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843DC" w14:textId="1F772CDC" w:rsidR="00EE6CC1" w:rsidRPr="006B771F" w:rsidRDefault="00CA7CFE" w:rsidP="00CA7CFE">
      <w:pPr>
        <w:pStyle w:val="Pagedecouverture"/>
        <w:rPr>
          <w:noProof/>
        </w:rPr>
      </w:pPr>
      <w:r>
        <w:rPr>
          <w:noProof/>
        </w:rPr>
        <w:pict w14:anchorId="1C7B6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6119EC30-57DA-4D87-9DDB-FB0774B0F927" style="width:455.25pt;height:355.5pt">
            <v:imagedata r:id="rId11" o:title=""/>
          </v:shape>
        </w:pict>
      </w:r>
    </w:p>
    <w:p w14:paraId="061020D3" w14:textId="77777777" w:rsidR="00EE6CC1" w:rsidRPr="006B771F" w:rsidRDefault="00EE6CC1" w:rsidP="00EE6CC1">
      <w:pPr>
        <w:rPr>
          <w:noProof/>
        </w:rPr>
        <w:sectPr w:rsidR="00EE6CC1" w:rsidRPr="006B771F" w:rsidSect="00CA7CFE">
          <w:footerReference w:type="default" r:id="rId12"/>
          <w:pgSz w:w="11907" w:h="16839"/>
          <w:pgMar w:top="1134" w:right="1417" w:bottom="1134" w:left="1417" w:header="709" w:footer="709" w:gutter="0"/>
          <w:pgNumType w:start="0"/>
          <w:cols w:space="720"/>
          <w:docGrid w:linePitch="360"/>
        </w:sectPr>
      </w:pPr>
    </w:p>
    <w:p w14:paraId="015D25F4" w14:textId="77777777" w:rsidR="00AD2D37" w:rsidRPr="006B771F" w:rsidRDefault="00AD2D37" w:rsidP="00AD2D37">
      <w:pPr>
        <w:pStyle w:val="Exposdesmotifstitre"/>
        <w:rPr>
          <w:noProof/>
        </w:rPr>
      </w:pPr>
      <w:bookmarkStart w:id="0" w:name="_GoBack"/>
      <w:bookmarkEnd w:id="0"/>
      <w:r w:rsidRPr="006B771F">
        <w:rPr>
          <w:noProof/>
        </w:rPr>
        <w:lastRenderedPageBreak/>
        <w:t>UZASADNIENIE</w:t>
      </w:r>
    </w:p>
    <w:p w14:paraId="6D85AC0C" w14:textId="77777777" w:rsidR="00AD2D37" w:rsidRPr="006B771F" w:rsidRDefault="00AD2D37" w:rsidP="00AD2D37">
      <w:pPr>
        <w:pStyle w:val="ManualHeading1"/>
        <w:rPr>
          <w:noProof/>
        </w:rPr>
      </w:pPr>
      <w:r w:rsidRPr="006B771F">
        <w:rPr>
          <w:noProof/>
        </w:rPr>
        <w:t>1.</w:t>
      </w:r>
      <w:r w:rsidRPr="006B771F">
        <w:rPr>
          <w:noProof/>
        </w:rPr>
        <w:tab/>
        <w:t>KONTEKST WNIOSKU</w:t>
      </w:r>
    </w:p>
    <w:p w14:paraId="3C264138" w14:textId="15197CC6" w:rsidR="00AD2D37" w:rsidRPr="006B771F" w:rsidRDefault="00AD2D37" w:rsidP="00AD2D37">
      <w:pPr>
        <w:pStyle w:val="ManualHeading2"/>
        <w:rPr>
          <w:rFonts w:eastAsia="Arial Unicode MS"/>
          <w:noProof/>
        </w:rPr>
      </w:pPr>
      <w:r w:rsidRPr="006B771F">
        <w:rPr>
          <w:noProof/>
          <w:color w:val="000000"/>
          <w:u w:color="000000"/>
          <w:bdr w:val="nil"/>
        </w:rPr>
        <w:t>•</w:t>
      </w:r>
      <w:r w:rsidRPr="006B771F">
        <w:rPr>
          <w:noProof/>
        </w:rPr>
        <w:tab/>
        <w:t>Przyczyny</w:t>
      </w:r>
      <w:r w:rsidR="00043012" w:rsidRPr="006B771F">
        <w:rPr>
          <w:noProof/>
        </w:rPr>
        <w:t xml:space="preserve"> i</w:t>
      </w:r>
      <w:r w:rsidR="00043012">
        <w:rPr>
          <w:noProof/>
        </w:rPr>
        <w:t> </w:t>
      </w:r>
      <w:r w:rsidR="00043012" w:rsidRPr="006B771F">
        <w:rPr>
          <w:noProof/>
        </w:rPr>
        <w:t>cel</w:t>
      </w:r>
      <w:r w:rsidRPr="006B771F">
        <w:rPr>
          <w:noProof/>
        </w:rPr>
        <w:t>e wniosku</w:t>
      </w:r>
      <w:r w:rsidRPr="006B771F">
        <w:rPr>
          <w:rStyle w:val="FootnoteReference0"/>
          <w:noProof/>
        </w:rPr>
        <w:footnoteReference w:id="2"/>
      </w:r>
    </w:p>
    <w:p w14:paraId="22A0E646" w14:textId="4F6508E2" w:rsidR="00AD2D37" w:rsidRPr="006B771F" w:rsidRDefault="00AD2D37" w:rsidP="00AD2D37">
      <w:pPr>
        <w:spacing w:before="0"/>
        <w:rPr>
          <w:noProof/>
        </w:rPr>
      </w:pPr>
      <w:r w:rsidRPr="006B771F">
        <w:rPr>
          <w:noProof/>
        </w:rPr>
        <w:t xml:space="preserve">Art. 3 </w:t>
      </w:r>
      <w:r w:rsidRPr="00043012">
        <w:rPr>
          <w:noProof/>
        </w:rPr>
        <w:t>ust.</w:t>
      </w:r>
      <w:r w:rsidR="00043012" w:rsidRPr="00043012">
        <w:rPr>
          <w:noProof/>
        </w:rPr>
        <w:t> </w:t>
      </w:r>
      <w:r w:rsidRPr="00043012">
        <w:rPr>
          <w:noProof/>
        </w:rPr>
        <w:t>2</w:t>
      </w:r>
      <w:r w:rsidRPr="006B771F">
        <w:rPr>
          <w:noProof/>
        </w:rPr>
        <w:t xml:space="preserve"> Traktatu</w:t>
      </w:r>
      <w:r w:rsidR="00043012" w:rsidRPr="006B771F">
        <w:rPr>
          <w:noProof/>
        </w:rPr>
        <w:t xml:space="preserve"> o</w:t>
      </w:r>
      <w:r w:rsidR="00043012">
        <w:rPr>
          <w:noProof/>
        </w:rPr>
        <w:t> </w:t>
      </w:r>
      <w:r w:rsidR="00043012" w:rsidRPr="006B771F">
        <w:rPr>
          <w:noProof/>
        </w:rPr>
        <w:t>Uni</w:t>
      </w:r>
      <w:r w:rsidRPr="006B771F">
        <w:rPr>
          <w:noProof/>
        </w:rPr>
        <w:t>i Europejskiej („TUE”) stanowi, że Unia musi zapewniać swoim obywatelom przestrzeń wolności, bezpieczeństwa</w:t>
      </w:r>
      <w:r w:rsidR="00043012" w:rsidRPr="006B771F">
        <w:rPr>
          <w:noProof/>
        </w:rPr>
        <w:t xml:space="preserve"> i</w:t>
      </w:r>
      <w:r w:rsidR="00043012">
        <w:rPr>
          <w:noProof/>
        </w:rPr>
        <w:t> </w:t>
      </w:r>
      <w:r w:rsidR="00043012" w:rsidRPr="006B771F">
        <w:rPr>
          <w:noProof/>
        </w:rPr>
        <w:t>spr</w:t>
      </w:r>
      <w:r w:rsidRPr="006B771F">
        <w:rPr>
          <w:noProof/>
        </w:rPr>
        <w:t>awiedliwości bez granic wewnętrznych,</w:t>
      </w:r>
      <w:r w:rsidR="00043012" w:rsidRPr="006B771F">
        <w:rPr>
          <w:noProof/>
        </w:rPr>
        <w:t xml:space="preserve"> w</w:t>
      </w:r>
      <w:r w:rsidR="00043012">
        <w:rPr>
          <w:noProof/>
        </w:rPr>
        <w:t> </w:t>
      </w:r>
      <w:r w:rsidR="00043012" w:rsidRPr="006B771F">
        <w:rPr>
          <w:noProof/>
        </w:rPr>
        <w:t>któ</w:t>
      </w:r>
      <w:r w:rsidRPr="006B771F">
        <w:rPr>
          <w:noProof/>
        </w:rPr>
        <w:t>rej zagwarantowana jest swoboda przepływu osób,</w:t>
      </w:r>
      <w:r w:rsidR="00043012" w:rsidRPr="006B771F">
        <w:rPr>
          <w:noProof/>
        </w:rPr>
        <w:t xml:space="preserve"> w</w:t>
      </w:r>
      <w:r w:rsidR="00043012">
        <w:rPr>
          <w:noProof/>
        </w:rPr>
        <w:t> </w:t>
      </w:r>
      <w:r w:rsidR="00043012" w:rsidRPr="006B771F">
        <w:rPr>
          <w:noProof/>
        </w:rPr>
        <w:t>pow</w:t>
      </w:r>
      <w:r w:rsidRPr="006B771F">
        <w:rPr>
          <w:noProof/>
        </w:rPr>
        <w:t>iązaniu</w:t>
      </w:r>
      <w:r w:rsidR="00043012" w:rsidRPr="006B771F">
        <w:rPr>
          <w:noProof/>
        </w:rPr>
        <w:t xml:space="preserve"> z</w:t>
      </w:r>
      <w:r w:rsidR="00043012">
        <w:rPr>
          <w:noProof/>
        </w:rPr>
        <w:t> </w:t>
      </w:r>
      <w:r w:rsidR="00043012" w:rsidRPr="006B771F">
        <w:rPr>
          <w:noProof/>
        </w:rPr>
        <w:t>wła</w:t>
      </w:r>
      <w:r w:rsidRPr="006B771F">
        <w:rPr>
          <w:noProof/>
        </w:rPr>
        <w:t>ściwymi środkami</w:t>
      </w:r>
      <w:r w:rsidR="00043012" w:rsidRPr="006B771F">
        <w:rPr>
          <w:noProof/>
        </w:rPr>
        <w:t xml:space="preserve"> w</w:t>
      </w:r>
      <w:r w:rsidR="00043012">
        <w:rPr>
          <w:noProof/>
        </w:rPr>
        <w:t> </w:t>
      </w:r>
      <w:r w:rsidR="00043012" w:rsidRPr="006B771F">
        <w:rPr>
          <w:noProof/>
        </w:rPr>
        <w:t>odn</w:t>
      </w:r>
      <w:r w:rsidRPr="006B771F">
        <w:rPr>
          <w:noProof/>
        </w:rPr>
        <w:t>iesieniu do kontroli granic zewnętrznych, azylu, imigracji, jak również zapobiegania</w:t>
      </w:r>
      <w:r w:rsidR="00043012" w:rsidRPr="006B771F">
        <w:rPr>
          <w:noProof/>
        </w:rPr>
        <w:t xml:space="preserve"> i</w:t>
      </w:r>
      <w:r w:rsidR="00043012">
        <w:rPr>
          <w:noProof/>
        </w:rPr>
        <w:t> </w:t>
      </w:r>
      <w:r w:rsidR="00043012" w:rsidRPr="006B771F">
        <w:rPr>
          <w:noProof/>
        </w:rPr>
        <w:t>zwa</w:t>
      </w:r>
      <w:r w:rsidRPr="006B771F">
        <w:rPr>
          <w:noProof/>
        </w:rPr>
        <w:t xml:space="preserve">lczania przestępczości. </w:t>
      </w:r>
    </w:p>
    <w:p w14:paraId="11AED89C" w14:textId="3D13735F" w:rsidR="00AD2D37" w:rsidRPr="006B771F" w:rsidRDefault="00AD2D37" w:rsidP="00AD2D37">
      <w:pPr>
        <w:spacing w:before="0"/>
        <w:rPr>
          <w:noProof/>
        </w:rPr>
      </w:pPr>
      <w:r w:rsidRPr="006B771F">
        <w:rPr>
          <w:noProof/>
        </w:rPr>
        <w:t>Przestrzeń wolności, bezpieczeństwa</w:t>
      </w:r>
      <w:r w:rsidR="00043012" w:rsidRPr="006B771F">
        <w:rPr>
          <w:noProof/>
        </w:rPr>
        <w:t xml:space="preserve"> i</w:t>
      </w:r>
      <w:r w:rsidR="00043012">
        <w:rPr>
          <w:noProof/>
        </w:rPr>
        <w:t> </w:t>
      </w:r>
      <w:r w:rsidR="00043012" w:rsidRPr="006B771F">
        <w:rPr>
          <w:noProof/>
        </w:rPr>
        <w:t>spr</w:t>
      </w:r>
      <w:r w:rsidRPr="006B771F">
        <w:rPr>
          <w:noProof/>
        </w:rPr>
        <w:t>awiedliwości bez granic wewnętrznych można zapewnić między innymi dzięki solidnej współpracy policyjnej</w:t>
      </w:r>
      <w:r w:rsidR="00043012" w:rsidRPr="006B771F">
        <w:rPr>
          <w:noProof/>
        </w:rPr>
        <w:t xml:space="preserve"> i</w:t>
      </w:r>
      <w:r w:rsidR="00043012">
        <w:rPr>
          <w:noProof/>
        </w:rPr>
        <w:t> </w:t>
      </w:r>
      <w:r w:rsidR="00043012" w:rsidRPr="006B771F">
        <w:rPr>
          <w:noProof/>
        </w:rPr>
        <w:t>sąd</w:t>
      </w:r>
      <w:r w:rsidRPr="006B771F">
        <w:rPr>
          <w:noProof/>
        </w:rPr>
        <w:t>owej między państwami członkowskimi</w:t>
      </w:r>
      <w:r w:rsidRPr="006B771F">
        <w:rPr>
          <w:rStyle w:val="FootnoteReference0"/>
          <w:noProof/>
        </w:rPr>
        <w:footnoteReference w:id="3"/>
      </w:r>
      <w:r w:rsidRPr="006B771F">
        <w:rPr>
          <w:noProof/>
        </w:rPr>
        <w:t>. Funkcjonariusze policji</w:t>
      </w:r>
      <w:r w:rsidR="00043012" w:rsidRPr="006B771F">
        <w:rPr>
          <w:noProof/>
        </w:rPr>
        <w:t xml:space="preserve"> w</w:t>
      </w:r>
      <w:r w:rsidR="00043012">
        <w:rPr>
          <w:noProof/>
        </w:rPr>
        <w:t> </w:t>
      </w:r>
      <w:r w:rsidR="00043012" w:rsidRPr="006B771F">
        <w:rPr>
          <w:noProof/>
        </w:rPr>
        <w:t>dan</w:t>
      </w:r>
      <w:r w:rsidRPr="006B771F">
        <w:rPr>
          <w:noProof/>
        </w:rPr>
        <w:t>ym państwie członkowskim powinni zatem skutecznie</w:t>
      </w:r>
      <w:r w:rsidR="00043012" w:rsidRPr="006B771F">
        <w:rPr>
          <w:noProof/>
        </w:rPr>
        <w:t xml:space="preserve"> i</w:t>
      </w:r>
      <w:r w:rsidR="00043012">
        <w:rPr>
          <w:noProof/>
        </w:rPr>
        <w:t> </w:t>
      </w:r>
      <w:r w:rsidR="00043012" w:rsidRPr="006B771F">
        <w:rPr>
          <w:noProof/>
        </w:rPr>
        <w:t>sys</w:t>
      </w:r>
      <w:r w:rsidRPr="006B771F">
        <w:rPr>
          <w:noProof/>
        </w:rPr>
        <w:t>tematycznie współpracować na całym terytorium UE. Współpraca policyjna</w:t>
      </w:r>
      <w:r w:rsidRPr="006B771F">
        <w:rPr>
          <w:b/>
          <w:bCs/>
          <w:noProof/>
        </w:rPr>
        <w:t xml:space="preserve"> </w:t>
      </w:r>
      <w:r w:rsidRPr="006B771F">
        <w:rPr>
          <w:noProof/>
        </w:rPr>
        <w:t>między państwami członkowskimi jest jednak wciąż bardzo zróżnicowana. Bez dostatecznego poziomu współpracy między siłami policyjnymi poszczególnych państw członkowskich przestępcy będą nadal działać bez przeszkód</w:t>
      </w:r>
      <w:r w:rsidR="00043012" w:rsidRPr="006B771F">
        <w:rPr>
          <w:noProof/>
        </w:rPr>
        <w:t xml:space="preserve"> w</w:t>
      </w:r>
      <w:r w:rsidR="00043012">
        <w:rPr>
          <w:noProof/>
        </w:rPr>
        <w:t> </w:t>
      </w:r>
      <w:r w:rsidR="00043012" w:rsidRPr="006B771F">
        <w:rPr>
          <w:noProof/>
        </w:rPr>
        <w:t>róż</w:t>
      </w:r>
      <w:r w:rsidRPr="006B771F">
        <w:rPr>
          <w:noProof/>
        </w:rPr>
        <w:t>nych państwach członkowskich, wykorzystując różnice między jurysdykcjami krajowymi,</w:t>
      </w:r>
      <w:r w:rsidR="00043012" w:rsidRPr="006B771F">
        <w:rPr>
          <w:noProof/>
        </w:rPr>
        <w:t xml:space="preserve"> i</w:t>
      </w:r>
      <w:r w:rsidR="00043012">
        <w:rPr>
          <w:noProof/>
        </w:rPr>
        <w:t> </w:t>
      </w:r>
      <w:r w:rsidR="00043012" w:rsidRPr="006B771F">
        <w:rPr>
          <w:noProof/>
        </w:rPr>
        <w:t>wci</w:t>
      </w:r>
      <w:r w:rsidRPr="006B771F">
        <w:rPr>
          <w:noProof/>
        </w:rPr>
        <w:t>ąż problemem będzie niedozwolone przemieszczanie się migrantów</w:t>
      </w:r>
      <w:r w:rsidR="00043012" w:rsidRPr="006B771F">
        <w:rPr>
          <w:noProof/>
        </w:rPr>
        <w:t xml:space="preserve"> o</w:t>
      </w:r>
      <w:r w:rsidR="00043012">
        <w:rPr>
          <w:noProof/>
        </w:rPr>
        <w:t> </w:t>
      </w:r>
      <w:r w:rsidR="00043012" w:rsidRPr="006B771F">
        <w:rPr>
          <w:noProof/>
        </w:rPr>
        <w:t>nie</w:t>
      </w:r>
      <w:r w:rsidRPr="006B771F">
        <w:rPr>
          <w:noProof/>
        </w:rPr>
        <w:t>uregulowanym statusie. </w:t>
      </w:r>
    </w:p>
    <w:p w14:paraId="7BB88F97" w14:textId="726408A7" w:rsidR="00AD2D37" w:rsidRPr="006B771F" w:rsidRDefault="00AD2D37" w:rsidP="00AD2D37">
      <w:pPr>
        <w:spacing w:before="0"/>
        <w:rPr>
          <w:noProof/>
        </w:rPr>
      </w:pPr>
      <w:r w:rsidRPr="006B771F">
        <w:rPr>
          <w:noProof/>
        </w:rPr>
        <w:t>Niedawne tragiczne wydarzenia na kanale La Manche po raz kolejny pokazały, jak potrzebna jest silna współpraca policyjna, co znalazło odzwierciedlenie</w:t>
      </w:r>
      <w:r w:rsidR="00043012" w:rsidRPr="006B771F">
        <w:rPr>
          <w:noProof/>
        </w:rPr>
        <w:t xml:space="preserve"> w</w:t>
      </w:r>
      <w:r w:rsidR="00043012">
        <w:rPr>
          <w:noProof/>
        </w:rPr>
        <w:t> </w:t>
      </w:r>
      <w:r w:rsidR="00043012" w:rsidRPr="006B771F">
        <w:rPr>
          <w:noProof/>
        </w:rPr>
        <w:t>dec</w:t>
      </w:r>
      <w:r w:rsidRPr="006B771F">
        <w:rPr>
          <w:noProof/>
        </w:rPr>
        <w:t>yzji Francji, Belgii, Niderlandów</w:t>
      </w:r>
      <w:r w:rsidR="00043012" w:rsidRPr="006B771F">
        <w:rPr>
          <w:noProof/>
        </w:rPr>
        <w:t xml:space="preserve"> i</w:t>
      </w:r>
      <w:r w:rsidR="00043012">
        <w:rPr>
          <w:noProof/>
        </w:rPr>
        <w:t> </w:t>
      </w:r>
      <w:r w:rsidR="00043012" w:rsidRPr="006B771F">
        <w:rPr>
          <w:noProof/>
        </w:rPr>
        <w:t>Nie</w:t>
      </w:r>
      <w:r w:rsidRPr="006B771F">
        <w:rPr>
          <w:noProof/>
        </w:rPr>
        <w:t>miec</w:t>
      </w:r>
      <w:r w:rsidR="00043012" w:rsidRPr="006B771F">
        <w:rPr>
          <w:noProof/>
        </w:rPr>
        <w:t xml:space="preserve"> z</w:t>
      </w:r>
      <w:r w:rsidR="00043012">
        <w:rPr>
          <w:noProof/>
        </w:rPr>
        <w:t> </w:t>
      </w:r>
      <w:r w:rsidR="00043012" w:rsidRPr="006B771F">
        <w:rPr>
          <w:noProof/>
        </w:rPr>
        <w:t>dni</w:t>
      </w:r>
      <w:r w:rsidRPr="006B771F">
        <w:rPr>
          <w:noProof/>
        </w:rPr>
        <w:t>a 28 listopada 20</w:t>
      </w:r>
      <w:r w:rsidRPr="00043012">
        <w:rPr>
          <w:noProof/>
        </w:rPr>
        <w:t>21</w:t>
      </w:r>
      <w:r w:rsidR="00043012" w:rsidRPr="00043012">
        <w:rPr>
          <w:noProof/>
        </w:rPr>
        <w:t> </w:t>
      </w:r>
      <w:r w:rsidRPr="00043012">
        <w:rPr>
          <w:noProof/>
        </w:rPr>
        <w:t>r.</w:t>
      </w:r>
      <w:r w:rsidRPr="006B771F">
        <w:rPr>
          <w:noProof/>
        </w:rPr>
        <w:t xml:space="preserve"> dotyczącej wzmocnienia operacyjnej współpracy policyjnej</w:t>
      </w:r>
      <w:r w:rsidR="00043012" w:rsidRPr="006B771F">
        <w:rPr>
          <w:noProof/>
        </w:rPr>
        <w:t xml:space="preserve"> w</w:t>
      </w:r>
      <w:r w:rsidR="00043012">
        <w:rPr>
          <w:noProof/>
        </w:rPr>
        <w:t> </w:t>
      </w:r>
      <w:r w:rsidR="00043012" w:rsidRPr="006B771F">
        <w:rPr>
          <w:noProof/>
        </w:rPr>
        <w:t>cel</w:t>
      </w:r>
      <w:r w:rsidRPr="006B771F">
        <w:rPr>
          <w:noProof/>
        </w:rPr>
        <w:t xml:space="preserve">u przeciwdziałania przemytowi migrantów. </w:t>
      </w:r>
    </w:p>
    <w:p w14:paraId="72699986" w14:textId="4A54A070" w:rsidR="00AD2D37" w:rsidRPr="006B771F" w:rsidRDefault="00AD2D37" w:rsidP="00AD2D37">
      <w:pPr>
        <w:spacing w:before="0"/>
        <w:rPr>
          <w:noProof/>
        </w:rPr>
      </w:pPr>
      <w:r w:rsidRPr="006B771F">
        <w:rPr>
          <w:noProof/>
        </w:rPr>
        <w:t>Przestępczość transgraniczna oraz związane</w:t>
      </w:r>
      <w:r w:rsidR="00043012" w:rsidRPr="006B771F">
        <w:rPr>
          <w:noProof/>
        </w:rPr>
        <w:t xml:space="preserve"> z</w:t>
      </w:r>
      <w:r w:rsidR="00043012">
        <w:rPr>
          <w:noProof/>
        </w:rPr>
        <w:t> </w:t>
      </w:r>
      <w:r w:rsidR="00043012" w:rsidRPr="006B771F">
        <w:rPr>
          <w:noProof/>
        </w:rPr>
        <w:t>nią</w:t>
      </w:r>
      <w:r w:rsidRPr="006B771F">
        <w:rPr>
          <w:noProof/>
        </w:rPr>
        <w:t xml:space="preserve"> zagrożenia bezpieczeństwa mają</w:t>
      </w:r>
      <w:r w:rsidR="00043012" w:rsidRPr="006B771F">
        <w:rPr>
          <w:noProof/>
        </w:rPr>
        <w:t xml:space="preserve"> z</w:t>
      </w:r>
      <w:r w:rsidR="00043012">
        <w:rPr>
          <w:noProof/>
        </w:rPr>
        <w:t> </w:t>
      </w:r>
      <w:r w:rsidR="00043012" w:rsidRPr="006B771F">
        <w:rPr>
          <w:noProof/>
        </w:rPr>
        <w:t>def</w:t>
      </w:r>
      <w:r w:rsidRPr="006B771F">
        <w:rPr>
          <w:noProof/>
        </w:rPr>
        <w:t>inicji wymiar międzynarodowy. Jak wskazano</w:t>
      </w:r>
      <w:r w:rsidR="00043012" w:rsidRPr="006B771F">
        <w:rPr>
          <w:noProof/>
        </w:rPr>
        <w:t xml:space="preserve"> w</w:t>
      </w:r>
      <w:r w:rsidR="00043012">
        <w:rPr>
          <w:noProof/>
        </w:rPr>
        <w:t> </w:t>
      </w:r>
      <w:r w:rsidR="00043012" w:rsidRPr="006B771F">
        <w:rPr>
          <w:noProof/>
        </w:rPr>
        <w:t>str</w:t>
      </w:r>
      <w:r w:rsidRPr="006B771F">
        <w:rPr>
          <w:noProof/>
        </w:rPr>
        <w:t>ategii UE</w:t>
      </w:r>
      <w:r w:rsidR="00043012" w:rsidRPr="006B771F">
        <w:rPr>
          <w:noProof/>
        </w:rPr>
        <w:t xml:space="preserve"> w</w:t>
      </w:r>
      <w:r w:rsidR="00043012">
        <w:rPr>
          <w:noProof/>
        </w:rPr>
        <w:t> </w:t>
      </w:r>
      <w:r w:rsidR="00043012" w:rsidRPr="006B771F">
        <w:rPr>
          <w:noProof/>
        </w:rPr>
        <w:t>zak</w:t>
      </w:r>
      <w:r w:rsidRPr="006B771F">
        <w:rPr>
          <w:noProof/>
        </w:rPr>
        <w:t>resie unii bezpieczeństwa</w:t>
      </w:r>
      <w:r w:rsidRPr="006B771F">
        <w:rPr>
          <w:rStyle w:val="FootnoteReference0"/>
          <w:noProof/>
        </w:rPr>
        <w:footnoteReference w:id="4"/>
      </w:r>
      <w:r w:rsidRPr="006B771F">
        <w:rPr>
          <w:noProof/>
        </w:rPr>
        <w:t>, UE stoi</w:t>
      </w:r>
      <w:r w:rsidR="00043012" w:rsidRPr="006B771F">
        <w:rPr>
          <w:noProof/>
        </w:rPr>
        <w:t xml:space="preserve"> w</w:t>
      </w:r>
      <w:r w:rsidR="00043012">
        <w:rPr>
          <w:noProof/>
        </w:rPr>
        <w:t> </w:t>
      </w:r>
      <w:r w:rsidR="00043012" w:rsidRPr="006B771F">
        <w:rPr>
          <w:noProof/>
        </w:rPr>
        <w:t>obl</w:t>
      </w:r>
      <w:r w:rsidRPr="006B771F">
        <w:rPr>
          <w:noProof/>
        </w:rPr>
        <w:t>iczu stale zmieniających się</w:t>
      </w:r>
      <w:r w:rsidR="00043012" w:rsidRPr="006B771F">
        <w:rPr>
          <w:noProof/>
        </w:rPr>
        <w:t xml:space="preserve"> i</w:t>
      </w:r>
      <w:r w:rsidR="00043012">
        <w:rPr>
          <w:noProof/>
        </w:rPr>
        <w:t> </w:t>
      </w:r>
      <w:r w:rsidR="00043012" w:rsidRPr="006B771F">
        <w:rPr>
          <w:noProof/>
        </w:rPr>
        <w:t>cor</w:t>
      </w:r>
      <w:r w:rsidRPr="006B771F">
        <w:rPr>
          <w:noProof/>
        </w:rPr>
        <w:t>az bardziej złożonych zagrożeń dla bezpieczeństwa Zagrożenia te rozprzestrzeniają się ponad granicami</w:t>
      </w:r>
      <w:r w:rsidR="00043012" w:rsidRPr="006B771F">
        <w:rPr>
          <w:noProof/>
        </w:rPr>
        <w:t xml:space="preserve"> i</w:t>
      </w:r>
      <w:r w:rsidR="00043012">
        <w:rPr>
          <w:noProof/>
        </w:rPr>
        <w:t> </w:t>
      </w:r>
      <w:r w:rsidR="00043012" w:rsidRPr="006B771F">
        <w:rPr>
          <w:noProof/>
        </w:rPr>
        <w:t>prz</w:t>
      </w:r>
      <w:r w:rsidRPr="006B771F">
        <w:rPr>
          <w:noProof/>
        </w:rPr>
        <w:t>ejawiają się</w:t>
      </w:r>
      <w:r w:rsidR="00043012" w:rsidRPr="006B771F">
        <w:rPr>
          <w:noProof/>
        </w:rPr>
        <w:t xml:space="preserve"> w</w:t>
      </w:r>
      <w:r w:rsidR="00043012">
        <w:rPr>
          <w:noProof/>
        </w:rPr>
        <w:t> </w:t>
      </w:r>
      <w:r w:rsidR="00043012" w:rsidRPr="006B771F">
        <w:rPr>
          <w:noProof/>
        </w:rPr>
        <w:t>dzi</w:t>
      </w:r>
      <w:r w:rsidRPr="006B771F">
        <w:rPr>
          <w:noProof/>
        </w:rPr>
        <w:t>ałalności przestępców</w:t>
      </w:r>
      <w:r w:rsidR="00043012" w:rsidRPr="006B771F">
        <w:rPr>
          <w:noProof/>
        </w:rPr>
        <w:t xml:space="preserve"> i</w:t>
      </w:r>
      <w:r w:rsidR="00043012">
        <w:rPr>
          <w:noProof/>
        </w:rPr>
        <w:t> </w:t>
      </w:r>
      <w:r w:rsidR="00043012" w:rsidRPr="006B771F">
        <w:rPr>
          <w:noProof/>
        </w:rPr>
        <w:t>zor</w:t>
      </w:r>
      <w:r w:rsidRPr="006B771F">
        <w:rPr>
          <w:noProof/>
        </w:rPr>
        <w:t>ganizowanych grup przestępczych prowadzących różnorodną działalność przestępczą. Jak podkreślono</w:t>
      </w:r>
      <w:r w:rsidR="00043012" w:rsidRPr="006B771F">
        <w:rPr>
          <w:noProof/>
        </w:rPr>
        <w:t xml:space="preserve"> w</w:t>
      </w:r>
      <w:r w:rsidR="00043012">
        <w:rPr>
          <w:noProof/>
        </w:rPr>
        <w:t> </w:t>
      </w:r>
      <w:r w:rsidR="00043012" w:rsidRPr="006B771F">
        <w:rPr>
          <w:noProof/>
        </w:rPr>
        <w:t>uni</w:t>
      </w:r>
      <w:r w:rsidRPr="006B771F">
        <w:rPr>
          <w:noProof/>
        </w:rPr>
        <w:t>jnej strategii zwalczania przestępczości zorganizowanej 2021–2025</w:t>
      </w:r>
      <w:r w:rsidRPr="006B771F">
        <w:rPr>
          <w:rStyle w:val="FootnoteReference0"/>
          <w:noProof/>
        </w:rPr>
        <w:footnoteReference w:id="5"/>
      </w:r>
      <w:r w:rsidRPr="006B771F">
        <w:rPr>
          <w:noProof/>
        </w:rPr>
        <w:t>, przestępczość zorganizowana stanowi istotne zagrożenie dla obywateli Unii, przedsiębiorstw</w:t>
      </w:r>
      <w:r w:rsidR="00043012" w:rsidRPr="006B771F">
        <w:rPr>
          <w:noProof/>
        </w:rPr>
        <w:t xml:space="preserve"> i</w:t>
      </w:r>
      <w:r w:rsidR="00043012">
        <w:rPr>
          <w:noProof/>
        </w:rPr>
        <w:t> </w:t>
      </w:r>
      <w:r w:rsidR="00043012" w:rsidRPr="006B771F">
        <w:rPr>
          <w:noProof/>
        </w:rPr>
        <w:t>ins</w:t>
      </w:r>
      <w:r w:rsidRPr="006B771F">
        <w:rPr>
          <w:noProof/>
        </w:rPr>
        <w:t>tytucji państwowych,</w:t>
      </w:r>
      <w:r w:rsidR="00043012" w:rsidRPr="006B771F">
        <w:rPr>
          <w:noProof/>
        </w:rPr>
        <w:t xml:space="preserve"> a</w:t>
      </w:r>
      <w:r w:rsidR="00043012">
        <w:rPr>
          <w:noProof/>
        </w:rPr>
        <w:t> </w:t>
      </w:r>
      <w:r w:rsidR="00043012" w:rsidRPr="006B771F">
        <w:rPr>
          <w:noProof/>
        </w:rPr>
        <w:t>tak</w:t>
      </w:r>
      <w:r w:rsidRPr="006B771F">
        <w:rPr>
          <w:noProof/>
        </w:rPr>
        <w:t>że dla całej gospodarki. Działając</w:t>
      </w:r>
      <w:r w:rsidR="00043012" w:rsidRPr="006B771F">
        <w:rPr>
          <w:noProof/>
        </w:rPr>
        <w:t xml:space="preserve"> w</w:t>
      </w:r>
      <w:r w:rsidR="00043012">
        <w:rPr>
          <w:noProof/>
        </w:rPr>
        <w:t> </w:t>
      </w:r>
      <w:r w:rsidR="00043012" w:rsidRPr="006B771F">
        <w:rPr>
          <w:noProof/>
        </w:rPr>
        <w:t>róż</w:t>
      </w:r>
      <w:r w:rsidRPr="006B771F">
        <w:rPr>
          <w:noProof/>
        </w:rPr>
        <w:t>nych jurysdykcjach, grupy przestępcze unikają zdemaskowania</w:t>
      </w:r>
      <w:r w:rsidR="00043012" w:rsidRPr="006B771F">
        <w:rPr>
          <w:noProof/>
        </w:rPr>
        <w:t xml:space="preserve"> i</w:t>
      </w:r>
      <w:r w:rsidR="00043012">
        <w:rPr>
          <w:noProof/>
        </w:rPr>
        <w:t> </w:t>
      </w:r>
      <w:r w:rsidR="00043012" w:rsidRPr="006B771F">
        <w:rPr>
          <w:noProof/>
        </w:rPr>
        <w:t>wyk</w:t>
      </w:r>
      <w:r w:rsidRPr="006B771F">
        <w:rPr>
          <w:noProof/>
        </w:rPr>
        <w:t>orzystują różnice</w:t>
      </w:r>
      <w:r w:rsidR="00043012" w:rsidRPr="006B771F">
        <w:rPr>
          <w:noProof/>
        </w:rPr>
        <w:t xml:space="preserve"> w</w:t>
      </w:r>
      <w:r w:rsidR="00043012">
        <w:rPr>
          <w:noProof/>
        </w:rPr>
        <w:t> </w:t>
      </w:r>
      <w:r w:rsidR="00043012" w:rsidRPr="006B771F">
        <w:rPr>
          <w:noProof/>
        </w:rPr>
        <w:t>pra</w:t>
      </w:r>
      <w:r w:rsidRPr="006B771F">
        <w:rPr>
          <w:noProof/>
        </w:rPr>
        <w:t>wach krajowych. Niniejszy wniosek, wraz</w:t>
      </w:r>
      <w:r w:rsidR="00043012" w:rsidRPr="006B771F">
        <w:rPr>
          <w:noProof/>
        </w:rPr>
        <w:t xml:space="preserve"> z</w:t>
      </w:r>
      <w:r w:rsidR="00043012">
        <w:rPr>
          <w:noProof/>
        </w:rPr>
        <w:t> </w:t>
      </w:r>
      <w:r w:rsidR="00043012" w:rsidRPr="006B771F">
        <w:rPr>
          <w:noProof/>
        </w:rPr>
        <w:t>tow</w:t>
      </w:r>
      <w:r w:rsidRPr="006B771F">
        <w:rPr>
          <w:noProof/>
        </w:rPr>
        <w:t>arzyszącym mu wnioskiem dotyczącym dyrektywy</w:t>
      </w:r>
      <w:r w:rsidR="00043012" w:rsidRPr="006B771F">
        <w:rPr>
          <w:noProof/>
        </w:rPr>
        <w:t xml:space="preserve"> w</w:t>
      </w:r>
      <w:r w:rsidR="00043012">
        <w:rPr>
          <w:noProof/>
        </w:rPr>
        <w:t> </w:t>
      </w:r>
      <w:r w:rsidR="00043012" w:rsidRPr="006B771F">
        <w:rPr>
          <w:noProof/>
        </w:rPr>
        <w:t>spr</w:t>
      </w:r>
      <w:r w:rsidRPr="006B771F">
        <w:rPr>
          <w:noProof/>
        </w:rPr>
        <w:t>awie wymiany informacji, ma na celu ustanowienie kodeksu współpracy policyjnej na potrzeby usprawniania, wzmacniania, rozwijania, modernizacji</w:t>
      </w:r>
      <w:r w:rsidR="00043012" w:rsidRPr="006B771F">
        <w:rPr>
          <w:noProof/>
        </w:rPr>
        <w:t xml:space="preserve"> i</w:t>
      </w:r>
      <w:r w:rsidR="00043012">
        <w:rPr>
          <w:noProof/>
        </w:rPr>
        <w:t> </w:t>
      </w:r>
      <w:r w:rsidR="00043012" w:rsidRPr="006B771F">
        <w:rPr>
          <w:noProof/>
        </w:rPr>
        <w:t>uła</w:t>
      </w:r>
      <w:r w:rsidRPr="006B771F">
        <w:rPr>
          <w:noProof/>
        </w:rPr>
        <w:t>twiania współpracy organów ścigania pomiędzy właściwymi agencjami krajowymi, wspierając tym samym państwa członkowskie</w:t>
      </w:r>
      <w:r w:rsidR="00043012" w:rsidRPr="006B771F">
        <w:rPr>
          <w:noProof/>
        </w:rPr>
        <w:t xml:space="preserve"> w</w:t>
      </w:r>
      <w:r w:rsidR="00043012">
        <w:rPr>
          <w:noProof/>
        </w:rPr>
        <w:t> </w:t>
      </w:r>
      <w:r w:rsidR="00043012" w:rsidRPr="006B771F">
        <w:rPr>
          <w:noProof/>
        </w:rPr>
        <w:t>zwa</w:t>
      </w:r>
      <w:r w:rsidRPr="006B771F">
        <w:rPr>
          <w:noProof/>
        </w:rPr>
        <w:t>lczaniu poważnej</w:t>
      </w:r>
      <w:r w:rsidR="00043012" w:rsidRPr="006B771F">
        <w:rPr>
          <w:noProof/>
        </w:rPr>
        <w:t xml:space="preserve"> i</w:t>
      </w:r>
      <w:r w:rsidR="00043012">
        <w:rPr>
          <w:noProof/>
        </w:rPr>
        <w:t> </w:t>
      </w:r>
      <w:r w:rsidR="00043012" w:rsidRPr="006B771F">
        <w:rPr>
          <w:noProof/>
        </w:rPr>
        <w:t>zor</w:t>
      </w:r>
      <w:r w:rsidRPr="006B771F">
        <w:rPr>
          <w:noProof/>
        </w:rPr>
        <w:t>ganizowanej przestępczości oraz terroryzmu.</w:t>
      </w:r>
    </w:p>
    <w:p w14:paraId="5833ABAE" w14:textId="56961407" w:rsidR="00AD2D37" w:rsidRPr="006B771F" w:rsidRDefault="00AD2D37" w:rsidP="00AD2D37">
      <w:pPr>
        <w:spacing w:before="0"/>
        <w:rPr>
          <w:noProof/>
        </w:rPr>
      </w:pPr>
      <w:r w:rsidRPr="006B771F">
        <w:rPr>
          <w:noProof/>
        </w:rPr>
        <w:t>Zgodnie</w:t>
      </w:r>
      <w:r w:rsidR="00043012" w:rsidRPr="006B771F">
        <w:rPr>
          <w:noProof/>
        </w:rPr>
        <w:t xml:space="preserve"> z</w:t>
      </w:r>
      <w:r w:rsidR="00043012">
        <w:rPr>
          <w:noProof/>
        </w:rPr>
        <w:t> </w:t>
      </w:r>
      <w:r w:rsidR="00043012" w:rsidRPr="006B771F">
        <w:rPr>
          <w:noProof/>
        </w:rPr>
        <w:t>oce</w:t>
      </w:r>
      <w:r w:rsidRPr="006B771F">
        <w:rPr>
          <w:noProof/>
        </w:rPr>
        <w:t>ną zagrożenia poważną</w:t>
      </w:r>
      <w:r w:rsidR="00043012" w:rsidRPr="006B771F">
        <w:rPr>
          <w:noProof/>
        </w:rPr>
        <w:t xml:space="preserve"> i</w:t>
      </w:r>
      <w:r w:rsidR="00043012">
        <w:rPr>
          <w:noProof/>
        </w:rPr>
        <w:t> </w:t>
      </w:r>
      <w:r w:rsidR="00043012" w:rsidRPr="006B771F">
        <w:rPr>
          <w:noProof/>
        </w:rPr>
        <w:t>zor</w:t>
      </w:r>
      <w:r w:rsidRPr="006B771F">
        <w:rPr>
          <w:noProof/>
        </w:rPr>
        <w:t>ganizowaną przestępczością</w:t>
      </w:r>
      <w:r w:rsidR="00043012" w:rsidRPr="006B771F">
        <w:rPr>
          <w:noProof/>
        </w:rPr>
        <w:t xml:space="preserve"> w</w:t>
      </w:r>
      <w:r w:rsidR="00043012">
        <w:rPr>
          <w:noProof/>
        </w:rPr>
        <w:t> </w:t>
      </w:r>
      <w:r w:rsidR="00043012" w:rsidRPr="006B771F">
        <w:rPr>
          <w:noProof/>
        </w:rPr>
        <w:t>Uni</w:t>
      </w:r>
      <w:r w:rsidRPr="006B771F">
        <w:rPr>
          <w:noProof/>
        </w:rPr>
        <w:t>i Europejskiej</w:t>
      </w:r>
      <w:r w:rsidR="00043012" w:rsidRPr="006B771F">
        <w:rPr>
          <w:noProof/>
        </w:rPr>
        <w:t xml:space="preserve"> z</w:t>
      </w:r>
      <w:r w:rsidR="00043012">
        <w:rPr>
          <w:noProof/>
        </w:rPr>
        <w:t> </w:t>
      </w:r>
      <w:r w:rsidR="00043012" w:rsidRPr="006B771F">
        <w:rPr>
          <w:noProof/>
        </w:rPr>
        <w:t>2</w:t>
      </w:r>
      <w:r w:rsidRPr="006B771F">
        <w:rPr>
          <w:noProof/>
        </w:rPr>
        <w:t>0</w:t>
      </w:r>
      <w:r w:rsidRPr="00043012">
        <w:rPr>
          <w:noProof/>
        </w:rPr>
        <w:t>21</w:t>
      </w:r>
      <w:r w:rsidR="00043012" w:rsidRPr="00043012">
        <w:rPr>
          <w:noProof/>
        </w:rPr>
        <w:t> </w:t>
      </w:r>
      <w:r w:rsidRPr="00043012">
        <w:rPr>
          <w:noProof/>
        </w:rPr>
        <w:t>r.</w:t>
      </w:r>
      <w:r w:rsidRPr="006B771F">
        <w:rPr>
          <w:noProof/>
        </w:rPr>
        <w:t xml:space="preserve"> (EU SOCTA) przestępczość zorganizowana charakteryzuje się połączonym siecią środowiskiem,</w:t>
      </w:r>
      <w:r w:rsidR="00043012" w:rsidRPr="006B771F">
        <w:rPr>
          <w:noProof/>
        </w:rPr>
        <w:t xml:space="preserve"> w</w:t>
      </w:r>
      <w:r w:rsidR="00043012">
        <w:rPr>
          <w:noProof/>
        </w:rPr>
        <w:t> </w:t>
      </w:r>
      <w:r w:rsidR="00043012" w:rsidRPr="006B771F">
        <w:rPr>
          <w:noProof/>
        </w:rPr>
        <w:t>któ</w:t>
      </w:r>
      <w:r w:rsidRPr="006B771F">
        <w:rPr>
          <w:noProof/>
        </w:rPr>
        <w:t>rym współpraca między przestępcami jest płynna, systematyczna</w:t>
      </w:r>
      <w:r w:rsidR="00043012" w:rsidRPr="006B771F">
        <w:rPr>
          <w:noProof/>
        </w:rPr>
        <w:t xml:space="preserve"> i</w:t>
      </w:r>
      <w:r w:rsidR="00043012">
        <w:rPr>
          <w:noProof/>
        </w:rPr>
        <w:t> </w:t>
      </w:r>
      <w:r w:rsidR="00043012" w:rsidRPr="006B771F">
        <w:rPr>
          <w:noProof/>
        </w:rPr>
        <w:t>nap</w:t>
      </w:r>
      <w:r w:rsidRPr="006B771F">
        <w:rPr>
          <w:noProof/>
        </w:rPr>
        <w:t>ędzana chęcią zysku. Prawie 7</w:t>
      </w:r>
      <w:r w:rsidRPr="00043012">
        <w:rPr>
          <w:noProof/>
        </w:rPr>
        <w:t>0</w:t>
      </w:r>
      <w:r w:rsidR="00043012" w:rsidRPr="00043012">
        <w:rPr>
          <w:noProof/>
        </w:rPr>
        <w:t> </w:t>
      </w:r>
      <w:r w:rsidRPr="00043012">
        <w:rPr>
          <w:noProof/>
        </w:rPr>
        <w:t>%</w:t>
      </w:r>
      <w:r w:rsidRPr="006B771F">
        <w:rPr>
          <w:noProof/>
        </w:rPr>
        <w:t xml:space="preserve"> siatek przestępczych działa</w:t>
      </w:r>
      <w:r w:rsidR="00043012" w:rsidRPr="006B771F">
        <w:rPr>
          <w:noProof/>
        </w:rPr>
        <w:t xml:space="preserve"> w</w:t>
      </w:r>
      <w:r w:rsidR="00043012">
        <w:rPr>
          <w:noProof/>
        </w:rPr>
        <w:t> </w:t>
      </w:r>
      <w:r w:rsidR="00043012" w:rsidRPr="006B771F">
        <w:rPr>
          <w:noProof/>
        </w:rPr>
        <w:t>wię</w:t>
      </w:r>
      <w:r w:rsidRPr="006B771F">
        <w:rPr>
          <w:noProof/>
        </w:rPr>
        <w:t>cej niż trzech państwach członkowskich</w:t>
      </w:r>
      <w:r w:rsidR="00043012" w:rsidRPr="006B771F">
        <w:rPr>
          <w:noProof/>
        </w:rPr>
        <w:t>. W</w:t>
      </w:r>
      <w:r w:rsidR="00043012">
        <w:rPr>
          <w:noProof/>
        </w:rPr>
        <w:t> </w:t>
      </w:r>
      <w:r w:rsidR="00043012" w:rsidRPr="006B771F">
        <w:rPr>
          <w:noProof/>
        </w:rPr>
        <w:t>skł</w:t>
      </w:r>
      <w:r w:rsidRPr="006B771F">
        <w:rPr>
          <w:noProof/>
        </w:rPr>
        <w:t>ad około 6</w:t>
      </w:r>
      <w:r w:rsidRPr="00043012">
        <w:rPr>
          <w:noProof/>
        </w:rPr>
        <w:t>5</w:t>
      </w:r>
      <w:r w:rsidR="00043012" w:rsidRPr="00043012">
        <w:rPr>
          <w:noProof/>
        </w:rPr>
        <w:t> </w:t>
      </w:r>
      <w:r w:rsidRPr="00043012">
        <w:rPr>
          <w:noProof/>
        </w:rPr>
        <w:t>%</w:t>
      </w:r>
      <w:r w:rsidRPr="006B771F">
        <w:rPr>
          <w:noProof/>
        </w:rPr>
        <w:t xml:space="preserve"> siatek przestępczych działających w UE wchodzą członkowie różnych narodowości. Ponad 8</w:t>
      </w:r>
      <w:r w:rsidRPr="00043012">
        <w:rPr>
          <w:noProof/>
        </w:rPr>
        <w:t>0</w:t>
      </w:r>
      <w:r w:rsidR="00043012" w:rsidRPr="00043012">
        <w:rPr>
          <w:noProof/>
        </w:rPr>
        <w:t> </w:t>
      </w:r>
      <w:r w:rsidRPr="00043012">
        <w:rPr>
          <w:noProof/>
        </w:rPr>
        <w:t>%</w:t>
      </w:r>
      <w:r w:rsidRPr="006B771F">
        <w:rPr>
          <w:noProof/>
        </w:rPr>
        <w:t xml:space="preserve"> zgłoszonych siatek przestępczych zaangażowanych jest</w:t>
      </w:r>
      <w:r w:rsidR="00043012" w:rsidRPr="006B771F">
        <w:rPr>
          <w:noProof/>
        </w:rPr>
        <w:t xml:space="preserve"> w</w:t>
      </w:r>
      <w:r w:rsidR="00043012">
        <w:rPr>
          <w:noProof/>
        </w:rPr>
        <w:t> </w:t>
      </w:r>
      <w:r w:rsidR="00043012" w:rsidRPr="006B771F">
        <w:rPr>
          <w:noProof/>
        </w:rPr>
        <w:t>głó</w:t>
      </w:r>
      <w:r w:rsidRPr="006B771F">
        <w:rPr>
          <w:noProof/>
        </w:rPr>
        <w:t>wne rodzaje przestępstw transgranicznych obejmujących handel narkotykami, przestępczość przeciwko mieniu, handel ludźmi</w:t>
      </w:r>
      <w:r w:rsidR="00043012" w:rsidRPr="006B771F">
        <w:rPr>
          <w:noProof/>
        </w:rPr>
        <w:t xml:space="preserve"> i</w:t>
      </w:r>
      <w:r w:rsidR="00043012">
        <w:rPr>
          <w:noProof/>
        </w:rPr>
        <w:t> </w:t>
      </w:r>
      <w:r w:rsidR="00043012" w:rsidRPr="006B771F">
        <w:rPr>
          <w:noProof/>
        </w:rPr>
        <w:t>prz</w:t>
      </w:r>
      <w:r w:rsidRPr="006B771F">
        <w:rPr>
          <w:noProof/>
        </w:rPr>
        <w:t>emyt migrantów</w:t>
      </w:r>
      <w:r w:rsidRPr="006B771F">
        <w:rPr>
          <w:rStyle w:val="FootnoteReference0"/>
          <w:noProof/>
        </w:rPr>
        <w:footnoteReference w:id="6"/>
      </w:r>
      <w:r w:rsidRPr="006B771F">
        <w:rPr>
          <w:noProof/>
        </w:rPr>
        <w:t>. W EU SOCTA</w:t>
      </w:r>
      <w:r w:rsidR="00043012" w:rsidRPr="006B771F">
        <w:rPr>
          <w:noProof/>
        </w:rPr>
        <w:t xml:space="preserve"> z</w:t>
      </w:r>
      <w:r w:rsidR="00043012">
        <w:rPr>
          <w:noProof/>
        </w:rPr>
        <w:t> </w:t>
      </w:r>
      <w:r w:rsidR="00043012" w:rsidRPr="006B771F">
        <w:rPr>
          <w:noProof/>
        </w:rPr>
        <w:t>2</w:t>
      </w:r>
      <w:r w:rsidRPr="006B771F">
        <w:rPr>
          <w:noProof/>
        </w:rPr>
        <w:t>0</w:t>
      </w:r>
      <w:r w:rsidRPr="00043012">
        <w:rPr>
          <w:noProof/>
        </w:rPr>
        <w:t>21</w:t>
      </w:r>
      <w:r w:rsidR="00043012" w:rsidRPr="00043012">
        <w:rPr>
          <w:noProof/>
        </w:rPr>
        <w:t> </w:t>
      </w:r>
      <w:r w:rsidRPr="00043012">
        <w:rPr>
          <w:noProof/>
        </w:rPr>
        <w:t>r.</w:t>
      </w:r>
      <w:r w:rsidR="00043012" w:rsidRPr="006B771F">
        <w:rPr>
          <w:noProof/>
        </w:rPr>
        <w:t xml:space="preserve"> i</w:t>
      </w:r>
      <w:r w:rsidR="00043012">
        <w:rPr>
          <w:noProof/>
        </w:rPr>
        <w:t> </w:t>
      </w:r>
      <w:r w:rsidR="00043012" w:rsidRPr="006B771F">
        <w:rPr>
          <w:noProof/>
        </w:rPr>
        <w:t>w</w:t>
      </w:r>
      <w:r w:rsidR="00043012">
        <w:rPr>
          <w:noProof/>
        </w:rPr>
        <w:t> </w:t>
      </w:r>
      <w:r w:rsidR="00043012" w:rsidRPr="006B771F">
        <w:rPr>
          <w:noProof/>
        </w:rPr>
        <w:t>Eur</w:t>
      </w:r>
      <w:r w:rsidRPr="006B771F">
        <w:rPr>
          <w:noProof/>
        </w:rPr>
        <w:t>opejskim raporcie narkotykowym EMCDDA</w:t>
      </w:r>
      <w:r w:rsidRPr="006B771F">
        <w:rPr>
          <w:rStyle w:val="FootnoteReference0"/>
          <w:noProof/>
        </w:rPr>
        <w:footnoteReference w:id="7"/>
      </w:r>
      <w:r w:rsidRPr="006B771F">
        <w:rPr>
          <w:noProof/>
        </w:rPr>
        <w:t xml:space="preserve"> wskazano obszary, na których poważna</w:t>
      </w:r>
      <w:r w:rsidR="00043012" w:rsidRPr="006B771F">
        <w:rPr>
          <w:noProof/>
        </w:rPr>
        <w:t xml:space="preserve"> i</w:t>
      </w:r>
      <w:r w:rsidR="00043012">
        <w:rPr>
          <w:noProof/>
        </w:rPr>
        <w:t> </w:t>
      </w:r>
      <w:r w:rsidR="00043012" w:rsidRPr="006B771F">
        <w:rPr>
          <w:noProof/>
        </w:rPr>
        <w:t>zor</w:t>
      </w:r>
      <w:r w:rsidRPr="006B771F">
        <w:rPr>
          <w:noProof/>
        </w:rPr>
        <w:t>ganizowana przestępczość wykazuje tendencję wzrostową. Kluczowe lokalizacje, takie jak regiony przygraniczne, porty lotnicze, autostrady czy połączenia promowe w UE, przyciągają przestępców, m.in. ze względu na ich położenie geograficzne</w:t>
      </w:r>
      <w:r w:rsidR="00043012" w:rsidRPr="006B771F">
        <w:rPr>
          <w:noProof/>
        </w:rPr>
        <w:t>. W</w:t>
      </w:r>
      <w:r w:rsidR="00043012">
        <w:rPr>
          <w:noProof/>
        </w:rPr>
        <w:t> </w:t>
      </w:r>
      <w:r w:rsidR="00043012" w:rsidRPr="006B771F">
        <w:rPr>
          <w:noProof/>
        </w:rPr>
        <w:t>reg</w:t>
      </w:r>
      <w:r w:rsidRPr="006B771F">
        <w:rPr>
          <w:noProof/>
        </w:rPr>
        <w:t>ionach przygranicznych przestępcy wykorzystują naturalne granice poszczególnych jurysdykcji organów ścigania, stwarzające możliwości uniknięcia egzekwowania prawa</w:t>
      </w:r>
      <w:r w:rsidR="00043012" w:rsidRPr="006B771F">
        <w:rPr>
          <w:noProof/>
        </w:rPr>
        <w:t xml:space="preserve"> i</w:t>
      </w:r>
      <w:r w:rsidR="00043012">
        <w:rPr>
          <w:noProof/>
        </w:rPr>
        <w:t> </w:t>
      </w:r>
      <w:r w:rsidR="00043012" w:rsidRPr="006B771F">
        <w:rPr>
          <w:noProof/>
        </w:rPr>
        <w:t>zap</w:t>
      </w:r>
      <w:r w:rsidRPr="006B771F">
        <w:rPr>
          <w:noProof/>
        </w:rPr>
        <w:t>ewniające bliskość wielu rynków</w:t>
      </w:r>
      <w:r w:rsidRPr="006B771F">
        <w:rPr>
          <w:rStyle w:val="FootnoteReference0"/>
          <w:noProof/>
        </w:rPr>
        <w:footnoteReference w:id="8"/>
      </w:r>
      <w:r w:rsidRPr="006B771F">
        <w:rPr>
          <w:noProof/>
        </w:rPr>
        <w:t>. Mobilność przestępców na terytorium UE jest przyczyną trudności</w:t>
      </w:r>
      <w:r w:rsidR="00043012" w:rsidRPr="006B771F">
        <w:rPr>
          <w:noProof/>
        </w:rPr>
        <w:t xml:space="preserve"> w</w:t>
      </w:r>
      <w:r w:rsidR="00043012">
        <w:rPr>
          <w:noProof/>
        </w:rPr>
        <w:t> </w:t>
      </w:r>
      <w:r w:rsidR="00043012" w:rsidRPr="006B771F">
        <w:rPr>
          <w:noProof/>
        </w:rPr>
        <w:t>zak</w:t>
      </w:r>
      <w:r w:rsidRPr="006B771F">
        <w:rPr>
          <w:noProof/>
        </w:rPr>
        <w:t>resie zapobiegania</w:t>
      </w:r>
      <w:r w:rsidR="00043012" w:rsidRPr="006B771F">
        <w:rPr>
          <w:noProof/>
        </w:rPr>
        <w:t xml:space="preserve"> i</w:t>
      </w:r>
      <w:r w:rsidR="00043012">
        <w:rPr>
          <w:noProof/>
        </w:rPr>
        <w:t> </w:t>
      </w:r>
      <w:r w:rsidR="00043012" w:rsidRPr="006B771F">
        <w:rPr>
          <w:noProof/>
        </w:rPr>
        <w:t>zwa</w:t>
      </w:r>
      <w:r w:rsidRPr="006B771F">
        <w:rPr>
          <w:noProof/>
        </w:rPr>
        <w:t>lczania zagrożeń związanych</w:t>
      </w:r>
      <w:r w:rsidR="00043012" w:rsidRPr="006B771F">
        <w:rPr>
          <w:noProof/>
        </w:rPr>
        <w:t xml:space="preserve"> z</w:t>
      </w:r>
      <w:r w:rsidR="00043012">
        <w:rPr>
          <w:noProof/>
        </w:rPr>
        <w:t> </w:t>
      </w:r>
      <w:r w:rsidR="00043012" w:rsidRPr="006B771F">
        <w:rPr>
          <w:noProof/>
        </w:rPr>
        <w:t>prz</w:t>
      </w:r>
      <w:r w:rsidRPr="006B771F">
        <w:rPr>
          <w:noProof/>
        </w:rPr>
        <w:t>estępczością</w:t>
      </w:r>
      <w:r w:rsidRPr="006B771F">
        <w:rPr>
          <w:rStyle w:val="FootnoteReference0"/>
          <w:noProof/>
        </w:rPr>
        <w:footnoteReference w:id="9"/>
      </w:r>
      <w:r w:rsidRPr="006B771F">
        <w:rPr>
          <w:noProof/>
        </w:rPr>
        <w:t xml:space="preserve"> oraz zapewniania bezpieczeństwa publicznego. </w:t>
      </w:r>
    </w:p>
    <w:p w14:paraId="514E11BE" w14:textId="70134B59" w:rsidR="00AD2D37" w:rsidRPr="006B771F" w:rsidRDefault="00AD2D37" w:rsidP="00AD2D37">
      <w:pPr>
        <w:spacing w:before="0"/>
        <w:rPr>
          <w:noProof/>
        </w:rPr>
      </w:pPr>
      <w:r w:rsidRPr="006B771F">
        <w:rPr>
          <w:noProof/>
        </w:rPr>
        <w:t>Jednocześnie, jak wskazano</w:t>
      </w:r>
      <w:r w:rsidR="00043012" w:rsidRPr="006B771F">
        <w:rPr>
          <w:noProof/>
        </w:rPr>
        <w:t xml:space="preserve"> w</w:t>
      </w:r>
      <w:r w:rsidR="00043012">
        <w:rPr>
          <w:noProof/>
        </w:rPr>
        <w:t> </w:t>
      </w:r>
      <w:r w:rsidR="00043012" w:rsidRPr="006B771F">
        <w:rPr>
          <w:noProof/>
        </w:rPr>
        <w:t>pla</w:t>
      </w:r>
      <w:r w:rsidRPr="006B771F">
        <w:rPr>
          <w:noProof/>
        </w:rPr>
        <w:t>nie</w:t>
      </w:r>
      <w:r w:rsidR="00043012" w:rsidRPr="006B771F">
        <w:rPr>
          <w:noProof/>
        </w:rPr>
        <w:t xml:space="preserve"> w</w:t>
      </w:r>
      <w:r w:rsidR="00043012">
        <w:rPr>
          <w:noProof/>
        </w:rPr>
        <w:t> </w:t>
      </w:r>
      <w:r w:rsidR="00043012" w:rsidRPr="006B771F">
        <w:rPr>
          <w:noProof/>
        </w:rPr>
        <w:t>dzi</w:t>
      </w:r>
      <w:r w:rsidRPr="006B771F">
        <w:rPr>
          <w:noProof/>
        </w:rPr>
        <w:t>edzinie zwalczania terroryzmu</w:t>
      </w:r>
      <w:r w:rsidR="00043012" w:rsidRPr="006B771F">
        <w:rPr>
          <w:noProof/>
        </w:rPr>
        <w:t xml:space="preserve"> z</w:t>
      </w:r>
      <w:r w:rsidR="00043012">
        <w:rPr>
          <w:noProof/>
        </w:rPr>
        <w:t> </w:t>
      </w:r>
      <w:r w:rsidR="00043012" w:rsidRPr="006B771F">
        <w:rPr>
          <w:noProof/>
        </w:rPr>
        <w:t>gru</w:t>
      </w:r>
      <w:r w:rsidRPr="006B771F">
        <w:rPr>
          <w:noProof/>
        </w:rPr>
        <w:t>dnia 20</w:t>
      </w:r>
      <w:r w:rsidRPr="00043012">
        <w:rPr>
          <w:noProof/>
        </w:rPr>
        <w:t>20</w:t>
      </w:r>
      <w:r w:rsidR="00043012" w:rsidRPr="00043012">
        <w:rPr>
          <w:noProof/>
        </w:rPr>
        <w:t> </w:t>
      </w:r>
      <w:r w:rsidRPr="00043012">
        <w:rPr>
          <w:noProof/>
        </w:rPr>
        <w:t>r.</w:t>
      </w:r>
      <w:r w:rsidRPr="006B771F">
        <w:rPr>
          <w:rStyle w:val="FootnoteReference0"/>
          <w:noProof/>
        </w:rPr>
        <w:footnoteReference w:id="10"/>
      </w:r>
      <w:r w:rsidRPr="006B771F">
        <w:rPr>
          <w:noProof/>
        </w:rPr>
        <w:t>, UE pozostaje</w:t>
      </w:r>
      <w:r w:rsidR="00043012" w:rsidRPr="006B771F">
        <w:rPr>
          <w:noProof/>
        </w:rPr>
        <w:t xml:space="preserve"> w</w:t>
      </w:r>
      <w:r w:rsidR="00043012">
        <w:rPr>
          <w:noProof/>
        </w:rPr>
        <w:t> </w:t>
      </w:r>
      <w:r w:rsidR="00043012" w:rsidRPr="006B771F">
        <w:rPr>
          <w:noProof/>
        </w:rPr>
        <w:t>sta</w:t>
      </w:r>
      <w:r w:rsidRPr="006B771F">
        <w:rPr>
          <w:noProof/>
        </w:rPr>
        <w:t>nie wysokiej gotowości na wypadek ataków terrorystycznych. Przestępcy</w:t>
      </w:r>
      <w:r w:rsidR="00043012" w:rsidRPr="006B771F">
        <w:rPr>
          <w:noProof/>
        </w:rPr>
        <w:t xml:space="preserve"> i</w:t>
      </w:r>
      <w:r w:rsidR="00043012">
        <w:rPr>
          <w:noProof/>
        </w:rPr>
        <w:t> </w:t>
      </w:r>
      <w:r w:rsidR="00043012" w:rsidRPr="006B771F">
        <w:rPr>
          <w:noProof/>
        </w:rPr>
        <w:t>ter</w:t>
      </w:r>
      <w:r w:rsidRPr="006B771F">
        <w:rPr>
          <w:noProof/>
        </w:rPr>
        <w:t>roryści wykorzystują technologie informacyjno-komunikacyjne do celów komunikowania się ze sobą oraz przygotowywania</w:t>
      </w:r>
      <w:r w:rsidR="00043012" w:rsidRPr="006B771F">
        <w:rPr>
          <w:noProof/>
        </w:rPr>
        <w:t xml:space="preserve"> i</w:t>
      </w:r>
      <w:r w:rsidR="00043012">
        <w:rPr>
          <w:noProof/>
        </w:rPr>
        <w:t> </w:t>
      </w:r>
      <w:r w:rsidR="00043012" w:rsidRPr="006B771F">
        <w:rPr>
          <w:noProof/>
        </w:rPr>
        <w:t>pro</w:t>
      </w:r>
      <w:r w:rsidRPr="006B771F">
        <w:rPr>
          <w:noProof/>
        </w:rPr>
        <w:t>wadzenia działalności przestępczej</w:t>
      </w:r>
      <w:r w:rsidRPr="006B771F">
        <w:rPr>
          <w:rStyle w:val="FootnoteReference0"/>
          <w:noProof/>
        </w:rPr>
        <w:footnoteReference w:id="11"/>
      </w:r>
      <w:r w:rsidRPr="006B771F">
        <w:rPr>
          <w:noProof/>
        </w:rPr>
        <w:t>.</w:t>
      </w:r>
    </w:p>
    <w:p w14:paraId="3B0B9691" w14:textId="4352E5B0" w:rsidR="00AD2D37" w:rsidRPr="006B771F" w:rsidRDefault="00AD2D37" w:rsidP="00AD2D37">
      <w:pPr>
        <w:spacing w:before="0"/>
        <w:rPr>
          <w:noProof/>
        </w:rPr>
      </w:pPr>
      <w:r w:rsidRPr="006B771F">
        <w:rPr>
          <w:noProof/>
        </w:rPr>
        <w:t>Obszar bez kontroli na granicach wewnętrznych („strefa Schengen”</w:t>
      </w:r>
      <w:r w:rsidRPr="006B771F">
        <w:rPr>
          <w:rStyle w:val="FootnoteReference0"/>
          <w:noProof/>
        </w:rPr>
        <w:footnoteReference w:id="12"/>
      </w:r>
      <w:r w:rsidRPr="006B771F">
        <w:rPr>
          <w:noProof/>
        </w:rPr>
        <w:t>) jest największym na świecie obszarem swobodnego podróżowania. Umożliwia on swobodne przemieszczanie się ponad 420 mln osób oraz niezakłócony przepływ towarów</w:t>
      </w:r>
      <w:r w:rsidR="00043012" w:rsidRPr="006B771F">
        <w:rPr>
          <w:noProof/>
        </w:rPr>
        <w:t xml:space="preserve"> i</w:t>
      </w:r>
      <w:r w:rsidR="00043012">
        <w:rPr>
          <w:noProof/>
        </w:rPr>
        <w:t> </w:t>
      </w:r>
      <w:r w:rsidR="00043012" w:rsidRPr="006B771F">
        <w:rPr>
          <w:noProof/>
        </w:rPr>
        <w:t>usł</w:t>
      </w:r>
      <w:r w:rsidRPr="006B771F">
        <w:rPr>
          <w:noProof/>
        </w:rPr>
        <w:t>ug. Wewnętrzne regiony przygraniczne w UE zajmują około 4</w:t>
      </w:r>
      <w:r w:rsidRPr="00043012">
        <w:rPr>
          <w:noProof/>
        </w:rPr>
        <w:t>0</w:t>
      </w:r>
      <w:r w:rsidR="00043012" w:rsidRPr="00043012">
        <w:rPr>
          <w:noProof/>
        </w:rPr>
        <w:t> </w:t>
      </w:r>
      <w:r w:rsidRPr="00043012">
        <w:rPr>
          <w:noProof/>
        </w:rPr>
        <w:t>%</w:t>
      </w:r>
      <w:r w:rsidRPr="006B771F">
        <w:rPr>
          <w:noProof/>
        </w:rPr>
        <w:t xml:space="preserve"> terytorium Unii, a</w:t>
      </w:r>
      <w:r w:rsidR="00043012" w:rsidRPr="006B771F">
        <w:rPr>
          <w:noProof/>
        </w:rPr>
        <w:t xml:space="preserve"> w</w:t>
      </w:r>
      <w:r w:rsidR="00043012">
        <w:rPr>
          <w:noProof/>
        </w:rPr>
        <w:t> </w:t>
      </w:r>
      <w:r w:rsidR="00043012" w:rsidRPr="006B771F">
        <w:rPr>
          <w:noProof/>
        </w:rPr>
        <w:t>2</w:t>
      </w:r>
      <w:r w:rsidRPr="006B771F">
        <w:rPr>
          <w:noProof/>
        </w:rPr>
        <w:t>0</w:t>
      </w:r>
      <w:r w:rsidRPr="00043012">
        <w:rPr>
          <w:noProof/>
        </w:rPr>
        <w:t>17</w:t>
      </w:r>
      <w:r w:rsidR="00043012" w:rsidRPr="00043012">
        <w:rPr>
          <w:noProof/>
        </w:rPr>
        <w:t> </w:t>
      </w:r>
      <w:r w:rsidRPr="00043012">
        <w:rPr>
          <w:noProof/>
        </w:rPr>
        <w:t>r.</w:t>
      </w:r>
      <w:r w:rsidRPr="006B771F">
        <w:rPr>
          <w:noProof/>
        </w:rPr>
        <w:t xml:space="preserve"> były miejscem zamieszkania 3</w:t>
      </w:r>
      <w:r w:rsidRPr="00043012">
        <w:rPr>
          <w:noProof/>
        </w:rPr>
        <w:t>0</w:t>
      </w:r>
      <w:r w:rsidR="00043012" w:rsidRPr="00043012">
        <w:rPr>
          <w:noProof/>
        </w:rPr>
        <w:t> </w:t>
      </w:r>
      <w:r w:rsidRPr="00043012">
        <w:rPr>
          <w:noProof/>
        </w:rPr>
        <w:t>%</w:t>
      </w:r>
      <w:r w:rsidRPr="006B771F">
        <w:rPr>
          <w:noProof/>
        </w:rPr>
        <w:t xml:space="preserve"> ludności, czyli około 150 mln osób. W 20</w:t>
      </w:r>
      <w:r w:rsidRPr="00043012">
        <w:rPr>
          <w:noProof/>
        </w:rPr>
        <w:t>17</w:t>
      </w:r>
      <w:r w:rsidR="00043012" w:rsidRPr="00043012">
        <w:rPr>
          <w:noProof/>
        </w:rPr>
        <w:t> </w:t>
      </w:r>
      <w:r w:rsidRPr="00043012">
        <w:rPr>
          <w:noProof/>
        </w:rPr>
        <w:t>r.</w:t>
      </w:r>
      <w:r w:rsidRPr="006B771F">
        <w:rPr>
          <w:noProof/>
        </w:rPr>
        <w:t xml:space="preserve"> prawie 2 mln osób dojeżdżało do pracy za granicę,</w:t>
      </w:r>
      <w:r w:rsidR="00043012" w:rsidRPr="006B771F">
        <w:rPr>
          <w:noProof/>
        </w:rPr>
        <w:t xml:space="preserve"> z</w:t>
      </w:r>
      <w:r w:rsidR="00043012">
        <w:rPr>
          <w:noProof/>
        </w:rPr>
        <w:t> </w:t>
      </w:r>
      <w:r w:rsidR="00043012" w:rsidRPr="006B771F">
        <w:rPr>
          <w:noProof/>
        </w:rPr>
        <w:t>cze</w:t>
      </w:r>
      <w:r w:rsidRPr="006B771F">
        <w:rPr>
          <w:noProof/>
        </w:rPr>
        <w:t>go 1,3 mln stanowili pracownicy przygraniczni</w:t>
      </w:r>
      <w:r w:rsidRPr="006B771F">
        <w:rPr>
          <w:rStyle w:val="FootnoteReference0"/>
          <w:noProof/>
        </w:rPr>
        <w:footnoteReference w:id="13"/>
      </w:r>
      <w:r w:rsidRPr="006B771F">
        <w:rPr>
          <w:noProof/>
        </w:rPr>
        <w:t>. W 20</w:t>
      </w:r>
      <w:r w:rsidRPr="00043012">
        <w:rPr>
          <w:noProof/>
        </w:rPr>
        <w:t>18</w:t>
      </w:r>
      <w:r w:rsidR="00043012" w:rsidRPr="00043012">
        <w:rPr>
          <w:noProof/>
        </w:rPr>
        <w:t> </w:t>
      </w:r>
      <w:r w:rsidRPr="00043012">
        <w:rPr>
          <w:noProof/>
        </w:rPr>
        <w:t>r.</w:t>
      </w:r>
      <w:r w:rsidRPr="006B771F">
        <w:rPr>
          <w:noProof/>
        </w:rPr>
        <w:t xml:space="preserve"> mieszkańcy UE odbyli 1,1 mld podróży</w:t>
      </w:r>
      <w:r w:rsidR="00043012" w:rsidRPr="006B771F">
        <w:rPr>
          <w:noProof/>
        </w:rPr>
        <w:t xml:space="preserve"> w</w:t>
      </w:r>
      <w:r w:rsidR="00043012">
        <w:rPr>
          <w:noProof/>
        </w:rPr>
        <w:t> </w:t>
      </w:r>
      <w:r w:rsidR="00043012" w:rsidRPr="006B771F">
        <w:rPr>
          <w:noProof/>
        </w:rPr>
        <w:t>cel</w:t>
      </w:r>
      <w:r w:rsidRPr="006B771F">
        <w:rPr>
          <w:noProof/>
        </w:rPr>
        <w:t>ach służbowych lub prywatnych, co stanowi wzrost</w:t>
      </w:r>
      <w:r w:rsidR="00043012" w:rsidRPr="006B771F">
        <w:rPr>
          <w:noProof/>
        </w:rPr>
        <w:t xml:space="preserve"> o</w:t>
      </w:r>
      <w:r w:rsidR="00043012">
        <w:rPr>
          <w:noProof/>
        </w:rPr>
        <w:t> </w:t>
      </w:r>
      <w:r w:rsidR="00043012" w:rsidRPr="006B771F">
        <w:rPr>
          <w:noProof/>
        </w:rPr>
        <w:t>1</w:t>
      </w:r>
      <w:r w:rsidRPr="00043012">
        <w:rPr>
          <w:noProof/>
        </w:rPr>
        <w:t>1</w:t>
      </w:r>
      <w:r w:rsidR="00043012" w:rsidRPr="00043012">
        <w:rPr>
          <w:noProof/>
        </w:rPr>
        <w:t> </w:t>
      </w:r>
      <w:r w:rsidRPr="00043012">
        <w:rPr>
          <w:noProof/>
        </w:rPr>
        <w:t>%</w:t>
      </w:r>
      <w:r w:rsidRPr="006B771F">
        <w:rPr>
          <w:noProof/>
        </w:rPr>
        <w:t xml:space="preserve"> </w:t>
      </w:r>
      <w:r w:rsidRPr="00043012">
        <w:rPr>
          <w:noProof/>
        </w:rPr>
        <w:t>od</w:t>
      </w:r>
      <w:r w:rsidR="00043012" w:rsidRPr="00043012">
        <w:rPr>
          <w:noProof/>
        </w:rPr>
        <w:t> </w:t>
      </w:r>
      <w:r w:rsidRPr="00043012">
        <w:rPr>
          <w:noProof/>
        </w:rPr>
        <w:t>2</w:t>
      </w:r>
      <w:r w:rsidRPr="006B771F">
        <w:rPr>
          <w:noProof/>
        </w:rPr>
        <w:t>0</w:t>
      </w:r>
      <w:r w:rsidRPr="00043012">
        <w:rPr>
          <w:noProof/>
        </w:rPr>
        <w:t>14</w:t>
      </w:r>
      <w:r w:rsidR="00043012" w:rsidRPr="00043012">
        <w:rPr>
          <w:noProof/>
        </w:rPr>
        <w:t> </w:t>
      </w:r>
      <w:r w:rsidRPr="00043012">
        <w:rPr>
          <w:noProof/>
        </w:rPr>
        <w:t>r.</w:t>
      </w:r>
      <w:r w:rsidRPr="006B771F">
        <w:rPr>
          <w:noProof/>
        </w:rPr>
        <w:t xml:space="preserve"> Pandemia COVID-19 ograniczyła mobilność wewnątrzunijną</w:t>
      </w:r>
      <w:r w:rsidR="00043012" w:rsidRPr="006B771F">
        <w:rPr>
          <w:noProof/>
        </w:rPr>
        <w:t xml:space="preserve"> z</w:t>
      </w:r>
      <w:r w:rsidR="00043012">
        <w:rPr>
          <w:noProof/>
        </w:rPr>
        <w:t> </w:t>
      </w:r>
      <w:r w:rsidR="00043012" w:rsidRPr="006B771F">
        <w:rPr>
          <w:noProof/>
        </w:rPr>
        <w:t>pow</w:t>
      </w:r>
      <w:r w:rsidRPr="006B771F">
        <w:rPr>
          <w:noProof/>
        </w:rPr>
        <w:t>odu środków kwarantanny, ograniczeń związanych</w:t>
      </w:r>
      <w:r w:rsidR="00043012" w:rsidRPr="006B771F">
        <w:rPr>
          <w:noProof/>
        </w:rPr>
        <w:t xml:space="preserve"> z</w:t>
      </w:r>
      <w:r w:rsidR="00043012">
        <w:rPr>
          <w:noProof/>
        </w:rPr>
        <w:t> </w:t>
      </w:r>
      <w:r w:rsidR="00043012" w:rsidRPr="006B771F">
        <w:rPr>
          <w:noProof/>
        </w:rPr>
        <w:t>pod</w:t>
      </w:r>
      <w:r w:rsidRPr="006B771F">
        <w:rPr>
          <w:noProof/>
        </w:rPr>
        <w:t>różą, ograniczeń</w:t>
      </w:r>
      <w:r w:rsidR="00043012" w:rsidRPr="006B771F">
        <w:rPr>
          <w:noProof/>
        </w:rPr>
        <w:t xml:space="preserve"> w</w:t>
      </w:r>
      <w:r w:rsidR="00043012">
        <w:rPr>
          <w:noProof/>
        </w:rPr>
        <w:t> </w:t>
      </w:r>
      <w:r w:rsidR="00043012" w:rsidRPr="006B771F">
        <w:rPr>
          <w:noProof/>
        </w:rPr>
        <w:t>zak</w:t>
      </w:r>
      <w:r w:rsidRPr="006B771F">
        <w:rPr>
          <w:noProof/>
        </w:rPr>
        <w:t>resie życia publicznego</w:t>
      </w:r>
      <w:r w:rsidR="00043012" w:rsidRPr="006B771F">
        <w:rPr>
          <w:noProof/>
        </w:rPr>
        <w:t xml:space="preserve"> i</w:t>
      </w:r>
      <w:r w:rsidR="00043012">
        <w:rPr>
          <w:noProof/>
        </w:rPr>
        <w:t> </w:t>
      </w:r>
      <w:r w:rsidR="00043012" w:rsidRPr="006B771F">
        <w:rPr>
          <w:noProof/>
        </w:rPr>
        <w:t>loc</w:t>
      </w:r>
      <w:r w:rsidRPr="006B771F">
        <w:rPr>
          <w:noProof/>
        </w:rPr>
        <w:t>kdownów</w:t>
      </w:r>
      <w:r w:rsidRPr="006B771F">
        <w:rPr>
          <w:rStyle w:val="FootnoteReference0"/>
          <w:noProof/>
        </w:rPr>
        <w:footnoteReference w:id="14"/>
      </w:r>
      <w:r w:rsidRPr="006B771F">
        <w:rPr>
          <w:noProof/>
        </w:rPr>
        <w:t>. Niemniej jednak przepływy osób</w:t>
      </w:r>
      <w:r w:rsidR="00043012" w:rsidRPr="006B771F">
        <w:rPr>
          <w:noProof/>
        </w:rPr>
        <w:t xml:space="preserve"> w</w:t>
      </w:r>
      <w:r w:rsidR="00043012">
        <w:rPr>
          <w:noProof/>
        </w:rPr>
        <w:t> </w:t>
      </w:r>
      <w:r w:rsidR="00043012" w:rsidRPr="006B771F">
        <w:rPr>
          <w:noProof/>
        </w:rPr>
        <w:t>prz</w:t>
      </w:r>
      <w:r w:rsidRPr="006B771F">
        <w:rPr>
          <w:noProof/>
        </w:rPr>
        <w:t>yszłości będą prawdopodobnie wciąż znaczące, zwłaszcza</w:t>
      </w:r>
      <w:r w:rsidR="00043012" w:rsidRPr="006B771F">
        <w:rPr>
          <w:noProof/>
        </w:rPr>
        <w:t xml:space="preserve"> w</w:t>
      </w:r>
      <w:r w:rsidR="00043012">
        <w:rPr>
          <w:noProof/>
        </w:rPr>
        <w:t> </w:t>
      </w:r>
      <w:r w:rsidR="00043012" w:rsidRPr="006B771F">
        <w:rPr>
          <w:noProof/>
        </w:rPr>
        <w:t>mia</w:t>
      </w:r>
      <w:r w:rsidRPr="006B771F">
        <w:rPr>
          <w:noProof/>
        </w:rPr>
        <w:t>rę powrotu do normalnego życia. Strefa Schengen jest symbolem wzajemnych powiązań istniejących</w:t>
      </w:r>
      <w:r w:rsidR="00043012" w:rsidRPr="006B771F">
        <w:rPr>
          <w:noProof/>
        </w:rPr>
        <w:t xml:space="preserve"> w</w:t>
      </w:r>
      <w:r w:rsidR="00043012">
        <w:rPr>
          <w:noProof/>
        </w:rPr>
        <w:t> </w:t>
      </w:r>
      <w:r w:rsidR="00043012" w:rsidRPr="006B771F">
        <w:rPr>
          <w:noProof/>
        </w:rPr>
        <w:t>Uni</w:t>
      </w:r>
      <w:r w:rsidRPr="006B771F">
        <w:rPr>
          <w:noProof/>
        </w:rPr>
        <w:t>i Europejskiej oraz relacji wiążących Europejczyków</w:t>
      </w:r>
      <w:r w:rsidRPr="006B771F">
        <w:rPr>
          <w:rStyle w:val="FootnoteReference0"/>
          <w:noProof/>
        </w:rPr>
        <w:footnoteReference w:id="15"/>
      </w:r>
      <w:r w:rsidRPr="006B771F">
        <w:rPr>
          <w:noProof/>
        </w:rPr>
        <w:t>. Strefa Schengen przyczynia się również do sprawnego funkcjonowania jednolitego rynku,</w:t>
      </w:r>
      <w:r w:rsidR="00043012" w:rsidRPr="006B771F">
        <w:rPr>
          <w:noProof/>
        </w:rPr>
        <w:t xml:space="preserve"> a</w:t>
      </w:r>
      <w:r w:rsidR="00043012">
        <w:rPr>
          <w:noProof/>
        </w:rPr>
        <w:t> </w:t>
      </w:r>
      <w:r w:rsidR="00043012" w:rsidRPr="006B771F">
        <w:rPr>
          <w:noProof/>
        </w:rPr>
        <w:t>tym</w:t>
      </w:r>
      <w:r w:rsidRPr="006B771F">
        <w:rPr>
          <w:noProof/>
        </w:rPr>
        <w:t xml:space="preserve"> samym do wzrostu gospodarczego UE</w:t>
      </w:r>
      <w:r w:rsidRPr="006B771F">
        <w:rPr>
          <w:rStyle w:val="FootnoteReference0"/>
          <w:noProof/>
        </w:rPr>
        <w:footnoteReference w:id="16"/>
      </w:r>
      <w:r w:rsidRPr="006B771F">
        <w:rPr>
          <w:noProof/>
        </w:rPr>
        <w:t xml:space="preserve">. </w:t>
      </w:r>
    </w:p>
    <w:p w14:paraId="469C0BC5" w14:textId="6760BFD9" w:rsidR="00AD2D37" w:rsidRPr="006B771F" w:rsidRDefault="00AD2D37" w:rsidP="00AD2D37">
      <w:pPr>
        <w:spacing w:before="0"/>
        <w:rPr>
          <w:noProof/>
          <w:szCs w:val="24"/>
        </w:rPr>
      </w:pPr>
      <w:r w:rsidRPr="006B771F">
        <w:rPr>
          <w:noProof/>
        </w:rPr>
        <w:t>W ostatnich latach strefa Schengen była wielokrotnie wystawiana na próbę przez szereg kryzysów</w:t>
      </w:r>
      <w:r w:rsidR="00043012" w:rsidRPr="006B771F">
        <w:rPr>
          <w:noProof/>
        </w:rPr>
        <w:t xml:space="preserve"> i</w:t>
      </w:r>
      <w:r w:rsidR="00043012">
        <w:rPr>
          <w:noProof/>
        </w:rPr>
        <w:t> </w:t>
      </w:r>
      <w:r w:rsidR="00043012" w:rsidRPr="006B771F">
        <w:rPr>
          <w:noProof/>
        </w:rPr>
        <w:t>wyz</w:t>
      </w:r>
      <w:r w:rsidRPr="006B771F">
        <w:rPr>
          <w:noProof/>
        </w:rPr>
        <w:t>wań. Kilka państw członkowskich ponownie wprowadziło kontrole na granicach wewnętrznych,</w:t>
      </w:r>
      <w:r w:rsidR="00043012" w:rsidRPr="006B771F">
        <w:rPr>
          <w:noProof/>
        </w:rPr>
        <w:t xml:space="preserve"> w</w:t>
      </w:r>
      <w:r w:rsidR="00043012">
        <w:rPr>
          <w:noProof/>
        </w:rPr>
        <w:t> </w:t>
      </w:r>
      <w:r w:rsidR="00043012" w:rsidRPr="006B771F">
        <w:rPr>
          <w:noProof/>
        </w:rPr>
        <w:t>szc</w:t>
      </w:r>
      <w:r w:rsidRPr="006B771F">
        <w:rPr>
          <w:noProof/>
        </w:rPr>
        <w:t>zególności</w:t>
      </w:r>
      <w:r w:rsidR="00043012" w:rsidRPr="006B771F">
        <w:rPr>
          <w:noProof/>
        </w:rPr>
        <w:t xml:space="preserve"> z</w:t>
      </w:r>
      <w:r w:rsidR="00043012">
        <w:rPr>
          <w:noProof/>
        </w:rPr>
        <w:t> </w:t>
      </w:r>
      <w:r w:rsidR="00043012" w:rsidRPr="006B771F">
        <w:rPr>
          <w:noProof/>
        </w:rPr>
        <w:t>pow</w:t>
      </w:r>
      <w:r w:rsidRPr="006B771F">
        <w:rPr>
          <w:noProof/>
        </w:rPr>
        <w:t>odu niedozwolonego przemieszczania się</w:t>
      </w:r>
      <w:r w:rsidRPr="006B771F">
        <w:rPr>
          <w:rStyle w:val="FootnoteReference0"/>
          <w:noProof/>
          <w:szCs w:val="24"/>
        </w:rPr>
        <w:footnoteReference w:id="17"/>
      </w:r>
      <w:r w:rsidRPr="006B771F">
        <w:rPr>
          <w:noProof/>
        </w:rPr>
        <w:t xml:space="preserve"> migrantów</w:t>
      </w:r>
      <w:r w:rsidR="00043012" w:rsidRPr="006B771F">
        <w:rPr>
          <w:noProof/>
        </w:rPr>
        <w:t xml:space="preserve"> o</w:t>
      </w:r>
      <w:r w:rsidR="00043012">
        <w:rPr>
          <w:noProof/>
        </w:rPr>
        <w:t> </w:t>
      </w:r>
      <w:r w:rsidR="00043012" w:rsidRPr="006B771F">
        <w:rPr>
          <w:noProof/>
        </w:rPr>
        <w:t>nie</w:t>
      </w:r>
      <w:r w:rsidRPr="006B771F">
        <w:rPr>
          <w:noProof/>
        </w:rPr>
        <w:t>uregulowanym statusie, które państwa te uznają za poważne zagrożenie dla porządku publicznego lub bezpieczeństwa wewnętrznego. Problemy niedozwolonego przemieszczania się</w:t>
      </w:r>
      <w:r w:rsidR="00043012" w:rsidRPr="006B771F">
        <w:rPr>
          <w:noProof/>
        </w:rPr>
        <w:t xml:space="preserve"> w</w:t>
      </w:r>
      <w:r w:rsidR="00043012">
        <w:rPr>
          <w:noProof/>
        </w:rPr>
        <w:t> </w:t>
      </w:r>
      <w:r w:rsidR="00043012" w:rsidRPr="006B771F">
        <w:rPr>
          <w:noProof/>
        </w:rPr>
        <w:t>obr</w:t>
      </w:r>
      <w:r w:rsidRPr="006B771F">
        <w:rPr>
          <w:noProof/>
        </w:rPr>
        <w:t>ębie strefy Schengen, które nie jest związane</w:t>
      </w:r>
      <w:r w:rsidR="00043012" w:rsidRPr="006B771F">
        <w:rPr>
          <w:noProof/>
        </w:rPr>
        <w:t xml:space="preserve"> z</w:t>
      </w:r>
      <w:r w:rsidR="00043012">
        <w:rPr>
          <w:noProof/>
        </w:rPr>
        <w:t> </w:t>
      </w:r>
      <w:r w:rsidR="00043012" w:rsidRPr="006B771F">
        <w:rPr>
          <w:noProof/>
        </w:rPr>
        <w:t>pow</w:t>
      </w:r>
      <w:r w:rsidRPr="006B771F">
        <w:rPr>
          <w:noProof/>
        </w:rPr>
        <w:t>ażnym kryzysem migracyjnym bądź brakami strukturalnymi</w:t>
      </w:r>
      <w:r w:rsidR="00043012" w:rsidRPr="006B771F">
        <w:rPr>
          <w:noProof/>
        </w:rPr>
        <w:t xml:space="preserve"> w</w:t>
      </w:r>
      <w:r w:rsidR="00043012">
        <w:rPr>
          <w:noProof/>
        </w:rPr>
        <w:t> </w:t>
      </w:r>
      <w:r w:rsidR="00043012" w:rsidRPr="006B771F">
        <w:rPr>
          <w:noProof/>
        </w:rPr>
        <w:t>zak</w:t>
      </w:r>
      <w:r w:rsidRPr="006B771F">
        <w:rPr>
          <w:noProof/>
        </w:rPr>
        <w:t>resie zarządzania granicami zewnętrznymi</w:t>
      </w:r>
      <w:r w:rsidRPr="006B771F">
        <w:rPr>
          <w:rStyle w:val="FootnoteReference0"/>
          <w:noProof/>
          <w:szCs w:val="24"/>
        </w:rPr>
        <w:footnoteReference w:id="18"/>
      </w:r>
      <w:r w:rsidRPr="006B771F">
        <w:rPr>
          <w:noProof/>
        </w:rPr>
        <w:t>, należy rozwiązywać za pomocą innych środków niż kontrole na granicach wewnętrznych, które można wykorzystywać jedynie jako środek ostateczny</w:t>
      </w:r>
      <w:r w:rsidR="00043012" w:rsidRPr="006B771F">
        <w:rPr>
          <w:noProof/>
        </w:rPr>
        <w:t xml:space="preserve"> w</w:t>
      </w:r>
      <w:r w:rsidR="00043012">
        <w:rPr>
          <w:noProof/>
        </w:rPr>
        <w:t> </w:t>
      </w:r>
      <w:r w:rsidR="00043012" w:rsidRPr="006B771F">
        <w:rPr>
          <w:noProof/>
        </w:rPr>
        <w:t>cel</w:t>
      </w:r>
      <w:r w:rsidRPr="006B771F">
        <w:rPr>
          <w:noProof/>
        </w:rPr>
        <w:t>u wyeliminowania konkretnych zagrożeń dla bezpieczeństwa wewnętrznego lub porządku publicznego. Te utrzymujące się kontrole na granicach wewnętrznych ujawniły, że można wprowadzić istotne usprawnienia</w:t>
      </w:r>
      <w:r w:rsidR="00043012" w:rsidRPr="006B771F">
        <w:rPr>
          <w:noProof/>
        </w:rPr>
        <w:t xml:space="preserve"> w</w:t>
      </w:r>
      <w:r w:rsidR="00043012">
        <w:rPr>
          <w:noProof/>
        </w:rPr>
        <w:t> </w:t>
      </w:r>
      <w:r w:rsidR="00043012" w:rsidRPr="006B771F">
        <w:rPr>
          <w:noProof/>
        </w:rPr>
        <w:t>odn</w:t>
      </w:r>
      <w:r w:rsidRPr="006B771F">
        <w:rPr>
          <w:noProof/>
        </w:rPr>
        <w:t>iesieniu do stosowania kontroli policyjnych</w:t>
      </w:r>
      <w:r w:rsidR="00043012" w:rsidRPr="006B771F">
        <w:rPr>
          <w:noProof/>
        </w:rPr>
        <w:t xml:space="preserve"> i</w:t>
      </w:r>
      <w:r w:rsidR="00043012">
        <w:rPr>
          <w:noProof/>
        </w:rPr>
        <w:t> </w:t>
      </w:r>
      <w:r w:rsidR="00043012" w:rsidRPr="006B771F">
        <w:rPr>
          <w:noProof/>
        </w:rPr>
        <w:t>wsp</w:t>
      </w:r>
      <w:r w:rsidRPr="006B771F">
        <w:rPr>
          <w:noProof/>
        </w:rPr>
        <w:t>ółpracy, procedur umożliwiających uproszczoną readmisję między państwami członkowskimi oraz dwustronnych umów lub porozumień</w:t>
      </w:r>
      <w:r w:rsidR="00043012" w:rsidRPr="006B771F">
        <w:rPr>
          <w:noProof/>
        </w:rPr>
        <w:t xml:space="preserve"> w</w:t>
      </w:r>
      <w:r w:rsidR="00043012">
        <w:rPr>
          <w:noProof/>
        </w:rPr>
        <w:t> </w:t>
      </w:r>
      <w:r w:rsidR="00043012" w:rsidRPr="006B771F">
        <w:rPr>
          <w:noProof/>
        </w:rPr>
        <w:t>tym</w:t>
      </w:r>
      <w:r w:rsidRPr="006B771F">
        <w:rPr>
          <w:noProof/>
        </w:rPr>
        <w:t xml:space="preserve"> kontekście zgodnie</w:t>
      </w:r>
      <w:r w:rsidR="00043012" w:rsidRPr="006B771F">
        <w:rPr>
          <w:noProof/>
        </w:rPr>
        <w:t xml:space="preserve"> z</w:t>
      </w:r>
      <w:r w:rsidR="00043012">
        <w:rPr>
          <w:noProof/>
        </w:rPr>
        <w:t> </w:t>
      </w:r>
      <w:r w:rsidR="00043012" w:rsidRPr="00043012">
        <w:rPr>
          <w:noProof/>
        </w:rPr>
        <w:t>art</w:t>
      </w:r>
      <w:r w:rsidRPr="00043012">
        <w:rPr>
          <w:noProof/>
        </w:rPr>
        <w:t>.</w:t>
      </w:r>
      <w:r w:rsidR="00043012" w:rsidRPr="00043012">
        <w:rPr>
          <w:noProof/>
        </w:rPr>
        <w:t> </w:t>
      </w:r>
      <w:r w:rsidRPr="00043012">
        <w:rPr>
          <w:noProof/>
        </w:rPr>
        <w:t>6</w:t>
      </w:r>
      <w:r w:rsidRPr="006B771F">
        <w:rPr>
          <w:noProof/>
        </w:rPr>
        <w:t xml:space="preserve"> </w:t>
      </w:r>
      <w:r w:rsidRPr="00043012">
        <w:rPr>
          <w:noProof/>
        </w:rPr>
        <w:t>ust.</w:t>
      </w:r>
      <w:r w:rsidR="00043012" w:rsidRPr="00043012">
        <w:rPr>
          <w:noProof/>
        </w:rPr>
        <w:t> </w:t>
      </w:r>
      <w:r w:rsidRPr="00043012">
        <w:rPr>
          <w:noProof/>
        </w:rPr>
        <w:t>3</w:t>
      </w:r>
      <w:r w:rsidRPr="006B771F">
        <w:rPr>
          <w:noProof/>
        </w:rPr>
        <w:t xml:space="preserve"> dyrektywy 2008/115/WE</w:t>
      </w:r>
      <w:r w:rsidRPr="006B771F">
        <w:rPr>
          <w:rStyle w:val="FootnoteReference0"/>
          <w:noProof/>
        </w:rPr>
        <w:footnoteReference w:id="19"/>
      </w:r>
      <w:r w:rsidRPr="006B771F">
        <w:rPr>
          <w:noProof/>
        </w:rPr>
        <w:t>. Stwierdzono, że zgodnie</w:t>
      </w:r>
      <w:r w:rsidR="00043012" w:rsidRPr="006B771F">
        <w:rPr>
          <w:noProof/>
        </w:rPr>
        <w:t xml:space="preserve"> z</w:t>
      </w:r>
      <w:r w:rsidR="00043012">
        <w:rPr>
          <w:noProof/>
        </w:rPr>
        <w:t> </w:t>
      </w:r>
      <w:r w:rsidR="00043012" w:rsidRPr="006B771F">
        <w:rPr>
          <w:noProof/>
        </w:rPr>
        <w:t>mot</w:t>
      </w:r>
      <w:r w:rsidRPr="006B771F">
        <w:rPr>
          <w:noProof/>
        </w:rPr>
        <w:t>ywem 8 zalecenia Komisji (UE) 2017/432</w:t>
      </w:r>
      <w:r w:rsidRPr="006B771F">
        <w:rPr>
          <w:rStyle w:val="FootnoteReference0"/>
          <w:noProof/>
        </w:rPr>
        <w:footnoteReference w:id="20"/>
      </w:r>
      <w:r w:rsidRPr="006B771F">
        <w:rPr>
          <w:noProof/>
        </w:rPr>
        <w:t xml:space="preserve"> skuteczna unijna polityka powrotowa wymaga efektywnych</w:t>
      </w:r>
      <w:r w:rsidR="00043012" w:rsidRPr="006B771F">
        <w:rPr>
          <w:noProof/>
        </w:rPr>
        <w:t xml:space="preserve"> i</w:t>
      </w:r>
      <w:r w:rsidR="00043012">
        <w:rPr>
          <w:noProof/>
        </w:rPr>
        <w:t> </w:t>
      </w:r>
      <w:r w:rsidR="00043012" w:rsidRPr="006B771F">
        <w:rPr>
          <w:noProof/>
        </w:rPr>
        <w:t>pro</w:t>
      </w:r>
      <w:r w:rsidRPr="006B771F">
        <w:rPr>
          <w:noProof/>
        </w:rPr>
        <w:t>porcjonalnych środków służących zatrzymywaniu</w:t>
      </w:r>
      <w:r w:rsidR="00043012" w:rsidRPr="006B771F">
        <w:rPr>
          <w:noProof/>
        </w:rPr>
        <w:t xml:space="preserve"> i</w:t>
      </w:r>
      <w:r w:rsidR="00043012">
        <w:rPr>
          <w:noProof/>
        </w:rPr>
        <w:t> </w:t>
      </w:r>
      <w:r w:rsidR="00043012" w:rsidRPr="006B771F">
        <w:rPr>
          <w:noProof/>
        </w:rPr>
        <w:t>ide</w:t>
      </w:r>
      <w:r w:rsidRPr="006B771F">
        <w:rPr>
          <w:noProof/>
        </w:rPr>
        <w:t>ntyfikacji migrantów</w:t>
      </w:r>
      <w:r w:rsidR="00043012" w:rsidRPr="006B771F">
        <w:rPr>
          <w:noProof/>
        </w:rPr>
        <w:t xml:space="preserve"> o</w:t>
      </w:r>
      <w:r w:rsidR="00043012">
        <w:rPr>
          <w:noProof/>
        </w:rPr>
        <w:t> </w:t>
      </w:r>
      <w:r w:rsidR="00043012" w:rsidRPr="006B771F">
        <w:rPr>
          <w:noProof/>
        </w:rPr>
        <w:t>nie</w:t>
      </w:r>
      <w:r w:rsidRPr="006B771F">
        <w:rPr>
          <w:noProof/>
        </w:rPr>
        <w:t>uregulowanym statusie. Środki te,</w:t>
      </w:r>
      <w:r w:rsidR="00043012" w:rsidRPr="006B771F">
        <w:rPr>
          <w:noProof/>
        </w:rPr>
        <w:t xml:space="preserve"> w</w:t>
      </w:r>
      <w:r w:rsidR="00043012">
        <w:rPr>
          <w:noProof/>
        </w:rPr>
        <w:t> </w:t>
      </w:r>
      <w:r w:rsidR="00043012" w:rsidRPr="006B771F">
        <w:rPr>
          <w:noProof/>
        </w:rPr>
        <w:t>poł</w:t>
      </w:r>
      <w:r w:rsidRPr="006B771F">
        <w:rPr>
          <w:noProof/>
        </w:rPr>
        <w:t>ączeniu, mogą zapewnić uzyskanie takich samych rezultatów</w:t>
      </w:r>
      <w:r w:rsidR="00043012" w:rsidRPr="006B771F">
        <w:rPr>
          <w:noProof/>
        </w:rPr>
        <w:t xml:space="preserve"> w</w:t>
      </w:r>
      <w:r w:rsidR="00043012">
        <w:rPr>
          <w:noProof/>
        </w:rPr>
        <w:t> </w:t>
      </w:r>
      <w:r w:rsidR="00043012" w:rsidRPr="006B771F">
        <w:rPr>
          <w:noProof/>
        </w:rPr>
        <w:t>zak</w:t>
      </w:r>
      <w:r w:rsidRPr="006B771F">
        <w:rPr>
          <w:noProof/>
        </w:rPr>
        <w:t>resie kontrolowania niedozwolonego przemieszczania się co tymczasowe kontrole na granicach wewnętrznych, a są mniej inwazyjne</w:t>
      </w:r>
      <w:r w:rsidR="00043012" w:rsidRPr="006B771F">
        <w:rPr>
          <w:noProof/>
        </w:rPr>
        <w:t xml:space="preserve"> w</w:t>
      </w:r>
      <w:r w:rsidR="00043012">
        <w:rPr>
          <w:noProof/>
        </w:rPr>
        <w:t> </w:t>
      </w:r>
      <w:r w:rsidR="00043012" w:rsidRPr="006B771F">
        <w:rPr>
          <w:noProof/>
        </w:rPr>
        <w:t>odn</w:t>
      </w:r>
      <w:r w:rsidRPr="006B771F">
        <w:rPr>
          <w:noProof/>
        </w:rPr>
        <w:t>iesieniu do swobodnego przepływu osób, towarów</w:t>
      </w:r>
      <w:r w:rsidR="00043012" w:rsidRPr="006B771F">
        <w:rPr>
          <w:noProof/>
        </w:rPr>
        <w:t xml:space="preserve"> i</w:t>
      </w:r>
      <w:r w:rsidR="00043012">
        <w:rPr>
          <w:noProof/>
        </w:rPr>
        <w:t> </w:t>
      </w:r>
      <w:r w:rsidR="00043012" w:rsidRPr="006B771F">
        <w:rPr>
          <w:noProof/>
        </w:rPr>
        <w:t>usł</w:t>
      </w:r>
      <w:r w:rsidRPr="006B771F">
        <w:rPr>
          <w:noProof/>
        </w:rPr>
        <w:t>ug.</w:t>
      </w:r>
    </w:p>
    <w:p w14:paraId="6B7C6F43" w14:textId="77777777" w:rsidR="00AD2D37" w:rsidRPr="006B771F" w:rsidRDefault="00AD2D37" w:rsidP="00AD2D37">
      <w:pPr>
        <w:spacing w:before="0"/>
        <w:rPr>
          <w:b/>
          <w:i/>
          <w:noProof/>
        </w:rPr>
      </w:pPr>
      <w:r w:rsidRPr="006B771F">
        <w:rPr>
          <w:b/>
          <w:i/>
          <w:noProof/>
        </w:rPr>
        <w:t>Narzędzia współpracy policyjnej jako rozwinięcie dorobku Schengen</w:t>
      </w:r>
    </w:p>
    <w:p w14:paraId="1FC5505B" w14:textId="455404EE" w:rsidR="00AD2D37" w:rsidRPr="006B771F" w:rsidRDefault="00AD2D37" w:rsidP="00AD2D37">
      <w:pPr>
        <w:spacing w:before="0"/>
        <w:rPr>
          <w:noProof/>
        </w:rPr>
      </w:pPr>
      <w:r w:rsidRPr="006B771F">
        <w:rPr>
          <w:noProof/>
        </w:rPr>
        <w:t>Zalecenia dotyczące operacyjnej współpracy policyjnej określone</w:t>
      </w:r>
      <w:r w:rsidR="00043012" w:rsidRPr="006B771F">
        <w:rPr>
          <w:noProof/>
        </w:rPr>
        <w:t xml:space="preserve"> w</w:t>
      </w:r>
      <w:r w:rsidR="00043012">
        <w:rPr>
          <w:noProof/>
        </w:rPr>
        <w:t> </w:t>
      </w:r>
      <w:r w:rsidR="00043012" w:rsidRPr="006B771F">
        <w:rPr>
          <w:noProof/>
        </w:rPr>
        <w:t>nin</w:t>
      </w:r>
      <w:r w:rsidRPr="006B771F">
        <w:rPr>
          <w:noProof/>
        </w:rPr>
        <w:t>iejszym zaleceniu przyczyniają się do rozwinięcia zasad Schengen.</w:t>
      </w:r>
    </w:p>
    <w:p w14:paraId="6FA88600" w14:textId="6869608C" w:rsidR="00AD2D37" w:rsidRPr="006B771F" w:rsidRDefault="00AD2D37" w:rsidP="00AD2D37">
      <w:pPr>
        <w:spacing w:before="0"/>
        <w:rPr>
          <w:noProof/>
        </w:rPr>
      </w:pPr>
      <w:r w:rsidRPr="006B771F">
        <w:rPr>
          <w:noProof/>
        </w:rPr>
        <w:t>Po pierwsze, jeden</w:t>
      </w:r>
      <w:r w:rsidR="00043012" w:rsidRPr="006B771F">
        <w:rPr>
          <w:noProof/>
        </w:rPr>
        <w:t xml:space="preserve"> z</w:t>
      </w:r>
      <w:r w:rsidR="00043012">
        <w:rPr>
          <w:noProof/>
        </w:rPr>
        <w:t> </w:t>
      </w:r>
      <w:r w:rsidR="00043012" w:rsidRPr="006B771F">
        <w:rPr>
          <w:noProof/>
        </w:rPr>
        <w:t>fil</w:t>
      </w:r>
      <w:r w:rsidRPr="006B771F">
        <w:rPr>
          <w:noProof/>
        </w:rPr>
        <w:t>arów ram prawnych UE stanowiących podstawę współpracy policyjnej opracowano 30 lat temu</w:t>
      </w:r>
      <w:r w:rsidR="00043012" w:rsidRPr="006B771F">
        <w:rPr>
          <w:noProof/>
        </w:rPr>
        <w:t xml:space="preserve"> w</w:t>
      </w:r>
      <w:r w:rsidR="00043012">
        <w:rPr>
          <w:noProof/>
        </w:rPr>
        <w:t> </w:t>
      </w:r>
      <w:r w:rsidR="00043012" w:rsidRPr="006B771F">
        <w:rPr>
          <w:noProof/>
        </w:rPr>
        <w:t>ram</w:t>
      </w:r>
      <w:r w:rsidRPr="006B771F">
        <w:rPr>
          <w:noProof/>
        </w:rPr>
        <w:t>ach konwencji wykonawczej do układu</w:t>
      </w:r>
      <w:r w:rsidR="00043012" w:rsidRPr="006B771F">
        <w:rPr>
          <w:noProof/>
        </w:rPr>
        <w:t xml:space="preserve"> z</w:t>
      </w:r>
      <w:r w:rsidR="00043012">
        <w:rPr>
          <w:noProof/>
        </w:rPr>
        <w:t> </w:t>
      </w:r>
      <w:r w:rsidR="00043012" w:rsidRPr="006B771F">
        <w:rPr>
          <w:noProof/>
        </w:rPr>
        <w:t>Sch</w:t>
      </w:r>
      <w:r w:rsidRPr="006B771F">
        <w:rPr>
          <w:noProof/>
        </w:rPr>
        <w:t>engen (konwencji</w:t>
      </w:r>
      <w:r w:rsidR="00043012" w:rsidRPr="006B771F">
        <w:rPr>
          <w:noProof/>
        </w:rPr>
        <w:t xml:space="preserve"> z</w:t>
      </w:r>
      <w:r w:rsidR="00043012">
        <w:rPr>
          <w:noProof/>
        </w:rPr>
        <w:t> </w:t>
      </w:r>
      <w:r w:rsidR="00043012" w:rsidRPr="006B771F">
        <w:rPr>
          <w:noProof/>
        </w:rPr>
        <w:t>Sch</w:t>
      </w:r>
      <w:r w:rsidRPr="006B771F">
        <w:rPr>
          <w:noProof/>
        </w:rPr>
        <w:t>engen)</w:t>
      </w:r>
      <w:r w:rsidRPr="006B771F">
        <w:rPr>
          <w:rStyle w:val="FootnoteReference0"/>
          <w:noProof/>
        </w:rPr>
        <w:footnoteReference w:id="21"/>
      </w:r>
      <w:r w:rsidRPr="006B771F">
        <w:rPr>
          <w:noProof/>
        </w:rPr>
        <w:t>, na długo przed pojawieniem się wyżej wymienionych kryzysów</w:t>
      </w:r>
      <w:r w:rsidR="00043012" w:rsidRPr="006B771F">
        <w:rPr>
          <w:noProof/>
        </w:rPr>
        <w:t xml:space="preserve"> i</w:t>
      </w:r>
      <w:r w:rsidR="00043012">
        <w:rPr>
          <w:noProof/>
        </w:rPr>
        <w:t> </w:t>
      </w:r>
      <w:r w:rsidR="00043012" w:rsidRPr="006B771F">
        <w:rPr>
          <w:noProof/>
        </w:rPr>
        <w:t>wyz</w:t>
      </w:r>
      <w:r w:rsidRPr="006B771F">
        <w:rPr>
          <w:noProof/>
        </w:rPr>
        <w:t>wań, które zmieniły realia strefy Schengen</w:t>
      </w:r>
      <w:r w:rsidR="00043012" w:rsidRPr="006B771F">
        <w:rPr>
          <w:noProof/>
        </w:rPr>
        <w:t>. W</w:t>
      </w:r>
      <w:r w:rsidR="00043012">
        <w:rPr>
          <w:noProof/>
        </w:rPr>
        <w:t> </w:t>
      </w:r>
      <w:r w:rsidR="00043012" w:rsidRPr="006B771F">
        <w:rPr>
          <w:noProof/>
        </w:rPr>
        <w:t>kon</w:t>
      </w:r>
      <w:r w:rsidRPr="006B771F">
        <w:rPr>
          <w:noProof/>
        </w:rPr>
        <w:t>wencji</w:t>
      </w:r>
      <w:r w:rsidR="00043012" w:rsidRPr="006B771F">
        <w:rPr>
          <w:noProof/>
        </w:rPr>
        <w:t xml:space="preserve"> z</w:t>
      </w:r>
      <w:r w:rsidR="00043012">
        <w:rPr>
          <w:noProof/>
        </w:rPr>
        <w:t> </w:t>
      </w:r>
      <w:r w:rsidR="00043012" w:rsidRPr="006B771F">
        <w:rPr>
          <w:noProof/>
        </w:rPr>
        <w:t>Sch</w:t>
      </w:r>
      <w:r w:rsidRPr="006B771F">
        <w:rPr>
          <w:noProof/>
        </w:rPr>
        <w:t>engen określono szereg zobowiązań umawiających się stron</w:t>
      </w:r>
      <w:r w:rsidR="00043012" w:rsidRPr="006B771F">
        <w:rPr>
          <w:noProof/>
        </w:rPr>
        <w:t xml:space="preserve"> w</w:t>
      </w:r>
      <w:r w:rsidR="00043012">
        <w:rPr>
          <w:noProof/>
        </w:rPr>
        <w:t> </w:t>
      </w:r>
      <w:r w:rsidR="00043012" w:rsidRPr="006B771F">
        <w:rPr>
          <w:noProof/>
        </w:rPr>
        <w:t>zak</w:t>
      </w:r>
      <w:r w:rsidRPr="006B771F">
        <w:rPr>
          <w:noProof/>
        </w:rPr>
        <w:t>resie współpracy policyjnej na potrzeby przeciwdziałania wszelkim lukom</w:t>
      </w:r>
      <w:r w:rsidR="00043012" w:rsidRPr="006B771F">
        <w:rPr>
          <w:noProof/>
        </w:rPr>
        <w:t xml:space="preserve"> w</w:t>
      </w:r>
      <w:r w:rsidR="00043012">
        <w:rPr>
          <w:noProof/>
        </w:rPr>
        <w:t> </w:t>
      </w:r>
      <w:r w:rsidR="00043012" w:rsidRPr="006B771F">
        <w:rPr>
          <w:noProof/>
        </w:rPr>
        <w:t>zak</w:t>
      </w:r>
      <w:r w:rsidRPr="006B771F">
        <w:rPr>
          <w:noProof/>
        </w:rPr>
        <w:t>resie bezpieczeństwa spowodowanym zniesieniem kontroli na granicach wewnętrznych</w:t>
      </w:r>
      <w:r w:rsidR="00043012" w:rsidRPr="006B771F">
        <w:rPr>
          <w:noProof/>
        </w:rPr>
        <w:t>. W</w:t>
      </w:r>
      <w:r w:rsidR="00043012">
        <w:rPr>
          <w:noProof/>
        </w:rPr>
        <w:t> </w:t>
      </w:r>
      <w:r w:rsidR="00043012" w:rsidRPr="006B771F">
        <w:rPr>
          <w:noProof/>
        </w:rPr>
        <w:t>kon</w:t>
      </w:r>
      <w:r w:rsidRPr="006B771F">
        <w:rPr>
          <w:noProof/>
        </w:rPr>
        <w:t>wencji</w:t>
      </w:r>
      <w:r w:rsidR="00043012" w:rsidRPr="006B771F">
        <w:rPr>
          <w:noProof/>
        </w:rPr>
        <w:t xml:space="preserve"> z</w:t>
      </w:r>
      <w:r w:rsidR="00043012">
        <w:rPr>
          <w:noProof/>
        </w:rPr>
        <w:t> </w:t>
      </w:r>
      <w:r w:rsidR="00043012" w:rsidRPr="006B771F">
        <w:rPr>
          <w:noProof/>
        </w:rPr>
        <w:t>Sch</w:t>
      </w:r>
      <w:r w:rsidRPr="006B771F">
        <w:rPr>
          <w:noProof/>
        </w:rPr>
        <w:t>engen określono</w:t>
      </w:r>
      <w:r w:rsidR="00043012" w:rsidRPr="006B771F">
        <w:rPr>
          <w:noProof/>
        </w:rPr>
        <w:t xml:space="preserve"> w</w:t>
      </w:r>
      <w:r w:rsidR="00043012">
        <w:rPr>
          <w:noProof/>
        </w:rPr>
        <w:t> </w:t>
      </w:r>
      <w:r w:rsidR="00043012" w:rsidRPr="006B771F">
        <w:rPr>
          <w:noProof/>
        </w:rPr>
        <w:t>szc</w:t>
      </w:r>
      <w:r w:rsidRPr="006B771F">
        <w:rPr>
          <w:noProof/>
        </w:rPr>
        <w:t>zególności szereg podstawowych zasad dotyczących prowadzenia pościgów transgranicznych oraz operacji</w:t>
      </w:r>
      <w:r w:rsidR="00043012" w:rsidRPr="006B771F">
        <w:rPr>
          <w:noProof/>
        </w:rPr>
        <w:t xml:space="preserve"> w</w:t>
      </w:r>
      <w:r w:rsidR="00043012">
        <w:rPr>
          <w:noProof/>
        </w:rPr>
        <w:t> </w:t>
      </w:r>
      <w:r w:rsidR="00043012" w:rsidRPr="006B771F">
        <w:rPr>
          <w:noProof/>
        </w:rPr>
        <w:t>zak</w:t>
      </w:r>
      <w:r w:rsidRPr="006B771F">
        <w:rPr>
          <w:noProof/>
        </w:rPr>
        <w:t xml:space="preserve">resie obserwacji transgranicznych. </w:t>
      </w:r>
    </w:p>
    <w:p w14:paraId="2F29B120" w14:textId="7234830C" w:rsidR="00AD2D37" w:rsidRPr="006B771F" w:rsidRDefault="00AD2D37" w:rsidP="00AD2D37">
      <w:pPr>
        <w:spacing w:before="0"/>
        <w:rPr>
          <w:noProof/>
        </w:rPr>
      </w:pPr>
      <w:r w:rsidRPr="006B771F">
        <w:rPr>
          <w:noProof/>
        </w:rPr>
        <w:t>Po drugie, wspólne patrole</w:t>
      </w:r>
      <w:r w:rsidR="00043012" w:rsidRPr="006B771F">
        <w:rPr>
          <w:noProof/>
        </w:rPr>
        <w:t xml:space="preserve"> i</w:t>
      </w:r>
      <w:r w:rsidR="00043012">
        <w:rPr>
          <w:noProof/>
        </w:rPr>
        <w:t> </w:t>
      </w:r>
      <w:r w:rsidR="00043012" w:rsidRPr="006B771F">
        <w:rPr>
          <w:noProof/>
        </w:rPr>
        <w:t>inn</w:t>
      </w:r>
      <w:r w:rsidRPr="006B771F">
        <w:rPr>
          <w:noProof/>
        </w:rPr>
        <w:t>e operacje są bezpośrednio związane</w:t>
      </w:r>
      <w:r w:rsidR="00043012" w:rsidRPr="006B771F">
        <w:rPr>
          <w:noProof/>
        </w:rPr>
        <w:t xml:space="preserve"> z</w:t>
      </w:r>
      <w:r w:rsidR="00043012">
        <w:rPr>
          <w:noProof/>
        </w:rPr>
        <w:t> </w:t>
      </w:r>
      <w:r w:rsidR="00043012" w:rsidRPr="006B771F">
        <w:rPr>
          <w:noProof/>
        </w:rPr>
        <w:t>roz</w:t>
      </w:r>
      <w:r w:rsidRPr="006B771F">
        <w:rPr>
          <w:noProof/>
        </w:rPr>
        <w:t>wojem dorobku Schengen,</w:t>
      </w:r>
      <w:r w:rsidR="00043012" w:rsidRPr="006B771F">
        <w:rPr>
          <w:noProof/>
        </w:rPr>
        <w:t xml:space="preserve"> w</w:t>
      </w:r>
      <w:r w:rsidR="00043012">
        <w:rPr>
          <w:noProof/>
        </w:rPr>
        <w:t> </w:t>
      </w:r>
      <w:r w:rsidR="00043012" w:rsidRPr="006B771F">
        <w:rPr>
          <w:noProof/>
        </w:rPr>
        <w:t>tym z</w:t>
      </w:r>
      <w:r w:rsidR="00043012">
        <w:rPr>
          <w:noProof/>
        </w:rPr>
        <w:t> </w:t>
      </w:r>
      <w:r w:rsidR="00043012" w:rsidRPr="00043012">
        <w:rPr>
          <w:noProof/>
        </w:rPr>
        <w:t>art</w:t>
      </w:r>
      <w:r w:rsidRPr="00043012">
        <w:rPr>
          <w:noProof/>
        </w:rPr>
        <w:t>.</w:t>
      </w:r>
      <w:r w:rsidR="00043012" w:rsidRPr="00043012">
        <w:rPr>
          <w:noProof/>
        </w:rPr>
        <w:t> </w:t>
      </w:r>
      <w:r w:rsidRPr="00043012">
        <w:rPr>
          <w:noProof/>
        </w:rPr>
        <w:t>3</w:t>
      </w:r>
      <w:r w:rsidRPr="006B771F">
        <w:rPr>
          <w:noProof/>
        </w:rPr>
        <w:t xml:space="preserve">9 </w:t>
      </w:r>
      <w:r w:rsidRPr="00043012">
        <w:rPr>
          <w:noProof/>
        </w:rPr>
        <w:t>ust.</w:t>
      </w:r>
      <w:r w:rsidR="00043012" w:rsidRPr="00043012">
        <w:rPr>
          <w:noProof/>
        </w:rPr>
        <w:t> </w:t>
      </w:r>
      <w:r w:rsidRPr="00043012">
        <w:rPr>
          <w:noProof/>
        </w:rPr>
        <w:t>1</w:t>
      </w:r>
      <w:r w:rsidRPr="006B771F">
        <w:rPr>
          <w:noProof/>
        </w:rPr>
        <w:t xml:space="preserve"> konwencji</w:t>
      </w:r>
      <w:r w:rsidR="00043012" w:rsidRPr="006B771F">
        <w:rPr>
          <w:noProof/>
        </w:rPr>
        <w:t xml:space="preserve"> z</w:t>
      </w:r>
      <w:r w:rsidR="00043012">
        <w:rPr>
          <w:noProof/>
        </w:rPr>
        <w:t> </w:t>
      </w:r>
      <w:r w:rsidR="00043012" w:rsidRPr="006B771F">
        <w:rPr>
          <w:noProof/>
        </w:rPr>
        <w:t>Sch</w:t>
      </w:r>
      <w:r w:rsidRPr="006B771F">
        <w:rPr>
          <w:noProof/>
        </w:rPr>
        <w:t>engen dotyczącym udzielania sobie pomocy przez właściwe organy</w:t>
      </w:r>
      <w:r w:rsidR="00043012" w:rsidRPr="006B771F">
        <w:rPr>
          <w:noProof/>
        </w:rPr>
        <w:t xml:space="preserve"> i</w:t>
      </w:r>
      <w:r w:rsidR="00043012">
        <w:rPr>
          <w:noProof/>
        </w:rPr>
        <w:t> </w:t>
      </w:r>
      <w:r w:rsidR="00043012" w:rsidRPr="006B771F">
        <w:rPr>
          <w:noProof/>
        </w:rPr>
        <w:t>umo</w:t>
      </w:r>
      <w:r w:rsidRPr="006B771F">
        <w:rPr>
          <w:noProof/>
        </w:rPr>
        <w:t>żliwiającym realizację polityki określonej</w:t>
      </w:r>
      <w:r w:rsidR="00043012" w:rsidRPr="006B771F">
        <w:rPr>
          <w:noProof/>
        </w:rPr>
        <w:t xml:space="preserve"> w</w:t>
      </w:r>
      <w:r w:rsidR="00043012">
        <w:rPr>
          <w:noProof/>
        </w:rPr>
        <w:t> </w:t>
      </w:r>
      <w:r w:rsidR="00043012" w:rsidRPr="006B771F">
        <w:rPr>
          <w:noProof/>
        </w:rPr>
        <w:t>ukł</w:t>
      </w:r>
      <w:r w:rsidRPr="006B771F">
        <w:rPr>
          <w:noProof/>
        </w:rPr>
        <w:t>adzie</w:t>
      </w:r>
      <w:r w:rsidR="00043012" w:rsidRPr="006B771F">
        <w:rPr>
          <w:noProof/>
        </w:rPr>
        <w:t xml:space="preserve"> z</w:t>
      </w:r>
      <w:r w:rsidR="00043012">
        <w:rPr>
          <w:noProof/>
        </w:rPr>
        <w:t> </w:t>
      </w:r>
      <w:r w:rsidR="00043012" w:rsidRPr="006B771F">
        <w:rPr>
          <w:noProof/>
        </w:rPr>
        <w:t>Sch</w:t>
      </w:r>
      <w:r w:rsidRPr="006B771F">
        <w:rPr>
          <w:noProof/>
        </w:rPr>
        <w:t>engen. Wspólne patrole</w:t>
      </w:r>
      <w:r w:rsidR="00043012" w:rsidRPr="006B771F">
        <w:rPr>
          <w:noProof/>
        </w:rPr>
        <w:t xml:space="preserve"> i</w:t>
      </w:r>
      <w:r w:rsidR="00043012">
        <w:rPr>
          <w:noProof/>
        </w:rPr>
        <w:t> </w:t>
      </w:r>
      <w:r w:rsidR="00043012" w:rsidRPr="006B771F">
        <w:rPr>
          <w:noProof/>
        </w:rPr>
        <w:t>wsp</w:t>
      </w:r>
      <w:r w:rsidRPr="006B771F">
        <w:rPr>
          <w:noProof/>
        </w:rPr>
        <w:t>ólne operacje są przedmiotem ustaleń</w:t>
      </w:r>
      <w:r w:rsidR="00043012" w:rsidRPr="006B771F">
        <w:rPr>
          <w:noProof/>
        </w:rPr>
        <w:t xml:space="preserve"> w</w:t>
      </w:r>
      <w:r w:rsidR="00043012">
        <w:rPr>
          <w:noProof/>
        </w:rPr>
        <w:t> </w:t>
      </w:r>
      <w:r w:rsidR="00043012" w:rsidRPr="006B771F">
        <w:rPr>
          <w:noProof/>
        </w:rPr>
        <w:t>umo</w:t>
      </w:r>
      <w:r w:rsidRPr="006B771F">
        <w:rPr>
          <w:noProof/>
        </w:rPr>
        <w:t>wach</w:t>
      </w:r>
      <w:r w:rsidR="00043012" w:rsidRPr="006B771F">
        <w:rPr>
          <w:noProof/>
        </w:rPr>
        <w:t xml:space="preserve"> o</w:t>
      </w:r>
      <w:r w:rsidR="00043012">
        <w:rPr>
          <w:noProof/>
        </w:rPr>
        <w:t> </w:t>
      </w:r>
      <w:r w:rsidR="00043012" w:rsidRPr="006B771F">
        <w:rPr>
          <w:noProof/>
        </w:rPr>
        <w:t>wsp</w:t>
      </w:r>
      <w:r w:rsidRPr="006B771F">
        <w:rPr>
          <w:noProof/>
        </w:rPr>
        <w:t>ółpracy transgranicznej między państwami członkowskimi</w:t>
      </w:r>
      <w:r w:rsidR="00043012" w:rsidRPr="006B771F">
        <w:rPr>
          <w:noProof/>
        </w:rPr>
        <w:t>. W</w:t>
      </w:r>
      <w:r w:rsidR="00043012">
        <w:rPr>
          <w:noProof/>
        </w:rPr>
        <w:t> </w:t>
      </w:r>
      <w:r w:rsidR="00043012" w:rsidRPr="006B771F">
        <w:rPr>
          <w:noProof/>
        </w:rPr>
        <w:t>dec</w:t>
      </w:r>
      <w:r w:rsidRPr="006B771F">
        <w:rPr>
          <w:noProof/>
        </w:rPr>
        <w:t>yzjach</w:t>
      </w:r>
      <w:r w:rsidR="00043012" w:rsidRPr="006B771F">
        <w:rPr>
          <w:noProof/>
        </w:rPr>
        <w:t xml:space="preserve"> w</w:t>
      </w:r>
      <w:r w:rsidR="00043012">
        <w:rPr>
          <w:noProof/>
        </w:rPr>
        <w:t> </w:t>
      </w:r>
      <w:r w:rsidR="00043012" w:rsidRPr="006B771F">
        <w:rPr>
          <w:noProof/>
        </w:rPr>
        <w:t>spr</w:t>
      </w:r>
      <w:r w:rsidRPr="006B771F">
        <w:rPr>
          <w:noProof/>
        </w:rPr>
        <w:t>awie konwencji</w:t>
      </w:r>
      <w:r w:rsidR="00043012" w:rsidRPr="006B771F">
        <w:rPr>
          <w:noProof/>
        </w:rPr>
        <w:t xml:space="preserve"> z</w:t>
      </w:r>
      <w:r w:rsidR="00043012">
        <w:rPr>
          <w:noProof/>
        </w:rPr>
        <w:t> </w:t>
      </w:r>
      <w:r w:rsidR="00043012" w:rsidRPr="006B771F">
        <w:rPr>
          <w:noProof/>
        </w:rPr>
        <w:t>Prü</w:t>
      </w:r>
      <w:r w:rsidRPr="006B771F">
        <w:rPr>
          <w:noProof/>
        </w:rPr>
        <w:t>m</w:t>
      </w:r>
      <w:r w:rsidRPr="006B771F">
        <w:rPr>
          <w:rStyle w:val="FootnoteReference0"/>
          <w:noProof/>
        </w:rPr>
        <w:footnoteReference w:id="22"/>
      </w:r>
      <w:r w:rsidR="00043012" w:rsidRPr="006B771F">
        <w:rPr>
          <w:noProof/>
        </w:rPr>
        <w:t xml:space="preserve"> z</w:t>
      </w:r>
      <w:r w:rsidR="00043012">
        <w:rPr>
          <w:noProof/>
        </w:rPr>
        <w:t> </w:t>
      </w:r>
      <w:r w:rsidR="00043012" w:rsidRPr="006B771F">
        <w:rPr>
          <w:noProof/>
        </w:rPr>
        <w:t>2</w:t>
      </w:r>
      <w:r w:rsidRPr="006B771F">
        <w:rPr>
          <w:noProof/>
        </w:rPr>
        <w:t>0</w:t>
      </w:r>
      <w:r w:rsidRPr="00043012">
        <w:rPr>
          <w:noProof/>
        </w:rPr>
        <w:t>08</w:t>
      </w:r>
      <w:r w:rsidR="00043012" w:rsidRPr="00043012">
        <w:rPr>
          <w:noProof/>
        </w:rPr>
        <w:t> </w:t>
      </w:r>
      <w:r w:rsidRPr="00043012">
        <w:rPr>
          <w:noProof/>
        </w:rPr>
        <w:t>r.</w:t>
      </w:r>
      <w:r w:rsidRPr="006B771F">
        <w:rPr>
          <w:noProof/>
        </w:rPr>
        <w:t xml:space="preserve"> określono szereg podstawowych zasad dotyczących sposobu przeprowadzania wspólnych patroli</w:t>
      </w:r>
      <w:r w:rsidR="00043012" w:rsidRPr="006B771F">
        <w:rPr>
          <w:noProof/>
        </w:rPr>
        <w:t xml:space="preserve"> i</w:t>
      </w:r>
      <w:r w:rsidR="00043012">
        <w:rPr>
          <w:noProof/>
        </w:rPr>
        <w:t> </w:t>
      </w:r>
      <w:r w:rsidR="00043012" w:rsidRPr="006B771F">
        <w:rPr>
          <w:noProof/>
        </w:rPr>
        <w:t>inn</w:t>
      </w:r>
      <w:r w:rsidRPr="006B771F">
        <w:rPr>
          <w:noProof/>
        </w:rPr>
        <w:t>ych wspólnych operacji ponad granicami wewnątrzunijnymi,</w:t>
      </w:r>
      <w:r w:rsidR="00043012" w:rsidRPr="006B771F">
        <w:rPr>
          <w:noProof/>
        </w:rPr>
        <w:t xml:space="preserve"> a</w:t>
      </w:r>
      <w:r w:rsidR="00043012">
        <w:rPr>
          <w:noProof/>
        </w:rPr>
        <w:t> </w:t>
      </w:r>
      <w:r w:rsidR="00043012" w:rsidRPr="006B771F">
        <w:rPr>
          <w:noProof/>
        </w:rPr>
        <w:t>tak</w:t>
      </w:r>
      <w:r w:rsidRPr="006B771F">
        <w:rPr>
          <w:noProof/>
        </w:rPr>
        <w:t>że udzielania wsparcia transgranicznego</w:t>
      </w:r>
      <w:r w:rsidR="00043012" w:rsidRPr="006B771F">
        <w:rPr>
          <w:noProof/>
        </w:rPr>
        <w:t xml:space="preserve"> w</w:t>
      </w:r>
      <w:r w:rsidR="00043012">
        <w:rPr>
          <w:noProof/>
        </w:rPr>
        <w:t> </w:t>
      </w:r>
      <w:r w:rsidR="00043012" w:rsidRPr="006B771F">
        <w:rPr>
          <w:noProof/>
        </w:rPr>
        <w:t>zwi</w:t>
      </w:r>
      <w:r w:rsidRPr="006B771F">
        <w:rPr>
          <w:noProof/>
        </w:rPr>
        <w:t>ązku</w:t>
      </w:r>
      <w:r w:rsidR="00043012" w:rsidRPr="006B771F">
        <w:rPr>
          <w:noProof/>
        </w:rPr>
        <w:t xml:space="preserve"> z</w:t>
      </w:r>
      <w:r w:rsidR="00043012">
        <w:rPr>
          <w:noProof/>
        </w:rPr>
        <w:t> </w:t>
      </w:r>
      <w:r w:rsidR="00043012" w:rsidRPr="006B771F">
        <w:rPr>
          <w:noProof/>
        </w:rPr>
        <w:t>klę</w:t>
      </w:r>
      <w:r w:rsidRPr="006B771F">
        <w:rPr>
          <w:noProof/>
        </w:rPr>
        <w:t>skami żywiołowymi</w:t>
      </w:r>
      <w:r w:rsidR="00043012" w:rsidRPr="006B771F">
        <w:rPr>
          <w:noProof/>
        </w:rPr>
        <w:t xml:space="preserve"> i</w:t>
      </w:r>
      <w:r w:rsidR="00043012">
        <w:rPr>
          <w:noProof/>
        </w:rPr>
        <w:t> </w:t>
      </w:r>
      <w:r w:rsidR="00043012" w:rsidRPr="006B771F">
        <w:rPr>
          <w:noProof/>
        </w:rPr>
        <w:t>pow</w:t>
      </w:r>
      <w:r w:rsidRPr="006B771F">
        <w:rPr>
          <w:noProof/>
        </w:rPr>
        <w:t>ażnymi wypadkami. Chociaż punktem centralnym decyzji</w:t>
      </w:r>
      <w:r w:rsidR="00043012" w:rsidRPr="006B771F">
        <w:rPr>
          <w:noProof/>
        </w:rPr>
        <w:t xml:space="preserve"> w</w:t>
      </w:r>
      <w:r w:rsidR="00043012">
        <w:rPr>
          <w:noProof/>
        </w:rPr>
        <w:t> </w:t>
      </w:r>
      <w:r w:rsidR="00043012" w:rsidRPr="006B771F">
        <w:rPr>
          <w:noProof/>
        </w:rPr>
        <w:t>spr</w:t>
      </w:r>
      <w:r w:rsidRPr="006B771F">
        <w:rPr>
          <w:noProof/>
        </w:rPr>
        <w:t>awie konwencji</w:t>
      </w:r>
      <w:r w:rsidR="00043012" w:rsidRPr="006B771F">
        <w:rPr>
          <w:noProof/>
        </w:rPr>
        <w:t xml:space="preserve"> z</w:t>
      </w:r>
      <w:r w:rsidR="00043012">
        <w:rPr>
          <w:noProof/>
        </w:rPr>
        <w:t> </w:t>
      </w:r>
      <w:r w:rsidR="00043012" w:rsidRPr="006B771F">
        <w:rPr>
          <w:noProof/>
        </w:rPr>
        <w:t>Prü</w:t>
      </w:r>
      <w:r w:rsidRPr="006B771F">
        <w:rPr>
          <w:noProof/>
        </w:rPr>
        <w:t>m była zautomatyzowana wymiana danych DNA, danych daktyloskopijnych oraz danych rejestracyjnych pojazdów</w:t>
      </w:r>
      <w:r w:rsidR="00043012" w:rsidRPr="006B771F">
        <w:rPr>
          <w:noProof/>
        </w:rPr>
        <w:t xml:space="preserve"> i</w:t>
      </w:r>
      <w:r w:rsidR="00043012">
        <w:rPr>
          <w:noProof/>
        </w:rPr>
        <w:t> </w:t>
      </w:r>
      <w:r w:rsidR="00043012" w:rsidRPr="006B771F">
        <w:rPr>
          <w:noProof/>
        </w:rPr>
        <w:t>w</w:t>
      </w:r>
      <w:r w:rsidR="00043012">
        <w:rPr>
          <w:noProof/>
        </w:rPr>
        <w:t> </w:t>
      </w:r>
      <w:r w:rsidR="00043012" w:rsidRPr="006B771F">
        <w:rPr>
          <w:noProof/>
        </w:rPr>
        <w:t>zwi</w:t>
      </w:r>
      <w:r w:rsidRPr="006B771F">
        <w:rPr>
          <w:noProof/>
        </w:rPr>
        <w:t>ązku</w:t>
      </w:r>
      <w:r w:rsidR="00043012" w:rsidRPr="006B771F">
        <w:rPr>
          <w:noProof/>
        </w:rPr>
        <w:t xml:space="preserve"> z</w:t>
      </w:r>
      <w:r w:rsidR="00043012">
        <w:rPr>
          <w:noProof/>
        </w:rPr>
        <w:t> </w:t>
      </w:r>
      <w:r w:rsidR="00043012" w:rsidRPr="006B771F">
        <w:rPr>
          <w:noProof/>
        </w:rPr>
        <w:t>tym</w:t>
      </w:r>
      <w:r w:rsidRPr="006B771F">
        <w:rPr>
          <w:noProof/>
        </w:rPr>
        <w:t xml:space="preserve"> sekcji dotyczących wspólnych patroli</w:t>
      </w:r>
      <w:r w:rsidR="00043012" w:rsidRPr="006B771F">
        <w:rPr>
          <w:noProof/>
        </w:rPr>
        <w:t xml:space="preserve"> i</w:t>
      </w:r>
      <w:r w:rsidR="00043012">
        <w:rPr>
          <w:noProof/>
        </w:rPr>
        <w:t> </w:t>
      </w:r>
      <w:r w:rsidR="00043012" w:rsidRPr="006B771F">
        <w:rPr>
          <w:noProof/>
        </w:rPr>
        <w:t>ope</w:t>
      </w:r>
      <w:r w:rsidRPr="006B771F">
        <w:rPr>
          <w:noProof/>
        </w:rPr>
        <w:t>racji nie określono jako rozwoju dorobku Schengen, jest prawdopodobne, że ze względu na ich transgraniczny charakter stanowiłyby one część tego dorobku, gdyby przyjęto je oddzielnie.</w:t>
      </w:r>
    </w:p>
    <w:p w14:paraId="6D7CEDAB" w14:textId="113D736F" w:rsidR="00AD2D37" w:rsidRPr="006B771F" w:rsidRDefault="00AD2D37" w:rsidP="00AD2D37">
      <w:pPr>
        <w:spacing w:before="0"/>
        <w:rPr>
          <w:noProof/>
        </w:rPr>
      </w:pPr>
      <w:r w:rsidRPr="006B771F">
        <w:rPr>
          <w:noProof/>
        </w:rPr>
        <w:t>Po trzecie, operacyjna współpraca policyjna między państwami członkowskimi jest również prowadzona</w:t>
      </w:r>
      <w:r w:rsidR="00043012" w:rsidRPr="006B771F">
        <w:rPr>
          <w:noProof/>
        </w:rPr>
        <w:t xml:space="preserve"> w</w:t>
      </w:r>
      <w:r w:rsidR="00043012">
        <w:rPr>
          <w:noProof/>
        </w:rPr>
        <w:t> </w:t>
      </w:r>
      <w:r w:rsidR="00043012" w:rsidRPr="006B771F">
        <w:rPr>
          <w:noProof/>
        </w:rPr>
        <w:t>ram</w:t>
      </w:r>
      <w:r w:rsidRPr="006B771F">
        <w:rPr>
          <w:noProof/>
        </w:rPr>
        <w:t>ach prawa krajowego</w:t>
      </w:r>
      <w:r w:rsidR="00043012" w:rsidRPr="006B771F">
        <w:rPr>
          <w:noProof/>
        </w:rPr>
        <w:t xml:space="preserve"> z</w:t>
      </w:r>
      <w:r w:rsidR="00043012">
        <w:rPr>
          <w:noProof/>
        </w:rPr>
        <w:t> </w:t>
      </w:r>
      <w:r w:rsidR="00043012" w:rsidRPr="006B771F">
        <w:rPr>
          <w:noProof/>
        </w:rPr>
        <w:t>uwz</w:t>
      </w:r>
      <w:r w:rsidRPr="006B771F">
        <w:rPr>
          <w:noProof/>
        </w:rPr>
        <w:t>ględnieniem niewiążących dokumentów Rady,</w:t>
      </w:r>
      <w:r w:rsidR="00043012" w:rsidRPr="006B771F">
        <w:rPr>
          <w:noProof/>
        </w:rPr>
        <w:t xml:space="preserve"> w</w:t>
      </w:r>
      <w:r w:rsidR="00043012">
        <w:rPr>
          <w:noProof/>
        </w:rPr>
        <w:t> </w:t>
      </w:r>
      <w:r w:rsidR="00043012" w:rsidRPr="006B771F">
        <w:rPr>
          <w:noProof/>
        </w:rPr>
        <w:t>tym</w:t>
      </w:r>
      <w:r w:rsidRPr="006B771F">
        <w:rPr>
          <w:noProof/>
        </w:rPr>
        <w:t xml:space="preserve"> dobrych praktyk („katalog schengeński”</w:t>
      </w:r>
      <w:r w:rsidRPr="006B771F">
        <w:rPr>
          <w:rStyle w:val="FootnoteReference0"/>
          <w:noProof/>
        </w:rPr>
        <w:footnoteReference w:id="23"/>
      </w:r>
      <w:r w:rsidRPr="006B771F">
        <w:rPr>
          <w:noProof/>
        </w:rPr>
        <w:t>)</w:t>
      </w:r>
      <w:r w:rsidR="00043012" w:rsidRPr="006B771F">
        <w:rPr>
          <w:noProof/>
        </w:rPr>
        <w:t xml:space="preserve"> i</w:t>
      </w:r>
      <w:r w:rsidR="00043012">
        <w:rPr>
          <w:noProof/>
        </w:rPr>
        <w:t> </w:t>
      </w:r>
      <w:r w:rsidR="00043012" w:rsidRPr="006B771F">
        <w:rPr>
          <w:noProof/>
        </w:rPr>
        <w:t>wyt</w:t>
      </w:r>
      <w:r w:rsidRPr="006B771F">
        <w:rPr>
          <w:noProof/>
        </w:rPr>
        <w:t>ycznych (wytyczne dla pojedynczych punktów kontaktowych, wytyczne dla centrów współpracy policyjno-celnej, podręczniki dotyczące międzynarodowej wymiany informacji między organami ścigania</w:t>
      </w:r>
      <w:r w:rsidR="00043012" w:rsidRPr="006B771F">
        <w:rPr>
          <w:noProof/>
        </w:rPr>
        <w:t xml:space="preserve"> i</w:t>
      </w:r>
      <w:r w:rsidR="00043012">
        <w:rPr>
          <w:noProof/>
        </w:rPr>
        <w:t> </w:t>
      </w:r>
      <w:r w:rsidR="00043012" w:rsidRPr="006B771F">
        <w:rPr>
          <w:noProof/>
        </w:rPr>
        <w:t>ope</w:t>
      </w:r>
      <w:r w:rsidRPr="006B771F">
        <w:rPr>
          <w:noProof/>
        </w:rPr>
        <w:t>racji transgranicznych). Pojedyncze punkty kontaktowe</w:t>
      </w:r>
      <w:r w:rsidRPr="006B771F">
        <w:rPr>
          <w:rStyle w:val="FootnoteReference0"/>
          <w:noProof/>
        </w:rPr>
        <w:footnoteReference w:id="24"/>
      </w:r>
      <w:r w:rsidR="00043012" w:rsidRPr="006B771F">
        <w:rPr>
          <w:noProof/>
        </w:rPr>
        <w:t xml:space="preserve"> i</w:t>
      </w:r>
      <w:r w:rsidR="00043012">
        <w:rPr>
          <w:noProof/>
        </w:rPr>
        <w:t> </w:t>
      </w:r>
      <w:r w:rsidR="00043012" w:rsidRPr="006B771F">
        <w:rPr>
          <w:noProof/>
        </w:rPr>
        <w:t>cen</w:t>
      </w:r>
      <w:r w:rsidRPr="006B771F">
        <w:rPr>
          <w:noProof/>
        </w:rPr>
        <w:t>tra współpracy policyjno-celnej</w:t>
      </w:r>
      <w:r w:rsidRPr="006B771F">
        <w:rPr>
          <w:rStyle w:val="FootnoteReference0"/>
          <w:noProof/>
        </w:rPr>
        <w:footnoteReference w:id="25"/>
      </w:r>
      <w:r w:rsidRPr="006B771F">
        <w:rPr>
          <w:noProof/>
        </w:rPr>
        <w:t xml:space="preserve"> utworzono bezpośrednio</w:t>
      </w:r>
      <w:r w:rsidR="00043012" w:rsidRPr="006B771F">
        <w:rPr>
          <w:noProof/>
        </w:rPr>
        <w:t xml:space="preserve"> w</w:t>
      </w:r>
      <w:r w:rsidR="00043012">
        <w:rPr>
          <w:noProof/>
        </w:rPr>
        <w:t> </w:t>
      </w:r>
      <w:r w:rsidR="00043012" w:rsidRPr="006B771F">
        <w:rPr>
          <w:noProof/>
        </w:rPr>
        <w:t>zwi</w:t>
      </w:r>
      <w:r w:rsidRPr="006B771F">
        <w:rPr>
          <w:noProof/>
        </w:rPr>
        <w:t>ązku</w:t>
      </w:r>
      <w:r w:rsidR="00043012" w:rsidRPr="006B771F">
        <w:rPr>
          <w:noProof/>
        </w:rPr>
        <w:t xml:space="preserve"> z</w:t>
      </w:r>
      <w:r w:rsidR="00043012">
        <w:rPr>
          <w:noProof/>
        </w:rPr>
        <w:t> </w:t>
      </w:r>
      <w:r w:rsidR="00043012" w:rsidRPr="006B771F">
        <w:rPr>
          <w:noProof/>
        </w:rPr>
        <w:t>pot</w:t>
      </w:r>
      <w:r w:rsidRPr="006B771F">
        <w:rPr>
          <w:noProof/>
        </w:rPr>
        <w:t>rzebą wymiany istotnych informacji po zniesieniu granic wewnętrznych. Państwa stowarzyszone</w:t>
      </w:r>
      <w:r w:rsidR="00043012" w:rsidRPr="006B771F">
        <w:rPr>
          <w:noProof/>
        </w:rPr>
        <w:t xml:space="preserve"> w</w:t>
      </w:r>
      <w:r w:rsidR="00043012">
        <w:rPr>
          <w:noProof/>
        </w:rPr>
        <w:t> </w:t>
      </w:r>
      <w:r w:rsidR="00043012" w:rsidRPr="006B771F">
        <w:rPr>
          <w:noProof/>
        </w:rPr>
        <w:t>ram</w:t>
      </w:r>
      <w:r w:rsidRPr="006B771F">
        <w:rPr>
          <w:noProof/>
        </w:rPr>
        <w:t>ach Schengen</w:t>
      </w:r>
      <w:r w:rsidRPr="006B771F">
        <w:rPr>
          <w:rStyle w:val="FootnoteReference0"/>
          <w:noProof/>
        </w:rPr>
        <w:footnoteReference w:id="26"/>
      </w:r>
      <w:r w:rsidRPr="006B771F">
        <w:rPr>
          <w:noProof/>
        </w:rPr>
        <w:t xml:space="preserve"> również utworzyły centra współpracy policyjno-celnej</w:t>
      </w:r>
      <w:r w:rsidR="00043012" w:rsidRPr="006B771F">
        <w:rPr>
          <w:noProof/>
        </w:rPr>
        <w:t xml:space="preserve"> i</w:t>
      </w:r>
      <w:r w:rsidR="00043012">
        <w:rPr>
          <w:noProof/>
        </w:rPr>
        <w:t> </w:t>
      </w:r>
      <w:r w:rsidR="00043012" w:rsidRPr="006B771F">
        <w:rPr>
          <w:noProof/>
        </w:rPr>
        <w:t>ust</w:t>
      </w:r>
      <w:r w:rsidRPr="006B771F">
        <w:rPr>
          <w:noProof/>
        </w:rPr>
        <w:t xml:space="preserve">anowiły krajowe pojedyncze punkty kontaktowe. </w:t>
      </w:r>
    </w:p>
    <w:p w14:paraId="6CB6992D" w14:textId="673A5914" w:rsidR="00AD2D37" w:rsidRPr="006B771F" w:rsidRDefault="00AD2D37" w:rsidP="00AD2D37">
      <w:pPr>
        <w:spacing w:before="0"/>
        <w:rPr>
          <w:noProof/>
        </w:rPr>
      </w:pPr>
      <w:r w:rsidRPr="006B771F">
        <w:rPr>
          <w:noProof/>
        </w:rPr>
        <w:t>Po czwarte, państwa członkowskie systematycznie uzupełniały</w:t>
      </w:r>
      <w:r w:rsidR="00043012" w:rsidRPr="006B771F">
        <w:rPr>
          <w:noProof/>
        </w:rPr>
        <w:t xml:space="preserve"> i</w:t>
      </w:r>
      <w:r w:rsidR="00043012">
        <w:rPr>
          <w:noProof/>
        </w:rPr>
        <w:t> </w:t>
      </w:r>
      <w:r w:rsidR="00043012" w:rsidRPr="006B771F">
        <w:rPr>
          <w:noProof/>
        </w:rPr>
        <w:t>roz</w:t>
      </w:r>
      <w:r w:rsidRPr="006B771F">
        <w:rPr>
          <w:noProof/>
        </w:rPr>
        <w:t>szerzały te podstawowe ramy prawne Schengen</w:t>
      </w:r>
      <w:r w:rsidR="00043012" w:rsidRPr="006B771F">
        <w:rPr>
          <w:noProof/>
        </w:rPr>
        <w:t xml:space="preserve"> w</w:t>
      </w:r>
      <w:r w:rsidR="00043012">
        <w:rPr>
          <w:noProof/>
        </w:rPr>
        <w:t> </w:t>
      </w:r>
      <w:r w:rsidR="00043012" w:rsidRPr="006B771F">
        <w:rPr>
          <w:noProof/>
        </w:rPr>
        <w:t>dro</w:t>
      </w:r>
      <w:r w:rsidRPr="006B771F">
        <w:rPr>
          <w:noProof/>
        </w:rPr>
        <w:t>dze dwustronnych</w:t>
      </w:r>
      <w:r w:rsidR="00043012" w:rsidRPr="006B771F">
        <w:rPr>
          <w:noProof/>
        </w:rPr>
        <w:t xml:space="preserve"> i</w:t>
      </w:r>
      <w:r w:rsidR="00043012">
        <w:rPr>
          <w:noProof/>
        </w:rPr>
        <w:t> </w:t>
      </w:r>
      <w:r w:rsidR="00043012" w:rsidRPr="006B771F">
        <w:rPr>
          <w:noProof/>
        </w:rPr>
        <w:t>wie</w:t>
      </w:r>
      <w:r w:rsidRPr="006B771F">
        <w:rPr>
          <w:noProof/>
        </w:rPr>
        <w:t>lostronnych umów</w:t>
      </w:r>
      <w:r w:rsidR="00043012" w:rsidRPr="006B771F">
        <w:rPr>
          <w:noProof/>
        </w:rPr>
        <w:t xml:space="preserve"> o</w:t>
      </w:r>
      <w:r w:rsidR="00043012">
        <w:rPr>
          <w:noProof/>
        </w:rPr>
        <w:t> </w:t>
      </w:r>
      <w:r w:rsidR="00043012" w:rsidRPr="006B771F">
        <w:rPr>
          <w:noProof/>
        </w:rPr>
        <w:t>wsp</w:t>
      </w:r>
      <w:r w:rsidRPr="006B771F">
        <w:rPr>
          <w:noProof/>
        </w:rPr>
        <w:t>ółpracy między poszczególnymi państwami członkowskimi. Komisja zidentyfikowała na obszarze UE co najmniej 60 umów tego rodzaju różniących się między sobą. Państwa stowarzyszone</w:t>
      </w:r>
      <w:r w:rsidR="00043012" w:rsidRPr="006B771F">
        <w:rPr>
          <w:noProof/>
        </w:rPr>
        <w:t xml:space="preserve"> w</w:t>
      </w:r>
      <w:r w:rsidR="00043012">
        <w:rPr>
          <w:noProof/>
        </w:rPr>
        <w:t> </w:t>
      </w:r>
      <w:r w:rsidR="00043012" w:rsidRPr="006B771F">
        <w:rPr>
          <w:noProof/>
        </w:rPr>
        <w:t>ram</w:t>
      </w:r>
      <w:r w:rsidRPr="006B771F">
        <w:rPr>
          <w:noProof/>
        </w:rPr>
        <w:t>ach Schengen również podpisały takie umowy</w:t>
      </w:r>
      <w:r w:rsidR="00043012" w:rsidRPr="006B771F">
        <w:rPr>
          <w:noProof/>
        </w:rPr>
        <w:t xml:space="preserve"> o</w:t>
      </w:r>
      <w:r w:rsidR="00043012">
        <w:rPr>
          <w:noProof/>
        </w:rPr>
        <w:t> </w:t>
      </w:r>
      <w:r w:rsidR="00043012" w:rsidRPr="006B771F">
        <w:rPr>
          <w:noProof/>
        </w:rPr>
        <w:t>wsp</w:t>
      </w:r>
      <w:r w:rsidRPr="006B771F">
        <w:rPr>
          <w:noProof/>
        </w:rPr>
        <w:t>ółpracy operacyjnej</w:t>
      </w:r>
      <w:r w:rsidR="00043012" w:rsidRPr="006B771F">
        <w:rPr>
          <w:noProof/>
        </w:rPr>
        <w:t xml:space="preserve"> z</w:t>
      </w:r>
      <w:r w:rsidR="00043012">
        <w:rPr>
          <w:noProof/>
        </w:rPr>
        <w:t> </w:t>
      </w:r>
      <w:r w:rsidR="00043012" w:rsidRPr="006B771F">
        <w:rPr>
          <w:noProof/>
        </w:rPr>
        <w:t>pań</w:t>
      </w:r>
      <w:r w:rsidRPr="006B771F">
        <w:rPr>
          <w:noProof/>
        </w:rPr>
        <w:t>stwami członkowskimi.</w:t>
      </w:r>
    </w:p>
    <w:p w14:paraId="341F4E75" w14:textId="77777777" w:rsidR="00AD2D37" w:rsidRPr="006B771F" w:rsidRDefault="00AD2D37" w:rsidP="00AD2D37">
      <w:pPr>
        <w:rPr>
          <w:b/>
          <w:i/>
          <w:noProof/>
        </w:rPr>
      </w:pPr>
      <w:r w:rsidRPr="006B771F">
        <w:rPr>
          <w:b/>
          <w:i/>
          <w:noProof/>
        </w:rPr>
        <w:t>Wykryte problemy</w:t>
      </w:r>
    </w:p>
    <w:p w14:paraId="3011A2C4" w14:textId="6DFBF44C" w:rsidR="00AD2D37" w:rsidRPr="006B771F" w:rsidRDefault="00AD2D37" w:rsidP="00AD2D37">
      <w:pPr>
        <w:spacing w:before="0"/>
        <w:rPr>
          <w:noProof/>
        </w:rPr>
      </w:pPr>
      <w:r w:rsidRPr="006B771F">
        <w:rPr>
          <w:noProof/>
        </w:rPr>
        <w:t>Po pierwsze, ramy prawne UE zapewniają państwom członkowskim szereg wariantów do wyboru przy współpracy</w:t>
      </w:r>
      <w:r w:rsidR="00043012" w:rsidRPr="006B771F">
        <w:rPr>
          <w:noProof/>
        </w:rPr>
        <w:t xml:space="preserve"> z</w:t>
      </w:r>
      <w:r w:rsidR="00043012">
        <w:rPr>
          <w:noProof/>
        </w:rPr>
        <w:t> </w:t>
      </w:r>
      <w:r w:rsidR="00043012" w:rsidRPr="006B771F">
        <w:rPr>
          <w:noProof/>
        </w:rPr>
        <w:t>inn</w:t>
      </w:r>
      <w:r w:rsidRPr="006B771F">
        <w:rPr>
          <w:noProof/>
        </w:rPr>
        <w:t>ymi państwami członkowskimi (np. konwencja</w:t>
      </w:r>
      <w:r w:rsidR="00043012" w:rsidRPr="006B771F">
        <w:rPr>
          <w:noProof/>
        </w:rPr>
        <w:t xml:space="preserve"> z</w:t>
      </w:r>
      <w:r w:rsidR="00043012">
        <w:rPr>
          <w:noProof/>
        </w:rPr>
        <w:t> </w:t>
      </w:r>
      <w:r w:rsidR="00043012" w:rsidRPr="006B771F">
        <w:rPr>
          <w:noProof/>
        </w:rPr>
        <w:t>Sch</w:t>
      </w:r>
      <w:r w:rsidRPr="006B771F">
        <w:rPr>
          <w:noProof/>
        </w:rPr>
        <w:t>engen pozwala państwom członkowskim na ustalanie ograniczeń dotyczących odległości</w:t>
      </w:r>
      <w:r w:rsidR="00043012" w:rsidRPr="006B771F">
        <w:rPr>
          <w:noProof/>
        </w:rPr>
        <w:t xml:space="preserve"> w</w:t>
      </w:r>
      <w:r w:rsidR="00043012">
        <w:rPr>
          <w:noProof/>
        </w:rPr>
        <w:t> </w:t>
      </w:r>
      <w:r w:rsidR="00043012" w:rsidRPr="006B771F">
        <w:rPr>
          <w:noProof/>
        </w:rPr>
        <w:t>kil</w:t>
      </w:r>
      <w:r w:rsidRPr="006B771F">
        <w:rPr>
          <w:noProof/>
        </w:rPr>
        <w:t>ometrach, gdy na ich terytorium prowadzone są pościgi, bądź nieustalanie takich ograniczeń</w:t>
      </w:r>
      <w:r w:rsidRPr="006B771F">
        <w:rPr>
          <w:rStyle w:val="FootnoteReference0"/>
          <w:noProof/>
        </w:rPr>
        <w:footnoteReference w:id="27"/>
      </w:r>
      <w:r w:rsidRPr="006B771F">
        <w:rPr>
          <w:noProof/>
        </w:rPr>
        <w:t>)</w:t>
      </w:r>
      <w:r w:rsidRPr="00043012">
        <w:rPr>
          <w:noProof/>
        </w:rPr>
        <w:t>.</w:t>
      </w:r>
      <w:r w:rsidR="00043012" w:rsidRPr="00043012">
        <w:rPr>
          <w:rFonts w:ascii="Cambria" w:hAnsi="Cambria"/>
          <w:noProof/>
        </w:rPr>
        <w:t xml:space="preserve"> </w:t>
      </w:r>
      <w:r w:rsidRPr="00043012">
        <w:rPr>
          <w:noProof/>
        </w:rPr>
        <w:t>S</w:t>
      </w:r>
      <w:r w:rsidRPr="006B771F">
        <w:rPr>
          <w:noProof/>
        </w:rPr>
        <w:t>twarza to niepewność</w:t>
      </w:r>
      <w:r w:rsidR="00043012" w:rsidRPr="006B771F">
        <w:rPr>
          <w:noProof/>
        </w:rPr>
        <w:t xml:space="preserve"> i</w:t>
      </w:r>
      <w:r w:rsidR="00043012">
        <w:rPr>
          <w:noProof/>
        </w:rPr>
        <w:t> </w:t>
      </w:r>
      <w:r w:rsidR="00043012" w:rsidRPr="006B771F">
        <w:rPr>
          <w:noProof/>
        </w:rPr>
        <w:t>bra</w:t>
      </w:r>
      <w:r w:rsidRPr="006B771F">
        <w:rPr>
          <w:noProof/>
        </w:rPr>
        <w:t>k jasności</w:t>
      </w:r>
      <w:r w:rsidR="00043012" w:rsidRPr="006B771F">
        <w:rPr>
          <w:noProof/>
        </w:rPr>
        <w:t xml:space="preserve"> w</w:t>
      </w:r>
      <w:r w:rsidR="00043012">
        <w:rPr>
          <w:noProof/>
        </w:rPr>
        <w:t> </w:t>
      </w:r>
      <w:r w:rsidR="00043012" w:rsidRPr="006B771F">
        <w:rPr>
          <w:noProof/>
        </w:rPr>
        <w:t>kwe</w:t>
      </w:r>
      <w:r w:rsidRPr="006B771F">
        <w:rPr>
          <w:noProof/>
        </w:rPr>
        <w:t>stii zasad, których muszą przestrzegać funkcjonariusze policji podejmujący interwencję</w:t>
      </w:r>
      <w:r w:rsidR="00043012" w:rsidRPr="006B771F">
        <w:rPr>
          <w:noProof/>
        </w:rPr>
        <w:t xml:space="preserve"> w</w:t>
      </w:r>
      <w:r w:rsidR="00043012">
        <w:rPr>
          <w:noProof/>
        </w:rPr>
        <w:t> </w:t>
      </w:r>
      <w:r w:rsidR="00043012" w:rsidRPr="006B771F">
        <w:rPr>
          <w:noProof/>
        </w:rPr>
        <w:t>inn</w:t>
      </w:r>
      <w:r w:rsidRPr="006B771F">
        <w:rPr>
          <w:noProof/>
        </w:rPr>
        <w:t>ym państwie członkowskim. Ponadto niektóre wybory dokonywane</w:t>
      </w:r>
      <w:r w:rsidR="00043012" w:rsidRPr="006B771F">
        <w:rPr>
          <w:noProof/>
        </w:rPr>
        <w:t xml:space="preserve"> w</w:t>
      </w:r>
      <w:r w:rsidR="00043012">
        <w:rPr>
          <w:noProof/>
        </w:rPr>
        <w:t> </w:t>
      </w:r>
      <w:r w:rsidR="00043012" w:rsidRPr="006B771F">
        <w:rPr>
          <w:noProof/>
        </w:rPr>
        <w:t>tej</w:t>
      </w:r>
      <w:r w:rsidRPr="006B771F">
        <w:rPr>
          <w:noProof/>
        </w:rPr>
        <w:t xml:space="preserve"> kwestii powodują wystąpienie przeszkód, które nie istniałyby, gdyby wybrano inne warianty dozwolone na podstawie ram prawnych UE.</w:t>
      </w:r>
    </w:p>
    <w:p w14:paraId="2F9DFEE3" w14:textId="622F901C" w:rsidR="00AD2D37" w:rsidRPr="006B771F" w:rsidRDefault="00AD2D37" w:rsidP="00AD2D37">
      <w:pPr>
        <w:spacing w:before="0"/>
        <w:rPr>
          <w:noProof/>
          <w:color w:val="000000"/>
          <w:sz w:val="27"/>
          <w:szCs w:val="27"/>
        </w:rPr>
      </w:pPr>
      <w:r w:rsidRPr="006B771F">
        <w:rPr>
          <w:noProof/>
        </w:rPr>
        <w:t>Po drugie, chociaż dwustronne</w:t>
      </w:r>
      <w:r w:rsidR="00043012" w:rsidRPr="006B771F">
        <w:rPr>
          <w:noProof/>
        </w:rPr>
        <w:t xml:space="preserve"> i</w:t>
      </w:r>
      <w:r w:rsidR="00043012">
        <w:rPr>
          <w:noProof/>
        </w:rPr>
        <w:t> </w:t>
      </w:r>
      <w:r w:rsidR="00043012" w:rsidRPr="006B771F">
        <w:rPr>
          <w:noProof/>
        </w:rPr>
        <w:t>wie</w:t>
      </w:r>
      <w:r w:rsidRPr="006B771F">
        <w:rPr>
          <w:noProof/>
        </w:rPr>
        <w:t>lostronne umowy</w:t>
      </w:r>
      <w:r w:rsidR="00043012" w:rsidRPr="006B771F">
        <w:rPr>
          <w:noProof/>
        </w:rPr>
        <w:t xml:space="preserve"> o</w:t>
      </w:r>
      <w:r w:rsidR="00043012">
        <w:rPr>
          <w:noProof/>
        </w:rPr>
        <w:t> </w:t>
      </w:r>
      <w:r w:rsidR="00043012" w:rsidRPr="006B771F">
        <w:rPr>
          <w:noProof/>
        </w:rPr>
        <w:t>wsp</w:t>
      </w:r>
      <w:r w:rsidRPr="006B771F">
        <w:rPr>
          <w:noProof/>
        </w:rPr>
        <w:t>ółpracy policyjnej między państwami członkowskimi uwzględniają regionalną specyfikę przy współpracy</w:t>
      </w:r>
      <w:r w:rsidR="00043012" w:rsidRPr="006B771F">
        <w:rPr>
          <w:noProof/>
        </w:rPr>
        <w:t xml:space="preserve"> z</w:t>
      </w:r>
      <w:r w:rsidR="00043012">
        <w:rPr>
          <w:noProof/>
        </w:rPr>
        <w:t> </w:t>
      </w:r>
      <w:r w:rsidR="00043012" w:rsidRPr="006B771F">
        <w:rPr>
          <w:noProof/>
        </w:rPr>
        <w:t>sąs</w:t>
      </w:r>
      <w:r w:rsidRPr="006B771F">
        <w:rPr>
          <w:noProof/>
        </w:rPr>
        <w:t>iadującymi państwami członkowskimi, to ich negocjowanie, podpisywanie</w:t>
      </w:r>
      <w:r w:rsidR="00043012" w:rsidRPr="006B771F">
        <w:rPr>
          <w:noProof/>
        </w:rPr>
        <w:t xml:space="preserve"> i</w:t>
      </w:r>
      <w:r w:rsidR="00043012">
        <w:rPr>
          <w:noProof/>
        </w:rPr>
        <w:t> </w:t>
      </w:r>
      <w:r w:rsidR="00043012" w:rsidRPr="006B771F">
        <w:rPr>
          <w:noProof/>
        </w:rPr>
        <w:t>rat</w:t>
      </w:r>
      <w:r w:rsidRPr="006B771F">
        <w:rPr>
          <w:noProof/>
        </w:rPr>
        <w:t>yfikacja zajmują bardzo dużo czasu państwom członkowskim. Rozpowszechnienie tych umów dwustronnych spowodowało powstanie złożonej sieci różniących się od siebie uzgodnień, zawierających odmienne obowiązujące postanowienia, co doprowadziło do fragmentacji</w:t>
      </w:r>
      <w:r w:rsidR="00043012" w:rsidRPr="006B771F">
        <w:rPr>
          <w:noProof/>
        </w:rPr>
        <w:t xml:space="preserve"> i</w:t>
      </w:r>
      <w:r w:rsidR="00043012">
        <w:rPr>
          <w:noProof/>
        </w:rPr>
        <w:t> </w:t>
      </w:r>
      <w:r w:rsidR="00043012" w:rsidRPr="006B771F">
        <w:rPr>
          <w:noProof/>
        </w:rPr>
        <w:t>utr</w:t>
      </w:r>
      <w:r w:rsidRPr="006B771F">
        <w:rPr>
          <w:noProof/>
        </w:rPr>
        <w:t>udnień we współpracy. Przykładowo</w:t>
      </w:r>
      <w:r w:rsidR="00043012" w:rsidRPr="006B771F">
        <w:rPr>
          <w:noProof/>
        </w:rPr>
        <w:t xml:space="preserve"> w</w:t>
      </w:r>
      <w:r w:rsidR="00043012">
        <w:rPr>
          <w:noProof/>
        </w:rPr>
        <w:t> </w:t>
      </w:r>
      <w:r w:rsidR="00043012" w:rsidRPr="006B771F">
        <w:rPr>
          <w:noProof/>
        </w:rPr>
        <w:t>mni</w:t>
      </w:r>
      <w:r w:rsidRPr="006B771F">
        <w:rPr>
          <w:noProof/>
        </w:rPr>
        <w:t>ejszych lub śródlądowych państwach funkcjonariusze organów ścigania, którzy pracują ponad granicami, muszą prowadzić działania operacyjne na podstawie różnych (w niektórych przypadkach nawet aż siedmiu) zbiorów przepisów</w:t>
      </w:r>
      <w:r w:rsidRPr="006B771F">
        <w:rPr>
          <w:rStyle w:val="FootnoteReference0"/>
          <w:noProof/>
        </w:rPr>
        <w:footnoteReference w:id="28"/>
      </w:r>
      <w:r w:rsidR="00043012" w:rsidRPr="006B771F">
        <w:rPr>
          <w:noProof/>
        </w:rPr>
        <w:t>. W</w:t>
      </w:r>
      <w:r w:rsidR="00043012">
        <w:rPr>
          <w:noProof/>
        </w:rPr>
        <w:t> </w:t>
      </w:r>
      <w:r w:rsidR="00043012" w:rsidRPr="006B771F">
        <w:rPr>
          <w:noProof/>
        </w:rPr>
        <w:t>rez</w:t>
      </w:r>
      <w:r w:rsidRPr="006B771F">
        <w:rPr>
          <w:noProof/>
        </w:rPr>
        <w:t>ultacie niektóre operacje, takie jak pościgi za podejrzanymi wymagające przekroczenia granic wewnętrznych, nie są dozwolone, lub odbywają się</w:t>
      </w:r>
      <w:r w:rsidR="00043012" w:rsidRPr="006B771F">
        <w:rPr>
          <w:noProof/>
        </w:rPr>
        <w:t xml:space="preserve"> w</w:t>
      </w:r>
      <w:r w:rsidR="00043012">
        <w:rPr>
          <w:noProof/>
        </w:rPr>
        <w:t> </w:t>
      </w:r>
      <w:r w:rsidR="00043012" w:rsidRPr="006B771F">
        <w:rPr>
          <w:noProof/>
        </w:rPr>
        <w:t>nie</w:t>
      </w:r>
      <w:r w:rsidRPr="006B771F">
        <w:rPr>
          <w:noProof/>
        </w:rPr>
        <w:t xml:space="preserve">skoordynowany, nieoptymalny sposób, co wykorzystują przestępcy. Współpraca operacyjna wykorzystująca nowe technologie, takie jak bezzałogowe statki powietrzne, jest również niedostatecznie objęta obecnymi przepisami. </w:t>
      </w:r>
    </w:p>
    <w:p w14:paraId="5B482175" w14:textId="77AFBBE2" w:rsidR="00AD2D37" w:rsidRPr="006B771F" w:rsidRDefault="00AD2D37" w:rsidP="00AD2D37">
      <w:pPr>
        <w:spacing w:before="0"/>
        <w:rPr>
          <w:noProof/>
        </w:rPr>
      </w:pPr>
      <w:r w:rsidRPr="006B771F">
        <w:rPr>
          <w:noProof/>
        </w:rPr>
        <w:t>Po trzecie, oceny Schengen</w:t>
      </w:r>
      <w:r w:rsidRPr="006B771F">
        <w:rPr>
          <w:rStyle w:val="FootnoteReference0"/>
          <w:noProof/>
        </w:rPr>
        <w:footnoteReference w:id="29"/>
      </w:r>
      <w:r w:rsidRPr="006B771F">
        <w:rPr>
          <w:noProof/>
        </w:rPr>
        <w:t xml:space="preserve"> dotyczące współpracy policyjnej przeprowadzone</w:t>
      </w:r>
      <w:r w:rsidR="00043012" w:rsidRPr="006B771F">
        <w:rPr>
          <w:noProof/>
        </w:rPr>
        <w:t xml:space="preserve"> w</w:t>
      </w:r>
      <w:r w:rsidR="00043012">
        <w:rPr>
          <w:noProof/>
        </w:rPr>
        <w:t> </w:t>
      </w:r>
      <w:r w:rsidR="00043012" w:rsidRPr="006B771F">
        <w:rPr>
          <w:noProof/>
        </w:rPr>
        <w:t>cią</w:t>
      </w:r>
      <w:r w:rsidRPr="006B771F">
        <w:rPr>
          <w:noProof/>
        </w:rPr>
        <w:t>gu ostatnich sześciu lat potwierdziły, że niektóre umowy dwustronne lub wielostronne między państwami członkowskimi są nieaktualne lub niedostatecznie wykorzystywane. Inne spośród nich znacznie wykraczają poza zasady współpracy transgranicznej, umożliwiając ustanowienie rozwiązań, które można by uznać za dobre praktyki</w:t>
      </w:r>
      <w:r w:rsidR="00043012" w:rsidRPr="006B771F">
        <w:rPr>
          <w:noProof/>
        </w:rPr>
        <w:t xml:space="preserve"> w</w:t>
      </w:r>
      <w:r w:rsidR="00043012">
        <w:rPr>
          <w:noProof/>
        </w:rPr>
        <w:t> </w:t>
      </w:r>
      <w:r w:rsidR="00043012" w:rsidRPr="006B771F">
        <w:rPr>
          <w:noProof/>
        </w:rPr>
        <w:t>cel</w:t>
      </w:r>
      <w:r w:rsidRPr="006B771F">
        <w:rPr>
          <w:noProof/>
        </w:rPr>
        <w:t>u bardziej skutecznego zwalczania przestępstw transgranicznych (np. wspólne posterunki policji</w:t>
      </w:r>
      <w:r w:rsidR="00043012" w:rsidRPr="006B771F">
        <w:rPr>
          <w:noProof/>
        </w:rPr>
        <w:t xml:space="preserve"> z</w:t>
      </w:r>
      <w:r w:rsidR="00043012">
        <w:rPr>
          <w:noProof/>
        </w:rPr>
        <w:t> </w:t>
      </w:r>
      <w:r w:rsidR="00043012" w:rsidRPr="006B771F">
        <w:rPr>
          <w:noProof/>
        </w:rPr>
        <w:t>upr</w:t>
      </w:r>
      <w:r w:rsidRPr="006B771F">
        <w:rPr>
          <w:noProof/>
        </w:rPr>
        <w:t xml:space="preserve">awnieniami do prowadzenia postępowań przygotowawczych lub wspólne szkolenia), lecz praktyki te nie są systematycznie powielane w UE. </w:t>
      </w:r>
    </w:p>
    <w:p w14:paraId="79385AEB" w14:textId="7C4E6514" w:rsidR="00AD2D37" w:rsidRPr="00043012" w:rsidRDefault="00AD2D37" w:rsidP="00AD2D37">
      <w:pPr>
        <w:spacing w:before="0"/>
        <w:rPr>
          <w:noProof/>
        </w:rPr>
      </w:pPr>
      <w:r w:rsidRPr="006B771F">
        <w:rPr>
          <w:noProof/>
        </w:rPr>
        <w:t>Po czwarte, ze względu na niekompatybilność bezpiecznych urządzeń komunikacyjnych używanych</w:t>
      </w:r>
      <w:r w:rsidR="00043012" w:rsidRPr="006B771F">
        <w:rPr>
          <w:noProof/>
        </w:rPr>
        <w:t xml:space="preserve"> w</w:t>
      </w:r>
      <w:r w:rsidR="00043012">
        <w:rPr>
          <w:noProof/>
        </w:rPr>
        <w:t> </w:t>
      </w:r>
      <w:r w:rsidR="00043012" w:rsidRPr="006B771F">
        <w:rPr>
          <w:noProof/>
        </w:rPr>
        <w:t>pos</w:t>
      </w:r>
      <w:r w:rsidRPr="006B771F">
        <w:rPr>
          <w:noProof/>
        </w:rPr>
        <w:t>zczególnych państwach członkowskich, urządzenia komunikacyjne niektórych funkcjonariuszy policji, uczestniczących na przykład</w:t>
      </w:r>
      <w:r w:rsidR="00043012" w:rsidRPr="006B771F">
        <w:rPr>
          <w:noProof/>
        </w:rPr>
        <w:t xml:space="preserve"> w</w:t>
      </w:r>
      <w:r w:rsidR="00043012">
        <w:rPr>
          <w:noProof/>
        </w:rPr>
        <w:t> </w:t>
      </w:r>
      <w:r w:rsidR="00043012" w:rsidRPr="006B771F">
        <w:rPr>
          <w:noProof/>
        </w:rPr>
        <w:t>poś</w:t>
      </w:r>
      <w:r w:rsidRPr="006B771F">
        <w:rPr>
          <w:noProof/>
        </w:rPr>
        <w:t>cigu, przestają działać po przekroczeniu przez nich granicy. Uniemożliwia im to połączenie się</w:t>
      </w:r>
      <w:r w:rsidR="00043012" w:rsidRPr="006B771F">
        <w:rPr>
          <w:noProof/>
        </w:rPr>
        <w:t xml:space="preserve"> z</w:t>
      </w:r>
      <w:r w:rsidR="00043012">
        <w:rPr>
          <w:noProof/>
        </w:rPr>
        <w:t> </w:t>
      </w:r>
      <w:r w:rsidR="00043012" w:rsidRPr="006B771F">
        <w:rPr>
          <w:noProof/>
        </w:rPr>
        <w:t>wła</w:t>
      </w:r>
      <w:r w:rsidRPr="006B771F">
        <w:rPr>
          <w:noProof/>
        </w:rPr>
        <w:t>snymi organami ścigania bądź</w:t>
      </w:r>
      <w:r w:rsidR="00043012" w:rsidRPr="006B771F">
        <w:rPr>
          <w:noProof/>
        </w:rPr>
        <w:t xml:space="preserve"> z</w:t>
      </w:r>
      <w:r w:rsidR="00043012">
        <w:rPr>
          <w:noProof/>
        </w:rPr>
        <w:t> </w:t>
      </w:r>
      <w:r w:rsidR="00043012" w:rsidRPr="006B771F">
        <w:rPr>
          <w:noProof/>
        </w:rPr>
        <w:t>org</w:t>
      </w:r>
      <w:r w:rsidRPr="006B771F">
        <w:rPr>
          <w:noProof/>
        </w:rPr>
        <w:t>anami państwa członkowskiego, do którego wjeżdżają. Ponadto funkcjonariusze oddelegowani do wspólnych patroli lub operacji</w:t>
      </w:r>
      <w:r w:rsidR="00043012" w:rsidRPr="006B771F">
        <w:rPr>
          <w:noProof/>
        </w:rPr>
        <w:t xml:space="preserve"> w</w:t>
      </w:r>
      <w:r w:rsidR="00043012">
        <w:rPr>
          <w:noProof/>
        </w:rPr>
        <w:t> </w:t>
      </w:r>
      <w:r w:rsidR="00043012" w:rsidRPr="006B771F">
        <w:rPr>
          <w:noProof/>
        </w:rPr>
        <w:t>inn</w:t>
      </w:r>
      <w:r w:rsidRPr="006B771F">
        <w:rPr>
          <w:noProof/>
        </w:rPr>
        <w:t>ych państwach członkowskich często nie są wyposażeni</w:t>
      </w:r>
      <w:r w:rsidR="00043012" w:rsidRPr="006B771F">
        <w:rPr>
          <w:noProof/>
        </w:rPr>
        <w:t xml:space="preserve"> w</w:t>
      </w:r>
      <w:r w:rsidR="00043012">
        <w:rPr>
          <w:noProof/>
        </w:rPr>
        <w:t> </w:t>
      </w:r>
      <w:r w:rsidR="00043012" w:rsidRPr="006B771F">
        <w:rPr>
          <w:noProof/>
        </w:rPr>
        <w:t>urz</w:t>
      </w:r>
      <w:r w:rsidRPr="006B771F">
        <w:rPr>
          <w:noProof/>
        </w:rPr>
        <w:t>ądzenia mobilne umożliwiające im uzyskanie zdalnego</w:t>
      </w:r>
      <w:r w:rsidR="00043012" w:rsidRPr="006B771F">
        <w:rPr>
          <w:noProof/>
        </w:rPr>
        <w:t xml:space="preserve"> i</w:t>
      </w:r>
      <w:r w:rsidR="00043012">
        <w:rPr>
          <w:noProof/>
        </w:rPr>
        <w:t> </w:t>
      </w:r>
      <w:r w:rsidR="00043012" w:rsidRPr="006B771F">
        <w:rPr>
          <w:noProof/>
        </w:rPr>
        <w:t>bez</w:t>
      </w:r>
      <w:r w:rsidRPr="006B771F">
        <w:rPr>
          <w:noProof/>
        </w:rPr>
        <w:t>piecznego dostępu do krajowych, unijnych</w:t>
      </w:r>
      <w:r w:rsidR="00043012" w:rsidRPr="006B771F">
        <w:rPr>
          <w:noProof/>
        </w:rPr>
        <w:t xml:space="preserve"> i</w:t>
      </w:r>
      <w:r w:rsidR="00043012">
        <w:rPr>
          <w:noProof/>
        </w:rPr>
        <w:t> </w:t>
      </w:r>
      <w:r w:rsidR="00043012" w:rsidRPr="006B771F">
        <w:rPr>
          <w:noProof/>
        </w:rPr>
        <w:t>mię</w:t>
      </w:r>
      <w:r w:rsidRPr="006B771F">
        <w:rPr>
          <w:noProof/>
        </w:rPr>
        <w:t>dzynarodowych baz danych</w:t>
      </w:r>
      <w:r w:rsidRPr="00043012">
        <w:rPr>
          <w:noProof/>
        </w:rPr>
        <w:t>.</w:t>
      </w:r>
      <w:r w:rsidR="00043012" w:rsidRPr="00043012">
        <w:rPr>
          <w:noProof/>
        </w:rPr>
        <w:t xml:space="preserve"> </w:t>
      </w:r>
    </w:p>
    <w:p w14:paraId="0204EC46" w14:textId="5AFDB15A" w:rsidR="00AD2D37" w:rsidRPr="006B771F" w:rsidRDefault="00AD2D37" w:rsidP="00AD2D37">
      <w:pPr>
        <w:spacing w:before="0" w:after="200"/>
        <w:rPr>
          <w:noProof/>
        </w:rPr>
      </w:pPr>
      <w:r w:rsidRPr="006B771F">
        <w:rPr>
          <w:noProof/>
        </w:rPr>
        <w:t>Po piąte, wspólne patrole</w:t>
      </w:r>
      <w:r w:rsidR="00043012" w:rsidRPr="006B771F">
        <w:rPr>
          <w:noProof/>
        </w:rPr>
        <w:t xml:space="preserve"> i</w:t>
      </w:r>
      <w:r w:rsidR="00043012">
        <w:rPr>
          <w:noProof/>
        </w:rPr>
        <w:t> </w:t>
      </w:r>
      <w:r w:rsidR="00043012" w:rsidRPr="006B771F">
        <w:rPr>
          <w:noProof/>
        </w:rPr>
        <w:t>inn</w:t>
      </w:r>
      <w:r w:rsidRPr="006B771F">
        <w:rPr>
          <w:noProof/>
        </w:rPr>
        <w:t>e wspólne operacje często mają miejsce na wewnątrzunijnych obszarach przygranicznych</w:t>
      </w:r>
      <w:r w:rsidR="00043012" w:rsidRPr="006B771F">
        <w:rPr>
          <w:noProof/>
        </w:rPr>
        <w:t xml:space="preserve"> i</w:t>
      </w:r>
      <w:r w:rsidR="00043012">
        <w:rPr>
          <w:noProof/>
        </w:rPr>
        <w:t> </w:t>
      </w:r>
      <w:r w:rsidR="00043012" w:rsidRPr="006B771F">
        <w:rPr>
          <w:noProof/>
        </w:rPr>
        <w:t>inn</w:t>
      </w:r>
      <w:r w:rsidRPr="006B771F">
        <w:rPr>
          <w:noProof/>
        </w:rPr>
        <w:t xml:space="preserve">ych obszarach na terytorium UE na zasadzie </w:t>
      </w:r>
      <w:r w:rsidRPr="006B771F">
        <w:rPr>
          <w:i/>
          <w:iCs/>
          <w:noProof/>
        </w:rPr>
        <w:t>ad hoc</w:t>
      </w:r>
      <w:r w:rsidRPr="006B771F">
        <w:rPr>
          <w:noProof/>
        </w:rPr>
        <w:t>. Często brakuje</w:t>
      </w:r>
      <w:r w:rsidR="00043012" w:rsidRPr="006B771F">
        <w:rPr>
          <w:noProof/>
        </w:rPr>
        <w:t xml:space="preserve"> w</w:t>
      </w:r>
      <w:r w:rsidR="00043012">
        <w:rPr>
          <w:noProof/>
        </w:rPr>
        <w:t> </w:t>
      </w:r>
      <w:r w:rsidR="00043012" w:rsidRPr="006B771F">
        <w:rPr>
          <w:noProof/>
        </w:rPr>
        <w:t>ich</w:t>
      </w:r>
      <w:r w:rsidRPr="006B771F">
        <w:rPr>
          <w:noProof/>
        </w:rPr>
        <w:t xml:space="preserve"> trakcie koordynacji</w:t>
      </w:r>
      <w:r w:rsidR="00043012" w:rsidRPr="006B771F">
        <w:rPr>
          <w:noProof/>
        </w:rPr>
        <w:t xml:space="preserve"> i</w:t>
      </w:r>
      <w:r w:rsidR="00043012">
        <w:rPr>
          <w:noProof/>
        </w:rPr>
        <w:t> </w:t>
      </w:r>
      <w:r w:rsidR="00043012" w:rsidRPr="006B771F">
        <w:rPr>
          <w:noProof/>
        </w:rPr>
        <w:t>odb</w:t>
      </w:r>
      <w:r w:rsidRPr="006B771F">
        <w:rPr>
          <w:noProof/>
        </w:rPr>
        <w:t>ywają się bez wcześniejszego przeprowadzenia analizy ryzyka, która umożliwiłaby lepsze ukierunkowanie ich wdrożenia. Nie istnieje żadne forum na potrzeby wymiany przez państwa członkowskie tego rodzaju analiz ryzyka czy też informowania innych państw członkowskich</w:t>
      </w:r>
      <w:r w:rsidR="00043012" w:rsidRPr="006B771F">
        <w:rPr>
          <w:noProof/>
        </w:rPr>
        <w:t xml:space="preserve"> o</w:t>
      </w:r>
      <w:r w:rsidR="00043012">
        <w:rPr>
          <w:noProof/>
        </w:rPr>
        <w:t> </w:t>
      </w:r>
      <w:r w:rsidR="00043012" w:rsidRPr="006B771F">
        <w:rPr>
          <w:noProof/>
        </w:rPr>
        <w:t>swo</w:t>
      </w:r>
      <w:r w:rsidRPr="006B771F">
        <w:rPr>
          <w:noProof/>
        </w:rPr>
        <w:t>ich potrzebach</w:t>
      </w:r>
      <w:r w:rsidR="00043012" w:rsidRPr="006B771F">
        <w:rPr>
          <w:noProof/>
        </w:rPr>
        <w:t xml:space="preserve"> i</w:t>
      </w:r>
      <w:r w:rsidR="00043012">
        <w:rPr>
          <w:noProof/>
        </w:rPr>
        <w:t> </w:t>
      </w:r>
      <w:r w:rsidR="00043012" w:rsidRPr="006B771F">
        <w:rPr>
          <w:noProof/>
        </w:rPr>
        <w:t>obs</w:t>
      </w:r>
      <w:r w:rsidRPr="006B771F">
        <w:rPr>
          <w:noProof/>
        </w:rPr>
        <w:t>zarach priorytetowych. Na przykład</w:t>
      </w:r>
      <w:r w:rsidR="00043012" w:rsidRPr="006B771F">
        <w:rPr>
          <w:noProof/>
        </w:rPr>
        <w:t xml:space="preserve"> w</w:t>
      </w:r>
      <w:r w:rsidR="00043012">
        <w:rPr>
          <w:noProof/>
        </w:rPr>
        <w:t> </w:t>
      </w:r>
      <w:r w:rsidR="00043012" w:rsidRPr="006B771F">
        <w:rPr>
          <w:noProof/>
        </w:rPr>
        <w:t>cel</w:t>
      </w:r>
      <w:r w:rsidRPr="006B771F">
        <w:rPr>
          <w:noProof/>
        </w:rPr>
        <w:t>u lepszego ukierunkowania wspólnych patroli lub innych wspólnych operacji odbywających się w UE podczas wydarzeń</w:t>
      </w:r>
      <w:r w:rsidR="00043012" w:rsidRPr="006B771F">
        <w:rPr>
          <w:noProof/>
        </w:rPr>
        <w:t xml:space="preserve"> z</w:t>
      </w:r>
      <w:r w:rsidR="00043012">
        <w:rPr>
          <w:noProof/>
        </w:rPr>
        <w:t> </w:t>
      </w:r>
      <w:r w:rsidR="00043012" w:rsidRPr="006B771F">
        <w:rPr>
          <w:noProof/>
        </w:rPr>
        <w:t>udz</w:t>
      </w:r>
      <w:r w:rsidRPr="006B771F">
        <w:rPr>
          <w:noProof/>
        </w:rPr>
        <w:t>iałem dużej liczby uczestników (np. dużych imprez sportowych, szczytów międzynarodowych),</w:t>
      </w:r>
      <w:r w:rsidR="00043012" w:rsidRPr="006B771F">
        <w:rPr>
          <w:noProof/>
        </w:rPr>
        <w:t xml:space="preserve"> w</w:t>
      </w:r>
      <w:r w:rsidR="00043012">
        <w:rPr>
          <w:noProof/>
        </w:rPr>
        <w:t> </w:t>
      </w:r>
      <w:r w:rsidR="00043012" w:rsidRPr="006B771F">
        <w:rPr>
          <w:noProof/>
        </w:rPr>
        <w:t>okr</w:t>
      </w:r>
      <w:r w:rsidRPr="006B771F">
        <w:rPr>
          <w:noProof/>
        </w:rPr>
        <w:t>eślonym czasie (np.</w:t>
      </w:r>
      <w:r w:rsidR="00043012" w:rsidRPr="006B771F">
        <w:rPr>
          <w:noProof/>
        </w:rPr>
        <w:t xml:space="preserve"> w</w:t>
      </w:r>
      <w:r w:rsidR="00043012">
        <w:rPr>
          <w:noProof/>
        </w:rPr>
        <w:t> </w:t>
      </w:r>
      <w:r w:rsidR="00043012" w:rsidRPr="006B771F">
        <w:rPr>
          <w:noProof/>
        </w:rPr>
        <w:t>sez</w:t>
      </w:r>
      <w:r w:rsidRPr="006B771F">
        <w:rPr>
          <w:noProof/>
        </w:rPr>
        <w:t>onie urlopowym) lub</w:t>
      </w:r>
      <w:r w:rsidR="00043012" w:rsidRPr="006B771F">
        <w:rPr>
          <w:noProof/>
        </w:rPr>
        <w:t xml:space="preserve"> w</w:t>
      </w:r>
      <w:r w:rsidR="00043012">
        <w:rPr>
          <w:noProof/>
        </w:rPr>
        <w:t> </w:t>
      </w:r>
      <w:r w:rsidR="00043012" w:rsidRPr="006B771F">
        <w:rPr>
          <w:noProof/>
        </w:rPr>
        <w:t>obl</w:t>
      </w:r>
      <w:r w:rsidRPr="006B771F">
        <w:rPr>
          <w:noProof/>
        </w:rPr>
        <w:t>iczu określonych fal przestępczości (np. terroryzmu, nielegalnego obrotu środkami odurzającymi, ustawiania wyników zawodów sportowych, nielegalnego obrotu towarami podrobionymi, oszustw związanych</w:t>
      </w:r>
      <w:r w:rsidR="00043012" w:rsidRPr="006B771F">
        <w:rPr>
          <w:noProof/>
        </w:rPr>
        <w:t xml:space="preserve"> z</w:t>
      </w:r>
      <w:r w:rsidR="00043012">
        <w:rPr>
          <w:noProof/>
        </w:rPr>
        <w:t> </w:t>
      </w:r>
      <w:r w:rsidR="00043012" w:rsidRPr="006B771F">
        <w:rPr>
          <w:noProof/>
        </w:rPr>
        <w:t>kar</w:t>
      </w:r>
      <w:r w:rsidRPr="006B771F">
        <w:rPr>
          <w:noProof/>
        </w:rPr>
        <w:t>tami kredytowymi, kradzieży kieszonkowych</w:t>
      </w:r>
      <w:r w:rsidR="00043012" w:rsidRPr="006B771F">
        <w:rPr>
          <w:noProof/>
        </w:rPr>
        <w:t xml:space="preserve"> i</w:t>
      </w:r>
      <w:r w:rsidR="00043012">
        <w:rPr>
          <w:noProof/>
        </w:rPr>
        <w:t> </w:t>
      </w:r>
      <w:r w:rsidR="00043012" w:rsidRPr="006B771F">
        <w:rPr>
          <w:noProof/>
        </w:rPr>
        <w:t>inn</w:t>
      </w:r>
      <w:r w:rsidRPr="006B771F">
        <w:rPr>
          <w:noProof/>
        </w:rPr>
        <w:t xml:space="preserve">ych przestępstw przeciwko mieniu). </w:t>
      </w:r>
    </w:p>
    <w:p w14:paraId="11E8F97F" w14:textId="5E2510E8" w:rsidR="00AD2D37" w:rsidRPr="006B771F" w:rsidRDefault="00AD2D37" w:rsidP="00AD2D37">
      <w:pPr>
        <w:spacing w:before="0"/>
        <w:rPr>
          <w:noProof/>
        </w:rPr>
      </w:pPr>
      <w:r w:rsidRPr="006B771F">
        <w:rPr>
          <w:noProof/>
        </w:rPr>
        <w:t>Po szóste, siatki przestępcze zajmujące się przemytem migrantów</w:t>
      </w:r>
      <w:r w:rsidR="00043012" w:rsidRPr="006B771F">
        <w:rPr>
          <w:noProof/>
        </w:rPr>
        <w:t xml:space="preserve"> i</w:t>
      </w:r>
      <w:r w:rsidR="00043012">
        <w:rPr>
          <w:noProof/>
        </w:rPr>
        <w:t> </w:t>
      </w:r>
      <w:r w:rsidR="00043012" w:rsidRPr="006B771F">
        <w:rPr>
          <w:noProof/>
        </w:rPr>
        <w:t>han</w:t>
      </w:r>
      <w:r w:rsidRPr="006B771F">
        <w:rPr>
          <w:noProof/>
        </w:rPr>
        <w:t>dlem ludźmi ułatwiają niedozwolone przemieszczanie się migrantów</w:t>
      </w:r>
      <w:r w:rsidR="00043012" w:rsidRPr="006B771F">
        <w:rPr>
          <w:noProof/>
        </w:rPr>
        <w:t xml:space="preserve"> o</w:t>
      </w:r>
      <w:r w:rsidR="00043012">
        <w:rPr>
          <w:noProof/>
        </w:rPr>
        <w:t> </w:t>
      </w:r>
      <w:r w:rsidR="00043012" w:rsidRPr="006B771F">
        <w:rPr>
          <w:noProof/>
        </w:rPr>
        <w:t>nie</w:t>
      </w:r>
      <w:r w:rsidRPr="006B771F">
        <w:rPr>
          <w:noProof/>
        </w:rPr>
        <w:t>uregulowanym statusie</w:t>
      </w:r>
      <w:r w:rsidR="00043012" w:rsidRPr="006B771F">
        <w:rPr>
          <w:noProof/>
        </w:rPr>
        <w:t xml:space="preserve"> i</w:t>
      </w:r>
      <w:r w:rsidR="00043012">
        <w:rPr>
          <w:noProof/>
        </w:rPr>
        <w:t> </w:t>
      </w:r>
      <w:r w:rsidR="00043012" w:rsidRPr="006B771F">
        <w:rPr>
          <w:noProof/>
        </w:rPr>
        <w:t>wyk</w:t>
      </w:r>
      <w:r w:rsidRPr="006B771F">
        <w:rPr>
          <w:noProof/>
        </w:rPr>
        <w:t>orzystują trudną sytuację ofiar, traktując ludzi jak towar. Zorganizowany przemyt migrantów stanowi podstawową działalność przestępczą,</w:t>
      </w:r>
      <w:r w:rsidR="00043012" w:rsidRPr="006B771F">
        <w:rPr>
          <w:noProof/>
        </w:rPr>
        <w:t xml:space="preserve"> a</w:t>
      </w:r>
      <w:r w:rsidR="00043012">
        <w:rPr>
          <w:noProof/>
        </w:rPr>
        <w:t> </w:t>
      </w:r>
      <w:r w:rsidR="00043012" w:rsidRPr="006B771F">
        <w:rPr>
          <w:noProof/>
        </w:rPr>
        <w:t>uła</w:t>
      </w:r>
      <w:r w:rsidRPr="006B771F">
        <w:rPr>
          <w:noProof/>
        </w:rPr>
        <w:t>twiane niedozwolone przemieszczanie się jest poważnym zagrożeniem dla bezpieczeństwa UE. Handel ludźmi to inny, kluczowy element poważnej</w:t>
      </w:r>
      <w:r w:rsidR="00043012" w:rsidRPr="006B771F">
        <w:rPr>
          <w:noProof/>
        </w:rPr>
        <w:t xml:space="preserve"> i</w:t>
      </w:r>
      <w:r w:rsidR="00043012">
        <w:rPr>
          <w:noProof/>
        </w:rPr>
        <w:t> </w:t>
      </w:r>
      <w:r w:rsidR="00043012" w:rsidRPr="006B771F">
        <w:rPr>
          <w:noProof/>
        </w:rPr>
        <w:t>zor</w:t>
      </w:r>
      <w:r w:rsidRPr="006B771F">
        <w:rPr>
          <w:noProof/>
        </w:rPr>
        <w:t>ganizowanej przestępczości, co do którego przewiduje się, że pozostanie zagrożeniem</w:t>
      </w:r>
      <w:r w:rsidR="00043012" w:rsidRPr="006B771F">
        <w:rPr>
          <w:noProof/>
        </w:rPr>
        <w:t xml:space="preserve"> w</w:t>
      </w:r>
      <w:r w:rsidR="00043012">
        <w:rPr>
          <w:noProof/>
        </w:rPr>
        <w:t> </w:t>
      </w:r>
      <w:r w:rsidR="00043012" w:rsidRPr="006B771F">
        <w:rPr>
          <w:noProof/>
        </w:rPr>
        <w:t>daj</w:t>
      </w:r>
      <w:r w:rsidRPr="006B771F">
        <w:rPr>
          <w:noProof/>
        </w:rPr>
        <w:t>ącej się przewidzieć przyszłości</w:t>
      </w:r>
      <w:r w:rsidRPr="006B771F">
        <w:rPr>
          <w:rStyle w:val="FootnoteReference0"/>
          <w:noProof/>
        </w:rPr>
        <w:footnoteReference w:id="30"/>
      </w:r>
      <w:r w:rsidRPr="006B771F">
        <w:rPr>
          <w:noProof/>
        </w:rPr>
        <w:t>. Niemal połowa wszystkich ofiar handlu ludźmi w UE oraz większość przemytników to obywatele Unii</w:t>
      </w:r>
      <w:r w:rsidRPr="006B771F">
        <w:rPr>
          <w:rStyle w:val="FootnoteReference0"/>
          <w:noProof/>
        </w:rPr>
        <w:footnoteReference w:id="31"/>
      </w:r>
      <w:r w:rsidRPr="006B771F">
        <w:rPr>
          <w:noProof/>
        </w:rPr>
        <w:t>. Takie przestępstwa mają wyraźny charakter transgraniczny,</w:t>
      </w:r>
      <w:r w:rsidR="00043012" w:rsidRPr="006B771F">
        <w:rPr>
          <w:noProof/>
        </w:rPr>
        <w:t xml:space="preserve"> a</w:t>
      </w:r>
      <w:r w:rsidR="00043012">
        <w:rPr>
          <w:noProof/>
        </w:rPr>
        <w:t> </w:t>
      </w:r>
      <w:r w:rsidR="00043012" w:rsidRPr="006B771F">
        <w:rPr>
          <w:noProof/>
        </w:rPr>
        <w:t>ich</w:t>
      </w:r>
      <w:r w:rsidRPr="006B771F">
        <w:rPr>
          <w:noProof/>
        </w:rPr>
        <w:t xml:space="preserve"> wykrywanie</w:t>
      </w:r>
      <w:r w:rsidR="00043012" w:rsidRPr="006B771F">
        <w:rPr>
          <w:noProof/>
        </w:rPr>
        <w:t xml:space="preserve"> i</w:t>
      </w:r>
      <w:r w:rsidR="00043012">
        <w:rPr>
          <w:noProof/>
        </w:rPr>
        <w:t> </w:t>
      </w:r>
      <w:r w:rsidR="00043012" w:rsidRPr="006B771F">
        <w:rPr>
          <w:noProof/>
        </w:rPr>
        <w:t>pro</w:t>
      </w:r>
      <w:r w:rsidRPr="006B771F">
        <w:rPr>
          <w:noProof/>
        </w:rPr>
        <w:t>wadzenie dochodzeń</w:t>
      </w:r>
      <w:r w:rsidR="00043012" w:rsidRPr="006B771F">
        <w:rPr>
          <w:noProof/>
        </w:rPr>
        <w:t xml:space="preserve"> w</w:t>
      </w:r>
      <w:r w:rsidR="00043012">
        <w:rPr>
          <w:noProof/>
        </w:rPr>
        <w:t> </w:t>
      </w:r>
      <w:r w:rsidR="00043012" w:rsidRPr="006B771F">
        <w:rPr>
          <w:noProof/>
        </w:rPr>
        <w:t>ich</w:t>
      </w:r>
      <w:r w:rsidRPr="006B771F">
        <w:rPr>
          <w:noProof/>
        </w:rPr>
        <w:t xml:space="preserve"> sprawie wymaga ukierunkowanych działań policji</w:t>
      </w:r>
      <w:r w:rsidR="00043012" w:rsidRPr="006B771F">
        <w:rPr>
          <w:noProof/>
        </w:rPr>
        <w:t xml:space="preserve"> w</w:t>
      </w:r>
      <w:r w:rsidR="00043012">
        <w:rPr>
          <w:noProof/>
        </w:rPr>
        <w:t> </w:t>
      </w:r>
      <w:r w:rsidR="00043012" w:rsidRPr="006B771F">
        <w:rPr>
          <w:noProof/>
        </w:rPr>
        <w:t>ter</w:t>
      </w:r>
      <w:r w:rsidRPr="006B771F">
        <w:rPr>
          <w:noProof/>
        </w:rPr>
        <w:t>enie realizowanych na wewnątrzunijnych obszarach przygranicznych. Skoordynowane wspólne patrole</w:t>
      </w:r>
      <w:r w:rsidR="00043012" w:rsidRPr="006B771F">
        <w:rPr>
          <w:noProof/>
        </w:rPr>
        <w:t xml:space="preserve"> i</w:t>
      </w:r>
      <w:r w:rsidR="00043012">
        <w:rPr>
          <w:noProof/>
        </w:rPr>
        <w:t> </w:t>
      </w:r>
      <w:r w:rsidR="00043012" w:rsidRPr="006B771F">
        <w:rPr>
          <w:noProof/>
        </w:rPr>
        <w:t>inn</w:t>
      </w:r>
      <w:r w:rsidRPr="006B771F">
        <w:rPr>
          <w:noProof/>
        </w:rPr>
        <w:t>e wspólne operacje, podejmowane</w:t>
      </w:r>
      <w:r w:rsidR="00043012" w:rsidRPr="006B771F">
        <w:rPr>
          <w:noProof/>
        </w:rPr>
        <w:t xml:space="preserve"> w</w:t>
      </w:r>
      <w:r w:rsidR="00043012">
        <w:rPr>
          <w:noProof/>
        </w:rPr>
        <w:t> </w:t>
      </w:r>
      <w:r w:rsidR="00043012" w:rsidRPr="006B771F">
        <w:rPr>
          <w:noProof/>
        </w:rPr>
        <w:t>opa</w:t>
      </w:r>
      <w:r w:rsidRPr="006B771F">
        <w:rPr>
          <w:noProof/>
        </w:rPr>
        <w:t>rciu</w:t>
      </w:r>
      <w:r w:rsidR="00043012" w:rsidRPr="006B771F">
        <w:rPr>
          <w:noProof/>
        </w:rPr>
        <w:t xml:space="preserve"> o</w:t>
      </w:r>
      <w:r w:rsidR="00043012">
        <w:rPr>
          <w:noProof/>
        </w:rPr>
        <w:t> </w:t>
      </w:r>
      <w:r w:rsidR="00043012" w:rsidRPr="006B771F">
        <w:rPr>
          <w:noProof/>
        </w:rPr>
        <w:t>ana</w:t>
      </w:r>
      <w:r w:rsidRPr="006B771F">
        <w:rPr>
          <w:noProof/>
        </w:rPr>
        <w:t>lizę ryzyka,</w:t>
      </w:r>
      <w:r w:rsidR="00043012" w:rsidRPr="006B771F">
        <w:rPr>
          <w:noProof/>
        </w:rPr>
        <w:t xml:space="preserve"> w</w:t>
      </w:r>
      <w:r w:rsidR="00043012">
        <w:rPr>
          <w:noProof/>
        </w:rPr>
        <w:t> </w:t>
      </w:r>
      <w:r w:rsidR="00043012" w:rsidRPr="006B771F">
        <w:rPr>
          <w:noProof/>
        </w:rPr>
        <w:t>ram</w:t>
      </w:r>
      <w:r w:rsidRPr="006B771F">
        <w:rPr>
          <w:noProof/>
        </w:rPr>
        <w:t>ach których funkcjonariusze państw członkowskich działający wspólnie (np.</w:t>
      </w:r>
      <w:r w:rsidR="00043012" w:rsidRPr="006B771F">
        <w:rPr>
          <w:noProof/>
        </w:rPr>
        <w:t xml:space="preserve"> w</w:t>
      </w:r>
      <w:r w:rsidR="00043012">
        <w:rPr>
          <w:noProof/>
        </w:rPr>
        <w:t> </w:t>
      </w:r>
      <w:r w:rsidR="00043012" w:rsidRPr="006B771F">
        <w:rPr>
          <w:noProof/>
        </w:rPr>
        <w:t>sam</w:t>
      </w:r>
      <w:r w:rsidRPr="006B771F">
        <w:rPr>
          <w:noProof/>
        </w:rPr>
        <w:t>ochodach patrolowych) powinni</w:t>
      </w:r>
      <w:r w:rsidR="00043012" w:rsidRPr="006B771F">
        <w:rPr>
          <w:noProof/>
        </w:rPr>
        <w:t xml:space="preserve"> w</w:t>
      </w:r>
      <w:r w:rsidR="00043012">
        <w:rPr>
          <w:noProof/>
        </w:rPr>
        <w:t> </w:t>
      </w:r>
      <w:r w:rsidR="00043012" w:rsidRPr="006B771F">
        <w:rPr>
          <w:noProof/>
        </w:rPr>
        <w:t>sto</w:t>
      </w:r>
      <w:r w:rsidRPr="006B771F">
        <w:rPr>
          <w:noProof/>
        </w:rPr>
        <w:t>sownych przypadkach koncentrować się</w:t>
      </w:r>
      <w:r w:rsidR="00043012" w:rsidRPr="006B771F">
        <w:rPr>
          <w:noProof/>
        </w:rPr>
        <w:t xml:space="preserve"> w</w:t>
      </w:r>
      <w:r w:rsidR="00043012">
        <w:rPr>
          <w:noProof/>
        </w:rPr>
        <w:t> </w:t>
      </w:r>
      <w:r w:rsidR="00043012" w:rsidRPr="006B771F">
        <w:rPr>
          <w:noProof/>
        </w:rPr>
        <w:t>szc</w:t>
      </w:r>
      <w:r w:rsidRPr="006B771F">
        <w:rPr>
          <w:noProof/>
        </w:rPr>
        <w:t>zególności na wykrywaniu przemytu migrantów</w:t>
      </w:r>
      <w:r w:rsidR="00043012" w:rsidRPr="006B771F">
        <w:rPr>
          <w:noProof/>
        </w:rPr>
        <w:t xml:space="preserve"> i</w:t>
      </w:r>
      <w:r w:rsidR="00043012">
        <w:rPr>
          <w:noProof/>
        </w:rPr>
        <w:t> </w:t>
      </w:r>
      <w:r w:rsidR="00043012" w:rsidRPr="006B771F">
        <w:rPr>
          <w:noProof/>
        </w:rPr>
        <w:t>han</w:t>
      </w:r>
      <w:r w:rsidRPr="006B771F">
        <w:rPr>
          <w:noProof/>
        </w:rPr>
        <w:t xml:space="preserve">dlu ludźmi. </w:t>
      </w:r>
    </w:p>
    <w:p w14:paraId="31B83C3B" w14:textId="583853C4" w:rsidR="00AD2D37" w:rsidRPr="006B771F" w:rsidRDefault="00AD2D37" w:rsidP="00AD2D37">
      <w:pPr>
        <w:rPr>
          <w:noProof/>
        </w:rPr>
      </w:pPr>
      <w:r w:rsidRPr="006B771F">
        <w:rPr>
          <w:noProof/>
        </w:rPr>
        <w:t>Po siódme, urzędnicy zaangażowani</w:t>
      </w:r>
      <w:r w:rsidR="00043012" w:rsidRPr="006B771F">
        <w:rPr>
          <w:noProof/>
        </w:rPr>
        <w:t xml:space="preserve"> w</w:t>
      </w:r>
      <w:r w:rsidR="00043012">
        <w:rPr>
          <w:noProof/>
        </w:rPr>
        <w:t> </w:t>
      </w:r>
      <w:r w:rsidR="00043012" w:rsidRPr="006B771F">
        <w:rPr>
          <w:noProof/>
        </w:rPr>
        <w:t>tra</w:t>
      </w:r>
      <w:r w:rsidRPr="006B771F">
        <w:rPr>
          <w:noProof/>
        </w:rPr>
        <w:t>nsgraniczną współpracę organów ścigania w UE nie zawsze są należycie wyszkoleni, tak aby posiadali niezbędną wiedzę</w:t>
      </w:r>
      <w:r w:rsidR="00043012" w:rsidRPr="006B771F">
        <w:rPr>
          <w:noProof/>
        </w:rPr>
        <w:t xml:space="preserve"> i</w:t>
      </w:r>
      <w:r w:rsidR="00043012">
        <w:rPr>
          <w:noProof/>
        </w:rPr>
        <w:t> </w:t>
      </w:r>
      <w:r w:rsidR="00043012" w:rsidRPr="006B771F">
        <w:rPr>
          <w:noProof/>
        </w:rPr>
        <w:t>umi</w:t>
      </w:r>
      <w:r w:rsidRPr="006B771F">
        <w:rPr>
          <w:noProof/>
        </w:rPr>
        <w:t>ejętności operacyjne umożliwiające im najskuteczniejsze</w:t>
      </w:r>
      <w:r w:rsidR="00043012" w:rsidRPr="006B771F">
        <w:rPr>
          <w:noProof/>
        </w:rPr>
        <w:t xml:space="preserve"> i</w:t>
      </w:r>
      <w:r w:rsidR="00043012">
        <w:rPr>
          <w:noProof/>
        </w:rPr>
        <w:t> </w:t>
      </w:r>
      <w:r w:rsidR="00043012" w:rsidRPr="006B771F">
        <w:rPr>
          <w:noProof/>
        </w:rPr>
        <w:t>naj</w:t>
      </w:r>
      <w:r w:rsidRPr="006B771F">
        <w:rPr>
          <w:noProof/>
        </w:rPr>
        <w:t>efektywniejsze wypełnianie takich zadań</w:t>
      </w:r>
      <w:r w:rsidR="00043012" w:rsidRPr="006B771F">
        <w:rPr>
          <w:noProof/>
        </w:rPr>
        <w:t>. W</w:t>
      </w:r>
      <w:r w:rsidR="00043012">
        <w:rPr>
          <w:noProof/>
        </w:rPr>
        <w:t> </w:t>
      </w:r>
      <w:r w:rsidR="00043012" w:rsidRPr="006B771F">
        <w:rPr>
          <w:noProof/>
        </w:rPr>
        <w:t>bad</w:t>
      </w:r>
      <w:r w:rsidRPr="006B771F">
        <w:rPr>
          <w:noProof/>
        </w:rPr>
        <w:t>aniu przeprowadzonym na zlecenie Komisji</w:t>
      </w:r>
      <w:r w:rsidR="00043012" w:rsidRPr="006B771F">
        <w:rPr>
          <w:noProof/>
        </w:rPr>
        <w:t xml:space="preserve"> w</w:t>
      </w:r>
      <w:r w:rsidR="00043012">
        <w:rPr>
          <w:noProof/>
        </w:rPr>
        <w:t> </w:t>
      </w:r>
      <w:r w:rsidR="00043012" w:rsidRPr="006B771F">
        <w:rPr>
          <w:noProof/>
        </w:rPr>
        <w:t>2</w:t>
      </w:r>
      <w:r w:rsidRPr="006B771F">
        <w:rPr>
          <w:noProof/>
        </w:rPr>
        <w:t>0</w:t>
      </w:r>
      <w:r w:rsidRPr="00043012">
        <w:rPr>
          <w:noProof/>
        </w:rPr>
        <w:t>21</w:t>
      </w:r>
      <w:r w:rsidR="00043012" w:rsidRPr="00043012">
        <w:rPr>
          <w:noProof/>
        </w:rPr>
        <w:t> </w:t>
      </w:r>
      <w:r w:rsidRPr="00043012">
        <w:rPr>
          <w:noProof/>
        </w:rPr>
        <w:t>r.</w:t>
      </w:r>
      <w:r w:rsidRPr="006B771F">
        <w:rPr>
          <w:noProof/>
        </w:rPr>
        <w:t xml:space="preserve"> stwierdzono ograniczoną dostępność szkoleń dla personelu organów ścigania zaangażowanego we współpracę transgraniczną. Szkolenia nie są przeprowadzane regularnie</w:t>
      </w:r>
      <w:r w:rsidR="00043012" w:rsidRPr="006B771F">
        <w:rPr>
          <w:noProof/>
        </w:rPr>
        <w:t xml:space="preserve"> i</w:t>
      </w:r>
      <w:r w:rsidR="00043012">
        <w:rPr>
          <w:noProof/>
        </w:rPr>
        <w:t> </w:t>
      </w:r>
      <w:r w:rsidR="00043012" w:rsidRPr="006B771F">
        <w:rPr>
          <w:noProof/>
        </w:rPr>
        <w:t>nie</w:t>
      </w:r>
      <w:r w:rsidRPr="006B771F">
        <w:rPr>
          <w:noProof/>
        </w:rPr>
        <w:t xml:space="preserve"> zawsze uwzględniają najnowsze zmiany. Poziom znajomości odnośnych baz danych</w:t>
      </w:r>
      <w:r w:rsidR="00043012" w:rsidRPr="006B771F">
        <w:rPr>
          <w:noProof/>
        </w:rPr>
        <w:t xml:space="preserve"> i</w:t>
      </w:r>
      <w:r w:rsidR="00043012">
        <w:rPr>
          <w:noProof/>
        </w:rPr>
        <w:t> </w:t>
      </w:r>
      <w:r w:rsidR="00043012" w:rsidRPr="006B771F">
        <w:rPr>
          <w:noProof/>
        </w:rPr>
        <w:t>wie</w:t>
      </w:r>
      <w:r w:rsidRPr="006B771F">
        <w:rPr>
          <w:noProof/>
        </w:rPr>
        <w:t xml:space="preserve">dzy na ich temat oraz na temat uprawnień wykonawczych przyznanych przez poszczególne państwa członkowskie jest również ograniczony. Przeszkodą dla skutecznej transgranicznej operacyjnej współpracy policyjnej są też bariery językowe. </w:t>
      </w:r>
    </w:p>
    <w:p w14:paraId="03EB6BAB" w14:textId="77777777" w:rsidR="00AD2D37" w:rsidRPr="006B771F" w:rsidRDefault="00AD2D37" w:rsidP="00AD2D37">
      <w:pPr>
        <w:spacing w:before="0"/>
        <w:rPr>
          <w:b/>
          <w:i/>
          <w:noProof/>
        </w:rPr>
      </w:pPr>
      <w:r w:rsidRPr="006B771F">
        <w:rPr>
          <w:b/>
          <w:i/>
          <w:noProof/>
        </w:rPr>
        <w:t xml:space="preserve">Dalsze działania </w:t>
      </w:r>
    </w:p>
    <w:p w14:paraId="798E367D" w14:textId="359099B1" w:rsidR="00AD2D37" w:rsidRPr="006B771F" w:rsidRDefault="00AD2D37" w:rsidP="00AD2D37">
      <w:pPr>
        <w:spacing w:before="0"/>
        <w:rPr>
          <w:noProof/>
        </w:rPr>
      </w:pPr>
      <w:r w:rsidRPr="006B771F">
        <w:rPr>
          <w:noProof/>
        </w:rPr>
        <w:t>Celem niniejszego zalecenia jest przyczynienie się do opracowania wspólnych norm umożliwiających funkcjonariuszom policji skuteczną współpracę</w:t>
      </w:r>
      <w:r w:rsidR="00043012" w:rsidRPr="006B771F">
        <w:rPr>
          <w:noProof/>
        </w:rPr>
        <w:t xml:space="preserve"> z</w:t>
      </w:r>
      <w:r w:rsidR="00043012">
        <w:rPr>
          <w:noProof/>
        </w:rPr>
        <w:t> </w:t>
      </w:r>
      <w:r w:rsidR="00043012" w:rsidRPr="006B771F">
        <w:rPr>
          <w:noProof/>
        </w:rPr>
        <w:t>fun</w:t>
      </w:r>
      <w:r w:rsidRPr="006B771F">
        <w:rPr>
          <w:noProof/>
        </w:rPr>
        <w:t>kcjonariuszami</w:t>
      </w:r>
      <w:r w:rsidR="00043012" w:rsidRPr="006B771F">
        <w:rPr>
          <w:noProof/>
        </w:rPr>
        <w:t xml:space="preserve"> w</w:t>
      </w:r>
      <w:r w:rsidR="00043012">
        <w:rPr>
          <w:noProof/>
        </w:rPr>
        <w:t> </w:t>
      </w:r>
      <w:r w:rsidR="00043012" w:rsidRPr="006B771F">
        <w:rPr>
          <w:noProof/>
        </w:rPr>
        <w:t>inn</w:t>
      </w:r>
      <w:r w:rsidRPr="006B771F">
        <w:rPr>
          <w:noProof/>
        </w:rPr>
        <w:t>ych państwach członkowskich, jak wskazano</w:t>
      </w:r>
      <w:r w:rsidR="00043012" w:rsidRPr="006B771F">
        <w:rPr>
          <w:noProof/>
        </w:rPr>
        <w:t xml:space="preserve"> w</w:t>
      </w:r>
      <w:r w:rsidR="00043012">
        <w:rPr>
          <w:noProof/>
        </w:rPr>
        <w:t> </w:t>
      </w:r>
      <w:r w:rsidR="00043012" w:rsidRPr="006B771F">
        <w:rPr>
          <w:noProof/>
        </w:rPr>
        <w:t>kom</w:t>
      </w:r>
      <w:r w:rsidRPr="006B771F">
        <w:rPr>
          <w:noProof/>
        </w:rPr>
        <w:t>unikacie Komisji</w:t>
      </w:r>
      <w:r w:rsidR="00043012" w:rsidRPr="006B771F">
        <w:rPr>
          <w:noProof/>
        </w:rPr>
        <w:t xml:space="preserve"> z</w:t>
      </w:r>
      <w:r w:rsidR="00043012">
        <w:rPr>
          <w:noProof/>
        </w:rPr>
        <w:t> </w:t>
      </w:r>
      <w:r w:rsidR="00043012" w:rsidRPr="006B771F">
        <w:rPr>
          <w:noProof/>
        </w:rPr>
        <w:t>cze</w:t>
      </w:r>
      <w:r w:rsidRPr="006B771F">
        <w:rPr>
          <w:noProof/>
        </w:rPr>
        <w:t>rwca 20</w:t>
      </w:r>
      <w:r w:rsidRPr="00043012">
        <w:rPr>
          <w:noProof/>
        </w:rPr>
        <w:t>21</w:t>
      </w:r>
      <w:r w:rsidR="00043012" w:rsidRPr="00043012">
        <w:rPr>
          <w:noProof/>
        </w:rPr>
        <w:t> </w:t>
      </w:r>
      <w:r w:rsidRPr="00043012">
        <w:rPr>
          <w:noProof/>
        </w:rPr>
        <w:t>r.</w:t>
      </w:r>
      <w:r w:rsidRPr="006B771F">
        <w:rPr>
          <w:noProof/>
        </w:rPr>
        <w:t xml:space="preserve"> „Strategia na rzecz</w:t>
      </w:r>
      <w:r w:rsidR="00043012" w:rsidRPr="006B771F">
        <w:rPr>
          <w:noProof/>
        </w:rPr>
        <w:t xml:space="preserve"> w</w:t>
      </w:r>
      <w:r w:rsidR="00043012">
        <w:rPr>
          <w:noProof/>
        </w:rPr>
        <w:t> </w:t>
      </w:r>
      <w:r w:rsidR="00043012" w:rsidRPr="006B771F">
        <w:rPr>
          <w:noProof/>
        </w:rPr>
        <w:t>peł</w:t>
      </w:r>
      <w:r w:rsidRPr="006B771F">
        <w:rPr>
          <w:noProof/>
        </w:rPr>
        <w:t>ni funkcjonującej</w:t>
      </w:r>
      <w:r w:rsidR="00043012" w:rsidRPr="006B771F">
        <w:rPr>
          <w:noProof/>
        </w:rPr>
        <w:t xml:space="preserve"> i</w:t>
      </w:r>
      <w:r w:rsidR="00043012">
        <w:rPr>
          <w:noProof/>
        </w:rPr>
        <w:t> </w:t>
      </w:r>
      <w:r w:rsidR="00043012" w:rsidRPr="006B771F">
        <w:rPr>
          <w:noProof/>
        </w:rPr>
        <w:t>odp</w:t>
      </w:r>
      <w:r w:rsidRPr="006B771F">
        <w:rPr>
          <w:noProof/>
        </w:rPr>
        <w:t>ornej strefy Schengen”</w:t>
      </w:r>
      <w:r w:rsidRPr="006B771F">
        <w:rPr>
          <w:rStyle w:val="FootnoteReference0"/>
          <w:noProof/>
        </w:rPr>
        <w:footnoteReference w:id="32"/>
      </w:r>
      <w:r w:rsidRPr="006B771F">
        <w:rPr>
          <w:noProof/>
        </w:rPr>
        <w:t>. Przestrzegając istniejących przepisów UE</w:t>
      </w:r>
      <w:r w:rsidR="00043012" w:rsidRPr="006B771F">
        <w:rPr>
          <w:noProof/>
        </w:rPr>
        <w:t xml:space="preserve"> i</w:t>
      </w:r>
      <w:r w:rsidR="00043012">
        <w:rPr>
          <w:noProof/>
        </w:rPr>
        <w:t> </w:t>
      </w:r>
      <w:r w:rsidR="00043012" w:rsidRPr="006B771F">
        <w:rPr>
          <w:noProof/>
        </w:rPr>
        <w:t>opi</w:t>
      </w:r>
      <w:r w:rsidRPr="006B771F">
        <w:rPr>
          <w:noProof/>
        </w:rPr>
        <w:t>erając się na dobrych praktykach</w:t>
      </w:r>
      <w:r w:rsidR="00043012" w:rsidRPr="006B771F">
        <w:rPr>
          <w:noProof/>
        </w:rPr>
        <w:t xml:space="preserve"> w</w:t>
      </w:r>
      <w:r w:rsidR="00043012">
        <w:rPr>
          <w:noProof/>
        </w:rPr>
        <w:t> </w:t>
      </w:r>
      <w:r w:rsidR="00043012" w:rsidRPr="006B771F">
        <w:rPr>
          <w:noProof/>
        </w:rPr>
        <w:t>zak</w:t>
      </w:r>
      <w:r w:rsidRPr="006B771F">
        <w:rPr>
          <w:noProof/>
        </w:rPr>
        <w:t>resie dwustronnych lub wielostronnych umów</w:t>
      </w:r>
      <w:r w:rsidR="00043012" w:rsidRPr="006B771F">
        <w:rPr>
          <w:noProof/>
        </w:rPr>
        <w:t xml:space="preserve"> o</w:t>
      </w:r>
      <w:r w:rsidR="00043012">
        <w:rPr>
          <w:noProof/>
        </w:rPr>
        <w:t> </w:t>
      </w:r>
      <w:r w:rsidR="00043012" w:rsidRPr="006B771F">
        <w:rPr>
          <w:noProof/>
        </w:rPr>
        <w:t>wsp</w:t>
      </w:r>
      <w:r w:rsidRPr="006B771F">
        <w:rPr>
          <w:noProof/>
        </w:rPr>
        <w:t>ółpracy między państwami członkowskimi, funkcjonariusze policji powinni prowadzić ukierunkowane wspólne operacje,</w:t>
      </w:r>
      <w:r w:rsidR="00043012" w:rsidRPr="006B771F">
        <w:rPr>
          <w:noProof/>
        </w:rPr>
        <w:t xml:space="preserve"> w</w:t>
      </w:r>
      <w:r w:rsidR="00043012">
        <w:rPr>
          <w:noProof/>
        </w:rPr>
        <w:t> </w:t>
      </w:r>
      <w:r w:rsidR="00043012" w:rsidRPr="006B771F">
        <w:rPr>
          <w:noProof/>
        </w:rPr>
        <w:t>tym</w:t>
      </w:r>
      <w:r w:rsidRPr="006B771F">
        <w:rPr>
          <w:noProof/>
        </w:rPr>
        <w:t xml:space="preserve"> wspólne patrole</w:t>
      </w:r>
      <w:r w:rsidRPr="006B771F">
        <w:rPr>
          <w:rStyle w:val="FootnoteReference0"/>
          <w:noProof/>
        </w:rPr>
        <w:footnoteReference w:id="33"/>
      </w:r>
      <w:r w:rsidRPr="006B771F">
        <w:rPr>
          <w:noProof/>
        </w:rPr>
        <w:t>,</w:t>
      </w:r>
      <w:r w:rsidR="00043012" w:rsidRPr="006B771F">
        <w:rPr>
          <w:noProof/>
        </w:rPr>
        <w:t xml:space="preserve"> w</w:t>
      </w:r>
      <w:r w:rsidR="00043012">
        <w:rPr>
          <w:noProof/>
        </w:rPr>
        <w:t> </w:t>
      </w:r>
      <w:r w:rsidR="00043012" w:rsidRPr="006B771F">
        <w:rPr>
          <w:noProof/>
        </w:rPr>
        <w:t>szc</w:t>
      </w:r>
      <w:r w:rsidRPr="006B771F">
        <w:rPr>
          <w:noProof/>
        </w:rPr>
        <w:t>zególności na wewnątrzunijnych obszarach przygranicznych. Ponieważ terroryści</w:t>
      </w:r>
      <w:r w:rsidR="00043012" w:rsidRPr="006B771F">
        <w:rPr>
          <w:noProof/>
        </w:rPr>
        <w:t xml:space="preserve"> i</w:t>
      </w:r>
      <w:r w:rsidR="00043012">
        <w:rPr>
          <w:noProof/>
        </w:rPr>
        <w:t> </w:t>
      </w:r>
      <w:r w:rsidR="00043012" w:rsidRPr="006B771F">
        <w:rPr>
          <w:noProof/>
        </w:rPr>
        <w:t>inn</w:t>
      </w:r>
      <w:r w:rsidRPr="006B771F">
        <w:rPr>
          <w:noProof/>
        </w:rPr>
        <w:t>i przestępcy działają</w:t>
      </w:r>
      <w:r w:rsidR="00043012" w:rsidRPr="006B771F">
        <w:rPr>
          <w:noProof/>
        </w:rPr>
        <w:t xml:space="preserve"> w</w:t>
      </w:r>
      <w:r w:rsidR="00043012">
        <w:rPr>
          <w:noProof/>
        </w:rPr>
        <w:t> </w:t>
      </w:r>
      <w:r w:rsidR="00043012" w:rsidRPr="006B771F">
        <w:rPr>
          <w:noProof/>
        </w:rPr>
        <w:t>róż</w:t>
      </w:r>
      <w:r w:rsidRPr="006B771F">
        <w:rPr>
          <w:noProof/>
        </w:rPr>
        <w:t>nych państwach członkowskich, organy policyjne powinny mieć możliwość lepszego ich monitorowania,</w:t>
      </w:r>
      <w:r w:rsidR="00043012" w:rsidRPr="006B771F">
        <w:rPr>
          <w:noProof/>
        </w:rPr>
        <w:t xml:space="preserve"> a</w:t>
      </w:r>
      <w:r w:rsidR="00043012">
        <w:rPr>
          <w:noProof/>
        </w:rPr>
        <w:t> </w:t>
      </w:r>
      <w:r w:rsidR="00043012" w:rsidRPr="006B771F">
        <w:rPr>
          <w:noProof/>
        </w:rPr>
        <w:t>w</w:t>
      </w:r>
      <w:r w:rsidR="00043012">
        <w:rPr>
          <w:noProof/>
        </w:rPr>
        <w:t> </w:t>
      </w:r>
      <w:r w:rsidR="00043012" w:rsidRPr="006B771F">
        <w:rPr>
          <w:noProof/>
        </w:rPr>
        <w:t>tra</w:t>
      </w:r>
      <w:r w:rsidRPr="006B771F">
        <w:rPr>
          <w:noProof/>
        </w:rPr>
        <w:t>kcie pościgów prowadzonych przez terytoria poszczególnych państw powinny mieć możliwość ich zatrzymania</w:t>
      </w:r>
      <w:r w:rsidR="00043012" w:rsidRPr="006B771F">
        <w:rPr>
          <w:noProof/>
        </w:rPr>
        <w:t xml:space="preserve"> w</w:t>
      </w:r>
      <w:r w:rsidR="00043012">
        <w:rPr>
          <w:noProof/>
        </w:rPr>
        <w:t> </w:t>
      </w:r>
      <w:r w:rsidR="00043012" w:rsidRPr="006B771F">
        <w:rPr>
          <w:noProof/>
        </w:rPr>
        <w:t>raz</w:t>
      </w:r>
      <w:r w:rsidRPr="006B771F">
        <w:rPr>
          <w:noProof/>
        </w:rPr>
        <w:t>ie konieczności lub prowadzenia</w:t>
      </w:r>
      <w:r w:rsidR="00043012" w:rsidRPr="006B771F">
        <w:rPr>
          <w:noProof/>
        </w:rPr>
        <w:t xml:space="preserve"> w</w:t>
      </w:r>
      <w:r w:rsidR="00043012">
        <w:rPr>
          <w:noProof/>
        </w:rPr>
        <w:t> </w:t>
      </w:r>
      <w:r w:rsidR="00043012" w:rsidRPr="006B771F">
        <w:rPr>
          <w:noProof/>
        </w:rPr>
        <w:t>odn</w:t>
      </w:r>
      <w:r w:rsidRPr="006B771F">
        <w:rPr>
          <w:noProof/>
        </w:rPr>
        <w:t>iesieniu do nich obserwacji. Wspólne operacje mogą ponadto pomóc</w:t>
      </w:r>
      <w:r w:rsidR="00043012" w:rsidRPr="006B771F">
        <w:rPr>
          <w:noProof/>
        </w:rPr>
        <w:t xml:space="preserve"> w</w:t>
      </w:r>
      <w:r w:rsidR="00043012">
        <w:rPr>
          <w:noProof/>
        </w:rPr>
        <w:t> </w:t>
      </w:r>
      <w:r w:rsidR="00043012" w:rsidRPr="006B771F">
        <w:rPr>
          <w:noProof/>
        </w:rPr>
        <w:t>sku</w:t>
      </w:r>
      <w:r w:rsidRPr="006B771F">
        <w:rPr>
          <w:noProof/>
        </w:rPr>
        <w:t>tecznym rozwiązywaniu kwestii niedozwolonego przemieszczania się migrantów</w:t>
      </w:r>
      <w:r w:rsidR="00043012" w:rsidRPr="006B771F">
        <w:rPr>
          <w:noProof/>
        </w:rPr>
        <w:t xml:space="preserve"> o</w:t>
      </w:r>
      <w:r w:rsidR="00043012">
        <w:rPr>
          <w:noProof/>
        </w:rPr>
        <w:t> </w:t>
      </w:r>
      <w:r w:rsidR="00043012" w:rsidRPr="006B771F">
        <w:rPr>
          <w:noProof/>
        </w:rPr>
        <w:t>nie</w:t>
      </w:r>
      <w:r w:rsidRPr="006B771F">
        <w:rPr>
          <w:noProof/>
        </w:rPr>
        <w:t xml:space="preserve">uregulowanym statusie. </w:t>
      </w:r>
    </w:p>
    <w:p w14:paraId="5FCD6287" w14:textId="34F42A60" w:rsidR="00AD2D37" w:rsidRPr="006B771F" w:rsidRDefault="00AD2D37" w:rsidP="00AD2D37">
      <w:pPr>
        <w:spacing w:before="0"/>
        <w:rPr>
          <w:noProof/>
        </w:rPr>
      </w:pPr>
      <w:r w:rsidRPr="006B771F">
        <w:rPr>
          <w:noProof/>
        </w:rPr>
        <w:t>Przy poszanowaniu roli państw członkowskich</w:t>
      </w:r>
      <w:r w:rsidR="00043012" w:rsidRPr="006B771F">
        <w:rPr>
          <w:noProof/>
        </w:rPr>
        <w:t xml:space="preserve"> w</w:t>
      </w:r>
      <w:r w:rsidR="00043012">
        <w:rPr>
          <w:noProof/>
        </w:rPr>
        <w:t> </w:t>
      </w:r>
      <w:r w:rsidR="00043012" w:rsidRPr="006B771F">
        <w:rPr>
          <w:noProof/>
        </w:rPr>
        <w:t>zak</w:t>
      </w:r>
      <w:r w:rsidRPr="006B771F">
        <w:rPr>
          <w:noProof/>
        </w:rPr>
        <w:t>resie bezpieczeństwa wewnętrznego oraz potrzeby elastyczności</w:t>
      </w:r>
      <w:r w:rsidR="00043012" w:rsidRPr="006B771F">
        <w:rPr>
          <w:noProof/>
        </w:rPr>
        <w:t xml:space="preserve"> w</w:t>
      </w:r>
      <w:r w:rsidR="00043012">
        <w:rPr>
          <w:noProof/>
        </w:rPr>
        <w:t> </w:t>
      </w:r>
      <w:r w:rsidR="00043012" w:rsidRPr="006B771F">
        <w:rPr>
          <w:noProof/>
        </w:rPr>
        <w:t>zak</w:t>
      </w:r>
      <w:r w:rsidRPr="006B771F">
        <w:rPr>
          <w:noProof/>
        </w:rPr>
        <w:t>resie współpracy regionalnej,</w:t>
      </w:r>
      <w:r w:rsidR="00043012" w:rsidRPr="006B771F">
        <w:rPr>
          <w:noProof/>
        </w:rPr>
        <w:t xml:space="preserve"> w</w:t>
      </w:r>
      <w:r w:rsidR="00043012">
        <w:rPr>
          <w:noProof/>
        </w:rPr>
        <w:t> </w:t>
      </w:r>
      <w:r w:rsidR="00043012" w:rsidRPr="006B771F">
        <w:rPr>
          <w:noProof/>
        </w:rPr>
        <w:t>nin</w:t>
      </w:r>
      <w:r w:rsidRPr="006B771F">
        <w:rPr>
          <w:noProof/>
        </w:rPr>
        <w:t>iejszym zaleceniu przedstawiono działania</w:t>
      </w:r>
      <w:r w:rsidR="00043012" w:rsidRPr="006B771F">
        <w:rPr>
          <w:noProof/>
        </w:rPr>
        <w:t xml:space="preserve"> w</w:t>
      </w:r>
      <w:r w:rsidR="00043012">
        <w:rPr>
          <w:noProof/>
        </w:rPr>
        <w:t> </w:t>
      </w:r>
      <w:r w:rsidR="00043012" w:rsidRPr="006B771F">
        <w:rPr>
          <w:noProof/>
        </w:rPr>
        <w:t>zak</w:t>
      </w:r>
      <w:r w:rsidRPr="006B771F">
        <w:rPr>
          <w:noProof/>
        </w:rPr>
        <w:t>resie operacyjnej współpracy policyjnej mające na celu:</w:t>
      </w:r>
    </w:p>
    <w:p w14:paraId="6549BE77" w14:textId="4FC0BFA9" w:rsidR="00AD2D37" w:rsidRPr="006B771F" w:rsidRDefault="00AD2D37" w:rsidP="000C4410">
      <w:pPr>
        <w:pStyle w:val="Tiret0"/>
        <w:numPr>
          <w:ilvl w:val="0"/>
          <w:numId w:val="11"/>
        </w:numPr>
        <w:rPr>
          <w:noProof/>
        </w:rPr>
      </w:pPr>
      <w:r w:rsidRPr="006B771F">
        <w:rPr>
          <w:noProof/>
        </w:rPr>
        <w:t>wyjaśnienie</w:t>
      </w:r>
      <w:r w:rsidR="00043012" w:rsidRPr="006B771F">
        <w:rPr>
          <w:noProof/>
        </w:rPr>
        <w:t xml:space="preserve"> i</w:t>
      </w:r>
      <w:r w:rsidR="00043012">
        <w:rPr>
          <w:noProof/>
        </w:rPr>
        <w:t> </w:t>
      </w:r>
      <w:r w:rsidR="00043012" w:rsidRPr="006B771F">
        <w:rPr>
          <w:noProof/>
        </w:rPr>
        <w:t>uje</w:t>
      </w:r>
      <w:r w:rsidRPr="006B771F">
        <w:rPr>
          <w:noProof/>
        </w:rPr>
        <w:t>dnolicenie zasad zaangażowania</w:t>
      </w:r>
      <w:r w:rsidR="00043012" w:rsidRPr="006B771F">
        <w:rPr>
          <w:noProof/>
        </w:rPr>
        <w:t xml:space="preserve"> w</w:t>
      </w:r>
      <w:r w:rsidR="00043012">
        <w:rPr>
          <w:noProof/>
        </w:rPr>
        <w:t> </w:t>
      </w:r>
      <w:r w:rsidR="00043012" w:rsidRPr="006B771F">
        <w:rPr>
          <w:noProof/>
        </w:rPr>
        <w:t>tra</w:t>
      </w:r>
      <w:r w:rsidRPr="006B771F">
        <w:rPr>
          <w:noProof/>
        </w:rPr>
        <w:t>nsgraniczne operacje egzekwowania prawa</w:t>
      </w:r>
      <w:r w:rsidR="00043012" w:rsidRPr="006B771F">
        <w:rPr>
          <w:noProof/>
        </w:rPr>
        <w:t xml:space="preserve"> w</w:t>
      </w:r>
      <w:r w:rsidR="00043012">
        <w:rPr>
          <w:noProof/>
        </w:rPr>
        <w:t> </w:t>
      </w:r>
      <w:r w:rsidR="00043012" w:rsidRPr="006B771F">
        <w:rPr>
          <w:noProof/>
        </w:rPr>
        <w:t>cel</w:t>
      </w:r>
      <w:r w:rsidRPr="006B771F">
        <w:rPr>
          <w:noProof/>
        </w:rPr>
        <w:t>u monitorowania</w:t>
      </w:r>
      <w:r w:rsidR="00043012" w:rsidRPr="006B771F">
        <w:rPr>
          <w:noProof/>
        </w:rPr>
        <w:t xml:space="preserve"> i</w:t>
      </w:r>
      <w:r w:rsidR="00043012">
        <w:rPr>
          <w:noProof/>
        </w:rPr>
        <w:t> </w:t>
      </w:r>
      <w:r w:rsidR="00043012" w:rsidRPr="006B771F">
        <w:rPr>
          <w:noProof/>
        </w:rPr>
        <w:t>are</w:t>
      </w:r>
      <w:r w:rsidRPr="006B771F">
        <w:rPr>
          <w:noProof/>
        </w:rPr>
        <w:t>sztowania przestępców</w:t>
      </w:r>
      <w:r w:rsidR="00043012" w:rsidRPr="006B771F">
        <w:rPr>
          <w:noProof/>
        </w:rPr>
        <w:t xml:space="preserve"> i</w:t>
      </w:r>
      <w:r w:rsidR="00043012">
        <w:rPr>
          <w:noProof/>
        </w:rPr>
        <w:t> </w:t>
      </w:r>
      <w:r w:rsidR="00043012" w:rsidRPr="006B771F">
        <w:rPr>
          <w:noProof/>
        </w:rPr>
        <w:t>ter</w:t>
      </w:r>
      <w:r w:rsidRPr="006B771F">
        <w:rPr>
          <w:noProof/>
        </w:rPr>
        <w:t>rorystów obejmujące obserwacje, pościgi, wspólne patrole</w:t>
      </w:r>
      <w:r w:rsidR="00043012" w:rsidRPr="006B771F">
        <w:rPr>
          <w:noProof/>
        </w:rPr>
        <w:t xml:space="preserve"> i</w:t>
      </w:r>
      <w:r w:rsidR="00043012">
        <w:rPr>
          <w:noProof/>
        </w:rPr>
        <w:t> </w:t>
      </w:r>
      <w:r w:rsidR="00043012" w:rsidRPr="006B771F">
        <w:rPr>
          <w:noProof/>
        </w:rPr>
        <w:t>inn</w:t>
      </w:r>
      <w:r w:rsidRPr="006B771F">
        <w:rPr>
          <w:noProof/>
        </w:rPr>
        <w:t>e wspólne operacje na terytoriach poszczególnych krajów;</w:t>
      </w:r>
    </w:p>
    <w:p w14:paraId="591CCADF" w14:textId="5B3314D1" w:rsidR="00AD2D37" w:rsidRPr="006B771F" w:rsidRDefault="00AD2D37" w:rsidP="00AD2D37">
      <w:pPr>
        <w:pStyle w:val="Tiret0"/>
        <w:rPr>
          <w:noProof/>
        </w:rPr>
      </w:pPr>
      <w:r w:rsidRPr="006B771F">
        <w:rPr>
          <w:noProof/>
        </w:rPr>
        <w:t>umożliwienie funkcjonariuszom policji podczas operacji</w:t>
      </w:r>
      <w:r w:rsidR="00043012" w:rsidRPr="006B771F">
        <w:rPr>
          <w:noProof/>
        </w:rPr>
        <w:t xml:space="preserve"> w</w:t>
      </w:r>
      <w:r w:rsidR="00043012">
        <w:rPr>
          <w:noProof/>
        </w:rPr>
        <w:t> </w:t>
      </w:r>
      <w:r w:rsidR="00043012" w:rsidRPr="006B771F">
        <w:rPr>
          <w:noProof/>
        </w:rPr>
        <w:t>inn</w:t>
      </w:r>
      <w:r w:rsidRPr="006B771F">
        <w:rPr>
          <w:noProof/>
        </w:rPr>
        <w:t>ych państwach członkowskich dostępu zdalnego do własnych baz danych oraz wykorzystywania bezpiecznej komunikacji, której działanie pozostaje wciąż możliwe</w:t>
      </w:r>
      <w:r w:rsidR="00043012" w:rsidRPr="006B771F">
        <w:rPr>
          <w:noProof/>
        </w:rPr>
        <w:t xml:space="preserve"> w</w:t>
      </w:r>
      <w:r w:rsidR="00043012">
        <w:rPr>
          <w:noProof/>
        </w:rPr>
        <w:t> </w:t>
      </w:r>
      <w:r w:rsidR="00043012" w:rsidRPr="006B771F">
        <w:rPr>
          <w:noProof/>
        </w:rPr>
        <w:t>kon</w:t>
      </w:r>
      <w:r w:rsidRPr="006B771F">
        <w:rPr>
          <w:noProof/>
        </w:rPr>
        <w:t>tekście transgranicznym;</w:t>
      </w:r>
    </w:p>
    <w:p w14:paraId="409FBF94" w14:textId="7CA73F3F" w:rsidR="00AD2D37" w:rsidRPr="006B771F" w:rsidRDefault="00AD2D37" w:rsidP="00AD2D37">
      <w:pPr>
        <w:pStyle w:val="Tiret0"/>
        <w:rPr>
          <w:noProof/>
        </w:rPr>
      </w:pPr>
      <w:r w:rsidRPr="006B771F">
        <w:rPr>
          <w:noProof/>
        </w:rPr>
        <w:t>rozszerzenie roli istniejących centrów współpracy policyjno-celnej, aby stały się one wspólnymi posterunkami policji zdolnymi nie tylko do wymiany informacji, lecz również do planowania, wspierania</w:t>
      </w:r>
      <w:r w:rsidR="00043012" w:rsidRPr="006B771F">
        <w:rPr>
          <w:noProof/>
        </w:rPr>
        <w:t xml:space="preserve"> i</w:t>
      </w:r>
      <w:r w:rsidR="00043012">
        <w:rPr>
          <w:noProof/>
        </w:rPr>
        <w:t> </w:t>
      </w:r>
      <w:r w:rsidR="00043012" w:rsidRPr="006B771F">
        <w:rPr>
          <w:noProof/>
        </w:rPr>
        <w:t>koo</w:t>
      </w:r>
      <w:r w:rsidRPr="006B771F">
        <w:rPr>
          <w:noProof/>
        </w:rPr>
        <w:t>rdynowania wspólnych patroli</w:t>
      </w:r>
      <w:r w:rsidR="00043012" w:rsidRPr="006B771F">
        <w:rPr>
          <w:noProof/>
        </w:rPr>
        <w:t xml:space="preserve"> i</w:t>
      </w:r>
      <w:r w:rsidR="00043012">
        <w:rPr>
          <w:noProof/>
        </w:rPr>
        <w:t> </w:t>
      </w:r>
      <w:r w:rsidR="00043012" w:rsidRPr="006B771F">
        <w:rPr>
          <w:noProof/>
        </w:rPr>
        <w:t>inn</w:t>
      </w:r>
      <w:r w:rsidRPr="006B771F">
        <w:rPr>
          <w:noProof/>
        </w:rPr>
        <w:t>ych wspólnych operacji</w:t>
      </w:r>
      <w:r w:rsidR="00043012" w:rsidRPr="006B771F">
        <w:rPr>
          <w:noProof/>
        </w:rPr>
        <w:t xml:space="preserve"> w</w:t>
      </w:r>
      <w:r w:rsidR="00043012">
        <w:rPr>
          <w:noProof/>
        </w:rPr>
        <w:t> </w:t>
      </w:r>
      <w:r w:rsidR="00043012" w:rsidRPr="006B771F">
        <w:rPr>
          <w:noProof/>
        </w:rPr>
        <w:t>opa</w:t>
      </w:r>
      <w:r w:rsidRPr="006B771F">
        <w:rPr>
          <w:noProof/>
        </w:rPr>
        <w:t>rciu</w:t>
      </w:r>
      <w:r w:rsidR="00043012" w:rsidRPr="006B771F">
        <w:rPr>
          <w:noProof/>
        </w:rPr>
        <w:t xml:space="preserve"> o</w:t>
      </w:r>
      <w:r w:rsidR="00043012">
        <w:rPr>
          <w:noProof/>
        </w:rPr>
        <w:t> </w:t>
      </w:r>
      <w:r w:rsidR="00043012" w:rsidRPr="006B771F">
        <w:rPr>
          <w:noProof/>
        </w:rPr>
        <w:t>wsp</w:t>
      </w:r>
      <w:r w:rsidRPr="006B771F">
        <w:rPr>
          <w:noProof/>
        </w:rPr>
        <w:t>ólną analizę ryzyka;</w:t>
      </w:r>
    </w:p>
    <w:p w14:paraId="4B856030" w14:textId="65B613FE" w:rsidR="00AD2D37" w:rsidRPr="006B771F" w:rsidRDefault="00AD2D37" w:rsidP="00AD2D37">
      <w:pPr>
        <w:pStyle w:val="Tiret0"/>
        <w:rPr>
          <w:noProof/>
        </w:rPr>
      </w:pPr>
      <w:r w:rsidRPr="006B771F">
        <w:rPr>
          <w:noProof/>
        </w:rPr>
        <w:t>wykorzystanie ukierunkowanych wspólnych patroli</w:t>
      </w:r>
      <w:r w:rsidR="00043012" w:rsidRPr="006B771F">
        <w:rPr>
          <w:noProof/>
        </w:rPr>
        <w:t xml:space="preserve"> i</w:t>
      </w:r>
      <w:r w:rsidR="00043012">
        <w:rPr>
          <w:noProof/>
        </w:rPr>
        <w:t> </w:t>
      </w:r>
      <w:r w:rsidR="00043012" w:rsidRPr="006B771F">
        <w:rPr>
          <w:noProof/>
        </w:rPr>
        <w:t>inn</w:t>
      </w:r>
      <w:r w:rsidRPr="006B771F">
        <w:rPr>
          <w:noProof/>
        </w:rPr>
        <w:t>ych wspólnych operacji na konkretnych wewnątrzunijnych obszarach przygranicznych,</w:t>
      </w:r>
      <w:r w:rsidR="00043012" w:rsidRPr="006B771F">
        <w:rPr>
          <w:noProof/>
        </w:rPr>
        <w:t xml:space="preserve"> w</w:t>
      </w:r>
      <w:r w:rsidR="00043012">
        <w:rPr>
          <w:noProof/>
        </w:rPr>
        <w:t> </w:t>
      </w:r>
      <w:r w:rsidR="00043012" w:rsidRPr="006B771F">
        <w:rPr>
          <w:noProof/>
        </w:rPr>
        <w:t>opa</w:t>
      </w:r>
      <w:r w:rsidRPr="006B771F">
        <w:rPr>
          <w:noProof/>
        </w:rPr>
        <w:t>rciu</w:t>
      </w:r>
      <w:r w:rsidR="00043012" w:rsidRPr="006B771F">
        <w:rPr>
          <w:noProof/>
        </w:rPr>
        <w:t xml:space="preserve"> o</w:t>
      </w:r>
      <w:r w:rsidR="00043012">
        <w:rPr>
          <w:noProof/>
        </w:rPr>
        <w:t> </w:t>
      </w:r>
      <w:r w:rsidR="00043012" w:rsidRPr="006B771F">
        <w:rPr>
          <w:noProof/>
        </w:rPr>
        <w:t>wcz</w:t>
      </w:r>
      <w:r w:rsidRPr="006B771F">
        <w:rPr>
          <w:noProof/>
        </w:rPr>
        <w:t>eśniejszą analizę,</w:t>
      </w:r>
      <w:r w:rsidR="00043012" w:rsidRPr="006B771F">
        <w:rPr>
          <w:noProof/>
        </w:rPr>
        <w:t xml:space="preserve"> w</w:t>
      </w:r>
      <w:r w:rsidR="00043012">
        <w:rPr>
          <w:noProof/>
        </w:rPr>
        <w:t> </w:t>
      </w:r>
      <w:r w:rsidR="00043012" w:rsidRPr="006B771F">
        <w:rPr>
          <w:noProof/>
        </w:rPr>
        <w:t>cel</w:t>
      </w:r>
      <w:r w:rsidRPr="006B771F">
        <w:rPr>
          <w:noProof/>
        </w:rPr>
        <w:t>u przeciwdziałania przemytowi migrantów,</w:t>
      </w:r>
      <w:r w:rsidR="00043012" w:rsidRPr="006B771F">
        <w:rPr>
          <w:noProof/>
        </w:rPr>
        <w:t xml:space="preserve"> a</w:t>
      </w:r>
      <w:r w:rsidR="00043012">
        <w:rPr>
          <w:noProof/>
        </w:rPr>
        <w:t> </w:t>
      </w:r>
      <w:r w:rsidR="00043012" w:rsidRPr="006B771F">
        <w:rPr>
          <w:noProof/>
        </w:rPr>
        <w:t>tak</w:t>
      </w:r>
      <w:r w:rsidRPr="006B771F">
        <w:rPr>
          <w:noProof/>
        </w:rPr>
        <w:t>że zapobiegania nielegalnemu pobytowi migrantów oraz przestępczości transgranicznej związanej</w:t>
      </w:r>
      <w:r w:rsidR="00043012" w:rsidRPr="006B771F">
        <w:rPr>
          <w:noProof/>
        </w:rPr>
        <w:t xml:space="preserve"> z</w:t>
      </w:r>
      <w:r w:rsidR="00043012">
        <w:rPr>
          <w:noProof/>
        </w:rPr>
        <w:t> </w:t>
      </w:r>
      <w:r w:rsidR="00043012" w:rsidRPr="006B771F">
        <w:rPr>
          <w:noProof/>
        </w:rPr>
        <w:t>mig</w:t>
      </w:r>
      <w:r w:rsidRPr="006B771F">
        <w:rPr>
          <w:noProof/>
        </w:rPr>
        <w:t>racją nieuregulowaną</w:t>
      </w:r>
      <w:r w:rsidR="00043012" w:rsidRPr="006B771F">
        <w:rPr>
          <w:noProof/>
        </w:rPr>
        <w:t xml:space="preserve"> i</w:t>
      </w:r>
      <w:r w:rsidR="00043012">
        <w:rPr>
          <w:noProof/>
        </w:rPr>
        <w:t> </w:t>
      </w:r>
      <w:r w:rsidR="00043012" w:rsidRPr="006B771F">
        <w:rPr>
          <w:noProof/>
        </w:rPr>
        <w:t>wyk</w:t>
      </w:r>
      <w:r w:rsidRPr="006B771F">
        <w:rPr>
          <w:noProof/>
        </w:rPr>
        <w:t>rywania ich;</w:t>
      </w:r>
    </w:p>
    <w:p w14:paraId="56C7FFF5" w14:textId="517958A0" w:rsidR="00AD2D37" w:rsidRPr="006B771F" w:rsidRDefault="00AD2D37" w:rsidP="00AD2D37">
      <w:pPr>
        <w:pStyle w:val="Tiret0"/>
        <w:rPr>
          <w:bCs/>
          <w:noProof/>
        </w:rPr>
      </w:pPr>
      <w:r w:rsidRPr="006B771F">
        <w:rPr>
          <w:noProof/>
        </w:rPr>
        <w:t>wykorzystanie ukierunkowanych wspólnych patroli</w:t>
      </w:r>
      <w:r w:rsidR="00043012" w:rsidRPr="006B771F">
        <w:rPr>
          <w:noProof/>
        </w:rPr>
        <w:t xml:space="preserve"> i</w:t>
      </w:r>
      <w:r w:rsidR="00043012">
        <w:rPr>
          <w:noProof/>
        </w:rPr>
        <w:t> </w:t>
      </w:r>
      <w:r w:rsidR="00043012" w:rsidRPr="006B771F">
        <w:rPr>
          <w:noProof/>
        </w:rPr>
        <w:t>inn</w:t>
      </w:r>
      <w:r w:rsidRPr="006B771F">
        <w:rPr>
          <w:noProof/>
        </w:rPr>
        <w:t>ych wspólnych operacji na konkretnych wewnątrzunijnych obszarach przygranicznych</w:t>
      </w:r>
      <w:r w:rsidR="00043012" w:rsidRPr="006B771F">
        <w:rPr>
          <w:noProof/>
        </w:rPr>
        <w:t xml:space="preserve"> w</w:t>
      </w:r>
      <w:r w:rsidR="00043012">
        <w:rPr>
          <w:noProof/>
        </w:rPr>
        <w:t> </w:t>
      </w:r>
      <w:r w:rsidR="00043012" w:rsidRPr="006B771F">
        <w:rPr>
          <w:noProof/>
        </w:rPr>
        <w:t>opa</w:t>
      </w:r>
      <w:r w:rsidRPr="006B771F">
        <w:rPr>
          <w:noProof/>
        </w:rPr>
        <w:t>rciu</w:t>
      </w:r>
      <w:r w:rsidR="00043012" w:rsidRPr="006B771F">
        <w:rPr>
          <w:noProof/>
        </w:rPr>
        <w:t xml:space="preserve"> o</w:t>
      </w:r>
      <w:r w:rsidR="00043012">
        <w:rPr>
          <w:noProof/>
        </w:rPr>
        <w:t> </w:t>
      </w:r>
      <w:r w:rsidR="00043012" w:rsidRPr="006B771F">
        <w:rPr>
          <w:noProof/>
        </w:rPr>
        <w:t>wcz</w:t>
      </w:r>
      <w:r w:rsidRPr="006B771F">
        <w:rPr>
          <w:noProof/>
        </w:rPr>
        <w:t>eśniejszą analizę</w:t>
      </w:r>
      <w:r w:rsidR="00043012" w:rsidRPr="006B771F">
        <w:rPr>
          <w:noProof/>
        </w:rPr>
        <w:t xml:space="preserve"> w</w:t>
      </w:r>
      <w:r w:rsidR="00043012">
        <w:rPr>
          <w:noProof/>
        </w:rPr>
        <w:t> </w:t>
      </w:r>
      <w:r w:rsidR="00043012" w:rsidRPr="006B771F">
        <w:rPr>
          <w:noProof/>
        </w:rPr>
        <w:t>cel</w:t>
      </w:r>
      <w:r w:rsidRPr="006B771F">
        <w:rPr>
          <w:noProof/>
        </w:rPr>
        <w:t>u przeciwdziałania handlowi ludźmi oraz identyfikacji</w:t>
      </w:r>
      <w:r w:rsidR="00043012" w:rsidRPr="006B771F">
        <w:rPr>
          <w:noProof/>
        </w:rPr>
        <w:t xml:space="preserve"> i</w:t>
      </w:r>
      <w:r w:rsidR="00043012">
        <w:rPr>
          <w:noProof/>
        </w:rPr>
        <w:t> </w:t>
      </w:r>
      <w:r w:rsidR="00043012" w:rsidRPr="006B771F">
        <w:rPr>
          <w:noProof/>
        </w:rPr>
        <w:t>och</w:t>
      </w:r>
      <w:r w:rsidRPr="006B771F">
        <w:rPr>
          <w:noProof/>
        </w:rPr>
        <w:t>rony ofiar;</w:t>
      </w:r>
    </w:p>
    <w:p w14:paraId="51B330C5" w14:textId="55C897C7" w:rsidR="00AD2D37" w:rsidRPr="006B771F" w:rsidRDefault="00AD2D37" w:rsidP="00AD2D37">
      <w:pPr>
        <w:pStyle w:val="Tiret0"/>
        <w:rPr>
          <w:noProof/>
        </w:rPr>
      </w:pPr>
      <w:r w:rsidRPr="006B771F">
        <w:rPr>
          <w:noProof/>
        </w:rPr>
        <w:t>stworzenie wspólnie</w:t>
      </w:r>
      <w:r w:rsidR="00043012" w:rsidRPr="006B771F">
        <w:rPr>
          <w:noProof/>
        </w:rPr>
        <w:t xml:space="preserve"> z</w:t>
      </w:r>
      <w:r w:rsidR="00043012">
        <w:rPr>
          <w:noProof/>
        </w:rPr>
        <w:t> </w:t>
      </w:r>
      <w:r w:rsidR="00043012" w:rsidRPr="006B771F">
        <w:rPr>
          <w:noProof/>
        </w:rPr>
        <w:t>Kom</w:t>
      </w:r>
      <w:r w:rsidRPr="006B771F">
        <w:rPr>
          <w:noProof/>
        </w:rPr>
        <w:t>isją</w:t>
      </w:r>
      <w:r w:rsidR="00043012" w:rsidRPr="006B771F">
        <w:rPr>
          <w:noProof/>
        </w:rPr>
        <w:t xml:space="preserve"> i</w:t>
      </w:r>
      <w:r w:rsidR="00043012">
        <w:rPr>
          <w:noProof/>
        </w:rPr>
        <w:t> </w:t>
      </w:r>
      <w:r w:rsidR="00043012" w:rsidRPr="006B771F">
        <w:rPr>
          <w:noProof/>
        </w:rPr>
        <w:t>Eur</w:t>
      </w:r>
      <w:r w:rsidRPr="006B771F">
        <w:rPr>
          <w:noProof/>
        </w:rPr>
        <w:t>opolem</w:t>
      </w:r>
      <w:r w:rsidRPr="006B771F">
        <w:rPr>
          <w:rStyle w:val="FootnoteReference0"/>
          <w:noProof/>
        </w:rPr>
        <w:footnoteReference w:id="34"/>
      </w:r>
      <w:r w:rsidRPr="006B771F">
        <w:rPr>
          <w:noProof/>
        </w:rPr>
        <w:t xml:space="preserve"> platformy koordynacyjnej</w:t>
      </w:r>
      <w:r w:rsidR="00043012" w:rsidRPr="006B771F">
        <w:rPr>
          <w:noProof/>
        </w:rPr>
        <w:t xml:space="preserve"> w</w:t>
      </w:r>
      <w:r w:rsidR="00043012">
        <w:rPr>
          <w:noProof/>
        </w:rPr>
        <w:t> </w:t>
      </w:r>
      <w:r w:rsidR="00043012" w:rsidRPr="006B771F">
        <w:rPr>
          <w:noProof/>
        </w:rPr>
        <w:t>cel</w:t>
      </w:r>
      <w:r w:rsidRPr="006B771F">
        <w:rPr>
          <w:noProof/>
        </w:rPr>
        <w:t>u wspierania</w:t>
      </w:r>
      <w:r w:rsidR="00043012" w:rsidRPr="006B771F">
        <w:rPr>
          <w:noProof/>
        </w:rPr>
        <w:t xml:space="preserve"> i</w:t>
      </w:r>
      <w:r w:rsidR="00043012">
        <w:rPr>
          <w:noProof/>
        </w:rPr>
        <w:t> </w:t>
      </w:r>
      <w:r w:rsidR="00043012" w:rsidRPr="006B771F">
        <w:rPr>
          <w:noProof/>
        </w:rPr>
        <w:t>uki</w:t>
      </w:r>
      <w:r w:rsidRPr="006B771F">
        <w:rPr>
          <w:noProof/>
        </w:rPr>
        <w:t>erunkowywania wspólnych operacji</w:t>
      </w:r>
      <w:r w:rsidR="00043012" w:rsidRPr="006B771F">
        <w:rPr>
          <w:noProof/>
        </w:rPr>
        <w:t xml:space="preserve"> i</w:t>
      </w:r>
      <w:r w:rsidR="00043012">
        <w:rPr>
          <w:noProof/>
        </w:rPr>
        <w:t> </w:t>
      </w:r>
      <w:r w:rsidR="00043012" w:rsidRPr="006B771F">
        <w:rPr>
          <w:noProof/>
        </w:rPr>
        <w:t>pat</w:t>
      </w:r>
      <w:r w:rsidRPr="006B771F">
        <w:rPr>
          <w:noProof/>
        </w:rPr>
        <w:t>roli w UE na potrzeby utrzymywania</w:t>
      </w:r>
      <w:r w:rsidR="00043012" w:rsidRPr="006B771F">
        <w:rPr>
          <w:noProof/>
        </w:rPr>
        <w:t xml:space="preserve"> i</w:t>
      </w:r>
      <w:r w:rsidR="00043012">
        <w:rPr>
          <w:noProof/>
        </w:rPr>
        <w:t> </w:t>
      </w:r>
      <w:r w:rsidR="00043012" w:rsidRPr="006B771F">
        <w:rPr>
          <w:noProof/>
        </w:rPr>
        <w:t>pop</w:t>
      </w:r>
      <w:r w:rsidRPr="006B771F">
        <w:rPr>
          <w:noProof/>
        </w:rPr>
        <w:t>rawy porządku publicznego</w:t>
      </w:r>
      <w:r w:rsidR="00043012" w:rsidRPr="006B771F">
        <w:rPr>
          <w:noProof/>
        </w:rPr>
        <w:t xml:space="preserve"> i</w:t>
      </w:r>
      <w:r w:rsidR="00043012">
        <w:rPr>
          <w:noProof/>
        </w:rPr>
        <w:t> </w:t>
      </w:r>
      <w:r w:rsidR="00043012" w:rsidRPr="006B771F">
        <w:rPr>
          <w:noProof/>
        </w:rPr>
        <w:t>bez</w:t>
      </w:r>
      <w:r w:rsidRPr="006B771F">
        <w:rPr>
          <w:noProof/>
        </w:rPr>
        <w:t>pieczeństwa, zapobiegania przestępstwom lub pomocy</w:t>
      </w:r>
      <w:r w:rsidR="00043012" w:rsidRPr="006B771F">
        <w:rPr>
          <w:noProof/>
        </w:rPr>
        <w:t xml:space="preserve"> w</w:t>
      </w:r>
      <w:r w:rsidR="00043012">
        <w:rPr>
          <w:noProof/>
        </w:rPr>
        <w:t> </w:t>
      </w:r>
      <w:r w:rsidR="00043012" w:rsidRPr="006B771F">
        <w:rPr>
          <w:noProof/>
        </w:rPr>
        <w:t>rad</w:t>
      </w:r>
      <w:r w:rsidRPr="006B771F">
        <w:rPr>
          <w:noProof/>
        </w:rPr>
        <w:t>zeniu sobie</w:t>
      </w:r>
      <w:r w:rsidR="00043012" w:rsidRPr="006B771F">
        <w:rPr>
          <w:noProof/>
        </w:rPr>
        <w:t xml:space="preserve"> z</w:t>
      </w:r>
      <w:r w:rsidR="00043012">
        <w:rPr>
          <w:noProof/>
        </w:rPr>
        <w:t> </w:t>
      </w:r>
      <w:r w:rsidR="00043012" w:rsidRPr="006B771F">
        <w:rPr>
          <w:noProof/>
        </w:rPr>
        <w:t>okr</w:t>
      </w:r>
      <w:r w:rsidRPr="006B771F">
        <w:rPr>
          <w:noProof/>
        </w:rPr>
        <w:t>eślonymi falami przestępczości</w:t>
      </w:r>
      <w:r w:rsidR="00043012" w:rsidRPr="006B771F">
        <w:rPr>
          <w:noProof/>
        </w:rPr>
        <w:t xml:space="preserve"> w</w:t>
      </w:r>
      <w:r w:rsidR="00043012">
        <w:rPr>
          <w:noProof/>
        </w:rPr>
        <w:t> </w:t>
      </w:r>
      <w:r w:rsidR="00043012" w:rsidRPr="006B771F">
        <w:rPr>
          <w:noProof/>
        </w:rPr>
        <w:t>klu</w:t>
      </w:r>
      <w:r w:rsidRPr="006B771F">
        <w:rPr>
          <w:noProof/>
        </w:rPr>
        <w:t>czowych lokalizacjach lub</w:t>
      </w:r>
      <w:r w:rsidR="00043012" w:rsidRPr="006B771F">
        <w:rPr>
          <w:noProof/>
        </w:rPr>
        <w:t xml:space="preserve"> w</w:t>
      </w:r>
      <w:r w:rsidR="00043012">
        <w:rPr>
          <w:noProof/>
        </w:rPr>
        <w:t> </w:t>
      </w:r>
      <w:r w:rsidR="00043012" w:rsidRPr="006B771F">
        <w:rPr>
          <w:noProof/>
        </w:rPr>
        <w:t>kon</w:t>
      </w:r>
      <w:r w:rsidRPr="006B771F">
        <w:rPr>
          <w:noProof/>
        </w:rPr>
        <w:t>kretnych okresach (np. obszary turystyczne, główne ośrodki przestępczości, sezon urlopowy), podczas zgromadzeń masowych (np. dużych wydarzeń sportowych, szczytów międzynarodowych) lub</w:t>
      </w:r>
      <w:r w:rsidR="00043012" w:rsidRPr="006B771F">
        <w:rPr>
          <w:noProof/>
        </w:rPr>
        <w:t xml:space="preserve"> w</w:t>
      </w:r>
      <w:r w:rsidR="00043012">
        <w:rPr>
          <w:noProof/>
        </w:rPr>
        <w:t> </w:t>
      </w:r>
      <w:r w:rsidR="00043012" w:rsidRPr="006B771F">
        <w:rPr>
          <w:noProof/>
        </w:rPr>
        <w:t>prz</w:t>
      </w:r>
      <w:r w:rsidRPr="006B771F">
        <w:rPr>
          <w:noProof/>
        </w:rPr>
        <w:t>ypadku klęsk żywiołowych</w:t>
      </w:r>
      <w:r w:rsidR="00043012" w:rsidRPr="006B771F">
        <w:rPr>
          <w:noProof/>
        </w:rPr>
        <w:t xml:space="preserve"> i</w:t>
      </w:r>
      <w:r w:rsidR="00043012">
        <w:rPr>
          <w:noProof/>
        </w:rPr>
        <w:t> </w:t>
      </w:r>
      <w:r w:rsidR="00043012" w:rsidRPr="006B771F">
        <w:rPr>
          <w:noProof/>
        </w:rPr>
        <w:t>pow</w:t>
      </w:r>
      <w:r w:rsidRPr="006B771F">
        <w:rPr>
          <w:noProof/>
        </w:rPr>
        <w:t>ażnych wypadków;</w:t>
      </w:r>
    </w:p>
    <w:p w14:paraId="6262DC71" w14:textId="748770D5" w:rsidR="00AD2D37" w:rsidRPr="006B771F" w:rsidRDefault="00AD2D37" w:rsidP="00AD2D37">
      <w:pPr>
        <w:pStyle w:val="Tiret0"/>
        <w:rPr>
          <w:noProof/>
        </w:rPr>
      </w:pPr>
      <w:r w:rsidRPr="006B771F">
        <w:rPr>
          <w:noProof/>
        </w:rPr>
        <w:t>rozszerzenie wspólnych programów szkoleń oraz wymiany kadetów,</w:t>
      </w:r>
      <w:r w:rsidR="00043012" w:rsidRPr="006B771F">
        <w:rPr>
          <w:noProof/>
        </w:rPr>
        <w:t xml:space="preserve"> a</w:t>
      </w:r>
      <w:r w:rsidR="00043012">
        <w:rPr>
          <w:noProof/>
        </w:rPr>
        <w:t> </w:t>
      </w:r>
      <w:r w:rsidR="00043012" w:rsidRPr="006B771F">
        <w:rPr>
          <w:noProof/>
        </w:rPr>
        <w:t>tak</w:t>
      </w:r>
      <w:r w:rsidRPr="006B771F">
        <w:rPr>
          <w:noProof/>
        </w:rPr>
        <w:t>że szkolenia przez całe życie funkcjonariuszy policji zaangażowanych</w:t>
      </w:r>
      <w:r w:rsidR="00043012" w:rsidRPr="006B771F">
        <w:rPr>
          <w:noProof/>
        </w:rPr>
        <w:t xml:space="preserve"> w</w:t>
      </w:r>
      <w:r w:rsidR="00043012">
        <w:rPr>
          <w:noProof/>
        </w:rPr>
        <w:t> </w:t>
      </w:r>
      <w:r w:rsidR="00043012" w:rsidRPr="006B771F">
        <w:rPr>
          <w:noProof/>
        </w:rPr>
        <w:t>ope</w:t>
      </w:r>
      <w:r w:rsidRPr="006B771F">
        <w:rPr>
          <w:noProof/>
        </w:rPr>
        <w:t>racyjną współpracę transgraniczną oraz zastanowienie się nad stworzeniem zakrojonego na szeroką skalę ogólnoeuropejskiego wspólnego programu szkoleń</w:t>
      </w:r>
      <w:r w:rsidR="00043012" w:rsidRPr="006B771F">
        <w:rPr>
          <w:noProof/>
        </w:rPr>
        <w:t xml:space="preserve"> w</w:t>
      </w:r>
      <w:r w:rsidR="00043012">
        <w:rPr>
          <w:noProof/>
        </w:rPr>
        <w:t> </w:t>
      </w:r>
      <w:r w:rsidR="00043012" w:rsidRPr="006B771F">
        <w:rPr>
          <w:noProof/>
        </w:rPr>
        <w:t>zak</w:t>
      </w:r>
      <w:r w:rsidRPr="006B771F">
        <w:rPr>
          <w:noProof/>
        </w:rPr>
        <w:t>resie współpracy transgranicznej</w:t>
      </w:r>
      <w:r w:rsidR="00043012" w:rsidRPr="006B771F">
        <w:rPr>
          <w:noProof/>
        </w:rPr>
        <w:t xml:space="preserve"> w</w:t>
      </w:r>
      <w:r w:rsidR="00043012">
        <w:rPr>
          <w:noProof/>
        </w:rPr>
        <w:t> </w:t>
      </w:r>
      <w:r w:rsidR="00043012" w:rsidRPr="006B771F">
        <w:rPr>
          <w:noProof/>
        </w:rPr>
        <w:t>cel</w:t>
      </w:r>
      <w:r w:rsidRPr="006B771F">
        <w:rPr>
          <w:noProof/>
        </w:rPr>
        <w:t>u stworzenia prawdziwej unijnej kultury działań policji.</w:t>
      </w:r>
    </w:p>
    <w:p w14:paraId="05AFC3F4" w14:textId="14B4DE23" w:rsidR="00AD2D37" w:rsidRPr="006B771F" w:rsidRDefault="00AD2D37" w:rsidP="00AD2D37">
      <w:pPr>
        <w:rPr>
          <w:noProof/>
        </w:rPr>
      </w:pPr>
      <w:r w:rsidRPr="006B771F">
        <w:rPr>
          <w:noProof/>
        </w:rPr>
        <w:t>Jak określono</w:t>
      </w:r>
      <w:r w:rsidR="00043012" w:rsidRPr="006B771F">
        <w:rPr>
          <w:noProof/>
        </w:rPr>
        <w:t xml:space="preserve"> w</w:t>
      </w:r>
      <w:r w:rsidR="00043012">
        <w:rPr>
          <w:noProof/>
        </w:rPr>
        <w:t> </w:t>
      </w:r>
      <w:r w:rsidR="00043012" w:rsidRPr="006B771F">
        <w:rPr>
          <w:noProof/>
        </w:rPr>
        <w:t>zal</w:t>
      </w:r>
      <w:r w:rsidRPr="006B771F">
        <w:rPr>
          <w:noProof/>
        </w:rPr>
        <w:t>eceniu, którego dotyczy wniosek, państwa członkowskie powinny,</w:t>
      </w:r>
      <w:r w:rsidR="00043012" w:rsidRPr="006B771F">
        <w:rPr>
          <w:noProof/>
        </w:rPr>
        <w:t xml:space="preserve"> w</w:t>
      </w:r>
      <w:r w:rsidR="00043012">
        <w:rPr>
          <w:noProof/>
        </w:rPr>
        <w:t> </w:t>
      </w:r>
      <w:r w:rsidR="00043012" w:rsidRPr="006B771F">
        <w:rPr>
          <w:noProof/>
        </w:rPr>
        <w:t>sto</w:t>
      </w:r>
      <w:r w:rsidRPr="006B771F">
        <w:rPr>
          <w:noProof/>
        </w:rPr>
        <w:t>sownych przypadkach, zmienić swoje przepisy krajowe oraz dwustronne</w:t>
      </w:r>
      <w:r w:rsidR="00043012" w:rsidRPr="006B771F">
        <w:rPr>
          <w:noProof/>
        </w:rPr>
        <w:t xml:space="preserve"> i</w:t>
      </w:r>
      <w:r w:rsidR="00043012">
        <w:rPr>
          <w:noProof/>
        </w:rPr>
        <w:t> </w:t>
      </w:r>
      <w:r w:rsidR="00043012" w:rsidRPr="006B771F">
        <w:rPr>
          <w:noProof/>
        </w:rPr>
        <w:t>wie</w:t>
      </w:r>
      <w:r w:rsidRPr="006B771F">
        <w:rPr>
          <w:noProof/>
        </w:rPr>
        <w:t>lostronne umowy</w:t>
      </w:r>
      <w:r w:rsidR="00043012" w:rsidRPr="006B771F">
        <w:rPr>
          <w:noProof/>
        </w:rPr>
        <w:t xml:space="preserve"> z</w:t>
      </w:r>
      <w:r w:rsidR="00043012">
        <w:rPr>
          <w:noProof/>
        </w:rPr>
        <w:t> </w:t>
      </w:r>
      <w:r w:rsidR="00043012" w:rsidRPr="006B771F">
        <w:rPr>
          <w:noProof/>
        </w:rPr>
        <w:t>inn</w:t>
      </w:r>
      <w:r w:rsidRPr="006B771F">
        <w:rPr>
          <w:noProof/>
        </w:rPr>
        <w:t>ymi państwami członkowskimi na potrzeby wdrożenia środków zawartych</w:t>
      </w:r>
      <w:r w:rsidR="00043012" w:rsidRPr="006B771F">
        <w:rPr>
          <w:noProof/>
        </w:rPr>
        <w:t xml:space="preserve"> w</w:t>
      </w:r>
      <w:r w:rsidR="00043012">
        <w:rPr>
          <w:noProof/>
        </w:rPr>
        <w:t> </w:t>
      </w:r>
      <w:r w:rsidR="00043012" w:rsidRPr="006B771F">
        <w:rPr>
          <w:noProof/>
        </w:rPr>
        <w:t>tym</w:t>
      </w:r>
      <w:r w:rsidRPr="006B771F">
        <w:rPr>
          <w:noProof/>
        </w:rPr>
        <w:t xml:space="preserve"> zaleceniu.</w:t>
      </w:r>
    </w:p>
    <w:p w14:paraId="42FD2681" w14:textId="0A6F3A7E" w:rsidR="00AD2D37" w:rsidRPr="006B771F" w:rsidRDefault="00AD2D37" w:rsidP="00AD2D37">
      <w:pPr>
        <w:pStyle w:val="ManualHeading2"/>
        <w:rPr>
          <w:rFonts w:eastAsia="Arial Unicode MS"/>
          <w:noProof/>
          <w:color w:val="000000"/>
          <w:u w:color="000000"/>
          <w:bdr w:val="nil"/>
        </w:rPr>
      </w:pPr>
      <w:r w:rsidRPr="006B771F">
        <w:rPr>
          <w:noProof/>
          <w:color w:val="000000"/>
          <w:u w:color="000000"/>
          <w:bdr w:val="nil"/>
        </w:rPr>
        <w:t>•</w:t>
      </w:r>
      <w:r w:rsidRPr="006B771F">
        <w:rPr>
          <w:noProof/>
        </w:rPr>
        <w:tab/>
        <w:t>Spójność</w:t>
      </w:r>
      <w:r w:rsidR="00043012" w:rsidRPr="006B771F">
        <w:rPr>
          <w:noProof/>
        </w:rPr>
        <w:t xml:space="preserve"> z</w:t>
      </w:r>
      <w:r w:rsidR="00043012">
        <w:rPr>
          <w:noProof/>
        </w:rPr>
        <w:t> </w:t>
      </w:r>
      <w:r w:rsidR="00043012" w:rsidRPr="006B771F">
        <w:rPr>
          <w:noProof/>
        </w:rPr>
        <w:t>prz</w:t>
      </w:r>
      <w:r w:rsidRPr="006B771F">
        <w:rPr>
          <w:noProof/>
        </w:rPr>
        <w:t>episami obowiązującymi</w:t>
      </w:r>
      <w:r w:rsidR="00043012" w:rsidRPr="006B771F">
        <w:rPr>
          <w:noProof/>
        </w:rPr>
        <w:t xml:space="preserve"> w</w:t>
      </w:r>
      <w:r w:rsidR="00043012">
        <w:rPr>
          <w:noProof/>
        </w:rPr>
        <w:t> </w:t>
      </w:r>
      <w:r w:rsidR="00043012" w:rsidRPr="006B771F">
        <w:rPr>
          <w:noProof/>
        </w:rPr>
        <w:t>tym</w:t>
      </w:r>
      <w:r w:rsidRPr="006B771F">
        <w:rPr>
          <w:noProof/>
        </w:rPr>
        <w:t xml:space="preserve"> obszarze polityki</w:t>
      </w:r>
    </w:p>
    <w:p w14:paraId="04BB0BEB" w14:textId="3A3AEBCE" w:rsidR="00AD2D37" w:rsidRPr="006B771F" w:rsidRDefault="00AD2D37" w:rsidP="00AD2D37">
      <w:pPr>
        <w:spacing w:before="0"/>
        <w:rPr>
          <w:noProof/>
        </w:rPr>
      </w:pPr>
      <w:r w:rsidRPr="006B771F">
        <w:rPr>
          <w:noProof/>
        </w:rPr>
        <w:t>Niniejsze zalecenie jest spójne</w:t>
      </w:r>
      <w:r w:rsidR="00043012" w:rsidRPr="006B771F">
        <w:rPr>
          <w:noProof/>
        </w:rPr>
        <w:t xml:space="preserve"> z</w:t>
      </w:r>
      <w:r w:rsidR="00043012">
        <w:rPr>
          <w:noProof/>
        </w:rPr>
        <w:t> </w:t>
      </w:r>
      <w:r w:rsidR="00043012" w:rsidRPr="006B771F">
        <w:rPr>
          <w:noProof/>
        </w:rPr>
        <w:t>obo</w:t>
      </w:r>
      <w:r w:rsidRPr="006B771F">
        <w:rPr>
          <w:noProof/>
        </w:rPr>
        <w:t>wiązującymi</w:t>
      </w:r>
      <w:r w:rsidR="00043012" w:rsidRPr="006B771F">
        <w:rPr>
          <w:noProof/>
        </w:rPr>
        <w:t xml:space="preserve"> i</w:t>
      </w:r>
      <w:r w:rsidR="00043012">
        <w:rPr>
          <w:noProof/>
        </w:rPr>
        <w:t> </w:t>
      </w:r>
      <w:r w:rsidR="00043012" w:rsidRPr="006B771F">
        <w:rPr>
          <w:noProof/>
        </w:rPr>
        <w:t>prz</w:t>
      </w:r>
      <w:r w:rsidRPr="006B771F">
        <w:rPr>
          <w:noProof/>
        </w:rPr>
        <w:t>yszłymi przepisami</w:t>
      </w:r>
      <w:r w:rsidR="00043012" w:rsidRPr="006B771F">
        <w:rPr>
          <w:noProof/>
        </w:rPr>
        <w:t xml:space="preserve"> w</w:t>
      </w:r>
      <w:r w:rsidR="00043012">
        <w:rPr>
          <w:noProof/>
        </w:rPr>
        <w:t> </w:t>
      </w:r>
      <w:r w:rsidR="00043012" w:rsidRPr="006B771F">
        <w:rPr>
          <w:noProof/>
        </w:rPr>
        <w:t>dzi</w:t>
      </w:r>
      <w:r w:rsidRPr="006B771F">
        <w:rPr>
          <w:noProof/>
        </w:rPr>
        <w:t xml:space="preserve">edzinie polityki dotyczącej współpracy organów ścigania. </w:t>
      </w:r>
    </w:p>
    <w:p w14:paraId="16C4DCD0" w14:textId="25760FF8" w:rsidR="00AD2D37" w:rsidRPr="006B771F" w:rsidRDefault="00AD2D37" w:rsidP="00AD2D37">
      <w:pPr>
        <w:spacing w:before="0"/>
        <w:rPr>
          <w:noProof/>
          <w:szCs w:val="24"/>
        </w:rPr>
      </w:pPr>
      <w:r w:rsidRPr="006B771F">
        <w:rPr>
          <w:noProof/>
        </w:rPr>
        <w:t>Jak podkreślono</w:t>
      </w:r>
      <w:r w:rsidR="00043012" w:rsidRPr="006B771F">
        <w:rPr>
          <w:noProof/>
        </w:rPr>
        <w:t xml:space="preserve"> w</w:t>
      </w:r>
      <w:r w:rsidR="00043012">
        <w:rPr>
          <w:noProof/>
        </w:rPr>
        <w:t> </w:t>
      </w:r>
      <w:r w:rsidR="00043012" w:rsidRPr="006B771F">
        <w:rPr>
          <w:noProof/>
        </w:rPr>
        <w:t>sek</w:t>
      </w:r>
      <w:r w:rsidRPr="006B771F">
        <w:rPr>
          <w:noProof/>
        </w:rPr>
        <w:t>cji „Przyczyny</w:t>
      </w:r>
      <w:r w:rsidR="00043012" w:rsidRPr="006B771F">
        <w:rPr>
          <w:noProof/>
        </w:rPr>
        <w:t xml:space="preserve"> i</w:t>
      </w:r>
      <w:r w:rsidR="00043012">
        <w:rPr>
          <w:noProof/>
        </w:rPr>
        <w:t> </w:t>
      </w:r>
      <w:r w:rsidR="00043012" w:rsidRPr="006B771F">
        <w:rPr>
          <w:noProof/>
        </w:rPr>
        <w:t>cel</w:t>
      </w:r>
      <w:r w:rsidRPr="006B771F">
        <w:rPr>
          <w:noProof/>
        </w:rPr>
        <w:t>e wniosku”, istniejące dokumenty strategiczne Komisji wspierają jej starania na rzecz poprawy efektywności</w:t>
      </w:r>
      <w:r w:rsidR="00043012" w:rsidRPr="006B771F">
        <w:rPr>
          <w:noProof/>
        </w:rPr>
        <w:t xml:space="preserve"> i</w:t>
      </w:r>
      <w:r w:rsidR="00043012">
        <w:rPr>
          <w:noProof/>
        </w:rPr>
        <w:t> </w:t>
      </w:r>
      <w:r w:rsidR="00043012" w:rsidRPr="006B771F">
        <w:rPr>
          <w:noProof/>
        </w:rPr>
        <w:t>sku</w:t>
      </w:r>
      <w:r w:rsidRPr="006B771F">
        <w:rPr>
          <w:noProof/>
        </w:rPr>
        <w:t>teczności współpracy organów ścigania w UE. Dokumenty te obejmują strategię UE</w:t>
      </w:r>
      <w:r w:rsidR="00043012" w:rsidRPr="006B771F">
        <w:rPr>
          <w:noProof/>
        </w:rPr>
        <w:t xml:space="preserve"> w</w:t>
      </w:r>
      <w:r w:rsidR="00043012">
        <w:rPr>
          <w:noProof/>
        </w:rPr>
        <w:t> </w:t>
      </w:r>
      <w:r w:rsidR="00043012" w:rsidRPr="006B771F">
        <w:rPr>
          <w:noProof/>
        </w:rPr>
        <w:t>zak</w:t>
      </w:r>
      <w:r w:rsidRPr="006B771F">
        <w:rPr>
          <w:noProof/>
        </w:rPr>
        <w:t>resie unii bezpieczeństwa</w:t>
      </w:r>
      <w:r w:rsidRPr="006B771F">
        <w:rPr>
          <w:rStyle w:val="FootnoteReference0"/>
          <w:noProof/>
        </w:rPr>
        <w:footnoteReference w:id="35"/>
      </w:r>
      <w:r w:rsidRPr="006B771F">
        <w:rPr>
          <w:noProof/>
        </w:rPr>
        <w:t>, plan dla UE</w:t>
      </w:r>
      <w:r w:rsidR="00043012" w:rsidRPr="006B771F">
        <w:rPr>
          <w:noProof/>
        </w:rPr>
        <w:t xml:space="preserve"> w</w:t>
      </w:r>
      <w:r w:rsidR="00043012">
        <w:rPr>
          <w:noProof/>
        </w:rPr>
        <w:t> </w:t>
      </w:r>
      <w:r w:rsidR="00043012" w:rsidRPr="006B771F">
        <w:rPr>
          <w:noProof/>
        </w:rPr>
        <w:t>dzi</w:t>
      </w:r>
      <w:r w:rsidRPr="006B771F">
        <w:rPr>
          <w:noProof/>
        </w:rPr>
        <w:t>edzinie zwalczania terroryzmu</w:t>
      </w:r>
      <w:r w:rsidRPr="006B771F">
        <w:rPr>
          <w:rStyle w:val="FootnoteReference0"/>
          <w:noProof/>
        </w:rPr>
        <w:footnoteReference w:id="36"/>
      </w:r>
      <w:r w:rsidRPr="006B771F">
        <w:rPr>
          <w:noProof/>
        </w:rPr>
        <w:t>, unijną strategię zwalczania przestępczości zorganizowanej 2021–2025</w:t>
      </w:r>
      <w:r w:rsidRPr="006B771F">
        <w:rPr>
          <w:rStyle w:val="FootnoteReference0"/>
          <w:noProof/>
        </w:rPr>
        <w:footnoteReference w:id="37"/>
      </w:r>
      <w:r w:rsidRPr="006B771F">
        <w:rPr>
          <w:noProof/>
        </w:rPr>
        <w:t>, strategię UE</w:t>
      </w:r>
      <w:r w:rsidR="00043012" w:rsidRPr="006B771F">
        <w:rPr>
          <w:noProof/>
        </w:rPr>
        <w:t xml:space="preserve"> w</w:t>
      </w:r>
      <w:r w:rsidR="00043012">
        <w:rPr>
          <w:noProof/>
        </w:rPr>
        <w:t> </w:t>
      </w:r>
      <w:r w:rsidR="00043012" w:rsidRPr="006B771F">
        <w:rPr>
          <w:noProof/>
        </w:rPr>
        <w:t>zak</w:t>
      </w:r>
      <w:r w:rsidRPr="006B771F">
        <w:rPr>
          <w:noProof/>
        </w:rPr>
        <w:t>resie zwalczania handlu ludźmi na lata 2021–2025</w:t>
      </w:r>
      <w:r w:rsidRPr="006B771F">
        <w:rPr>
          <w:rStyle w:val="FootnoteReference0"/>
          <w:noProof/>
          <w:szCs w:val="24"/>
        </w:rPr>
        <w:footnoteReference w:id="38"/>
      </w:r>
      <w:r w:rsidRPr="006B771F">
        <w:rPr>
          <w:noProof/>
        </w:rPr>
        <w:t xml:space="preserve">, </w:t>
      </w:r>
      <w:hyperlink r:id="rId13" w:history="1">
        <w:r w:rsidRPr="006B771F">
          <w:rPr>
            <w:noProof/>
          </w:rPr>
          <w:t>strategię UE na rzecz skuteczniejszej walki</w:t>
        </w:r>
        <w:r w:rsidR="00043012" w:rsidRPr="006B771F">
          <w:rPr>
            <w:noProof/>
          </w:rPr>
          <w:t xml:space="preserve"> z</w:t>
        </w:r>
        <w:r w:rsidR="00043012">
          <w:rPr>
            <w:noProof/>
          </w:rPr>
          <w:t> </w:t>
        </w:r>
        <w:r w:rsidR="00043012" w:rsidRPr="006B771F">
          <w:rPr>
            <w:noProof/>
          </w:rPr>
          <w:t>nie</w:t>
        </w:r>
        <w:r w:rsidRPr="006B771F">
          <w:rPr>
            <w:noProof/>
          </w:rPr>
          <w:t>godziwym traktowaniem dzieci</w:t>
        </w:r>
        <w:r w:rsidR="00043012" w:rsidRPr="006B771F">
          <w:rPr>
            <w:noProof/>
          </w:rPr>
          <w:t xml:space="preserve"> w</w:t>
        </w:r>
        <w:r w:rsidR="00043012">
          <w:rPr>
            <w:noProof/>
          </w:rPr>
          <w:t> </w:t>
        </w:r>
        <w:r w:rsidR="00043012" w:rsidRPr="006B771F">
          <w:rPr>
            <w:noProof/>
          </w:rPr>
          <w:t>cel</w:t>
        </w:r>
        <w:r w:rsidRPr="006B771F">
          <w:rPr>
            <w:noProof/>
          </w:rPr>
          <w:t>ach seksualnych</w:t>
        </w:r>
      </w:hyperlink>
      <w:r w:rsidRPr="006B771F">
        <w:rPr>
          <w:rStyle w:val="FootnoteReference0"/>
          <w:noProof/>
          <w:szCs w:val="24"/>
          <w:lang w:eastAsia="en-GB"/>
        </w:rPr>
        <w:footnoteReference w:id="39"/>
      </w:r>
      <w:r w:rsidRPr="006B771F">
        <w:rPr>
          <w:noProof/>
        </w:rPr>
        <w:t>, strategię antynarkotykową UE na lata 2021–2025</w:t>
      </w:r>
      <w:r w:rsidRPr="006B771F">
        <w:rPr>
          <w:rStyle w:val="FootnoteReference0"/>
          <w:noProof/>
          <w:szCs w:val="24"/>
          <w:lang w:eastAsia="en-GB"/>
        </w:rPr>
        <w:footnoteReference w:id="40"/>
      </w:r>
      <w:r w:rsidRPr="006B771F">
        <w:rPr>
          <w:noProof/>
        </w:rPr>
        <w:t xml:space="preserve"> oraz nową strategię dotyczącą strefy Schengen</w:t>
      </w:r>
      <w:r w:rsidRPr="006B771F">
        <w:rPr>
          <w:rStyle w:val="FootnoteReference0"/>
          <w:noProof/>
        </w:rPr>
        <w:footnoteReference w:id="41"/>
      </w:r>
      <w:r w:rsidRPr="006B771F">
        <w:rPr>
          <w:noProof/>
        </w:rPr>
        <w:t>.</w:t>
      </w:r>
    </w:p>
    <w:p w14:paraId="1957D202" w14:textId="125AB8A1" w:rsidR="00AD2D37" w:rsidRPr="006B771F" w:rsidRDefault="00AD2D37" w:rsidP="00AD2D37">
      <w:pPr>
        <w:spacing w:before="0"/>
        <w:rPr>
          <w:noProof/>
          <w:szCs w:val="24"/>
        </w:rPr>
      </w:pPr>
      <w:r w:rsidRPr="006B771F">
        <w:rPr>
          <w:noProof/>
        </w:rPr>
        <w:t>Rada zajmuje podobne stanowisko,</w:t>
      </w:r>
      <w:r w:rsidR="00043012" w:rsidRPr="006B771F">
        <w:rPr>
          <w:noProof/>
        </w:rPr>
        <w:t xml:space="preserve"> w</w:t>
      </w:r>
      <w:r w:rsidR="00043012">
        <w:rPr>
          <w:noProof/>
        </w:rPr>
        <w:t> </w:t>
      </w:r>
      <w:r w:rsidR="00043012" w:rsidRPr="006B771F">
        <w:rPr>
          <w:noProof/>
        </w:rPr>
        <w:t>szc</w:t>
      </w:r>
      <w:r w:rsidRPr="006B771F">
        <w:rPr>
          <w:noProof/>
        </w:rPr>
        <w:t>zególności ostatnio</w:t>
      </w:r>
      <w:r w:rsidR="00043012" w:rsidRPr="006B771F">
        <w:rPr>
          <w:noProof/>
        </w:rPr>
        <w:t xml:space="preserve"> w</w:t>
      </w:r>
      <w:r w:rsidR="00043012">
        <w:rPr>
          <w:noProof/>
        </w:rPr>
        <w:t> </w:t>
      </w:r>
      <w:r w:rsidR="00043012" w:rsidRPr="006B771F">
        <w:rPr>
          <w:noProof/>
        </w:rPr>
        <w:t>kon</w:t>
      </w:r>
      <w:r w:rsidRPr="006B771F">
        <w:rPr>
          <w:noProof/>
        </w:rPr>
        <w:t>kluzjach Rady</w:t>
      </w:r>
      <w:r w:rsidR="00043012" w:rsidRPr="006B771F">
        <w:rPr>
          <w:noProof/>
        </w:rPr>
        <w:t xml:space="preserve"> w</w:t>
      </w:r>
      <w:r w:rsidR="00043012">
        <w:rPr>
          <w:noProof/>
        </w:rPr>
        <w:t> </w:t>
      </w:r>
      <w:r w:rsidR="00043012" w:rsidRPr="006B771F">
        <w:rPr>
          <w:noProof/>
        </w:rPr>
        <w:t>spr</w:t>
      </w:r>
      <w:r w:rsidRPr="006B771F">
        <w:rPr>
          <w:noProof/>
        </w:rPr>
        <w:t>awie bezpieczeństwa wewnętrznego</w:t>
      </w:r>
      <w:r w:rsidR="00043012" w:rsidRPr="006B771F">
        <w:rPr>
          <w:noProof/>
        </w:rPr>
        <w:t xml:space="preserve"> i</w:t>
      </w:r>
      <w:r w:rsidR="00043012">
        <w:rPr>
          <w:noProof/>
        </w:rPr>
        <w:t> </w:t>
      </w:r>
      <w:r w:rsidR="00043012" w:rsidRPr="006B771F">
        <w:rPr>
          <w:noProof/>
        </w:rPr>
        <w:t>eur</w:t>
      </w:r>
      <w:r w:rsidRPr="006B771F">
        <w:rPr>
          <w:noProof/>
        </w:rPr>
        <w:t>opejskiego partnerstwa policyjnego</w:t>
      </w:r>
      <w:r w:rsidR="00043012" w:rsidRPr="006B771F">
        <w:rPr>
          <w:noProof/>
        </w:rPr>
        <w:t xml:space="preserve"> z</w:t>
      </w:r>
      <w:r w:rsidR="00043012">
        <w:rPr>
          <w:noProof/>
        </w:rPr>
        <w:t> </w:t>
      </w:r>
      <w:r w:rsidR="00043012" w:rsidRPr="006B771F">
        <w:rPr>
          <w:noProof/>
        </w:rPr>
        <w:t>lis</w:t>
      </w:r>
      <w:r w:rsidRPr="006B771F">
        <w:rPr>
          <w:noProof/>
        </w:rPr>
        <w:t>topada 20</w:t>
      </w:r>
      <w:r w:rsidRPr="00043012">
        <w:rPr>
          <w:noProof/>
        </w:rPr>
        <w:t>20</w:t>
      </w:r>
      <w:r w:rsidR="00043012" w:rsidRPr="00043012">
        <w:rPr>
          <w:noProof/>
        </w:rPr>
        <w:t> </w:t>
      </w:r>
      <w:r w:rsidRPr="00043012">
        <w:rPr>
          <w:noProof/>
        </w:rPr>
        <w:t>r.</w:t>
      </w:r>
      <w:r w:rsidRPr="006B771F">
        <w:rPr>
          <w:noProof/>
        </w:rPr>
        <w:t>,</w:t>
      </w:r>
      <w:r w:rsidR="00043012" w:rsidRPr="006B771F">
        <w:rPr>
          <w:noProof/>
        </w:rPr>
        <w:t xml:space="preserve"> w</w:t>
      </w:r>
      <w:r w:rsidR="00043012">
        <w:rPr>
          <w:noProof/>
        </w:rPr>
        <w:t> </w:t>
      </w:r>
      <w:r w:rsidR="00043012" w:rsidRPr="006B771F">
        <w:rPr>
          <w:noProof/>
        </w:rPr>
        <w:t>któ</w:t>
      </w:r>
      <w:r w:rsidRPr="006B771F">
        <w:rPr>
          <w:noProof/>
        </w:rPr>
        <w:t>rych zwraca się do Komisji, aby „rozważyła skonsolidowanie unijnych ram prawnych, tak by jeszcze bardziej wzmocnić transgraniczną współpracę organów ścigania</w:t>
      </w:r>
      <w:r w:rsidRPr="006B771F">
        <w:rPr>
          <w:rStyle w:val="FootnoteReference0"/>
          <w:noProof/>
        </w:rPr>
        <w:footnoteReference w:id="42"/>
      </w:r>
      <w:r w:rsidRPr="006B771F">
        <w:rPr>
          <w:noProof/>
        </w:rPr>
        <w:t>”.</w:t>
      </w:r>
    </w:p>
    <w:p w14:paraId="59206447" w14:textId="5F6986ED" w:rsidR="00AD2D37" w:rsidRPr="006B771F" w:rsidRDefault="00AD2D37" w:rsidP="00AD2D37">
      <w:pPr>
        <w:spacing w:before="0"/>
        <w:rPr>
          <w:noProof/>
          <w:szCs w:val="24"/>
        </w:rPr>
      </w:pPr>
      <w:r w:rsidRPr="006B771F">
        <w:rPr>
          <w:noProof/>
        </w:rPr>
        <w:t>Niniejsze zalecenie przyczyni się również do powstania</w:t>
      </w:r>
      <w:r w:rsidR="00043012" w:rsidRPr="006B771F">
        <w:rPr>
          <w:noProof/>
        </w:rPr>
        <w:t xml:space="preserve"> w</w:t>
      </w:r>
      <w:r w:rsidR="00043012">
        <w:rPr>
          <w:noProof/>
        </w:rPr>
        <w:t> </w:t>
      </w:r>
      <w:r w:rsidR="00043012" w:rsidRPr="006B771F">
        <w:rPr>
          <w:noProof/>
        </w:rPr>
        <w:t>peł</w:t>
      </w:r>
      <w:r w:rsidRPr="006B771F">
        <w:rPr>
          <w:noProof/>
        </w:rPr>
        <w:t>ni funkcjonującej</w:t>
      </w:r>
      <w:r w:rsidR="00043012" w:rsidRPr="006B771F">
        <w:rPr>
          <w:noProof/>
        </w:rPr>
        <w:t xml:space="preserve"> i</w:t>
      </w:r>
      <w:r w:rsidR="00043012">
        <w:rPr>
          <w:noProof/>
        </w:rPr>
        <w:t> </w:t>
      </w:r>
      <w:r w:rsidR="00043012" w:rsidRPr="006B771F">
        <w:rPr>
          <w:noProof/>
        </w:rPr>
        <w:t>odp</w:t>
      </w:r>
      <w:r w:rsidRPr="006B771F">
        <w:rPr>
          <w:noProof/>
        </w:rPr>
        <w:t>ornej strefy Schengen, jak wskazano</w:t>
      </w:r>
      <w:r w:rsidR="00043012" w:rsidRPr="006B771F">
        <w:rPr>
          <w:noProof/>
        </w:rPr>
        <w:t xml:space="preserve"> w</w:t>
      </w:r>
      <w:r w:rsidR="00043012">
        <w:rPr>
          <w:noProof/>
        </w:rPr>
        <w:t> </w:t>
      </w:r>
      <w:r w:rsidR="00043012" w:rsidRPr="006B771F">
        <w:rPr>
          <w:noProof/>
        </w:rPr>
        <w:t>str</w:t>
      </w:r>
      <w:r w:rsidRPr="006B771F">
        <w:rPr>
          <w:noProof/>
        </w:rPr>
        <w:t>ategii Schengen,</w:t>
      </w:r>
      <w:r w:rsidR="00043012" w:rsidRPr="006B771F">
        <w:rPr>
          <w:noProof/>
        </w:rPr>
        <w:t xml:space="preserve"> w</w:t>
      </w:r>
      <w:r w:rsidR="00043012">
        <w:rPr>
          <w:noProof/>
        </w:rPr>
        <w:t> </w:t>
      </w:r>
      <w:r w:rsidR="00043012" w:rsidRPr="006B771F">
        <w:rPr>
          <w:noProof/>
        </w:rPr>
        <w:t>któ</w:t>
      </w:r>
      <w:r w:rsidRPr="006B771F">
        <w:rPr>
          <w:noProof/>
        </w:rPr>
        <w:t>rej ponownie wyrażono „potrzebę wprowadzenia wspólnych norm umożliwiających funkcjonariuszom policji skuteczną współpracę</w:t>
      </w:r>
      <w:r w:rsidR="00043012" w:rsidRPr="006B771F">
        <w:rPr>
          <w:noProof/>
        </w:rPr>
        <w:t xml:space="preserve"> z</w:t>
      </w:r>
      <w:r w:rsidR="00043012">
        <w:rPr>
          <w:noProof/>
        </w:rPr>
        <w:t> </w:t>
      </w:r>
      <w:r w:rsidR="00043012" w:rsidRPr="006B771F">
        <w:rPr>
          <w:noProof/>
        </w:rPr>
        <w:t>fun</w:t>
      </w:r>
      <w:r w:rsidRPr="006B771F">
        <w:rPr>
          <w:noProof/>
        </w:rPr>
        <w:t>kcjonariuszami</w:t>
      </w:r>
      <w:r w:rsidR="00043012" w:rsidRPr="006B771F">
        <w:rPr>
          <w:noProof/>
        </w:rPr>
        <w:t xml:space="preserve"> w</w:t>
      </w:r>
      <w:r w:rsidR="00043012">
        <w:rPr>
          <w:noProof/>
        </w:rPr>
        <w:t> </w:t>
      </w:r>
      <w:r w:rsidR="00043012" w:rsidRPr="006B771F">
        <w:rPr>
          <w:noProof/>
        </w:rPr>
        <w:t>pań</w:t>
      </w:r>
      <w:r w:rsidRPr="006B771F">
        <w:rPr>
          <w:noProof/>
        </w:rPr>
        <w:t>stwach sąsiednich”. Pomoże to zapewnić wysoki poziom bezpieczeństwa na terytorium państw członkowskich,</w:t>
      </w:r>
      <w:r w:rsidR="00043012" w:rsidRPr="006B771F">
        <w:rPr>
          <w:noProof/>
        </w:rPr>
        <w:t xml:space="preserve"> a</w:t>
      </w:r>
      <w:r w:rsidR="00043012">
        <w:rPr>
          <w:noProof/>
        </w:rPr>
        <w:t> </w:t>
      </w:r>
      <w:r w:rsidR="00043012" w:rsidRPr="006B771F">
        <w:rPr>
          <w:noProof/>
        </w:rPr>
        <w:t>zat</w:t>
      </w:r>
      <w:r w:rsidRPr="006B771F">
        <w:rPr>
          <w:noProof/>
        </w:rPr>
        <w:t>em wesprze strefę Schengen bez kontroli na granicach wewnętrznych. Będzie również uzupełnieniem wniosku</w:t>
      </w:r>
      <w:r w:rsidR="00043012" w:rsidRPr="006B771F">
        <w:rPr>
          <w:noProof/>
        </w:rPr>
        <w:t xml:space="preserve"> o</w:t>
      </w:r>
      <w:r w:rsidR="00043012">
        <w:rPr>
          <w:noProof/>
        </w:rPr>
        <w:t> </w:t>
      </w:r>
      <w:r w:rsidR="00043012" w:rsidRPr="006B771F">
        <w:rPr>
          <w:noProof/>
        </w:rPr>
        <w:t>zmi</w:t>
      </w:r>
      <w:r w:rsidRPr="006B771F">
        <w:rPr>
          <w:noProof/>
        </w:rPr>
        <w:t>anę kodeksu granicznego Schengen.</w:t>
      </w:r>
    </w:p>
    <w:p w14:paraId="4AB3D18F" w14:textId="6D8C1A75" w:rsidR="00AD2D37" w:rsidRPr="006B771F" w:rsidRDefault="00AD2D37" w:rsidP="00AD2D37">
      <w:pPr>
        <w:spacing w:before="0"/>
        <w:rPr>
          <w:noProof/>
          <w:szCs w:val="24"/>
        </w:rPr>
      </w:pPr>
      <w:r w:rsidRPr="006B771F">
        <w:rPr>
          <w:noProof/>
        </w:rPr>
        <w:t>W związku</w:t>
      </w:r>
      <w:r w:rsidR="00043012" w:rsidRPr="006B771F">
        <w:rPr>
          <w:noProof/>
        </w:rPr>
        <w:t xml:space="preserve"> z</w:t>
      </w:r>
      <w:r w:rsidR="00043012">
        <w:rPr>
          <w:noProof/>
        </w:rPr>
        <w:t> </w:t>
      </w:r>
      <w:r w:rsidR="00043012" w:rsidRPr="006B771F">
        <w:rPr>
          <w:noProof/>
        </w:rPr>
        <w:t>tym</w:t>
      </w:r>
      <w:r w:rsidRPr="006B771F">
        <w:rPr>
          <w:noProof/>
        </w:rPr>
        <w:t>, że dwa filary współpracy organów ścigania odnoszą się zasadniczo do (i) operacyjnej współpracy transgranicznej (która stanowi główny przedmiot niniejszego wniosku) oraz (ii) wymiany informacji, niniejsze zalecenie będzie stanowiło część spójnego pakietu wraz</w:t>
      </w:r>
      <w:r w:rsidR="00043012" w:rsidRPr="006B771F">
        <w:rPr>
          <w:noProof/>
        </w:rPr>
        <w:t xml:space="preserve"> z</w:t>
      </w:r>
      <w:r w:rsidR="00043012">
        <w:rPr>
          <w:noProof/>
        </w:rPr>
        <w:t> </w:t>
      </w:r>
      <w:r w:rsidR="00043012" w:rsidRPr="006B771F">
        <w:rPr>
          <w:noProof/>
        </w:rPr>
        <w:t>wni</w:t>
      </w:r>
      <w:r w:rsidRPr="006B771F">
        <w:rPr>
          <w:noProof/>
        </w:rPr>
        <w:t>oskiem dotyczącym dyrektywy</w:t>
      </w:r>
      <w:r w:rsidR="00043012" w:rsidRPr="006B771F">
        <w:rPr>
          <w:noProof/>
        </w:rPr>
        <w:t xml:space="preserve"> w</w:t>
      </w:r>
      <w:r w:rsidR="00043012">
        <w:rPr>
          <w:noProof/>
        </w:rPr>
        <w:t> </w:t>
      </w:r>
      <w:r w:rsidR="00043012" w:rsidRPr="006B771F">
        <w:rPr>
          <w:noProof/>
        </w:rPr>
        <w:t>spr</w:t>
      </w:r>
      <w:r w:rsidRPr="006B771F">
        <w:rPr>
          <w:noProof/>
        </w:rPr>
        <w:t>awie wymiany informacji</w:t>
      </w:r>
      <w:r w:rsidR="00043012" w:rsidRPr="006B771F">
        <w:rPr>
          <w:noProof/>
        </w:rPr>
        <w:t xml:space="preserve"> i</w:t>
      </w:r>
      <w:r w:rsidR="00043012">
        <w:rPr>
          <w:noProof/>
        </w:rPr>
        <w:t> </w:t>
      </w:r>
      <w:r w:rsidR="00043012" w:rsidRPr="006B771F">
        <w:rPr>
          <w:noProof/>
        </w:rPr>
        <w:t>kom</w:t>
      </w:r>
      <w:r w:rsidRPr="006B771F">
        <w:rPr>
          <w:noProof/>
        </w:rPr>
        <w:t>unikacji między organami ścigania państw członkowskich oraz wnioskiem dotyczącym przeglądu mechanizmu zautomatyzowanej wymiany danych na potrzeby współpracy policyjnej („rozporządzenie Prüm II”).</w:t>
      </w:r>
    </w:p>
    <w:p w14:paraId="6F7B25A6" w14:textId="0D7D95D8" w:rsidR="00AD2D37" w:rsidRPr="006B771F" w:rsidRDefault="00AD2D37" w:rsidP="00AD2D37">
      <w:pPr>
        <w:spacing w:before="0"/>
        <w:rPr>
          <w:rFonts w:eastAsia="Arial Unicode MS"/>
          <w:noProof/>
        </w:rPr>
      </w:pPr>
      <w:r w:rsidRPr="006B771F">
        <w:rPr>
          <w:b/>
          <w:noProof/>
          <w:color w:val="000000"/>
          <w:u w:color="000000"/>
          <w:bdr w:val="nil"/>
        </w:rPr>
        <w:t>•</w:t>
      </w:r>
      <w:r w:rsidRPr="006B771F">
        <w:rPr>
          <w:noProof/>
        </w:rPr>
        <w:tab/>
      </w:r>
      <w:r w:rsidRPr="006B771F">
        <w:rPr>
          <w:b/>
          <w:noProof/>
        </w:rPr>
        <w:t>Spójność</w:t>
      </w:r>
      <w:r w:rsidR="00043012" w:rsidRPr="006B771F">
        <w:rPr>
          <w:b/>
          <w:noProof/>
        </w:rPr>
        <w:t xml:space="preserve"> z</w:t>
      </w:r>
      <w:r w:rsidR="00043012">
        <w:rPr>
          <w:b/>
          <w:noProof/>
        </w:rPr>
        <w:t> </w:t>
      </w:r>
      <w:r w:rsidR="00043012" w:rsidRPr="006B771F">
        <w:rPr>
          <w:b/>
          <w:noProof/>
        </w:rPr>
        <w:t>inn</w:t>
      </w:r>
      <w:r w:rsidRPr="006B771F">
        <w:rPr>
          <w:b/>
          <w:noProof/>
        </w:rPr>
        <w:t>ymi politykami Unii</w:t>
      </w:r>
    </w:p>
    <w:p w14:paraId="6260552D" w14:textId="68FE6CAF" w:rsidR="00AD2D37" w:rsidRPr="006B771F" w:rsidRDefault="00AD2D37" w:rsidP="00AD2D37">
      <w:pPr>
        <w:spacing w:before="0"/>
        <w:rPr>
          <w:noProof/>
        </w:rPr>
      </w:pPr>
      <w:r w:rsidRPr="006B771F">
        <w:rPr>
          <w:noProof/>
        </w:rPr>
        <w:t>Niniejsze zalecenie ma przyczynić się</w:t>
      </w:r>
      <w:r w:rsidR="00043012" w:rsidRPr="006B771F">
        <w:rPr>
          <w:noProof/>
        </w:rPr>
        <w:t xml:space="preserve"> w</w:t>
      </w:r>
      <w:r w:rsidR="00043012">
        <w:rPr>
          <w:noProof/>
        </w:rPr>
        <w:t> </w:t>
      </w:r>
      <w:r w:rsidR="00043012" w:rsidRPr="006B771F">
        <w:rPr>
          <w:noProof/>
        </w:rPr>
        <w:t>poz</w:t>
      </w:r>
      <w:r w:rsidRPr="006B771F">
        <w:rPr>
          <w:noProof/>
        </w:rPr>
        <w:t>ytywny sposób do powstania</w:t>
      </w:r>
      <w:r w:rsidR="00043012" w:rsidRPr="006B771F">
        <w:rPr>
          <w:noProof/>
        </w:rPr>
        <w:t xml:space="preserve"> w</w:t>
      </w:r>
      <w:r w:rsidR="00043012">
        <w:rPr>
          <w:noProof/>
        </w:rPr>
        <w:t> </w:t>
      </w:r>
      <w:r w:rsidR="00043012" w:rsidRPr="006B771F">
        <w:rPr>
          <w:noProof/>
        </w:rPr>
        <w:t>peł</w:t>
      </w:r>
      <w:r w:rsidRPr="006B771F">
        <w:rPr>
          <w:noProof/>
        </w:rPr>
        <w:t>ni funkcjonującej</w:t>
      </w:r>
      <w:r w:rsidR="00043012" w:rsidRPr="006B771F">
        <w:rPr>
          <w:noProof/>
        </w:rPr>
        <w:t xml:space="preserve"> i</w:t>
      </w:r>
      <w:r w:rsidR="00043012">
        <w:rPr>
          <w:noProof/>
        </w:rPr>
        <w:t> </w:t>
      </w:r>
      <w:r w:rsidR="00043012" w:rsidRPr="006B771F">
        <w:rPr>
          <w:noProof/>
        </w:rPr>
        <w:t>odp</w:t>
      </w:r>
      <w:r w:rsidRPr="006B771F">
        <w:rPr>
          <w:noProof/>
        </w:rPr>
        <w:t>ornej strefy Schengen umożliwiającej swobodne przemieszczanie się ponad 420 mln osób oraz niezakłócony przepływ towarów</w:t>
      </w:r>
      <w:r w:rsidR="00043012" w:rsidRPr="006B771F">
        <w:rPr>
          <w:noProof/>
        </w:rPr>
        <w:t xml:space="preserve"> i</w:t>
      </w:r>
      <w:r w:rsidR="00043012">
        <w:rPr>
          <w:noProof/>
        </w:rPr>
        <w:t> </w:t>
      </w:r>
      <w:r w:rsidR="00043012" w:rsidRPr="006B771F">
        <w:rPr>
          <w:noProof/>
        </w:rPr>
        <w:t>usł</w:t>
      </w:r>
      <w:r w:rsidRPr="006B771F">
        <w:rPr>
          <w:noProof/>
        </w:rPr>
        <w:t>ug. To</w:t>
      </w:r>
      <w:r w:rsidR="00043012" w:rsidRPr="006B771F">
        <w:rPr>
          <w:noProof/>
        </w:rPr>
        <w:t xml:space="preserve"> z</w:t>
      </w:r>
      <w:r w:rsidR="00043012">
        <w:rPr>
          <w:noProof/>
        </w:rPr>
        <w:t> </w:t>
      </w:r>
      <w:r w:rsidR="00043012" w:rsidRPr="006B771F">
        <w:rPr>
          <w:noProof/>
        </w:rPr>
        <w:t>kol</w:t>
      </w:r>
      <w:r w:rsidRPr="006B771F">
        <w:rPr>
          <w:noProof/>
        </w:rPr>
        <w:t>ei przyczyni się do sprawnego funkcjonowania jednolitego rynku,</w:t>
      </w:r>
      <w:r w:rsidR="00043012" w:rsidRPr="006B771F">
        <w:rPr>
          <w:noProof/>
        </w:rPr>
        <w:t xml:space="preserve"> a</w:t>
      </w:r>
      <w:r w:rsidR="00043012">
        <w:rPr>
          <w:noProof/>
        </w:rPr>
        <w:t> </w:t>
      </w:r>
      <w:r w:rsidR="00043012" w:rsidRPr="006B771F">
        <w:rPr>
          <w:noProof/>
        </w:rPr>
        <w:t>tym</w:t>
      </w:r>
      <w:r w:rsidRPr="006B771F">
        <w:rPr>
          <w:noProof/>
        </w:rPr>
        <w:t xml:space="preserve"> samym do wzrostu gospodarki UE. Niniejsze zalecenie jest zatem</w:t>
      </w:r>
      <w:r w:rsidR="00043012" w:rsidRPr="006B771F">
        <w:rPr>
          <w:noProof/>
        </w:rPr>
        <w:t xml:space="preserve"> w</w:t>
      </w:r>
      <w:r w:rsidR="00043012">
        <w:rPr>
          <w:noProof/>
        </w:rPr>
        <w:t> </w:t>
      </w:r>
      <w:r w:rsidR="00043012" w:rsidRPr="006B771F">
        <w:rPr>
          <w:noProof/>
        </w:rPr>
        <w:t>peł</w:t>
      </w:r>
      <w:r w:rsidRPr="006B771F">
        <w:rPr>
          <w:noProof/>
        </w:rPr>
        <w:t>ni spójne</w:t>
      </w:r>
      <w:r w:rsidR="00043012" w:rsidRPr="006B771F">
        <w:rPr>
          <w:noProof/>
        </w:rPr>
        <w:t xml:space="preserve"> z</w:t>
      </w:r>
      <w:r w:rsidR="00043012">
        <w:rPr>
          <w:noProof/>
        </w:rPr>
        <w:t> </w:t>
      </w:r>
      <w:r w:rsidR="00043012" w:rsidRPr="006B771F">
        <w:rPr>
          <w:noProof/>
        </w:rPr>
        <w:t>inn</w:t>
      </w:r>
      <w:r w:rsidRPr="006B771F">
        <w:rPr>
          <w:noProof/>
        </w:rPr>
        <w:t>ymi politykami Unii dotyczącymi zatrudnienia, transportu</w:t>
      </w:r>
      <w:r w:rsidR="00043012" w:rsidRPr="006B771F">
        <w:rPr>
          <w:noProof/>
        </w:rPr>
        <w:t xml:space="preserve"> i</w:t>
      </w:r>
      <w:r w:rsidR="00043012">
        <w:rPr>
          <w:noProof/>
        </w:rPr>
        <w:t> </w:t>
      </w:r>
      <w:r w:rsidR="00043012" w:rsidRPr="006B771F">
        <w:rPr>
          <w:noProof/>
        </w:rPr>
        <w:t>doc</w:t>
      </w:r>
      <w:r w:rsidRPr="006B771F">
        <w:rPr>
          <w:noProof/>
        </w:rPr>
        <w:t>elowo wzrostu gospodarczego na wewnątrzunijnych obszarach przygranicznych,</w:t>
      </w:r>
      <w:r w:rsidR="00043012" w:rsidRPr="006B771F">
        <w:rPr>
          <w:noProof/>
        </w:rPr>
        <w:t xml:space="preserve"> a</w:t>
      </w:r>
      <w:r w:rsidR="00043012">
        <w:rPr>
          <w:noProof/>
        </w:rPr>
        <w:t> </w:t>
      </w:r>
      <w:r w:rsidR="00043012" w:rsidRPr="006B771F">
        <w:rPr>
          <w:noProof/>
        </w:rPr>
        <w:t>tak</w:t>
      </w:r>
      <w:r w:rsidRPr="006B771F">
        <w:rPr>
          <w:noProof/>
        </w:rPr>
        <w:t>że</w:t>
      </w:r>
      <w:r w:rsidR="00043012" w:rsidRPr="006B771F">
        <w:rPr>
          <w:noProof/>
        </w:rPr>
        <w:t xml:space="preserve"> w</w:t>
      </w:r>
      <w:r w:rsidR="00043012">
        <w:rPr>
          <w:noProof/>
        </w:rPr>
        <w:t> </w:t>
      </w:r>
      <w:r w:rsidR="00043012" w:rsidRPr="006B771F">
        <w:rPr>
          <w:noProof/>
        </w:rPr>
        <w:t>cał</w:t>
      </w:r>
      <w:r w:rsidRPr="006B771F">
        <w:rPr>
          <w:noProof/>
        </w:rPr>
        <w:t xml:space="preserve">ej UE. </w:t>
      </w:r>
    </w:p>
    <w:p w14:paraId="24B09390" w14:textId="77777777" w:rsidR="00AD2D37" w:rsidRPr="006B771F" w:rsidRDefault="00AD2D37" w:rsidP="00AD2D37">
      <w:pPr>
        <w:pStyle w:val="ManualHeading1"/>
        <w:rPr>
          <w:noProof/>
        </w:rPr>
      </w:pPr>
      <w:r w:rsidRPr="006B771F">
        <w:rPr>
          <w:noProof/>
        </w:rPr>
        <w:t>2.</w:t>
      </w:r>
      <w:r w:rsidRPr="006B771F">
        <w:rPr>
          <w:noProof/>
        </w:rPr>
        <w:tab/>
        <w:t>PODSTAWA PRAWNA, POMOCNICZOŚĆ I PROPORCJONALNOŚĆ</w:t>
      </w:r>
    </w:p>
    <w:p w14:paraId="2519CA97" w14:textId="77777777" w:rsidR="00AD2D37" w:rsidRPr="006B771F" w:rsidRDefault="00AD2D37" w:rsidP="00AD2D37">
      <w:pPr>
        <w:pStyle w:val="ManualHeading2"/>
        <w:rPr>
          <w:rFonts w:eastAsia="Arial Unicode MS"/>
          <w:noProof/>
          <w:u w:color="000000"/>
          <w:bdr w:val="nil"/>
        </w:rPr>
      </w:pPr>
      <w:r w:rsidRPr="006B771F">
        <w:rPr>
          <w:noProof/>
          <w:u w:color="000000"/>
          <w:bdr w:val="nil"/>
        </w:rPr>
        <w:t>•</w:t>
      </w:r>
      <w:r w:rsidRPr="006B771F">
        <w:rPr>
          <w:noProof/>
        </w:rPr>
        <w:tab/>
      </w:r>
      <w:r w:rsidRPr="006B771F">
        <w:rPr>
          <w:noProof/>
          <w:u w:color="000000"/>
          <w:bdr w:val="nil"/>
        </w:rPr>
        <w:t>Podstawa prawna</w:t>
      </w:r>
    </w:p>
    <w:p w14:paraId="697DBD13" w14:textId="6AD1245C" w:rsidR="00AD2D37" w:rsidRPr="006B771F" w:rsidRDefault="00AD2D37" w:rsidP="00AD2D37">
      <w:pPr>
        <w:spacing w:before="0"/>
        <w:rPr>
          <w:noProof/>
          <w:szCs w:val="24"/>
        </w:rPr>
      </w:pPr>
      <w:r w:rsidRPr="006B771F">
        <w:rPr>
          <w:noProof/>
        </w:rPr>
        <w:t>Podstawę prawną działań UE</w:t>
      </w:r>
      <w:r w:rsidR="00043012" w:rsidRPr="006B771F">
        <w:rPr>
          <w:noProof/>
        </w:rPr>
        <w:t xml:space="preserve"> w</w:t>
      </w:r>
      <w:r w:rsidR="00043012">
        <w:rPr>
          <w:noProof/>
        </w:rPr>
        <w:t> </w:t>
      </w:r>
      <w:r w:rsidR="00043012" w:rsidRPr="006B771F">
        <w:rPr>
          <w:noProof/>
        </w:rPr>
        <w:t>zak</w:t>
      </w:r>
      <w:r w:rsidRPr="006B771F">
        <w:rPr>
          <w:noProof/>
        </w:rPr>
        <w:t>resie współpracy organów ścigania stanowi tytuł V, rozdział 5 Traktatu</w:t>
      </w:r>
      <w:r w:rsidR="00043012" w:rsidRPr="006B771F">
        <w:rPr>
          <w:noProof/>
        </w:rPr>
        <w:t xml:space="preserve"> o</w:t>
      </w:r>
      <w:r w:rsidR="00043012">
        <w:rPr>
          <w:noProof/>
        </w:rPr>
        <w:t> </w:t>
      </w:r>
      <w:r w:rsidR="00043012" w:rsidRPr="006B771F">
        <w:rPr>
          <w:noProof/>
        </w:rPr>
        <w:t>fun</w:t>
      </w:r>
      <w:r w:rsidRPr="006B771F">
        <w:rPr>
          <w:noProof/>
        </w:rPr>
        <w:t xml:space="preserve">kcjonowaniu Unii Europejskiej („TFUE”). </w:t>
      </w:r>
    </w:p>
    <w:p w14:paraId="17CB60EA" w14:textId="3FCF276B" w:rsidR="00AD2D37" w:rsidRPr="006B771F" w:rsidRDefault="00AD2D37" w:rsidP="00AD2D37">
      <w:pPr>
        <w:spacing w:before="0"/>
        <w:rPr>
          <w:noProof/>
          <w:szCs w:val="24"/>
        </w:rPr>
      </w:pPr>
      <w:r w:rsidRPr="006B771F">
        <w:rPr>
          <w:noProof/>
        </w:rPr>
        <w:t>Zgodnie</w:t>
      </w:r>
      <w:r w:rsidR="00043012" w:rsidRPr="006B771F">
        <w:rPr>
          <w:noProof/>
        </w:rPr>
        <w:t xml:space="preserve"> z</w:t>
      </w:r>
      <w:r w:rsidR="00043012">
        <w:rPr>
          <w:noProof/>
        </w:rPr>
        <w:t> </w:t>
      </w:r>
      <w:r w:rsidR="00043012" w:rsidRPr="00043012">
        <w:rPr>
          <w:noProof/>
        </w:rPr>
        <w:t>art</w:t>
      </w:r>
      <w:r w:rsidRPr="00043012">
        <w:rPr>
          <w:noProof/>
        </w:rPr>
        <w:t>.</w:t>
      </w:r>
      <w:r w:rsidR="00043012" w:rsidRPr="00043012">
        <w:rPr>
          <w:noProof/>
        </w:rPr>
        <w:t> </w:t>
      </w:r>
      <w:r w:rsidRPr="00043012">
        <w:rPr>
          <w:noProof/>
        </w:rPr>
        <w:t>8</w:t>
      </w:r>
      <w:r w:rsidRPr="006B771F">
        <w:rPr>
          <w:noProof/>
        </w:rPr>
        <w:t>7 TFUE „Unia rozwija współpracę policyjną obejmującą wszystkie właściwe organy Państw Członkowskich,</w:t>
      </w:r>
      <w:r w:rsidR="00043012" w:rsidRPr="006B771F">
        <w:rPr>
          <w:noProof/>
        </w:rPr>
        <w:t xml:space="preserve"> w</w:t>
      </w:r>
      <w:r w:rsidR="00043012">
        <w:rPr>
          <w:noProof/>
        </w:rPr>
        <w:t> </w:t>
      </w:r>
      <w:r w:rsidR="00043012" w:rsidRPr="006B771F">
        <w:rPr>
          <w:noProof/>
        </w:rPr>
        <w:t>tym</w:t>
      </w:r>
      <w:r w:rsidRPr="006B771F">
        <w:rPr>
          <w:noProof/>
        </w:rPr>
        <w:t xml:space="preserve"> służby policji, służby celne oraz inne organy ścigania wyspecjalizowane</w:t>
      </w:r>
      <w:r w:rsidR="00043012" w:rsidRPr="006B771F">
        <w:rPr>
          <w:noProof/>
        </w:rPr>
        <w:t xml:space="preserve"> w</w:t>
      </w:r>
      <w:r w:rsidR="00043012">
        <w:rPr>
          <w:noProof/>
        </w:rPr>
        <w:t> </w:t>
      </w:r>
      <w:r w:rsidR="00043012" w:rsidRPr="006B771F">
        <w:rPr>
          <w:noProof/>
        </w:rPr>
        <w:t>zap</w:t>
      </w:r>
      <w:r w:rsidRPr="006B771F">
        <w:rPr>
          <w:noProof/>
        </w:rPr>
        <w:t>obieganiu przestępstwom lub ich wykrywaniu</w:t>
      </w:r>
      <w:r w:rsidR="00043012" w:rsidRPr="006B771F">
        <w:rPr>
          <w:noProof/>
        </w:rPr>
        <w:t xml:space="preserve"> i</w:t>
      </w:r>
      <w:r w:rsidR="00043012">
        <w:rPr>
          <w:noProof/>
        </w:rPr>
        <w:t> </w:t>
      </w:r>
      <w:r w:rsidR="00043012" w:rsidRPr="006B771F">
        <w:rPr>
          <w:noProof/>
        </w:rPr>
        <w:t>ści</w:t>
      </w:r>
      <w:r w:rsidRPr="006B771F">
        <w:rPr>
          <w:noProof/>
        </w:rPr>
        <w:t>ganiu”.</w:t>
      </w:r>
    </w:p>
    <w:p w14:paraId="7051B0C5" w14:textId="7D36BDF4" w:rsidR="00AD2D37" w:rsidRPr="006B771F" w:rsidRDefault="00AD2D37" w:rsidP="00AD2D37">
      <w:pPr>
        <w:spacing w:before="0"/>
        <w:rPr>
          <w:noProof/>
          <w:szCs w:val="24"/>
        </w:rPr>
      </w:pPr>
      <w:r w:rsidRPr="006B771F">
        <w:rPr>
          <w:noProof/>
        </w:rPr>
        <w:t xml:space="preserve">W szczególności </w:t>
      </w:r>
      <w:r w:rsidRPr="00043012">
        <w:rPr>
          <w:noProof/>
        </w:rPr>
        <w:t>art.</w:t>
      </w:r>
      <w:r w:rsidR="00043012" w:rsidRPr="00043012">
        <w:rPr>
          <w:noProof/>
        </w:rPr>
        <w:t> </w:t>
      </w:r>
      <w:r w:rsidRPr="00043012">
        <w:rPr>
          <w:noProof/>
        </w:rPr>
        <w:t>8</w:t>
      </w:r>
      <w:r w:rsidRPr="006B771F">
        <w:rPr>
          <w:noProof/>
        </w:rPr>
        <w:t xml:space="preserve">7 </w:t>
      </w:r>
      <w:r w:rsidRPr="00043012">
        <w:rPr>
          <w:noProof/>
        </w:rPr>
        <w:t>ust.</w:t>
      </w:r>
      <w:r w:rsidR="00043012" w:rsidRPr="00043012">
        <w:rPr>
          <w:noProof/>
        </w:rPr>
        <w:t> </w:t>
      </w:r>
      <w:r w:rsidRPr="00043012">
        <w:rPr>
          <w:noProof/>
        </w:rPr>
        <w:t>3</w:t>
      </w:r>
      <w:r w:rsidRPr="006B771F">
        <w:rPr>
          <w:noProof/>
        </w:rPr>
        <w:t xml:space="preserve"> TFUE odnosi się do środków dotyczących współpracy operacyjnej organów ścigania. Takie środki przewidziano</w:t>
      </w:r>
      <w:r w:rsidR="00043012" w:rsidRPr="006B771F">
        <w:rPr>
          <w:noProof/>
        </w:rPr>
        <w:t xml:space="preserve"> w</w:t>
      </w:r>
      <w:r w:rsidR="00043012">
        <w:rPr>
          <w:noProof/>
        </w:rPr>
        <w:t> </w:t>
      </w:r>
      <w:r w:rsidR="00043012" w:rsidRPr="006B771F">
        <w:rPr>
          <w:noProof/>
        </w:rPr>
        <w:t>nin</w:t>
      </w:r>
      <w:r w:rsidRPr="006B771F">
        <w:rPr>
          <w:noProof/>
        </w:rPr>
        <w:t>iejszym zaleceniu. Określono</w:t>
      </w:r>
      <w:r w:rsidR="00043012" w:rsidRPr="006B771F">
        <w:rPr>
          <w:noProof/>
        </w:rPr>
        <w:t xml:space="preserve"> w</w:t>
      </w:r>
      <w:r w:rsidR="00043012">
        <w:rPr>
          <w:noProof/>
        </w:rPr>
        <w:t> </w:t>
      </w:r>
      <w:r w:rsidR="00043012" w:rsidRPr="006B771F">
        <w:rPr>
          <w:noProof/>
        </w:rPr>
        <w:t>nim</w:t>
      </w:r>
      <w:r w:rsidRPr="006B771F">
        <w:rPr>
          <w:noProof/>
        </w:rPr>
        <w:t xml:space="preserve"> również środki,</w:t>
      </w:r>
      <w:r w:rsidR="00043012" w:rsidRPr="006B771F">
        <w:rPr>
          <w:noProof/>
        </w:rPr>
        <w:t xml:space="preserve"> o</w:t>
      </w:r>
      <w:r w:rsidR="00043012">
        <w:rPr>
          <w:noProof/>
        </w:rPr>
        <w:t> </w:t>
      </w:r>
      <w:r w:rsidR="00043012" w:rsidRPr="006B771F">
        <w:rPr>
          <w:noProof/>
        </w:rPr>
        <w:t>któ</w:t>
      </w:r>
      <w:r w:rsidRPr="006B771F">
        <w:rPr>
          <w:noProof/>
        </w:rPr>
        <w:t>rych mowa</w:t>
      </w:r>
      <w:r w:rsidR="00043012" w:rsidRPr="006B771F">
        <w:rPr>
          <w:noProof/>
        </w:rPr>
        <w:t xml:space="preserve"> w</w:t>
      </w:r>
      <w:r w:rsidR="00043012">
        <w:rPr>
          <w:noProof/>
        </w:rPr>
        <w:t> </w:t>
      </w:r>
      <w:r w:rsidR="00043012" w:rsidRPr="00043012">
        <w:rPr>
          <w:noProof/>
        </w:rPr>
        <w:t>art</w:t>
      </w:r>
      <w:r w:rsidRPr="00043012">
        <w:rPr>
          <w:noProof/>
        </w:rPr>
        <w:t>.</w:t>
      </w:r>
      <w:r w:rsidR="00043012" w:rsidRPr="00043012">
        <w:rPr>
          <w:noProof/>
        </w:rPr>
        <w:t> </w:t>
      </w:r>
      <w:r w:rsidRPr="00043012">
        <w:rPr>
          <w:noProof/>
        </w:rPr>
        <w:t>8</w:t>
      </w:r>
      <w:r w:rsidRPr="006B771F">
        <w:rPr>
          <w:noProof/>
        </w:rPr>
        <w:t>9 TFUE, dotyczące warunków</w:t>
      </w:r>
      <w:r w:rsidR="00043012" w:rsidRPr="006B771F">
        <w:rPr>
          <w:noProof/>
        </w:rPr>
        <w:t xml:space="preserve"> i</w:t>
      </w:r>
      <w:r w:rsidR="00043012">
        <w:rPr>
          <w:noProof/>
        </w:rPr>
        <w:t> </w:t>
      </w:r>
      <w:r w:rsidR="00043012" w:rsidRPr="006B771F">
        <w:rPr>
          <w:noProof/>
        </w:rPr>
        <w:t>gra</w:t>
      </w:r>
      <w:r w:rsidRPr="006B771F">
        <w:rPr>
          <w:noProof/>
        </w:rPr>
        <w:t>nic,</w:t>
      </w:r>
      <w:r w:rsidR="00043012" w:rsidRPr="006B771F">
        <w:rPr>
          <w:noProof/>
        </w:rPr>
        <w:t xml:space="preserve"> w</w:t>
      </w:r>
      <w:r w:rsidR="00043012">
        <w:rPr>
          <w:noProof/>
        </w:rPr>
        <w:t> </w:t>
      </w:r>
      <w:r w:rsidR="00043012" w:rsidRPr="006B771F">
        <w:rPr>
          <w:noProof/>
        </w:rPr>
        <w:t>jak</w:t>
      </w:r>
      <w:r w:rsidRPr="006B771F">
        <w:rPr>
          <w:noProof/>
        </w:rPr>
        <w:t>ich właściwe organy ścigania państw członkowskich mogą podejmować działania na terytorium innego państwa członkowskiego</w:t>
      </w:r>
      <w:r w:rsidR="00043012" w:rsidRPr="006B771F">
        <w:rPr>
          <w:noProof/>
        </w:rPr>
        <w:t>. W</w:t>
      </w:r>
      <w:r w:rsidR="00043012">
        <w:rPr>
          <w:noProof/>
        </w:rPr>
        <w:t> </w:t>
      </w:r>
      <w:r w:rsidR="00043012" w:rsidRPr="006B771F">
        <w:rPr>
          <w:noProof/>
        </w:rPr>
        <w:t>zak</w:t>
      </w:r>
      <w:r w:rsidRPr="006B771F">
        <w:rPr>
          <w:noProof/>
        </w:rPr>
        <w:t>resie,</w:t>
      </w:r>
      <w:r w:rsidR="00043012" w:rsidRPr="006B771F">
        <w:rPr>
          <w:noProof/>
        </w:rPr>
        <w:t xml:space="preserve"> w</w:t>
      </w:r>
      <w:r w:rsidR="00043012">
        <w:rPr>
          <w:noProof/>
        </w:rPr>
        <w:t> </w:t>
      </w:r>
      <w:r w:rsidR="00043012" w:rsidRPr="006B771F">
        <w:rPr>
          <w:noProof/>
        </w:rPr>
        <w:t>jak</w:t>
      </w:r>
      <w:r w:rsidRPr="006B771F">
        <w:rPr>
          <w:noProof/>
        </w:rPr>
        <w:t xml:space="preserve">im zalecenie zawiera również środki potencjalnie objęte zastosowaniem </w:t>
      </w:r>
      <w:r w:rsidRPr="00043012">
        <w:rPr>
          <w:noProof/>
        </w:rPr>
        <w:t>art.</w:t>
      </w:r>
      <w:r w:rsidR="00043012" w:rsidRPr="00043012">
        <w:rPr>
          <w:noProof/>
        </w:rPr>
        <w:t> </w:t>
      </w:r>
      <w:r w:rsidRPr="00043012">
        <w:rPr>
          <w:noProof/>
        </w:rPr>
        <w:t>8</w:t>
      </w:r>
      <w:r w:rsidRPr="006B771F">
        <w:rPr>
          <w:noProof/>
        </w:rPr>
        <w:t xml:space="preserve">7 </w:t>
      </w:r>
      <w:r w:rsidRPr="00043012">
        <w:rPr>
          <w:noProof/>
        </w:rPr>
        <w:t>ust.</w:t>
      </w:r>
      <w:r w:rsidR="00043012" w:rsidRPr="00043012">
        <w:rPr>
          <w:noProof/>
        </w:rPr>
        <w:t> </w:t>
      </w:r>
      <w:r w:rsidRPr="00043012">
        <w:rPr>
          <w:noProof/>
        </w:rPr>
        <w:t>2</w:t>
      </w:r>
      <w:r w:rsidRPr="006B771F">
        <w:rPr>
          <w:noProof/>
        </w:rPr>
        <w:t xml:space="preserve"> TFUE (np. dotyczące wymiany informacji</w:t>
      </w:r>
      <w:r w:rsidR="00043012" w:rsidRPr="006B771F">
        <w:rPr>
          <w:noProof/>
        </w:rPr>
        <w:t xml:space="preserve"> i</w:t>
      </w:r>
      <w:r w:rsidR="00043012">
        <w:rPr>
          <w:noProof/>
        </w:rPr>
        <w:t> </w:t>
      </w:r>
      <w:r w:rsidR="00043012" w:rsidRPr="006B771F">
        <w:rPr>
          <w:noProof/>
        </w:rPr>
        <w:t>szk</w:t>
      </w:r>
      <w:r w:rsidRPr="006B771F">
        <w:rPr>
          <w:noProof/>
        </w:rPr>
        <w:t>olenia), środki te mają</w:t>
      </w:r>
      <w:r w:rsidR="00043012" w:rsidRPr="006B771F">
        <w:rPr>
          <w:noProof/>
        </w:rPr>
        <w:t xml:space="preserve"> w</w:t>
      </w:r>
      <w:r w:rsidR="00043012">
        <w:rPr>
          <w:noProof/>
        </w:rPr>
        <w:t> </w:t>
      </w:r>
      <w:r w:rsidR="00043012" w:rsidRPr="006B771F">
        <w:rPr>
          <w:noProof/>
        </w:rPr>
        <w:t>tym</w:t>
      </w:r>
      <w:r w:rsidRPr="006B771F">
        <w:rPr>
          <w:noProof/>
        </w:rPr>
        <w:t xml:space="preserve"> przypadku charakter pomocniczy</w:t>
      </w:r>
      <w:r w:rsidR="00043012" w:rsidRPr="006B771F">
        <w:rPr>
          <w:noProof/>
        </w:rPr>
        <w:t xml:space="preserve"> w</w:t>
      </w:r>
      <w:r w:rsidR="00043012">
        <w:rPr>
          <w:noProof/>
        </w:rPr>
        <w:t> </w:t>
      </w:r>
      <w:r w:rsidR="00043012" w:rsidRPr="006B771F">
        <w:rPr>
          <w:noProof/>
        </w:rPr>
        <w:t>sto</w:t>
      </w:r>
      <w:r w:rsidRPr="006B771F">
        <w:rPr>
          <w:noProof/>
        </w:rPr>
        <w:t xml:space="preserve">sunku do środków opierających się na </w:t>
      </w:r>
      <w:r w:rsidRPr="00043012">
        <w:rPr>
          <w:noProof/>
        </w:rPr>
        <w:t>art.</w:t>
      </w:r>
      <w:r w:rsidR="00043012" w:rsidRPr="00043012">
        <w:rPr>
          <w:noProof/>
        </w:rPr>
        <w:t> </w:t>
      </w:r>
      <w:r w:rsidRPr="00043012">
        <w:rPr>
          <w:noProof/>
        </w:rPr>
        <w:t>8</w:t>
      </w:r>
      <w:r w:rsidRPr="006B771F">
        <w:rPr>
          <w:noProof/>
        </w:rPr>
        <w:t xml:space="preserve">7 </w:t>
      </w:r>
      <w:r w:rsidRPr="00043012">
        <w:rPr>
          <w:noProof/>
        </w:rPr>
        <w:t>ust.</w:t>
      </w:r>
      <w:r w:rsidR="00043012" w:rsidRPr="00043012">
        <w:rPr>
          <w:noProof/>
        </w:rPr>
        <w:t> </w:t>
      </w:r>
      <w:r w:rsidRPr="00043012">
        <w:rPr>
          <w:noProof/>
        </w:rPr>
        <w:t>3</w:t>
      </w:r>
      <w:r w:rsidR="00043012" w:rsidRPr="006B771F">
        <w:rPr>
          <w:noProof/>
        </w:rPr>
        <w:t xml:space="preserve"> i</w:t>
      </w:r>
      <w:r w:rsidR="00043012">
        <w:rPr>
          <w:noProof/>
        </w:rPr>
        <w:t> </w:t>
      </w:r>
      <w:r w:rsidR="00043012" w:rsidRPr="00043012">
        <w:rPr>
          <w:noProof/>
        </w:rPr>
        <w:t>art</w:t>
      </w:r>
      <w:r w:rsidRPr="00043012">
        <w:rPr>
          <w:noProof/>
        </w:rPr>
        <w:t>.</w:t>
      </w:r>
      <w:r w:rsidR="00043012" w:rsidRPr="00043012">
        <w:rPr>
          <w:noProof/>
        </w:rPr>
        <w:t> </w:t>
      </w:r>
      <w:r w:rsidRPr="00043012">
        <w:rPr>
          <w:noProof/>
        </w:rPr>
        <w:t>8</w:t>
      </w:r>
      <w:r w:rsidRPr="006B771F">
        <w:rPr>
          <w:noProof/>
        </w:rPr>
        <w:t>9 TFUE.</w:t>
      </w:r>
    </w:p>
    <w:p w14:paraId="08F76583" w14:textId="26CA4BD5" w:rsidR="00AD2D37" w:rsidRPr="006B771F" w:rsidRDefault="00AD2D37" w:rsidP="00AD2D37">
      <w:pPr>
        <w:spacing w:before="0"/>
        <w:rPr>
          <w:noProof/>
          <w:szCs w:val="24"/>
        </w:rPr>
      </w:pPr>
      <w:r w:rsidRPr="006B771F">
        <w:rPr>
          <w:noProof/>
        </w:rPr>
        <w:t xml:space="preserve">Niniejsze zalecenie opiera się zatem na </w:t>
      </w:r>
      <w:r w:rsidRPr="00043012">
        <w:rPr>
          <w:noProof/>
        </w:rPr>
        <w:t>art.</w:t>
      </w:r>
      <w:r w:rsidR="00043012" w:rsidRPr="00043012">
        <w:rPr>
          <w:noProof/>
        </w:rPr>
        <w:t> </w:t>
      </w:r>
      <w:r w:rsidRPr="00043012">
        <w:rPr>
          <w:noProof/>
        </w:rPr>
        <w:t>8</w:t>
      </w:r>
      <w:r w:rsidRPr="006B771F">
        <w:rPr>
          <w:noProof/>
        </w:rPr>
        <w:t xml:space="preserve">7 </w:t>
      </w:r>
      <w:r w:rsidRPr="00043012">
        <w:rPr>
          <w:noProof/>
        </w:rPr>
        <w:t>ust.</w:t>
      </w:r>
      <w:r w:rsidR="00043012" w:rsidRPr="00043012">
        <w:rPr>
          <w:noProof/>
        </w:rPr>
        <w:t> </w:t>
      </w:r>
      <w:r w:rsidRPr="00043012">
        <w:rPr>
          <w:noProof/>
        </w:rPr>
        <w:t>3</w:t>
      </w:r>
      <w:r w:rsidR="00043012" w:rsidRPr="006B771F">
        <w:rPr>
          <w:noProof/>
        </w:rPr>
        <w:t xml:space="preserve"> i</w:t>
      </w:r>
      <w:r w:rsidR="00043012">
        <w:rPr>
          <w:noProof/>
        </w:rPr>
        <w:t> </w:t>
      </w:r>
      <w:r w:rsidR="00043012" w:rsidRPr="00043012">
        <w:rPr>
          <w:noProof/>
        </w:rPr>
        <w:t>art</w:t>
      </w:r>
      <w:r w:rsidRPr="00043012">
        <w:rPr>
          <w:noProof/>
        </w:rPr>
        <w:t>.</w:t>
      </w:r>
      <w:r w:rsidR="00043012" w:rsidRPr="00043012">
        <w:rPr>
          <w:noProof/>
        </w:rPr>
        <w:t> </w:t>
      </w:r>
      <w:r w:rsidRPr="00043012">
        <w:rPr>
          <w:noProof/>
        </w:rPr>
        <w:t>8</w:t>
      </w:r>
      <w:r w:rsidRPr="006B771F">
        <w:rPr>
          <w:noProof/>
        </w:rPr>
        <w:t>9 TFUE</w:t>
      </w:r>
      <w:r w:rsidR="00043012" w:rsidRPr="006B771F">
        <w:rPr>
          <w:noProof/>
        </w:rPr>
        <w:t xml:space="preserve"> w</w:t>
      </w:r>
      <w:r w:rsidR="00043012">
        <w:rPr>
          <w:noProof/>
        </w:rPr>
        <w:t> </w:t>
      </w:r>
      <w:r w:rsidR="00043012" w:rsidRPr="006B771F">
        <w:rPr>
          <w:noProof/>
        </w:rPr>
        <w:t>zwi</w:t>
      </w:r>
      <w:r w:rsidRPr="006B771F">
        <w:rPr>
          <w:noProof/>
        </w:rPr>
        <w:t>ązku</w:t>
      </w:r>
      <w:r w:rsidR="00043012" w:rsidRPr="006B771F">
        <w:rPr>
          <w:noProof/>
        </w:rPr>
        <w:t xml:space="preserve"> z</w:t>
      </w:r>
      <w:r w:rsidR="00043012">
        <w:rPr>
          <w:noProof/>
        </w:rPr>
        <w:t> </w:t>
      </w:r>
      <w:r w:rsidR="00043012" w:rsidRPr="00043012">
        <w:rPr>
          <w:noProof/>
        </w:rPr>
        <w:t>art</w:t>
      </w:r>
      <w:r w:rsidRPr="00043012">
        <w:rPr>
          <w:noProof/>
        </w:rPr>
        <w:t>.</w:t>
      </w:r>
      <w:r w:rsidR="00043012" w:rsidRPr="00043012">
        <w:rPr>
          <w:noProof/>
        </w:rPr>
        <w:t> </w:t>
      </w:r>
      <w:r w:rsidRPr="00043012">
        <w:rPr>
          <w:noProof/>
        </w:rPr>
        <w:t>2</w:t>
      </w:r>
      <w:r w:rsidRPr="006B771F">
        <w:rPr>
          <w:noProof/>
        </w:rPr>
        <w:t>92 TFUE</w:t>
      </w:r>
      <w:r w:rsidR="00043012" w:rsidRPr="006B771F">
        <w:rPr>
          <w:noProof/>
        </w:rPr>
        <w:t xml:space="preserve"> w</w:t>
      </w:r>
      <w:r w:rsidR="00043012">
        <w:rPr>
          <w:noProof/>
        </w:rPr>
        <w:t> </w:t>
      </w:r>
      <w:r w:rsidR="00043012" w:rsidRPr="006B771F">
        <w:rPr>
          <w:noProof/>
        </w:rPr>
        <w:t>nas</w:t>
      </w:r>
      <w:r w:rsidRPr="006B771F">
        <w:rPr>
          <w:noProof/>
        </w:rPr>
        <w:t>tępującym brzmieniu „Rada przyjmuje zalecenia [...] na wniosek Komisji we wszystkich przypadkach, gdy Traktaty przewidują przyjmowanie aktów przez Radę na wniosek Komisji. Rada stanowi jednomyślnie</w:t>
      </w:r>
      <w:r w:rsidR="00043012" w:rsidRPr="006B771F">
        <w:rPr>
          <w:noProof/>
        </w:rPr>
        <w:t xml:space="preserve"> w</w:t>
      </w:r>
      <w:r w:rsidR="00043012">
        <w:rPr>
          <w:noProof/>
        </w:rPr>
        <w:t> </w:t>
      </w:r>
      <w:r w:rsidR="00043012" w:rsidRPr="006B771F">
        <w:rPr>
          <w:noProof/>
        </w:rPr>
        <w:t>dzi</w:t>
      </w:r>
      <w:r w:rsidRPr="006B771F">
        <w:rPr>
          <w:noProof/>
        </w:rPr>
        <w:t>edzinach,</w:t>
      </w:r>
      <w:r w:rsidR="00043012" w:rsidRPr="006B771F">
        <w:rPr>
          <w:noProof/>
        </w:rPr>
        <w:t xml:space="preserve"> w</w:t>
      </w:r>
      <w:r w:rsidR="00043012">
        <w:rPr>
          <w:noProof/>
        </w:rPr>
        <w:t> </w:t>
      </w:r>
      <w:r w:rsidR="00043012" w:rsidRPr="006B771F">
        <w:rPr>
          <w:noProof/>
        </w:rPr>
        <w:t>któ</w:t>
      </w:r>
      <w:r w:rsidRPr="006B771F">
        <w:rPr>
          <w:noProof/>
        </w:rPr>
        <w:t>rych jednomyślność wymagana jest do przyjęcia aktu Unii”.</w:t>
      </w:r>
    </w:p>
    <w:p w14:paraId="15FE1474" w14:textId="77777777" w:rsidR="00AD2D37" w:rsidRPr="006B771F" w:rsidRDefault="00AD2D37" w:rsidP="00AD2D37">
      <w:pPr>
        <w:pStyle w:val="ManualHeading2"/>
        <w:rPr>
          <w:rFonts w:eastAsia="Arial Unicode MS"/>
          <w:noProof/>
          <w:u w:color="000000"/>
          <w:bdr w:val="nil"/>
        </w:rPr>
      </w:pPr>
      <w:r w:rsidRPr="006B771F">
        <w:rPr>
          <w:noProof/>
          <w:u w:color="000000"/>
          <w:bdr w:val="nil"/>
        </w:rPr>
        <w:t>•</w:t>
      </w:r>
      <w:r w:rsidRPr="006B771F">
        <w:rPr>
          <w:noProof/>
        </w:rPr>
        <w:tab/>
      </w:r>
      <w:r w:rsidRPr="006B771F">
        <w:rPr>
          <w:noProof/>
          <w:u w:color="000000"/>
          <w:bdr w:val="nil"/>
        </w:rPr>
        <w:t>Wybór instrumentu</w:t>
      </w:r>
    </w:p>
    <w:p w14:paraId="4F637304" w14:textId="503639FF" w:rsidR="00AD2D37" w:rsidRPr="006B771F" w:rsidRDefault="00AD2D37" w:rsidP="00AD2D37">
      <w:pPr>
        <w:spacing w:before="0"/>
        <w:rPr>
          <w:noProof/>
        </w:rPr>
      </w:pPr>
      <w:r w:rsidRPr="006B771F">
        <w:rPr>
          <w:noProof/>
        </w:rPr>
        <w:t>Zacieśnienie operacyjnej współpracy policyjnej w UE wymaga silnego zaangażowania politycznego ze strony wszystkich właściwych podmiotów,</w:t>
      </w:r>
      <w:r w:rsidR="00043012" w:rsidRPr="006B771F">
        <w:rPr>
          <w:noProof/>
        </w:rPr>
        <w:t xml:space="preserve"> a</w:t>
      </w:r>
      <w:r w:rsidR="00043012">
        <w:rPr>
          <w:noProof/>
        </w:rPr>
        <w:t> </w:t>
      </w:r>
      <w:r w:rsidR="00043012" w:rsidRPr="006B771F">
        <w:rPr>
          <w:noProof/>
        </w:rPr>
        <w:t>w</w:t>
      </w:r>
      <w:r w:rsidR="00043012">
        <w:rPr>
          <w:noProof/>
        </w:rPr>
        <w:t> </w:t>
      </w:r>
      <w:r w:rsidR="00043012" w:rsidRPr="006B771F">
        <w:rPr>
          <w:noProof/>
        </w:rPr>
        <w:t>szc</w:t>
      </w:r>
      <w:r w:rsidRPr="006B771F">
        <w:rPr>
          <w:noProof/>
        </w:rPr>
        <w:t>zególności państw członkowskich.</w:t>
      </w:r>
    </w:p>
    <w:p w14:paraId="3540483B" w14:textId="2C5273DD" w:rsidR="00AD2D37" w:rsidRPr="006B771F" w:rsidRDefault="00AD2D37" w:rsidP="00AD2D37">
      <w:pPr>
        <w:spacing w:before="0"/>
        <w:rPr>
          <w:noProof/>
        </w:rPr>
      </w:pPr>
      <w:r w:rsidRPr="006B771F">
        <w:rPr>
          <w:noProof/>
        </w:rPr>
        <w:t>Transgraniczna operacyjna współpraca policyjna obejmuje zazwyczaj interwencję fizyczną umundurowanych</w:t>
      </w:r>
      <w:r w:rsidR="00043012" w:rsidRPr="006B771F">
        <w:rPr>
          <w:noProof/>
        </w:rPr>
        <w:t xml:space="preserve"> i</w:t>
      </w:r>
      <w:r w:rsidR="00043012">
        <w:rPr>
          <w:noProof/>
        </w:rPr>
        <w:t> </w:t>
      </w:r>
      <w:r w:rsidR="00043012" w:rsidRPr="006B771F">
        <w:rPr>
          <w:noProof/>
        </w:rPr>
        <w:t>uzb</w:t>
      </w:r>
      <w:r w:rsidRPr="006B771F">
        <w:rPr>
          <w:noProof/>
        </w:rPr>
        <w:t>rojonych sił policyjnych jednego państwa członkowskiego na terytorium innych państw członkowskich. Celem interwencji jest wykonywanie zadań prewencyjnych</w:t>
      </w:r>
      <w:r w:rsidR="00043012" w:rsidRPr="006B771F">
        <w:rPr>
          <w:noProof/>
        </w:rPr>
        <w:t xml:space="preserve"> i</w:t>
      </w:r>
      <w:r w:rsidR="00043012">
        <w:rPr>
          <w:noProof/>
        </w:rPr>
        <w:t> </w:t>
      </w:r>
      <w:r w:rsidR="00043012" w:rsidRPr="006B771F">
        <w:rPr>
          <w:noProof/>
        </w:rPr>
        <w:t>rep</w:t>
      </w:r>
      <w:r w:rsidRPr="006B771F">
        <w:rPr>
          <w:noProof/>
        </w:rPr>
        <w:t>resyjnych, które mogą prowadzić do tymczasowego aresztowania</w:t>
      </w:r>
      <w:r w:rsidR="00043012" w:rsidRPr="006B771F">
        <w:rPr>
          <w:noProof/>
        </w:rPr>
        <w:t xml:space="preserve"> i</w:t>
      </w:r>
      <w:r w:rsidR="00043012">
        <w:rPr>
          <w:noProof/>
        </w:rPr>
        <w:t> </w:t>
      </w:r>
      <w:r w:rsidR="00043012" w:rsidRPr="006B771F">
        <w:rPr>
          <w:noProof/>
        </w:rPr>
        <w:t>zat</w:t>
      </w:r>
      <w:r w:rsidRPr="006B771F">
        <w:rPr>
          <w:noProof/>
        </w:rPr>
        <w:t xml:space="preserve">rzymania osób do czasu przybycia organów drugiego państwa członkowskiego. </w:t>
      </w:r>
    </w:p>
    <w:p w14:paraId="7E1FC8DC" w14:textId="1972B9E7" w:rsidR="00AD2D37" w:rsidRPr="006B771F" w:rsidDel="000B51D4" w:rsidRDefault="00AD2D37" w:rsidP="00AD2D37">
      <w:pPr>
        <w:spacing w:before="0"/>
        <w:rPr>
          <w:noProof/>
        </w:rPr>
      </w:pPr>
      <w:r w:rsidRPr="006B771F">
        <w:rPr>
          <w:noProof/>
        </w:rPr>
        <w:t>Te rodzaje operacji dotykają istoty suwerenności państw członkowskich</w:t>
      </w:r>
      <w:r w:rsidR="00043012" w:rsidRPr="006B771F">
        <w:rPr>
          <w:noProof/>
        </w:rPr>
        <w:t xml:space="preserve"> i</w:t>
      </w:r>
      <w:r w:rsidR="00043012">
        <w:rPr>
          <w:noProof/>
        </w:rPr>
        <w:t> </w:t>
      </w:r>
      <w:r w:rsidR="00043012" w:rsidRPr="006B771F">
        <w:rPr>
          <w:noProof/>
        </w:rPr>
        <w:t>mog</w:t>
      </w:r>
      <w:r w:rsidRPr="006B771F">
        <w:rPr>
          <w:noProof/>
        </w:rPr>
        <w:t>ą skutkować problemami konstytucyjnymi, przez co wszelkie nowe przepisy UE</w:t>
      </w:r>
      <w:r w:rsidR="00043012" w:rsidRPr="006B771F">
        <w:rPr>
          <w:noProof/>
        </w:rPr>
        <w:t xml:space="preserve"> w</w:t>
      </w:r>
      <w:r w:rsidR="00043012">
        <w:rPr>
          <w:noProof/>
        </w:rPr>
        <w:t> </w:t>
      </w:r>
      <w:r w:rsidR="00043012" w:rsidRPr="006B771F">
        <w:rPr>
          <w:noProof/>
        </w:rPr>
        <w:t>tym</w:t>
      </w:r>
      <w:r w:rsidRPr="006B771F">
        <w:rPr>
          <w:noProof/>
        </w:rPr>
        <w:t xml:space="preserve"> obszarze stają się bardzo wrażliwą kwestią</w:t>
      </w:r>
      <w:r w:rsidR="00043012" w:rsidRPr="00043012">
        <w:rPr>
          <w:noProof/>
        </w:rPr>
        <w:t>. Z</w:t>
      </w:r>
      <w:r w:rsidR="00043012">
        <w:rPr>
          <w:noProof/>
        </w:rPr>
        <w:t> </w:t>
      </w:r>
      <w:r w:rsidR="00043012" w:rsidRPr="006B771F">
        <w:rPr>
          <w:noProof/>
        </w:rPr>
        <w:t>teg</w:t>
      </w:r>
      <w:r w:rsidRPr="006B771F">
        <w:rPr>
          <w:noProof/>
        </w:rPr>
        <w:t>o powodu</w:t>
      </w:r>
      <w:r w:rsidR="00043012" w:rsidRPr="006B771F">
        <w:rPr>
          <w:noProof/>
        </w:rPr>
        <w:t xml:space="preserve"> w</w:t>
      </w:r>
      <w:r w:rsidR="00043012">
        <w:rPr>
          <w:noProof/>
        </w:rPr>
        <w:t> </w:t>
      </w:r>
      <w:r w:rsidR="00043012" w:rsidRPr="006B771F">
        <w:rPr>
          <w:noProof/>
        </w:rPr>
        <w:t>Rad</w:t>
      </w:r>
      <w:r w:rsidRPr="006B771F">
        <w:rPr>
          <w:noProof/>
        </w:rPr>
        <w:t>zie przeważnie wymagana jest jednomyślność przy głosowaniu nad przepisami UE dotyczącymi współpracy operacyjnej.</w:t>
      </w:r>
    </w:p>
    <w:p w14:paraId="2469A06D" w14:textId="207888A8" w:rsidR="00AD2D37" w:rsidRPr="006B771F" w:rsidRDefault="00AD2D37" w:rsidP="00AD2D37">
      <w:pPr>
        <w:spacing w:before="0"/>
        <w:rPr>
          <w:noProof/>
          <w:szCs w:val="24"/>
        </w:rPr>
      </w:pPr>
      <w:r w:rsidRPr="006B771F">
        <w:rPr>
          <w:noProof/>
        </w:rPr>
        <w:t>Komisja uznaje, że na obecnym etapie wniosek dotyczący przepisów UE</w:t>
      </w:r>
      <w:r w:rsidR="00043012" w:rsidRPr="006B771F">
        <w:rPr>
          <w:noProof/>
        </w:rPr>
        <w:t xml:space="preserve"> o</w:t>
      </w:r>
      <w:r w:rsidR="00043012">
        <w:rPr>
          <w:noProof/>
        </w:rPr>
        <w:t> </w:t>
      </w:r>
      <w:r w:rsidR="00043012" w:rsidRPr="006B771F">
        <w:rPr>
          <w:noProof/>
        </w:rPr>
        <w:t>moc</w:t>
      </w:r>
      <w:r w:rsidRPr="006B771F">
        <w:rPr>
          <w:noProof/>
        </w:rPr>
        <w:t>y wiążącej na potrzeby harmonizacji tego rodzaju operacyjnej współpracy policyjnej byłby przedwczesny. Warto jednak zauważyć, że chociaż zalecenia nie są prawnie wiążące, na podstawie TFUE, zgodnie</w:t>
      </w:r>
      <w:r w:rsidR="00043012" w:rsidRPr="006B771F">
        <w:rPr>
          <w:noProof/>
        </w:rPr>
        <w:t xml:space="preserve"> z</w:t>
      </w:r>
      <w:r w:rsidR="00043012">
        <w:rPr>
          <w:noProof/>
        </w:rPr>
        <w:t> </w:t>
      </w:r>
      <w:r w:rsidR="00043012" w:rsidRPr="006B771F">
        <w:rPr>
          <w:noProof/>
        </w:rPr>
        <w:t>wyk</w:t>
      </w:r>
      <w:r w:rsidRPr="006B771F">
        <w:rPr>
          <w:noProof/>
        </w:rPr>
        <w:t>ładnią Trybunału Sprawiedliwości, są one aktami prawnymi</w:t>
      </w:r>
      <w:r w:rsidR="00043012" w:rsidRPr="006B771F">
        <w:rPr>
          <w:noProof/>
        </w:rPr>
        <w:t xml:space="preserve"> i</w:t>
      </w:r>
      <w:r w:rsidR="00043012">
        <w:rPr>
          <w:noProof/>
        </w:rPr>
        <w:t> </w:t>
      </w:r>
      <w:r w:rsidR="00043012" w:rsidRPr="006B771F">
        <w:rPr>
          <w:noProof/>
        </w:rPr>
        <w:t>jak</w:t>
      </w:r>
      <w:r w:rsidRPr="006B771F">
        <w:rPr>
          <w:noProof/>
        </w:rPr>
        <w:t>o takie nie mogą być uznawane za pozbawione skutków prawnych</w:t>
      </w:r>
      <w:r w:rsidR="00043012" w:rsidRPr="006B771F">
        <w:rPr>
          <w:noProof/>
        </w:rPr>
        <w:t xml:space="preserve"> i</w:t>
      </w:r>
      <w:r w:rsidR="00043012">
        <w:rPr>
          <w:noProof/>
        </w:rPr>
        <w:t> </w:t>
      </w:r>
      <w:r w:rsidR="00043012" w:rsidRPr="006B771F">
        <w:rPr>
          <w:noProof/>
        </w:rPr>
        <w:t>nal</w:t>
      </w:r>
      <w:r w:rsidRPr="006B771F">
        <w:rPr>
          <w:noProof/>
        </w:rPr>
        <w:t>eży je</w:t>
      </w:r>
      <w:r w:rsidR="00043012" w:rsidRPr="006B771F">
        <w:rPr>
          <w:noProof/>
        </w:rPr>
        <w:t xml:space="preserve"> w</w:t>
      </w:r>
      <w:r w:rsidR="00043012">
        <w:rPr>
          <w:noProof/>
        </w:rPr>
        <w:t> </w:t>
      </w:r>
      <w:r w:rsidR="00043012" w:rsidRPr="006B771F">
        <w:rPr>
          <w:noProof/>
        </w:rPr>
        <w:t>sto</w:t>
      </w:r>
      <w:r w:rsidRPr="006B771F">
        <w:rPr>
          <w:noProof/>
        </w:rPr>
        <w:t>sownych przypadkach uwzględniać na szczeblu krajowym.</w:t>
      </w:r>
    </w:p>
    <w:p w14:paraId="033C3CDC" w14:textId="1F349E31" w:rsidR="00AD2D37" w:rsidRPr="006B771F" w:rsidRDefault="00AD2D37" w:rsidP="00AD2D37">
      <w:pPr>
        <w:spacing w:before="0"/>
        <w:rPr>
          <w:noProof/>
        </w:rPr>
      </w:pPr>
      <w:r w:rsidRPr="006B771F">
        <w:rPr>
          <w:noProof/>
        </w:rPr>
        <w:t>W oparciu</w:t>
      </w:r>
      <w:r w:rsidR="00043012" w:rsidRPr="006B771F">
        <w:rPr>
          <w:noProof/>
        </w:rPr>
        <w:t xml:space="preserve"> o</w:t>
      </w:r>
      <w:r w:rsidR="00043012">
        <w:rPr>
          <w:noProof/>
        </w:rPr>
        <w:t> </w:t>
      </w:r>
      <w:r w:rsidR="00043012" w:rsidRPr="006B771F">
        <w:rPr>
          <w:noProof/>
        </w:rPr>
        <w:t>wcz</w:t>
      </w:r>
      <w:r w:rsidRPr="006B771F">
        <w:rPr>
          <w:noProof/>
        </w:rPr>
        <w:t>eśniejsze odnośne konkluzje Rady</w:t>
      </w:r>
      <w:r w:rsidRPr="006B771F">
        <w:rPr>
          <w:rStyle w:val="FootnoteReference0"/>
          <w:noProof/>
        </w:rPr>
        <w:footnoteReference w:id="43"/>
      </w:r>
      <w:r w:rsidRPr="006B771F">
        <w:rPr>
          <w:noProof/>
        </w:rPr>
        <w:t xml:space="preserve"> oraz dobre praktyki już wdrożone przez niektóre państwa członkowskie Komisja postanowiła przedłożyć projekt zalecenia Rady,</w:t>
      </w:r>
      <w:r w:rsidR="00043012" w:rsidRPr="006B771F">
        <w:rPr>
          <w:noProof/>
        </w:rPr>
        <w:t xml:space="preserve"> w</w:t>
      </w:r>
      <w:r w:rsidR="00043012">
        <w:rPr>
          <w:noProof/>
        </w:rPr>
        <w:t> </w:t>
      </w:r>
      <w:r w:rsidR="00043012" w:rsidRPr="006B771F">
        <w:rPr>
          <w:noProof/>
        </w:rPr>
        <w:t>któ</w:t>
      </w:r>
      <w:r w:rsidRPr="006B771F">
        <w:rPr>
          <w:noProof/>
        </w:rPr>
        <w:t>rym przedstawiono szereg zalecanych działań mających na celu udoskonalenie sposobu współpracy państw członkowskich pod względem operacyjnym. Komisja planuje monitorować wdrażanie niniejszego zalecenia</w:t>
      </w:r>
      <w:r w:rsidR="00043012" w:rsidRPr="006B771F">
        <w:rPr>
          <w:noProof/>
        </w:rPr>
        <w:t xml:space="preserve"> i</w:t>
      </w:r>
      <w:r w:rsidR="00043012">
        <w:rPr>
          <w:noProof/>
        </w:rPr>
        <w:t> </w:t>
      </w:r>
      <w:r w:rsidR="00043012" w:rsidRPr="006B771F">
        <w:rPr>
          <w:noProof/>
        </w:rPr>
        <w:t>oce</w:t>
      </w:r>
      <w:r w:rsidRPr="006B771F">
        <w:rPr>
          <w:noProof/>
        </w:rPr>
        <w:t>nić potrzebę opracowania</w:t>
      </w:r>
      <w:r w:rsidR="00043012" w:rsidRPr="006B771F">
        <w:rPr>
          <w:noProof/>
        </w:rPr>
        <w:t xml:space="preserve"> w</w:t>
      </w:r>
      <w:r w:rsidR="00043012">
        <w:rPr>
          <w:noProof/>
        </w:rPr>
        <w:t> </w:t>
      </w:r>
      <w:r w:rsidR="00043012" w:rsidRPr="006B771F">
        <w:rPr>
          <w:noProof/>
        </w:rPr>
        <w:t>prz</w:t>
      </w:r>
      <w:r w:rsidRPr="006B771F">
        <w:rPr>
          <w:noProof/>
        </w:rPr>
        <w:t>yszłości przepisów UE</w:t>
      </w:r>
      <w:r w:rsidR="00043012" w:rsidRPr="006B771F">
        <w:rPr>
          <w:noProof/>
        </w:rPr>
        <w:t xml:space="preserve"> o</w:t>
      </w:r>
      <w:r w:rsidR="00043012">
        <w:rPr>
          <w:noProof/>
        </w:rPr>
        <w:t> </w:t>
      </w:r>
      <w:r w:rsidR="00043012" w:rsidRPr="006B771F">
        <w:rPr>
          <w:noProof/>
        </w:rPr>
        <w:t>moc</w:t>
      </w:r>
      <w:r w:rsidRPr="006B771F">
        <w:rPr>
          <w:noProof/>
        </w:rPr>
        <w:t>y wiążącej dotyczących transgranicznej operacyjnej współpracy policyjnej.</w:t>
      </w:r>
    </w:p>
    <w:p w14:paraId="38F76D6F" w14:textId="77777777" w:rsidR="00AD2D37" w:rsidRPr="006B771F" w:rsidRDefault="00AD2D37" w:rsidP="00AD2D37">
      <w:pPr>
        <w:pStyle w:val="ManualHeading2"/>
        <w:rPr>
          <w:rFonts w:eastAsia="Arial Unicode MS"/>
          <w:noProof/>
          <w:u w:color="000000"/>
          <w:bdr w:val="nil"/>
        </w:rPr>
      </w:pPr>
      <w:r w:rsidRPr="006B771F">
        <w:rPr>
          <w:noProof/>
          <w:u w:color="000000"/>
          <w:bdr w:val="nil"/>
        </w:rPr>
        <w:t>•</w:t>
      </w:r>
      <w:r w:rsidRPr="006B771F">
        <w:rPr>
          <w:noProof/>
        </w:rPr>
        <w:tab/>
      </w:r>
      <w:r w:rsidRPr="006B771F">
        <w:rPr>
          <w:noProof/>
          <w:u w:color="000000"/>
          <w:bdr w:val="nil"/>
        </w:rPr>
        <w:t>Pomocniczość</w:t>
      </w:r>
    </w:p>
    <w:p w14:paraId="072E06EF" w14:textId="0B5E262E" w:rsidR="00AD2D37" w:rsidRPr="006B771F" w:rsidRDefault="00AD2D37" w:rsidP="00AD2D37">
      <w:pPr>
        <w:rPr>
          <w:noProof/>
          <w:szCs w:val="24"/>
        </w:rPr>
      </w:pPr>
      <w:r w:rsidRPr="006B771F">
        <w:rPr>
          <w:noProof/>
        </w:rPr>
        <w:t>Podjęcie działań na szczeblu UE jest konieczne do należytego rozwiązania problemów wskazanych</w:t>
      </w:r>
      <w:r w:rsidR="00043012" w:rsidRPr="006B771F">
        <w:rPr>
          <w:noProof/>
        </w:rPr>
        <w:t xml:space="preserve"> w</w:t>
      </w:r>
      <w:r w:rsidR="00043012">
        <w:rPr>
          <w:noProof/>
        </w:rPr>
        <w:t> </w:t>
      </w:r>
      <w:r w:rsidR="00043012" w:rsidRPr="006B771F">
        <w:rPr>
          <w:noProof/>
        </w:rPr>
        <w:t>pie</w:t>
      </w:r>
      <w:r w:rsidRPr="006B771F">
        <w:rPr>
          <w:noProof/>
        </w:rPr>
        <w:t>rwszej sekcji niniejszego uzasadnienia. Bez działań na szczeblu UE poszczególne państwa członkowskie będą nadal borykały się</w:t>
      </w:r>
      <w:r w:rsidR="00043012" w:rsidRPr="006B771F">
        <w:rPr>
          <w:noProof/>
        </w:rPr>
        <w:t xml:space="preserve"> z</w:t>
      </w:r>
      <w:r w:rsidR="00043012">
        <w:rPr>
          <w:noProof/>
        </w:rPr>
        <w:t> </w:t>
      </w:r>
      <w:r w:rsidR="00043012" w:rsidRPr="006B771F">
        <w:rPr>
          <w:noProof/>
        </w:rPr>
        <w:t>nie</w:t>
      </w:r>
      <w:r w:rsidRPr="006B771F">
        <w:rPr>
          <w:noProof/>
        </w:rPr>
        <w:t>pewnością</w:t>
      </w:r>
      <w:r w:rsidR="00043012" w:rsidRPr="006B771F">
        <w:rPr>
          <w:noProof/>
        </w:rPr>
        <w:t xml:space="preserve"> i</w:t>
      </w:r>
      <w:r w:rsidR="00043012">
        <w:rPr>
          <w:noProof/>
        </w:rPr>
        <w:t> </w:t>
      </w:r>
      <w:r w:rsidR="00043012" w:rsidRPr="006B771F">
        <w:rPr>
          <w:noProof/>
        </w:rPr>
        <w:t>prz</w:t>
      </w:r>
      <w:r w:rsidRPr="006B771F">
        <w:rPr>
          <w:noProof/>
        </w:rPr>
        <w:t>eszkodami wynikającymi</w:t>
      </w:r>
      <w:r w:rsidR="00043012" w:rsidRPr="006B771F">
        <w:rPr>
          <w:noProof/>
        </w:rPr>
        <w:t xml:space="preserve"> z</w:t>
      </w:r>
      <w:r w:rsidR="00043012">
        <w:rPr>
          <w:noProof/>
        </w:rPr>
        <w:t> </w:t>
      </w:r>
      <w:r w:rsidR="00043012" w:rsidRPr="006B771F">
        <w:rPr>
          <w:noProof/>
        </w:rPr>
        <w:t>róż</w:t>
      </w:r>
      <w:r w:rsidRPr="006B771F">
        <w:rPr>
          <w:noProof/>
        </w:rPr>
        <w:t>niących się między sobą przepisów dotyczących uprawnień urzędników podczas prowadzenia operacji</w:t>
      </w:r>
      <w:r w:rsidR="00043012" w:rsidRPr="006B771F">
        <w:rPr>
          <w:noProof/>
        </w:rPr>
        <w:t xml:space="preserve"> w</w:t>
      </w:r>
      <w:r w:rsidR="00043012">
        <w:rPr>
          <w:noProof/>
        </w:rPr>
        <w:t> </w:t>
      </w:r>
      <w:r w:rsidR="00043012" w:rsidRPr="006B771F">
        <w:rPr>
          <w:noProof/>
        </w:rPr>
        <w:t>inn</w:t>
      </w:r>
      <w:r w:rsidRPr="006B771F">
        <w:rPr>
          <w:noProof/>
        </w:rPr>
        <w:t>ych państwach członkowskich. Ponadto wspólne podejście na szczeblu UE jest konieczne, aby rozwiązać długotrwałe problemy techniczne związane</w:t>
      </w:r>
      <w:r w:rsidR="00043012" w:rsidRPr="006B771F">
        <w:rPr>
          <w:noProof/>
        </w:rPr>
        <w:t xml:space="preserve"> z</w:t>
      </w:r>
      <w:r w:rsidR="00043012">
        <w:rPr>
          <w:noProof/>
        </w:rPr>
        <w:t> </w:t>
      </w:r>
      <w:r w:rsidR="00043012" w:rsidRPr="006B771F">
        <w:rPr>
          <w:noProof/>
        </w:rPr>
        <w:t>wza</w:t>
      </w:r>
      <w:r w:rsidRPr="006B771F">
        <w:rPr>
          <w:noProof/>
        </w:rPr>
        <w:t>jemnymi połączeniami, które przyczyniają się do ograniczenia zainteresowania wspólnymi operacjami</w:t>
      </w:r>
      <w:r w:rsidR="00043012" w:rsidRPr="006B771F">
        <w:rPr>
          <w:noProof/>
        </w:rPr>
        <w:t>. W</w:t>
      </w:r>
      <w:r w:rsidR="00043012">
        <w:rPr>
          <w:noProof/>
        </w:rPr>
        <w:t> </w:t>
      </w:r>
      <w:r w:rsidR="00043012" w:rsidRPr="006B771F">
        <w:rPr>
          <w:noProof/>
        </w:rPr>
        <w:t>zwi</w:t>
      </w:r>
      <w:r w:rsidRPr="006B771F">
        <w:rPr>
          <w:noProof/>
        </w:rPr>
        <w:t>ązku</w:t>
      </w:r>
      <w:r w:rsidR="00043012" w:rsidRPr="006B771F">
        <w:rPr>
          <w:noProof/>
        </w:rPr>
        <w:t xml:space="preserve"> z</w:t>
      </w:r>
      <w:r w:rsidR="00043012">
        <w:rPr>
          <w:noProof/>
        </w:rPr>
        <w:t> </w:t>
      </w:r>
      <w:r w:rsidR="00043012" w:rsidRPr="006B771F">
        <w:rPr>
          <w:noProof/>
        </w:rPr>
        <w:t>tra</w:t>
      </w:r>
      <w:r w:rsidRPr="006B771F">
        <w:rPr>
          <w:noProof/>
        </w:rPr>
        <w:t>nsnarodowym charakterem poważnej</w:t>
      </w:r>
      <w:r w:rsidR="00043012" w:rsidRPr="006B771F">
        <w:rPr>
          <w:noProof/>
        </w:rPr>
        <w:t xml:space="preserve"> i</w:t>
      </w:r>
      <w:r w:rsidR="00043012">
        <w:rPr>
          <w:noProof/>
        </w:rPr>
        <w:t> </w:t>
      </w:r>
      <w:r w:rsidR="00043012" w:rsidRPr="006B771F">
        <w:rPr>
          <w:noProof/>
        </w:rPr>
        <w:t>zor</w:t>
      </w:r>
      <w:r w:rsidRPr="006B771F">
        <w:rPr>
          <w:noProof/>
        </w:rPr>
        <w:t>ganizowanej przestępczości niezwykle ważne jest zapewnienie szybkiej współpracy między policją</w:t>
      </w:r>
      <w:r w:rsidR="00043012" w:rsidRPr="006B771F">
        <w:rPr>
          <w:noProof/>
        </w:rPr>
        <w:t xml:space="preserve"> i</w:t>
      </w:r>
      <w:r w:rsidR="00043012">
        <w:rPr>
          <w:noProof/>
        </w:rPr>
        <w:t> </w:t>
      </w:r>
      <w:r w:rsidR="00043012" w:rsidRPr="006B771F">
        <w:rPr>
          <w:noProof/>
        </w:rPr>
        <w:t>org</w:t>
      </w:r>
      <w:r w:rsidRPr="006B771F">
        <w:rPr>
          <w:noProof/>
        </w:rPr>
        <w:t>anami sądowymi</w:t>
      </w:r>
      <w:r w:rsidR="00043012" w:rsidRPr="006B771F">
        <w:rPr>
          <w:noProof/>
        </w:rPr>
        <w:t xml:space="preserve"> w</w:t>
      </w:r>
      <w:r w:rsidR="00043012">
        <w:rPr>
          <w:noProof/>
        </w:rPr>
        <w:t> </w:t>
      </w:r>
      <w:r w:rsidR="00043012" w:rsidRPr="006B771F">
        <w:rPr>
          <w:noProof/>
        </w:rPr>
        <w:t>odn</w:t>
      </w:r>
      <w:r w:rsidRPr="006B771F">
        <w:rPr>
          <w:noProof/>
        </w:rPr>
        <w:t>iesieniu do przedmiotowych środków operacyjnych</w:t>
      </w:r>
      <w:r w:rsidR="00043012" w:rsidRPr="006B771F">
        <w:rPr>
          <w:noProof/>
        </w:rPr>
        <w:t xml:space="preserve"> w</w:t>
      </w:r>
      <w:r w:rsidR="00043012">
        <w:rPr>
          <w:noProof/>
        </w:rPr>
        <w:t> </w:t>
      </w:r>
      <w:r w:rsidR="00043012" w:rsidRPr="006B771F">
        <w:rPr>
          <w:noProof/>
        </w:rPr>
        <w:t>kon</w:t>
      </w:r>
      <w:r w:rsidRPr="006B771F">
        <w:rPr>
          <w:noProof/>
        </w:rPr>
        <w:t>tekście transgranicznym.</w:t>
      </w:r>
    </w:p>
    <w:p w14:paraId="0BCCAD82" w14:textId="1274240A" w:rsidR="00AD2D37" w:rsidRPr="006B771F" w:rsidRDefault="00AD2D37" w:rsidP="00AD2D37">
      <w:pPr>
        <w:spacing w:before="0"/>
        <w:rPr>
          <w:noProof/>
          <w:szCs w:val="24"/>
        </w:rPr>
      </w:pPr>
      <w:r w:rsidRPr="006B771F">
        <w:rPr>
          <w:noProof/>
        </w:rPr>
        <w:t>UE jest lepiej przygotowana niż pojedyncze państwa członkowskie do zapewnienia spójności działań podejmowanych na szczeblu krajowym, rozwiązania kwestii rozbieżności praktyk, zapobiegania powielaniu działań</w:t>
      </w:r>
      <w:r w:rsidR="00043012" w:rsidRPr="006B771F">
        <w:rPr>
          <w:noProof/>
        </w:rPr>
        <w:t xml:space="preserve"> i</w:t>
      </w:r>
      <w:r w:rsidR="00043012">
        <w:rPr>
          <w:noProof/>
        </w:rPr>
        <w:t> </w:t>
      </w:r>
      <w:r w:rsidR="00043012" w:rsidRPr="006B771F">
        <w:rPr>
          <w:noProof/>
        </w:rPr>
        <w:t>nie</w:t>
      </w:r>
      <w:r w:rsidRPr="006B771F">
        <w:rPr>
          <w:noProof/>
        </w:rPr>
        <w:t>pewności oraz docelowo zapewnienia skutecznego przeciwdziałania przestępczości transgranicznej. Oczekuje się, że działanie na szczeblu UE</w:t>
      </w:r>
      <w:r w:rsidR="00043012" w:rsidRPr="006B771F">
        <w:rPr>
          <w:noProof/>
        </w:rPr>
        <w:t xml:space="preserve"> w</w:t>
      </w:r>
      <w:r w:rsidR="00043012">
        <w:rPr>
          <w:noProof/>
        </w:rPr>
        <w:t> </w:t>
      </w:r>
      <w:r w:rsidR="00043012" w:rsidRPr="006B771F">
        <w:rPr>
          <w:noProof/>
        </w:rPr>
        <w:t>odp</w:t>
      </w:r>
      <w:r w:rsidRPr="006B771F">
        <w:rPr>
          <w:noProof/>
        </w:rPr>
        <w:t>owiedzi na zidentyfikowane problemy przyniesie wartość dodaną dla Unii,</w:t>
      </w:r>
      <w:r w:rsidR="00043012" w:rsidRPr="006B771F">
        <w:rPr>
          <w:noProof/>
        </w:rPr>
        <w:t xml:space="preserve"> a</w:t>
      </w:r>
      <w:r w:rsidR="00043012">
        <w:rPr>
          <w:noProof/>
        </w:rPr>
        <w:t> </w:t>
      </w:r>
      <w:r w:rsidR="00043012" w:rsidRPr="006B771F">
        <w:rPr>
          <w:noProof/>
        </w:rPr>
        <w:t>prz</w:t>
      </w:r>
      <w:r w:rsidRPr="006B771F">
        <w:rPr>
          <w:noProof/>
        </w:rPr>
        <w:t xml:space="preserve">ez to również dla jej obywateli. </w:t>
      </w:r>
    </w:p>
    <w:p w14:paraId="46290DEC" w14:textId="77777777" w:rsidR="00AD2D37" w:rsidRPr="006B771F" w:rsidRDefault="00AD2D37" w:rsidP="00AD2D37">
      <w:pPr>
        <w:pStyle w:val="ManualHeading2"/>
        <w:rPr>
          <w:rFonts w:eastAsia="Arial Unicode MS"/>
          <w:noProof/>
          <w:u w:color="000000"/>
          <w:bdr w:val="nil"/>
        </w:rPr>
      </w:pPr>
      <w:r w:rsidRPr="006B771F">
        <w:rPr>
          <w:noProof/>
          <w:u w:color="000000"/>
          <w:bdr w:val="nil"/>
        </w:rPr>
        <w:t>•</w:t>
      </w:r>
      <w:r w:rsidRPr="006B771F">
        <w:rPr>
          <w:noProof/>
        </w:rPr>
        <w:tab/>
      </w:r>
      <w:r w:rsidRPr="006B771F">
        <w:rPr>
          <w:noProof/>
          <w:u w:color="000000"/>
          <w:bdr w:val="nil"/>
        </w:rPr>
        <w:t>Proporcjonalność</w:t>
      </w:r>
    </w:p>
    <w:p w14:paraId="3007EB54" w14:textId="313E6AB1" w:rsidR="00AD2D37" w:rsidRPr="00043012" w:rsidRDefault="00AD2D37" w:rsidP="00AD2D37">
      <w:pPr>
        <w:spacing w:before="0"/>
        <w:rPr>
          <w:noProof/>
        </w:rPr>
      </w:pPr>
      <w:r w:rsidRPr="006B771F">
        <w:rPr>
          <w:noProof/>
        </w:rPr>
        <w:t>W niniejszym wniosku zaleca się wprowadzenie przez państwa członkowskie szeregu środków</w:t>
      </w:r>
      <w:r w:rsidR="00043012" w:rsidRPr="006B771F">
        <w:rPr>
          <w:noProof/>
        </w:rPr>
        <w:t xml:space="preserve"> w</w:t>
      </w:r>
      <w:r w:rsidR="00043012">
        <w:rPr>
          <w:noProof/>
        </w:rPr>
        <w:t> </w:t>
      </w:r>
      <w:r w:rsidR="00043012" w:rsidRPr="006B771F">
        <w:rPr>
          <w:noProof/>
        </w:rPr>
        <w:t>cel</w:t>
      </w:r>
      <w:r w:rsidRPr="006B771F">
        <w:rPr>
          <w:noProof/>
        </w:rPr>
        <w:t>u pokonania przeszkód</w:t>
      </w:r>
      <w:r w:rsidR="00043012" w:rsidRPr="006B771F">
        <w:rPr>
          <w:noProof/>
        </w:rPr>
        <w:t xml:space="preserve"> i</w:t>
      </w:r>
      <w:r w:rsidR="00043012">
        <w:rPr>
          <w:noProof/>
        </w:rPr>
        <w:t> </w:t>
      </w:r>
      <w:r w:rsidR="00043012" w:rsidRPr="006B771F">
        <w:rPr>
          <w:noProof/>
        </w:rPr>
        <w:t>wzm</w:t>
      </w:r>
      <w:r w:rsidRPr="006B771F">
        <w:rPr>
          <w:noProof/>
        </w:rPr>
        <w:t>ocnienia istniejących istotnych mechanizmów</w:t>
      </w:r>
      <w:r w:rsidR="00043012" w:rsidRPr="006B771F">
        <w:rPr>
          <w:noProof/>
        </w:rPr>
        <w:t xml:space="preserve"> i</w:t>
      </w:r>
      <w:r w:rsidR="00043012">
        <w:rPr>
          <w:noProof/>
        </w:rPr>
        <w:t> </w:t>
      </w:r>
      <w:r w:rsidR="00043012" w:rsidRPr="006B771F">
        <w:rPr>
          <w:noProof/>
        </w:rPr>
        <w:t>nar</w:t>
      </w:r>
      <w:r w:rsidRPr="006B771F">
        <w:rPr>
          <w:noProof/>
        </w:rPr>
        <w:t>zędzi współpracy transgranicznej. Wniosek nie zawiera zaleceń niezgodnych</w:t>
      </w:r>
      <w:r w:rsidR="00043012" w:rsidRPr="006B771F">
        <w:rPr>
          <w:noProof/>
        </w:rPr>
        <w:t xml:space="preserve"> z</w:t>
      </w:r>
      <w:r w:rsidR="00043012">
        <w:rPr>
          <w:noProof/>
        </w:rPr>
        <w:t> </w:t>
      </w:r>
      <w:r w:rsidR="00043012" w:rsidRPr="006B771F">
        <w:rPr>
          <w:noProof/>
        </w:rPr>
        <w:t>tym</w:t>
      </w:r>
      <w:r w:rsidRPr="006B771F">
        <w:rPr>
          <w:noProof/>
        </w:rPr>
        <w:t>, co przewidziano</w:t>
      </w:r>
      <w:r w:rsidR="00043012" w:rsidRPr="006B771F">
        <w:rPr>
          <w:noProof/>
        </w:rPr>
        <w:t xml:space="preserve"> w</w:t>
      </w:r>
      <w:r w:rsidR="00043012">
        <w:rPr>
          <w:noProof/>
        </w:rPr>
        <w:t> </w:t>
      </w:r>
      <w:r w:rsidR="00043012" w:rsidRPr="006B771F">
        <w:rPr>
          <w:noProof/>
        </w:rPr>
        <w:t>obo</w:t>
      </w:r>
      <w:r w:rsidRPr="006B771F">
        <w:rPr>
          <w:noProof/>
        </w:rPr>
        <w:t>wiązujących przepisach UE. Państwa członkowskie powinny natomiast wdrożyć zalecane środki zgodnie</w:t>
      </w:r>
      <w:r w:rsidR="00043012" w:rsidRPr="006B771F">
        <w:rPr>
          <w:noProof/>
        </w:rPr>
        <w:t xml:space="preserve"> z</w:t>
      </w:r>
      <w:r w:rsidR="00043012">
        <w:rPr>
          <w:noProof/>
        </w:rPr>
        <w:t> </w:t>
      </w:r>
      <w:r w:rsidR="00043012" w:rsidRPr="006B771F">
        <w:rPr>
          <w:noProof/>
        </w:rPr>
        <w:t>obo</w:t>
      </w:r>
      <w:r w:rsidRPr="006B771F">
        <w:rPr>
          <w:noProof/>
        </w:rPr>
        <w:t>wiązującymi przepisami UE. Co więcej, nie oczekuje się od państw członkowskich jakiejkolwiek zmiany, ani nawet dalszego stosowania, warunków</w:t>
      </w:r>
      <w:r w:rsidR="00043012" w:rsidRPr="006B771F">
        <w:rPr>
          <w:noProof/>
        </w:rPr>
        <w:t xml:space="preserve"> i</w:t>
      </w:r>
      <w:r w:rsidR="00043012">
        <w:rPr>
          <w:noProof/>
        </w:rPr>
        <w:t> </w:t>
      </w:r>
      <w:r w:rsidR="00043012" w:rsidRPr="006B771F">
        <w:rPr>
          <w:noProof/>
        </w:rPr>
        <w:t>zab</w:t>
      </w:r>
      <w:r w:rsidRPr="006B771F">
        <w:rPr>
          <w:noProof/>
        </w:rPr>
        <w:t>ezpieczeń zawartych</w:t>
      </w:r>
      <w:r w:rsidR="00043012" w:rsidRPr="006B771F">
        <w:rPr>
          <w:noProof/>
        </w:rPr>
        <w:t xml:space="preserve"> w</w:t>
      </w:r>
      <w:r w:rsidR="00043012">
        <w:rPr>
          <w:noProof/>
        </w:rPr>
        <w:t> </w:t>
      </w:r>
      <w:r w:rsidR="00043012" w:rsidRPr="006B771F">
        <w:rPr>
          <w:noProof/>
        </w:rPr>
        <w:t>pra</w:t>
      </w:r>
      <w:r w:rsidRPr="006B771F">
        <w:rPr>
          <w:noProof/>
        </w:rPr>
        <w:t>wie krajowym dotyczącym objętych nim działań operacyjnych,</w:t>
      </w:r>
      <w:r w:rsidR="00043012" w:rsidRPr="006B771F">
        <w:rPr>
          <w:noProof/>
        </w:rPr>
        <w:t xml:space="preserve"> o</w:t>
      </w:r>
      <w:r w:rsidR="00043012">
        <w:rPr>
          <w:noProof/>
        </w:rPr>
        <w:t> </w:t>
      </w:r>
      <w:r w:rsidR="00043012" w:rsidRPr="006B771F">
        <w:rPr>
          <w:noProof/>
        </w:rPr>
        <w:t>ile</w:t>
      </w:r>
      <w:r w:rsidRPr="006B771F">
        <w:rPr>
          <w:noProof/>
        </w:rPr>
        <w:t xml:space="preserve"> są one zgodne</w:t>
      </w:r>
      <w:r w:rsidR="00043012" w:rsidRPr="006B771F">
        <w:rPr>
          <w:noProof/>
        </w:rPr>
        <w:t xml:space="preserve"> z</w:t>
      </w:r>
      <w:r w:rsidR="00043012">
        <w:rPr>
          <w:noProof/>
        </w:rPr>
        <w:t> </w:t>
      </w:r>
      <w:r w:rsidR="00043012" w:rsidRPr="006B771F">
        <w:rPr>
          <w:noProof/>
        </w:rPr>
        <w:t>prz</w:t>
      </w:r>
      <w:r w:rsidRPr="006B771F">
        <w:rPr>
          <w:noProof/>
        </w:rPr>
        <w:t>episami UE</w:t>
      </w:r>
      <w:r w:rsidR="00043012" w:rsidRPr="006B771F">
        <w:rPr>
          <w:noProof/>
        </w:rPr>
        <w:t xml:space="preserve"> i</w:t>
      </w:r>
      <w:r w:rsidR="00043012">
        <w:rPr>
          <w:noProof/>
        </w:rPr>
        <w:t> </w:t>
      </w:r>
      <w:r w:rsidR="00043012" w:rsidRPr="006B771F">
        <w:rPr>
          <w:noProof/>
        </w:rPr>
        <w:t>nie</w:t>
      </w:r>
      <w:r w:rsidRPr="006B771F">
        <w:rPr>
          <w:noProof/>
        </w:rPr>
        <w:t xml:space="preserve"> są wyraźnie uwzględnione</w:t>
      </w:r>
      <w:r w:rsidR="00043012" w:rsidRPr="006B771F">
        <w:rPr>
          <w:noProof/>
        </w:rPr>
        <w:t xml:space="preserve"> w</w:t>
      </w:r>
      <w:r w:rsidR="00043012">
        <w:rPr>
          <w:noProof/>
        </w:rPr>
        <w:t> </w:t>
      </w:r>
      <w:r w:rsidR="00043012" w:rsidRPr="006B771F">
        <w:rPr>
          <w:noProof/>
        </w:rPr>
        <w:t>nin</w:t>
      </w:r>
      <w:r w:rsidRPr="006B771F">
        <w:rPr>
          <w:noProof/>
        </w:rPr>
        <w:t>iejszym zaleceniu</w:t>
      </w:r>
      <w:r w:rsidRPr="00043012">
        <w:rPr>
          <w:noProof/>
        </w:rPr>
        <w:t>.</w:t>
      </w:r>
      <w:r w:rsidR="00043012" w:rsidRPr="00043012">
        <w:rPr>
          <w:noProof/>
        </w:rPr>
        <w:t xml:space="preserve"> </w:t>
      </w:r>
    </w:p>
    <w:p w14:paraId="3ADBD221" w14:textId="5075A568" w:rsidR="00AD2D37" w:rsidRPr="006B771F" w:rsidRDefault="00AD2D37" w:rsidP="00AD2D37">
      <w:pPr>
        <w:spacing w:before="0"/>
        <w:rPr>
          <w:noProof/>
        </w:rPr>
      </w:pPr>
      <w:r w:rsidRPr="006B771F">
        <w:rPr>
          <w:noProof/>
        </w:rPr>
        <w:t>W związku</w:t>
      </w:r>
      <w:r w:rsidR="00043012" w:rsidRPr="006B771F">
        <w:rPr>
          <w:noProof/>
        </w:rPr>
        <w:t xml:space="preserve"> z</w:t>
      </w:r>
      <w:r w:rsidR="00043012">
        <w:rPr>
          <w:noProof/>
        </w:rPr>
        <w:t> </w:t>
      </w:r>
      <w:r w:rsidR="00043012" w:rsidRPr="006B771F">
        <w:rPr>
          <w:noProof/>
        </w:rPr>
        <w:t>wra</w:t>
      </w:r>
      <w:r w:rsidRPr="006B771F">
        <w:rPr>
          <w:noProof/>
        </w:rPr>
        <w:t>żliwością środków dotyczących operacyjnej transgranicznej współpracy policyjnej oraz wyrażoną przez państwa członkowskie gotowością do podjęcia dalszego dialogu</w:t>
      </w:r>
      <w:r w:rsidR="00043012" w:rsidRPr="006B771F">
        <w:rPr>
          <w:noProof/>
        </w:rPr>
        <w:t xml:space="preserve"> w</w:t>
      </w:r>
      <w:r w:rsidR="00043012">
        <w:rPr>
          <w:noProof/>
        </w:rPr>
        <w:t> </w:t>
      </w:r>
      <w:r w:rsidR="00043012" w:rsidRPr="006B771F">
        <w:rPr>
          <w:noProof/>
        </w:rPr>
        <w:t>kwe</w:t>
      </w:r>
      <w:r w:rsidRPr="006B771F">
        <w:rPr>
          <w:noProof/>
        </w:rPr>
        <w:t>stii środków, jakie należałoby wdrożyć</w:t>
      </w:r>
      <w:r w:rsidR="00043012" w:rsidRPr="006B771F">
        <w:rPr>
          <w:noProof/>
        </w:rPr>
        <w:t xml:space="preserve"> w</w:t>
      </w:r>
      <w:r w:rsidR="00043012">
        <w:rPr>
          <w:noProof/>
        </w:rPr>
        <w:t> </w:t>
      </w:r>
      <w:r w:rsidR="00043012" w:rsidRPr="006B771F">
        <w:rPr>
          <w:noProof/>
        </w:rPr>
        <w:t>cel</w:t>
      </w:r>
      <w:r w:rsidRPr="006B771F">
        <w:rPr>
          <w:noProof/>
        </w:rPr>
        <w:t>u wzmocnienia operacyjnej współpracy policyjnej, wniosek dotyczący zalecenia Rady stanowi najbardziej odpowiedni</w:t>
      </w:r>
      <w:r w:rsidR="00043012" w:rsidRPr="006B771F">
        <w:rPr>
          <w:noProof/>
        </w:rPr>
        <w:t xml:space="preserve"> i</w:t>
      </w:r>
      <w:r w:rsidR="00043012">
        <w:rPr>
          <w:noProof/>
        </w:rPr>
        <w:t> </w:t>
      </w:r>
      <w:r w:rsidR="00043012" w:rsidRPr="006B771F">
        <w:rPr>
          <w:noProof/>
        </w:rPr>
        <w:t>pro</w:t>
      </w:r>
      <w:r w:rsidRPr="006B771F">
        <w:rPr>
          <w:noProof/>
        </w:rPr>
        <w:t>porcjonalny wybór. Uzasadnieniem wyboru wniosku dotyczącego zalecenia Rady jest fakt, że nie wykracza on poza to, co jest na tym etapie niezbędne do osiągnięcia celów poprawy operacyjnej współpracy policyjnej w UE.</w:t>
      </w:r>
    </w:p>
    <w:p w14:paraId="1E1902F3" w14:textId="77777777" w:rsidR="00AD2D37" w:rsidRPr="006B771F" w:rsidRDefault="00AD2D37" w:rsidP="00AD2D37">
      <w:pPr>
        <w:pStyle w:val="ManualHeading1"/>
        <w:rPr>
          <w:noProof/>
        </w:rPr>
      </w:pPr>
      <w:r w:rsidRPr="006B771F">
        <w:rPr>
          <w:noProof/>
        </w:rPr>
        <w:t>3.</w:t>
      </w:r>
      <w:r w:rsidRPr="006B771F">
        <w:rPr>
          <w:noProof/>
        </w:rPr>
        <w:tab/>
        <w:t xml:space="preserve">WYNIKI OCEN </w:t>
      </w:r>
      <w:r w:rsidRPr="006B771F">
        <w:rPr>
          <w:i/>
          <w:iCs/>
          <w:noProof/>
        </w:rPr>
        <w:t>EX POST</w:t>
      </w:r>
      <w:r w:rsidRPr="006B771F">
        <w:rPr>
          <w:noProof/>
        </w:rPr>
        <w:t>, KONSULTACJI Z ZAINTERESOWANYMI STRONAMI I OCEN SKUTKÓW</w:t>
      </w:r>
    </w:p>
    <w:p w14:paraId="4092D847" w14:textId="77777777" w:rsidR="00AD2D37" w:rsidRPr="006B771F" w:rsidRDefault="00AD2D37" w:rsidP="00AD2D37">
      <w:pPr>
        <w:pStyle w:val="ManualHeading2"/>
        <w:rPr>
          <w:rFonts w:eastAsia="Arial Unicode MS"/>
          <w:noProof/>
          <w:u w:color="000000"/>
          <w:bdr w:val="nil"/>
        </w:rPr>
      </w:pPr>
      <w:r w:rsidRPr="006B771F">
        <w:rPr>
          <w:noProof/>
          <w:u w:color="000000"/>
          <w:bdr w:val="nil"/>
        </w:rPr>
        <w:t>•</w:t>
      </w:r>
      <w:r w:rsidRPr="006B771F">
        <w:rPr>
          <w:noProof/>
        </w:rPr>
        <w:tab/>
      </w:r>
      <w:r w:rsidRPr="006B771F">
        <w:rPr>
          <w:noProof/>
          <w:u w:color="000000"/>
          <w:bdr w:val="nil"/>
        </w:rPr>
        <w:t xml:space="preserve">Oceny </w:t>
      </w:r>
      <w:r w:rsidRPr="006B771F">
        <w:rPr>
          <w:i/>
          <w:iCs/>
          <w:noProof/>
          <w:u w:color="000000"/>
          <w:bdr w:val="nil"/>
        </w:rPr>
        <w:t>ex post</w:t>
      </w:r>
      <w:r w:rsidRPr="006B771F">
        <w:rPr>
          <w:noProof/>
          <w:u w:color="000000"/>
          <w:bdr w:val="nil"/>
        </w:rPr>
        <w:t>/oceny adekwatności obowiązującego prawodawstwa</w:t>
      </w:r>
    </w:p>
    <w:p w14:paraId="5C7FF7E1" w14:textId="19ABF787" w:rsidR="00AD2D37" w:rsidRPr="006B771F" w:rsidRDefault="00AD2D37" w:rsidP="00AD2D37">
      <w:pPr>
        <w:spacing w:before="0"/>
        <w:rPr>
          <w:rFonts w:eastAsia="Arial Unicode MS"/>
          <w:noProof/>
        </w:rPr>
      </w:pPr>
      <w:r w:rsidRPr="006B771F">
        <w:rPr>
          <w:noProof/>
        </w:rPr>
        <w:t>W odniesieniu do niniejszego wniosku nie przeprowadzono oceny adekwatności obowiązującego prawodawstwa</w:t>
      </w:r>
      <w:r w:rsidR="00043012" w:rsidRPr="006B771F">
        <w:rPr>
          <w:noProof/>
        </w:rPr>
        <w:t xml:space="preserve"> w</w:t>
      </w:r>
      <w:r w:rsidR="00043012">
        <w:rPr>
          <w:noProof/>
        </w:rPr>
        <w:t> </w:t>
      </w:r>
      <w:r w:rsidR="00043012" w:rsidRPr="006B771F">
        <w:rPr>
          <w:noProof/>
        </w:rPr>
        <w:t>zak</w:t>
      </w:r>
      <w:r w:rsidRPr="006B771F">
        <w:rPr>
          <w:noProof/>
        </w:rPr>
        <w:t>resie współpracy operacyjnej. Wynika to</w:t>
      </w:r>
      <w:r w:rsidR="00043012" w:rsidRPr="006B771F">
        <w:rPr>
          <w:noProof/>
        </w:rPr>
        <w:t xml:space="preserve"> z</w:t>
      </w:r>
      <w:r w:rsidR="00043012">
        <w:rPr>
          <w:noProof/>
        </w:rPr>
        <w:t> </w:t>
      </w:r>
      <w:r w:rsidR="00043012" w:rsidRPr="006B771F">
        <w:rPr>
          <w:noProof/>
        </w:rPr>
        <w:t>fak</w:t>
      </w:r>
      <w:r w:rsidRPr="006B771F">
        <w:rPr>
          <w:noProof/>
        </w:rPr>
        <w:t>tu, że unijne prawodawstwo podstawowe jest bardzo ograniczone</w:t>
      </w:r>
      <w:r w:rsidR="00043012" w:rsidRPr="006B771F">
        <w:rPr>
          <w:noProof/>
        </w:rPr>
        <w:t xml:space="preserve"> i</w:t>
      </w:r>
      <w:r w:rsidR="00043012">
        <w:rPr>
          <w:noProof/>
        </w:rPr>
        <w:t> </w:t>
      </w:r>
      <w:r w:rsidR="00043012" w:rsidRPr="006B771F">
        <w:rPr>
          <w:noProof/>
        </w:rPr>
        <w:t>jes</w:t>
      </w:r>
      <w:r w:rsidRPr="006B771F">
        <w:rPr>
          <w:noProof/>
        </w:rPr>
        <w:t>t systematycznie uzupełniane dwustronnymi</w:t>
      </w:r>
      <w:r w:rsidR="00043012" w:rsidRPr="006B771F">
        <w:rPr>
          <w:noProof/>
        </w:rPr>
        <w:t xml:space="preserve"> i</w:t>
      </w:r>
      <w:r w:rsidR="00043012">
        <w:rPr>
          <w:noProof/>
        </w:rPr>
        <w:t> </w:t>
      </w:r>
      <w:r w:rsidR="00043012" w:rsidRPr="006B771F">
        <w:rPr>
          <w:noProof/>
        </w:rPr>
        <w:t>wie</w:t>
      </w:r>
      <w:r w:rsidRPr="006B771F">
        <w:rPr>
          <w:noProof/>
        </w:rPr>
        <w:t>lostronnymi umowami</w:t>
      </w:r>
      <w:r w:rsidR="00043012" w:rsidRPr="006B771F">
        <w:rPr>
          <w:noProof/>
        </w:rPr>
        <w:t xml:space="preserve"> o</w:t>
      </w:r>
      <w:r w:rsidR="00043012">
        <w:rPr>
          <w:noProof/>
        </w:rPr>
        <w:t> </w:t>
      </w:r>
      <w:r w:rsidR="00043012" w:rsidRPr="006B771F">
        <w:rPr>
          <w:noProof/>
        </w:rPr>
        <w:t>wsp</w:t>
      </w:r>
      <w:r w:rsidRPr="006B771F">
        <w:rPr>
          <w:noProof/>
        </w:rPr>
        <w:t xml:space="preserve">ółpracy między państwami członkowskimi. </w:t>
      </w:r>
    </w:p>
    <w:p w14:paraId="345555A5" w14:textId="0746EF59" w:rsidR="00AD2D37" w:rsidRPr="006B771F" w:rsidRDefault="00AD2D37" w:rsidP="00AD2D37">
      <w:pPr>
        <w:pStyle w:val="ManualHeading2"/>
        <w:rPr>
          <w:rFonts w:eastAsia="Arial Unicode MS"/>
          <w:noProof/>
          <w:u w:color="000000"/>
          <w:bdr w:val="nil"/>
        </w:rPr>
      </w:pPr>
      <w:r w:rsidRPr="006B771F">
        <w:rPr>
          <w:noProof/>
          <w:u w:color="000000"/>
          <w:bdr w:val="nil"/>
        </w:rPr>
        <w:t>•</w:t>
      </w:r>
      <w:r w:rsidRPr="006B771F">
        <w:rPr>
          <w:noProof/>
        </w:rPr>
        <w:tab/>
      </w:r>
      <w:r w:rsidRPr="006B771F">
        <w:rPr>
          <w:noProof/>
          <w:u w:color="000000"/>
          <w:bdr w:val="nil"/>
        </w:rPr>
        <w:t>Konsultacje</w:t>
      </w:r>
      <w:r w:rsidR="00043012" w:rsidRPr="006B771F">
        <w:rPr>
          <w:noProof/>
          <w:u w:color="000000"/>
          <w:bdr w:val="nil"/>
        </w:rPr>
        <w:t xml:space="preserve"> z</w:t>
      </w:r>
      <w:r w:rsidR="00043012">
        <w:rPr>
          <w:noProof/>
          <w:u w:color="000000"/>
          <w:bdr w:val="nil"/>
        </w:rPr>
        <w:t> </w:t>
      </w:r>
      <w:r w:rsidR="00043012" w:rsidRPr="006B771F">
        <w:rPr>
          <w:noProof/>
          <w:u w:color="000000"/>
          <w:bdr w:val="nil"/>
        </w:rPr>
        <w:t>zai</w:t>
      </w:r>
      <w:r w:rsidRPr="006B771F">
        <w:rPr>
          <w:noProof/>
          <w:u w:color="000000"/>
          <w:bdr w:val="nil"/>
        </w:rPr>
        <w:t>nteresowanymi stronami</w:t>
      </w:r>
    </w:p>
    <w:p w14:paraId="48C36BCA" w14:textId="1C2AED50" w:rsidR="00AD2D37" w:rsidRPr="006B771F" w:rsidRDefault="00AD2D37" w:rsidP="00AD2D37">
      <w:pPr>
        <w:spacing w:before="0"/>
        <w:rPr>
          <w:noProof/>
        </w:rPr>
      </w:pPr>
      <w:r w:rsidRPr="006B771F">
        <w:rPr>
          <w:b/>
          <w:noProof/>
        </w:rPr>
        <w:t>Okres</w:t>
      </w:r>
      <w:r w:rsidRPr="006B771F">
        <w:rPr>
          <w:noProof/>
        </w:rPr>
        <w:t xml:space="preserve"> konsultacji</w:t>
      </w:r>
      <w:r w:rsidR="00043012" w:rsidRPr="006B771F">
        <w:rPr>
          <w:noProof/>
        </w:rPr>
        <w:t xml:space="preserve"> z</w:t>
      </w:r>
      <w:r w:rsidR="00043012">
        <w:rPr>
          <w:noProof/>
        </w:rPr>
        <w:t> </w:t>
      </w:r>
      <w:r w:rsidR="00043012" w:rsidRPr="006B771F">
        <w:rPr>
          <w:noProof/>
        </w:rPr>
        <w:t>zai</w:t>
      </w:r>
      <w:r w:rsidRPr="006B771F">
        <w:rPr>
          <w:noProof/>
        </w:rPr>
        <w:t>nteresowanymi stronami miał miejsce od lipca 20</w:t>
      </w:r>
      <w:r w:rsidRPr="00043012">
        <w:rPr>
          <w:noProof/>
        </w:rPr>
        <w:t>19</w:t>
      </w:r>
      <w:r w:rsidR="00043012" w:rsidRPr="00043012">
        <w:rPr>
          <w:noProof/>
        </w:rPr>
        <w:t> </w:t>
      </w:r>
      <w:r w:rsidRPr="00043012">
        <w:rPr>
          <w:noProof/>
        </w:rPr>
        <w:t>r.</w:t>
      </w:r>
      <w:r w:rsidRPr="006B771F">
        <w:rPr>
          <w:noProof/>
        </w:rPr>
        <w:t xml:space="preserve"> do lipca 20</w:t>
      </w:r>
      <w:r w:rsidRPr="00043012">
        <w:rPr>
          <w:noProof/>
        </w:rPr>
        <w:t>21</w:t>
      </w:r>
      <w:r w:rsidR="00043012" w:rsidRPr="00043012">
        <w:rPr>
          <w:noProof/>
        </w:rPr>
        <w:t> </w:t>
      </w:r>
      <w:r w:rsidRPr="00043012">
        <w:rPr>
          <w:noProof/>
        </w:rPr>
        <w:t>r.</w:t>
      </w:r>
      <w:r w:rsidRPr="006B771F">
        <w:rPr>
          <w:noProof/>
        </w:rPr>
        <w:t xml:space="preserve"> Konsultacje obejmowały </w:t>
      </w:r>
      <w:r w:rsidRPr="006B771F">
        <w:rPr>
          <w:b/>
          <w:noProof/>
        </w:rPr>
        <w:t>pytania ukierunkowane na zainteresowane strony</w:t>
      </w:r>
      <w:r w:rsidRPr="006B771F">
        <w:rPr>
          <w:noProof/>
        </w:rPr>
        <w:t xml:space="preserve"> obejmujące szerokie grono ekspertów merytorycznych, organy krajowe, organizacje społeczeństwa obywatelskiego oraz członków społeczeństwa, dotyczące ich oczekiwań</w:t>
      </w:r>
      <w:r w:rsidR="00043012" w:rsidRPr="006B771F">
        <w:rPr>
          <w:noProof/>
        </w:rPr>
        <w:t xml:space="preserve"> i</w:t>
      </w:r>
      <w:r w:rsidR="00043012">
        <w:rPr>
          <w:noProof/>
        </w:rPr>
        <w:t> </w:t>
      </w:r>
      <w:r w:rsidR="00043012" w:rsidRPr="006B771F">
        <w:rPr>
          <w:noProof/>
        </w:rPr>
        <w:t>oba</w:t>
      </w:r>
      <w:r w:rsidRPr="006B771F">
        <w:rPr>
          <w:noProof/>
        </w:rPr>
        <w:t>w związanych ze wzmocnieniem współpracy organów ścigania w UE.</w:t>
      </w:r>
    </w:p>
    <w:p w14:paraId="0C0AFDDA" w14:textId="465E0C15" w:rsidR="00AD2D37" w:rsidRPr="006B771F" w:rsidRDefault="00AD2D37" w:rsidP="00AD2D37">
      <w:pPr>
        <w:spacing w:before="0"/>
        <w:rPr>
          <w:noProof/>
          <w:szCs w:val="24"/>
        </w:rPr>
      </w:pPr>
      <w:r w:rsidRPr="006B771F">
        <w:rPr>
          <w:noProof/>
        </w:rPr>
        <w:t xml:space="preserve">Komisja wykorzystała różne </w:t>
      </w:r>
      <w:r w:rsidRPr="006B771F">
        <w:rPr>
          <w:b/>
          <w:noProof/>
        </w:rPr>
        <w:t>sposoby angażowania</w:t>
      </w:r>
      <w:r w:rsidRPr="006B771F">
        <w:rPr>
          <w:noProof/>
        </w:rPr>
        <w:t>, takie jak ukierunkowane kwestionariusze, przeprowadziła rozmowy</w:t>
      </w:r>
      <w:r w:rsidR="00043012" w:rsidRPr="006B771F">
        <w:rPr>
          <w:noProof/>
        </w:rPr>
        <w:t xml:space="preserve"> z</w:t>
      </w:r>
      <w:r w:rsidR="00043012">
        <w:rPr>
          <w:noProof/>
        </w:rPr>
        <w:t> </w:t>
      </w:r>
      <w:r w:rsidR="00043012" w:rsidRPr="006B771F">
        <w:rPr>
          <w:noProof/>
        </w:rPr>
        <w:t>eks</w:t>
      </w:r>
      <w:r w:rsidRPr="006B771F">
        <w:rPr>
          <w:noProof/>
        </w:rPr>
        <w:t>pertami</w:t>
      </w:r>
      <w:r w:rsidR="00043012" w:rsidRPr="006B771F">
        <w:rPr>
          <w:noProof/>
        </w:rPr>
        <w:t xml:space="preserve"> i</w:t>
      </w:r>
      <w:r w:rsidR="00043012">
        <w:rPr>
          <w:noProof/>
        </w:rPr>
        <w:t> </w:t>
      </w:r>
      <w:r w:rsidR="00043012" w:rsidRPr="006B771F">
        <w:rPr>
          <w:noProof/>
        </w:rPr>
        <w:t>zor</w:t>
      </w:r>
      <w:r w:rsidRPr="006B771F">
        <w:rPr>
          <w:noProof/>
        </w:rPr>
        <w:t>ganizowała szereg warsztatów tematycznych</w:t>
      </w:r>
      <w:r w:rsidR="00043012" w:rsidRPr="006B771F">
        <w:rPr>
          <w:noProof/>
        </w:rPr>
        <w:t xml:space="preserve"> z</w:t>
      </w:r>
      <w:r w:rsidR="00043012">
        <w:rPr>
          <w:noProof/>
        </w:rPr>
        <w:t> </w:t>
      </w:r>
      <w:r w:rsidR="00043012" w:rsidRPr="006B771F">
        <w:rPr>
          <w:noProof/>
        </w:rPr>
        <w:t>udz</w:t>
      </w:r>
      <w:r w:rsidRPr="006B771F">
        <w:rPr>
          <w:noProof/>
        </w:rPr>
        <w:t>iałem przedstawicieli państw członkowskich</w:t>
      </w:r>
      <w:r w:rsidR="00043012" w:rsidRPr="006B771F">
        <w:rPr>
          <w:noProof/>
        </w:rPr>
        <w:t xml:space="preserve"> i</w:t>
      </w:r>
      <w:r w:rsidR="00043012">
        <w:rPr>
          <w:noProof/>
        </w:rPr>
        <w:t> </w:t>
      </w:r>
      <w:r w:rsidR="00043012" w:rsidRPr="006B771F">
        <w:rPr>
          <w:noProof/>
        </w:rPr>
        <w:t>pań</w:t>
      </w:r>
      <w:r w:rsidRPr="006B771F">
        <w:rPr>
          <w:noProof/>
        </w:rPr>
        <w:t>stw stowarzyszonych</w:t>
      </w:r>
      <w:r w:rsidR="00043012" w:rsidRPr="006B771F">
        <w:rPr>
          <w:noProof/>
        </w:rPr>
        <w:t xml:space="preserve"> w</w:t>
      </w:r>
      <w:r w:rsidR="00043012">
        <w:rPr>
          <w:noProof/>
        </w:rPr>
        <w:t> </w:t>
      </w:r>
      <w:r w:rsidR="00043012" w:rsidRPr="006B771F">
        <w:rPr>
          <w:noProof/>
        </w:rPr>
        <w:t>ram</w:t>
      </w:r>
      <w:r w:rsidRPr="006B771F">
        <w:rPr>
          <w:noProof/>
        </w:rPr>
        <w:t>ach Schengen. Kwestie merytoryczne ujęte</w:t>
      </w:r>
      <w:r w:rsidR="00043012" w:rsidRPr="006B771F">
        <w:rPr>
          <w:noProof/>
        </w:rPr>
        <w:t xml:space="preserve"> w</w:t>
      </w:r>
      <w:r w:rsidR="00043012">
        <w:rPr>
          <w:noProof/>
        </w:rPr>
        <w:t> </w:t>
      </w:r>
      <w:r w:rsidR="00043012" w:rsidRPr="006B771F">
        <w:rPr>
          <w:noProof/>
        </w:rPr>
        <w:t>nin</w:t>
      </w:r>
      <w:r w:rsidRPr="006B771F">
        <w:rPr>
          <w:noProof/>
        </w:rPr>
        <w:t>iejszym zaleceniu były również omawiane</w:t>
      </w:r>
      <w:r w:rsidR="00043012" w:rsidRPr="006B771F">
        <w:rPr>
          <w:noProof/>
        </w:rPr>
        <w:t xml:space="preserve"> w</w:t>
      </w:r>
      <w:r w:rsidR="00043012">
        <w:rPr>
          <w:noProof/>
        </w:rPr>
        <w:t> </w:t>
      </w:r>
      <w:r w:rsidR="00043012" w:rsidRPr="006B771F">
        <w:rPr>
          <w:b/>
          <w:noProof/>
          <w:szCs w:val="24"/>
        </w:rPr>
        <w:t>gru</w:t>
      </w:r>
      <w:r w:rsidRPr="006B771F">
        <w:rPr>
          <w:b/>
          <w:noProof/>
          <w:szCs w:val="24"/>
        </w:rPr>
        <w:t>pach roboczych Rady</w:t>
      </w:r>
      <w:r w:rsidRPr="006B771F">
        <w:rPr>
          <w:noProof/>
        </w:rPr>
        <w:t xml:space="preserve"> (np.</w:t>
      </w:r>
      <w:r w:rsidR="00043012" w:rsidRPr="006B771F">
        <w:rPr>
          <w:noProof/>
        </w:rPr>
        <w:t xml:space="preserve"> w</w:t>
      </w:r>
      <w:r w:rsidR="00043012">
        <w:rPr>
          <w:noProof/>
        </w:rPr>
        <w:t> </w:t>
      </w:r>
      <w:r w:rsidR="00043012" w:rsidRPr="006B771F">
        <w:rPr>
          <w:noProof/>
        </w:rPr>
        <w:t>Gru</w:t>
      </w:r>
      <w:r w:rsidRPr="006B771F">
        <w:rPr>
          <w:noProof/>
        </w:rPr>
        <w:t>pie Roboczej ds. Egzekwowania Prawa –</w:t>
      </w:r>
      <w:r w:rsidR="00043012" w:rsidRPr="006B771F">
        <w:rPr>
          <w:noProof/>
        </w:rPr>
        <w:t xml:space="preserve"> w</w:t>
      </w:r>
      <w:r w:rsidR="00043012">
        <w:rPr>
          <w:noProof/>
        </w:rPr>
        <w:t> </w:t>
      </w:r>
      <w:r w:rsidR="00043012" w:rsidRPr="006B771F">
        <w:rPr>
          <w:noProof/>
        </w:rPr>
        <w:t>pod</w:t>
      </w:r>
      <w:r w:rsidRPr="006B771F">
        <w:rPr>
          <w:noProof/>
        </w:rPr>
        <w:t>grupach ds. policji</w:t>
      </w:r>
      <w:r w:rsidR="00043012" w:rsidRPr="006B771F">
        <w:rPr>
          <w:noProof/>
        </w:rPr>
        <w:t xml:space="preserve"> i</w:t>
      </w:r>
      <w:r w:rsidR="00043012">
        <w:rPr>
          <w:noProof/>
        </w:rPr>
        <w:t> </w:t>
      </w:r>
      <w:r w:rsidR="00043012" w:rsidRPr="006B771F">
        <w:rPr>
          <w:noProof/>
        </w:rPr>
        <w:t>słu</w:t>
      </w:r>
      <w:r w:rsidRPr="006B771F">
        <w:rPr>
          <w:noProof/>
        </w:rPr>
        <w:t>żb celnych,</w:t>
      </w:r>
      <w:r w:rsidR="00043012" w:rsidRPr="006B771F">
        <w:rPr>
          <w:noProof/>
        </w:rPr>
        <w:t xml:space="preserve"> w</w:t>
      </w:r>
      <w:r w:rsidR="00043012">
        <w:rPr>
          <w:noProof/>
        </w:rPr>
        <w:t> </w:t>
      </w:r>
      <w:r w:rsidR="00043012" w:rsidRPr="006B771F">
        <w:rPr>
          <w:noProof/>
        </w:rPr>
        <w:t>Sta</w:t>
      </w:r>
      <w:r w:rsidRPr="006B771F">
        <w:rPr>
          <w:noProof/>
        </w:rPr>
        <w:t>łym Komitecie Współpracy Operacyjnej</w:t>
      </w:r>
      <w:r w:rsidR="00043012" w:rsidRPr="006B771F">
        <w:rPr>
          <w:noProof/>
        </w:rPr>
        <w:t xml:space="preserve"> w</w:t>
      </w:r>
      <w:r w:rsidR="00043012">
        <w:rPr>
          <w:noProof/>
        </w:rPr>
        <w:t> </w:t>
      </w:r>
      <w:r w:rsidR="00043012" w:rsidRPr="006B771F">
        <w:rPr>
          <w:noProof/>
        </w:rPr>
        <w:t>zak</w:t>
      </w:r>
      <w:r w:rsidRPr="006B771F">
        <w:rPr>
          <w:noProof/>
        </w:rPr>
        <w:t>resie Bezpieczeństwa Wewnętrznego).</w:t>
      </w:r>
    </w:p>
    <w:p w14:paraId="1CB94307" w14:textId="56F6AE14" w:rsidR="00AD2D37" w:rsidRPr="006B771F" w:rsidRDefault="00AD2D37" w:rsidP="00AD2D37">
      <w:pPr>
        <w:spacing w:before="0"/>
        <w:rPr>
          <w:noProof/>
          <w:szCs w:val="24"/>
        </w:rPr>
      </w:pPr>
      <w:r w:rsidRPr="006B771F">
        <w:rPr>
          <w:noProof/>
        </w:rPr>
        <w:t xml:space="preserve">Komisja zainicjowała również </w:t>
      </w:r>
      <w:r w:rsidRPr="006B771F">
        <w:rPr>
          <w:b/>
          <w:noProof/>
          <w:szCs w:val="24"/>
        </w:rPr>
        <w:t>konsultacje publiczne</w:t>
      </w:r>
      <w:r w:rsidRPr="006B771F">
        <w:rPr>
          <w:noProof/>
        </w:rPr>
        <w:t>, które są dostępne na stronie internetowej Komisji we wszystkich językach urzędowych UE przez osiem tygodni od dnia 19 kwietnia 20</w:t>
      </w:r>
      <w:r w:rsidRPr="00043012">
        <w:rPr>
          <w:noProof/>
        </w:rPr>
        <w:t>21</w:t>
      </w:r>
      <w:r w:rsidR="00043012" w:rsidRPr="00043012">
        <w:rPr>
          <w:noProof/>
        </w:rPr>
        <w:t> </w:t>
      </w:r>
      <w:r w:rsidRPr="00043012">
        <w:rPr>
          <w:noProof/>
        </w:rPr>
        <w:t>r.</w:t>
      </w:r>
      <w:r w:rsidRPr="006B771F">
        <w:rPr>
          <w:noProof/>
        </w:rPr>
        <w:t xml:space="preserve"> do dnia 14 czerwca 20</w:t>
      </w:r>
      <w:r w:rsidRPr="00043012">
        <w:rPr>
          <w:noProof/>
        </w:rPr>
        <w:t>21</w:t>
      </w:r>
      <w:r w:rsidR="00043012" w:rsidRPr="00043012">
        <w:rPr>
          <w:noProof/>
        </w:rPr>
        <w:t> </w:t>
      </w:r>
      <w:r w:rsidRPr="00043012">
        <w:rPr>
          <w:noProof/>
        </w:rPr>
        <w:t>r.</w:t>
      </w:r>
      <w:r w:rsidRPr="006B771F">
        <w:rPr>
          <w:noProof/>
        </w:rPr>
        <w:t xml:space="preserve"> </w:t>
      </w:r>
    </w:p>
    <w:p w14:paraId="0A4D2B2E" w14:textId="77777777" w:rsidR="00AD2D37" w:rsidRPr="006B771F" w:rsidRDefault="00AD2D37" w:rsidP="00AD2D37">
      <w:pPr>
        <w:spacing w:before="0"/>
        <w:rPr>
          <w:noProof/>
          <w:szCs w:val="24"/>
        </w:rPr>
      </w:pPr>
      <w:r w:rsidRPr="006B771F">
        <w:rPr>
          <w:noProof/>
        </w:rPr>
        <w:t xml:space="preserve">Wiele działań konsultacyjnych </w:t>
      </w:r>
      <w:r w:rsidRPr="006B771F">
        <w:rPr>
          <w:b/>
          <w:noProof/>
          <w:szCs w:val="24"/>
        </w:rPr>
        <w:t>przeprowadził również wykonawca</w:t>
      </w:r>
      <w:r w:rsidRPr="006B771F">
        <w:rPr>
          <w:noProof/>
        </w:rPr>
        <w:t xml:space="preserve"> podczas przygotowania zewnętrznego „</w:t>
      </w:r>
      <w:r w:rsidRPr="006B771F">
        <w:rPr>
          <w:b/>
          <w:noProof/>
        </w:rPr>
        <w:t>Badania</w:t>
      </w:r>
      <w:r w:rsidRPr="006B771F">
        <w:rPr>
          <w:noProof/>
        </w:rPr>
        <w:t xml:space="preserve"> wspierającego opracowanie oceny skutków na temat inicjatyw polityki UE ułatwiających transgraniczną współpracę organów ścigania”. </w:t>
      </w:r>
    </w:p>
    <w:p w14:paraId="4D7E29B3" w14:textId="77777777" w:rsidR="00AD2D37" w:rsidRPr="006B771F" w:rsidRDefault="00AD2D37" w:rsidP="00AD2D37">
      <w:pPr>
        <w:spacing w:before="0"/>
        <w:rPr>
          <w:noProof/>
          <w:szCs w:val="24"/>
        </w:rPr>
      </w:pPr>
      <w:r w:rsidRPr="006B771F">
        <w:rPr>
          <w:b/>
          <w:noProof/>
          <w:szCs w:val="24"/>
        </w:rPr>
        <w:t>Celem</w:t>
      </w:r>
      <w:r w:rsidRPr="006B771F">
        <w:rPr>
          <w:noProof/>
        </w:rPr>
        <w:t xml:space="preserve"> </w:t>
      </w:r>
      <w:r w:rsidRPr="006B771F">
        <w:rPr>
          <w:b/>
          <w:noProof/>
          <w:szCs w:val="24"/>
        </w:rPr>
        <w:t>konsultacji</w:t>
      </w:r>
      <w:r w:rsidRPr="006B771F">
        <w:rPr>
          <w:noProof/>
        </w:rPr>
        <w:t xml:space="preserve"> było uzyskanie odpowiednich informacji od zainteresowanych stron, aby umożliwić oparte na dowodach podejście do opracowywania proponowanych środków na rzecz poprawy współpracy organów ścigania między państwami członkowskimi.</w:t>
      </w:r>
    </w:p>
    <w:p w14:paraId="7C129562" w14:textId="3B9C6A0B" w:rsidR="00AD2D37" w:rsidRPr="006B771F" w:rsidRDefault="00AD2D37" w:rsidP="00AD2D37">
      <w:pPr>
        <w:spacing w:before="0"/>
        <w:rPr>
          <w:noProof/>
          <w:szCs w:val="24"/>
        </w:rPr>
      </w:pPr>
      <w:r w:rsidRPr="006B771F">
        <w:rPr>
          <w:b/>
          <w:noProof/>
          <w:szCs w:val="24"/>
        </w:rPr>
        <w:t>Rezultaty wszystkich tych działań</w:t>
      </w:r>
      <w:r w:rsidRPr="006B771F">
        <w:rPr>
          <w:noProof/>
        </w:rPr>
        <w:t xml:space="preserve"> </w:t>
      </w:r>
      <w:r w:rsidRPr="006B771F">
        <w:rPr>
          <w:b/>
          <w:noProof/>
          <w:szCs w:val="24"/>
        </w:rPr>
        <w:t>konsultacyjnych</w:t>
      </w:r>
      <w:r w:rsidRPr="006B771F">
        <w:rPr>
          <w:noProof/>
        </w:rPr>
        <w:t xml:space="preserve"> zostały należycie uwzględnione podczas przygotowania niniejszego zalecenia</w:t>
      </w:r>
      <w:r w:rsidRPr="006B771F">
        <w:rPr>
          <w:rStyle w:val="FootnoteReference0"/>
          <w:noProof/>
          <w:szCs w:val="24"/>
        </w:rPr>
        <w:footnoteReference w:id="44"/>
      </w:r>
      <w:r w:rsidR="00043012" w:rsidRPr="006B771F">
        <w:rPr>
          <w:noProof/>
        </w:rPr>
        <w:t>. W</w:t>
      </w:r>
      <w:r w:rsidR="00043012">
        <w:rPr>
          <w:noProof/>
        </w:rPr>
        <w:t> </w:t>
      </w:r>
      <w:r w:rsidR="00043012" w:rsidRPr="006B771F">
        <w:rPr>
          <w:noProof/>
        </w:rPr>
        <w:t>dzi</w:t>
      </w:r>
      <w:r w:rsidRPr="006B771F">
        <w:rPr>
          <w:noProof/>
        </w:rPr>
        <w:t>ałaniach konsultacyjnych wykorzystano podstawowe elementy metodyki stosowanej do celów oceny skutków, poczynając od zdefiniowania problemu</w:t>
      </w:r>
      <w:r w:rsidR="00043012" w:rsidRPr="006B771F">
        <w:rPr>
          <w:noProof/>
        </w:rPr>
        <w:t xml:space="preserve"> i</w:t>
      </w:r>
      <w:r w:rsidR="00043012">
        <w:rPr>
          <w:noProof/>
        </w:rPr>
        <w:t> </w:t>
      </w:r>
      <w:r w:rsidR="00043012" w:rsidRPr="006B771F">
        <w:rPr>
          <w:noProof/>
        </w:rPr>
        <w:t>bad</w:t>
      </w:r>
      <w:r w:rsidRPr="006B771F">
        <w:rPr>
          <w:noProof/>
        </w:rPr>
        <w:t xml:space="preserve">ając najbardziej odpowiednie warianty. </w:t>
      </w:r>
    </w:p>
    <w:p w14:paraId="6FF9DD3D" w14:textId="77777777" w:rsidR="00AD2D37" w:rsidRPr="006B771F" w:rsidRDefault="00AD2D37" w:rsidP="00AD2D37">
      <w:pPr>
        <w:pStyle w:val="ManualHeading2"/>
        <w:rPr>
          <w:rFonts w:eastAsia="Arial Unicode MS"/>
          <w:noProof/>
          <w:u w:color="000000"/>
          <w:bdr w:val="nil"/>
        </w:rPr>
      </w:pPr>
      <w:r w:rsidRPr="006B771F">
        <w:rPr>
          <w:noProof/>
          <w:u w:color="000000"/>
          <w:bdr w:val="nil"/>
        </w:rPr>
        <w:t>•</w:t>
      </w:r>
      <w:r w:rsidRPr="006B771F">
        <w:rPr>
          <w:noProof/>
        </w:rPr>
        <w:tab/>
      </w:r>
      <w:r w:rsidRPr="006B771F">
        <w:rPr>
          <w:noProof/>
          <w:u w:color="000000"/>
          <w:bdr w:val="nil"/>
        </w:rPr>
        <w:t>Ocena skutków</w:t>
      </w:r>
    </w:p>
    <w:p w14:paraId="5FA96B1D" w14:textId="1484578D" w:rsidR="00AD2D37" w:rsidRPr="006B771F" w:rsidRDefault="00AD2D37" w:rsidP="00AD2D37">
      <w:pPr>
        <w:spacing w:before="0"/>
        <w:rPr>
          <w:noProof/>
        </w:rPr>
      </w:pPr>
      <w:r w:rsidRPr="006B771F">
        <w:rPr>
          <w:noProof/>
        </w:rPr>
        <w:t>Zalecenia, których dotyczy wniosek – jeżeli zostaną przyjęte</w:t>
      </w:r>
      <w:r w:rsidR="00043012" w:rsidRPr="006B771F">
        <w:rPr>
          <w:noProof/>
        </w:rPr>
        <w:t xml:space="preserve"> w</w:t>
      </w:r>
      <w:r w:rsidR="00043012">
        <w:rPr>
          <w:noProof/>
        </w:rPr>
        <w:t> </w:t>
      </w:r>
      <w:r w:rsidR="00043012" w:rsidRPr="006B771F">
        <w:rPr>
          <w:noProof/>
        </w:rPr>
        <w:t>obe</w:t>
      </w:r>
      <w:r w:rsidRPr="006B771F">
        <w:rPr>
          <w:noProof/>
        </w:rPr>
        <w:t>cnej formie</w:t>
      </w:r>
      <w:r w:rsidR="00043012" w:rsidRPr="006B771F">
        <w:rPr>
          <w:noProof/>
        </w:rPr>
        <w:t xml:space="preserve"> i</w:t>
      </w:r>
      <w:r w:rsidR="00043012">
        <w:rPr>
          <w:noProof/>
        </w:rPr>
        <w:t> </w:t>
      </w:r>
      <w:r w:rsidR="00043012" w:rsidRPr="006B771F">
        <w:rPr>
          <w:noProof/>
        </w:rPr>
        <w:t>jeż</w:t>
      </w:r>
      <w:r w:rsidRPr="006B771F">
        <w:rPr>
          <w:noProof/>
        </w:rPr>
        <w:t>eli podjęte zostaną</w:t>
      </w:r>
      <w:r w:rsidR="00043012" w:rsidRPr="006B771F">
        <w:rPr>
          <w:noProof/>
        </w:rPr>
        <w:t xml:space="preserve"> w</w:t>
      </w:r>
      <w:r w:rsidR="00043012">
        <w:rPr>
          <w:noProof/>
        </w:rPr>
        <w:t> </w:t>
      </w:r>
      <w:r w:rsidR="00043012" w:rsidRPr="006B771F">
        <w:rPr>
          <w:noProof/>
        </w:rPr>
        <w:t>zwi</w:t>
      </w:r>
      <w:r w:rsidRPr="006B771F">
        <w:rPr>
          <w:noProof/>
        </w:rPr>
        <w:t>ązku</w:t>
      </w:r>
      <w:r w:rsidR="00043012" w:rsidRPr="006B771F">
        <w:rPr>
          <w:noProof/>
        </w:rPr>
        <w:t xml:space="preserve"> z</w:t>
      </w:r>
      <w:r w:rsidR="00043012">
        <w:rPr>
          <w:noProof/>
        </w:rPr>
        <w:t> </w:t>
      </w:r>
      <w:r w:rsidR="00043012" w:rsidRPr="006B771F">
        <w:rPr>
          <w:noProof/>
        </w:rPr>
        <w:t>nim</w:t>
      </w:r>
      <w:r w:rsidRPr="006B771F">
        <w:rPr>
          <w:noProof/>
        </w:rPr>
        <w:t>i skuteczne działania – poprawią transgraniczną operacyjną współpracę policyjną</w:t>
      </w:r>
      <w:r w:rsidR="00043012" w:rsidRPr="006B771F">
        <w:rPr>
          <w:noProof/>
        </w:rPr>
        <w:t xml:space="preserve"> i</w:t>
      </w:r>
      <w:r w:rsidR="00043012">
        <w:rPr>
          <w:noProof/>
        </w:rPr>
        <w:t> </w:t>
      </w:r>
      <w:r w:rsidR="00043012" w:rsidRPr="006B771F">
        <w:rPr>
          <w:noProof/>
        </w:rPr>
        <w:t>będ</w:t>
      </w:r>
      <w:r w:rsidRPr="006B771F">
        <w:rPr>
          <w:noProof/>
        </w:rPr>
        <w:t>ą miały znaczący pozytywny wpływ na zapobieganie</w:t>
      </w:r>
      <w:r w:rsidR="00043012" w:rsidRPr="006B771F">
        <w:rPr>
          <w:noProof/>
        </w:rPr>
        <w:t xml:space="preserve"> i</w:t>
      </w:r>
      <w:r w:rsidR="00043012">
        <w:rPr>
          <w:noProof/>
        </w:rPr>
        <w:t> </w:t>
      </w:r>
      <w:r w:rsidR="00043012" w:rsidRPr="006B771F">
        <w:rPr>
          <w:noProof/>
        </w:rPr>
        <w:t>wyk</w:t>
      </w:r>
      <w:r w:rsidRPr="006B771F">
        <w:rPr>
          <w:noProof/>
        </w:rPr>
        <w:t>rywanie przestępstw</w:t>
      </w:r>
      <w:r w:rsidR="00043012" w:rsidRPr="006B771F">
        <w:rPr>
          <w:noProof/>
        </w:rPr>
        <w:t xml:space="preserve"> w</w:t>
      </w:r>
      <w:r w:rsidR="00043012">
        <w:rPr>
          <w:noProof/>
        </w:rPr>
        <w:t> </w:t>
      </w:r>
      <w:r w:rsidR="00043012" w:rsidRPr="006B771F">
        <w:rPr>
          <w:noProof/>
        </w:rPr>
        <w:t>pań</w:t>
      </w:r>
      <w:r w:rsidRPr="006B771F">
        <w:rPr>
          <w:noProof/>
        </w:rPr>
        <w:t xml:space="preserve">stwach członkowskich. </w:t>
      </w:r>
    </w:p>
    <w:p w14:paraId="017F1E6A" w14:textId="40D35EE6" w:rsidR="00AD2D37" w:rsidRPr="006B771F" w:rsidRDefault="00AD2D37" w:rsidP="00AD2D37">
      <w:pPr>
        <w:spacing w:before="0"/>
        <w:rPr>
          <w:noProof/>
          <w:szCs w:val="24"/>
        </w:rPr>
      </w:pPr>
      <w:r w:rsidRPr="006B771F">
        <w:rPr>
          <w:noProof/>
        </w:rPr>
        <w:t>Uwzględniając jednak zasadę jednomyślności obejmującą odnośne środki</w:t>
      </w:r>
      <w:r w:rsidR="00043012" w:rsidRPr="006B771F">
        <w:rPr>
          <w:noProof/>
        </w:rPr>
        <w:t xml:space="preserve"> w</w:t>
      </w:r>
      <w:r w:rsidR="00043012">
        <w:rPr>
          <w:noProof/>
        </w:rPr>
        <w:t> </w:t>
      </w:r>
      <w:r w:rsidR="00043012" w:rsidRPr="006B771F">
        <w:rPr>
          <w:noProof/>
        </w:rPr>
        <w:t>zak</w:t>
      </w:r>
      <w:r w:rsidRPr="006B771F">
        <w:rPr>
          <w:noProof/>
        </w:rPr>
        <w:t>resie operacyjnej współpracy policyjnej oraz obawy dotyczące suwerenności wyrażone przez niektóre państwa członkowskie na etapie konsultacji, jak wspomniano powyżej, Komisja uznaje, że na obecnym etapie przedwczesny byłby wniosek dotyczący przepisów UE</w:t>
      </w:r>
      <w:r w:rsidR="00043012" w:rsidRPr="006B771F">
        <w:rPr>
          <w:noProof/>
        </w:rPr>
        <w:t xml:space="preserve"> o</w:t>
      </w:r>
      <w:r w:rsidR="00043012">
        <w:rPr>
          <w:noProof/>
        </w:rPr>
        <w:t> </w:t>
      </w:r>
      <w:r w:rsidR="00043012" w:rsidRPr="006B771F">
        <w:rPr>
          <w:noProof/>
        </w:rPr>
        <w:t>moc</w:t>
      </w:r>
      <w:r w:rsidRPr="006B771F">
        <w:rPr>
          <w:noProof/>
        </w:rPr>
        <w:t xml:space="preserve">y wiążącej do celów regulacji takiej współpracy. </w:t>
      </w:r>
    </w:p>
    <w:p w14:paraId="04BE8B0C" w14:textId="07D04FF8" w:rsidR="00AD2D37" w:rsidRPr="006B771F" w:rsidRDefault="00AD2D37" w:rsidP="00AD2D37">
      <w:pPr>
        <w:spacing w:before="0"/>
        <w:rPr>
          <w:noProof/>
        </w:rPr>
      </w:pPr>
      <w:r w:rsidRPr="006B771F">
        <w:rPr>
          <w:noProof/>
        </w:rPr>
        <w:t>W niniejszym zaleceniu wzywa się natomiast państwa członkowskie do wzmocnienia istniejących aspektów transgranicznej operacyjnej współpracy policyjnej</w:t>
      </w:r>
      <w:r w:rsidR="00043012" w:rsidRPr="006B771F">
        <w:rPr>
          <w:noProof/>
        </w:rPr>
        <w:t xml:space="preserve"> w</w:t>
      </w:r>
      <w:r w:rsidR="00043012">
        <w:rPr>
          <w:noProof/>
        </w:rPr>
        <w:t> </w:t>
      </w:r>
      <w:r w:rsidR="00043012" w:rsidRPr="006B771F">
        <w:rPr>
          <w:noProof/>
        </w:rPr>
        <w:t>opa</w:t>
      </w:r>
      <w:r w:rsidRPr="006B771F">
        <w:rPr>
          <w:noProof/>
        </w:rPr>
        <w:t>rciu</w:t>
      </w:r>
      <w:r w:rsidR="00043012" w:rsidRPr="006B771F">
        <w:rPr>
          <w:noProof/>
        </w:rPr>
        <w:t xml:space="preserve"> o</w:t>
      </w:r>
      <w:r w:rsidR="00043012">
        <w:rPr>
          <w:noProof/>
        </w:rPr>
        <w:t> </w:t>
      </w:r>
      <w:r w:rsidR="00043012" w:rsidRPr="006B771F">
        <w:rPr>
          <w:noProof/>
        </w:rPr>
        <w:t>dob</w:t>
      </w:r>
      <w:r w:rsidRPr="006B771F">
        <w:rPr>
          <w:noProof/>
        </w:rPr>
        <w:t>re praktyki już wdrożone</w:t>
      </w:r>
      <w:r w:rsidR="00043012" w:rsidRPr="006B771F">
        <w:rPr>
          <w:noProof/>
        </w:rPr>
        <w:t xml:space="preserve"> i</w:t>
      </w:r>
      <w:r w:rsidR="00043012">
        <w:rPr>
          <w:noProof/>
        </w:rPr>
        <w:t> </w:t>
      </w:r>
      <w:r w:rsidR="00043012" w:rsidRPr="006B771F">
        <w:rPr>
          <w:noProof/>
        </w:rPr>
        <w:t>prz</w:t>
      </w:r>
      <w:r w:rsidRPr="006B771F">
        <w:rPr>
          <w:noProof/>
        </w:rPr>
        <w:t>etestowane przez państwa członkowskie, m.in.</w:t>
      </w:r>
      <w:r w:rsidR="00043012" w:rsidRPr="006B771F">
        <w:rPr>
          <w:noProof/>
        </w:rPr>
        <w:t xml:space="preserve"> w</w:t>
      </w:r>
      <w:r w:rsidR="00043012">
        <w:rPr>
          <w:noProof/>
        </w:rPr>
        <w:t> </w:t>
      </w:r>
      <w:r w:rsidR="00043012" w:rsidRPr="006B771F">
        <w:rPr>
          <w:noProof/>
        </w:rPr>
        <w:t>ram</w:t>
      </w:r>
      <w:r w:rsidRPr="006B771F">
        <w:rPr>
          <w:noProof/>
        </w:rPr>
        <w:t>ach kontaktów dwustronnych</w:t>
      </w:r>
      <w:r w:rsidR="00043012" w:rsidRPr="006B771F">
        <w:rPr>
          <w:noProof/>
        </w:rPr>
        <w:t xml:space="preserve"> i</w:t>
      </w:r>
      <w:r w:rsidR="00043012">
        <w:rPr>
          <w:noProof/>
        </w:rPr>
        <w:t> </w:t>
      </w:r>
      <w:r w:rsidR="00043012" w:rsidRPr="006B771F">
        <w:rPr>
          <w:noProof/>
        </w:rPr>
        <w:t>wie</w:t>
      </w:r>
      <w:r w:rsidRPr="006B771F">
        <w:rPr>
          <w:noProof/>
        </w:rPr>
        <w:t xml:space="preserve">lostronnych. </w:t>
      </w:r>
    </w:p>
    <w:p w14:paraId="1CE90A3A" w14:textId="09CE3B74" w:rsidR="00AD2D37" w:rsidRPr="006B771F" w:rsidRDefault="00AD2D37" w:rsidP="00AD2D37">
      <w:pPr>
        <w:spacing w:before="0"/>
        <w:rPr>
          <w:noProof/>
          <w:szCs w:val="24"/>
        </w:rPr>
      </w:pPr>
      <w:r w:rsidRPr="006B771F">
        <w:rPr>
          <w:noProof/>
        </w:rPr>
        <w:t>Niniejszy wniosek dotyczący zalecenia Rady</w:t>
      </w:r>
      <w:r w:rsidR="00043012" w:rsidRPr="006B771F">
        <w:rPr>
          <w:noProof/>
        </w:rPr>
        <w:t xml:space="preserve"> w</w:t>
      </w:r>
      <w:r w:rsidR="00043012">
        <w:rPr>
          <w:noProof/>
        </w:rPr>
        <w:t> </w:t>
      </w:r>
      <w:r w:rsidR="00043012" w:rsidRPr="006B771F">
        <w:rPr>
          <w:noProof/>
        </w:rPr>
        <w:t>spr</w:t>
      </w:r>
      <w:r w:rsidRPr="006B771F">
        <w:rPr>
          <w:noProof/>
        </w:rPr>
        <w:t>awie transgranicznej operacyjnej współpracy policyjnej nie jest zatem poparty oceną skutków.</w:t>
      </w:r>
    </w:p>
    <w:p w14:paraId="333A2141" w14:textId="77777777" w:rsidR="00AD2D37" w:rsidRPr="006B771F" w:rsidRDefault="00AD2D37" w:rsidP="00AD2D37">
      <w:pPr>
        <w:pStyle w:val="ManualHeading1"/>
        <w:rPr>
          <w:noProof/>
        </w:rPr>
      </w:pPr>
      <w:r w:rsidRPr="006B771F">
        <w:rPr>
          <w:noProof/>
        </w:rPr>
        <w:t>4.</w:t>
      </w:r>
      <w:r w:rsidRPr="006B771F">
        <w:rPr>
          <w:noProof/>
        </w:rPr>
        <w:tab/>
        <w:t>PRAWA PODSTAWOWE</w:t>
      </w:r>
    </w:p>
    <w:p w14:paraId="581A8E6B" w14:textId="1439F7A4" w:rsidR="00AD2D37" w:rsidRPr="006B771F" w:rsidRDefault="00AD2D37" w:rsidP="00AD2D37">
      <w:pPr>
        <w:spacing w:before="0"/>
        <w:rPr>
          <w:noProof/>
        </w:rPr>
      </w:pPr>
      <w:r w:rsidRPr="006B771F">
        <w:rPr>
          <w:noProof/>
        </w:rPr>
        <w:t>Dzięki poprawie zdolności właściwych organów państw członkowskich do współpracy ponad granicami wewnętrznymi UE</w:t>
      </w:r>
      <w:r w:rsidR="00043012" w:rsidRPr="006B771F">
        <w:rPr>
          <w:noProof/>
        </w:rPr>
        <w:t xml:space="preserve"> w</w:t>
      </w:r>
      <w:r w:rsidR="00043012">
        <w:rPr>
          <w:noProof/>
        </w:rPr>
        <w:t> </w:t>
      </w:r>
      <w:r w:rsidR="00043012" w:rsidRPr="006B771F">
        <w:rPr>
          <w:noProof/>
        </w:rPr>
        <w:t>ram</w:t>
      </w:r>
      <w:r w:rsidRPr="006B771F">
        <w:rPr>
          <w:noProof/>
        </w:rPr>
        <w:t>ach wyznaczonych przez odnośne prawodawstwo unijne</w:t>
      </w:r>
      <w:r w:rsidR="00043012" w:rsidRPr="006B771F">
        <w:rPr>
          <w:noProof/>
        </w:rPr>
        <w:t xml:space="preserve"> i</w:t>
      </w:r>
      <w:r w:rsidR="00043012">
        <w:rPr>
          <w:noProof/>
        </w:rPr>
        <w:t> </w:t>
      </w:r>
      <w:r w:rsidR="00043012" w:rsidRPr="006B771F">
        <w:rPr>
          <w:noProof/>
        </w:rPr>
        <w:t>kra</w:t>
      </w:r>
      <w:r w:rsidRPr="006B771F">
        <w:rPr>
          <w:noProof/>
        </w:rPr>
        <w:t>jowe niniejsze zalecenie przyczyni się do lepszej ochrony życia obywateli oraz ich bezpieczeństwa. Wszelka ingerencja</w:t>
      </w:r>
      <w:r w:rsidR="00043012" w:rsidRPr="006B771F">
        <w:rPr>
          <w:noProof/>
        </w:rPr>
        <w:t xml:space="preserve"> w</w:t>
      </w:r>
      <w:r w:rsidR="00043012">
        <w:rPr>
          <w:noProof/>
        </w:rPr>
        <w:t> </w:t>
      </w:r>
      <w:r w:rsidR="00043012" w:rsidRPr="006B771F">
        <w:rPr>
          <w:noProof/>
        </w:rPr>
        <w:t>pra</w:t>
      </w:r>
      <w:r w:rsidRPr="006B771F">
        <w:rPr>
          <w:noProof/>
        </w:rPr>
        <w:t>wa podstawowe wynikająca</w:t>
      </w:r>
      <w:r w:rsidR="00043012" w:rsidRPr="006B771F">
        <w:rPr>
          <w:noProof/>
        </w:rPr>
        <w:t xml:space="preserve"> z</w:t>
      </w:r>
      <w:r w:rsidR="00043012">
        <w:rPr>
          <w:noProof/>
        </w:rPr>
        <w:t> </w:t>
      </w:r>
      <w:r w:rsidR="00043012" w:rsidRPr="006B771F">
        <w:rPr>
          <w:noProof/>
        </w:rPr>
        <w:t>zal</w:t>
      </w:r>
      <w:r w:rsidRPr="006B771F">
        <w:rPr>
          <w:noProof/>
        </w:rPr>
        <w:t>ecenia jest uzasadniona</w:t>
      </w:r>
      <w:r w:rsidR="00043012" w:rsidRPr="006B771F">
        <w:rPr>
          <w:noProof/>
        </w:rPr>
        <w:t xml:space="preserve"> i</w:t>
      </w:r>
      <w:r w:rsidR="00043012">
        <w:rPr>
          <w:noProof/>
        </w:rPr>
        <w:t> </w:t>
      </w:r>
      <w:r w:rsidR="00043012" w:rsidRPr="006B771F">
        <w:rPr>
          <w:noProof/>
        </w:rPr>
        <w:t>nie</w:t>
      </w:r>
      <w:r w:rsidRPr="006B771F">
        <w:rPr>
          <w:noProof/>
        </w:rPr>
        <w:t xml:space="preserve"> wykracza poza to, co jest niezbędne</w:t>
      </w:r>
      <w:r w:rsidR="00043012" w:rsidRPr="006B771F">
        <w:rPr>
          <w:noProof/>
        </w:rPr>
        <w:t xml:space="preserve"> i</w:t>
      </w:r>
      <w:r w:rsidR="00043012">
        <w:rPr>
          <w:noProof/>
        </w:rPr>
        <w:t> </w:t>
      </w:r>
      <w:r w:rsidR="00043012" w:rsidRPr="006B771F">
        <w:rPr>
          <w:noProof/>
        </w:rPr>
        <w:t>pro</w:t>
      </w:r>
      <w:r w:rsidRPr="006B771F">
        <w:rPr>
          <w:noProof/>
        </w:rPr>
        <w:t xml:space="preserve">porcjonalne. </w:t>
      </w:r>
    </w:p>
    <w:p w14:paraId="0DD6923A" w14:textId="50EFC120" w:rsidR="00AD2D37" w:rsidRPr="006B771F" w:rsidRDefault="00AD2D37" w:rsidP="00AD2D37">
      <w:pPr>
        <w:spacing w:before="0"/>
        <w:rPr>
          <w:noProof/>
        </w:rPr>
      </w:pPr>
      <w:r w:rsidRPr="006B771F">
        <w:rPr>
          <w:noProof/>
        </w:rPr>
        <w:t>Skutki</w:t>
      </w:r>
      <w:r w:rsidR="00043012" w:rsidRPr="006B771F">
        <w:rPr>
          <w:noProof/>
        </w:rPr>
        <w:t xml:space="preserve"> w</w:t>
      </w:r>
      <w:r w:rsidR="00043012">
        <w:rPr>
          <w:noProof/>
        </w:rPr>
        <w:t> </w:t>
      </w:r>
      <w:r w:rsidR="00043012" w:rsidRPr="006B771F">
        <w:rPr>
          <w:noProof/>
        </w:rPr>
        <w:t>odn</w:t>
      </w:r>
      <w:r w:rsidRPr="006B771F">
        <w:rPr>
          <w:noProof/>
        </w:rPr>
        <w:t>iesieniu do ochrony danych osobowych uznaje się za neutralne. Niniejsze zalecenie prawdopodobnie spowoduje ilościowy wzrost wymiany danych osobowych między państwami członkowskimi zgodnie</w:t>
      </w:r>
      <w:r w:rsidR="00043012" w:rsidRPr="006B771F">
        <w:rPr>
          <w:noProof/>
        </w:rPr>
        <w:t xml:space="preserve"> z</w:t>
      </w:r>
      <w:r w:rsidR="00043012">
        <w:rPr>
          <w:noProof/>
        </w:rPr>
        <w:t> </w:t>
      </w:r>
      <w:r w:rsidR="00043012" w:rsidRPr="006B771F">
        <w:rPr>
          <w:noProof/>
        </w:rPr>
        <w:t>ocz</w:t>
      </w:r>
      <w:r w:rsidRPr="006B771F">
        <w:rPr>
          <w:noProof/>
        </w:rPr>
        <w:t>ekiwanym zacieśnieniem transgranicznej operacyjnej współpracy policyjnej. Ta dodatkowa wymiana danych osobowych będzie jednak podlegała tym samym obowiązującym już solidnym regułom</w:t>
      </w:r>
      <w:r w:rsidR="00043012" w:rsidRPr="006B771F">
        <w:rPr>
          <w:noProof/>
        </w:rPr>
        <w:t xml:space="preserve"> i</w:t>
      </w:r>
      <w:r w:rsidR="00043012">
        <w:rPr>
          <w:noProof/>
        </w:rPr>
        <w:t> </w:t>
      </w:r>
      <w:r w:rsidR="00043012" w:rsidRPr="006B771F">
        <w:rPr>
          <w:noProof/>
        </w:rPr>
        <w:t>pro</w:t>
      </w:r>
      <w:r w:rsidRPr="006B771F">
        <w:rPr>
          <w:noProof/>
        </w:rPr>
        <w:t>cedurom dotyczącym ich przetwarzania zgodnie</w:t>
      </w:r>
      <w:r w:rsidR="00043012" w:rsidRPr="006B771F">
        <w:rPr>
          <w:noProof/>
        </w:rPr>
        <w:t xml:space="preserve"> z</w:t>
      </w:r>
      <w:r w:rsidR="00043012">
        <w:rPr>
          <w:noProof/>
        </w:rPr>
        <w:t> </w:t>
      </w:r>
      <w:r w:rsidR="00043012" w:rsidRPr="006B771F">
        <w:rPr>
          <w:noProof/>
        </w:rPr>
        <w:t>pra</w:t>
      </w:r>
      <w:r w:rsidRPr="006B771F">
        <w:rPr>
          <w:noProof/>
        </w:rPr>
        <w:t>wem Unii,</w:t>
      </w:r>
      <w:r w:rsidR="00043012" w:rsidRPr="006B771F">
        <w:rPr>
          <w:noProof/>
        </w:rPr>
        <w:t xml:space="preserve"> w</w:t>
      </w:r>
      <w:r w:rsidR="00043012">
        <w:rPr>
          <w:noProof/>
        </w:rPr>
        <w:t> </w:t>
      </w:r>
      <w:r w:rsidR="00043012" w:rsidRPr="006B771F">
        <w:rPr>
          <w:noProof/>
        </w:rPr>
        <w:t>szc</w:t>
      </w:r>
      <w:r w:rsidRPr="006B771F">
        <w:rPr>
          <w:noProof/>
        </w:rPr>
        <w:t>zególności</w:t>
      </w:r>
      <w:r w:rsidR="00043012" w:rsidRPr="006B771F">
        <w:rPr>
          <w:noProof/>
        </w:rPr>
        <w:t xml:space="preserve"> z</w:t>
      </w:r>
      <w:r w:rsidR="00043012">
        <w:rPr>
          <w:noProof/>
        </w:rPr>
        <w:t> </w:t>
      </w:r>
      <w:r w:rsidR="00043012" w:rsidRPr="006B771F">
        <w:rPr>
          <w:noProof/>
        </w:rPr>
        <w:t>dyr</w:t>
      </w:r>
      <w:r w:rsidRPr="006B771F">
        <w:rPr>
          <w:noProof/>
        </w:rPr>
        <w:t>ektywą</w:t>
      </w:r>
      <w:r w:rsidR="00043012" w:rsidRPr="006B771F">
        <w:rPr>
          <w:noProof/>
        </w:rPr>
        <w:t xml:space="preserve"> o</w:t>
      </w:r>
      <w:r w:rsidR="00043012">
        <w:rPr>
          <w:noProof/>
        </w:rPr>
        <w:t> </w:t>
      </w:r>
      <w:r w:rsidR="00043012" w:rsidRPr="006B771F">
        <w:rPr>
          <w:noProof/>
        </w:rPr>
        <w:t>och</w:t>
      </w:r>
      <w:r w:rsidRPr="006B771F">
        <w:rPr>
          <w:noProof/>
        </w:rPr>
        <w:t>ronie danych</w:t>
      </w:r>
      <w:r w:rsidR="00043012" w:rsidRPr="006B771F">
        <w:rPr>
          <w:noProof/>
        </w:rPr>
        <w:t xml:space="preserve"> w</w:t>
      </w:r>
      <w:r w:rsidR="00043012">
        <w:rPr>
          <w:noProof/>
        </w:rPr>
        <w:t> </w:t>
      </w:r>
      <w:r w:rsidR="00043012" w:rsidRPr="006B771F">
        <w:rPr>
          <w:noProof/>
        </w:rPr>
        <w:t>spr</w:t>
      </w:r>
      <w:r w:rsidRPr="006B771F">
        <w:rPr>
          <w:noProof/>
        </w:rPr>
        <w:t>awach karnych</w:t>
      </w:r>
      <w:r w:rsidRPr="006B771F">
        <w:rPr>
          <w:rStyle w:val="FootnoteReference0"/>
          <w:noProof/>
        </w:rPr>
        <w:footnoteReference w:id="45"/>
      </w:r>
      <w:r w:rsidRPr="006B771F">
        <w:rPr>
          <w:noProof/>
        </w:rPr>
        <w:t xml:space="preserve">. </w:t>
      </w:r>
    </w:p>
    <w:p w14:paraId="7BB473B6" w14:textId="0944AEB3" w:rsidR="00AD2D37" w:rsidRPr="006B771F" w:rsidRDefault="00AD2D37" w:rsidP="00AD2D37">
      <w:pPr>
        <w:spacing w:before="0" w:after="0"/>
        <w:rPr>
          <w:noProof/>
        </w:rPr>
      </w:pPr>
      <w:r w:rsidRPr="006B771F">
        <w:rPr>
          <w:noProof/>
        </w:rPr>
        <w:t>W odniesieniu do innych praw podstawowych, takich jak minimalne prawa procesowe podejrzanych</w:t>
      </w:r>
      <w:r w:rsidR="00043012" w:rsidRPr="006B771F">
        <w:rPr>
          <w:noProof/>
        </w:rPr>
        <w:t xml:space="preserve"> i</w:t>
      </w:r>
      <w:r w:rsidR="00043012">
        <w:rPr>
          <w:noProof/>
        </w:rPr>
        <w:t> </w:t>
      </w:r>
      <w:r w:rsidR="00043012" w:rsidRPr="006B771F">
        <w:rPr>
          <w:noProof/>
        </w:rPr>
        <w:t>osk</w:t>
      </w:r>
      <w:r w:rsidRPr="006B771F">
        <w:rPr>
          <w:noProof/>
        </w:rPr>
        <w:t>arżonych, zgodnie</w:t>
      </w:r>
      <w:r w:rsidR="00043012" w:rsidRPr="006B771F">
        <w:rPr>
          <w:noProof/>
        </w:rPr>
        <w:t xml:space="preserve"> z</w:t>
      </w:r>
      <w:r w:rsidR="00043012">
        <w:rPr>
          <w:noProof/>
        </w:rPr>
        <w:t> </w:t>
      </w:r>
      <w:r w:rsidR="00043012" w:rsidRPr="006B771F">
        <w:rPr>
          <w:noProof/>
        </w:rPr>
        <w:t>dyr</w:t>
      </w:r>
      <w:r w:rsidRPr="006B771F">
        <w:rPr>
          <w:noProof/>
        </w:rPr>
        <w:t>ektywami UE dotyczącymi praw procesowych</w:t>
      </w:r>
      <w:r w:rsidRPr="006B771F">
        <w:rPr>
          <w:rStyle w:val="FootnoteReference0"/>
          <w:noProof/>
        </w:rPr>
        <w:footnoteReference w:id="46"/>
      </w:r>
      <w:r w:rsidRPr="006B771F">
        <w:rPr>
          <w:noProof/>
        </w:rPr>
        <w:t xml:space="preserve"> (prawo do informacji przy zatrzymywaniu osoby podejrzanej, prawo do tłumaczenia ustnego</w:t>
      </w:r>
      <w:r w:rsidR="00043012" w:rsidRPr="006B771F">
        <w:rPr>
          <w:noProof/>
        </w:rPr>
        <w:t xml:space="preserve"> i</w:t>
      </w:r>
      <w:r w:rsidR="00043012">
        <w:rPr>
          <w:noProof/>
        </w:rPr>
        <w:t> </w:t>
      </w:r>
      <w:r w:rsidR="00043012" w:rsidRPr="006B771F">
        <w:rPr>
          <w:noProof/>
        </w:rPr>
        <w:t>pra</w:t>
      </w:r>
      <w:r w:rsidRPr="006B771F">
        <w:rPr>
          <w:noProof/>
        </w:rPr>
        <w:t>wo dostępu do adwokata), skutek jest neutralny. Niniejsze zalecenie, które prowadziłoby do zwiększenia obecnej liczby transgranicznych operacji policji, nie narusza ani nie zmienia obowiązujących przepisów dotyczących praw procesowych. Podobnie przepisy</w:t>
      </w:r>
      <w:r w:rsidR="00043012" w:rsidRPr="006B771F">
        <w:rPr>
          <w:noProof/>
        </w:rPr>
        <w:t xml:space="preserve"> i</w:t>
      </w:r>
      <w:r w:rsidR="00043012">
        <w:rPr>
          <w:noProof/>
        </w:rPr>
        <w:t> </w:t>
      </w:r>
      <w:r w:rsidR="00043012" w:rsidRPr="006B771F">
        <w:rPr>
          <w:noProof/>
        </w:rPr>
        <w:t>nor</w:t>
      </w:r>
      <w:r w:rsidRPr="006B771F">
        <w:rPr>
          <w:noProof/>
        </w:rPr>
        <w:t>my zdefiniowane</w:t>
      </w:r>
      <w:r w:rsidR="00043012" w:rsidRPr="006B771F">
        <w:rPr>
          <w:noProof/>
        </w:rPr>
        <w:t xml:space="preserve"> w</w:t>
      </w:r>
      <w:r w:rsidR="00043012">
        <w:rPr>
          <w:noProof/>
        </w:rPr>
        <w:t> </w:t>
      </w:r>
      <w:r w:rsidR="00043012" w:rsidRPr="006B771F">
        <w:rPr>
          <w:noProof/>
        </w:rPr>
        <w:t>inn</w:t>
      </w:r>
      <w:r w:rsidRPr="006B771F">
        <w:rPr>
          <w:noProof/>
        </w:rPr>
        <w:t>ych obszarach prawa Unii nadal mają zastosowanie zgodnie</w:t>
      </w:r>
      <w:r w:rsidR="00043012" w:rsidRPr="006B771F">
        <w:rPr>
          <w:noProof/>
        </w:rPr>
        <w:t xml:space="preserve"> z</w:t>
      </w:r>
      <w:r w:rsidR="00043012">
        <w:rPr>
          <w:noProof/>
        </w:rPr>
        <w:t> </w:t>
      </w:r>
      <w:r w:rsidR="00043012" w:rsidRPr="006B771F">
        <w:rPr>
          <w:noProof/>
        </w:rPr>
        <w:t>zob</w:t>
      </w:r>
      <w:r w:rsidRPr="006B771F">
        <w:rPr>
          <w:noProof/>
        </w:rPr>
        <w:t>owiązaniem państw członkowskich do poszanowania praw podstawowych zapisanym</w:t>
      </w:r>
      <w:r w:rsidR="00043012" w:rsidRPr="006B771F">
        <w:rPr>
          <w:noProof/>
        </w:rPr>
        <w:t xml:space="preserve"> w</w:t>
      </w:r>
      <w:r w:rsidR="00043012">
        <w:rPr>
          <w:noProof/>
        </w:rPr>
        <w:t> </w:t>
      </w:r>
      <w:r w:rsidR="00043012" w:rsidRPr="006B771F">
        <w:rPr>
          <w:noProof/>
        </w:rPr>
        <w:t>Kar</w:t>
      </w:r>
      <w:r w:rsidRPr="006B771F">
        <w:rPr>
          <w:noProof/>
        </w:rPr>
        <w:t xml:space="preserve">cie praw podstawowych UE. </w:t>
      </w:r>
    </w:p>
    <w:p w14:paraId="54C8199B" w14:textId="77777777" w:rsidR="00AD2D37" w:rsidRPr="006B771F" w:rsidRDefault="00AD2D37" w:rsidP="00AD2D37">
      <w:pPr>
        <w:pStyle w:val="ManualHeading1"/>
        <w:rPr>
          <w:noProof/>
        </w:rPr>
      </w:pPr>
      <w:r w:rsidRPr="006B771F">
        <w:rPr>
          <w:noProof/>
        </w:rPr>
        <w:t>5.</w:t>
      </w:r>
      <w:r w:rsidRPr="006B771F">
        <w:rPr>
          <w:noProof/>
        </w:rPr>
        <w:tab/>
        <w:t>WPŁYW NA BUDŻET</w:t>
      </w:r>
    </w:p>
    <w:p w14:paraId="1B8B3F54" w14:textId="4517AB7B" w:rsidR="00AD2D37" w:rsidRPr="006B771F" w:rsidRDefault="00AD2D37" w:rsidP="00AD2D37">
      <w:pPr>
        <w:spacing w:before="0"/>
        <w:rPr>
          <w:noProof/>
        </w:rPr>
      </w:pPr>
      <w:r w:rsidRPr="006B771F">
        <w:rPr>
          <w:noProof/>
        </w:rPr>
        <w:t>Wpływ na budżet niniejszego zalecenia zależy</w:t>
      </w:r>
      <w:r w:rsidR="00043012" w:rsidRPr="006B771F">
        <w:rPr>
          <w:noProof/>
        </w:rPr>
        <w:t xml:space="preserve"> w</w:t>
      </w:r>
      <w:r w:rsidR="00043012">
        <w:rPr>
          <w:noProof/>
        </w:rPr>
        <w:t> </w:t>
      </w:r>
      <w:r w:rsidR="00043012" w:rsidRPr="006B771F">
        <w:rPr>
          <w:noProof/>
        </w:rPr>
        <w:t>szc</w:t>
      </w:r>
      <w:r w:rsidRPr="006B771F">
        <w:rPr>
          <w:noProof/>
        </w:rPr>
        <w:t>zególności od odpowiedzi Rady na niniejszy wniosek dotyczący zalecenia oraz od zakresu,</w:t>
      </w:r>
      <w:r w:rsidR="00043012" w:rsidRPr="006B771F">
        <w:rPr>
          <w:noProof/>
        </w:rPr>
        <w:t xml:space="preserve"> w</w:t>
      </w:r>
      <w:r w:rsidR="00043012">
        <w:rPr>
          <w:noProof/>
        </w:rPr>
        <w:t> </w:t>
      </w:r>
      <w:r w:rsidR="00043012" w:rsidRPr="006B771F">
        <w:rPr>
          <w:noProof/>
        </w:rPr>
        <w:t>jak</w:t>
      </w:r>
      <w:r w:rsidRPr="006B771F">
        <w:rPr>
          <w:noProof/>
        </w:rPr>
        <w:t>im państwa członkowskie następnie wprowadzą</w:t>
      </w:r>
      <w:r w:rsidR="00043012" w:rsidRPr="006B771F">
        <w:rPr>
          <w:noProof/>
        </w:rPr>
        <w:t xml:space="preserve"> w</w:t>
      </w:r>
      <w:r w:rsidR="00043012">
        <w:rPr>
          <w:noProof/>
        </w:rPr>
        <w:t> </w:t>
      </w:r>
      <w:r w:rsidR="00043012" w:rsidRPr="006B771F">
        <w:rPr>
          <w:noProof/>
        </w:rPr>
        <w:t>życ</w:t>
      </w:r>
      <w:r w:rsidRPr="006B771F">
        <w:rPr>
          <w:noProof/>
        </w:rPr>
        <w:t xml:space="preserve">ie te zalecenia. </w:t>
      </w:r>
    </w:p>
    <w:p w14:paraId="48094232" w14:textId="7080282E" w:rsidR="00AD2D37" w:rsidRPr="006B771F" w:rsidRDefault="00AD2D37" w:rsidP="00AD2D37">
      <w:pPr>
        <w:spacing w:before="0"/>
        <w:rPr>
          <w:noProof/>
        </w:rPr>
      </w:pPr>
      <w:r w:rsidRPr="006B771F">
        <w:rPr>
          <w:noProof/>
        </w:rPr>
        <w:t>Ponieważ poziom współpracy między niektórymi państwami członkowskimi jest bardziej zaawansowany niż</w:t>
      </w:r>
      <w:r w:rsidR="00043012" w:rsidRPr="006B771F">
        <w:rPr>
          <w:noProof/>
        </w:rPr>
        <w:t xml:space="preserve"> w</w:t>
      </w:r>
      <w:r w:rsidR="00043012">
        <w:rPr>
          <w:noProof/>
        </w:rPr>
        <w:t> </w:t>
      </w:r>
      <w:r w:rsidR="00043012" w:rsidRPr="006B771F">
        <w:rPr>
          <w:noProof/>
        </w:rPr>
        <w:t>prz</w:t>
      </w:r>
      <w:r w:rsidRPr="006B771F">
        <w:rPr>
          <w:noProof/>
        </w:rPr>
        <w:t>ypadku innych państw członkowskich, koszt wdrożenia zaleceń, których dotyczy wniosek, będzie się różnił</w:t>
      </w:r>
      <w:r w:rsidR="00043012" w:rsidRPr="006B771F">
        <w:rPr>
          <w:noProof/>
        </w:rPr>
        <w:t xml:space="preserve"> w</w:t>
      </w:r>
      <w:r w:rsidR="00043012">
        <w:rPr>
          <w:noProof/>
        </w:rPr>
        <w:t> </w:t>
      </w:r>
      <w:r w:rsidR="00043012" w:rsidRPr="006B771F">
        <w:rPr>
          <w:noProof/>
        </w:rPr>
        <w:t>pos</w:t>
      </w:r>
      <w:r w:rsidRPr="006B771F">
        <w:rPr>
          <w:noProof/>
        </w:rPr>
        <w:t>zczególnych państwach. Koszt będzie odzwierciedlał stopniową</w:t>
      </w:r>
      <w:r w:rsidR="00043012" w:rsidRPr="006B771F">
        <w:rPr>
          <w:noProof/>
        </w:rPr>
        <w:t xml:space="preserve"> i</w:t>
      </w:r>
      <w:r w:rsidR="00043012">
        <w:rPr>
          <w:noProof/>
        </w:rPr>
        <w:t> </w:t>
      </w:r>
      <w:r w:rsidR="00043012" w:rsidRPr="006B771F">
        <w:rPr>
          <w:noProof/>
        </w:rPr>
        <w:t>prz</w:t>
      </w:r>
      <w:r w:rsidRPr="006B771F">
        <w:rPr>
          <w:noProof/>
        </w:rPr>
        <w:t>yrostową poprawę istniejącej współpracy operacyjnej między państwami członkowskimi</w:t>
      </w:r>
      <w:r w:rsidR="00043012" w:rsidRPr="006B771F">
        <w:rPr>
          <w:noProof/>
        </w:rPr>
        <w:t xml:space="preserve"> w</w:t>
      </w:r>
      <w:r w:rsidR="00043012">
        <w:rPr>
          <w:noProof/>
        </w:rPr>
        <w:t> </w:t>
      </w:r>
      <w:r w:rsidR="00043012" w:rsidRPr="006B771F">
        <w:rPr>
          <w:noProof/>
        </w:rPr>
        <w:t>wyn</w:t>
      </w:r>
      <w:r w:rsidRPr="006B771F">
        <w:rPr>
          <w:noProof/>
        </w:rPr>
        <w:t>iku wdrażania zalecanych środków</w:t>
      </w:r>
      <w:r w:rsidR="00043012" w:rsidRPr="006B771F">
        <w:rPr>
          <w:noProof/>
        </w:rPr>
        <w:t xml:space="preserve"> w</w:t>
      </w:r>
      <w:r w:rsidR="00043012">
        <w:rPr>
          <w:noProof/>
        </w:rPr>
        <w:t> </w:t>
      </w:r>
      <w:r w:rsidR="00043012" w:rsidRPr="006B771F">
        <w:rPr>
          <w:noProof/>
        </w:rPr>
        <w:t>mia</w:t>
      </w:r>
      <w:r w:rsidRPr="006B771F">
        <w:rPr>
          <w:noProof/>
        </w:rPr>
        <w:t xml:space="preserve">rę upływu czasu. </w:t>
      </w:r>
    </w:p>
    <w:p w14:paraId="263D5959" w14:textId="0B7B4038" w:rsidR="00AD2D37" w:rsidRPr="006B771F" w:rsidRDefault="00AD2D37" w:rsidP="00AD2D37">
      <w:pPr>
        <w:spacing w:before="0"/>
        <w:rPr>
          <w:noProof/>
        </w:rPr>
      </w:pPr>
      <w:r w:rsidRPr="006B771F">
        <w:rPr>
          <w:noProof/>
        </w:rPr>
        <w:t>Uwzględniając charakter środków, które mają być wdrożone, koszty na szczeblu krajowym mogłyby</w:t>
      </w:r>
      <w:r w:rsidR="00043012" w:rsidRPr="006B771F">
        <w:rPr>
          <w:noProof/>
        </w:rPr>
        <w:t xml:space="preserve"> w</w:t>
      </w:r>
      <w:r w:rsidR="00043012">
        <w:rPr>
          <w:noProof/>
        </w:rPr>
        <w:t> </w:t>
      </w:r>
      <w:r w:rsidR="00043012" w:rsidRPr="006B771F">
        <w:rPr>
          <w:noProof/>
        </w:rPr>
        <w:t>ist</w:t>
      </w:r>
      <w:r w:rsidRPr="006B771F">
        <w:rPr>
          <w:noProof/>
        </w:rPr>
        <w:t>otnym zakresie</w:t>
      </w:r>
      <w:r w:rsidR="00043012" w:rsidRPr="006B771F">
        <w:rPr>
          <w:noProof/>
        </w:rPr>
        <w:t xml:space="preserve"> i</w:t>
      </w:r>
      <w:r w:rsidR="00043012">
        <w:rPr>
          <w:noProof/>
        </w:rPr>
        <w:t> </w:t>
      </w:r>
      <w:r w:rsidR="00043012" w:rsidRPr="006B771F">
        <w:rPr>
          <w:noProof/>
        </w:rPr>
        <w:t>z</w:t>
      </w:r>
      <w:r w:rsidR="00043012">
        <w:rPr>
          <w:noProof/>
        </w:rPr>
        <w:t> </w:t>
      </w:r>
      <w:r w:rsidR="00043012" w:rsidRPr="006B771F">
        <w:rPr>
          <w:noProof/>
        </w:rPr>
        <w:t>zas</w:t>
      </w:r>
      <w:r w:rsidRPr="006B771F">
        <w:rPr>
          <w:noProof/>
        </w:rPr>
        <w:t>trzeżeniem obowiązujących warunków zostać pokryte</w:t>
      </w:r>
      <w:r w:rsidR="00043012" w:rsidRPr="006B771F">
        <w:rPr>
          <w:noProof/>
        </w:rPr>
        <w:t xml:space="preserve"> z</w:t>
      </w:r>
      <w:r w:rsidR="00043012">
        <w:rPr>
          <w:noProof/>
        </w:rPr>
        <w:t> </w:t>
      </w:r>
      <w:r w:rsidR="00043012" w:rsidRPr="006B771F">
        <w:rPr>
          <w:noProof/>
        </w:rPr>
        <w:t>pro</w:t>
      </w:r>
      <w:r w:rsidRPr="006B771F">
        <w:rPr>
          <w:noProof/>
        </w:rPr>
        <w:t>gramów państw członkowskich</w:t>
      </w:r>
      <w:r w:rsidR="00043012" w:rsidRPr="006B771F">
        <w:rPr>
          <w:noProof/>
        </w:rPr>
        <w:t xml:space="preserve"> w</w:t>
      </w:r>
      <w:r w:rsidR="00043012">
        <w:rPr>
          <w:noProof/>
        </w:rPr>
        <w:t> </w:t>
      </w:r>
      <w:r w:rsidR="00043012" w:rsidRPr="006B771F">
        <w:rPr>
          <w:noProof/>
        </w:rPr>
        <w:t>ram</w:t>
      </w:r>
      <w:r w:rsidRPr="006B771F">
        <w:rPr>
          <w:noProof/>
        </w:rPr>
        <w:t>ach Funduszu Bezpieczeństwa Wewnętrznego</w:t>
      </w:r>
      <w:r w:rsidRPr="006B771F">
        <w:rPr>
          <w:rStyle w:val="FootnoteReference0"/>
          <w:noProof/>
        </w:rPr>
        <w:footnoteReference w:id="47"/>
      </w:r>
      <w:r w:rsidRPr="006B771F">
        <w:rPr>
          <w:noProof/>
        </w:rPr>
        <w:t>. Fundusz Bezpieczeństwa Wewnętrznego obejmuje cele szczegółowe „poprawy</w:t>
      </w:r>
      <w:r w:rsidR="00043012" w:rsidRPr="006B771F">
        <w:rPr>
          <w:noProof/>
        </w:rPr>
        <w:t xml:space="preserve"> i</w:t>
      </w:r>
      <w:r w:rsidR="00043012">
        <w:rPr>
          <w:noProof/>
        </w:rPr>
        <w:t> </w:t>
      </w:r>
      <w:r w:rsidR="00043012" w:rsidRPr="006B771F">
        <w:rPr>
          <w:noProof/>
        </w:rPr>
        <w:t>uła</w:t>
      </w:r>
      <w:r w:rsidRPr="006B771F">
        <w:rPr>
          <w:noProof/>
        </w:rPr>
        <w:t>twiania wymiany informacji”, „poprawy</w:t>
      </w:r>
      <w:r w:rsidR="00043012" w:rsidRPr="006B771F">
        <w:rPr>
          <w:noProof/>
        </w:rPr>
        <w:t xml:space="preserve"> i</w:t>
      </w:r>
      <w:r w:rsidR="00043012">
        <w:rPr>
          <w:noProof/>
        </w:rPr>
        <w:t> </w:t>
      </w:r>
      <w:r w:rsidR="00043012" w:rsidRPr="006B771F">
        <w:rPr>
          <w:noProof/>
        </w:rPr>
        <w:t>zin</w:t>
      </w:r>
      <w:r w:rsidRPr="006B771F">
        <w:rPr>
          <w:noProof/>
        </w:rPr>
        <w:t>tensyfikowania współpracy transgranicznej” oraz „wspierania wzmocnienia zdolności państw członkowskich</w:t>
      </w:r>
      <w:r w:rsidR="00043012" w:rsidRPr="006B771F">
        <w:rPr>
          <w:noProof/>
        </w:rPr>
        <w:t xml:space="preserve"> w</w:t>
      </w:r>
      <w:r w:rsidR="00043012">
        <w:rPr>
          <w:noProof/>
        </w:rPr>
        <w:t> </w:t>
      </w:r>
      <w:r w:rsidR="00043012" w:rsidRPr="006B771F">
        <w:rPr>
          <w:noProof/>
        </w:rPr>
        <w:t>zak</w:t>
      </w:r>
      <w:r w:rsidRPr="006B771F">
        <w:rPr>
          <w:noProof/>
        </w:rPr>
        <w:t>resie zapobiegania przestępczości, terroryzmowi</w:t>
      </w:r>
      <w:r w:rsidR="00043012" w:rsidRPr="006B771F">
        <w:rPr>
          <w:noProof/>
        </w:rPr>
        <w:t xml:space="preserve"> i</w:t>
      </w:r>
      <w:r w:rsidR="00043012">
        <w:rPr>
          <w:noProof/>
        </w:rPr>
        <w:t> </w:t>
      </w:r>
      <w:r w:rsidR="00043012" w:rsidRPr="006B771F">
        <w:rPr>
          <w:noProof/>
        </w:rPr>
        <w:t>rad</w:t>
      </w:r>
      <w:r w:rsidRPr="006B771F">
        <w:rPr>
          <w:noProof/>
        </w:rPr>
        <w:t>ykalizacji oraz zwalczania tych zjawisk,</w:t>
      </w:r>
      <w:r w:rsidR="00043012" w:rsidRPr="006B771F">
        <w:rPr>
          <w:noProof/>
        </w:rPr>
        <w:t xml:space="preserve"> a</w:t>
      </w:r>
      <w:r w:rsidR="00043012">
        <w:rPr>
          <w:noProof/>
        </w:rPr>
        <w:t> </w:t>
      </w:r>
      <w:r w:rsidR="00043012" w:rsidRPr="006B771F">
        <w:rPr>
          <w:noProof/>
        </w:rPr>
        <w:t>tak</w:t>
      </w:r>
      <w:r w:rsidRPr="006B771F">
        <w:rPr>
          <w:noProof/>
        </w:rPr>
        <w:t>że zarządzania zdarzeniami, ryzykiem</w:t>
      </w:r>
      <w:r w:rsidR="00043012" w:rsidRPr="006B771F">
        <w:rPr>
          <w:noProof/>
        </w:rPr>
        <w:t xml:space="preserve"> i</w:t>
      </w:r>
      <w:r w:rsidR="00043012">
        <w:rPr>
          <w:noProof/>
        </w:rPr>
        <w:t> </w:t>
      </w:r>
      <w:r w:rsidR="00043012" w:rsidRPr="006B771F">
        <w:rPr>
          <w:noProof/>
        </w:rPr>
        <w:t>kry</w:t>
      </w:r>
      <w:r w:rsidRPr="006B771F">
        <w:rPr>
          <w:noProof/>
        </w:rPr>
        <w:t>zysami dotyczącymi bezpieczeństwa”</w:t>
      </w:r>
      <w:r w:rsidRPr="006B771F">
        <w:rPr>
          <w:rStyle w:val="FootnoteReference0"/>
          <w:noProof/>
        </w:rPr>
        <w:footnoteReference w:id="48"/>
      </w:r>
      <w:r w:rsidRPr="006B771F">
        <w:rPr>
          <w:noProof/>
        </w:rPr>
        <w:t>. Oprócz kosztów potencjalnie pokrywanych</w:t>
      </w:r>
      <w:r w:rsidR="00043012" w:rsidRPr="006B771F">
        <w:rPr>
          <w:noProof/>
        </w:rPr>
        <w:t xml:space="preserve"> z</w:t>
      </w:r>
      <w:r w:rsidR="00043012">
        <w:rPr>
          <w:noProof/>
        </w:rPr>
        <w:t> </w:t>
      </w:r>
      <w:r w:rsidR="00043012" w:rsidRPr="006B771F">
        <w:rPr>
          <w:noProof/>
        </w:rPr>
        <w:t>pro</w:t>
      </w:r>
      <w:r w:rsidRPr="006B771F">
        <w:rPr>
          <w:noProof/>
        </w:rPr>
        <w:t>gramów państw członkowskich</w:t>
      </w:r>
      <w:r w:rsidR="00043012" w:rsidRPr="006B771F">
        <w:rPr>
          <w:noProof/>
        </w:rPr>
        <w:t xml:space="preserve"> w</w:t>
      </w:r>
      <w:r w:rsidR="00043012">
        <w:rPr>
          <w:noProof/>
        </w:rPr>
        <w:t> </w:t>
      </w:r>
      <w:r w:rsidR="00043012" w:rsidRPr="006B771F">
        <w:rPr>
          <w:noProof/>
        </w:rPr>
        <w:t>ram</w:t>
      </w:r>
      <w:r w:rsidRPr="006B771F">
        <w:rPr>
          <w:noProof/>
        </w:rPr>
        <w:t>ach Funduszu Bezpieczeństwa Wewnętrznego nie będzie żadnych innych kosztów ponoszonych na szczeblu UE.</w:t>
      </w:r>
    </w:p>
    <w:p w14:paraId="1A99755D" w14:textId="77777777" w:rsidR="00AD2D37" w:rsidRPr="006B771F" w:rsidRDefault="00AD2D37" w:rsidP="00AD2D37">
      <w:pPr>
        <w:pStyle w:val="ManualHeading1"/>
        <w:rPr>
          <w:noProof/>
        </w:rPr>
      </w:pPr>
      <w:r w:rsidRPr="006B771F">
        <w:rPr>
          <w:noProof/>
        </w:rPr>
        <w:t>6.</w:t>
      </w:r>
      <w:r w:rsidRPr="006B771F">
        <w:rPr>
          <w:noProof/>
        </w:rPr>
        <w:tab/>
        <w:t>ELEMENTY FAKULTATYWNE</w:t>
      </w:r>
    </w:p>
    <w:p w14:paraId="0C3835F3" w14:textId="4DA5FA51" w:rsidR="00AD2D37" w:rsidRPr="006B771F" w:rsidRDefault="00AD2D37" w:rsidP="00AD2D37">
      <w:pPr>
        <w:pStyle w:val="ManualHeading2"/>
        <w:rPr>
          <w:rFonts w:eastAsia="Arial Unicode MS"/>
          <w:noProof/>
          <w:u w:color="000000"/>
          <w:bdr w:val="nil"/>
        </w:rPr>
      </w:pPr>
      <w:r w:rsidRPr="006B771F">
        <w:rPr>
          <w:noProof/>
          <w:u w:color="000000"/>
          <w:bdr w:val="nil"/>
        </w:rPr>
        <w:t>•</w:t>
      </w:r>
      <w:r w:rsidRPr="006B771F">
        <w:rPr>
          <w:noProof/>
        </w:rPr>
        <w:tab/>
      </w:r>
      <w:r w:rsidRPr="006B771F">
        <w:rPr>
          <w:noProof/>
          <w:u w:color="000000"/>
          <w:bdr w:val="nil"/>
        </w:rPr>
        <w:t>Plany wdrożenia</w:t>
      </w:r>
      <w:r w:rsidR="00043012" w:rsidRPr="006B771F">
        <w:rPr>
          <w:noProof/>
          <w:u w:color="000000"/>
          <w:bdr w:val="nil"/>
        </w:rPr>
        <w:t xml:space="preserve"> i</w:t>
      </w:r>
      <w:r w:rsidR="00043012">
        <w:rPr>
          <w:noProof/>
          <w:u w:color="000000"/>
          <w:bdr w:val="nil"/>
        </w:rPr>
        <w:t> </w:t>
      </w:r>
      <w:r w:rsidR="00043012" w:rsidRPr="006B771F">
        <w:rPr>
          <w:noProof/>
          <w:u w:color="000000"/>
          <w:bdr w:val="nil"/>
        </w:rPr>
        <w:t>mon</w:t>
      </w:r>
      <w:r w:rsidRPr="006B771F">
        <w:rPr>
          <w:noProof/>
          <w:u w:color="000000"/>
          <w:bdr w:val="nil"/>
        </w:rPr>
        <w:t>itorowanie, ocena</w:t>
      </w:r>
      <w:r w:rsidR="00043012" w:rsidRPr="006B771F">
        <w:rPr>
          <w:noProof/>
          <w:u w:color="000000"/>
          <w:bdr w:val="nil"/>
        </w:rPr>
        <w:t xml:space="preserve"> i</w:t>
      </w:r>
      <w:r w:rsidR="00043012">
        <w:rPr>
          <w:noProof/>
          <w:u w:color="000000"/>
          <w:bdr w:val="nil"/>
        </w:rPr>
        <w:t> </w:t>
      </w:r>
      <w:r w:rsidR="00043012" w:rsidRPr="006B771F">
        <w:rPr>
          <w:noProof/>
          <w:u w:color="000000"/>
          <w:bdr w:val="nil"/>
        </w:rPr>
        <w:t>spr</w:t>
      </w:r>
      <w:r w:rsidRPr="006B771F">
        <w:rPr>
          <w:noProof/>
          <w:u w:color="000000"/>
          <w:bdr w:val="nil"/>
        </w:rPr>
        <w:t>awozdania</w:t>
      </w:r>
    </w:p>
    <w:p w14:paraId="637A517D" w14:textId="02193164" w:rsidR="00AD2D37" w:rsidRPr="006B771F" w:rsidRDefault="00AD2D37" w:rsidP="00AD2D37">
      <w:pPr>
        <w:spacing w:before="0"/>
        <w:rPr>
          <w:noProof/>
        </w:rPr>
      </w:pPr>
      <w:r w:rsidRPr="006B771F">
        <w:rPr>
          <w:noProof/>
        </w:rPr>
        <w:t xml:space="preserve">Komisja wzywa Radę do przyjęcia zalecenia, którego dotyczy wniosek, najpóźniej </w:t>
      </w:r>
      <w:r w:rsidRPr="006B771F">
        <w:rPr>
          <w:b/>
          <w:noProof/>
        </w:rPr>
        <w:t>do czerwca 20</w:t>
      </w:r>
      <w:r w:rsidRPr="00043012">
        <w:rPr>
          <w:b/>
          <w:noProof/>
        </w:rPr>
        <w:t>22</w:t>
      </w:r>
      <w:r w:rsidR="00043012" w:rsidRPr="00043012">
        <w:rPr>
          <w:b/>
          <w:noProof/>
        </w:rPr>
        <w:t> </w:t>
      </w:r>
      <w:r w:rsidRPr="00043012">
        <w:rPr>
          <w:b/>
          <w:noProof/>
        </w:rPr>
        <w:t>r.</w:t>
      </w:r>
      <w:r w:rsidRPr="006B771F">
        <w:rPr>
          <w:noProof/>
        </w:rPr>
        <w:t xml:space="preserve"> </w:t>
      </w:r>
    </w:p>
    <w:p w14:paraId="66951AAC" w14:textId="04D7A4FF" w:rsidR="00AD2D37" w:rsidRPr="006B771F" w:rsidRDefault="00AD2D37" w:rsidP="00AD2D37">
      <w:pPr>
        <w:spacing w:before="0"/>
        <w:rPr>
          <w:noProof/>
        </w:rPr>
      </w:pPr>
      <w:r w:rsidRPr="006B771F">
        <w:rPr>
          <w:noProof/>
        </w:rPr>
        <w:t>W opinii Komisji we właściwej grupie roboczej Rady powinien istnieć stały punkt dotyczący dyskusji na temat transgranicznej operacyjnej współpracy policyjnej, aby ta grupa robocza służyła jako trwałe forum dyskusji państw członkowskich na temat kwestii poruszonych</w:t>
      </w:r>
      <w:r w:rsidR="00043012" w:rsidRPr="006B771F">
        <w:rPr>
          <w:noProof/>
        </w:rPr>
        <w:t xml:space="preserve"> w</w:t>
      </w:r>
      <w:r w:rsidR="00043012">
        <w:rPr>
          <w:noProof/>
        </w:rPr>
        <w:t> </w:t>
      </w:r>
      <w:r w:rsidR="00043012" w:rsidRPr="006B771F">
        <w:rPr>
          <w:noProof/>
        </w:rPr>
        <w:t>nin</w:t>
      </w:r>
      <w:r w:rsidRPr="006B771F">
        <w:rPr>
          <w:noProof/>
        </w:rPr>
        <w:t>iejszym zaleceniu,</w:t>
      </w:r>
      <w:r w:rsidR="00043012" w:rsidRPr="006B771F">
        <w:rPr>
          <w:noProof/>
        </w:rPr>
        <w:t xml:space="preserve"> a</w:t>
      </w:r>
      <w:r w:rsidR="00043012">
        <w:rPr>
          <w:noProof/>
        </w:rPr>
        <w:t> </w:t>
      </w:r>
      <w:r w:rsidR="00043012" w:rsidRPr="006B771F">
        <w:rPr>
          <w:noProof/>
        </w:rPr>
        <w:t>w</w:t>
      </w:r>
      <w:r w:rsidR="00043012">
        <w:rPr>
          <w:noProof/>
        </w:rPr>
        <w:t> </w:t>
      </w:r>
      <w:r w:rsidR="00043012" w:rsidRPr="006B771F">
        <w:rPr>
          <w:noProof/>
        </w:rPr>
        <w:t>szc</w:t>
      </w:r>
      <w:r w:rsidRPr="006B771F">
        <w:rPr>
          <w:noProof/>
        </w:rPr>
        <w:t>zególności działań następczych podejmowanych</w:t>
      </w:r>
      <w:r w:rsidR="00043012" w:rsidRPr="006B771F">
        <w:rPr>
          <w:noProof/>
        </w:rPr>
        <w:t xml:space="preserve"> w</w:t>
      </w:r>
      <w:r w:rsidR="00043012">
        <w:rPr>
          <w:noProof/>
        </w:rPr>
        <w:t> </w:t>
      </w:r>
      <w:r w:rsidR="00043012" w:rsidRPr="006B771F">
        <w:rPr>
          <w:noProof/>
        </w:rPr>
        <w:t>zwi</w:t>
      </w:r>
      <w:r w:rsidRPr="006B771F">
        <w:rPr>
          <w:noProof/>
        </w:rPr>
        <w:t>ązku</w:t>
      </w:r>
      <w:r w:rsidR="00043012" w:rsidRPr="006B771F">
        <w:rPr>
          <w:noProof/>
        </w:rPr>
        <w:t xml:space="preserve"> z</w:t>
      </w:r>
      <w:r w:rsidR="00043012">
        <w:rPr>
          <w:noProof/>
        </w:rPr>
        <w:t> </w:t>
      </w:r>
      <w:r w:rsidR="00043012" w:rsidRPr="006B771F">
        <w:rPr>
          <w:noProof/>
        </w:rPr>
        <w:t>nim</w:t>
      </w:r>
      <w:r w:rsidRPr="006B771F">
        <w:rPr>
          <w:noProof/>
        </w:rPr>
        <w:t>.</w:t>
      </w:r>
    </w:p>
    <w:p w14:paraId="012D38C4" w14:textId="6F93A292" w:rsidR="00AD2D37" w:rsidRPr="006B771F" w:rsidRDefault="00AD2D37" w:rsidP="00AD2D37">
      <w:pPr>
        <w:spacing w:before="0"/>
        <w:rPr>
          <w:noProof/>
        </w:rPr>
      </w:pPr>
      <w:r w:rsidRPr="006B771F">
        <w:rPr>
          <w:noProof/>
        </w:rPr>
        <w:t xml:space="preserve">Po upływie </w:t>
      </w:r>
      <w:r w:rsidRPr="006B771F">
        <w:rPr>
          <w:b/>
          <w:noProof/>
        </w:rPr>
        <w:t>jednego roku</w:t>
      </w:r>
      <w:r w:rsidRPr="006B771F">
        <w:rPr>
          <w:noProof/>
        </w:rPr>
        <w:t xml:space="preserve"> od przyjęcia niniejszego zalecenia Komisja powinna złożyć sprawozdanie dotyczące postępów państw członkowskich</w:t>
      </w:r>
      <w:r w:rsidR="00043012" w:rsidRPr="006B771F">
        <w:rPr>
          <w:noProof/>
        </w:rPr>
        <w:t xml:space="preserve"> w</w:t>
      </w:r>
      <w:r w:rsidR="00043012">
        <w:rPr>
          <w:noProof/>
        </w:rPr>
        <w:t> </w:t>
      </w:r>
      <w:r w:rsidR="00043012" w:rsidRPr="006B771F">
        <w:rPr>
          <w:noProof/>
        </w:rPr>
        <w:t>zak</w:t>
      </w:r>
      <w:r w:rsidRPr="006B771F">
        <w:rPr>
          <w:noProof/>
        </w:rPr>
        <w:t>resie jego wdrażania. Sprawozdanie to powinno zawierać ocenę, czy występuje potrzeba wprowadzenia przepisów UE</w:t>
      </w:r>
      <w:r w:rsidR="00043012" w:rsidRPr="006B771F">
        <w:rPr>
          <w:noProof/>
        </w:rPr>
        <w:t xml:space="preserve"> o</w:t>
      </w:r>
      <w:r w:rsidR="00043012">
        <w:rPr>
          <w:noProof/>
        </w:rPr>
        <w:t> </w:t>
      </w:r>
      <w:r w:rsidR="00043012" w:rsidRPr="006B771F">
        <w:rPr>
          <w:noProof/>
        </w:rPr>
        <w:t>moc</w:t>
      </w:r>
      <w:r w:rsidRPr="006B771F">
        <w:rPr>
          <w:noProof/>
        </w:rPr>
        <w:t>y wiążącej dotyczących form transgranicznej operacyjnej współpracy policyjnej,</w:t>
      </w:r>
      <w:r w:rsidR="00043012" w:rsidRPr="006B771F">
        <w:rPr>
          <w:noProof/>
        </w:rPr>
        <w:t xml:space="preserve"> o</w:t>
      </w:r>
      <w:r w:rsidR="00043012">
        <w:rPr>
          <w:noProof/>
        </w:rPr>
        <w:t> </w:t>
      </w:r>
      <w:r w:rsidR="00043012" w:rsidRPr="006B771F">
        <w:rPr>
          <w:noProof/>
        </w:rPr>
        <w:t>któ</w:t>
      </w:r>
      <w:r w:rsidRPr="006B771F">
        <w:rPr>
          <w:noProof/>
        </w:rPr>
        <w:t>rych mowa</w:t>
      </w:r>
      <w:r w:rsidR="00043012" w:rsidRPr="006B771F">
        <w:rPr>
          <w:noProof/>
        </w:rPr>
        <w:t xml:space="preserve"> w</w:t>
      </w:r>
      <w:r w:rsidR="00043012">
        <w:rPr>
          <w:noProof/>
        </w:rPr>
        <w:t> </w:t>
      </w:r>
      <w:r w:rsidR="00043012" w:rsidRPr="006B771F">
        <w:rPr>
          <w:noProof/>
        </w:rPr>
        <w:t>zal</w:t>
      </w:r>
      <w:r w:rsidRPr="006B771F">
        <w:rPr>
          <w:noProof/>
        </w:rPr>
        <w:t xml:space="preserve">eceniu. </w:t>
      </w:r>
    </w:p>
    <w:p w14:paraId="3EE7697B" w14:textId="77777777" w:rsidR="00AD2D37" w:rsidRPr="006B771F" w:rsidRDefault="00AD2D37" w:rsidP="00AD2D37">
      <w:pPr>
        <w:pStyle w:val="ManualHeading2"/>
        <w:rPr>
          <w:rFonts w:eastAsia="Arial Unicode MS"/>
          <w:noProof/>
          <w:u w:color="000000"/>
          <w:bdr w:val="nil"/>
        </w:rPr>
      </w:pPr>
      <w:r w:rsidRPr="006B771F">
        <w:rPr>
          <w:noProof/>
          <w:u w:color="000000"/>
          <w:bdr w:val="nil"/>
        </w:rPr>
        <w:t>•</w:t>
      </w:r>
      <w:r w:rsidRPr="006B771F">
        <w:rPr>
          <w:noProof/>
        </w:rPr>
        <w:tab/>
      </w:r>
      <w:r w:rsidRPr="006B771F">
        <w:rPr>
          <w:noProof/>
          <w:u w:color="000000"/>
          <w:bdr w:val="nil"/>
        </w:rPr>
        <w:t xml:space="preserve">Szczegółowe objaśnienia poszczególnych przepisów wniosku </w:t>
      </w:r>
    </w:p>
    <w:p w14:paraId="4EC668F4" w14:textId="3075C4F5" w:rsidR="00AD2D37" w:rsidRPr="006B771F" w:rsidRDefault="00AD2D37" w:rsidP="00AD2D37">
      <w:pPr>
        <w:spacing w:before="0"/>
        <w:rPr>
          <w:b/>
          <w:noProof/>
        </w:rPr>
      </w:pPr>
      <w:r w:rsidRPr="006B771F">
        <w:rPr>
          <w:noProof/>
        </w:rPr>
        <w:t xml:space="preserve">W </w:t>
      </w:r>
      <w:r w:rsidRPr="006B771F">
        <w:rPr>
          <w:b/>
          <w:noProof/>
        </w:rPr>
        <w:t xml:space="preserve">sekcji 1 </w:t>
      </w:r>
      <w:r w:rsidRPr="006B771F">
        <w:rPr>
          <w:noProof/>
        </w:rPr>
        <w:t>zdefiniowano najważniejsze terminy</w:t>
      </w:r>
      <w:r w:rsidR="00043012" w:rsidRPr="006B771F">
        <w:rPr>
          <w:noProof/>
        </w:rPr>
        <w:t xml:space="preserve"> w</w:t>
      </w:r>
      <w:r w:rsidR="00043012">
        <w:rPr>
          <w:noProof/>
        </w:rPr>
        <w:t> </w:t>
      </w:r>
      <w:r w:rsidR="00043012" w:rsidRPr="006B771F">
        <w:rPr>
          <w:noProof/>
        </w:rPr>
        <w:t>zal</w:t>
      </w:r>
      <w:r w:rsidRPr="006B771F">
        <w:rPr>
          <w:noProof/>
        </w:rPr>
        <w:t>eceniu.</w:t>
      </w:r>
    </w:p>
    <w:p w14:paraId="2CB532B5" w14:textId="1473C1AF" w:rsidR="00AD2D37" w:rsidRPr="006B771F" w:rsidRDefault="00AD2D37" w:rsidP="00AD2D37">
      <w:pPr>
        <w:spacing w:before="0"/>
        <w:rPr>
          <w:noProof/>
        </w:rPr>
      </w:pPr>
      <w:r w:rsidRPr="006B771F">
        <w:rPr>
          <w:noProof/>
        </w:rPr>
        <w:t xml:space="preserve">W </w:t>
      </w:r>
      <w:r w:rsidRPr="006B771F">
        <w:rPr>
          <w:b/>
          <w:noProof/>
        </w:rPr>
        <w:t xml:space="preserve">sekcji 2 </w:t>
      </w:r>
      <w:r w:rsidRPr="006B771F">
        <w:rPr>
          <w:noProof/>
        </w:rPr>
        <w:t>określono</w:t>
      </w:r>
      <w:r w:rsidRPr="006B771F">
        <w:rPr>
          <w:b/>
          <w:noProof/>
        </w:rPr>
        <w:t xml:space="preserve"> </w:t>
      </w:r>
      <w:r w:rsidRPr="006B771F">
        <w:rPr>
          <w:noProof/>
        </w:rPr>
        <w:t xml:space="preserve">zalecenia mające na celu </w:t>
      </w:r>
      <w:r w:rsidRPr="006B771F">
        <w:rPr>
          <w:b/>
          <w:noProof/>
        </w:rPr>
        <w:t>usunięcie przeszkód dla interwencji funkcjonariuszy policji</w:t>
      </w:r>
      <w:r w:rsidR="00043012" w:rsidRPr="006B771F">
        <w:rPr>
          <w:b/>
          <w:noProof/>
        </w:rPr>
        <w:t xml:space="preserve"> w</w:t>
      </w:r>
      <w:r w:rsidR="00043012">
        <w:rPr>
          <w:b/>
          <w:noProof/>
        </w:rPr>
        <w:t> </w:t>
      </w:r>
      <w:r w:rsidR="00043012" w:rsidRPr="006B771F">
        <w:rPr>
          <w:b/>
          <w:noProof/>
        </w:rPr>
        <w:t>inn</w:t>
      </w:r>
      <w:r w:rsidRPr="006B771F">
        <w:rPr>
          <w:b/>
          <w:noProof/>
        </w:rPr>
        <w:t>ych państwach członkowskich</w:t>
      </w:r>
      <w:r w:rsidR="00043012" w:rsidRPr="006B771F">
        <w:rPr>
          <w:noProof/>
        </w:rPr>
        <w:t xml:space="preserve"> w</w:t>
      </w:r>
      <w:r w:rsidR="00043012">
        <w:rPr>
          <w:noProof/>
        </w:rPr>
        <w:t> </w:t>
      </w:r>
      <w:r w:rsidR="00043012" w:rsidRPr="006B771F">
        <w:rPr>
          <w:noProof/>
        </w:rPr>
        <w:t>kon</w:t>
      </w:r>
      <w:r w:rsidRPr="006B771F">
        <w:rPr>
          <w:noProof/>
        </w:rPr>
        <w:t>tekście pościgów transgranicznych, obserwacji transgranicznych oraz wspólnych patroli</w:t>
      </w:r>
      <w:r w:rsidR="00043012" w:rsidRPr="006B771F">
        <w:rPr>
          <w:noProof/>
        </w:rPr>
        <w:t xml:space="preserve"> i</w:t>
      </w:r>
      <w:r w:rsidR="00043012">
        <w:rPr>
          <w:noProof/>
        </w:rPr>
        <w:t> </w:t>
      </w:r>
      <w:r w:rsidR="00043012" w:rsidRPr="006B771F">
        <w:rPr>
          <w:noProof/>
        </w:rPr>
        <w:t>inn</w:t>
      </w:r>
      <w:r w:rsidRPr="006B771F">
        <w:rPr>
          <w:noProof/>
        </w:rPr>
        <w:t>ych wspólnych operacji. Zalecenia mają na celu rozszerzenie aktualnego wykazu przestępstw</w:t>
      </w:r>
      <w:r w:rsidRPr="006B771F">
        <w:rPr>
          <w:rStyle w:val="FootnoteReference0"/>
          <w:noProof/>
        </w:rPr>
        <w:footnoteReference w:id="49"/>
      </w:r>
      <w:r w:rsidRPr="006B771F">
        <w:rPr>
          <w:noProof/>
        </w:rPr>
        <w:t>,</w:t>
      </w:r>
      <w:r w:rsidR="00043012" w:rsidRPr="006B771F">
        <w:rPr>
          <w:noProof/>
        </w:rPr>
        <w:t xml:space="preserve"> w</w:t>
      </w:r>
      <w:r w:rsidR="00043012">
        <w:rPr>
          <w:noProof/>
        </w:rPr>
        <w:t> </w:t>
      </w:r>
      <w:r w:rsidR="00043012" w:rsidRPr="006B771F">
        <w:rPr>
          <w:noProof/>
        </w:rPr>
        <w:t>prz</w:t>
      </w:r>
      <w:r w:rsidRPr="006B771F">
        <w:rPr>
          <w:noProof/>
        </w:rPr>
        <w:t>ypadku których można wykorzystywać pościgi transgraniczne</w:t>
      </w:r>
      <w:r w:rsidR="00043012" w:rsidRPr="006B771F">
        <w:rPr>
          <w:noProof/>
        </w:rPr>
        <w:t xml:space="preserve"> i</w:t>
      </w:r>
      <w:r w:rsidR="00043012">
        <w:rPr>
          <w:noProof/>
        </w:rPr>
        <w:t> </w:t>
      </w:r>
      <w:r w:rsidR="00043012" w:rsidRPr="006B771F">
        <w:rPr>
          <w:noProof/>
        </w:rPr>
        <w:t>obs</w:t>
      </w:r>
      <w:r w:rsidRPr="006B771F">
        <w:rPr>
          <w:noProof/>
        </w:rPr>
        <w:t>erwacje transgraniczne, oraz usunięcie ustanowionych przez niektóre państwa członkowskie ograniczeń geograficznych</w:t>
      </w:r>
      <w:r w:rsidR="00043012" w:rsidRPr="006B771F">
        <w:rPr>
          <w:noProof/>
        </w:rPr>
        <w:t xml:space="preserve"> i</w:t>
      </w:r>
      <w:r w:rsidR="00043012">
        <w:rPr>
          <w:noProof/>
        </w:rPr>
        <w:t> </w:t>
      </w:r>
      <w:r w:rsidR="00043012" w:rsidRPr="006B771F">
        <w:rPr>
          <w:noProof/>
        </w:rPr>
        <w:t>cza</w:t>
      </w:r>
      <w:r w:rsidRPr="006B771F">
        <w:rPr>
          <w:noProof/>
        </w:rPr>
        <w:t>sowych, które stwarzają bariery dla takich operacji. Mają one na celu ujednolicenie przepisów państw członkowskich</w:t>
      </w:r>
      <w:r w:rsidR="00043012" w:rsidRPr="006B771F">
        <w:rPr>
          <w:noProof/>
        </w:rPr>
        <w:t xml:space="preserve"> w</w:t>
      </w:r>
      <w:r w:rsidR="00043012">
        <w:rPr>
          <w:noProof/>
        </w:rPr>
        <w:t> </w:t>
      </w:r>
      <w:r w:rsidR="00043012" w:rsidRPr="006B771F">
        <w:rPr>
          <w:noProof/>
        </w:rPr>
        <w:t>zak</w:t>
      </w:r>
      <w:r w:rsidRPr="006B771F">
        <w:rPr>
          <w:noProof/>
        </w:rPr>
        <w:t>resie przekazywania uprawnień wykonawczych między państwami członkowskimi, aby zwiększyć przejrzystość</w:t>
      </w:r>
      <w:r w:rsidR="00043012" w:rsidRPr="006B771F">
        <w:rPr>
          <w:noProof/>
        </w:rPr>
        <w:t xml:space="preserve"> i</w:t>
      </w:r>
      <w:r w:rsidR="00043012">
        <w:rPr>
          <w:noProof/>
        </w:rPr>
        <w:t> </w:t>
      </w:r>
      <w:r w:rsidR="00043012" w:rsidRPr="006B771F">
        <w:rPr>
          <w:noProof/>
        </w:rPr>
        <w:t>pew</w:t>
      </w:r>
      <w:r w:rsidRPr="006B771F">
        <w:rPr>
          <w:noProof/>
        </w:rPr>
        <w:t>ność działań, jakie mogą wykonywać funkcjonariusze policji przy podejmowaniu pościgów transgranicznych, obserwacji</w:t>
      </w:r>
      <w:r w:rsidR="00043012" w:rsidRPr="006B771F">
        <w:rPr>
          <w:noProof/>
        </w:rPr>
        <w:t xml:space="preserve"> i</w:t>
      </w:r>
      <w:r w:rsidR="00043012">
        <w:rPr>
          <w:noProof/>
        </w:rPr>
        <w:t> </w:t>
      </w:r>
      <w:r w:rsidR="00043012" w:rsidRPr="006B771F">
        <w:rPr>
          <w:noProof/>
        </w:rPr>
        <w:t>wsp</w:t>
      </w:r>
      <w:r w:rsidRPr="006B771F">
        <w:rPr>
          <w:noProof/>
        </w:rPr>
        <w:t xml:space="preserve">ólnych operacji. </w:t>
      </w:r>
    </w:p>
    <w:p w14:paraId="3E6709F8" w14:textId="2EBC9254" w:rsidR="00AD2D37" w:rsidRPr="006B771F" w:rsidRDefault="00AD2D37" w:rsidP="00AD2D37">
      <w:pPr>
        <w:spacing w:before="0"/>
        <w:rPr>
          <w:noProof/>
        </w:rPr>
      </w:pPr>
      <w:r w:rsidRPr="006B771F">
        <w:rPr>
          <w:noProof/>
        </w:rPr>
        <w:t>Zalecenia dotyczące pościgów transgranicznych odnoszą się nie tylko do przekraczania granic lądowych, lecz również granic wodnych (morze, rzeka, jezioro)</w:t>
      </w:r>
      <w:r w:rsidR="00043012" w:rsidRPr="006B771F">
        <w:rPr>
          <w:noProof/>
        </w:rPr>
        <w:t xml:space="preserve"> i</w:t>
      </w:r>
      <w:r w:rsidR="00043012">
        <w:rPr>
          <w:noProof/>
        </w:rPr>
        <w:t> </w:t>
      </w:r>
      <w:r w:rsidR="00043012" w:rsidRPr="006B771F">
        <w:rPr>
          <w:noProof/>
        </w:rPr>
        <w:t>gra</w:t>
      </w:r>
      <w:r w:rsidRPr="006B771F">
        <w:rPr>
          <w:noProof/>
        </w:rPr>
        <w:t>nic powietrznych. Dotyczą one również korzystania przez zaangażowanych funkcjonariuszy policji</w:t>
      </w:r>
      <w:r w:rsidR="00043012" w:rsidRPr="006B771F">
        <w:rPr>
          <w:noProof/>
        </w:rPr>
        <w:t xml:space="preserve"> z</w:t>
      </w:r>
      <w:r w:rsidR="00043012">
        <w:rPr>
          <w:noProof/>
        </w:rPr>
        <w:t> </w:t>
      </w:r>
      <w:r w:rsidR="00043012" w:rsidRPr="006B771F">
        <w:rPr>
          <w:noProof/>
        </w:rPr>
        <w:t>bro</w:t>
      </w:r>
      <w:r w:rsidRPr="006B771F">
        <w:rPr>
          <w:noProof/>
        </w:rPr>
        <w:t>ni służbowej nie tylko</w:t>
      </w:r>
      <w:r w:rsidR="00043012" w:rsidRPr="006B771F">
        <w:rPr>
          <w:noProof/>
        </w:rPr>
        <w:t xml:space="preserve"> w</w:t>
      </w:r>
      <w:r w:rsidR="00043012">
        <w:rPr>
          <w:noProof/>
        </w:rPr>
        <w:t> </w:t>
      </w:r>
      <w:r w:rsidR="00043012" w:rsidRPr="006B771F">
        <w:rPr>
          <w:noProof/>
        </w:rPr>
        <w:t>prz</w:t>
      </w:r>
      <w:r w:rsidRPr="006B771F">
        <w:rPr>
          <w:noProof/>
        </w:rPr>
        <w:t>ypadkach obrony koniecznej, lecz również</w:t>
      </w:r>
      <w:r w:rsidR="00043012" w:rsidRPr="006B771F">
        <w:rPr>
          <w:noProof/>
        </w:rPr>
        <w:t xml:space="preserve"> w</w:t>
      </w:r>
      <w:r w:rsidR="00043012">
        <w:rPr>
          <w:noProof/>
        </w:rPr>
        <w:t> </w:t>
      </w:r>
      <w:r w:rsidR="00043012" w:rsidRPr="006B771F">
        <w:rPr>
          <w:noProof/>
        </w:rPr>
        <w:t>obr</w:t>
      </w:r>
      <w:r w:rsidRPr="006B771F">
        <w:rPr>
          <w:noProof/>
        </w:rPr>
        <w:t>onie innych osób</w:t>
      </w:r>
      <w:r w:rsidR="00043012" w:rsidRPr="006B771F">
        <w:rPr>
          <w:noProof/>
        </w:rPr>
        <w:t>. W</w:t>
      </w:r>
      <w:r w:rsidR="00043012">
        <w:rPr>
          <w:noProof/>
        </w:rPr>
        <w:t> </w:t>
      </w:r>
      <w:r w:rsidR="00043012" w:rsidRPr="006B771F">
        <w:rPr>
          <w:noProof/>
        </w:rPr>
        <w:t>tyc</w:t>
      </w:r>
      <w:r w:rsidRPr="006B771F">
        <w:rPr>
          <w:noProof/>
        </w:rPr>
        <w:t>h kwestiach zalecenia wykraczają poza postanowienia zawarte</w:t>
      </w:r>
      <w:r w:rsidR="00043012" w:rsidRPr="006B771F">
        <w:rPr>
          <w:noProof/>
        </w:rPr>
        <w:t xml:space="preserve"> w</w:t>
      </w:r>
      <w:r w:rsidR="00043012">
        <w:rPr>
          <w:noProof/>
        </w:rPr>
        <w:t> </w:t>
      </w:r>
      <w:r w:rsidR="00043012" w:rsidRPr="00043012">
        <w:rPr>
          <w:noProof/>
        </w:rPr>
        <w:t>art</w:t>
      </w:r>
      <w:r w:rsidRPr="00043012">
        <w:rPr>
          <w:noProof/>
        </w:rPr>
        <w:t>.</w:t>
      </w:r>
      <w:r w:rsidR="00043012" w:rsidRPr="00043012">
        <w:rPr>
          <w:noProof/>
        </w:rPr>
        <w:t> </w:t>
      </w:r>
      <w:r w:rsidRPr="00043012">
        <w:rPr>
          <w:noProof/>
        </w:rPr>
        <w:t>4</w:t>
      </w:r>
      <w:r w:rsidRPr="006B771F">
        <w:rPr>
          <w:noProof/>
        </w:rPr>
        <w:t xml:space="preserve">1 </w:t>
      </w:r>
      <w:r w:rsidRPr="00043012">
        <w:rPr>
          <w:noProof/>
        </w:rPr>
        <w:t>ust.</w:t>
      </w:r>
      <w:r w:rsidR="00043012" w:rsidRPr="00043012">
        <w:rPr>
          <w:noProof/>
        </w:rPr>
        <w:t> </w:t>
      </w:r>
      <w:r w:rsidRPr="00043012">
        <w:rPr>
          <w:noProof/>
        </w:rPr>
        <w:t>5</w:t>
      </w:r>
      <w:r w:rsidRPr="006B771F">
        <w:rPr>
          <w:noProof/>
        </w:rPr>
        <w:t xml:space="preserve"> </w:t>
      </w:r>
      <w:r w:rsidRPr="00043012">
        <w:rPr>
          <w:noProof/>
        </w:rPr>
        <w:t>lit.</w:t>
      </w:r>
      <w:r w:rsidR="00043012" w:rsidRPr="00043012">
        <w:rPr>
          <w:noProof/>
        </w:rPr>
        <w:t> </w:t>
      </w:r>
      <w:r w:rsidRPr="00043012">
        <w:rPr>
          <w:noProof/>
        </w:rPr>
        <w:t>b)</w:t>
      </w:r>
      <w:r w:rsidRPr="006B771F">
        <w:rPr>
          <w:noProof/>
        </w:rPr>
        <w:t xml:space="preserve"> i e) konwencji</w:t>
      </w:r>
      <w:r w:rsidR="00043012" w:rsidRPr="006B771F">
        <w:rPr>
          <w:noProof/>
        </w:rPr>
        <w:t xml:space="preserve"> z</w:t>
      </w:r>
      <w:r w:rsidR="00043012">
        <w:rPr>
          <w:noProof/>
        </w:rPr>
        <w:t> </w:t>
      </w:r>
      <w:r w:rsidR="00043012" w:rsidRPr="006B771F">
        <w:rPr>
          <w:noProof/>
        </w:rPr>
        <w:t>Sch</w:t>
      </w:r>
      <w:r w:rsidRPr="006B771F">
        <w:rPr>
          <w:noProof/>
        </w:rPr>
        <w:t xml:space="preserve">engen. Art. 41 </w:t>
      </w:r>
      <w:r w:rsidRPr="00043012">
        <w:rPr>
          <w:noProof/>
        </w:rPr>
        <w:t>ust.</w:t>
      </w:r>
      <w:r w:rsidR="00043012" w:rsidRPr="00043012">
        <w:rPr>
          <w:noProof/>
        </w:rPr>
        <w:t> </w:t>
      </w:r>
      <w:r w:rsidRPr="00043012">
        <w:rPr>
          <w:noProof/>
        </w:rPr>
        <w:t>1</w:t>
      </w:r>
      <w:r w:rsidRPr="006B771F">
        <w:rPr>
          <w:noProof/>
        </w:rPr>
        <w:t>0 konwencji</w:t>
      </w:r>
      <w:r w:rsidR="00043012" w:rsidRPr="006B771F">
        <w:rPr>
          <w:noProof/>
        </w:rPr>
        <w:t xml:space="preserve"> z</w:t>
      </w:r>
      <w:r w:rsidR="00043012">
        <w:rPr>
          <w:noProof/>
        </w:rPr>
        <w:t> </w:t>
      </w:r>
      <w:r w:rsidR="00043012" w:rsidRPr="006B771F">
        <w:rPr>
          <w:noProof/>
        </w:rPr>
        <w:t>Sch</w:t>
      </w:r>
      <w:r w:rsidRPr="006B771F">
        <w:rPr>
          <w:noProof/>
        </w:rPr>
        <w:t>engen dopuszcza jednak przyjmowanie dodatkowych postanowień dla stosowania tego artykułu</w:t>
      </w:r>
      <w:r w:rsidR="00043012" w:rsidRPr="006B771F">
        <w:rPr>
          <w:noProof/>
        </w:rPr>
        <w:t>. W</w:t>
      </w:r>
      <w:r w:rsidR="00043012">
        <w:rPr>
          <w:noProof/>
        </w:rPr>
        <w:t> </w:t>
      </w:r>
      <w:r w:rsidR="00043012" w:rsidRPr="006B771F">
        <w:rPr>
          <w:noProof/>
        </w:rPr>
        <w:t>tym</w:t>
      </w:r>
      <w:r w:rsidRPr="006B771F">
        <w:rPr>
          <w:noProof/>
        </w:rPr>
        <w:t xml:space="preserve"> przypadku obejmuje to warunki, na podstawie których można podejmować pościg. </w:t>
      </w:r>
    </w:p>
    <w:p w14:paraId="11F63C20" w14:textId="7233BB86" w:rsidR="00AD2D37" w:rsidRPr="006B771F" w:rsidRDefault="00AD2D37" w:rsidP="00AD2D37">
      <w:pPr>
        <w:spacing w:before="0"/>
        <w:rPr>
          <w:noProof/>
        </w:rPr>
      </w:pPr>
      <w:r w:rsidRPr="006B771F">
        <w:rPr>
          <w:noProof/>
        </w:rPr>
        <w:t xml:space="preserve">W </w:t>
      </w:r>
      <w:r w:rsidRPr="006B771F">
        <w:rPr>
          <w:b/>
          <w:noProof/>
        </w:rPr>
        <w:t>sekcji 3</w:t>
      </w:r>
      <w:r w:rsidRPr="006B771F">
        <w:rPr>
          <w:noProof/>
        </w:rPr>
        <w:t xml:space="preserve"> określono zalecenia mające na celu </w:t>
      </w:r>
      <w:r w:rsidRPr="006B771F">
        <w:rPr>
          <w:b/>
          <w:noProof/>
        </w:rPr>
        <w:t>promowanie transgranicznej współpracy policyjnej jako narzędzia służącego przeciwdziałaniu przemytowi migrantów</w:t>
      </w:r>
      <w:r w:rsidR="00043012" w:rsidRPr="006B771F">
        <w:rPr>
          <w:b/>
          <w:noProof/>
        </w:rPr>
        <w:t xml:space="preserve"> i</w:t>
      </w:r>
      <w:r w:rsidR="00043012">
        <w:rPr>
          <w:b/>
          <w:noProof/>
        </w:rPr>
        <w:t> </w:t>
      </w:r>
      <w:r w:rsidR="00043012" w:rsidRPr="006B771F">
        <w:rPr>
          <w:b/>
          <w:noProof/>
        </w:rPr>
        <w:t>wsp</w:t>
      </w:r>
      <w:r w:rsidRPr="006B771F">
        <w:rPr>
          <w:b/>
          <w:noProof/>
        </w:rPr>
        <w:t>ieraniu zapobiegania</w:t>
      </w:r>
      <w:r w:rsidR="00043012" w:rsidRPr="006B771F">
        <w:rPr>
          <w:b/>
          <w:noProof/>
        </w:rPr>
        <w:t xml:space="preserve"> i</w:t>
      </w:r>
      <w:r w:rsidR="00043012">
        <w:rPr>
          <w:b/>
          <w:noProof/>
        </w:rPr>
        <w:t> </w:t>
      </w:r>
      <w:r w:rsidR="00043012" w:rsidRPr="006B771F">
        <w:rPr>
          <w:b/>
          <w:noProof/>
        </w:rPr>
        <w:t>wyk</w:t>
      </w:r>
      <w:r w:rsidRPr="006B771F">
        <w:rPr>
          <w:b/>
          <w:noProof/>
        </w:rPr>
        <w:t>rywania migracji nieuregulowanej.</w:t>
      </w:r>
      <w:r w:rsidRPr="006B771F">
        <w:rPr>
          <w:noProof/>
        </w:rPr>
        <w:t xml:space="preserve"> Państwa członkowskie powinny wykorzystywać ukierunkowane wspólne operacje na konkretnych wewnątrzunijnych obszarach przygranicznych, opierając się na analizie</w:t>
      </w:r>
      <w:r w:rsidRPr="006B771F">
        <w:rPr>
          <w:rStyle w:val="FootnoteReference0"/>
          <w:noProof/>
        </w:rPr>
        <w:footnoteReference w:id="50"/>
      </w:r>
      <w:r w:rsidRPr="006B771F">
        <w:rPr>
          <w:noProof/>
        </w:rPr>
        <w:t>,</w:t>
      </w:r>
      <w:r w:rsidR="00043012" w:rsidRPr="006B771F">
        <w:rPr>
          <w:noProof/>
        </w:rPr>
        <w:t xml:space="preserve"> w</w:t>
      </w:r>
      <w:r w:rsidR="00043012">
        <w:rPr>
          <w:noProof/>
        </w:rPr>
        <w:t> </w:t>
      </w:r>
      <w:r w:rsidR="00043012" w:rsidRPr="006B771F">
        <w:rPr>
          <w:noProof/>
        </w:rPr>
        <w:t>cel</w:t>
      </w:r>
      <w:r w:rsidRPr="006B771F">
        <w:rPr>
          <w:noProof/>
        </w:rPr>
        <w:t>u przeciwdziałania przemytowi migrantów</w:t>
      </w:r>
      <w:r w:rsidR="00043012" w:rsidRPr="006B771F">
        <w:rPr>
          <w:noProof/>
        </w:rPr>
        <w:t xml:space="preserve"> i</w:t>
      </w:r>
      <w:r w:rsidR="00043012">
        <w:rPr>
          <w:noProof/>
        </w:rPr>
        <w:t> </w:t>
      </w:r>
      <w:r w:rsidR="00043012" w:rsidRPr="006B771F">
        <w:rPr>
          <w:noProof/>
        </w:rPr>
        <w:t>zap</w:t>
      </w:r>
      <w:r w:rsidRPr="006B771F">
        <w:rPr>
          <w:noProof/>
        </w:rPr>
        <w:t>obiegania nielegalnemu pobytowi migrantów oraz ich wykrywania, jak też przeciwdziałania</w:t>
      </w:r>
      <w:r w:rsidR="00043012" w:rsidRPr="006B771F">
        <w:rPr>
          <w:noProof/>
        </w:rPr>
        <w:t xml:space="preserve"> i</w:t>
      </w:r>
      <w:r w:rsidR="00043012">
        <w:rPr>
          <w:noProof/>
        </w:rPr>
        <w:t> </w:t>
      </w:r>
      <w:r w:rsidR="00043012" w:rsidRPr="006B771F">
        <w:rPr>
          <w:noProof/>
        </w:rPr>
        <w:t>wyk</w:t>
      </w:r>
      <w:r w:rsidRPr="006B771F">
        <w:rPr>
          <w:noProof/>
        </w:rPr>
        <w:t>rywania przestępczości transgranicznej związanej</w:t>
      </w:r>
      <w:r w:rsidR="00043012" w:rsidRPr="006B771F">
        <w:rPr>
          <w:noProof/>
        </w:rPr>
        <w:t xml:space="preserve"> z</w:t>
      </w:r>
      <w:r w:rsidR="00043012">
        <w:rPr>
          <w:noProof/>
        </w:rPr>
        <w:t> </w:t>
      </w:r>
      <w:r w:rsidR="00043012" w:rsidRPr="006B771F">
        <w:rPr>
          <w:noProof/>
        </w:rPr>
        <w:t>mig</w:t>
      </w:r>
      <w:r w:rsidRPr="006B771F">
        <w:rPr>
          <w:noProof/>
        </w:rPr>
        <w:t>racją nieuregulowaną. Państwa członkowskie powinny również zapewnić koordynację na szczeblu krajowym między właściwymi organami zaangażowanymi we wspólne operacje</w:t>
      </w:r>
      <w:r w:rsidR="00043012" w:rsidRPr="006B771F">
        <w:rPr>
          <w:noProof/>
        </w:rPr>
        <w:t xml:space="preserve"> i</w:t>
      </w:r>
      <w:r w:rsidR="00043012">
        <w:rPr>
          <w:noProof/>
        </w:rPr>
        <w:t> </w:t>
      </w:r>
      <w:r w:rsidR="00043012" w:rsidRPr="006B771F">
        <w:rPr>
          <w:noProof/>
        </w:rPr>
        <w:t>org</w:t>
      </w:r>
      <w:r w:rsidRPr="006B771F">
        <w:rPr>
          <w:noProof/>
        </w:rPr>
        <w:t>anami właściwymi do dalszego postępowania</w:t>
      </w:r>
      <w:r w:rsidR="00043012" w:rsidRPr="006B771F">
        <w:rPr>
          <w:noProof/>
        </w:rPr>
        <w:t xml:space="preserve"> z</w:t>
      </w:r>
      <w:r w:rsidR="00043012">
        <w:rPr>
          <w:noProof/>
        </w:rPr>
        <w:t> </w:t>
      </w:r>
      <w:r w:rsidR="00043012" w:rsidRPr="006B771F">
        <w:rPr>
          <w:noProof/>
        </w:rPr>
        <w:t>oby</w:t>
      </w:r>
      <w:r w:rsidRPr="006B771F">
        <w:rPr>
          <w:noProof/>
        </w:rPr>
        <w:t>watelami państw trzecich zatrzymanymi</w:t>
      </w:r>
      <w:r w:rsidR="00043012" w:rsidRPr="006B771F">
        <w:rPr>
          <w:noProof/>
        </w:rPr>
        <w:t xml:space="preserve"> z</w:t>
      </w:r>
      <w:r w:rsidR="00043012">
        <w:rPr>
          <w:noProof/>
        </w:rPr>
        <w:t> </w:t>
      </w:r>
      <w:r w:rsidR="00043012" w:rsidRPr="006B771F">
        <w:rPr>
          <w:noProof/>
        </w:rPr>
        <w:t>pow</w:t>
      </w:r>
      <w:r w:rsidRPr="006B771F">
        <w:rPr>
          <w:noProof/>
        </w:rPr>
        <w:t>odu nielegalnego pobytu. Powinny zapewniać tę koordynację, stosując</w:t>
      </w:r>
      <w:r w:rsidR="00043012" w:rsidRPr="006B771F">
        <w:rPr>
          <w:noProof/>
        </w:rPr>
        <w:t xml:space="preserve"> w</w:t>
      </w:r>
      <w:r w:rsidR="00043012">
        <w:rPr>
          <w:noProof/>
        </w:rPr>
        <w:t> </w:t>
      </w:r>
      <w:r w:rsidR="00043012" w:rsidRPr="006B771F">
        <w:rPr>
          <w:noProof/>
        </w:rPr>
        <w:t>szc</w:t>
      </w:r>
      <w:r w:rsidRPr="006B771F">
        <w:rPr>
          <w:noProof/>
        </w:rPr>
        <w:t>zególności mechanizmy,</w:t>
      </w:r>
      <w:r w:rsidR="00043012" w:rsidRPr="006B771F">
        <w:rPr>
          <w:noProof/>
        </w:rPr>
        <w:t xml:space="preserve"> o</w:t>
      </w:r>
      <w:r w:rsidR="00043012">
        <w:rPr>
          <w:noProof/>
        </w:rPr>
        <w:t> </w:t>
      </w:r>
      <w:r w:rsidR="00043012" w:rsidRPr="006B771F">
        <w:rPr>
          <w:noProof/>
        </w:rPr>
        <w:t>któ</w:t>
      </w:r>
      <w:r w:rsidRPr="006B771F">
        <w:rPr>
          <w:noProof/>
        </w:rPr>
        <w:t>rych mowa</w:t>
      </w:r>
      <w:r w:rsidR="00043012" w:rsidRPr="006B771F">
        <w:rPr>
          <w:noProof/>
        </w:rPr>
        <w:t xml:space="preserve"> w</w:t>
      </w:r>
      <w:r w:rsidR="00043012">
        <w:rPr>
          <w:noProof/>
        </w:rPr>
        <w:t> </w:t>
      </w:r>
      <w:r w:rsidR="00043012" w:rsidRPr="00043012">
        <w:rPr>
          <w:noProof/>
        </w:rPr>
        <w:t>art</w:t>
      </w:r>
      <w:r w:rsidRPr="00043012">
        <w:rPr>
          <w:noProof/>
        </w:rPr>
        <w:t>.</w:t>
      </w:r>
      <w:r w:rsidR="00043012" w:rsidRPr="00043012">
        <w:rPr>
          <w:noProof/>
        </w:rPr>
        <w:t> </w:t>
      </w:r>
      <w:r w:rsidRPr="00043012">
        <w:rPr>
          <w:noProof/>
        </w:rPr>
        <w:t>6</w:t>
      </w:r>
      <w:r w:rsidRPr="006B771F">
        <w:rPr>
          <w:noProof/>
        </w:rPr>
        <w:t xml:space="preserve"> </w:t>
      </w:r>
      <w:r w:rsidRPr="00043012">
        <w:rPr>
          <w:noProof/>
        </w:rPr>
        <w:t>ust.</w:t>
      </w:r>
      <w:r w:rsidR="00043012" w:rsidRPr="00043012">
        <w:rPr>
          <w:noProof/>
        </w:rPr>
        <w:t> </w:t>
      </w:r>
      <w:r w:rsidRPr="00043012">
        <w:rPr>
          <w:noProof/>
        </w:rPr>
        <w:t>3</w:t>
      </w:r>
      <w:r w:rsidRPr="006B771F">
        <w:rPr>
          <w:noProof/>
        </w:rPr>
        <w:t xml:space="preserve"> dyrektywy 2008/115/WE</w:t>
      </w:r>
      <w:r w:rsidRPr="006B771F">
        <w:rPr>
          <w:rStyle w:val="FootnoteReference0"/>
          <w:noProof/>
        </w:rPr>
        <w:footnoteReference w:id="51"/>
      </w:r>
      <w:r w:rsidRPr="006B771F">
        <w:rPr>
          <w:noProof/>
        </w:rPr>
        <w:t xml:space="preserve">. </w:t>
      </w:r>
    </w:p>
    <w:p w14:paraId="2E6D409D" w14:textId="138E3CF3" w:rsidR="00AD2D37" w:rsidRPr="006B771F" w:rsidRDefault="00AD2D37" w:rsidP="00AD2D37">
      <w:pPr>
        <w:spacing w:before="0"/>
        <w:rPr>
          <w:b/>
          <w:noProof/>
        </w:rPr>
      </w:pPr>
      <w:r w:rsidRPr="006B771F">
        <w:rPr>
          <w:noProof/>
        </w:rPr>
        <w:t xml:space="preserve">W </w:t>
      </w:r>
      <w:r w:rsidRPr="006B771F">
        <w:rPr>
          <w:b/>
          <w:noProof/>
        </w:rPr>
        <w:t>sekcji 4</w:t>
      </w:r>
      <w:r w:rsidRPr="006B771F">
        <w:rPr>
          <w:noProof/>
        </w:rPr>
        <w:t xml:space="preserve"> określono zalecenia mające na celu </w:t>
      </w:r>
      <w:r w:rsidRPr="006B771F">
        <w:rPr>
          <w:b/>
          <w:noProof/>
        </w:rPr>
        <w:t>wzmocnienie transgranicznej współpracy policyjnej</w:t>
      </w:r>
      <w:r w:rsidR="00043012" w:rsidRPr="006B771F">
        <w:rPr>
          <w:b/>
          <w:noProof/>
        </w:rPr>
        <w:t xml:space="preserve"> w</w:t>
      </w:r>
      <w:r w:rsidR="00043012">
        <w:rPr>
          <w:b/>
          <w:noProof/>
        </w:rPr>
        <w:t> </w:t>
      </w:r>
      <w:r w:rsidR="00043012" w:rsidRPr="006B771F">
        <w:rPr>
          <w:b/>
          <w:noProof/>
        </w:rPr>
        <w:t>cel</w:t>
      </w:r>
      <w:r w:rsidRPr="006B771F">
        <w:rPr>
          <w:b/>
          <w:noProof/>
        </w:rPr>
        <w:t>u przeciwdziałania handlowi ludźmi oraz identyfikacji</w:t>
      </w:r>
      <w:r w:rsidR="00043012" w:rsidRPr="006B771F">
        <w:rPr>
          <w:b/>
          <w:noProof/>
        </w:rPr>
        <w:t xml:space="preserve"> i</w:t>
      </w:r>
      <w:r w:rsidR="00043012">
        <w:rPr>
          <w:b/>
          <w:noProof/>
        </w:rPr>
        <w:t> </w:t>
      </w:r>
      <w:r w:rsidR="00043012" w:rsidRPr="006B771F">
        <w:rPr>
          <w:b/>
          <w:noProof/>
        </w:rPr>
        <w:t>och</w:t>
      </w:r>
      <w:r w:rsidRPr="006B771F">
        <w:rPr>
          <w:b/>
          <w:noProof/>
        </w:rPr>
        <w:t>rony ofiar</w:t>
      </w:r>
      <w:r w:rsidRPr="006B771F">
        <w:rPr>
          <w:noProof/>
        </w:rPr>
        <w:t>. Państwa członkowskie powinny wykorzystywać wspólne operacje do przeciwdziałania handlowi ludźmi oraz do identyfikacji ofiar, zapewniania im bezpieczeństwa</w:t>
      </w:r>
      <w:r w:rsidR="00043012" w:rsidRPr="006B771F">
        <w:rPr>
          <w:noProof/>
        </w:rPr>
        <w:t xml:space="preserve"> i</w:t>
      </w:r>
      <w:r w:rsidR="00043012">
        <w:rPr>
          <w:noProof/>
        </w:rPr>
        <w:t> </w:t>
      </w:r>
      <w:r w:rsidR="00043012" w:rsidRPr="006B771F">
        <w:rPr>
          <w:noProof/>
        </w:rPr>
        <w:t>wsp</w:t>
      </w:r>
      <w:r w:rsidRPr="006B771F">
        <w:rPr>
          <w:noProof/>
        </w:rPr>
        <w:t>arcia</w:t>
      </w:r>
      <w:r w:rsidR="00043012" w:rsidRPr="006B771F">
        <w:rPr>
          <w:noProof/>
        </w:rPr>
        <w:t>. W</w:t>
      </w:r>
      <w:r w:rsidR="00043012">
        <w:rPr>
          <w:noProof/>
        </w:rPr>
        <w:t> </w:t>
      </w:r>
      <w:r w:rsidR="00043012" w:rsidRPr="006B771F">
        <w:rPr>
          <w:noProof/>
        </w:rPr>
        <w:t>ram</w:t>
      </w:r>
      <w:r w:rsidRPr="006B771F">
        <w:rPr>
          <w:noProof/>
        </w:rPr>
        <w:t>ach wspólnych operacji mogą być wykrywane</w:t>
      </w:r>
      <w:r w:rsidR="00043012" w:rsidRPr="006B771F">
        <w:rPr>
          <w:noProof/>
        </w:rPr>
        <w:t xml:space="preserve"> i</w:t>
      </w:r>
      <w:r w:rsidR="00043012">
        <w:rPr>
          <w:noProof/>
        </w:rPr>
        <w:t> </w:t>
      </w:r>
      <w:r w:rsidR="00043012" w:rsidRPr="006B771F">
        <w:rPr>
          <w:noProof/>
        </w:rPr>
        <w:t>ide</w:t>
      </w:r>
      <w:r w:rsidRPr="006B771F">
        <w:rPr>
          <w:noProof/>
        </w:rPr>
        <w:t>ntyfikowane również potencjalne ofiary handlu ludźmi. Takie osoby należy niezwłocznie kierować do służb udzielających pomocy, wsparcia</w:t>
      </w:r>
      <w:r w:rsidR="00043012" w:rsidRPr="006B771F">
        <w:rPr>
          <w:noProof/>
        </w:rPr>
        <w:t xml:space="preserve"> i</w:t>
      </w:r>
      <w:r w:rsidR="00043012">
        <w:rPr>
          <w:noProof/>
        </w:rPr>
        <w:t> </w:t>
      </w:r>
      <w:r w:rsidR="00043012" w:rsidRPr="006B771F">
        <w:rPr>
          <w:noProof/>
        </w:rPr>
        <w:t>och</w:t>
      </w:r>
      <w:r w:rsidRPr="006B771F">
        <w:rPr>
          <w:noProof/>
        </w:rPr>
        <w:t>rony,</w:t>
      </w:r>
      <w:r w:rsidR="00043012" w:rsidRPr="006B771F">
        <w:rPr>
          <w:noProof/>
        </w:rPr>
        <w:t xml:space="preserve"> w</w:t>
      </w:r>
      <w:r w:rsidR="00043012">
        <w:rPr>
          <w:noProof/>
        </w:rPr>
        <w:t> </w:t>
      </w:r>
      <w:r w:rsidR="00043012" w:rsidRPr="006B771F">
        <w:rPr>
          <w:noProof/>
        </w:rPr>
        <w:t>sto</w:t>
      </w:r>
      <w:r w:rsidRPr="006B771F">
        <w:rPr>
          <w:noProof/>
        </w:rPr>
        <w:t>sownych przypadkach działając we współpracy</w:t>
      </w:r>
      <w:r w:rsidR="00043012" w:rsidRPr="006B771F">
        <w:rPr>
          <w:noProof/>
        </w:rPr>
        <w:t xml:space="preserve"> z</w:t>
      </w:r>
      <w:r w:rsidR="00043012">
        <w:rPr>
          <w:noProof/>
        </w:rPr>
        <w:t> </w:t>
      </w:r>
      <w:r w:rsidR="00043012" w:rsidRPr="006B771F">
        <w:rPr>
          <w:noProof/>
        </w:rPr>
        <w:t>org</w:t>
      </w:r>
      <w:r w:rsidRPr="006B771F">
        <w:rPr>
          <w:noProof/>
        </w:rPr>
        <w:t>anizacjami społeczeństwa obywatelskiego. Wczesna identyfikacja ofiar jest również kluczowa, aby umożliwić organom policji skuteczniejsze prowadzenie dochodzeń</w:t>
      </w:r>
      <w:r w:rsidR="00043012" w:rsidRPr="006B771F">
        <w:rPr>
          <w:noProof/>
        </w:rPr>
        <w:t xml:space="preserve"> i</w:t>
      </w:r>
      <w:r w:rsidR="00043012">
        <w:rPr>
          <w:noProof/>
        </w:rPr>
        <w:t> </w:t>
      </w:r>
      <w:r w:rsidR="00043012" w:rsidRPr="006B771F">
        <w:rPr>
          <w:noProof/>
        </w:rPr>
        <w:t>kar</w:t>
      </w:r>
      <w:r w:rsidRPr="006B771F">
        <w:rPr>
          <w:noProof/>
        </w:rPr>
        <w:t>anie handlarzy ludźmi</w:t>
      </w:r>
      <w:r w:rsidR="00043012" w:rsidRPr="006B771F">
        <w:rPr>
          <w:noProof/>
        </w:rPr>
        <w:t>. W</w:t>
      </w:r>
      <w:r w:rsidR="00043012">
        <w:rPr>
          <w:noProof/>
        </w:rPr>
        <w:t> </w:t>
      </w:r>
      <w:r w:rsidR="00043012" w:rsidRPr="006B771F">
        <w:rPr>
          <w:noProof/>
        </w:rPr>
        <w:t>tym</w:t>
      </w:r>
      <w:r w:rsidRPr="006B771F">
        <w:rPr>
          <w:noProof/>
        </w:rPr>
        <w:t xml:space="preserve"> kontekście kluczowe jest szkolenie przedstawicieli organów ścigania</w:t>
      </w:r>
      <w:r w:rsidR="00043012" w:rsidRPr="006B771F">
        <w:rPr>
          <w:noProof/>
        </w:rPr>
        <w:t xml:space="preserve"> w</w:t>
      </w:r>
      <w:r w:rsidR="00043012">
        <w:rPr>
          <w:noProof/>
        </w:rPr>
        <w:t> </w:t>
      </w:r>
      <w:r w:rsidR="00043012" w:rsidRPr="006B771F">
        <w:rPr>
          <w:noProof/>
        </w:rPr>
        <w:t>zak</w:t>
      </w:r>
      <w:r w:rsidRPr="006B771F">
        <w:rPr>
          <w:noProof/>
        </w:rPr>
        <w:t>resie wykrywania przypadków handlu ludźmi.</w:t>
      </w:r>
    </w:p>
    <w:p w14:paraId="30548839" w14:textId="19933C49" w:rsidR="00AD2D37" w:rsidRPr="006B771F" w:rsidRDefault="00AD2D37" w:rsidP="00AD2D37">
      <w:pPr>
        <w:spacing w:before="0" w:after="200"/>
        <w:rPr>
          <w:noProof/>
        </w:rPr>
      </w:pPr>
      <w:r w:rsidRPr="006B771F">
        <w:rPr>
          <w:noProof/>
        </w:rPr>
        <w:t xml:space="preserve">W </w:t>
      </w:r>
      <w:r w:rsidRPr="006B771F">
        <w:rPr>
          <w:b/>
          <w:noProof/>
        </w:rPr>
        <w:t>sekcji 5</w:t>
      </w:r>
      <w:r w:rsidRPr="006B771F">
        <w:rPr>
          <w:noProof/>
        </w:rPr>
        <w:t xml:space="preserve"> określono zalecenia mające na celu </w:t>
      </w:r>
      <w:r w:rsidRPr="006B771F">
        <w:rPr>
          <w:b/>
          <w:noProof/>
        </w:rPr>
        <w:t>przekształcenie istniejących centrów współpracy policyjno-celnej na wewnątrzunijnych obszarach przygranicznych we wspólne posterunki policyjno-celne</w:t>
      </w:r>
      <w:r w:rsidRPr="006B771F">
        <w:rPr>
          <w:noProof/>
        </w:rPr>
        <w:t>. Oprócz obecnych zadań dotyczących wymiany regionalnych informacji transgranicznych wspólne posterunki policyjno-celne powinny rozwinąć zdolność do ustanawiania, wspierania, koordynowania</w:t>
      </w:r>
      <w:r w:rsidR="00043012" w:rsidRPr="006B771F">
        <w:rPr>
          <w:noProof/>
        </w:rPr>
        <w:t xml:space="preserve"> i</w:t>
      </w:r>
      <w:r w:rsidR="00043012">
        <w:rPr>
          <w:noProof/>
        </w:rPr>
        <w:t> </w:t>
      </w:r>
      <w:r w:rsidR="00043012" w:rsidRPr="006B771F">
        <w:rPr>
          <w:noProof/>
        </w:rPr>
        <w:t>pro</w:t>
      </w:r>
      <w:r w:rsidRPr="006B771F">
        <w:rPr>
          <w:noProof/>
        </w:rPr>
        <w:t>wadzenia na obszarach przygranicznych stałych form współpracy operacyjnej, takich jak wspólne patrole</w:t>
      </w:r>
      <w:r w:rsidR="00043012" w:rsidRPr="006B771F">
        <w:rPr>
          <w:noProof/>
        </w:rPr>
        <w:t xml:space="preserve"> i</w:t>
      </w:r>
      <w:r w:rsidR="00043012">
        <w:rPr>
          <w:noProof/>
        </w:rPr>
        <w:t> </w:t>
      </w:r>
      <w:r w:rsidR="00043012" w:rsidRPr="006B771F">
        <w:rPr>
          <w:noProof/>
        </w:rPr>
        <w:t>inn</w:t>
      </w:r>
      <w:r w:rsidRPr="006B771F">
        <w:rPr>
          <w:noProof/>
        </w:rPr>
        <w:t>e wspólne operacje. Powinny one sporządzać wspólne analizy przestępstw transgranicznych charakterystycznych dla ich obszaru przygranicznego oraz udostępniać je za pośrednictwem krajowego pojedynczego punktu kontaktowego wszystkim państwom członkowskim oraz właściwym agencjom UE, takim jak Europol. Takie ukierunkowane wspólne operacje byłyby regulowane przepisami dotyczącymi wykonywania uprawnień policyjnych na wewnątrzunijnych obszarach przygranicznych,</w:t>
      </w:r>
      <w:r w:rsidR="00043012" w:rsidRPr="006B771F">
        <w:rPr>
          <w:noProof/>
        </w:rPr>
        <w:t xml:space="preserve"> w</w:t>
      </w:r>
      <w:r w:rsidR="00043012">
        <w:rPr>
          <w:noProof/>
        </w:rPr>
        <w:t> </w:t>
      </w:r>
      <w:r w:rsidR="00043012" w:rsidRPr="006B771F">
        <w:rPr>
          <w:noProof/>
        </w:rPr>
        <w:t>szc</w:t>
      </w:r>
      <w:r w:rsidRPr="006B771F">
        <w:rPr>
          <w:noProof/>
        </w:rPr>
        <w:t>zególności przepisami określonymi</w:t>
      </w:r>
      <w:r w:rsidR="00043012" w:rsidRPr="006B771F">
        <w:rPr>
          <w:noProof/>
        </w:rPr>
        <w:t xml:space="preserve"> w</w:t>
      </w:r>
      <w:r w:rsidR="00043012">
        <w:rPr>
          <w:noProof/>
        </w:rPr>
        <w:t> </w:t>
      </w:r>
      <w:r w:rsidR="00043012" w:rsidRPr="00043012">
        <w:rPr>
          <w:noProof/>
        </w:rPr>
        <w:t>art</w:t>
      </w:r>
      <w:r w:rsidRPr="00043012">
        <w:rPr>
          <w:noProof/>
        </w:rPr>
        <w:t>.</w:t>
      </w:r>
      <w:r w:rsidR="00043012" w:rsidRPr="00043012">
        <w:rPr>
          <w:noProof/>
        </w:rPr>
        <w:t> </w:t>
      </w:r>
      <w:r w:rsidRPr="00043012">
        <w:rPr>
          <w:noProof/>
        </w:rPr>
        <w:t>2</w:t>
      </w:r>
      <w:r w:rsidRPr="006B771F">
        <w:rPr>
          <w:noProof/>
        </w:rPr>
        <w:t>3 kodeksu granicznego Schengen. Ma to na celu zapewnienie, aby operacje takie nie miały skutku równoważnego kontrolom granicznym. Państwa członkowskie powinny również rozwinąć zdolność do wspólnego wspierania postępowań przygotowawczych dotyczących przestępstw transgranicznych występujących</w:t>
      </w:r>
      <w:r w:rsidR="00043012" w:rsidRPr="006B771F">
        <w:rPr>
          <w:noProof/>
        </w:rPr>
        <w:t xml:space="preserve"> w</w:t>
      </w:r>
      <w:r w:rsidR="00043012">
        <w:rPr>
          <w:noProof/>
        </w:rPr>
        <w:t> </w:t>
      </w:r>
      <w:r w:rsidR="00043012" w:rsidRPr="006B771F">
        <w:rPr>
          <w:noProof/>
        </w:rPr>
        <w:t>ich</w:t>
      </w:r>
      <w:r w:rsidRPr="006B771F">
        <w:rPr>
          <w:noProof/>
        </w:rPr>
        <w:t xml:space="preserve"> regionie zgodnie</w:t>
      </w:r>
      <w:r w:rsidR="00043012" w:rsidRPr="006B771F">
        <w:rPr>
          <w:noProof/>
        </w:rPr>
        <w:t xml:space="preserve"> z</w:t>
      </w:r>
      <w:r w:rsidR="00043012">
        <w:rPr>
          <w:noProof/>
        </w:rPr>
        <w:t> </w:t>
      </w:r>
      <w:r w:rsidR="00043012" w:rsidRPr="006B771F">
        <w:rPr>
          <w:noProof/>
        </w:rPr>
        <w:t>obo</w:t>
      </w:r>
      <w:r w:rsidRPr="006B771F">
        <w:rPr>
          <w:noProof/>
        </w:rPr>
        <w:t>wiązującymi przepisami i na podstawie odpowiednich upoważnień prawnych wymaganych</w:t>
      </w:r>
      <w:r w:rsidR="00043012" w:rsidRPr="006B771F">
        <w:rPr>
          <w:noProof/>
        </w:rPr>
        <w:t xml:space="preserve"> i</w:t>
      </w:r>
      <w:r w:rsidR="00043012">
        <w:rPr>
          <w:noProof/>
        </w:rPr>
        <w:t> </w:t>
      </w:r>
      <w:r w:rsidR="00043012" w:rsidRPr="006B771F">
        <w:rPr>
          <w:noProof/>
        </w:rPr>
        <w:t>wyd</w:t>
      </w:r>
      <w:r w:rsidRPr="006B771F">
        <w:rPr>
          <w:noProof/>
        </w:rPr>
        <w:t>awanych na podstawie tych przepisów.</w:t>
      </w:r>
    </w:p>
    <w:p w14:paraId="35FACD99" w14:textId="47BE2674" w:rsidR="00AD2D37" w:rsidRPr="006B771F" w:rsidRDefault="00AD2D37" w:rsidP="00AD2D37">
      <w:pPr>
        <w:spacing w:before="0" w:after="200"/>
        <w:rPr>
          <w:noProof/>
        </w:rPr>
      </w:pPr>
      <w:r w:rsidRPr="006B771F">
        <w:rPr>
          <w:noProof/>
        </w:rPr>
        <w:t>W</w:t>
      </w:r>
      <w:r w:rsidRPr="006B771F">
        <w:rPr>
          <w:b/>
          <w:noProof/>
        </w:rPr>
        <w:t xml:space="preserve"> sekcji 6 </w:t>
      </w:r>
      <w:r w:rsidRPr="006B771F">
        <w:rPr>
          <w:noProof/>
        </w:rPr>
        <w:t xml:space="preserve">określono zalecenia mające na celu </w:t>
      </w:r>
      <w:r w:rsidRPr="006B771F">
        <w:rPr>
          <w:b/>
          <w:noProof/>
        </w:rPr>
        <w:t>lepsze planowanie, koordynowanie</w:t>
      </w:r>
      <w:r w:rsidR="00043012" w:rsidRPr="006B771F">
        <w:rPr>
          <w:b/>
          <w:noProof/>
        </w:rPr>
        <w:t xml:space="preserve"> i</w:t>
      </w:r>
      <w:r w:rsidR="00043012">
        <w:rPr>
          <w:b/>
          <w:noProof/>
        </w:rPr>
        <w:t> </w:t>
      </w:r>
      <w:r w:rsidR="00043012" w:rsidRPr="006B771F">
        <w:rPr>
          <w:b/>
          <w:noProof/>
        </w:rPr>
        <w:t>wsp</w:t>
      </w:r>
      <w:r w:rsidRPr="006B771F">
        <w:rPr>
          <w:b/>
          <w:noProof/>
        </w:rPr>
        <w:t>ieranie wspólnych operacji w UE</w:t>
      </w:r>
      <w:r w:rsidRPr="006B771F">
        <w:rPr>
          <w:noProof/>
        </w:rPr>
        <w:t>. Państwa członkowskie</w:t>
      </w:r>
      <w:r w:rsidR="00043012" w:rsidRPr="006B771F">
        <w:rPr>
          <w:noProof/>
        </w:rPr>
        <w:t xml:space="preserve"> i</w:t>
      </w:r>
      <w:r w:rsidR="00043012">
        <w:rPr>
          <w:noProof/>
        </w:rPr>
        <w:t> </w:t>
      </w:r>
      <w:r w:rsidR="00043012" w:rsidRPr="006B771F">
        <w:rPr>
          <w:noProof/>
        </w:rPr>
        <w:t>Kom</w:t>
      </w:r>
      <w:r w:rsidRPr="006B771F">
        <w:rPr>
          <w:noProof/>
        </w:rPr>
        <w:t>isja powinny utworzyć platformę koordynacyjną, za pomocą której państwa członkowskie będą mogły wymieniać się informacjami dotyczącymi swoich potrzeb</w:t>
      </w:r>
      <w:r w:rsidR="00043012" w:rsidRPr="006B771F">
        <w:rPr>
          <w:noProof/>
        </w:rPr>
        <w:t xml:space="preserve"> i</w:t>
      </w:r>
      <w:r w:rsidR="00043012">
        <w:rPr>
          <w:noProof/>
        </w:rPr>
        <w:t> </w:t>
      </w:r>
      <w:r w:rsidR="00043012" w:rsidRPr="006B771F">
        <w:rPr>
          <w:noProof/>
        </w:rPr>
        <w:t>pri</w:t>
      </w:r>
      <w:r w:rsidRPr="006B771F">
        <w:rPr>
          <w:noProof/>
        </w:rPr>
        <w:t>orytetów. Ma to na celu lepsze ukierunkowanie wspólnych operacji, szczególnie podczas wydarzeń</w:t>
      </w:r>
      <w:r w:rsidR="00043012" w:rsidRPr="006B771F">
        <w:rPr>
          <w:noProof/>
        </w:rPr>
        <w:t xml:space="preserve"> z</w:t>
      </w:r>
      <w:r w:rsidR="00043012">
        <w:rPr>
          <w:noProof/>
        </w:rPr>
        <w:t> </w:t>
      </w:r>
      <w:r w:rsidR="00043012" w:rsidRPr="006B771F">
        <w:rPr>
          <w:noProof/>
        </w:rPr>
        <w:t>udz</w:t>
      </w:r>
      <w:r w:rsidRPr="006B771F">
        <w:rPr>
          <w:noProof/>
        </w:rPr>
        <w:t>iałem dużej liczby uczestników (np. dużych imprez sportowych, szczytów międzynarodowych),</w:t>
      </w:r>
      <w:r w:rsidR="00043012" w:rsidRPr="006B771F">
        <w:rPr>
          <w:noProof/>
        </w:rPr>
        <w:t xml:space="preserve"> w</w:t>
      </w:r>
      <w:r w:rsidR="00043012">
        <w:rPr>
          <w:noProof/>
        </w:rPr>
        <w:t> </w:t>
      </w:r>
      <w:r w:rsidR="00043012" w:rsidRPr="006B771F">
        <w:rPr>
          <w:noProof/>
        </w:rPr>
        <w:t>okr</w:t>
      </w:r>
      <w:r w:rsidRPr="006B771F">
        <w:rPr>
          <w:noProof/>
        </w:rPr>
        <w:t>eślonym czasie (np.</w:t>
      </w:r>
      <w:r w:rsidR="00043012" w:rsidRPr="006B771F">
        <w:rPr>
          <w:noProof/>
        </w:rPr>
        <w:t xml:space="preserve"> w</w:t>
      </w:r>
      <w:r w:rsidR="00043012">
        <w:rPr>
          <w:noProof/>
        </w:rPr>
        <w:t> </w:t>
      </w:r>
      <w:r w:rsidR="00043012" w:rsidRPr="006B771F">
        <w:rPr>
          <w:noProof/>
        </w:rPr>
        <w:t>sez</w:t>
      </w:r>
      <w:r w:rsidRPr="006B771F">
        <w:rPr>
          <w:noProof/>
        </w:rPr>
        <w:t>onie urlopowym) lub aby pomóc</w:t>
      </w:r>
      <w:r w:rsidR="00043012" w:rsidRPr="006B771F">
        <w:rPr>
          <w:noProof/>
        </w:rPr>
        <w:t xml:space="preserve"> w</w:t>
      </w:r>
      <w:r w:rsidR="00043012">
        <w:rPr>
          <w:noProof/>
        </w:rPr>
        <w:t> </w:t>
      </w:r>
      <w:r w:rsidR="00043012" w:rsidRPr="006B771F">
        <w:rPr>
          <w:noProof/>
        </w:rPr>
        <w:t>zwa</w:t>
      </w:r>
      <w:r w:rsidRPr="006B771F">
        <w:rPr>
          <w:noProof/>
        </w:rPr>
        <w:t>lczaniu konkretnych fal przestępstw (np. terroryzmu, nielegalnego obrotu środkami odurzającymi, ustawiania wyników zawodów sportowych, nielegalnego obrotu towarami podrobionymi, oszustw związanych</w:t>
      </w:r>
      <w:r w:rsidR="00043012" w:rsidRPr="006B771F">
        <w:rPr>
          <w:noProof/>
        </w:rPr>
        <w:t xml:space="preserve"> z</w:t>
      </w:r>
      <w:r w:rsidR="00043012">
        <w:rPr>
          <w:noProof/>
        </w:rPr>
        <w:t> </w:t>
      </w:r>
      <w:r w:rsidR="00043012" w:rsidRPr="006B771F">
        <w:rPr>
          <w:noProof/>
        </w:rPr>
        <w:t>kar</w:t>
      </w:r>
      <w:r w:rsidRPr="006B771F">
        <w:rPr>
          <w:noProof/>
        </w:rPr>
        <w:t>tami kredytowymi, kradzieży kieszonkowych</w:t>
      </w:r>
      <w:r w:rsidR="00043012" w:rsidRPr="006B771F">
        <w:rPr>
          <w:noProof/>
        </w:rPr>
        <w:t xml:space="preserve"> i</w:t>
      </w:r>
      <w:r w:rsidR="00043012">
        <w:rPr>
          <w:noProof/>
        </w:rPr>
        <w:t> </w:t>
      </w:r>
      <w:r w:rsidR="00043012" w:rsidRPr="006B771F">
        <w:rPr>
          <w:noProof/>
        </w:rPr>
        <w:t>inn</w:t>
      </w:r>
      <w:r w:rsidRPr="006B771F">
        <w:rPr>
          <w:noProof/>
        </w:rPr>
        <w:t>ych przestępstw przeciwko mieniu) popełnianych</w:t>
      </w:r>
      <w:r w:rsidR="00043012" w:rsidRPr="006B771F">
        <w:rPr>
          <w:noProof/>
        </w:rPr>
        <w:t xml:space="preserve"> w</w:t>
      </w:r>
      <w:r w:rsidR="00043012">
        <w:rPr>
          <w:noProof/>
        </w:rPr>
        <w:t> </w:t>
      </w:r>
      <w:r w:rsidR="00043012" w:rsidRPr="006B771F">
        <w:rPr>
          <w:noProof/>
        </w:rPr>
        <w:t>szc</w:t>
      </w:r>
      <w:r w:rsidRPr="006B771F">
        <w:rPr>
          <w:noProof/>
        </w:rPr>
        <w:t>zególności przez grupy prowadzące poważną</w:t>
      </w:r>
      <w:r w:rsidR="00043012" w:rsidRPr="006B771F">
        <w:rPr>
          <w:noProof/>
        </w:rPr>
        <w:t xml:space="preserve"> i</w:t>
      </w:r>
      <w:r w:rsidR="00043012">
        <w:rPr>
          <w:noProof/>
        </w:rPr>
        <w:t> </w:t>
      </w:r>
      <w:r w:rsidR="00043012" w:rsidRPr="006B771F">
        <w:rPr>
          <w:noProof/>
        </w:rPr>
        <w:t>zor</w:t>
      </w:r>
      <w:r w:rsidRPr="006B771F">
        <w:rPr>
          <w:noProof/>
        </w:rPr>
        <w:t>ganizowaną działalność przestępczą, wykorzystując</w:t>
      </w:r>
      <w:r w:rsidR="00043012" w:rsidRPr="006B771F">
        <w:rPr>
          <w:noProof/>
        </w:rPr>
        <w:t xml:space="preserve"> w</w:t>
      </w:r>
      <w:r w:rsidR="00043012">
        <w:rPr>
          <w:noProof/>
        </w:rPr>
        <w:t> </w:t>
      </w:r>
      <w:r w:rsidR="00043012" w:rsidRPr="006B771F">
        <w:rPr>
          <w:noProof/>
        </w:rPr>
        <w:t>sto</w:t>
      </w:r>
      <w:r w:rsidRPr="006B771F">
        <w:rPr>
          <w:noProof/>
        </w:rPr>
        <w:t>sownych przypadkach istniejące finansowanie unijne oraz rezultaty projektów</w:t>
      </w:r>
      <w:r w:rsidR="00043012" w:rsidRPr="006B771F">
        <w:rPr>
          <w:noProof/>
        </w:rPr>
        <w:t xml:space="preserve"> w</w:t>
      </w:r>
      <w:r w:rsidR="00043012">
        <w:rPr>
          <w:noProof/>
        </w:rPr>
        <w:t> </w:t>
      </w:r>
      <w:r w:rsidR="00043012" w:rsidRPr="006B771F">
        <w:rPr>
          <w:noProof/>
        </w:rPr>
        <w:t>zak</w:t>
      </w:r>
      <w:r w:rsidRPr="006B771F">
        <w:rPr>
          <w:noProof/>
        </w:rPr>
        <w:t>resie badań</w:t>
      </w:r>
      <w:r w:rsidR="00043012" w:rsidRPr="006B771F">
        <w:rPr>
          <w:noProof/>
        </w:rPr>
        <w:t xml:space="preserve"> i</w:t>
      </w:r>
      <w:r w:rsidR="00043012">
        <w:rPr>
          <w:noProof/>
        </w:rPr>
        <w:t> </w:t>
      </w:r>
      <w:r w:rsidR="00043012" w:rsidRPr="006B771F">
        <w:rPr>
          <w:noProof/>
        </w:rPr>
        <w:t>inn</w:t>
      </w:r>
      <w:r w:rsidRPr="006B771F">
        <w:rPr>
          <w:noProof/>
        </w:rPr>
        <w:t>owacji dotyczących bezpieczeństwa UE. Państwa członkowskie powinny polecić swoim krajowym pojedynczym punktom kontaktowym, aby koordynowały takie wspólne operacje,</w:t>
      </w:r>
      <w:r w:rsidR="00043012" w:rsidRPr="006B771F">
        <w:rPr>
          <w:noProof/>
        </w:rPr>
        <w:t xml:space="preserve"> w</w:t>
      </w:r>
      <w:r w:rsidR="00043012">
        <w:rPr>
          <w:noProof/>
        </w:rPr>
        <w:t> </w:t>
      </w:r>
      <w:r w:rsidR="00043012" w:rsidRPr="006B771F">
        <w:rPr>
          <w:noProof/>
        </w:rPr>
        <w:t>tym</w:t>
      </w:r>
      <w:r w:rsidRPr="006B771F">
        <w:rPr>
          <w:noProof/>
        </w:rPr>
        <w:t xml:space="preserve"> wspólne patrole przybywające</w:t>
      </w:r>
      <w:r w:rsidR="00043012" w:rsidRPr="006B771F">
        <w:rPr>
          <w:noProof/>
        </w:rPr>
        <w:t xml:space="preserve"> z</w:t>
      </w:r>
      <w:r w:rsidR="00043012">
        <w:rPr>
          <w:noProof/>
        </w:rPr>
        <w:t> </w:t>
      </w:r>
      <w:r w:rsidR="00043012" w:rsidRPr="006B771F">
        <w:rPr>
          <w:noProof/>
        </w:rPr>
        <w:t>inn</w:t>
      </w:r>
      <w:r w:rsidRPr="006B771F">
        <w:rPr>
          <w:noProof/>
        </w:rPr>
        <w:t>ych państw członkowskich lub do nich wysyłane. Powinny również opracowywać wspólne oceny zagrożeń</w:t>
      </w:r>
      <w:r w:rsidR="00043012" w:rsidRPr="006B771F">
        <w:rPr>
          <w:noProof/>
        </w:rPr>
        <w:t xml:space="preserve"> i</w:t>
      </w:r>
      <w:r w:rsidR="00043012">
        <w:rPr>
          <w:noProof/>
        </w:rPr>
        <w:t> </w:t>
      </w:r>
      <w:r w:rsidR="00043012" w:rsidRPr="006B771F">
        <w:rPr>
          <w:noProof/>
        </w:rPr>
        <w:t>ana</w:t>
      </w:r>
      <w:r w:rsidRPr="006B771F">
        <w:rPr>
          <w:noProof/>
        </w:rPr>
        <w:t>lizy ryzyka,</w:t>
      </w:r>
      <w:r w:rsidR="00043012" w:rsidRPr="006B771F">
        <w:rPr>
          <w:noProof/>
        </w:rPr>
        <w:t xml:space="preserve"> a</w:t>
      </w:r>
      <w:r w:rsidR="00043012">
        <w:rPr>
          <w:noProof/>
        </w:rPr>
        <w:t> </w:t>
      </w:r>
      <w:r w:rsidR="00043012" w:rsidRPr="006B771F">
        <w:rPr>
          <w:noProof/>
        </w:rPr>
        <w:t>tak</w:t>
      </w:r>
      <w:r w:rsidRPr="006B771F">
        <w:rPr>
          <w:noProof/>
        </w:rPr>
        <w:t>że coroczne oceny potrzeb</w:t>
      </w:r>
      <w:r w:rsidR="00043012" w:rsidRPr="006B771F">
        <w:rPr>
          <w:noProof/>
        </w:rPr>
        <w:t xml:space="preserve"> w</w:t>
      </w:r>
      <w:r w:rsidR="00043012">
        <w:rPr>
          <w:noProof/>
        </w:rPr>
        <w:t> </w:t>
      </w:r>
      <w:r w:rsidR="00043012" w:rsidRPr="006B771F">
        <w:rPr>
          <w:noProof/>
        </w:rPr>
        <w:t>dro</w:t>
      </w:r>
      <w:r w:rsidRPr="006B771F">
        <w:rPr>
          <w:noProof/>
        </w:rPr>
        <w:t>dze wymiany informacji</w:t>
      </w:r>
      <w:r w:rsidR="00043012" w:rsidRPr="006B771F">
        <w:rPr>
          <w:noProof/>
        </w:rPr>
        <w:t xml:space="preserve"> o</w:t>
      </w:r>
      <w:r w:rsidR="00043012">
        <w:rPr>
          <w:noProof/>
        </w:rPr>
        <w:t> </w:t>
      </w:r>
      <w:r w:rsidR="00043012" w:rsidRPr="006B771F">
        <w:rPr>
          <w:noProof/>
        </w:rPr>
        <w:t>zbl</w:t>
      </w:r>
      <w:r w:rsidRPr="006B771F">
        <w:rPr>
          <w:noProof/>
        </w:rPr>
        <w:t>iżających się wydarzeniach na dużą skalę, zagrożeniach dla porządku publicznego, bezpieczeństwa, bezpieczeństwa wewnętrznego,</w:t>
      </w:r>
      <w:r w:rsidR="00043012" w:rsidRPr="006B771F">
        <w:rPr>
          <w:noProof/>
        </w:rPr>
        <w:t xml:space="preserve"> a</w:t>
      </w:r>
      <w:r w:rsidR="00043012">
        <w:rPr>
          <w:noProof/>
        </w:rPr>
        <w:t> </w:t>
      </w:r>
      <w:r w:rsidR="00043012" w:rsidRPr="006B771F">
        <w:rPr>
          <w:noProof/>
        </w:rPr>
        <w:t>tak</w:t>
      </w:r>
      <w:r w:rsidRPr="006B771F">
        <w:rPr>
          <w:noProof/>
        </w:rPr>
        <w:t>że</w:t>
      </w:r>
      <w:r w:rsidR="00043012" w:rsidRPr="006B771F">
        <w:rPr>
          <w:noProof/>
        </w:rPr>
        <w:t xml:space="preserve"> o</w:t>
      </w:r>
      <w:r w:rsidR="00043012">
        <w:rPr>
          <w:noProof/>
        </w:rPr>
        <w:t> </w:t>
      </w:r>
      <w:r w:rsidR="00043012" w:rsidRPr="006B771F">
        <w:rPr>
          <w:noProof/>
        </w:rPr>
        <w:t>wzo</w:t>
      </w:r>
      <w:r w:rsidRPr="006B771F">
        <w:rPr>
          <w:noProof/>
        </w:rPr>
        <w:t>rcach mobilności obywateli,</w:t>
      </w:r>
      <w:r w:rsidR="00043012" w:rsidRPr="006B771F">
        <w:rPr>
          <w:noProof/>
        </w:rPr>
        <w:t xml:space="preserve"> w</w:t>
      </w:r>
      <w:r w:rsidR="00043012">
        <w:rPr>
          <w:noProof/>
        </w:rPr>
        <w:t> </w:t>
      </w:r>
      <w:r w:rsidR="00043012" w:rsidRPr="006B771F">
        <w:rPr>
          <w:noProof/>
        </w:rPr>
        <w:t>szc</w:t>
      </w:r>
      <w:r w:rsidRPr="006B771F">
        <w:rPr>
          <w:noProof/>
        </w:rPr>
        <w:t>zególności</w:t>
      </w:r>
      <w:r w:rsidR="00043012" w:rsidRPr="006B771F">
        <w:rPr>
          <w:noProof/>
        </w:rPr>
        <w:t xml:space="preserve"> w</w:t>
      </w:r>
      <w:r w:rsidR="00043012">
        <w:rPr>
          <w:noProof/>
        </w:rPr>
        <w:t> </w:t>
      </w:r>
      <w:r w:rsidR="00043012" w:rsidRPr="006B771F">
        <w:rPr>
          <w:noProof/>
        </w:rPr>
        <w:t>sez</w:t>
      </w:r>
      <w:r w:rsidRPr="006B771F">
        <w:rPr>
          <w:noProof/>
        </w:rPr>
        <w:t>onach turystycznych. Takie podejście powinno pomóc</w:t>
      </w:r>
      <w:r w:rsidR="00043012" w:rsidRPr="006B771F">
        <w:rPr>
          <w:noProof/>
        </w:rPr>
        <w:t xml:space="preserve"> w</w:t>
      </w:r>
      <w:r w:rsidR="00043012">
        <w:rPr>
          <w:noProof/>
        </w:rPr>
        <w:t> </w:t>
      </w:r>
      <w:r w:rsidR="00043012" w:rsidRPr="006B771F">
        <w:rPr>
          <w:noProof/>
        </w:rPr>
        <w:t>prz</w:t>
      </w:r>
      <w:r w:rsidRPr="006B771F">
        <w:rPr>
          <w:noProof/>
        </w:rPr>
        <w:t>ygotowaniu</w:t>
      </w:r>
      <w:r w:rsidR="00043012" w:rsidRPr="006B771F">
        <w:rPr>
          <w:noProof/>
        </w:rPr>
        <w:t xml:space="preserve"> i</w:t>
      </w:r>
      <w:r w:rsidR="00043012">
        <w:rPr>
          <w:noProof/>
        </w:rPr>
        <w:t> </w:t>
      </w:r>
      <w:r w:rsidR="00043012" w:rsidRPr="006B771F">
        <w:rPr>
          <w:noProof/>
        </w:rPr>
        <w:t>org</w:t>
      </w:r>
      <w:r w:rsidRPr="006B771F">
        <w:rPr>
          <w:noProof/>
        </w:rPr>
        <w:t>anizacji bardziej ukierunkowanych wspólnych patroli</w:t>
      </w:r>
      <w:r w:rsidR="00043012" w:rsidRPr="006B771F">
        <w:rPr>
          <w:noProof/>
        </w:rPr>
        <w:t xml:space="preserve"> i</w:t>
      </w:r>
      <w:r w:rsidR="00043012">
        <w:rPr>
          <w:noProof/>
        </w:rPr>
        <w:t> </w:t>
      </w:r>
      <w:r w:rsidR="00043012" w:rsidRPr="006B771F">
        <w:rPr>
          <w:noProof/>
        </w:rPr>
        <w:t>inn</w:t>
      </w:r>
      <w:r w:rsidRPr="006B771F">
        <w:rPr>
          <w:noProof/>
        </w:rPr>
        <w:t>ych wspólnych operacji,</w:t>
      </w:r>
      <w:r w:rsidR="00043012" w:rsidRPr="006B771F">
        <w:rPr>
          <w:noProof/>
        </w:rPr>
        <w:t xml:space="preserve"> w</w:t>
      </w:r>
      <w:r w:rsidR="00043012">
        <w:rPr>
          <w:noProof/>
        </w:rPr>
        <w:t> </w:t>
      </w:r>
      <w:r w:rsidR="00043012" w:rsidRPr="006B771F">
        <w:rPr>
          <w:noProof/>
        </w:rPr>
        <w:t>tym</w:t>
      </w:r>
      <w:r w:rsidRPr="006B771F">
        <w:rPr>
          <w:noProof/>
        </w:rPr>
        <w:t xml:space="preserve"> skoordynowanych kontroli policyjnych na wewnątrzunijnych obszarach przygranicznych</w:t>
      </w:r>
      <w:r w:rsidR="00043012" w:rsidRPr="006B771F">
        <w:rPr>
          <w:noProof/>
        </w:rPr>
        <w:t>. Z</w:t>
      </w:r>
      <w:r w:rsidR="00043012">
        <w:rPr>
          <w:noProof/>
        </w:rPr>
        <w:t> </w:t>
      </w:r>
      <w:r w:rsidR="00043012" w:rsidRPr="006B771F">
        <w:rPr>
          <w:noProof/>
        </w:rPr>
        <w:t>cza</w:t>
      </w:r>
      <w:r w:rsidRPr="006B771F">
        <w:rPr>
          <w:noProof/>
        </w:rPr>
        <w:t xml:space="preserve">sem takie podejście powinno umożliwić namierzanie głównych lokalizacji przestępstw w UE, jak opisano w EU SOCTA 2021. </w:t>
      </w:r>
    </w:p>
    <w:p w14:paraId="71AE26B8" w14:textId="27708D42" w:rsidR="00AD2D37" w:rsidRPr="006B771F" w:rsidRDefault="00AD2D37" w:rsidP="00AD2D37">
      <w:pPr>
        <w:spacing w:before="0"/>
        <w:rPr>
          <w:noProof/>
        </w:rPr>
      </w:pPr>
      <w:r w:rsidRPr="006B771F">
        <w:rPr>
          <w:noProof/>
        </w:rPr>
        <w:t>W</w:t>
      </w:r>
      <w:r w:rsidRPr="006B771F">
        <w:rPr>
          <w:b/>
          <w:noProof/>
        </w:rPr>
        <w:t xml:space="preserve"> sekcji 7</w:t>
      </w:r>
      <w:r w:rsidRPr="006B771F">
        <w:rPr>
          <w:noProof/>
        </w:rPr>
        <w:t xml:space="preserve"> określono zalecenia mające na celu zapewnienie </w:t>
      </w:r>
      <w:r w:rsidRPr="006B771F">
        <w:rPr>
          <w:b/>
          <w:noProof/>
        </w:rPr>
        <w:t>rzeczywistej dostępności informacji</w:t>
      </w:r>
      <w:r w:rsidR="00043012" w:rsidRPr="006B771F">
        <w:rPr>
          <w:b/>
          <w:noProof/>
        </w:rPr>
        <w:t xml:space="preserve"> i</w:t>
      </w:r>
      <w:r w:rsidR="00043012">
        <w:rPr>
          <w:b/>
          <w:noProof/>
        </w:rPr>
        <w:t> </w:t>
      </w:r>
      <w:r w:rsidR="00043012" w:rsidRPr="006B771F">
        <w:rPr>
          <w:b/>
          <w:noProof/>
        </w:rPr>
        <w:t>łąc</w:t>
      </w:r>
      <w:r w:rsidRPr="006B771F">
        <w:rPr>
          <w:b/>
          <w:noProof/>
        </w:rPr>
        <w:t>zności podczas operacji transgranicznych</w:t>
      </w:r>
      <w:r w:rsidRPr="006B771F">
        <w:rPr>
          <w:noProof/>
        </w:rPr>
        <w:t>. Państwa członkowskie powinny wyposażyć swoich funkcjonariuszy policji</w:t>
      </w:r>
      <w:r w:rsidR="00043012" w:rsidRPr="006B771F">
        <w:rPr>
          <w:noProof/>
        </w:rPr>
        <w:t xml:space="preserve"> w</w:t>
      </w:r>
      <w:r w:rsidR="00043012">
        <w:rPr>
          <w:noProof/>
        </w:rPr>
        <w:t> </w:t>
      </w:r>
      <w:r w:rsidR="00043012" w:rsidRPr="006B771F">
        <w:rPr>
          <w:noProof/>
        </w:rPr>
        <w:t>nar</w:t>
      </w:r>
      <w:r w:rsidRPr="006B771F">
        <w:rPr>
          <w:noProof/>
        </w:rPr>
        <w:t>zędzia umożliwiające im uzyskanie zdalnego</w:t>
      </w:r>
      <w:r w:rsidR="00043012" w:rsidRPr="006B771F">
        <w:rPr>
          <w:noProof/>
        </w:rPr>
        <w:t xml:space="preserve"> i</w:t>
      </w:r>
      <w:r w:rsidR="00043012">
        <w:rPr>
          <w:noProof/>
        </w:rPr>
        <w:t> </w:t>
      </w:r>
      <w:r w:rsidR="00043012" w:rsidRPr="006B771F">
        <w:rPr>
          <w:noProof/>
        </w:rPr>
        <w:t>bez</w:t>
      </w:r>
      <w:r w:rsidRPr="006B771F">
        <w:rPr>
          <w:noProof/>
        </w:rPr>
        <w:t>piecznego dostępu do własnych baz danych zgodnie</w:t>
      </w:r>
      <w:r w:rsidR="00043012" w:rsidRPr="006B771F">
        <w:rPr>
          <w:noProof/>
        </w:rPr>
        <w:t xml:space="preserve"> z</w:t>
      </w:r>
      <w:r w:rsidR="00043012">
        <w:rPr>
          <w:noProof/>
        </w:rPr>
        <w:t> </w:t>
      </w:r>
      <w:r w:rsidR="00043012" w:rsidRPr="006B771F">
        <w:rPr>
          <w:noProof/>
        </w:rPr>
        <w:t>pra</w:t>
      </w:r>
      <w:r w:rsidRPr="006B771F">
        <w:rPr>
          <w:noProof/>
        </w:rPr>
        <w:t>wem krajowym,</w:t>
      </w:r>
      <w:r w:rsidR="00043012" w:rsidRPr="006B771F">
        <w:rPr>
          <w:noProof/>
        </w:rPr>
        <w:t xml:space="preserve"> a</w:t>
      </w:r>
      <w:r w:rsidR="00043012">
        <w:rPr>
          <w:noProof/>
        </w:rPr>
        <w:t> </w:t>
      </w:r>
      <w:r w:rsidR="00043012" w:rsidRPr="006B771F">
        <w:rPr>
          <w:noProof/>
        </w:rPr>
        <w:t>tak</w:t>
      </w:r>
      <w:r w:rsidRPr="006B771F">
        <w:rPr>
          <w:noProof/>
        </w:rPr>
        <w:t>że do unijnych</w:t>
      </w:r>
      <w:r w:rsidR="00043012" w:rsidRPr="006B771F">
        <w:rPr>
          <w:noProof/>
        </w:rPr>
        <w:t xml:space="preserve"> i</w:t>
      </w:r>
      <w:r w:rsidR="00043012">
        <w:rPr>
          <w:noProof/>
        </w:rPr>
        <w:t> </w:t>
      </w:r>
      <w:r w:rsidR="00043012" w:rsidRPr="006B771F">
        <w:rPr>
          <w:noProof/>
        </w:rPr>
        <w:t>mię</w:t>
      </w:r>
      <w:r w:rsidRPr="006B771F">
        <w:rPr>
          <w:noProof/>
        </w:rPr>
        <w:t>dzynarodowych baz danych za pośrednictwem europejskiego portalu wyszukiwania. Ma to na celu umożliwienie funkcjonariuszom wykonywania zadań policyjnych podczas operacji transgranicznych, na przykład dokonywanie kontroli tożsamości. Państwa członkowskie powinny również wyposażyć swoich funkcjonariuszy policji zaangażowanych</w:t>
      </w:r>
      <w:r w:rsidR="00043012" w:rsidRPr="006B771F">
        <w:rPr>
          <w:noProof/>
        </w:rPr>
        <w:t xml:space="preserve"> w</w:t>
      </w:r>
      <w:r w:rsidR="00043012">
        <w:rPr>
          <w:noProof/>
        </w:rPr>
        <w:t> </w:t>
      </w:r>
      <w:r w:rsidR="00043012" w:rsidRPr="006B771F">
        <w:rPr>
          <w:noProof/>
        </w:rPr>
        <w:t>ope</w:t>
      </w:r>
      <w:r w:rsidRPr="006B771F">
        <w:rPr>
          <w:noProof/>
        </w:rPr>
        <w:t>racje transgraniczne</w:t>
      </w:r>
      <w:r w:rsidR="00043012" w:rsidRPr="006B771F">
        <w:rPr>
          <w:noProof/>
        </w:rPr>
        <w:t xml:space="preserve"> w</w:t>
      </w:r>
      <w:r w:rsidR="00043012">
        <w:rPr>
          <w:noProof/>
        </w:rPr>
        <w:t> </w:t>
      </w:r>
      <w:r w:rsidR="00043012" w:rsidRPr="006B771F">
        <w:rPr>
          <w:noProof/>
        </w:rPr>
        <w:t>bez</w:t>
      </w:r>
      <w:r w:rsidRPr="006B771F">
        <w:rPr>
          <w:noProof/>
        </w:rPr>
        <w:t>pieczne środki łączności (np. narzędzie do komunikacji natychmiastowej), działające po obu stronach granicy, umożliwiające wzajemne połączenia</w:t>
      </w:r>
      <w:r w:rsidR="00043012" w:rsidRPr="006B771F">
        <w:rPr>
          <w:noProof/>
        </w:rPr>
        <w:t xml:space="preserve"> i</w:t>
      </w:r>
      <w:r w:rsidR="00043012">
        <w:rPr>
          <w:noProof/>
        </w:rPr>
        <w:t> </w:t>
      </w:r>
      <w:r w:rsidR="00043012" w:rsidRPr="006B771F">
        <w:rPr>
          <w:noProof/>
        </w:rPr>
        <w:t>bez</w:t>
      </w:r>
      <w:r w:rsidRPr="006B771F">
        <w:rPr>
          <w:noProof/>
        </w:rPr>
        <w:t>pośrednią komunikację</w:t>
      </w:r>
      <w:r w:rsidR="00043012" w:rsidRPr="006B771F">
        <w:rPr>
          <w:noProof/>
        </w:rPr>
        <w:t xml:space="preserve"> w</w:t>
      </w:r>
      <w:r w:rsidR="00043012">
        <w:rPr>
          <w:noProof/>
        </w:rPr>
        <w:t> </w:t>
      </w:r>
      <w:r w:rsidR="00043012" w:rsidRPr="006B771F">
        <w:rPr>
          <w:noProof/>
        </w:rPr>
        <w:t>cza</w:t>
      </w:r>
      <w:r w:rsidRPr="006B771F">
        <w:rPr>
          <w:noProof/>
        </w:rPr>
        <w:t>sie rzeczywistym</w:t>
      </w:r>
      <w:r w:rsidR="00043012" w:rsidRPr="006B771F">
        <w:rPr>
          <w:noProof/>
        </w:rPr>
        <w:t xml:space="preserve"> z</w:t>
      </w:r>
      <w:r w:rsidR="00043012">
        <w:rPr>
          <w:noProof/>
        </w:rPr>
        <w:t> </w:t>
      </w:r>
      <w:r w:rsidR="00043012" w:rsidRPr="006B771F">
        <w:rPr>
          <w:noProof/>
        </w:rPr>
        <w:t>fun</w:t>
      </w:r>
      <w:r w:rsidRPr="006B771F">
        <w:rPr>
          <w:noProof/>
        </w:rPr>
        <w:t>kcjonariuszami</w:t>
      </w:r>
      <w:r w:rsidR="00043012" w:rsidRPr="006B771F">
        <w:rPr>
          <w:noProof/>
        </w:rPr>
        <w:t xml:space="preserve"> w</w:t>
      </w:r>
      <w:r w:rsidR="00043012">
        <w:rPr>
          <w:noProof/>
        </w:rPr>
        <w:t> </w:t>
      </w:r>
      <w:r w:rsidR="00043012" w:rsidRPr="006B771F">
        <w:rPr>
          <w:noProof/>
        </w:rPr>
        <w:t>prz</w:t>
      </w:r>
      <w:r w:rsidRPr="006B771F">
        <w:rPr>
          <w:noProof/>
        </w:rPr>
        <w:t>yjmującym państwie członkowskim. Państwa członkowskie powinny korzystać</w:t>
      </w:r>
      <w:r w:rsidR="00043012" w:rsidRPr="006B771F">
        <w:rPr>
          <w:noProof/>
        </w:rPr>
        <w:t xml:space="preserve"> z</w:t>
      </w:r>
      <w:r w:rsidR="00043012">
        <w:rPr>
          <w:noProof/>
        </w:rPr>
        <w:t> </w:t>
      </w:r>
      <w:r w:rsidR="00043012" w:rsidRPr="006B771F">
        <w:rPr>
          <w:noProof/>
        </w:rPr>
        <w:t>roz</w:t>
      </w:r>
      <w:r w:rsidRPr="006B771F">
        <w:rPr>
          <w:noProof/>
        </w:rPr>
        <w:t>wiązań technicznych, które mają zostać dostarczone przez laboratorium innowacji Europolu, aby zapewnić wzajemne połączenie bezpiecznych środków łączności po obu stronach granicy.</w:t>
      </w:r>
    </w:p>
    <w:p w14:paraId="41104D44" w14:textId="42BEEE71" w:rsidR="00AD2D37" w:rsidRPr="00043012" w:rsidRDefault="00AD2D37" w:rsidP="00AD2D37">
      <w:pPr>
        <w:rPr>
          <w:noProof/>
          <w:szCs w:val="24"/>
        </w:rPr>
      </w:pPr>
      <w:r w:rsidRPr="006B771F">
        <w:rPr>
          <w:noProof/>
        </w:rPr>
        <w:t xml:space="preserve">W </w:t>
      </w:r>
      <w:r w:rsidRPr="006B771F">
        <w:rPr>
          <w:b/>
          <w:noProof/>
        </w:rPr>
        <w:t>sekcji 8</w:t>
      </w:r>
      <w:r w:rsidRPr="006B771F">
        <w:rPr>
          <w:noProof/>
        </w:rPr>
        <w:t xml:space="preserve"> określono zalecenia mające na celu </w:t>
      </w:r>
      <w:r w:rsidRPr="006B771F">
        <w:rPr>
          <w:b/>
          <w:noProof/>
        </w:rPr>
        <w:t>przechodzenie</w:t>
      </w:r>
      <w:r w:rsidR="00043012" w:rsidRPr="006B771F">
        <w:rPr>
          <w:b/>
          <w:noProof/>
        </w:rPr>
        <w:t xml:space="preserve"> w</w:t>
      </w:r>
      <w:r w:rsidR="00043012">
        <w:rPr>
          <w:b/>
          <w:noProof/>
        </w:rPr>
        <w:t> </w:t>
      </w:r>
      <w:r w:rsidR="00043012" w:rsidRPr="006B771F">
        <w:rPr>
          <w:b/>
          <w:noProof/>
        </w:rPr>
        <w:t>kie</w:t>
      </w:r>
      <w:r w:rsidRPr="006B771F">
        <w:rPr>
          <w:b/>
          <w:noProof/>
        </w:rPr>
        <w:t xml:space="preserve">runku wspólnej unijnej kultury działań policji poprzez istotnie zwiększenie ilości wspólnych szkoleń </w:t>
      </w:r>
      <w:r w:rsidRPr="006B771F">
        <w:rPr>
          <w:noProof/>
        </w:rPr>
        <w:t>dotyczących operacyjnej współpracy policyjnej. Państwa członkowskie powinny ustanowić wspólne programy szkoleń</w:t>
      </w:r>
      <w:r w:rsidR="00043012" w:rsidRPr="006B771F">
        <w:rPr>
          <w:noProof/>
        </w:rPr>
        <w:t xml:space="preserve"> i</w:t>
      </w:r>
      <w:r w:rsidR="00043012">
        <w:rPr>
          <w:noProof/>
        </w:rPr>
        <w:t> </w:t>
      </w:r>
      <w:r w:rsidR="00043012" w:rsidRPr="006B771F">
        <w:rPr>
          <w:noProof/>
        </w:rPr>
        <w:t>wym</w:t>
      </w:r>
      <w:r w:rsidRPr="006B771F">
        <w:rPr>
          <w:noProof/>
        </w:rPr>
        <w:t>iany skierowane do kadetów, aby pogłębiać wiedzę</w:t>
      </w:r>
      <w:r w:rsidR="00043012" w:rsidRPr="006B771F">
        <w:rPr>
          <w:noProof/>
        </w:rPr>
        <w:t xml:space="preserve"> i</w:t>
      </w:r>
      <w:r w:rsidR="00043012">
        <w:rPr>
          <w:noProof/>
        </w:rPr>
        <w:t> </w:t>
      </w:r>
      <w:r w:rsidR="00043012" w:rsidRPr="006B771F">
        <w:rPr>
          <w:noProof/>
        </w:rPr>
        <w:t>bud</w:t>
      </w:r>
      <w:r w:rsidRPr="006B771F">
        <w:rPr>
          <w:noProof/>
        </w:rPr>
        <w:t>ować zaufanie między siłami policyjnymi w UE</w:t>
      </w:r>
      <w:r w:rsidR="00043012" w:rsidRPr="006B771F">
        <w:rPr>
          <w:noProof/>
        </w:rPr>
        <w:t xml:space="preserve"> w</w:t>
      </w:r>
      <w:r w:rsidR="00043012">
        <w:rPr>
          <w:noProof/>
        </w:rPr>
        <w:t> </w:t>
      </w:r>
      <w:r w:rsidR="00043012" w:rsidRPr="006B771F">
        <w:rPr>
          <w:noProof/>
        </w:rPr>
        <w:t>per</w:t>
      </w:r>
      <w:r w:rsidRPr="006B771F">
        <w:rPr>
          <w:noProof/>
        </w:rPr>
        <w:t>spektywie długoterminowej. Wspólne szkolenia powinny być wzorowane na zrealizowanym</w:t>
      </w:r>
      <w:r w:rsidR="00043012" w:rsidRPr="006B771F">
        <w:rPr>
          <w:noProof/>
        </w:rPr>
        <w:t xml:space="preserve"> z</w:t>
      </w:r>
      <w:r w:rsidR="00043012">
        <w:rPr>
          <w:noProof/>
        </w:rPr>
        <w:t> </w:t>
      </w:r>
      <w:r w:rsidR="00043012" w:rsidRPr="006B771F">
        <w:rPr>
          <w:noProof/>
        </w:rPr>
        <w:t>pow</w:t>
      </w:r>
      <w:r w:rsidRPr="006B771F">
        <w:rPr>
          <w:noProof/>
        </w:rPr>
        <w:t>odzeniem wspólnym francusko-hiszpańskim programie szkoleniowym Gendarmerie Nationale/Guardia Civil. Państwa członkowskie powinny opracować wspólne kursy doskonalenia zawodowego</w:t>
      </w:r>
      <w:r w:rsidR="00043012" w:rsidRPr="006B771F">
        <w:rPr>
          <w:noProof/>
        </w:rPr>
        <w:t xml:space="preserve"> i</w:t>
      </w:r>
      <w:r w:rsidR="00043012">
        <w:rPr>
          <w:noProof/>
        </w:rPr>
        <w:t> </w:t>
      </w:r>
      <w:r w:rsidR="00043012" w:rsidRPr="006B771F">
        <w:rPr>
          <w:noProof/>
        </w:rPr>
        <w:t>pro</w:t>
      </w:r>
      <w:r w:rsidRPr="006B771F">
        <w:rPr>
          <w:noProof/>
        </w:rPr>
        <w:t>gramy wymiany dla pracujących na pierwszej linii funkcjonariuszy policji</w:t>
      </w:r>
      <w:r w:rsidR="00043012" w:rsidRPr="006B771F">
        <w:rPr>
          <w:noProof/>
        </w:rPr>
        <w:t xml:space="preserve"> i</w:t>
      </w:r>
      <w:r w:rsidR="00043012">
        <w:rPr>
          <w:noProof/>
        </w:rPr>
        <w:t> </w:t>
      </w:r>
      <w:r w:rsidR="00043012" w:rsidRPr="006B771F">
        <w:rPr>
          <w:noProof/>
        </w:rPr>
        <w:t>zes</w:t>
      </w:r>
      <w:r w:rsidRPr="006B771F">
        <w:rPr>
          <w:noProof/>
        </w:rPr>
        <w:t>połów dochodzeniowo-śledczych</w:t>
      </w:r>
      <w:r w:rsidR="00043012" w:rsidRPr="006B771F">
        <w:rPr>
          <w:noProof/>
        </w:rPr>
        <w:t xml:space="preserve"> w</w:t>
      </w:r>
      <w:r w:rsidR="00043012">
        <w:rPr>
          <w:noProof/>
        </w:rPr>
        <w:t> </w:t>
      </w:r>
      <w:r w:rsidR="00043012" w:rsidRPr="006B771F">
        <w:rPr>
          <w:noProof/>
        </w:rPr>
        <w:t>cel</w:t>
      </w:r>
      <w:r w:rsidRPr="006B771F">
        <w:rPr>
          <w:noProof/>
        </w:rPr>
        <w:t>u doskonalenia ich umiejętności</w:t>
      </w:r>
      <w:r w:rsidR="00043012" w:rsidRPr="006B771F">
        <w:rPr>
          <w:noProof/>
        </w:rPr>
        <w:t xml:space="preserve"> i</w:t>
      </w:r>
      <w:r w:rsidR="00043012">
        <w:rPr>
          <w:noProof/>
        </w:rPr>
        <w:t> </w:t>
      </w:r>
      <w:r w:rsidR="00043012" w:rsidRPr="006B771F">
        <w:rPr>
          <w:noProof/>
        </w:rPr>
        <w:t>pog</w:t>
      </w:r>
      <w:r w:rsidRPr="006B771F">
        <w:rPr>
          <w:noProof/>
        </w:rPr>
        <w:t>łębiania wiedzy</w:t>
      </w:r>
      <w:r w:rsidR="00043012" w:rsidRPr="006B771F">
        <w:rPr>
          <w:noProof/>
        </w:rPr>
        <w:t xml:space="preserve"> w</w:t>
      </w:r>
      <w:r w:rsidR="00043012">
        <w:rPr>
          <w:noProof/>
        </w:rPr>
        <w:t> </w:t>
      </w:r>
      <w:r w:rsidR="00043012" w:rsidRPr="006B771F">
        <w:rPr>
          <w:noProof/>
        </w:rPr>
        <w:t>zak</w:t>
      </w:r>
      <w:r w:rsidRPr="006B771F">
        <w:rPr>
          <w:noProof/>
        </w:rPr>
        <w:t>resie transgranicznej współpracy operacyjnej</w:t>
      </w:r>
      <w:r w:rsidR="00043012" w:rsidRPr="006B771F">
        <w:rPr>
          <w:noProof/>
        </w:rPr>
        <w:t>. W</w:t>
      </w:r>
      <w:r w:rsidR="00043012">
        <w:rPr>
          <w:noProof/>
        </w:rPr>
        <w:t> </w:t>
      </w:r>
      <w:r w:rsidR="00043012" w:rsidRPr="006B771F">
        <w:rPr>
          <w:noProof/>
        </w:rPr>
        <w:t>szc</w:t>
      </w:r>
      <w:r w:rsidRPr="006B771F">
        <w:rPr>
          <w:noProof/>
        </w:rPr>
        <w:t>zególności na temat odpowiedniego ustawodawstwa, zasad użycia sił, narzędzi, mechanizmów, standardów zawodowych</w:t>
      </w:r>
      <w:r w:rsidR="00043012" w:rsidRPr="006B771F">
        <w:rPr>
          <w:noProof/>
        </w:rPr>
        <w:t xml:space="preserve"> i</w:t>
      </w:r>
      <w:r w:rsidR="00043012">
        <w:rPr>
          <w:noProof/>
        </w:rPr>
        <w:t> </w:t>
      </w:r>
      <w:r w:rsidR="00043012" w:rsidRPr="006B771F">
        <w:rPr>
          <w:noProof/>
        </w:rPr>
        <w:t>ety</w:t>
      </w:r>
      <w:r w:rsidRPr="006B771F">
        <w:rPr>
          <w:noProof/>
        </w:rPr>
        <w:t>ki, procedur</w:t>
      </w:r>
      <w:r w:rsidR="00043012" w:rsidRPr="006B771F">
        <w:rPr>
          <w:noProof/>
        </w:rPr>
        <w:t xml:space="preserve"> i</w:t>
      </w:r>
      <w:r w:rsidR="00043012">
        <w:rPr>
          <w:noProof/>
        </w:rPr>
        <w:t> </w:t>
      </w:r>
      <w:r w:rsidR="00043012" w:rsidRPr="006B771F">
        <w:rPr>
          <w:noProof/>
        </w:rPr>
        <w:t>naj</w:t>
      </w:r>
      <w:r w:rsidRPr="006B771F">
        <w:rPr>
          <w:noProof/>
        </w:rPr>
        <w:t>lepszych praktyk. Zakres tych działań, wspieranych przez CEPOL</w:t>
      </w:r>
      <w:r w:rsidRPr="006B771F">
        <w:rPr>
          <w:rStyle w:val="FootnoteReference0"/>
          <w:noProof/>
        </w:rPr>
        <w:footnoteReference w:id="52"/>
      </w:r>
      <w:r w:rsidRPr="006B771F">
        <w:rPr>
          <w:noProof/>
        </w:rPr>
        <w:t>, mógłby być zróżnicowany – od internetowych modułów szkoleniowych po wymianę funkcjonariuszy –</w:t>
      </w:r>
      <w:r w:rsidR="00043012" w:rsidRPr="006B771F">
        <w:rPr>
          <w:noProof/>
        </w:rPr>
        <w:t xml:space="preserve"> i</w:t>
      </w:r>
      <w:r w:rsidR="00043012">
        <w:rPr>
          <w:noProof/>
        </w:rPr>
        <w:t> </w:t>
      </w:r>
      <w:r w:rsidR="00043012" w:rsidRPr="006B771F">
        <w:rPr>
          <w:noProof/>
        </w:rPr>
        <w:t>pow</w:t>
      </w:r>
      <w:r w:rsidRPr="006B771F">
        <w:rPr>
          <w:noProof/>
        </w:rPr>
        <w:t>inny to być symulacje sytuacji rzeczywistych. Należy znacząco zintensyfikować kursy językowe dla funkcjonariuszy</w:t>
      </w:r>
      <w:r w:rsidR="00043012" w:rsidRPr="006B771F">
        <w:rPr>
          <w:noProof/>
        </w:rPr>
        <w:t xml:space="preserve"> z</w:t>
      </w:r>
      <w:r w:rsidR="00043012">
        <w:rPr>
          <w:noProof/>
        </w:rPr>
        <w:t> </w:t>
      </w:r>
      <w:r w:rsidR="00043012" w:rsidRPr="006B771F">
        <w:rPr>
          <w:noProof/>
        </w:rPr>
        <w:t>wew</w:t>
      </w:r>
      <w:r w:rsidRPr="006B771F">
        <w:rPr>
          <w:noProof/>
        </w:rPr>
        <w:t>nątrzunijnych obszarów przygranicznych. Państwa członkowskie powinny także dostosować programy nauczania</w:t>
      </w:r>
      <w:r w:rsidR="00043012" w:rsidRPr="006B771F">
        <w:rPr>
          <w:noProof/>
        </w:rPr>
        <w:t xml:space="preserve"> w</w:t>
      </w:r>
      <w:r w:rsidR="00043012">
        <w:rPr>
          <w:noProof/>
        </w:rPr>
        <w:t> </w:t>
      </w:r>
      <w:r w:rsidR="00043012" w:rsidRPr="006B771F">
        <w:rPr>
          <w:noProof/>
        </w:rPr>
        <w:t>swo</w:t>
      </w:r>
      <w:r w:rsidRPr="006B771F">
        <w:rPr>
          <w:noProof/>
        </w:rPr>
        <w:t>ich krajowych akademiach policyjnych, tak aby obejmowały one akredytowane</w:t>
      </w:r>
      <w:r w:rsidR="00043012" w:rsidRPr="006B771F">
        <w:rPr>
          <w:noProof/>
        </w:rPr>
        <w:t xml:space="preserve"> w</w:t>
      </w:r>
      <w:r w:rsidR="00043012">
        <w:rPr>
          <w:noProof/>
        </w:rPr>
        <w:t> </w:t>
      </w:r>
      <w:r w:rsidR="00043012" w:rsidRPr="006B771F">
        <w:rPr>
          <w:noProof/>
        </w:rPr>
        <w:t>Eur</w:t>
      </w:r>
      <w:r w:rsidRPr="006B771F">
        <w:rPr>
          <w:noProof/>
        </w:rPr>
        <w:t>opie kursy transgranicznej operacyjnej współpracy policyjnej. Powinny zastanowić się nad możliwością stworzenia zakrojonych na szeroką skalę</w:t>
      </w:r>
      <w:r w:rsidR="00043012" w:rsidRPr="006B771F">
        <w:rPr>
          <w:noProof/>
        </w:rPr>
        <w:t xml:space="preserve"> i</w:t>
      </w:r>
      <w:r w:rsidR="00043012">
        <w:rPr>
          <w:noProof/>
        </w:rPr>
        <w:t> </w:t>
      </w:r>
      <w:r w:rsidR="00043012" w:rsidRPr="006B771F">
        <w:rPr>
          <w:noProof/>
        </w:rPr>
        <w:t>dłu</w:t>
      </w:r>
      <w:r w:rsidRPr="006B771F">
        <w:rPr>
          <w:noProof/>
        </w:rPr>
        <w:t>goterminowych wspólnych programów szkoleń oraz wymiany kadetów</w:t>
      </w:r>
      <w:r w:rsidR="00043012" w:rsidRPr="006B771F">
        <w:rPr>
          <w:noProof/>
        </w:rPr>
        <w:t xml:space="preserve"> i</w:t>
      </w:r>
      <w:r w:rsidR="00043012">
        <w:rPr>
          <w:noProof/>
        </w:rPr>
        <w:t> </w:t>
      </w:r>
      <w:r w:rsidR="00043012" w:rsidRPr="006B771F">
        <w:rPr>
          <w:noProof/>
        </w:rPr>
        <w:t>fun</w:t>
      </w:r>
      <w:r w:rsidRPr="006B771F">
        <w:rPr>
          <w:noProof/>
        </w:rPr>
        <w:t>kcjonariuszy policji państw członkowskich</w:t>
      </w:r>
      <w:r w:rsidR="00043012" w:rsidRPr="006B771F">
        <w:rPr>
          <w:noProof/>
        </w:rPr>
        <w:t xml:space="preserve"> w</w:t>
      </w:r>
      <w:r w:rsidR="00043012">
        <w:rPr>
          <w:noProof/>
        </w:rPr>
        <w:t> </w:t>
      </w:r>
      <w:r w:rsidR="00043012" w:rsidRPr="006B771F">
        <w:rPr>
          <w:noProof/>
        </w:rPr>
        <w:t>dzi</w:t>
      </w:r>
      <w:r w:rsidRPr="006B771F">
        <w:rPr>
          <w:noProof/>
        </w:rPr>
        <w:t>edzinie operacyjnej współpracy policyjnej</w:t>
      </w:r>
      <w:r w:rsidRPr="00043012">
        <w:rPr>
          <w:noProof/>
        </w:rPr>
        <w:t>.</w:t>
      </w:r>
      <w:r w:rsidR="00043012" w:rsidRPr="00043012">
        <w:rPr>
          <w:noProof/>
        </w:rPr>
        <w:t xml:space="preserve"> </w:t>
      </w:r>
    </w:p>
    <w:p w14:paraId="2970FD40" w14:textId="4D5901CA" w:rsidR="00AD2D37" w:rsidRPr="006B771F" w:rsidRDefault="00AD2D37" w:rsidP="00AD2D37">
      <w:pPr>
        <w:rPr>
          <w:noProof/>
          <w:szCs w:val="24"/>
        </w:rPr>
      </w:pPr>
      <w:r w:rsidRPr="006B771F">
        <w:rPr>
          <w:b/>
          <w:noProof/>
          <w:szCs w:val="24"/>
        </w:rPr>
        <w:t>Sekcja 9</w:t>
      </w:r>
      <w:r w:rsidRPr="006B771F">
        <w:rPr>
          <w:noProof/>
        </w:rPr>
        <w:t xml:space="preserve"> zawiera </w:t>
      </w:r>
      <w:r w:rsidRPr="006B771F">
        <w:rPr>
          <w:b/>
          <w:noProof/>
          <w:szCs w:val="24"/>
        </w:rPr>
        <w:t>ostateczne zalecenia</w:t>
      </w:r>
      <w:r w:rsidRPr="006B771F">
        <w:rPr>
          <w:noProof/>
        </w:rPr>
        <w:t>. Zachęca się państwa członkowskie do korzystania</w:t>
      </w:r>
      <w:r w:rsidR="00043012" w:rsidRPr="006B771F">
        <w:rPr>
          <w:noProof/>
        </w:rPr>
        <w:t xml:space="preserve"> z</w:t>
      </w:r>
      <w:r w:rsidR="00043012">
        <w:rPr>
          <w:noProof/>
        </w:rPr>
        <w:t> </w:t>
      </w:r>
      <w:r w:rsidR="00043012" w:rsidRPr="006B771F">
        <w:rPr>
          <w:noProof/>
        </w:rPr>
        <w:t>for</w:t>
      </w:r>
      <w:r w:rsidRPr="006B771F">
        <w:rPr>
          <w:noProof/>
        </w:rPr>
        <w:t>um,</w:t>
      </w:r>
      <w:r w:rsidR="00043012" w:rsidRPr="006B771F">
        <w:rPr>
          <w:noProof/>
        </w:rPr>
        <w:t xml:space="preserve"> o</w:t>
      </w:r>
      <w:r w:rsidR="00043012">
        <w:rPr>
          <w:noProof/>
        </w:rPr>
        <w:t> </w:t>
      </w:r>
      <w:r w:rsidR="00043012" w:rsidRPr="006B771F">
        <w:rPr>
          <w:noProof/>
        </w:rPr>
        <w:t>któ</w:t>
      </w:r>
      <w:r w:rsidRPr="006B771F">
        <w:rPr>
          <w:noProof/>
        </w:rPr>
        <w:t>rym mowa powyżej, udostępnianego przez właściwą grupę roboczą Rady,</w:t>
      </w:r>
      <w:r w:rsidR="00043012" w:rsidRPr="006B771F">
        <w:rPr>
          <w:noProof/>
        </w:rPr>
        <w:t xml:space="preserve"> w</w:t>
      </w:r>
      <w:r w:rsidR="00043012">
        <w:rPr>
          <w:noProof/>
        </w:rPr>
        <w:t> </w:t>
      </w:r>
      <w:r w:rsidR="00043012" w:rsidRPr="006B771F">
        <w:rPr>
          <w:noProof/>
        </w:rPr>
        <w:t>cel</w:t>
      </w:r>
      <w:r w:rsidRPr="006B771F">
        <w:rPr>
          <w:noProof/>
        </w:rPr>
        <w:t>u omawiania kwestii związanych</w:t>
      </w:r>
      <w:r w:rsidR="00043012" w:rsidRPr="006B771F">
        <w:rPr>
          <w:noProof/>
        </w:rPr>
        <w:t xml:space="preserve"> z</w:t>
      </w:r>
      <w:r w:rsidR="00043012">
        <w:rPr>
          <w:noProof/>
        </w:rPr>
        <w:t> </w:t>
      </w:r>
      <w:r w:rsidR="00043012" w:rsidRPr="006B771F">
        <w:rPr>
          <w:noProof/>
        </w:rPr>
        <w:t>tra</w:t>
      </w:r>
      <w:r w:rsidRPr="006B771F">
        <w:rPr>
          <w:noProof/>
        </w:rPr>
        <w:t>nsgraniczną operacyjną współpracą policyjną, objętych zakresem niniejszego zalecenia,</w:t>
      </w:r>
      <w:r w:rsidR="00043012" w:rsidRPr="006B771F">
        <w:rPr>
          <w:noProof/>
        </w:rPr>
        <w:t xml:space="preserve"> a</w:t>
      </w:r>
      <w:r w:rsidR="00043012">
        <w:rPr>
          <w:noProof/>
        </w:rPr>
        <w:t> </w:t>
      </w:r>
      <w:r w:rsidR="00043012" w:rsidRPr="006B771F">
        <w:rPr>
          <w:noProof/>
        </w:rPr>
        <w:t>w</w:t>
      </w:r>
      <w:r w:rsidR="00043012">
        <w:rPr>
          <w:noProof/>
        </w:rPr>
        <w:t> </w:t>
      </w:r>
      <w:r w:rsidR="00043012" w:rsidRPr="006B771F">
        <w:rPr>
          <w:noProof/>
        </w:rPr>
        <w:t>szc</w:t>
      </w:r>
      <w:r w:rsidRPr="006B771F">
        <w:rPr>
          <w:noProof/>
        </w:rPr>
        <w:t xml:space="preserve">zególności kwestii odnoszących się do wdrażania niniejszego zalecenia. </w:t>
      </w:r>
    </w:p>
    <w:p w14:paraId="6EB04807" w14:textId="6417B5D4" w:rsidR="00AD2D37" w:rsidRPr="006B771F" w:rsidRDefault="00AD2D37" w:rsidP="00AD2D37">
      <w:pPr>
        <w:rPr>
          <w:noProof/>
        </w:rPr>
      </w:pPr>
      <w:r w:rsidRPr="006B771F">
        <w:rPr>
          <w:noProof/>
        </w:rPr>
        <w:t>Zachęca się ponadto państwa członkowskie, aby</w:t>
      </w:r>
      <w:r w:rsidR="00043012" w:rsidRPr="006B771F">
        <w:rPr>
          <w:noProof/>
        </w:rPr>
        <w:t xml:space="preserve"> w</w:t>
      </w:r>
      <w:r w:rsidR="00043012">
        <w:rPr>
          <w:noProof/>
        </w:rPr>
        <w:t> </w:t>
      </w:r>
      <w:r w:rsidR="00043012" w:rsidRPr="006B771F">
        <w:rPr>
          <w:noProof/>
        </w:rPr>
        <w:t>cią</w:t>
      </w:r>
      <w:r w:rsidRPr="006B771F">
        <w:rPr>
          <w:noProof/>
        </w:rPr>
        <w:t>gu sześciu miesięcy od przyjęcia niniejszego zalecenia zainicjowały procedurę</w:t>
      </w:r>
      <w:r w:rsidR="00043012" w:rsidRPr="006B771F">
        <w:rPr>
          <w:noProof/>
        </w:rPr>
        <w:t xml:space="preserve"> w</w:t>
      </w:r>
      <w:r w:rsidR="00043012">
        <w:rPr>
          <w:noProof/>
        </w:rPr>
        <w:t> </w:t>
      </w:r>
      <w:r w:rsidR="00043012" w:rsidRPr="006B771F">
        <w:rPr>
          <w:noProof/>
        </w:rPr>
        <w:t>cel</w:t>
      </w:r>
      <w:r w:rsidRPr="006B771F">
        <w:rPr>
          <w:noProof/>
        </w:rPr>
        <w:t xml:space="preserve">u </w:t>
      </w:r>
      <w:r w:rsidRPr="006B771F">
        <w:rPr>
          <w:b/>
          <w:noProof/>
        </w:rPr>
        <w:t>zmiany swoich przepisów krajowych oraz dwustronnych</w:t>
      </w:r>
      <w:r w:rsidR="00043012" w:rsidRPr="006B771F">
        <w:rPr>
          <w:b/>
          <w:noProof/>
        </w:rPr>
        <w:t xml:space="preserve"> i</w:t>
      </w:r>
      <w:r w:rsidR="00043012">
        <w:rPr>
          <w:b/>
          <w:noProof/>
        </w:rPr>
        <w:t> </w:t>
      </w:r>
      <w:r w:rsidR="00043012" w:rsidRPr="006B771F">
        <w:rPr>
          <w:b/>
          <w:noProof/>
        </w:rPr>
        <w:t>wie</w:t>
      </w:r>
      <w:r w:rsidRPr="006B771F">
        <w:rPr>
          <w:b/>
          <w:noProof/>
        </w:rPr>
        <w:t>lostronnych umów</w:t>
      </w:r>
      <w:r w:rsidR="00043012" w:rsidRPr="006B771F">
        <w:rPr>
          <w:b/>
          <w:noProof/>
        </w:rPr>
        <w:t xml:space="preserve"> z</w:t>
      </w:r>
      <w:r w:rsidR="00043012">
        <w:rPr>
          <w:b/>
          <w:noProof/>
        </w:rPr>
        <w:t> </w:t>
      </w:r>
      <w:r w:rsidR="00043012" w:rsidRPr="006B771F">
        <w:rPr>
          <w:b/>
          <w:noProof/>
        </w:rPr>
        <w:t>inn</w:t>
      </w:r>
      <w:r w:rsidRPr="006B771F">
        <w:rPr>
          <w:b/>
          <w:noProof/>
        </w:rPr>
        <w:t>ymi państwami członkowskimi</w:t>
      </w:r>
      <w:r w:rsidRPr="006B771F">
        <w:rPr>
          <w:noProof/>
        </w:rPr>
        <w:t xml:space="preserve"> na potrzeby wdrożenia środków zawartych</w:t>
      </w:r>
      <w:r w:rsidR="00043012" w:rsidRPr="006B771F">
        <w:rPr>
          <w:noProof/>
        </w:rPr>
        <w:t xml:space="preserve"> w</w:t>
      </w:r>
      <w:r w:rsidR="00043012">
        <w:rPr>
          <w:noProof/>
        </w:rPr>
        <w:t> </w:t>
      </w:r>
      <w:r w:rsidR="00043012" w:rsidRPr="006B771F">
        <w:rPr>
          <w:noProof/>
        </w:rPr>
        <w:t>nin</w:t>
      </w:r>
      <w:r w:rsidRPr="006B771F">
        <w:rPr>
          <w:noProof/>
        </w:rPr>
        <w:t>iejszym zaleceniu. Po upływie jednego roku od przyjęcia zalecenia Komisja powinna opublikować sprawozdanie oceniające jego wdrożenie przez państwa członkowskie.</w:t>
      </w:r>
    </w:p>
    <w:p w14:paraId="7BC83531" w14:textId="77777777" w:rsidR="00AD2D37" w:rsidRPr="006B771F" w:rsidRDefault="00AD2D37" w:rsidP="00AD2D37">
      <w:pPr>
        <w:rPr>
          <w:noProof/>
        </w:rPr>
        <w:sectPr w:rsidR="00AD2D37" w:rsidRPr="006B771F" w:rsidSect="00CA7CFE">
          <w:footerReference w:type="default" r:id="rId14"/>
          <w:footerReference w:type="first" r:id="rId15"/>
          <w:pgSz w:w="11907" w:h="16839"/>
          <w:pgMar w:top="1134" w:right="1418" w:bottom="1134" w:left="1418" w:header="709" w:footer="709" w:gutter="0"/>
          <w:cols w:space="708"/>
          <w:docGrid w:linePitch="360"/>
        </w:sectPr>
      </w:pPr>
    </w:p>
    <w:p w14:paraId="4AAD945B" w14:textId="0C9B886C" w:rsidR="00AD2D37" w:rsidRPr="006B771F" w:rsidRDefault="00B233D7" w:rsidP="00B233D7">
      <w:pPr>
        <w:pStyle w:val="Rfrenceinterinstitutionnelle"/>
        <w:rPr>
          <w:noProof/>
        </w:rPr>
      </w:pPr>
      <w:r w:rsidRPr="00B233D7">
        <w:t>2021/0415 (CNS)</w:t>
      </w:r>
    </w:p>
    <w:p w14:paraId="00215522" w14:textId="534BFF00" w:rsidR="00AD2D37" w:rsidRPr="006B771F" w:rsidRDefault="00A2759C" w:rsidP="00A2759C">
      <w:pPr>
        <w:pStyle w:val="Statut"/>
        <w:rPr>
          <w:noProof/>
        </w:rPr>
      </w:pPr>
      <w:r w:rsidRPr="00A2759C">
        <w:rPr>
          <w:noProof/>
        </w:rPr>
        <w:t>Wniosek</w:t>
      </w:r>
    </w:p>
    <w:p w14:paraId="19CBA650" w14:textId="19EDB66D" w:rsidR="00AD2D37" w:rsidRPr="006B771F" w:rsidRDefault="00A2759C" w:rsidP="00A2759C">
      <w:pPr>
        <w:pStyle w:val="Typedudocument"/>
        <w:rPr>
          <w:noProof/>
        </w:rPr>
      </w:pPr>
      <w:r w:rsidRPr="00A2759C">
        <w:rPr>
          <w:noProof/>
        </w:rPr>
        <w:t>ZALECENIE RADY</w:t>
      </w:r>
    </w:p>
    <w:p w14:paraId="34B7FDF1" w14:textId="6BF912C8" w:rsidR="00AD2D37" w:rsidRPr="006B771F" w:rsidRDefault="00A2759C" w:rsidP="00A2759C">
      <w:pPr>
        <w:pStyle w:val="Titreobjet"/>
        <w:rPr>
          <w:noProof/>
        </w:rPr>
      </w:pPr>
      <w:r w:rsidRPr="00A2759C">
        <w:rPr>
          <w:noProof/>
        </w:rPr>
        <w:t>w sprawie operacyjnej współpracy policyjnej</w:t>
      </w:r>
    </w:p>
    <w:p w14:paraId="1195D536" w14:textId="77777777" w:rsidR="00AD2D37" w:rsidRPr="006B771F" w:rsidRDefault="00AD2D37" w:rsidP="00AD2D37">
      <w:pPr>
        <w:pStyle w:val="Institutionquiagit"/>
        <w:rPr>
          <w:noProof/>
        </w:rPr>
      </w:pPr>
      <w:r w:rsidRPr="006B771F">
        <w:rPr>
          <w:noProof/>
        </w:rPr>
        <w:t>RADA UNII EUROPEJSKIEJ,</w:t>
      </w:r>
    </w:p>
    <w:p w14:paraId="3C212952" w14:textId="7A078B46" w:rsidR="00AD2D37" w:rsidRPr="006B771F" w:rsidRDefault="00AD2D37" w:rsidP="00AD2D37">
      <w:pPr>
        <w:rPr>
          <w:noProof/>
        </w:rPr>
      </w:pPr>
      <w:r w:rsidRPr="006B771F">
        <w:rPr>
          <w:noProof/>
        </w:rPr>
        <w:t>uwzględniając Traktat</w:t>
      </w:r>
      <w:r w:rsidR="00043012" w:rsidRPr="006B771F">
        <w:rPr>
          <w:noProof/>
        </w:rPr>
        <w:t xml:space="preserve"> o</w:t>
      </w:r>
      <w:r w:rsidR="00043012">
        <w:rPr>
          <w:noProof/>
        </w:rPr>
        <w:t> </w:t>
      </w:r>
      <w:r w:rsidR="00043012" w:rsidRPr="006B771F">
        <w:rPr>
          <w:noProof/>
        </w:rPr>
        <w:t>fun</w:t>
      </w:r>
      <w:r w:rsidRPr="006B771F">
        <w:rPr>
          <w:noProof/>
        </w:rPr>
        <w:t>kcjonowaniu Unii Europejskiej,</w:t>
      </w:r>
      <w:r w:rsidR="00043012" w:rsidRPr="006B771F">
        <w:rPr>
          <w:noProof/>
        </w:rPr>
        <w:t xml:space="preserve"> w</w:t>
      </w:r>
      <w:r w:rsidR="00043012">
        <w:rPr>
          <w:noProof/>
        </w:rPr>
        <w:t> </w:t>
      </w:r>
      <w:r w:rsidR="00043012" w:rsidRPr="006B771F">
        <w:rPr>
          <w:noProof/>
        </w:rPr>
        <w:t>szc</w:t>
      </w:r>
      <w:r w:rsidRPr="006B771F">
        <w:rPr>
          <w:noProof/>
        </w:rPr>
        <w:t xml:space="preserve">zególności jego </w:t>
      </w:r>
      <w:r w:rsidRPr="00043012">
        <w:rPr>
          <w:noProof/>
        </w:rPr>
        <w:t>art.</w:t>
      </w:r>
      <w:r w:rsidR="00043012" w:rsidRPr="00043012">
        <w:rPr>
          <w:noProof/>
        </w:rPr>
        <w:t> </w:t>
      </w:r>
      <w:r w:rsidRPr="00043012">
        <w:rPr>
          <w:noProof/>
        </w:rPr>
        <w:t>8</w:t>
      </w:r>
      <w:r w:rsidRPr="006B771F">
        <w:rPr>
          <w:noProof/>
        </w:rPr>
        <w:t xml:space="preserve">7 </w:t>
      </w:r>
      <w:r w:rsidRPr="00043012">
        <w:rPr>
          <w:noProof/>
        </w:rPr>
        <w:t>ust.</w:t>
      </w:r>
      <w:r w:rsidR="00043012" w:rsidRPr="00043012">
        <w:rPr>
          <w:noProof/>
        </w:rPr>
        <w:t> </w:t>
      </w:r>
      <w:r w:rsidRPr="00043012">
        <w:rPr>
          <w:noProof/>
        </w:rPr>
        <w:t>3</w:t>
      </w:r>
      <w:r w:rsidRPr="006B771F">
        <w:rPr>
          <w:noProof/>
        </w:rPr>
        <w:t xml:space="preserve"> oraz </w:t>
      </w:r>
      <w:r w:rsidRPr="00043012">
        <w:rPr>
          <w:noProof/>
        </w:rPr>
        <w:t>art.</w:t>
      </w:r>
      <w:r w:rsidR="00043012" w:rsidRPr="00043012">
        <w:rPr>
          <w:noProof/>
        </w:rPr>
        <w:t> </w:t>
      </w:r>
      <w:r w:rsidRPr="00043012">
        <w:rPr>
          <w:noProof/>
        </w:rPr>
        <w:t>8</w:t>
      </w:r>
      <w:r w:rsidRPr="006B771F">
        <w:rPr>
          <w:noProof/>
        </w:rPr>
        <w:t>9</w:t>
      </w:r>
      <w:r w:rsidR="00043012" w:rsidRPr="006B771F">
        <w:rPr>
          <w:noProof/>
        </w:rPr>
        <w:t xml:space="preserve"> w</w:t>
      </w:r>
      <w:r w:rsidR="00043012">
        <w:rPr>
          <w:noProof/>
        </w:rPr>
        <w:t> </w:t>
      </w:r>
      <w:r w:rsidR="00043012" w:rsidRPr="006B771F">
        <w:rPr>
          <w:noProof/>
        </w:rPr>
        <w:t>zwi</w:t>
      </w:r>
      <w:r w:rsidRPr="006B771F">
        <w:rPr>
          <w:noProof/>
        </w:rPr>
        <w:t>ązku</w:t>
      </w:r>
      <w:r w:rsidR="00043012" w:rsidRPr="006B771F">
        <w:rPr>
          <w:noProof/>
        </w:rPr>
        <w:t xml:space="preserve"> z</w:t>
      </w:r>
      <w:r w:rsidR="00043012">
        <w:rPr>
          <w:noProof/>
        </w:rPr>
        <w:t> </w:t>
      </w:r>
      <w:r w:rsidR="00043012" w:rsidRPr="00043012">
        <w:rPr>
          <w:noProof/>
        </w:rPr>
        <w:t>art</w:t>
      </w:r>
      <w:r w:rsidRPr="00043012">
        <w:rPr>
          <w:noProof/>
        </w:rPr>
        <w:t>.</w:t>
      </w:r>
      <w:r w:rsidR="00043012" w:rsidRPr="00043012">
        <w:rPr>
          <w:noProof/>
        </w:rPr>
        <w:t> </w:t>
      </w:r>
      <w:r w:rsidRPr="00043012">
        <w:rPr>
          <w:noProof/>
        </w:rPr>
        <w:t>2</w:t>
      </w:r>
      <w:r w:rsidRPr="006B771F">
        <w:rPr>
          <w:noProof/>
        </w:rPr>
        <w:t>92,</w:t>
      </w:r>
    </w:p>
    <w:p w14:paraId="5F3B0B2D" w14:textId="77777777" w:rsidR="00AD2D37" w:rsidRPr="006B771F" w:rsidRDefault="00AD2D37" w:rsidP="00AD2D37">
      <w:pPr>
        <w:rPr>
          <w:noProof/>
        </w:rPr>
      </w:pPr>
      <w:r w:rsidRPr="006B771F">
        <w:rPr>
          <w:noProof/>
        </w:rPr>
        <w:t>uwzględniając wniosek Komisji Europejskiej,</w:t>
      </w:r>
    </w:p>
    <w:p w14:paraId="772895C3" w14:textId="77777777" w:rsidR="00AD2D37" w:rsidRPr="006B771F" w:rsidRDefault="00AD2D37" w:rsidP="00AD2D37">
      <w:pPr>
        <w:rPr>
          <w:noProof/>
        </w:rPr>
      </w:pPr>
      <w:r w:rsidRPr="006B771F">
        <w:rPr>
          <w:noProof/>
        </w:rPr>
        <w:t>uwzględniając opinię Parlamentu Europejskiego</w:t>
      </w:r>
      <w:r w:rsidRPr="006B771F">
        <w:rPr>
          <w:rStyle w:val="FootnoteReference0"/>
          <w:noProof/>
        </w:rPr>
        <w:footnoteReference w:id="53"/>
      </w:r>
      <w:r w:rsidRPr="006B771F">
        <w:rPr>
          <w:noProof/>
        </w:rPr>
        <w:t xml:space="preserve">, </w:t>
      </w:r>
    </w:p>
    <w:p w14:paraId="6B064090" w14:textId="77777777" w:rsidR="00AD2D37" w:rsidRPr="006B771F" w:rsidRDefault="00AD2D37" w:rsidP="00AD2D37">
      <w:pPr>
        <w:rPr>
          <w:noProof/>
        </w:rPr>
      </w:pPr>
      <w:r w:rsidRPr="006B771F">
        <w:rPr>
          <w:noProof/>
        </w:rPr>
        <w:t>a także mając na uwadze, co następuje:</w:t>
      </w:r>
    </w:p>
    <w:p w14:paraId="69E7D5B6" w14:textId="48555309" w:rsidR="00AD2D37" w:rsidRPr="006B771F" w:rsidRDefault="005E7503" w:rsidP="005E7503">
      <w:pPr>
        <w:pStyle w:val="ManualConsidrant"/>
        <w:rPr>
          <w:noProof/>
        </w:rPr>
      </w:pPr>
      <w:r w:rsidRPr="005E7503">
        <w:t>(1)</w:t>
      </w:r>
      <w:r w:rsidRPr="005E7503">
        <w:tab/>
      </w:r>
      <w:r w:rsidR="00AD2D37" w:rsidRPr="006B771F">
        <w:rPr>
          <w:noProof/>
        </w:rPr>
        <w:t>Obserwacja transgraniczna</w:t>
      </w:r>
      <w:r w:rsidR="00043012" w:rsidRPr="006B771F">
        <w:rPr>
          <w:noProof/>
        </w:rPr>
        <w:t xml:space="preserve"> i</w:t>
      </w:r>
      <w:r w:rsidR="00043012">
        <w:rPr>
          <w:noProof/>
        </w:rPr>
        <w:t> </w:t>
      </w:r>
      <w:r w:rsidR="00043012" w:rsidRPr="006B771F">
        <w:rPr>
          <w:noProof/>
        </w:rPr>
        <w:t>poś</w:t>
      </w:r>
      <w:r w:rsidR="00AD2D37" w:rsidRPr="006B771F">
        <w:rPr>
          <w:noProof/>
        </w:rPr>
        <w:t>cigi stanowią niezbędne instrumenty operacyjnej współpracy policyjnej,</w:t>
      </w:r>
      <w:r w:rsidR="00043012" w:rsidRPr="006B771F">
        <w:rPr>
          <w:noProof/>
        </w:rPr>
        <w:t xml:space="preserve"> z</w:t>
      </w:r>
      <w:r w:rsidR="00043012">
        <w:rPr>
          <w:noProof/>
        </w:rPr>
        <w:t> </w:t>
      </w:r>
      <w:r w:rsidR="00043012" w:rsidRPr="006B771F">
        <w:rPr>
          <w:noProof/>
        </w:rPr>
        <w:t>bra</w:t>
      </w:r>
      <w:r w:rsidR="00AD2D37" w:rsidRPr="006B771F">
        <w:rPr>
          <w:noProof/>
        </w:rPr>
        <w:t>ku których przestępcy mogą uciec przed policją przez przekroczenie granicy, wykorzystując zmianę jurysdykcji</w:t>
      </w:r>
      <w:r w:rsidR="00043012" w:rsidRPr="006B771F">
        <w:rPr>
          <w:noProof/>
        </w:rPr>
        <w:t xml:space="preserve"> i</w:t>
      </w:r>
      <w:r w:rsidR="00043012">
        <w:rPr>
          <w:noProof/>
        </w:rPr>
        <w:t> </w:t>
      </w:r>
      <w:r w:rsidR="00043012" w:rsidRPr="006B771F">
        <w:rPr>
          <w:noProof/>
        </w:rPr>
        <w:t>bra</w:t>
      </w:r>
      <w:r w:rsidR="00AD2D37" w:rsidRPr="006B771F">
        <w:rPr>
          <w:noProof/>
        </w:rPr>
        <w:t>k ciągłości działania policji. Należy wyeliminować istniejące ograniczenia wprowadzone przez niektóre państwa członkowskie, ponieważ stwarzają one przeszkody dla prowadzenia takich operacji na ich terytorium. Niezbędne jest również dostosowanie pewnych zasad dotyczących angażowania się</w:t>
      </w:r>
      <w:r w:rsidR="00043012" w:rsidRPr="006B771F">
        <w:rPr>
          <w:noProof/>
        </w:rPr>
        <w:t xml:space="preserve"> w</w:t>
      </w:r>
      <w:r w:rsidR="00043012">
        <w:rPr>
          <w:noProof/>
        </w:rPr>
        <w:t> </w:t>
      </w:r>
      <w:r w:rsidR="00043012" w:rsidRPr="006B771F">
        <w:rPr>
          <w:noProof/>
        </w:rPr>
        <w:t>tra</w:t>
      </w:r>
      <w:r w:rsidR="00AD2D37" w:rsidRPr="006B771F">
        <w:rPr>
          <w:noProof/>
        </w:rPr>
        <w:t>nsgraniczne operacje policji mające na celu monitorowanie</w:t>
      </w:r>
      <w:r w:rsidR="00043012" w:rsidRPr="006B771F">
        <w:rPr>
          <w:noProof/>
        </w:rPr>
        <w:t xml:space="preserve"> i</w:t>
      </w:r>
      <w:r w:rsidR="00043012">
        <w:rPr>
          <w:noProof/>
        </w:rPr>
        <w:t> </w:t>
      </w:r>
      <w:r w:rsidR="00043012" w:rsidRPr="006B771F">
        <w:rPr>
          <w:noProof/>
        </w:rPr>
        <w:t>are</w:t>
      </w:r>
      <w:r w:rsidR="00AD2D37" w:rsidRPr="006B771F">
        <w:rPr>
          <w:noProof/>
        </w:rPr>
        <w:t>sztowanie przestępców</w:t>
      </w:r>
      <w:r w:rsidR="00043012" w:rsidRPr="006B771F">
        <w:rPr>
          <w:noProof/>
        </w:rPr>
        <w:t xml:space="preserve"> w</w:t>
      </w:r>
      <w:r w:rsidR="00043012">
        <w:rPr>
          <w:noProof/>
        </w:rPr>
        <w:t> </w:t>
      </w:r>
      <w:r w:rsidR="00043012" w:rsidRPr="006B771F">
        <w:rPr>
          <w:noProof/>
        </w:rPr>
        <w:t>ram</w:t>
      </w:r>
      <w:r w:rsidR="00AD2D37" w:rsidRPr="006B771F">
        <w:rPr>
          <w:noProof/>
        </w:rPr>
        <w:t>ach obserwacji, pościgów</w:t>
      </w:r>
      <w:r w:rsidR="00043012" w:rsidRPr="006B771F">
        <w:rPr>
          <w:noProof/>
        </w:rPr>
        <w:t xml:space="preserve"> i</w:t>
      </w:r>
      <w:r w:rsidR="00043012">
        <w:rPr>
          <w:noProof/>
        </w:rPr>
        <w:t> </w:t>
      </w:r>
      <w:r w:rsidR="00043012" w:rsidRPr="006B771F">
        <w:rPr>
          <w:noProof/>
        </w:rPr>
        <w:t>wsp</w:t>
      </w:r>
      <w:r w:rsidR="00AD2D37" w:rsidRPr="006B771F">
        <w:rPr>
          <w:noProof/>
        </w:rPr>
        <w:t>ólnych operacji.</w:t>
      </w:r>
    </w:p>
    <w:p w14:paraId="7DFE9BA1" w14:textId="5A108F46" w:rsidR="00AD2D37" w:rsidRPr="006B771F" w:rsidRDefault="005E7503" w:rsidP="005E7503">
      <w:pPr>
        <w:pStyle w:val="ManualConsidrant"/>
        <w:rPr>
          <w:noProof/>
        </w:rPr>
      </w:pPr>
      <w:r w:rsidRPr="005E7503">
        <w:t>(2)</w:t>
      </w:r>
      <w:r w:rsidRPr="005E7503">
        <w:tab/>
      </w:r>
      <w:r w:rsidR="00AD2D37" w:rsidRPr="006B771F">
        <w:rPr>
          <w:noProof/>
        </w:rPr>
        <w:t>Ustanawianie stałych wspólnych patroli</w:t>
      </w:r>
      <w:r w:rsidR="00043012" w:rsidRPr="006B771F">
        <w:rPr>
          <w:noProof/>
        </w:rPr>
        <w:t xml:space="preserve"> i</w:t>
      </w:r>
      <w:r w:rsidR="00043012">
        <w:rPr>
          <w:noProof/>
        </w:rPr>
        <w:t> </w:t>
      </w:r>
      <w:r w:rsidR="00043012" w:rsidRPr="006B771F">
        <w:rPr>
          <w:noProof/>
        </w:rPr>
        <w:t>two</w:t>
      </w:r>
      <w:r w:rsidR="00AD2D37" w:rsidRPr="006B771F">
        <w:rPr>
          <w:noProof/>
        </w:rPr>
        <w:t>rzenie innych zdolności</w:t>
      </w:r>
      <w:r w:rsidR="00043012" w:rsidRPr="006B771F">
        <w:rPr>
          <w:noProof/>
        </w:rPr>
        <w:t xml:space="preserve"> w</w:t>
      </w:r>
      <w:r w:rsidR="00043012">
        <w:rPr>
          <w:noProof/>
        </w:rPr>
        <w:t> </w:t>
      </w:r>
      <w:r w:rsidR="00043012" w:rsidRPr="006B771F">
        <w:rPr>
          <w:noProof/>
        </w:rPr>
        <w:t>zak</w:t>
      </w:r>
      <w:r w:rsidR="00AD2D37" w:rsidRPr="006B771F">
        <w:rPr>
          <w:noProof/>
        </w:rPr>
        <w:t>resie wspólnych operacji na wewnątrzunijnych obszarach przygranicznych jest niezbędne, aby poradzić sobie</w:t>
      </w:r>
      <w:r w:rsidR="00043012" w:rsidRPr="006B771F">
        <w:rPr>
          <w:noProof/>
        </w:rPr>
        <w:t xml:space="preserve"> z</w:t>
      </w:r>
      <w:r w:rsidR="00043012">
        <w:rPr>
          <w:noProof/>
        </w:rPr>
        <w:t> </w:t>
      </w:r>
      <w:r w:rsidR="00043012" w:rsidRPr="006B771F">
        <w:rPr>
          <w:noProof/>
        </w:rPr>
        <w:t>dzi</w:t>
      </w:r>
      <w:r w:rsidR="00AD2D37" w:rsidRPr="006B771F">
        <w:rPr>
          <w:noProof/>
        </w:rPr>
        <w:t>ałalnością przestępczą</w:t>
      </w:r>
      <w:r w:rsidR="00043012" w:rsidRPr="006B771F">
        <w:rPr>
          <w:noProof/>
        </w:rPr>
        <w:t xml:space="preserve"> i</w:t>
      </w:r>
      <w:r w:rsidR="00043012">
        <w:rPr>
          <w:noProof/>
        </w:rPr>
        <w:t> </w:t>
      </w:r>
      <w:r w:rsidR="00043012" w:rsidRPr="006B771F">
        <w:rPr>
          <w:noProof/>
        </w:rPr>
        <w:t>wyz</w:t>
      </w:r>
      <w:r w:rsidR="00AD2D37" w:rsidRPr="006B771F">
        <w:rPr>
          <w:noProof/>
        </w:rPr>
        <w:t>waniami dla sił policyjnych powodowanych ciągłą</w:t>
      </w:r>
      <w:r w:rsidR="00043012" w:rsidRPr="006B771F">
        <w:rPr>
          <w:noProof/>
        </w:rPr>
        <w:t xml:space="preserve"> i</w:t>
      </w:r>
      <w:r w:rsidR="00043012">
        <w:rPr>
          <w:noProof/>
        </w:rPr>
        <w:t> </w:t>
      </w:r>
      <w:r w:rsidR="00043012" w:rsidRPr="006B771F">
        <w:rPr>
          <w:noProof/>
        </w:rPr>
        <w:t>wzr</w:t>
      </w:r>
      <w:r w:rsidR="00AD2D37" w:rsidRPr="006B771F">
        <w:rPr>
          <w:noProof/>
        </w:rPr>
        <w:t>astającą mobilnością ludzi, towarów</w:t>
      </w:r>
      <w:r w:rsidR="00043012" w:rsidRPr="006B771F">
        <w:rPr>
          <w:noProof/>
        </w:rPr>
        <w:t xml:space="preserve"> i</w:t>
      </w:r>
      <w:r w:rsidR="00043012">
        <w:rPr>
          <w:noProof/>
        </w:rPr>
        <w:t> </w:t>
      </w:r>
      <w:r w:rsidR="00043012" w:rsidRPr="006B771F">
        <w:rPr>
          <w:noProof/>
        </w:rPr>
        <w:t>usł</w:t>
      </w:r>
      <w:r w:rsidR="00AD2D37" w:rsidRPr="006B771F">
        <w:rPr>
          <w:noProof/>
        </w:rPr>
        <w:t>ug</w:t>
      </w:r>
      <w:r w:rsidR="00043012" w:rsidRPr="006B771F">
        <w:rPr>
          <w:noProof/>
        </w:rPr>
        <w:t xml:space="preserve"> w</w:t>
      </w:r>
      <w:r w:rsidR="00043012">
        <w:rPr>
          <w:noProof/>
        </w:rPr>
        <w:t> </w:t>
      </w:r>
      <w:r w:rsidR="00043012" w:rsidRPr="006B771F">
        <w:rPr>
          <w:noProof/>
        </w:rPr>
        <w:t>Uni</w:t>
      </w:r>
      <w:r w:rsidR="00AD2D37" w:rsidRPr="006B771F">
        <w:rPr>
          <w:noProof/>
        </w:rPr>
        <w:t>i. Istniejące struktury, takie jak centra współpracy policyjno-celnej, powinny rozszerzyć swoją obecną rolę, aby móc planować, wspierać, koordynować</w:t>
      </w:r>
      <w:r w:rsidR="00043012" w:rsidRPr="006B771F">
        <w:rPr>
          <w:noProof/>
        </w:rPr>
        <w:t xml:space="preserve"> i</w:t>
      </w:r>
      <w:r w:rsidR="00043012">
        <w:rPr>
          <w:noProof/>
        </w:rPr>
        <w:t> </w:t>
      </w:r>
      <w:r w:rsidR="00043012" w:rsidRPr="006B771F">
        <w:rPr>
          <w:noProof/>
        </w:rPr>
        <w:t>pro</w:t>
      </w:r>
      <w:r w:rsidR="00AD2D37" w:rsidRPr="006B771F">
        <w:rPr>
          <w:noProof/>
        </w:rPr>
        <w:t>wadzić wspólne patrole</w:t>
      </w:r>
      <w:r w:rsidR="00043012" w:rsidRPr="006B771F">
        <w:rPr>
          <w:noProof/>
        </w:rPr>
        <w:t xml:space="preserve"> i</w:t>
      </w:r>
      <w:r w:rsidR="00043012">
        <w:rPr>
          <w:noProof/>
        </w:rPr>
        <w:t> </w:t>
      </w:r>
      <w:r w:rsidR="00043012" w:rsidRPr="006B771F">
        <w:rPr>
          <w:noProof/>
        </w:rPr>
        <w:t>inn</w:t>
      </w:r>
      <w:r w:rsidR="00AD2D37" w:rsidRPr="006B771F">
        <w:rPr>
          <w:noProof/>
        </w:rPr>
        <w:t>e wspólne operacje</w:t>
      </w:r>
      <w:r w:rsidR="00043012" w:rsidRPr="006B771F">
        <w:rPr>
          <w:noProof/>
        </w:rPr>
        <w:t xml:space="preserve"> w</w:t>
      </w:r>
      <w:r w:rsidR="00043012">
        <w:rPr>
          <w:noProof/>
        </w:rPr>
        <w:t> </w:t>
      </w:r>
      <w:r w:rsidR="00043012" w:rsidRPr="006B771F">
        <w:rPr>
          <w:noProof/>
        </w:rPr>
        <w:t>opa</w:t>
      </w:r>
      <w:r w:rsidR="00AD2D37" w:rsidRPr="006B771F">
        <w:rPr>
          <w:noProof/>
        </w:rPr>
        <w:t>rciu</w:t>
      </w:r>
      <w:r w:rsidR="00043012" w:rsidRPr="006B771F">
        <w:rPr>
          <w:noProof/>
        </w:rPr>
        <w:t xml:space="preserve"> o</w:t>
      </w:r>
      <w:r w:rsidR="00043012">
        <w:rPr>
          <w:noProof/>
        </w:rPr>
        <w:t> </w:t>
      </w:r>
      <w:r w:rsidR="00043012" w:rsidRPr="006B771F">
        <w:rPr>
          <w:noProof/>
        </w:rPr>
        <w:t>wsp</w:t>
      </w:r>
      <w:r w:rsidR="00AD2D37" w:rsidRPr="006B771F">
        <w:rPr>
          <w:noProof/>
        </w:rPr>
        <w:t>ólną analizę ryzyka</w:t>
      </w:r>
      <w:r w:rsidR="00043012" w:rsidRPr="006B771F">
        <w:rPr>
          <w:noProof/>
        </w:rPr>
        <w:t xml:space="preserve"> i</w:t>
      </w:r>
      <w:r w:rsidR="00043012">
        <w:rPr>
          <w:noProof/>
        </w:rPr>
        <w:t> </w:t>
      </w:r>
      <w:r w:rsidR="00043012" w:rsidRPr="006B771F">
        <w:rPr>
          <w:noProof/>
        </w:rPr>
        <w:t>oce</w:t>
      </w:r>
      <w:r w:rsidR="00AD2D37" w:rsidRPr="006B771F">
        <w:rPr>
          <w:noProof/>
        </w:rPr>
        <w:t>nę potrzeb, zgodnie</w:t>
      </w:r>
      <w:r w:rsidR="00043012" w:rsidRPr="006B771F">
        <w:rPr>
          <w:noProof/>
        </w:rPr>
        <w:t xml:space="preserve"> z</w:t>
      </w:r>
      <w:r w:rsidR="00043012">
        <w:rPr>
          <w:noProof/>
        </w:rPr>
        <w:t> </w:t>
      </w:r>
      <w:r w:rsidR="00043012" w:rsidRPr="006B771F">
        <w:rPr>
          <w:noProof/>
        </w:rPr>
        <w:t>obo</w:t>
      </w:r>
      <w:r w:rsidR="00AD2D37" w:rsidRPr="006B771F">
        <w:rPr>
          <w:noProof/>
        </w:rPr>
        <w:t>wiązującymi wymogami prawnymi,</w:t>
      </w:r>
      <w:r w:rsidR="00043012" w:rsidRPr="006B771F">
        <w:rPr>
          <w:noProof/>
        </w:rPr>
        <w:t xml:space="preserve"> w</w:t>
      </w:r>
      <w:r w:rsidR="00043012">
        <w:rPr>
          <w:noProof/>
        </w:rPr>
        <w:t> </w:t>
      </w:r>
      <w:r w:rsidR="00043012" w:rsidRPr="006B771F">
        <w:rPr>
          <w:noProof/>
        </w:rPr>
        <w:t>cel</w:t>
      </w:r>
      <w:r w:rsidR="00AD2D37" w:rsidRPr="006B771F">
        <w:rPr>
          <w:noProof/>
        </w:rPr>
        <w:t>u zapobiegania przestępstwom transgranicznym</w:t>
      </w:r>
      <w:r w:rsidR="00043012" w:rsidRPr="006B771F">
        <w:rPr>
          <w:noProof/>
        </w:rPr>
        <w:t xml:space="preserve"> i</w:t>
      </w:r>
      <w:r w:rsidR="00043012">
        <w:rPr>
          <w:noProof/>
        </w:rPr>
        <w:t> </w:t>
      </w:r>
      <w:r w:rsidR="00043012" w:rsidRPr="006B771F">
        <w:rPr>
          <w:noProof/>
        </w:rPr>
        <w:t>ich</w:t>
      </w:r>
      <w:r w:rsidR="00AD2D37" w:rsidRPr="006B771F">
        <w:rPr>
          <w:noProof/>
        </w:rPr>
        <w:t xml:space="preserve"> wykrywania oraz wspierania postępowań przygotowawczych prowadzonych na wewnątrzunijnych obszarach przygranicznych</w:t>
      </w:r>
      <w:r w:rsidR="00043012" w:rsidRPr="006B771F">
        <w:rPr>
          <w:noProof/>
        </w:rPr>
        <w:t xml:space="preserve"> w</w:t>
      </w:r>
      <w:r w:rsidR="00043012">
        <w:rPr>
          <w:noProof/>
        </w:rPr>
        <w:t> </w:t>
      </w:r>
      <w:r w:rsidR="00043012" w:rsidRPr="006B771F">
        <w:rPr>
          <w:noProof/>
        </w:rPr>
        <w:t>odn</w:t>
      </w:r>
      <w:r w:rsidR="00AD2D37" w:rsidRPr="006B771F">
        <w:rPr>
          <w:noProof/>
        </w:rPr>
        <w:t>iesieniu do takich przestępstw.</w:t>
      </w:r>
    </w:p>
    <w:p w14:paraId="2BA55AA3" w14:textId="00C32935" w:rsidR="00AD2D37" w:rsidRPr="006B771F" w:rsidRDefault="005E7503" w:rsidP="005E7503">
      <w:pPr>
        <w:pStyle w:val="ManualConsidrant"/>
        <w:rPr>
          <w:noProof/>
        </w:rPr>
      </w:pPr>
      <w:r w:rsidRPr="005E7503">
        <w:t>(3)</w:t>
      </w:r>
      <w:r w:rsidRPr="005E7503">
        <w:tab/>
      </w:r>
      <w:r w:rsidR="00AD2D37" w:rsidRPr="006B771F">
        <w:rPr>
          <w:noProof/>
        </w:rPr>
        <w:t>Siatki przestępcze zajmujące się przemytem migrantów</w:t>
      </w:r>
      <w:r w:rsidR="00043012" w:rsidRPr="006B771F">
        <w:rPr>
          <w:noProof/>
        </w:rPr>
        <w:t xml:space="preserve"> i</w:t>
      </w:r>
      <w:r w:rsidR="00043012">
        <w:rPr>
          <w:noProof/>
        </w:rPr>
        <w:t> </w:t>
      </w:r>
      <w:r w:rsidR="00043012" w:rsidRPr="006B771F">
        <w:rPr>
          <w:noProof/>
        </w:rPr>
        <w:t>han</w:t>
      </w:r>
      <w:r w:rsidR="00AD2D37" w:rsidRPr="006B771F">
        <w:rPr>
          <w:noProof/>
        </w:rPr>
        <w:t>dlem ludźmi wykorzystują brak granic wewnętrznych na obszarze bez kontroli na granicach wewnętrznych („strefa Schengen”), aby ułatwiać niedozwolone przemieszczanie się migrantów</w:t>
      </w:r>
      <w:r w:rsidR="00043012" w:rsidRPr="006B771F">
        <w:rPr>
          <w:noProof/>
        </w:rPr>
        <w:t xml:space="preserve"> o</w:t>
      </w:r>
      <w:r w:rsidR="00043012">
        <w:rPr>
          <w:noProof/>
        </w:rPr>
        <w:t> </w:t>
      </w:r>
      <w:r w:rsidR="00043012" w:rsidRPr="006B771F">
        <w:rPr>
          <w:noProof/>
        </w:rPr>
        <w:t>nie</w:t>
      </w:r>
      <w:r w:rsidR="00AD2D37" w:rsidRPr="006B771F">
        <w:rPr>
          <w:noProof/>
        </w:rPr>
        <w:t>uregulowanym statusie</w:t>
      </w:r>
      <w:r w:rsidR="00043012" w:rsidRPr="006B771F">
        <w:rPr>
          <w:noProof/>
        </w:rPr>
        <w:t xml:space="preserve"> i</w:t>
      </w:r>
      <w:r w:rsidR="00043012">
        <w:rPr>
          <w:noProof/>
        </w:rPr>
        <w:t> </w:t>
      </w:r>
      <w:r w:rsidR="00043012" w:rsidRPr="006B771F">
        <w:rPr>
          <w:noProof/>
        </w:rPr>
        <w:t>wyk</w:t>
      </w:r>
      <w:r w:rsidR="00AD2D37" w:rsidRPr="006B771F">
        <w:rPr>
          <w:noProof/>
        </w:rPr>
        <w:t>orzystywać dla zysku trudną sytuację ofiar. Skuteczna unijna polityka powrotowa wymaga efektywnych</w:t>
      </w:r>
      <w:r w:rsidR="00043012" w:rsidRPr="006B771F">
        <w:rPr>
          <w:noProof/>
        </w:rPr>
        <w:t xml:space="preserve"> i</w:t>
      </w:r>
      <w:r w:rsidR="00043012">
        <w:rPr>
          <w:noProof/>
        </w:rPr>
        <w:t> </w:t>
      </w:r>
      <w:r w:rsidR="00043012" w:rsidRPr="006B771F">
        <w:rPr>
          <w:noProof/>
        </w:rPr>
        <w:t>pro</w:t>
      </w:r>
      <w:r w:rsidR="00AD2D37" w:rsidRPr="006B771F">
        <w:rPr>
          <w:noProof/>
        </w:rPr>
        <w:t>porcjonalnych środków służących zatrzymywaniu</w:t>
      </w:r>
      <w:r w:rsidR="00043012" w:rsidRPr="006B771F">
        <w:rPr>
          <w:noProof/>
        </w:rPr>
        <w:t xml:space="preserve"> i</w:t>
      </w:r>
      <w:r w:rsidR="00043012">
        <w:rPr>
          <w:noProof/>
        </w:rPr>
        <w:t> </w:t>
      </w:r>
      <w:r w:rsidR="00043012" w:rsidRPr="006B771F">
        <w:rPr>
          <w:noProof/>
        </w:rPr>
        <w:t>ide</w:t>
      </w:r>
      <w:r w:rsidR="00AD2D37" w:rsidRPr="006B771F">
        <w:rPr>
          <w:noProof/>
        </w:rPr>
        <w:t>ntyfikacji migrantów</w:t>
      </w:r>
      <w:r w:rsidR="00043012" w:rsidRPr="006B771F">
        <w:rPr>
          <w:noProof/>
        </w:rPr>
        <w:t xml:space="preserve"> o</w:t>
      </w:r>
      <w:r w:rsidR="00043012">
        <w:rPr>
          <w:noProof/>
        </w:rPr>
        <w:t> </w:t>
      </w:r>
      <w:r w:rsidR="00043012" w:rsidRPr="006B771F">
        <w:rPr>
          <w:noProof/>
        </w:rPr>
        <w:t>nie</w:t>
      </w:r>
      <w:r w:rsidR="00AD2D37" w:rsidRPr="006B771F">
        <w:rPr>
          <w:noProof/>
        </w:rPr>
        <w:t>uregulowanym statusie</w:t>
      </w:r>
      <w:r w:rsidR="00043012" w:rsidRPr="006B771F">
        <w:rPr>
          <w:noProof/>
        </w:rPr>
        <w:t>. W</w:t>
      </w:r>
      <w:r w:rsidR="00043012">
        <w:rPr>
          <w:noProof/>
        </w:rPr>
        <w:t> </w:t>
      </w:r>
      <w:r w:rsidR="00043012" w:rsidRPr="006B771F">
        <w:rPr>
          <w:noProof/>
        </w:rPr>
        <w:t>zwi</w:t>
      </w:r>
      <w:r w:rsidR="00AD2D37" w:rsidRPr="006B771F">
        <w:rPr>
          <w:noProof/>
        </w:rPr>
        <w:t>ązku</w:t>
      </w:r>
      <w:r w:rsidR="00043012" w:rsidRPr="006B771F">
        <w:rPr>
          <w:noProof/>
        </w:rPr>
        <w:t xml:space="preserve"> z</w:t>
      </w:r>
      <w:r w:rsidR="00043012">
        <w:rPr>
          <w:noProof/>
        </w:rPr>
        <w:t> </w:t>
      </w:r>
      <w:r w:rsidR="00043012" w:rsidRPr="006B771F">
        <w:rPr>
          <w:noProof/>
        </w:rPr>
        <w:t>tym</w:t>
      </w:r>
      <w:r w:rsidR="00AD2D37" w:rsidRPr="006B771F">
        <w:rPr>
          <w:noProof/>
        </w:rPr>
        <w:t xml:space="preserve"> należy zachęcać do koordynacji,</w:t>
      </w:r>
      <w:r w:rsidR="00043012" w:rsidRPr="006B771F">
        <w:rPr>
          <w:noProof/>
        </w:rPr>
        <w:t xml:space="preserve"> w</w:t>
      </w:r>
      <w:r w:rsidR="00043012">
        <w:rPr>
          <w:noProof/>
        </w:rPr>
        <w:t> </w:t>
      </w:r>
      <w:r w:rsidR="00043012" w:rsidRPr="006B771F">
        <w:rPr>
          <w:noProof/>
        </w:rPr>
        <w:t>szc</w:t>
      </w:r>
      <w:r w:rsidR="00AD2D37" w:rsidRPr="006B771F">
        <w:rPr>
          <w:noProof/>
        </w:rPr>
        <w:t>zególności</w:t>
      </w:r>
      <w:r w:rsidR="00043012" w:rsidRPr="006B771F">
        <w:rPr>
          <w:noProof/>
        </w:rPr>
        <w:t xml:space="preserve"> z</w:t>
      </w:r>
      <w:r w:rsidR="00043012">
        <w:rPr>
          <w:noProof/>
        </w:rPr>
        <w:t> </w:t>
      </w:r>
      <w:r w:rsidR="00043012" w:rsidRPr="006B771F">
        <w:rPr>
          <w:noProof/>
        </w:rPr>
        <w:t>wyk</w:t>
      </w:r>
      <w:r w:rsidR="00AD2D37" w:rsidRPr="006B771F">
        <w:rPr>
          <w:noProof/>
        </w:rPr>
        <w:t>orzystaniem mechanizmów,</w:t>
      </w:r>
      <w:r w:rsidR="00043012" w:rsidRPr="006B771F">
        <w:rPr>
          <w:noProof/>
        </w:rPr>
        <w:t xml:space="preserve"> o</w:t>
      </w:r>
      <w:r w:rsidR="00043012">
        <w:rPr>
          <w:noProof/>
        </w:rPr>
        <w:t> </w:t>
      </w:r>
      <w:r w:rsidR="00043012" w:rsidRPr="006B771F">
        <w:rPr>
          <w:noProof/>
        </w:rPr>
        <w:t>któ</w:t>
      </w:r>
      <w:r w:rsidR="00AD2D37" w:rsidRPr="006B771F">
        <w:rPr>
          <w:noProof/>
        </w:rPr>
        <w:t>rych mowa</w:t>
      </w:r>
      <w:r w:rsidR="00043012" w:rsidRPr="006B771F">
        <w:rPr>
          <w:noProof/>
        </w:rPr>
        <w:t xml:space="preserve"> w</w:t>
      </w:r>
      <w:r w:rsidR="00043012">
        <w:rPr>
          <w:noProof/>
        </w:rPr>
        <w:t> </w:t>
      </w:r>
      <w:r w:rsidR="00043012" w:rsidRPr="00043012">
        <w:rPr>
          <w:noProof/>
        </w:rPr>
        <w:t>art</w:t>
      </w:r>
      <w:r w:rsidR="00AD2D37" w:rsidRPr="00043012">
        <w:rPr>
          <w:noProof/>
        </w:rPr>
        <w:t>.</w:t>
      </w:r>
      <w:r w:rsidR="00043012" w:rsidRPr="00043012">
        <w:rPr>
          <w:noProof/>
        </w:rPr>
        <w:t> </w:t>
      </w:r>
      <w:r w:rsidR="00AD2D37" w:rsidRPr="00043012">
        <w:rPr>
          <w:noProof/>
        </w:rPr>
        <w:t>6</w:t>
      </w:r>
      <w:r w:rsidR="00AD2D37" w:rsidRPr="006B771F">
        <w:rPr>
          <w:noProof/>
        </w:rPr>
        <w:t xml:space="preserve"> </w:t>
      </w:r>
      <w:r w:rsidR="00AD2D37" w:rsidRPr="00043012">
        <w:rPr>
          <w:noProof/>
        </w:rPr>
        <w:t>ust.</w:t>
      </w:r>
      <w:r w:rsidR="00043012" w:rsidRPr="00043012">
        <w:rPr>
          <w:noProof/>
        </w:rPr>
        <w:t> </w:t>
      </w:r>
      <w:r w:rsidR="00AD2D37" w:rsidRPr="00043012">
        <w:rPr>
          <w:noProof/>
        </w:rPr>
        <w:t>3</w:t>
      </w:r>
      <w:r w:rsidR="00AD2D37" w:rsidRPr="006B771F">
        <w:rPr>
          <w:noProof/>
        </w:rPr>
        <w:t xml:space="preserve"> dyrektywy Parlamentu Europejskiego</w:t>
      </w:r>
      <w:r w:rsidR="00043012" w:rsidRPr="006B771F">
        <w:rPr>
          <w:noProof/>
        </w:rPr>
        <w:t xml:space="preserve"> i</w:t>
      </w:r>
      <w:r w:rsidR="00043012">
        <w:rPr>
          <w:noProof/>
        </w:rPr>
        <w:t> </w:t>
      </w:r>
      <w:r w:rsidR="00043012" w:rsidRPr="006B771F">
        <w:rPr>
          <w:noProof/>
        </w:rPr>
        <w:t>Rad</w:t>
      </w:r>
      <w:r w:rsidR="00AD2D37" w:rsidRPr="006B771F">
        <w:rPr>
          <w:noProof/>
        </w:rPr>
        <w:t>y 2008/115/WE</w:t>
      </w:r>
      <w:r w:rsidR="00AD2D37" w:rsidRPr="006B771F">
        <w:rPr>
          <w:rStyle w:val="FootnoteReference0"/>
          <w:noProof/>
        </w:rPr>
        <w:footnoteReference w:id="54"/>
      </w:r>
      <w:r w:rsidR="00AD2D37" w:rsidRPr="006B771F">
        <w:rPr>
          <w:noProof/>
        </w:rPr>
        <w:t>, aby przyczynić się do zapobiegania niedozwolonemu przemieszczaniu się migrantów</w:t>
      </w:r>
      <w:r w:rsidR="00043012" w:rsidRPr="006B771F">
        <w:rPr>
          <w:noProof/>
        </w:rPr>
        <w:t xml:space="preserve"> o</w:t>
      </w:r>
      <w:r w:rsidR="00043012">
        <w:rPr>
          <w:noProof/>
        </w:rPr>
        <w:t> </w:t>
      </w:r>
      <w:r w:rsidR="00043012" w:rsidRPr="006B771F">
        <w:rPr>
          <w:noProof/>
        </w:rPr>
        <w:t>nie</w:t>
      </w:r>
      <w:r w:rsidR="00AD2D37" w:rsidRPr="006B771F">
        <w:rPr>
          <w:noProof/>
        </w:rPr>
        <w:t>uregulowanym statusie</w:t>
      </w:r>
      <w:r w:rsidR="00043012" w:rsidRPr="006B771F">
        <w:rPr>
          <w:noProof/>
        </w:rPr>
        <w:t xml:space="preserve"> i</w:t>
      </w:r>
      <w:r w:rsidR="00043012">
        <w:rPr>
          <w:noProof/>
        </w:rPr>
        <w:t> </w:t>
      </w:r>
      <w:r w:rsidR="00043012" w:rsidRPr="006B771F">
        <w:rPr>
          <w:noProof/>
        </w:rPr>
        <w:t>rea</w:t>
      </w:r>
      <w:r w:rsidR="00AD2D37" w:rsidRPr="006B771F">
        <w:rPr>
          <w:noProof/>
        </w:rPr>
        <w:t>gowania na nie oraz pomóc</w:t>
      </w:r>
      <w:r w:rsidR="00043012" w:rsidRPr="006B771F">
        <w:rPr>
          <w:noProof/>
        </w:rPr>
        <w:t xml:space="preserve"> w</w:t>
      </w:r>
      <w:r w:rsidR="00043012">
        <w:rPr>
          <w:noProof/>
        </w:rPr>
        <w:t> </w:t>
      </w:r>
      <w:r w:rsidR="00043012" w:rsidRPr="006B771F">
        <w:rPr>
          <w:noProof/>
        </w:rPr>
        <w:t>eli</w:t>
      </w:r>
      <w:r w:rsidR="00AD2D37" w:rsidRPr="006B771F">
        <w:rPr>
          <w:noProof/>
        </w:rPr>
        <w:t>minowaniu zagrożenia dla porządku publicznego lub bezpieczeństwa wewnętrznego przy jednoczesnym ograniczaniu wpływu na przepływ podróżnych</w:t>
      </w:r>
      <w:r w:rsidR="00043012" w:rsidRPr="006B771F">
        <w:rPr>
          <w:noProof/>
        </w:rPr>
        <w:t xml:space="preserve"> w</w:t>
      </w:r>
      <w:r w:rsidR="00043012">
        <w:rPr>
          <w:noProof/>
        </w:rPr>
        <w:t> </w:t>
      </w:r>
      <w:r w:rsidR="00043012" w:rsidRPr="006B771F">
        <w:rPr>
          <w:noProof/>
        </w:rPr>
        <w:t>dob</w:t>
      </w:r>
      <w:r w:rsidR="00AD2D37" w:rsidRPr="006B771F">
        <w:rPr>
          <w:noProof/>
        </w:rPr>
        <w:t>rej wierze. Wobec braku kontroli na granicach wewnętrznych ukierunkowane wspólne patrole</w:t>
      </w:r>
      <w:r w:rsidR="00043012" w:rsidRPr="006B771F">
        <w:rPr>
          <w:noProof/>
        </w:rPr>
        <w:t xml:space="preserve"> i</w:t>
      </w:r>
      <w:r w:rsidR="00043012">
        <w:rPr>
          <w:noProof/>
        </w:rPr>
        <w:t> </w:t>
      </w:r>
      <w:r w:rsidR="00043012" w:rsidRPr="006B771F">
        <w:rPr>
          <w:noProof/>
        </w:rPr>
        <w:t>inn</w:t>
      </w:r>
      <w:r w:rsidR="00AD2D37" w:rsidRPr="006B771F">
        <w:rPr>
          <w:noProof/>
        </w:rPr>
        <w:t>e wspólne operacje na wewnątrzunijnych obszarach przygranicznych stanowią cenne narzędzie na rzecz przeciwdziałania przemytowi migrantów</w:t>
      </w:r>
      <w:r w:rsidR="00043012" w:rsidRPr="006B771F">
        <w:rPr>
          <w:noProof/>
        </w:rPr>
        <w:t xml:space="preserve"> i</w:t>
      </w:r>
      <w:r w:rsidR="00043012">
        <w:rPr>
          <w:noProof/>
        </w:rPr>
        <w:t> </w:t>
      </w:r>
      <w:r w:rsidR="00043012" w:rsidRPr="006B771F">
        <w:rPr>
          <w:noProof/>
        </w:rPr>
        <w:t>han</w:t>
      </w:r>
      <w:r w:rsidR="00AD2D37" w:rsidRPr="006B771F">
        <w:rPr>
          <w:noProof/>
        </w:rPr>
        <w:t>dlowi ludźmi, zapobiegania nielegalnym pobytom</w:t>
      </w:r>
      <w:r w:rsidR="00043012" w:rsidRPr="006B771F">
        <w:rPr>
          <w:noProof/>
        </w:rPr>
        <w:t xml:space="preserve"> i</w:t>
      </w:r>
      <w:r w:rsidR="00043012">
        <w:rPr>
          <w:noProof/>
        </w:rPr>
        <w:t> </w:t>
      </w:r>
      <w:r w:rsidR="00043012" w:rsidRPr="006B771F">
        <w:rPr>
          <w:noProof/>
        </w:rPr>
        <w:t>prz</w:t>
      </w:r>
      <w:r w:rsidR="00AD2D37" w:rsidRPr="006B771F">
        <w:rPr>
          <w:noProof/>
        </w:rPr>
        <w:t>estępczości transgranicznej związanej</w:t>
      </w:r>
      <w:r w:rsidR="00043012" w:rsidRPr="006B771F">
        <w:rPr>
          <w:noProof/>
        </w:rPr>
        <w:t xml:space="preserve"> z</w:t>
      </w:r>
      <w:r w:rsidR="00043012">
        <w:rPr>
          <w:noProof/>
        </w:rPr>
        <w:t> </w:t>
      </w:r>
      <w:r w:rsidR="00043012" w:rsidRPr="006B771F">
        <w:rPr>
          <w:noProof/>
        </w:rPr>
        <w:t>mig</w:t>
      </w:r>
      <w:r w:rsidR="00AD2D37" w:rsidRPr="006B771F">
        <w:rPr>
          <w:noProof/>
        </w:rPr>
        <w:t>racją nieuregulowaną oraz wykrywania ich, jak też na rzecz ułatwiania skutecznego praktycznego wdrażania dwustronnych umów</w:t>
      </w:r>
      <w:r w:rsidR="00043012" w:rsidRPr="006B771F">
        <w:rPr>
          <w:noProof/>
        </w:rPr>
        <w:t xml:space="preserve"> o</w:t>
      </w:r>
      <w:r w:rsidR="00043012">
        <w:rPr>
          <w:noProof/>
        </w:rPr>
        <w:t> </w:t>
      </w:r>
      <w:r w:rsidR="00043012" w:rsidRPr="006B771F">
        <w:rPr>
          <w:noProof/>
        </w:rPr>
        <w:t>rea</w:t>
      </w:r>
      <w:r w:rsidR="00AD2D37" w:rsidRPr="006B771F">
        <w:rPr>
          <w:noProof/>
        </w:rPr>
        <w:t>dmisji przy jednoczesnym przestrzeganiu zalecenia Komisji (UE) 2017/432</w:t>
      </w:r>
      <w:r w:rsidR="00AD2D37" w:rsidRPr="006B771F">
        <w:rPr>
          <w:rStyle w:val="FootnoteReference0"/>
          <w:noProof/>
        </w:rPr>
        <w:footnoteReference w:id="55"/>
      </w:r>
      <w:r w:rsidR="00AD2D37" w:rsidRPr="006B771F">
        <w:rPr>
          <w:noProof/>
        </w:rPr>
        <w:t>. Skuteczne zwalczanie handlu ludźmi wymaga współpracy policyjnej</w:t>
      </w:r>
      <w:r w:rsidR="00043012" w:rsidRPr="006B771F">
        <w:rPr>
          <w:noProof/>
        </w:rPr>
        <w:t xml:space="preserve"> w</w:t>
      </w:r>
      <w:r w:rsidR="00043012">
        <w:rPr>
          <w:noProof/>
        </w:rPr>
        <w:t> </w:t>
      </w:r>
      <w:r w:rsidR="00043012" w:rsidRPr="006B771F">
        <w:rPr>
          <w:noProof/>
        </w:rPr>
        <w:t>kon</w:t>
      </w:r>
      <w:r w:rsidR="00AD2D37" w:rsidRPr="006B771F">
        <w:rPr>
          <w:noProof/>
        </w:rPr>
        <w:t>tekście zarówno krajowym, jak</w:t>
      </w:r>
      <w:r w:rsidR="00043012" w:rsidRPr="006B771F">
        <w:rPr>
          <w:noProof/>
        </w:rPr>
        <w:t xml:space="preserve"> i</w:t>
      </w:r>
      <w:r w:rsidR="00043012">
        <w:rPr>
          <w:noProof/>
        </w:rPr>
        <w:t> </w:t>
      </w:r>
      <w:r w:rsidR="00043012" w:rsidRPr="006B771F">
        <w:rPr>
          <w:noProof/>
        </w:rPr>
        <w:t>tra</w:t>
      </w:r>
      <w:r w:rsidR="00AD2D37" w:rsidRPr="006B771F">
        <w:rPr>
          <w:noProof/>
        </w:rPr>
        <w:t>nsnarodowym, aby identyfikować</w:t>
      </w:r>
      <w:r w:rsidR="00043012" w:rsidRPr="006B771F">
        <w:rPr>
          <w:noProof/>
        </w:rPr>
        <w:t xml:space="preserve"> i</w:t>
      </w:r>
      <w:r w:rsidR="00043012">
        <w:rPr>
          <w:noProof/>
        </w:rPr>
        <w:t> </w:t>
      </w:r>
      <w:r w:rsidR="00043012" w:rsidRPr="006B771F">
        <w:rPr>
          <w:noProof/>
        </w:rPr>
        <w:t>wsp</w:t>
      </w:r>
      <w:r w:rsidR="00AD2D37" w:rsidRPr="006B771F">
        <w:rPr>
          <w:noProof/>
        </w:rPr>
        <w:t>ierać ofiary,</w:t>
      </w:r>
      <w:r w:rsidR="00043012" w:rsidRPr="006B771F">
        <w:rPr>
          <w:noProof/>
        </w:rPr>
        <w:t xml:space="preserve"> a</w:t>
      </w:r>
      <w:r w:rsidR="00043012">
        <w:rPr>
          <w:noProof/>
        </w:rPr>
        <w:t> </w:t>
      </w:r>
      <w:r w:rsidR="00043012" w:rsidRPr="006B771F">
        <w:rPr>
          <w:noProof/>
        </w:rPr>
        <w:t>tak</w:t>
      </w:r>
      <w:r w:rsidR="00AD2D37" w:rsidRPr="006B771F">
        <w:rPr>
          <w:noProof/>
        </w:rPr>
        <w:t>że udoskonalić działania</w:t>
      </w:r>
      <w:r w:rsidR="00043012" w:rsidRPr="006B771F">
        <w:rPr>
          <w:noProof/>
        </w:rPr>
        <w:t xml:space="preserve"> w</w:t>
      </w:r>
      <w:r w:rsidR="00043012">
        <w:rPr>
          <w:noProof/>
        </w:rPr>
        <w:t> </w:t>
      </w:r>
      <w:r w:rsidR="00043012" w:rsidRPr="006B771F">
        <w:rPr>
          <w:noProof/>
        </w:rPr>
        <w:t>zak</w:t>
      </w:r>
      <w:r w:rsidR="00AD2D37" w:rsidRPr="006B771F">
        <w:rPr>
          <w:noProof/>
        </w:rPr>
        <w:t>resie postępowań karnych</w:t>
      </w:r>
      <w:r w:rsidR="00043012" w:rsidRPr="006B771F">
        <w:rPr>
          <w:noProof/>
        </w:rPr>
        <w:t xml:space="preserve"> i</w:t>
      </w:r>
      <w:r w:rsidR="00043012">
        <w:rPr>
          <w:noProof/>
        </w:rPr>
        <w:t> </w:t>
      </w:r>
      <w:r w:rsidR="00043012" w:rsidRPr="006B771F">
        <w:rPr>
          <w:noProof/>
        </w:rPr>
        <w:t>wyr</w:t>
      </w:r>
      <w:r w:rsidR="00AD2D37" w:rsidRPr="006B771F">
        <w:rPr>
          <w:noProof/>
        </w:rPr>
        <w:t>oków skazujących wobec handlarzy ludźmi.</w:t>
      </w:r>
    </w:p>
    <w:p w14:paraId="0192EF78" w14:textId="44B577D6" w:rsidR="00AD2D37" w:rsidRPr="006B771F" w:rsidRDefault="005E7503" w:rsidP="005E7503">
      <w:pPr>
        <w:pStyle w:val="ManualConsidrant"/>
        <w:rPr>
          <w:noProof/>
        </w:rPr>
      </w:pPr>
      <w:r w:rsidRPr="005E7503">
        <w:t>(4)</w:t>
      </w:r>
      <w:r w:rsidRPr="005E7503">
        <w:tab/>
      </w:r>
      <w:r w:rsidR="00AD2D37" w:rsidRPr="006B771F">
        <w:rPr>
          <w:noProof/>
        </w:rPr>
        <w:t>Ograniczona dostępność sił policyjnych, które państwa członkowskie mogą rozmieszczać za granicą, oraz brak skoordynowanego rozmieszczenia</w:t>
      </w:r>
      <w:r w:rsidR="00043012" w:rsidRPr="006B771F">
        <w:rPr>
          <w:noProof/>
        </w:rPr>
        <w:t xml:space="preserve"> w</w:t>
      </w:r>
      <w:r w:rsidR="00043012">
        <w:rPr>
          <w:noProof/>
        </w:rPr>
        <w:t> </w:t>
      </w:r>
      <w:r w:rsidR="00043012" w:rsidRPr="006B771F">
        <w:rPr>
          <w:noProof/>
        </w:rPr>
        <w:t>opa</w:t>
      </w:r>
      <w:r w:rsidR="00AD2D37" w:rsidRPr="006B771F">
        <w:rPr>
          <w:noProof/>
        </w:rPr>
        <w:t>rciu</w:t>
      </w:r>
      <w:r w:rsidR="00043012" w:rsidRPr="006B771F">
        <w:rPr>
          <w:noProof/>
        </w:rPr>
        <w:t xml:space="preserve"> o</w:t>
      </w:r>
      <w:r w:rsidR="00043012">
        <w:rPr>
          <w:noProof/>
        </w:rPr>
        <w:t> </w:t>
      </w:r>
      <w:r w:rsidR="00043012" w:rsidRPr="006B771F">
        <w:rPr>
          <w:noProof/>
        </w:rPr>
        <w:t>wcz</w:t>
      </w:r>
      <w:r w:rsidR="00AD2D37" w:rsidRPr="006B771F">
        <w:rPr>
          <w:noProof/>
        </w:rPr>
        <w:t>eśniejszą wspólną analizę mogą spowodować nieskuteczność rozmieszczania policji</w:t>
      </w:r>
      <w:r w:rsidR="00043012" w:rsidRPr="006B771F">
        <w:rPr>
          <w:noProof/>
        </w:rPr>
        <w:t xml:space="preserve"> w</w:t>
      </w:r>
      <w:r w:rsidR="00043012">
        <w:rPr>
          <w:noProof/>
        </w:rPr>
        <w:t> </w:t>
      </w:r>
      <w:r w:rsidR="00043012" w:rsidRPr="006B771F">
        <w:rPr>
          <w:noProof/>
        </w:rPr>
        <w:t>inn</w:t>
      </w:r>
      <w:r w:rsidR="00AD2D37" w:rsidRPr="006B771F">
        <w:rPr>
          <w:noProof/>
        </w:rPr>
        <w:t>ych państwach członkowskich. Unijna platforma koordynacyjna,</w:t>
      </w:r>
      <w:r w:rsidR="00043012" w:rsidRPr="006B771F">
        <w:rPr>
          <w:noProof/>
        </w:rPr>
        <w:t xml:space="preserve"> w</w:t>
      </w:r>
      <w:r w:rsidR="00043012">
        <w:rPr>
          <w:noProof/>
        </w:rPr>
        <w:t> </w:t>
      </w:r>
      <w:r w:rsidR="00043012" w:rsidRPr="006B771F">
        <w:rPr>
          <w:noProof/>
        </w:rPr>
        <w:t>ram</w:t>
      </w:r>
      <w:r w:rsidR="00AD2D37" w:rsidRPr="006B771F">
        <w:rPr>
          <w:noProof/>
        </w:rPr>
        <w:t>ach której państwa członkowskie mogłyby wymieniać się informacjami na temat swoich potrzeb</w:t>
      </w:r>
      <w:r w:rsidR="00043012" w:rsidRPr="006B771F">
        <w:rPr>
          <w:noProof/>
        </w:rPr>
        <w:t xml:space="preserve"> i</w:t>
      </w:r>
      <w:r w:rsidR="00043012">
        <w:rPr>
          <w:noProof/>
        </w:rPr>
        <w:t> </w:t>
      </w:r>
      <w:r w:rsidR="00043012" w:rsidRPr="006B771F">
        <w:rPr>
          <w:noProof/>
        </w:rPr>
        <w:t>pri</w:t>
      </w:r>
      <w:r w:rsidR="00AD2D37" w:rsidRPr="006B771F">
        <w:rPr>
          <w:noProof/>
        </w:rPr>
        <w:t>orytetów dotyczących wspólnych patroli</w:t>
      </w:r>
      <w:r w:rsidR="00043012" w:rsidRPr="006B771F">
        <w:rPr>
          <w:noProof/>
        </w:rPr>
        <w:t xml:space="preserve"> i</w:t>
      </w:r>
      <w:r w:rsidR="00043012">
        <w:rPr>
          <w:noProof/>
        </w:rPr>
        <w:t> </w:t>
      </w:r>
      <w:r w:rsidR="00043012" w:rsidRPr="006B771F">
        <w:rPr>
          <w:noProof/>
        </w:rPr>
        <w:t>inn</w:t>
      </w:r>
      <w:r w:rsidR="00AD2D37" w:rsidRPr="006B771F">
        <w:rPr>
          <w:noProof/>
        </w:rPr>
        <w:t>ych wspólnych operacji</w:t>
      </w:r>
      <w:r w:rsidR="00043012" w:rsidRPr="006B771F">
        <w:rPr>
          <w:noProof/>
        </w:rPr>
        <w:t xml:space="preserve"> o</w:t>
      </w:r>
      <w:r w:rsidR="00043012">
        <w:rPr>
          <w:noProof/>
        </w:rPr>
        <w:t> </w:t>
      </w:r>
      <w:r w:rsidR="00043012" w:rsidRPr="006B771F">
        <w:rPr>
          <w:noProof/>
        </w:rPr>
        <w:t>wym</w:t>
      </w:r>
      <w:r w:rsidR="00AD2D37" w:rsidRPr="006B771F">
        <w:rPr>
          <w:noProof/>
        </w:rPr>
        <w:t>iarze ogólnoeuropejskim, mogłaby stworzyć niezbędną strukturę dla prowadzenia takich operacji</w:t>
      </w:r>
      <w:r w:rsidR="00043012" w:rsidRPr="006B771F">
        <w:rPr>
          <w:noProof/>
        </w:rPr>
        <w:t xml:space="preserve"> w</w:t>
      </w:r>
      <w:r w:rsidR="00043012">
        <w:rPr>
          <w:noProof/>
        </w:rPr>
        <w:t> </w:t>
      </w:r>
      <w:r w:rsidR="00043012" w:rsidRPr="006B771F">
        <w:rPr>
          <w:noProof/>
        </w:rPr>
        <w:t>spo</w:t>
      </w:r>
      <w:r w:rsidR="00AD2D37" w:rsidRPr="006B771F">
        <w:rPr>
          <w:noProof/>
        </w:rPr>
        <w:t>sób efektywny</w:t>
      </w:r>
      <w:r w:rsidR="00043012" w:rsidRPr="006B771F">
        <w:rPr>
          <w:noProof/>
        </w:rPr>
        <w:t xml:space="preserve"> i</w:t>
      </w:r>
      <w:r w:rsidR="00043012">
        <w:rPr>
          <w:noProof/>
        </w:rPr>
        <w:t> </w:t>
      </w:r>
      <w:r w:rsidR="00043012" w:rsidRPr="006B771F">
        <w:rPr>
          <w:noProof/>
        </w:rPr>
        <w:t>sku</w:t>
      </w:r>
      <w:r w:rsidR="00AD2D37" w:rsidRPr="006B771F">
        <w:rPr>
          <w:noProof/>
        </w:rPr>
        <w:t>teczny na potrzeby utrzymania</w:t>
      </w:r>
      <w:r w:rsidR="00043012" w:rsidRPr="006B771F">
        <w:rPr>
          <w:noProof/>
        </w:rPr>
        <w:t xml:space="preserve"> i</w:t>
      </w:r>
      <w:r w:rsidR="00043012">
        <w:rPr>
          <w:noProof/>
        </w:rPr>
        <w:t> </w:t>
      </w:r>
      <w:r w:rsidR="00043012" w:rsidRPr="006B771F">
        <w:rPr>
          <w:noProof/>
        </w:rPr>
        <w:t>wzm</w:t>
      </w:r>
      <w:r w:rsidR="00AD2D37" w:rsidRPr="006B771F">
        <w:rPr>
          <w:noProof/>
        </w:rPr>
        <w:t>ocnienia porządku publicznego</w:t>
      </w:r>
      <w:r w:rsidR="00043012" w:rsidRPr="006B771F">
        <w:rPr>
          <w:noProof/>
        </w:rPr>
        <w:t xml:space="preserve"> i</w:t>
      </w:r>
      <w:r w:rsidR="00043012">
        <w:rPr>
          <w:noProof/>
        </w:rPr>
        <w:t> </w:t>
      </w:r>
      <w:r w:rsidR="00043012" w:rsidRPr="006B771F">
        <w:rPr>
          <w:noProof/>
        </w:rPr>
        <w:t>bez</w:t>
      </w:r>
      <w:r w:rsidR="00AD2D37" w:rsidRPr="006B771F">
        <w:rPr>
          <w:noProof/>
        </w:rPr>
        <w:t>pieczeństwa, zapobiegania przestępstwom,</w:t>
      </w:r>
      <w:r w:rsidR="00043012" w:rsidRPr="006B771F">
        <w:rPr>
          <w:noProof/>
        </w:rPr>
        <w:t xml:space="preserve"> w</w:t>
      </w:r>
      <w:r w:rsidR="00043012">
        <w:rPr>
          <w:noProof/>
        </w:rPr>
        <w:t> </w:t>
      </w:r>
      <w:r w:rsidR="00043012" w:rsidRPr="006B771F">
        <w:rPr>
          <w:noProof/>
        </w:rPr>
        <w:t>tym</w:t>
      </w:r>
      <w:r w:rsidR="00AD2D37" w:rsidRPr="006B771F">
        <w:rPr>
          <w:noProof/>
        </w:rPr>
        <w:t xml:space="preserve"> popełnianym przez grupy prowadzące poważną</w:t>
      </w:r>
      <w:r w:rsidR="00043012" w:rsidRPr="006B771F">
        <w:rPr>
          <w:noProof/>
        </w:rPr>
        <w:t xml:space="preserve"> i</w:t>
      </w:r>
      <w:r w:rsidR="00043012">
        <w:rPr>
          <w:noProof/>
        </w:rPr>
        <w:t> </w:t>
      </w:r>
      <w:r w:rsidR="00043012" w:rsidRPr="006B771F">
        <w:rPr>
          <w:noProof/>
        </w:rPr>
        <w:t>zor</w:t>
      </w:r>
      <w:r w:rsidR="00AD2D37" w:rsidRPr="006B771F">
        <w:rPr>
          <w:noProof/>
        </w:rPr>
        <w:t>ganizowaną działalność przestępczą, oraz</w:t>
      </w:r>
      <w:r w:rsidR="00043012" w:rsidRPr="006B771F">
        <w:rPr>
          <w:noProof/>
        </w:rPr>
        <w:t xml:space="preserve"> w</w:t>
      </w:r>
      <w:r w:rsidR="00043012">
        <w:rPr>
          <w:noProof/>
        </w:rPr>
        <w:t> </w:t>
      </w:r>
      <w:r w:rsidR="00043012" w:rsidRPr="006B771F">
        <w:rPr>
          <w:noProof/>
        </w:rPr>
        <w:t>cel</w:t>
      </w:r>
      <w:r w:rsidR="00AD2D37" w:rsidRPr="006B771F">
        <w:rPr>
          <w:noProof/>
        </w:rPr>
        <w:t>u zwalczania konkretnych fal przestępczości</w:t>
      </w:r>
      <w:r w:rsidR="00043012" w:rsidRPr="006B771F">
        <w:rPr>
          <w:noProof/>
        </w:rPr>
        <w:t xml:space="preserve"> w</w:t>
      </w:r>
      <w:r w:rsidR="00043012">
        <w:rPr>
          <w:noProof/>
        </w:rPr>
        <w:t> </w:t>
      </w:r>
      <w:r w:rsidR="00043012" w:rsidRPr="006B771F">
        <w:rPr>
          <w:noProof/>
        </w:rPr>
        <w:t>klu</w:t>
      </w:r>
      <w:r w:rsidR="00AD2D37" w:rsidRPr="006B771F">
        <w:rPr>
          <w:noProof/>
        </w:rPr>
        <w:t>czowych lokalizacjach,</w:t>
      </w:r>
      <w:r w:rsidR="00043012" w:rsidRPr="006B771F">
        <w:rPr>
          <w:noProof/>
        </w:rPr>
        <w:t xml:space="preserve"> w</w:t>
      </w:r>
      <w:r w:rsidR="00043012">
        <w:rPr>
          <w:noProof/>
        </w:rPr>
        <w:t> </w:t>
      </w:r>
      <w:r w:rsidR="00043012" w:rsidRPr="006B771F">
        <w:rPr>
          <w:noProof/>
        </w:rPr>
        <w:t>szc</w:t>
      </w:r>
      <w:r w:rsidR="00AD2D37" w:rsidRPr="006B771F">
        <w:rPr>
          <w:noProof/>
        </w:rPr>
        <w:t>zególnych okresach oraz</w:t>
      </w:r>
      <w:r w:rsidR="00043012" w:rsidRPr="006B771F">
        <w:rPr>
          <w:noProof/>
        </w:rPr>
        <w:t xml:space="preserve"> w</w:t>
      </w:r>
      <w:r w:rsidR="00043012">
        <w:rPr>
          <w:noProof/>
        </w:rPr>
        <w:t> </w:t>
      </w:r>
      <w:r w:rsidR="00043012" w:rsidRPr="006B771F">
        <w:rPr>
          <w:noProof/>
        </w:rPr>
        <w:t>szc</w:t>
      </w:r>
      <w:r w:rsidR="00AD2D37" w:rsidRPr="006B771F">
        <w:rPr>
          <w:noProof/>
        </w:rPr>
        <w:t>zególnych sytuacjach.</w:t>
      </w:r>
    </w:p>
    <w:p w14:paraId="7CF9704F" w14:textId="407ADE78" w:rsidR="00AD2D37" w:rsidRPr="006B771F" w:rsidRDefault="005E7503" w:rsidP="005E7503">
      <w:pPr>
        <w:pStyle w:val="ManualConsidrant"/>
        <w:rPr>
          <w:noProof/>
        </w:rPr>
      </w:pPr>
      <w:r w:rsidRPr="005E7503">
        <w:t>(5)</w:t>
      </w:r>
      <w:r w:rsidRPr="005E7503">
        <w:tab/>
      </w:r>
      <w:r w:rsidR="00AD2D37" w:rsidRPr="006B771F">
        <w:rPr>
          <w:noProof/>
        </w:rPr>
        <w:t>Komunikowanie się oraz dostęp do dostępnych informacji stanowią kluczowe elementy pomyślnej transgranicznej współpracy operacyjnej. Pracujący na pierwszej linii funkcjonariusze działający</w:t>
      </w:r>
      <w:r w:rsidR="00043012" w:rsidRPr="006B771F">
        <w:rPr>
          <w:noProof/>
        </w:rPr>
        <w:t xml:space="preserve"> w</w:t>
      </w:r>
      <w:r w:rsidR="00043012">
        <w:rPr>
          <w:noProof/>
        </w:rPr>
        <w:t> </w:t>
      </w:r>
      <w:r w:rsidR="00043012" w:rsidRPr="006B771F">
        <w:rPr>
          <w:noProof/>
        </w:rPr>
        <w:t>inn</w:t>
      </w:r>
      <w:r w:rsidR="00AD2D37" w:rsidRPr="006B771F">
        <w:rPr>
          <w:noProof/>
        </w:rPr>
        <w:t>ym państwie członkowskim powinni mieć dostęp</w:t>
      </w:r>
      <w:r w:rsidR="00043012" w:rsidRPr="006B771F">
        <w:rPr>
          <w:noProof/>
        </w:rPr>
        <w:t xml:space="preserve"> w</w:t>
      </w:r>
      <w:r w:rsidR="00043012">
        <w:rPr>
          <w:noProof/>
        </w:rPr>
        <w:t> </w:t>
      </w:r>
      <w:r w:rsidR="00043012" w:rsidRPr="006B771F">
        <w:rPr>
          <w:noProof/>
        </w:rPr>
        <w:t>cza</w:t>
      </w:r>
      <w:r w:rsidR="00AD2D37" w:rsidRPr="006B771F">
        <w:rPr>
          <w:noProof/>
        </w:rPr>
        <w:t>sie rzeczywistym za pośrednictwem europejskiego portalu wyszukiwania do informacji przechowywanych</w:t>
      </w:r>
      <w:r w:rsidR="00043012" w:rsidRPr="006B771F">
        <w:rPr>
          <w:noProof/>
        </w:rPr>
        <w:t xml:space="preserve"> w</w:t>
      </w:r>
      <w:r w:rsidR="00043012">
        <w:rPr>
          <w:noProof/>
        </w:rPr>
        <w:t> </w:t>
      </w:r>
      <w:r w:rsidR="00043012" w:rsidRPr="006B771F">
        <w:rPr>
          <w:noProof/>
        </w:rPr>
        <w:t>uni</w:t>
      </w:r>
      <w:r w:rsidR="00AD2D37" w:rsidRPr="006B771F">
        <w:rPr>
          <w:noProof/>
        </w:rPr>
        <w:t>jnych systemach informacyjnych oraz do własnych istotnych krajowych baz danych za pomocą rozwiązań mobilnych, takich jak urządzenia przenośne lub komputery policyjne zamontowane</w:t>
      </w:r>
      <w:r w:rsidR="00043012" w:rsidRPr="006B771F">
        <w:rPr>
          <w:noProof/>
        </w:rPr>
        <w:t xml:space="preserve"> w</w:t>
      </w:r>
      <w:r w:rsidR="00043012">
        <w:rPr>
          <w:noProof/>
        </w:rPr>
        <w:t> </w:t>
      </w:r>
      <w:r w:rsidR="00043012" w:rsidRPr="006B771F">
        <w:rPr>
          <w:noProof/>
        </w:rPr>
        <w:t>sam</w:t>
      </w:r>
      <w:r w:rsidR="00AD2D37" w:rsidRPr="006B771F">
        <w:rPr>
          <w:noProof/>
        </w:rPr>
        <w:t>ochodach, zgodnie</w:t>
      </w:r>
      <w:r w:rsidR="00043012" w:rsidRPr="006B771F">
        <w:rPr>
          <w:noProof/>
        </w:rPr>
        <w:t xml:space="preserve"> z</w:t>
      </w:r>
      <w:r w:rsidR="00043012">
        <w:rPr>
          <w:noProof/>
        </w:rPr>
        <w:t> </w:t>
      </w:r>
      <w:r w:rsidR="00043012" w:rsidRPr="006B771F">
        <w:rPr>
          <w:noProof/>
        </w:rPr>
        <w:t>obo</w:t>
      </w:r>
      <w:r w:rsidR="00AD2D37" w:rsidRPr="006B771F">
        <w:rPr>
          <w:noProof/>
        </w:rPr>
        <w:t>wiązującymi prawami dostępu oraz obowiązującym prawodawstwem unijnym</w:t>
      </w:r>
      <w:r w:rsidR="00043012" w:rsidRPr="006B771F">
        <w:rPr>
          <w:noProof/>
        </w:rPr>
        <w:t xml:space="preserve"> i</w:t>
      </w:r>
      <w:r w:rsidR="00043012">
        <w:rPr>
          <w:noProof/>
        </w:rPr>
        <w:t> </w:t>
      </w:r>
      <w:r w:rsidR="00043012" w:rsidRPr="006B771F">
        <w:rPr>
          <w:noProof/>
        </w:rPr>
        <w:t>kra</w:t>
      </w:r>
      <w:r w:rsidR="00AD2D37" w:rsidRPr="006B771F">
        <w:rPr>
          <w:noProof/>
        </w:rPr>
        <w:t>jowym. Funkcjonariusze ci powinni ponadto być wyposażeni</w:t>
      </w:r>
      <w:r w:rsidR="00043012" w:rsidRPr="006B771F">
        <w:rPr>
          <w:noProof/>
        </w:rPr>
        <w:t xml:space="preserve"> w</w:t>
      </w:r>
      <w:r w:rsidR="00043012">
        <w:rPr>
          <w:noProof/>
        </w:rPr>
        <w:t> </w:t>
      </w:r>
      <w:r w:rsidR="00043012" w:rsidRPr="006B771F">
        <w:rPr>
          <w:noProof/>
        </w:rPr>
        <w:t>nie</w:t>
      </w:r>
      <w:r w:rsidR="00AD2D37" w:rsidRPr="006B771F">
        <w:rPr>
          <w:noProof/>
        </w:rPr>
        <w:t>zawodne</w:t>
      </w:r>
      <w:r w:rsidR="00043012" w:rsidRPr="006B771F">
        <w:rPr>
          <w:noProof/>
        </w:rPr>
        <w:t xml:space="preserve"> i</w:t>
      </w:r>
      <w:r w:rsidR="00043012">
        <w:rPr>
          <w:noProof/>
        </w:rPr>
        <w:t> </w:t>
      </w:r>
      <w:r w:rsidR="00043012" w:rsidRPr="006B771F">
        <w:rPr>
          <w:noProof/>
        </w:rPr>
        <w:t>bez</w:t>
      </w:r>
      <w:r w:rsidR="00AD2D37" w:rsidRPr="006B771F">
        <w:rPr>
          <w:noProof/>
        </w:rPr>
        <w:t>pieczne środki łączności ruchomej zapewniające wzajemne połączenia</w:t>
      </w:r>
      <w:r w:rsidR="00043012" w:rsidRPr="006B771F">
        <w:rPr>
          <w:noProof/>
        </w:rPr>
        <w:t xml:space="preserve"> w</w:t>
      </w:r>
      <w:r w:rsidR="00043012">
        <w:rPr>
          <w:noProof/>
        </w:rPr>
        <w:t> </w:t>
      </w:r>
      <w:r w:rsidR="00043012" w:rsidRPr="006B771F">
        <w:rPr>
          <w:noProof/>
        </w:rPr>
        <w:t>cza</w:t>
      </w:r>
      <w:r w:rsidR="00AD2D37" w:rsidRPr="006B771F">
        <w:rPr>
          <w:noProof/>
        </w:rPr>
        <w:t>sie rzeczywistym, takie jak narzędzia komunikacji natychmiastowej, działające po obu stronach granicy, aby komunikować się bezpośrednio</w:t>
      </w:r>
      <w:r w:rsidR="00043012" w:rsidRPr="006B771F">
        <w:rPr>
          <w:noProof/>
        </w:rPr>
        <w:t xml:space="preserve"> z</w:t>
      </w:r>
      <w:r w:rsidR="00043012">
        <w:rPr>
          <w:noProof/>
        </w:rPr>
        <w:t> </w:t>
      </w:r>
      <w:r w:rsidR="00043012" w:rsidRPr="006B771F">
        <w:rPr>
          <w:noProof/>
        </w:rPr>
        <w:t>wła</w:t>
      </w:r>
      <w:r w:rsidR="00AD2D37" w:rsidRPr="006B771F">
        <w:rPr>
          <w:noProof/>
        </w:rPr>
        <w:t>snymi właściwymi organami oraz</w:t>
      </w:r>
      <w:r w:rsidR="00043012" w:rsidRPr="006B771F">
        <w:rPr>
          <w:noProof/>
        </w:rPr>
        <w:t xml:space="preserve"> z</w:t>
      </w:r>
      <w:r w:rsidR="00043012">
        <w:rPr>
          <w:noProof/>
        </w:rPr>
        <w:t> </w:t>
      </w:r>
      <w:r w:rsidR="00043012" w:rsidRPr="006B771F">
        <w:rPr>
          <w:noProof/>
        </w:rPr>
        <w:t>org</w:t>
      </w:r>
      <w:r w:rsidR="00AD2D37" w:rsidRPr="006B771F">
        <w:rPr>
          <w:noProof/>
        </w:rPr>
        <w:t>anami przyjmującego państwa członkowskiego. Państwa członkowskie powinny korzystać</w:t>
      </w:r>
      <w:r w:rsidR="00043012" w:rsidRPr="006B771F">
        <w:rPr>
          <w:noProof/>
        </w:rPr>
        <w:t xml:space="preserve"> z</w:t>
      </w:r>
      <w:r w:rsidR="00043012">
        <w:rPr>
          <w:noProof/>
        </w:rPr>
        <w:t> </w:t>
      </w:r>
      <w:r w:rsidR="00043012" w:rsidRPr="006B771F">
        <w:rPr>
          <w:noProof/>
        </w:rPr>
        <w:t>roz</w:t>
      </w:r>
      <w:r w:rsidR="00AD2D37" w:rsidRPr="006B771F">
        <w:rPr>
          <w:noProof/>
        </w:rPr>
        <w:t>wiązań technicznych, które mają zostać dostarczone przez laboratorium innowacji Europolu, aby zapewnić wzajemne połączenia za pomocą bezpiecznych środków łączności przez granice, które to rozwiązania powinny, jako minimum, umożliwiać bezpieczne korzystanie</w:t>
      </w:r>
      <w:r w:rsidR="00043012" w:rsidRPr="006B771F">
        <w:rPr>
          <w:noProof/>
        </w:rPr>
        <w:t xml:space="preserve"> z</w:t>
      </w:r>
      <w:r w:rsidR="00043012">
        <w:rPr>
          <w:noProof/>
        </w:rPr>
        <w:t> </w:t>
      </w:r>
      <w:r w:rsidR="00043012" w:rsidRPr="006B771F">
        <w:rPr>
          <w:noProof/>
        </w:rPr>
        <w:t>mob</w:t>
      </w:r>
      <w:r w:rsidR="00AD2D37" w:rsidRPr="006B771F">
        <w:rPr>
          <w:noProof/>
        </w:rPr>
        <w:t>ilnych środków łączności</w:t>
      </w:r>
      <w:r w:rsidR="00043012" w:rsidRPr="006B771F">
        <w:rPr>
          <w:noProof/>
        </w:rPr>
        <w:t xml:space="preserve"> w</w:t>
      </w:r>
      <w:r w:rsidR="00043012">
        <w:rPr>
          <w:noProof/>
        </w:rPr>
        <w:t> </w:t>
      </w:r>
      <w:r w:rsidR="00043012" w:rsidRPr="006B771F">
        <w:rPr>
          <w:noProof/>
        </w:rPr>
        <w:t>cza</w:t>
      </w:r>
      <w:r w:rsidR="00AD2D37" w:rsidRPr="006B771F">
        <w:rPr>
          <w:noProof/>
        </w:rPr>
        <w:t>sie rzeczywistym podczas transgranicznej operacji policji,</w:t>
      </w:r>
      <w:r w:rsidR="00043012" w:rsidRPr="006B771F">
        <w:rPr>
          <w:noProof/>
        </w:rPr>
        <w:t xml:space="preserve"> a</w:t>
      </w:r>
      <w:r w:rsidR="00043012">
        <w:rPr>
          <w:noProof/>
        </w:rPr>
        <w:t> </w:t>
      </w:r>
      <w:r w:rsidR="00043012" w:rsidRPr="006B771F">
        <w:rPr>
          <w:noProof/>
        </w:rPr>
        <w:t>tak</w:t>
      </w:r>
      <w:r w:rsidR="00AD2D37" w:rsidRPr="006B771F">
        <w:rPr>
          <w:noProof/>
        </w:rPr>
        <w:t>że geolokalizację pojazdów policyjnych, na przykład dzięki lokalizowaniu za pomocą GPS lub bezzałogowych statków powietrznych.</w:t>
      </w:r>
    </w:p>
    <w:p w14:paraId="08567CDE" w14:textId="71C8D406" w:rsidR="00AD2D37" w:rsidRPr="006B771F" w:rsidRDefault="005E7503" w:rsidP="005E7503">
      <w:pPr>
        <w:pStyle w:val="ManualConsidrant"/>
        <w:rPr>
          <w:noProof/>
        </w:rPr>
      </w:pPr>
      <w:r w:rsidRPr="005E7503">
        <w:t>(6)</w:t>
      </w:r>
      <w:r w:rsidRPr="005E7503">
        <w:tab/>
      </w:r>
      <w:r w:rsidR="00AD2D37" w:rsidRPr="006B771F">
        <w:rPr>
          <w:noProof/>
        </w:rPr>
        <w:t>Skuteczna transgraniczna operacyjna współpraca policyjna wymaga zmian</w:t>
      </w:r>
      <w:r w:rsidR="00043012" w:rsidRPr="006B771F">
        <w:rPr>
          <w:noProof/>
        </w:rPr>
        <w:t xml:space="preserve"> w</w:t>
      </w:r>
      <w:r w:rsidR="00043012">
        <w:rPr>
          <w:noProof/>
        </w:rPr>
        <w:t> </w:t>
      </w:r>
      <w:r w:rsidR="00043012" w:rsidRPr="006B771F">
        <w:rPr>
          <w:noProof/>
        </w:rPr>
        <w:t>kie</w:t>
      </w:r>
      <w:r w:rsidR="00AD2D37" w:rsidRPr="006B771F">
        <w:rPr>
          <w:noProof/>
        </w:rPr>
        <w:t>runku wspólnej unijnej kultury działań policji. Organizowanie wspólnych szkoleń wstępnych oraz programów wymiany kadetów dotyczących kwestii związanych</w:t>
      </w:r>
      <w:r w:rsidR="00043012" w:rsidRPr="006B771F">
        <w:rPr>
          <w:noProof/>
        </w:rPr>
        <w:t xml:space="preserve"> z</w:t>
      </w:r>
      <w:r w:rsidR="00043012">
        <w:rPr>
          <w:noProof/>
        </w:rPr>
        <w:t> </w:t>
      </w:r>
      <w:r w:rsidR="00043012" w:rsidRPr="006B771F">
        <w:rPr>
          <w:noProof/>
        </w:rPr>
        <w:t>tak</w:t>
      </w:r>
      <w:r w:rsidR="00AD2D37" w:rsidRPr="006B771F">
        <w:rPr>
          <w:noProof/>
        </w:rPr>
        <w:t>ą współpracą, jak też kursów ustawicznego rozwoju dla funkcjonariuszy pracujących na pierwszej linii oraz zespołów dochodzeniowo-śledczych przyczynia się do zwiększania umiejętności, pogłębiania wiedzy</w:t>
      </w:r>
      <w:r w:rsidR="00043012" w:rsidRPr="006B771F">
        <w:rPr>
          <w:noProof/>
        </w:rPr>
        <w:t xml:space="preserve"> i</w:t>
      </w:r>
      <w:r w:rsidR="00043012">
        <w:rPr>
          <w:noProof/>
        </w:rPr>
        <w:t> </w:t>
      </w:r>
      <w:r w:rsidR="00043012" w:rsidRPr="006B771F">
        <w:rPr>
          <w:noProof/>
        </w:rPr>
        <w:t>bud</w:t>
      </w:r>
      <w:r w:rsidR="00AD2D37" w:rsidRPr="006B771F">
        <w:rPr>
          <w:noProof/>
        </w:rPr>
        <w:t>owania zaufania. Ważne jest, aby państwa członkowskie dostosowały</w:t>
      </w:r>
      <w:r w:rsidR="00043012" w:rsidRPr="006B771F">
        <w:rPr>
          <w:noProof/>
        </w:rPr>
        <w:t xml:space="preserve"> i</w:t>
      </w:r>
      <w:r w:rsidR="00043012">
        <w:rPr>
          <w:noProof/>
        </w:rPr>
        <w:t> </w:t>
      </w:r>
      <w:r w:rsidR="00043012" w:rsidRPr="006B771F">
        <w:rPr>
          <w:noProof/>
        </w:rPr>
        <w:t>uje</w:t>
      </w:r>
      <w:r w:rsidR="00AD2D37" w:rsidRPr="006B771F">
        <w:rPr>
          <w:noProof/>
        </w:rPr>
        <w:t>dnoliciły programy nauczania</w:t>
      </w:r>
      <w:r w:rsidR="00043012" w:rsidRPr="006B771F">
        <w:rPr>
          <w:noProof/>
        </w:rPr>
        <w:t xml:space="preserve"> w</w:t>
      </w:r>
      <w:r w:rsidR="00043012">
        <w:rPr>
          <w:noProof/>
        </w:rPr>
        <w:t> </w:t>
      </w:r>
      <w:r w:rsidR="00043012" w:rsidRPr="006B771F">
        <w:rPr>
          <w:noProof/>
        </w:rPr>
        <w:t>swo</w:t>
      </w:r>
      <w:r w:rsidR="00AD2D37" w:rsidRPr="006B771F">
        <w:rPr>
          <w:noProof/>
        </w:rPr>
        <w:t>ich krajowych akademiach policyjnych na wszystkich poziomach szkolenia, tak aby obejmowały one akredytowane kursy transgranicznej operacyjnej współpracy policyjnej oraz ścieżki kariery dla kadetów</w:t>
      </w:r>
      <w:r w:rsidR="00043012" w:rsidRPr="006B771F">
        <w:rPr>
          <w:noProof/>
        </w:rPr>
        <w:t xml:space="preserve"> i</w:t>
      </w:r>
      <w:r w:rsidR="00043012">
        <w:rPr>
          <w:noProof/>
        </w:rPr>
        <w:t> </w:t>
      </w:r>
      <w:r w:rsidR="00043012" w:rsidRPr="006B771F">
        <w:rPr>
          <w:noProof/>
        </w:rPr>
        <w:t>ofi</w:t>
      </w:r>
      <w:r w:rsidR="00AD2D37" w:rsidRPr="006B771F">
        <w:rPr>
          <w:noProof/>
        </w:rPr>
        <w:t>cerów, którzy ukończą takie szkolenia. Państwa członkowskie powinny także jak najlepiej wykorzystywać Agencję Unii Europejskiej ds. Szkolenia</w:t>
      </w:r>
      <w:r w:rsidR="00043012" w:rsidRPr="006B771F">
        <w:rPr>
          <w:noProof/>
        </w:rPr>
        <w:t xml:space="preserve"> w</w:t>
      </w:r>
      <w:r w:rsidR="00043012">
        <w:rPr>
          <w:noProof/>
        </w:rPr>
        <w:t> </w:t>
      </w:r>
      <w:r w:rsidR="00043012" w:rsidRPr="006B771F">
        <w:rPr>
          <w:noProof/>
        </w:rPr>
        <w:t>Dzi</w:t>
      </w:r>
      <w:r w:rsidR="00AD2D37" w:rsidRPr="006B771F">
        <w:rPr>
          <w:noProof/>
        </w:rPr>
        <w:t>edzinie Ścigania (CEPOL), przekazując jej swoje potrzeby szkoleniowe, oraz wspierać działalność agencji, dostosowując swoją ofertę szkoleniową do priorytetów związanych ze współpracą transgraniczną, określonych</w:t>
      </w:r>
      <w:r w:rsidR="00043012" w:rsidRPr="006B771F">
        <w:rPr>
          <w:noProof/>
        </w:rPr>
        <w:t xml:space="preserve"> w</w:t>
      </w:r>
      <w:r w:rsidR="00043012">
        <w:rPr>
          <w:noProof/>
        </w:rPr>
        <w:t> </w:t>
      </w:r>
      <w:r w:rsidR="00043012" w:rsidRPr="006B771F">
        <w:rPr>
          <w:noProof/>
        </w:rPr>
        <w:t>uni</w:t>
      </w:r>
      <w:r w:rsidR="00AD2D37" w:rsidRPr="006B771F">
        <w:rPr>
          <w:noProof/>
        </w:rPr>
        <w:t>jnych ocenach strategicznych potrzeb szkoleniowych (EU-STNA). Powinny zastanowić się nad możliwością stworzenia zakrojonych na szeroką skalę</w:t>
      </w:r>
      <w:r w:rsidR="00043012" w:rsidRPr="006B771F">
        <w:rPr>
          <w:noProof/>
        </w:rPr>
        <w:t xml:space="preserve"> i</w:t>
      </w:r>
      <w:r w:rsidR="00043012">
        <w:rPr>
          <w:noProof/>
        </w:rPr>
        <w:t> </w:t>
      </w:r>
      <w:r w:rsidR="00043012" w:rsidRPr="006B771F">
        <w:rPr>
          <w:noProof/>
        </w:rPr>
        <w:t>dłu</w:t>
      </w:r>
      <w:r w:rsidR="00AD2D37" w:rsidRPr="006B771F">
        <w:rPr>
          <w:noProof/>
        </w:rPr>
        <w:t>goterminowych ogólnoeuropejskich wspólnych programów szkoleń oraz wymiany kadetów</w:t>
      </w:r>
      <w:r w:rsidR="00043012" w:rsidRPr="006B771F">
        <w:rPr>
          <w:noProof/>
        </w:rPr>
        <w:t xml:space="preserve"> i</w:t>
      </w:r>
      <w:r w:rsidR="00043012">
        <w:rPr>
          <w:noProof/>
        </w:rPr>
        <w:t> </w:t>
      </w:r>
      <w:r w:rsidR="00043012" w:rsidRPr="006B771F">
        <w:rPr>
          <w:noProof/>
        </w:rPr>
        <w:t>fun</w:t>
      </w:r>
      <w:r w:rsidR="00AD2D37" w:rsidRPr="006B771F">
        <w:rPr>
          <w:noProof/>
        </w:rPr>
        <w:t>kcjonariuszy policji</w:t>
      </w:r>
      <w:r w:rsidR="00043012" w:rsidRPr="006B771F">
        <w:rPr>
          <w:noProof/>
        </w:rPr>
        <w:t xml:space="preserve"> w</w:t>
      </w:r>
      <w:r w:rsidR="00043012">
        <w:rPr>
          <w:noProof/>
        </w:rPr>
        <w:t> </w:t>
      </w:r>
      <w:r w:rsidR="00043012" w:rsidRPr="006B771F">
        <w:rPr>
          <w:noProof/>
        </w:rPr>
        <w:t>dzi</w:t>
      </w:r>
      <w:r w:rsidR="00AD2D37" w:rsidRPr="006B771F">
        <w:rPr>
          <w:noProof/>
        </w:rPr>
        <w:t xml:space="preserve">edzinie transgranicznej operacyjnej współpracy policyjnej. </w:t>
      </w:r>
    </w:p>
    <w:p w14:paraId="7900FA88" w14:textId="5EE0D143" w:rsidR="00AD2D37" w:rsidRPr="006B771F" w:rsidRDefault="005E7503" w:rsidP="005E7503">
      <w:pPr>
        <w:pStyle w:val="ManualConsidrant"/>
        <w:rPr>
          <w:noProof/>
        </w:rPr>
      </w:pPr>
      <w:r w:rsidRPr="005E7503">
        <w:t>(7)</w:t>
      </w:r>
      <w:r w:rsidRPr="005E7503">
        <w:tab/>
      </w:r>
      <w:r w:rsidR="00AD2D37" w:rsidRPr="006B771F">
        <w:rPr>
          <w:noProof/>
        </w:rPr>
        <w:t>Mając na uwadze znaczenie koordynacji</w:t>
      </w:r>
      <w:r w:rsidR="00043012" w:rsidRPr="006B771F">
        <w:rPr>
          <w:noProof/>
        </w:rPr>
        <w:t xml:space="preserve"> i</w:t>
      </w:r>
      <w:r w:rsidR="00043012">
        <w:rPr>
          <w:noProof/>
        </w:rPr>
        <w:t> </w:t>
      </w:r>
      <w:r w:rsidR="00043012" w:rsidRPr="006B771F">
        <w:rPr>
          <w:noProof/>
        </w:rPr>
        <w:t>wsp</w:t>
      </w:r>
      <w:r w:rsidR="00AD2D37" w:rsidRPr="006B771F">
        <w:rPr>
          <w:noProof/>
        </w:rPr>
        <w:t>ółpracy</w:t>
      </w:r>
      <w:r w:rsidR="00043012" w:rsidRPr="006B771F">
        <w:rPr>
          <w:noProof/>
        </w:rPr>
        <w:t xml:space="preserve"> w</w:t>
      </w:r>
      <w:r w:rsidR="00043012">
        <w:rPr>
          <w:noProof/>
        </w:rPr>
        <w:t> </w:t>
      </w:r>
      <w:r w:rsidR="00043012" w:rsidRPr="006B771F">
        <w:rPr>
          <w:noProof/>
        </w:rPr>
        <w:t>zwi</w:t>
      </w:r>
      <w:r w:rsidR="00AD2D37" w:rsidRPr="006B771F">
        <w:rPr>
          <w:noProof/>
        </w:rPr>
        <w:t>ązku</w:t>
      </w:r>
      <w:r w:rsidR="00043012" w:rsidRPr="006B771F">
        <w:rPr>
          <w:noProof/>
        </w:rPr>
        <w:t xml:space="preserve"> z</w:t>
      </w:r>
      <w:r w:rsidR="00043012">
        <w:rPr>
          <w:noProof/>
        </w:rPr>
        <w:t> </w:t>
      </w:r>
      <w:r w:rsidR="00043012" w:rsidRPr="006B771F">
        <w:rPr>
          <w:noProof/>
        </w:rPr>
        <w:t>kwe</w:t>
      </w:r>
      <w:r w:rsidR="00AD2D37" w:rsidRPr="006B771F">
        <w:rPr>
          <w:noProof/>
        </w:rPr>
        <w:t>stiami poruszonymi</w:t>
      </w:r>
      <w:r w:rsidR="00043012" w:rsidRPr="006B771F">
        <w:rPr>
          <w:noProof/>
        </w:rPr>
        <w:t xml:space="preserve"> w</w:t>
      </w:r>
      <w:r w:rsidR="00043012">
        <w:rPr>
          <w:noProof/>
        </w:rPr>
        <w:t> </w:t>
      </w:r>
      <w:r w:rsidR="00043012" w:rsidRPr="006B771F">
        <w:rPr>
          <w:noProof/>
        </w:rPr>
        <w:t>nin</w:t>
      </w:r>
      <w:r w:rsidR="00AD2D37" w:rsidRPr="006B771F">
        <w:rPr>
          <w:noProof/>
        </w:rPr>
        <w:t>iejszym zaleceniu,</w:t>
      </w:r>
      <w:r w:rsidR="00043012" w:rsidRPr="006B771F">
        <w:rPr>
          <w:noProof/>
        </w:rPr>
        <w:t xml:space="preserve"> a</w:t>
      </w:r>
      <w:r w:rsidR="00043012">
        <w:rPr>
          <w:noProof/>
        </w:rPr>
        <w:t> </w:t>
      </w:r>
      <w:r w:rsidR="00043012" w:rsidRPr="006B771F">
        <w:rPr>
          <w:noProof/>
        </w:rPr>
        <w:t>w</w:t>
      </w:r>
      <w:r w:rsidR="00043012">
        <w:rPr>
          <w:noProof/>
        </w:rPr>
        <w:t> </w:t>
      </w:r>
      <w:r w:rsidR="00043012" w:rsidRPr="006B771F">
        <w:rPr>
          <w:noProof/>
        </w:rPr>
        <w:t>szc</w:t>
      </w:r>
      <w:r w:rsidR="00AD2D37" w:rsidRPr="006B771F">
        <w:rPr>
          <w:noProof/>
        </w:rPr>
        <w:t>zególności</w:t>
      </w:r>
      <w:r w:rsidR="00043012" w:rsidRPr="006B771F">
        <w:rPr>
          <w:noProof/>
        </w:rPr>
        <w:t xml:space="preserve"> w</w:t>
      </w:r>
      <w:r w:rsidR="00043012">
        <w:rPr>
          <w:noProof/>
        </w:rPr>
        <w:t> </w:t>
      </w:r>
      <w:r w:rsidR="00043012" w:rsidRPr="006B771F">
        <w:rPr>
          <w:noProof/>
        </w:rPr>
        <w:t>zwi</w:t>
      </w:r>
      <w:r w:rsidR="00AD2D37" w:rsidRPr="006B771F">
        <w:rPr>
          <w:noProof/>
        </w:rPr>
        <w:t>ązku</w:t>
      </w:r>
      <w:r w:rsidR="00043012" w:rsidRPr="006B771F">
        <w:rPr>
          <w:noProof/>
        </w:rPr>
        <w:t xml:space="preserve"> z</w:t>
      </w:r>
      <w:r w:rsidR="00043012">
        <w:rPr>
          <w:noProof/>
        </w:rPr>
        <w:t> </w:t>
      </w:r>
      <w:r w:rsidR="00043012" w:rsidRPr="006B771F">
        <w:rPr>
          <w:noProof/>
        </w:rPr>
        <w:t>jeg</w:t>
      </w:r>
      <w:r w:rsidR="00AD2D37" w:rsidRPr="006B771F">
        <w:rPr>
          <w:noProof/>
        </w:rPr>
        <w:t>o wdrożeniem,</w:t>
      </w:r>
      <w:r w:rsidR="00043012" w:rsidRPr="006B771F">
        <w:rPr>
          <w:noProof/>
        </w:rPr>
        <w:t xml:space="preserve"> w</w:t>
      </w:r>
      <w:r w:rsidR="00043012">
        <w:rPr>
          <w:noProof/>
        </w:rPr>
        <w:t> </w:t>
      </w:r>
      <w:r w:rsidR="00043012" w:rsidRPr="006B771F">
        <w:rPr>
          <w:noProof/>
        </w:rPr>
        <w:t>obr</w:t>
      </w:r>
      <w:r w:rsidR="00AD2D37" w:rsidRPr="006B771F">
        <w:rPr>
          <w:noProof/>
        </w:rPr>
        <w:t>ębie właściwej grupy roboczej Rady będzie istniał stały punkt dotyczący dyskusji na temat transgranicznej operacyjnej współpracy policyjnej. Ta grupa robocza powinna służyć jako stałe forum dla państw członkowskich do dyskusji na temat tych kwestii,</w:t>
      </w:r>
      <w:r w:rsidR="00043012" w:rsidRPr="006B771F">
        <w:rPr>
          <w:noProof/>
        </w:rPr>
        <w:t xml:space="preserve"> w</w:t>
      </w:r>
      <w:r w:rsidR="00043012">
        <w:rPr>
          <w:noProof/>
        </w:rPr>
        <w:t> </w:t>
      </w:r>
      <w:r w:rsidR="00043012" w:rsidRPr="006B771F">
        <w:rPr>
          <w:noProof/>
        </w:rPr>
        <w:t>tym</w:t>
      </w:r>
      <w:r w:rsidR="00AD2D37" w:rsidRPr="006B771F">
        <w:rPr>
          <w:noProof/>
        </w:rPr>
        <w:t xml:space="preserve"> dostosowania swoich przepisów</w:t>
      </w:r>
      <w:r w:rsidR="00043012" w:rsidRPr="006B771F">
        <w:rPr>
          <w:noProof/>
        </w:rPr>
        <w:t xml:space="preserve"> i</w:t>
      </w:r>
      <w:r w:rsidR="00043012">
        <w:rPr>
          <w:noProof/>
        </w:rPr>
        <w:t> </w:t>
      </w:r>
      <w:r w:rsidR="00043012" w:rsidRPr="006B771F">
        <w:rPr>
          <w:noProof/>
        </w:rPr>
        <w:t>umó</w:t>
      </w:r>
      <w:r w:rsidR="00AD2D37" w:rsidRPr="006B771F">
        <w:rPr>
          <w:noProof/>
        </w:rPr>
        <w:t>w, innych środków na rzecz eliminacji przeszkód</w:t>
      </w:r>
      <w:r w:rsidR="00043012" w:rsidRPr="006B771F">
        <w:rPr>
          <w:noProof/>
        </w:rPr>
        <w:t xml:space="preserve"> w</w:t>
      </w:r>
      <w:r w:rsidR="00043012">
        <w:rPr>
          <w:noProof/>
        </w:rPr>
        <w:t> </w:t>
      </w:r>
      <w:r w:rsidR="00043012" w:rsidRPr="006B771F">
        <w:rPr>
          <w:noProof/>
        </w:rPr>
        <w:t>zak</w:t>
      </w:r>
      <w:r w:rsidR="00AD2D37" w:rsidRPr="006B771F">
        <w:rPr>
          <w:noProof/>
        </w:rPr>
        <w:t>resie skuteczności</w:t>
      </w:r>
      <w:r w:rsidR="00043012" w:rsidRPr="006B771F">
        <w:rPr>
          <w:noProof/>
        </w:rPr>
        <w:t xml:space="preserve"> i</w:t>
      </w:r>
      <w:r w:rsidR="00043012">
        <w:rPr>
          <w:noProof/>
        </w:rPr>
        <w:t> </w:t>
      </w:r>
      <w:r w:rsidR="00043012" w:rsidRPr="006B771F">
        <w:rPr>
          <w:noProof/>
        </w:rPr>
        <w:t>efe</w:t>
      </w:r>
      <w:r w:rsidR="00AD2D37" w:rsidRPr="006B771F">
        <w:rPr>
          <w:noProof/>
        </w:rPr>
        <w:t>ktywności operacji transgranicznej współpracy policyjnej, składania sprawozdań</w:t>
      </w:r>
      <w:r w:rsidR="00043012" w:rsidRPr="006B771F">
        <w:rPr>
          <w:noProof/>
        </w:rPr>
        <w:t xml:space="preserve"> z</w:t>
      </w:r>
      <w:r w:rsidR="00043012">
        <w:rPr>
          <w:noProof/>
        </w:rPr>
        <w:t> </w:t>
      </w:r>
      <w:r w:rsidR="00043012" w:rsidRPr="006B771F">
        <w:rPr>
          <w:noProof/>
        </w:rPr>
        <w:t>poc</w:t>
      </w:r>
      <w:r w:rsidR="00AD2D37" w:rsidRPr="006B771F">
        <w:rPr>
          <w:noProof/>
        </w:rPr>
        <w:t>zynionych postępów,</w:t>
      </w:r>
      <w:r w:rsidR="00043012" w:rsidRPr="006B771F">
        <w:rPr>
          <w:noProof/>
        </w:rPr>
        <w:t xml:space="preserve"> a</w:t>
      </w:r>
      <w:r w:rsidR="00043012">
        <w:rPr>
          <w:noProof/>
        </w:rPr>
        <w:t> </w:t>
      </w:r>
      <w:r w:rsidR="00043012" w:rsidRPr="006B771F">
        <w:rPr>
          <w:noProof/>
        </w:rPr>
        <w:t>tak</w:t>
      </w:r>
      <w:r w:rsidR="00AD2D37" w:rsidRPr="006B771F">
        <w:rPr>
          <w:noProof/>
        </w:rPr>
        <w:t>że kwestii odnoszących się do niezbędnych wskazówek</w:t>
      </w:r>
      <w:r w:rsidR="00043012" w:rsidRPr="006B771F">
        <w:rPr>
          <w:noProof/>
        </w:rPr>
        <w:t xml:space="preserve"> i</w:t>
      </w:r>
      <w:r w:rsidR="00043012">
        <w:rPr>
          <w:noProof/>
        </w:rPr>
        <w:t> </w:t>
      </w:r>
      <w:r w:rsidR="00043012" w:rsidRPr="006B771F">
        <w:rPr>
          <w:noProof/>
        </w:rPr>
        <w:t>dob</w:t>
      </w:r>
      <w:r w:rsidR="00AD2D37" w:rsidRPr="006B771F">
        <w:rPr>
          <w:noProof/>
        </w:rPr>
        <w:t>rych praktyk.</w:t>
      </w:r>
    </w:p>
    <w:p w14:paraId="359821DA" w14:textId="11755F97" w:rsidR="00AD2D37" w:rsidRPr="006B771F" w:rsidRDefault="005E7503" w:rsidP="005E7503">
      <w:pPr>
        <w:pStyle w:val="ManualConsidrant"/>
        <w:rPr>
          <w:noProof/>
        </w:rPr>
      </w:pPr>
      <w:r w:rsidRPr="005E7503">
        <w:t>(8)</w:t>
      </w:r>
      <w:r w:rsidRPr="005E7503">
        <w:tab/>
      </w:r>
      <w:r w:rsidR="00AD2D37" w:rsidRPr="006B771F">
        <w:rPr>
          <w:noProof/>
        </w:rPr>
        <w:t>Niniejsze zalecenie należy wprowadzić</w:t>
      </w:r>
      <w:r w:rsidR="00043012" w:rsidRPr="006B771F">
        <w:rPr>
          <w:noProof/>
        </w:rPr>
        <w:t xml:space="preserve"> w</w:t>
      </w:r>
      <w:r w:rsidR="00043012">
        <w:rPr>
          <w:noProof/>
        </w:rPr>
        <w:t> </w:t>
      </w:r>
      <w:r w:rsidR="00043012" w:rsidRPr="006B771F">
        <w:rPr>
          <w:noProof/>
        </w:rPr>
        <w:t>życ</w:t>
      </w:r>
      <w:r w:rsidR="00AD2D37" w:rsidRPr="006B771F">
        <w:rPr>
          <w:noProof/>
        </w:rPr>
        <w:t>ie</w:t>
      </w:r>
      <w:r w:rsidR="00043012" w:rsidRPr="006B771F">
        <w:rPr>
          <w:noProof/>
        </w:rPr>
        <w:t xml:space="preserve"> w</w:t>
      </w:r>
      <w:r w:rsidR="00043012">
        <w:rPr>
          <w:noProof/>
        </w:rPr>
        <w:t> </w:t>
      </w:r>
      <w:r w:rsidR="00043012" w:rsidRPr="006B771F">
        <w:rPr>
          <w:noProof/>
        </w:rPr>
        <w:t>roz</w:t>
      </w:r>
      <w:r w:rsidR="00AD2D37" w:rsidRPr="006B771F">
        <w:rPr>
          <w:noProof/>
        </w:rPr>
        <w:t>sądnym terminie</w:t>
      </w:r>
      <w:r w:rsidR="00043012" w:rsidRPr="006B771F">
        <w:rPr>
          <w:noProof/>
        </w:rPr>
        <w:t>. W</w:t>
      </w:r>
      <w:r w:rsidR="00043012">
        <w:rPr>
          <w:noProof/>
        </w:rPr>
        <w:t> </w:t>
      </w:r>
      <w:r w:rsidR="00043012" w:rsidRPr="006B771F">
        <w:rPr>
          <w:noProof/>
        </w:rPr>
        <w:t>cią</w:t>
      </w:r>
      <w:r w:rsidR="00AD2D37" w:rsidRPr="006B771F">
        <w:rPr>
          <w:noProof/>
        </w:rPr>
        <w:t>gu sześciu miesięcy od jego przyjęcia państwa członkowskie powinny zainicjować procedurę</w:t>
      </w:r>
      <w:r w:rsidR="00043012" w:rsidRPr="006B771F">
        <w:rPr>
          <w:noProof/>
        </w:rPr>
        <w:t xml:space="preserve"> w</w:t>
      </w:r>
      <w:r w:rsidR="00043012">
        <w:rPr>
          <w:noProof/>
        </w:rPr>
        <w:t> </w:t>
      </w:r>
      <w:r w:rsidR="00043012" w:rsidRPr="006B771F">
        <w:rPr>
          <w:noProof/>
        </w:rPr>
        <w:t>cel</w:t>
      </w:r>
      <w:r w:rsidR="00AD2D37" w:rsidRPr="006B771F">
        <w:rPr>
          <w:noProof/>
        </w:rPr>
        <w:t>u zmiany swoich przepisów krajowych oraz dwustronnych</w:t>
      </w:r>
      <w:r w:rsidR="00043012" w:rsidRPr="006B771F">
        <w:rPr>
          <w:noProof/>
        </w:rPr>
        <w:t xml:space="preserve"> i</w:t>
      </w:r>
      <w:r w:rsidR="00043012">
        <w:rPr>
          <w:noProof/>
        </w:rPr>
        <w:t> </w:t>
      </w:r>
      <w:r w:rsidR="00043012" w:rsidRPr="006B771F">
        <w:rPr>
          <w:noProof/>
        </w:rPr>
        <w:t>wie</w:t>
      </w:r>
      <w:r w:rsidR="00AD2D37" w:rsidRPr="006B771F">
        <w:rPr>
          <w:noProof/>
        </w:rPr>
        <w:t>lostronnych umów</w:t>
      </w:r>
      <w:r w:rsidR="00043012" w:rsidRPr="006B771F">
        <w:rPr>
          <w:noProof/>
        </w:rPr>
        <w:t xml:space="preserve"> z</w:t>
      </w:r>
      <w:r w:rsidR="00043012">
        <w:rPr>
          <w:noProof/>
        </w:rPr>
        <w:t> </w:t>
      </w:r>
      <w:r w:rsidR="00043012" w:rsidRPr="006B771F">
        <w:rPr>
          <w:noProof/>
        </w:rPr>
        <w:t>inn</w:t>
      </w:r>
      <w:r w:rsidR="00AD2D37" w:rsidRPr="006B771F">
        <w:rPr>
          <w:noProof/>
        </w:rPr>
        <w:t>ymi państwami członkowskimi,</w:t>
      </w:r>
      <w:r w:rsidR="00043012" w:rsidRPr="006B771F">
        <w:rPr>
          <w:noProof/>
        </w:rPr>
        <w:t xml:space="preserve"> w</w:t>
      </w:r>
      <w:r w:rsidR="00043012">
        <w:rPr>
          <w:noProof/>
        </w:rPr>
        <w:t> </w:t>
      </w:r>
      <w:r w:rsidR="00043012" w:rsidRPr="006B771F">
        <w:rPr>
          <w:noProof/>
        </w:rPr>
        <w:t>sto</w:t>
      </w:r>
      <w:r w:rsidR="00AD2D37" w:rsidRPr="006B771F">
        <w:rPr>
          <w:noProof/>
        </w:rPr>
        <w:t>sownych przypadkach, aby wprowadzić</w:t>
      </w:r>
      <w:r w:rsidR="00043012" w:rsidRPr="006B771F">
        <w:rPr>
          <w:noProof/>
        </w:rPr>
        <w:t xml:space="preserve"> w</w:t>
      </w:r>
      <w:r w:rsidR="00043012">
        <w:rPr>
          <w:noProof/>
        </w:rPr>
        <w:t> </w:t>
      </w:r>
      <w:r w:rsidR="00043012" w:rsidRPr="006B771F">
        <w:rPr>
          <w:noProof/>
        </w:rPr>
        <w:t>życ</w:t>
      </w:r>
      <w:r w:rsidR="00AD2D37" w:rsidRPr="006B771F">
        <w:rPr>
          <w:noProof/>
        </w:rPr>
        <w:t>ie zalecane środki,</w:t>
      </w:r>
      <w:r w:rsidR="00043012" w:rsidRPr="006B771F">
        <w:rPr>
          <w:noProof/>
        </w:rPr>
        <w:t xml:space="preserve"> a</w:t>
      </w:r>
      <w:r w:rsidR="00043012">
        <w:rPr>
          <w:noProof/>
        </w:rPr>
        <w:t> </w:t>
      </w:r>
      <w:r w:rsidR="00043012" w:rsidRPr="006B771F">
        <w:rPr>
          <w:noProof/>
        </w:rPr>
        <w:t>nas</w:t>
      </w:r>
      <w:r w:rsidR="00AD2D37" w:rsidRPr="006B771F">
        <w:rPr>
          <w:noProof/>
        </w:rPr>
        <w:t xml:space="preserve">tępnie zakończyć tę procedurę tak szybko, jak jest to racjonalnie możliwe. </w:t>
      </w:r>
    </w:p>
    <w:p w14:paraId="28577825" w14:textId="5FF33CEE" w:rsidR="00AD2D37" w:rsidRPr="006B771F" w:rsidRDefault="005E7503" w:rsidP="005E7503">
      <w:pPr>
        <w:pStyle w:val="ManualConsidrant"/>
        <w:rPr>
          <w:noProof/>
        </w:rPr>
      </w:pPr>
      <w:r w:rsidRPr="005E7503">
        <w:t>(9)</w:t>
      </w:r>
      <w:r w:rsidRPr="005E7503">
        <w:tab/>
      </w:r>
      <w:r w:rsidR="00AD2D37" w:rsidRPr="006B771F">
        <w:rPr>
          <w:noProof/>
        </w:rPr>
        <w:t>Po upływie określonego czasu należy dokonać przeglądu postępów poczynionych</w:t>
      </w:r>
      <w:r w:rsidR="00043012" w:rsidRPr="006B771F">
        <w:rPr>
          <w:noProof/>
        </w:rPr>
        <w:t xml:space="preserve"> w</w:t>
      </w:r>
      <w:r w:rsidR="00043012">
        <w:rPr>
          <w:noProof/>
        </w:rPr>
        <w:t> </w:t>
      </w:r>
      <w:r w:rsidR="00043012" w:rsidRPr="006B771F">
        <w:rPr>
          <w:noProof/>
        </w:rPr>
        <w:t>zak</w:t>
      </w:r>
      <w:r w:rsidR="00AD2D37" w:rsidRPr="006B771F">
        <w:rPr>
          <w:noProof/>
        </w:rPr>
        <w:t>resie wprowadzania</w:t>
      </w:r>
      <w:r w:rsidR="00043012" w:rsidRPr="006B771F">
        <w:rPr>
          <w:noProof/>
        </w:rPr>
        <w:t xml:space="preserve"> w</w:t>
      </w:r>
      <w:r w:rsidR="00043012">
        <w:rPr>
          <w:noProof/>
        </w:rPr>
        <w:t> </w:t>
      </w:r>
      <w:r w:rsidR="00043012" w:rsidRPr="006B771F">
        <w:rPr>
          <w:noProof/>
        </w:rPr>
        <w:t>życ</w:t>
      </w:r>
      <w:r w:rsidR="00AD2D37" w:rsidRPr="006B771F">
        <w:rPr>
          <w:noProof/>
        </w:rPr>
        <w:t>ie niniejszego zalecenia. Komisja powinna zatem dokonać oceny tych postępów po upływie roku od jego przyjęcia, m.in. na potrzeby podjęcia decyzji, czy</w:t>
      </w:r>
      <w:r w:rsidR="00043012" w:rsidRPr="006B771F">
        <w:rPr>
          <w:noProof/>
        </w:rPr>
        <w:t xml:space="preserve"> w</w:t>
      </w:r>
      <w:r w:rsidR="00043012">
        <w:rPr>
          <w:noProof/>
        </w:rPr>
        <w:t> </w:t>
      </w:r>
      <w:r w:rsidR="00043012" w:rsidRPr="006B771F">
        <w:rPr>
          <w:noProof/>
        </w:rPr>
        <w:t>tej</w:t>
      </w:r>
      <w:r w:rsidR="00AD2D37" w:rsidRPr="006B771F">
        <w:rPr>
          <w:noProof/>
        </w:rPr>
        <w:t xml:space="preserve"> dziedzinie konieczne są wiążące akty prawa Unii</w:t>
      </w:r>
      <w:r w:rsidR="00043012" w:rsidRPr="006B771F">
        <w:rPr>
          <w:noProof/>
        </w:rPr>
        <w:t xml:space="preserve"> o</w:t>
      </w:r>
      <w:r w:rsidR="00043012">
        <w:rPr>
          <w:noProof/>
        </w:rPr>
        <w:t> </w:t>
      </w:r>
      <w:r w:rsidR="00043012" w:rsidRPr="006B771F">
        <w:rPr>
          <w:noProof/>
        </w:rPr>
        <w:t>moc</w:t>
      </w:r>
      <w:r w:rsidR="00AD2D37" w:rsidRPr="006B771F">
        <w:rPr>
          <w:noProof/>
        </w:rPr>
        <w:t xml:space="preserve">y wiążącej. </w:t>
      </w:r>
    </w:p>
    <w:p w14:paraId="3EA8F603" w14:textId="5E864433" w:rsidR="00AD2D37" w:rsidRPr="006B771F" w:rsidRDefault="005E7503" w:rsidP="005E7503">
      <w:pPr>
        <w:pStyle w:val="ManualConsidrant"/>
        <w:rPr>
          <w:noProof/>
        </w:rPr>
      </w:pPr>
      <w:r w:rsidRPr="005E7503">
        <w:t>(10)</w:t>
      </w:r>
      <w:r w:rsidRPr="005E7503">
        <w:tab/>
      </w:r>
      <w:r w:rsidR="00AD2D37" w:rsidRPr="006B771F">
        <w:rPr>
          <w:noProof/>
        </w:rPr>
        <w:t>Biorąc pod uwagę fakt, że niniejsze zalecenie nie ma mocy wiążącej, państwa członkowskie powinny wprowadzić</w:t>
      </w:r>
      <w:r w:rsidR="00043012" w:rsidRPr="006B771F">
        <w:rPr>
          <w:noProof/>
        </w:rPr>
        <w:t xml:space="preserve"> w</w:t>
      </w:r>
      <w:r w:rsidR="00043012">
        <w:rPr>
          <w:noProof/>
        </w:rPr>
        <w:t> </w:t>
      </w:r>
      <w:r w:rsidR="00043012" w:rsidRPr="006B771F">
        <w:rPr>
          <w:noProof/>
        </w:rPr>
        <w:t>życ</w:t>
      </w:r>
      <w:r w:rsidR="00AD2D37" w:rsidRPr="006B771F">
        <w:rPr>
          <w:noProof/>
        </w:rPr>
        <w:t>ie zalecane</w:t>
      </w:r>
      <w:r w:rsidR="00043012" w:rsidRPr="006B771F">
        <w:rPr>
          <w:noProof/>
        </w:rPr>
        <w:t xml:space="preserve"> w</w:t>
      </w:r>
      <w:r w:rsidR="00043012">
        <w:rPr>
          <w:noProof/>
        </w:rPr>
        <w:t> </w:t>
      </w:r>
      <w:r w:rsidR="00043012" w:rsidRPr="006B771F">
        <w:rPr>
          <w:noProof/>
        </w:rPr>
        <w:t>nim</w:t>
      </w:r>
      <w:r w:rsidR="00AD2D37" w:rsidRPr="006B771F">
        <w:rPr>
          <w:noProof/>
        </w:rPr>
        <w:t xml:space="preserve"> środki zgodnie</w:t>
      </w:r>
      <w:r w:rsidR="00043012" w:rsidRPr="006B771F">
        <w:rPr>
          <w:noProof/>
        </w:rPr>
        <w:t xml:space="preserve"> z</w:t>
      </w:r>
      <w:r w:rsidR="00043012">
        <w:rPr>
          <w:noProof/>
        </w:rPr>
        <w:t> </w:t>
      </w:r>
      <w:r w:rsidR="00043012" w:rsidRPr="006B771F">
        <w:rPr>
          <w:noProof/>
        </w:rPr>
        <w:t>obo</w:t>
      </w:r>
      <w:r w:rsidR="00AD2D37" w:rsidRPr="006B771F">
        <w:rPr>
          <w:noProof/>
        </w:rPr>
        <w:t>wiązującymi aktami prawa Unii,</w:t>
      </w:r>
      <w:r w:rsidR="00043012" w:rsidRPr="006B771F">
        <w:rPr>
          <w:noProof/>
        </w:rPr>
        <w:t xml:space="preserve"> w</w:t>
      </w:r>
      <w:r w:rsidR="00043012">
        <w:rPr>
          <w:noProof/>
        </w:rPr>
        <w:t> </w:t>
      </w:r>
      <w:r w:rsidR="00043012" w:rsidRPr="006B771F">
        <w:rPr>
          <w:noProof/>
        </w:rPr>
        <w:t>szc</w:t>
      </w:r>
      <w:r w:rsidR="00AD2D37" w:rsidRPr="006B771F">
        <w:rPr>
          <w:noProof/>
        </w:rPr>
        <w:t>zególności tymi, które mają moc wiążącą. Państwa członkowskie powinny</w:t>
      </w:r>
      <w:r w:rsidR="00043012" w:rsidRPr="006B771F">
        <w:rPr>
          <w:noProof/>
        </w:rPr>
        <w:t xml:space="preserve"> w</w:t>
      </w:r>
      <w:r w:rsidR="00043012">
        <w:rPr>
          <w:noProof/>
        </w:rPr>
        <w:t> </w:t>
      </w:r>
      <w:r w:rsidR="00043012" w:rsidRPr="006B771F">
        <w:rPr>
          <w:noProof/>
        </w:rPr>
        <w:t>szc</w:t>
      </w:r>
      <w:r w:rsidR="00AD2D37" w:rsidRPr="006B771F">
        <w:rPr>
          <w:noProof/>
        </w:rPr>
        <w:t>zególności wprowadzać</w:t>
      </w:r>
      <w:r w:rsidR="00043012" w:rsidRPr="006B771F">
        <w:rPr>
          <w:noProof/>
        </w:rPr>
        <w:t xml:space="preserve"> w</w:t>
      </w:r>
      <w:r w:rsidR="00043012">
        <w:rPr>
          <w:noProof/>
        </w:rPr>
        <w:t> </w:t>
      </w:r>
      <w:r w:rsidR="00043012" w:rsidRPr="006B771F">
        <w:rPr>
          <w:noProof/>
        </w:rPr>
        <w:t>życ</w:t>
      </w:r>
      <w:r w:rsidR="00AD2D37" w:rsidRPr="006B771F">
        <w:rPr>
          <w:noProof/>
        </w:rPr>
        <w:t>ie zalecane środki zgodnie</w:t>
      </w:r>
      <w:r w:rsidR="00043012" w:rsidRPr="006B771F">
        <w:rPr>
          <w:noProof/>
        </w:rPr>
        <w:t xml:space="preserve"> z</w:t>
      </w:r>
      <w:r w:rsidR="00043012">
        <w:rPr>
          <w:noProof/>
        </w:rPr>
        <w:t> </w:t>
      </w:r>
      <w:r w:rsidR="00043012" w:rsidRPr="006B771F">
        <w:rPr>
          <w:noProof/>
        </w:rPr>
        <w:t>kon</w:t>
      </w:r>
      <w:r w:rsidR="00AD2D37" w:rsidRPr="006B771F">
        <w:rPr>
          <w:noProof/>
        </w:rPr>
        <w:t>wencją wykonawczą do układu</w:t>
      </w:r>
      <w:r w:rsidR="00043012" w:rsidRPr="006B771F">
        <w:rPr>
          <w:noProof/>
        </w:rPr>
        <w:t xml:space="preserve"> z</w:t>
      </w:r>
      <w:r w:rsidR="00043012">
        <w:rPr>
          <w:noProof/>
        </w:rPr>
        <w:t> </w:t>
      </w:r>
      <w:r w:rsidR="00043012" w:rsidRPr="006B771F">
        <w:rPr>
          <w:noProof/>
        </w:rPr>
        <w:t>Sch</w:t>
      </w:r>
      <w:r w:rsidR="00AD2D37" w:rsidRPr="006B771F">
        <w:rPr>
          <w:noProof/>
        </w:rPr>
        <w:t>engen</w:t>
      </w:r>
      <w:r w:rsidR="00AD2D37" w:rsidRPr="006B771F">
        <w:rPr>
          <w:rStyle w:val="FootnoteReference0"/>
          <w:noProof/>
        </w:rPr>
        <w:footnoteReference w:id="56"/>
      </w:r>
      <w:r w:rsidR="00AD2D37" w:rsidRPr="006B771F">
        <w:rPr>
          <w:noProof/>
        </w:rPr>
        <w:t>, wybierając</w:t>
      </w:r>
      <w:r w:rsidR="00043012" w:rsidRPr="006B771F">
        <w:rPr>
          <w:noProof/>
        </w:rPr>
        <w:t xml:space="preserve"> w</w:t>
      </w:r>
      <w:r w:rsidR="00043012">
        <w:rPr>
          <w:noProof/>
        </w:rPr>
        <w:t> </w:t>
      </w:r>
      <w:r w:rsidR="00043012" w:rsidRPr="006B771F">
        <w:rPr>
          <w:noProof/>
        </w:rPr>
        <w:t>szc</w:t>
      </w:r>
      <w:r w:rsidR="00AD2D37" w:rsidRPr="006B771F">
        <w:rPr>
          <w:noProof/>
        </w:rPr>
        <w:t>zególności warianty wskazane</w:t>
      </w:r>
      <w:r w:rsidR="00043012" w:rsidRPr="006B771F">
        <w:rPr>
          <w:noProof/>
        </w:rPr>
        <w:t xml:space="preserve"> w</w:t>
      </w:r>
      <w:r w:rsidR="00043012">
        <w:rPr>
          <w:noProof/>
        </w:rPr>
        <w:t> </w:t>
      </w:r>
      <w:r w:rsidR="00043012" w:rsidRPr="006B771F">
        <w:rPr>
          <w:noProof/>
        </w:rPr>
        <w:t>zal</w:t>
      </w:r>
      <w:r w:rsidR="00AD2D37" w:rsidRPr="006B771F">
        <w:rPr>
          <w:noProof/>
        </w:rPr>
        <w:t>eceniu</w:t>
      </w:r>
      <w:r w:rsidR="00043012" w:rsidRPr="006B771F">
        <w:rPr>
          <w:noProof/>
        </w:rPr>
        <w:t xml:space="preserve"> w</w:t>
      </w:r>
      <w:r w:rsidR="00043012">
        <w:rPr>
          <w:noProof/>
        </w:rPr>
        <w:t> </w:t>
      </w:r>
      <w:r w:rsidR="00043012" w:rsidRPr="006B771F">
        <w:rPr>
          <w:noProof/>
        </w:rPr>
        <w:t>prz</w:t>
      </w:r>
      <w:r w:rsidR="00AD2D37" w:rsidRPr="006B771F">
        <w:rPr>
          <w:noProof/>
        </w:rPr>
        <w:t>ypadkach, gdy konwencja</w:t>
      </w:r>
      <w:r w:rsidR="00043012" w:rsidRPr="006B771F">
        <w:rPr>
          <w:noProof/>
        </w:rPr>
        <w:t xml:space="preserve"> z</w:t>
      </w:r>
      <w:r w:rsidR="00043012">
        <w:rPr>
          <w:noProof/>
        </w:rPr>
        <w:t> </w:t>
      </w:r>
      <w:r w:rsidR="00043012" w:rsidRPr="006B771F">
        <w:rPr>
          <w:noProof/>
        </w:rPr>
        <w:t>Sch</w:t>
      </w:r>
      <w:r w:rsidR="00AD2D37" w:rsidRPr="006B771F">
        <w:rPr>
          <w:noProof/>
        </w:rPr>
        <w:t>engen przewiduje kilka wariantów, oraz rozszerzając zakres przepisów</w:t>
      </w:r>
      <w:r w:rsidR="00043012" w:rsidRPr="006B771F">
        <w:rPr>
          <w:noProof/>
        </w:rPr>
        <w:t xml:space="preserve"> i</w:t>
      </w:r>
      <w:r w:rsidR="00043012">
        <w:rPr>
          <w:noProof/>
        </w:rPr>
        <w:t> </w:t>
      </w:r>
      <w:r w:rsidR="00043012" w:rsidRPr="006B771F">
        <w:rPr>
          <w:noProof/>
        </w:rPr>
        <w:t>prz</w:t>
      </w:r>
      <w:r w:rsidR="00AD2D37" w:rsidRPr="006B771F">
        <w:rPr>
          <w:noProof/>
        </w:rPr>
        <w:t>yjmując dodatkowe przepisy przy ich wdrażaniu zgodnie</w:t>
      </w:r>
      <w:r w:rsidR="00043012" w:rsidRPr="006B771F">
        <w:rPr>
          <w:noProof/>
        </w:rPr>
        <w:t xml:space="preserve"> z</w:t>
      </w:r>
      <w:r w:rsidR="00043012">
        <w:rPr>
          <w:noProof/>
        </w:rPr>
        <w:t> </w:t>
      </w:r>
      <w:r w:rsidR="00043012" w:rsidRPr="006B771F">
        <w:rPr>
          <w:noProof/>
        </w:rPr>
        <w:t>wła</w:t>
      </w:r>
      <w:r w:rsidR="00AD2D37" w:rsidRPr="006B771F">
        <w:rPr>
          <w:noProof/>
        </w:rPr>
        <w:t>ściwymi artykułami konwencji</w:t>
      </w:r>
      <w:r w:rsidR="00043012" w:rsidRPr="006B771F">
        <w:rPr>
          <w:noProof/>
        </w:rPr>
        <w:t xml:space="preserve"> z</w:t>
      </w:r>
      <w:r w:rsidR="00043012">
        <w:rPr>
          <w:noProof/>
        </w:rPr>
        <w:t> </w:t>
      </w:r>
      <w:r w:rsidR="00043012" w:rsidRPr="006B771F">
        <w:rPr>
          <w:noProof/>
        </w:rPr>
        <w:t>Sch</w:t>
      </w:r>
      <w:r w:rsidR="00AD2D37" w:rsidRPr="006B771F">
        <w:rPr>
          <w:noProof/>
        </w:rPr>
        <w:t xml:space="preserve">engen. </w:t>
      </w:r>
    </w:p>
    <w:p w14:paraId="72F2B15F" w14:textId="09D57F6E" w:rsidR="00AD2D37" w:rsidRPr="006B771F" w:rsidRDefault="005E7503" w:rsidP="005E7503">
      <w:pPr>
        <w:pStyle w:val="ManualConsidrant"/>
        <w:rPr>
          <w:noProof/>
        </w:rPr>
      </w:pPr>
      <w:r w:rsidRPr="005E7503">
        <w:t>(11)</w:t>
      </w:r>
      <w:r w:rsidRPr="005E7503">
        <w:tab/>
      </w:r>
      <w:r w:rsidR="00AD2D37" w:rsidRPr="006B771F">
        <w:rPr>
          <w:noProof/>
        </w:rPr>
        <w:t>Nie należy rozumieć, że</w:t>
      </w:r>
      <w:r w:rsidR="00043012" w:rsidRPr="006B771F">
        <w:rPr>
          <w:noProof/>
        </w:rPr>
        <w:t xml:space="preserve"> w</w:t>
      </w:r>
      <w:r w:rsidR="00043012">
        <w:rPr>
          <w:noProof/>
        </w:rPr>
        <w:t> </w:t>
      </w:r>
      <w:r w:rsidR="00043012" w:rsidRPr="006B771F">
        <w:rPr>
          <w:noProof/>
        </w:rPr>
        <w:t>nin</w:t>
      </w:r>
      <w:r w:rsidR="00AD2D37" w:rsidRPr="006B771F">
        <w:rPr>
          <w:noProof/>
        </w:rPr>
        <w:t>iejszym zaleceniu dąży się do wpłynięcia na przepisy, ustanawiające ograniczenia, zabezpieczenia</w:t>
      </w:r>
      <w:r w:rsidR="00043012" w:rsidRPr="006B771F">
        <w:rPr>
          <w:noProof/>
        </w:rPr>
        <w:t xml:space="preserve"> i</w:t>
      </w:r>
      <w:r w:rsidR="00043012">
        <w:rPr>
          <w:noProof/>
        </w:rPr>
        <w:t> </w:t>
      </w:r>
      <w:r w:rsidR="00043012" w:rsidRPr="006B771F">
        <w:rPr>
          <w:noProof/>
        </w:rPr>
        <w:t>war</w:t>
      </w:r>
      <w:r w:rsidR="00AD2D37" w:rsidRPr="006B771F">
        <w:rPr>
          <w:noProof/>
        </w:rPr>
        <w:t>unki,</w:t>
      </w:r>
      <w:r w:rsidR="00043012" w:rsidRPr="006B771F">
        <w:rPr>
          <w:noProof/>
        </w:rPr>
        <w:t xml:space="preserve"> o</w:t>
      </w:r>
      <w:r w:rsidR="00043012">
        <w:rPr>
          <w:noProof/>
        </w:rPr>
        <w:t> </w:t>
      </w:r>
      <w:r w:rsidR="00043012" w:rsidRPr="006B771F">
        <w:rPr>
          <w:noProof/>
        </w:rPr>
        <w:t>któ</w:t>
      </w:r>
      <w:r w:rsidR="00AD2D37" w:rsidRPr="006B771F">
        <w:rPr>
          <w:noProof/>
        </w:rPr>
        <w:t>rych nie wspomniano wyraźnie</w:t>
      </w:r>
      <w:r w:rsidR="00043012" w:rsidRPr="006B771F">
        <w:rPr>
          <w:noProof/>
        </w:rPr>
        <w:t xml:space="preserve"> w</w:t>
      </w:r>
      <w:r w:rsidR="00043012">
        <w:rPr>
          <w:noProof/>
        </w:rPr>
        <w:t> </w:t>
      </w:r>
      <w:r w:rsidR="00043012" w:rsidRPr="006B771F">
        <w:rPr>
          <w:noProof/>
        </w:rPr>
        <w:t>nin</w:t>
      </w:r>
      <w:r w:rsidR="00AD2D37" w:rsidRPr="006B771F">
        <w:rPr>
          <w:noProof/>
        </w:rPr>
        <w:t>iejszym zaleceniu, obowiązujące</w:t>
      </w:r>
      <w:r w:rsidR="00043012" w:rsidRPr="006B771F">
        <w:rPr>
          <w:noProof/>
        </w:rPr>
        <w:t xml:space="preserve"> w</w:t>
      </w:r>
      <w:r w:rsidR="00043012">
        <w:rPr>
          <w:noProof/>
        </w:rPr>
        <w:t> </w:t>
      </w:r>
      <w:r w:rsidR="00043012" w:rsidRPr="006B771F">
        <w:rPr>
          <w:noProof/>
        </w:rPr>
        <w:t>sto</w:t>
      </w:r>
      <w:r w:rsidR="00AD2D37" w:rsidRPr="006B771F">
        <w:rPr>
          <w:noProof/>
        </w:rPr>
        <w:t>sunku do działalności</w:t>
      </w:r>
      <w:r w:rsidR="00043012" w:rsidRPr="006B771F">
        <w:rPr>
          <w:noProof/>
        </w:rPr>
        <w:t xml:space="preserve"> w</w:t>
      </w:r>
      <w:r w:rsidR="00043012">
        <w:rPr>
          <w:noProof/>
        </w:rPr>
        <w:t> </w:t>
      </w:r>
      <w:r w:rsidR="00043012" w:rsidRPr="006B771F">
        <w:rPr>
          <w:noProof/>
        </w:rPr>
        <w:t>zak</w:t>
      </w:r>
      <w:r w:rsidR="00AD2D37" w:rsidRPr="006B771F">
        <w:rPr>
          <w:noProof/>
        </w:rPr>
        <w:t>resie transgranicznej operacyjnej współpracy policyjnej na podstawie aktów prawa Unii</w:t>
      </w:r>
      <w:r w:rsidR="00043012" w:rsidRPr="006B771F">
        <w:rPr>
          <w:noProof/>
        </w:rPr>
        <w:t xml:space="preserve"> o</w:t>
      </w:r>
      <w:r w:rsidR="00043012">
        <w:rPr>
          <w:noProof/>
        </w:rPr>
        <w:t> </w:t>
      </w:r>
      <w:r w:rsidR="00043012" w:rsidRPr="006B771F">
        <w:rPr>
          <w:noProof/>
        </w:rPr>
        <w:t>moc</w:t>
      </w:r>
      <w:r w:rsidR="00AD2D37" w:rsidRPr="006B771F">
        <w:rPr>
          <w:noProof/>
        </w:rPr>
        <w:t>y wiążącej,</w:t>
      </w:r>
      <w:r w:rsidR="00043012" w:rsidRPr="006B771F">
        <w:rPr>
          <w:noProof/>
        </w:rPr>
        <w:t xml:space="preserve"> w</w:t>
      </w:r>
      <w:r w:rsidR="00043012">
        <w:rPr>
          <w:noProof/>
        </w:rPr>
        <w:t> </w:t>
      </w:r>
      <w:r w:rsidR="00043012" w:rsidRPr="006B771F">
        <w:rPr>
          <w:noProof/>
        </w:rPr>
        <w:t>tym</w:t>
      </w:r>
      <w:r w:rsidR="00AD2D37" w:rsidRPr="006B771F">
        <w:rPr>
          <w:noProof/>
        </w:rPr>
        <w:t xml:space="preserve"> konwencji</w:t>
      </w:r>
      <w:r w:rsidR="00043012" w:rsidRPr="006B771F">
        <w:rPr>
          <w:noProof/>
        </w:rPr>
        <w:t xml:space="preserve"> z</w:t>
      </w:r>
      <w:r w:rsidR="00043012">
        <w:rPr>
          <w:noProof/>
        </w:rPr>
        <w:t> </w:t>
      </w:r>
      <w:r w:rsidR="00043012" w:rsidRPr="006B771F">
        <w:rPr>
          <w:noProof/>
        </w:rPr>
        <w:t>Sch</w:t>
      </w:r>
      <w:r w:rsidR="00AD2D37" w:rsidRPr="006B771F">
        <w:rPr>
          <w:noProof/>
        </w:rPr>
        <w:t>engen, oraz na podstawie prawa krajowego zgodnego</w:t>
      </w:r>
      <w:r w:rsidR="00043012" w:rsidRPr="006B771F">
        <w:rPr>
          <w:noProof/>
        </w:rPr>
        <w:t xml:space="preserve"> z</w:t>
      </w:r>
      <w:r w:rsidR="00043012">
        <w:rPr>
          <w:noProof/>
        </w:rPr>
        <w:t> </w:t>
      </w:r>
      <w:r w:rsidR="00043012" w:rsidRPr="006B771F">
        <w:rPr>
          <w:noProof/>
        </w:rPr>
        <w:t>pra</w:t>
      </w:r>
      <w:r w:rsidR="00AD2D37" w:rsidRPr="006B771F">
        <w:rPr>
          <w:noProof/>
        </w:rPr>
        <w:t>wem Unii. Na przykład noszenie</w:t>
      </w:r>
      <w:r w:rsidR="00043012" w:rsidRPr="006B771F">
        <w:rPr>
          <w:noProof/>
        </w:rPr>
        <w:t xml:space="preserve"> i</w:t>
      </w:r>
      <w:r w:rsidR="00043012">
        <w:rPr>
          <w:noProof/>
        </w:rPr>
        <w:t> </w:t>
      </w:r>
      <w:r w:rsidR="00043012" w:rsidRPr="006B771F">
        <w:rPr>
          <w:noProof/>
        </w:rPr>
        <w:t>uży</w:t>
      </w:r>
      <w:r w:rsidR="00AD2D37" w:rsidRPr="006B771F">
        <w:rPr>
          <w:noProof/>
        </w:rPr>
        <w:t>cie broni służbowej, korzystanie</w:t>
      </w:r>
      <w:r w:rsidR="00043012" w:rsidRPr="006B771F">
        <w:rPr>
          <w:noProof/>
        </w:rPr>
        <w:t xml:space="preserve"> z</w:t>
      </w:r>
      <w:r w:rsidR="00043012">
        <w:rPr>
          <w:noProof/>
        </w:rPr>
        <w:t> </w:t>
      </w:r>
      <w:r w:rsidR="00043012" w:rsidRPr="006B771F">
        <w:rPr>
          <w:noProof/>
        </w:rPr>
        <w:t>prz</w:t>
      </w:r>
      <w:r w:rsidR="00AD2D37" w:rsidRPr="006B771F">
        <w:rPr>
          <w:noProof/>
        </w:rPr>
        <w:t>ywilejów</w:t>
      </w:r>
      <w:r w:rsidR="00043012" w:rsidRPr="006B771F">
        <w:rPr>
          <w:noProof/>
        </w:rPr>
        <w:t xml:space="preserve"> w</w:t>
      </w:r>
      <w:r w:rsidR="00043012">
        <w:rPr>
          <w:noProof/>
        </w:rPr>
        <w:t> </w:t>
      </w:r>
      <w:r w:rsidR="00043012" w:rsidRPr="006B771F">
        <w:rPr>
          <w:noProof/>
        </w:rPr>
        <w:t>ruc</w:t>
      </w:r>
      <w:r w:rsidR="00AD2D37" w:rsidRPr="006B771F">
        <w:rPr>
          <w:noProof/>
        </w:rPr>
        <w:t>hu drogowym, wykorzystywanie środków technicznych na potrzeby obserwacji transgranicznych oraz dokonywanie kontroli tożsamości</w:t>
      </w:r>
      <w:r w:rsidR="00043012" w:rsidRPr="006B771F">
        <w:rPr>
          <w:noProof/>
        </w:rPr>
        <w:t xml:space="preserve"> i</w:t>
      </w:r>
      <w:r w:rsidR="00043012">
        <w:rPr>
          <w:noProof/>
        </w:rPr>
        <w:t> </w:t>
      </w:r>
      <w:r w:rsidR="00043012" w:rsidRPr="006B771F">
        <w:rPr>
          <w:noProof/>
        </w:rPr>
        <w:t>prz</w:t>
      </w:r>
      <w:r w:rsidR="00AD2D37" w:rsidRPr="006B771F">
        <w:rPr>
          <w:noProof/>
        </w:rPr>
        <w:t>echwytywanie osób próbujących uniknąć takich kontroli,</w:t>
      </w:r>
      <w:r w:rsidR="00043012" w:rsidRPr="006B771F">
        <w:rPr>
          <w:noProof/>
        </w:rPr>
        <w:t xml:space="preserve"> o</w:t>
      </w:r>
      <w:r w:rsidR="00043012">
        <w:rPr>
          <w:noProof/>
        </w:rPr>
        <w:t> </w:t>
      </w:r>
      <w:r w:rsidR="00043012" w:rsidRPr="006B771F">
        <w:rPr>
          <w:noProof/>
        </w:rPr>
        <w:t>któ</w:t>
      </w:r>
      <w:r w:rsidR="00AD2D37" w:rsidRPr="006B771F">
        <w:rPr>
          <w:noProof/>
        </w:rPr>
        <w:t>rych to działaniach jest mowa</w:t>
      </w:r>
      <w:r w:rsidR="00043012" w:rsidRPr="006B771F">
        <w:rPr>
          <w:noProof/>
        </w:rPr>
        <w:t xml:space="preserve"> w</w:t>
      </w:r>
      <w:r w:rsidR="00043012">
        <w:rPr>
          <w:noProof/>
        </w:rPr>
        <w:t> </w:t>
      </w:r>
      <w:r w:rsidR="00043012" w:rsidRPr="006B771F">
        <w:rPr>
          <w:noProof/>
        </w:rPr>
        <w:t>nin</w:t>
      </w:r>
      <w:r w:rsidR="00AD2D37" w:rsidRPr="006B771F">
        <w:rPr>
          <w:noProof/>
        </w:rPr>
        <w:t xml:space="preserve">iejszym zaleceniu, mogą podlegać takim przepisom. </w:t>
      </w:r>
    </w:p>
    <w:p w14:paraId="638B7302" w14:textId="4789BAF1" w:rsidR="00AD2D37" w:rsidRPr="006B771F" w:rsidRDefault="005E7503" w:rsidP="005E7503">
      <w:pPr>
        <w:pStyle w:val="ManualConsidrant"/>
        <w:rPr>
          <w:noProof/>
          <w:sz w:val="22"/>
        </w:rPr>
      </w:pPr>
      <w:r w:rsidRPr="005E7503">
        <w:t>(12)</w:t>
      </w:r>
      <w:r w:rsidRPr="005E7503">
        <w:tab/>
      </w:r>
      <w:r w:rsidR="00AD2D37" w:rsidRPr="006B771F">
        <w:rPr>
          <w:noProof/>
          <w:shd w:val="clear" w:color="auto" w:fill="FFFFFF"/>
        </w:rPr>
        <w:t>Zgodnie</w:t>
      </w:r>
      <w:r w:rsidR="00043012" w:rsidRPr="006B771F">
        <w:rPr>
          <w:noProof/>
          <w:shd w:val="clear" w:color="auto" w:fill="FFFFFF"/>
        </w:rPr>
        <w:t xml:space="preserve"> z</w:t>
      </w:r>
      <w:r w:rsidR="00043012">
        <w:rPr>
          <w:noProof/>
          <w:shd w:val="clear" w:color="auto" w:fill="FFFFFF"/>
        </w:rPr>
        <w:t> </w:t>
      </w:r>
      <w:r w:rsidR="00043012" w:rsidRPr="00043012">
        <w:rPr>
          <w:noProof/>
          <w:shd w:val="clear" w:color="auto" w:fill="FFFFFF"/>
        </w:rPr>
        <w:t>art</w:t>
      </w:r>
      <w:r w:rsidR="00AD2D37" w:rsidRPr="00043012">
        <w:rPr>
          <w:noProof/>
          <w:shd w:val="clear" w:color="auto" w:fill="FFFFFF"/>
        </w:rPr>
        <w:t>.</w:t>
      </w:r>
      <w:r w:rsidR="00043012" w:rsidRPr="00043012">
        <w:rPr>
          <w:noProof/>
          <w:shd w:val="clear" w:color="auto" w:fill="FFFFFF"/>
        </w:rPr>
        <w:t> </w:t>
      </w:r>
      <w:r w:rsidR="00AD2D37" w:rsidRPr="00043012">
        <w:rPr>
          <w:noProof/>
          <w:shd w:val="clear" w:color="auto" w:fill="FFFFFF"/>
        </w:rPr>
        <w:t>1</w:t>
      </w:r>
      <w:r w:rsidR="00043012" w:rsidRPr="006B771F">
        <w:rPr>
          <w:noProof/>
          <w:shd w:val="clear" w:color="auto" w:fill="FFFFFF"/>
        </w:rPr>
        <w:t xml:space="preserve"> i</w:t>
      </w:r>
      <w:r w:rsidR="00043012">
        <w:rPr>
          <w:noProof/>
          <w:shd w:val="clear" w:color="auto" w:fill="FFFFFF"/>
        </w:rPr>
        <w:t> </w:t>
      </w:r>
      <w:r w:rsidR="00043012" w:rsidRPr="006B771F">
        <w:rPr>
          <w:noProof/>
          <w:shd w:val="clear" w:color="auto" w:fill="FFFFFF"/>
        </w:rPr>
        <w:t>2</w:t>
      </w:r>
      <w:r w:rsidR="00AD2D37" w:rsidRPr="006B771F">
        <w:rPr>
          <w:noProof/>
          <w:shd w:val="clear" w:color="auto" w:fill="FFFFFF"/>
        </w:rPr>
        <w:t xml:space="preserve"> Protokołu </w:t>
      </w:r>
      <w:r w:rsidR="00AD2D37" w:rsidRPr="00043012">
        <w:rPr>
          <w:noProof/>
          <w:shd w:val="clear" w:color="auto" w:fill="FFFFFF"/>
        </w:rPr>
        <w:t>nr</w:t>
      </w:r>
      <w:r w:rsidR="00043012" w:rsidRPr="00043012">
        <w:rPr>
          <w:noProof/>
          <w:shd w:val="clear" w:color="auto" w:fill="FFFFFF"/>
        </w:rPr>
        <w:t> </w:t>
      </w:r>
      <w:r w:rsidR="00AD2D37" w:rsidRPr="00043012">
        <w:rPr>
          <w:noProof/>
          <w:shd w:val="clear" w:color="auto" w:fill="FFFFFF"/>
        </w:rPr>
        <w:t>2</w:t>
      </w:r>
      <w:r w:rsidR="00AD2D37" w:rsidRPr="006B771F">
        <w:rPr>
          <w:noProof/>
          <w:shd w:val="clear" w:color="auto" w:fill="FFFFFF"/>
        </w:rPr>
        <w:t>2</w:t>
      </w:r>
      <w:r w:rsidR="00043012" w:rsidRPr="006B771F">
        <w:rPr>
          <w:noProof/>
          <w:shd w:val="clear" w:color="auto" w:fill="FFFFFF"/>
        </w:rPr>
        <w:t xml:space="preserve"> w</w:t>
      </w:r>
      <w:r w:rsidR="00043012">
        <w:rPr>
          <w:noProof/>
          <w:shd w:val="clear" w:color="auto" w:fill="FFFFFF"/>
        </w:rPr>
        <w:t> </w:t>
      </w:r>
      <w:r w:rsidR="00043012" w:rsidRPr="006B771F">
        <w:rPr>
          <w:noProof/>
          <w:shd w:val="clear" w:color="auto" w:fill="FFFFFF"/>
        </w:rPr>
        <w:t>spr</w:t>
      </w:r>
      <w:r w:rsidR="00AD2D37" w:rsidRPr="006B771F">
        <w:rPr>
          <w:noProof/>
          <w:shd w:val="clear" w:color="auto" w:fill="FFFFFF"/>
        </w:rPr>
        <w:t>awie stanowiska Danii, załączonego do Traktatu</w:t>
      </w:r>
      <w:r w:rsidR="00043012" w:rsidRPr="006B771F">
        <w:rPr>
          <w:noProof/>
          <w:shd w:val="clear" w:color="auto" w:fill="FFFFFF"/>
        </w:rPr>
        <w:t xml:space="preserve"> o</w:t>
      </w:r>
      <w:r w:rsidR="00043012">
        <w:rPr>
          <w:noProof/>
          <w:shd w:val="clear" w:color="auto" w:fill="FFFFFF"/>
        </w:rPr>
        <w:t> </w:t>
      </w:r>
      <w:r w:rsidR="00043012" w:rsidRPr="006B771F">
        <w:rPr>
          <w:noProof/>
          <w:shd w:val="clear" w:color="auto" w:fill="FFFFFF"/>
        </w:rPr>
        <w:t>Uni</w:t>
      </w:r>
      <w:r w:rsidR="00AD2D37" w:rsidRPr="006B771F">
        <w:rPr>
          <w:noProof/>
          <w:shd w:val="clear" w:color="auto" w:fill="FFFFFF"/>
        </w:rPr>
        <w:t>i Europejskiej i do Traktatu</w:t>
      </w:r>
      <w:r w:rsidR="00043012" w:rsidRPr="006B771F">
        <w:rPr>
          <w:noProof/>
          <w:shd w:val="clear" w:color="auto" w:fill="FFFFFF"/>
        </w:rPr>
        <w:t xml:space="preserve"> o</w:t>
      </w:r>
      <w:r w:rsidR="00043012">
        <w:rPr>
          <w:noProof/>
          <w:shd w:val="clear" w:color="auto" w:fill="FFFFFF"/>
        </w:rPr>
        <w:t> </w:t>
      </w:r>
      <w:r w:rsidR="00043012" w:rsidRPr="006B771F">
        <w:rPr>
          <w:noProof/>
          <w:shd w:val="clear" w:color="auto" w:fill="FFFFFF"/>
        </w:rPr>
        <w:t>fun</w:t>
      </w:r>
      <w:r w:rsidR="00AD2D37" w:rsidRPr="006B771F">
        <w:rPr>
          <w:noProof/>
          <w:shd w:val="clear" w:color="auto" w:fill="FFFFFF"/>
        </w:rPr>
        <w:t>kcjonowaniu Unii Europejskiej, Dania nie uczestniczy</w:t>
      </w:r>
      <w:r w:rsidR="00043012" w:rsidRPr="006B771F">
        <w:rPr>
          <w:noProof/>
          <w:shd w:val="clear" w:color="auto" w:fill="FFFFFF"/>
        </w:rPr>
        <w:t xml:space="preserve"> w</w:t>
      </w:r>
      <w:r w:rsidR="00043012">
        <w:rPr>
          <w:noProof/>
          <w:shd w:val="clear" w:color="auto" w:fill="FFFFFF"/>
        </w:rPr>
        <w:t> </w:t>
      </w:r>
      <w:r w:rsidR="00043012" w:rsidRPr="006B771F">
        <w:rPr>
          <w:noProof/>
          <w:shd w:val="clear" w:color="auto" w:fill="FFFFFF"/>
        </w:rPr>
        <w:t>prz</w:t>
      </w:r>
      <w:r w:rsidR="00AD2D37" w:rsidRPr="006B771F">
        <w:rPr>
          <w:noProof/>
          <w:shd w:val="clear" w:color="auto" w:fill="FFFFFF"/>
        </w:rPr>
        <w:t>yjęciu niniejszego zalecenia</w:t>
      </w:r>
      <w:r w:rsidR="00043012" w:rsidRPr="006B771F">
        <w:rPr>
          <w:noProof/>
          <w:shd w:val="clear" w:color="auto" w:fill="FFFFFF"/>
        </w:rPr>
        <w:t xml:space="preserve"> i</w:t>
      </w:r>
      <w:r w:rsidR="00043012">
        <w:rPr>
          <w:noProof/>
          <w:shd w:val="clear" w:color="auto" w:fill="FFFFFF"/>
        </w:rPr>
        <w:t> </w:t>
      </w:r>
      <w:r w:rsidR="00043012" w:rsidRPr="006B771F">
        <w:rPr>
          <w:noProof/>
          <w:shd w:val="clear" w:color="auto" w:fill="FFFFFF"/>
        </w:rPr>
        <w:t>nie</w:t>
      </w:r>
      <w:r w:rsidR="00AD2D37" w:rsidRPr="006B771F">
        <w:rPr>
          <w:noProof/>
          <w:shd w:val="clear" w:color="auto" w:fill="FFFFFF"/>
        </w:rPr>
        <w:t xml:space="preserve"> jest nią związana ani jej nie stosuje. Biorąc pod uwagę, że niniejsze zalecenie jest oparte na dorobku Schengen, Dania powinna, zgodnie</w:t>
      </w:r>
      <w:r w:rsidR="00043012" w:rsidRPr="006B771F">
        <w:rPr>
          <w:noProof/>
          <w:shd w:val="clear" w:color="auto" w:fill="FFFFFF"/>
        </w:rPr>
        <w:t xml:space="preserve"> z</w:t>
      </w:r>
      <w:r w:rsidR="00043012">
        <w:rPr>
          <w:noProof/>
          <w:shd w:val="clear" w:color="auto" w:fill="FFFFFF"/>
        </w:rPr>
        <w:t> </w:t>
      </w:r>
      <w:r w:rsidR="00043012" w:rsidRPr="00043012">
        <w:rPr>
          <w:noProof/>
          <w:shd w:val="clear" w:color="auto" w:fill="FFFFFF"/>
        </w:rPr>
        <w:t>art</w:t>
      </w:r>
      <w:r w:rsidR="00AD2D37" w:rsidRPr="00043012">
        <w:rPr>
          <w:noProof/>
          <w:shd w:val="clear" w:color="auto" w:fill="FFFFFF"/>
        </w:rPr>
        <w:t>.</w:t>
      </w:r>
      <w:r w:rsidR="00043012" w:rsidRPr="00043012">
        <w:rPr>
          <w:noProof/>
          <w:shd w:val="clear" w:color="auto" w:fill="FFFFFF"/>
        </w:rPr>
        <w:t> </w:t>
      </w:r>
      <w:r w:rsidR="00AD2D37" w:rsidRPr="00043012">
        <w:rPr>
          <w:noProof/>
          <w:shd w:val="clear" w:color="auto" w:fill="FFFFFF"/>
        </w:rPr>
        <w:t>4</w:t>
      </w:r>
      <w:r w:rsidR="00AD2D37" w:rsidRPr="006B771F">
        <w:rPr>
          <w:noProof/>
          <w:shd w:val="clear" w:color="auto" w:fill="FFFFFF"/>
        </w:rPr>
        <w:t xml:space="preserve"> tego protokołu,</w:t>
      </w:r>
      <w:r w:rsidR="00043012" w:rsidRPr="006B771F">
        <w:rPr>
          <w:noProof/>
          <w:shd w:val="clear" w:color="auto" w:fill="FFFFFF"/>
        </w:rPr>
        <w:t xml:space="preserve"> w</w:t>
      </w:r>
      <w:r w:rsidR="00043012">
        <w:rPr>
          <w:noProof/>
          <w:shd w:val="clear" w:color="auto" w:fill="FFFFFF"/>
        </w:rPr>
        <w:t> </w:t>
      </w:r>
      <w:r w:rsidR="00043012" w:rsidRPr="006B771F">
        <w:rPr>
          <w:noProof/>
          <w:shd w:val="clear" w:color="auto" w:fill="FFFFFF"/>
        </w:rPr>
        <w:t>ter</w:t>
      </w:r>
      <w:r w:rsidR="00AD2D37" w:rsidRPr="006B771F">
        <w:rPr>
          <w:noProof/>
          <w:shd w:val="clear" w:color="auto" w:fill="FFFFFF"/>
        </w:rPr>
        <w:t>minie sześciu miesięcy od daty przyjęcia niniejszego zalecenia przez Radę podjąć decyzję</w:t>
      </w:r>
      <w:r w:rsidR="00043012" w:rsidRPr="006B771F">
        <w:rPr>
          <w:noProof/>
          <w:shd w:val="clear" w:color="auto" w:fill="FFFFFF"/>
        </w:rPr>
        <w:t xml:space="preserve"> o</w:t>
      </w:r>
      <w:r w:rsidR="00043012">
        <w:rPr>
          <w:noProof/>
          <w:shd w:val="clear" w:color="auto" w:fill="FFFFFF"/>
        </w:rPr>
        <w:t> </w:t>
      </w:r>
      <w:r w:rsidR="00043012" w:rsidRPr="006B771F">
        <w:rPr>
          <w:noProof/>
          <w:shd w:val="clear" w:color="auto" w:fill="FFFFFF"/>
        </w:rPr>
        <w:t>jeg</w:t>
      </w:r>
      <w:r w:rsidR="00AD2D37" w:rsidRPr="006B771F">
        <w:rPr>
          <w:noProof/>
          <w:shd w:val="clear" w:color="auto" w:fill="FFFFFF"/>
        </w:rPr>
        <w:t>o ewentualnej transpozycji do swojego prawa krajowego.</w:t>
      </w:r>
    </w:p>
    <w:p w14:paraId="77C80A56" w14:textId="30765AE4" w:rsidR="00AD2D37" w:rsidRPr="006B771F" w:rsidRDefault="005E7503" w:rsidP="005E7503">
      <w:pPr>
        <w:pStyle w:val="ManualConsidrant"/>
        <w:rPr>
          <w:noProof/>
          <w:sz w:val="20"/>
        </w:rPr>
      </w:pPr>
      <w:r w:rsidRPr="005E7503">
        <w:t>(13)</w:t>
      </w:r>
      <w:r w:rsidRPr="005E7503">
        <w:tab/>
      </w:r>
      <w:r w:rsidR="00AD2D37" w:rsidRPr="006B771F">
        <w:rPr>
          <w:noProof/>
          <w:shd w:val="clear" w:color="auto" w:fill="FFFFFF"/>
        </w:rPr>
        <w:t>Z wyjątkiem sekcji 2.1</w:t>
      </w:r>
      <w:r w:rsidR="00043012" w:rsidRPr="006B771F">
        <w:rPr>
          <w:noProof/>
          <w:shd w:val="clear" w:color="auto" w:fill="FFFFFF"/>
        </w:rPr>
        <w:t xml:space="preserve"> i</w:t>
      </w:r>
      <w:r w:rsidR="00043012">
        <w:rPr>
          <w:noProof/>
          <w:shd w:val="clear" w:color="auto" w:fill="FFFFFF"/>
        </w:rPr>
        <w:t> </w:t>
      </w:r>
      <w:r w:rsidR="00043012" w:rsidRPr="006B771F">
        <w:rPr>
          <w:noProof/>
          <w:shd w:val="clear" w:color="auto" w:fill="FFFFFF"/>
        </w:rPr>
        <w:t>2</w:t>
      </w:r>
      <w:r w:rsidR="00AD2D37" w:rsidRPr="006B771F">
        <w:rPr>
          <w:noProof/>
          <w:shd w:val="clear" w:color="auto" w:fill="FFFFFF"/>
        </w:rPr>
        <w:t>.2 niniejsze zalecenie stanowi rozwinięcie przepisów dorobku Schengen, które mają zastosowanie do Irlandii zgodnie</w:t>
      </w:r>
      <w:r w:rsidR="00043012" w:rsidRPr="006B771F">
        <w:rPr>
          <w:noProof/>
          <w:shd w:val="clear" w:color="auto" w:fill="FFFFFF"/>
        </w:rPr>
        <w:t xml:space="preserve"> z</w:t>
      </w:r>
      <w:r w:rsidR="00043012">
        <w:rPr>
          <w:noProof/>
          <w:shd w:val="clear" w:color="auto" w:fill="FFFFFF"/>
        </w:rPr>
        <w:t> </w:t>
      </w:r>
      <w:r w:rsidR="00043012" w:rsidRPr="006B771F">
        <w:rPr>
          <w:noProof/>
          <w:shd w:val="clear" w:color="auto" w:fill="FFFFFF"/>
        </w:rPr>
        <w:t>dec</w:t>
      </w:r>
      <w:r w:rsidR="00AD2D37" w:rsidRPr="006B771F">
        <w:rPr>
          <w:noProof/>
          <w:shd w:val="clear" w:color="auto" w:fill="FFFFFF"/>
        </w:rPr>
        <w:t>yzją Rady 2002/192/WE</w:t>
      </w:r>
      <w:r w:rsidR="00AD2D37" w:rsidRPr="006B771F">
        <w:rPr>
          <w:rStyle w:val="FootnoteReference0"/>
          <w:noProof/>
          <w:szCs w:val="27"/>
        </w:rPr>
        <w:footnoteReference w:id="57"/>
      </w:r>
      <w:r w:rsidR="00AD2D37" w:rsidRPr="006B771F">
        <w:rPr>
          <w:noProof/>
          <w:shd w:val="clear" w:color="auto" w:fill="FFFFFF"/>
        </w:rPr>
        <w:t>; Irlandia uczestniczy zatem</w:t>
      </w:r>
      <w:r w:rsidR="00043012" w:rsidRPr="006B771F">
        <w:rPr>
          <w:noProof/>
          <w:shd w:val="clear" w:color="auto" w:fill="FFFFFF"/>
        </w:rPr>
        <w:t xml:space="preserve"> w</w:t>
      </w:r>
      <w:r w:rsidR="00043012">
        <w:rPr>
          <w:noProof/>
          <w:shd w:val="clear" w:color="auto" w:fill="FFFFFF"/>
        </w:rPr>
        <w:t> </w:t>
      </w:r>
      <w:r w:rsidR="00043012" w:rsidRPr="006B771F">
        <w:rPr>
          <w:noProof/>
          <w:shd w:val="clear" w:color="auto" w:fill="FFFFFF"/>
        </w:rPr>
        <w:t>prz</w:t>
      </w:r>
      <w:r w:rsidR="00AD2D37" w:rsidRPr="006B771F">
        <w:rPr>
          <w:noProof/>
          <w:shd w:val="clear" w:color="auto" w:fill="FFFFFF"/>
        </w:rPr>
        <w:t>yjęciu niniejszego zalecenia</w:t>
      </w:r>
      <w:r w:rsidR="00043012" w:rsidRPr="006B771F">
        <w:rPr>
          <w:noProof/>
          <w:shd w:val="clear" w:color="auto" w:fill="FFFFFF"/>
        </w:rPr>
        <w:t xml:space="preserve"> i</w:t>
      </w:r>
      <w:r w:rsidR="00043012">
        <w:rPr>
          <w:noProof/>
          <w:shd w:val="clear" w:color="auto" w:fill="FFFFFF"/>
        </w:rPr>
        <w:t> </w:t>
      </w:r>
      <w:r w:rsidR="00043012" w:rsidRPr="006B771F">
        <w:rPr>
          <w:noProof/>
          <w:shd w:val="clear" w:color="auto" w:fill="FFFFFF"/>
        </w:rPr>
        <w:t>jes</w:t>
      </w:r>
      <w:r w:rsidR="00AD2D37" w:rsidRPr="006B771F">
        <w:rPr>
          <w:noProof/>
          <w:shd w:val="clear" w:color="auto" w:fill="FFFFFF"/>
        </w:rPr>
        <w:t>t nim związana</w:t>
      </w:r>
      <w:r w:rsidR="00AD2D37" w:rsidRPr="006B771F">
        <w:rPr>
          <w:noProof/>
        </w:rPr>
        <w:t>,</w:t>
      </w:r>
      <w:r w:rsidR="00043012" w:rsidRPr="006B771F">
        <w:rPr>
          <w:noProof/>
        </w:rPr>
        <w:t xml:space="preserve"> z</w:t>
      </w:r>
      <w:r w:rsidR="00043012">
        <w:rPr>
          <w:noProof/>
        </w:rPr>
        <w:t> </w:t>
      </w:r>
      <w:r w:rsidR="00043012" w:rsidRPr="006B771F">
        <w:rPr>
          <w:noProof/>
        </w:rPr>
        <w:t>wyj</w:t>
      </w:r>
      <w:r w:rsidR="00AD2D37" w:rsidRPr="006B771F">
        <w:rPr>
          <w:noProof/>
        </w:rPr>
        <w:t>ątkiem wspomnianych sekcji</w:t>
      </w:r>
      <w:r w:rsidR="00AD2D37" w:rsidRPr="006B771F">
        <w:rPr>
          <w:noProof/>
          <w:shd w:val="clear" w:color="auto" w:fill="FFFFFF"/>
        </w:rPr>
        <w:t>.</w:t>
      </w:r>
    </w:p>
    <w:p w14:paraId="504173B0" w14:textId="02FFF568" w:rsidR="00AD2D37" w:rsidRPr="006B771F" w:rsidRDefault="005E7503" w:rsidP="005E7503">
      <w:pPr>
        <w:pStyle w:val="ManualConsidrant"/>
        <w:rPr>
          <w:noProof/>
        </w:rPr>
      </w:pPr>
      <w:r w:rsidRPr="005E7503">
        <w:t>(14)</w:t>
      </w:r>
      <w:r w:rsidRPr="005E7503">
        <w:tab/>
      </w:r>
      <w:r w:rsidR="00AD2D37" w:rsidRPr="006B771F">
        <w:rPr>
          <w:noProof/>
        </w:rPr>
        <w:t>W odniesieniu do Islandii</w:t>
      </w:r>
      <w:r w:rsidR="00043012" w:rsidRPr="006B771F">
        <w:rPr>
          <w:noProof/>
        </w:rPr>
        <w:t xml:space="preserve"> i</w:t>
      </w:r>
      <w:r w:rsidR="00043012">
        <w:rPr>
          <w:noProof/>
        </w:rPr>
        <w:t> </w:t>
      </w:r>
      <w:r w:rsidR="00043012" w:rsidRPr="006B771F">
        <w:rPr>
          <w:noProof/>
        </w:rPr>
        <w:t>Nor</w:t>
      </w:r>
      <w:r w:rsidR="00AD2D37" w:rsidRPr="006B771F">
        <w:rPr>
          <w:noProof/>
        </w:rPr>
        <w:t xml:space="preserve">wegii niniejsze </w:t>
      </w:r>
      <w:r w:rsidR="00AD2D37" w:rsidRPr="006B771F">
        <w:rPr>
          <w:noProof/>
          <w:shd w:val="clear" w:color="auto" w:fill="FFFFFF"/>
        </w:rPr>
        <w:t>zalecenie</w:t>
      </w:r>
      <w:r w:rsidR="00AD2D37" w:rsidRPr="006B771F">
        <w:rPr>
          <w:noProof/>
        </w:rPr>
        <w:t xml:space="preserve"> stanowi rozwinięcie przepisów dorobku Schengen</w:t>
      </w:r>
      <w:r w:rsidR="00043012" w:rsidRPr="006B771F">
        <w:rPr>
          <w:noProof/>
        </w:rPr>
        <w:t xml:space="preserve"> w</w:t>
      </w:r>
      <w:r w:rsidR="00043012">
        <w:rPr>
          <w:noProof/>
        </w:rPr>
        <w:t> </w:t>
      </w:r>
      <w:r w:rsidR="00043012" w:rsidRPr="006B771F">
        <w:rPr>
          <w:noProof/>
        </w:rPr>
        <w:t>roz</w:t>
      </w:r>
      <w:r w:rsidR="00AD2D37" w:rsidRPr="006B771F">
        <w:rPr>
          <w:noProof/>
        </w:rPr>
        <w:t>umieniu Umowy zawartej przez Radę Unii Europejskiej</w:t>
      </w:r>
      <w:r w:rsidR="00043012" w:rsidRPr="006B771F">
        <w:rPr>
          <w:noProof/>
        </w:rPr>
        <w:t xml:space="preserve"> i</w:t>
      </w:r>
      <w:r w:rsidR="00043012">
        <w:rPr>
          <w:noProof/>
        </w:rPr>
        <w:t> </w:t>
      </w:r>
      <w:r w:rsidR="00043012" w:rsidRPr="006B771F">
        <w:rPr>
          <w:noProof/>
        </w:rPr>
        <w:t>Rep</w:t>
      </w:r>
      <w:r w:rsidR="00AD2D37" w:rsidRPr="006B771F">
        <w:rPr>
          <w:noProof/>
        </w:rPr>
        <w:t>ublikę Islandii oraz Królestwo Norwegii dotyczącej włączenia tych dwóch państw we wprowadzanie</w:t>
      </w:r>
      <w:r w:rsidR="00043012" w:rsidRPr="006B771F">
        <w:rPr>
          <w:noProof/>
        </w:rPr>
        <w:t xml:space="preserve"> w</w:t>
      </w:r>
      <w:r w:rsidR="00043012">
        <w:rPr>
          <w:noProof/>
        </w:rPr>
        <w:t> </w:t>
      </w:r>
      <w:r w:rsidR="00043012" w:rsidRPr="006B771F">
        <w:rPr>
          <w:noProof/>
        </w:rPr>
        <w:t>życ</w:t>
      </w:r>
      <w:r w:rsidR="00AD2D37" w:rsidRPr="006B771F">
        <w:rPr>
          <w:noProof/>
        </w:rPr>
        <w:t>ie, stosowanie</w:t>
      </w:r>
      <w:r w:rsidR="00043012" w:rsidRPr="006B771F">
        <w:rPr>
          <w:noProof/>
        </w:rPr>
        <w:t xml:space="preserve"> i</w:t>
      </w:r>
      <w:r w:rsidR="00043012">
        <w:rPr>
          <w:noProof/>
        </w:rPr>
        <w:t> </w:t>
      </w:r>
      <w:r w:rsidR="00043012" w:rsidRPr="006B771F">
        <w:rPr>
          <w:noProof/>
        </w:rPr>
        <w:t>roz</w:t>
      </w:r>
      <w:r w:rsidR="00AD2D37" w:rsidRPr="006B771F">
        <w:rPr>
          <w:noProof/>
        </w:rPr>
        <w:t>wój dorobku Schengen</w:t>
      </w:r>
      <w:r w:rsidR="00AD2D37" w:rsidRPr="006B771F">
        <w:rPr>
          <w:rStyle w:val="FootnoteReference0"/>
          <w:noProof/>
        </w:rPr>
        <w:footnoteReference w:id="58"/>
      </w:r>
      <w:r w:rsidR="00AD2D37" w:rsidRPr="006B771F">
        <w:rPr>
          <w:rStyle w:val="footnotereference"/>
          <w:noProof/>
          <w:szCs w:val="24"/>
        </w:rPr>
        <w:t xml:space="preserve">, </w:t>
      </w:r>
      <w:r w:rsidR="00AD2D37" w:rsidRPr="006B771F">
        <w:rPr>
          <w:noProof/>
        </w:rPr>
        <w:t>które wchodzą</w:t>
      </w:r>
      <w:r w:rsidR="00043012" w:rsidRPr="006B771F">
        <w:rPr>
          <w:noProof/>
        </w:rPr>
        <w:t xml:space="preserve"> w</w:t>
      </w:r>
      <w:r w:rsidR="00043012">
        <w:rPr>
          <w:noProof/>
        </w:rPr>
        <w:t> </w:t>
      </w:r>
      <w:r w:rsidR="00043012" w:rsidRPr="006B771F">
        <w:rPr>
          <w:noProof/>
        </w:rPr>
        <w:t>zak</w:t>
      </w:r>
      <w:r w:rsidR="00AD2D37" w:rsidRPr="006B771F">
        <w:rPr>
          <w:noProof/>
        </w:rPr>
        <w:t>res obszaru,</w:t>
      </w:r>
      <w:r w:rsidR="00043012" w:rsidRPr="006B771F">
        <w:rPr>
          <w:noProof/>
        </w:rPr>
        <w:t xml:space="preserve"> o</w:t>
      </w:r>
      <w:r w:rsidR="00043012">
        <w:rPr>
          <w:noProof/>
        </w:rPr>
        <w:t> </w:t>
      </w:r>
      <w:r w:rsidR="00043012" w:rsidRPr="006B771F">
        <w:rPr>
          <w:noProof/>
        </w:rPr>
        <w:t>któ</w:t>
      </w:r>
      <w:r w:rsidR="00AD2D37" w:rsidRPr="006B771F">
        <w:rPr>
          <w:noProof/>
        </w:rPr>
        <w:t>rym mowa</w:t>
      </w:r>
      <w:r w:rsidR="00043012" w:rsidRPr="006B771F">
        <w:rPr>
          <w:noProof/>
        </w:rPr>
        <w:t xml:space="preserve"> w</w:t>
      </w:r>
      <w:r w:rsidR="00043012">
        <w:rPr>
          <w:noProof/>
        </w:rPr>
        <w:t> </w:t>
      </w:r>
      <w:r w:rsidR="00043012" w:rsidRPr="00043012">
        <w:rPr>
          <w:noProof/>
        </w:rPr>
        <w:t>art</w:t>
      </w:r>
      <w:r w:rsidR="00AD2D37" w:rsidRPr="00043012">
        <w:rPr>
          <w:noProof/>
        </w:rPr>
        <w:t>.</w:t>
      </w:r>
      <w:r w:rsidR="00043012" w:rsidRPr="00043012">
        <w:rPr>
          <w:noProof/>
        </w:rPr>
        <w:t> </w:t>
      </w:r>
      <w:r w:rsidR="00AD2D37" w:rsidRPr="00043012">
        <w:rPr>
          <w:noProof/>
        </w:rPr>
        <w:t>1</w:t>
      </w:r>
      <w:r w:rsidR="00AD2D37" w:rsidRPr="006B771F">
        <w:rPr>
          <w:noProof/>
        </w:rPr>
        <w:t xml:space="preserve"> lit. A i H decyzji Rady 1999/437/WE</w:t>
      </w:r>
      <w:r w:rsidR="00AD2D37" w:rsidRPr="006B771F">
        <w:rPr>
          <w:rStyle w:val="FootnoteReference0"/>
          <w:noProof/>
          <w:szCs w:val="24"/>
        </w:rPr>
        <w:footnoteReference w:id="59"/>
      </w:r>
      <w:r w:rsidR="00AD2D37" w:rsidRPr="006B771F">
        <w:rPr>
          <w:noProof/>
        </w:rPr>
        <w:t>.</w:t>
      </w:r>
    </w:p>
    <w:p w14:paraId="79FFF6E2" w14:textId="3B3F35CE" w:rsidR="00AD2D37" w:rsidRPr="006B771F" w:rsidRDefault="005E7503" w:rsidP="005E7503">
      <w:pPr>
        <w:pStyle w:val="ManualConsidrant"/>
        <w:rPr>
          <w:noProof/>
          <w:sz w:val="22"/>
          <w:szCs w:val="24"/>
        </w:rPr>
      </w:pPr>
      <w:r w:rsidRPr="005E7503">
        <w:t>(15)</w:t>
      </w:r>
      <w:r w:rsidRPr="005E7503">
        <w:tab/>
      </w:r>
      <w:r w:rsidR="00AD2D37" w:rsidRPr="006B771F">
        <w:rPr>
          <w:noProof/>
        </w:rPr>
        <w:t xml:space="preserve">W odniesieniu do Szwajcarii niniejsze </w:t>
      </w:r>
      <w:r w:rsidR="00AD2D37" w:rsidRPr="006B771F">
        <w:rPr>
          <w:noProof/>
          <w:shd w:val="clear" w:color="auto" w:fill="FFFFFF"/>
        </w:rPr>
        <w:t xml:space="preserve">zalecenie </w:t>
      </w:r>
      <w:r w:rsidR="00AD2D37" w:rsidRPr="006B771F">
        <w:rPr>
          <w:noProof/>
        </w:rPr>
        <w:t>stanowi rozwinięcie przepisów dorobku Schengen</w:t>
      </w:r>
      <w:r w:rsidR="00043012" w:rsidRPr="006B771F">
        <w:rPr>
          <w:noProof/>
        </w:rPr>
        <w:t xml:space="preserve"> w</w:t>
      </w:r>
      <w:r w:rsidR="00043012">
        <w:rPr>
          <w:noProof/>
        </w:rPr>
        <w:t> </w:t>
      </w:r>
      <w:r w:rsidR="00043012" w:rsidRPr="006B771F">
        <w:rPr>
          <w:noProof/>
        </w:rPr>
        <w:t>roz</w:t>
      </w:r>
      <w:r w:rsidR="00AD2D37" w:rsidRPr="006B771F">
        <w:rPr>
          <w:noProof/>
        </w:rPr>
        <w:t>umieniu Umowy między Unią Europejską, Wspólnotą Europejską</w:t>
      </w:r>
      <w:r w:rsidR="00043012" w:rsidRPr="006B771F">
        <w:rPr>
          <w:noProof/>
        </w:rPr>
        <w:t xml:space="preserve"> a</w:t>
      </w:r>
      <w:r w:rsidR="00043012">
        <w:rPr>
          <w:noProof/>
        </w:rPr>
        <w:t> </w:t>
      </w:r>
      <w:r w:rsidR="00043012" w:rsidRPr="006B771F">
        <w:rPr>
          <w:noProof/>
        </w:rPr>
        <w:t>Kon</w:t>
      </w:r>
      <w:r w:rsidR="00AD2D37" w:rsidRPr="006B771F">
        <w:rPr>
          <w:noProof/>
        </w:rPr>
        <w:t>federacją Szwajcarską</w:t>
      </w:r>
      <w:r w:rsidR="00043012" w:rsidRPr="006B771F">
        <w:rPr>
          <w:noProof/>
        </w:rPr>
        <w:t xml:space="preserve"> w</w:t>
      </w:r>
      <w:r w:rsidR="00043012">
        <w:rPr>
          <w:noProof/>
        </w:rPr>
        <w:t> </w:t>
      </w:r>
      <w:r w:rsidR="00043012" w:rsidRPr="006B771F">
        <w:rPr>
          <w:noProof/>
        </w:rPr>
        <w:t>spr</w:t>
      </w:r>
      <w:r w:rsidR="00AD2D37" w:rsidRPr="006B771F">
        <w:rPr>
          <w:noProof/>
        </w:rPr>
        <w:t>awie włączenia Konfederacji Szwajcarskiej we wprowadzanie</w:t>
      </w:r>
      <w:r w:rsidR="00043012" w:rsidRPr="006B771F">
        <w:rPr>
          <w:noProof/>
        </w:rPr>
        <w:t xml:space="preserve"> w</w:t>
      </w:r>
      <w:r w:rsidR="00043012">
        <w:rPr>
          <w:noProof/>
        </w:rPr>
        <w:t> </w:t>
      </w:r>
      <w:r w:rsidR="00043012" w:rsidRPr="006B771F">
        <w:rPr>
          <w:noProof/>
        </w:rPr>
        <w:t>życ</w:t>
      </w:r>
      <w:r w:rsidR="00AD2D37" w:rsidRPr="006B771F">
        <w:rPr>
          <w:noProof/>
        </w:rPr>
        <w:t>ie, stosowanie</w:t>
      </w:r>
      <w:r w:rsidR="00043012" w:rsidRPr="006B771F">
        <w:rPr>
          <w:noProof/>
        </w:rPr>
        <w:t xml:space="preserve"> i</w:t>
      </w:r>
      <w:r w:rsidR="00043012">
        <w:rPr>
          <w:noProof/>
        </w:rPr>
        <w:t> </w:t>
      </w:r>
      <w:r w:rsidR="00043012" w:rsidRPr="006B771F">
        <w:rPr>
          <w:noProof/>
        </w:rPr>
        <w:t>roz</w:t>
      </w:r>
      <w:r w:rsidR="00AD2D37" w:rsidRPr="006B771F">
        <w:rPr>
          <w:noProof/>
        </w:rPr>
        <w:t>wój dorobku Schengen</w:t>
      </w:r>
      <w:r w:rsidR="00AD2D37" w:rsidRPr="00E273C3">
        <w:rPr>
          <w:rStyle w:val="FootnoteReference0"/>
          <w:noProof/>
        </w:rPr>
        <w:footnoteReference w:id="60"/>
      </w:r>
      <w:r w:rsidR="00AD2D37" w:rsidRPr="006B771F">
        <w:rPr>
          <w:noProof/>
        </w:rPr>
        <w:t>, które wchodzą</w:t>
      </w:r>
      <w:r w:rsidR="00043012" w:rsidRPr="006B771F">
        <w:rPr>
          <w:noProof/>
        </w:rPr>
        <w:t xml:space="preserve"> w</w:t>
      </w:r>
      <w:r w:rsidR="00043012">
        <w:rPr>
          <w:noProof/>
        </w:rPr>
        <w:t> </w:t>
      </w:r>
      <w:r w:rsidR="00043012" w:rsidRPr="006B771F">
        <w:rPr>
          <w:noProof/>
        </w:rPr>
        <w:t>zak</w:t>
      </w:r>
      <w:r w:rsidR="00AD2D37" w:rsidRPr="006B771F">
        <w:rPr>
          <w:noProof/>
        </w:rPr>
        <w:t>res obszaru,</w:t>
      </w:r>
      <w:r w:rsidR="00043012" w:rsidRPr="006B771F">
        <w:rPr>
          <w:noProof/>
        </w:rPr>
        <w:t xml:space="preserve"> o</w:t>
      </w:r>
      <w:r w:rsidR="00043012">
        <w:rPr>
          <w:noProof/>
        </w:rPr>
        <w:t> </w:t>
      </w:r>
      <w:r w:rsidR="00043012" w:rsidRPr="006B771F">
        <w:rPr>
          <w:noProof/>
        </w:rPr>
        <w:t>któ</w:t>
      </w:r>
      <w:r w:rsidR="00AD2D37" w:rsidRPr="006B771F">
        <w:rPr>
          <w:noProof/>
        </w:rPr>
        <w:t>rym mowa</w:t>
      </w:r>
      <w:r w:rsidR="00043012" w:rsidRPr="006B771F">
        <w:rPr>
          <w:noProof/>
        </w:rPr>
        <w:t xml:space="preserve"> w</w:t>
      </w:r>
      <w:r w:rsidR="00043012">
        <w:rPr>
          <w:noProof/>
        </w:rPr>
        <w:t> </w:t>
      </w:r>
      <w:r w:rsidR="00043012" w:rsidRPr="00043012">
        <w:rPr>
          <w:noProof/>
        </w:rPr>
        <w:t>art</w:t>
      </w:r>
      <w:r w:rsidR="00AD2D37" w:rsidRPr="00043012">
        <w:rPr>
          <w:noProof/>
        </w:rPr>
        <w:t>.</w:t>
      </w:r>
      <w:r w:rsidR="00043012" w:rsidRPr="00043012">
        <w:rPr>
          <w:noProof/>
        </w:rPr>
        <w:t> </w:t>
      </w:r>
      <w:r w:rsidR="00AD2D37" w:rsidRPr="00043012">
        <w:rPr>
          <w:noProof/>
        </w:rPr>
        <w:t>1</w:t>
      </w:r>
      <w:r w:rsidR="00AD2D37" w:rsidRPr="006B771F">
        <w:rPr>
          <w:noProof/>
        </w:rPr>
        <w:t xml:space="preserve"> lit. A i H decyzji Rady 1999/437/WE</w:t>
      </w:r>
      <w:r w:rsidR="00043012" w:rsidRPr="006B771F">
        <w:rPr>
          <w:noProof/>
        </w:rPr>
        <w:t xml:space="preserve"> w</w:t>
      </w:r>
      <w:r w:rsidR="00043012">
        <w:rPr>
          <w:noProof/>
        </w:rPr>
        <w:t> </w:t>
      </w:r>
      <w:r w:rsidR="00043012" w:rsidRPr="006B771F">
        <w:rPr>
          <w:noProof/>
        </w:rPr>
        <w:t>zwi</w:t>
      </w:r>
      <w:r w:rsidR="00AD2D37" w:rsidRPr="006B771F">
        <w:rPr>
          <w:noProof/>
        </w:rPr>
        <w:t>ązku</w:t>
      </w:r>
      <w:r w:rsidR="00043012" w:rsidRPr="006B771F">
        <w:rPr>
          <w:noProof/>
        </w:rPr>
        <w:t xml:space="preserve"> z</w:t>
      </w:r>
      <w:r w:rsidR="00043012">
        <w:rPr>
          <w:noProof/>
        </w:rPr>
        <w:t> </w:t>
      </w:r>
      <w:r w:rsidR="00043012" w:rsidRPr="00043012">
        <w:rPr>
          <w:noProof/>
        </w:rPr>
        <w:t>art</w:t>
      </w:r>
      <w:r w:rsidR="00AD2D37" w:rsidRPr="00043012">
        <w:rPr>
          <w:noProof/>
        </w:rPr>
        <w:t>.</w:t>
      </w:r>
      <w:r w:rsidR="00043012" w:rsidRPr="00043012">
        <w:rPr>
          <w:noProof/>
        </w:rPr>
        <w:t> </w:t>
      </w:r>
      <w:r w:rsidR="00AD2D37" w:rsidRPr="00043012">
        <w:rPr>
          <w:noProof/>
        </w:rPr>
        <w:t>3</w:t>
      </w:r>
      <w:r w:rsidR="00AD2D37" w:rsidRPr="006B771F">
        <w:rPr>
          <w:noProof/>
        </w:rPr>
        <w:t xml:space="preserve"> decyzji Rady 2008/146/WE</w:t>
      </w:r>
      <w:r w:rsidR="00AD2D37" w:rsidRPr="006B771F">
        <w:rPr>
          <w:rStyle w:val="FootnoteReference0"/>
          <w:noProof/>
          <w:szCs w:val="27"/>
        </w:rPr>
        <w:footnoteReference w:id="61"/>
      </w:r>
      <w:r w:rsidR="00043012" w:rsidRPr="006B771F">
        <w:rPr>
          <w:rStyle w:val="footnotereference"/>
          <w:noProof/>
          <w:szCs w:val="27"/>
        </w:rPr>
        <w:t xml:space="preserve"> </w:t>
      </w:r>
      <w:r w:rsidR="00043012" w:rsidRPr="006B771F">
        <w:rPr>
          <w:noProof/>
        </w:rPr>
        <w:t>i</w:t>
      </w:r>
      <w:r w:rsidR="00043012">
        <w:rPr>
          <w:rStyle w:val="footnotereference"/>
          <w:noProof/>
          <w:szCs w:val="27"/>
        </w:rPr>
        <w:t> </w:t>
      </w:r>
      <w:r w:rsidR="00043012" w:rsidRPr="00043012">
        <w:rPr>
          <w:noProof/>
        </w:rPr>
        <w:t>art</w:t>
      </w:r>
      <w:r w:rsidR="00AD2D37" w:rsidRPr="00043012">
        <w:rPr>
          <w:noProof/>
        </w:rPr>
        <w:t>.</w:t>
      </w:r>
      <w:r w:rsidR="00043012" w:rsidRPr="00043012">
        <w:rPr>
          <w:noProof/>
        </w:rPr>
        <w:t> </w:t>
      </w:r>
      <w:r w:rsidR="00AD2D37" w:rsidRPr="00043012">
        <w:rPr>
          <w:noProof/>
        </w:rPr>
        <w:t>3</w:t>
      </w:r>
      <w:r w:rsidR="00AD2D37" w:rsidRPr="006B771F">
        <w:rPr>
          <w:noProof/>
        </w:rPr>
        <w:t xml:space="preserve"> decyzji Rady 2008/149/WSiSW</w:t>
      </w:r>
      <w:r w:rsidR="00AD2D37" w:rsidRPr="006B771F">
        <w:rPr>
          <w:rStyle w:val="FootnoteReference0"/>
          <w:noProof/>
          <w:szCs w:val="27"/>
        </w:rPr>
        <w:footnoteReference w:id="62"/>
      </w:r>
      <w:r w:rsidR="00AD2D37" w:rsidRPr="006B771F">
        <w:rPr>
          <w:noProof/>
        </w:rPr>
        <w:t>.</w:t>
      </w:r>
    </w:p>
    <w:p w14:paraId="6BAF3509" w14:textId="57322EEE" w:rsidR="00AD2D37" w:rsidRPr="006B771F" w:rsidRDefault="005E7503" w:rsidP="005E7503">
      <w:pPr>
        <w:pStyle w:val="ManualConsidrant"/>
        <w:rPr>
          <w:noProof/>
          <w:sz w:val="22"/>
          <w:szCs w:val="24"/>
        </w:rPr>
      </w:pPr>
      <w:r w:rsidRPr="005E7503">
        <w:t>(16)</w:t>
      </w:r>
      <w:r w:rsidRPr="005E7503">
        <w:tab/>
      </w:r>
      <w:r w:rsidR="00AD2D37" w:rsidRPr="006B771F">
        <w:rPr>
          <w:noProof/>
        </w:rPr>
        <w:t>W odniesieniu do Liechtensteinu niniejsze zalecenie stanowi rozwinięcie przepisów dorobku Schengen</w:t>
      </w:r>
      <w:r w:rsidR="00043012" w:rsidRPr="006B771F">
        <w:rPr>
          <w:noProof/>
        </w:rPr>
        <w:t xml:space="preserve"> w</w:t>
      </w:r>
      <w:r w:rsidR="00043012">
        <w:rPr>
          <w:noProof/>
        </w:rPr>
        <w:t> </w:t>
      </w:r>
      <w:r w:rsidR="00043012" w:rsidRPr="006B771F">
        <w:rPr>
          <w:noProof/>
        </w:rPr>
        <w:t>roz</w:t>
      </w:r>
      <w:r w:rsidR="00AD2D37" w:rsidRPr="006B771F">
        <w:rPr>
          <w:noProof/>
        </w:rPr>
        <w:t>umieniu Protokołu między Unią Europejską, Wspólnotą Europejską, Konfederacją Szwajcarską</w:t>
      </w:r>
      <w:r w:rsidR="00043012" w:rsidRPr="006B771F">
        <w:rPr>
          <w:noProof/>
        </w:rPr>
        <w:t xml:space="preserve"> i</w:t>
      </w:r>
      <w:r w:rsidR="00043012">
        <w:rPr>
          <w:noProof/>
        </w:rPr>
        <w:t> </w:t>
      </w:r>
      <w:r w:rsidR="00043012" w:rsidRPr="006B771F">
        <w:rPr>
          <w:noProof/>
        </w:rPr>
        <w:t>Ksi</w:t>
      </w:r>
      <w:r w:rsidR="00AD2D37" w:rsidRPr="006B771F">
        <w:rPr>
          <w:noProof/>
        </w:rPr>
        <w:t>ęstwem Liechtensteinu</w:t>
      </w:r>
      <w:r w:rsidR="00043012" w:rsidRPr="006B771F">
        <w:rPr>
          <w:noProof/>
        </w:rPr>
        <w:t xml:space="preserve"> w</w:t>
      </w:r>
      <w:r w:rsidR="00043012">
        <w:rPr>
          <w:noProof/>
        </w:rPr>
        <w:t> </w:t>
      </w:r>
      <w:r w:rsidR="00043012" w:rsidRPr="006B771F">
        <w:rPr>
          <w:noProof/>
        </w:rPr>
        <w:t>spr</w:t>
      </w:r>
      <w:r w:rsidR="00AD2D37" w:rsidRPr="006B771F">
        <w:rPr>
          <w:noProof/>
        </w:rPr>
        <w:t>awie przystąpienia Księstwa Liechtensteinu do Umowy między Unią Europejską, Wspólnotą Europejską</w:t>
      </w:r>
      <w:r w:rsidR="00043012" w:rsidRPr="006B771F">
        <w:rPr>
          <w:noProof/>
        </w:rPr>
        <w:t xml:space="preserve"> i</w:t>
      </w:r>
      <w:r w:rsidR="00043012">
        <w:rPr>
          <w:noProof/>
        </w:rPr>
        <w:t> </w:t>
      </w:r>
      <w:r w:rsidR="00043012" w:rsidRPr="006B771F">
        <w:rPr>
          <w:noProof/>
        </w:rPr>
        <w:t>Kon</w:t>
      </w:r>
      <w:r w:rsidR="00AD2D37" w:rsidRPr="006B771F">
        <w:rPr>
          <w:noProof/>
        </w:rPr>
        <w:t>federacją Szwajcarską dotyczącej włączenia Konfederacji Szwajcarskiej we wprowadzanie</w:t>
      </w:r>
      <w:r w:rsidR="00043012" w:rsidRPr="006B771F">
        <w:rPr>
          <w:noProof/>
        </w:rPr>
        <w:t xml:space="preserve"> w</w:t>
      </w:r>
      <w:r w:rsidR="00043012">
        <w:rPr>
          <w:noProof/>
        </w:rPr>
        <w:t> </w:t>
      </w:r>
      <w:r w:rsidR="00043012" w:rsidRPr="006B771F">
        <w:rPr>
          <w:noProof/>
        </w:rPr>
        <w:t>życ</w:t>
      </w:r>
      <w:r w:rsidR="00AD2D37" w:rsidRPr="006B771F">
        <w:rPr>
          <w:noProof/>
        </w:rPr>
        <w:t>ie, stosowanie</w:t>
      </w:r>
      <w:r w:rsidR="00043012" w:rsidRPr="006B771F">
        <w:rPr>
          <w:noProof/>
        </w:rPr>
        <w:t xml:space="preserve"> i</w:t>
      </w:r>
      <w:r w:rsidR="00043012">
        <w:rPr>
          <w:noProof/>
        </w:rPr>
        <w:t> </w:t>
      </w:r>
      <w:r w:rsidR="00043012" w:rsidRPr="006B771F">
        <w:rPr>
          <w:noProof/>
        </w:rPr>
        <w:t>roz</w:t>
      </w:r>
      <w:r w:rsidR="00AD2D37" w:rsidRPr="006B771F">
        <w:rPr>
          <w:noProof/>
        </w:rPr>
        <w:t>wój dorobku Schengen</w:t>
      </w:r>
      <w:r w:rsidR="00AD2D37" w:rsidRPr="00E273C3">
        <w:rPr>
          <w:rStyle w:val="FootnoteReference0"/>
          <w:noProof/>
          <w:szCs w:val="24"/>
        </w:rPr>
        <w:footnoteReference w:id="63"/>
      </w:r>
      <w:r w:rsidR="00AD2D37" w:rsidRPr="006B771F">
        <w:rPr>
          <w:rStyle w:val="footnotereference"/>
          <w:noProof/>
          <w:szCs w:val="24"/>
        </w:rPr>
        <w:t xml:space="preserve">, </w:t>
      </w:r>
      <w:r w:rsidR="00AD2D37" w:rsidRPr="006B771F">
        <w:rPr>
          <w:noProof/>
        </w:rPr>
        <w:t>które wchodzą</w:t>
      </w:r>
      <w:r w:rsidR="00043012" w:rsidRPr="006B771F">
        <w:rPr>
          <w:noProof/>
        </w:rPr>
        <w:t xml:space="preserve"> w</w:t>
      </w:r>
      <w:r w:rsidR="00043012">
        <w:rPr>
          <w:noProof/>
        </w:rPr>
        <w:t> </w:t>
      </w:r>
      <w:r w:rsidR="00043012" w:rsidRPr="006B771F">
        <w:rPr>
          <w:noProof/>
        </w:rPr>
        <w:t>zak</w:t>
      </w:r>
      <w:r w:rsidR="00AD2D37" w:rsidRPr="006B771F">
        <w:rPr>
          <w:noProof/>
        </w:rPr>
        <w:t>res obszaru,</w:t>
      </w:r>
      <w:r w:rsidR="00043012" w:rsidRPr="006B771F">
        <w:rPr>
          <w:noProof/>
        </w:rPr>
        <w:t xml:space="preserve"> o</w:t>
      </w:r>
      <w:r w:rsidR="00043012">
        <w:rPr>
          <w:noProof/>
        </w:rPr>
        <w:t> </w:t>
      </w:r>
      <w:r w:rsidR="00043012" w:rsidRPr="006B771F">
        <w:rPr>
          <w:noProof/>
        </w:rPr>
        <w:t>któ</w:t>
      </w:r>
      <w:r w:rsidR="00AD2D37" w:rsidRPr="006B771F">
        <w:rPr>
          <w:noProof/>
        </w:rPr>
        <w:t>rym mowa</w:t>
      </w:r>
      <w:r w:rsidR="00043012" w:rsidRPr="006B771F">
        <w:rPr>
          <w:noProof/>
        </w:rPr>
        <w:t xml:space="preserve"> w</w:t>
      </w:r>
      <w:r w:rsidR="00043012">
        <w:rPr>
          <w:noProof/>
        </w:rPr>
        <w:t> </w:t>
      </w:r>
      <w:r w:rsidR="00043012" w:rsidRPr="00043012">
        <w:rPr>
          <w:noProof/>
        </w:rPr>
        <w:t>art</w:t>
      </w:r>
      <w:r w:rsidR="00AD2D37" w:rsidRPr="00043012">
        <w:rPr>
          <w:noProof/>
        </w:rPr>
        <w:t>.</w:t>
      </w:r>
      <w:r w:rsidR="00043012" w:rsidRPr="00043012">
        <w:rPr>
          <w:noProof/>
        </w:rPr>
        <w:t> </w:t>
      </w:r>
      <w:r w:rsidR="00AD2D37" w:rsidRPr="00043012">
        <w:rPr>
          <w:noProof/>
        </w:rPr>
        <w:t>1</w:t>
      </w:r>
      <w:r w:rsidR="00AD2D37" w:rsidRPr="006B771F">
        <w:rPr>
          <w:noProof/>
        </w:rPr>
        <w:t xml:space="preserve"> lit. A i H decyzji Rady 1999/437/WE</w:t>
      </w:r>
      <w:r w:rsidR="00043012" w:rsidRPr="006B771F">
        <w:rPr>
          <w:noProof/>
        </w:rPr>
        <w:t xml:space="preserve"> w</w:t>
      </w:r>
      <w:r w:rsidR="00043012">
        <w:rPr>
          <w:noProof/>
        </w:rPr>
        <w:t> </w:t>
      </w:r>
      <w:r w:rsidR="00043012" w:rsidRPr="006B771F">
        <w:rPr>
          <w:noProof/>
        </w:rPr>
        <w:t>zwi</w:t>
      </w:r>
      <w:r w:rsidR="00AD2D37" w:rsidRPr="006B771F">
        <w:rPr>
          <w:noProof/>
        </w:rPr>
        <w:t>ązku</w:t>
      </w:r>
      <w:r w:rsidR="00043012" w:rsidRPr="006B771F">
        <w:rPr>
          <w:noProof/>
        </w:rPr>
        <w:t xml:space="preserve"> z</w:t>
      </w:r>
      <w:r w:rsidR="00043012">
        <w:rPr>
          <w:noProof/>
        </w:rPr>
        <w:t> </w:t>
      </w:r>
      <w:r w:rsidR="00043012" w:rsidRPr="00043012">
        <w:rPr>
          <w:noProof/>
        </w:rPr>
        <w:t>art</w:t>
      </w:r>
      <w:r w:rsidR="00AD2D37" w:rsidRPr="00043012">
        <w:rPr>
          <w:noProof/>
        </w:rPr>
        <w:t>.</w:t>
      </w:r>
      <w:r w:rsidR="00043012" w:rsidRPr="00043012">
        <w:rPr>
          <w:noProof/>
        </w:rPr>
        <w:t> </w:t>
      </w:r>
      <w:r w:rsidR="00AD2D37" w:rsidRPr="00043012">
        <w:rPr>
          <w:noProof/>
        </w:rPr>
        <w:t>3</w:t>
      </w:r>
      <w:r w:rsidR="00AD2D37" w:rsidRPr="006B771F">
        <w:rPr>
          <w:noProof/>
        </w:rPr>
        <w:t xml:space="preserve"> decyzji Rady 2011/350/UE</w:t>
      </w:r>
      <w:r w:rsidR="00AD2D37" w:rsidRPr="006B771F">
        <w:rPr>
          <w:rStyle w:val="FootnoteReference0"/>
          <w:noProof/>
          <w:szCs w:val="24"/>
        </w:rPr>
        <w:footnoteReference w:id="64"/>
      </w:r>
      <w:r w:rsidR="00043012" w:rsidRPr="006B771F">
        <w:rPr>
          <w:rStyle w:val="footnotereference"/>
          <w:noProof/>
          <w:szCs w:val="24"/>
        </w:rPr>
        <w:t xml:space="preserve"> </w:t>
      </w:r>
      <w:r w:rsidR="00043012" w:rsidRPr="006B771F">
        <w:rPr>
          <w:noProof/>
        </w:rPr>
        <w:t>i</w:t>
      </w:r>
      <w:r w:rsidR="00043012">
        <w:rPr>
          <w:rStyle w:val="footnotereference"/>
          <w:noProof/>
          <w:szCs w:val="24"/>
        </w:rPr>
        <w:t> </w:t>
      </w:r>
      <w:r w:rsidR="00043012" w:rsidRPr="00043012">
        <w:rPr>
          <w:noProof/>
        </w:rPr>
        <w:t>art</w:t>
      </w:r>
      <w:r w:rsidR="00AD2D37" w:rsidRPr="00043012">
        <w:rPr>
          <w:noProof/>
        </w:rPr>
        <w:t>.</w:t>
      </w:r>
      <w:r w:rsidR="00043012" w:rsidRPr="00043012">
        <w:rPr>
          <w:noProof/>
        </w:rPr>
        <w:t> </w:t>
      </w:r>
      <w:r w:rsidR="00AD2D37" w:rsidRPr="00043012">
        <w:rPr>
          <w:noProof/>
        </w:rPr>
        <w:t>3</w:t>
      </w:r>
      <w:r w:rsidR="00AD2D37" w:rsidRPr="006B771F">
        <w:rPr>
          <w:noProof/>
        </w:rPr>
        <w:t xml:space="preserve"> decyzji Rady 2011/349/UE</w:t>
      </w:r>
      <w:r w:rsidR="00AD2D37" w:rsidRPr="006B771F">
        <w:rPr>
          <w:rStyle w:val="FootnoteReference0"/>
          <w:noProof/>
          <w:szCs w:val="24"/>
        </w:rPr>
        <w:footnoteReference w:id="65"/>
      </w:r>
      <w:r w:rsidR="00AD2D37" w:rsidRPr="006B771F">
        <w:rPr>
          <w:noProof/>
        </w:rPr>
        <w:t xml:space="preserve">. </w:t>
      </w:r>
    </w:p>
    <w:p w14:paraId="3B927AB4" w14:textId="7D1985E2" w:rsidR="00AD2D37" w:rsidRPr="006B771F" w:rsidRDefault="005E7503" w:rsidP="005E7503">
      <w:pPr>
        <w:pStyle w:val="ManualConsidrant"/>
        <w:rPr>
          <w:noProof/>
          <w:szCs w:val="24"/>
        </w:rPr>
      </w:pPr>
      <w:r w:rsidRPr="005E7503">
        <w:t>(17)</w:t>
      </w:r>
      <w:r w:rsidRPr="005E7503">
        <w:tab/>
      </w:r>
      <w:r w:rsidR="00AD2D37" w:rsidRPr="006B771F">
        <w:rPr>
          <w:noProof/>
        </w:rPr>
        <w:t>W odniesieniu do Bułgarii</w:t>
      </w:r>
      <w:r w:rsidR="00043012" w:rsidRPr="006B771F">
        <w:rPr>
          <w:noProof/>
        </w:rPr>
        <w:t xml:space="preserve"> i</w:t>
      </w:r>
      <w:r w:rsidR="00043012">
        <w:rPr>
          <w:noProof/>
        </w:rPr>
        <w:t> </w:t>
      </w:r>
      <w:r w:rsidR="00043012" w:rsidRPr="006B771F">
        <w:rPr>
          <w:noProof/>
        </w:rPr>
        <w:t>Rum</w:t>
      </w:r>
      <w:r w:rsidR="00AD2D37" w:rsidRPr="006B771F">
        <w:rPr>
          <w:noProof/>
        </w:rPr>
        <w:t>unii niniejsze zalecenie,</w:t>
      </w:r>
      <w:r w:rsidR="00043012" w:rsidRPr="006B771F">
        <w:rPr>
          <w:noProof/>
        </w:rPr>
        <w:t xml:space="preserve"> z</w:t>
      </w:r>
      <w:r w:rsidR="00043012">
        <w:rPr>
          <w:noProof/>
        </w:rPr>
        <w:t> </w:t>
      </w:r>
      <w:r w:rsidR="00043012" w:rsidRPr="006B771F">
        <w:rPr>
          <w:noProof/>
        </w:rPr>
        <w:t>wyj</w:t>
      </w:r>
      <w:r w:rsidR="00AD2D37" w:rsidRPr="006B771F">
        <w:rPr>
          <w:noProof/>
        </w:rPr>
        <w:t>ątkiem sekcji 2.1</w:t>
      </w:r>
      <w:r w:rsidR="00043012" w:rsidRPr="006B771F">
        <w:rPr>
          <w:noProof/>
        </w:rPr>
        <w:t xml:space="preserve"> i</w:t>
      </w:r>
      <w:r w:rsidR="00043012">
        <w:rPr>
          <w:noProof/>
        </w:rPr>
        <w:t> </w:t>
      </w:r>
      <w:r w:rsidR="00043012" w:rsidRPr="006B771F">
        <w:rPr>
          <w:noProof/>
        </w:rPr>
        <w:t>2</w:t>
      </w:r>
      <w:r w:rsidR="00AD2D37" w:rsidRPr="006B771F">
        <w:rPr>
          <w:noProof/>
        </w:rPr>
        <w:t>.2, jest aktem opartym na dorobku Schengen lub</w:t>
      </w:r>
      <w:r w:rsidR="00043012" w:rsidRPr="006B771F">
        <w:rPr>
          <w:noProof/>
        </w:rPr>
        <w:t xml:space="preserve"> w</w:t>
      </w:r>
      <w:r w:rsidR="00043012">
        <w:rPr>
          <w:noProof/>
        </w:rPr>
        <w:t> </w:t>
      </w:r>
      <w:r w:rsidR="00043012" w:rsidRPr="006B771F">
        <w:rPr>
          <w:noProof/>
        </w:rPr>
        <w:t>inn</w:t>
      </w:r>
      <w:r w:rsidR="00AD2D37" w:rsidRPr="006B771F">
        <w:rPr>
          <w:noProof/>
        </w:rPr>
        <w:t>y sposób</w:t>
      </w:r>
      <w:r w:rsidR="00043012" w:rsidRPr="006B771F">
        <w:rPr>
          <w:noProof/>
        </w:rPr>
        <w:t xml:space="preserve"> z</w:t>
      </w:r>
      <w:r w:rsidR="00043012">
        <w:rPr>
          <w:noProof/>
        </w:rPr>
        <w:t> </w:t>
      </w:r>
      <w:r w:rsidR="00043012" w:rsidRPr="006B771F">
        <w:rPr>
          <w:noProof/>
        </w:rPr>
        <w:t>nim</w:t>
      </w:r>
      <w:r w:rsidR="00AD2D37" w:rsidRPr="006B771F">
        <w:rPr>
          <w:noProof/>
        </w:rPr>
        <w:t xml:space="preserve"> związanym</w:t>
      </w:r>
      <w:r w:rsidR="00043012" w:rsidRPr="006B771F">
        <w:rPr>
          <w:noProof/>
        </w:rPr>
        <w:t xml:space="preserve"> w</w:t>
      </w:r>
      <w:r w:rsidR="00043012">
        <w:rPr>
          <w:noProof/>
        </w:rPr>
        <w:t> </w:t>
      </w:r>
      <w:r w:rsidR="00043012" w:rsidRPr="006B771F">
        <w:rPr>
          <w:noProof/>
        </w:rPr>
        <w:t>roz</w:t>
      </w:r>
      <w:r w:rsidR="00AD2D37" w:rsidRPr="006B771F">
        <w:rPr>
          <w:noProof/>
        </w:rPr>
        <w:t xml:space="preserve">umieniu </w:t>
      </w:r>
      <w:r w:rsidR="00AD2D37" w:rsidRPr="00043012">
        <w:rPr>
          <w:noProof/>
        </w:rPr>
        <w:t>art.</w:t>
      </w:r>
      <w:r w:rsidR="00043012" w:rsidRPr="00043012">
        <w:rPr>
          <w:noProof/>
        </w:rPr>
        <w:t> </w:t>
      </w:r>
      <w:r w:rsidR="00AD2D37" w:rsidRPr="00043012">
        <w:rPr>
          <w:noProof/>
        </w:rPr>
        <w:t>4</w:t>
      </w:r>
      <w:r w:rsidR="00AD2D37" w:rsidRPr="006B771F">
        <w:rPr>
          <w:noProof/>
        </w:rPr>
        <w:t xml:space="preserve"> </w:t>
      </w:r>
      <w:r w:rsidR="00AD2D37" w:rsidRPr="00043012">
        <w:rPr>
          <w:noProof/>
        </w:rPr>
        <w:t>ust.</w:t>
      </w:r>
      <w:r w:rsidR="00043012" w:rsidRPr="00043012">
        <w:rPr>
          <w:noProof/>
        </w:rPr>
        <w:t> </w:t>
      </w:r>
      <w:r w:rsidR="00AD2D37" w:rsidRPr="00043012">
        <w:rPr>
          <w:noProof/>
        </w:rPr>
        <w:t>2</w:t>
      </w:r>
      <w:r w:rsidR="00AD2D37" w:rsidRPr="006B771F">
        <w:rPr>
          <w:noProof/>
        </w:rPr>
        <w:t xml:space="preserve"> Aktu przystąpienia</w:t>
      </w:r>
      <w:r w:rsidR="00043012" w:rsidRPr="006B771F">
        <w:rPr>
          <w:noProof/>
        </w:rPr>
        <w:t xml:space="preserve"> z</w:t>
      </w:r>
      <w:r w:rsidR="00043012">
        <w:rPr>
          <w:noProof/>
        </w:rPr>
        <w:t> </w:t>
      </w:r>
      <w:r w:rsidR="00043012" w:rsidRPr="006B771F">
        <w:rPr>
          <w:noProof/>
        </w:rPr>
        <w:t>2</w:t>
      </w:r>
      <w:r w:rsidR="00AD2D37" w:rsidRPr="006B771F">
        <w:rPr>
          <w:noProof/>
        </w:rPr>
        <w:t>0</w:t>
      </w:r>
      <w:r w:rsidR="00AD2D37" w:rsidRPr="00043012">
        <w:rPr>
          <w:noProof/>
        </w:rPr>
        <w:t>05</w:t>
      </w:r>
      <w:r w:rsidR="00043012" w:rsidRPr="00043012">
        <w:rPr>
          <w:noProof/>
        </w:rPr>
        <w:t> </w:t>
      </w:r>
      <w:r w:rsidR="00AD2D37" w:rsidRPr="00043012">
        <w:rPr>
          <w:noProof/>
        </w:rPr>
        <w:t>r.</w:t>
      </w:r>
      <w:r w:rsidR="00043012" w:rsidRPr="006B771F">
        <w:rPr>
          <w:noProof/>
        </w:rPr>
        <w:t xml:space="preserve"> i</w:t>
      </w:r>
      <w:r w:rsidR="00043012">
        <w:rPr>
          <w:noProof/>
        </w:rPr>
        <w:t> </w:t>
      </w:r>
      <w:r w:rsidR="00043012" w:rsidRPr="006B771F">
        <w:rPr>
          <w:noProof/>
        </w:rPr>
        <w:t>nal</w:t>
      </w:r>
      <w:r w:rsidR="00AD2D37" w:rsidRPr="006B771F">
        <w:rPr>
          <w:noProof/>
        </w:rPr>
        <w:t>eży je czytać</w:t>
      </w:r>
      <w:r w:rsidR="00043012" w:rsidRPr="006B771F">
        <w:rPr>
          <w:noProof/>
        </w:rPr>
        <w:t xml:space="preserve"> w</w:t>
      </w:r>
      <w:r w:rsidR="00043012">
        <w:rPr>
          <w:noProof/>
        </w:rPr>
        <w:t> </w:t>
      </w:r>
      <w:r w:rsidR="00043012" w:rsidRPr="006B771F">
        <w:rPr>
          <w:noProof/>
        </w:rPr>
        <w:t>zwi</w:t>
      </w:r>
      <w:r w:rsidR="00AD2D37" w:rsidRPr="006B771F">
        <w:rPr>
          <w:noProof/>
        </w:rPr>
        <w:t>ązku</w:t>
      </w:r>
      <w:r w:rsidR="00043012" w:rsidRPr="006B771F">
        <w:rPr>
          <w:noProof/>
        </w:rPr>
        <w:t xml:space="preserve"> z</w:t>
      </w:r>
      <w:r w:rsidR="00043012">
        <w:rPr>
          <w:noProof/>
        </w:rPr>
        <w:t> </w:t>
      </w:r>
      <w:r w:rsidR="00043012" w:rsidRPr="006B771F">
        <w:rPr>
          <w:noProof/>
        </w:rPr>
        <w:t>dec</w:t>
      </w:r>
      <w:r w:rsidR="00AD2D37" w:rsidRPr="006B771F">
        <w:rPr>
          <w:noProof/>
        </w:rPr>
        <w:t>yzjami Rady 2010/365/UE</w:t>
      </w:r>
      <w:r w:rsidR="00AD2D37" w:rsidRPr="006B771F">
        <w:rPr>
          <w:rStyle w:val="FootnoteReference0"/>
          <w:noProof/>
          <w:szCs w:val="24"/>
        </w:rPr>
        <w:footnoteReference w:id="66"/>
      </w:r>
      <w:r w:rsidR="00AD2D37" w:rsidRPr="006B771F">
        <w:rPr>
          <w:noProof/>
        </w:rPr>
        <w:t xml:space="preserve"> i (UE) 2018/934</w:t>
      </w:r>
      <w:r w:rsidR="00AD2D37" w:rsidRPr="006B771F">
        <w:rPr>
          <w:rStyle w:val="FootnoteReference0"/>
          <w:noProof/>
          <w:szCs w:val="24"/>
        </w:rPr>
        <w:footnoteReference w:id="67"/>
      </w:r>
      <w:r w:rsidR="00AD2D37" w:rsidRPr="006B771F">
        <w:rPr>
          <w:noProof/>
        </w:rPr>
        <w:t xml:space="preserve">. </w:t>
      </w:r>
    </w:p>
    <w:p w14:paraId="7D7A1C89" w14:textId="2A3CE492" w:rsidR="00AD2D37" w:rsidRPr="006B771F" w:rsidRDefault="005E7503" w:rsidP="005E7503">
      <w:pPr>
        <w:pStyle w:val="ManualConsidrant"/>
        <w:rPr>
          <w:noProof/>
          <w:szCs w:val="24"/>
        </w:rPr>
      </w:pPr>
      <w:r w:rsidRPr="005E7503">
        <w:t>(18)</w:t>
      </w:r>
      <w:r w:rsidRPr="005E7503">
        <w:tab/>
      </w:r>
      <w:r w:rsidR="00AD2D37" w:rsidRPr="006B771F">
        <w:rPr>
          <w:noProof/>
        </w:rPr>
        <w:t>W odniesieniu do Chorwacji,</w:t>
      </w:r>
      <w:r w:rsidR="00043012" w:rsidRPr="006B771F">
        <w:rPr>
          <w:noProof/>
        </w:rPr>
        <w:t xml:space="preserve"> z</w:t>
      </w:r>
      <w:r w:rsidR="00043012">
        <w:rPr>
          <w:noProof/>
        </w:rPr>
        <w:t> </w:t>
      </w:r>
      <w:r w:rsidR="00043012" w:rsidRPr="006B771F">
        <w:rPr>
          <w:noProof/>
        </w:rPr>
        <w:t>wyj</w:t>
      </w:r>
      <w:r w:rsidR="00AD2D37" w:rsidRPr="006B771F">
        <w:rPr>
          <w:noProof/>
        </w:rPr>
        <w:t>ątkiem sekcji 2.1</w:t>
      </w:r>
      <w:r w:rsidR="00043012" w:rsidRPr="006B771F">
        <w:rPr>
          <w:noProof/>
        </w:rPr>
        <w:t xml:space="preserve"> i</w:t>
      </w:r>
      <w:r w:rsidR="00043012">
        <w:rPr>
          <w:noProof/>
        </w:rPr>
        <w:t> </w:t>
      </w:r>
      <w:r w:rsidR="00043012" w:rsidRPr="006B771F">
        <w:rPr>
          <w:noProof/>
        </w:rPr>
        <w:t>2</w:t>
      </w:r>
      <w:r w:rsidR="00AD2D37" w:rsidRPr="006B771F">
        <w:rPr>
          <w:noProof/>
        </w:rPr>
        <w:t>.2, niniejsze zalecenie jest aktem opartym na dorobku Schengen lub</w:t>
      </w:r>
      <w:r w:rsidR="00043012" w:rsidRPr="006B771F">
        <w:rPr>
          <w:noProof/>
        </w:rPr>
        <w:t xml:space="preserve"> w</w:t>
      </w:r>
      <w:r w:rsidR="00043012">
        <w:rPr>
          <w:noProof/>
        </w:rPr>
        <w:t> </w:t>
      </w:r>
      <w:r w:rsidR="00043012" w:rsidRPr="006B771F">
        <w:rPr>
          <w:noProof/>
        </w:rPr>
        <w:t>inn</w:t>
      </w:r>
      <w:r w:rsidR="00AD2D37" w:rsidRPr="006B771F">
        <w:rPr>
          <w:noProof/>
        </w:rPr>
        <w:t>y sposób</w:t>
      </w:r>
      <w:r w:rsidR="00043012" w:rsidRPr="006B771F">
        <w:rPr>
          <w:noProof/>
        </w:rPr>
        <w:t xml:space="preserve"> z</w:t>
      </w:r>
      <w:r w:rsidR="00043012">
        <w:rPr>
          <w:noProof/>
        </w:rPr>
        <w:t> </w:t>
      </w:r>
      <w:r w:rsidR="00043012" w:rsidRPr="006B771F">
        <w:rPr>
          <w:noProof/>
        </w:rPr>
        <w:t>nim</w:t>
      </w:r>
      <w:r w:rsidR="00AD2D37" w:rsidRPr="006B771F">
        <w:rPr>
          <w:noProof/>
        </w:rPr>
        <w:t xml:space="preserve"> związanym</w:t>
      </w:r>
      <w:r w:rsidR="00043012" w:rsidRPr="006B771F">
        <w:rPr>
          <w:noProof/>
        </w:rPr>
        <w:t xml:space="preserve"> w</w:t>
      </w:r>
      <w:r w:rsidR="00043012">
        <w:rPr>
          <w:noProof/>
        </w:rPr>
        <w:t> </w:t>
      </w:r>
      <w:r w:rsidR="00043012" w:rsidRPr="006B771F">
        <w:rPr>
          <w:noProof/>
        </w:rPr>
        <w:t>roz</w:t>
      </w:r>
      <w:r w:rsidR="00AD2D37" w:rsidRPr="006B771F">
        <w:rPr>
          <w:noProof/>
        </w:rPr>
        <w:t xml:space="preserve">umieniu </w:t>
      </w:r>
      <w:r w:rsidR="00AD2D37" w:rsidRPr="00043012">
        <w:rPr>
          <w:noProof/>
        </w:rPr>
        <w:t>art.</w:t>
      </w:r>
      <w:r w:rsidR="00043012" w:rsidRPr="00043012">
        <w:rPr>
          <w:noProof/>
        </w:rPr>
        <w:t> </w:t>
      </w:r>
      <w:r w:rsidR="00AD2D37" w:rsidRPr="00043012">
        <w:rPr>
          <w:noProof/>
        </w:rPr>
        <w:t>4</w:t>
      </w:r>
      <w:r w:rsidR="00AD2D37" w:rsidRPr="006B771F">
        <w:rPr>
          <w:noProof/>
        </w:rPr>
        <w:t xml:space="preserve"> </w:t>
      </w:r>
      <w:r w:rsidR="00AD2D37" w:rsidRPr="00043012">
        <w:rPr>
          <w:noProof/>
        </w:rPr>
        <w:t>ust.</w:t>
      </w:r>
      <w:r w:rsidR="00043012" w:rsidRPr="00043012">
        <w:rPr>
          <w:noProof/>
        </w:rPr>
        <w:t> </w:t>
      </w:r>
      <w:r w:rsidR="00AD2D37" w:rsidRPr="00043012">
        <w:rPr>
          <w:noProof/>
        </w:rPr>
        <w:t>2</w:t>
      </w:r>
      <w:r w:rsidR="00AD2D37" w:rsidRPr="006B771F">
        <w:rPr>
          <w:noProof/>
        </w:rPr>
        <w:t xml:space="preserve"> Aktu przystąpienia</w:t>
      </w:r>
      <w:r w:rsidR="00043012" w:rsidRPr="006B771F">
        <w:rPr>
          <w:noProof/>
        </w:rPr>
        <w:t xml:space="preserve"> z</w:t>
      </w:r>
      <w:r w:rsidR="00043012">
        <w:rPr>
          <w:noProof/>
        </w:rPr>
        <w:t> </w:t>
      </w:r>
      <w:r w:rsidR="00043012" w:rsidRPr="006B771F">
        <w:rPr>
          <w:noProof/>
        </w:rPr>
        <w:t>2</w:t>
      </w:r>
      <w:r w:rsidR="00AD2D37" w:rsidRPr="006B771F">
        <w:rPr>
          <w:noProof/>
        </w:rPr>
        <w:t>0</w:t>
      </w:r>
      <w:r w:rsidR="00AD2D37" w:rsidRPr="00043012">
        <w:rPr>
          <w:noProof/>
        </w:rPr>
        <w:t>11</w:t>
      </w:r>
      <w:r w:rsidR="00043012" w:rsidRPr="00043012">
        <w:rPr>
          <w:noProof/>
        </w:rPr>
        <w:t> </w:t>
      </w:r>
      <w:r w:rsidR="00AD2D37" w:rsidRPr="00043012">
        <w:rPr>
          <w:noProof/>
        </w:rPr>
        <w:t>r.</w:t>
      </w:r>
      <w:r w:rsidR="00043012" w:rsidRPr="006B771F">
        <w:rPr>
          <w:noProof/>
        </w:rPr>
        <w:t xml:space="preserve"> i</w:t>
      </w:r>
      <w:r w:rsidR="00043012">
        <w:rPr>
          <w:noProof/>
        </w:rPr>
        <w:t> </w:t>
      </w:r>
      <w:r w:rsidR="00043012" w:rsidRPr="006B771F">
        <w:rPr>
          <w:noProof/>
        </w:rPr>
        <w:t>nal</w:t>
      </w:r>
      <w:r w:rsidR="00AD2D37" w:rsidRPr="006B771F">
        <w:rPr>
          <w:noProof/>
        </w:rPr>
        <w:t>eży je czytać</w:t>
      </w:r>
      <w:r w:rsidR="00043012" w:rsidRPr="006B771F">
        <w:rPr>
          <w:noProof/>
        </w:rPr>
        <w:t xml:space="preserve"> w</w:t>
      </w:r>
      <w:r w:rsidR="00043012">
        <w:rPr>
          <w:noProof/>
        </w:rPr>
        <w:t> </w:t>
      </w:r>
      <w:r w:rsidR="00043012" w:rsidRPr="006B771F">
        <w:rPr>
          <w:noProof/>
        </w:rPr>
        <w:t>zwi</w:t>
      </w:r>
      <w:r w:rsidR="00AD2D37" w:rsidRPr="006B771F">
        <w:rPr>
          <w:noProof/>
        </w:rPr>
        <w:t>ązku</w:t>
      </w:r>
      <w:r w:rsidR="00043012" w:rsidRPr="006B771F">
        <w:rPr>
          <w:noProof/>
        </w:rPr>
        <w:t xml:space="preserve"> z</w:t>
      </w:r>
      <w:r w:rsidR="00043012">
        <w:rPr>
          <w:noProof/>
        </w:rPr>
        <w:t> </w:t>
      </w:r>
      <w:r w:rsidR="00043012" w:rsidRPr="006B771F">
        <w:rPr>
          <w:noProof/>
        </w:rPr>
        <w:t>dec</w:t>
      </w:r>
      <w:r w:rsidR="00AD2D37" w:rsidRPr="006B771F">
        <w:rPr>
          <w:noProof/>
        </w:rPr>
        <w:t>yzją Rady (UE) 2017/733</w:t>
      </w:r>
      <w:r w:rsidR="00AD2D37" w:rsidRPr="006B771F">
        <w:rPr>
          <w:rStyle w:val="FootnoteReference0"/>
          <w:noProof/>
          <w:szCs w:val="24"/>
        </w:rPr>
        <w:footnoteReference w:id="68"/>
      </w:r>
      <w:r w:rsidR="00AD2D37" w:rsidRPr="006B771F">
        <w:rPr>
          <w:noProof/>
        </w:rPr>
        <w:t xml:space="preserve">. </w:t>
      </w:r>
    </w:p>
    <w:p w14:paraId="50A5A91B" w14:textId="0ECB59B3" w:rsidR="00AD2D37" w:rsidRPr="006B771F" w:rsidRDefault="005E7503" w:rsidP="005E7503">
      <w:pPr>
        <w:pStyle w:val="ManualConsidrant"/>
        <w:rPr>
          <w:noProof/>
          <w:szCs w:val="24"/>
        </w:rPr>
      </w:pPr>
      <w:r w:rsidRPr="005E7503">
        <w:t>(19)</w:t>
      </w:r>
      <w:r w:rsidRPr="005E7503">
        <w:tab/>
      </w:r>
      <w:r w:rsidR="00AD2D37" w:rsidRPr="006B771F">
        <w:rPr>
          <w:noProof/>
        </w:rPr>
        <w:t>W odniesieniu do Cypru niniejsze zalecenie,</w:t>
      </w:r>
      <w:r w:rsidR="00043012" w:rsidRPr="006B771F">
        <w:rPr>
          <w:noProof/>
        </w:rPr>
        <w:t xml:space="preserve"> z</w:t>
      </w:r>
      <w:r w:rsidR="00043012">
        <w:rPr>
          <w:noProof/>
        </w:rPr>
        <w:t> </w:t>
      </w:r>
      <w:r w:rsidR="00043012" w:rsidRPr="006B771F">
        <w:rPr>
          <w:noProof/>
        </w:rPr>
        <w:t>wyj</w:t>
      </w:r>
      <w:r w:rsidR="00AD2D37" w:rsidRPr="006B771F">
        <w:rPr>
          <w:noProof/>
        </w:rPr>
        <w:t>ątkiem sekcji 2.1</w:t>
      </w:r>
      <w:r w:rsidR="00043012" w:rsidRPr="006B771F">
        <w:rPr>
          <w:noProof/>
        </w:rPr>
        <w:t xml:space="preserve"> i</w:t>
      </w:r>
      <w:r w:rsidR="00043012">
        <w:rPr>
          <w:noProof/>
        </w:rPr>
        <w:t> </w:t>
      </w:r>
      <w:r w:rsidR="00043012" w:rsidRPr="006B771F">
        <w:rPr>
          <w:noProof/>
        </w:rPr>
        <w:t>2</w:t>
      </w:r>
      <w:r w:rsidR="00AD2D37" w:rsidRPr="006B771F">
        <w:rPr>
          <w:noProof/>
        </w:rPr>
        <w:t>.2, jest aktem opartym na dorobku Schengen lub</w:t>
      </w:r>
      <w:r w:rsidR="00043012" w:rsidRPr="006B771F">
        <w:rPr>
          <w:noProof/>
        </w:rPr>
        <w:t xml:space="preserve"> w</w:t>
      </w:r>
      <w:r w:rsidR="00043012">
        <w:rPr>
          <w:noProof/>
        </w:rPr>
        <w:t> </w:t>
      </w:r>
      <w:r w:rsidR="00043012" w:rsidRPr="006B771F">
        <w:rPr>
          <w:noProof/>
        </w:rPr>
        <w:t>inn</w:t>
      </w:r>
      <w:r w:rsidR="00AD2D37" w:rsidRPr="006B771F">
        <w:rPr>
          <w:noProof/>
        </w:rPr>
        <w:t>y sposób</w:t>
      </w:r>
      <w:r w:rsidR="00043012" w:rsidRPr="006B771F">
        <w:rPr>
          <w:noProof/>
        </w:rPr>
        <w:t xml:space="preserve"> z</w:t>
      </w:r>
      <w:r w:rsidR="00043012">
        <w:rPr>
          <w:noProof/>
        </w:rPr>
        <w:t> </w:t>
      </w:r>
      <w:r w:rsidR="00043012" w:rsidRPr="006B771F">
        <w:rPr>
          <w:noProof/>
        </w:rPr>
        <w:t>nim</w:t>
      </w:r>
      <w:r w:rsidR="00AD2D37" w:rsidRPr="006B771F">
        <w:rPr>
          <w:noProof/>
        </w:rPr>
        <w:t xml:space="preserve"> związanym</w:t>
      </w:r>
      <w:r w:rsidR="00043012" w:rsidRPr="006B771F">
        <w:rPr>
          <w:noProof/>
        </w:rPr>
        <w:t xml:space="preserve"> w</w:t>
      </w:r>
      <w:r w:rsidR="00043012">
        <w:rPr>
          <w:noProof/>
        </w:rPr>
        <w:t> </w:t>
      </w:r>
      <w:r w:rsidR="00043012" w:rsidRPr="006B771F">
        <w:rPr>
          <w:noProof/>
        </w:rPr>
        <w:t>roz</w:t>
      </w:r>
      <w:r w:rsidR="00AD2D37" w:rsidRPr="006B771F">
        <w:rPr>
          <w:noProof/>
        </w:rPr>
        <w:t xml:space="preserve">umieniu </w:t>
      </w:r>
      <w:r w:rsidR="00AD2D37" w:rsidRPr="00043012">
        <w:rPr>
          <w:noProof/>
        </w:rPr>
        <w:t>art.</w:t>
      </w:r>
      <w:r w:rsidR="00043012" w:rsidRPr="00043012">
        <w:rPr>
          <w:noProof/>
        </w:rPr>
        <w:t> </w:t>
      </w:r>
      <w:r w:rsidR="00AD2D37" w:rsidRPr="00043012">
        <w:rPr>
          <w:noProof/>
        </w:rPr>
        <w:t>3</w:t>
      </w:r>
      <w:r w:rsidR="00AD2D37" w:rsidRPr="006B771F">
        <w:rPr>
          <w:noProof/>
        </w:rPr>
        <w:t xml:space="preserve"> </w:t>
      </w:r>
      <w:r w:rsidR="00AD2D37" w:rsidRPr="00043012">
        <w:rPr>
          <w:noProof/>
        </w:rPr>
        <w:t>ust.</w:t>
      </w:r>
      <w:r w:rsidR="00043012" w:rsidRPr="00043012">
        <w:rPr>
          <w:noProof/>
        </w:rPr>
        <w:t> </w:t>
      </w:r>
      <w:r w:rsidR="00AD2D37" w:rsidRPr="00043012">
        <w:rPr>
          <w:noProof/>
        </w:rPr>
        <w:t>2</w:t>
      </w:r>
      <w:r w:rsidR="00AD2D37" w:rsidRPr="006B771F">
        <w:rPr>
          <w:noProof/>
        </w:rPr>
        <w:t xml:space="preserve"> Aktu przystąpienia</w:t>
      </w:r>
      <w:r w:rsidR="00043012" w:rsidRPr="006B771F">
        <w:rPr>
          <w:noProof/>
        </w:rPr>
        <w:t xml:space="preserve"> z</w:t>
      </w:r>
      <w:r w:rsidR="00043012">
        <w:rPr>
          <w:noProof/>
        </w:rPr>
        <w:t> </w:t>
      </w:r>
      <w:r w:rsidR="00043012" w:rsidRPr="006B771F">
        <w:rPr>
          <w:noProof/>
        </w:rPr>
        <w:t>2</w:t>
      </w:r>
      <w:r w:rsidR="00AD2D37" w:rsidRPr="006B771F">
        <w:rPr>
          <w:noProof/>
        </w:rPr>
        <w:t>0</w:t>
      </w:r>
      <w:r w:rsidR="00AD2D37" w:rsidRPr="00043012">
        <w:rPr>
          <w:noProof/>
        </w:rPr>
        <w:t>03</w:t>
      </w:r>
      <w:r w:rsidR="00043012" w:rsidRPr="00043012">
        <w:rPr>
          <w:noProof/>
        </w:rPr>
        <w:t> </w:t>
      </w:r>
      <w:r w:rsidR="00AD2D37" w:rsidRPr="00043012">
        <w:rPr>
          <w:noProof/>
        </w:rPr>
        <w:t>r.</w:t>
      </w:r>
      <w:r w:rsidR="00AD2D37" w:rsidRPr="006B771F">
        <w:rPr>
          <w:noProof/>
        </w:rPr>
        <w:t>,</w:t>
      </w:r>
    </w:p>
    <w:p w14:paraId="7E555C07" w14:textId="77777777" w:rsidR="00AD2D37" w:rsidRPr="006B771F" w:rsidRDefault="00AD2D37" w:rsidP="00AD2D37">
      <w:pPr>
        <w:rPr>
          <w:noProof/>
        </w:rPr>
      </w:pPr>
    </w:p>
    <w:p w14:paraId="2BB875F9" w14:textId="77777777" w:rsidR="00AD2D37" w:rsidRPr="006B771F" w:rsidRDefault="00AD2D37" w:rsidP="00AD2D37">
      <w:pPr>
        <w:pStyle w:val="Formuledadoption"/>
        <w:rPr>
          <w:noProof/>
        </w:rPr>
      </w:pPr>
      <w:r w:rsidRPr="006B771F">
        <w:rPr>
          <w:noProof/>
        </w:rPr>
        <w:t>PRZYJMUJE NINIEJSZE ZALECENIE:</w:t>
      </w:r>
    </w:p>
    <w:p w14:paraId="5E92ADFE" w14:textId="31D9E24C" w:rsidR="00AD2D37" w:rsidRPr="006B771F" w:rsidRDefault="005E7503" w:rsidP="005E7503">
      <w:pPr>
        <w:pStyle w:val="ManualHeading1"/>
        <w:rPr>
          <w:noProof/>
        </w:rPr>
      </w:pPr>
      <w:r w:rsidRPr="005E7503">
        <w:t>1.</w:t>
      </w:r>
      <w:r w:rsidRPr="005E7503">
        <w:tab/>
      </w:r>
      <w:r w:rsidR="00AD2D37" w:rsidRPr="006B771F">
        <w:rPr>
          <w:noProof/>
        </w:rPr>
        <w:t>Definicje</w:t>
      </w:r>
    </w:p>
    <w:p w14:paraId="3C29CFA0" w14:textId="77777777" w:rsidR="00AD2D37" w:rsidRPr="006B771F" w:rsidRDefault="00AD2D37" w:rsidP="00AD2D37">
      <w:pPr>
        <w:rPr>
          <w:noProof/>
        </w:rPr>
      </w:pPr>
      <w:r w:rsidRPr="006B771F">
        <w:rPr>
          <w:noProof/>
        </w:rPr>
        <w:t>Do celów niniejszego zalecenia stosuje się następujące definicje:</w:t>
      </w:r>
    </w:p>
    <w:p w14:paraId="2B0F0B9C" w14:textId="0C05B193" w:rsidR="00AD2D37" w:rsidRPr="006B771F" w:rsidRDefault="00FF7728" w:rsidP="00FF7728">
      <w:pPr>
        <w:pStyle w:val="Point1"/>
        <w:rPr>
          <w:noProof/>
        </w:rPr>
      </w:pPr>
      <w:r w:rsidRPr="00FF7728">
        <w:rPr>
          <w:noProof/>
        </w:rPr>
        <w:t>a)</w:t>
      </w:r>
      <w:r w:rsidRPr="00FF7728">
        <w:rPr>
          <w:noProof/>
        </w:rPr>
        <w:tab/>
      </w:r>
      <w:r w:rsidR="00AD2D37" w:rsidRPr="006B771F">
        <w:rPr>
          <w:noProof/>
        </w:rPr>
        <w:t>„pościg transgraniczny” oznacza operację policji,</w:t>
      </w:r>
      <w:r w:rsidR="00043012" w:rsidRPr="006B771F">
        <w:rPr>
          <w:noProof/>
        </w:rPr>
        <w:t xml:space="preserve"> w</w:t>
      </w:r>
      <w:r w:rsidR="00043012">
        <w:rPr>
          <w:noProof/>
        </w:rPr>
        <w:t> </w:t>
      </w:r>
      <w:r w:rsidR="00043012" w:rsidRPr="006B771F">
        <w:rPr>
          <w:noProof/>
        </w:rPr>
        <w:t>ram</w:t>
      </w:r>
      <w:r w:rsidR="00AD2D37" w:rsidRPr="006B771F">
        <w:rPr>
          <w:noProof/>
        </w:rPr>
        <w:t>ach której funkcjonariusze właściwego organu ścigania państwa członkowskiego ścigają</w:t>
      </w:r>
      <w:r w:rsidR="00043012" w:rsidRPr="006B771F">
        <w:rPr>
          <w:noProof/>
        </w:rPr>
        <w:t xml:space="preserve"> w</w:t>
      </w:r>
      <w:r w:rsidR="00043012">
        <w:rPr>
          <w:noProof/>
        </w:rPr>
        <w:t> </w:t>
      </w:r>
      <w:r w:rsidR="00043012" w:rsidRPr="006B771F">
        <w:rPr>
          <w:noProof/>
        </w:rPr>
        <w:t>tym</w:t>
      </w:r>
      <w:r w:rsidR="00AD2D37" w:rsidRPr="006B771F">
        <w:rPr>
          <w:noProof/>
        </w:rPr>
        <w:t xml:space="preserve"> państwie członkowskim co najmniej jedną osobę przyłapaną na popełnieniu przestępstwa lub uczestniczącą</w:t>
      </w:r>
      <w:r w:rsidR="00043012" w:rsidRPr="006B771F">
        <w:rPr>
          <w:noProof/>
        </w:rPr>
        <w:t xml:space="preserve"> w</w:t>
      </w:r>
      <w:r w:rsidR="00043012">
        <w:rPr>
          <w:noProof/>
        </w:rPr>
        <w:t> </w:t>
      </w:r>
      <w:r w:rsidR="00043012" w:rsidRPr="006B771F">
        <w:rPr>
          <w:noProof/>
        </w:rPr>
        <w:t>nim</w:t>
      </w:r>
      <w:r w:rsidR="00AD2D37" w:rsidRPr="006B771F">
        <w:rPr>
          <w:noProof/>
        </w:rPr>
        <w:t>, przekraczając</w:t>
      </w:r>
      <w:r w:rsidR="00043012" w:rsidRPr="006B771F">
        <w:rPr>
          <w:noProof/>
        </w:rPr>
        <w:t xml:space="preserve"> w</w:t>
      </w:r>
      <w:r w:rsidR="00043012">
        <w:rPr>
          <w:noProof/>
        </w:rPr>
        <w:t> </w:t>
      </w:r>
      <w:r w:rsidR="00043012" w:rsidRPr="006B771F">
        <w:rPr>
          <w:noProof/>
        </w:rPr>
        <w:t>tra</w:t>
      </w:r>
      <w:r w:rsidR="00AD2D37" w:rsidRPr="006B771F">
        <w:rPr>
          <w:noProof/>
        </w:rPr>
        <w:t>kcie tego pościgu granicę</w:t>
      </w:r>
      <w:r w:rsidR="00043012" w:rsidRPr="006B771F">
        <w:rPr>
          <w:noProof/>
        </w:rPr>
        <w:t xml:space="preserve"> z</w:t>
      </w:r>
      <w:r w:rsidR="00043012">
        <w:rPr>
          <w:noProof/>
        </w:rPr>
        <w:t> </w:t>
      </w:r>
      <w:r w:rsidR="00043012" w:rsidRPr="006B771F">
        <w:rPr>
          <w:noProof/>
        </w:rPr>
        <w:t>inn</w:t>
      </w:r>
      <w:r w:rsidR="00AD2D37" w:rsidRPr="006B771F">
        <w:rPr>
          <w:noProof/>
        </w:rPr>
        <w:t>ym państwem członkowskim</w:t>
      </w:r>
      <w:r w:rsidR="00043012" w:rsidRPr="006B771F">
        <w:rPr>
          <w:noProof/>
        </w:rPr>
        <w:t xml:space="preserve"> i</w:t>
      </w:r>
      <w:r w:rsidR="00043012">
        <w:rPr>
          <w:noProof/>
        </w:rPr>
        <w:t> </w:t>
      </w:r>
      <w:r w:rsidR="00043012" w:rsidRPr="006B771F">
        <w:rPr>
          <w:noProof/>
        </w:rPr>
        <w:t>kon</w:t>
      </w:r>
      <w:r w:rsidR="00AD2D37" w:rsidRPr="006B771F">
        <w:rPr>
          <w:noProof/>
        </w:rPr>
        <w:t>tynuując pościg na terytorium tego innego państwa członkowskiego;</w:t>
      </w:r>
    </w:p>
    <w:p w14:paraId="7B3D3B61" w14:textId="0543C4BE" w:rsidR="00AD2D37" w:rsidRPr="006B771F" w:rsidRDefault="00FF7728" w:rsidP="00FF7728">
      <w:pPr>
        <w:pStyle w:val="Point1"/>
        <w:rPr>
          <w:noProof/>
        </w:rPr>
      </w:pPr>
      <w:r w:rsidRPr="00FF7728">
        <w:rPr>
          <w:noProof/>
        </w:rPr>
        <w:t>b)</w:t>
      </w:r>
      <w:r w:rsidRPr="00FF7728">
        <w:rPr>
          <w:noProof/>
        </w:rPr>
        <w:tab/>
      </w:r>
      <w:r w:rsidR="00AD2D37" w:rsidRPr="006B771F">
        <w:rPr>
          <w:noProof/>
        </w:rPr>
        <w:t>„obserwacja transgraniczna” oznacza operację policji, podczas której funkcjonariusze właściwego organu ścigania państwa członkowskiego</w:t>
      </w:r>
      <w:r w:rsidR="00043012" w:rsidRPr="006B771F">
        <w:rPr>
          <w:noProof/>
        </w:rPr>
        <w:t xml:space="preserve"> w</w:t>
      </w:r>
      <w:r w:rsidR="00043012">
        <w:rPr>
          <w:noProof/>
        </w:rPr>
        <w:t> </w:t>
      </w:r>
      <w:r w:rsidR="00043012" w:rsidRPr="006B771F">
        <w:rPr>
          <w:noProof/>
        </w:rPr>
        <w:t>ram</w:t>
      </w:r>
      <w:r w:rsidR="00AD2D37" w:rsidRPr="006B771F">
        <w:rPr>
          <w:noProof/>
        </w:rPr>
        <w:t>ach postępowania przygotowawczego prowadzonego</w:t>
      </w:r>
      <w:r w:rsidR="00043012" w:rsidRPr="006B771F">
        <w:rPr>
          <w:noProof/>
        </w:rPr>
        <w:t xml:space="preserve"> w</w:t>
      </w:r>
      <w:r w:rsidR="00043012">
        <w:rPr>
          <w:noProof/>
        </w:rPr>
        <w:t> </w:t>
      </w:r>
      <w:r w:rsidR="00043012" w:rsidRPr="006B771F">
        <w:rPr>
          <w:noProof/>
        </w:rPr>
        <w:t>tym</w:t>
      </w:r>
      <w:r w:rsidR="00AD2D37" w:rsidRPr="006B771F">
        <w:rPr>
          <w:noProof/>
        </w:rPr>
        <w:t xml:space="preserve"> państwie członkowskim nadzorują co najmniej jedną osobę podejrzaną</w:t>
      </w:r>
      <w:r w:rsidR="00043012" w:rsidRPr="006B771F">
        <w:rPr>
          <w:noProof/>
        </w:rPr>
        <w:t xml:space="preserve"> o</w:t>
      </w:r>
      <w:r w:rsidR="00043012">
        <w:rPr>
          <w:noProof/>
        </w:rPr>
        <w:t> </w:t>
      </w:r>
      <w:r w:rsidR="00043012" w:rsidRPr="006B771F">
        <w:rPr>
          <w:noProof/>
        </w:rPr>
        <w:t>pop</w:t>
      </w:r>
      <w:r w:rsidR="00AD2D37" w:rsidRPr="006B771F">
        <w:rPr>
          <w:noProof/>
        </w:rPr>
        <w:t>ełnienie przestępstwa lub udział</w:t>
      </w:r>
      <w:r w:rsidR="00043012" w:rsidRPr="006B771F">
        <w:rPr>
          <w:noProof/>
        </w:rPr>
        <w:t xml:space="preserve"> w</w:t>
      </w:r>
      <w:r w:rsidR="00043012">
        <w:rPr>
          <w:noProof/>
        </w:rPr>
        <w:t> </w:t>
      </w:r>
      <w:r w:rsidR="00043012" w:rsidRPr="006B771F">
        <w:rPr>
          <w:noProof/>
        </w:rPr>
        <w:t>nim</w:t>
      </w:r>
      <w:r w:rsidR="00AD2D37" w:rsidRPr="006B771F">
        <w:rPr>
          <w:noProof/>
        </w:rPr>
        <w:t xml:space="preserve"> lub mogącą doprowadzić do identyfikacji lub odnalezienia takich podejrzanych, oraz kontynuują obserwację na terytorium innego państwa członkowskiego po tym, jak osoba lub osoby objęte obserwacją przekroczyły granicę</w:t>
      </w:r>
      <w:r w:rsidR="00043012" w:rsidRPr="006B771F">
        <w:rPr>
          <w:noProof/>
        </w:rPr>
        <w:t xml:space="preserve"> z</w:t>
      </w:r>
      <w:r w:rsidR="00043012">
        <w:rPr>
          <w:noProof/>
        </w:rPr>
        <w:t> </w:t>
      </w:r>
      <w:r w:rsidR="00043012" w:rsidRPr="006B771F">
        <w:rPr>
          <w:noProof/>
        </w:rPr>
        <w:t>tym</w:t>
      </w:r>
      <w:r w:rsidR="00AD2D37" w:rsidRPr="006B771F">
        <w:rPr>
          <w:noProof/>
        </w:rPr>
        <w:t xml:space="preserve"> innym państwem członkowskim;</w:t>
      </w:r>
    </w:p>
    <w:p w14:paraId="771C0507" w14:textId="5B2A0A2E" w:rsidR="00AD2D37" w:rsidRPr="006B771F" w:rsidRDefault="00FF7728" w:rsidP="00FF7728">
      <w:pPr>
        <w:pStyle w:val="Point1"/>
        <w:rPr>
          <w:noProof/>
        </w:rPr>
      </w:pPr>
      <w:r w:rsidRPr="00FF7728">
        <w:rPr>
          <w:noProof/>
        </w:rPr>
        <w:t>c)</w:t>
      </w:r>
      <w:r w:rsidRPr="00FF7728">
        <w:rPr>
          <w:noProof/>
        </w:rPr>
        <w:tab/>
      </w:r>
      <w:r w:rsidR="00AD2D37" w:rsidRPr="006B771F">
        <w:rPr>
          <w:noProof/>
        </w:rPr>
        <w:t>„wspólne operacje” oznaczają operacje policji,</w:t>
      </w:r>
      <w:r w:rsidR="00043012" w:rsidRPr="006B771F">
        <w:rPr>
          <w:noProof/>
        </w:rPr>
        <w:t xml:space="preserve"> w</w:t>
      </w:r>
      <w:r w:rsidR="00043012">
        <w:rPr>
          <w:noProof/>
        </w:rPr>
        <w:t> </w:t>
      </w:r>
      <w:r w:rsidR="00043012" w:rsidRPr="006B771F">
        <w:rPr>
          <w:noProof/>
        </w:rPr>
        <w:t>tym</w:t>
      </w:r>
      <w:r w:rsidR="00AD2D37" w:rsidRPr="006B771F">
        <w:rPr>
          <w:noProof/>
        </w:rPr>
        <w:t xml:space="preserve"> wspólne patrole</w:t>
      </w:r>
      <w:r w:rsidR="00043012" w:rsidRPr="006B771F">
        <w:rPr>
          <w:noProof/>
        </w:rPr>
        <w:t xml:space="preserve"> i</w:t>
      </w:r>
      <w:r w:rsidR="00043012">
        <w:rPr>
          <w:noProof/>
        </w:rPr>
        <w:t> </w:t>
      </w:r>
      <w:r w:rsidR="00043012" w:rsidRPr="006B771F">
        <w:rPr>
          <w:noProof/>
        </w:rPr>
        <w:t>inn</w:t>
      </w:r>
      <w:r w:rsidR="00AD2D37" w:rsidRPr="006B771F">
        <w:rPr>
          <w:noProof/>
        </w:rPr>
        <w:t>e wspólne operacje</w:t>
      </w:r>
      <w:r w:rsidR="00043012" w:rsidRPr="006B771F">
        <w:rPr>
          <w:noProof/>
        </w:rPr>
        <w:t xml:space="preserve"> w</w:t>
      </w:r>
      <w:r w:rsidR="00043012">
        <w:rPr>
          <w:noProof/>
        </w:rPr>
        <w:t> </w:t>
      </w:r>
      <w:r w:rsidR="00043012" w:rsidRPr="006B771F">
        <w:rPr>
          <w:noProof/>
        </w:rPr>
        <w:t>zak</w:t>
      </w:r>
      <w:r w:rsidR="00AD2D37" w:rsidRPr="006B771F">
        <w:rPr>
          <w:noProof/>
        </w:rPr>
        <w:t>resie porządku publicznego, bezpieczeństwa publicznego</w:t>
      </w:r>
      <w:r w:rsidR="00043012" w:rsidRPr="006B771F">
        <w:rPr>
          <w:noProof/>
        </w:rPr>
        <w:t xml:space="preserve"> i</w:t>
      </w:r>
      <w:r w:rsidR="00043012">
        <w:rPr>
          <w:noProof/>
        </w:rPr>
        <w:t> </w:t>
      </w:r>
      <w:r w:rsidR="00043012" w:rsidRPr="006B771F">
        <w:rPr>
          <w:noProof/>
        </w:rPr>
        <w:t>zap</w:t>
      </w:r>
      <w:r w:rsidR="00AD2D37" w:rsidRPr="006B771F">
        <w:rPr>
          <w:noProof/>
        </w:rPr>
        <w:t>obiegania przestępczości, prowadzone wspólnie na wewnątrzunijnych obszarach przygranicznych albo na innych obszarach Unii przez funkcjonariuszy właściwych organów ścigania co najmniej dwóch państw członkowskich, przy czym funkcjonariusze</w:t>
      </w:r>
      <w:r w:rsidR="00043012" w:rsidRPr="006B771F">
        <w:rPr>
          <w:noProof/>
        </w:rPr>
        <w:t xml:space="preserve"> z</w:t>
      </w:r>
      <w:r w:rsidR="00043012">
        <w:rPr>
          <w:noProof/>
        </w:rPr>
        <w:t> </w:t>
      </w:r>
      <w:r w:rsidR="00043012" w:rsidRPr="006B771F">
        <w:rPr>
          <w:noProof/>
        </w:rPr>
        <w:t>jed</w:t>
      </w:r>
      <w:r w:rsidR="00AD2D37" w:rsidRPr="006B771F">
        <w:rPr>
          <w:noProof/>
        </w:rPr>
        <w:t xml:space="preserve">nego państwa członkowskiego prowadzą działania na terytorium innego państwa członkowskiego; </w:t>
      </w:r>
    </w:p>
    <w:p w14:paraId="08F9C313" w14:textId="41FC7D38" w:rsidR="00AD2D37" w:rsidRPr="006B771F" w:rsidRDefault="00FF7728" w:rsidP="00FF7728">
      <w:pPr>
        <w:pStyle w:val="Point1"/>
        <w:rPr>
          <w:noProof/>
        </w:rPr>
      </w:pPr>
      <w:r w:rsidRPr="00FF7728">
        <w:rPr>
          <w:noProof/>
        </w:rPr>
        <w:t>d)</w:t>
      </w:r>
      <w:r w:rsidRPr="00FF7728">
        <w:rPr>
          <w:noProof/>
        </w:rPr>
        <w:tab/>
      </w:r>
      <w:r w:rsidR="00AD2D37" w:rsidRPr="006B771F">
        <w:rPr>
          <w:noProof/>
        </w:rPr>
        <w:t xml:space="preserve"> „pojedynczy punkt kontaktowy” oznacza krajowy organ centralny odpowiedzialny za międzynarodową współpracę policyjną,</w:t>
      </w:r>
      <w:r w:rsidR="00043012" w:rsidRPr="006B771F">
        <w:rPr>
          <w:noProof/>
        </w:rPr>
        <w:t xml:space="preserve"> o</w:t>
      </w:r>
      <w:r w:rsidR="00043012">
        <w:rPr>
          <w:noProof/>
        </w:rPr>
        <w:t> </w:t>
      </w:r>
      <w:r w:rsidR="00043012" w:rsidRPr="006B771F">
        <w:rPr>
          <w:noProof/>
        </w:rPr>
        <w:t>któ</w:t>
      </w:r>
      <w:r w:rsidR="00AD2D37" w:rsidRPr="006B771F">
        <w:rPr>
          <w:noProof/>
        </w:rPr>
        <w:t>rym mowa</w:t>
      </w:r>
      <w:r w:rsidR="00043012" w:rsidRPr="006B771F">
        <w:rPr>
          <w:noProof/>
        </w:rPr>
        <w:t xml:space="preserve"> w</w:t>
      </w:r>
      <w:r w:rsidR="00043012">
        <w:rPr>
          <w:noProof/>
        </w:rPr>
        <w:t> </w:t>
      </w:r>
      <w:r w:rsidR="00043012" w:rsidRPr="00043012">
        <w:rPr>
          <w:noProof/>
        </w:rPr>
        <w:t>art</w:t>
      </w:r>
      <w:r w:rsidR="00AD2D37" w:rsidRPr="00043012">
        <w:rPr>
          <w:noProof/>
        </w:rPr>
        <w:t>.</w:t>
      </w:r>
      <w:r w:rsidR="00043012" w:rsidRPr="00043012">
        <w:rPr>
          <w:noProof/>
        </w:rPr>
        <w:t> </w:t>
      </w:r>
      <w:r w:rsidR="00AD2D37" w:rsidRPr="00043012">
        <w:rPr>
          <w:noProof/>
        </w:rPr>
        <w:t>3</w:t>
      </w:r>
      <w:r w:rsidR="00AD2D37" w:rsidRPr="006B771F">
        <w:rPr>
          <w:noProof/>
        </w:rPr>
        <w:t xml:space="preserve">9 </w:t>
      </w:r>
      <w:r w:rsidR="00AD2D37" w:rsidRPr="00043012">
        <w:rPr>
          <w:noProof/>
        </w:rPr>
        <w:t>ust.</w:t>
      </w:r>
      <w:r w:rsidR="00043012" w:rsidRPr="00043012">
        <w:rPr>
          <w:noProof/>
        </w:rPr>
        <w:t> </w:t>
      </w:r>
      <w:r w:rsidR="00AD2D37" w:rsidRPr="00043012">
        <w:rPr>
          <w:noProof/>
        </w:rPr>
        <w:t>3</w:t>
      </w:r>
      <w:r w:rsidR="00AD2D37" w:rsidRPr="006B771F">
        <w:rPr>
          <w:noProof/>
        </w:rPr>
        <w:t xml:space="preserve"> Konwencji wykonawczej do układu</w:t>
      </w:r>
      <w:r w:rsidR="00043012" w:rsidRPr="006B771F">
        <w:rPr>
          <w:noProof/>
        </w:rPr>
        <w:t xml:space="preserve"> z</w:t>
      </w:r>
      <w:r w:rsidR="00043012">
        <w:rPr>
          <w:noProof/>
        </w:rPr>
        <w:t> </w:t>
      </w:r>
      <w:r w:rsidR="00043012" w:rsidRPr="006B771F">
        <w:rPr>
          <w:noProof/>
        </w:rPr>
        <w:t>Sch</w:t>
      </w:r>
      <w:r w:rsidR="00AD2D37" w:rsidRPr="006B771F">
        <w:rPr>
          <w:noProof/>
        </w:rPr>
        <w:t xml:space="preserve">engen; </w:t>
      </w:r>
    </w:p>
    <w:p w14:paraId="70BD682C" w14:textId="27929594" w:rsidR="00AD2D37" w:rsidRPr="006B771F" w:rsidRDefault="00FF7728" w:rsidP="00FF7728">
      <w:pPr>
        <w:pStyle w:val="Point1"/>
        <w:rPr>
          <w:noProof/>
        </w:rPr>
      </w:pPr>
      <w:r w:rsidRPr="00FF7728">
        <w:rPr>
          <w:noProof/>
        </w:rPr>
        <w:t>e)</w:t>
      </w:r>
      <w:r w:rsidRPr="00FF7728">
        <w:rPr>
          <w:noProof/>
        </w:rPr>
        <w:tab/>
      </w:r>
      <w:r w:rsidR="00AD2D37" w:rsidRPr="006B771F">
        <w:rPr>
          <w:noProof/>
        </w:rPr>
        <w:t>„centrum współpracy policyjno-celnej” oznacza wspólną strukturę organów ścigania mającą na celu wymianę informacji</w:t>
      </w:r>
      <w:r w:rsidR="00043012" w:rsidRPr="006B771F">
        <w:rPr>
          <w:noProof/>
        </w:rPr>
        <w:t xml:space="preserve"> i</w:t>
      </w:r>
      <w:r w:rsidR="00043012">
        <w:rPr>
          <w:noProof/>
        </w:rPr>
        <w:t> </w:t>
      </w:r>
      <w:r w:rsidR="00043012" w:rsidRPr="006B771F">
        <w:rPr>
          <w:noProof/>
        </w:rPr>
        <w:t>zap</w:t>
      </w:r>
      <w:r w:rsidR="00AD2D37" w:rsidRPr="006B771F">
        <w:rPr>
          <w:noProof/>
        </w:rPr>
        <w:t xml:space="preserve">ewnienie wsparcia </w:t>
      </w:r>
      <w:r w:rsidR="00AD2D37" w:rsidRPr="006B771F">
        <w:rPr>
          <w:noProof/>
          <w:szCs w:val="24"/>
        </w:rPr>
        <w:t>na rzecz innych działań związanych</w:t>
      </w:r>
      <w:r w:rsidR="00043012" w:rsidRPr="006B771F">
        <w:rPr>
          <w:noProof/>
          <w:szCs w:val="24"/>
        </w:rPr>
        <w:t xml:space="preserve"> z</w:t>
      </w:r>
      <w:r w:rsidR="00043012">
        <w:rPr>
          <w:noProof/>
          <w:szCs w:val="24"/>
        </w:rPr>
        <w:t> </w:t>
      </w:r>
      <w:r w:rsidR="00043012" w:rsidRPr="006B771F">
        <w:rPr>
          <w:noProof/>
          <w:szCs w:val="24"/>
        </w:rPr>
        <w:t>egz</w:t>
      </w:r>
      <w:r w:rsidR="00AD2D37" w:rsidRPr="006B771F">
        <w:rPr>
          <w:noProof/>
          <w:szCs w:val="24"/>
        </w:rPr>
        <w:t xml:space="preserve">ekwowaniem prawa </w:t>
      </w:r>
      <w:r w:rsidR="00AD2D37" w:rsidRPr="006B771F">
        <w:rPr>
          <w:noProof/>
        </w:rPr>
        <w:t xml:space="preserve">na wewnątrzunijnych </w:t>
      </w:r>
      <w:r w:rsidR="00AD2D37" w:rsidRPr="006B771F">
        <w:rPr>
          <w:noProof/>
          <w:szCs w:val="24"/>
        </w:rPr>
        <w:t>obszarach przygranicznych, którą</w:t>
      </w:r>
      <w:r w:rsidR="00AD2D37" w:rsidRPr="006B771F">
        <w:rPr>
          <w:noProof/>
        </w:rPr>
        <w:t xml:space="preserve"> państwo członkowskie utworzyło na podstawie dwu- lub wielostronnego porozumienia z co najmniej jednym sąsiadującym państwem członkowskim</w:t>
      </w:r>
      <w:r w:rsidR="00043012" w:rsidRPr="006B771F">
        <w:rPr>
          <w:noProof/>
        </w:rPr>
        <w:t xml:space="preserve"> i</w:t>
      </w:r>
      <w:r w:rsidR="00043012">
        <w:rPr>
          <w:noProof/>
        </w:rPr>
        <w:t> </w:t>
      </w:r>
      <w:r w:rsidR="00043012" w:rsidRPr="006B771F">
        <w:rPr>
          <w:noProof/>
        </w:rPr>
        <w:t>któ</w:t>
      </w:r>
      <w:r w:rsidR="00AD2D37" w:rsidRPr="006B771F">
        <w:rPr>
          <w:noProof/>
        </w:rPr>
        <w:t>ra ma siedzibę</w:t>
      </w:r>
      <w:r w:rsidR="00043012" w:rsidRPr="006B771F">
        <w:rPr>
          <w:noProof/>
        </w:rPr>
        <w:t xml:space="preserve"> w</w:t>
      </w:r>
      <w:r w:rsidR="00043012">
        <w:rPr>
          <w:noProof/>
        </w:rPr>
        <w:t> </w:t>
      </w:r>
      <w:r w:rsidR="00043012" w:rsidRPr="006B771F">
        <w:rPr>
          <w:noProof/>
        </w:rPr>
        <w:t>bez</w:t>
      </w:r>
      <w:r w:rsidR="00AD2D37" w:rsidRPr="006B771F">
        <w:rPr>
          <w:noProof/>
        </w:rPr>
        <w:t xml:space="preserve">pośrednim sąsiedztwie granic między zainteresowanymi państwami członkowskimi; </w:t>
      </w:r>
    </w:p>
    <w:p w14:paraId="2D5249A2" w14:textId="6382BE3D" w:rsidR="00AD2D37" w:rsidRPr="006B771F" w:rsidRDefault="00FF7728" w:rsidP="00FF7728">
      <w:pPr>
        <w:pStyle w:val="Point1"/>
        <w:rPr>
          <w:noProof/>
        </w:rPr>
      </w:pPr>
      <w:r w:rsidRPr="00FF7728">
        <w:rPr>
          <w:noProof/>
        </w:rPr>
        <w:t>f)</w:t>
      </w:r>
      <w:r w:rsidRPr="00FF7728">
        <w:rPr>
          <w:noProof/>
        </w:rPr>
        <w:tab/>
      </w:r>
      <w:r w:rsidR="00AD2D37" w:rsidRPr="006B771F">
        <w:rPr>
          <w:noProof/>
        </w:rPr>
        <w:t>„wewnątrzunijny obszar przygraniczny” oznacza obszar geograficzny</w:t>
      </w:r>
      <w:r w:rsidR="00043012" w:rsidRPr="006B771F">
        <w:rPr>
          <w:noProof/>
        </w:rPr>
        <w:t xml:space="preserve"> w</w:t>
      </w:r>
      <w:r w:rsidR="00043012">
        <w:rPr>
          <w:noProof/>
        </w:rPr>
        <w:t> </w:t>
      </w:r>
      <w:r w:rsidR="00043012" w:rsidRPr="006B771F">
        <w:rPr>
          <w:noProof/>
        </w:rPr>
        <w:t>bez</w:t>
      </w:r>
      <w:r w:rsidR="00AD2D37" w:rsidRPr="006B771F">
        <w:rPr>
          <w:noProof/>
        </w:rPr>
        <w:t>pośrednim sąsiedztwie granic wewnętrznych między państwami członkowskimi.</w:t>
      </w:r>
    </w:p>
    <w:p w14:paraId="48DFAA30" w14:textId="4820EABB" w:rsidR="00AD2D37" w:rsidRPr="006B771F" w:rsidRDefault="005E7503" w:rsidP="005E7503">
      <w:pPr>
        <w:pStyle w:val="ManualHeading1"/>
        <w:rPr>
          <w:noProof/>
        </w:rPr>
      </w:pPr>
      <w:r w:rsidRPr="005E7503">
        <w:t>2.</w:t>
      </w:r>
      <w:r w:rsidRPr="005E7503">
        <w:tab/>
      </w:r>
      <w:r w:rsidR="00AD2D37" w:rsidRPr="006B771F">
        <w:rPr>
          <w:noProof/>
        </w:rPr>
        <w:t>Usuwanie przeszkód we współpracy operacyjnej, gdy funkcjonariusze policji prowadzą działania</w:t>
      </w:r>
      <w:r w:rsidR="00043012" w:rsidRPr="006B771F">
        <w:rPr>
          <w:noProof/>
        </w:rPr>
        <w:t xml:space="preserve"> w</w:t>
      </w:r>
      <w:r w:rsidR="00043012">
        <w:rPr>
          <w:noProof/>
        </w:rPr>
        <w:t> </w:t>
      </w:r>
      <w:r w:rsidR="00043012" w:rsidRPr="006B771F">
        <w:rPr>
          <w:noProof/>
        </w:rPr>
        <w:t>inn</w:t>
      </w:r>
      <w:r w:rsidR="00AD2D37" w:rsidRPr="006B771F">
        <w:rPr>
          <w:noProof/>
        </w:rPr>
        <w:t xml:space="preserve">ym państwie członkowskim </w:t>
      </w:r>
    </w:p>
    <w:p w14:paraId="4790C137" w14:textId="2A2E2A7E" w:rsidR="00AD2D37" w:rsidRPr="006B771F" w:rsidRDefault="005E7503" w:rsidP="005E7503">
      <w:pPr>
        <w:pStyle w:val="ManualHeading2"/>
        <w:rPr>
          <w:noProof/>
        </w:rPr>
      </w:pPr>
      <w:r w:rsidRPr="005E7503">
        <w:t>2.1.</w:t>
      </w:r>
      <w:r w:rsidRPr="005E7503">
        <w:tab/>
      </w:r>
      <w:r w:rsidR="00AD2D37" w:rsidRPr="006B771F">
        <w:rPr>
          <w:noProof/>
        </w:rPr>
        <w:t>Pościg transgraniczny:</w:t>
      </w:r>
    </w:p>
    <w:p w14:paraId="1751234A" w14:textId="5FC10C74" w:rsidR="00AD2D37" w:rsidRPr="006B771F" w:rsidRDefault="00FF7728" w:rsidP="00FF7728">
      <w:pPr>
        <w:pStyle w:val="Point1"/>
        <w:rPr>
          <w:noProof/>
        </w:rPr>
      </w:pPr>
      <w:r w:rsidRPr="00FF7728">
        <w:rPr>
          <w:noProof/>
        </w:rPr>
        <w:t>a)</w:t>
      </w:r>
      <w:r w:rsidRPr="00FF7728">
        <w:rPr>
          <w:noProof/>
        </w:rPr>
        <w:tab/>
      </w:r>
      <w:r w:rsidR="00AD2D37" w:rsidRPr="006B771F">
        <w:rPr>
          <w:noProof/>
        </w:rPr>
        <w:t>Państwa członkowskie powinny:</w:t>
      </w:r>
    </w:p>
    <w:p w14:paraId="1EC38C3A" w14:textId="522416FB" w:rsidR="00AD2D37" w:rsidRPr="006B771F" w:rsidRDefault="00AD2D37" w:rsidP="00E273C3">
      <w:pPr>
        <w:pStyle w:val="Point3"/>
        <w:rPr>
          <w:noProof/>
        </w:rPr>
      </w:pPr>
      <w:r w:rsidRPr="006B771F">
        <w:rPr>
          <w:noProof/>
        </w:rPr>
        <w:t>zapewnić, aby rodzaje przestępstw kwalifikujących się do pościgu transgranicznego na ich terytorium obejmowały przestępstwa wymienione</w:t>
      </w:r>
      <w:r w:rsidR="00043012" w:rsidRPr="006B771F">
        <w:rPr>
          <w:noProof/>
        </w:rPr>
        <w:t xml:space="preserve"> w</w:t>
      </w:r>
      <w:r w:rsidR="00043012">
        <w:rPr>
          <w:noProof/>
        </w:rPr>
        <w:t> </w:t>
      </w:r>
      <w:r w:rsidR="00043012" w:rsidRPr="006B771F">
        <w:rPr>
          <w:noProof/>
        </w:rPr>
        <w:t>zał</w:t>
      </w:r>
      <w:r w:rsidRPr="006B771F">
        <w:rPr>
          <w:noProof/>
        </w:rPr>
        <w:t xml:space="preserve">ączniku do niniejszego zalecenia; </w:t>
      </w:r>
    </w:p>
    <w:p w14:paraId="4EE74557" w14:textId="3451DEFB" w:rsidR="00AD2D37" w:rsidRPr="006B771F" w:rsidRDefault="00AD2D37" w:rsidP="00AD2D37">
      <w:pPr>
        <w:pStyle w:val="Point3"/>
        <w:ind w:left="2552"/>
        <w:rPr>
          <w:noProof/>
        </w:rPr>
      </w:pPr>
      <w:r w:rsidRPr="006B771F">
        <w:rPr>
          <w:noProof/>
        </w:rPr>
        <w:t>(ii)</w:t>
      </w:r>
      <w:r w:rsidRPr="006B771F">
        <w:rPr>
          <w:noProof/>
        </w:rPr>
        <w:tab/>
        <w:t>zezwolić na prowadzenie na ich terytorium pościgów transgranicznych przez granice lądowe, morskie, rzeczne, jeziorne</w:t>
      </w:r>
      <w:r w:rsidR="00043012" w:rsidRPr="006B771F">
        <w:rPr>
          <w:noProof/>
        </w:rPr>
        <w:t xml:space="preserve"> i</w:t>
      </w:r>
      <w:r w:rsidR="00043012">
        <w:rPr>
          <w:noProof/>
        </w:rPr>
        <w:t> </w:t>
      </w:r>
      <w:r w:rsidR="00043012" w:rsidRPr="006B771F">
        <w:rPr>
          <w:noProof/>
        </w:rPr>
        <w:t>pow</w:t>
      </w:r>
      <w:r w:rsidRPr="006B771F">
        <w:rPr>
          <w:noProof/>
        </w:rPr>
        <w:t xml:space="preserve">ietrzne; </w:t>
      </w:r>
    </w:p>
    <w:p w14:paraId="195C0442" w14:textId="77777777" w:rsidR="00AD2D37" w:rsidRPr="006B771F" w:rsidRDefault="00AD2D37" w:rsidP="00AD2D37">
      <w:pPr>
        <w:pStyle w:val="Point3"/>
        <w:ind w:left="2552"/>
        <w:rPr>
          <w:noProof/>
        </w:rPr>
      </w:pPr>
      <w:r w:rsidRPr="006B771F">
        <w:rPr>
          <w:noProof/>
        </w:rPr>
        <w:t>(iii)</w:t>
      </w:r>
      <w:r w:rsidRPr="006B771F">
        <w:rPr>
          <w:noProof/>
        </w:rPr>
        <w:tab/>
        <w:t xml:space="preserve">zezwolić na kontynuowanie pościgu transgranicznego na swoim terytorium bez żadnych ograniczeń geograficznych ani czasowych, do czasu przybycia właściwego organu ścigania; </w:t>
      </w:r>
    </w:p>
    <w:p w14:paraId="7A1C0FCC" w14:textId="7F01603E" w:rsidR="00AD2D37" w:rsidRPr="006B771F" w:rsidRDefault="00AD2D37" w:rsidP="00AD2D37">
      <w:pPr>
        <w:pStyle w:val="Point3"/>
        <w:ind w:left="2552"/>
        <w:rPr>
          <w:noProof/>
        </w:rPr>
      </w:pPr>
      <w:r w:rsidRPr="006B771F">
        <w:rPr>
          <w:noProof/>
        </w:rPr>
        <w:t>(iv)</w:t>
      </w:r>
      <w:r w:rsidRPr="006B771F">
        <w:rPr>
          <w:noProof/>
        </w:rPr>
        <w:tab/>
        <w:t>gromadzić statystyki dotyczące pościgów transgranicznych, które przeprowadziły ich właściwe organy ścigania, oraz co roku przekazywać te statystyki Parlamentowi Europejskiemu, Radzie</w:t>
      </w:r>
      <w:r w:rsidR="00043012" w:rsidRPr="006B771F">
        <w:rPr>
          <w:noProof/>
        </w:rPr>
        <w:t xml:space="preserve"> i</w:t>
      </w:r>
      <w:r w:rsidR="00043012">
        <w:rPr>
          <w:noProof/>
        </w:rPr>
        <w:t> </w:t>
      </w:r>
      <w:r w:rsidR="00043012" w:rsidRPr="006B771F">
        <w:rPr>
          <w:noProof/>
        </w:rPr>
        <w:t>Kom</w:t>
      </w:r>
      <w:r w:rsidRPr="006B771F">
        <w:rPr>
          <w:noProof/>
        </w:rPr>
        <w:t>isji.</w:t>
      </w:r>
    </w:p>
    <w:p w14:paraId="2196EB50" w14:textId="505A5FAC" w:rsidR="00AD2D37" w:rsidRPr="006B771F" w:rsidRDefault="00FF7728" w:rsidP="00FF7728">
      <w:pPr>
        <w:pStyle w:val="Point1"/>
        <w:rPr>
          <w:noProof/>
        </w:rPr>
      </w:pPr>
      <w:r w:rsidRPr="00FF7728">
        <w:rPr>
          <w:noProof/>
        </w:rPr>
        <w:t>b)</w:t>
      </w:r>
      <w:r w:rsidRPr="00FF7728">
        <w:rPr>
          <w:noProof/>
        </w:rPr>
        <w:tab/>
      </w:r>
      <w:r w:rsidR="00AD2D37" w:rsidRPr="006B771F">
        <w:rPr>
          <w:noProof/>
        </w:rPr>
        <w:t xml:space="preserve">Państwa członkowskie powinny zezwolić funkcjonariuszom właściwego organu ścigania innego państwa członkowskiego prowadzącym pościg transgraniczny na ich terytorium na następujące czynności: </w:t>
      </w:r>
    </w:p>
    <w:p w14:paraId="35CE2C9D" w14:textId="114BCA12" w:rsidR="00AD2D37" w:rsidRPr="006B771F" w:rsidRDefault="00AD2D37" w:rsidP="00E273C3">
      <w:pPr>
        <w:pStyle w:val="Point3"/>
        <w:rPr>
          <w:noProof/>
        </w:rPr>
      </w:pPr>
      <w:r w:rsidRPr="006B771F">
        <w:rPr>
          <w:noProof/>
        </w:rPr>
        <w:t>noszenie własnej broni służbowej</w:t>
      </w:r>
      <w:r w:rsidR="00043012" w:rsidRPr="006B771F">
        <w:rPr>
          <w:noProof/>
        </w:rPr>
        <w:t xml:space="preserve"> i</w:t>
      </w:r>
      <w:r w:rsidR="00043012">
        <w:rPr>
          <w:noProof/>
        </w:rPr>
        <w:t> </w:t>
      </w:r>
      <w:r w:rsidR="00043012" w:rsidRPr="006B771F">
        <w:rPr>
          <w:noProof/>
        </w:rPr>
        <w:t>amu</w:t>
      </w:r>
      <w:r w:rsidRPr="006B771F">
        <w:rPr>
          <w:noProof/>
        </w:rPr>
        <w:t>nicji;</w:t>
      </w:r>
    </w:p>
    <w:p w14:paraId="419240A0" w14:textId="231D1E6B" w:rsidR="00AD2D37" w:rsidRPr="006B771F" w:rsidRDefault="00AD2D37" w:rsidP="00AD2D37">
      <w:pPr>
        <w:pStyle w:val="Point3"/>
        <w:ind w:left="2552"/>
        <w:rPr>
          <w:noProof/>
        </w:rPr>
      </w:pPr>
      <w:r w:rsidRPr="006B771F">
        <w:rPr>
          <w:noProof/>
        </w:rPr>
        <w:t>(ii)</w:t>
      </w:r>
      <w:r w:rsidRPr="006B771F">
        <w:rPr>
          <w:noProof/>
        </w:rPr>
        <w:tab/>
        <w:t>używanie własnej broni służbowej</w:t>
      </w:r>
      <w:r w:rsidR="00043012" w:rsidRPr="006B771F">
        <w:rPr>
          <w:noProof/>
        </w:rPr>
        <w:t xml:space="preserve"> w</w:t>
      </w:r>
      <w:r w:rsidR="00043012">
        <w:rPr>
          <w:noProof/>
        </w:rPr>
        <w:t> </w:t>
      </w:r>
      <w:r w:rsidR="00043012" w:rsidRPr="006B771F">
        <w:rPr>
          <w:noProof/>
        </w:rPr>
        <w:t>uza</w:t>
      </w:r>
      <w:r w:rsidRPr="006B771F">
        <w:rPr>
          <w:noProof/>
        </w:rPr>
        <w:t>sadnionej samoobronie oraz,</w:t>
      </w:r>
      <w:r w:rsidR="00043012" w:rsidRPr="006B771F">
        <w:rPr>
          <w:noProof/>
        </w:rPr>
        <w:t xml:space="preserve"> w</w:t>
      </w:r>
      <w:r w:rsidR="00043012">
        <w:rPr>
          <w:noProof/>
        </w:rPr>
        <w:t> </w:t>
      </w:r>
      <w:r w:rsidR="00043012" w:rsidRPr="006B771F">
        <w:rPr>
          <w:noProof/>
        </w:rPr>
        <w:t>sto</w:t>
      </w:r>
      <w:r w:rsidRPr="006B771F">
        <w:rPr>
          <w:noProof/>
        </w:rPr>
        <w:t>sownych przypadkach,</w:t>
      </w:r>
      <w:r w:rsidR="00043012" w:rsidRPr="006B771F">
        <w:rPr>
          <w:noProof/>
        </w:rPr>
        <w:t xml:space="preserve"> w</w:t>
      </w:r>
      <w:r w:rsidR="00043012">
        <w:rPr>
          <w:noProof/>
        </w:rPr>
        <w:t> </w:t>
      </w:r>
      <w:r w:rsidR="00043012" w:rsidRPr="006B771F">
        <w:rPr>
          <w:noProof/>
        </w:rPr>
        <w:t>obr</w:t>
      </w:r>
      <w:r w:rsidRPr="006B771F">
        <w:rPr>
          <w:noProof/>
        </w:rPr>
        <w:t xml:space="preserve">onie innych osób; </w:t>
      </w:r>
    </w:p>
    <w:p w14:paraId="22C61FCE" w14:textId="38805027" w:rsidR="00AD2D37" w:rsidRPr="006B771F" w:rsidRDefault="00AD2D37" w:rsidP="00AD2D37">
      <w:pPr>
        <w:pStyle w:val="Point3"/>
        <w:ind w:left="2552"/>
        <w:rPr>
          <w:noProof/>
        </w:rPr>
      </w:pPr>
      <w:r w:rsidRPr="006B771F">
        <w:rPr>
          <w:noProof/>
        </w:rPr>
        <w:t>(iii)</w:t>
      </w:r>
      <w:r w:rsidRPr="006B771F">
        <w:rPr>
          <w:noProof/>
        </w:rPr>
        <w:tab/>
        <w:t>zatrzymanie, aresztowanie lub tymczasowe przetrzymywanie podejrzanego,</w:t>
      </w:r>
      <w:r w:rsidR="00043012" w:rsidRPr="006B771F">
        <w:rPr>
          <w:noProof/>
        </w:rPr>
        <w:t xml:space="preserve"> w</w:t>
      </w:r>
      <w:r w:rsidR="00043012">
        <w:rPr>
          <w:noProof/>
        </w:rPr>
        <w:t> </w:t>
      </w:r>
      <w:r w:rsidR="00043012" w:rsidRPr="006B771F">
        <w:rPr>
          <w:noProof/>
        </w:rPr>
        <w:t>tym</w:t>
      </w:r>
      <w:r w:rsidRPr="006B771F">
        <w:rPr>
          <w:noProof/>
        </w:rPr>
        <w:t xml:space="preserve"> przy użyciu środków przymusu bezpośredniego</w:t>
      </w:r>
      <w:r w:rsidR="00043012" w:rsidRPr="006B771F">
        <w:rPr>
          <w:noProof/>
        </w:rPr>
        <w:t xml:space="preserve"> i</w:t>
      </w:r>
      <w:r w:rsidR="00043012">
        <w:rPr>
          <w:noProof/>
        </w:rPr>
        <w:t> </w:t>
      </w:r>
      <w:r w:rsidR="00043012" w:rsidRPr="006B771F">
        <w:rPr>
          <w:noProof/>
        </w:rPr>
        <w:t>sił</w:t>
      </w:r>
      <w:r w:rsidRPr="006B771F">
        <w:rPr>
          <w:noProof/>
        </w:rPr>
        <w:t xml:space="preserve">y fizycznej, do czasu przybycia funkcjonariuszy właściwych organów państwa członkowskiego, na którego terytorium miał miejsce pościg; </w:t>
      </w:r>
    </w:p>
    <w:p w14:paraId="25BEE7F9" w14:textId="126C1094" w:rsidR="00AD2D37" w:rsidRPr="006B771F" w:rsidRDefault="00AD2D37" w:rsidP="00AD2D37">
      <w:pPr>
        <w:pStyle w:val="Point3"/>
        <w:ind w:left="2552"/>
        <w:rPr>
          <w:noProof/>
        </w:rPr>
      </w:pPr>
      <w:r w:rsidRPr="006B771F">
        <w:rPr>
          <w:noProof/>
        </w:rPr>
        <w:t>(iv)</w:t>
      </w:r>
      <w:r w:rsidRPr="006B771F">
        <w:rPr>
          <w:noProof/>
        </w:rPr>
        <w:tab/>
        <w:t>korzystanie</w:t>
      </w:r>
      <w:r w:rsidR="00043012" w:rsidRPr="006B771F">
        <w:rPr>
          <w:noProof/>
        </w:rPr>
        <w:t xml:space="preserve"> z</w:t>
      </w:r>
      <w:r w:rsidR="00043012">
        <w:rPr>
          <w:noProof/>
        </w:rPr>
        <w:t> </w:t>
      </w:r>
      <w:r w:rsidR="00043012" w:rsidRPr="006B771F">
        <w:rPr>
          <w:noProof/>
        </w:rPr>
        <w:t>prz</w:t>
      </w:r>
      <w:r w:rsidRPr="006B771F">
        <w:rPr>
          <w:noProof/>
        </w:rPr>
        <w:t>ywilejów</w:t>
      </w:r>
      <w:r w:rsidR="00043012" w:rsidRPr="006B771F">
        <w:rPr>
          <w:noProof/>
        </w:rPr>
        <w:t xml:space="preserve"> w</w:t>
      </w:r>
      <w:r w:rsidR="00043012">
        <w:rPr>
          <w:noProof/>
        </w:rPr>
        <w:t> </w:t>
      </w:r>
      <w:r w:rsidR="00043012" w:rsidRPr="006B771F">
        <w:rPr>
          <w:noProof/>
        </w:rPr>
        <w:t>ruc</w:t>
      </w:r>
      <w:r w:rsidRPr="006B771F">
        <w:rPr>
          <w:noProof/>
        </w:rPr>
        <w:t>hu drogowym mających zastosowanie</w:t>
      </w:r>
      <w:r w:rsidR="00043012" w:rsidRPr="006B771F">
        <w:rPr>
          <w:noProof/>
        </w:rPr>
        <w:t xml:space="preserve"> w</w:t>
      </w:r>
      <w:r w:rsidR="00043012">
        <w:rPr>
          <w:noProof/>
        </w:rPr>
        <w:t> </w:t>
      </w:r>
      <w:r w:rsidR="00043012" w:rsidRPr="006B771F">
        <w:rPr>
          <w:noProof/>
        </w:rPr>
        <w:t>pań</w:t>
      </w:r>
      <w:r w:rsidRPr="006B771F">
        <w:rPr>
          <w:noProof/>
        </w:rPr>
        <w:t>stwach członkowskich,</w:t>
      </w:r>
      <w:r w:rsidR="00043012" w:rsidRPr="006B771F">
        <w:rPr>
          <w:noProof/>
        </w:rPr>
        <w:t xml:space="preserve"> w</w:t>
      </w:r>
      <w:r w:rsidR="00043012">
        <w:rPr>
          <w:noProof/>
        </w:rPr>
        <w:t> </w:t>
      </w:r>
      <w:r w:rsidR="00043012" w:rsidRPr="006B771F">
        <w:rPr>
          <w:noProof/>
        </w:rPr>
        <w:t>któ</w:t>
      </w:r>
      <w:r w:rsidRPr="006B771F">
        <w:rPr>
          <w:noProof/>
        </w:rPr>
        <w:t xml:space="preserve">rych ma miejsce pościg; </w:t>
      </w:r>
    </w:p>
    <w:p w14:paraId="27D5EF89" w14:textId="41347E4D" w:rsidR="00AD2D37" w:rsidRPr="006B771F" w:rsidRDefault="00AD2D37" w:rsidP="00AD2D37">
      <w:pPr>
        <w:pStyle w:val="Point3"/>
        <w:ind w:left="2552"/>
        <w:rPr>
          <w:noProof/>
        </w:rPr>
      </w:pPr>
      <w:r w:rsidRPr="006B771F">
        <w:rPr>
          <w:noProof/>
        </w:rPr>
        <w:t>(v)</w:t>
      </w:r>
      <w:r w:rsidRPr="006B771F">
        <w:rPr>
          <w:noProof/>
        </w:rPr>
        <w:tab/>
        <w:t>korzystanie</w:t>
      </w:r>
      <w:r w:rsidR="00043012" w:rsidRPr="006B771F">
        <w:rPr>
          <w:noProof/>
        </w:rPr>
        <w:t xml:space="preserve"> z</w:t>
      </w:r>
      <w:r w:rsidR="00043012">
        <w:rPr>
          <w:noProof/>
        </w:rPr>
        <w:t> </w:t>
      </w:r>
      <w:r w:rsidR="00043012" w:rsidRPr="006B771F">
        <w:rPr>
          <w:noProof/>
        </w:rPr>
        <w:t>wła</w:t>
      </w:r>
      <w:r w:rsidRPr="006B771F">
        <w:rPr>
          <w:noProof/>
        </w:rPr>
        <w:t xml:space="preserve">snych systemów GPS umożliwiających namierzanie pojazdów tych funkcjonariuszy przez właściwy organ ścigania tego innego państwa członkowskiego. </w:t>
      </w:r>
    </w:p>
    <w:p w14:paraId="55531776" w14:textId="20DBC556" w:rsidR="00AD2D37" w:rsidRPr="006B771F" w:rsidRDefault="005E7503" w:rsidP="005E7503">
      <w:pPr>
        <w:pStyle w:val="ManualHeading2"/>
        <w:rPr>
          <w:noProof/>
        </w:rPr>
      </w:pPr>
      <w:r w:rsidRPr="005E7503">
        <w:t>2.2.</w:t>
      </w:r>
      <w:r w:rsidRPr="005E7503">
        <w:tab/>
      </w:r>
      <w:r w:rsidR="00AD2D37" w:rsidRPr="006B771F">
        <w:rPr>
          <w:noProof/>
        </w:rPr>
        <w:t>Obserwacja transgraniczna</w:t>
      </w:r>
    </w:p>
    <w:p w14:paraId="6FB7E8A6" w14:textId="6325518B" w:rsidR="00AD2D37" w:rsidRPr="006B771F" w:rsidRDefault="00FF7728" w:rsidP="00FF7728">
      <w:pPr>
        <w:pStyle w:val="Point1"/>
        <w:rPr>
          <w:noProof/>
        </w:rPr>
      </w:pPr>
      <w:r w:rsidRPr="00FF7728">
        <w:rPr>
          <w:noProof/>
        </w:rPr>
        <w:t>a)</w:t>
      </w:r>
      <w:r w:rsidRPr="00FF7728">
        <w:rPr>
          <w:noProof/>
        </w:rPr>
        <w:tab/>
      </w:r>
      <w:r w:rsidR="00AD2D37" w:rsidRPr="006B771F">
        <w:rPr>
          <w:noProof/>
        </w:rPr>
        <w:t>Państwa członkowskie powinny:</w:t>
      </w:r>
    </w:p>
    <w:p w14:paraId="7D651FE3" w14:textId="7E918AD3" w:rsidR="00AD2D37" w:rsidRPr="00043012" w:rsidRDefault="00AD2D37" w:rsidP="00E273C3">
      <w:pPr>
        <w:pStyle w:val="Point3"/>
        <w:rPr>
          <w:noProof/>
        </w:rPr>
      </w:pPr>
      <w:r w:rsidRPr="006B771F">
        <w:rPr>
          <w:noProof/>
        </w:rPr>
        <w:t>zapewnić, aby rodzaje przestępstw kwalifikujących się do obserwacji transgranicznej na ich terytorium obejmowały przestępstwa wymienione</w:t>
      </w:r>
      <w:r w:rsidR="00043012" w:rsidRPr="006B771F">
        <w:rPr>
          <w:noProof/>
        </w:rPr>
        <w:t xml:space="preserve"> w</w:t>
      </w:r>
      <w:r w:rsidR="00043012">
        <w:rPr>
          <w:noProof/>
        </w:rPr>
        <w:t> </w:t>
      </w:r>
      <w:r w:rsidR="00043012" w:rsidRPr="006B771F">
        <w:rPr>
          <w:noProof/>
        </w:rPr>
        <w:t>zał</w:t>
      </w:r>
      <w:r w:rsidRPr="006B771F">
        <w:rPr>
          <w:noProof/>
        </w:rPr>
        <w:t>ączniku do niniejszego zalecenia</w:t>
      </w:r>
      <w:r w:rsidRPr="00043012">
        <w:rPr>
          <w:noProof/>
        </w:rPr>
        <w:t>;</w:t>
      </w:r>
      <w:r w:rsidR="00043012" w:rsidRPr="00043012">
        <w:rPr>
          <w:noProof/>
        </w:rPr>
        <w:t xml:space="preserve"> </w:t>
      </w:r>
    </w:p>
    <w:p w14:paraId="2B8543C6" w14:textId="185A0956" w:rsidR="00AD2D37" w:rsidRPr="006B771F" w:rsidRDefault="00AD2D37" w:rsidP="00AD2D37">
      <w:pPr>
        <w:pStyle w:val="Point3"/>
        <w:ind w:left="2552"/>
        <w:rPr>
          <w:noProof/>
        </w:rPr>
      </w:pPr>
      <w:r w:rsidRPr="006B771F">
        <w:rPr>
          <w:noProof/>
        </w:rPr>
        <w:t>(ii)</w:t>
      </w:r>
      <w:r w:rsidRPr="006B771F">
        <w:rPr>
          <w:noProof/>
        </w:rPr>
        <w:tab/>
        <w:t>zezwolić na prowadzenie na ich terytorium obserwacji transgranicznej</w:t>
      </w:r>
      <w:r w:rsidR="00043012" w:rsidRPr="006B771F">
        <w:rPr>
          <w:noProof/>
        </w:rPr>
        <w:t xml:space="preserve"> w</w:t>
      </w:r>
      <w:r w:rsidR="00043012">
        <w:rPr>
          <w:noProof/>
        </w:rPr>
        <w:t> </w:t>
      </w:r>
      <w:r w:rsidR="00043012" w:rsidRPr="006B771F">
        <w:rPr>
          <w:noProof/>
        </w:rPr>
        <w:t>odn</w:t>
      </w:r>
      <w:r w:rsidRPr="006B771F">
        <w:rPr>
          <w:noProof/>
        </w:rPr>
        <w:t>iesieniu do osób podejrzanych</w:t>
      </w:r>
      <w:r w:rsidR="00043012" w:rsidRPr="006B771F">
        <w:rPr>
          <w:noProof/>
        </w:rPr>
        <w:t xml:space="preserve"> o</w:t>
      </w:r>
      <w:r w:rsidR="00043012">
        <w:rPr>
          <w:noProof/>
        </w:rPr>
        <w:t> </w:t>
      </w:r>
      <w:r w:rsidR="00043012" w:rsidRPr="006B771F">
        <w:rPr>
          <w:noProof/>
        </w:rPr>
        <w:t>pop</w:t>
      </w:r>
      <w:r w:rsidRPr="006B771F">
        <w:rPr>
          <w:noProof/>
        </w:rPr>
        <w:t>ełnienie co najmniej jednego</w:t>
      </w:r>
      <w:r w:rsidR="00043012" w:rsidRPr="006B771F">
        <w:rPr>
          <w:noProof/>
        </w:rPr>
        <w:t xml:space="preserve"> z</w:t>
      </w:r>
      <w:r w:rsidR="00043012">
        <w:rPr>
          <w:noProof/>
        </w:rPr>
        <w:t> </w:t>
      </w:r>
      <w:r w:rsidR="00043012" w:rsidRPr="006B771F">
        <w:rPr>
          <w:noProof/>
        </w:rPr>
        <w:t>tyc</w:t>
      </w:r>
      <w:r w:rsidRPr="006B771F">
        <w:rPr>
          <w:noProof/>
        </w:rPr>
        <w:t>h przestępstw lub udział</w:t>
      </w:r>
      <w:r w:rsidR="00043012" w:rsidRPr="006B771F">
        <w:rPr>
          <w:noProof/>
        </w:rPr>
        <w:t xml:space="preserve"> w</w:t>
      </w:r>
      <w:r w:rsidR="00043012">
        <w:rPr>
          <w:noProof/>
        </w:rPr>
        <w:t> </w:t>
      </w:r>
      <w:r w:rsidR="00043012" w:rsidRPr="006B771F">
        <w:rPr>
          <w:noProof/>
        </w:rPr>
        <w:t>nim</w:t>
      </w:r>
      <w:r w:rsidRPr="006B771F">
        <w:rPr>
          <w:noProof/>
        </w:rPr>
        <w:t>, ale także</w:t>
      </w:r>
      <w:r w:rsidR="00043012" w:rsidRPr="006B771F">
        <w:rPr>
          <w:noProof/>
        </w:rPr>
        <w:t xml:space="preserve"> w</w:t>
      </w:r>
      <w:r w:rsidR="00043012">
        <w:rPr>
          <w:noProof/>
        </w:rPr>
        <w:t> </w:t>
      </w:r>
      <w:r w:rsidR="00043012" w:rsidRPr="006B771F">
        <w:rPr>
          <w:noProof/>
        </w:rPr>
        <w:t>odn</w:t>
      </w:r>
      <w:r w:rsidRPr="006B771F">
        <w:rPr>
          <w:noProof/>
        </w:rPr>
        <w:t>iesieniu do osób, które mogą doprowadzić do identyfikacji lub namierzenia takich podejrzanych;</w:t>
      </w:r>
    </w:p>
    <w:p w14:paraId="3285C398" w14:textId="6950EA0F" w:rsidR="00AD2D37" w:rsidRPr="006B771F" w:rsidRDefault="00AD2D37" w:rsidP="00AD2D37">
      <w:pPr>
        <w:pStyle w:val="Point3"/>
        <w:ind w:left="2552"/>
        <w:rPr>
          <w:noProof/>
        </w:rPr>
      </w:pPr>
      <w:r w:rsidRPr="006B771F">
        <w:rPr>
          <w:noProof/>
        </w:rPr>
        <w:t>(iii)</w:t>
      </w:r>
      <w:r w:rsidRPr="006B771F">
        <w:rPr>
          <w:noProof/>
        </w:rPr>
        <w:tab/>
        <w:t>zezwolić na prowadzenie na ich terytorium obserwacji transgranicznej przez granice lądowe, morskie, rzeczne, jeziorne</w:t>
      </w:r>
      <w:r w:rsidR="00043012" w:rsidRPr="006B771F">
        <w:rPr>
          <w:noProof/>
        </w:rPr>
        <w:t xml:space="preserve"> i</w:t>
      </w:r>
      <w:r w:rsidR="00043012">
        <w:rPr>
          <w:noProof/>
        </w:rPr>
        <w:t> </w:t>
      </w:r>
      <w:r w:rsidR="00043012" w:rsidRPr="006B771F">
        <w:rPr>
          <w:noProof/>
        </w:rPr>
        <w:t>pow</w:t>
      </w:r>
      <w:r w:rsidRPr="006B771F">
        <w:rPr>
          <w:noProof/>
        </w:rPr>
        <w:t>ietrzne;</w:t>
      </w:r>
    </w:p>
    <w:p w14:paraId="50AD6EB1" w14:textId="077C6CF4" w:rsidR="00AD2D37" w:rsidRPr="006B771F" w:rsidRDefault="00AD2D37" w:rsidP="00AD2D37">
      <w:pPr>
        <w:pStyle w:val="Point3"/>
        <w:ind w:left="2552"/>
        <w:rPr>
          <w:noProof/>
        </w:rPr>
      </w:pPr>
      <w:r w:rsidRPr="006B771F">
        <w:rPr>
          <w:noProof/>
        </w:rPr>
        <w:t>(iv)</w:t>
      </w:r>
      <w:r w:rsidRPr="006B771F">
        <w:rPr>
          <w:noProof/>
        </w:rPr>
        <w:tab/>
        <w:t>umożliwić</w:t>
      </w:r>
      <w:r w:rsidR="00043012" w:rsidRPr="006B771F">
        <w:rPr>
          <w:noProof/>
        </w:rPr>
        <w:t xml:space="preserve"> i</w:t>
      </w:r>
      <w:r w:rsidR="00043012">
        <w:rPr>
          <w:noProof/>
        </w:rPr>
        <w:t> </w:t>
      </w:r>
      <w:r w:rsidR="00043012" w:rsidRPr="006B771F">
        <w:rPr>
          <w:noProof/>
        </w:rPr>
        <w:t>uła</w:t>
      </w:r>
      <w:r w:rsidRPr="006B771F">
        <w:rPr>
          <w:noProof/>
        </w:rPr>
        <w:t>twić gromadzenie materiałów,</w:t>
      </w:r>
      <w:r w:rsidR="00043012" w:rsidRPr="006B771F">
        <w:rPr>
          <w:noProof/>
        </w:rPr>
        <w:t xml:space="preserve"> w</w:t>
      </w:r>
      <w:r w:rsidR="00043012">
        <w:rPr>
          <w:noProof/>
        </w:rPr>
        <w:t> </w:t>
      </w:r>
      <w:r w:rsidR="00043012" w:rsidRPr="006B771F">
        <w:rPr>
          <w:noProof/>
        </w:rPr>
        <w:t>tym</w:t>
      </w:r>
      <w:r w:rsidRPr="006B771F">
        <w:rPr>
          <w:noProof/>
        </w:rPr>
        <w:t xml:space="preserve"> poprzez krótko- lub długoterminowe pożyczki udzielane na podstawie wspólnie uzgodnionych procedur,</w:t>
      </w:r>
      <w:r w:rsidR="00043012" w:rsidRPr="006B771F">
        <w:rPr>
          <w:noProof/>
        </w:rPr>
        <w:t xml:space="preserve"> w</w:t>
      </w:r>
      <w:r w:rsidR="00043012">
        <w:rPr>
          <w:noProof/>
        </w:rPr>
        <w:t> </w:t>
      </w:r>
      <w:r w:rsidR="00043012" w:rsidRPr="006B771F">
        <w:rPr>
          <w:noProof/>
        </w:rPr>
        <w:t>cel</w:t>
      </w:r>
      <w:r w:rsidRPr="006B771F">
        <w:rPr>
          <w:noProof/>
        </w:rPr>
        <w:t>u zwiększenia skuteczności obserwacji transgranicznej;</w:t>
      </w:r>
    </w:p>
    <w:p w14:paraId="287C594A" w14:textId="6C8B14B4" w:rsidR="00AD2D37" w:rsidRPr="006B771F" w:rsidRDefault="00AD2D37" w:rsidP="00AD2D37">
      <w:pPr>
        <w:pStyle w:val="Point3"/>
        <w:ind w:left="2552"/>
        <w:rPr>
          <w:noProof/>
        </w:rPr>
      </w:pPr>
      <w:r w:rsidRPr="006B771F">
        <w:rPr>
          <w:noProof/>
        </w:rPr>
        <w:t>(v)</w:t>
      </w:r>
      <w:r w:rsidRPr="006B771F">
        <w:rPr>
          <w:noProof/>
        </w:rPr>
        <w:tab/>
        <w:t>wyznaczyć swój pojedynczy punkt kontaktowy jako centralny organ odpowiedzialny za koordynację obserwacji transgranicznych prowadzonych przez inne państwa członkowskie na terytorium danego państwa oraz przez to państwo na terytorium innych państw członkowskich,</w:t>
      </w:r>
      <w:r w:rsidR="00043012" w:rsidRPr="006B771F">
        <w:rPr>
          <w:noProof/>
        </w:rPr>
        <w:t xml:space="preserve"> w</w:t>
      </w:r>
      <w:r w:rsidR="00043012">
        <w:rPr>
          <w:noProof/>
        </w:rPr>
        <w:t> </w:t>
      </w:r>
      <w:r w:rsidR="00043012" w:rsidRPr="006B771F">
        <w:rPr>
          <w:noProof/>
        </w:rPr>
        <w:t>tym</w:t>
      </w:r>
      <w:r w:rsidRPr="006B771F">
        <w:rPr>
          <w:noProof/>
        </w:rPr>
        <w:t xml:space="preserve"> poprzez umożliwienie mu przetwarzania</w:t>
      </w:r>
      <w:r w:rsidR="00043012" w:rsidRPr="006B771F">
        <w:rPr>
          <w:noProof/>
        </w:rPr>
        <w:t xml:space="preserve"> i</w:t>
      </w:r>
      <w:r w:rsidR="00043012">
        <w:rPr>
          <w:noProof/>
        </w:rPr>
        <w:t> </w:t>
      </w:r>
      <w:r w:rsidR="00043012" w:rsidRPr="006B771F">
        <w:rPr>
          <w:noProof/>
        </w:rPr>
        <w:t>prz</w:t>
      </w:r>
      <w:r w:rsidRPr="006B771F">
        <w:rPr>
          <w:noProof/>
        </w:rPr>
        <w:t>ekazywania wniosków</w:t>
      </w:r>
      <w:r w:rsidR="00043012" w:rsidRPr="006B771F">
        <w:rPr>
          <w:noProof/>
        </w:rPr>
        <w:t xml:space="preserve"> o</w:t>
      </w:r>
      <w:r w:rsidR="00043012">
        <w:rPr>
          <w:noProof/>
        </w:rPr>
        <w:t> </w:t>
      </w:r>
      <w:r w:rsidR="00043012" w:rsidRPr="006B771F">
        <w:rPr>
          <w:noProof/>
        </w:rPr>
        <w:t>zez</w:t>
      </w:r>
      <w:r w:rsidRPr="006B771F">
        <w:rPr>
          <w:noProof/>
        </w:rPr>
        <w:t>wolenie przez 24 godziny na dobę, 7 dni</w:t>
      </w:r>
      <w:r w:rsidR="00043012" w:rsidRPr="006B771F">
        <w:rPr>
          <w:noProof/>
        </w:rPr>
        <w:t xml:space="preserve"> w</w:t>
      </w:r>
      <w:r w:rsidR="00043012">
        <w:rPr>
          <w:noProof/>
        </w:rPr>
        <w:t> </w:t>
      </w:r>
      <w:r w:rsidR="00043012" w:rsidRPr="006B771F">
        <w:rPr>
          <w:noProof/>
        </w:rPr>
        <w:t>tyg</w:t>
      </w:r>
      <w:r w:rsidRPr="006B771F">
        <w:rPr>
          <w:noProof/>
        </w:rPr>
        <w:t xml:space="preserve">odniu; </w:t>
      </w:r>
    </w:p>
    <w:p w14:paraId="457A2F51" w14:textId="700D6ED5" w:rsidR="00AD2D37" w:rsidRPr="006B771F" w:rsidRDefault="00AD2D37" w:rsidP="00AD2D37">
      <w:pPr>
        <w:pStyle w:val="Point3"/>
        <w:ind w:left="2552"/>
        <w:rPr>
          <w:noProof/>
        </w:rPr>
      </w:pPr>
      <w:r w:rsidRPr="006B771F">
        <w:rPr>
          <w:noProof/>
        </w:rPr>
        <w:t>(vi)</w:t>
      </w:r>
      <w:r w:rsidRPr="006B771F">
        <w:rPr>
          <w:noProof/>
        </w:rPr>
        <w:tab/>
        <w:t>gromadzić statystyki dotyczące obserwacji transgranicznych, które przeprowadziły ich właściwe organy ścigania, oraz co roku przekazywać te statystyki Parlamentowi Europejskiemu, Radzie</w:t>
      </w:r>
      <w:r w:rsidR="00043012" w:rsidRPr="006B771F">
        <w:rPr>
          <w:noProof/>
        </w:rPr>
        <w:t xml:space="preserve"> i</w:t>
      </w:r>
      <w:r w:rsidR="00043012">
        <w:rPr>
          <w:noProof/>
        </w:rPr>
        <w:t> </w:t>
      </w:r>
      <w:r w:rsidR="00043012" w:rsidRPr="006B771F">
        <w:rPr>
          <w:noProof/>
        </w:rPr>
        <w:t>Kom</w:t>
      </w:r>
      <w:r w:rsidRPr="006B771F">
        <w:rPr>
          <w:noProof/>
        </w:rPr>
        <w:t>isji.</w:t>
      </w:r>
    </w:p>
    <w:p w14:paraId="7B76228B" w14:textId="411D8D72" w:rsidR="00AD2D37" w:rsidRPr="006B771F" w:rsidRDefault="00FF7728" w:rsidP="00FF7728">
      <w:pPr>
        <w:pStyle w:val="Point1"/>
        <w:rPr>
          <w:noProof/>
        </w:rPr>
      </w:pPr>
      <w:r w:rsidRPr="00FF7728">
        <w:rPr>
          <w:noProof/>
        </w:rPr>
        <w:t>b)</w:t>
      </w:r>
      <w:r w:rsidRPr="00FF7728">
        <w:rPr>
          <w:noProof/>
        </w:rPr>
        <w:tab/>
      </w:r>
      <w:r w:rsidR="00AD2D37" w:rsidRPr="006B771F">
        <w:rPr>
          <w:noProof/>
        </w:rPr>
        <w:t xml:space="preserve">Państwa członkowskie powinny zezwolić funkcjonariuszom właściwego organu ścigania innego państwa członkowskiego prowadzącym obserwacje transgraniczne na ich terytorium na następujące czynności: </w:t>
      </w:r>
    </w:p>
    <w:p w14:paraId="7E1832D1" w14:textId="083217C3" w:rsidR="00AD2D37" w:rsidRPr="006B771F" w:rsidRDefault="00AD2D37" w:rsidP="00E273C3">
      <w:pPr>
        <w:pStyle w:val="Point3"/>
        <w:rPr>
          <w:noProof/>
        </w:rPr>
      </w:pPr>
      <w:r w:rsidRPr="006B771F">
        <w:rPr>
          <w:noProof/>
        </w:rPr>
        <w:t>noszenie własnej broni służbowej</w:t>
      </w:r>
      <w:r w:rsidR="00043012" w:rsidRPr="006B771F">
        <w:rPr>
          <w:noProof/>
        </w:rPr>
        <w:t xml:space="preserve"> i</w:t>
      </w:r>
      <w:r w:rsidR="00043012">
        <w:rPr>
          <w:noProof/>
        </w:rPr>
        <w:t> </w:t>
      </w:r>
      <w:r w:rsidR="00043012" w:rsidRPr="006B771F">
        <w:rPr>
          <w:noProof/>
        </w:rPr>
        <w:t>amu</w:t>
      </w:r>
      <w:r w:rsidRPr="006B771F">
        <w:rPr>
          <w:noProof/>
        </w:rPr>
        <w:t>nicji;</w:t>
      </w:r>
    </w:p>
    <w:p w14:paraId="016273BE" w14:textId="164884FF" w:rsidR="00AD2D37" w:rsidRPr="006B771F" w:rsidRDefault="00AD2D37" w:rsidP="00AD2D37">
      <w:pPr>
        <w:pStyle w:val="Point3"/>
        <w:ind w:left="2552"/>
        <w:rPr>
          <w:noProof/>
        </w:rPr>
      </w:pPr>
      <w:r w:rsidRPr="006B771F">
        <w:rPr>
          <w:noProof/>
        </w:rPr>
        <w:t>(ii)</w:t>
      </w:r>
      <w:r w:rsidRPr="006B771F">
        <w:rPr>
          <w:noProof/>
        </w:rPr>
        <w:tab/>
        <w:t>używanie własnej broni służbowej</w:t>
      </w:r>
      <w:r w:rsidR="00043012" w:rsidRPr="006B771F">
        <w:rPr>
          <w:noProof/>
        </w:rPr>
        <w:t xml:space="preserve"> w</w:t>
      </w:r>
      <w:r w:rsidR="00043012">
        <w:rPr>
          <w:noProof/>
        </w:rPr>
        <w:t> </w:t>
      </w:r>
      <w:r w:rsidR="00043012" w:rsidRPr="006B771F">
        <w:rPr>
          <w:noProof/>
        </w:rPr>
        <w:t>uza</w:t>
      </w:r>
      <w:r w:rsidRPr="006B771F">
        <w:rPr>
          <w:noProof/>
        </w:rPr>
        <w:t>sadnionej samoobronie oraz,</w:t>
      </w:r>
      <w:r w:rsidR="00043012" w:rsidRPr="006B771F">
        <w:rPr>
          <w:noProof/>
        </w:rPr>
        <w:t xml:space="preserve"> w</w:t>
      </w:r>
      <w:r w:rsidR="00043012">
        <w:rPr>
          <w:noProof/>
        </w:rPr>
        <w:t> </w:t>
      </w:r>
      <w:r w:rsidR="00043012" w:rsidRPr="006B771F">
        <w:rPr>
          <w:noProof/>
        </w:rPr>
        <w:t>sto</w:t>
      </w:r>
      <w:r w:rsidRPr="006B771F">
        <w:rPr>
          <w:noProof/>
        </w:rPr>
        <w:t>sownych przypadkach,</w:t>
      </w:r>
      <w:r w:rsidR="00043012" w:rsidRPr="006B771F">
        <w:rPr>
          <w:noProof/>
        </w:rPr>
        <w:t xml:space="preserve"> w</w:t>
      </w:r>
      <w:r w:rsidR="00043012">
        <w:rPr>
          <w:noProof/>
        </w:rPr>
        <w:t> </w:t>
      </w:r>
      <w:r w:rsidR="00043012" w:rsidRPr="006B771F">
        <w:rPr>
          <w:noProof/>
        </w:rPr>
        <w:t>obr</w:t>
      </w:r>
      <w:r w:rsidRPr="006B771F">
        <w:rPr>
          <w:noProof/>
        </w:rPr>
        <w:t xml:space="preserve">onie innych osób; </w:t>
      </w:r>
    </w:p>
    <w:p w14:paraId="38FEDE38" w14:textId="38C1F51A" w:rsidR="00AD2D37" w:rsidRPr="006B771F" w:rsidRDefault="00AD2D37" w:rsidP="00AD2D37">
      <w:pPr>
        <w:pStyle w:val="Point3"/>
        <w:ind w:left="2552"/>
        <w:rPr>
          <w:noProof/>
        </w:rPr>
      </w:pPr>
      <w:r w:rsidRPr="006B771F">
        <w:rPr>
          <w:noProof/>
        </w:rPr>
        <w:t>(iii)</w:t>
      </w:r>
      <w:r w:rsidRPr="006B771F">
        <w:rPr>
          <w:noProof/>
        </w:rPr>
        <w:tab/>
        <w:t>wykorzystywanie środków technicznych niezbędnych do prowadzenia obserwacji transgranicznych,</w:t>
      </w:r>
      <w:r w:rsidR="00043012" w:rsidRPr="006B771F">
        <w:rPr>
          <w:noProof/>
        </w:rPr>
        <w:t xml:space="preserve"> w</w:t>
      </w:r>
      <w:r w:rsidR="00043012">
        <w:rPr>
          <w:noProof/>
        </w:rPr>
        <w:t> </w:t>
      </w:r>
      <w:r w:rsidR="00043012" w:rsidRPr="006B771F">
        <w:rPr>
          <w:noProof/>
        </w:rPr>
        <w:t>tym</w:t>
      </w:r>
      <w:r w:rsidRPr="006B771F">
        <w:rPr>
          <w:noProof/>
        </w:rPr>
        <w:t xml:space="preserve"> lokalizatorów GPS, bezzałogowych statków powietrznych, sprzętu audio</w:t>
      </w:r>
      <w:r w:rsidR="00043012" w:rsidRPr="006B771F">
        <w:rPr>
          <w:noProof/>
        </w:rPr>
        <w:t xml:space="preserve"> i</w:t>
      </w:r>
      <w:r w:rsidR="00043012">
        <w:rPr>
          <w:noProof/>
        </w:rPr>
        <w:t> </w:t>
      </w:r>
      <w:r w:rsidR="00043012" w:rsidRPr="006B771F">
        <w:rPr>
          <w:noProof/>
        </w:rPr>
        <w:t>wid</w:t>
      </w:r>
      <w:r w:rsidRPr="006B771F">
        <w:rPr>
          <w:noProof/>
        </w:rPr>
        <w:t xml:space="preserve">eo. </w:t>
      </w:r>
    </w:p>
    <w:p w14:paraId="249FEBE7" w14:textId="11FC8DE2" w:rsidR="00AD2D37" w:rsidRPr="00043012" w:rsidRDefault="005E7503" w:rsidP="005E7503">
      <w:pPr>
        <w:pStyle w:val="ManualHeading2"/>
        <w:rPr>
          <w:noProof/>
        </w:rPr>
      </w:pPr>
      <w:r w:rsidRPr="005E7503">
        <w:t>2.3.</w:t>
      </w:r>
      <w:r w:rsidRPr="005E7503">
        <w:tab/>
      </w:r>
      <w:r w:rsidR="00AD2D37" w:rsidRPr="006B771F">
        <w:rPr>
          <w:noProof/>
        </w:rPr>
        <w:t>Wspólne operacj</w:t>
      </w:r>
      <w:r w:rsidR="00AD2D37" w:rsidRPr="00043012">
        <w:rPr>
          <w:noProof/>
        </w:rPr>
        <w:t>e</w:t>
      </w:r>
      <w:r w:rsidR="00043012" w:rsidRPr="00043012">
        <w:rPr>
          <w:noProof/>
        </w:rPr>
        <w:t xml:space="preserve"> </w:t>
      </w:r>
    </w:p>
    <w:p w14:paraId="2629CEE4" w14:textId="3DA83898" w:rsidR="00AD2D37" w:rsidRPr="006B771F" w:rsidRDefault="00FF7728" w:rsidP="00FF7728">
      <w:pPr>
        <w:pStyle w:val="Point1"/>
        <w:rPr>
          <w:noProof/>
        </w:rPr>
      </w:pPr>
      <w:r w:rsidRPr="00FF7728">
        <w:rPr>
          <w:noProof/>
        </w:rPr>
        <w:t>c)</w:t>
      </w:r>
      <w:r w:rsidRPr="00FF7728">
        <w:rPr>
          <w:noProof/>
        </w:rPr>
        <w:tab/>
      </w:r>
      <w:r w:rsidR="00AD2D37" w:rsidRPr="006B771F">
        <w:rPr>
          <w:noProof/>
        </w:rPr>
        <w:t xml:space="preserve">Państwa członkowskie powinny zezwolić funkcjonariuszom właściwego organu ścigania innego państwa członkowskiego zaangażowanym we wspólne operacje prowadzone na ich terytorium na następujące czynności: </w:t>
      </w:r>
    </w:p>
    <w:p w14:paraId="2CF2CFBB" w14:textId="06925A22" w:rsidR="00AD2D37" w:rsidRPr="006B771F" w:rsidRDefault="00AD2D37" w:rsidP="00E273C3">
      <w:pPr>
        <w:pStyle w:val="Point3"/>
        <w:rPr>
          <w:noProof/>
        </w:rPr>
      </w:pPr>
      <w:r w:rsidRPr="006B771F">
        <w:rPr>
          <w:noProof/>
        </w:rPr>
        <w:t>dokonywanie kontroli tożsamości</w:t>
      </w:r>
      <w:r w:rsidR="00043012" w:rsidRPr="006B771F">
        <w:rPr>
          <w:noProof/>
        </w:rPr>
        <w:t xml:space="preserve"> i</w:t>
      </w:r>
      <w:r w:rsidR="00043012">
        <w:rPr>
          <w:noProof/>
        </w:rPr>
        <w:t> </w:t>
      </w:r>
      <w:r w:rsidR="00043012" w:rsidRPr="006B771F">
        <w:rPr>
          <w:noProof/>
        </w:rPr>
        <w:t>prz</w:t>
      </w:r>
      <w:r w:rsidRPr="006B771F">
        <w:rPr>
          <w:noProof/>
        </w:rPr>
        <w:t xml:space="preserve">echwycenie każdej osoby, która próbuje uniknąć kontroli tożsamości; </w:t>
      </w:r>
    </w:p>
    <w:p w14:paraId="7A17F6AC" w14:textId="5C4BD0F1" w:rsidR="00AD2D37" w:rsidRPr="006B771F" w:rsidRDefault="00AD2D37" w:rsidP="00AD2D37">
      <w:pPr>
        <w:pStyle w:val="Point3"/>
        <w:ind w:left="2552"/>
        <w:rPr>
          <w:noProof/>
        </w:rPr>
      </w:pPr>
      <w:r w:rsidRPr="006B771F">
        <w:rPr>
          <w:noProof/>
        </w:rPr>
        <w:t>(ii)</w:t>
      </w:r>
      <w:r w:rsidRPr="006B771F">
        <w:rPr>
          <w:noProof/>
        </w:rPr>
        <w:tab/>
        <w:t>noszenie własnego munduru oraz broni służbowej</w:t>
      </w:r>
      <w:r w:rsidR="00043012" w:rsidRPr="006B771F">
        <w:rPr>
          <w:noProof/>
        </w:rPr>
        <w:t xml:space="preserve"> i</w:t>
      </w:r>
      <w:r w:rsidR="00043012">
        <w:rPr>
          <w:noProof/>
        </w:rPr>
        <w:t> </w:t>
      </w:r>
      <w:r w:rsidR="00043012" w:rsidRPr="006B771F">
        <w:rPr>
          <w:noProof/>
        </w:rPr>
        <w:t>amu</w:t>
      </w:r>
      <w:r w:rsidRPr="006B771F">
        <w:rPr>
          <w:noProof/>
        </w:rPr>
        <w:t>nicji;</w:t>
      </w:r>
    </w:p>
    <w:p w14:paraId="045F181A" w14:textId="313471DE" w:rsidR="00AD2D37" w:rsidRPr="006B771F" w:rsidRDefault="00AD2D37" w:rsidP="00AD2D37">
      <w:pPr>
        <w:pStyle w:val="Point3"/>
        <w:ind w:left="2552"/>
        <w:rPr>
          <w:noProof/>
        </w:rPr>
      </w:pPr>
      <w:r w:rsidRPr="006B771F">
        <w:rPr>
          <w:noProof/>
        </w:rPr>
        <w:t>(iii)</w:t>
      </w:r>
      <w:r w:rsidRPr="006B771F">
        <w:rPr>
          <w:noProof/>
        </w:rPr>
        <w:tab/>
        <w:t>używanie własnej broni służbowej</w:t>
      </w:r>
      <w:r w:rsidR="00043012" w:rsidRPr="006B771F">
        <w:rPr>
          <w:noProof/>
        </w:rPr>
        <w:t xml:space="preserve"> w</w:t>
      </w:r>
      <w:r w:rsidR="00043012">
        <w:rPr>
          <w:noProof/>
        </w:rPr>
        <w:t> </w:t>
      </w:r>
      <w:r w:rsidR="00043012" w:rsidRPr="006B771F">
        <w:rPr>
          <w:noProof/>
        </w:rPr>
        <w:t>uza</w:t>
      </w:r>
      <w:r w:rsidRPr="006B771F">
        <w:rPr>
          <w:noProof/>
        </w:rPr>
        <w:t>sadnionej samoobronie oraz,</w:t>
      </w:r>
      <w:r w:rsidR="00043012" w:rsidRPr="006B771F">
        <w:rPr>
          <w:noProof/>
        </w:rPr>
        <w:t xml:space="preserve"> w</w:t>
      </w:r>
      <w:r w:rsidR="00043012">
        <w:rPr>
          <w:noProof/>
        </w:rPr>
        <w:t> </w:t>
      </w:r>
      <w:r w:rsidR="00043012" w:rsidRPr="006B771F">
        <w:rPr>
          <w:noProof/>
        </w:rPr>
        <w:t>sto</w:t>
      </w:r>
      <w:r w:rsidRPr="006B771F">
        <w:rPr>
          <w:noProof/>
        </w:rPr>
        <w:t>sownych przypadkach,</w:t>
      </w:r>
      <w:r w:rsidR="00043012" w:rsidRPr="006B771F">
        <w:rPr>
          <w:noProof/>
        </w:rPr>
        <w:t xml:space="preserve"> w</w:t>
      </w:r>
      <w:r w:rsidR="00043012">
        <w:rPr>
          <w:noProof/>
        </w:rPr>
        <w:t> </w:t>
      </w:r>
      <w:r w:rsidR="00043012" w:rsidRPr="006B771F">
        <w:rPr>
          <w:noProof/>
        </w:rPr>
        <w:t>obr</w:t>
      </w:r>
      <w:r w:rsidRPr="006B771F">
        <w:rPr>
          <w:noProof/>
        </w:rPr>
        <w:t>onie innych osób;</w:t>
      </w:r>
    </w:p>
    <w:p w14:paraId="4F2C5B69" w14:textId="77777777" w:rsidR="00AD2D37" w:rsidRPr="006B771F" w:rsidRDefault="00AD2D37" w:rsidP="00AD2D37">
      <w:pPr>
        <w:pStyle w:val="Point3"/>
        <w:ind w:left="2552"/>
        <w:rPr>
          <w:noProof/>
        </w:rPr>
      </w:pPr>
      <w:r w:rsidRPr="006B771F">
        <w:rPr>
          <w:noProof/>
        </w:rPr>
        <w:t>(iv)</w:t>
      </w:r>
      <w:r w:rsidRPr="006B771F">
        <w:rPr>
          <w:noProof/>
        </w:rPr>
        <w:tab/>
        <w:t>stosowanie własnych urządzeń radiowych na wewnątrzunijnych obszarach przygranicznych.</w:t>
      </w:r>
    </w:p>
    <w:p w14:paraId="73BBAD4C" w14:textId="0CB09BE6" w:rsidR="00AD2D37" w:rsidRPr="006B771F" w:rsidRDefault="00FF7728" w:rsidP="00FF7728">
      <w:pPr>
        <w:pStyle w:val="Point1"/>
        <w:rPr>
          <w:noProof/>
        </w:rPr>
      </w:pPr>
      <w:r w:rsidRPr="00FF7728">
        <w:rPr>
          <w:noProof/>
        </w:rPr>
        <w:t>d)</w:t>
      </w:r>
      <w:r w:rsidRPr="00FF7728">
        <w:rPr>
          <w:noProof/>
        </w:rPr>
        <w:tab/>
      </w:r>
      <w:r w:rsidR="00AD2D37" w:rsidRPr="006B771F">
        <w:rPr>
          <w:noProof/>
        </w:rPr>
        <w:t>Państwa członkowskie powinny:</w:t>
      </w:r>
    </w:p>
    <w:p w14:paraId="01F43ADE" w14:textId="0849253B" w:rsidR="00AD2D37" w:rsidRPr="006B771F" w:rsidRDefault="00AD2D37" w:rsidP="00E273C3">
      <w:pPr>
        <w:pStyle w:val="Point3"/>
        <w:rPr>
          <w:noProof/>
        </w:rPr>
      </w:pPr>
      <w:r w:rsidRPr="006B771F">
        <w:rPr>
          <w:noProof/>
        </w:rPr>
        <w:t>zapewnić szkolenia językowe oraz szkolenia dla funkcjonariuszy właściwych organów ścigania, którzy mogą być zaangażowani we wspólne operacje,</w:t>
      </w:r>
      <w:r w:rsidR="00043012" w:rsidRPr="006B771F">
        <w:rPr>
          <w:noProof/>
        </w:rPr>
        <w:t xml:space="preserve"> w</w:t>
      </w:r>
      <w:r w:rsidR="00043012">
        <w:rPr>
          <w:noProof/>
        </w:rPr>
        <w:t> </w:t>
      </w:r>
      <w:r w:rsidR="00043012" w:rsidRPr="006B771F">
        <w:rPr>
          <w:noProof/>
        </w:rPr>
        <w:t>zak</w:t>
      </w:r>
      <w:r w:rsidRPr="006B771F">
        <w:rPr>
          <w:noProof/>
        </w:rPr>
        <w:t>resie procedur operacyjnych, prawa administracyjnego</w:t>
      </w:r>
      <w:r w:rsidR="00043012" w:rsidRPr="006B771F">
        <w:rPr>
          <w:noProof/>
        </w:rPr>
        <w:t xml:space="preserve"> i</w:t>
      </w:r>
      <w:r w:rsidR="00043012">
        <w:rPr>
          <w:noProof/>
        </w:rPr>
        <w:t> </w:t>
      </w:r>
      <w:r w:rsidR="00043012" w:rsidRPr="006B771F">
        <w:rPr>
          <w:noProof/>
        </w:rPr>
        <w:t>kar</w:t>
      </w:r>
      <w:r w:rsidRPr="006B771F">
        <w:rPr>
          <w:noProof/>
        </w:rPr>
        <w:t>nego oraz postępowania karnego innych państw członkowskich mających zastosowanie na wewnątrzunijnych obszarach przygranicznych,</w:t>
      </w:r>
      <w:r w:rsidR="00043012" w:rsidRPr="006B771F">
        <w:rPr>
          <w:noProof/>
        </w:rPr>
        <w:t xml:space="preserve"> w</w:t>
      </w:r>
      <w:r w:rsidR="00043012">
        <w:rPr>
          <w:noProof/>
        </w:rPr>
        <w:t> </w:t>
      </w:r>
      <w:r w:rsidR="00043012" w:rsidRPr="006B771F">
        <w:rPr>
          <w:noProof/>
        </w:rPr>
        <w:t>tym w</w:t>
      </w:r>
      <w:r w:rsidR="00043012">
        <w:rPr>
          <w:noProof/>
        </w:rPr>
        <w:t> </w:t>
      </w:r>
      <w:r w:rsidR="00043012" w:rsidRPr="006B771F">
        <w:rPr>
          <w:noProof/>
        </w:rPr>
        <w:t>zak</w:t>
      </w:r>
      <w:r w:rsidRPr="006B771F">
        <w:rPr>
          <w:noProof/>
        </w:rPr>
        <w:t>resie zwalczania handlu ludźmi, przemytu migrantów oraz zapobiegania nielegalnemu pobytowi</w:t>
      </w:r>
      <w:r w:rsidR="00043012" w:rsidRPr="006B771F">
        <w:rPr>
          <w:noProof/>
        </w:rPr>
        <w:t xml:space="preserve"> i</w:t>
      </w:r>
      <w:r w:rsidR="00043012">
        <w:rPr>
          <w:noProof/>
        </w:rPr>
        <w:t> </w:t>
      </w:r>
      <w:r w:rsidR="00043012" w:rsidRPr="006B771F">
        <w:rPr>
          <w:noProof/>
        </w:rPr>
        <w:t>prz</w:t>
      </w:r>
      <w:r w:rsidRPr="006B771F">
        <w:rPr>
          <w:noProof/>
        </w:rPr>
        <w:t>estępczości transgranicznej związanej</w:t>
      </w:r>
      <w:r w:rsidR="00043012" w:rsidRPr="006B771F">
        <w:rPr>
          <w:noProof/>
        </w:rPr>
        <w:t xml:space="preserve"> z</w:t>
      </w:r>
      <w:r w:rsidR="00043012">
        <w:rPr>
          <w:noProof/>
        </w:rPr>
        <w:t> </w:t>
      </w:r>
      <w:r w:rsidR="00043012" w:rsidRPr="006B771F">
        <w:rPr>
          <w:noProof/>
        </w:rPr>
        <w:t>mig</w:t>
      </w:r>
      <w:r w:rsidRPr="006B771F">
        <w:rPr>
          <w:noProof/>
        </w:rPr>
        <w:t>racją nieuregulowaną lub innej poważnej</w:t>
      </w:r>
      <w:r w:rsidR="00043012" w:rsidRPr="006B771F">
        <w:rPr>
          <w:noProof/>
        </w:rPr>
        <w:t xml:space="preserve"> i</w:t>
      </w:r>
      <w:r w:rsidR="00043012">
        <w:rPr>
          <w:noProof/>
        </w:rPr>
        <w:t> </w:t>
      </w:r>
      <w:r w:rsidR="00043012" w:rsidRPr="006B771F">
        <w:rPr>
          <w:noProof/>
        </w:rPr>
        <w:t>zor</w:t>
      </w:r>
      <w:r w:rsidRPr="006B771F">
        <w:rPr>
          <w:noProof/>
        </w:rPr>
        <w:t>ganizowanej działalności przestępczej</w:t>
      </w:r>
      <w:r w:rsidR="00043012" w:rsidRPr="006B771F">
        <w:rPr>
          <w:noProof/>
        </w:rPr>
        <w:t xml:space="preserve"> o</w:t>
      </w:r>
      <w:r w:rsidR="00043012">
        <w:rPr>
          <w:noProof/>
        </w:rPr>
        <w:t> </w:t>
      </w:r>
      <w:r w:rsidR="00043012" w:rsidRPr="006B771F">
        <w:rPr>
          <w:noProof/>
        </w:rPr>
        <w:t>cha</w:t>
      </w:r>
      <w:r w:rsidRPr="006B771F">
        <w:rPr>
          <w:noProof/>
        </w:rPr>
        <w:t>rakterze transgranicznym,</w:t>
      </w:r>
      <w:r w:rsidR="00043012" w:rsidRPr="006B771F">
        <w:rPr>
          <w:noProof/>
        </w:rPr>
        <w:t xml:space="preserve"> a</w:t>
      </w:r>
      <w:r w:rsidR="00043012">
        <w:rPr>
          <w:noProof/>
        </w:rPr>
        <w:t> </w:t>
      </w:r>
      <w:r w:rsidR="00043012" w:rsidRPr="006B771F">
        <w:rPr>
          <w:noProof/>
        </w:rPr>
        <w:t>tak</w:t>
      </w:r>
      <w:r w:rsidRPr="006B771F">
        <w:rPr>
          <w:noProof/>
        </w:rPr>
        <w:t xml:space="preserve">że wykrywania tych zjawisk; </w:t>
      </w:r>
    </w:p>
    <w:p w14:paraId="11830CAD" w14:textId="0CF68F6F" w:rsidR="00AD2D37" w:rsidRPr="006B771F" w:rsidRDefault="00AD2D37" w:rsidP="00AD2D37">
      <w:pPr>
        <w:pStyle w:val="Point3"/>
        <w:ind w:left="2552"/>
        <w:rPr>
          <w:noProof/>
        </w:rPr>
      </w:pPr>
      <w:r w:rsidRPr="006B771F">
        <w:rPr>
          <w:noProof/>
        </w:rPr>
        <w:t>(ii)</w:t>
      </w:r>
      <w:r w:rsidRPr="006B771F">
        <w:rPr>
          <w:noProof/>
        </w:rPr>
        <w:tab/>
        <w:t>gromadzić statystyki dotyczące transgranicznych wspólnych patroli</w:t>
      </w:r>
      <w:r w:rsidR="00043012" w:rsidRPr="006B771F">
        <w:rPr>
          <w:noProof/>
        </w:rPr>
        <w:t xml:space="preserve"> i</w:t>
      </w:r>
      <w:r w:rsidR="00043012">
        <w:rPr>
          <w:noProof/>
        </w:rPr>
        <w:t> </w:t>
      </w:r>
      <w:r w:rsidR="00043012" w:rsidRPr="006B771F">
        <w:rPr>
          <w:noProof/>
        </w:rPr>
        <w:t>ope</w:t>
      </w:r>
      <w:r w:rsidRPr="006B771F">
        <w:rPr>
          <w:noProof/>
        </w:rPr>
        <w:t>racji, które ich właściwe organy ścigania przeprowadziły na terytorium innych państw członkowskich, oraz co roku przekazywać te statystyki Parlamentowi Europejskiemu, Radzie</w:t>
      </w:r>
      <w:r w:rsidR="00043012" w:rsidRPr="006B771F">
        <w:rPr>
          <w:noProof/>
        </w:rPr>
        <w:t xml:space="preserve"> i</w:t>
      </w:r>
      <w:r w:rsidR="00043012">
        <w:rPr>
          <w:noProof/>
        </w:rPr>
        <w:t> </w:t>
      </w:r>
      <w:r w:rsidR="00043012" w:rsidRPr="006B771F">
        <w:rPr>
          <w:noProof/>
        </w:rPr>
        <w:t>Kom</w:t>
      </w:r>
      <w:r w:rsidRPr="006B771F">
        <w:rPr>
          <w:noProof/>
        </w:rPr>
        <w:t>isji.</w:t>
      </w:r>
    </w:p>
    <w:p w14:paraId="6B89FAE6" w14:textId="1801A3FB" w:rsidR="00AD2D37" w:rsidRPr="006B771F" w:rsidRDefault="005E7503" w:rsidP="005E7503">
      <w:pPr>
        <w:pStyle w:val="ManualHeading1"/>
        <w:rPr>
          <w:noProof/>
        </w:rPr>
      </w:pPr>
      <w:r w:rsidRPr="005E7503">
        <w:t>3.</w:t>
      </w:r>
      <w:r w:rsidRPr="005E7503">
        <w:tab/>
      </w:r>
      <w:r w:rsidR="00AD2D37" w:rsidRPr="006B771F">
        <w:rPr>
          <w:noProof/>
        </w:rPr>
        <w:t>Transgraniczna operacyjna współpraca policyjna mająca na celu zwalczanie przemytu migrantów</w:t>
      </w:r>
      <w:r w:rsidR="00043012" w:rsidRPr="006B771F">
        <w:rPr>
          <w:noProof/>
        </w:rPr>
        <w:t xml:space="preserve"> i</w:t>
      </w:r>
      <w:r w:rsidR="00043012">
        <w:rPr>
          <w:noProof/>
        </w:rPr>
        <w:t> </w:t>
      </w:r>
      <w:r w:rsidR="00043012" w:rsidRPr="006B771F">
        <w:rPr>
          <w:noProof/>
        </w:rPr>
        <w:t>prz</w:t>
      </w:r>
      <w:r w:rsidR="00AD2D37" w:rsidRPr="006B771F">
        <w:rPr>
          <w:noProof/>
        </w:rPr>
        <w:t>estępczości transgranicznej związanej</w:t>
      </w:r>
      <w:r w:rsidR="00043012" w:rsidRPr="006B771F">
        <w:rPr>
          <w:noProof/>
        </w:rPr>
        <w:t xml:space="preserve"> z</w:t>
      </w:r>
      <w:r w:rsidR="00043012">
        <w:rPr>
          <w:noProof/>
        </w:rPr>
        <w:t> </w:t>
      </w:r>
      <w:r w:rsidR="00043012" w:rsidRPr="006B771F">
        <w:rPr>
          <w:noProof/>
        </w:rPr>
        <w:t>mig</w:t>
      </w:r>
      <w:r w:rsidR="00AD2D37" w:rsidRPr="006B771F">
        <w:rPr>
          <w:noProof/>
        </w:rPr>
        <w:t xml:space="preserve">racją nieuregulowaną </w:t>
      </w:r>
    </w:p>
    <w:p w14:paraId="276B4749" w14:textId="2E6EBA43" w:rsidR="00AD2D37" w:rsidRPr="006B771F" w:rsidRDefault="00FF7728" w:rsidP="00FF7728">
      <w:pPr>
        <w:pStyle w:val="Point1"/>
        <w:rPr>
          <w:noProof/>
        </w:rPr>
      </w:pPr>
      <w:r w:rsidRPr="00FF7728">
        <w:rPr>
          <w:noProof/>
        </w:rPr>
        <w:t>a)</w:t>
      </w:r>
      <w:r w:rsidRPr="00FF7728">
        <w:rPr>
          <w:noProof/>
        </w:rPr>
        <w:tab/>
      </w:r>
      <w:r w:rsidR="00AD2D37" w:rsidRPr="006B771F">
        <w:rPr>
          <w:noProof/>
        </w:rPr>
        <w:t xml:space="preserve">Państwa członkowskie powinny wykorzystywać wspólne operacje na wewnątrzunijnych obszarach przygranicznych do celów: </w:t>
      </w:r>
    </w:p>
    <w:p w14:paraId="599A8D91" w14:textId="4F0849B7" w:rsidR="00AD2D37" w:rsidRPr="006B771F" w:rsidRDefault="00AD2D37" w:rsidP="00E273C3">
      <w:pPr>
        <w:pStyle w:val="Point3"/>
        <w:rPr>
          <w:noProof/>
        </w:rPr>
      </w:pPr>
      <w:r w:rsidRPr="006B771F">
        <w:rPr>
          <w:noProof/>
        </w:rPr>
        <w:t xml:space="preserve">zwalczania przemytu migrantów; </w:t>
      </w:r>
    </w:p>
    <w:p w14:paraId="1935C98C" w14:textId="70EDC234" w:rsidR="00AD2D37" w:rsidRPr="00043012" w:rsidRDefault="00AD2D37" w:rsidP="00AD2D37">
      <w:pPr>
        <w:pStyle w:val="Point3"/>
        <w:ind w:left="2552"/>
        <w:rPr>
          <w:noProof/>
        </w:rPr>
      </w:pPr>
      <w:r w:rsidRPr="006B771F">
        <w:rPr>
          <w:noProof/>
        </w:rPr>
        <w:t>(ii)</w:t>
      </w:r>
      <w:r w:rsidRPr="006B771F">
        <w:rPr>
          <w:noProof/>
        </w:rPr>
        <w:tab/>
        <w:t>zapobiegania nielegalnemu pobytowi migrantów oraz przestępczości transgranicznej związanej</w:t>
      </w:r>
      <w:r w:rsidR="00043012" w:rsidRPr="006B771F">
        <w:rPr>
          <w:noProof/>
        </w:rPr>
        <w:t xml:space="preserve"> z</w:t>
      </w:r>
      <w:r w:rsidR="00043012">
        <w:rPr>
          <w:noProof/>
        </w:rPr>
        <w:t> </w:t>
      </w:r>
      <w:r w:rsidR="00043012" w:rsidRPr="006B771F">
        <w:rPr>
          <w:noProof/>
        </w:rPr>
        <w:t>mig</w:t>
      </w:r>
      <w:r w:rsidRPr="006B771F">
        <w:rPr>
          <w:noProof/>
        </w:rPr>
        <w:t>racją nieuregulowaną oraz wykrywania ich</w:t>
      </w:r>
      <w:r w:rsidRPr="00043012">
        <w:rPr>
          <w:noProof/>
        </w:rPr>
        <w:t>.</w:t>
      </w:r>
      <w:r w:rsidR="00043012" w:rsidRPr="00043012">
        <w:rPr>
          <w:noProof/>
        </w:rPr>
        <w:t xml:space="preserve"> </w:t>
      </w:r>
    </w:p>
    <w:p w14:paraId="3F81B97B" w14:textId="403C6266" w:rsidR="00AD2D37" w:rsidRPr="006B771F" w:rsidRDefault="00FF7728" w:rsidP="00FF7728">
      <w:pPr>
        <w:pStyle w:val="Point1"/>
        <w:rPr>
          <w:noProof/>
        </w:rPr>
      </w:pPr>
      <w:r w:rsidRPr="00FF7728">
        <w:rPr>
          <w:noProof/>
        </w:rPr>
        <w:t>b)</w:t>
      </w:r>
      <w:r w:rsidRPr="00FF7728">
        <w:rPr>
          <w:noProof/>
        </w:rPr>
        <w:tab/>
      </w:r>
      <w:r w:rsidR="00AD2D37" w:rsidRPr="006B771F">
        <w:rPr>
          <w:noProof/>
        </w:rPr>
        <w:t>Państwa członkowskie powinny na szczeblu krajowym zapewnić koordynację między właściwymi organami zaangażowanymi we wspólne operacje oraz organami zaangażowanymi</w:t>
      </w:r>
      <w:r w:rsidR="00043012" w:rsidRPr="006B771F">
        <w:rPr>
          <w:noProof/>
        </w:rPr>
        <w:t xml:space="preserve"> w</w:t>
      </w:r>
      <w:r w:rsidR="00043012">
        <w:rPr>
          <w:noProof/>
        </w:rPr>
        <w:t> </w:t>
      </w:r>
      <w:r w:rsidR="00043012" w:rsidRPr="006B771F">
        <w:rPr>
          <w:noProof/>
        </w:rPr>
        <w:t>dal</w:t>
      </w:r>
      <w:r w:rsidR="00AD2D37" w:rsidRPr="006B771F">
        <w:rPr>
          <w:noProof/>
        </w:rPr>
        <w:t>sze postępowanie</w:t>
      </w:r>
      <w:r w:rsidR="00043012" w:rsidRPr="006B771F">
        <w:rPr>
          <w:noProof/>
        </w:rPr>
        <w:t xml:space="preserve"> z</w:t>
      </w:r>
      <w:r w:rsidR="00043012">
        <w:rPr>
          <w:noProof/>
        </w:rPr>
        <w:t> </w:t>
      </w:r>
      <w:r w:rsidR="00043012" w:rsidRPr="006B771F">
        <w:rPr>
          <w:noProof/>
        </w:rPr>
        <w:t>oby</w:t>
      </w:r>
      <w:r w:rsidR="00AD2D37" w:rsidRPr="006B771F">
        <w:rPr>
          <w:noProof/>
        </w:rPr>
        <w:t>watelami państw trzecich zatrzymanymi</w:t>
      </w:r>
      <w:r w:rsidR="00043012" w:rsidRPr="006B771F">
        <w:rPr>
          <w:noProof/>
        </w:rPr>
        <w:t xml:space="preserve"> z</w:t>
      </w:r>
      <w:r w:rsidR="00043012">
        <w:rPr>
          <w:noProof/>
        </w:rPr>
        <w:t> </w:t>
      </w:r>
      <w:r w:rsidR="00043012" w:rsidRPr="006B771F">
        <w:rPr>
          <w:noProof/>
        </w:rPr>
        <w:t>pow</w:t>
      </w:r>
      <w:r w:rsidR="00AD2D37" w:rsidRPr="006B771F">
        <w:rPr>
          <w:noProof/>
        </w:rPr>
        <w:t>odu nielegalnego pobytu,</w:t>
      </w:r>
      <w:r w:rsidR="00043012" w:rsidRPr="006B771F">
        <w:rPr>
          <w:noProof/>
        </w:rPr>
        <w:t xml:space="preserve"> w</w:t>
      </w:r>
      <w:r w:rsidR="00043012">
        <w:rPr>
          <w:noProof/>
        </w:rPr>
        <w:t> </w:t>
      </w:r>
      <w:r w:rsidR="00043012" w:rsidRPr="006B771F">
        <w:rPr>
          <w:noProof/>
        </w:rPr>
        <w:t>szc</w:t>
      </w:r>
      <w:r w:rsidR="00AD2D37" w:rsidRPr="006B771F">
        <w:rPr>
          <w:noProof/>
        </w:rPr>
        <w:t>zególności poprzez wykorzystanie mechanizmów,</w:t>
      </w:r>
      <w:r w:rsidR="00043012" w:rsidRPr="006B771F">
        <w:rPr>
          <w:noProof/>
        </w:rPr>
        <w:t xml:space="preserve"> o</w:t>
      </w:r>
      <w:r w:rsidR="00043012">
        <w:rPr>
          <w:noProof/>
        </w:rPr>
        <w:t> </w:t>
      </w:r>
      <w:r w:rsidR="00043012" w:rsidRPr="006B771F">
        <w:rPr>
          <w:noProof/>
        </w:rPr>
        <w:t>któ</w:t>
      </w:r>
      <w:r w:rsidR="00AD2D37" w:rsidRPr="006B771F">
        <w:rPr>
          <w:noProof/>
        </w:rPr>
        <w:t>rych mowa</w:t>
      </w:r>
      <w:r w:rsidR="00043012" w:rsidRPr="006B771F">
        <w:rPr>
          <w:noProof/>
        </w:rPr>
        <w:t xml:space="preserve"> w</w:t>
      </w:r>
      <w:r w:rsidR="00043012">
        <w:rPr>
          <w:noProof/>
        </w:rPr>
        <w:t> </w:t>
      </w:r>
      <w:r w:rsidR="00043012" w:rsidRPr="00043012">
        <w:rPr>
          <w:noProof/>
        </w:rPr>
        <w:t>art</w:t>
      </w:r>
      <w:r w:rsidR="00AD2D37" w:rsidRPr="00043012">
        <w:rPr>
          <w:noProof/>
        </w:rPr>
        <w:t>.</w:t>
      </w:r>
      <w:r w:rsidR="00043012" w:rsidRPr="00043012">
        <w:rPr>
          <w:noProof/>
        </w:rPr>
        <w:t> </w:t>
      </w:r>
      <w:r w:rsidR="00AD2D37" w:rsidRPr="00043012">
        <w:rPr>
          <w:noProof/>
        </w:rPr>
        <w:t>6</w:t>
      </w:r>
      <w:r w:rsidR="00AD2D37" w:rsidRPr="006B771F">
        <w:rPr>
          <w:noProof/>
        </w:rPr>
        <w:t xml:space="preserve"> </w:t>
      </w:r>
      <w:r w:rsidR="00AD2D37" w:rsidRPr="00043012">
        <w:rPr>
          <w:noProof/>
        </w:rPr>
        <w:t>ust.</w:t>
      </w:r>
      <w:r w:rsidR="00043012" w:rsidRPr="00043012">
        <w:rPr>
          <w:noProof/>
        </w:rPr>
        <w:t> </w:t>
      </w:r>
      <w:r w:rsidR="00AD2D37" w:rsidRPr="00043012">
        <w:rPr>
          <w:noProof/>
        </w:rPr>
        <w:t>3</w:t>
      </w:r>
      <w:r w:rsidR="00AD2D37" w:rsidRPr="006B771F">
        <w:rPr>
          <w:noProof/>
        </w:rPr>
        <w:t xml:space="preserve"> dyrektywy 2008/115/WE. </w:t>
      </w:r>
    </w:p>
    <w:p w14:paraId="6EB5714F" w14:textId="49FD5DBB" w:rsidR="00AD2D37" w:rsidRPr="006B771F" w:rsidRDefault="005E7503" w:rsidP="005E7503">
      <w:pPr>
        <w:pStyle w:val="ManualHeading1"/>
        <w:rPr>
          <w:noProof/>
        </w:rPr>
      </w:pPr>
      <w:r w:rsidRPr="005E7503">
        <w:t>4.</w:t>
      </w:r>
      <w:r w:rsidRPr="005E7503">
        <w:tab/>
      </w:r>
      <w:r w:rsidR="00AD2D37" w:rsidRPr="006B771F">
        <w:rPr>
          <w:noProof/>
        </w:rPr>
        <w:t>Transgraniczna operacyjna współpraca policyjna mająca na celu przeciwdziałanie handlowi ludźmi oraz identyfikację</w:t>
      </w:r>
      <w:r w:rsidR="00043012" w:rsidRPr="006B771F">
        <w:rPr>
          <w:noProof/>
        </w:rPr>
        <w:t xml:space="preserve"> i</w:t>
      </w:r>
      <w:r w:rsidR="00043012">
        <w:rPr>
          <w:noProof/>
        </w:rPr>
        <w:t> </w:t>
      </w:r>
      <w:r w:rsidR="00043012" w:rsidRPr="006B771F">
        <w:rPr>
          <w:noProof/>
        </w:rPr>
        <w:t>och</w:t>
      </w:r>
      <w:r w:rsidR="00AD2D37" w:rsidRPr="006B771F">
        <w:rPr>
          <w:noProof/>
        </w:rPr>
        <w:t>ronę ofiar</w:t>
      </w:r>
    </w:p>
    <w:p w14:paraId="41C8C46F" w14:textId="779A6BC0" w:rsidR="00AD2D37" w:rsidRPr="006B771F" w:rsidRDefault="00FF7728" w:rsidP="00FF7728">
      <w:pPr>
        <w:pStyle w:val="Point1"/>
        <w:rPr>
          <w:noProof/>
        </w:rPr>
      </w:pPr>
      <w:r w:rsidRPr="00FF7728">
        <w:rPr>
          <w:noProof/>
        </w:rPr>
        <w:t>a)</w:t>
      </w:r>
      <w:r w:rsidRPr="00FF7728">
        <w:rPr>
          <w:noProof/>
        </w:rPr>
        <w:tab/>
      </w:r>
      <w:r w:rsidR="00AD2D37" w:rsidRPr="006B771F">
        <w:rPr>
          <w:noProof/>
        </w:rPr>
        <w:t>Państwa członkowskie powinny wykorzystywać wspólne operacje transgraniczne na wewnątrzunijnych obszarach przygranicznych do celów:</w:t>
      </w:r>
    </w:p>
    <w:p w14:paraId="4E249CFB" w14:textId="16B2ACE2" w:rsidR="00AD2D37" w:rsidRPr="006B771F" w:rsidRDefault="00AD2D37" w:rsidP="00E273C3">
      <w:pPr>
        <w:pStyle w:val="Point3"/>
        <w:rPr>
          <w:noProof/>
        </w:rPr>
      </w:pPr>
      <w:r w:rsidRPr="006B771F">
        <w:rPr>
          <w:noProof/>
        </w:rPr>
        <w:t>zwalczania handlu ludźmi;</w:t>
      </w:r>
    </w:p>
    <w:p w14:paraId="6DA72E09" w14:textId="2FDD5DEA" w:rsidR="00AD2D37" w:rsidRPr="006B771F" w:rsidRDefault="00AD2D37" w:rsidP="00AD2D37">
      <w:pPr>
        <w:pStyle w:val="Point3"/>
        <w:ind w:left="2552"/>
        <w:rPr>
          <w:noProof/>
        </w:rPr>
      </w:pPr>
      <w:r w:rsidRPr="006B771F">
        <w:rPr>
          <w:noProof/>
        </w:rPr>
        <w:t>(ii)</w:t>
      </w:r>
      <w:r w:rsidRPr="006B771F">
        <w:rPr>
          <w:noProof/>
        </w:rPr>
        <w:tab/>
        <w:t>identyfikacji oraz ochrony</w:t>
      </w:r>
      <w:r w:rsidR="00043012" w:rsidRPr="006B771F">
        <w:rPr>
          <w:noProof/>
        </w:rPr>
        <w:t xml:space="preserve"> i</w:t>
      </w:r>
      <w:r w:rsidR="00043012">
        <w:rPr>
          <w:noProof/>
        </w:rPr>
        <w:t> </w:t>
      </w:r>
      <w:r w:rsidR="00043012" w:rsidRPr="006B771F">
        <w:rPr>
          <w:noProof/>
        </w:rPr>
        <w:t>wsp</w:t>
      </w:r>
      <w:r w:rsidRPr="006B771F">
        <w:rPr>
          <w:noProof/>
        </w:rPr>
        <w:t>arcia ofiar handlu ludźmi.</w:t>
      </w:r>
    </w:p>
    <w:p w14:paraId="419DFBD7" w14:textId="13CD6737" w:rsidR="00AD2D37" w:rsidRPr="006B771F" w:rsidRDefault="005E7503" w:rsidP="005E7503">
      <w:pPr>
        <w:pStyle w:val="ManualHeading1"/>
        <w:rPr>
          <w:noProof/>
        </w:rPr>
      </w:pPr>
      <w:r w:rsidRPr="005E7503">
        <w:t>5.</w:t>
      </w:r>
      <w:r w:rsidRPr="005E7503">
        <w:tab/>
      </w:r>
      <w:r w:rsidR="00AD2D37" w:rsidRPr="006B771F">
        <w:rPr>
          <w:noProof/>
        </w:rPr>
        <w:t>Wspólne posterunki policyjno-celne</w:t>
      </w:r>
    </w:p>
    <w:p w14:paraId="64D34896" w14:textId="6FB852F9" w:rsidR="00AD2D37" w:rsidRPr="006B771F" w:rsidRDefault="00FF7728" w:rsidP="00FF7728">
      <w:pPr>
        <w:pStyle w:val="Point1"/>
        <w:rPr>
          <w:noProof/>
        </w:rPr>
      </w:pPr>
      <w:r w:rsidRPr="00FF7728">
        <w:rPr>
          <w:noProof/>
        </w:rPr>
        <w:t>a)</w:t>
      </w:r>
      <w:r w:rsidRPr="00FF7728">
        <w:rPr>
          <w:noProof/>
        </w:rPr>
        <w:tab/>
      </w:r>
      <w:r w:rsidR="00AD2D37" w:rsidRPr="006B771F">
        <w:rPr>
          <w:noProof/>
        </w:rPr>
        <w:t>Państwa członkowskie powinny rozszerzyć obecny zakres zadań swoich istniejących centrów współpracy policyjnej</w:t>
      </w:r>
      <w:r w:rsidR="00043012" w:rsidRPr="006B771F">
        <w:rPr>
          <w:noProof/>
        </w:rPr>
        <w:t xml:space="preserve"> i</w:t>
      </w:r>
      <w:r w:rsidR="00043012">
        <w:rPr>
          <w:noProof/>
        </w:rPr>
        <w:t> </w:t>
      </w:r>
      <w:r w:rsidR="00043012" w:rsidRPr="006B771F">
        <w:rPr>
          <w:noProof/>
        </w:rPr>
        <w:t>cel</w:t>
      </w:r>
      <w:r w:rsidR="00AD2D37" w:rsidRPr="006B771F">
        <w:rPr>
          <w:noProof/>
        </w:rPr>
        <w:t>nej poprzez:</w:t>
      </w:r>
    </w:p>
    <w:p w14:paraId="18948866" w14:textId="060D5FC4" w:rsidR="00AD2D37" w:rsidRPr="006B771F" w:rsidRDefault="00AD2D37" w:rsidP="00E273C3">
      <w:pPr>
        <w:pStyle w:val="Point3"/>
        <w:rPr>
          <w:noProof/>
        </w:rPr>
      </w:pPr>
      <w:r w:rsidRPr="006B771F">
        <w:rPr>
          <w:noProof/>
        </w:rPr>
        <w:t>prowadzenie, wspieranie</w:t>
      </w:r>
      <w:r w:rsidR="00043012" w:rsidRPr="006B771F">
        <w:rPr>
          <w:noProof/>
        </w:rPr>
        <w:t xml:space="preserve"> i</w:t>
      </w:r>
      <w:r w:rsidR="00043012">
        <w:rPr>
          <w:noProof/>
        </w:rPr>
        <w:t> </w:t>
      </w:r>
      <w:r w:rsidR="00043012" w:rsidRPr="006B771F">
        <w:rPr>
          <w:noProof/>
        </w:rPr>
        <w:t>koo</w:t>
      </w:r>
      <w:r w:rsidRPr="006B771F">
        <w:rPr>
          <w:noProof/>
        </w:rPr>
        <w:t>rdynowanie wspólnych operacji na wewnątrzunijnych obszarach przygranicznych;</w:t>
      </w:r>
    </w:p>
    <w:p w14:paraId="154165BB" w14:textId="665AC2EA" w:rsidR="00AD2D37" w:rsidRPr="006B771F" w:rsidRDefault="00AD2D37" w:rsidP="00AD2D37">
      <w:pPr>
        <w:pStyle w:val="Point3"/>
        <w:ind w:left="2552"/>
        <w:rPr>
          <w:noProof/>
        </w:rPr>
      </w:pPr>
      <w:r w:rsidRPr="006B771F">
        <w:rPr>
          <w:noProof/>
        </w:rPr>
        <w:t>(ii)</w:t>
      </w:r>
      <w:r w:rsidRPr="006B771F">
        <w:rPr>
          <w:noProof/>
        </w:rPr>
        <w:tab/>
        <w:t>sporządzanie wspólnych analiz przestępstw transgranicznych charakterystycznych dla ich wewnątrzunijnego obszaru przygranicznego oraz dzielenie się takimi analizami za pośrednictwem krajowego pojedynczego punktu kontaktowego</w:t>
      </w:r>
      <w:r w:rsidR="00043012" w:rsidRPr="006B771F">
        <w:rPr>
          <w:noProof/>
        </w:rPr>
        <w:t xml:space="preserve"> z</w:t>
      </w:r>
      <w:r w:rsidR="00043012">
        <w:rPr>
          <w:noProof/>
        </w:rPr>
        <w:t> </w:t>
      </w:r>
      <w:r w:rsidR="00043012" w:rsidRPr="006B771F">
        <w:rPr>
          <w:noProof/>
        </w:rPr>
        <w:t>wsz</w:t>
      </w:r>
      <w:r w:rsidRPr="006B771F">
        <w:rPr>
          <w:noProof/>
        </w:rPr>
        <w:t>ystkimi pozostałymi państwami członkowskimi oraz właściwymi agencjami</w:t>
      </w:r>
      <w:r w:rsidR="00043012" w:rsidRPr="006B771F">
        <w:rPr>
          <w:noProof/>
        </w:rPr>
        <w:t xml:space="preserve"> i</w:t>
      </w:r>
      <w:r w:rsidR="00043012">
        <w:rPr>
          <w:noProof/>
        </w:rPr>
        <w:t> </w:t>
      </w:r>
      <w:r w:rsidR="00043012" w:rsidRPr="006B771F">
        <w:rPr>
          <w:noProof/>
        </w:rPr>
        <w:t>org</w:t>
      </w:r>
      <w:r w:rsidRPr="006B771F">
        <w:rPr>
          <w:noProof/>
        </w:rPr>
        <w:t>anami Unii, takimi jak Europol oraz,</w:t>
      </w:r>
      <w:r w:rsidR="00043012" w:rsidRPr="006B771F">
        <w:rPr>
          <w:noProof/>
        </w:rPr>
        <w:t xml:space="preserve"> w</w:t>
      </w:r>
      <w:r w:rsidR="00043012">
        <w:rPr>
          <w:noProof/>
        </w:rPr>
        <w:t> </w:t>
      </w:r>
      <w:r w:rsidR="00043012" w:rsidRPr="006B771F">
        <w:rPr>
          <w:noProof/>
        </w:rPr>
        <w:t>sto</w:t>
      </w:r>
      <w:r w:rsidRPr="006B771F">
        <w:rPr>
          <w:noProof/>
        </w:rPr>
        <w:t>sownych przypadkach, Europejski Urząd ds. Zwalczania Nadużyć Finansowych (OLAF);</w:t>
      </w:r>
    </w:p>
    <w:p w14:paraId="08E88503" w14:textId="053ACD3C" w:rsidR="00AD2D37" w:rsidRPr="006B771F" w:rsidRDefault="00AD2D37" w:rsidP="00AD2D37">
      <w:pPr>
        <w:pStyle w:val="Point3"/>
        <w:ind w:left="2552"/>
        <w:rPr>
          <w:noProof/>
        </w:rPr>
      </w:pPr>
      <w:r w:rsidRPr="006B771F">
        <w:rPr>
          <w:noProof/>
        </w:rPr>
        <w:t>(iii)</w:t>
      </w:r>
      <w:r w:rsidRPr="006B771F">
        <w:rPr>
          <w:noProof/>
        </w:rPr>
        <w:tab/>
        <w:t>wspieranie postępowań przygotowawczych</w:t>
      </w:r>
      <w:r w:rsidR="00043012" w:rsidRPr="006B771F">
        <w:rPr>
          <w:noProof/>
        </w:rPr>
        <w:t xml:space="preserve"> w</w:t>
      </w:r>
      <w:r w:rsidR="00043012">
        <w:rPr>
          <w:noProof/>
        </w:rPr>
        <w:t> </w:t>
      </w:r>
      <w:r w:rsidR="00043012" w:rsidRPr="006B771F">
        <w:rPr>
          <w:noProof/>
        </w:rPr>
        <w:t>spr</w:t>
      </w:r>
      <w:r w:rsidRPr="006B771F">
        <w:rPr>
          <w:noProof/>
        </w:rPr>
        <w:t>awie przestępstw transgranicznych, do których dochodzi na wewnątrzunijnych obszarach przygranicznych.</w:t>
      </w:r>
    </w:p>
    <w:p w14:paraId="5B4381E8" w14:textId="1A38898E" w:rsidR="00AD2D37" w:rsidRPr="006B771F" w:rsidRDefault="00FF7728" w:rsidP="00FF7728">
      <w:pPr>
        <w:pStyle w:val="Point1"/>
        <w:rPr>
          <w:noProof/>
        </w:rPr>
      </w:pPr>
      <w:r w:rsidRPr="00FF7728">
        <w:rPr>
          <w:noProof/>
        </w:rPr>
        <w:t>b)</w:t>
      </w:r>
      <w:r w:rsidRPr="00FF7728">
        <w:rPr>
          <w:noProof/>
        </w:rPr>
        <w:tab/>
      </w:r>
      <w:r w:rsidR="00AD2D37" w:rsidRPr="006B771F">
        <w:rPr>
          <w:noProof/>
        </w:rPr>
        <w:t>Państwa członkowskie powinny</w:t>
      </w:r>
      <w:r w:rsidR="00043012" w:rsidRPr="006B771F">
        <w:rPr>
          <w:noProof/>
        </w:rPr>
        <w:t xml:space="preserve"> w</w:t>
      </w:r>
      <w:r w:rsidR="00043012">
        <w:rPr>
          <w:noProof/>
        </w:rPr>
        <w:t> </w:t>
      </w:r>
      <w:r w:rsidR="00043012" w:rsidRPr="006B771F">
        <w:rPr>
          <w:noProof/>
        </w:rPr>
        <w:t>tym</w:t>
      </w:r>
      <w:r w:rsidR="00AD2D37" w:rsidRPr="006B771F">
        <w:rPr>
          <w:noProof/>
        </w:rPr>
        <w:t xml:space="preserve"> celu rozszerzyć obecny zakres zadań swoich istniejących centrów współpracy policyjno-celnej</w:t>
      </w:r>
      <w:r w:rsidR="00043012" w:rsidRPr="006B771F">
        <w:rPr>
          <w:noProof/>
        </w:rPr>
        <w:t xml:space="preserve"> i</w:t>
      </w:r>
      <w:r w:rsidR="00043012">
        <w:rPr>
          <w:noProof/>
        </w:rPr>
        <w:t> </w:t>
      </w:r>
      <w:r w:rsidR="00043012" w:rsidRPr="006B771F">
        <w:rPr>
          <w:noProof/>
        </w:rPr>
        <w:t>zmi</w:t>
      </w:r>
      <w:r w:rsidR="00AD2D37" w:rsidRPr="006B771F">
        <w:rPr>
          <w:noProof/>
        </w:rPr>
        <w:t>enić ich nazwę na wspólne posterunki policyjno-celne.</w:t>
      </w:r>
    </w:p>
    <w:p w14:paraId="47DB7580" w14:textId="2675E48B" w:rsidR="00AD2D37" w:rsidRPr="006B771F" w:rsidRDefault="005E7503" w:rsidP="005E7503">
      <w:pPr>
        <w:pStyle w:val="ManualHeading1"/>
        <w:rPr>
          <w:noProof/>
        </w:rPr>
      </w:pPr>
      <w:r w:rsidRPr="005E7503">
        <w:t>6.</w:t>
      </w:r>
      <w:r w:rsidRPr="005E7503">
        <w:tab/>
      </w:r>
      <w:r w:rsidR="00AD2D37" w:rsidRPr="006B771F">
        <w:rPr>
          <w:noProof/>
        </w:rPr>
        <w:t>Platforma koordynacji wspólnych operacji</w:t>
      </w:r>
    </w:p>
    <w:p w14:paraId="49378FA2" w14:textId="574A7FE2" w:rsidR="00AD2D37" w:rsidRPr="006B771F" w:rsidRDefault="00FF7728" w:rsidP="00FF7728">
      <w:pPr>
        <w:pStyle w:val="Point1"/>
        <w:rPr>
          <w:noProof/>
        </w:rPr>
      </w:pPr>
      <w:r w:rsidRPr="00FF7728">
        <w:rPr>
          <w:noProof/>
        </w:rPr>
        <w:t>a)</w:t>
      </w:r>
      <w:r w:rsidRPr="00FF7728">
        <w:rPr>
          <w:noProof/>
        </w:rPr>
        <w:tab/>
      </w:r>
      <w:r w:rsidR="00AD2D37" w:rsidRPr="006B771F">
        <w:rPr>
          <w:noProof/>
        </w:rPr>
        <w:t>Państwa członkowskie, wraz</w:t>
      </w:r>
      <w:r w:rsidR="00043012" w:rsidRPr="006B771F">
        <w:rPr>
          <w:noProof/>
        </w:rPr>
        <w:t xml:space="preserve"> z</w:t>
      </w:r>
      <w:r w:rsidR="00043012">
        <w:rPr>
          <w:noProof/>
        </w:rPr>
        <w:t> </w:t>
      </w:r>
      <w:r w:rsidR="00043012" w:rsidRPr="006B771F">
        <w:rPr>
          <w:noProof/>
        </w:rPr>
        <w:t>Kom</w:t>
      </w:r>
      <w:r w:rsidR="00AD2D37" w:rsidRPr="006B771F">
        <w:rPr>
          <w:noProof/>
        </w:rPr>
        <w:t>isją</w:t>
      </w:r>
      <w:r w:rsidR="00043012" w:rsidRPr="006B771F">
        <w:rPr>
          <w:noProof/>
        </w:rPr>
        <w:t xml:space="preserve"> i</w:t>
      </w:r>
      <w:r w:rsidR="00043012">
        <w:rPr>
          <w:noProof/>
        </w:rPr>
        <w:t> </w:t>
      </w:r>
      <w:r w:rsidR="00043012" w:rsidRPr="006B771F">
        <w:rPr>
          <w:noProof/>
        </w:rPr>
        <w:t>Eur</w:t>
      </w:r>
      <w:r w:rsidR="00AD2D37" w:rsidRPr="006B771F">
        <w:rPr>
          <w:noProof/>
        </w:rPr>
        <w:t>opolem, powinny:</w:t>
      </w:r>
    </w:p>
    <w:p w14:paraId="738E1569" w14:textId="0DA41E68" w:rsidR="00AD2D37" w:rsidRPr="006B771F" w:rsidRDefault="00AD2D37" w:rsidP="00E273C3">
      <w:pPr>
        <w:pStyle w:val="Point2"/>
        <w:rPr>
          <w:noProof/>
        </w:rPr>
      </w:pPr>
      <w:r w:rsidRPr="006B771F">
        <w:rPr>
          <w:noProof/>
        </w:rPr>
        <w:t>wspólne utworzyć jedną platformę koordynacyjną, na której państwa członkowskie będą mogły wymieniać się swoimi potrzebami</w:t>
      </w:r>
      <w:r w:rsidR="00043012" w:rsidRPr="006B771F">
        <w:rPr>
          <w:noProof/>
        </w:rPr>
        <w:t xml:space="preserve"> i</w:t>
      </w:r>
      <w:r w:rsidR="00043012">
        <w:rPr>
          <w:noProof/>
        </w:rPr>
        <w:t> </w:t>
      </w:r>
      <w:r w:rsidR="00043012" w:rsidRPr="006B771F">
        <w:rPr>
          <w:noProof/>
        </w:rPr>
        <w:t>obs</w:t>
      </w:r>
      <w:r w:rsidRPr="006B771F">
        <w:rPr>
          <w:noProof/>
        </w:rPr>
        <w:t>zarami priorytetowymi</w:t>
      </w:r>
      <w:r w:rsidR="00043012" w:rsidRPr="006B771F">
        <w:rPr>
          <w:noProof/>
        </w:rPr>
        <w:t xml:space="preserve"> w</w:t>
      </w:r>
      <w:r w:rsidR="00043012">
        <w:rPr>
          <w:noProof/>
        </w:rPr>
        <w:t> </w:t>
      </w:r>
      <w:r w:rsidR="00043012" w:rsidRPr="006B771F">
        <w:rPr>
          <w:noProof/>
        </w:rPr>
        <w:t>zak</w:t>
      </w:r>
      <w:r w:rsidRPr="006B771F">
        <w:rPr>
          <w:noProof/>
        </w:rPr>
        <w:t>resie wspólnych operacji:</w:t>
      </w:r>
    </w:p>
    <w:p w14:paraId="2CD85C00" w14:textId="4101C6C2" w:rsidR="00AD2D37" w:rsidRPr="006B771F" w:rsidRDefault="00AD2D37" w:rsidP="00AD2D37">
      <w:pPr>
        <w:pStyle w:val="Point3"/>
        <w:ind w:left="2835" w:hanging="566"/>
        <w:rPr>
          <w:noProof/>
        </w:rPr>
      </w:pPr>
      <w:r w:rsidRPr="006B771F">
        <w:rPr>
          <w:noProof/>
        </w:rPr>
        <w:t>–</w:t>
      </w:r>
      <w:r w:rsidRPr="006B771F">
        <w:rPr>
          <w:noProof/>
        </w:rPr>
        <w:tab/>
        <w:t>w miejscach, które mają szczególne znaczenie dla zapobiegania przestępczości</w:t>
      </w:r>
      <w:r w:rsidR="00043012" w:rsidRPr="006B771F">
        <w:rPr>
          <w:noProof/>
        </w:rPr>
        <w:t xml:space="preserve"> i</w:t>
      </w:r>
      <w:r w:rsidR="00043012">
        <w:rPr>
          <w:noProof/>
        </w:rPr>
        <w:t> </w:t>
      </w:r>
      <w:r w:rsidR="00043012" w:rsidRPr="006B771F">
        <w:rPr>
          <w:noProof/>
        </w:rPr>
        <w:t>zwa</w:t>
      </w:r>
      <w:r w:rsidRPr="006B771F">
        <w:rPr>
          <w:noProof/>
        </w:rPr>
        <w:t>lczania jej, takich jak główne ośrodki przestępczości lub regiony turystyczne odwiedzane przez turystów</w:t>
      </w:r>
      <w:r w:rsidR="00043012" w:rsidRPr="006B771F">
        <w:rPr>
          <w:noProof/>
        </w:rPr>
        <w:t xml:space="preserve"> z</w:t>
      </w:r>
      <w:r w:rsidR="00043012">
        <w:rPr>
          <w:noProof/>
        </w:rPr>
        <w:t> </w:t>
      </w:r>
      <w:r w:rsidR="00043012" w:rsidRPr="006B771F">
        <w:rPr>
          <w:noProof/>
        </w:rPr>
        <w:t>inn</w:t>
      </w:r>
      <w:r w:rsidRPr="006B771F">
        <w:rPr>
          <w:noProof/>
        </w:rPr>
        <w:t>ych państw członkowskich;</w:t>
      </w:r>
    </w:p>
    <w:p w14:paraId="034E3369" w14:textId="7C5A3B1D" w:rsidR="00AD2D37" w:rsidRPr="006B771F" w:rsidRDefault="00AD2D37" w:rsidP="00AD2D37">
      <w:pPr>
        <w:pStyle w:val="Point3"/>
        <w:ind w:left="2835" w:hanging="566"/>
        <w:rPr>
          <w:noProof/>
        </w:rPr>
      </w:pPr>
      <w:r w:rsidRPr="006B771F">
        <w:rPr>
          <w:noProof/>
        </w:rPr>
        <w:t>–</w:t>
      </w:r>
      <w:r w:rsidRPr="006B771F">
        <w:rPr>
          <w:noProof/>
        </w:rPr>
        <w:tab/>
        <w:t>podczas mogących przyciągnąć osoby</w:t>
      </w:r>
      <w:r w:rsidR="00043012" w:rsidRPr="006B771F">
        <w:rPr>
          <w:noProof/>
        </w:rPr>
        <w:t xml:space="preserve"> z</w:t>
      </w:r>
      <w:r w:rsidR="00043012">
        <w:rPr>
          <w:noProof/>
        </w:rPr>
        <w:t> </w:t>
      </w:r>
      <w:r w:rsidR="00043012" w:rsidRPr="006B771F">
        <w:rPr>
          <w:noProof/>
        </w:rPr>
        <w:t>inn</w:t>
      </w:r>
      <w:r w:rsidRPr="006B771F">
        <w:rPr>
          <w:noProof/>
        </w:rPr>
        <w:t>ych państw członkowskich masowych zgromadzeń</w:t>
      </w:r>
      <w:r w:rsidR="00043012" w:rsidRPr="006B771F">
        <w:rPr>
          <w:noProof/>
        </w:rPr>
        <w:t xml:space="preserve"> i</w:t>
      </w:r>
      <w:r w:rsidR="00043012">
        <w:rPr>
          <w:noProof/>
        </w:rPr>
        <w:t> </w:t>
      </w:r>
      <w:r w:rsidR="00043012" w:rsidRPr="006B771F">
        <w:rPr>
          <w:noProof/>
        </w:rPr>
        <w:t>wyd</w:t>
      </w:r>
      <w:r w:rsidRPr="006B771F">
        <w:rPr>
          <w:noProof/>
        </w:rPr>
        <w:t>arzeń</w:t>
      </w:r>
      <w:r w:rsidR="00043012" w:rsidRPr="006B771F">
        <w:rPr>
          <w:noProof/>
        </w:rPr>
        <w:t xml:space="preserve"> z</w:t>
      </w:r>
      <w:r w:rsidR="00043012">
        <w:rPr>
          <w:noProof/>
        </w:rPr>
        <w:t> </w:t>
      </w:r>
      <w:r w:rsidR="00043012" w:rsidRPr="006B771F">
        <w:rPr>
          <w:noProof/>
        </w:rPr>
        <w:t>udz</w:t>
      </w:r>
      <w:r w:rsidRPr="006B771F">
        <w:rPr>
          <w:noProof/>
        </w:rPr>
        <w:t xml:space="preserve">iałem dużej liczby uczestników, takich jak duże imprezy sportowe lub szczyty międzynarodowe; </w:t>
      </w:r>
    </w:p>
    <w:p w14:paraId="6A16FA97" w14:textId="6F5BFCD4" w:rsidR="00AD2D37" w:rsidRPr="006B771F" w:rsidRDefault="00AD2D37" w:rsidP="00AD2D37">
      <w:pPr>
        <w:pStyle w:val="Point3"/>
        <w:ind w:left="2835" w:hanging="566"/>
        <w:rPr>
          <w:noProof/>
        </w:rPr>
      </w:pPr>
      <w:r w:rsidRPr="006B771F">
        <w:rPr>
          <w:noProof/>
        </w:rPr>
        <w:t>–</w:t>
      </w:r>
      <w:r w:rsidRPr="006B771F">
        <w:rPr>
          <w:noProof/>
        </w:rPr>
        <w:tab/>
        <w:t>w przypadku klęsk żywiołowych</w:t>
      </w:r>
      <w:r w:rsidR="00043012" w:rsidRPr="006B771F">
        <w:rPr>
          <w:noProof/>
        </w:rPr>
        <w:t xml:space="preserve"> i</w:t>
      </w:r>
      <w:r w:rsidR="00043012">
        <w:rPr>
          <w:noProof/>
        </w:rPr>
        <w:t> </w:t>
      </w:r>
      <w:r w:rsidR="00043012" w:rsidRPr="006B771F">
        <w:rPr>
          <w:noProof/>
        </w:rPr>
        <w:t>pow</w:t>
      </w:r>
      <w:r w:rsidRPr="006B771F">
        <w:rPr>
          <w:noProof/>
        </w:rPr>
        <w:t>ażnych wypadków,</w:t>
      </w:r>
      <w:r w:rsidR="00043012" w:rsidRPr="006B771F">
        <w:rPr>
          <w:noProof/>
        </w:rPr>
        <w:t xml:space="preserve"> w</w:t>
      </w:r>
      <w:r w:rsidR="00043012">
        <w:rPr>
          <w:noProof/>
        </w:rPr>
        <w:t> </w:t>
      </w:r>
      <w:r w:rsidR="00043012" w:rsidRPr="006B771F">
        <w:rPr>
          <w:noProof/>
        </w:rPr>
        <w:t>koo</w:t>
      </w:r>
      <w:r w:rsidRPr="006B771F">
        <w:rPr>
          <w:noProof/>
        </w:rPr>
        <w:t>rdynacji</w:t>
      </w:r>
      <w:r w:rsidR="00043012" w:rsidRPr="006B771F">
        <w:rPr>
          <w:noProof/>
        </w:rPr>
        <w:t xml:space="preserve"> z</w:t>
      </w:r>
      <w:r w:rsidR="00043012">
        <w:rPr>
          <w:noProof/>
        </w:rPr>
        <w:t> </w:t>
      </w:r>
      <w:r w:rsidR="00043012" w:rsidRPr="006B771F">
        <w:rPr>
          <w:noProof/>
        </w:rPr>
        <w:t>Uni</w:t>
      </w:r>
      <w:r w:rsidRPr="006B771F">
        <w:rPr>
          <w:noProof/>
        </w:rPr>
        <w:t>jnym Mechanizmem Ochrony Ludności,</w:t>
      </w:r>
      <w:r w:rsidR="00043012" w:rsidRPr="006B771F">
        <w:rPr>
          <w:noProof/>
        </w:rPr>
        <w:t xml:space="preserve"> a</w:t>
      </w:r>
      <w:r w:rsidR="00043012">
        <w:rPr>
          <w:noProof/>
        </w:rPr>
        <w:t> </w:t>
      </w:r>
      <w:r w:rsidR="00043012" w:rsidRPr="006B771F">
        <w:rPr>
          <w:noProof/>
        </w:rPr>
        <w:t>w</w:t>
      </w:r>
      <w:r w:rsidR="00043012">
        <w:rPr>
          <w:noProof/>
        </w:rPr>
        <w:t> </w:t>
      </w:r>
      <w:r w:rsidR="00043012" w:rsidRPr="006B771F">
        <w:rPr>
          <w:noProof/>
        </w:rPr>
        <w:t>szc</w:t>
      </w:r>
      <w:r w:rsidRPr="006B771F">
        <w:rPr>
          <w:noProof/>
        </w:rPr>
        <w:t>zególności</w:t>
      </w:r>
      <w:r w:rsidR="00043012" w:rsidRPr="006B771F">
        <w:rPr>
          <w:noProof/>
        </w:rPr>
        <w:t xml:space="preserve"> z</w:t>
      </w:r>
      <w:r w:rsidR="00043012">
        <w:rPr>
          <w:noProof/>
        </w:rPr>
        <w:t> </w:t>
      </w:r>
      <w:r w:rsidR="00043012" w:rsidRPr="006B771F">
        <w:rPr>
          <w:noProof/>
        </w:rPr>
        <w:t>Cen</w:t>
      </w:r>
      <w:r w:rsidRPr="006B771F">
        <w:rPr>
          <w:noProof/>
        </w:rPr>
        <w:t>trum Koordynacji Reagowania Kryzysowego (ERCC)</w:t>
      </w:r>
      <w:r w:rsidRPr="006B771F">
        <w:rPr>
          <w:rStyle w:val="FootnoteReference0"/>
          <w:noProof/>
        </w:rPr>
        <w:footnoteReference w:id="69"/>
      </w:r>
      <w:r w:rsidRPr="006B771F">
        <w:rPr>
          <w:noProof/>
        </w:rPr>
        <w:t>;</w:t>
      </w:r>
    </w:p>
    <w:p w14:paraId="0E985C96" w14:textId="41067202" w:rsidR="00AD2D37" w:rsidRPr="006B771F" w:rsidRDefault="00AD2D37" w:rsidP="00AD2D37">
      <w:pPr>
        <w:pStyle w:val="Tiret0"/>
        <w:tabs>
          <w:tab w:val="clear" w:pos="850"/>
          <w:tab w:val="num" w:pos="2835"/>
        </w:tabs>
        <w:ind w:left="2835" w:hanging="567"/>
        <w:rPr>
          <w:noProof/>
        </w:rPr>
      </w:pPr>
      <w:r w:rsidRPr="006B771F">
        <w:rPr>
          <w:noProof/>
        </w:rPr>
        <w:t>w przypadku innych poważnych</w:t>
      </w:r>
      <w:r w:rsidR="00043012" w:rsidRPr="006B771F">
        <w:rPr>
          <w:noProof/>
        </w:rPr>
        <w:t xml:space="preserve"> i</w:t>
      </w:r>
      <w:r w:rsidR="00043012">
        <w:rPr>
          <w:noProof/>
        </w:rPr>
        <w:t> </w:t>
      </w:r>
      <w:r w:rsidR="00043012" w:rsidRPr="006B771F">
        <w:rPr>
          <w:noProof/>
        </w:rPr>
        <w:t>zor</w:t>
      </w:r>
      <w:r w:rsidRPr="006B771F">
        <w:rPr>
          <w:noProof/>
        </w:rPr>
        <w:t>ganizowanych działań przestępczych</w:t>
      </w:r>
      <w:r w:rsidR="00043012" w:rsidRPr="006B771F">
        <w:rPr>
          <w:noProof/>
        </w:rPr>
        <w:t xml:space="preserve"> o</w:t>
      </w:r>
      <w:r w:rsidR="00043012">
        <w:rPr>
          <w:noProof/>
        </w:rPr>
        <w:t> </w:t>
      </w:r>
      <w:r w:rsidR="00043012" w:rsidRPr="006B771F">
        <w:rPr>
          <w:noProof/>
        </w:rPr>
        <w:t>cha</w:t>
      </w:r>
      <w:r w:rsidRPr="006B771F">
        <w:rPr>
          <w:noProof/>
        </w:rPr>
        <w:t xml:space="preserve">rakterze transgranicznym; </w:t>
      </w:r>
    </w:p>
    <w:p w14:paraId="062495ED" w14:textId="0FA59518" w:rsidR="00AD2D37" w:rsidRPr="006B771F" w:rsidRDefault="00AD2D37" w:rsidP="00AD2D37">
      <w:pPr>
        <w:pStyle w:val="Point2"/>
        <w:ind w:left="2552"/>
        <w:rPr>
          <w:noProof/>
        </w:rPr>
      </w:pPr>
      <w:r w:rsidRPr="006B771F">
        <w:rPr>
          <w:noProof/>
        </w:rPr>
        <w:t>(ii)</w:t>
      </w:r>
      <w:r w:rsidRPr="006B771F">
        <w:rPr>
          <w:noProof/>
        </w:rPr>
        <w:tab/>
        <w:t>wspólnie opracować – na podstawie informacji przekazanych przez właściwe agencje unijne</w:t>
      </w:r>
      <w:r w:rsidR="00043012" w:rsidRPr="006B771F">
        <w:rPr>
          <w:noProof/>
        </w:rPr>
        <w:t xml:space="preserve"> i</w:t>
      </w:r>
      <w:r w:rsidR="00043012">
        <w:rPr>
          <w:noProof/>
        </w:rPr>
        <w:t> </w:t>
      </w:r>
      <w:r w:rsidR="00043012" w:rsidRPr="006B771F">
        <w:rPr>
          <w:noProof/>
        </w:rPr>
        <w:t>pań</w:t>
      </w:r>
      <w:r w:rsidRPr="006B771F">
        <w:rPr>
          <w:noProof/>
        </w:rPr>
        <w:t>stwa członkowskie oraz wspólne posterunki policyjno-celne – pojedyncze regularnie składane sprawozdanie obejmujące analizę zagrożeń</w:t>
      </w:r>
      <w:r w:rsidR="00043012" w:rsidRPr="006B771F">
        <w:rPr>
          <w:noProof/>
        </w:rPr>
        <w:t xml:space="preserve"> i</w:t>
      </w:r>
      <w:r w:rsidR="00043012">
        <w:rPr>
          <w:noProof/>
        </w:rPr>
        <w:t> </w:t>
      </w:r>
      <w:r w:rsidR="00043012" w:rsidRPr="006B771F">
        <w:rPr>
          <w:noProof/>
        </w:rPr>
        <w:t>pot</w:t>
      </w:r>
      <w:r w:rsidRPr="006B771F">
        <w:rPr>
          <w:noProof/>
        </w:rPr>
        <w:t>rzeb</w:t>
      </w:r>
      <w:r w:rsidR="00043012" w:rsidRPr="006B771F">
        <w:rPr>
          <w:noProof/>
        </w:rPr>
        <w:t xml:space="preserve"> w</w:t>
      </w:r>
      <w:r w:rsidR="00043012">
        <w:rPr>
          <w:noProof/>
        </w:rPr>
        <w:t> </w:t>
      </w:r>
      <w:r w:rsidR="00043012" w:rsidRPr="006B771F">
        <w:rPr>
          <w:noProof/>
        </w:rPr>
        <w:t>zak</w:t>
      </w:r>
      <w:r w:rsidRPr="006B771F">
        <w:rPr>
          <w:noProof/>
        </w:rPr>
        <w:t xml:space="preserve">resie wspólnych operacji, które państwa członkowskie mogą wykorzystać do ukierunkowania swoich wspólnych operacji. </w:t>
      </w:r>
    </w:p>
    <w:p w14:paraId="449857C0" w14:textId="21C4DB7B" w:rsidR="00AD2D37" w:rsidRPr="006B771F" w:rsidRDefault="00FF7728" w:rsidP="00FF7728">
      <w:pPr>
        <w:pStyle w:val="Point1"/>
        <w:rPr>
          <w:noProof/>
        </w:rPr>
      </w:pPr>
      <w:r w:rsidRPr="00FF7728">
        <w:rPr>
          <w:noProof/>
        </w:rPr>
        <w:t>b)</w:t>
      </w:r>
      <w:r w:rsidRPr="00FF7728">
        <w:rPr>
          <w:noProof/>
        </w:rPr>
        <w:tab/>
      </w:r>
      <w:r w:rsidR="00AD2D37" w:rsidRPr="006B771F">
        <w:rPr>
          <w:noProof/>
        </w:rPr>
        <w:t>Państwa członkowskie powinny:</w:t>
      </w:r>
    </w:p>
    <w:p w14:paraId="236B3280" w14:textId="750CD28D" w:rsidR="00AD2D37" w:rsidRPr="006B771F" w:rsidRDefault="00AD2D37" w:rsidP="00E273C3">
      <w:pPr>
        <w:pStyle w:val="Point3"/>
        <w:rPr>
          <w:noProof/>
        </w:rPr>
      </w:pPr>
      <w:r w:rsidRPr="006B771F">
        <w:rPr>
          <w:noProof/>
        </w:rPr>
        <w:t>zamieścić na platformie koordynacyjnej informacje na temat wszystkich znanych im poważnych zagrożeń dla porządku</w:t>
      </w:r>
      <w:r w:rsidR="00043012" w:rsidRPr="006B771F">
        <w:rPr>
          <w:noProof/>
        </w:rPr>
        <w:t xml:space="preserve"> i</w:t>
      </w:r>
      <w:r w:rsidR="00043012">
        <w:rPr>
          <w:noProof/>
        </w:rPr>
        <w:t> </w:t>
      </w:r>
      <w:r w:rsidR="00043012" w:rsidRPr="006B771F">
        <w:rPr>
          <w:noProof/>
        </w:rPr>
        <w:t>bez</w:t>
      </w:r>
      <w:r w:rsidRPr="006B771F">
        <w:rPr>
          <w:noProof/>
        </w:rPr>
        <w:t>pieczeństwa publicznego,</w:t>
      </w:r>
      <w:r w:rsidR="00043012" w:rsidRPr="006B771F">
        <w:rPr>
          <w:noProof/>
        </w:rPr>
        <w:t xml:space="preserve"> o</w:t>
      </w:r>
      <w:r w:rsidR="00043012">
        <w:rPr>
          <w:noProof/>
        </w:rPr>
        <w:t> </w:t>
      </w:r>
      <w:r w:rsidR="00043012" w:rsidRPr="006B771F">
        <w:rPr>
          <w:noProof/>
        </w:rPr>
        <w:t>zbl</w:t>
      </w:r>
      <w:r w:rsidRPr="006B771F">
        <w:rPr>
          <w:noProof/>
        </w:rPr>
        <w:t>iżających się zgromadzeniach masowych</w:t>
      </w:r>
      <w:r w:rsidR="00043012" w:rsidRPr="006B771F">
        <w:rPr>
          <w:noProof/>
        </w:rPr>
        <w:t xml:space="preserve"> i</w:t>
      </w:r>
      <w:r w:rsidR="00043012">
        <w:rPr>
          <w:noProof/>
        </w:rPr>
        <w:t> </w:t>
      </w:r>
      <w:r w:rsidR="00043012" w:rsidRPr="006B771F">
        <w:rPr>
          <w:noProof/>
        </w:rPr>
        <w:t>imp</w:t>
      </w:r>
      <w:r w:rsidRPr="006B771F">
        <w:rPr>
          <w:noProof/>
        </w:rPr>
        <w:t>rezach na dużą skalę, które mogą przyciągnąć znaczną liczbę osób</w:t>
      </w:r>
      <w:r w:rsidR="00043012" w:rsidRPr="006B771F">
        <w:rPr>
          <w:noProof/>
        </w:rPr>
        <w:t xml:space="preserve"> z</w:t>
      </w:r>
      <w:r w:rsidR="00043012">
        <w:rPr>
          <w:noProof/>
        </w:rPr>
        <w:t> </w:t>
      </w:r>
      <w:r w:rsidR="00043012" w:rsidRPr="006B771F">
        <w:rPr>
          <w:noProof/>
        </w:rPr>
        <w:t>inn</w:t>
      </w:r>
      <w:r w:rsidRPr="006B771F">
        <w:rPr>
          <w:noProof/>
        </w:rPr>
        <w:t>ych państw członkowskich, oraz</w:t>
      </w:r>
      <w:r w:rsidR="00043012" w:rsidRPr="006B771F">
        <w:rPr>
          <w:noProof/>
        </w:rPr>
        <w:t xml:space="preserve"> o</w:t>
      </w:r>
      <w:r w:rsidR="00043012">
        <w:rPr>
          <w:noProof/>
        </w:rPr>
        <w:t> </w:t>
      </w:r>
      <w:r w:rsidR="00043012" w:rsidRPr="006B771F">
        <w:rPr>
          <w:noProof/>
        </w:rPr>
        <w:t>wzo</w:t>
      </w:r>
      <w:r w:rsidRPr="006B771F">
        <w:rPr>
          <w:noProof/>
        </w:rPr>
        <w:t>rcach mobilności swoich obywateli,</w:t>
      </w:r>
      <w:r w:rsidR="00043012" w:rsidRPr="006B771F">
        <w:rPr>
          <w:noProof/>
        </w:rPr>
        <w:t xml:space="preserve"> w</w:t>
      </w:r>
      <w:r w:rsidR="00043012">
        <w:rPr>
          <w:noProof/>
        </w:rPr>
        <w:t> </w:t>
      </w:r>
      <w:r w:rsidR="00043012" w:rsidRPr="006B771F">
        <w:rPr>
          <w:noProof/>
        </w:rPr>
        <w:t>szc</w:t>
      </w:r>
      <w:r w:rsidRPr="006B771F">
        <w:rPr>
          <w:noProof/>
        </w:rPr>
        <w:t>zególności</w:t>
      </w:r>
      <w:r w:rsidR="00043012" w:rsidRPr="006B771F">
        <w:rPr>
          <w:noProof/>
        </w:rPr>
        <w:t xml:space="preserve"> w</w:t>
      </w:r>
      <w:r w:rsidR="00043012">
        <w:rPr>
          <w:noProof/>
        </w:rPr>
        <w:t> </w:t>
      </w:r>
      <w:r w:rsidR="00043012" w:rsidRPr="006B771F">
        <w:rPr>
          <w:noProof/>
        </w:rPr>
        <w:t>sez</w:t>
      </w:r>
      <w:r w:rsidRPr="006B771F">
        <w:rPr>
          <w:noProof/>
        </w:rPr>
        <w:t>onie turystycznym;</w:t>
      </w:r>
    </w:p>
    <w:p w14:paraId="627D127E" w14:textId="77777777" w:rsidR="00AD2D37" w:rsidRPr="006B771F" w:rsidRDefault="00AD2D37" w:rsidP="00AD2D37">
      <w:pPr>
        <w:pStyle w:val="Point3"/>
        <w:ind w:left="2552"/>
        <w:rPr>
          <w:noProof/>
        </w:rPr>
      </w:pPr>
      <w:r w:rsidRPr="006B771F">
        <w:rPr>
          <w:noProof/>
        </w:rPr>
        <w:t>(ii)</w:t>
      </w:r>
      <w:r w:rsidRPr="006B771F">
        <w:rPr>
          <w:noProof/>
        </w:rPr>
        <w:tab/>
        <w:t xml:space="preserve">wyznaczyć pojedynczy punkt kontaktowy jako krajowy punkt kontaktowy do koordynacji takich wspólnych operacji. </w:t>
      </w:r>
    </w:p>
    <w:p w14:paraId="733B5C3D" w14:textId="7A5B9527" w:rsidR="00AD2D37" w:rsidRPr="006B771F" w:rsidRDefault="005E7503" w:rsidP="005E7503">
      <w:pPr>
        <w:pStyle w:val="ManualHeading1"/>
        <w:rPr>
          <w:noProof/>
        </w:rPr>
      </w:pPr>
      <w:r w:rsidRPr="005E7503">
        <w:t>7.</w:t>
      </w:r>
      <w:r w:rsidRPr="005E7503">
        <w:tab/>
      </w:r>
      <w:r w:rsidR="00AD2D37" w:rsidRPr="006B771F">
        <w:rPr>
          <w:noProof/>
        </w:rPr>
        <w:t>Zapewnienie skutecznego dostępu do informacji</w:t>
      </w:r>
      <w:r w:rsidR="00043012" w:rsidRPr="006B771F">
        <w:rPr>
          <w:noProof/>
        </w:rPr>
        <w:t xml:space="preserve"> i</w:t>
      </w:r>
      <w:r w:rsidR="00043012">
        <w:rPr>
          <w:noProof/>
        </w:rPr>
        <w:t> </w:t>
      </w:r>
      <w:r w:rsidR="00043012" w:rsidRPr="006B771F">
        <w:rPr>
          <w:noProof/>
        </w:rPr>
        <w:t>kom</w:t>
      </w:r>
      <w:r w:rsidR="00AD2D37" w:rsidRPr="006B771F">
        <w:rPr>
          <w:noProof/>
        </w:rPr>
        <w:t>unikacji</w:t>
      </w:r>
    </w:p>
    <w:p w14:paraId="474E82A7" w14:textId="565D0E64" w:rsidR="00AD2D37" w:rsidRPr="006B771F" w:rsidRDefault="00FF7728" w:rsidP="00FF7728">
      <w:pPr>
        <w:pStyle w:val="Point1"/>
        <w:rPr>
          <w:noProof/>
        </w:rPr>
      </w:pPr>
      <w:r w:rsidRPr="00FF7728">
        <w:rPr>
          <w:noProof/>
        </w:rPr>
        <w:t>a)</w:t>
      </w:r>
      <w:r w:rsidRPr="00FF7728">
        <w:rPr>
          <w:noProof/>
        </w:rPr>
        <w:tab/>
      </w:r>
      <w:r w:rsidR="00AD2D37" w:rsidRPr="006B771F">
        <w:rPr>
          <w:noProof/>
        </w:rPr>
        <w:t>Państwa członkowskie powinny zapewnić, aby funkcjonariusze ich właściwego organu ścigania zaangażowani</w:t>
      </w:r>
      <w:r w:rsidR="00043012" w:rsidRPr="006B771F">
        <w:rPr>
          <w:noProof/>
        </w:rPr>
        <w:t xml:space="preserve"> w</w:t>
      </w:r>
      <w:r w:rsidR="00043012">
        <w:rPr>
          <w:noProof/>
        </w:rPr>
        <w:t> </w:t>
      </w:r>
      <w:r w:rsidR="00043012" w:rsidRPr="006B771F">
        <w:rPr>
          <w:noProof/>
        </w:rPr>
        <w:t>tra</w:t>
      </w:r>
      <w:r w:rsidR="00AD2D37" w:rsidRPr="006B771F">
        <w:rPr>
          <w:noProof/>
        </w:rPr>
        <w:t>nsgraniczną operacyjną współpracę policyjną objętą niniejszym zaleceniem</w:t>
      </w:r>
      <w:r w:rsidR="00043012" w:rsidRPr="006B771F">
        <w:rPr>
          <w:noProof/>
        </w:rPr>
        <w:t xml:space="preserve"> i</w:t>
      </w:r>
      <w:r w:rsidR="00043012">
        <w:rPr>
          <w:noProof/>
        </w:rPr>
        <w:t> </w:t>
      </w:r>
      <w:r w:rsidR="00043012" w:rsidRPr="006B771F">
        <w:rPr>
          <w:noProof/>
        </w:rPr>
        <w:t>dzi</w:t>
      </w:r>
      <w:r w:rsidR="00AD2D37" w:rsidRPr="006B771F">
        <w:rPr>
          <w:noProof/>
        </w:rPr>
        <w:t>ałający na terytorium innego państwa członkowskiego:</w:t>
      </w:r>
    </w:p>
    <w:p w14:paraId="29F70920" w14:textId="6905A02C" w:rsidR="00AD2D37" w:rsidRPr="006B771F" w:rsidRDefault="00AD2D37" w:rsidP="00E273C3">
      <w:pPr>
        <w:pStyle w:val="Point3"/>
        <w:rPr>
          <w:noProof/>
        </w:rPr>
      </w:pPr>
      <w:r w:rsidRPr="006B771F">
        <w:rPr>
          <w:noProof/>
        </w:rPr>
        <w:t>mieli zdalny</w:t>
      </w:r>
      <w:r w:rsidR="00043012" w:rsidRPr="006B771F">
        <w:rPr>
          <w:noProof/>
        </w:rPr>
        <w:t xml:space="preserve"> i</w:t>
      </w:r>
      <w:r w:rsidR="00043012">
        <w:rPr>
          <w:noProof/>
        </w:rPr>
        <w:t> </w:t>
      </w:r>
      <w:r w:rsidR="00043012" w:rsidRPr="006B771F">
        <w:rPr>
          <w:noProof/>
        </w:rPr>
        <w:t>bez</w:t>
      </w:r>
      <w:r w:rsidRPr="006B771F">
        <w:rPr>
          <w:noProof/>
        </w:rPr>
        <w:t>pieczny dostęp do własnych krajowych baz danych,</w:t>
      </w:r>
      <w:r w:rsidR="00043012" w:rsidRPr="006B771F">
        <w:rPr>
          <w:noProof/>
        </w:rPr>
        <w:t xml:space="preserve"> a</w:t>
      </w:r>
      <w:r w:rsidR="00043012">
        <w:rPr>
          <w:noProof/>
        </w:rPr>
        <w:t> </w:t>
      </w:r>
      <w:r w:rsidR="00043012" w:rsidRPr="006B771F">
        <w:rPr>
          <w:noProof/>
        </w:rPr>
        <w:t>tak</w:t>
      </w:r>
      <w:r w:rsidRPr="006B771F">
        <w:rPr>
          <w:noProof/>
        </w:rPr>
        <w:t>że do unijnych</w:t>
      </w:r>
      <w:r w:rsidR="00043012" w:rsidRPr="006B771F">
        <w:rPr>
          <w:noProof/>
        </w:rPr>
        <w:t xml:space="preserve"> i</w:t>
      </w:r>
      <w:r w:rsidR="00043012">
        <w:rPr>
          <w:noProof/>
        </w:rPr>
        <w:t> </w:t>
      </w:r>
      <w:r w:rsidR="00043012" w:rsidRPr="006B771F">
        <w:rPr>
          <w:noProof/>
        </w:rPr>
        <w:t>mię</w:t>
      </w:r>
      <w:r w:rsidRPr="006B771F">
        <w:rPr>
          <w:noProof/>
        </w:rPr>
        <w:t>dzynarodowych baz danych za pośrednictwem europejskiego portalu wyszukiwania, na co zezwala im prawo krajowe, zgodnie</w:t>
      </w:r>
      <w:r w:rsidR="00043012" w:rsidRPr="006B771F">
        <w:rPr>
          <w:noProof/>
        </w:rPr>
        <w:t xml:space="preserve"> z</w:t>
      </w:r>
      <w:r w:rsidR="00043012">
        <w:rPr>
          <w:noProof/>
        </w:rPr>
        <w:t> </w:t>
      </w:r>
      <w:r w:rsidR="00043012" w:rsidRPr="006B771F">
        <w:rPr>
          <w:noProof/>
        </w:rPr>
        <w:t>któ</w:t>
      </w:r>
      <w:r w:rsidRPr="006B771F">
        <w:rPr>
          <w:noProof/>
        </w:rPr>
        <w:t>rym</w:t>
      </w:r>
      <w:r w:rsidR="00043012" w:rsidRPr="006B771F">
        <w:rPr>
          <w:noProof/>
        </w:rPr>
        <w:t xml:space="preserve"> w</w:t>
      </w:r>
      <w:r w:rsidR="00043012">
        <w:rPr>
          <w:noProof/>
        </w:rPr>
        <w:t> </w:t>
      </w:r>
      <w:r w:rsidR="00043012" w:rsidRPr="006B771F">
        <w:rPr>
          <w:noProof/>
        </w:rPr>
        <w:t>ram</w:t>
      </w:r>
      <w:r w:rsidRPr="006B771F">
        <w:rPr>
          <w:noProof/>
        </w:rPr>
        <w:t xml:space="preserve">ach tych operacji mogą wykonywać zadania policyjne na terytorium innego państwa członkowskiego, np. dokonywać kontroli tożsamości; </w:t>
      </w:r>
    </w:p>
    <w:p w14:paraId="0525DCE8" w14:textId="49E9CC8D" w:rsidR="00AD2D37" w:rsidRPr="006B771F" w:rsidRDefault="00AD2D37" w:rsidP="00AD2D37">
      <w:pPr>
        <w:pStyle w:val="Point3"/>
        <w:ind w:left="2552"/>
        <w:rPr>
          <w:noProof/>
        </w:rPr>
      </w:pPr>
      <w:r w:rsidRPr="006B771F">
        <w:rPr>
          <w:noProof/>
        </w:rPr>
        <w:t>(ii)</w:t>
      </w:r>
      <w:r w:rsidRPr="006B771F">
        <w:rPr>
          <w:noProof/>
        </w:rPr>
        <w:tab/>
        <w:t>mogli korzystać</w:t>
      </w:r>
      <w:r w:rsidR="00043012" w:rsidRPr="006B771F">
        <w:rPr>
          <w:noProof/>
        </w:rPr>
        <w:t xml:space="preserve"> z</w:t>
      </w:r>
      <w:r w:rsidR="00043012">
        <w:rPr>
          <w:noProof/>
        </w:rPr>
        <w:t> </w:t>
      </w:r>
      <w:r w:rsidR="00043012" w:rsidRPr="006B771F">
        <w:rPr>
          <w:noProof/>
        </w:rPr>
        <w:t>bez</w:t>
      </w:r>
      <w:r w:rsidRPr="006B771F">
        <w:rPr>
          <w:noProof/>
        </w:rPr>
        <w:t>piecznych środków łączności</w:t>
      </w:r>
      <w:r w:rsidR="00043012" w:rsidRPr="006B771F">
        <w:rPr>
          <w:noProof/>
        </w:rPr>
        <w:t xml:space="preserve"> w</w:t>
      </w:r>
      <w:r w:rsidR="00043012">
        <w:rPr>
          <w:noProof/>
        </w:rPr>
        <w:t> </w:t>
      </w:r>
      <w:r w:rsidR="00043012" w:rsidRPr="006B771F">
        <w:rPr>
          <w:noProof/>
        </w:rPr>
        <w:t>cza</w:t>
      </w:r>
      <w:r w:rsidRPr="006B771F">
        <w:rPr>
          <w:noProof/>
        </w:rPr>
        <w:t>sie rzeczywistym, które działają na terytorium innego państwa członkowskiego, umożliwiając funkcjonariuszom bezpośrednie komunikowanie się</w:t>
      </w:r>
      <w:r w:rsidR="00043012" w:rsidRPr="006B771F">
        <w:rPr>
          <w:noProof/>
        </w:rPr>
        <w:t xml:space="preserve"> z</w:t>
      </w:r>
      <w:r w:rsidR="00043012">
        <w:rPr>
          <w:noProof/>
        </w:rPr>
        <w:t> </w:t>
      </w:r>
      <w:r w:rsidR="00043012" w:rsidRPr="006B771F">
        <w:rPr>
          <w:noProof/>
        </w:rPr>
        <w:t>wła</w:t>
      </w:r>
      <w:r w:rsidRPr="006B771F">
        <w:rPr>
          <w:noProof/>
        </w:rPr>
        <w:t>ściwym organem ścigania ich państwa członkowskiego oraz</w:t>
      </w:r>
      <w:r w:rsidR="00043012" w:rsidRPr="006B771F">
        <w:rPr>
          <w:noProof/>
        </w:rPr>
        <w:t xml:space="preserve"> z</w:t>
      </w:r>
      <w:r w:rsidR="00043012">
        <w:rPr>
          <w:noProof/>
        </w:rPr>
        <w:t> </w:t>
      </w:r>
      <w:r w:rsidR="00043012" w:rsidRPr="006B771F">
        <w:rPr>
          <w:noProof/>
        </w:rPr>
        <w:t>fun</w:t>
      </w:r>
      <w:r w:rsidRPr="006B771F">
        <w:rPr>
          <w:noProof/>
        </w:rPr>
        <w:t xml:space="preserve">kcjonariuszami właściwych organów ścigania innego państwa członkowskiego lub pozostałych zainteresowanych państw członkowskich. </w:t>
      </w:r>
    </w:p>
    <w:p w14:paraId="18986050" w14:textId="49AB919B" w:rsidR="00AD2D37" w:rsidRPr="006B771F" w:rsidRDefault="00FF7728" w:rsidP="00FF7728">
      <w:pPr>
        <w:pStyle w:val="Point1"/>
        <w:rPr>
          <w:noProof/>
        </w:rPr>
      </w:pPr>
      <w:r w:rsidRPr="00FF7728">
        <w:rPr>
          <w:noProof/>
        </w:rPr>
        <w:t>b)</w:t>
      </w:r>
      <w:r w:rsidRPr="00FF7728">
        <w:rPr>
          <w:noProof/>
        </w:rPr>
        <w:tab/>
      </w:r>
      <w:r w:rsidR="00AD2D37" w:rsidRPr="006B771F">
        <w:rPr>
          <w:noProof/>
        </w:rPr>
        <w:t>Państwa członkowskie powinny korzystać</w:t>
      </w:r>
      <w:r w:rsidR="00043012" w:rsidRPr="006B771F">
        <w:rPr>
          <w:noProof/>
        </w:rPr>
        <w:t xml:space="preserve"> z</w:t>
      </w:r>
      <w:r w:rsidR="00043012">
        <w:rPr>
          <w:noProof/>
        </w:rPr>
        <w:t> </w:t>
      </w:r>
      <w:r w:rsidR="00043012" w:rsidRPr="006B771F">
        <w:rPr>
          <w:noProof/>
        </w:rPr>
        <w:t>roz</w:t>
      </w:r>
      <w:r w:rsidR="00AD2D37" w:rsidRPr="006B771F">
        <w:rPr>
          <w:noProof/>
        </w:rPr>
        <w:t>wiązań technicznych, które mają zostać dostarczone przez laboratorium innowacji Europolu, aby zapewnić bezpieczną bezpośrednią komunikację</w:t>
      </w:r>
      <w:r w:rsidR="00043012" w:rsidRPr="006B771F">
        <w:rPr>
          <w:noProof/>
        </w:rPr>
        <w:t xml:space="preserve"> w</w:t>
      </w:r>
      <w:r w:rsidR="00043012">
        <w:rPr>
          <w:noProof/>
        </w:rPr>
        <w:t> </w:t>
      </w:r>
      <w:r w:rsidR="00043012" w:rsidRPr="006B771F">
        <w:rPr>
          <w:noProof/>
        </w:rPr>
        <w:t>cza</w:t>
      </w:r>
      <w:r w:rsidR="00AD2D37" w:rsidRPr="006B771F">
        <w:rPr>
          <w:noProof/>
        </w:rPr>
        <w:t xml:space="preserve">sie rzeczywistym przez granice. </w:t>
      </w:r>
    </w:p>
    <w:p w14:paraId="28B3A119" w14:textId="5C8F23C1" w:rsidR="00AD2D37" w:rsidRPr="006B771F" w:rsidRDefault="005E7503" w:rsidP="005E7503">
      <w:pPr>
        <w:pStyle w:val="ManualHeading1"/>
        <w:rPr>
          <w:noProof/>
        </w:rPr>
      </w:pPr>
      <w:r w:rsidRPr="005E7503">
        <w:t>8.</w:t>
      </w:r>
      <w:r w:rsidRPr="005E7503">
        <w:tab/>
      </w:r>
      <w:r w:rsidR="00AD2D37" w:rsidRPr="006B771F">
        <w:rPr>
          <w:noProof/>
        </w:rPr>
        <w:t>Wspólne szkolenia</w:t>
      </w:r>
      <w:r w:rsidR="00043012" w:rsidRPr="006B771F">
        <w:rPr>
          <w:noProof/>
        </w:rPr>
        <w:t xml:space="preserve"> i</w:t>
      </w:r>
      <w:r w:rsidR="00043012">
        <w:rPr>
          <w:noProof/>
        </w:rPr>
        <w:t> </w:t>
      </w:r>
      <w:r w:rsidR="00043012" w:rsidRPr="006B771F">
        <w:rPr>
          <w:noProof/>
        </w:rPr>
        <w:t>roz</w:t>
      </w:r>
      <w:r w:rsidR="00AD2D37" w:rsidRPr="006B771F">
        <w:rPr>
          <w:noProof/>
        </w:rPr>
        <w:t>wój zawodowy</w:t>
      </w:r>
      <w:r w:rsidR="00043012" w:rsidRPr="006B771F">
        <w:rPr>
          <w:noProof/>
        </w:rPr>
        <w:t xml:space="preserve"> w</w:t>
      </w:r>
      <w:r w:rsidR="00043012">
        <w:rPr>
          <w:noProof/>
        </w:rPr>
        <w:t> </w:t>
      </w:r>
      <w:r w:rsidR="00043012" w:rsidRPr="006B771F">
        <w:rPr>
          <w:noProof/>
        </w:rPr>
        <w:t>zak</w:t>
      </w:r>
      <w:r w:rsidR="00AD2D37" w:rsidRPr="006B771F">
        <w:rPr>
          <w:noProof/>
        </w:rPr>
        <w:t>resie transgranicznej operacyjnej współpracy policyjnej</w:t>
      </w:r>
    </w:p>
    <w:p w14:paraId="0E38133A" w14:textId="4A0368C0" w:rsidR="00AD2D37" w:rsidRPr="006B771F" w:rsidRDefault="00FF7728" w:rsidP="00FF7728">
      <w:pPr>
        <w:pStyle w:val="Point1"/>
        <w:rPr>
          <w:noProof/>
        </w:rPr>
      </w:pPr>
      <w:r w:rsidRPr="00FF7728">
        <w:rPr>
          <w:noProof/>
        </w:rPr>
        <w:t>a)</w:t>
      </w:r>
      <w:r w:rsidRPr="00FF7728">
        <w:rPr>
          <w:noProof/>
        </w:rPr>
        <w:tab/>
      </w:r>
      <w:r w:rsidR="00AD2D37" w:rsidRPr="006B771F">
        <w:rPr>
          <w:noProof/>
        </w:rPr>
        <w:t>Państwa członkowskie powinny:</w:t>
      </w:r>
    </w:p>
    <w:p w14:paraId="18465511" w14:textId="26FC407B" w:rsidR="00AD2D37" w:rsidRPr="006B771F" w:rsidRDefault="00AD2D37" w:rsidP="00E273C3">
      <w:pPr>
        <w:pStyle w:val="Point3"/>
        <w:rPr>
          <w:noProof/>
        </w:rPr>
      </w:pPr>
      <w:r w:rsidRPr="006B771F">
        <w:rPr>
          <w:noProof/>
        </w:rPr>
        <w:t>wraz</w:t>
      </w:r>
      <w:r w:rsidR="00043012" w:rsidRPr="006B771F">
        <w:rPr>
          <w:noProof/>
        </w:rPr>
        <w:t xml:space="preserve"> z</w:t>
      </w:r>
      <w:r w:rsidR="00043012">
        <w:rPr>
          <w:noProof/>
        </w:rPr>
        <w:t> </w:t>
      </w:r>
      <w:r w:rsidR="00043012" w:rsidRPr="006B771F">
        <w:rPr>
          <w:noProof/>
        </w:rPr>
        <w:t>sąs</w:t>
      </w:r>
      <w:r w:rsidRPr="006B771F">
        <w:rPr>
          <w:noProof/>
        </w:rPr>
        <w:t>iadującymi państwami członkowskimi opracować wspólne szkolenia wstępne</w:t>
      </w:r>
      <w:r w:rsidR="00043012" w:rsidRPr="006B771F">
        <w:rPr>
          <w:noProof/>
        </w:rPr>
        <w:t xml:space="preserve"> i</w:t>
      </w:r>
      <w:r w:rsidR="00043012">
        <w:rPr>
          <w:noProof/>
        </w:rPr>
        <w:t> </w:t>
      </w:r>
      <w:r w:rsidR="00043012" w:rsidRPr="006B771F">
        <w:rPr>
          <w:noProof/>
        </w:rPr>
        <w:t>pro</w:t>
      </w:r>
      <w:r w:rsidRPr="006B771F">
        <w:rPr>
          <w:noProof/>
        </w:rPr>
        <w:t>gramy wymiany kadetów</w:t>
      </w:r>
      <w:r w:rsidR="00043012" w:rsidRPr="006B771F">
        <w:rPr>
          <w:noProof/>
        </w:rPr>
        <w:t xml:space="preserve"> w</w:t>
      </w:r>
      <w:r w:rsidR="00043012">
        <w:rPr>
          <w:noProof/>
        </w:rPr>
        <w:t> </w:t>
      </w:r>
      <w:r w:rsidR="00043012" w:rsidRPr="006B771F">
        <w:rPr>
          <w:noProof/>
        </w:rPr>
        <w:t>zak</w:t>
      </w:r>
      <w:r w:rsidRPr="006B771F">
        <w:rPr>
          <w:noProof/>
        </w:rPr>
        <w:t>resie transgranicznej operacyjnej współpracy policyjnej;</w:t>
      </w:r>
    </w:p>
    <w:p w14:paraId="5D3A1B1B" w14:textId="658373C3" w:rsidR="00AD2D37" w:rsidRPr="006B771F" w:rsidRDefault="00AD2D37" w:rsidP="00AD2D37">
      <w:pPr>
        <w:pStyle w:val="Point3"/>
        <w:ind w:left="2552"/>
        <w:rPr>
          <w:noProof/>
        </w:rPr>
      </w:pPr>
      <w:r w:rsidRPr="006B771F">
        <w:rPr>
          <w:noProof/>
        </w:rPr>
        <w:t>(ii)</w:t>
      </w:r>
      <w:r w:rsidRPr="006B771F">
        <w:rPr>
          <w:noProof/>
        </w:rPr>
        <w:tab/>
        <w:t>dostosować</w:t>
      </w:r>
      <w:r w:rsidR="00043012" w:rsidRPr="006B771F">
        <w:rPr>
          <w:noProof/>
        </w:rPr>
        <w:t xml:space="preserve"> i</w:t>
      </w:r>
      <w:r w:rsidR="00043012">
        <w:rPr>
          <w:noProof/>
        </w:rPr>
        <w:t> </w:t>
      </w:r>
      <w:r w:rsidR="00043012" w:rsidRPr="006B771F">
        <w:rPr>
          <w:noProof/>
        </w:rPr>
        <w:t>uje</w:t>
      </w:r>
      <w:r w:rsidRPr="006B771F">
        <w:rPr>
          <w:noProof/>
        </w:rPr>
        <w:t>dnolicić programy nauczania</w:t>
      </w:r>
      <w:r w:rsidR="00043012" w:rsidRPr="006B771F">
        <w:rPr>
          <w:noProof/>
        </w:rPr>
        <w:t xml:space="preserve"> w</w:t>
      </w:r>
      <w:r w:rsidR="00043012">
        <w:rPr>
          <w:noProof/>
        </w:rPr>
        <w:t> </w:t>
      </w:r>
      <w:r w:rsidR="00043012" w:rsidRPr="006B771F">
        <w:rPr>
          <w:noProof/>
        </w:rPr>
        <w:t>swo</w:t>
      </w:r>
      <w:r w:rsidRPr="006B771F">
        <w:rPr>
          <w:noProof/>
        </w:rPr>
        <w:t>ich krajowych akademiach policyjnych, na wszystkich poziomach szkolenia, tak aby obejmowały one akredytowane</w:t>
      </w:r>
      <w:r w:rsidR="00043012" w:rsidRPr="006B771F">
        <w:rPr>
          <w:noProof/>
        </w:rPr>
        <w:t xml:space="preserve"> w</w:t>
      </w:r>
      <w:r w:rsidR="00043012">
        <w:rPr>
          <w:noProof/>
        </w:rPr>
        <w:t> </w:t>
      </w:r>
      <w:r w:rsidR="00043012" w:rsidRPr="006B771F">
        <w:rPr>
          <w:noProof/>
        </w:rPr>
        <w:t>Eur</w:t>
      </w:r>
      <w:r w:rsidRPr="006B771F">
        <w:rPr>
          <w:noProof/>
        </w:rPr>
        <w:t xml:space="preserve">opie kursy transgranicznej operacyjnej współpracy policyjnej; </w:t>
      </w:r>
    </w:p>
    <w:p w14:paraId="192EC1EA" w14:textId="743C0E3B" w:rsidR="00AD2D37" w:rsidRPr="006B771F" w:rsidRDefault="00AD2D37" w:rsidP="00AD2D37">
      <w:pPr>
        <w:pStyle w:val="Point3"/>
        <w:ind w:left="2552"/>
        <w:rPr>
          <w:noProof/>
        </w:rPr>
      </w:pPr>
      <w:r w:rsidRPr="006B771F">
        <w:rPr>
          <w:noProof/>
        </w:rPr>
        <w:t>(iii)</w:t>
      </w:r>
      <w:r w:rsidRPr="006B771F">
        <w:rPr>
          <w:noProof/>
        </w:rPr>
        <w:tab/>
        <w:t>opracować</w:t>
      </w:r>
      <w:r w:rsidR="00043012" w:rsidRPr="006B771F">
        <w:rPr>
          <w:noProof/>
        </w:rPr>
        <w:t xml:space="preserve"> i</w:t>
      </w:r>
      <w:r w:rsidR="00043012">
        <w:rPr>
          <w:noProof/>
        </w:rPr>
        <w:t> </w:t>
      </w:r>
      <w:r w:rsidR="00043012" w:rsidRPr="006B771F">
        <w:rPr>
          <w:noProof/>
        </w:rPr>
        <w:t>wdr</w:t>
      </w:r>
      <w:r w:rsidRPr="006B771F">
        <w:rPr>
          <w:noProof/>
        </w:rPr>
        <w:t>ożyć ścieżki kariery dla kadetów</w:t>
      </w:r>
      <w:r w:rsidR="00043012" w:rsidRPr="006B771F">
        <w:rPr>
          <w:noProof/>
        </w:rPr>
        <w:t xml:space="preserve"> i</w:t>
      </w:r>
      <w:r w:rsidR="00043012">
        <w:rPr>
          <w:noProof/>
        </w:rPr>
        <w:t> </w:t>
      </w:r>
      <w:r w:rsidR="00043012" w:rsidRPr="006B771F">
        <w:rPr>
          <w:noProof/>
        </w:rPr>
        <w:t>fun</w:t>
      </w:r>
      <w:r w:rsidRPr="006B771F">
        <w:rPr>
          <w:noProof/>
        </w:rPr>
        <w:t>kcjonariuszy, którzy ukończyli wspólne szkolenie wstępne, programy wymiany lub specjalne kursy transgranicznej operacyjnej współpracy policyjnej;</w:t>
      </w:r>
    </w:p>
    <w:p w14:paraId="31D1DF16" w14:textId="115C8686" w:rsidR="00AD2D37" w:rsidRPr="006B771F" w:rsidRDefault="00AD2D37" w:rsidP="00AD2D37">
      <w:pPr>
        <w:pStyle w:val="Point3"/>
        <w:ind w:left="2552"/>
        <w:rPr>
          <w:noProof/>
        </w:rPr>
      </w:pPr>
      <w:r w:rsidRPr="006B771F">
        <w:rPr>
          <w:noProof/>
        </w:rPr>
        <w:t>(iv)</w:t>
      </w:r>
      <w:r w:rsidRPr="006B771F">
        <w:rPr>
          <w:noProof/>
        </w:rPr>
        <w:tab/>
        <w:t>utworzyć wspólne kursy</w:t>
      </w:r>
      <w:r w:rsidR="00043012" w:rsidRPr="006B771F">
        <w:rPr>
          <w:noProof/>
        </w:rPr>
        <w:t xml:space="preserve"> i</w:t>
      </w:r>
      <w:r w:rsidR="00043012">
        <w:rPr>
          <w:noProof/>
        </w:rPr>
        <w:t> </w:t>
      </w:r>
      <w:r w:rsidR="00043012" w:rsidRPr="006B771F">
        <w:rPr>
          <w:noProof/>
        </w:rPr>
        <w:t>ini</w:t>
      </w:r>
      <w:r w:rsidRPr="006B771F">
        <w:rPr>
          <w:noProof/>
        </w:rPr>
        <w:t>cjatywy dotyczące doskonalenia zawodowego dla pracujących na pierwszej linii funkcjonariuszy policji</w:t>
      </w:r>
      <w:r w:rsidR="00043012" w:rsidRPr="006B771F">
        <w:rPr>
          <w:noProof/>
        </w:rPr>
        <w:t xml:space="preserve"> i</w:t>
      </w:r>
      <w:r w:rsidR="00043012">
        <w:rPr>
          <w:noProof/>
        </w:rPr>
        <w:t> </w:t>
      </w:r>
      <w:r w:rsidR="00043012" w:rsidRPr="006B771F">
        <w:rPr>
          <w:noProof/>
        </w:rPr>
        <w:t>zes</w:t>
      </w:r>
      <w:r w:rsidRPr="006B771F">
        <w:rPr>
          <w:noProof/>
        </w:rPr>
        <w:t>połów dochodzeniowo-śledczych</w:t>
      </w:r>
      <w:r w:rsidR="00043012" w:rsidRPr="006B771F">
        <w:rPr>
          <w:noProof/>
        </w:rPr>
        <w:t xml:space="preserve"> w</w:t>
      </w:r>
      <w:r w:rsidR="00043012">
        <w:rPr>
          <w:noProof/>
        </w:rPr>
        <w:t> </w:t>
      </w:r>
      <w:r w:rsidR="00043012" w:rsidRPr="006B771F">
        <w:rPr>
          <w:noProof/>
        </w:rPr>
        <w:t>spr</w:t>
      </w:r>
      <w:r w:rsidRPr="006B771F">
        <w:rPr>
          <w:noProof/>
        </w:rPr>
        <w:t>awach karnych</w:t>
      </w:r>
      <w:r w:rsidR="00043012" w:rsidRPr="006B771F">
        <w:rPr>
          <w:noProof/>
        </w:rPr>
        <w:t xml:space="preserve"> w</w:t>
      </w:r>
      <w:r w:rsidR="00043012">
        <w:rPr>
          <w:noProof/>
        </w:rPr>
        <w:t> </w:t>
      </w:r>
      <w:r w:rsidR="00043012" w:rsidRPr="006B771F">
        <w:rPr>
          <w:noProof/>
        </w:rPr>
        <w:t>cel</w:t>
      </w:r>
      <w:r w:rsidRPr="006B771F">
        <w:rPr>
          <w:noProof/>
        </w:rPr>
        <w:t>u kształcenia umiejętności</w:t>
      </w:r>
      <w:r w:rsidR="00043012" w:rsidRPr="006B771F">
        <w:rPr>
          <w:noProof/>
        </w:rPr>
        <w:t xml:space="preserve"> i</w:t>
      </w:r>
      <w:r w:rsidR="00043012">
        <w:rPr>
          <w:noProof/>
        </w:rPr>
        <w:t> </w:t>
      </w:r>
      <w:r w:rsidR="00043012" w:rsidRPr="006B771F">
        <w:rPr>
          <w:noProof/>
        </w:rPr>
        <w:t>pog</w:t>
      </w:r>
      <w:r w:rsidRPr="006B771F">
        <w:rPr>
          <w:noProof/>
        </w:rPr>
        <w:t>łębiania wiedzy</w:t>
      </w:r>
      <w:r w:rsidR="00043012" w:rsidRPr="006B771F">
        <w:rPr>
          <w:noProof/>
        </w:rPr>
        <w:t xml:space="preserve"> w</w:t>
      </w:r>
      <w:r w:rsidR="00043012">
        <w:rPr>
          <w:noProof/>
        </w:rPr>
        <w:t> </w:t>
      </w:r>
      <w:r w:rsidR="00043012" w:rsidRPr="006B771F">
        <w:rPr>
          <w:noProof/>
        </w:rPr>
        <w:t>zak</w:t>
      </w:r>
      <w:r w:rsidRPr="006B771F">
        <w:rPr>
          <w:noProof/>
        </w:rPr>
        <w:t>resie transgranicznej operacyjnej współpracy policyjnej,</w:t>
      </w:r>
      <w:r w:rsidR="00043012" w:rsidRPr="006B771F">
        <w:rPr>
          <w:noProof/>
        </w:rPr>
        <w:t xml:space="preserve"> w</w:t>
      </w:r>
      <w:r w:rsidR="00043012">
        <w:rPr>
          <w:noProof/>
        </w:rPr>
        <w:t> </w:t>
      </w:r>
      <w:r w:rsidR="00043012" w:rsidRPr="006B771F">
        <w:rPr>
          <w:noProof/>
        </w:rPr>
        <w:t>szc</w:t>
      </w:r>
      <w:r w:rsidRPr="006B771F">
        <w:rPr>
          <w:noProof/>
        </w:rPr>
        <w:t>zególności na temat odpowiedniego ustawodawstwa, zasad użycia sił, narzędzi, technik, mechanizmów, procedur</w:t>
      </w:r>
      <w:r w:rsidR="00043012" w:rsidRPr="006B771F">
        <w:rPr>
          <w:noProof/>
        </w:rPr>
        <w:t xml:space="preserve"> i</w:t>
      </w:r>
      <w:r w:rsidR="00043012">
        <w:rPr>
          <w:noProof/>
        </w:rPr>
        <w:t> </w:t>
      </w:r>
      <w:r w:rsidR="00043012" w:rsidRPr="006B771F">
        <w:rPr>
          <w:noProof/>
        </w:rPr>
        <w:t>naj</w:t>
      </w:r>
      <w:r w:rsidRPr="006B771F">
        <w:rPr>
          <w:noProof/>
        </w:rPr>
        <w:t xml:space="preserve">lepszych praktyk; </w:t>
      </w:r>
    </w:p>
    <w:p w14:paraId="5B6827DB" w14:textId="20F2B7CE" w:rsidR="00AD2D37" w:rsidRPr="00043012" w:rsidRDefault="00AD2D37" w:rsidP="00AD2D37">
      <w:pPr>
        <w:pStyle w:val="Point3"/>
        <w:ind w:left="2552"/>
        <w:rPr>
          <w:noProof/>
        </w:rPr>
      </w:pPr>
      <w:r w:rsidRPr="006B771F">
        <w:rPr>
          <w:noProof/>
        </w:rPr>
        <w:t>(v)</w:t>
      </w:r>
      <w:r w:rsidRPr="006B771F">
        <w:rPr>
          <w:noProof/>
        </w:rPr>
        <w:tab/>
        <w:t>zintensyfikować kursy językowe dla swoich funkcjonariuszy policji, aby umożliwić im skuteczne uczestnictwo</w:t>
      </w:r>
      <w:r w:rsidR="00043012" w:rsidRPr="006B771F">
        <w:rPr>
          <w:noProof/>
        </w:rPr>
        <w:t xml:space="preserve"> w</w:t>
      </w:r>
      <w:r w:rsidR="00043012">
        <w:rPr>
          <w:noProof/>
        </w:rPr>
        <w:t> </w:t>
      </w:r>
      <w:r w:rsidR="00043012" w:rsidRPr="006B771F">
        <w:rPr>
          <w:noProof/>
        </w:rPr>
        <w:t>tra</w:t>
      </w:r>
      <w:r w:rsidRPr="006B771F">
        <w:rPr>
          <w:noProof/>
        </w:rPr>
        <w:t>nsgranicznej operacyjnej współpracy policyjnej</w:t>
      </w:r>
      <w:r w:rsidRPr="00043012">
        <w:rPr>
          <w:noProof/>
        </w:rPr>
        <w:t>;</w:t>
      </w:r>
      <w:r w:rsidR="00043012" w:rsidRPr="00043012">
        <w:rPr>
          <w:noProof/>
        </w:rPr>
        <w:t xml:space="preserve"> </w:t>
      </w:r>
    </w:p>
    <w:p w14:paraId="45CDE6BB" w14:textId="38F853F6" w:rsidR="00AD2D37" w:rsidRPr="006B771F" w:rsidRDefault="00AD2D37" w:rsidP="00AD2D37">
      <w:pPr>
        <w:pStyle w:val="Point3"/>
        <w:ind w:left="2552"/>
        <w:rPr>
          <w:noProof/>
        </w:rPr>
      </w:pPr>
      <w:r w:rsidRPr="006B771F">
        <w:rPr>
          <w:noProof/>
        </w:rPr>
        <w:t>(vi)</w:t>
      </w:r>
      <w:r w:rsidRPr="006B771F">
        <w:rPr>
          <w:noProof/>
        </w:rPr>
        <w:tab/>
        <w:t>dostosować swoją ofertę szkoleniową do priorytetów związanych</w:t>
      </w:r>
      <w:r w:rsidR="00043012" w:rsidRPr="006B771F">
        <w:rPr>
          <w:noProof/>
        </w:rPr>
        <w:t xml:space="preserve"> z</w:t>
      </w:r>
      <w:r w:rsidR="00043012">
        <w:rPr>
          <w:noProof/>
        </w:rPr>
        <w:t> </w:t>
      </w:r>
      <w:r w:rsidR="00043012" w:rsidRPr="006B771F">
        <w:rPr>
          <w:noProof/>
        </w:rPr>
        <w:t>tra</w:t>
      </w:r>
      <w:r w:rsidRPr="006B771F">
        <w:rPr>
          <w:noProof/>
        </w:rPr>
        <w:t>nsgraniczną operacyjną współpracą policyjną, określonych</w:t>
      </w:r>
      <w:r w:rsidR="00043012" w:rsidRPr="006B771F">
        <w:rPr>
          <w:noProof/>
        </w:rPr>
        <w:t xml:space="preserve"> w</w:t>
      </w:r>
      <w:r w:rsidR="00043012">
        <w:rPr>
          <w:noProof/>
        </w:rPr>
        <w:t> </w:t>
      </w:r>
      <w:r w:rsidR="00043012" w:rsidRPr="006B771F">
        <w:rPr>
          <w:noProof/>
        </w:rPr>
        <w:t>uni</w:t>
      </w:r>
      <w:r w:rsidRPr="006B771F">
        <w:rPr>
          <w:noProof/>
        </w:rPr>
        <w:t xml:space="preserve">jnej ocenie strategicznych potrzeb szkoleniowych (EU-STNA); </w:t>
      </w:r>
    </w:p>
    <w:p w14:paraId="07197C8A" w14:textId="5E09BFBC" w:rsidR="00AD2D37" w:rsidRPr="006B771F" w:rsidRDefault="00AD2D37" w:rsidP="00AD2D37">
      <w:pPr>
        <w:pStyle w:val="Point3"/>
        <w:ind w:left="2552"/>
        <w:rPr>
          <w:noProof/>
        </w:rPr>
      </w:pPr>
      <w:r w:rsidRPr="006B771F">
        <w:rPr>
          <w:noProof/>
        </w:rPr>
        <w:t>(vii)</w:t>
      </w:r>
      <w:r w:rsidRPr="006B771F">
        <w:rPr>
          <w:noProof/>
        </w:rPr>
        <w:tab/>
        <w:t>informować CEPOL</w:t>
      </w:r>
      <w:r w:rsidR="00043012" w:rsidRPr="006B771F">
        <w:rPr>
          <w:noProof/>
        </w:rPr>
        <w:t xml:space="preserve"> o</w:t>
      </w:r>
      <w:r w:rsidR="00043012">
        <w:rPr>
          <w:noProof/>
        </w:rPr>
        <w:t> </w:t>
      </w:r>
      <w:r w:rsidR="00043012" w:rsidRPr="006B771F">
        <w:rPr>
          <w:noProof/>
        </w:rPr>
        <w:t>swo</w:t>
      </w:r>
      <w:r w:rsidRPr="006B771F">
        <w:rPr>
          <w:noProof/>
        </w:rPr>
        <w:t>ich potrzebach</w:t>
      </w:r>
      <w:r w:rsidR="00043012" w:rsidRPr="006B771F">
        <w:rPr>
          <w:noProof/>
        </w:rPr>
        <w:t xml:space="preserve"> w</w:t>
      </w:r>
      <w:r w:rsidR="00043012">
        <w:rPr>
          <w:noProof/>
        </w:rPr>
        <w:t> </w:t>
      </w:r>
      <w:r w:rsidR="00043012" w:rsidRPr="006B771F">
        <w:rPr>
          <w:noProof/>
        </w:rPr>
        <w:t>zak</w:t>
      </w:r>
      <w:r w:rsidRPr="006B771F">
        <w:rPr>
          <w:noProof/>
        </w:rPr>
        <w:t xml:space="preserve">resie szkoleń dotyczących transgranicznej operacyjnej współpracy policyjnej oraz wspierać odpowiednie działania CEPOL-u; </w:t>
      </w:r>
    </w:p>
    <w:p w14:paraId="77CB5D1F" w14:textId="63532261" w:rsidR="00AD2D37" w:rsidRPr="006B771F" w:rsidRDefault="00AD2D37" w:rsidP="00AD2D37">
      <w:pPr>
        <w:pStyle w:val="Point3"/>
        <w:ind w:left="2552"/>
        <w:rPr>
          <w:noProof/>
        </w:rPr>
      </w:pPr>
      <w:r w:rsidRPr="006B771F">
        <w:rPr>
          <w:noProof/>
        </w:rPr>
        <w:t>(viii)</w:t>
      </w:r>
      <w:r w:rsidRPr="006B771F">
        <w:rPr>
          <w:noProof/>
        </w:rPr>
        <w:tab/>
        <w:t>zastanowić się nad możliwością stworzenia zakrojonych na szeroką skalę</w:t>
      </w:r>
      <w:r w:rsidR="00043012" w:rsidRPr="006B771F">
        <w:rPr>
          <w:noProof/>
        </w:rPr>
        <w:t xml:space="preserve"> i</w:t>
      </w:r>
      <w:r w:rsidR="00043012">
        <w:rPr>
          <w:noProof/>
        </w:rPr>
        <w:t> </w:t>
      </w:r>
      <w:r w:rsidR="00043012" w:rsidRPr="006B771F">
        <w:rPr>
          <w:noProof/>
        </w:rPr>
        <w:t>dłu</w:t>
      </w:r>
      <w:r w:rsidRPr="006B771F">
        <w:rPr>
          <w:noProof/>
        </w:rPr>
        <w:t>goterminowych ogólnoeuropejskich wspólnych programów szkoleń oraz wymiany kadetów</w:t>
      </w:r>
      <w:r w:rsidR="00043012" w:rsidRPr="006B771F">
        <w:rPr>
          <w:noProof/>
        </w:rPr>
        <w:t xml:space="preserve"> i</w:t>
      </w:r>
      <w:r w:rsidR="00043012">
        <w:rPr>
          <w:noProof/>
        </w:rPr>
        <w:t> </w:t>
      </w:r>
      <w:r w:rsidR="00043012" w:rsidRPr="006B771F">
        <w:rPr>
          <w:noProof/>
        </w:rPr>
        <w:t>fun</w:t>
      </w:r>
      <w:r w:rsidRPr="006B771F">
        <w:rPr>
          <w:noProof/>
        </w:rPr>
        <w:t>kcjonariuszy policji</w:t>
      </w:r>
      <w:r w:rsidR="00043012" w:rsidRPr="006B771F">
        <w:rPr>
          <w:noProof/>
        </w:rPr>
        <w:t xml:space="preserve"> w</w:t>
      </w:r>
      <w:r w:rsidR="00043012">
        <w:rPr>
          <w:noProof/>
        </w:rPr>
        <w:t> </w:t>
      </w:r>
      <w:r w:rsidR="00043012" w:rsidRPr="006B771F">
        <w:rPr>
          <w:noProof/>
        </w:rPr>
        <w:t>dzi</w:t>
      </w:r>
      <w:r w:rsidRPr="006B771F">
        <w:rPr>
          <w:noProof/>
        </w:rPr>
        <w:t xml:space="preserve">edzinie transgranicznej operacyjnej współpracy policyjnej. </w:t>
      </w:r>
    </w:p>
    <w:p w14:paraId="4FC067CB" w14:textId="56F05238" w:rsidR="00AD2D37" w:rsidRPr="006B771F" w:rsidRDefault="005E7503" w:rsidP="005E7503">
      <w:pPr>
        <w:pStyle w:val="ManualHeading1"/>
        <w:rPr>
          <w:noProof/>
        </w:rPr>
      </w:pPr>
      <w:r w:rsidRPr="005E7503">
        <w:t>9.</w:t>
      </w:r>
      <w:r w:rsidRPr="005E7503">
        <w:tab/>
      </w:r>
      <w:r w:rsidR="00AD2D37" w:rsidRPr="006B771F">
        <w:rPr>
          <w:noProof/>
        </w:rPr>
        <w:t>Postanowienia końcowe</w:t>
      </w:r>
    </w:p>
    <w:p w14:paraId="235AC890" w14:textId="1BAEA696" w:rsidR="00AD2D37" w:rsidRPr="006B771F" w:rsidRDefault="00FF7728" w:rsidP="00FF7728">
      <w:pPr>
        <w:pStyle w:val="Point1"/>
        <w:rPr>
          <w:noProof/>
        </w:rPr>
      </w:pPr>
      <w:r w:rsidRPr="00FF7728">
        <w:rPr>
          <w:noProof/>
        </w:rPr>
        <w:t>a)</w:t>
      </w:r>
      <w:r w:rsidRPr="00FF7728">
        <w:rPr>
          <w:noProof/>
        </w:rPr>
        <w:tab/>
      </w:r>
      <w:r w:rsidR="00AD2D37" w:rsidRPr="006B771F">
        <w:rPr>
          <w:noProof/>
        </w:rPr>
        <w:t>Państwa członkowskie powinny omówić</w:t>
      </w:r>
      <w:r w:rsidR="00043012" w:rsidRPr="006B771F">
        <w:rPr>
          <w:noProof/>
        </w:rPr>
        <w:t xml:space="preserve"> i</w:t>
      </w:r>
      <w:r w:rsidR="00043012">
        <w:rPr>
          <w:noProof/>
        </w:rPr>
        <w:t> </w:t>
      </w:r>
      <w:r w:rsidR="00043012" w:rsidRPr="006B771F">
        <w:rPr>
          <w:noProof/>
        </w:rPr>
        <w:t>pod</w:t>
      </w:r>
      <w:r w:rsidR="00AD2D37" w:rsidRPr="006B771F">
        <w:rPr>
          <w:noProof/>
        </w:rPr>
        <w:t>jąć kwestie objęte niniejszym zaleceniem,</w:t>
      </w:r>
      <w:r w:rsidR="00043012" w:rsidRPr="006B771F">
        <w:rPr>
          <w:noProof/>
        </w:rPr>
        <w:t xml:space="preserve"> w</w:t>
      </w:r>
      <w:r w:rsidR="00043012">
        <w:rPr>
          <w:noProof/>
        </w:rPr>
        <w:t> </w:t>
      </w:r>
      <w:r w:rsidR="00043012" w:rsidRPr="006B771F">
        <w:rPr>
          <w:noProof/>
        </w:rPr>
        <w:t>szc</w:t>
      </w:r>
      <w:r w:rsidR="00AD2D37" w:rsidRPr="006B771F">
        <w:rPr>
          <w:noProof/>
        </w:rPr>
        <w:t>zególności kwestie związane</w:t>
      </w:r>
      <w:r w:rsidR="00043012" w:rsidRPr="006B771F">
        <w:rPr>
          <w:noProof/>
        </w:rPr>
        <w:t xml:space="preserve"> z</w:t>
      </w:r>
      <w:r w:rsidR="00043012">
        <w:rPr>
          <w:noProof/>
        </w:rPr>
        <w:t> </w:t>
      </w:r>
      <w:r w:rsidR="00043012" w:rsidRPr="006B771F">
        <w:rPr>
          <w:noProof/>
        </w:rPr>
        <w:t>jeg</w:t>
      </w:r>
      <w:r w:rsidR="00AD2D37" w:rsidRPr="006B771F">
        <w:rPr>
          <w:noProof/>
        </w:rPr>
        <w:t>o realizacją.</w:t>
      </w:r>
    </w:p>
    <w:p w14:paraId="6CCD12C7" w14:textId="527BB094" w:rsidR="00AD2D37" w:rsidRPr="006B771F" w:rsidRDefault="00FF7728" w:rsidP="00FF7728">
      <w:pPr>
        <w:pStyle w:val="Point1"/>
        <w:rPr>
          <w:noProof/>
        </w:rPr>
      </w:pPr>
      <w:r w:rsidRPr="00FF7728">
        <w:rPr>
          <w:noProof/>
        </w:rPr>
        <w:t>b)</w:t>
      </w:r>
      <w:r w:rsidRPr="00FF7728">
        <w:rPr>
          <w:noProof/>
        </w:rPr>
        <w:tab/>
      </w:r>
      <w:r w:rsidR="00AD2D37" w:rsidRPr="006B771F">
        <w:rPr>
          <w:noProof/>
        </w:rPr>
        <w:t>Państwa członkowskie powinny</w:t>
      </w:r>
      <w:r w:rsidR="00043012" w:rsidRPr="006B771F">
        <w:rPr>
          <w:noProof/>
        </w:rPr>
        <w:t xml:space="preserve"> w</w:t>
      </w:r>
      <w:r w:rsidR="00043012">
        <w:rPr>
          <w:noProof/>
        </w:rPr>
        <w:t> </w:t>
      </w:r>
      <w:r w:rsidR="00043012" w:rsidRPr="006B771F">
        <w:rPr>
          <w:noProof/>
        </w:rPr>
        <w:t>peł</w:t>
      </w:r>
      <w:r w:rsidR="00AD2D37" w:rsidRPr="006B771F">
        <w:rPr>
          <w:noProof/>
        </w:rPr>
        <w:t>ni wykorzystać wsparcie finansowe udostępnione za pośrednictwem Funduszu Bezpieczeństwa Wewnętrznego – część dotycząca współpracy policyjnej, aby poprawić</w:t>
      </w:r>
      <w:r w:rsidR="00043012" w:rsidRPr="006B771F">
        <w:rPr>
          <w:noProof/>
        </w:rPr>
        <w:t xml:space="preserve"> i</w:t>
      </w:r>
      <w:r w:rsidR="00043012">
        <w:rPr>
          <w:noProof/>
        </w:rPr>
        <w:t> </w:t>
      </w:r>
      <w:r w:rsidR="00043012" w:rsidRPr="006B771F">
        <w:rPr>
          <w:noProof/>
        </w:rPr>
        <w:t>zac</w:t>
      </w:r>
      <w:r w:rsidR="00AD2D37" w:rsidRPr="006B771F">
        <w:rPr>
          <w:noProof/>
        </w:rPr>
        <w:t>ieśnić transgraniczną współpracę operacyjną.</w:t>
      </w:r>
    </w:p>
    <w:p w14:paraId="12564DAA" w14:textId="659D2505" w:rsidR="00AD2D37" w:rsidRPr="006B771F" w:rsidRDefault="00FF7728" w:rsidP="00FF7728">
      <w:pPr>
        <w:pStyle w:val="Point1"/>
        <w:rPr>
          <w:noProof/>
        </w:rPr>
      </w:pPr>
      <w:r w:rsidRPr="00FF7728">
        <w:rPr>
          <w:noProof/>
        </w:rPr>
        <w:t>c)</w:t>
      </w:r>
      <w:r w:rsidRPr="00FF7728">
        <w:rPr>
          <w:noProof/>
        </w:rPr>
        <w:tab/>
      </w:r>
      <w:r w:rsidR="00AD2D37" w:rsidRPr="006B771F">
        <w:rPr>
          <w:noProof/>
        </w:rPr>
        <w:t>W ciągu sześciu miesięcy od daty przyjęcia niniejszego zalecenia państwa członkowskie powinny wprowadzić niezbędne środki, m.in. poprzez zmianę swoich przepisów krajowych oraz dwu-</w:t>
      </w:r>
      <w:r w:rsidR="00043012" w:rsidRPr="006B771F">
        <w:rPr>
          <w:noProof/>
        </w:rPr>
        <w:t xml:space="preserve"> i</w:t>
      </w:r>
      <w:r w:rsidR="00043012">
        <w:rPr>
          <w:noProof/>
        </w:rPr>
        <w:t> </w:t>
      </w:r>
      <w:r w:rsidR="00043012" w:rsidRPr="006B771F">
        <w:rPr>
          <w:noProof/>
        </w:rPr>
        <w:t>wie</w:t>
      </w:r>
      <w:r w:rsidR="00AD2D37" w:rsidRPr="006B771F">
        <w:rPr>
          <w:noProof/>
        </w:rPr>
        <w:t>lostronnych umów</w:t>
      </w:r>
      <w:r w:rsidR="00043012" w:rsidRPr="006B771F">
        <w:rPr>
          <w:noProof/>
        </w:rPr>
        <w:t xml:space="preserve"> z</w:t>
      </w:r>
      <w:r w:rsidR="00043012">
        <w:rPr>
          <w:noProof/>
        </w:rPr>
        <w:t> </w:t>
      </w:r>
      <w:r w:rsidR="00043012" w:rsidRPr="006B771F">
        <w:rPr>
          <w:noProof/>
        </w:rPr>
        <w:t>inn</w:t>
      </w:r>
      <w:r w:rsidR="00AD2D37" w:rsidRPr="006B771F">
        <w:rPr>
          <w:noProof/>
        </w:rPr>
        <w:t>ymi państwami członkowskimi,</w:t>
      </w:r>
      <w:r w:rsidR="00043012" w:rsidRPr="006B771F">
        <w:rPr>
          <w:noProof/>
        </w:rPr>
        <w:t xml:space="preserve"> w</w:t>
      </w:r>
      <w:r w:rsidR="00043012">
        <w:rPr>
          <w:noProof/>
        </w:rPr>
        <w:t> </w:t>
      </w:r>
      <w:r w:rsidR="00043012" w:rsidRPr="006B771F">
        <w:rPr>
          <w:noProof/>
        </w:rPr>
        <w:t>sto</w:t>
      </w:r>
      <w:r w:rsidR="00AD2D37" w:rsidRPr="006B771F">
        <w:rPr>
          <w:noProof/>
        </w:rPr>
        <w:t>sownych przypadkach</w:t>
      </w:r>
      <w:r w:rsidR="00043012" w:rsidRPr="006B771F">
        <w:rPr>
          <w:noProof/>
        </w:rPr>
        <w:t xml:space="preserve"> i</w:t>
      </w:r>
      <w:r w:rsidR="00043012">
        <w:rPr>
          <w:noProof/>
        </w:rPr>
        <w:t> </w:t>
      </w:r>
      <w:r w:rsidR="00043012" w:rsidRPr="006B771F">
        <w:rPr>
          <w:noProof/>
        </w:rPr>
        <w:t>zgo</w:t>
      </w:r>
      <w:r w:rsidR="00AD2D37" w:rsidRPr="006B771F">
        <w:rPr>
          <w:noProof/>
        </w:rPr>
        <w:t>dnie</w:t>
      </w:r>
      <w:r w:rsidR="00043012" w:rsidRPr="006B771F">
        <w:rPr>
          <w:noProof/>
        </w:rPr>
        <w:t xml:space="preserve"> z</w:t>
      </w:r>
      <w:r w:rsidR="00043012">
        <w:rPr>
          <w:noProof/>
        </w:rPr>
        <w:t> </w:t>
      </w:r>
      <w:r w:rsidR="00043012" w:rsidRPr="006B771F">
        <w:rPr>
          <w:noProof/>
        </w:rPr>
        <w:t>pra</w:t>
      </w:r>
      <w:r w:rsidR="00AD2D37" w:rsidRPr="006B771F">
        <w:rPr>
          <w:noProof/>
        </w:rPr>
        <w:t>wem Unii,</w:t>
      </w:r>
      <w:r w:rsidR="00043012" w:rsidRPr="006B771F">
        <w:rPr>
          <w:noProof/>
        </w:rPr>
        <w:t xml:space="preserve"> w</w:t>
      </w:r>
      <w:r w:rsidR="00043012">
        <w:rPr>
          <w:noProof/>
        </w:rPr>
        <w:t> </w:t>
      </w:r>
      <w:r w:rsidR="00043012" w:rsidRPr="006B771F">
        <w:rPr>
          <w:noProof/>
        </w:rPr>
        <w:t>cel</w:t>
      </w:r>
      <w:r w:rsidR="00AD2D37" w:rsidRPr="006B771F">
        <w:rPr>
          <w:noProof/>
        </w:rPr>
        <w:t xml:space="preserve">u nadania skuteczności niniejszemu zaleceniu. </w:t>
      </w:r>
    </w:p>
    <w:p w14:paraId="13EE1F7E" w14:textId="4F92B190" w:rsidR="00AD2D37" w:rsidRPr="006B771F" w:rsidRDefault="00FF7728" w:rsidP="00FF7728">
      <w:pPr>
        <w:pStyle w:val="Point1"/>
        <w:rPr>
          <w:noProof/>
        </w:rPr>
      </w:pPr>
      <w:r w:rsidRPr="00FF7728">
        <w:rPr>
          <w:noProof/>
        </w:rPr>
        <w:t>d)</w:t>
      </w:r>
      <w:r w:rsidRPr="00FF7728">
        <w:rPr>
          <w:noProof/>
        </w:rPr>
        <w:tab/>
      </w:r>
      <w:r w:rsidR="00AD2D37" w:rsidRPr="006B771F">
        <w:rPr>
          <w:noProof/>
        </w:rPr>
        <w:t>Po upływie roku od daty przyjęcia niniejszego zalecenia Komisja powinna ocenić, jak państwa członkowskie zastosowały się do niniejszego zalecenia,</w:t>
      </w:r>
      <w:r w:rsidR="00043012" w:rsidRPr="006B771F">
        <w:rPr>
          <w:noProof/>
        </w:rPr>
        <w:t xml:space="preserve"> i</w:t>
      </w:r>
      <w:r w:rsidR="00043012">
        <w:rPr>
          <w:noProof/>
        </w:rPr>
        <w:t> </w:t>
      </w:r>
      <w:r w:rsidR="00043012" w:rsidRPr="006B771F">
        <w:rPr>
          <w:noProof/>
        </w:rPr>
        <w:t>opu</w:t>
      </w:r>
      <w:r w:rsidR="00AD2D37" w:rsidRPr="006B771F">
        <w:rPr>
          <w:noProof/>
        </w:rPr>
        <w:t>blikować sprawozdanie na ten temat.</w:t>
      </w:r>
    </w:p>
    <w:p w14:paraId="313AE91C" w14:textId="09FA11C8" w:rsidR="00AD2D37" w:rsidRPr="006B771F" w:rsidRDefault="00FA51C2" w:rsidP="00790708">
      <w:pPr>
        <w:pStyle w:val="Fait"/>
        <w:rPr>
          <w:noProof/>
        </w:rPr>
      </w:pPr>
      <w:r w:rsidRPr="00FA51C2">
        <w:t xml:space="preserve">Sporządzono w Brukseli dnia </w:t>
      </w:r>
      <w:r w:rsidRPr="00FA51C2">
        <w:rPr>
          <w:rStyle w:val="Marker"/>
        </w:rPr>
        <w:t>[…]</w:t>
      </w:r>
      <w:r w:rsidRPr="00FA51C2">
        <w:t xml:space="preserve"> r.</w:t>
      </w:r>
    </w:p>
    <w:p w14:paraId="3C0DA3D3" w14:textId="77777777" w:rsidR="00AD2D37" w:rsidRPr="006B771F" w:rsidRDefault="00AD2D37" w:rsidP="00790708">
      <w:pPr>
        <w:pStyle w:val="Institutionquisigne"/>
        <w:rPr>
          <w:noProof/>
        </w:rPr>
      </w:pPr>
      <w:r w:rsidRPr="006B771F">
        <w:rPr>
          <w:noProof/>
        </w:rPr>
        <w:tab/>
        <w:t>W imieniu Rady</w:t>
      </w:r>
    </w:p>
    <w:p w14:paraId="7252A885" w14:textId="77777777" w:rsidR="00AD2D37" w:rsidRPr="006B771F" w:rsidRDefault="00AD2D37" w:rsidP="00AD2D37">
      <w:pPr>
        <w:pStyle w:val="Personnequisigne"/>
        <w:rPr>
          <w:noProof/>
        </w:rPr>
      </w:pPr>
      <w:r w:rsidRPr="006B771F">
        <w:rPr>
          <w:noProof/>
        </w:rPr>
        <w:tab/>
        <w:t>Przewodniczący</w:t>
      </w:r>
    </w:p>
    <w:sectPr w:rsidR="00AD2D37" w:rsidRPr="006B771F" w:rsidSect="00CA7CF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80CC6" w14:textId="77777777" w:rsidR="00FC0ACC" w:rsidRDefault="00FC0ACC" w:rsidP="00EE6CC1">
      <w:pPr>
        <w:spacing w:before="0" w:after="0"/>
      </w:pPr>
      <w:r>
        <w:separator/>
      </w:r>
    </w:p>
  </w:endnote>
  <w:endnote w:type="continuationSeparator" w:id="0">
    <w:p w14:paraId="005CE161" w14:textId="77777777" w:rsidR="00FC0ACC" w:rsidRDefault="00FC0ACC" w:rsidP="00EE6CC1">
      <w:pPr>
        <w:spacing w:before="0" w:after="0"/>
      </w:pPr>
      <w:r>
        <w:continuationSeparator/>
      </w:r>
    </w:p>
  </w:endnote>
  <w:endnote w:type="continuationNotice" w:id="1">
    <w:p w14:paraId="35FF35AF" w14:textId="77777777" w:rsidR="00FC0ACC" w:rsidRDefault="00FC0A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altName w:val="Tahom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D2F13" w14:textId="4E4714A3" w:rsidR="00B84101" w:rsidRPr="00CA7CFE" w:rsidRDefault="00CA7CFE" w:rsidP="00CA7CFE">
    <w:pPr>
      <w:pStyle w:val="Footer"/>
      <w:rPr>
        <w:rFonts w:ascii="Arial" w:hAnsi="Arial" w:cs="Arial"/>
        <w:b/>
        <w:sz w:val="48"/>
      </w:rPr>
    </w:pPr>
    <w:r w:rsidRPr="00CA7CFE">
      <w:rPr>
        <w:rFonts w:ascii="Arial" w:hAnsi="Arial" w:cs="Arial"/>
        <w:b/>
        <w:sz w:val="48"/>
      </w:rPr>
      <w:t>PL</w:t>
    </w:r>
    <w:r w:rsidRPr="00CA7CFE">
      <w:rPr>
        <w:rFonts w:ascii="Arial" w:hAnsi="Arial" w:cs="Arial"/>
        <w:b/>
        <w:sz w:val="48"/>
      </w:rPr>
      <w:tab/>
    </w:r>
    <w:r w:rsidRPr="00CA7CFE">
      <w:rPr>
        <w:rFonts w:ascii="Arial" w:hAnsi="Arial" w:cs="Arial"/>
        <w:b/>
        <w:sz w:val="48"/>
      </w:rPr>
      <w:tab/>
    </w:r>
    <w:r w:rsidRPr="00CA7CFE">
      <w:tab/>
    </w:r>
    <w:r w:rsidRPr="00CA7CFE">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DED02" w14:textId="0D62F4B3" w:rsidR="00CA7CFE" w:rsidRPr="00CA7CFE" w:rsidRDefault="00CA7CFE" w:rsidP="00CA7CFE">
    <w:pPr>
      <w:pStyle w:val="Footer"/>
      <w:rPr>
        <w:rFonts w:ascii="Arial" w:hAnsi="Arial" w:cs="Arial"/>
        <w:b/>
        <w:sz w:val="48"/>
      </w:rPr>
    </w:pPr>
    <w:r w:rsidRPr="00CA7CFE">
      <w:rPr>
        <w:rFonts w:ascii="Arial" w:hAnsi="Arial" w:cs="Arial"/>
        <w:b/>
        <w:sz w:val="48"/>
      </w:rPr>
      <w:t>PL</w:t>
    </w:r>
    <w:r w:rsidRPr="00CA7CFE">
      <w:rPr>
        <w:rFonts w:ascii="Arial" w:hAnsi="Arial" w:cs="Arial"/>
        <w:b/>
        <w:sz w:val="48"/>
      </w:rPr>
      <w:tab/>
    </w:r>
    <w:r>
      <w:fldChar w:fldCharType="begin"/>
    </w:r>
    <w:r>
      <w:instrText xml:space="preserve"> PAGE  \* MERGEFORMAT </w:instrText>
    </w:r>
    <w:r>
      <w:fldChar w:fldCharType="separate"/>
    </w:r>
    <w:r w:rsidR="00790708">
      <w:rPr>
        <w:noProof/>
      </w:rPr>
      <w:t>29</w:t>
    </w:r>
    <w:r>
      <w:fldChar w:fldCharType="end"/>
    </w:r>
    <w:r>
      <w:tab/>
    </w:r>
    <w:r w:rsidRPr="00CA7CFE">
      <w:tab/>
    </w:r>
    <w:r w:rsidRPr="00CA7CFE">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842E2" w14:textId="77777777" w:rsidR="00CA7CFE" w:rsidRPr="00CA7CFE" w:rsidRDefault="00CA7CFE" w:rsidP="00CA7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7F584" w14:textId="77777777" w:rsidR="00FC0ACC" w:rsidRDefault="00FC0ACC" w:rsidP="00EE6CC1">
      <w:pPr>
        <w:spacing w:before="0" w:after="0"/>
      </w:pPr>
      <w:r>
        <w:separator/>
      </w:r>
    </w:p>
  </w:footnote>
  <w:footnote w:type="continuationSeparator" w:id="0">
    <w:p w14:paraId="413154A1" w14:textId="77777777" w:rsidR="00FC0ACC" w:rsidRDefault="00FC0ACC" w:rsidP="00EE6CC1">
      <w:pPr>
        <w:spacing w:before="0" w:after="0"/>
      </w:pPr>
      <w:r>
        <w:continuationSeparator/>
      </w:r>
    </w:p>
  </w:footnote>
  <w:footnote w:type="continuationNotice" w:id="1">
    <w:p w14:paraId="3BEA481C" w14:textId="77777777" w:rsidR="00FC0ACC" w:rsidRDefault="00FC0ACC">
      <w:pPr>
        <w:spacing w:before="0" w:after="0"/>
      </w:pPr>
    </w:p>
  </w:footnote>
  <w:footnote w:id="2">
    <w:p w14:paraId="6817F278" w14:textId="419683C3"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W odniesieniu do niniejszego zalecenia „współpraca policyjna” oznacza współpracę obejmującą wszystkie właściwe organy ścigania państw członkowskich,</w:t>
      </w:r>
      <w:r w:rsidR="00043012" w:rsidRPr="00891C9F">
        <w:rPr>
          <w:rStyle w:val="FootnoteTextChar"/>
        </w:rPr>
        <w:t xml:space="preserve"> w</w:t>
      </w:r>
      <w:r w:rsidR="00043012">
        <w:rPr>
          <w:rStyle w:val="FootnoteTextChar"/>
        </w:rPr>
        <w:t> </w:t>
      </w:r>
      <w:r w:rsidR="00043012" w:rsidRPr="00891C9F">
        <w:rPr>
          <w:rStyle w:val="FootnoteTextChar"/>
        </w:rPr>
        <w:t>tym</w:t>
      </w:r>
      <w:r w:rsidRPr="00891C9F">
        <w:rPr>
          <w:rStyle w:val="FootnoteTextChar"/>
        </w:rPr>
        <w:t xml:space="preserve"> służby policji, żandarmerii, straż graniczną, służby celne oraz inne organy ścigania wyspecjalizowane</w:t>
      </w:r>
      <w:r w:rsidR="00043012" w:rsidRPr="00891C9F">
        <w:rPr>
          <w:rStyle w:val="FootnoteTextChar"/>
        </w:rPr>
        <w:t xml:space="preserve"> w</w:t>
      </w:r>
      <w:r w:rsidR="00043012">
        <w:rPr>
          <w:rStyle w:val="FootnoteTextChar"/>
        </w:rPr>
        <w:t> </w:t>
      </w:r>
      <w:r w:rsidR="00043012" w:rsidRPr="00891C9F">
        <w:rPr>
          <w:rStyle w:val="FootnoteTextChar"/>
        </w:rPr>
        <w:t>zap</w:t>
      </w:r>
      <w:r w:rsidRPr="00891C9F">
        <w:rPr>
          <w:rStyle w:val="FootnoteTextChar"/>
        </w:rPr>
        <w:t>obieganiu przestępstwom lub ich wykrywaniu</w:t>
      </w:r>
      <w:r w:rsidR="00043012" w:rsidRPr="00891C9F">
        <w:rPr>
          <w:rStyle w:val="FootnoteTextChar"/>
        </w:rPr>
        <w:t xml:space="preserve"> i</w:t>
      </w:r>
      <w:r w:rsidR="00043012">
        <w:rPr>
          <w:rStyle w:val="FootnoteTextChar"/>
        </w:rPr>
        <w:t> </w:t>
      </w:r>
      <w:r w:rsidR="00043012" w:rsidRPr="00891C9F">
        <w:rPr>
          <w:rStyle w:val="FootnoteTextChar"/>
        </w:rPr>
        <w:t>ści</w:t>
      </w:r>
      <w:r w:rsidRPr="00891C9F">
        <w:rPr>
          <w:rStyle w:val="FootnoteTextChar"/>
        </w:rPr>
        <w:t>ganiu</w:t>
      </w:r>
      <w:r w:rsidR="00043012" w:rsidRPr="00891C9F">
        <w:rPr>
          <w:rStyle w:val="FootnoteTextChar"/>
        </w:rPr>
        <w:t>. O</w:t>
      </w:r>
      <w:r w:rsidR="00043012">
        <w:rPr>
          <w:rStyle w:val="FootnoteTextChar"/>
        </w:rPr>
        <w:t> </w:t>
      </w:r>
      <w:r w:rsidR="00043012" w:rsidRPr="00891C9F">
        <w:rPr>
          <w:rStyle w:val="FootnoteTextChar"/>
        </w:rPr>
        <w:t>ile</w:t>
      </w:r>
      <w:r w:rsidRPr="00891C9F">
        <w:rPr>
          <w:rStyle w:val="FootnoteTextChar"/>
        </w:rPr>
        <w:t xml:space="preserve"> nie określono inaczej, termin „transgraniczne” obejmuje (i) działania transgraniczne między co najmniej dwoma sąsiadującymi państwami członkowskimi (np. podczas pościgu) oraz (ii) działania transnarodowe między niesąsiadującymi państwami członkowskimi (np. rozmieszczenie funkcjonariuszy policji</w:t>
      </w:r>
      <w:r w:rsidR="00043012" w:rsidRPr="00891C9F">
        <w:rPr>
          <w:rStyle w:val="FootnoteTextChar"/>
        </w:rPr>
        <w:t xml:space="preserve"> w</w:t>
      </w:r>
      <w:r w:rsidR="00043012">
        <w:rPr>
          <w:rStyle w:val="FootnoteTextChar"/>
        </w:rPr>
        <w:t> </w:t>
      </w:r>
      <w:r w:rsidR="00043012" w:rsidRPr="00891C9F">
        <w:rPr>
          <w:rStyle w:val="FootnoteTextChar"/>
        </w:rPr>
        <w:t>dru</w:t>
      </w:r>
      <w:r w:rsidRPr="00891C9F">
        <w:rPr>
          <w:rStyle w:val="FootnoteTextChar"/>
        </w:rPr>
        <w:t xml:space="preserve">gim państwie członkowskim podczas sezonu turystycznego lub imprezy masowej) bądź między sąsiadującymi państwami członkowskimi na obszarze niebędącym strefą przygraniczną. </w:t>
      </w:r>
    </w:p>
  </w:footnote>
  <w:footnote w:id="3">
    <w:p w14:paraId="79BDE50B" w14:textId="76300B2E" w:rsidR="00AD2D37" w:rsidRPr="00891C9F" w:rsidRDefault="00AD2D37" w:rsidP="00AD2D37">
      <w:pPr>
        <w:pStyle w:val="FootnoteText"/>
      </w:pPr>
      <w:r w:rsidRPr="00891C9F">
        <w:rPr>
          <w:rStyle w:val="FootnoteReference0"/>
        </w:rPr>
        <w:footnoteRef/>
      </w:r>
      <w:r w:rsidRPr="00891C9F">
        <w:tab/>
        <w:t>COM(2021) 170 final</w:t>
      </w:r>
      <w:r w:rsidR="00043012" w:rsidRPr="00891C9F">
        <w:t xml:space="preserve"> z</w:t>
      </w:r>
      <w:r w:rsidR="00043012">
        <w:t> </w:t>
      </w:r>
      <w:r w:rsidR="00043012" w:rsidRPr="00891C9F">
        <w:t>1</w:t>
      </w:r>
      <w:r w:rsidRPr="00891C9F">
        <w:t>4.4.2021.</w:t>
      </w:r>
    </w:p>
  </w:footnote>
  <w:footnote w:id="4">
    <w:p w14:paraId="0508D614" w14:textId="405A83A5"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COM(2020) 605 final</w:t>
      </w:r>
      <w:r w:rsidR="00043012" w:rsidRPr="00891C9F">
        <w:rPr>
          <w:rStyle w:val="FootnoteTextChar"/>
        </w:rPr>
        <w:t xml:space="preserve"> z</w:t>
      </w:r>
      <w:r w:rsidR="00043012">
        <w:rPr>
          <w:rStyle w:val="FootnoteTextChar"/>
        </w:rPr>
        <w:t> </w:t>
      </w:r>
      <w:r w:rsidR="00043012" w:rsidRPr="00891C9F">
        <w:rPr>
          <w:rStyle w:val="FootnoteTextChar"/>
        </w:rPr>
        <w:t>2</w:t>
      </w:r>
      <w:r w:rsidRPr="00891C9F">
        <w:rPr>
          <w:rStyle w:val="FootnoteTextChar"/>
        </w:rPr>
        <w:t>4.7.2020.</w:t>
      </w:r>
    </w:p>
  </w:footnote>
  <w:footnote w:id="5">
    <w:p w14:paraId="3F097324" w14:textId="78EE1C6C"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COM(2021) 170 final</w:t>
      </w:r>
      <w:r w:rsidR="00043012" w:rsidRPr="00891C9F">
        <w:rPr>
          <w:rStyle w:val="FootnoteTextChar"/>
        </w:rPr>
        <w:t xml:space="preserve"> z</w:t>
      </w:r>
      <w:r w:rsidR="00043012">
        <w:rPr>
          <w:rStyle w:val="FootnoteTextChar"/>
        </w:rPr>
        <w:t> </w:t>
      </w:r>
      <w:r w:rsidR="00043012" w:rsidRPr="00891C9F">
        <w:rPr>
          <w:rStyle w:val="FootnoteTextChar"/>
        </w:rPr>
        <w:t>1</w:t>
      </w:r>
      <w:r w:rsidRPr="00891C9F">
        <w:rPr>
          <w:rStyle w:val="FootnoteTextChar"/>
        </w:rPr>
        <w:t>4.4.2021.</w:t>
      </w:r>
    </w:p>
  </w:footnote>
  <w:footnote w:id="6">
    <w:p w14:paraId="6892F68E" w14:textId="2AE822E0"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 xml:space="preserve">Europol (2021), </w:t>
      </w:r>
      <w:r w:rsidRPr="00891C9F">
        <w:rPr>
          <w:rStyle w:val="FootnoteTextChar"/>
          <w:i/>
          <w:iCs/>
        </w:rPr>
        <w:t>European Union serious and organised crime threat assessment,</w:t>
      </w:r>
      <w:r w:rsidR="00043012" w:rsidRPr="00891C9F">
        <w:rPr>
          <w:rStyle w:val="FootnoteTextChar"/>
          <w:i/>
          <w:iCs/>
        </w:rPr>
        <w:t xml:space="preserve"> a</w:t>
      </w:r>
      <w:r w:rsidR="00043012">
        <w:rPr>
          <w:rStyle w:val="FootnoteTextChar"/>
          <w:i/>
          <w:iCs/>
        </w:rPr>
        <w:t> </w:t>
      </w:r>
      <w:r w:rsidR="00043012" w:rsidRPr="00891C9F">
        <w:rPr>
          <w:rStyle w:val="FootnoteTextChar"/>
          <w:i/>
          <w:iCs/>
        </w:rPr>
        <w:t>cor</w:t>
      </w:r>
      <w:r w:rsidRPr="00891C9F">
        <w:rPr>
          <w:rStyle w:val="FootnoteTextChar"/>
          <w:i/>
          <w:iCs/>
        </w:rPr>
        <w:t>rupting influence:</w:t>
      </w:r>
      <w:r w:rsidRPr="00891C9F">
        <w:rPr>
          <w:rStyle w:val="FootnoteTextChar"/>
        </w:rPr>
        <w:t xml:space="preserve"> </w:t>
      </w:r>
      <w:r w:rsidRPr="00891C9F">
        <w:rPr>
          <w:rStyle w:val="FootnoteTextChar"/>
          <w:i/>
          <w:iCs/>
        </w:rPr>
        <w:t>the infiltration and undermining of Europe's economy and society by organised crime</w:t>
      </w:r>
      <w:r w:rsidRPr="00891C9F">
        <w:rPr>
          <w:rStyle w:val="FootnoteTextChar"/>
        </w:rPr>
        <w:t xml:space="preserve"> [„Ocena zagrożenia poważnymi przestępstwami</w:t>
      </w:r>
      <w:r w:rsidR="00043012" w:rsidRPr="00891C9F">
        <w:rPr>
          <w:rStyle w:val="FootnoteTextChar"/>
        </w:rPr>
        <w:t xml:space="preserve"> i</w:t>
      </w:r>
      <w:r w:rsidR="00043012">
        <w:rPr>
          <w:rStyle w:val="FootnoteTextChar"/>
        </w:rPr>
        <w:t> </w:t>
      </w:r>
      <w:r w:rsidR="00043012" w:rsidRPr="00891C9F">
        <w:rPr>
          <w:rStyle w:val="FootnoteTextChar"/>
        </w:rPr>
        <w:t>prz</w:t>
      </w:r>
      <w:r w:rsidRPr="00891C9F">
        <w:rPr>
          <w:rStyle w:val="FootnoteTextChar"/>
        </w:rPr>
        <w:t>estępczością zorganizowaną</w:t>
      </w:r>
      <w:r w:rsidR="00043012" w:rsidRPr="00891C9F">
        <w:rPr>
          <w:rStyle w:val="FootnoteTextChar"/>
        </w:rPr>
        <w:t xml:space="preserve"> w</w:t>
      </w:r>
      <w:r w:rsidR="00043012">
        <w:rPr>
          <w:rStyle w:val="FootnoteTextChar"/>
        </w:rPr>
        <w:t> </w:t>
      </w:r>
      <w:r w:rsidR="00043012" w:rsidRPr="00891C9F">
        <w:rPr>
          <w:rStyle w:val="FootnoteTextChar"/>
        </w:rPr>
        <w:t>Uni</w:t>
      </w:r>
      <w:r w:rsidRPr="00891C9F">
        <w:rPr>
          <w:rStyle w:val="FootnoteTextChar"/>
        </w:rPr>
        <w:t>i Europejskiej. Demoralizujący wpływ: infiltracja</w:t>
      </w:r>
      <w:r w:rsidR="00043012" w:rsidRPr="00891C9F">
        <w:rPr>
          <w:rStyle w:val="FootnoteTextChar"/>
        </w:rPr>
        <w:t xml:space="preserve"> i</w:t>
      </w:r>
      <w:r w:rsidR="00043012">
        <w:rPr>
          <w:rStyle w:val="FootnoteTextChar"/>
        </w:rPr>
        <w:t> </w:t>
      </w:r>
      <w:r w:rsidR="00043012" w:rsidRPr="00891C9F">
        <w:rPr>
          <w:rStyle w:val="FootnoteTextChar"/>
        </w:rPr>
        <w:t>dzi</w:t>
      </w:r>
      <w:r w:rsidRPr="00891C9F">
        <w:rPr>
          <w:rStyle w:val="FootnoteTextChar"/>
        </w:rPr>
        <w:t>ałanie przestępczości zorganizowanej na szkodę europejskiej gospodarki oraz społeczeństwa”], Urząd Publikacji Unii Europejskiej, Luksemburg.</w:t>
      </w:r>
    </w:p>
  </w:footnote>
  <w:footnote w:id="7">
    <w:p w14:paraId="6909948D" w14:textId="6D9312E1" w:rsidR="00AD2D37" w:rsidRPr="00891C9F" w:rsidRDefault="00AD2D37" w:rsidP="00AD2D37">
      <w:pPr>
        <w:pStyle w:val="FootnoteText"/>
        <w:rPr>
          <w:rStyle w:val="FootnoteTextChar"/>
          <w:bCs/>
        </w:rPr>
      </w:pPr>
      <w:r w:rsidRPr="00891C9F">
        <w:rPr>
          <w:rStyle w:val="FootnoteReference0"/>
        </w:rPr>
        <w:footnoteRef/>
      </w:r>
      <w:r w:rsidRPr="00891C9F">
        <w:tab/>
      </w:r>
      <w:r w:rsidRPr="00891C9F">
        <w:rPr>
          <w:rStyle w:val="FootnoteTextChar"/>
        </w:rPr>
        <w:t>Europejskie Centrum Monitorowania Narkotyków</w:t>
      </w:r>
      <w:r w:rsidR="00043012" w:rsidRPr="00891C9F">
        <w:rPr>
          <w:rStyle w:val="FootnoteTextChar"/>
        </w:rPr>
        <w:t xml:space="preserve"> i</w:t>
      </w:r>
      <w:r w:rsidR="00043012">
        <w:rPr>
          <w:rStyle w:val="FootnoteTextChar"/>
        </w:rPr>
        <w:t> </w:t>
      </w:r>
      <w:r w:rsidR="00043012" w:rsidRPr="00891C9F">
        <w:rPr>
          <w:rStyle w:val="FootnoteTextChar"/>
        </w:rPr>
        <w:t>Nar</w:t>
      </w:r>
      <w:r w:rsidRPr="00891C9F">
        <w:rPr>
          <w:rStyle w:val="FootnoteTextChar"/>
        </w:rPr>
        <w:t>komanii (2021), Europejski raport narkotykowy 2021: tendencje</w:t>
      </w:r>
      <w:r w:rsidR="00043012" w:rsidRPr="00891C9F">
        <w:rPr>
          <w:rStyle w:val="FootnoteTextChar"/>
        </w:rPr>
        <w:t xml:space="preserve"> i</w:t>
      </w:r>
      <w:r w:rsidR="00043012">
        <w:rPr>
          <w:rStyle w:val="FootnoteTextChar"/>
        </w:rPr>
        <w:t> </w:t>
      </w:r>
      <w:r w:rsidR="00043012" w:rsidRPr="00891C9F">
        <w:rPr>
          <w:rStyle w:val="FootnoteTextChar"/>
        </w:rPr>
        <w:t>osi</w:t>
      </w:r>
      <w:r w:rsidRPr="00891C9F">
        <w:rPr>
          <w:rStyle w:val="FootnoteTextChar"/>
        </w:rPr>
        <w:t>ągnięcia, Urząd Publikacji Unii Europejskiej, Luksemburg.</w:t>
      </w:r>
    </w:p>
  </w:footnote>
  <w:footnote w:id="8">
    <w:p w14:paraId="2F94E5CD" w14:textId="77777777"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Europol (2021), EU SOCTA 2021.</w:t>
      </w:r>
    </w:p>
  </w:footnote>
  <w:footnote w:id="9">
    <w:p w14:paraId="7E40B79F" w14:textId="33C9322C"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Mobilność międzynarodowa jest cechą charakterystyczną siatek przestępczych. Przykładowo</w:t>
      </w:r>
      <w:r w:rsidR="00043012" w:rsidRPr="00891C9F">
        <w:rPr>
          <w:rStyle w:val="FootnoteTextChar"/>
        </w:rPr>
        <w:t xml:space="preserve"> w</w:t>
      </w:r>
      <w:r w:rsidR="00043012">
        <w:rPr>
          <w:rStyle w:val="FootnoteTextChar"/>
        </w:rPr>
        <w:t> </w:t>
      </w:r>
      <w:r w:rsidR="00043012" w:rsidRPr="00891C9F">
        <w:rPr>
          <w:rStyle w:val="FootnoteTextChar"/>
        </w:rPr>
        <w:t>zor</w:t>
      </w:r>
      <w:r w:rsidRPr="00891C9F">
        <w:rPr>
          <w:rStyle w:val="FootnoteTextChar"/>
        </w:rPr>
        <w:t>ganizowaną przestępczość przeciwko mieniu w UE zaangażowane są przede wszystkim mobilne zorganizowane grupy przestępcze, których główną cechą charakterystyczną pozostaje mobilność</w:t>
      </w:r>
      <w:r w:rsidR="00043012" w:rsidRPr="00891C9F">
        <w:rPr>
          <w:rStyle w:val="FootnoteTextChar"/>
        </w:rPr>
        <w:t xml:space="preserve"> w</w:t>
      </w:r>
      <w:r w:rsidR="00043012">
        <w:rPr>
          <w:rStyle w:val="FootnoteTextChar"/>
        </w:rPr>
        <w:t> </w:t>
      </w:r>
      <w:r w:rsidR="00043012" w:rsidRPr="00891C9F">
        <w:rPr>
          <w:rStyle w:val="FootnoteTextChar"/>
        </w:rPr>
        <w:t>cel</w:t>
      </w:r>
      <w:r w:rsidRPr="00891C9F">
        <w:rPr>
          <w:rStyle w:val="FootnoteTextChar"/>
        </w:rPr>
        <w:t>u uniknięcia wykrycia</w:t>
      </w:r>
      <w:r w:rsidR="00043012" w:rsidRPr="00891C9F">
        <w:rPr>
          <w:rStyle w:val="FootnoteTextChar"/>
        </w:rPr>
        <w:t xml:space="preserve"> i</w:t>
      </w:r>
      <w:r w:rsidR="00043012">
        <w:rPr>
          <w:rStyle w:val="FootnoteTextChar"/>
        </w:rPr>
        <w:t> </w:t>
      </w:r>
      <w:r w:rsidR="00043012" w:rsidRPr="00891C9F">
        <w:rPr>
          <w:rStyle w:val="FootnoteTextChar"/>
        </w:rPr>
        <w:t>zmi</w:t>
      </w:r>
      <w:r w:rsidRPr="00891C9F">
        <w:rPr>
          <w:rStyle w:val="FootnoteTextChar"/>
        </w:rPr>
        <w:t>nimalizowania ryzyka zatrzymania. Europol (2021), EU SOCTA 2021.</w:t>
      </w:r>
    </w:p>
  </w:footnote>
  <w:footnote w:id="10">
    <w:p w14:paraId="13D139EA" w14:textId="38331BED"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COM(2020) 795 final</w:t>
      </w:r>
      <w:r w:rsidR="00043012" w:rsidRPr="00891C9F">
        <w:rPr>
          <w:rStyle w:val="FootnoteTextChar"/>
        </w:rPr>
        <w:t xml:space="preserve"> z</w:t>
      </w:r>
      <w:r w:rsidR="00043012">
        <w:rPr>
          <w:rStyle w:val="FootnoteTextChar"/>
        </w:rPr>
        <w:t> </w:t>
      </w:r>
      <w:r w:rsidR="00043012" w:rsidRPr="00891C9F">
        <w:rPr>
          <w:rStyle w:val="FootnoteTextChar"/>
        </w:rPr>
        <w:t>9</w:t>
      </w:r>
      <w:r w:rsidRPr="00891C9F">
        <w:rPr>
          <w:rStyle w:val="FootnoteTextChar"/>
        </w:rPr>
        <w:t>.12.2020.</w:t>
      </w:r>
    </w:p>
  </w:footnote>
  <w:footnote w:id="11">
    <w:p w14:paraId="5CA76FE4" w14:textId="6F252F0B"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Dokument roboczy służb Komisji – ocena skutków towarzysząca rozporządzeniu Parlamentu Europejskiego</w:t>
      </w:r>
      <w:r w:rsidR="00043012" w:rsidRPr="00891C9F">
        <w:rPr>
          <w:rStyle w:val="FootnoteTextChar"/>
        </w:rPr>
        <w:t xml:space="preserve"> i</w:t>
      </w:r>
      <w:r w:rsidR="00043012">
        <w:rPr>
          <w:rStyle w:val="FootnoteTextChar"/>
        </w:rPr>
        <w:t> </w:t>
      </w:r>
      <w:r w:rsidR="00043012" w:rsidRPr="00891C9F">
        <w:rPr>
          <w:rStyle w:val="FootnoteTextChar"/>
        </w:rPr>
        <w:t>Rad</w:t>
      </w:r>
      <w:r w:rsidRPr="00891C9F">
        <w:rPr>
          <w:rStyle w:val="FootnoteTextChar"/>
        </w:rPr>
        <w:t>y zmieniającemu rozporządzenie (UE) 2016/794</w:t>
      </w:r>
      <w:r w:rsidR="00043012" w:rsidRPr="00891C9F">
        <w:rPr>
          <w:rStyle w:val="FootnoteTextChar"/>
        </w:rPr>
        <w:t xml:space="preserve"> w</w:t>
      </w:r>
      <w:r w:rsidR="00043012">
        <w:rPr>
          <w:rStyle w:val="FootnoteTextChar"/>
        </w:rPr>
        <w:t> </w:t>
      </w:r>
      <w:r w:rsidR="00043012" w:rsidRPr="00891C9F">
        <w:rPr>
          <w:rStyle w:val="FootnoteTextChar"/>
        </w:rPr>
        <w:t>odn</w:t>
      </w:r>
      <w:r w:rsidRPr="00891C9F">
        <w:rPr>
          <w:rStyle w:val="FootnoteTextChar"/>
        </w:rPr>
        <w:t>iesieniu do współpracy Europolu</w:t>
      </w:r>
      <w:r w:rsidR="00043012" w:rsidRPr="00891C9F">
        <w:rPr>
          <w:rStyle w:val="FootnoteTextChar"/>
        </w:rPr>
        <w:t xml:space="preserve"> z</w:t>
      </w:r>
      <w:r w:rsidR="00043012">
        <w:rPr>
          <w:rStyle w:val="FootnoteTextChar"/>
        </w:rPr>
        <w:t> </w:t>
      </w:r>
      <w:r w:rsidR="00043012" w:rsidRPr="00891C9F">
        <w:rPr>
          <w:rStyle w:val="FootnoteTextChar"/>
        </w:rPr>
        <w:t>pod</w:t>
      </w:r>
      <w:r w:rsidRPr="00891C9F">
        <w:rPr>
          <w:rStyle w:val="FootnoteTextChar"/>
        </w:rPr>
        <w:t>miotami prywatnymi, przetwarzania danych osobowych przez Europol</w:t>
      </w:r>
      <w:r w:rsidR="00043012" w:rsidRPr="00891C9F">
        <w:rPr>
          <w:rStyle w:val="FootnoteTextChar"/>
        </w:rPr>
        <w:t xml:space="preserve"> w</w:t>
      </w:r>
      <w:r w:rsidR="00043012">
        <w:rPr>
          <w:rStyle w:val="FootnoteTextChar"/>
        </w:rPr>
        <w:t> </w:t>
      </w:r>
      <w:r w:rsidR="00043012" w:rsidRPr="00891C9F">
        <w:rPr>
          <w:rStyle w:val="FootnoteTextChar"/>
        </w:rPr>
        <w:t>cel</w:t>
      </w:r>
      <w:r w:rsidRPr="00891C9F">
        <w:rPr>
          <w:rStyle w:val="FootnoteTextChar"/>
        </w:rPr>
        <w:t>u wspierania postępowań przygotowawczych oraz roli Europolu</w:t>
      </w:r>
      <w:r w:rsidR="00043012" w:rsidRPr="00891C9F">
        <w:rPr>
          <w:rStyle w:val="FootnoteTextChar"/>
        </w:rPr>
        <w:t xml:space="preserve"> w</w:t>
      </w:r>
      <w:r w:rsidR="00043012">
        <w:rPr>
          <w:rStyle w:val="FootnoteTextChar"/>
        </w:rPr>
        <w:t> </w:t>
      </w:r>
      <w:r w:rsidR="00043012" w:rsidRPr="00891C9F">
        <w:rPr>
          <w:rStyle w:val="FootnoteTextChar"/>
        </w:rPr>
        <w:t>zak</w:t>
      </w:r>
      <w:r w:rsidRPr="00891C9F">
        <w:rPr>
          <w:rStyle w:val="FootnoteTextChar"/>
        </w:rPr>
        <w:t>resie badań naukowych</w:t>
      </w:r>
      <w:r w:rsidR="00043012" w:rsidRPr="00891C9F">
        <w:rPr>
          <w:rStyle w:val="FootnoteTextChar"/>
        </w:rPr>
        <w:t xml:space="preserve"> i</w:t>
      </w:r>
      <w:r w:rsidR="00043012">
        <w:rPr>
          <w:rStyle w:val="FootnoteTextChar"/>
        </w:rPr>
        <w:t> </w:t>
      </w:r>
      <w:r w:rsidR="00043012" w:rsidRPr="00891C9F">
        <w:rPr>
          <w:rStyle w:val="FootnoteTextChar"/>
        </w:rPr>
        <w:t>inn</w:t>
      </w:r>
      <w:r w:rsidRPr="00891C9F">
        <w:rPr>
          <w:rStyle w:val="FootnoteTextChar"/>
        </w:rPr>
        <w:t>owacji. (SWD(2020) 543 final</w:t>
      </w:r>
      <w:r w:rsidR="00043012" w:rsidRPr="00891C9F">
        <w:rPr>
          <w:rStyle w:val="FootnoteTextChar"/>
        </w:rPr>
        <w:t xml:space="preserve"> z</w:t>
      </w:r>
      <w:r w:rsidR="00043012">
        <w:rPr>
          <w:rStyle w:val="FootnoteTextChar"/>
        </w:rPr>
        <w:t> </w:t>
      </w:r>
      <w:r w:rsidR="00043012" w:rsidRPr="00891C9F">
        <w:rPr>
          <w:rStyle w:val="FootnoteTextChar"/>
        </w:rPr>
        <w:t>9</w:t>
      </w:r>
      <w:r w:rsidRPr="00891C9F">
        <w:rPr>
          <w:rStyle w:val="FootnoteTextChar"/>
        </w:rPr>
        <w:t>.12.20</w:t>
      </w:r>
      <w:r w:rsidRPr="00043012">
        <w:rPr>
          <w:rStyle w:val="FootnoteTextChar"/>
          <w:lang w:val="pl-PL"/>
        </w:rPr>
        <w:t>20</w:t>
      </w:r>
      <w:r w:rsidR="00043012" w:rsidRPr="00043012">
        <w:rPr>
          <w:rStyle w:val="FootnoteTextChar"/>
          <w:lang w:val="pl-PL"/>
        </w:rPr>
        <w:t> </w:t>
      </w:r>
      <w:r w:rsidRPr="00043012">
        <w:rPr>
          <w:rStyle w:val="FootnoteTextChar"/>
          <w:lang w:val="pl-PL"/>
        </w:rPr>
        <w:t>r.</w:t>
      </w:r>
      <w:r w:rsidRPr="00891C9F">
        <w:rPr>
          <w:rStyle w:val="FootnoteTextChar"/>
        </w:rPr>
        <w:t xml:space="preserve">). </w:t>
      </w:r>
    </w:p>
  </w:footnote>
  <w:footnote w:id="12">
    <w:p w14:paraId="1E7C6C46" w14:textId="06CC6381" w:rsidR="00AD2D37" w:rsidRPr="00891C9F" w:rsidRDefault="00AD2D37" w:rsidP="00AD2D37">
      <w:pPr>
        <w:pStyle w:val="FootnoteText"/>
      </w:pPr>
      <w:r w:rsidRPr="00891C9F">
        <w:rPr>
          <w:rStyle w:val="FootnoteReference0"/>
        </w:rPr>
        <w:footnoteRef/>
      </w:r>
      <w:r w:rsidRPr="00891C9F">
        <w:tab/>
      </w:r>
      <w:r w:rsidRPr="00891C9F">
        <w:rPr>
          <w:rStyle w:val="FootnoteTextChar"/>
          <w:bCs/>
        </w:rPr>
        <w:t>Strefa Schengen składa się</w:t>
      </w:r>
      <w:r w:rsidR="00043012" w:rsidRPr="00891C9F">
        <w:rPr>
          <w:rStyle w:val="FootnoteTextChar"/>
          <w:bCs/>
        </w:rPr>
        <w:t xml:space="preserve"> z</w:t>
      </w:r>
      <w:r w:rsidR="00043012">
        <w:rPr>
          <w:rStyle w:val="FootnoteTextChar"/>
          <w:bCs/>
        </w:rPr>
        <w:t> </w:t>
      </w:r>
      <w:r w:rsidR="00043012" w:rsidRPr="00891C9F">
        <w:rPr>
          <w:rStyle w:val="FootnoteTextChar"/>
          <w:bCs/>
        </w:rPr>
        <w:t>2</w:t>
      </w:r>
      <w:r w:rsidRPr="00891C9F">
        <w:rPr>
          <w:rStyle w:val="FootnoteTextChar"/>
          <w:bCs/>
        </w:rPr>
        <w:t>6 krajów europejskich</w:t>
      </w:r>
      <w:r w:rsidRPr="00891C9F">
        <w:rPr>
          <w:rStyle w:val="FootnoteTextChar"/>
        </w:rPr>
        <w:t xml:space="preserve">: </w:t>
      </w:r>
      <w:hyperlink r:id="rId1" w:history="1">
        <w:r w:rsidRPr="00891C9F">
          <w:rPr>
            <w:rStyle w:val="FootnoteTextChar"/>
          </w:rPr>
          <w:t>Austrii</w:t>
        </w:r>
      </w:hyperlink>
      <w:r w:rsidRPr="00891C9F">
        <w:rPr>
          <w:rStyle w:val="FootnoteTextChar"/>
        </w:rPr>
        <w:t xml:space="preserve">, </w:t>
      </w:r>
      <w:hyperlink r:id="rId2" w:history="1">
        <w:r w:rsidRPr="00891C9F">
          <w:rPr>
            <w:rStyle w:val="FootnoteTextChar"/>
          </w:rPr>
          <w:t>Belgii</w:t>
        </w:r>
      </w:hyperlink>
      <w:r w:rsidRPr="00891C9F">
        <w:rPr>
          <w:rStyle w:val="FootnoteTextChar"/>
        </w:rPr>
        <w:t xml:space="preserve">, Republiki Czeskiej, </w:t>
      </w:r>
      <w:hyperlink r:id="rId3" w:history="1">
        <w:r w:rsidRPr="00891C9F">
          <w:rPr>
            <w:rStyle w:val="FootnoteTextChar"/>
          </w:rPr>
          <w:t>Danii</w:t>
        </w:r>
      </w:hyperlink>
      <w:r w:rsidRPr="00891C9F">
        <w:rPr>
          <w:rStyle w:val="FootnoteTextChar"/>
        </w:rPr>
        <w:t xml:space="preserve">, </w:t>
      </w:r>
      <w:hyperlink r:id="rId4" w:history="1">
        <w:r w:rsidRPr="00891C9F">
          <w:rPr>
            <w:rStyle w:val="FootnoteTextChar"/>
          </w:rPr>
          <w:t>Estonii</w:t>
        </w:r>
      </w:hyperlink>
      <w:r w:rsidRPr="00891C9F">
        <w:rPr>
          <w:rStyle w:val="FootnoteTextChar"/>
        </w:rPr>
        <w:t xml:space="preserve">, </w:t>
      </w:r>
      <w:hyperlink r:id="rId5" w:history="1">
        <w:r w:rsidRPr="00891C9F">
          <w:rPr>
            <w:rStyle w:val="FootnoteTextChar"/>
          </w:rPr>
          <w:t>Finlandii</w:t>
        </w:r>
      </w:hyperlink>
      <w:r w:rsidRPr="00891C9F">
        <w:rPr>
          <w:rStyle w:val="FootnoteTextChar"/>
        </w:rPr>
        <w:t xml:space="preserve">, </w:t>
      </w:r>
      <w:hyperlink r:id="rId6" w:tooltip="Francja" w:history="1">
        <w:r w:rsidRPr="00891C9F">
          <w:rPr>
            <w:rStyle w:val="FootnoteTextChar"/>
          </w:rPr>
          <w:t>Francji</w:t>
        </w:r>
      </w:hyperlink>
      <w:r w:rsidRPr="00891C9F">
        <w:rPr>
          <w:rStyle w:val="FootnoteTextChar"/>
        </w:rPr>
        <w:t xml:space="preserve">, </w:t>
      </w:r>
      <w:hyperlink r:id="rId7" w:history="1">
        <w:r w:rsidRPr="00891C9F">
          <w:rPr>
            <w:rStyle w:val="FootnoteTextChar"/>
          </w:rPr>
          <w:t>Niemiec</w:t>
        </w:r>
      </w:hyperlink>
      <w:r w:rsidRPr="00891C9F">
        <w:rPr>
          <w:rStyle w:val="FootnoteTextChar"/>
        </w:rPr>
        <w:t xml:space="preserve">, </w:t>
      </w:r>
      <w:hyperlink r:id="rId8" w:history="1">
        <w:r w:rsidRPr="00891C9F">
          <w:rPr>
            <w:rStyle w:val="FootnoteTextChar"/>
          </w:rPr>
          <w:t>Grecji</w:t>
        </w:r>
      </w:hyperlink>
      <w:r w:rsidRPr="00891C9F">
        <w:rPr>
          <w:rStyle w:val="FootnoteTextChar"/>
        </w:rPr>
        <w:t xml:space="preserve">, </w:t>
      </w:r>
      <w:hyperlink r:id="rId9" w:history="1">
        <w:r w:rsidRPr="00891C9F">
          <w:rPr>
            <w:rStyle w:val="FootnoteTextChar"/>
          </w:rPr>
          <w:t>Węgier</w:t>
        </w:r>
      </w:hyperlink>
      <w:r w:rsidRPr="00891C9F">
        <w:rPr>
          <w:rStyle w:val="FootnoteTextChar"/>
        </w:rPr>
        <w:t xml:space="preserve">, </w:t>
      </w:r>
      <w:hyperlink r:id="rId10" w:history="1">
        <w:r w:rsidRPr="00891C9F">
          <w:rPr>
            <w:rStyle w:val="FootnoteTextChar"/>
          </w:rPr>
          <w:t>Islandii</w:t>
        </w:r>
      </w:hyperlink>
      <w:r w:rsidRPr="00891C9F">
        <w:rPr>
          <w:rStyle w:val="FootnoteTextChar"/>
        </w:rPr>
        <w:t xml:space="preserve">, </w:t>
      </w:r>
      <w:hyperlink r:id="rId11" w:history="1">
        <w:r w:rsidRPr="00891C9F">
          <w:rPr>
            <w:rStyle w:val="FootnoteTextChar"/>
          </w:rPr>
          <w:t>Włoch</w:t>
        </w:r>
      </w:hyperlink>
      <w:r>
        <w:rPr>
          <w:rStyle w:val="FootnoteTextChar"/>
        </w:rPr>
        <w:t>,</w:t>
      </w:r>
      <w:hyperlink r:id="rId12" w:history="1">
        <w:r w:rsidRPr="00891C9F">
          <w:rPr>
            <w:rStyle w:val="FootnoteTextChar"/>
          </w:rPr>
          <w:t xml:space="preserve"> Łotwy</w:t>
        </w:r>
      </w:hyperlink>
      <w:r w:rsidRPr="00891C9F">
        <w:rPr>
          <w:rStyle w:val="FootnoteTextChar"/>
        </w:rPr>
        <w:t xml:space="preserve">, Liechtensteinu, </w:t>
      </w:r>
      <w:hyperlink r:id="rId13" w:history="1">
        <w:r w:rsidRPr="00891C9F">
          <w:rPr>
            <w:rStyle w:val="FootnoteTextChar"/>
          </w:rPr>
          <w:t>Litwy</w:t>
        </w:r>
      </w:hyperlink>
      <w:r w:rsidRPr="00891C9F">
        <w:rPr>
          <w:rStyle w:val="FootnoteTextChar"/>
        </w:rPr>
        <w:t xml:space="preserve">, Luksemburga, </w:t>
      </w:r>
      <w:hyperlink r:id="rId14" w:history="1">
        <w:r w:rsidRPr="00891C9F">
          <w:rPr>
            <w:rStyle w:val="FootnoteTextChar"/>
          </w:rPr>
          <w:t>Malty</w:t>
        </w:r>
      </w:hyperlink>
      <w:r w:rsidRPr="00891C9F">
        <w:rPr>
          <w:rStyle w:val="FootnoteTextChar"/>
        </w:rPr>
        <w:t xml:space="preserve">, </w:t>
      </w:r>
      <w:hyperlink r:id="rId15" w:history="1">
        <w:r w:rsidRPr="00891C9F">
          <w:rPr>
            <w:rStyle w:val="FootnoteTextChar"/>
          </w:rPr>
          <w:t>Niderlandów</w:t>
        </w:r>
      </w:hyperlink>
      <w:r w:rsidRPr="00891C9F">
        <w:rPr>
          <w:rStyle w:val="FootnoteTextChar"/>
        </w:rPr>
        <w:t xml:space="preserve">, </w:t>
      </w:r>
      <w:hyperlink r:id="rId16" w:history="1">
        <w:r w:rsidRPr="00891C9F">
          <w:rPr>
            <w:rStyle w:val="FootnoteTextChar"/>
          </w:rPr>
          <w:t>Norwegii</w:t>
        </w:r>
      </w:hyperlink>
      <w:r w:rsidRPr="00891C9F">
        <w:rPr>
          <w:rStyle w:val="FootnoteTextChar"/>
        </w:rPr>
        <w:t xml:space="preserve">, </w:t>
      </w:r>
      <w:hyperlink r:id="rId17" w:history="1">
        <w:r w:rsidRPr="00891C9F">
          <w:rPr>
            <w:rStyle w:val="FootnoteTextChar"/>
          </w:rPr>
          <w:t>Polski</w:t>
        </w:r>
      </w:hyperlink>
      <w:r w:rsidRPr="00891C9F">
        <w:rPr>
          <w:rStyle w:val="FootnoteTextChar"/>
        </w:rPr>
        <w:t xml:space="preserve">, </w:t>
      </w:r>
      <w:hyperlink r:id="rId18" w:history="1">
        <w:r w:rsidRPr="00891C9F">
          <w:rPr>
            <w:rStyle w:val="FootnoteTextChar"/>
          </w:rPr>
          <w:t>Portugalii</w:t>
        </w:r>
      </w:hyperlink>
      <w:r w:rsidRPr="00891C9F">
        <w:rPr>
          <w:rStyle w:val="FootnoteTextChar"/>
        </w:rPr>
        <w:t xml:space="preserve">, </w:t>
      </w:r>
      <w:hyperlink r:id="rId19" w:history="1">
        <w:r w:rsidRPr="00891C9F">
          <w:rPr>
            <w:rStyle w:val="FootnoteTextChar"/>
          </w:rPr>
          <w:t>Słowacji</w:t>
        </w:r>
      </w:hyperlink>
      <w:r w:rsidRPr="00891C9F">
        <w:rPr>
          <w:rStyle w:val="FootnoteTextChar"/>
        </w:rPr>
        <w:t xml:space="preserve">, </w:t>
      </w:r>
      <w:hyperlink r:id="rId20" w:history="1">
        <w:r w:rsidRPr="00891C9F">
          <w:rPr>
            <w:rStyle w:val="FootnoteTextChar"/>
          </w:rPr>
          <w:t>Słowenii</w:t>
        </w:r>
      </w:hyperlink>
      <w:r w:rsidRPr="00891C9F">
        <w:rPr>
          <w:rStyle w:val="FootnoteTextChar"/>
        </w:rPr>
        <w:t xml:space="preserve">, </w:t>
      </w:r>
      <w:hyperlink r:id="rId21" w:history="1">
        <w:r w:rsidRPr="00891C9F">
          <w:rPr>
            <w:rStyle w:val="FootnoteTextChar"/>
          </w:rPr>
          <w:t>Hiszpanii</w:t>
        </w:r>
      </w:hyperlink>
      <w:r w:rsidRPr="00891C9F">
        <w:rPr>
          <w:rStyle w:val="FootnoteTextChar"/>
        </w:rPr>
        <w:t xml:space="preserve">, </w:t>
      </w:r>
      <w:hyperlink r:id="rId22" w:history="1">
        <w:r w:rsidRPr="00891C9F">
          <w:rPr>
            <w:rStyle w:val="FootnoteTextChar"/>
          </w:rPr>
          <w:t>Szwecji</w:t>
        </w:r>
      </w:hyperlink>
      <w:r w:rsidRPr="00891C9F">
        <w:rPr>
          <w:rStyle w:val="FootnoteTextChar"/>
        </w:rPr>
        <w:t xml:space="preserve"> oraz </w:t>
      </w:r>
      <w:hyperlink r:id="rId23" w:history="1">
        <w:r w:rsidRPr="00891C9F">
          <w:rPr>
            <w:rStyle w:val="FootnoteTextChar"/>
          </w:rPr>
          <w:t>Szwajcarii</w:t>
        </w:r>
      </w:hyperlink>
      <w:r w:rsidRPr="00891C9F">
        <w:rPr>
          <w:rStyle w:val="FootnoteTextChar"/>
        </w:rPr>
        <w:t xml:space="preserve">. </w:t>
      </w:r>
    </w:p>
  </w:footnote>
  <w:footnote w:id="13">
    <w:p w14:paraId="2652893B" w14:textId="514BDD7C" w:rsidR="00AD2D37" w:rsidRPr="00891C9F" w:rsidRDefault="00AD2D37" w:rsidP="00AD2D37">
      <w:pPr>
        <w:pStyle w:val="FootnoteText"/>
      </w:pPr>
      <w:r w:rsidRPr="00891C9F">
        <w:rPr>
          <w:rStyle w:val="FootnoteReference0"/>
        </w:rPr>
        <w:footnoteRef/>
      </w:r>
      <w:r w:rsidRPr="00891C9F">
        <w:tab/>
      </w:r>
      <w:r w:rsidRPr="00891C9F">
        <w:rPr>
          <w:rStyle w:val="FootnoteTextChar"/>
        </w:rPr>
        <w:t>Komisja Europejska (2017), Zwiększanie wzrostu gospodarczego</w:t>
      </w:r>
      <w:r w:rsidR="00043012" w:rsidRPr="00891C9F">
        <w:rPr>
          <w:rStyle w:val="FootnoteTextChar"/>
        </w:rPr>
        <w:t xml:space="preserve"> i</w:t>
      </w:r>
      <w:r w:rsidR="00043012">
        <w:rPr>
          <w:rStyle w:val="FootnoteTextChar"/>
        </w:rPr>
        <w:t> </w:t>
      </w:r>
      <w:r w:rsidR="00043012" w:rsidRPr="00891C9F">
        <w:rPr>
          <w:rStyle w:val="FootnoteTextChar"/>
        </w:rPr>
        <w:t>spó</w:t>
      </w:r>
      <w:r w:rsidRPr="00891C9F">
        <w:rPr>
          <w:rStyle w:val="FootnoteTextChar"/>
        </w:rPr>
        <w:t>jności</w:t>
      </w:r>
      <w:r w:rsidR="00043012" w:rsidRPr="00891C9F">
        <w:rPr>
          <w:rStyle w:val="FootnoteTextChar"/>
        </w:rPr>
        <w:t xml:space="preserve"> w</w:t>
      </w:r>
      <w:r w:rsidR="00043012">
        <w:rPr>
          <w:rStyle w:val="FootnoteTextChar"/>
        </w:rPr>
        <w:t> </w:t>
      </w:r>
      <w:r w:rsidR="00043012" w:rsidRPr="00891C9F">
        <w:rPr>
          <w:rStyle w:val="FootnoteTextChar"/>
        </w:rPr>
        <w:t>reg</w:t>
      </w:r>
      <w:r w:rsidRPr="00891C9F">
        <w:rPr>
          <w:rStyle w:val="FootnoteTextChar"/>
        </w:rPr>
        <w:t>ionach przygranicznych UE.</w:t>
      </w:r>
      <w:r w:rsidRPr="00891C9F">
        <w:t xml:space="preserve"> </w:t>
      </w:r>
      <w:hyperlink r:id="rId24" w:history="1">
        <w:r w:rsidRPr="00891C9F">
          <w:rPr>
            <w:rStyle w:val="Hyperlink"/>
            <w:sz w:val="22"/>
          </w:rPr>
          <w:t>link</w:t>
        </w:r>
      </w:hyperlink>
    </w:p>
  </w:footnote>
  <w:footnote w:id="14">
    <w:p w14:paraId="47676111" w14:textId="59F20908" w:rsidR="00AD2D37" w:rsidRPr="00891C9F" w:rsidRDefault="00AD2D37" w:rsidP="00AD2D37">
      <w:pPr>
        <w:pStyle w:val="FootnoteText"/>
        <w:rPr>
          <w:rStyle w:val="FootnoteTextChar"/>
          <w:rFonts w:eastAsia="Times New Roman"/>
          <w:bCs/>
        </w:rPr>
      </w:pPr>
      <w:r w:rsidRPr="00891C9F">
        <w:rPr>
          <w:rStyle w:val="FootnoteReference0"/>
        </w:rPr>
        <w:footnoteRef/>
      </w:r>
      <w:r w:rsidRPr="00891C9F">
        <w:tab/>
      </w:r>
      <w:r w:rsidRPr="00891C9F">
        <w:rPr>
          <w:rStyle w:val="FootnoteTextChar"/>
          <w:bCs/>
          <w:i/>
          <w:iCs/>
        </w:rPr>
        <w:t>Pandemic profiteering.</w:t>
      </w:r>
      <w:r w:rsidRPr="00891C9F">
        <w:rPr>
          <w:rStyle w:val="FootnoteTextChar"/>
          <w:bCs/>
        </w:rPr>
        <w:t xml:space="preserve"> </w:t>
      </w:r>
      <w:r w:rsidRPr="00891C9F">
        <w:rPr>
          <w:rStyle w:val="FootnoteTextChar"/>
          <w:bCs/>
          <w:i/>
          <w:iCs/>
        </w:rPr>
        <w:t>How_criminals_exploit_the_COVID-19_crisis</w:t>
      </w:r>
      <w:r w:rsidRPr="00891C9F">
        <w:rPr>
          <w:rStyle w:val="FootnoteTextChar"/>
          <w:bCs/>
        </w:rPr>
        <w:t xml:space="preserve"> [Czerpanie zysków</w:t>
      </w:r>
      <w:r w:rsidR="00043012" w:rsidRPr="00891C9F">
        <w:rPr>
          <w:rStyle w:val="FootnoteTextChar"/>
          <w:bCs/>
        </w:rPr>
        <w:t xml:space="preserve"> z</w:t>
      </w:r>
      <w:r w:rsidR="00043012">
        <w:rPr>
          <w:rStyle w:val="FootnoteTextChar"/>
          <w:bCs/>
        </w:rPr>
        <w:t> </w:t>
      </w:r>
      <w:r w:rsidR="00043012" w:rsidRPr="00891C9F">
        <w:rPr>
          <w:rStyle w:val="FootnoteTextChar"/>
          <w:bCs/>
        </w:rPr>
        <w:t>pan</w:t>
      </w:r>
      <w:r w:rsidRPr="00891C9F">
        <w:rPr>
          <w:rStyle w:val="FootnoteTextChar"/>
          <w:bCs/>
        </w:rPr>
        <w:t>demii. Jak przestępcy wykorzystują kryzys związany z COVID-19], Europol, marzec 20</w:t>
      </w:r>
      <w:r w:rsidRPr="00043012">
        <w:rPr>
          <w:rStyle w:val="FootnoteTextChar"/>
          <w:bCs/>
          <w:lang w:val="pl-PL"/>
        </w:rPr>
        <w:t>20</w:t>
      </w:r>
      <w:r w:rsidR="00043012" w:rsidRPr="00043012">
        <w:rPr>
          <w:rStyle w:val="FootnoteTextChar"/>
          <w:bCs/>
          <w:lang w:val="pl-PL"/>
        </w:rPr>
        <w:t> </w:t>
      </w:r>
      <w:r w:rsidRPr="00043012">
        <w:rPr>
          <w:rStyle w:val="FootnoteTextChar"/>
          <w:bCs/>
          <w:lang w:val="pl-PL"/>
        </w:rPr>
        <w:t>r.</w:t>
      </w:r>
      <w:r w:rsidRPr="00891C9F">
        <w:rPr>
          <w:rStyle w:val="FootnoteTextChar"/>
          <w:bCs/>
        </w:rPr>
        <w:t xml:space="preserve"> </w:t>
      </w:r>
    </w:p>
  </w:footnote>
  <w:footnote w:id="15">
    <w:p w14:paraId="6403B1B3" w14:textId="2307681A"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 xml:space="preserve">Specjalne badanie Eurobarometr </w:t>
      </w:r>
      <w:r w:rsidRPr="00043012">
        <w:rPr>
          <w:rStyle w:val="FootnoteTextChar"/>
          <w:lang w:val="pl-PL"/>
        </w:rPr>
        <w:t>nr</w:t>
      </w:r>
      <w:r w:rsidR="00043012" w:rsidRPr="00043012">
        <w:rPr>
          <w:rStyle w:val="FootnoteTextChar"/>
          <w:lang w:val="pl-PL"/>
        </w:rPr>
        <w:t> </w:t>
      </w:r>
      <w:r w:rsidRPr="00043012">
        <w:rPr>
          <w:rStyle w:val="FootnoteTextChar"/>
          <w:lang w:val="pl-PL"/>
        </w:rPr>
        <w:t>4</w:t>
      </w:r>
      <w:r w:rsidRPr="00891C9F">
        <w:rPr>
          <w:rStyle w:val="FootnoteTextChar"/>
        </w:rPr>
        <w:t>74: Strefa Schengen,</w:t>
      </w:r>
    </w:p>
    <w:p w14:paraId="7CC508C6" w14:textId="77777777" w:rsidR="00AD2D37" w:rsidRPr="00891C9F" w:rsidRDefault="00AD2D37" w:rsidP="00AD2D37">
      <w:pPr>
        <w:pStyle w:val="FootnoteText"/>
        <w:rPr>
          <w:rStyle w:val="FootnoteTextChar"/>
        </w:rPr>
      </w:pPr>
      <w:r w:rsidRPr="00891C9F">
        <w:rPr>
          <w:rStyle w:val="FootnoteTextChar"/>
        </w:rPr>
        <w:t xml:space="preserve"> </w:t>
      </w:r>
      <w:r w:rsidRPr="00891C9F">
        <w:tab/>
      </w:r>
      <w:hyperlink r:id="rId25" w:history="1">
        <w:r w:rsidRPr="00891C9F">
          <w:rPr>
            <w:rStyle w:val="Hyperlink"/>
          </w:rPr>
          <w:t>https://data.europa.eu/euodp/nl/data/dataset/S2218_89_3_474_ENG</w:t>
        </w:r>
      </w:hyperlink>
    </w:p>
  </w:footnote>
  <w:footnote w:id="16">
    <w:p w14:paraId="2DEE9196" w14:textId="1708F390" w:rsidR="00AD2D37" w:rsidRPr="00891C9F" w:rsidRDefault="00AD2D37" w:rsidP="00AD2D37">
      <w:pPr>
        <w:pStyle w:val="FootnoteText"/>
      </w:pPr>
      <w:r w:rsidRPr="00891C9F">
        <w:rPr>
          <w:rStyle w:val="FootnoteReference0"/>
        </w:rPr>
        <w:footnoteRef/>
      </w:r>
      <w:r w:rsidRPr="00891C9F">
        <w:tab/>
      </w:r>
      <w:r w:rsidRPr="00891C9F">
        <w:rPr>
          <w:rStyle w:val="FootnoteTextChar"/>
          <w:bCs/>
        </w:rPr>
        <w:t>Komunikat Komisji do Parlamentu Europejskiego</w:t>
      </w:r>
      <w:r w:rsidR="00043012" w:rsidRPr="00891C9F">
        <w:rPr>
          <w:rStyle w:val="FootnoteTextChar"/>
          <w:bCs/>
        </w:rPr>
        <w:t xml:space="preserve"> i</w:t>
      </w:r>
      <w:r w:rsidR="00043012">
        <w:rPr>
          <w:rStyle w:val="FootnoteTextChar"/>
          <w:bCs/>
        </w:rPr>
        <w:t> </w:t>
      </w:r>
      <w:r w:rsidR="00043012" w:rsidRPr="00891C9F">
        <w:rPr>
          <w:rStyle w:val="FootnoteTextChar"/>
          <w:bCs/>
        </w:rPr>
        <w:t>Rad</w:t>
      </w:r>
      <w:r w:rsidRPr="00891C9F">
        <w:rPr>
          <w:rStyle w:val="FootnoteTextChar"/>
          <w:bCs/>
        </w:rPr>
        <w:t>y „Strategia na rzecz</w:t>
      </w:r>
      <w:r w:rsidR="00043012" w:rsidRPr="00891C9F">
        <w:rPr>
          <w:rStyle w:val="FootnoteTextChar"/>
          <w:bCs/>
        </w:rPr>
        <w:t xml:space="preserve"> w</w:t>
      </w:r>
      <w:r w:rsidR="00043012">
        <w:rPr>
          <w:rStyle w:val="FootnoteTextChar"/>
          <w:bCs/>
        </w:rPr>
        <w:t> </w:t>
      </w:r>
      <w:r w:rsidR="00043012" w:rsidRPr="00891C9F">
        <w:rPr>
          <w:rStyle w:val="FootnoteTextChar"/>
          <w:bCs/>
        </w:rPr>
        <w:t>peł</w:t>
      </w:r>
      <w:r w:rsidRPr="00891C9F">
        <w:rPr>
          <w:rStyle w:val="FootnoteTextChar"/>
          <w:bCs/>
        </w:rPr>
        <w:t>ni funkcjonującej</w:t>
      </w:r>
      <w:r w:rsidR="00043012" w:rsidRPr="00891C9F">
        <w:rPr>
          <w:rStyle w:val="FootnoteTextChar"/>
          <w:bCs/>
        </w:rPr>
        <w:t xml:space="preserve"> i</w:t>
      </w:r>
      <w:r w:rsidR="00043012">
        <w:rPr>
          <w:rStyle w:val="FootnoteTextChar"/>
          <w:bCs/>
        </w:rPr>
        <w:t> </w:t>
      </w:r>
      <w:r w:rsidR="00043012" w:rsidRPr="00891C9F">
        <w:rPr>
          <w:rStyle w:val="FootnoteTextChar"/>
          <w:bCs/>
        </w:rPr>
        <w:t>odp</w:t>
      </w:r>
      <w:r w:rsidRPr="00891C9F">
        <w:rPr>
          <w:rStyle w:val="FootnoteTextChar"/>
          <w:bCs/>
        </w:rPr>
        <w:t>ornej strefy Schengen”, COM/2021/277 final.</w:t>
      </w:r>
      <w:r w:rsidRPr="00891C9F">
        <w:rPr>
          <w:rFonts w:ascii="Roboto" w:hAnsi="Roboto"/>
          <w:color w:val="444444"/>
          <w:sz w:val="21"/>
          <w:szCs w:val="21"/>
        </w:rPr>
        <w:t xml:space="preserve"> </w:t>
      </w:r>
    </w:p>
  </w:footnote>
  <w:footnote w:id="17">
    <w:p w14:paraId="3453F27F" w14:textId="7E9F06A9" w:rsidR="00AD2D37" w:rsidRPr="00891C9F" w:rsidRDefault="00AD2D37" w:rsidP="00AD2D37">
      <w:pPr>
        <w:pStyle w:val="FootnoteText"/>
        <w:rPr>
          <w:rStyle w:val="FootnoteReference0"/>
          <w:sz w:val="24"/>
          <w:szCs w:val="22"/>
        </w:rPr>
      </w:pPr>
      <w:r w:rsidRPr="00891C9F">
        <w:rPr>
          <w:rStyle w:val="FootnoteReference0"/>
        </w:rPr>
        <w:footnoteRef/>
      </w:r>
      <w:r w:rsidRPr="00891C9F">
        <w:tab/>
      </w:r>
      <w:r w:rsidRPr="00891C9F">
        <w:rPr>
          <w:rStyle w:val="FootnoteTextChar"/>
        </w:rPr>
        <w:t>Do innych powodów najczęściej zgłaszanych przez państwa członkowskie należał kryzys migracyjny</w:t>
      </w:r>
      <w:r w:rsidR="00043012" w:rsidRPr="00891C9F">
        <w:rPr>
          <w:rStyle w:val="FootnoteTextChar"/>
        </w:rPr>
        <w:t xml:space="preserve"> z</w:t>
      </w:r>
      <w:r w:rsidR="00043012">
        <w:rPr>
          <w:rStyle w:val="FootnoteTextChar"/>
        </w:rPr>
        <w:t> </w:t>
      </w:r>
      <w:r w:rsidR="00043012" w:rsidRPr="00043012">
        <w:rPr>
          <w:rStyle w:val="FootnoteTextChar"/>
          <w:lang w:val="pl-PL"/>
        </w:rPr>
        <w:t>lat </w:t>
      </w:r>
      <w:r w:rsidRPr="00043012">
        <w:rPr>
          <w:rStyle w:val="FootnoteTextChar"/>
          <w:lang w:val="pl-PL"/>
        </w:rPr>
        <w:t>2</w:t>
      </w:r>
      <w:r w:rsidRPr="00891C9F">
        <w:rPr>
          <w:rStyle w:val="FootnoteTextChar"/>
        </w:rPr>
        <w:t>015–2016, utrzymujące się zagrożenie terrorystyczne oraz pandemia COVID-19.</w:t>
      </w:r>
    </w:p>
  </w:footnote>
  <w:footnote w:id="18">
    <w:p w14:paraId="138AC529" w14:textId="22D0D962" w:rsidR="00AD2D37" w:rsidRPr="00891C9F" w:rsidRDefault="00AD2D37" w:rsidP="00AD2D37">
      <w:pPr>
        <w:pStyle w:val="FootnoteText"/>
      </w:pPr>
      <w:r w:rsidRPr="00891C9F">
        <w:rPr>
          <w:rStyle w:val="FootnoteReference0"/>
        </w:rPr>
        <w:footnoteRef/>
      </w:r>
      <w:r w:rsidRPr="00891C9F">
        <w:tab/>
      </w:r>
      <w:r w:rsidRPr="00891C9F">
        <w:rPr>
          <w:rStyle w:val="FootnoteTextChar"/>
        </w:rPr>
        <w:t>Na podstawie rozporządzenia Parlamentu Europejskiego</w:t>
      </w:r>
      <w:r w:rsidR="00043012" w:rsidRPr="00891C9F">
        <w:rPr>
          <w:rStyle w:val="FootnoteTextChar"/>
        </w:rPr>
        <w:t xml:space="preserve"> i</w:t>
      </w:r>
      <w:r w:rsidR="00043012">
        <w:rPr>
          <w:rStyle w:val="FootnoteTextChar"/>
        </w:rPr>
        <w:t> </w:t>
      </w:r>
      <w:r w:rsidR="00043012" w:rsidRPr="00891C9F">
        <w:rPr>
          <w:rStyle w:val="FootnoteTextChar"/>
        </w:rPr>
        <w:t>Rad</w:t>
      </w:r>
      <w:r w:rsidRPr="00891C9F">
        <w:rPr>
          <w:rStyle w:val="FootnoteTextChar"/>
        </w:rPr>
        <w:t xml:space="preserve">y (UE) </w:t>
      </w:r>
      <w:r w:rsidRPr="00891C9F">
        <w:rPr>
          <w:rStyle w:val="FootnoteTextChar"/>
          <w:bCs/>
        </w:rPr>
        <w:t>2016/399</w:t>
      </w:r>
      <w:r w:rsidR="00043012" w:rsidRPr="00891C9F">
        <w:rPr>
          <w:rStyle w:val="FootnoteTextChar"/>
          <w:bCs/>
        </w:rPr>
        <w:t xml:space="preserve"> z</w:t>
      </w:r>
      <w:r w:rsidR="00043012">
        <w:rPr>
          <w:rStyle w:val="FootnoteTextChar"/>
          <w:bCs/>
        </w:rPr>
        <w:t> </w:t>
      </w:r>
      <w:r w:rsidR="00043012" w:rsidRPr="00891C9F">
        <w:rPr>
          <w:rStyle w:val="FootnoteTextChar"/>
          <w:bCs/>
        </w:rPr>
        <w:t>dni</w:t>
      </w:r>
      <w:r w:rsidRPr="00891C9F">
        <w:rPr>
          <w:rStyle w:val="FootnoteTextChar"/>
          <w:bCs/>
        </w:rPr>
        <w:t>a 9 marca 20</w:t>
      </w:r>
      <w:r w:rsidRPr="00043012">
        <w:rPr>
          <w:rStyle w:val="FootnoteTextChar"/>
          <w:bCs/>
          <w:lang w:val="pl-PL"/>
        </w:rPr>
        <w:t>16</w:t>
      </w:r>
      <w:r w:rsidR="00043012" w:rsidRPr="00043012">
        <w:rPr>
          <w:rStyle w:val="FootnoteTextChar"/>
          <w:bCs/>
          <w:lang w:val="pl-PL"/>
        </w:rPr>
        <w:t> </w:t>
      </w:r>
      <w:r w:rsidRPr="00043012">
        <w:rPr>
          <w:rStyle w:val="FootnoteTextChar"/>
          <w:bCs/>
          <w:lang w:val="pl-PL"/>
        </w:rPr>
        <w:t>r.</w:t>
      </w:r>
      <w:r w:rsidR="00043012" w:rsidRPr="00891C9F">
        <w:rPr>
          <w:rStyle w:val="FootnoteTextChar"/>
          <w:bCs/>
        </w:rPr>
        <w:t xml:space="preserve"> w</w:t>
      </w:r>
      <w:r w:rsidR="00043012">
        <w:rPr>
          <w:rStyle w:val="FootnoteTextChar"/>
          <w:bCs/>
        </w:rPr>
        <w:t> </w:t>
      </w:r>
      <w:r w:rsidR="00043012" w:rsidRPr="00891C9F">
        <w:rPr>
          <w:rStyle w:val="FootnoteTextChar"/>
          <w:bCs/>
        </w:rPr>
        <w:t>spr</w:t>
      </w:r>
      <w:r w:rsidRPr="00891C9F">
        <w:rPr>
          <w:rStyle w:val="FootnoteTextChar"/>
          <w:bCs/>
        </w:rPr>
        <w:t xml:space="preserve">awie unijnego kodeksu zasad regulujących przepływ osób przez granice (kodeks graniczny Schengen) </w:t>
      </w:r>
      <w:r w:rsidRPr="00891C9F">
        <w:rPr>
          <w:color w:val="444444"/>
          <w:shd w:val="clear" w:color="auto" w:fill="FFFFFF"/>
        </w:rPr>
        <w:t>(</w:t>
      </w:r>
      <w:hyperlink r:id="rId26" w:history="1">
        <w:r w:rsidRPr="00891C9F">
          <w:rPr>
            <w:rStyle w:val="Hyperlink"/>
            <w:color w:val="3366CC"/>
            <w:shd w:val="clear" w:color="auto" w:fill="FFFFFF"/>
          </w:rPr>
          <w:t>Dz.U. L 77</w:t>
        </w:r>
        <w:r w:rsidR="00043012" w:rsidRPr="00891C9F">
          <w:rPr>
            <w:rStyle w:val="Hyperlink"/>
            <w:color w:val="3366CC"/>
            <w:shd w:val="clear" w:color="auto" w:fill="FFFFFF"/>
          </w:rPr>
          <w:t xml:space="preserve"> z</w:t>
        </w:r>
        <w:r w:rsidR="00043012">
          <w:rPr>
            <w:rStyle w:val="Hyperlink"/>
            <w:color w:val="3366CC"/>
            <w:shd w:val="clear" w:color="auto" w:fill="FFFFFF"/>
          </w:rPr>
          <w:t> </w:t>
        </w:r>
        <w:r w:rsidR="00043012" w:rsidRPr="00891C9F">
          <w:rPr>
            <w:rStyle w:val="Hyperlink"/>
            <w:color w:val="3366CC"/>
            <w:shd w:val="clear" w:color="auto" w:fill="FFFFFF"/>
          </w:rPr>
          <w:t>2</w:t>
        </w:r>
        <w:r w:rsidRPr="00891C9F">
          <w:rPr>
            <w:rStyle w:val="Hyperlink"/>
            <w:color w:val="3366CC"/>
            <w:shd w:val="clear" w:color="auto" w:fill="FFFFFF"/>
          </w:rPr>
          <w:t>3.3.2016, s. 1)</w:t>
        </w:r>
      </w:hyperlink>
      <w:r w:rsidRPr="00891C9F">
        <w:rPr>
          <w:rStyle w:val="FootnoteTextChar"/>
        </w:rPr>
        <w:t xml:space="preserve"> tymczasowe przywrócenie kontroli granicznych można wprowadzić tylko na ograniczony okres</w:t>
      </w:r>
      <w:r w:rsidR="00043012" w:rsidRPr="00891C9F">
        <w:rPr>
          <w:rStyle w:val="FootnoteTextChar"/>
        </w:rPr>
        <w:t xml:space="preserve"> i</w:t>
      </w:r>
      <w:r w:rsidR="00043012">
        <w:rPr>
          <w:rStyle w:val="FootnoteTextChar"/>
        </w:rPr>
        <w:t> </w:t>
      </w:r>
      <w:r w:rsidR="00043012" w:rsidRPr="00891C9F">
        <w:rPr>
          <w:rStyle w:val="FootnoteTextChar"/>
        </w:rPr>
        <w:t>w</w:t>
      </w:r>
      <w:r w:rsidR="00043012">
        <w:rPr>
          <w:rStyle w:val="FootnoteTextChar"/>
        </w:rPr>
        <w:t> </w:t>
      </w:r>
      <w:r w:rsidR="00043012" w:rsidRPr="00891C9F">
        <w:rPr>
          <w:rStyle w:val="FootnoteTextChar"/>
        </w:rPr>
        <w:t>wyj</w:t>
      </w:r>
      <w:r w:rsidRPr="00891C9F">
        <w:rPr>
          <w:rStyle w:val="FootnoteTextChar"/>
        </w:rPr>
        <w:t>ątkowych okolicznościach (takich jak kryzys migracyjny</w:t>
      </w:r>
      <w:r w:rsidR="00043012" w:rsidRPr="00891C9F">
        <w:rPr>
          <w:rStyle w:val="FootnoteTextChar"/>
        </w:rPr>
        <w:t xml:space="preserve"> z</w:t>
      </w:r>
      <w:r w:rsidR="00043012">
        <w:rPr>
          <w:rStyle w:val="FootnoteTextChar"/>
        </w:rPr>
        <w:t> </w:t>
      </w:r>
      <w:r w:rsidR="00043012" w:rsidRPr="00043012">
        <w:rPr>
          <w:rStyle w:val="FootnoteTextChar"/>
          <w:lang w:val="pl-PL"/>
        </w:rPr>
        <w:t>lat </w:t>
      </w:r>
      <w:r w:rsidRPr="00043012">
        <w:rPr>
          <w:rStyle w:val="FootnoteTextChar"/>
          <w:lang w:val="pl-PL"/>
        </w:rPr>
        <w:t>2</w:t>
      </w:r>
      <w:r w:rsidRPr="00891C9F">
        <w:rPr>
          <w:rStyle w:val="FootnoteTextChar"/>
        </w:rPr>
        <w:t>015–2016) oraz jako środek ostateczny</w:t>
      </w:r>
      <w:r w:rsidRPr="00891C9F">
        <w:t>.</w:t>
      </w:r>
    </w:p>
  </w:footnote>
  <w:footnote w:id="19">
    <w:p w14:paraId="4DBA7343" w14:textId="39ABAAC7"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Dyrektywa Parlamentu Europejskiego</w:t>
      </w:r>
      <w:r w:rsidR="00043012" w:rsidRPr="00891C9F">
        <w:rPr>
          <w:rStyle w:val="FootnoteTextChar"/>
        </w:rPr>
        <w:t xml:space="preserve"> i</w:t>
      </w:r>
      <w:r w:rsidR="00043012">
        <w:rPr>
          <w:rStyle w:val="FootnoteTextChar"/>
        </w:rPr>
        <w:t> </w:t>
      </w:r>
      <w:r w:rsidR="00043012" w:rsidRPr="00891C9F">
        <w:rPr>
          <w:rStyle w:val="FootnoteTextChar"/>
        </w:rPr>
        <w:t>Rad</w:t>
      </w:r>
      <w:r w:rsidRPr="00891C9F">
        <w:rPr>
          <w:rStyle w:val="FootnoteTextChar"/>
        </w:rPr>
        <w:t>y 2008/115/WE</w:t>
      </w:r>
      <w:r w:rsidR="00043012" w:rsidRPr="00891C9F">
        <w:rPr>
          <w:rStyle w:val="FootnoteTextChar"/>
        </w:rPr>
        <w:t xml:space="preserve"> z</w:t>
      </w:r>
      <w:r w:rsidR="00043012">
        <w:rPr>
          <w:rStyle w:val="FootnoteTextChar"/>
        </w:rPr>
        <w:t> </w:t>
      </w:r>
      <w:r w:rsidR="00043012" w:rsidRPr="00891C9F">
        <w:rPr>
          <w:rStyle w:val="FootnoteTextChar"/>
        </w:rPr>
        <w:t>dni</w:t>
      </w:r>
      <w:r w:rsidRPr="00891C9F">
        <w:rPr>
          <w:rStyle w:val="FootnoteTextChar"/>
        </w:rPr>
        <w:t>a 16 grudnia 20</w:t>
      </w:r>
      <w:r w:rsidRPr="00043012">
        <w:rPr>
          <w:rStyle w:val="FootnoteTextChar"/>
          <w:lang w:val="pl-PL"/>
        </w:rPr>
        <w:t>08</w:t>
      </w:r>
      <w:r w:rsidR="00043012" w:rsidRPr="00043012">
        <w:rPr>
          <w:rStyle w:val="FootnoteTextChar"/>
          <w:lang w:val="pl-PL"/>
        </w:rPr>
        <w:t> </w:t>
      </w:r>
      <w:r w:rsidRPr="00043012">
        <w:rPr>
          <w:rStyle w:val="FootnoteTextChar"/>
          <w:lang w:val="pl-PL"/>
        </w:rPr>
        <w:t>r.</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wspólnych norm</w:t>
      </w:r>
      <w:r w:rsidR="00043012" w:rsidRPr="00891C9F">
        <w:rPr>
          <w:rStyle w:val="FootnoteTextChar"/>
        </w:rPr>
        <w:t xml:space="preserve"> i</w:t>
      </w:r>
      <w:r w:rsidR="00043012">
        <w:rPr>
          <w:rStyle w:val="FootnoteTextChar"/>
        </w:rPr>
        <w:t> </w:t>
      </w:r>
      <w:r w:rsidR="00043012" w:rsidRPr="00891C9F">
        <w:rPr>
          <w:rStyle w:val="FootnoteTextChar"/>
        </w:rPr>
        <w:t>pro</w:t>
      </w:r>
      <w:r w:rsidRPr="00891C9F">
        <w:rPr>
          <w:rStyle w:val="FootnoteTextChar"/>
        </w:rPr>
        <w:t>cedur stosowanych przez państwa członkowskie</w:t>
      </w:r>
      <w:r w:rsidR="00043012" w:rsidRPr="00891C9F">
        <w:rPr>
          <w:rStyle w:val="FootnoteTextChar"/>
        </w:rPr>
        <w:t xml:space="preserve"> w</w:t>
      </w:r>
      <w:r w:rsidR="00043012">
        <w:rPr>
          <w:rStyle w:val="FootnoteTextChar"/>
        </w:rPr>
        <w:t> </w:t>
      </w:r>
      <w:r w:rsidR="00043012" w:rsidRPr="00891C9F">
        <w:rPr>
          <w:rStyle w:val="FootnoteTextChar"/>
        </w:rPr>
        <w:t>odn</w:t>
      </w:r>
      <w:r w:rsidRPr="00891C9F">
        <w:rPr>
          <w:rStyle w:val="FootnoteTextChar"/>
        </w:rPr>
        <w:t>iesieniu do powrotów nielegalnie przebywających obywateli państw trzecich (Dz.U. L 348</w:t>
      </w:r>
      <w:r w:rsidR="00043012" w:rsidRPr="00891C9F">
        <w:rPr>
          <w:rStyle w:val="FootnoteTextChar"/>
        </w:rPr>
        <w:t xml:space="preserve"> z</w:t>
      </w:r>
      <w:r w:rsidR="00043012">
        <w:rPr>
          <w:rStyle w:val="FootnoteTextChar"/>
        </w:rPr>
        <w:t> </w:t>
      </w:r>
      <w:r w:rsidR="00043012" w:rsidRPr="00891C9F">
        <w:rPr>
          <w:rStyle w:val="FootnoteTextChar"/>
        </w:rPr>
        <w:t>2</w:t>
      </w:r>
      <w:r w:rsidRPr="00891C9F">
        <w:rPr>
          <w:rStyle w:val="FootnoteTextChar"/>
        </w:rPr>
        <w:t>4.12.2008, s. 98).</w:t>
      </w:r>
    </w:p>
  </w:footnote>
  <w:footnote w:id="20">
    <w:p w14:paraId="04E4A21E" w14:textId="2C4AAEBE" w:rsidR="00AD2D37" w:rsidRPr="00891C9F" w:rsidRDefault="00AD2D37" w:rsidP="00AD2D37">
      <w:pPr>
        <w:pStyle w:val="FootnoteText"/>
      </w:pPr>
      <w:r w:rsidRPr="00891C9F">
        <w:rPr>
          <w:rStyle w:val="FootnoteReference0"/>
        </w:rPr>
        <w:footnoteRef/>
      </w:r>
      <w:r w:rsidRPr="00891C9F">
        <w:tab/>
      </w:r>
      <w:r w:rsidRPr="00891C9F">
        <w:rPr>
          <w:rStyle w:val="FootnoteTextChar"/>
        </w:rPr>
        <w:t>Zalecenie Komisji (UE) 2017/432</w:t>
      </w:r>
      <w:r w:rsidR="00043012" w:rsidRPr="00891C9F">
        <w:rPr>
          <w:rStyle w:val="FootnoteTextChar"/>
        </w:rPr>
        <w:t xml:space="preserve"> z</w:t>
      </w:r>
      <w:r w:rsidR="00043012">
        <w:rPr>
          <w:rStyle w:val="FootnoteTextChar"/>
        </w:rPr>
        <w:t> </w:t>
      </w:r>
      <w:r w:rsidR="00043012" w:rsidRPr="00891C9F">
        <w:rPr>
          <w:rStyle w:val="FootnoteTextChar"/>
        </w:rPr>
        <w:t>dni</w:t>
      </w:r>
      <w:r w:rsidRPr="00891C9F">
        <w:rPr>
          <w:rStyle w:val="FootnoteTextChar"/>
        </w:rPr>
        <w:t>a 7 marca 20</w:t>
      </w:r>
      <w:r w:rsidRPr="00043012">
        <w:rPr>
          <w:rStyle w:val="FootnoteTextChar"/>
          <w:lang w:val="pl-PL"/>
        </w:rPr>
        <w:t>17</w:t>
      </w:r>
      <w:r w:rsidR="00043012" w:rsidRPr="00043012">
        <w:rPr>
          <w:rStyle w:val="FootnoteTextChar"/>
          <w:lang w:val="pl-PL"/>
        </w:rPr>
        <w:t> </w:t>
      </w:r>
      <w:r w:rsidRPr="00043012">
        <w:rPr>
          <w:rStyle w:val="FootnoteTextChar"/>
          <w:lang w:val="pl-PL"/>
        </w:rPr>
        <w:t>r.</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zapewnienia większej skuteczności powrotów przy wdrażaniu dyrektywy Parlamentu Europejskiego</w:t>
      </w:r>
      <w:r w:rsidR="00043012" w:rsidRPr="00891C9F">
        <w:rPr>
          <w:rStyle w:val="FootnoteTextChar"/>
        </w:rPr>
        <w:t xml:space="preserve"> i</w:t>
      </w:r>
      <w:r w:rsidR="00043012">
        <w:rPr>
          <w:rStyle w:val="FootnoteTextChar"/>
        </w:rPr>
        <w:t> </w:t>
      </w:r>
      <w:r w:rsidR="00043012" w:rsidRPr="00891C9F">
        <w:rPr>
          <w:rStyle w:val="FootnoteTextChar"/>
        </w:rPr>
        <w:t>Rad</w:t>
      </w:r>
      <w:r w:rsidRPr="00891C9F">
        <w:rPr>
          <w:rStyle w:val="FootnoteTextChar"/>
        </w:rPr>
        <w:t xml:space="preserve">y 2008/115/WE. </w:t>
      </w:r>
    </w:p>
  </w:footnote>
  <w:footnote w:id="21">
    <w:p w14:paraId="522C0508" w14:textId="0796A7E4"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Dziennik Urzędowy L 239</w:t>
      </w:r>
      <w:r w:rsidR="00043012" w:rsidRPr="00891C9F">
        <w:rPr>
          <w:rStyle w:val="FootnoteTextChar"/>
        </w:rPr>
        <w:t xml:space="preserve"> z</w:t>
      </w:r>
      <w:r w:rsidR="00043012">
        <w:rPr>
          <w:rStyle w:val="FootnoteTextChar"/>
        </w:rPr>
        <w:t> </w:t>
      </w:r>
      <w:r w:rsidR="00043012" w:rsidRPr="00891C9F">
        <w:rPr>
          <w:rStyle w:val="FootnoteTextChar"/>
        </w:rPr>
        <w:t>2</w:t>
      </w:r>
      <w:r w:rsidRPr="00891C9F">
        <w:rPr>
          <w:rStyle w:val="FootnoteTextChar"/>
        </w:rPr>
        <w:t>2.9.2000, s. 19.</w:t>
      </w:r>
    </w:p>
  </w:footnote>
  <w:footnote w:id="22">
    <w:p w14:paraId="7DC9DD38" w14:textId="5B6E731A"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Decyzja Rady 2008/615/WSiSW</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intensyfikacji współpracy transgranicznej, szczególnie</w:t>
      </w:r>
      <w:r w:rsidR="00043012" w:rsidRPr="00891C9F">
        <w:rPr>
          <w:rStyle w:val="FootnoteTextChar"/>
        </w:rPr>
        <w:t xml:space="preserve"> w</w:t>
      </w:r>
      <w:r w:rsidR="00043012">
        <w:rPr>
          <w:rStyle w:val="FootnoteTextChar"/>
        </w:rPr>
        <w:t> </w:t>
      </w:r>
      <w:r w:rsidR="00043012" w:rsidRPr="00891C9F">
        <w:rPr>
          <w:rStyle w:val="FootnoteTextChar"/>
        </w:rPr>
        <w:t>zwa</w:t>
      </w:r>
      <w:r w:rsidRPr="00891C9F">
        <w:rPr>
          <w:rStyle w:val="FootnoteTextChar"/>
        </w:rPr>
        <w:t>lczaniu terroryzmu</w:t>
      </w:r>
      <w:r w:rsidR="00043012" w:rsidRPr="00891C9F">
        <w:rPr>
          <w:rStyle w:val="FootnoteTextChar"/>
        </w:rPr>
        <w:t xml:space="preserve"> i</w:t>
      </w:r>
      <w:r w:rsidR="00043012">
        <w:rPr>
          <w:rStyle w:val="FootnoteTextChar"/>
        </w:rPr>
        <w:t> </w:t>
      </w:r>
      <w:r w:rsidR="00043012" w:rsidRPr="00891C9F">
        <w:rPr>
          <w:rStyle w:val="FootnoteTextChar"/>
        </w:rPr>
        <w:t>prz</w:t>
      </w:r>
      <w:r w:rsidRPr="00891C9F">
        <w:rPr>
          <w:rStyle w:val="FootnoteTextChar"/>
        </w:rPr>
        <w:t>estępczości transgranicznej, oraz decyzja Rady 2008/616/WSiSW</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wdrożenia decyzji 2008/615/WSiSW (decyzja Rady</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konwencji</w:t>
      </w:r>
      <w:r w:rsidR="00043012" w:rsidRPr="00891C9F">
        <w:rPr>
          <w:rStyle w:val="FootnoteTextChar"/>
        </w:rPr>
        <w:t xml:space="preserve"> z</w:t>
      </w:r>
      <w:r w:rsidR="00043012">
        <w:rPr>
          <w:rStyle w:val="FootnoteTextChar"/>
        </w:rPr>
        <w:t> </w:t>
      </w:r>
      <w:r w:rsidR="00043012" w:rsidRPr="00891C9F">
        <w:rPr>
          <w:rStyle w:val="FootnoteTextChar"/>
        </w:rPr>
        <w:t>Prü</w:t>
      </w:r>
      <w:r w:rsidRPr="00891C9F">
        <w:rPr>
          <w:rStyle w:val="FootnoteTextChar"/>
        </w:rPr>
        <w:t>m). Art. 17 decyzji Rady 2008/615/WSiSW reguluje kwestie wspólnych operacji,</w:t>
      </w:r>
      <w:r w:rsidR="00043012" w:rsidRPr="00891C9F">
        <w:rPr>
          <w:rStyle w:val="FootnoteTextChar"/>
        </w:rPr>
        <w:t xml:space="preserve"> a</w:t>
      </w:r>
      <w:r w:rsidR="00043012">
        <w:rPr>
          <w:rStyle w:val="FootnoteTextChar"/>
        </w:rPr>
        <w:t> </w:t>
      </w:r>
      <w:r w:rsidR="00043012" w:rsidRPr="00043012">
        <w:rPr>
          <w:rStyle w:val="FootnoteTextChar"/>
          <w:lang w:val="pl-PL"/>
        </w:rPr>
        <w:t>art</w:t>
      </w:r>
      <w:r w:rsidRPr="00043012">
        <w:rPr>
          <w:rStyle w:val="FootnoteTextChar"/>
          <w:lang w:val="pl-PL"/>
        </w:rPr>
        <w:t>.</w:t>
      </w:r>
      <w:r w:rsidR="00043012" w:rsidRPr="00043012">
        <w:rPr>
          <w:rStyle w:val="FootnoteTextChar"/>
          <w:lang w:val="pl-PL"/>
        </w:rPr>
        <w:t> </w:t>
      </w:r>
      <w:r w:rsidRPr="00043012">
        <w:rPr>
          <w:rStyle w:val="FootnoteTextChar"/>
          <w:lang w:val="pl-PL"/>
        </w:rPr>
        <w:t>1</w:t>
      </w:r>
      <w:r w:rsidRPr="00891C9F">
        <w:rPr>
          <w:rStyle w:val="FootnoteTextChar"/>
        </w:rPr>
        <w:t>8 kwestie wsparcia</w:t>
      </w:r>
      <w:r w:rsidR="00043012" w:rsidRPr="00891C9F">
        <w:rPr>
          <w:rStyle w:val="FootnoteTextChar"/>
        </w:rPr>
        <w:t xml:space="preserve"> w</w:t>
      </w:r>
      <w:r w:rsidR="00043012">
        <w:rPr>
          <w:rStyle w:val="FootnoteTextChar"/>
        </w:rPr>
        <w:t> </w:t>
      </w:r>
      <w:r w:rsidR="00043012" w:rsidRPr="00891C9F">
        <w:rPr>
          <w:rStyle w:val="FootnoteTextChar"/>
        </w:rPr>
        <w:t>zwi</w:t>
      </w:r>
      <w:r w:rsidRPr="00891C9F">
        <w:rPr>
          <w:rStyle w:val="FootnoteTextChar"/>
        </w:rPr>
        <w:t>ązku ze zgromadzeniami masowymi, klęskami żywiołowymi</w:t>
      </w:r>
      <w:r w:rsidR="00043012" w:rsidRPr="00891C9F">
        <w:rPr>
          <w:rStyle w:val="FootnoteTextChar"/>
        </w:rPr>
        <w:t xml:space="preserve"> i</w:t>
      </w:r>
      <w:r w:rsidR="00043012">
        <w:rPr>
          <w:rStyle w:val="FootnoteTextChar"/>
        </w:rPr>
        <w:t> </w:t>
      </w:r>
      <w:r w:rsidR="00043012" w:rsidRPr="00891C9F">
        <w:rPr>
          <w:rStyle w:val="FootnoteTextChar"/>
        </w:rPr>
        <w:t>pow</w:t>
      </w:r>
      <w:r w:rsidRPr="00891C9F">
        <w:rPr>
          <w:rStyle w:val="FootnoteTextChar"/>
        </w:rPr>
        <w:t>ażnymi wypadkami.</w:t>
      </w:r>
    </w:p>
  </w:footnote>
  <w:footnote w:id="23">
    <w:p w14:paraId="44389AF7" w14:textId="1F743AED" w:rsidR="00AD2D37" w:rsidRPr="00891C9F" w:rsidRDefault="00AD2D37" w:rsidP="00AD2D37">
      <w:pPr>
        <w:pStyle w:val="FootnoteText"/>
      </w:pPr>
      <w:r w:rsidRPr="00891C9F">
        <w:rPr>
          <w:rStyle w:val="FootnoteReference0"/>
        </w:rPr>
        <w:footnoteRef/>
      </w:r>
      <w:r w:rsidRPr="00891C9F">
        <w:tab/>
        <w:t>Katalog schengeński. Zalecenia</w:t>
      </w:r>
      <w:r w:rsidR="00043012" w:rsidRPr="00891C9F">
        <w:t xml:space="preserve"> i</w:t>
      </w:r>
      <w:r w:rsidR="00043012">
        <w:t> </w:t>
      </w:r>
      <w:r w:rsidR="00043012" w:rsidRPr="00891C9F">
        <w:t>naj</w:t>
      </w:r>
      <w:r w:rsidRPr="00891C9F">
        <w:t xml:space="preserve">lepsze praktyki. Współpraca policyjna, 15785/3/10 REV 3, Bruksela, 15.11.2011. </w:t>
      </w:r>
    </w:p>
  </w:footnote>
  <w:footnote w:id="24">
    <w:p w14:paraId="4A9DC5AE" w14:textId="2E1F2217" w:rsidR="00AD2D37" w:rsidRPr="00891C9F" w:rsidRDefault="00AD2D37" w:rsidP="00AD2D37">
      <w:pPr>
        <w:pStyle w:val="FootnoteText"/>
      </w:pPr>
      <w:r w:rsidRPr="00891C9F">
        <w:rPr>
          <w:rStyle w:val="FootnoteReference0"/>
        </w:rPr>
        <w:footnoteRef/>
      </w:r>
      <w:r w:rsidRPr="00891C9F">
        <w:tab/>
        <w:t>Pojedynczy punkt kontaktowy oznacza centralny organ krajowy odpowiedzialny za międzynarodową współpracę policyjną,</w:t>
      </w:r>
      <w:r w:rsidR="00043012" w:rsidRPr="00891C9F">
        <w:t xml:space="preserve"> o</w:t>
      </w:r>
      <w:r w:rsidR="00043012">
        <w:t> </w:t>
      </w:r>
      <w:r w:rsidR="00043012" w:rsidRPr="00891C9F">
        <w:t>któ</w:t>
      </w:r>
      <w:r w:rsidRPr="00891C9F">
        <w:t>rym mowa</w:t>
      </w:r>
      <w:r w:rsidR="00043012" w:rsidRPr="00891C9F">
        <w:t xml:space="preserve"> w</w:t>
      </w:r>
      <w:r w:rsidR="00043012">
        <w:t> </w:t>
      </w:r>
      <w:r w:rsidR="00043012" w:rsidRPr="00043012">
        <w:t>art</w:t>
      </w:r>
      <w:r w:rsidRPr="00043012">
        <w:t>.</w:t>
      </w:r>
      <w:r w:rsidR="00043012" w:rsidRPr="00043012">
        <w:t> </w:t>
      </w:r>
      <w:r w:rsidRPr="00043012">
        <w:t>3</w:t>
      </w:r>
      <w:r w:rsidRPr="00891C9F">
        <w:t xml:space="preserve">9 </w:t>
      </w:r>
      <w:r w:rsidRPr="00043012">
        <w:t>ust.</w:t>
      </w:r>
      <w:r w:rsidR="00043012" w:rsidRPr="00043012">
        <w:t> </w:t>
      </w:r>
      <w:r w:rsidRPr="00043012">
        <w:t>3</w:t>
      </w:r>
      <w:r w:rsidRPr="00891C9F">
        <w:t xml:space="preserve"> konwencji</w:t>
      </w:r>
      <w:r w:rsidR="00043012" w:rsidRPr="00891C9F">
        <w:t xml:space="preserve"> z</w:t>
      </w:r>
      <w:r w:rsidR="00043012">
        <w:t> </w:t>
      </w:r>
      <w:r w:rsidR="00043012" w:rsidRPr="00891C9F">
        <w:t>Sch</w:t>
      </w:r>
      <w:r w:rsidRPr="00891C9F">
        <w:t>engen</w:t>
      </w:r>
      <w:r w:rsidR="00043012" w:rsidRPr="00891C9F">
        <w:t>. W</w:t>
      </w:r>
      <w:r w:rsidR="00043012">
        <w:t> </w:t>
      </w:r>
      <w:r w:rsidR="00043012" w:rsidRPr="00891C9F">
        <w:t>myś</w:t>
      </w:r>
      <w:r w:rsidRPr="00891C9F">
        <w:t>l wniosku Komisji dotyczącego dyrektywy</w:t>
      </w:r>
      <w:r w:rsidR="00043012" w:rsidRPr="00891C9F">
        <w:t xml:space="preserve"> w</w:t>
      </w:r>
      <w:r w:rsidR="00043012">
        <w:t> </w:t>
      </w:r>
      <w:r w:rsidR="00043012" w:rsidRPr="00891C9F">
        <w:t>spr</w:t>
      </w:r>
      <w:r w:rsidRPr="00891C9F">
        <w:t>awie wymiany informacji między organami ścigania państw członkowskich, przedstawionego łącznie</w:t>
      </w:r>
      <w:r w:rsidR="00043012" w:rsidRPr="00891C9F">
        <w:t xml:space="preserve"> z</w:t>
      </w:r>
      <w:r w:rsidR="00043012">
        <w:t> </w:t>
      </w:r>
      <w:r w:rsidR="00043012" w:rsidRPr="00891C9F">
        <w:t>nin</w:t>
      </w:r>
      <w:r w:rsidRPr="00891C9F">
        <w:t>iejszym wnioskiem dotyczącym zalecenia Rady, państwa członkowskie byłyby prawnie zobowiązane do wyznaczenia pojedynczego punktu kontaktowego, któremu przydzielono by określone minimum zadań związanych</w:t>
      </w:r>
      <w:r w:rsidR="00043012" w:rsidRPr="00891C9F">
        <w:t xml:space="preserve"> z</w:t>
      </w:r>
      <w:r w:rsidR="00043012">
        <w:t> </w:t>
      </w:r>
      <w:r w:rsidR="00043012" w:rsidRPr="00891C9F">
        <w:t>wym</w:t>
      </w:r>
      <w:r w:rsidRPr="00891C9F">
        <w:t>ianą informacji. Po wyznaczeniu takiego punktu kontaktowego przez poszczególne państwa członkowskie odniesienie do pojedynczego punktu kontaktowego</w:t>
      </w:r>
      <w:r w:rsidR="00043012" w:rsidRPr="00891C9F">
        <w:t xml:space="preserve"> w</w:t>
      </w:r>
      <w:r w:rsidR="00043012">
        <w:t> </w:t>
      </w:r>
      <w:r w:rsidR="00043012" w:rsidRPr="00891C9F">
        <w:t>nin</w:t>
      </w:r>
      <w:r w:rsidRPr="00891C9F">
        <w:t>iejszym zaleceniu należy rozumieć jako odniesienie do pojedynczego punktu kontaktowego wskazanego na podstawie tej dyrektywy.</w:t>
      </w:r>
    </w:p>
  </w:footnote>
  <w:footnote w:id="25">
    <w:p w14:paraId="21B576C9" w14:textId="4B207D9B" w:rsidR="00AD2D37" w:rsidRPr="00891C9F" w:rsidRDefault="00AD2D37" w:rsidP="00AD2D37">
      <w:pPr>
        <w:pStyle w:val="FootnoteText"/>
      </w:pPr>
      <w:r w:rsidRPr="00891C9F">
        <w:rPr>
          <w:rStyle w:val="FootnoteReference0"/>
        </w:rPr>
        <w:footnoteRef/>
      </w:r>
      <w:r w:rsidRPr="00891C9F">
        <w:tab/>
        <w:t>Centra współpracy policyjno-celnej skupiają</w:t>
      </w:r>
      <w:r w:rsidR="00043012" w:rsidRPr="00891C9F">
        <w:t xml:space="preserve"> w</w:t>
      </w:r>
      <w:r w:rsidR="00043012">
        <w:t> </w:t>
      </w:r>
      <w:r w:rsidR="00043012" w:rsidRPr="00891C9F">
        <w:t>jed</w:t>
      </w:r>
      <w:r w:rsidRPr="00891C9F">
        <w:t>nej lokalizacji fizycznej personel poszczególnych organów ścigania uczestniczących państw członkowskich i są ściśle powiązane</w:t>
      </w:r>
      <w:r w:rsidR="00043012" w:rsidRPr="00891C9F">
        <w:t xml:space="preserve"> z</w:t>
      </w:r>
      <w:r w:rsidR="00043012">
        <w:t> </w:t>
      </w:r>
      <w:r w:rsidR="00043012" w:rsidRPr="00891C9F">
        <w:t>cen</w:t>
      </w:r>
      <w:r w:rsidRPr="00891C9F">
        <w:t xml:space="preserve">tralnym organem krajowym odpowiedzialnym za współpracę międzynarodową – pojedynczym punktem kontaktowym. </w:t>
      </w:r>
    </w:p>
  </w:footnote>
  <w:footnote w:id="26">
    <w:p w14:paraId="499AB6F0" w14:textId="64AC3707" w:rsidR="00AD2D37" w:rsidRPr="00891C9F" w:rsidRDefault="00AD2D37" w:rsidP="00AD2D37">
      <w:pPr>
        <w:pStyle w:val="FootnoteText"/>
      </w:pPr>
      <w:r w:rsidRPr="00891C9F">
        <w:rPr>
          <w:rStyle w:val="FootnoteReference0"/>
        </w:rPr>
        <w:footnoteRef/>
      </w:r>
      <w:r w:rsidRPr="00891C9F">
        <w:tab/>
        <w:t>Islandia, Norwegia, Szwajcaria</w:t>
      </w:r>
      <w:r w:rsidR="00043012" w:rsidRPr="00891C9F">
        <w:t xml:space="preserve"> i</w:t>
      </w:r>
      <w:r w:rsidR="00043012">
        <w:t> </w:t>
      </w:r>
      <w:r w:rsidR="00043012" w:rsidRPr="00891C9F">
        <w:t>Lie</w:t>
      </w:r>
      <w:r w:rsidRPr="00891C9F">
        <w:t>chtenstein są państwami stowarzyszonymi</w:t>
      </w:r>
      <w:r w:rsidR="00043012" w:rsidRPr="00891C9F">
        <w:t xml:space="preserve"> w</w:t>
      </w:r>
      <w:r w:rsidR="00043012">
        <w:t> </w:t>
      </w:r>
      <w:r w:rsidR="00043012" w:rsidRPr="00891C9F">
        <w:t>ram</w:t>
      </w:r>
      <w:r w:rsidRPr="00891C9F">
        <w:t xml:space="preserve">ach strefy Schengen. </w:t>
      </w:r>
    </w:p>
  </w:footnote>
  <w:footnote w:id="27">
    <w:p w14:paraId="4F68FEB0" w14:textId="69ACB1C2" w:rsidR="00AD2D37" w:rsidRPr="00891C9F" w:rsidRDefault="00AD2D37" w:rsidP="00AD2D37">
      <w:pPr>
        <w:pStyle w:val="FootnoteText"/>
      </w:pPr>
      <w:r w:rsidRPr="00891C9F">
        <w:rPr>
          <w:rStyle w:val="FootnoteReference0"/>
        </w:rPr>
        <w:footnoteRef/>
      </w:r>
      <w:r w:rsidRPr="00891C9F">
        <w:tab/>
        <w:t xml:space="preserve">W </w:t>
      </w:r>
      <w:r w:rsidRPr="00043012">
        <w:t>art.</w:t>
      </w:r>
      <w:r w:rsidR="00043012" w:rsidRPr="00043012">
        <w:t> </w:t>
      </w:r>
      <w:r w:rsidRPr="00043012">
        <w:t>4</w:t>
      </w:r>
      <w:r w:rsidRPr="00891C9F">
        <w:t xml:space="preserve">1 </w:t>
      </w:r>
      <w:r w:rsidRPr="00043012">
        <w:t>ust.</w:t>
      </w:r>
      <w:r w:rsidR="00043012" w:rsidRPr="00043012">
        <w:t> </w:t>
      </w:r>
      <w:r w:rsidRPr="00043012">
        <w:t>3</w:t>
      </w:r>
      <w:r w:rsidRPr="00891C9F">
        <w:t xml:space="preserve"> konwencji</w:t>
      </w:r>
      <w:r w:rsidR="00043012" w:rsidRPr="00891C9F">
        <w:t xml:space="preserve"> z</w:t>
      </w:r>
      <w:r w:rsidR="00043012">
        <w:t> </w:t>
      </w:r>
      <w:r w:rsidR="00043012" w:rsidRPr="00891C9F">
        <w:t>Sch</w:t>
      </w:r>
      <w:r w:rsidRPr="00891C9F">
        <w:t>engen przewidziano, że: „Pościg prowadzony jest zgodnie</w:t>
      </w:r>
      <w:r w:rsidR="00043012" w:rsidRPr="00891C9F">
        <w:t xml:space="preserve"> z</w:t>
      </w:r>
      <w:r w:rsidR="00043012">
        <w:t> </w:t>
      </w:r>
      <w:r w:rsidR="00043012" w:rsidRPr="00891C9F">
        <w:t>pos</w:t>
      </w:r>
      <w:r w:rsidRPr="00891C9F">
        <w:t>tanowieniami ustępu 1</w:t>
      </w:r>
      <w:r w:rsidR="00043012" w:rsidRPr="00891C9F">
        <w:t xml:space="preserve"> i</w:t>
      </w:r>
      <w:r w:rsidR="00043012">
        <w:t> </w:t>
      </w:r>
      <w:r w:rsidR="00043012" w:rsidRPr="00891C9F">
        <w:t>2</w:t>
      </w:r>
      <w:r w:rsidRPr="00891C9F">
        <w:t xml:space="preserve"> oraz</w:t>
      </w:r>
      <w:r w:rsidR="00043012" w:rsidRPr="00891C9F">
        <w:t xml:space="preserve"> w</w:t>
      </w:r>
      <w:r w:rsidR="00043012">
        <w:t> </w:t>
      </w:r>
      <w:r w:rsidR="00043012" w:rsidRPr="00891C9F">
        <w:t>jed</w:t>
      </w:r>
      <w:r w:rsidRPr="00891C9F">
        <w:t>en</w:t>
      </w:r>
      <w:r w:rsidR="00043012" w:rsidRPr="00891C9F">
        <w:t xml:space="preserve"> z</w:t>
      </w:r>
      <w:r w:rsidR="00043012">
        <w:t> </w:t>
      </w:r>
      <w:r w:rsidR="00043012" w:rsidRPr="00891C9F">
        <w:t>nas</w:t>
      </w:r>
      <w:r w:rsidRPr="00891C9F">
        <w:t>tępujących sposobów, określonych na mocy deklaracji określonej</w:t>
      </w:r>
      <w:r w:rsidR="00043012" w:rsidRPr="00891C9F">
        <w:t xml:space="preserve"> w</w:t>
      </w:r>
      <w:r w:rsidR="00043012">
        <w:t> </w:t>
      </w:r>
      <w:r w:rsidR="00043012" w:rsidRPr="00891C9F">
        <w:t>ust</w:t>
      </w:r>
      <w:r w:rsidRPr="00891C9F">
        <w:t>ępie 9: a) na obszarze lub od chwili przekroczenia granicy, które zostaną określone</w:t>
      </w:r>
      <w:r w:rsidR="00043012" w:rsidRPr="00891C9F">
        <w:t xml:space="preserve"> w</w:t>
      </w:r>
      <w:r w:rsidR="00043012">
        <w:t> </w:t>
      </w:r>
      <w:r w:rsidR="00043012" w:rsidRPr="00891C9F">
        <w:t>dek</w:t>
      </w:r>
      <w:r w:rsidRPr="00891C9F">
        <w:t>laracji; b) bez ograniczeń</w:t>
      </w:r>
      <w:r w:rsidR="00043012" w:rsidRPr="00891C9F">
        <w:t xml:space="preserve"> w</w:t>
      </w:r>
      <w:r w:rsidR="00043012">
        <w:t> </w:t>
      </w:r>
      <w:r w:rsidR="00043012" w:rsidRPr="00891C9F">
        <w:t>prz</w:t>
      </w:r>
      <w:r w:rsidRPr="00891C9F">
        <w:t>estrzeni lub</w:t>
      </w:r>
      <w:r w:rsidR="00043012" w:rsidRPr="00891C9F">
        <w:t xml:space="preserve"> w</w:t>
      </w:r>
      <w:r w:rsidR="00043012">
        <w:t> </w:t>
      </w:r>
      <w:r w:rsidR="00043012" w:rsidRPr="00891C9F">
        <w:t>cza</w:t>
      </w:r>
      <w:r w:rsidRPr="00891C9F">
        <w:t>sie”.</w:t>
      </w:r>
    </w:p>
  </w:footnote>
  <w:footnote w:id="28">
    <w:p w14:paraId="09FF7630" w14:textId="3DAC0C57" w:rsidR="00AD2D37" w:rsidRPr="00043012" w:rsidRDefault="00AD2D37" w:rsidP="00AD2D37">
      <w:pPr>
        <w:pStyle w:val="FootnoteText"/>
        <w:rPr>
          <w:rStyle w:val="FootnoteTextChar"/>
          <w:lang w:val="pl-PL"/>
        </w:rPr>
      </w:pPr>
      <w:r w:rsidRPr="00891C9F">
        <w:rPr>
          <w:rStyle w:val="FootnoteReference0"/>
        </w:rPr>
        <w:footnoteRef/>
      </w:r>
      <w:r w:rsidRPr="00891C9F">
        <w:tab/>
      </w:r>
      <w:r w:rsidRPr="00891C9F">
        <w:rPr>
          <w:rStyle w:val="FootnoteTextChar"/>
        </w:rPr>
        <w:t>Przykładowo jeden kraj sąsiadujący pozwala na pościgi transgraniczne, lecz tylko na odległość 5 km po przekroczeniu granicy</w:t>
      </w:r>
      <w:r w:rsidR="00043012" w:rsidRPr="00891C9F">
        <w:rPr>
          <w:rStyle w:val="FootnoteTextChar"/>
        </w:rPr>
        <w:t xml:space="preserve"> i</w:t>
      </w:r>
      <w:r w:rsidR="00043012">
        <w:rPr>
          <w:rStyle w:val="FootnoteTextChar"/>
        </w:rPr>
        <w:t> </w:t>
      </w:r>
      <w:r w:rsidR="00043012" w:rsidRPr="00891C9F">
        <w:rPr>
          <w:rStyle w:val="FootnoteTextChar"/>
        </w:rPr>
        <w:t>bez</w:t>
      </w:r>
      <w:r w:rsidRPr="00891C9F">
        <w:rPr>
          <w:rStyle w:val="FootnoteTextChar"/>
        </w:rPr>
        <w:t xml:space="preserve"> możliwości zatrzymania lub ujęcia osoby podejrzanej, drugi kraj sąsiadujący pozwala na pościgi na odległość 10 km od granicy lecz bez prawa noszenia określonych (ewentualnie cięższych) rodzajów broni służbowej; trzeci kraj sąsiadujący pozwala na pościgi trwające nie dłużej niż jedną godzinę itp</w:t>
      </w:r>
      <w:r w:rsidR="00043012" w:rsidRPr="00891C9F">
        <w:rPr>
          <w:rStyle w:val="FootnoteTextChar"/>
        </w:rPr>
        <w:t>. W</w:t>
      </w:r>
      <w:r w:rsidR="00043012">
        <w:rPr>
          <w:rStyle w:val="FootnoteTextChar"/>
        </w:rPr>
        <w:t> </w:t>
      </w:r>
      <w:r w:rsidR="00043012" w:rsidRPr="00891C9F">
        <w:rPr>
          <w:rStyle w:val="FootnoteTextChar"/>
        </w:rPr>
        <w:t>obl</w:t>
      </w:r>
      <w:r w:rsidRPr="00891C9F">
        <w:rPr>
          <w:rStyle w:val="FootnoteTextChar"/>
        </w:rPr>
        <w:t>iczu złożoności tak szerokiego zakresu różnych ograniczeń niektóre państwa członkowskie polecają funkcjonariuszom policji, aby zawsze rezygnowali</w:t>
      </w:r>
      <w:r w:rsidR="00043012" w:rsidRPr="00891C9F">
        <w:rPr>
          <w:rStyle w:val="FootnoteTextChar"/>
        </w:rPr>
        <w:t xml:space="preserve"> z</w:t>
      </w:r>
      <w:r w:rsidR="00043012">
        <w:rPr>
          <w:rStyle w:val="FootnoteTextChar"/>
        </w:rPr>
        <w:t> </w:t>
      </w:r>
      <w:r w:rsidR="00043012" w:rsidRPr="00891C9F">
        <w:rPr>
          <w:rStyle w:val="FootnoteTextChar"/>
        </w:rPr>
        <w:t>poś</w:t>
      </w:r>
      <w:r w:rsidRPr="00891C9F">
        <w:rPr>
          <w:rStyle w:val="FootnoteTextChar"/>
        </w:rPr>
        <w:t>cigu, gdy osoba podejrzana przekroczy granicę któregokolwiek</w:t>
      </w:r>
      <w:r w:rsidR="00043012" w:rsidRPr="00891C9F">
        <w:rPr>
          <w:rStyle w:val="FootnoteTextChar"/>
        </w:rPr>
        <w:t xml:space="preserve"> z</w:t>
      </w:r>
      <w:r w:rsidR="00043012">
        <w:rPr>
          <w:rStyle w:val="FootnoteTextChar"/>
        </w:rPr>
        <w:t> </w:t>
      </w:r>
      <w:r w:rsidR="00043012" w:rsidRPr="00891C9F">
        <w:rPr>
          <w:rStyle w:val="FootnoteTextChar"/>
        </w:rPr>
        <w:t>tyc</w:t>
      </w:r>
      <w:r w:rsidRPr="00891C9F">
        <w:rPr>
          <w:rStyle w:val="FootnoteTextChar"/>
        </w:rPr>
        <w:t>h państw członkowskich, mimo że pościgi są co do zasady dozwolone. Przestępcy</w:t>
      </w:r>
      <w:r w:rsidR="00043012" w:rsidRPr="00891C9F">
        <w:rPr>
          <w:rStyle w:val="FootnoteTextChar"/>
        </w:rPr>
        <w:t xml:space="preserve"> o</w:t>
      </w:r>
      <w:r w:rsidR="00043012">
        <w:rPr>
          <w:rStyle w:val="FootnoteTextChar"/>
        </w:rPr>
        <w:t> </w:t>
      </w:r>
      <w:r w:rsidR="00043012" w:rsidRPr="00891C9F">
        <w:rPr>
          <w:rStyle w:val="FootnoteTextChar"/>
        </w:rPr>
        <w:t>tym</w:t>
      </w:r>
      <w:r w:rsidRPr="00891C9F">
        <w:rPr>
          <w:rStyle w:val="FootnoteTextChar"/>
        </w:rPr>
        <w:t xml:space="preserve"> wiedzą</w:t>
      </w:r>
      <w:r w:rsidR="00043012" w:rsidRPr="00891C9F">
        <w:rPr>
          <w:rStyle w:val="FootnoteTextChar"/>
        </w:rPr>
        <w:t xml:space="preserve"> i</w:t>
      </w:r>
      <w:r w:rsidR="00043012">
        <w:rPr>
          <w:rStyle w:val="FootnoteTextChar"/>
        </w:rPr>
        <w:t> </w:t>
      </w:r>
      <w:r w:rsidR="00043012" w:rsidRPr="00891C9F">
        <w:rPr>
          <w:rStyle w:val="FootnoteTextChar"/>
        </w:rPr>
        <w:t>wyk</w:t>
      </w:r>
      <w:r w:rsidRPr="00891C9F">
        <w:rPr>
          <w:rStyle w:val="FootnoteTextChar"/>
        </w:rPr>
        <w:t>orzystują tę sytuację, uciekając przed policją niemal we wszystkich przypadkach</w:t>
      </w:r>
      <w:r w:rsidRPr="00043012">
        <w:rPr>
          <w:rStyle w:val="FootnoteTextChar"/>
          <w:lang w:val="pl-PL"/>
        </w:rPr>
        <w:t>.</w:t>
      </w:r>
      <w:r w:rsidR="00043012" w:rsidRPr="00043012">
        <w:rPr>
          <w:rStyle w:val="FootnoteTextChar"/>
          <w:lang w:val="pl-PL"/>
        </w:rPr>
        <w:t xml:space="preserve"> </w:t>
      </w:r>
    </w:p>
  </w:footnote>
  <w:footnote w:id="29">
    <w:p w14:paraId="2865D785" w14:textId="52CE7B5E"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 xml:space="preserve">Rozporządzenie Rady (UE) </w:t>
      </w:r>
      <w:r w:rsidRPr="00043012">
        <w:rPr>
          <w:rStyle w:val="FootnoteTextChar"/>
          <w:lang w:val="pl-PL"/>
        </w:rPr>
        <w:t>nr</w:t>
      </w:r>
      <w:r w:rsidR="00043012" w:rsidRPr="00043012">
        <w:rPr>
          <w:rStyle w:val="FootnoteTextChar"/>
          <w:lang w:val="pl-PL"/>
        </w:rPr>
        <w:t> </w:t>
      </w:r>
      <w:r w:rsidRPr="00043012">
        <w:rPr>
          <w:rStyle w:val="FootnoteTextChar"/>
          <w:lang w:val="pl-PL"/>
        </w:rPr>
        <w:t>1</w:t>
      </w:r>
      <w:r w:rsidRPr="00891C9F">
        <w:rPr>
          <w:rStyle w:val="FootnoteTextChar"/>
        </w:rPr>
        <w:t>053/2013</w:t>
      </w:r>
      <w:r w:rsidR="00043012" w:rsidRPr="00891C9F">
        <w:rPr>
          <w:rStyle w:val="FootnoteTextChar"/>
        </w:rPr>
        <w:t xml:space="preserve"> z</w:t>
      </w:r>
      <w:r w:rsidR="00043012">
        <w:rPr>
          <w:rStyle w:val="FootnoteTextChar"/>
        </w:rPr>
        <w:t> </w:t>
      </w:r>
      <w:r w:rsidR="00043012" w:rsidRPr="00891C9F">
        <w:rPr>
          <w:rStyle w:val="FootnoteTextChar"/>
        </w:rPr>
        <w:t>dni</w:t>
      </w:r>
      <w:r w:rsidRPr="00891C9F">
        <w:rPr>
          <w:rStyle w:val="FootnoteTextChar"/>
        </w:rPr>
        <w:t>a 7 października 20</w:t>
      </w:r>
      <w:r w:rsidRPr="00043012">
        <w:rPr>
          <w:rStyle w:val="FootnoteTextChar"/>
          <w:lang w:val="pl-PL"/>
        </w:rPr>
        <w:t>13</w:t>
      </w:r>
      <w:r w:rsidR="00043012" w:rsidRPr="00043012">
        <w:rPr>
          <w:rStyle w:val="FootnoteTextChar"/>
          <w:lang w:val="pl-PL"/>
        </w:rPr>
        <w:t> </w:t>
      </w:r>
      <w:r w:rsidRPr="00043012">
        <w:rPr>
          <w:rStyle w:val="FootnoteTextChar"/>
          <w:lang w:val="pl-PL"/>
        </w:rPr>
        <w:t>r.</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ustanowienia mechanizmu oceny</w:t>
      </w:r>
      <w:r w:rsidR="00043012" w:rsidRPr="00891C9F">
        <w:rPr>
          <w:rStyle w:val="FootnoteTextChar"/>
        </w:rPr>
        <w:t xml:space="preserve"> i</w:t>
      </w:r>
      <w:r w:rsidR="00043012">
        <w:rPr>
          <w:rStyle w:val="FootnoteTextChar"/>
        </w:rPr>
        <w:t> </w:t>
      </w:r>
      <w:r w:rsidR="00043012" w:rsidRPr="00891C9F">
        <w:rPr>
          <w:rStyle w:val="FootnoteTextChar"/>
        </w:rPr>
        <w:t>mon</w:t>
      </w:r>
      <w:r w:rsidRPr="00891C9F">
        <w:rPr>
          <w:rStyle w:val="FootnoteTextChar"/>
        </w:rPr>
        <w:t>itorowania</w:t>
      </w:r>
      <w:r w:rsidR="00043012" w:rsidRPr="00891C9F">
        <w:rPr>
          <w:rStyle w:val="FootnoteTextChar"/>
        </w:rPr>
        <w:t xml:space="preserve"> w</w:t>
      </w:r>
      <w:r w:rsidR="00043012">
        <w:rPr>
          <w:rStyle w:val="FootnoteTextChar"/>
        </w:rPr>
        <w:t> </w:t>
      </w:r>
      <w:r w:rsidR="00043012" w:rsidRPr="00891C9F">
        <w:rPr>
          <w:rStyle w:val="FootnoteTextChar"/>
        </w:rPr>
        <w:t>cel</w:t>
      </w:r>
      <w:r w:rsidRPr="00891C9F">
        <w:rPr>
          <w:rStyle w:val="FootnoteTextChar"/>
        </w:rPr>
        <w:t xml:space="preserve">u weryfikacji stosowania dorobku Schengen (...). </w:t>
      </w:r>
    </w:p>
  </w:footnote>
  <w:footnote w:id="30">
    <w:p w14:paraId="6609D91D" w14:textId="77777777" w:rsidR="00AD2D37" w:rsidRPr="00891C9F" w:rsidRDefault="00AD2D37" w:rsidP="00AD2D37">
      <w:pPr>
        <w:pStyle w:val="FootnoteText"/>
      </w:pPr>
      <w:r w:rsidRPr="00891C9F">
        <w:rPr>
          <w:rStyle w:val="FootnoteReference0"/>
        </w:rPr>
        <w:footnoteRef/>
      </w:r>
      <w:r w:rsidRPr="00891C9F">
        <w:tab/>
      </w:r>
      <w:r w:rsidRPr="00891C9F">
        <w:rPr>
          <w:rStyle w:val="FootnoteTextChar"/>
        </w:rPr>
        <w:t>Europol (2021), EU SOCTA 2021.</w:t>
      </w:r>
    </w:p>
  </w:footnote>
  <w:footnote w:id="31">
    <w:p w14:paraId="22DB1889" w14:textId="7CFDAF42" w:rsidR="00AD2D37" w:rsidRPr="00891C9F" w:rsidRDefault="00AD2D37" w:rsidP="00AD2D37">
      <w:pPr>
        <w:pStyle w:val="FootnoteText"/>
      </w:pPr>
      <w:r w:rsidRPr="00891C9F">
        <w:rPr>
          <w:rStyle w:val="FootnoteReference0"/>
        </w:rPr>
        <w:footnoteRef/>
      </w:r>
      <w:r w:rsidRPr="00891C9F">
        <w:tab/>
        <w:t>Gromadzenie danych na temat handlu ludźmi w UE (20</w:t>
      </w:r>
      <w:r w:rsidRPr="00043012">
        <w:t>20</w:t>
      </w:r>
      <w:r w:rsidR="00043012" w:rsidRPr="00043012">
        <w:t> </w:t>
      </w:r>
      <w:r w:rsidRPr="00043012">
        <w:t>r.</w:t>
      </w:r>
      <w:r w:rsidRPr="00891C9F">
        <w:t>); COM(2020) 661 final</w:t>
      </w:r>
      <w:r w:rsidR="00043012" w:rsidRPr="00891C9F">
        <w:t xml:space="preserve"> z</w:t>
      </w:r>
      <w:r w:rsidR="00043012">
        <w:t> </w:t>
      </w:r>
      <w:r w:rsidR="00043012" w:rsidRPr="00891C9F">
        <w:t>2</w:t>
      </w:r>
      <w:r w:rsidRPr="00891C9F">
        <w:t>0.10.20</w:t>
      </w:r>
      <w:r w:rsidRPr="00043012">
        <w:t>20</w:t>
      </w:r>
      <w:r w:rsidR="00043012" w:rsidRPr="00043012">
        <w:t> </w:t>
      </w:r>
      <w:r w:rsidRPr="00043012">
        <w:t>r.</w:t>
      </w:r>
    </w:p>
  </w:footnote>
  <w:footnote w:id="32">
    <w:p w14:paraId="4A4901EE" w14:textId="3080EF6D"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COM(2021) 277 final</w:t>
      </w:r>
      <w:r w:rsidR="00043012" w:rsidRPr="00891C9F">
        <w:rPr>
          <w:rStyle w:val="FootnoteTextChar"/>
        </w:rPr>
        <w:t xml:space="preserve"> z</w:t>
      </w:r>
      <w:r w:rsidR="00043012">
        <w:rPr>
          <w:rStyle w:val="FootnoteTextChar"/>
        </w:rPr>
        <w:t> </w:t>
      </w:r>
      <w:r w:rsidR="00043012" w:rsidRPr="00891C9F">
        <w:rPr>
          <w:rStyle w:val="FootnoteTextChar"/>
        </w:rPr>
        <w:t>2</w:t>
      </w:r>
      <w:r w:rsidRPr="00891C9F">
        <w:rPr>
          <w:rStyle w:val="FootnoteTextChar"/>
        </w:rPr>
        <w:t>.6.2021.</w:t>
      </w:r>
    </w:p>
  </w:footnote>
  <w:footnote w:id="33">
    <w:p w14:paraId="6DDBF035" w14:textId="75E8833A" w:rsidR="00AD2D37" w:rsidRPr="00891C9F" w:rsidRDefault="00AD2D37" w:rsidP="00AD2D37">
      <w:pPr>
        <w:pStyle w:val="FootnoteText"/>
      </w:pPr>
      <w:r w:rsidRPr="00891C9F">
        <w:rPr>
          <w:rStyle w:val="FootnoteReference0"/>
        </w:rPr>
        <w:footnoteRef/>
      </w:r>
      <w:r w:rsidRPr="00891C9F">
        <w:tab/>
      </w:r>
      <w:r w:rsidRPr="00891C9F">
        <w:rPr>
          <w:rStyle w:val="FootnoteTextChar"/>
        </w:rPr>
        <w:t>Zgodnie</w:t>
      </w:r>
      <w:r w:rsidR="00043012" w:rsidRPr="00891C9F">
        <w:rPr>
          <w:rStyle w:val="FootnoteTextChar"/>
        </w:rPr>
        <w:t xml:space="preserve"> z</w:t>
      </w:r>
      <w:r w:rsidR="00043012">
        <w:rPr>
          <w:rStyle w:val="FootnoteTextChar"/>
        </w:rPr>
        <w:t> </w:t>
      </w:r>
      <w:r w:rsidR="00043012" w:rsidRPr="00043012">
        <w:rPr>
          <w:rStyle w:val="FootnoteTextChar"/>
          <w:lang w:val="pl-PL"/>
        </w:rPr>
        <w:t>art</w:t>
      </w:r>
      <w:r w:rsidRPr="00043012">
        <w:rPr>
          <w:rStyle w:val="FootnoteTextChar"/>
          <w:lang w:val="pl-PL"/>
        </w:rPr>
        <w:t>.</w:t>
      </w:r>
      <w:r w:rsidR="00043012" w:rsidRPr="00043012">
        <w:rPr>
          <w:rStyle w:val="FootnoteTextChar"/>
          <w:lang w:val="pl-PL"/>
        </w:rPr>
        <w:t> </w:t>
      </w:r>
      <w:r w:rsidRPr="00043012">
        <w:rPr>
          <w:rStyle w:val="FootnoteTextChar"/>
          <w:lang w:val="pl-PL"/>
        </w:rPr>
        <w:t>1</w:t>
      </w:r>
      <w:r w:rsidRPr="00891C9F">
        <w:rPr>
          <w:rStyle w:val="FootnoteTextChar"/>
        </w:rPr>
        <w:t>7 decyzji Rady</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konwencji</w:t>
      </w:r>
      <w:r w:rsidR="00043012" w:rsidRPr="00891C9F">
        <w:rPr>
          <w:rStyle w:val="FootnoteTextChar"/>
        </w:rPr>
        <w:t xml:space="preserve"> z</w:t>
      </w:r>
      <w:r w:rsidR="00043012">
        <w:rPr>
          <w:rStyle w:val="FootnoteTextChar"/>
        </w:rPr>
        <w:t> </w:t>
      </w:r>
      <w:r w:rsidR="00043012" w:rsidRPr="00891C9F">
        <w:rPr>
          <w:rStyle w:val="FootnoteTextChar"/>
        </w:rPr>
        <w:t>Prü</w:t>
      </w:r>
      <w:r w:rsidRPr="00891C9F">
        <w:rPr>
          <w:rStyle w:val="FootnoteTextChar"/>
        </w:rPr>
        <w:t>m „[w] celu zintensyfikowania współpracy policyjnej właściwe organy wyznaczone przez państwa członkowskie mogą wprowadzić wspólne patrole</w:t>
      </w:r>
      <w:r w:rsidR="00043012" w:rsidRPr="00891C9F">
        <w:rPr>
          <w:rStyle w:val="FootnoteTextChar"/>
        </w:rPr>
        <w:t xml:space="preserve"> i</w:t>
      </w:r>
      <w:r w:rsidR="00043012">
        <w:rPr>
          <w:rStyle w:val="FootnoteTextChar"/>
        </w:rPr>
        <w:t> </w:t>
      </w:r>
      <w:r w:rsidR="00043012" w:rsidRPr="00891C9F">
        <w:rPr>
          <w:rStyle w:val="FootnoteTextChar"/>
        </w:rPr>
        <w:t>inn</w:t>
      </w:r>
      <w:r w:rsidRPr="00891C9F">
        <w:rPr>
          <w:rStyle w:val="FootnoteTextChar"/>
        </w:rPr>
        <w:t>e rodzaje wspólnych operacji służące ochronie porządku</w:t>
      </w:r>
      <w:r w:rsidR="00043012" w:rsidRPr="00891C9F">
        <w:rPr>
          <w:rStyle w:val="FootnoteTextChar"/>
        </w:rPr>
        <w:t xml:space="preserve"> i</w:t>
      </w:r>
      <w:r w:rsidR="00043012">
        <w:rPr>
          <w:rStyle w:val="FootnoteTextChar"/>
        </w:rPr>
        <w:t> </w:t>
      </w:r>
      <w:r w:rsidR="00043012" w:rsidRPr="00891C9F">
        <w:rPr>
          <w:rStyle w:val="FootnoteTextChar"/>
        </w:rPr>
        <w:t>bez</w:t>
      </w:r>
      <w:r w:rsidRPr="00891C9F">
        <w:rPr>
          <w:rStyle w:val="FootnoteTextChar"/>
        </w:rPr>
        <w:t>pieczeństwa publicznego oraz prewencji kryminalnej,</w:t>
      </w:r>
      <w:r w:rsidR="00043012" w:rsidRPr="00891C9F">
        <w:rPr>
          <w:rStyle w:val="FootnoteTextChar"/>
        </w:rPr>
        <w:t xml:space="preserve"> w</w:t>
      </w:r>
      <w:r w:rsidR="00043012">
        <w:rPr>
          <w:rStyle w:val="FootnoteTextChar"/>
        </w:rPr>
        <w:t> </w:t>
      </w:r>
      <w:r w:rsidR="00043012" w:rsidRPr="00891C9F">
        <w:rPr>
          <w:rStyle w:val="FootnoteTextChar"/>
        </w:rPr>
        <w:t>któ</w:t>
      </w:r>
      <w:r w:rsidRPr="00891C9F">
        <w:rPr>
          <w:rStyle w:val="FootnoteTextChar"/>
        </w:rPr>
        <w:t>rych wyznaczeni funkcjonariusze lub inni pracownicy</w:t>
      </w:r>
      <w:r w:rsidR="00043012" w:rsidRPr="00891C9F">
        <w:rPr>
          <w:rStyle w:val="FootnoteTextChar"/>
        </w:rPr>
        <w:t xml:space="preserve"> z</w:t>
      </w:r>
      <w:r w:rsidR="00043012">
        <w:rPr>
          <w:rStyle w:val="FootnoteTextChar"/>
        </w:rPr>
        <w:t> </w:t>
      </w:r>
      <w:r w:rsidR="00043012" w:rsidRPr="00891C9F">
        <w:rPr>
          <w:rStyle w:val="FootnoteTextChar"/>
        </w:rPr>
        <w:t>poz</w:t>
      </w:r>
      <w:r w:rsidRPr="00891C9F">
        <w:rPr>
          <w:rStyle w:val="FootnoteTextChar"/>
        </w:rPr>
        <w:t>ostałych państw członkowskich („funkcjonariusze”) współuczestniczą</w:t>
      </w:r>
      <w:r w:rsidR="00043012" w:rsidRPr="00891C9F">
        <w:rPr>
          <w:rStyle w:val="FootnoteTextChar"/>
        </w:rPr>
        <w:t xml:space="preserve"> w</w:t>
      </w:r>
      <w:r w:rsidR="00043012">
        <w:rPr>
          <w:rStyle w:val="FootnoteTextChar"/>
        </w:rPr>
        <w:t> </w:t>
      </w:r>
      <w:r w:rsidR="00043012" w:rsidRPr="00891C9F">
        <w:rPr>
          <w:rStyle w:val="FootnoteTextChar"/>
        </w:rPr>
        <w:t>ope</w:t>
      </w:r>
      <w:r w:rsidRPr="00891C9F">
        <w:rPr>
          <w:rStyle w:val="FootnoteTextChar"/>
        </w:rPr>
        <w:t>racjach przeprowadzanych na terytorium państwa członkowskiego”.</w:t>
      </w:r>
    </w:p>
  </w:footnote>
  <w:footnote w:id="34">
    <w:p w14:paraId="299B1EE9" w14:textId="47C697AB" w:rsidR="00AD2D37" w:rsidRPr="00891C9F" w:rsidRDefault="00AD2D37" w:rsidP="00AD2D37">
      <w:pPr>
        <w:pStyle w:val="FootnoteText"/>
        <w:rPr>
          <w:i/>
        </w:rPr>
      </w:pPr>
      <w:r w:rsidRPr="00891C9F">
        <w:rPr>
          <w:rStyle w:val="FootnoteReference0"/>
        </w:rPr>
        <w:footnoteRef/>
      </w:r>
      <w:r w:rsidRPr="00891C9F">
        <w:tab/>
      </w:r>
      <w:r w:rsidRPr="00891C9F">
        <w:rPr>
          <w:color w:val="444444"/>
          <w:sz w:val="21"/>
          <w:szCs w:val="21"/>
          <w:shd w:val="clear" w:color="auto" w:fill="FFFFFF"/>
        </w:rPr>
        <w:t>Agencja Unii Europejskiej ds. Współpracy Organów Ścigania ustanowiona rozporządzeniem Parlamentu Europejskiego</w:t>
      </w:r>
      <w:r w:rsidR="00043012" w:rsidRPr="00891C9F">
        <w:rPr>
          <w:color w:val="444444"/>
          <w:sz w:val="21"/>
          <w:szCs w:val="21"/>
          <w:shd w:val="clear" w:color="auto" w:fill="FFFFFF"/>
        </w:rPr>
        <w:t xml:space="preserve"> i</w:t>
      </w:r>
      <w:r w:rsidR="00043012">
        <w:rPr>
          <w:color w:val="444444"/>
          <w:sz w:val="21"/>
          <w:szCs w:val="21"/>
          <w:shd w:val="clear" w:color="auto" w:fill="FFFFFF"/>
        </w:rPr>
        <w:t> </w:t>
      </w:r>
      <w:r w:rsidR="00043012" w:rsidRPr="00891C9F">
        <w:rPr>
          <w:color w:val="444444"/>
          <w:sz w:val="21"/>
          <w:szCs w:val="21"/>
          <w:shd w:val="clear" w:color="auto" w:fill="FFFFFF"/>
        </w:rPr>
        <w:t>Rad</w:t>
      </w:r>
      <w:r w:rsidRPr="00891C9F">
        <w:rPr>
          <w:color w:val="444444"/>
          <w:sz w:val="21"/>
          <w:szCs w:val="21"/>
          <w:shd w:val="clear" w:color="auto" w:fill="FFFFFF"/>
        </w:rPr>
        <w:t>y (UE) 2016/794</w:t>
      </w:r>
      <w:r w:rsidR="00043012" w:rsidRPr="00891C9F">
        <w:rPr>
          <w:color w:val="444444"/>
          <w:sz w:val="21"/>
          <w:szCs w:val="21"/>
          <w:shd w:val="clear" w:color="auto" w:fill="FFFFFF"/>
        </w:rPr>
        <w:t xml:space="preserve"> z</w:t>
      </w:r>
      <w:r w:rsidR="00043012">
        <w:rPr>
          <w:color w:val="444444"/>
          <w:sz w:val="21"/>
          <w:szCs w:val="21"/>
          <w:shd w:val="clear" w:color="auto" w:fill="FFFFFF"/>
        </w:rPr>
        <w:t> </w:t>
      </w:r>
      <w:r w:rsidR="00043012" w:rsidRPr="00891C9F">
        <w:rPr>
          <w:color w:val="444444"/>
          <w:sz w:val="21"/>
          <w:szCs w:val="21"/>
          <w:shd w:val="clear" w:color="auto" w:fill="FFFFFF"/>
        </w:rPr>
        <w:t>dni</w:t>
      </w:r>
      <w:r w:rsidRPr="00891C9F">
        <w:rPr>
          <w:color w:val="444444"/>
          <w:sz w:val="21"/>
          <w:szCs w:val="21"/>
          <w:shd w:val="clear" w:color="auto" w:fill="FFFFFF"/>
        </w:rPr>
        <w:t>a 11 maja 20</w:t>
      </w:r>
      <w:r w:rsidRPr="00043012">
        <w:rPr>
          <w:color w:val="444444"/>
          <w:sz w:val="21"/>
          <w:szCs w:val="21"/>
          <w:shd w:val="clear" w:color="auto" w:fill="FFFFFF"/>
        </w:rPr>
        <w:t>16</w:t>
      </w:r>
      <w:r w:rsidR="00043012" w:rsidRPr="00043012">
        <w:rPr>
          <w:color w:val="444444"/>
          <w:sz w:val="21"/>
          <w:szCs w:val="21"/>
          <w:shd w:val="clear" w:color="auto" w:fill="FFFFFF"/>
        </w:rPr>
        <w:t> </w:t>
      </w:r>
      <w:r w:rsidRPr="00043012">
        <w:rPr>
          <w:color w:val="444444"/>
          <w:sz w:val="21"/>
          <w:szCs w:val="21"/>
          <w:shd w:val="clear" w:color="auto" w:fill="FFFFFF"/>
        </w:rPr>
        <w:t>r.</w:t>
      </w:r>
      <w:r w:rsidR="00043012" w:rsidRPr="00891C9F">
        <w:rPr>
          <w:color w:val="444444"/>
          <w:sz w:val="21"/>
          <w:szCs w:val="21"/>
          <w:shd w:val="clear" w:color="auto" w:fill="FFFFFF"/>
        </w:rPr>
        <w:t xml:space="preserve"> w</w:t>
      </w:r>
      <w:r w:rsidR="00043012">
        <w:rPr>
          <w:color w:val="444444"/>
          <w:sz w:val="21"/>
          <w:szCs w:val="21"/>
          <w:shd w:val="clear" w:color="auto" w:fill="FFFFFF"/>
        </w:rPr>
        <w:t> </w:t>
      </w:r>
      <w:r w:rsidR="00043012" w:rsidRPr="00891C9F">
        <w:rPr>
          <w:color w:val="444444"/>
          <w:sz w:val="21"/>
          <w:szCs w:val="21"/>
          <w:shd w:val="clear" w:color="auto" w:fill="FFFFFF"/>
        </w:rPr>
        <w:t>spr</w:t>
      </w:r>
      <w:r w:rsidRPr="00891C9F">
        <w:rPr>
          <w:color w:val="444444"/>
          <w:sz w:val="21"/>
          <w:szCs w:val="21"/>
          <w:shd w:val="clear" w:color="auto" w:fill="FFFFFF"/>
        </w:rPr>
        <w:t>awie Agencji Unii Europejskiej ds. Współpracy Organów Ścigania (Europol), zastępującym</w:t>
      </w:r>
      <w:r w:rsidR="00043012" w:rsidRPr="00891C9F">
        <w:rPr>
          <w:color w:val="444444"/>
          <w:sz w:val="21"/>
          <w:szCs w:val="21"/>
          <w:shd w:val="clear" w:color="auto" w:fill="FFFFFF"/>
        </w:rPr>
        <w:t xml:space="preserve"> i</w:t>
      </w:r>
      <w:r w:rsidR="00043012">
        <w:rPr>
          <w:color w:val="444444"/>
          <w:sz w:val="21"/>
          <w:szCs w:val="21"/>
          <w:shd w:val="clear" w:color="auto" w:fill="FFFFFF"/>
        </w:rPr>
        <w:t> </w:t>
      </w:r>
      <w:r w:rsidR="00043012" w:rsidRPr="00891C9F">
        <w:rPr>
          <w:color w:val="444444"/>
          <w:sz w:val="21"/>
          <w:szCs w:val="21"/>
          <w:shd w:val="clear" w:color="auto" w:fill="FFFFFF"/>
        </w:rPr>
        <w:t>uch</w:t>
      </w:r>
      <w:r w:rsidRPr="00891C9F">
        <w:rPr>
          <w:color w:val="444444"/>
          <w:sz w:val="21"/>
          <w:szCs w:val="21"/>
          <w:shd w:val="clear" w:color="auto" w:fill="FFFFFF"/>
        </w:rPr>
        <w:t>ylającym decyzje Rady 2009/371/WSiSW, 2009/934/WSiSW, 2009/935/WSiSW, 2009/936/WSiSW</w:t>
      </w:r>
      <w:r w:rsidR="00043012" w:rsidRPr="00891C9F">
        <w:rPr>
          <w:color w:val="444444"/>
          <w:sz w:val="21"/>
          <w:szCs w:val="21"/>
          <w:shd w:val="clear" w:color="auto" w:fill="FFFFFF"/>
        </w:rPr>
        <w:t xml:space="preserve"> i</w:t>
      </w:r>
      <w:r w:rsidR="00043012">
        <w:rPr>
          <w:color w:val="444444"/>
          <w:sz w:val="21"/>
          <w:szCs w:val="21"/>
          <w:shd w:val="clear" w:color="auto" w:fill="FFFFFF"/>
        </w:rPr>
        <w:t> </w:t>
      </w:r>
      <w:r w:rsidR="00043012" w:rsidRPr="00891C9F">
        <w:rPr>
          <w:color w:val="444444"/>
          <w:sz w:val="21"/>
          <w:szCs w:val="21"/>
          <w:shd w:val="clear" w:color="auto" w:fill="FFFFFF"/>
        </w:rPr>
        <w:t>2</w:t>
      </w:r>
      <w:r w:rsidRPr="00891C9F">
        <w:rPr>
          <w:color w:val="444444"/>
          <w:sz w:val="21"/>
          <w:szCs w:val="21"/>
          <w:shd w:val="clear" w:color="auto" w:fill="FFFFFF"/>
        </w:rPr>
        <w:t xml:space="preserve">009/968/WSiSW. </w:t>
      </w:r>
      <w:r w:rsidRPr="00891C9F">
        <w:rPr>
          <w:rStyle w:val="Emphasis"/>
          <w:i w:val="0"/>
          <w:color w:val="444444"/>
          <w:sz w:val="21"/>
          <w:szCs w:val="21"/>
          <w:shd w:val="clear" w:color="auto" w:fill="FFFFFF"/>
        </w:rPr>
        <w:t>Dz.U. L 135</w:t>
      </w:r>
      <w:r w:rsidR="00043012" w:rsidRPr="00891C9F">
        <w:rPr>
          <w:rStyle w:val="Emphasis"/>
          <w:i w:val="0"/>
          <w:color w:val="444444"/>
          <w:sz w:val="21"/>
          <w:szCs w:val="21"/>
          <w:shd w:val="clear" w:color="auto" w:fill="FFFFFF"/>
        </w:rPr>
        <w:t xml:space="preserve"> z</w:t>
      </w:r>
      <w:r w:rsidR="00043012">
        <w:rPr>
          <w:rStyle w:val="Emphasis"/>
          <w:i w:val="0"/>
          <w:color w:val="444444"/>
          <w:sz w:val="21"/>
          <w:szCs w:val="21"/>
          <w:shd w:val="clear" w:color="auto" w:fill="FFFFFF"/>
        </w:rPr>
        <w:t> </w:t>
      </w:r>
      <w:r w:rsidR="00043012" w:rsidRPr="00891C9F">
        <w:rPr>
          <w:rStyle w:val="Emphasis"/>
          <w:i w:val="0"/>
          <w:color w:val="444444"/>
          <w:sz w:val="21"/>
          <w:szCs w:val="21"/>
          <w:shd w:val="clear" w:color="auto" w:fill="FFFFFF"/>
        </w:rPr>
        <w:t>2</w:t>
      </w:r>
      <w:r w:rsidRPr="00891C9F">
        <w:rPr>
          <w:rStyle w:val="Emphasis"/>
          <w:i w:val="0"/>
          <w:color w:val="444444"/>
          <w:sz w:val="21"/>
          <w:szCs w:val="21"/>
          <w:shd w:val="clear" w:color="auto" w:fill="FFFFFF"/>
        </w:rPr>
        <w:t xml:space="preserve">4.5.2016, s. 53. </w:t>
      </w:r>
    </w:p>
  </w:footnote>
  <w:footnote w:id="35">
    <w:p w14:paraId="3EFD9BA6" w14:textId="35F66A64"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COM(2020) 605 final</w:t>
      </w:r>
      <w:r w:rsidR="00043012" w:rsidRPr="00891C9F">
        <w:rPr>
          <w:rStyle w:val="FootnoteTextChar"/>
        </w:rPr>
        <w:t xml:space="preserve"> z</w:t>
      </w:r>
      <w:r w:rsidR="00043012">
        <w:rPr>
          <w:rStyle w:val="FootnoteTextChar"/>
        </w:rPr>
        <w:t> </w:t>
      </w:r>
      <w:r w:rsidR="00043012" w:rsidRPr="00891C9F">
        <w:rPr>
          <w:rStyle w:val="FootnoteTextChar"/>
        </w:rPr>
        <w:t>2</w:t>
      </w:r>
      <w:r w:rsidRPr="00891C9F">
        <w:rPr>
          <w:rStyle w:val="FootnoteTextChar"/>
        </w:rPr>
        <w:t>4.7.2020.</w:t>
      </w:r>
    </w:p>
  </w:footnote>
  <w:footnote w:id="36">
    <w:p w14:paraId="22490254" w14:textId="2D594F3D"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COM(2020) 795 final</w:t>
      </w:r>
      <w:r w:rsidR="00043012" w:rsidRPr="00891C9F">
        <w:rPr>
          <w:rStyle w:val="FootnoteTextChar"/>
        </w:rPr>
        <w:t xml:space="preserve"> z</w:t>
      </w:r>
      <w:r w:rsidR="00043012">
        <w:rPr>
          <w:rStyle w:val="FootnoteTextChar"/>
        </w:rPr>
        <w:t> </w:t>
      </w:r>
      <w:r w:rsidR="00043012" w:rsidRPr="00891C9F">
        <w:rPr>
          <w:rStyle w:val="FootnoteTextChar"/>
        </w:rPr>
        <w:t>9</w:t>
      </w:r>
      <w:r w:rsidRPr="00891C9F">
        <w:rPr>
          <w:rStyle w:val="FootnoteTextChar"/>
        </w:rPr>
        <w:t>.12.2020.</w:t>
      </w:r>
    </w:p>
  </w:footnote>
  <w:footnote w:id="37">
    <w:p w14:paraId="65EB0DE1" w14:textId="0C8F14EA" w:rsidR="00AD2D37" w:rsidRPr="00891C9F" w:rsidRDefault="00AD2D37" w:rsidP="00AD2D37">
      <w:pPr>
        <w:pStyle w:val="FootnoteText"/>
        <w:rPr>
          <w:rStyle w:val="FootnoteTextChar"/>
        </w:rPr>
      </w:pPr>
      <w:r w:rsidRPr="00891C9F">
        <w:rPr>
          <w:rStyle w:val="FootnoteReference0"/>
        </w:rPr>
        <w:footnoteRef/>
      </w:r>
      <w:r w:rsidRPr="00891C9F">
        <w:tab/>
        <w:t>COM(2021) 170 final</w:t>
      </w:r>
      <w:r w:rsidR="00043012" w:rsidRPr="00891C9F">
        <w:t xml:space="preserve"> z</w:t>
      </w:r>
      <w:r w:rsidR="00043012">
        <w:t> </w:t>
      </w:r>
      <w:r w:rsidR="00043012" w:rsidRPr="00891C9F">
        <w:t>1</w:t>
      </w:r>
      <w:r w:rsidRPr="00891C9F">
        <w:t>4.4.2021.</w:t>
      </w:r>
    </w:p>
  </w:footnote>
  <w:footnote w:id="38">
    <w:p w14:paraId="058067E1" w14:textId="2AE9F9AB" w:rsidR="00AD2D37" w:rsidRPr="00891C9F" w:rsidRDefault="00AD2D37" w:rsidP="00AD2D37">
      <w:pPr>
        <w:pStyle w:val="FootnoteText"/>
        <w:rPr>
          <w:rStyle w:val="FootnoteReference0"/>
        </w:rPr>
      </w:pPr>
      <w:r w:rsidRPr="00891C9F">
        <w:rPr>
          <w:rStyle w:val="FootnoteReference0"/>
        </w:rPr>
        <w:footnoteRef/>
      </w:r>
      <w:r w:rsidRPr="00891C9F">
        <w:tab/>
      </w:r>
      <w:r w:rsidRPr="00891C9F">
        <w:rPr>
          <w:rStyle w:val="FootnoteTextChar"/>
        </w:rPr>
        <w:t>COM(2021) 171 final</w:t>
      </w:r>
      <w:r w:rsidR="00043012" w:rsidRPr="00891C9F">
        <w:rPr>
          <w:rStyle w:val="FootnoteTextChar"/>
        </w:rPr>
        <w:t xml:space="preserve"> z</w:t>
      </w:r>
      <w:r w:rsidR="00043012">
        <w:rPr>
          <w:rStyle w:val="FootnoteTextChar"/>
        </w:rPr>
        <w:t> </w:t>
      </w:r>
      <w:r w:rsidR="00043012" w:rsidRPr="00891C9F">
        <w:rPr>
          <w:rStyle w:val="FootnoteTextChar"/>
        </w:rPr>
        <w:t>1</w:t>
      </w:r>
      <w:r w:rsidRPr="00891C9F">
        <w:rPr>
          <w:rStyle w:val="FootnoteTextChar"/>
        </w:rPr>
        <w:t>4.4.2021.</w:t>
      </w:r>
    </w:p>
  </w:footnote>
  <w:footnote w:id="39">
    <w:p w14:paraId="2A1DCEDF" w14:textId="6F081DF8" w:rsidR="00AD2D37" w:rsidRPr="00891C9F" w:rsidRDefault="00AD2D37" w:rsidP="00AD2D37">
      <w:pPr>
        <w:pStyle w:val="FootnoteText"/>
        <w:rPr>
          <w:rStyle w:val="FootnoteReference0"/>
        </w:rPr>
      </w:pPr>
      <w:r w:rsidRPr="00891C9F">
        <w:rPr>
          <w:rStyle w:val="FootnoteReference0"/>
        </w:rPr>
        <w:footnoteRef/>
      </w:r>
      <w:r w:rsidRPr="00891C9F">
        <w:tab/>
      </w:r>
      <w:r w:rsidRPr="00891C9F">
        <w:rPr>
          <w:rStyle w:val="FootnoteTextChar"/>
        </w:rPr>
        <w:t>COM(2020) 607 final</w:t>
      </w:r>
      <w:r w:rsidR="00043012" w:rsidRPr="00891C9F">
        <w:rPr>
          <w:rStyle w:val="FootnoteTextChar"/>
        </w:rPr>
        <w:t xml:space="preserve"> z</w:t>
      </w:r>
      <w:r w:rsidR="00043012">
        <w:rPr>
          <w:rStyle w:val="FootnoteTextChar"/>
        </w:rPr>
        <w:t> </w:t>
      </w:r>
      <w:r w:rsidR="00043012" w:rsidRPr="00891C9F">
        <w:rPr>
          <w:rStyle w:val="FootnoteTextChar"/>
        </w:rPr>
        <w:t>2</w:t>
      </w:r>
      <w:r w:rsidRPr="00891C9F">
        <w:rPr>
          <w:rStyle w:val="FootnoteTextChar"/>
        </w:rPr>
        <w:t>4.7.2020.</w:t>
      </w:r>
    </w:p>
  </w:footnote>
  <w:footnote w:id="40">
    <w:p w14:paraId="54961A53" w14:textId="3C22C105" w:rsidR="00AD2D37" w:rsidRPr="00891C9F" w:rsidRDefault="00AD2D37" w:rsidP="00AD2D37">
      <w:pPr>
        <w:pStyle w:val="FootnoteText"/>
        <w:rPr>
          <w:rStyle w:val="FootnoteReference0"/>
        </w:rPr>
      </w:pPr>
      <w:r w:rsidRPr="00891C9F">
        <w:rPr>
          <w:rStyle w:val="FootnoteReference0"/>
        </w:rPr>
        <w:footnoteRef/>
      </w:r>
      <w:r w:rsidRPr="00891C9F">
        <w:tab/>
      </w:r>
      <w:r w:rsidRPr="00891C9F">
        <w:rPr>
          <w:rStyle w:val="FootnoteTextChar"/>
        </w:rPr>
        <w:t>Konkluzje Rady</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strategii antynarkotykowej UE na lata 2021–2025, 14178/20,</w:t>
      </w:r>
      <w:r w:rsidR="00043012" w:rsidRPr="00891C9F">
        <w:rPr>
          <w:rStyle w:val="FootnoteTextChar"/>
        </w:rPr>
        <w:t xml:space="preserve"> z</w:t>
      </w:r>
      <w:r w:rsidR="00043012">
        <w:rPr>
          <w:rStyle w:val="FootnoteTextChar"/>
        </w:rPr>
        <w:t> </w:t>
      </w:r>
      <w:r w:rsidR="00043012" w:rsidRPr="00891C9F">
        <w:rPr>
          <w:rStyle w:val="FootnoteTextChar"/>
        </w:rPr>
        <w:t>dni</w:t>
      </w:r>
      <w:r w:rsidRPr="00891C9F">
        <w:rPr>
          <w:rStyle w:val="FootnoteTextChar"/>
        </w:rPr>
        <w:t>a 18 grudnia 20</w:t>
      </w:r>
      <w:r w:rsidRPr="00043012">
        <w:rPr>
          <w:rStyle w:val="FootnoteTextChar"/>
          <w:lang w:val="pl-PL"/>
        </w:rPr>
        <w:t>20</w:t>
      </w:r>
      <w:r w:rsidR="00043012" w:rsidRPr="00043012">
        <w:rPr>
          <w:rStyle w:val="FootnoteTextChar"/>
          <w:lang w:val="pl-PL"/>
        </w:rPr>
        <w:t> </w:t>
      </w:r>
      <w:r w:rsidRPr="00043012">
        <w:rPr>
          <w:rStyle w:val="FootnoteTextChar"/>
          <w:lang w:val="pl-PL"/>
        </w:rPr>
        <w:t>r.</w:t>
      </w:r>
    </w:p>
  </w:footnote>
  <w:footnote w:id="41">
    <w:p w14:paraId="1D7CCFC6" w14:textId="6D6088A4"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COM(2021) 277 final</w:t>
      </w:r>
      <w:r w:rsidR="00043012" w:rsidRPr="00891C9F">
        <w:rPr>
          <w:rStyle w:val="FootnoteTextChar"/>
        </w:rPr>
        <w:t xml:space="preserve"> z</w:t>
      </w:r>
      <w:r w:rsidR="00043012">
        <w:rPr>
          <w:rStyle w:val="FootnoteTextChar"/>
        </w:rPr>
        <w:t> </w:t>
      </w:r>
      <w:r w:rsidR="00043012" w:rsidRPr="00891C9F">
        <w:rPr>
          <w:rStyle w:val="FootnoteTextChar"/>
        </w:rPr>
        <w:t>2</w:t>
      </w:r>
      <w:r w:rsidRPr="00891C9F">
        <w:rPr>
          <w:rStyle w:val="FootnoteTextChar"/>
        </w:rPr>
        <w:t>.6.2021.</w:t>
      </w:r>
    </w:p>
  </w:footnote>
  <w:footnote w:id="42">
    <w:p w14:paraId="583BAECD" w14:textId="4D2D4249"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Konkluzje Rady</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bezpieczeństwa wewnętrznego</w:t>
      </w:r>
      <w:r w:rsidR="00043012" w:rsidRPr="00891C9F">
        <w:rPr>
          <w:rStyle w:val="FootnoteTextChar"/>
        </w:rPr>
        <w:t xml:space="preserve"> i</w:t>
      </w:r>
      <w:r w:rsidR="00043012">
        <w:rPr>
          <w:rStyle w:val="FootnoteTextChar"/>
        </w:rPr>
        <w:t> </w:t>
      </w:r>
      <w:r w:rsidR="00043012" w:rsidRPr="00891C9F">
        <w:rPr>
          <w:rStyle w:val="FootnoteTextChar"/>
        </w:rPr>
        <w:t>eur</w:t>
      </w:r>
      <w:r w:rsidRPr="00891C9F">
        <w:rPr>
          <w:rStyle w:val="FootnoteTextChar"/>
        </w:rPr>
        <w:t>opejskiego partnerstwa policyjnego, 13083/1/20</w:t>
      </w:r>
      <w:r w:rsidR="00043012" w:rsidRPr="00891C9F">
        <w:rPr>
          <w:rStyle w:val="FootnoteTextChar"/>
        </w:rPr>
        <w:t xml:space="preserve"> z</w:t>
      </w:r>
      <w:r w:rsidR="00043012">
        <w:rPr>
          <w:rStyle w:val="FootnoteTextChar"/>
        </w:rPr>
        <w:t> </w:t>
      </w:r>
      <w:r w:rsidR="00043012" w:rsidRPr="00891C9F">
        <w:rPr>
          <w:rStyle w:val="FootnoteTextChar"/>
        </w:rPr>
        <w:t>dni</w:t>
      </w:r>
      <w:r w:rsidRPr="00891C9F">
        <w:rPr>
          <w:rStyle w:val="FootnoteTextChar"/>
        </w:rPr>
        <w:t>a 24 listopada 20</w:t>
      </w:r>
      <w:r w:rsidRPr="00043012">
        <w:rPr>
          <w:rStyle w:val="FootnoteTextChar"/>
          <w:lang w:val="pl-PL"/>
        </w:rPr>
        <w:t>20</w:t>
      </w:r>
      <w:r w:rsidR="00043012" w:rsidRPr="00043012">
        <w:rPr>
          <w:rStyle w:val="FootnoteTextChar"/>
          <w:lang w:val="pl-PL"/>
        </w:rPr>
        <w:t> </w:t>
      </w:r>
      <w:r w:rsidRPr="00043012">
        <w:rPr>
          <w:rStyle w:val="FootnoteTextChar"/>
          <w:lang w:val="pl-PL"/>
        </w:rPr>
        <w:t>r.</w:t>
      </w:r>
    </w:p>
  </w:footnote>
  <w:footnote w:id="43">
    <w:p w14:paraId="04ADE071" w14:textId="3F3778CC"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Konkluzje Rady</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niektórych aspektów prewencyjnych działań policji</w:t>
      </w:r>
      <w:r w:rsidR="00043012" w:rsidRPr="00891C9F">
        <w:rPr>
          <w:rStyle w:val="FootnoteTextChar"/>
        </w:rPr>
        <w:t xml:space="preserve"> w</w:t>
      </w:r>
      <w:r w:rsidR="00043012">
        <w:rPr>
          <w:rStyle w:val="FootnoteTextChar"/>
        </w:rPr>
        <w:t> </w:t>
      </w:r>
      <w:r w:rsidR="00043012" w:rsidRPr="00891C9F">
        <w:rPr>
          <w:rStyle w:val="FootnoteTextChar"/>
        </w:rPr>
        <w:t>Eur</w:t>
      </w:r>
      <w:r w:rsidRPr="00891C9F">
        <w:rPr>
          <w:rStyle w:val="FootnoteTextChar"/>
        </w:rPr>
        <w:t>opie, 10062/19</w:t>
      </w:r>
      <w:r w:rsidR="00043012" w:rsidRPr="00891C9F">
        <w:rPr>
          <w:rStyle w:val="FootnoteTextChar"/>
        </w:rPr>
        <w:t xml:space="preserve"> z</w:t>
      </w:r>
      <w:r w:rsidR="00043012">
        <w:rPr>
          <w:rStyle w:val="FootnoteTextChar"/>
        </w:rPr>
        <w:t> </w:t>
      </w:r>
      <w:r w:rsidR="00043012" w:rsidRPr="00891C9F">
        <w:rPr>
          <w:rStyle w:val="FootnoteTextChar"/>
        </w:rPr>
        <w:t>dni</w:t>
      </w:r>
      <w:r w:rsidRPr="00891C9F">
        <w:rPr>
          <w:rStyle w:val="FootnoteTextChar"/>
        </w:rPr>
        <w:t>a 6 czerwca 20</w:t>
      </w:r>
      <w:r w:rsidRPr="00043012">
        <w:rPr>
          <w:rStyle w:val="FootnoteTextChar"/>
          <w:lang w:val="pl-PL"/>
        </w:rPr>
        <w:t>19</w:t>
      </w:r>
      <w:r w:rsidR="00043012" w:rsidRPr="00043012">
        <w:rPr>
          <w:rStyle w:val="FootnoteTextChar"/>
          <w:lang w:val="pl-PL"/>
        </w:rPr>
        <w:t> </w:t>
      </w:r>
      <w:r w:rsidRPr="00043012">
        <w:rPr>
          <w:rStyle w:val="FootnoteTextChar"/>
          <w:lang w:val="pl-PL"/>
        </w:rPr>
        <w:t>r.</w:t>
      </w:r>
      <w:r w:rsidRPr="00891C9F">
        <w:rPr>
          <w:rStyle w:val="FootnoteTextChar"/>
        </w:rPr>
        <w:t>; Konkluzje Rady</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bezpieczeństwa wewnętrznego</w:t>
      </w:r>
      <w:r w:rsidR="00043012" w:rsidRPr="00891C9F">
        <w:rPr>
          <w:rStyle w:val="FootnoteTextChar"/>
        </w:rPr>
        <w:t xml:space="preserve"> i</w:t>
      </w:r>
      <w:r w:rsidR="00043012">
        <w:rPr>
          <w:rStyle w:val="FootnoteTextChar"/>
        </w:rPr>
        <w:t> </w:t>
      </w:r>
      <w:r w:rsidR="00043012" w:rsidRPr="00891C9F">
        <w:rPr>
          <w:rStyle w:val="FootnoteTextChar"/>
        </w:rPr>
        <w:t>eur</w:t>
      </w:r>
      <w:r w:rsidRPr="00891C9F">
        <w:rPr>
          <w:rStyle w:val="FootnoteTextChar"/>
        </w:rPr>
        <w:t>opejskiego partnerstwa policyjnego, 13083/1/20</w:t>
      </w:r>
      <w:r w:rsidR="00043012" w:rsidRPr="00891C9F">
        <w:rPr>
          <w:rStyle w:val="FootnoteTextChar"/>
        </w:rPr>
        <w:t xml:space="preserve"> z</w:t>
      </w:r>
      <w:r w:rsidR="00043012">
        <w:rPr>
          <w:rStyle w:val="FootnoteTextChar"/>
        </w:rPr>
        <w:t> </w:t>
      </w:r>
      <w:r w:rsidR="00043012" w:rsidRPr="00891C9F">
        <w:rPr>
          <w:rStyle w:val="FootnoteTextChar"/>
        </w:rPr>
        <w:t>dni</w:t>
      </w:r>
      <w:r w:rsidRPr="00891C9F">
        <w:rPr>
          <w:rStyle w:val="FootnoteTextChar"/>
        </w:rPr>
        <w:t>a 24 listopada 20</w:t>
      </w:r>
      <w:r w:rsidRPr="00043012">
        <w:rPr>
          <w:rStyle w:val="FootnoteTextChar"/>
          <w:lang w:val="pl-PL"/>
        </w:rPr>
        <w:t>20</w:t>
      </w:r>
      <w:r w:rsidR="00043012" w:rsidRPr="00043012">
        <w:rPr>
          <w:rStyle w:val="FootnoteTextChar"/>
          <w:lang w:val="pl-PL"/>
        </w:rPr>
        <w:t> </w:t>
      </w:r>
      <w:r w:rsidRPr="00043012">
        <w:rPr>
          <w:rStyle w:val="FootnoteTextChar"/>
          <w:lang w:val="pl-PL"/>
        </w:rPr>
        <w:t>r.</w:t>
      </w:r>
    </w:p>
  </w:footnote>
  <w:footnote w:id="44">
    <w:p w14:paraId="1D880D18" w14:textId="2F38AF7D" w:rsidR="00AD2D37" w:rsidRPr="00891C9F" w:rsidRDefault="00AD2D37" w:rsidP="00AD2D37">
      <w:pPr>
        <w:pStyle w:val="FootnoteText"/>
      </w:pPr>
      <w:r w:rsidRPr="00891C9F">
        <w:rPr>
          <w:rStyle w:val="FootnoteReference0"/>
        </w:rPr>
        <w:footnoteRef/>
      </w:r>
      <w:r w:rsidRPr="00891C9F">
        <w:tab/>
        <w:t>SWD(2021) 375, Konsultacje</w:t>
      </w:r>
      <w:r w:rsidR="00043012" w:rsidRPr="00891C9F">
        <w:t xml:space="preserve"> z</w:t>
      </w:r>
      <w:r w:rsidR="00043012">
        <w:t> </w:t>
      </w:r>
      <w:r w:rsidR="00043012" w:rsidRPr="00891C9F">
        <w:t>zai</w:t>
      </w:r>
      <w:r w:rsidRPr="00891C9F">
        <w:t>nteresowanymi stronami, streszczenie sprawozdania.</w:t>
      </w:r>
    </w:p>
  </w:footnote>
  <w:footnote w:id="45">
    <w:p w14:paraId="076B147C" w14:textId="250281EA"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Dyrektywa Parlamentu Europejskiego</w:t>
      </w:r>
      <w:r w:rsidR="00043012" w:rsidRPr="00891C9F">
        <w:rPr>
          <w:rStyle w:val="FootnoteTextChar"/>
        </w:rPr>
        <w:t xml:space="preserve"> i</w:t>
      </w:r>
      <w:r w:rsidR="00043012">
        <w:rPr>
          <w:rStyle w:val="FootnoteTextChar"/>
        </w:rPr>
        <w:t> </w:t>
      </w:r>
      <w:r w:rsidR="00043012" w:rsidRPr="00891C9F">
        <w:rPr>
          <w:rStyle w:val="FootnoteTextChar"/>
        </w:rPr>
        <w:t>Rad</w:t>
      </w:r>
      <w:r w:rsidRPr="00891C9F">
        <w:rPr>
          <w:rStyle w:val="FootnoteTextChar"/>
        </w:rPr>
        <w:t>y (UE) 2016/680</w:t>
      </w:r>
      <w:r w:rsidR="00043012" w:rsidRPr="00891C9F">
        <w:rPr>
          <w:rStyle w:val="FootnoteTextChar"/>
        </w:rPr>
        <w:t xml:space="preserve"> z</w:t>
      </w:r>
      <w:r w:rsidR="00043012">
        <w:rPr>
          <w:rStyle w:val="FootnoteTextChar"/>
        </w:rPr>
        <w:t> </w:t>
      </w:r>
      <w:r w:rsidR="00043012" w:rsidRPr="00891C9F">
        <w:rPr>
          <w:rStyle w:val="FootnoteTextChar"/>
        </w:rPr>
        <w:t>dni</w:t>
      </w:r>
      <w:r w:rsidRPr="00891C9F">
        <w:rPr>
          <w:rStyle w:val="FootnoteTextChar"/>
        </w:rPr>
        <w:t>a 27 kwietnia 20</w:t>
      </w:r>
      <w:r w:rsidRPr="00043012">
        <w:rPr>
          <w:rStyle w:val="FootnoteTextChar"/>
          <w:lang w:val="pl-PL"/>
        </w:rPr>
        <w:t>16</w:t>
      </w:r>
      <w:r w:rsidR="00043012" w:rsidRPr="00043012">
        <w:rPr>
          <w:rStyle w:val="FootnoteTextChar"/>
          <w:lang w:val="pl-PL"/>
        </w:rPr>
        <w:t> </w:t>
      </w:r>
      <w:r w:rsidRPr="00043012">
        <w:rPr>
          <w:rStyle w:val="FootnoteTextChar"/>
          <w:lang w:val="pl-PL"/>
        </w:rPr>
        <w:t>r.</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ochrony osób fizycznych</w:t>
      </w:r>
      <w:r w:rsidR="00043012" w:rsidRPr="00891C9F">
        <w:rPr>
          <w:rStyle w:val="FootnoteTextChar"/>
        </w:rPr>
        <w:t xml:space="preserve"> w</w:t>
      </w:r>
      <w:r w:rsidR="00043012">
        <w:rPr>
          <w:rStyle w:val="FootnoteTextChar"/>
        </w:rPr>
        <w:t> </w:t>
      </w:r>
      <w:r w:rsidR="00043012" w:rsidRPr="00891C9F">
        <w:rPr>
          <w:rStyle w:val="FootnoteTextChar"/>
        </w:rPr>
        <w:t>zwi</w:t>
      </w:r>
      <w:r w:rsidRPr="00891C9F">
        <w:rPr>
          <w:rStyle w:val="FootnoteTextChar"/>
        </w:rPr>
        <w:t>ązku</w:t>
      </w:r>
      <w:r w:rsidR="00043012" w:rsidRPr="00891C9F">
        <w:rPr>
          <w:rStyle w:val="FootnoteTextChar"/>
        </w:rPr>
        <w:t xml:space="preserve"> z</w:t>
      </w:r>
      <w:r w:rsidR="00043012">
        <w:rPr>
          <w:rStyle w:val="FootnoteTextChar"/>
        </w:rPr>
        <w:t> </w:t>
      </w:r>
      <w:r w:rsidR="00043012" w:rsidRPr="00891C9F">
        <w:rPr>
          <w:rStyle w:val="FootnoteTextChar"/>
        </w:rPr>
        <w:t>prz</w:t>
      </w:r>
      <w:r w:rsidRPr="00891C9F">
        <w:rPr>
          <w:rStyle w:val="FootnoteTextChar"/>
        </w:rPr>
        <w:t>etwarzaniem danych osobowych przez właściwe organy do celów zapobiegania przestępczości, prowadzenia postępowań przygotowawczych, wykrywania</w:t>
      </w:r>
      <w:r w:rsidR="00043012" w:rsidRPr="00891C9F">
        <w:rPr>
          <w:rStyle w:val="FootnoteTextChar"/>
        </w:rPr>
        <w:t xml:space="preserve"> i</w:t>
      </w:r>
      <w:r w:rsidR="00043012">
        <w:rPr>
          <w:rStyle w:val="FootnoteTextChar"/>
        </w:rPr>
        <w:t> </w:t>
      </w:r>
      <w:r w:rsidR="00043012" w:rsidRPr="00891C9F">
        <w:rPr>
          <w:rStyle w:val="FootnoteTextChar"/>
        </w:rPr>
        <w:t>ści</w:t>
      </w:r>
      <w:r w:rsidRPr="00891C9F">
        <w:rPr>
          <w:rStyle w:val="FootnoteTextChar"/>
        </w:rPr>
        <w:t>gania czynów zabronionych</w:t>
      </w:r>
      <w:r w:rsidR="00043012" w:rsidRPr="00891C9F">
        <w:rPr>
          <w:rStyle w:val="FootnoteTextChar"/>
        </w:rPr>
        <w:t xml:space="preserve"> i</w:t>
      </w:r>
      <w:r w:rsidR="00043012">
        <w:rPr>
          <w:rStyle w:val="FootnoteTextChar"/>
        </w:rPr>
        <w:t> </w:t>
      </w:r>
      <w:r w:rsidR="00043012" w:rsidRPr="00891C9F">
        <w:rPr>
          <w:rStyle w:val="FootnoteTextChar"/>
        </w:rPr>
        <w:t>wyk</w:t>
      </w:r>
      <w:r w:rsidRPr="00891C9F">
        <w:rPr>
          <w:rStyle w:val="FootnoteTextChar"/>
        </w:rPr>
        <w:t>onywania kar,</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 xml:space="preserve">awie swobodnego przepływu takich danych oraz uchylająca decyzję ramową Rady 2008/977/WSiSW. </w:t>
      </w:r>
    </w:p>
  </w:footnote>
  <w:footnote w:id="46">
    <w:p w14:paraId="31FD8674" w14:textId="3724E976" w:rsidR="00AD2D37" w:rsidRPr="00891C9F" w:rsidRDefault="00AD2D37" w:rsidP="00AD2D37">
      <w:pPr>
        <w:pStyle w:val="FootnoteText"/>
      </w:pPr>
      <w:r w:rsidRPr="00891C9F">
        <w:rPr>
          <w:rStyle w:val="FootnoteReference0"/>
        </w:rPr>
        <w:footnoteRef/>
      </w:r>
      <w:r w:rsidRPr="00891C9F">
        <w:tab/>
        <w:t>Dyrektywa 2010/64/UE</w:t>
      </w:r>
      <w:r w:rsidR="00043012" w:rsidRPr="00891C9F">
        <w:t xml:space="preserve"> w</w:t>
      </w:r>
      <w:r w:rsidR="00043012">
        <w:t> </w:t>
      </w:r>
      <w:r w:rsidR="00043012" w:rsidRPr="00891C9F">
        <w:t>spr</w:t>
      </w:r>
      <w:r w:rsidRPr="00891C9F">
        <w:t>awie prawa do tłumaczenia ustnego</w:t>
      </w:r>
      <w:r w:rsidR="00043012" w:rsidRPr="00891C9F">
        <w:t xml:space="preserve"> i</w:t>
      </w:r>
      <w:r w:rsidR="00043012">
        <w:t> </w:t>
      </w:r>
      <w:r w:rsidR="00043012" w:rsidRPr="00891C9F">
        <w:t>tłu</w:t>
      </w:r>
      <w:r w:rsidRPr="00891C9F">
        <w:t>maczenia pisemnego</w:t>
      </w:r>
      <w:r w:rsidR="00043012" w:rsidRPr="00891C9F">
        <w:t xml:space="preserve"> w</w:t>
      </w:r>
      <w:r w:rsidR="00043012">
        <w:t> </w:t>
      </w:r>
      <w:r w:rsidR="00043012" w:rsidRPr="00891C9F">
        <w:t>pos</w:t>
      </w:r>
      <w:r w:rsidRPr="00891C9F">
        <w:t>tępowaniu karnym, dyrektywa 2012/13/UE</w:t>
      </w:r>
      <w:r w:rsidR="00043012" w:rsidRPr="00891C9F">
        <w:t xml:space="preserve"> w</w:t>
      </w:r>
      <w:r w:rsidR="00043012">
        <w:t> </w:t>
      </w:r>
      <w:r w:rsidR="00043012" w:rsidRPr="00891C9F">
        <w:t>spr</w:t>
      </w:r>
      <w:r w:rsidRPr="00891C9F">
        <w:t>awie prawa do informacji</w:t>
      </w:r>
      <w:r w:rsidR="00043012" w:rsidRPr="00891C9F">
        <w:t xml:space="preserve"> w</w:t>
      </w:r>
      <w:r w:rsidR="00043012">
        <w:t> </w:t>
      </w:r>
      <w:r w:rsidR="00043012" w:rsidRPr="00891C9F">
        <w:t>pos</w:t>
      </w:r>
      <w:r w:rsidRPr="00891C9F">
        <w:t>tępowaniu karnym, dyrektywa 2013/48/UE</w:t>
      </w:r>
      <w:r w:rsidR="00043012" w:rsidRPr="00891C9F">
        <w:t xml:space="preserve"> w</w:t>
      </w:r>
      <w:r w:rsidR="00043012">
        <w:t> </w:t>
      </w:r>
      <w:r w:rsidR="00043012" w:rsidRPr="00891C9F">
        <w:t>spr</w:t>
      </w:r>
      <w:r w:rsidRPr="00891C9F">
        <w:t>awie prawa dostępu do adwokata</w:t>
      </w:r>
      <w:r w:rsidR="00043012" w:rsidRPr="00891C9F">
        <w:t xml:space="preserve"> w</w:t>
      </w:r>
      <w:r w:rsidR="00043012">
        <w:t> </w:t>
      </w:r>
      <w:r w:rsidR="00043012" w:rsidRPr="00891C9F">
        <w:t>pos</w:t>
      </w:r>
      <w:r w:rsidRPr="00891C9F">
        <w:t>tępowaniu karnym</w:t>
      </w:r>
      <w:r w:rsidR="00043012" w:rsidRPr="00891C9F">
        <w:t xml:space="preserve"> i</w:t>
      </w:r>
      <w:r w:rsidR="00043012">
        <w:t> </w:t>
      </w:r>
      <w:r w:rsidR="00043012" w:rsidRPr="00891C9F">
        <w:t>w</w:t>
      </w:r>
      <w:r w:rsidR="00043012">
        <w:t> </w:t>
      </w:r>
      <w:r w:rsidR="00043012" w:rsidRPr="00891C9F">
        <w:t>pos</w:t>
      </w:r>
      <w:r w:rsidRPr="00891C9F">
        <w:t>tępowaniu dotyczącym europejskiego nakazu aresztowania oraz</w:t>
      </w:r>
      <w:r w:rsidR="00043012" w:rsidRPr="00891C9F">
        <w:t xml:space="preserve"> w</w:t>
      </w:r>
      <w:r w:rsidR="00043012">
        <w:t> </w:t>
      </w:r>
      <w:r w:rsidR="00043012" w:rsidRPr="00891C9F">
        <w:t>spr</w:t>
      </w:r>
      <w:r w:rsidRPr="00891C9F">
        <w:t>awie prawa do poinformowania osoby trzeciej</w:t>
      </w:r>
      <w:r w:rsidR="00043012" w:rsidRPr="00891C9F">
        <w:t xml:space="preserve"> o</w:t>
      </w:r>
      <w:r w:rsidR="00043012">
        <w:t> </w:t>
      </w:r>
      <w:r w:rsidR="00043012" w:rsidRPr="00891C9F">
        <w:t>poz</w:t>
      </w:r>
      <w:r w:rsidRPr="00891C9F">
        <w:t>bawieniu wolności</w:t>
      </w:r>
      <w:r w:rsidR="00043012" w:rsidRPr="00891C9F">
        <w:t xml:space="preserve"> i</w:t>
      </w:r>
      <w:r w:rsidR="00043012">
        <w:t> </w:t>
      </w:r>
      <w:r w:rsidR="00043012" w:rsidRPr="00891C9F">
        <w:t>pra</w:t>
      </w:r>
      <w:r w:rsidRPr="00891C9F">
        <w:t>wa do porozumiewania się</w:t>
      </w:r>
      <w:r w:rsidR="00043012" w:rsidRPr="00891C9F">
        <w:t xml:space="preserve"> z</w:t>
      </w:r>
      <w:r w:rsidR="00043012">
        <w:t> </w:t>
      </w:r>
      <w:r w:rsidR="00043012" w:rsidRPr="00891C9F">
        <w:t>oso</w:t>
      </w:r>
      <w:r w:rsidRPr="00891C9F">
        <w:t>bami trzecimi</w:t>
      </w:r>
      <w:r w:rsidR="00043012" w:rsidRPr="00891C9F">
        <w:t xml:space="preserve"> i</w:t>
      </w:r>
      <w:r w:rsidR="00043012">
        <w:t> </w:t>
      </w:r>
      <w:r w:rsidR="00043012" w:rsidRPr="00891C9F">
        <w:t>org</w:t>
      </w:r>
      <w:r w:rsidRPr="00891C9F">
        <w:t>anami konsularnymi</w:t>
      </w:r>
      <w:r w:rsidR="00043012" w:rsidRPr="00891C9F">
        <w:t xml:space="preserve"> w</w:t>
      </w:r>
      <w:r w:rsidR="00043012">
        <w:t> </w:t>
      </w:r>
      <w:r w:rsidR="00043012" w:rsidRPr="00891C9F">
        <w:t>cza</w:t>
      </w:r>
      <w:r w:rsidRPr="00891C9F">
        <w:t>sie pozbawienia wolności, dyrektywa (UE) 2016/1919</w:t>
      </w:r>
      <w:r w:rsidR="00043012" w:rsidRPr="00891C9F">
        <w:t xml:space="preserve"> w</w:t>
      </w:r>
      <w:r w:rsidR="00043012">
        <w:t> </w:t>
      </w:r>
      <w:r w:rsidR="00043012" w:rsidRPr="00891C9F">
        <w:t>spr</w:t>
      </w:r>
      <w:r w:rsidRPr="00891C9F">
        <w:t>awie pomocy prawnej</w:t>
      </w:r>
      <w:r w:rsidR="00043012" w:rsidRPr="00891C9F">
        <w:t xml:space="preserve"> z</w:t>
      </w:r>
      <w:r w:rsidR="00043012">
        <w:t> </w:t>
      </w:r>
      <w:r w:rsidR="00043012" w:rsidRPr="00891C9F">
        <w:t>urz</w:t>
      </w:r>
      <w:r w:rsidRPr="00891C9F">
        <w:t>ędu dla podejrzanych</w:t>
      </w:r>
      <w:r w:rsidR="00043012" w:rsidRPr="00891C9F">
        <w:t xml:space="preserve"> i</w:t>
      </w:r>
      <w:r w:rsidR="00043012">
        <w:t> </w:t>
      </w:r>
      <w:r w:rsidR="00043012" w:rsidRPr="00891C9F">
        <w:t>osk</w:t>
      </w:r>
      <w:r w:rsidRPr="00891C9F">
        <w:t>arżonych</w:t>
      </w:r>
      <w:r w:rsidR="00043012" w:rsidRPr="00891C9F">
        <w:t xml:space="preserve"> w</w:t>
      </w:r>
      <w:r w:rsidR="00043012">
        <w:t> </w:t>
      </w:r>
      <w:r w:rsidR="00043012" w:rsidRPr="00891C9F">
        <w:t>pos</w:t>
      </w:r>
      <w:r w:rsidRPr="00891C9F">
        <w:t>tępowaniu karnym oraz dla osób, których dotyczy wniosek</w:t>
      </w:r>
      <w:r w:rsidR="00043012" w:rsidRPr="00891C9F">
        <w:t xml:space="preserve"> w</w:t>
      </w:r>
      <w:r w:rsidR="00043012">
        <w:t> </w:t>
      </w:r>
      <w:r w:rsidR="00043012" w:rsidRPr="00891C9F">
        <w:t>pos</w:t>
      </w:r>
      <w:r w:rsidRPr="00891C9F">
        <w:t>tępowaniu dotyczącym europejskiego nakazu aresztowania, dyrektywa (UE) 2016/343</w:t>
      </w:r>
      <w:r w:rsidR="00043012" w:rsidRPr="00891C9F">
        <w:t xml:space="preserve"> w</w:t>
      </w:r>
      <w:r w:rsidR="00043012">
        <w:t> </w:t>
      </w:r>
      <w:r w:rsidR="00043012" w:rsidRPr="00891C9F">
        <w:t>spr</w:t>
      </w:r>
      <w:r w:rsidRPr="00891C9F">
        <w:t>awie wzmocnienia niektórych aspektów domniemania niewinności</w:t>
      </w:r>
      <w:r w:rsidR="00043012" w:rsidRPr="00891C9F">
        <w:t xml:space="preserve"> i</w:t>
      </w:r>
      <w:r w:rsidR="00043012">
        <w:t> </w:t>
      </w:r>
      <w:r w:rsidR="00043012" w:rsidRPr="00891C9F">
        <w:t>pra</w:t>
      </w:r>
      <w:r w:rsidRPr="00891C9F">
        <w:t>wa do obecności na rozprawie</w:t>
      </w:r>
      <w:r w:rsidR="00043012" w:rsidRPr="00891C9F">
        <w:t xml:space="preserve"> w</w:t>
      </w:r>
      <w:r w:rsidR="00043012">
        <w:t> </w:t>
      </w:r>
      <w:r w:rsidR="00043012" w:rsidRPr="00891C9F">
        <w:t>pos</w:t>
      </w:r>
      <w:r w:rsidRPr="00891C9F">
        <w:t>tępowaniu karnym, dyrektywa (UE) 2016/800</w:t>
      </w:r>
      <w:r w:rsidR="00043012" w:rsidRPr="00891C9F">
        <w:t xml:space="preserve"> w</w:t>
      </w:r>
      <w:r w:rsidR="00043012">
        <w:t> </w:t>
      </w:r>
      <w:r w:rsidR="00043012" w:rsidRPr="00891C9F">
        <w:t>spr</w:t>
      </w:r>
      <w:r w:rsidRPr="00891C9F">
        <w:t>awie gwarancji procesowych dla dzieci będących podejrzanymi lub oskarżonymi</w:t>
      </w:r>
      <w:r w:rsidR="00043012" w:rsidRPr="00891C9F">
        <w:t xml:space="preserve"> w</w:t>
      </w:r>
      <w:r w:rsidR="00043012">
        <w:t> </w:t>
      </w:r>
      <w:r w:rsidR="00043012" w:rsidRPr="00891C9F">
        <w:t>pos</w:t>
      </w:r>
      <w:r w:rsidRPr="00891C9F">
        <w:t>tępowaniu karnym.</w:t>
      </w:r>
    </w:p>
  </w:footnote>
  <w:footnote w:id="47">
    <w:p w14:paraId="661BECD3" w14:textId="77777777"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Rozporządzenie (UE) 2021/1149.</w:t>
      </w:r>
    </w:p>
  </w:footnote>
  <w:footnote w:id="48">
    <w:p w14:paraId="58594EF1" w14:textId="105E37D5"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 xml:space="preserve">Zob. </w:t>
      </w:r>
      <w:r w:rsidRPr="00043012">
        <w:rPr>
          <w:rStyle w:val="FootnoteTextChar"/>
          <w:lang w:val="pl-PL"/>
        </w:rPr>
        <w:t>art.</w:t>
      </w:r>
      <w:r w:rsidR="00043012" w:rsidRPr="00043012">
        <w:rPr>
          <w:rStyle w:val="FootnoteTextChar"/>
          <w:lang w:val="pl-PL"/>
        </w:rPr>
        <w:t> </w:t>
      </w:r>
      <w:r w:rsidRPr="00043012">
        <w:rPr>
          <w:rStyle w:val="FootnoteTextChar"/>
          <w:lang w:val="pl-PL"/>
        </w:rPr>
        <w:t>3</w:t>
      </w:r>
      <w:r w:rsidRPr="00891C9F">
        <w:rPr>
          <w:rStyle w:val="FootnoteTextChar"/>
        </w:rPr>
        <w:t xml:space="preserve"> </w:t>
      </w:r>
      <w:r w:rsidRPr="00043012">
        <w:rPr>
          <w:rStyle w:val="FootnoteTextChar"/>
          <w:lang w:val="pl-PL"/>
        </w:rPr>
        <w:t>ust.</w:t>
      </w:r>
      <w:r w:rsidR="00043012" w:rsidRPr="00043012">
        <w:rPr>
          <w:rStyle w:val="FootnoteTextChar"/>
          <w:lang w:val="pl-PL"/>
        </w:rPr>
        <w:t> </w:t>
      </w:r>
      <w:r w:rsidRPr="00043012">
        <w:rPr>
          <w:rStyle w:val="FootnoteTextChar"/>
          <w:lang w:val="pl-PL"/>
        </w:rPr>
        <w:t>2</w:t>
      </w:r>
      <w:r w:rsidRPr="00891C9F">
        <w:rPr>
          <w:rStyle w:val="FootnoteTextChar"/>
        </w:rPr>
        <w:t xml:space="preserve"> rozporządzenia (UE) 2021/1149.</w:t>
      </w:r>
    </w:p>
  </w:footnote>
  <w:footnote w:id="49">
    <w:p w14:paraId="753649CA" w14:textId="47BE1CE8" w:rsidR="00AD2D37" w:rsidRPr="00891C9F" w:rsidRDefault="00AD2D37" w:rsidP="00AD2D37">
      <w:pPr>
        <w:pStyle w:val="FootnoteText"/>
      </w:pPr>
      <w:r w:rsidRPr="00891C9F">
        <w:rPr>
          <w:rStyle w:val="FootnoteReference0"/>
        </w:rPr>
        <w:footnoteRef/>
      </w:r>
      <w:r w:rsidRPr="00891C9F">
        <w:tab/>
      </w:r>
      <w:r w:rsidRPr="00891C9F">
        <w:rPr>
          <w:rStyle w:val="FootnoteTextChar"/>
        </w:rPr>
        <w:t xml:space="preserve">W </w:t>
      </w:r>
      <w:r w:rsidRPr="00043012">
        <w:rPr>
          <w:rStyle w:val="FootnoteTextChar"/>
          <w:lang w:val="pl-PL"/>
        </w:rPr>
        <w:t>art.</w:t>
      </w:r>
      <w:r w:rsidR="00043012" w:rsidRPr="00043012">
        <w:rPr>
          <w:rStyle w:val="FootnoteTextChar"/>
          <w:lang w:val="pl-PL"/>
        </w:rPr>
        <w:t> </w:t>
      </w:r>
      <w:r w:rsidRPr="00043012">
        <w:rPr>
          <w:rStyle w:val="FootnoteTextChar"/>
          <w:lang w:val="pl-PL"/>
        </w:rPr>
        <w:t>4</w:t>
      </w:r>
      <w:r w:rsidRPr="00891C9F">
        <w:rPr>
          <w:rStyle w:val="FootnoteTextChar"/>
        </w:rPr>
        <w:t xml:space="preserve">0 </w:t>
      </w:r>
      <w:r w:rsidRPr="00043012">
        <w:rPr>
          <w:rStyle w:val="FootnoteTextChar"/>
          <w:lang w:val="pl-PL"/>
        </w:rPr>
        <w:t>ust.</w:t>
      </w:r>
      <w:r w:rsidR="00043012" w:rsidRPr="00043012">
        <w:rPr>
          <w:rStyle w:val="FootnoteTextChar"/>
          <w:lang w:val="pl-PL"/>
        </w:rPr>
        <w:t> </w:t>
      </w:r>
      <w:r w:rsidRPr="00043012">
        <w:rPr>
          <w:rStyle w:val="FootnoteTextChar"/>
          <w:lang w:val="pl-PL"/>
        </w:rPr>
        <w:t>7</w:t>
      </w:r>
      <w:r w:rsidR="00043012" w:rsidRPr="00891C9F">
        <w:rPr>
          <w:rStyle w:val="FootnoteTextChar"/>
        </w:rPr>
        <w:t xml:space="preserve"> i</w:t>
      </w:r>
      <w:r w:rsidR="00043012">
        <w:rPr>
          <w:rStyle w:val="FootnoteTextChar"/>
        </w:rPr>
        <w:t> </w:t>
      </w:r>
      <w:r w:rsidR="00043012" w:rsidRPr="00043012">
        <w:rPr>
          <w:rStyle w:val="FootnoteTextChar"/>
          <w:lang w:val="pl-PL"/>
        </w:rPr>
        <w:t>art</w:t>
      </w:r>
      <w:r w:rsidRPr="00043012">
        <w:rPr>
          <w:rStyle w:val="FootnoteTextChar"/>
          <w:lang w:val="pl-PL"/>
        </w:rPr>
        <w:t>.</w:t>
      </w:r>
      <w:r w:rsidR="00043012" w:rsidRPr="00043012">
        <w:rPr>
          <w:rStyle w:val="FootnoteTextChar"/>
          <w:lang w:val="pl-PL"/>
        </w:rPr>
        <w:t> </w:t>
      </w:r>
      <w:r w:rsidRPr="00043012">
        <w:rPr>
          <w:rStyle w:val="FootnoteTextChar"/>
          <w:lang w:val="pl-PL"/>
        </w:rPr>
        <w:t>4</w:t>
      </w:r>
      <w:r w:rsidRPr="00891C9F">
        <w:rPr>
          <w:rStyle w:val="FootnoteTextChar"/>
        </w:rPr>
        <w:t xml:space="preserve">1 </w:t>
      </w:r>
      <w:r w:rsidRPr="00043012">
        <w:rPr>
          <w:rStyle w:val="FootnoteTextChar"/>
          <w:lang w:val="pl-PL"/>
        </w:rPr>
        <w:t>ust.</w:t>
      </w:r>
      <w:r w:rsidR="00043012" w:rsidRPr="00043012">
        <w:rPr>
          <w:rStyle w:val="FootnoteTextChar"/>
          <w:lang w:val="pl-PL"/>
        </w:rPr>
        <w:t> </w:t>
      </w:r>
      <w:r w:rsidRPr="00043012">
        <w:rPr>
          <w:rStyle w:val="FootnoteTextChar"/>
          <w:lang w:val="pl-PL"/>
        </w:rPr>
        <w:t>4</w:t>
      </w:r>
      <w:r w:rsidRPr="00891C9F">
        <w:rPr>
          <w:rStyle w:val="FootnoteTextChar"/>
        </w:rPr>
        <w:t xml:space="preserve"> konwencji</w:t>
      </w:r>
      <w:r w:rsidR="00043012" w:rsidRPr="00891C9F">
        <w:rPr>
          <w:rStyle w:val="FootnoteTextChar"/>
        </w:rPr>
        <w:t xml:space="preserve"> z</w:t>
      </w:r>
      <w:r w:rsidR="00043012">
        <w:rPr>
          <w:rStyle w:val="FootnoteTextChar"/>
        </w:rPr>
        <w:t> </w:t>
      </w:r>
      <w:r w:rsidR="00043012" w:rsidRPr="00891C9F">
        <w:rPr>
          <w:rStyle w:val="FootnoteTextChar"/>
        </w:rPr>
        <w:t>Sch</w:t>
      </w:r>
      <w:r w:rsidRPr="00891C9F">
        <w:rPr>
          <w:rStyle w:val="FootnoteTextChar"/>
        </w:rPr>
        <w:t>engen ustalono wykaz przestępstw,</w:t>
      </w:r>
      <w:r w:rsidR="00043012" w:rsidRPr="00891C9F">
        <w:rPr>
          <w:rStyle w:val="FootnoteTextChar"/>
        </w:rPr>
        <w:t xml:space="preserve"> w</w:t>
      </w:r>
      <w:r w:rsidR="00043012">
        <w:rPr>
          <w:rStyle w:val="FootnoteTextChar"/>
        </w:rPr>
        <w:t> </w:t>
      </w:r>
      <w:r w:rsidR="00043012" w:rsidRPr="00891C9F">
        <w:rPr>
          <w:rStyle w:val="FootnoteTextChar"/>
        </w:rPr>
        <w:t>prz</w:t>
      </w:r>
      <w:r w:rsidRPr="00891C9F">
        <w:rPr>
          <w:rStyle w:val="FootnoteTextChar"/>
        </w:rPr>
        <w:t>ypadku których można podejmować, odpowiednio, obserwacje transgraniczne</w:t>
      </w:r>
      <w:r w:rsidR="00043012" w:rsidRPr="00891C9F">
        <w:rPr>
          <w:rStyle w:val="FootnoteTextChar"/>
        </w:rPr>
        <w:t xml:space="preserve"> i</w:t>
      </w:r>
      <w:r w:rsidR="00043012">
        <w:rPr>
          <w:rStyle w:val="FootnoteTextChar"/>
        </w:rPr>
        <w:t> </w:t>
      </w:r>
      <w:r w:rsidR="00043012" w:rsidRPr="00891C9F">
        <w:rPr>
          <w:rStyle w:val="FootnoteTextChar"/>
        </w:rPr>
        <w:t>poś</w:t>
      </w:r>
      <w:r w:rsidRPr="00891C9F">
        <w:rPr>
          <w:rStyle w:val="FootnoteTextChar"/>
        </w:rPr>
        <w:t>cigi transgraniczne. Wykazy te można również znaleźć</w:t>
      </w:r>
      <w:r w:rsidR="00043012" w:rsidRPr="00891C9F">
        <w:rPr>
          <w:rStyle w:val="FootnoteTextChar"/>
        </w:rPr>
        <w:t xml:space="preserve"> w</w:t>
      </w:r>
      <w:r w:rsidR="00043012">
        <w:rPr>
          <w:rStyle w:val="FootnoteTextChar"/>
        </w:rPr>
        <w:t> </w:t>
      </w:r>
      <w:r w:rsidR="00043012" w:rsidRPr="00891C9F">
        <w:rPr>
          <w:rStyle w:val="FootnoteTextChar"/>
        </w:rPr>
        <w:t>pos</w:t>
      </w:r>
      <w:r w:rsidRPr="00891C9F">
        <w:rPr>
          <w:rStyle w:val="FootnoteTextChar"/>
        </w:rPr>
        <w:t>zczególnych dwustronnych</w:t>
      </w:r>
      <w:r w:rsidR="00043012" w:rsidRPr="00891C9F">
        <w:rPr>
          <w:rStyle w:val="FootnoteTextChar"/>
        </w:rPr>
        <w:t xml:space="preserve"> i</w:t>
      </w:r>
      <w:r w:rsidR="00043012">
        <w:rPr>
          <w:rStyle w:val="FootnoteTextChar"/>
        </w:rPr>
        <w:t> </w:t>
      </w:r>
      <w:r w:rsidR="00043012" w:rsidRPr="00891C9F">
        <w:rPr>
          <w:rStyle w:val="FootnoteTextChar"/>
        </w:rPr>
        <w:t>wie</w:t>
      </w:r>
      <w:r w:rsidRPr="00891C9F">
        <w:rPr>
          <w:rStyle w:val="FootnoteTextChar"/>
        </w:rPr>
        <w:t>lostronnych umowach między państwami członkowskimi.</w:t>
      </w:r>
    </w:p>
  </w:footnote>
  <w:footnote w:id="50">
    <w:p w14:paraId="3EB9CD35" w14:textId="42CE23CA" w:rsidR="00AD2D37" w:rsidRPr="00891C9F" w:rsidRDefault="00AD2D37" w:rsidP="00AD2D37">
      <w:pPr>
        <w:pStyle w:val="FootnoteText"/>
      </w:pPr>
      <w:r w:rsidRPr="00891C9F">
        <w:rPr>
          <w:rStyle w:val="FootnoteReference0"/>
        </w:rPr>
        <w:footnoteRef/>
      </w:r>
      <w:r w:rsidRPr="00891C9F">
        <w:tab/>
      </w:r>
      <w:r w:rsidRPr="00891C9F">
        <w:rPr>
          <w:rStyle w:val="FootnoteTextChar"/>
        </w:rPr>
        <w:t>Zgodnie</w:t>
      </w:r>
      <w:r w:rsidR="00043012" w:rsidRPr="00891C9F">
        <w:rPr>
          <w:rStyle w:val="FootnoteTextChar"/>
        </w:rPr>
        <w:t xml:space="preserve"> z</w:t>
      </w:r>
      <w:r w:rsidR="00043012">
        <w:rPr>
          <w:rStyle w:val="FootnoteTextChar"/>
        </w:rPr>
        <w:t> </w:t>
      </w:r>
      <w:r w:rsidR="00043012" w:rsidRPr="00043012">
        <w:rPr>
          <w:rStyle w:val="FootnoteTextChar"/>
          <w:lang w:val="pl-PL"/>
        </w:rPr>
        <w:t>art</w:t>
      </w:r>
      <w:r w:rsidRPr="00043012">
        <w:rPr>
          <w:rStyle w:val="FootnoteTextChar"/>
          <w:lang w:val="pl-PL"/>
        </w:rPr>
        <w:t>.</w:t>
      </w:r>
      <w:r w:rsidR="00043012" w:rsidRPr="00043012">
        <w:rPr>
          <w:rStyle w:val="FootnoteTextChar"/>
          <w:lang w:val="pl-PL"/>
        </w:rPr>
        <w:t> </w:t>
      </w:r>
      <w:r w:rsidRPr="00043012">
        <w:rPr>
          <w:rStyle w:val="FootnoteTextChar"/>
          <w:lang w:val="pl-PL"/>
        </w:rPr>
        <w:t>4</w:t>
      </w:r>
      <w:r w:rsidRPr="00891C9F">
        <w:rPr>
          <w:rStyle w:val="FootnoteTextChar"/>
        </w:rPr>
        <w:t xml:space="preserve"> </w:t>
      </w:r>
      <w:r w:rsidRPr="00043012">
        <w:rPr>
          <w:rStyle w:val="FootnoteTextChar"/>
          <w:lang w:val="pl-PL"/>
        </w:rPr>
        <w:t>ust.</w:t>
      </w:r>
      <w:r w:rsidR="00043012" w:rsidRPr="00043012">
        <w:rPr>
          <w:rStyle w:val="FootnoteTextChar"/>
          <w:lang w:val="pl-PL"/>
        </w:rPr>
        <w:t> </w:t>
      </w:r>
      <w:r w:rsidRPr="00043012">
        <w:rPr>
          <w:rStyle w:val="FootnoteTextChar"/>
          <w:lang w:val="pl-PL"/>
        </w:rPr>
        <w:t>1</w:t>
      </w:r>
      <w:r w:rsidRPr="00891C9F">
        <w:rPr>
          <w:rStyle w:val="FootnoteTextChar"/>
        </w:rPr>
        <w:t xml:space="preserve"> </w:t>
      </w:r>
      <w:r w:rsidRPr="00043012">
        <w:rPr>
          <w:rStyle w:val="FootnoteTextChar"/>
          <w:lang w:val="pl-PL"/>
        </w:rPr>
        <w:t>lit.</w:t>
      </w:r>
      <w:r w:rsidR="00043012" w:rsidRPr="00043012">
        <w:rPr>
          <w:rStyle w:val="FootnoteTextChar"/>
          <w:lang w:val="pl-PL"/>
        </w:rPr>
        <w:t> </w:t>
      </w:r>
      <w:r w:rsidRPr="00043012">
        <w:rPr>
          <w:rStyle w:val="FootnoteTextChar"/>
          <w:lang w:val="pl-PL"/>
        </w:rPr>
        <w:t>f)</w:t>
      </w:r>
      <w:r w:rsidRPr="00891C9F">
        <w:rPr>
          <w:rStyle w:val="FootnoteTextChar"/>
        </w:rPr>
        <w:t xml:space="preserve"> rozporządzenia</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Europolu (UE) 2016/794 Europol przygotowuje oceny zagrożenia, analizy strategiczne</w:t>
      </w:r>
      <w:r w:rsidR="00043012" w:rsidRPr="00891C9F">
        <w:rPr>
          <w:rStyle w:val="FootnoteTextChar"/>
        </w:rPr>
        <w:t xml:space="preserve"> i</w:t>
      </w:r>
      <w:r w:rsidR="00043012">
        <w:rPr>
          <w:rStyle w:val="FootnoteTextChar"/>
        </w:rPr>
        <w:t> </w:t>
      </w:r>
      <w:r w:rsidR="00043012" w:rsidRPr="00891C9F">
        <w:rPr>
          <w:rStyle w:val="FootnoteTextChar"/>
        </w:rPr>
        <w:t>ope</w:t>
      </w:r>
      <w:r w:rsidRPr="00891C9F">
        <w:rPr>
          <w:rStyle w:val="FootnoteTextChar"/>
        </w:rPr>
        <w:t>racyjne oraz sprawozdania sytuacyjne. Sztandarowym sprawozdaniem Europolu jest sprawozdanie</w:t>
      </w:r>
      <w:r w:rsidR="00043012" w:rsidRPr="00891C9F">
        <w:rPr>
          <w:rStyle w:val="FootnoteTextChar"/>
        </w:rPr>
        <w:t xml:space="preserve"> z</w:t>
      </w:r>
      <w:r w:rsidR="00043012">
        <w:rPr>
          <w:rStyle w:val="FootnoteTextChar"/>
        </w:rPr>
        <w:t> </w:t>
      </w:r>
      <w:r w:rsidR="00043012" w:rsidRPr="00891C9F">
        <w:rPr>
          <w:rStyle w:val="FootnoteTextChar"/>
        </w:rPr>
        <w:t>uni</w:t>
      </w:r>
      <w:r w:rsidRPr="00891C9F">
        <w:rPr>
          <w:rStyle w:val="FootnoteTextChar"/>
        </w:rPr>
        <w:t>jnej oceny zagrożenia poważną</w:t>
      </w:r>
      <w:r w:rsidR="00043012" w:rsidRPr="00891C9F">
        <w:rPr>
          <w:rStyle w:val="FootnoteTextChar"/>
        </w:rPr>
        <w:t xml:space="preserve"> i</w:t>
      </w:r>
      <w:r w:rsidR="00043012">
        <w:rPr>
          <w:rStyle w:val="FootnoteTextChar"/>
        </w:rPr>
        <w:t> </w:t>
      </w:r>
      <w:r w:rsidR="00043012" w:rsidRPr="00891C9F">
        <w:rPr>
          <w:rStyle w:val="FootnoteTextChar"/>
        </w:rPr>
        <w:t>zor</w:t>
      </w:r>
      <w:r w:rsidRPr="00891C9F">
        <w:rPr>
          <w:rStyle w:val="FootnoteTextChar"/>
        </w:rPr>
        <w:t>ganizowaną przestępczością (SOCTA),</w:t>
      </w:r>
      <w:r w:rsidR="00043012" w:rsidRPr="00891C9F">
        <w:rPr>
          <w:rStyle w:val="FootnoteTextChar"/>
        </w:rPr>
        <w:t xml:space="preserve"> w</w:t>
      </w:r>
      <w:r w:rsidR="00043012">
        <w:rPr>
          <w:rStyle w:val="FootnoteTextChar"/>
        </w:rPr>
        <w:t> </w:t>
      </w:r>
      <w:r w:rsidR="00043012" w:rsidRPr="00891C9F">
        <w:rPr>
          <w:rStyle w:val="FootnoteTextChar"/>
        </w:rPr>
        <w:t>któ</w:t>
      </w:r>
      <w:r w:rsidRPr="00891C9F">
        <w:rPr>
          <w:rStyle w:val="FootnoteTextChar"/>
        </w:rPr>
        <w:t>rym przedstawia się m.in. główne lokalizacje przestępstw w UE. Analogicznie, zgodnie</w:t>
      </w:r>
      <w:r w:rsidR="00043012" w:rsidRPr="00891C9F">
        <w:rPr>
          <w:rStyle w:val="FootnoteTextChar"/>
        </w:rPr>
        <w:t xml:space="preserve"> z</w:t>
      </w:r>
      <w:r w:rsidR="00043012">
        <w:rPr>
          <w:rStyle w:val="FootnoteTextChar"/>
        </w:rPr>
        <w:t> </w:t>
      </w:r>
      <w:r w:rsidR="00043012" w:rsidRPr="00043012">
        <w:rPr>
          <w:rStyle w:val="FootnoteTextChar"/>
          <w:lang w:val="pl-PL"/>
        </w:rPr>
        <w:t>art</w:t>
      </w:r>
      <w:r w:rsidRPr="00043012">
        <w:rPr>
          <w:rStyle w:val="FootnoteTextChar"/>
          <w:lang w:val="pl-PL"/>
        </w:rPr>
        <w:t>.</w:t>
      </w:r>
      <w:r w:rsidR="00043012" w:rsidRPr="00043012">
        <w:rPr>
          <w:rStyle w:val="FootnoteTextChar"/>
          <w:lang w:val="pl-PL"/>
        </w:rPr>
        <w:t> </w:t>
      </w:r>
      <w:r w:rsidRPr="00043012">
        <w:rPr>
          <w:rStyle w:val="FootnoteTextChar"/>
          <w:lang w:val="pl-PL"/>
        </w:rPr>
        <w:t>2</w:t>
      </w:r>
      <w:r w:rsidRPr="00891C9F">
        <w:rPr>
          <w:rStyle w:val="FootnoteTextChar"/>
        </w:rPr>
        <w:t xml:space="preserve">9 </w:t>
      </w:r>
      <w:r w:rsidRPr="00043012">
        <w:rPr>
          <w:rStyle w:val="FootnoteTextChar"/>
          <w:lang w:val="pl-PL"/>
        </w:rPr>
        <w:t>ust.</w:t>
      </w:r>
      <w:r w:rsidR="00043012" w:rsidRPr="00043012">
        <w:rPr>
          <w:rStyle w:val="FootnoteTextChar"/>
          <w:lang w:val="pl-PL"/>
        </w:rPr>
        <w:t> </w:t>
      </w:r>
      <w:r w:rsidRPr="00043012">
        <w:rPr>
          <w:rStyle w:val="FootnoteTextChar"/>
          <w:lang w:val="pl-PL"/>
        </w:rPr>
        <w:t>1</w:t>
      </w:r>
      <w:r w:rsidRPr="00891C9F">
        <w:rPr>
          <w:rStyle w:val="FootnoteTextChar"/>
        </w:rPr>
        <w:t xml:space="preserve"> rozporządzenia</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Fronteksu (UE) 2019/1896 Frontex zapewnia analizę ryzyka</w:t>
      </w:r>
      <w:r w:rsidR="00043012" w:rsidRPr="00891C9F">
        <w:rPr>
          <w:rStyle w:val="FootnoteTextChar"/>
        </w:rPr>
        <w:t>. W</w:t>
      </w:r>
      <w:r w:rsidR="00043012">
        <w:rPr>
          <w:rStyle w:val="FootnoteTextChar"/>
        </w:rPr>
        <w:t> </w:t>
      </w:r>
      <w:r w:rsidR="00043012" w:rsidRPr="00891C9F">
        <w:rPr>
          <w:rStyle w:val="FootnoteTextChar"/>
        </w:rPr>
        <w:t>mot</w:t>
      </w:r>
      <w:r w:rsidRPr="00891C9F">
        <w:rPr>
          <w:rStyle w:val="FootnoteTextChar"/>
        </w:rPr>
        <w:t>ywie 11 rozporządzenia</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Fronteksu wyjaśniono, że</w:t>
      </w:r>
      <w:r w:rsidR="00043012" w:rsidRPr="00891C9F">
        <w:rPr>
          <w:rStyle w:val="FootnoteTextChar"/>
        </w:rPr>
        <w:t xml:space="preserve"> w</w:t>
      </w:r>
      <w:r w:rsidR="00043012">
        <w:rPr>
          <w:rStyle w:val="FootnoteTextChar"/>
        </w:rPr>
        <w:t> </w:t>
      </w:r>
      <w:r w:rsidR="00043012" w:rsidRPr="00891C9F">
        <w:rPr>
          <w:rStyle w:val="FootnoteTextChar"/>
        </w:rPr>
        <w:t>kon</w:t>
      </w:r>
      <w:r w:rsidRPr="00891C9F">
        <w:rPr>
          <w:rStyle w:val="FootnoteTextChar"/>
        </w:rPr>
        <w:t xml:space="preserve">tekście europejskiego zintegrowanego zarządzania granicami analiza ryzyka obejmuje strefę Schengen.   </w:t>
      </w:r>
    </w:p>
  </w:footnote>
  <w:footnote w:id="51">
    <w:p w14:paraId="790249C9" w14:textId="1ACABED6" w:rsidR="00AD2D37" w:rsidRPr="00043012" w:rsidRDefault="00AD2D37" w:rsidP="00AD2D37">
      <w:pPr>
        <w:pStyle w:val="FootnoteText"/>
      </w:pPr>
      <w:r w:rsidRPr="00891C9F">
        <w:rPr>
          <w:rStyle w:val="FootnoteReference0"/>
        </w:rPr>
        <w:footnoteRef/>
      </w:r>
      <w:r w:rsidRPr="00891C9F">
        <w:tab/>
        <w:t>Dyrektywa Parlamentu Europejskiego</w:t>
      </w:r>
      <w:r w:rsidR="00043012" w:rsidRPr="00891C9F">
        <w:t xml:space="preserve"> i</w:t>
      </w:r>
      <w:r w:rsidR="00043012">
        <w:t> </w:t>
      </w:r>
      <w:r w:rsidR="00043012" w:rsidRPr="00891C9F">
        <w:t>Rad</w:t>
      </w:r>
      <w:r w:rsidRPr="00891C9F">
        <w:t>y 2008/115/WE</w:t>
      </w:r>
      <w:r w:rsidR="00043012" w:rsidRPr="00891C9F">
        <w:t xml:space="preserve"> z</w:t>
      </w:r>
      <w:r w:rsidR="00043012">
        <w:t> </w:t>
      </w:r>
      <w:r w:rsidR="00043012" w:rsidRPr="00891C9F">
        <w:t>dni</w:t>
      </w:r>
      <w:r w:rsidRPr="00891C9F">
        <w:t>a 16 grudnia 20</w:t>
      </w:r>
      <w:r w:rsidRPr="00043012">
        <w:t>08</w:t>
      </w:r>
      <w:r w:rsidR="00043012" w:rsidRPr="00043012">
        <w:t> </w:t>
      </w:r>
      <w:r w:rsidRPr="00043012">
        <w:t>r.</w:t>
      </w:r>
      <w:r w:rsidR="00043012" w:rsidRPr="00891C9F">
        <w:t xml:space="preserve"> w</w:t>
      </w:r>
      <w:r w:rsidR="00043012">
        <w:t> </w:t>
      </w:r>
      <w:r w:rsidR="00043012" w:rsidRPr="00891C9F">
        <w:t>spr</w:t>
      </w:r>
      <w:r w:rsidRPr="00891C9F">
        <w:t>awie wspólnych norm</w:t>
      </w:r>
      <w:r w:rsidR="00043012" w:rsidRPr="00891C9F">
        <w:t xml:space="preserve"> i</w:t>
      </w:r>
      <w:r w:rsidR="00043012">
        <w:t> </w:t>
      </w:r>
      <w:r w:rsidR="00043012" w:rsidRPr="00891C9F">
        <w:t>pro</w:t>
      </w:r>
      <w:r w:rsidRPr="00891C9F">
        <w:t>cedur stosowanych przez państwa członkowskie</w:t>
      </w:r>
      <w:r w:rsidR="00043012" w:rsidRPr="00891C9F">
        <w:t xml:space="preserve"> w</w:t>
      </w:r>
      <w:r w:rsidR="00043012">
        <w:t> </w:t>
      </w:r>
      <w:r w:rsidR="00043012" w:rsidRPr="00891C9F">
        <w:t>odn</w:t>
      </w:r>
      <w:r w:rsidRPr="00891C9F">
        <w:t>iesieniu do powrotów nielegalnie przebywających obywateli państw trzecich. Dz.U. L 348</w:t>
      </w:r>
      <w:r w:rsidR="00043012" w:rsidRPr="00891C9F">
        <w:t xml:space="preserve"> z</w:t>
      </w:r>
      <w:r w:rsidR="00043012">
        <w:t> </w:t>
      </w:r>
      <w:r w:rsidR="00043012" w:rsidRPr="00891C9F">
        <w:t>2</w:t>
      </w:r>
      <w:r w:rsidRPr="00891C9F">
        <w:t>4.12.2008, s. 98</w:t>
      </w:r>
      <w:r w:rsidRPr="00043012">
        <w:t>.</w:t>
      </w:r>
      <w:r w:rsidR="00043012" w:rsidRPr="00043012">
        <w:t xml:space="preserve"> </w:t>
      </w:r>
    </w:p>
  </w:footnote>
  <w:footnote w:id="52">
    <w:p w14:paraId="67D5948F" w14:textId="7B2A0E92" w:rsidR="00AD2D37" w:rsidRPr="00891C9F" w:rsidRDefault="00AD2D37" w:rsidP="00AD2D37">
      <w:pPr>
        <w:pStyle w:val="FootnoteText"/>
      </w:pPr>
      <w:r w:rsidRPr="00891C9F">
        <w:rPr>
          <w:rStyle w:val="FootnoteReference0"/>
        </w:rPr>
        <w:footnoteRef/>
      </w:r>
      <w:r w:rsidRPr="00891C9F">
        <w:tab/>
      </w:r>
      <w:r w:rsidRPr="00891C9F">
        <w:rPr>
          <w:color w:val="444444"/>
          <w:sz w:val="21"/>
          <w:szCs w:val="21"/>
          <w:shd w:val="clear" w:color="auto" w:fill="FFFFFF"/>
        </w:rPr>
        <w:t>Agencja Unii Europejskiej ds. Szkolenia</w:t>
      </w:r>
      <w:r w:rsidR="00043012" w:rsidRPr="00891C9F">
        <w:rPr>
          <w:color w:val="444444"/>
          <w:sz w:val="21"/>
          <w:szCs w:val="21"/>
          <w:shd w:val="clear" w:color="auto" w:fill="FFFFFF"/>
        </w:rPr>
        <w:t xml:space="preserve"> w</w:t>
      </w:r>
      <w:r w:rsidR="00043012">
        <w:rPr>
          <w:color w:val="444444"/>
          <w:sz w:val="21"/>
          <w:szCs w:val="21"/>
          <w:shd w:val="clear" w:color="auto" w:fill="FFFFFF"/>
        </w:rPr>
        <w:t> </w:t>
      </w:r>
      <w:r w:rsidR="00043012" w:rsidRPr="00891C9F">
        <w:rPr>
          <w:color w:val="444444"/>
          <w:sz w:val="21"/>
          <w:szCs w:val="21"/>
          <w:shd w:val="clear" w:color="auto" w:fill="FFFFFF"/>
        </w:rPr>
        <w:t>Dzi</w:t>
      </w:r>
      <w:r w:rsidRPr="00891C9F">
        <w:rPr>
          <w:color w:val="444444"/>
          <w:sz w:val="21"/>
          <w:szCs w:val="21"/>
          <w:shd w:val="clear" w:color="auto" w:fill="FFFFFF"/>
        </w:rPr>
        <w:t>edzinie Ścigania ustanowiona rozporządzeniem Parlamentu Europejskiego</w:t>
      </w:r>
      <w:r w:rsidR="00043012" w:rsidRPr="00891C9F">
        <w:rPr>
          <w:color w:val="444444"/>
          <w:sz w:val="21"/>
          <w:szCs w:val="21"/>
          <w:shd w:val="clear" w:color="auto" w:fill="FFFFFF"/>
        </w:rPr>
        <w:t xml:space="preserve"> i</w:t>
      </w:r>
      <w:r w:rsidR="00043012">
        <w:rPr>
          <w:color w:val="444444"/>
          <w:sz w:val="21"/>
          <w:szCs w:val="21"/>
          <w:shd w:val="clear" w:color="auto" w:fill="FFFFFF"/>
        </w:rPr>
        <w:t> </w:t>
      </w:r>
      <w:r w:rsidR="00043012" w:rsidRPr="00891C9F">
        <w:rPr>
          <w:color w:val="444444"/>
          <w:sz w:val="21"/>
          <w:szCs w:val="21"/>
          <w:shd w:val="clear" w:color="auto" w:fill="FFFFFF"/>
        </w:rPr>
        <w:t>Rad</w:t>
      </w:r>
      <w:r w:rsidRPr="00891C9F">
        <w:rPr>
          <w:color w:val="444444"/>
          <w:sz w:val="21"/>
          <w:szCs w:val="21"/>
          <w:shd w:val="clear" w:color="auto" w:fill="FFFFFF"/>
        </w:rPr>
        <w:t>y (UE) 2015/2219</w:t>
      </w:r>
      <w:r w:rsidR="00043012" w:rsidRPr="00891C9F">
        <w:rPr>
          <w:color w:val="444444"/>
          <w:sz w:val="21"/>
          <w:szCs w:val="21"/>
          <w:shd w:val="clear" w:color="auto" w:fill="FFFFFF"/>
        </w:rPr>
        <w:t xml:space="preserve"> z</w:t>
      </w:r>
      <w:r w:rsidR="00043012">
        <w:rPr>
          <w:color w:val="444444"/>
          <w:sz w:val="21"/>
          <w:szCs w:val="21"/>
          <w:shd w:val="clear" w:color="auto" w:fill="FFFFFF"/>
        </w:rPr>
        <w:t> </w:t>
      </w:r>
      <w:r w:rsidR="00043012" w:rsidRPr="00891C9F">
        <w:rPr>
          <w:color w:val="444444"/>
          <w:sz w:val="21"/>
          <w:szCs w:val="21"/>
          <w:shd w:val="clear" w:color="auto" w:fill="FFFFFF"/>
        </w:rPr>
        <w:t>dni</w:t>
      </w:r>
      <w:r w:rsidRPr="00891C9F">
        <w:rPr>
          <w:color w:val="444444"/>
          <w:sz w:val="21"/>
          <w:szCs w:val="21"/>
          <w:shd w:val="clear" w:color="auto" w:fill="FFFFFF"/>
        </w:rPr>
        <w:t>a 25 listopada 20</w:t>
      </w:r>
      <w:r w:rsidRPr="00043012">
        <w:rPr>
          <w:color w:val="444444"/>
          <w:sz w:val="21"/>
          <w:szCs w:val="21"/>
          <w:shd w:val="clear" w:color="auto" w:fill="FFFFFF"/>
        </w:rPr>
        <w:t>15</w:t>
      </w:r>
      <w:r w:rsidR="00043012" w:rsidRPr="00043012">
        <w:rPr>
          <w:color w:val="444444"/>
          <w:sz w:val="21"/>
          <w:szCs w:val="21"/>
          <w:shd w:val="clear" w:color="auto" w:fill="FFFFFF"/>
        </w:rPr>
        <w:t> </w:t>
      </w:r>
      <w:r w:rsidRPr="00043012">
        <w:rPr>
          <w:color w:val="444444"/>
          <w:sz w:val="21"/>
          <w:szCs w:val="21"/>
          <w:shd w:val="clear" w:color="auto" w:fill="FFFFFF"/>
        </w:rPr>
        <w:t>r.</w:t>
      </w:r>
      <w:r w:rsidR="00043012" w:rsidRPr="00891C9F">
        <w:rPr>
          <w:color w:val="444444"/>
          <w:sz w:val="21"/>
          <w:szCs w:val="21"/>
          <w:shd w:val="clear" w:color="auto" w:fill="FFFFFF"/>
        </w:rPr>
        <w:t xml:space="preserve"> w</w:t>
      </w:r>
      <w:r w:rsidR="00043012">
        <w:rPr>
          <w:color w:val="444444"/>
          <w:sz w:val="21"/>
          <w:szCs w:val="21"/>
          <w:shd w:val="clear" w:color="auto" w:fill="FFFFFF"/>
        </w:rPr>
        <w:t> </w:t>
      </w:r>
      <w:r w:rsidR="00043012" w:rsidRPr="00891C9F">
        <w:rPr>
          <w:color w:val="444444"/>
          <w:sz w:val="21"/>
          <w:szCs w:val="21"/>
          <w:shd w:val="clear" w:color="auto" w:fill="FFFFFF"/>
        </w:rPr>
        <w:t>spr</w:t>
      </w:r>
      <w:r w:rsidRPr="00891C9F">
        <w:rPr>
          <w:color w:val="444444"/>
          <w:sz w:val="21"/>
          <w:szCs w:val="21"/>
          <w:shd w:val="clear" w:color="auto" w:fill="FFFFFF"/>
        </w:rPr>
        <w:t>awie Agencji Unii Europejskiej ds. Szkolenia</w:t>
      </w:r>
      <w:r w:rsidR="00043012" w:rsidRPr="00891C9F">
        <w:rPr>
          <w:color w:val="444444"/>
          <w:sz w:val="21"/>
          <w:szCs w:val="21"/>
          <w:shd w:val="clear" w:color="auto" w:fill="FFFFFF"/>
        </w:rPr>
        <w:t xml:space="preserve"> w</w:t>
      </w:r>
      <w:r w:rsidR="00043012">
        <w:rPr>
          <w:color w:val="444444"/>
          <w:sz w:val="21"/>
          <w:szCs w:val="21"/>
          <w:shd w:val="clear" w:color="auto" w:fill="FFFFFF"/>
        </w:rPr>
        <w:t> </w:t>
      </w:r>
      <w:r w:rsidR="00043012" w:rsidRPr="00891C9F">
        <w:rPr>
          <w:color w:val="444444"/>
          <w:sz w:val="21"/>
          <w:szCs w:val="21"/>
          <w:shd w:val="clear" w:color="auto" w:fill="FFFFFF"/>
        </w:rPr>
        <w:t>Dzi</w:t>
      </w:r>
      <w:r w:rsidRPr="00891C9F">
        <w:rPr>
          <w:color w:val="444444"/>
          <w:sz w:val="21"/>
          <w:szCs w:val="21"/>
          <w:shd w:val="clear" w:color="auto" w:fill="FFFFFF"/>
        </w:rPr>
        <w:t>edzinie Ścigania (CEPOL) oraz zastępującym</w:t>
      </w:r>
      <w:r w:rsidR="00043012" w:rsidRPr="00891C9F">
        <w:rPr>
          <w:color w:val="444444"/>
          <w:sz w:val="21"/>
          <w:szCs w:val="21"/>
          <w:shd w:val="clear" w:color="auto" w:fill="FFFFFF"/>
        </w:rPr>
        <w:t xml:space="preserve"> i</w:t>
      </w:r>
      <w:r w:rsidR="00043012">
        <w:rPr>
          <w:color w:val="444444"/>
          <w:sz w:val="21"/>
          <w:szCs w:val="21"/>
          <w:shd w:val="clear" w:color="auto" w:fill="FFFFFF"/>
        </w:rPr>
        <w:t> </w:t>
      </w:r>
      <w:r w:rsidR="00043012" w:rsidRPr="00891C9F">
        <w:rPr>
          <w:color w:val="444444"/>
          <w:sz w:val="21"/>
          <w:szCs w:val="21"/>
          <w:shd w:val="clear" w:color="auto" w:fill="FFFFFF"/>
        </w:rPr>
        <w:t>uch</w:t>
      </w:r>
      <w:r w:rsidRPr="00891C9F">
        <w:rPr>
          <w:color w:val="444444"/>
          <w:sz w:val="21"/>
          <w:szCs w:val="21"/>
          <w:shd w:val="clear" w:color="auto" w:fill="FFFFFF"/>
        </w:rPr>
        <w:t xml:space="preserve">ylającym decyzję Rady 2005/681/WSiSW. </w:t>
      </w:r>
      <w:r w:rsidRPr="00891C9F">
        <w:rPr>
          <w:iCs/>
          <w:color w:val="444444"/>
          <w:sz w:val="21"/>
          <w:szCs w:val="21"/>
          <w:shd w:val="clear" w:color="auto" w:fill="FFFFFF"/>
        </w:rPr>
        <w:t>Dz.U. L 319</w:t>
      </w:r>
      <w:r w:rsidR="00043012" w:rsidRPr="00891C9F">
        <w:rPr>
          <w:iCs/>
          <w:color w:val="444444"/>
          <w:sz w:val="21"/>
          <w:szCs w:val="21"/>
          <w:shd w:val="clear" w:color="auto" w:fill="FFFFFF"/>
        </w:rPr>
        <w:t xml:space="preserve"> z</w:t>
      </w:r>
      <w:r w:rsidR="00043012">
        <w:rPr>
          <w:iCs/>
          <w:color w:val="444444"/>
          <w:sz w:val="21"/>
          <w:szCs w:val="21"/>
          <w:shd w:val="clear" w:color="auto" w:fill="FFFFFF"/>
        </w:rPr>
        <w:t> </w:t>
      </w:r>
      <w:r w:rsidR="00043012" w:rsidRPr="00891C9F">
        <w:rPr>
          <w:iCs/>
          <w:color w:val="444444"/>
          <w:sz w:val="21"/>
          <w:szCs w:val="21"/>
          <w:shd w:val="clear" w:color="auto" w:fill="FFFFFF"/>
        </w:rPr>
        <w:t>4</w:t>
      </w:r>
      <w:r w:rsidRPr="00891C9F">
        <w:rPr>
          <w:iCs/>
          <w:color w:val="444444"/>
          <w:sz w:val="21"/>
          <w:szCs w:val="21"/>
          <w:shd w:val="clear" w:color="auto" w:fill="FFFFFF"/>
        </w:rPr>
        <w:t>.12.2015, s. 1.</w:t>
      </w:r>
      <w:r w:rsidRPr="00891C9F">
        <w:rPr>
          <w:i/>
          <w:iCs/>
          <w:color w:val="444444"/>
          <w:sz w:val="21"/>
          <w:szCs w:val="21"/>
          <w:shd w:val="clear" w:color="auto" w:fill="FFFFFF"/>
        </w:rPr>
        <w:t xml:space="preserve"> </w:t>
      </w:r>
    </w:p>
  </w:footnote>
  <w:footnote w:id="53">
    <w:p w14:paraId="07B12B90" w14:textId="77777777"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Dz.U. C […] z […], s. […].</w:t>
      </w:r>
    </w:p>
  </w:footnote>
  <w:footnote w:id="54">
    <w:p w14:paraId="32E0DF39" w14:textId="7D9A2FFE" w:rsidR="00AD2D37" w:rsidRPr="00891C9F" w:rsidRDefault="00AD2D37" w:rsidP="00AD2D37">
      <w:pPr>
        <w:pStyle w:val="FootnoteText"/>
      </w:pPr>
      <w:r w:rsidRPr="00891C9F">
        <w:rPr>
          <w:rStyle w:val="FootnoteReference0"/>
        </w:rPr>
        <w:footnoteRef/>
      </w:r>
      <w:r w:rsidRPr="00891C9F">
        <w:tab/>
        <w:t>Dyrektywa Parlamentu Europejskiego</w:t>
      </w:r>
      <w:r w:rsidR="00043012" w:rsidRPr="00891C9F">
        <w:t xml:space="preserve"> i</w:t>
      </w:r>
      <w:r w:rsidR="00043012">
        <w:t> </w:t>
      </w:r>
      <w:r w:rsidR="00043012" w:rsidRPr="00891C9F">
        <w:t>Rad</w:t>
      </w:r>
      <w:r w:rsidRPr="00891C9F">
        <w:t>y 2008/115/WE</w:t>
      </w:r>
      <w:r w:rsidR="00043012" w:rsidRPr="00891C9F">
        <w:t xml:space="preserve"> z</w:t>
      </w:r>
      <w:r w:rsidR="00043012">
        <w:t> </w:t>
      </w:r>
      <w:r w:rsidR="00043012" w:rsidRPr="00891C9F">
        <w:t>dni</w:t>
      </w:r>
      <w:r w:rsidRPr="00891C9F">
        <w:t>a 16 grudnia 20</w:t>
      </w:r>
      <w:r w:rsidRPr="00043012">
        <w:t>08</w:t>
      </w:r>
      <w:r w:rsidR="00043012" w:rsidRPr="00043012">
        <w:t> </w:t>
      </w:r>
      <w:r w:rsidRPr="00043012">
        <w:t>r.</w:t>
      </w:r>
      <w:r w:rsidR="00043012" w:rsidRPr="00891C9F">
        <w:t xml:space="preserve"> w</w:t>
      </w:r>
      <w:r w:rsidR="00043012">
        <w:t> </w:t>
      </w:r>
      <w:r w:rsidR="00043012" w:rsidRPr="00891C9F">
        <w:t>spr</w:t>
      </w:r>
      <w:r w:rsidRPr="00891C9F">
        <w:t>awie wspólnych norm</w:t>
      </w:r>
      <w:r w:rsidR="00043012" w:rsidRPr="00891C9F">
        <w:t xml:space="preserve"> i</w:t>
      </w:r>
      <w:r w:rsidR="00043012">
        <w:t> </w:t>
      </w:r>
      <w:r w:rsidR="00043012" w:rsidRPr="00891C9F">
        <w:t>pro</w:t>
      </w:r>
      <w:r w:rsidRPr="00891C9F">
        <w:t>cedur stosowanych przez państwa członkowskie</w:t>
      </w:r>
      <w:r w:rsidR="00043012" w:rsidRPr="00891C9F">
        <w:t xml:space="preserve"> w</w:t>
      </w:r>
      <w:r w:rsidR="00043012">
        <w:t> </w:t>
      </w:r>
      <w:r w:rsidR="00043012" w:rsidRPr="00891C9F">
        <w:t>odn</w:t>
      </w:r>
      <w:r w:rsidRPr="00891C9F">
        <w:t>iesieniu do powrotów nielegalnie przebywających obywateli państw trzecich (Dz.U. L 348</w:t>
      </w:r>
      <w:r w:rsidR="00043012" w:rsidRPr="00891C9F">
        <w:t xml:space="preserve"> z</w:t>
      </w:r>
      <w:r w:rsidR="00043012">
        <w:t> </w:t>
      </w:r>
      <w:r w:rsidR="00043012" w:rsidRPr="00891C9F">
        <w:t>2</w:t>
      </w:r>
      <w:r w:rsidRPr="00891C9F">
        <w:t>4.12.2008, s. 98).</w:t>
      </w:r>
    </w:p>
  </w:footnote>
  <w:footnote w:id="55">
    <w:p w14:paraId="77E0521D" w14:textId="331A909B"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Zalecenie Komisji (UE) 2017/432</w:t>
      </w:r>
      <w:r w:rsidR="00043012" w:rsidRPr="00891C9F">
        <w:rPr>
          <w:rStyle w:val="FootnoteTextChar"/>
        </w:rPr>
        <w:t xml:space="preserve"> z</w:t>
      </w:r>
      <w:r w:rsidR="00043012">
        <w:rPr>
          <w:rStyle w:val="FootnoteTextChar"/>
        </w:rPr>
        <w:t> </w:t>
      </w:r>
      <w:r w:rsidR="00043012" w:rsidRPr="00891C9F">
        <w:rPr>
          <w:rStyle w:val="FootnoteTextChar"/>
        </w:rPr>
        <w:t>dni</w:t>
      </w:r>
      <w:r w:rsidRPr="00891C9F">
        <w:rPr>
          <w:rStyle w:val="FootnoteTextChar"/>
        </w:rPr>
        <w:t>a 7 marca 20</w:t>
      </w:r>
      <w:r w:rsidRPr="00043012">
        <w:rPr>
          <w:rStyle w:val="FootnoteTextChar"/>
          <w:lang w:val="pl-PL"/>
        </w:rPr>
        <w:t>17</w:t>
      </w:r>
      <w:r w:rsidR="00043012" w:rsidRPr="00043012">
        <w:rPr>
          <w:rStyle w:val="FootnoteTextChar"/>
          <w:lang w:val="pl-PL"/>
        </w:rPr>
        <w:t> </w:t>
      </w:r>
      <w:r w:rsidRPr="00043012">
        <w:rPr>
          <w:rStyle w:val="FootnoteTextChar"/>
          <w:lang w:val="pl-PL"/>
        </w:rPr>
        <w:t>r.</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zapewnienia większej skuteczności powrotów przy wdrażaniu dyrektywy Parlamentu Europejskiego</w:t>
      </w:r>
      <w:r w:rsidR="00043012" w:rsidRPr="00891C9F">
        <w:rPr>
          <w:rStyle w:val="FootnoteTextChar"/>
        </w:rPr>
        <w:t xml:space="preserve"> i</w:t>
      </w:r>
      <w:r w:rsidR="00043012">
        <w:rPr>
          <w:rStyle w:val="FootnoteTextChar"/>
        </w:rPr>
        <w:t> </w:t>
      </w:r>
      <w:r w:rsidR="00043012" w:rsidRPr="00891C9F">
        <w:rPr>
          <w:rStyle w:val="FootnoteTextChar"/>
        </w:rPr>
        <w:t>Rad</w:t>
      </w:r>
      <w:r w:rsidRPr="00891C9F">
        <w:rPr>
          <w:rStyle w:val="FootnoteTextChar"/>
        </w:rPr>
        <w:t xml:space="preserve">y 2008/115/WE. </w:t>
      </w:r>
      <w:r w:rsidRPr="00891C9F">
        <w:rPr>
          <w:rStyle w:val="Emphasis"/>
          <w:i w:val="0"/>
          <w:color w:val="444444"/>
          <w:sz w:val="21"/>
          <w:szCs w:val="21"/>
          <w:shd w:val="clear" w:color="auto" w:fill="FFFFFF"/>
        </w:rPr>
        <w:t>Dz.U. L 66</w:t>
      </w:r>
      <w:r w:rsidR="00043012" w:rsidRPr="00891C9F">
        <w:rPr>
          <w:rStyle w:val="Emphasis"/>
          <w:i w:val="0"/>
          <w:color w:val="444444"/>
          <w:sz w:val="21"/>
          <w:szCs w:val="21"/>
          <w:shd w:val="clear" w:color="auto" w:fill="FFFFFF"/>
        </w:rPr>
        <w:t xml:space="preserve"> z</w:t>
      </w:r>
      <w:r w:rsidR="00043012">
        <w:rPr>
          <w:rStyle w:val="Emphasis"/>
          <w:i w:val="0"/>
          <w:color w:val="444444"/>
          <w:sz w:val="21"/>
          <w:szCs w:val="21"/>
          <w:shd w:val="clear" w:color="auto" w:fill="FFFFFF"/>
        </w:rPr>
        <w:t> </w:t>
      </w:r>
      <w:r w:rsidR="00043012" w:rsidRPr="00891C9F">
        <w:rPr>
          <w:rStyle w:val="Emphasis"/>
          <w:i w:val="0"/>
          <w:color w:val="444444"/>
          <w:sz w:val="21"/>
          <w:szCs w:val="21"/>
          <w:shd w:val="clear" w:color="auto" w:fill="FFFFFF"/>
        </w:rPr>
        <w:t>1</w:t>
      </w:r>
      <w:r w:rsidRPr="00891C9F">
        <w:rPr>
          <w:rStyle w:val="Emphasis"/>
          <w:i w:val="0"/>
          <w:color w:val="444444"/>
          <w:sz w:val="21"/>
          <w:szCs w:val="21"/>
          <w:shd w:val="clear" w:color="auto" w:fill="FFFFFF"/>
        </w:rPr>
        <w:t>1.3.2017, s. 15</w:t>
      </w:r>
      <w:r w:rsidRPr="00891C9F">
        <w:rPr>
          <w:iCs/>
          <w:color w:val="444444"/>
          <w:sz w:val="21"/>
          <w:szCs w:val="21"/>
          <w:shd w:val="clear" w:color="auto" w:fill="FFFFFF"/>
        </w:rPr>
        <w:t>–</w:t>
      </w:r>
      <w:r w:rsidRPr="00891C9F">
        <w:rPr>
          <w:rStyle w:val="Emphasis"/>
          <w:i w:val="0"/>
          <w:color w:val="444444"/>
          <w:sz w:val="21"/>
          <w:szCs w:val="21"/>
          <w:shd w:val="clear" w:color="auto" w:fill="FFFFFF"/>
        </w:rPr>
        <w:t>21</w:t>
      </w:r>
      <w:r w:rsidRPr="00891C9F">
        <w:t>.</w:t>
      </w:r>
      <w:r w:rsidRPr="00891C9F">
        <w:rPr>
          <w:rStyle w:val="FootnoteTextChar"/>
          <w:i/>
        </w:rPr>
        <w:t xml:space="preserve"> </w:t>
      </w:r>
    </w:p>
  </w:footnote>
  <w:footnote w:id="56">
    <w:p w14:paraId="73BB1C84" w14:textId="4E9F68C3" w:rsidR="00AD2D37" w:rsidRPr="00891C9F" w:rsidRDefault="00AD2D37" w:rsidP="00AD2D37">
      <w:pPr>
        <w:pStyle w:val="FootnoteText"/>
      </w:pPr>
      <w:r w:rsidRPr="00891C9F">
        <w:rPr>
          <w:rStyle w:val="FootnoteReference0"/>
        </w:rPr>
        <w:footnoteRef/>
      </w:r>
      <w:r w:rsidRPr="00891C9F">
        <w:tab/>
        <w:t>Konwencja Wykonawcza do układu</w:t>
      </w:r>
      <w:r w:rsidR="00043012" w:rsidRPr="00891C9F">
        <w:t xml:space="preserve"> z</w:t>
      </w:r>
      <w:r w:rsidR="00043012">
        <w:t> </w:t>
      </w:r>
      <w:r w:rsidR="00043012" w:rsidRPr="00891C9F">
        <w:t>Sch</w:t>
      </w:r>
      <w:r w:rsidRPr="00891C9F">
        <w:t>engen</w:t>
      </w:r>
      <w:r w:rsidR="00043012" w:rsidRPr="00891C9F">
        <w:t xml:space="preserve"> z</w:t>
      </w:r>
      <w:r w:rsidR="00043012">
        <w:t> </w:t>
      </w:r>
      <w:r w:rsidR="00043012" w:rsidRPr="00891C9F">
        <w:t>dni</w:t>
      </w:r>
      <w:r w:rsidRPr="00891C9F">
        <w:t>a 14 czerwca 1985 roku między Rządami Państw Unii Gospodarczej Beneluksu, Republiki Federalnej Niemiec oraz Republiki Francuskiej</w:t>
      </w:r>
      <w:r w:rsidR="00043012" w:rsidRPr="00891C9F">
        <w:t xml:space="preserve"> w</w:t>
      </w:r>
      <w:r w:rsidR="00043012">
        <w:t> </w:t>
      </w:r>
      <w:r w:rsidR="00043012" w:rsidRPr="00891C9F">
        <w:t>spr</w:t>
      </w:r>
      <w:r w:rsidRPr="00891C9F">
        <w:t>awie stopniowego znoszenia kontroli na wspólnych granicach (Dz.U. L 239</w:t>
      </w:r>
      <w:r w:rsidR="00043012" w:rsidRPr="00891C9F">
        <w:t xml:space="preserve"> z</w:t>
      </w:r>
      <w:r w:rsidR="00043012">
        <w:t> </w:t>
      </w:r>
      <w:r w:rsidR="00043012" w:rsidRPr="00891C9F">
        <w:t>2</w:t>
      </w:r>
      <w:r w:rsidRPr="00891C9F">
        <w:t>2.9.2000, s. 19).</w:t>
      </w:r>
    </w:p>
  </w:footnote>
  <w:footnote w:id="57">
    <w:p w14:paraId="6C41E910" w14:textId="1A18C426"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Decyzja Rady 2002/192/WE</w:t>
      </w:r>
      <w:r w:rsidR="00043012" w:rsidRPr="00891C9F">
        <w:rPr>
          <w:rStyle w:val="FootnoteTextChar"/>
        </w:rPr>
        <w:t xml:space="preserve"> z</w:t>
      </w:r>
      <w:r w:rsidR="00043012">
        <w:rPr>
          <w:rStyle w:val="FootnoteTextChar"/>
        </w:rPr>
        <w:t> </w:t>
      </w:r>
      <w:r w:rsidR="00043012" w:rsidRPr="00891C9F">
        <w:rPr>
          <w:rStyle w:val="FootnoteTextChar"/>
        </w:rPr>
        <w:t>dni</w:t>
      </w:r>
      <w:r w:rsidRPr="00891C9F">
        <w:rPr>
          <w:rStyle w:val="FootnoteTextChar"/>
        </w:rPr>
        <w:t>a 28 lutego 20</w:t>
      </w:r>
      <w:r w:rsidRPr="00043012">
        <w:rPr>
          <w:rStyle w:val="FootnoteTextChar"/>
          <w:lang w:val="pl-PL"/>
        </w:rPr>
        <w:t>02</w:t>
      </w:r>
      <w:r w:rsidR="00043012" w:rsidRPr="00043012">
        <w:rPr>
          <w:rStyle w:val="FootnoteTextChar"/>
          <w:lang w:val="pl-PL"/>
        </w:rPr>
        <w:t> </w:t>
      </w:r>
      <w:r w:rsidRPr="00043012">
        <w:rPr>
          <w:rStyle w:val="FootnoteTextChar"/>
          <w:lang w:val="pl-PL"/>
        </w:rPr>
        <w:t>r.</w:t>
      </w:r>
      <w:r w:rsidRPr="00891C9F">
        <w:rPr>
          <w:rStyle w:val="FootnoteTextChar"/>
        </w:rPr>
        <w:t xml:space="preserve"> dotycząca wniosku Irlandii</w:t>
      </w:r>
      <w:r w:rsidR="00043012" w:rsidRPr="00891C9F">
        <w:rPr>
          <w:rStyle w:val="FootnoteTextChar"/>
        </w:rPr>
        <w:t xml:space="preserve"> o</w:t>
      </w:r>
      <w:r w:rsidR="00043012">
        <w:rPr>
          <w:rStyle w:val="FootnoteTextChar"/>
        </w:rPr>
        <w:t> </w:t>
      </w:r>
      <w:r w:rsidR="00043012" w:rsidRPr="00891C9F">
        <w:rPr>
          <w:rStyle w:val="FootnoteTextChar"/>
        </w:rPr>
        <w:t>zas</w:t>
      </w:r>
      <w:r w:rsidRPr="00891C9F">
        <w:rPr>
          <w:rStyle w:val="FootnoteTextChar"/>
        </w:rPr>
        <w:t>tosowanie wobec niej niektórych przepisów dorobku Schengen (Dz.U. L 64</w:t>
      </w:r>
      <w:r w:rsidR="00043012" w:rsidRPr="00891C9F">
        <w:rPr>
          <w:rStyle w:val="FootnoteTextChar"/>
        </w:rPr>
        <w:t xml:space="preserve"> z</w:t>
      </w:r>
      <w:r w:rsidR="00043012">
        <w:rPr>
          <w:rStyle w:val="FootnoteTextChar"/>
        </w:rPr>
        <w:t> </w:t>
      </w:r>
      <w:r w:rsidR="00043012" w:rsidRPr="00891C9F">
        <w:rPr>
          <w:rStyle w:val="FootnoteTextChar"/>
        </w:rPr>
        <w:t>7</w:t>
      </w:r>
      <w:r w:rsidRPr="00891C9F">
        <w:rPr>
          <w:rStyle w:val="FootnoteTextChar"/>
        </w:rPr>
        <w:t xml:space="preserve">.3.2002). </w:t>
      </w:r>
    </w:p>
  </w:footnote>
  <w:footnote w:id="58">
    <w:p w14:paraId="3797076B" w14:textId="1133E29F" w:rsidR="00AD2D37" w:rsidRPr="00891C9F" w:rsidRDefault="00AD2D37" w:rsidP="00AD2D37">
      <w:pPr>
        <w:pStyle w:val="FootnoteText"/>
      </w:pPr>
      <w:r w:rsidRPr="00891C9F">
        <w:rPr>
          <w:rStyle w:val="FootnoteReference0"/>
        </w:rPr>
        <w:footnoteRef/>
      </w:r>
      <w:r w:rsidRPr="00891C9F">
        <w:tab/>
        <w:t>Dz.U. L 176</w:t>
      </w:r>
      <w:r w:rsidR="00043012" w:rsidRPr="00891C9F">
        <w:t xml:space="preserve"> z</w:t>
      </w:r>
      <w:r w:rsidR="00043012">
        <w:t> </w:t>
      </w:r>
      <w:r w:rsidR="00043012" w:rsidRPr="00891C9F">
        <w:t>1</w:t>
      </w:r>
      <w:r w:rsidRPr="00891C9F">
        <w:t>0.7.1999, s. 36.</w:t>
      </w:r>
    </w:p>
  </w:footnote>
  <w:footnote w:id="59">
    <w:p w14:paraId="38047069" w14:textId="3B7ABCF1" w:rsidR="00AD2D37" w:rsidRPr="00891C9F" w:rsidRDefault="00AD2D37" w:rsidP="00AD2D37">
      <w:pPr>
        <w:pStyle w:val="FootnoteText"/>
        <w:rPr>
          <w:rStyle w:val="FootnoteReference0"/>
        </w:rPr>
      </w:pPr>
      <w:r w:rsidRPr="00891C9F">
        <w:rPr>
          <w:rStyle w:val="FootnoteReference0"/>
        </w:rPr>
        <w:footnoteRef/>
      </w:r>
      <w:r w:rsidRPr="00891C9F">
        <w:tab/>
      </w:r>
      <w:r w:rsidRPr="00891C9F">
        <w:rPr>
          <w:rStyle w:val="FootnoteTextChar"/>
        </w:rPr>
        <w:t>Decyzja Rady 1999/437/WE</w:t>
      </w:r>
      <w:r w:rsidR="00043012" w:rsidRPr="00891C9F">
        <w:rPr>
          <w:rStyle w:val="FootnoteTextChar"/>
        </w:rPr>
        <w:t xml:space="preserve"> z</w:t>
      </w:r>
      <w:r w:rsidR="00043012">
        <w:rPr>
          <w:rStyle w:val="FootnoteTextChar"/>
        </w:rPr>
        <w:t> </w:t>
      </w:r>
      <w:r w:rsidR="00043012" w:rsidRPr="00891C9F">
        <w:rPr>
          <w:rStyle w:val="FootnoteTextChar"/>
        </w:rPr>
        <w:t>dni</w:t>
      </w:r>
      <w:r w:rsidRPr="00891C9F">
        <w:rPr>
          <w:rStyle w:val="FootnoteTextChar"/>
        </w:rPr>
        <w:t>a 17 maja 19</w:t>
      </w:r>
      <w:r w:rsidRPr="00043012">
        <w:rPr>
          <w:rStyle w:val="FootnoteTextChar"/>
          <w:lang w:val="pl-PL"/>
        </w:rPr>
        <w:t>99</w:t>
      </w:r>
      <w:r w:rsidR="00043012" w:rsidRPr="00043012">
        <w:rPr>
          <w:rStyle w:val="FootnoteTextChar"/>
          <w:lang w:val="pl-PL"/>
        </w:rPr>
        <w:t> </w:t>
      </w:r>
      <w:r w:rsidRPr="00043012">
        <w:rPr>
          <w:rStyle w:val="FootnoteTextChar"/>
          <w:lang w:val="pl-PL"/>
        </w:rPr>
        <w:t>r.</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niektórych warunków stosowania Układu zawartego przez Radę Unii Europejskiej</w:t>
      </w:r>
      <w:r w:rsidR="00043012" w:rsidRPr="00891C9F">
        <w:rPr>
          <w:rStyle w:val="FootnoteTextChar"/>
        </w:rPr>
        <w:t xml:space="preserve"> i</w:t>
      </w:r>
      <w:r w:rsidR="00043012">
        <w:rPr>
          <w:rStyle w:val="FootnoteTextChar"/>
        </w:rPr>
        <w:t> </w:t>
      </w:r>
      <w:r w:rsidR="00043012" w:rsidRPr="00891C9F">
        <w:rPr>
          <w:rStyle w:val="FootnoteTextChar"/>
        </w:rPr>
        <w:t>Rep</w:t>
      </w:r>
      <w:r w:rsidRPr="00891C9F">
        <w:rPr>
          <w:rStyle w:val="FootnoteTextChar"/>
        </w:rPr>
        <w:t>ublikę Islandii oraz Królestwo Norwegii dotyczącego włączenia tych dwóch państw we wprowadzanie</w:t>
      </w:r>
      <w:r w:rsidR="00043012" w:rsidRPr="00891C9F">
        <w:rPr>
          <w:rStyle w:val="FootnoteTextChar"/>
        </w:rPr>
        <w:t xml:space="preserve"> w</w:t>
      </w:r>
      <w:r w:rsidR="00043012">
        <w:rPr>
          <w:rStyle w:val="FootnoteTextChar"/>
        </w:rPr>
        <w:t> </w:t>
      </w:r>
      <w:r w:rsidR="00043012" w:rsidRPr="00891C9F">
        <w:rPr>
          <w:rStyle w:val="FootnoteTextChar"/>
        </w:rPr>
        <w:t>życ</w:t>
      </w:r>
      <w:r w:rsidRPr="00891C9F">
        <w:rPr>
          <w:rStyle w:val="FootnoteTextChar"/>
        </w:rPr>
        <w:t>ie, stosowanie</w:t>
      </w:r>
      <w:r w:rsidR="00043012" w:rsidRPr="00891C9F">
        <w:rPr>
          <w:rStyle w:val="FootnoteTextChar"/>
        </w:rPr>
        <w:t xml:space="preserve"> i</w:t>
      </w:r>
      <w:r w:rsidR="00043012">
        <w:rPr>
          <w:rStyle w:val="FootnoteTextChar"/>
        </w:rPr>
        <w:t> </w:t>
      </w:r>
      <w:r w:rsidR="00043012" w:rsidRPr="00891C9F">
        <w:rPr>
          <w:rStyle w:val="FootnoteTextChar"/>
        </w:rPr>
        <w:t>roz</w:t>
      </w:r>
      <w:r w:rsidRPr="00891C9F">
        <w:rPr>
          <w:rStyle w:val="FootnoteTextChar"/>
        </w:rPr>
        <w:t>wój dorobku Schengen (Dz.U. L 176</w:t>
      </w:r>
      <w:r w:rsidR="00043012" w:rsidRPr="00891C9F">
        <w:rPr>
          <w:rStyle w:val="FootnoteTextChar"/>
        </w:rPr>
        <w:t xml:space="preserve"> z</w:t>
      </w:r>
      <w:r w:rsidR="00043012">
        <w:rPr>
          <w:rStyle w:val="FootnoteTextChar"/>
        </w:rPr>
        <w:t> </w:t>
      </w:r>
      <w:r w:rsidR="00043012" w:rsidRPr="00891C9F">
        <w:rPr>
          <w:rStyle w:val="FootnoteTextChar"/>
        </w:rPr>
        <w:t>1</w:t>
      </w:r>
      <w:r w:rsidRPr="00891C9F">
        <w:rPr>
          <w:rStyle w:val="FootnoteTextChar"/>
        </w:rPr>
        <w:t>0.7.1999).</w:t>
      </w:r>
      <w:r w:rsidRPr="00891C9F">
        <w:rPr>
          <w:rStyle w:val="FootnoteReference0"/>
        </w:rPr>
        <w:t xml:space="preserve"> </w:t>
      </w:r>
    </w:p>
  </w:footnote>
  <w:footnote w:id="60">
    <w:p w14:paraId="1D592C23" w14:textId="47F34A23" w:rsidR="00AD2D37" w:rsidRPr="00891C9F" w:rsidRDefault="00AD2D37" w:rsidP="00AD2D37">
      <w:pPr>
        <w:pStyle w:val="FootnoteText"/>
      </w:pPr>
      <w:r w:rsidRPr="00891C9F">
        <w:rPr>
          <w:rStyle w:val="FootnoteReference0"/>
        </w:rPr>
        <w:footnoteRef/>
      </w:r>
      <w:r w:rsidRPr="00891C9F">
        <w:tab/>
        <w:t>Dz.U. L 53</w:t>
      </w:r>
      <w:r w:rsidR="00043012" w:rsidRPr="00891C9F">
        <w:t xml:space="preserve"> z</w:t>
      </w:r>
      <w:r w:rsidR="00043012">
        <w:t> </w:t>
      </w:r>
      <w:r w:rsidR="00043012" w:rsidRPr="00891C9F">
        <w:t>2</w:t>
      </w:r>
      <w:r w:rsidRPr="00891C9F">
        <w:t>7.2.2008, s. 52.</w:t>
      </w:r>
    </w:p>
  </w:footnote>
  <w:footnote w:id="61">
    <w:p w14:paraId="00FEF2D7" w14:textId="08D1B35D"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Decyzja Rady 2008/146/WE</w:t>
      </w:r>
      <w:r w:rsidR="00043012" w:rsidRPr="00891C9F">
        <w:rPr>
          <w:rStyle w:val="FootnoteTextChar"/>
        </w:rPr>
        <w:t xml:space="preserve"> z</w:t>
      </w:r>
      <w:r w:rsidR="00043012">
        <w:rPr>
          <w:rStyle w:val="FootnoteTextChar"/>
        </w:rPr>
        <w:t> </w:t>
      </w:r>
      <w:r w:rsidR="00043012" w:rsidRPr="00891C9F">
        <w:rPr>
          <w:rStyle w:val="FootnoteTextChar"/>
        </w:rPr>
        <w:t>dni</w:t>
      </w:r>
      <w:r w:rsidRPr="00891C9F">
        <w:rPr>
          <w:rStyle w:val="FootnoteTextChar"/>
        </w:rPr>
        <w:t>a 28 stycznia 20</w:t>
      </w:r>
      <w:r w:rsidRPr="00043012">
        <w:rPr>
          <w:rStyle w:val="FootnoteTextChar"/>
          <w:lang w:val="pl-PL"/>
        </w:rPr>
        <w:t>08</w:t>
      </w:r>
      <w:r w:rsidR="00043012" w:rsidRPr="00043012">
        <w:rPr>
          <w:rStyle w:val="FootnoteTextChar"/>
          <w:lang w:val="pl-PL"/>
        </w:rPr>
        <w:t> </w:t>
      </w:r>
      <w:r w:rsidRPr="00043012">
        <w:rPr>
          <w:rStyle w:val="FootnoteTextChar"/>
          <w:lang w:val="pl-PL"/>
        </w:rPr>
        <w:t>r.</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zawarcia</w:t>
      </w:r>
      <w:r w:rsidR="00043012" w:rsidRPr="00891C9F">
        <w:rPr>
          <w:rStyle w:val="FootnoteTextChar"/>
        </w:rPr>
        <w:t xml:space="preserve"> w</w:t>
      </w:r>
      <w:r w:rsidR="00043012">
        <w:rPr>
          <w:rStyle w:val="FootnoteTextChar"/>
        </w:rPr>
        <w:t> </w:t>
      </w:r>
      <w:r w:rsidR="00043012" w:rsidRPr="00891C9F">
        <w:rPr>
          <w:rStyle w:val="FootnoteTextChar"/>
        </w:rPr>
        <w:t>imi</w:t>
      </w:r>
      <w:r w:rsidRPr="00891C9F">
        <w:rPr>
          <w:rStyle w:val="FootnoteTextChar"/>
        </w:rPr>
        <w:t>eniu Wspólnoty Europejskiej Umowy między Unią Europejską, Wspólnotą Europejską</w:t>
      </w:r>
      <w:r w:rsidR="00043012" w:rsidRPr="00891C9F">
        <w:rPr>
          <w:rStyle w:val="FootnoteTextChar"/>
        </w:rPr>
        <w:t xml:space="preserve"> i</w:t>
      </w:r>
      <w:r w:rsidR="00043012">
        <w:rPr>
          <w:rStyle w:val="FootnoteTextChar"/>
        </w:rPr>
        <w:t> </w:t>
      </w:r>
      <w:r w:rsidR="00043012" w:rsidRPr="00891C9F">
        <w:rPr>
          <w:rStyle w:val="FootnoteTextChar"/>
        </w:rPr>
        <w:t>Kon</w:t>
      </w:r>
      <w:r w:rsidRPr="00891C9F">
        <w:rPr>
          <w:rStyle w:val="FootnoteTextChar"/>
        </w:rPr>
        <w:t>federacją Szwajcarską dotyczącej włączenia tego państwa we wprowadzanie</w:t>
      </w:r>
      <w:r w:rsidR="00043012" w:rsidRPr="00891C9F">
        <w:rPr>
          <w:rStyle w:val="FootnoteTextChar"/>
        </w:rPr>
        <w:t xml:space="preserve"> w</w:t>
      </w:r>
      <w:r w:rsidR="00043012">
        <w:rPr>
          <w:rStyle w:val="FootnoteTextChar"/>
        </w:rPr>
        <w:t> </w:t>
      </w:r>
      <w:r w:rsidR="00043012" w:rsidRPr="00891C9F">
        <w:rPr>
          <w:rStyle w:val="FootnoteTextChar"/>
        </w:rPr>
        <w:t>życ</w:t>
      </w:r>
      <w:r w:rsidRPr="00891C9F">
        <w:rPr>
          <w:rStyle w:val="FootnoteTextChar"/>
        </w:rPr>
        <w:t>ie, stosowanie</w:t>
      </w:r>
      <w:r w:rsidR="00043012" w:rsidRPr="00891C9F">
        <w:rPr>
          <w:rStyle w:val="FootnoteTextChar"/>
        </w:rPr>
        <w:t xml:space="preserve"> i</w:t>
      </w:r>
      <w:r w:rsidR="00043012">
        <w:rPr>
          <w:rStyle w:val="FootnoteTextChar"/>
        </w:rPr>
        <w:t> </w:t>
      </w:r>
      <w:r w:rsidR="00043012" w:rsidRPr="00891C9F">
        <w:rPr>
          <w:rStyle w:val="FootnoteTextChar"/>
        </w:rPr>
        <w:t>roz</w:t>
      </w:r>
      <w:r w:rsidRPr="00891C9F">
        <w:rPr>
          <w:rStyle w:val="FootnoteTextChar"/>
        </w:rPr>
        <w:t>wój dorobku Schengen (Dz.U. L 53</w:t>
      </w:r>
      <w:r w:rsidR="00043012" w:rsidRPr="00891C9F">
        <w:rPr>
          <w:rStyle w:val="FootnoteTextChar"/>
        </w:rPr>
        <w:t xml:space="preserve"> z</w:t>
      </w:r>
      <w:r w:rsidR="00043012">
        <w:rPr>
          <w:rStyle w:val="FootnoteTextChar"/>
        </w:rPr>
        <w:t> </w:t>
      </w:r>
      <w:r w:rsidR="00043012" w:rsidRPr="00891C9F">
        <w:rPr>
          <w:rStyle w:val="FootnoteTextChar"/>
        </w:rPr>
        <w:t>2</w:t>
      </w:r>
      <w:r w:rsidRPr="00891C9F">
        <w:rPr>
          <w:rStyle w:val="FootnoteTextChar"/>
        </w:rPr>
        <w:t>7.2.2008).</w:t>
      </w:r>
    </w:p>
  </w:footnote>
  <w:footnote w:id="62">
    <w:p w14:paraId="4FB6D774" w14:textId="039AC8D6"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Decyzja Rady 2008/149/WSiSW</w:t>
      </w:r>
      <w:r w:rsidR="00043012" w:rsidRPr="00891C9F">
        <w:rPr>
          <w:rStyle w:val="FootnoteTextChar"/>
        </w:rPr>
        <w:t xml:space="preserve"> z</w:t>
      </w:r>
      <w:r w:rsidR="00043012">
        <w:rPr>
          <w:rStyle w:val="FootnoteTextChar"/>
        </w:rPr>
        <w:t> </w:t>
      </w:r>
      <w:r w:rsidR="00043012" w:rsidRPr="00891C9F">
        <w:rPr>
          <w:rStyle w:val="FootnoteTextChar"/>
        </w:rPr>
        <w:t>dni</w:t>
      </w:r>
      <w:r w:rsidRPr="00891C9F">
        <w:rPr>
          <w:rStyle w:val="FootnoteTextChar"/>
        </w:rPr>
        <w:t>a 28 stycznia 20</w:t>
      </w:r>
      <w:r w:rsidRPr="00043012">
        <w:rPr>
          <w:rStyle w:val="FootnoteTextChar"/>
          <w:lang w:val="pl-PL"/>
        </w:rPr>
        <w:t>08</w:t>
      </w:r>
      <w:r w:rsidR="00043012" w:rsidRPr="00043012">
        <w:rPr>
          <w:rStyle w:val="FootnoteTextChar"/>
          <w:lang w:val="pl-PL"/>
        </w:rPr>
        <w:t> </w:t>
      </w:r>
      <w:r w:rsidRPr="00043012">
        <w:rPr>
          <w:rStyle w:val="FootnoteTextChar"/>
          <w:lang w:val="pl-PL"/>
        </w:rPr>
        <w:t>r.</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zawarcia</w:t>
      </w:r>
      <w:r w:rsidR="00043012" w:rsidRPr="00891C9F">
        <w:rPr>
          <w:rStyle w:val="FootnoteTextChar"/>
        </w:rPr>
        <w:t xml:space="preserve"> w</w:t>
      </w:r>
      <w:r w:rsidR="00043012">
        <w:rPr>
          <w:rStyle w:val="FootnoteTextChar"/>
        </w:rPr>
        <w:t> </w:t>
      </w:r>
      <w:r w:rsidR="00043012" w:rsidRPr="00891C9F">
        <w:rPr>
          <w:rStyle w:val="FootnoteTextChar"/>
        </w:rPr>
        <w:t>imi</w:t>
      </w:r>
      <w:r w:rsidRPr="00891C9F">
        <w:rPr>
          <w:rStyle w:val="FootnoteTextChar"/>
        </w:rPr>
        <w:t>eniu Unii Europejskiej Umowy między Unią Europejską, Wspólnotą Europejską</w:t>
      </w:r>
      <w:r w:rsidR="00043012" w:rsidRPr="00891C9F">
        <w:rPr>
          <w:rStyle w:val="FootnoteTextChar"/>
        </w:rPr>
        <w:t xml:space="preserve"> i</w:t>
      </w:r>
      <w:r w:rsidR="00043012">
        <w:rPr>
          <w:rStyle w:val="FootnoteTextChar"/>
        </w:rPr>
        <w:t> </w:t>
      </w:r>
      <w:r w:rsidR="00043012" w:rsidRPr="00891C9F">
        <w:rPr>
          <w:rStyle w:val="FootnoteTextChar"/>
        </w:rPr>
        <w:t>Kon</w:t>
      </w:r>
      <w:r w:rsidRPr="00891C9F">
        <w:rPr>
          <w:rStyle w:val="FootnoteTextChar"/>
        </w:rPr>
        <w:t>federacją Szwajcarską</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włączenia Konfederacji Szwajcarskiej we wprowadzanie</w:t>
      </w:r>
      <w:r w:rsidR="00043012" w:rsidRPr="00891C9F">
        <w:rPr>
          <w:rStyle w:val="FootnoteTextChar"/>
        </w:rPr>
        <w:t xml:space="preserve"> w</w:t>
      </w:r>
      <w:r w:rsidR="00043012">
        <w:rPr>
          <w:rStyle w:val="FootnoteTextChar"/>
        </w:rPr>
        <w:t> </w:t>
      </w:r>
      <w:r w:rsidR="00043012" w:rsidRPr="00891C9F">
        <w:rPr>
          <w:rStyle w:val="FootnoteTextChar"/>
        </w:rPr>
        <w:t>życ</w:t>
      </w:r>
      <w:r w:rsidRPr="00891C9F">
        <w:rPr>
          <w:rStyle w:val="FootnoteTextChar"/>
        </w:rPr>
        <w:t>ie, stosowanie</w:t>
      </w:r>
      <w:r w:rsidR="00043012" w:rsidRPr="00891C9F">
        <w:rPr>
          <w:rStyle w:val="FootnoteTextChar"/>
        </w:rPr>
        <w:t xml:space="preserve"> i</w:t>
      </w:r>
      <w:r w:rsidR="00043012">
        <w:rPr>
          <w:rStyle w:val="FootnoteTextChar"/>
        </w:rPr>
        <w:t> </w:t>
      </w:r>
      <w:r w:rsidR="00043012" w:rsidRPr="00891C9F">
        <w:rPr>
          <w:rStyle w:val="FootnoteTextChar"/>
        </w:rPr>
        <w:t>roz</w:t>
      </w:r>
      <w:r w:rsidRPr="00891C9F">
        <w:rPr>
          <w:rStyle w:val="FootnoteTextChar"/>
        </w:rPr>
        <w:t>wój dorobku Schengen (Dz.U. L 53</w:t>
      </w:r>
      <w:r w:rsidR="00043012" w:rsidRPr="00891C9F">
        <w:rPr>
          <w:rStyle w:val="FootnoteTextChar"/>
        </w:rPr>
        <w:t xml:space="preserve"> z</w:t>
      </w:r>
      <w:r w:rsidR="00043012">
        <w:rPr>
          <w:rStyle w:val="FootnoteTextChar"/>
        </w:rPr>
        <w:t> </w:t>
      </w:r>
      <w:r w:rsidR="00043012" w:rsidRPr="00891C9F">
        <w:rPr>
          <w:rStyle w:val="FootnoteTextChar"/>
        </w:rPr>
        <w:t>2</w:t>
      </w:r>
      <w:r w:rsidRPr="00891C9F">
        <w:rPr>
          <w:rStyle w:val="FootnoteTextChar"/>
        </w:rPr>
        <w:t>7.2.2008).</w:t>
      </w:r>
    </w:p>
  </w:footnote>
  <w:footnote w:id="63">
    <w:p w14:paraId="34746392" w14:textId="58057ECA" w:rsidR="00AD2D37" w:rsidRPr="00891C9F" w:rsidRDefault="00AD2D37" w:rsidP="00AD2D37">
      <w:pPr>
        <w:pStyle w:val="FootnoteText"/>
      </w:pPr>
      <w:r w:rsidRPr="00891C9F">
        <w:rPr>
          <w:rStyle w:val="FootnoteReference0"/>
        </w:rPr>
        <w:footnoteRef/>
      </w:r>
      <w:r w:rsidRPr="00891C9F">
        <w:tab/>
        <w:t>Dz.U. L 160</w:t>
      </w:r>
      <w:r w:rsidR="00043012" w:rsidRPr="00891C9F">
        <w:t xml:space="preserve"> z</w:t>
      </w:r>
      <w:r w:rsidR="00043012">
        <w:t> </w:t>
      </w:r>
      <w:r w:rsidR="00043012" w:rsidRPr="00891C9F">
        <w:t>1</w:t>
      </w:r>
      <w:r w:rsidRPr="00891C9F">
        <w:t>8.6.2011, s. 21.</w:t>
      </w:r>
    </w:p>
  </w:footnote>
  <w:footnote w:id="64">
    <w:p w14:paraId="701CA297" w14:textId="7FB5831B"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Decyzja Rady 2011/350/UE</w:t>
      </w:r>
      <w:r w:rsidR="00043012" w:rsidRPr="00891C9F">
        <w:rPr>
          <w:rStyle w:val="FootnoteTextChar"/>
        </w:rPr>
        <w:t xml:space="preserve"> z</w:t>
      </w:r>
      <w:r w:rsidR="00043012">
        <w:rPr>
          <w:rStyle w:val="FootnoteTextChar"/>
        </w:rPr>
        <w:t> </w:t>
      </w:r>
      <w:r w:rsidR="00043012" w:rsidRPr="00891C9F">
        <w:rPr>
          <w:rStyle w:val="FootnoteTextChar"/>
        </w:rPr>
        <w:t>dni</w:t>
      </w:r>
      <w:r w:rsidRPr="00891C9F">
        <w:rPr>
          <w:rStyle w:val="FootnoteTextChar"/>
        </w:rPr>
        <w:t>a 7 marca 20</w:t>
      </w:r>
      <w:r w:rsidRPr="00043012">
        <w:rPr>
          <w:rStyle w:val="FootnoteTextChar"/>
          <w:lang w:val="pl-PL"/>
        </w:rPr>
        <w:t>11</w:t>
      </w:r>
      <w:r w:rsidR="00043012" w:rsidRPr="00043012">
        <w:rPr>
          <w:rStyle w:val="FootnoteTextChar"/>
          <w:lang w:val="pl-PL"/>
        </w:rPr>
        <w:t> </w:t>
      </w:r>
      <w:r w:rsidRPr="00043012">
        <w:rPr>
          <w:rStyle w:val="FootnoteTextChar"/>
          <w:lang w:val="pl-PL"/>
        </w:rPr>
        <w:t>r.</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zawarcia</w:t>
      </w:r>
      <w:r w:rsidR="00043012" w:rsidRPr="00891C9F">
        <w:rPr>
          <w:rStyle w:val="FootnoteTextChar"/>
        </w:rPr>
        <w:t xml:space="preserve"> w</w:t>
      </w:r>
      <w:r w:rsidR="00043012">
        <w:rPr>
          <w:rStyle w:val="FootnoteTextChar"/>
        </w:rPr>
        <w:t> </w:t>
      </w:r>
      <w:r w:rsidR="00043012" w:rsidRPr="00891C9F">
        <w:rPr>
          <w:rStyle w:val="FootnoteTextChar"/>
        </w:rPr>
        <w:t>imi</w:t>
      </w:r>
      <w:r w:rsidRPr="00891C9F">
        <w:rPr>
          <w:rStyle w:val="FootnoteTextChar"/>
        </w:rPr>
        <w:t>eniu Unii Europejskiej Protokołu między Unią Europejską, Wspólnotą Europejską, Konfederacją Szwajcarską</w:t>
      </w:r>
      <w:r w:rsidR="00043012" w:rsidRPr="00891C9F">
        <w:rPr>
          <w:rStyle w:val="FootnoteTextChar"/>
        </w:rPr>
        <w:t xml:space="preserve"> i</w:t>
      </w:r>
      <w:r w:rsidR="00043012">
        <w:rPr>
          <w:rStyle w:val="FootnoteTextChar"/>
        </w:rPr>
        <w:t> </w:t>
      </w:r>
      <w:r w:rsidR="00043012" w:rsidRPr="00891C9F">
        <w:rPr>
          <w:rStyle w:val="FootnoteTextChar"/>
        </w:rPr>
        <w:t>Ksi</w:t>
      </w:r>
      <w:r w:rsidRPr="00891C9F">
        <w:rPr>
          <w:rStyle w:val="FootnoteTextChar"/>
        </w:rPr>
        <w:t>ęstwem Liechtensteinu</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przystąpienia Księstwa Liechtensteinu do Umowy między Unią Europejską, Wspólnotą Europejską</w:t>
      </w:r>
      <w:r w:rsidR="00043012" w:rsidRPr="00891C9F">
        <w:rPr>
          <w:rStyle w:val="FootnoteTextChar"/>
        </w:rPr>
        <w:t xml:space="preserve"> i</w:t>
      </w:r>
      <w:r w:rsidR="00043012">
        <w:rPr>
          <w:rStyle w:val="FootnoteTextChar"/>
        </w:rPr>
        <w:t> </w:t>
      </w:r>
      <w:r w:rsidR="00043012" w:rsidRPr="00891C9F">
        <w:rPr>
          <w:rStyle w:val="FootnoteTextChar"/>
        </w:rPr>
        <w:t>Kon</w:t>
      </w:r>
      <w:r w:rsidRPr="00891C9F">
        <w:rPr>
          <w:rStyle w:val="FootnoteTextChar"/>
        </w:rPr>
        <w:t>federacją Szwajcarską dotyczącej włączenia Konfederacji Szwajcarskiej we wprowadzanie</w:t>
      </w:r>
      <w:r w:rsidR="00043012" w:rsidRPr="00891C9F">
        <w:rPr>
          <w:rStyle w:val="FootnoteTextChar"/>
        </w:rPr>
        <w:t xml:space="preserve"> w</w:t>
      </w:r>
      <w:r w:rsidR="00043012">
        <w:rPr>
          <w:rStyle w:val="FootnoteTextChar"/>
        </w:rPr>
        <w:t> </w:t>
      </w:r>
      <w:r w:rsidR="00043012" w:rsidRPr="00891C9F">
        <w:rPr>
          <w:rStyle w:val="FootnoteTextChar"/>
        </w:rPr>
        <w:t>życ</w:t>
      </w:r>
      <w:r w:rsidRPr="00891C9F">
        <w:rPr>
          <w:rStyle w:val="FootnoteTextChar"/>
        </w:rPr>
        <w:t>ie, stosowanie</w:t>
      </w:r>
      <w:r w:rsidR="00043012" w:rsidRPr="00891C9F">
        <w:rPr>
          <w:rStyle w:val="FootnoteTextChar"/>
        </w:rPr>
        <w:t xml:space="preserve"> i</w:t>
      </w:r>
      <w:r w:rsidR="00043012">
        <w:rPr>
          <w:rStyle w:val="FootnoteTextChar"/>
        </w:rPr>
        <w:t> </w:t>
      </w:r>
      <w:r w:rsidR="00043012" w:rsidRPr="00891C9F">
        <w:rPr>
          <w:rStyle w:val="FootnoteTextChar"/>
        </w:rPr>
        <w:t>roz</w:t>
      </w:r>
      <w:r w:rsidRPr="00891C9F">
        <w:rPr>
          <w:rStyle w:val="FootnoteTextChar"/>
        </w:rPr>
        <w:t>wój dorobku Schengen, odnoszącego się do zniesienia kontroli na granicach wewnętrznych i do przemieszczania się osób (Dz.U. L 160</w:t>
      </w:r>
      <w:r w:rsidR="00043012" w:rsidRPr="00891C9F">
        <w:rPr>
          <w:rStyle w:val="FootnoteTextChar"/>
        </w:rPr>
        <w:t xml:space="preserve"> z</w:t>
      </w:r>
      <w:r w:rsidR="00043012">
        <w:rPr>
          <w:rStyle w:val="FootnoteTextChar"/>
        </w:rPr>
        <w:t> </w:t>
      </w:r>
      <w:r w:rsidR="00043012" w:rsidRPr="00891C9F">
        <w:rPr>
          <w:rStyle w:val="FootnoteTextChar"/>
        </w:rPr>
        <w:t>1</w:t>
      </w:r>
      <w:r w:rsidRPr="00891C9F">
        <w:rPr>
          <w:rStyle w:val="FootnoteTextChar"/>
        </w:rPr>
        <w:t>8.6.2011).</w:t>
      </w:r>
    </w:p>
  </w:footnote>
  <w:footnote w:id="65">
    <w:p w14:paraId="159670CC" w14:textId="4B60AFB6"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Decyzja Rady 2011/349/UE</w:t>
      </w:r>
      <w:r w:rsidR="00043012" w:rsidRPr="00891C9F">
        <w:rPr>
          <w:rStyle w:val="FootnoteTextChar"/>
        </w:rPr>
        <w:t xml:space="preserve"> z</w:t>
      </w:r>
      <w:r w:rsidR="00043012">
        <w:rPr>
          <w:rStyle w:val="FootnoteTextChar"/>
        </w:rPr>
        <w:t> </w:t>
      </w:r>
      <w:r w:rsidR="00043012" w:rsidRPr="00891C9F">
        <w:rPr>
          <w:rStyle w:val="FootnoteTextChar"/>
        </w:rPr>
        <w:t>dni</w:t>
      </w:r>
      <w:r w:rsidRPr="00891C9F">
        <w:rPr>
          <w:rStyle w:val="FootnoteTextChar"/>
        </w:rPr>
        <w:t>a 7 marca 20</w:t>
      </w:r>
      <w:r w:rsidRPr="00043012">
        <w:rPr>
          <w:rStyle w:val="FootnoteTextChar"/>
          <w:lang w:val="pl-PL"/>
        </w:rPr>
        <w:t>11</w:t>
      </w:r>
      <w:r w:rsidR="00043012" w:rsidRPr="00043012">
        <w:rPr>
          <w:rStyle w:val="FootnoteTextChar"/>
          <w:lang w:val="pl-PL"/>
        </w:rPr>
        <w:t> </w:t>
      </w:r>
      <w:r w:rsidRPr="00043012">
        <w:rPr>
          <w:rStyle w:val="FootnoteTextChar"/>
          <w:lang w:val="pl-PL"/>
        </w:rPr>
        <w:t>r.</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zawarcia</w:t>
      </w:r>
      <w:r w:rsidR="00043012" w:rsidRPr="00891C9F">
        <w:rPr>
          <w:rStyle w:val="FootnoteTextChar"/>
        </w:rPr>
        <w:t xml:space="preserve"> w</w:t>
      </w:r>
      <w:r w:rsidR="00043012">
        <w:rPr>
          <w:rStyle w:val="FootnoteTextChar"/>
        </w:rPr>
        <w:t> </w:t>
      </w:r>
      <w:r w:rsidR="00043012" w:rsidRPr="00891C9F">
        <w:rPr>
          <w:rStyle w:val="FootnoteTextChar"/>
        </w:rPr>
        <w:t>imi</w:t>
      </w:r>
      <w:r w:rsidRPr="00891C9F">
        <w:rPr>
          <w:rStyle w:val="FootnoteTextChar"/>
        </w:rPr>
        <w:t>eniu Unii Europejskiej Protokołu między Unią Europejską, Wspólnotą Europejską, Konfederacją Szwajcarską</w:t>
      </w:r>
      <w:r w:rsidR="00043012" w:rsidRPr="00891C9F">
        <w:rPr>
          <w:rStyle w:val="FootnoteTextChar"/>
        </w:rPr>
        <w:t xml:space="preserve"> i</w:t>
      </w:r>
      <w:r w:rsidR="00043012">
        <w:rPr>
          <w:rStyle w:val="FootnoteTextChar"/>
        </w:rPr>
        <w:t> </w:t>
      </w:r>
      <w:r w:rsidR="00043012" w:rsidRPr="00891C9F">
        <w:rPr>
          <w:rStyle w:val="FootnoteTextChar"/>
        </w:rPr>
        <w:t>Ksi</w:t>
      </w:r>
      <w:r w:rsidRPr="00891C9F">
        <w:rPr>
          <w:rStyle w:val="FootnoteTextChar"/>
        </w:rPr>
        <w:t>ęstwem Liechtensteinu</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przystąpienia Księstwa Liechtensteinu do Umowy między Unią Europejską, Wspólnotą Europejską</w:t>
      </w:r>
      <w:r w:rsidR="00043012" w:rsidRPr="00891C9F">
        <w:rPr>
          <w:rStyle w:val="FootnoteTextChar"/>
        </w:rPr>
        <w:t xml:space="preserve"> i</w:t>
      </w:r>
      <w:r w:rsidR="00043012">
        <w:rPr>
          <w:rStyle w:val="FootnoteTextChar"/>
        </w:rPr>
        <w:t> </w:t>
      </w:r>
      <w:r w:rsidR="00043012" w:rsidRPr="00891C9F">
        <w:rPr>
          <w:rStyle w:val="FootnoteTextChar"/>
        </w:rPr>
        <w:t>Kon</w:t>
      </w:r>
      <w:r w:rsidRPr="00891C9F">
        <w:rPr>
          <w:rStyle w:val="FootnoteTextChar"/>
        </w:rPr>
        <w:t>federacją Szwajcarską dotyczącej włączenia Konfederacji Szwajcarskiej we wprowadzanie</w:t>
      </w:r>
      <w:r w:rsidR="00043012" w:rsidRPr="00891C9F">
        <w:rPr>
          <w:rStyle w:val="FootnoteTextChar"/>
        </w:rPr>
        <w:t xml:space="preserve"> w</w:t>
      </w:r>
      <w:r w:rsidR="00043012">
        <w:rPr>
          <w:rStyle w:val="FootnoteTextChar"/>
        </w:rPr>
        <w:t> </w:t>
      </w:r>
      <w:r w:rsidR="00043012" w:rsidRPr="00891C9F">
        <w:rPr>
          <w:rStyle w:val="FootnoteTextChar"/>
        </w:rPr>
        <w:t>życ</w:t>
      </w:r>
      <w:r w:rsidRPr="00891C9F">
        <w:rPr>
          <w:rStyle w:val="FootnoteTextChar"/>
        </w:rPr>
        <w:t>ie, stosowanie</w:t>
      </w:r>
      <w:r w:rsidR="00043012" w:rsidRPr="00891C9F">
        <w:rPr>
          <w:rStyle w:val="FootnoteTextChar"/>
        </w:rPr>
        <w:t xml:space="preserve"> i</w:t>
      </w:r>
      <w:r w:rsidR="00043012">
        <w:rPr>
          <w:rStyle w:val="FootnoteTextChar"/>
        </w:rPr>
        <w:t> </w:t>
      </w:r>
      <w:r w:rsidR="00043012" w:rsidRPr="00891C9F">
        <w:rPr>
          <w:rStyle w:val="FootnoteTextChar"/>
        </w:rPr>
        <w:t>roz</w:t>
      </w:r>
      <w:r w:rsidRPr="00891C9F">
        <w:rPr>
          <w:rStyle w:val="FootnoteTextChar"/>
        </w:rPr>
        <w:t>wój dorobku Schengen, odnoszącego się</w:t>
      </w:r>
      <w:r w:rsidR="00043012" w:rsidRPr="00891C9F">
        <w:rPr>
          <w:rStyle w:val="FootnoteTextChar"/>
        </w:rPr>
        <w:t xml:space="preserve"> w</w:t>
      </w:r>
      <w:r w:rsidR="00043012">
        <w:rPr>
          <w:rStyle w:val="FootnoteTextChar"/>
        </w:rPr>
        <w:t> </w:t>
      </w:r>
      <w:r w:rsidR="00043012" w:rsidRPr="00891C9F">
        <w:rPr>
          <w:rStyle w:val="FootnoteTextChar"/>
        </w:rPr>
        <w:t>szc</w:t>
      </w:r>
      <w:r w:rsidRPr="00891C9F">
        <w:rPr>
          <w:rStyle w:val="FootnoteTextChar"/>
        </w:rPr>
        <w:t>zególności do współpracy sądowej</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awach karnych</w:t>
      </w:r>
      <w:r w:rsidR="00043012" w:rsidRPr="00891C9F">
        <w:rPr>
          <w:rStyle w:val="FootnoteTextChar"/>
        </w:rPr>
        <w:t xml:space="preserve"> i</w:t>
      </w:r>
      <w:r w:rsidR="00043012">
        <w:rPr>
          <w:rStyle w:val="FootnoteTextChar"/>
        </w:rPr>
        <w:t> </w:t>
      </w:r>
      <w:r w:rsidR="00043012" w:rsidRPr="00891C9F">
        <w:rPr>
          <w:rStyle w:val="FootnoteTextChar"/>
        </w:rPr>
        <w:t>wsp</w:t>
      </w:r>
      <w:r w:rsidRPr="00891C9F">
        <w:rPr>
          <w:rStyle w:val="FootnoteTextChar"/>
        </w:rPr>
        <w:t>ółpracy policji (Dz.U. L 160</w:t>
      </w:r>
      <w:r w:rsidR="00043012" w:rsidRPr="00891C9F">
        <w:rPr>
          <w:rStyle w:val="FootnoteTextChar"/>
        </w:rPr>
        <w:t xml:space="preserve"> z</w:t>
      </w:r>
      <w:r w:rsidR="00043012">
        <w:rPr>
          <w:rStyle w:val="FootnoteTextChar"/>
        </w:rPr>
        <w:t> </w:t>
      </w:r>
      <w:r w:rsidR="00043012" w:rsidRPr="00891C9F">
        <w:rPr>
          <w:rStyle w:val="FootnoteTextChar"/>
        </w:rPr>
        <w:t>1</w:t>
      </w:r>
      <w:r w:rsidRPr="00891C9F">
        <w:rPr>
          <w:rStyle w:val="FootnoteTextChar"/>
        </w:rPr>
        <w:t>8.6.2011).</w:t>
      </w:r>
    </w:p>
  </w:footnote>
  <w:footnote w:id="66">
    <w:p w14:paraId="4771F1FD" w14:textId="2003702D"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Decyzja Rady 2010/365/UE</w:t>
      </w:r>
      <w:r w:rsidR="00043012" w:rsidRPr="00891C9F">
        <w:rPr>
          <w:rStyle w:val="FootnoteTextChar"/>
        </w:rPr>
        <w:t xml:space="preserve"> z</w:t>
      </w:r>
      <w:r w:rsidR="00043012">
        <w:rPr>
          <w:rStyle w:val="FootnoteTextChar"/>
        </w:rPr>
        <w:t> </w:t>
      </w:r>
      <w:r w:rsidR="00043012" w:rsidRPr="00891C9F">
        <w:rPr>
          <w:rStyle w:val="FootnoteTextChar"/>
        </w:rPr>
        <w:t>dni</w:t>
      </w:r>
      <w:r w:rsidRPr="00891C9F">
        <w:rPr>
          <w:rStyle w:val="FootnoteTextChar"/>
        </w:rPr>
        <w:t>a 29 czerwca 20</w:t>
      </w:r>
      <w:r w:rsidRPr="00043012">
        <w:rPr>
          <w:rStyle w:val="FootnoteTextChar"/>
          <w:lang w:val="pl-PL"/>
        </w:rPr>
        <w:t>10</w:t>
      </w:r>
      <w:r w:rsidR="00043012" w:rsidRPr="00043012">
        <w:rPr>
          <w:rStyle w:val="FootnoteTextChar"/>
          <w:lang w:val="pl-PL"/>
        </w:rPr>
        <w:t> </w:t>
      </w:r>
      <w:r w:rsidRPr="00043012">
        <w:rPr>
          <w:rStyle w:val="FootnoteTextChar"/>
          <w:lang w:val="pl-PL"/>
        </w:rPr>
        <w:t>r.</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stosowania</w:t>
      </w:r>
      <w:r w:rsidR="00043012" w:rsidRPr="00891C9F">
        <w:rPr>
          <w:rStyle w:val="FootnoteTextChar"/>
        </w:rPr>
        <w:t xml:space="preserve"> w</w:t>
      </w:r>
      <w:r w:rsidR="00043012">
        <w:rPr>
          <w:rStyle w:val="FootnoteTextChar"/>
        </w:rPr>
        <w:t> </w:t>
      </w:r>
      <w:r w:rsidR="00043012" w:rsidRPr="00891C9F">
        <w:rPr>
          <w:rStyle w:val="FootnoteTextChar"/>
        </w:rPr>
        <w:t>Rep</w:t>
      </w:r>
      <w:r w:rsidRPr="00891C9F">
        <w:rPr>
          <w:rStyle w:val="FootnoteTextChar"/>
        </w:rPr>
        <w:t>ublice Bułgarii</w:t>
      </w:r>
      <w:r w:rsidR="00043012" w:rsidRPr="00891C9F">
        <w:rPr>
          <w:rStyle w:val="FootnoteTextChar"/>
        </w:rPr>
        <w:t xml:space="preserve"> i</w:t>
      </w:r>
      <w:r w:rsidR="00043012">
        <w:rPr>
          <w:rStyle w:val="FootnoteTextChar"/>
        </w:rPr>
        <w:t> </w:t>
      </w:r>
      <w:r w:rsidR="00043012" w:rsidRPr="00891C9F">
        <w:rPr>
          <w:rStyle w:val="FootnoteTextChar"/>
        </w:rPr>
        <w:t>w</w:t>
      </w:r>
      <w:r w:rsidR="00043012">
        <w:rPr>
          <w:rStyle w:val="FootnoteTextChar"/>
        </w:rPr>
        <w:t> </w:t>
      </w:r>
      <w:r w:rsidR="00043012" w:rsidRPr="00891C9F">
        <w:rPr>
          <w:rStyle w:val="FootnoteTextChar"/>
        </w:rPr>
        <w:t>Rum</w:t>
      </w:r>
      <w:r w:rsidRPr="00891C9F">
        <w:rPr>
          <w:rStyle w:val="FootnoteTextChar"/>
        </w:rPr>
        <w:t>unii przepisów dorobku Schengen związanych</w:t>
      </w:r>
      <w:r w:rsidR="00043012" w:rsidRPr="00891C9F">
        <w:rPr>
          <w:rStyle w:val="FootnoteTextChar"/>
        </w:rPr>
        <w:t xml:space="preserve"> z</w:t>
      </w:r>
      <w:r w:rsidR="00043012">
        <w:rPr>
          <w:rStyle w:val="FootnoteTextChar"/>
        </w:rPr>
        <w:t> </w:t>
      </w:r>
      <w:r w:rsidR="00043012" w:rsidRPr="00891C9F">
        <w:rPr>
          <w:rStyle w:val="FootnoteTextChar"/>
        </w:rPr>
        <w:t>Sys</w:t>
      </w:r>
      <w:r w:rsidRPr="00891C9F">
        <w:rPr>
          <w:rStyle w:val="FootnoteTextChar"/>
        </w:rPr>
        <w:t>temem Informacyjnym Schengen (Dz.U. L 166</w:t>
      </w:r>
      <w:r w:rsidR="00043012" w:rsidRPr="00891C9F">
        <w:rPr>
          <w:rStyle w:val="FootnoteTextChar"/>
        </w:rPr>
        <w:t xml:space="preserve"> z</w:t>
      </w:r>
      <w:r w:rsidR="00043012">
        <w:rPr>
          <w:rStyle w:val="FootnoteTextChar"/>
        </w:rPr>
        <w:t> </w:t>
      </w:r>
      <w:r w:rsidR="00043012" w:rsidRPr="00891C9F">
        <w:rPr>
          <w:rStyle w:val="FootnoteTextChar"/>
        </w:rPr>
        <w:t>1</w:t>
      </w:r>
      <w:r w:rsidRPr="00891C9F">
        <w:rPr>
          <w:rStyle w:val="FootnoteTextChar"/>
        </w:rPr>
        <w:t>.7.2010, s. 17).</w:t>
      </w:r>
    </w:p>
  </w:footnote>
  <w:footnote w:id="67">
    <w:p w14:paraId="795D535E" w14:textId="1B2DC464" w:rsidR="00AD2D37" w:rsidRPr="00891C9F" w:rsidRDefault="00AD2D37" w:rsidP="00AD2D37">
      <w:pPr>
        <w:pStyle w:val="FootnoteText"/>
        <w:rPr>
          <w:rStyle w:val="FootnoteReference0"/>
        </w:rPr>
      </w:pPr>
      <w:r w:rsidRPr="00891C9F">
        <w:rPr>
          <w:rStyle w:val="FootnoteReference0"/>
        </w:rPr>
        <w:footnoteRef/>
      </w:r>
      <w:r w:rsidRPr="00891C9F">
        <w:tab/>
      </w:r>
      <w:r w:rsidRPr="00891C9F">
        <w:rPr>
          <w:rStyle w:val="FootnoteTextChar"/>
        </w:rPr>
        <w:t>Decyzja Rady (UE) 2018/934</w:t>
      </w:r>
      <w:r w:rsidR="00043012" w:rsidRPr="00891C9F">
        <w:rPr>
          <w:rStyle w:val="FootnoteTextChar"/>
        </w:rPr>
        <w:t xml:space="preserve"> z</w:t>
      </w:r>
      <w:r w:rsidR="00043012">
        <w:rPr>
          <w:rStyle w:val="FootnoteTextChar"/>
        </w:rPr>
        <w:t> </w:t>
      </w:r>
      <w:r w:rsidR="00043012" w:rsidRPr="00891C9F">
        <w:rPr>
          <w:rStyle w:val="FootnoteTextChar"/>
        </w:rPr>
        <w:t>dni</w:t>
      </w:r>
      <w:r w:rsidRPr="00891C9F">
        <w:rPr>
          <w:rStyle w:val="FootnoteTextChar"/>
        </w:rPr>
        <w:t>a 25 czerwca 20</w:t>
      </w:r>
      <w:r w:rsidRPr="00043012">
        <w:rPr>
          <w:rStyle w:val="FootnoteTextChar"/>
          <w:lang w:val="pl-PL"/>
        </w:rPr>
        <w:t>18</w:t>
      </w:r>
      <w:r w:rsidR="00043012" w:rsidRPr="00043012">
        <w:rPr>
          <w:rStyle w:val="FootnoteTextChar"/>
          <w:lang w:val="pl-PL"/>
        </w:rPr>
        <w:t> </w:t>
      </w:r>
      <w:r w:rsidRPr="00043012">
        <w:rPr>
          <w:rStyle w:val="FootnoteTextChar"/>
          <w:lang w:val="pl-PL"/>
        </w:rPr>
        <w:t>r.</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wprowadzenia</w:t>
      </w:r>
      <w:r w:rsidR="00043012" w:rsidRPr="00891C9F">
        <w:rPr>
          <w:rStyle w:val="FootnoteTextChar"/>
        </w:rPr>
        <w:t xml:space="preserve"> w</w:t>
      </w:r>
      <w:r w:rsidR="00043012">
        <w:rPr>
          <w:rStyle w:val="FootnoteTextChar"/>
        </w:rPr>
        <w:t> </w:t>
      </w:r>
      <w:r w:rsidR="00043012" w:rsidRPr="00891C9F">
        <w:rPr>
          <w:rStyle w:val="FootnoteTextChar"/>
        </w:rPr>
        <w:t>życ</w:t>
      </w:r>
      <w:r w:rsidRPr="00891C9F">
        <w:rPr>
          <w:rStyle w:val="FootnoteTextChar"/>
        </w:rPr>
        <w:t>ie</w:t>
      </w:r>
      <w:r w:rsidR="00043012" w:rsidRPr="00891C9F">
        <w:rPr>
          <w:rStyle w:val="FootnoteTextChar"/>
        </w:rPr>
        <w:t xml:space="preserve"> w</w:t>
      </w:r>
      <w:r w:rsidR="00043012">
        <w:rPr>
          <w:rStyle w:val="FootnoteTextChar"/>
        </w:rPr>
        <w:t> </w:t>
      </w:r>
      <w:r w:rsidR="00043012" w:rsidRPr="00891C9F">
        <w:rPr>
          <w:rStyle w:val="FootnoteTextChar"/>
        </w:rPr>
        <w:t>Rep</w:t>
      </w:r>
      <w:r w:rsidRPr="00891C9F">
        <w:rPr>
          <w:rStyle w:val="FootnoteTextChar"/>
        </w:rPr>
        <w:t>ublice Bułgarii</w:t>
      </w:r>
      <w:r w:rsidR="00043012" w:rsidRPr="00891C9F">
        <w:rPr>
          <w:rStyle w:val="FootnoteTextChar"/>
        </w:rPr>
        <w:t xml:space="preserve"> i</w:t>
      </w:r>
      <w:r w:rsidR="00043012">
        <w:rPr>
          <w:rStyle w:val="FootnoteTextChar"/>
        </w:rPr>
        <w:t> </w:t>
      </w:r>
      <w:r w:rsidR="00043012" w:rsidRPr="00891C9F">
        <w:rPr>
          <w:rStyle w:val="FootnoteTextChar"/>
        </w:rPr>
        <w:t>w</w:t>
      </w:r>
      <w:r w:rsidR="00043012">
        <w:rPr>
          <w:rStyle w:val="FootnoteTextChar"/>
        </w:rPr>
        <w:t> </w:t>
      </w:r>
      <w:r w:rsidR="00043012" w:rsidRPr="00891C9F">
        <w:rPr>
          <w:rStyle w:val="FootnoteTextChar"/>
        </w:rPr>
        <w:t>Rum</w:t>
      </w:r>
      <w:r w:rsidRPr="00891C9F">
        <w:rPr>
          <w:rStyle w:val="FootnoteTextChar"/>
        </w:rPr>
        <w:t>unii pozostałych przepisów dorobku Schengen dotyczących Systemu Informacyjnego Schengen (Dz.U. L 165</w:t>
      </w:r>
      <w:r w:rsidR="00043012" w:rsidRPr="00891C9F">
        <w:rPr>
          <w:rStyle w:val="FootnoteTextChar"/>
        </w:rPr>
        <w:t xml:space="preserve"> z</w:t>
      </w:r>
      <w:r w:rsidR="00043012">
        <w:rPr>
          <w:rStyle w:val="FootnoteTextChar"/>
        </w:rPr>
        <w:t> </w:t>
      </w:r>
      <w:r w:rsidR="00043012" w:rsidRPr="00891C9F">
        <w:rPr>
          <w:rStyle w:val="FootnoteTextChar"/>
        </w:rPr>
        <w:t>2</w:t>
      </w:r>
      <w:r w:rsidRPr="00891C9F">
        <w:rPr>
          <w:rStyle w:val="FootnoteTextChar"/>
        </w:rPr>
        <w:t>.7.2018, s. 37).</w:t>
      </w:r>
    </w:p>
  </w:footnote>
  <w:footnote w:id="68">
    <w:p w14:paraId="0C5442E6" w14:textId="38DFC0F5" w:rsidR="00AD2D37" w:rsidRPr="00891C9F" w:rsidRDefault="00AD2D37" w:rsidP="00AD2D37">
      <w:pPr>
        <w:pStyle w:val="FootnoteText"/>
      </w:pPr>
      <w:r w:rsidRPr="00891C9F">
        <w:rPr>
          <w:rStyle w:val="FootnoteReference0"/>
        </w:rPr>
        <w:footnoteRef/>
      </w:r>
      <w:r w:rsidRPr="00891C9F">
        <w:tab/>
      </w:r>
      <w:r w:rsidRPr="00891C9F">
        <w:rPr>
          <w:rStyle w:val="FootnoteTextChar"/>
        </w:rPr>
        <w:t>Decyzja Rady (UE) 2017/733</w:t>
      </w:r>
      <w:r w:rsidR="00043012" w:rsidRPr="00891C9F">
        <w:rPr>
          <w:rStyle w:val="FootnoteTextChar"/>
        </w:rPr>
        <w:t xml:space="preserve"> z</w:t>
      </w:r>
      <w:r w:rsidR="00043012">
        <w:rPr>
          <w:rStyle w:val="FootnoteTextChar"/>
        </w:rPr>
        <w:t> </w:t>
      </w:r>
      <w:r w:rsidR="00043012" w:rsidRPr="00891C9F">
        <w:rPr>
          <w:rStyle w:val="FootnoteTextChar"/>
        </w:rPr>
        <w:t>dni</w:t>
      </w:r>
      <w:r w:rsidRPr="00891C9F">
        <w:rPr>
          <w:rStyle w:val="FootnoteTextChar"/>
        </w:rPr>
        <w:t>a 25 kwietnia 20</w:t>
      </w:r>
      <w:r w:rsidRPr="00043012">
        <w:rPr>
          <w:rStyle w:val="FootnoteTextChar"/>
          <w:lang w:val="pl-PL"/>
        </w:rPr>
        <w:t>17</w:t>
      </w:r>
      <w:r w:rsidR="00043012" w:rsidRPr="00043012">
        <w:rPr>
          <w:rStyle w:val="FootnoteTextChar"/>
          <w:lang w:val="pl-PL"/>
        </w:rPr>
        <w:t> </w:t>
      </w:r>
      <w:r w:rsidRPr="00043012">
        <w:rPr>
          <w:rStyle w:val="FootnoteTextChar"/>
          <w:lang w:val="pl-PL"/>
        </w:rPr>
        <w:t>r.</w:t>
      </w:r>
      <w:r w:rsidR="00043012" w:rsidRPr="00891C9F">
        <w:rPr>
          <w:rStyle w:val="FootnoteTextChar"/>
        </w:rPr>
        <w:t xml:space="preserve"> w</w:t>
      </w:r>
      <w:r w:rsidR="00043012">
        <w:rPr>
          <w:rStyle w:val="FootnoteTextChar"/>
        </w:rPr>
        <w:t> </w:t>
      </w:r>
      <w:r w:rsidR="00043012" w:rsidRPr="00891C9F">
        <w:rPr>
          <w:rStyle w:val="FootnoteTextChar"/>
        </w:rPr>
        <w:t>spr</w:t>
      </w:r>
      <w:r w:rsidRPr="00891C9F">
        <w:rPr>
          <w:rStyle w:val="FootnoteTextChar"/>
        </w:rPr>
        <w:t>awie stosowania</w:t>
      </w:r>
      <w:r w:rsidR="00043012" w:rsidRPr="00891C9F">
        <w:rPr>
          <w:rStyle w:val="FootnoteTextChar"/>
        </w:rPr>
        <w:t xml:space="preserve"> w</w:t>
      </w:r>
      <w:r w:rsidR="00043012">
        <w:rPr>
          <w:rStyle w:val="FootnoteTextChar"/>
        </w:rPr>
        <w:t> </w:t>
      </w:r>
      <w:r w:rsidR="00043012" w:rsidRPr="00891C9F">
        <w:rPr>
          <w:rStyle w:val="FootnoteTextChar"/>
        </w:rPr>
        <w:t>Rep</w:t>
      </w:r>
      <w:r w:rsidRPr="00891C9F">
        <w:rPr>
          <w:rStyle w:val="FootnoteTextChar"/>
        </w:rPr>
        <w:t>ublice Chorwacji przepisów dorobku Schengen dotyczących Systemu Informacyjnego Schengen (Dz.U. L 108</w:t>
      </w:r>
      <w:r w:rsidR="00043012" w:rsidRPr="00891C9F">
        <w:rPr>
          <w:rStyle w:val="FootnoteTextChar"/>
        </w:rPr>
        <w:t xml:space="preserve"> z</w:t>
      </w:r>
      <w:r w:rsidR="00043012">
        <w:rPr>
          <w:rStyle w:val="FootnoteTextChar"/>
        </w:rPr>
        <w:t> </w:t>
      </w:r>
      <w:r w:rsidR="00043012" w:rsidRPr="00891C9F">
        <w:rPr>
          <w:rStyle w:val="FootnoteTextChar"/>
        </w:rPr>
        <w:t>2</w:t>
      </w:r>
      <w:r w:rsidRPr="00891C9F">
        <w:rPr>
          <w:rStyle w:val="FootnoteTextChar"/>
        </w:rPr>
        <w:t>6.4.2017, s. 31).</w:t>
      </w:r>
    </w:p>
  </w:footnote>
  <w:footnote w:id="69">
    <w:p w14:paraId="17972DE0" w14:textId="4E8E16C3" w:rsidR="00AD2D37" w:rsidRPr="00891C9F" w:rsidRDefault="00AD2D37" w:rsidP="00AD2D37">
      <w:pPr>
        <w:pStyle w:val="FootnoteText"/>
        <w:rPr>
          <w:rStyle w:val="FootnoteTextChar"/>
        </w:rPr>
      </w:pPr>
      <w:r w:rsidRPr="00891C9F">
        <w:rPr>
          <w:rStyle w:val="FootnoteReference0"/>
        </w:rPr>
        <w:footnoteRef/>
      </w:r>
      <w:r w:rsidRPr="00891C9F">
        <w:tab/>
      </w:r>
      <w:r w:rsidRPr="00891C9F">
        <w:rPr>
          <w:rStyle w:val="FootnoteTextChar"/>
        </w:rPr>
        <w:t>Podczas kryzysów</w:t>
      </w:r>
      <w:r w:rsidR="00043012" w:rsidRPr="00891C9F">
        <w:rPr>
          <w:rStyle w:val="FootnoteTextChar"/>
        </w:rPr>
        <w:t xml:space="preserve"> i</w:t>
      </w:r>
      <w:r w:rsidR="00043012">
        <w:rPr>
          <w:rStyle w:val="FootnoteTextChar"/>
        </w:rPr>
        <w:t> </w:t>
      </w:r>
      <w:r w:rsidR="00043012" w:rsidRPr="00891C9F">
        <w:rPr>
          <w:rStyle w:val="FootnoteTextChar"/>
        </w:rPr>
        <w:t>syt</w:t>
      </w:r>
      <w:r w:rsidRPr="00891C9F">
        <w:rPr>
          <w:rStyle w:val="FootnoteTextChar"/>
        </w:rPr>
        <w:t>uacji nadzwyczajnych (związanych głównie</w:t>
      </w:r>
      <w:r w:rsidR="00043012" w:rsidRPr="00891C9F">
        <w:rPr>
          <w:rStyle w:val="FootnoteTextChar"/>
        </w:rPr>
        <w:t xml:space="preserve"> z</w:t>
      </w:r>
      <w:r w:rsidR="00043012">
        <w:rPr>
          <w:rStyle w:val="FootnoteTextChar"/>
        </w:rPr>
        <w:t> </w:t>
      </w:r>
      <w:r w:rsidR="00043012" w:rsidRPr="00891C9F">
        <w:rPr>
          <w:rStyle w:val="FootnoteTextChar"/>
        </w:rPr>
        <w:t>kat</w:t>
      </w:r>
      <w:r w:rsidRPr="00891C9F">
        <w:rPr>
          <w:rStyle w:val="FootnoteTextChar"/>
        </w:rPr>
        <w:t>astrofami lub poważnymi wypadkami) każde dotknięte nimi państwo członkowskie lub państwo trzecie może zwrócić się</w:t>
      </w:r>
      <w:r w:rsidR="00043012" w:rsidRPr="00891C9F">
        <w:rPr>
          <w:rStyle w:val="FootnoteTextChar"/>
        </w:rPr>
        <w:t xml:space="preserve"> o</w:t>
      </w:r>
      <w:r w:rsidR="00043012">
        <w:rPr>
          <w:rStyle w:val="FootnoteTextChar"/>
        </w:rPr>
        <w:t> </w:t>
      </w:r>
      <w:r w:rsidR="00043012" w:rsidRPr="00891C9F">
        <w:rPr>
          <w:rStyle w:val="FootnoteTextChar"/>
        </w:rPr>
        <w:t>och</w:t>
      </w:r>
      <w:r w:rsidRPr="00891C9F">
        <w:rPr>
          <w:rStyle w:val="FootnoteTextChar"/>
        </w:rPr>
        <w:t>ronę ludności lub pomoc humanitarną za pośrednictwem Unijnego Mechanizmu Ochrony Ludności. Następnie Centrum Koordynacji Reagowania Kryzysowego (ERCC) koordynuje, wspiera</w:t>
      </w:r>
      <w:r w:rsidR="00043012" w:rsidRPr="00891C9F">
        <w:rPr>
          <w:rStyle w:val="FootnoteTextChar"/>
        </w:rPr>
        <w:t xml:space="preserve"> i</w:t>
      </w:r>
      <w:r w:rsidR="00043012">
        <w:rPr>
          <w:rStyle w:val="FootnoteTextChar"/>
        </w:rPr>
        <w:t> </w:t>
      </w:r>
      <w:r w:rsidR="00043012" w:rsidRPr="00891C9F">
        <w:rPr>
          <w:rStyle w:val="FootnoteTextChar"/>
        </w:rPr>
        <w:t>wsp</w:t>
      </w:r>
      <w:r w:rsidRPr="00891C9F">
        <w:rPr>
          <w:rStyle w:val="FootnoteTextChar"/>
        </w:rPr>
        <w:t>ółfinansuje odpowiedź państw członkowskich na wniosek</w:t>
      </w:r>
      <w:r w:rsidR="00043012" w:rsidRPr="00891C9F">
        <w:rPr>
          <w:rStyle w:val="FootnoteTextChar"/>
        </w:rPr>
        <w:t xml:space="preserve"> o</w:t>
      </w:r>
      <w:r w:rsidR="00043012">
        <w:rPr>
          <w:rStyle w:val="FootnoteTextChar"/>
        </w:rPr>
        <w:t> </w:t>
      </w:r>
      <w:r w:rsidR="00043012" w:rsidRPr="00891C9F">
        <w:rPr>
          <w:rStyle w:val="FootnoteTextChar"/>
        </w:rPr>
        <w:t>pom</w:t>
      </w:r>
      <w:r w:rsidRPr="00891C9F">
        <w:rPr>
          <w:rStyle w:val="FootnoteTextChar"/>
        </w:rPr>
        <w:t>oc (</w:t>
      </w:r>
      <w:hyperlink r:id="rId27" w:history="1">
        <w:r w:rsidRPr="00891C9F">
          <w:rPr>
            <w:rStyle w:val="Hyperlink"/>
          </w:rPr>
          <w:t>Centrum Koordynacji Reagowania Kryzysowego (ERCC)</w:t>
        </w:r>
      </w:hyperlink>
      <w:r w:rsidRPr="00891C9F">
        <w:t xml:space="preserve"> |</w:t>
      </w:r>
      <w:hyperlink r:id="rId28" w:history="1">
        <w:r w:rsidRPr="00891C9F">
          <w:rPr>
            <w:rStyle w:val="Hyperlink"/>
          </w:rPr>
          <w:t xml:space="preserve"> Europejska Ochrona Ludności</w:t>
        </w:r>
        <w:r w:rsidR="00043012" w:rsidRPr="00891C9F">
          <w:rPr>
            <w:rStyle w:val="Hyperlink"/>
          </w:rPr>
          <w:t xml:space="preserve"> i</w:t>
        </w:r>
        <w:r w:rsidR="00043012">
          <w:rPr>
            <w:rStyle w:val="Hyperlink"/>
          </w:rPr>
          <w:t> </w:t>
        </w:r>
        <w:r w:rsidR="00043012" w:rsidRPr="00891C9F">
          <w:rPr>
            <w:rStyle w:val="Hyperlink"/>
          </w:rPr>
          <w:t>Pom</w:t>
        </w:r>
        <w:r w:rsidRPr="00891C9F">
          <w:rPr>
            <w:rStyle w:val="Hyperlink"/>
          </w:rPr>
          <w:t>ocy Humanitarnej (europa.eu)</w:t>
        </w:r>
      </w:hyperlink>
      <w:r w:rsidRPr="00891C9F">
        <w:rPr>
          <w:rStyle w:val="FootnoteTextCha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608200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4CCF46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4A2D74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164BF0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322FC6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BB6283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2AAD41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BFA153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num>
  <w:num w:numId="12">
    <w:abstractNumId w:val="19"/>
  </w:num>
  <w:num w:numId="13">
    <w:abstractNumId w:val="12"/>
  </w:num>
  <w:num w:numId="14">
    <w:abstractNumId w:val="21"/>
  </w:num>
  <w:num w:numId="15">
    <w:abstractNumId w:val="11"/>
  </w:num>
  <w:num w:numId="16">
    <w:abstractNumId w:val="13"/>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20"/>
  </w:num>
  <w:num w:numId="25">
    <w:abstractNumId w:val="14"/>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nl-BE" w:vendorID="64" w:dllVersion="131078" w:nlCheck="1" w:checkStyle="0"/>
  <w:activeWritingStyle w:appName="MSWord" w:lang="en-US"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1-07 20:31:5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119EC30-57DA-4D87-9DDB-FB0774B0F927"/>
    <w:docVar w:name="LW_COVERPAGE_TYPE" w:val="1"/>
    <w:docVar w:name="LW_CROSSREFERENCE" w:val="{SWD(2021) 375 final}"/>
    <w:docVar w:name="LW_DocType" w:val="COM"/>
    <w:docVar w:name="LW_EMISSION" w:val="8.12.2021"/>
    <w:docVar w:name="LW_EMISSION_ISODATE" w:val="2021-12-08"/>
    <w:docVar w:name="LW_EMISSION_LOCATION" w:val="BRX"/>
    <w:docVar w:name="LW_EMISSION_PREFIX" w:val="Bruksela, dnia "/>
    <w:docVar w:name="LW_EMISSION_SUFFIX" w:val=" r."/>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NS"/>
    <w:docVar w:name="LW_REF.II.NEW.CP_NUMBER" w:val="0415"/>
    <w:docVar w:name="LW_REF.II.NEW.CP_YEAR" w:val="2021"/>
    <w:docVar w:name="LW_REF.INST.NEW" w:val="COM"/>
    <w:docVar w:name="LW_REF.INST.NEW_ADOPTED" w:val="final"/>
    <w:docVar w:name="LW_REF.INST.NEW_TEXT" w:val="(2021) 7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w sprawie operacyjnej współpracy policyjnej"/>
    <w:docVar w:name="LW_TYPE.DOC.CP" w:val="ZALECENIE RADY"/>
    <w:docVar w:name="LwApiVersions" w:val="LW4CoDe 1.23.2.0; LW 8.0, Build 20211117"/>
  </w:docVars>
  <w:rsids>
    <w:rsidRoot w:val="00EE6CC1"/>
    <w:rsid w:val="00000120"/>
    <w:rsid w:val="00000407"/>
    <w:rsid w:val="000004A9"/>
    <w:rsid w:val="000007A3"/>
    <w:rsid w:val="00000B36"/>
    <w:rsid w:val="00000FCA"/>
    <w:rsid w:val="00001D7D"/>
    <w:rsid w:val="00003309"/>
    <w:rsid w:val="00003904"/>
    <w:rsid w:val="00003DB8"/>
    <w:rsid w:val="0000423E"/>
    <w:rsid w:val="00004B80"/>
    <w:rsid w:val="000051C1"/>
    <w:rsid w:val="0000646D"/>
    <w:rsid w:val="00006CCC"/>
    <w:rsid w:val="00007039"/>
    <w:rsid w:val="000070D1"/>
    <w:rsid w:val="00007174"/>
    <w:rsid w:val="00007394"/>
    <w:rsid w:val="00007C8E"/>
    <w:rsid w:val="00010B05"/>
    <w:rsid w:val="00010CA6"/>
    <w:rsid w:val="00010F7B"/>
    <w:rsid w:val="0001187F"/>
    <w:rsid w:val="00011BC0"/>
    <w:rsid w:val="00012ABE"/>
    <w:rsid w:val="00013841"/>
    <w:rsid w:val="00013D07"/>
    <w:rsid w:val="00014530"/>
    <w:rsid w:val="0001460C"/>
    <w:rsid w:val="000148A8"/>
    <w:rsid w:val="00015029"/>
    <w:rsid w:val="000159CB"/>
    <w:rsid w:val="00015CED"/>
    <w:rsid w:val="00016E92"/>
    <w:rsid w:val="00017067"/>
    <w:rsid w:val="00017869"/>
    <w:rsid w:val="00020431"/>
    <w:rsid w:val="00020A8B"/>
    <w:rsid w:val="00020CD1"/>
    <w:rsid w:val="000213D9"/>
    <w:rsid w:val="00022841"/>
    <w:rsid w:val="00022F4F"/>
    <w:rsid w:val="0002363A"/>
    <w:rsid w:val="00024049"/>
    <w:rsid w:val="000240EF"/>
    <w:rsid w:val="00026070"/>
    <w:rsid w:val="00026167"/>
    <w:rsid w:val="0002638C"/>
    <w:rsid w:val="00026695"/>
    <w:rsid w:val="00026D39"/>
    <w:rsid w:val="000277B9"/>
    <w:rsid w:val="00027AFC"/>
    <w:rsid w:val="00030255"/>
    <w:rsid w:val="00031898"/>
    <w:rsid w:val="0003199E"/>
    <w:rsid w:val="00031D8A"/>
    <w:rsid w:val="00033966"/>
    <w:rsid w:val="00034F55"/>
    <w:rsid w:val="00035A0C"/>
    <w:rsid w:val="00035D48"/>
    <w:rsid w:val="00035F02"/>
    <w:rsid w:val="00036005"/>
    <w:rsid w:val="00036DD4"/>
    <w:rsid w:val="0004005E"/>
    <w:rsid w:val="00040958"/>
    <w:rsid w:val="00040C21"/>
    <w:rsid w:val="0004175C"/>
    <w:rsid w:val="000418CD"/>
    <w:rsid w:val="00041EBC"/>
    <w:rsid w:val="00042101"/>
    <w:rsid w:val="00042302"/>
    <w:rsid w:val="00042532"/>
    <w:rsid w:val="00043012"/>
    <w:rsid w:val="00043A6E"/>
    <w:rsid w:val="000458F6"/>
    <w:rsid w:val="00045E4D"/>
    <w:rsid w:val="00046468"/>
    <w:rsid w:val="00046CF5"/>
    <w:rsid w:val="00046D01"/>
    <w:rsid w:val="00047D59"/>
    <w:rsid w:val="00047E4A"/>
    <w:rsid w:val="0005028D"/>
    <w:rsid w:val="00050F8B"/>
    <w:rsid w:val="000516F1"/>
    <w:rsid w:val="0005240A"/>
    <w:rsid w:val="00053528"/>
    <w:rsid w:val="00053C0E"/>
    <w:rsid w:val="00054268"/>
    <w:rsid w:val="00054561"/>
    <w:rsid w:val="00054E7E"/>
    <w:rsid w:val="00055864"/>
    <w:rsid w:val="00055A5A"/>
    <w:rsid w:val="000564FA"/>
    <w:rsid w:val="000565F2"/>
    <w:rsid w:val="00056711"/>
    <w:rsid w:val="00056CEF"/>
    <w:rsid w:val="00056D68"/>
    <w:rsid w:val="0005781E"/>
    <w:rsid w:val="00060C34"/>
    <w:rsid w:val="00060F2C"/>
    <w:rsid w:val="000618D3"/>
    <w:rsid w:val="00061F79"/>
    <w:rsid w:val="00062D33"/>
    <w:rsid w:val="00063265"/>
    <w:rsid w:val="000633BA"/>
    <w:rsid w:val="0006352B"/>
    <w:rsid w:val="00064564"/>
    <w:rsid w:val="00064F05"/>
    <w:rsid w:val="00065123"/>
    <w:rsid w:val="0006607E"/>
    <w:rsid w:val="00066488"/>
    <w:rsid w:val="000664F5"/>
    <w:rsid w:val="0006675B"/>
    <w:rsid w:val="00066DFF"/>
    <w:rsid w:val="000671D1"/>
    <w:rsid w:val="000671D6"/>
    <w:rsid w:val="00067761"/>
    <w:rsid w:val="00067DB5"/>
    <w:rsid w:val="00070AFE"/>
    <w:rsid w:val="00072553"/>
    <w:rsid w:val="000727FA"/>
    <w:rsid w:val="00074ACC"/>
    <w:rsid w:val="00074AEB"/>
    <w:rsid w:val="00074B81"/>
    <w:rsid w:val="00075031"/>
    <w:rsid w:val="000757E2"/>
    <w:rsid w:val="00075843"/>
    <w:rsid w:val="000759BC"/>
    <w:rsid w:val="00075EA2"/>
    <w:rsid w:val="0007703E"/>
    <w:rsid w:val="00077059"/>
    <w:rsid w:val="000770A7"/>
    <w:rsid w:val="000773D4"/>
    <w:rsid w:val="000774D3"/>
    <w:rsid w:val="00077523"/>
    <w:rsid w:val="000777E5"/>
    <w:rsid w:val="000777E7"/>
    <w:rsid w:val="00077D71"/>
    <w:rsid w:val="00077FAE"/>
    <w:rsid w:val="00080055"/>
    <w:rsid w:val="0008079D"/>
    <w:rsid w:val="000811EA"/>
    <w:rsid w:val="00081449"/>
    <w:rsid w:val="00081DFD"/>
    <w:rsid w:val="000820B8"/>
    <w:rsid w:val="00082B33"/>
    <w:rsid w:val="00082EE0"/>
    <w:rsid w:val="00083050"/>
    <w:rsid w:val="00083360"/>
    <w:rsid w:val="0008344C"/>
    <w:rsid w:val="00083D1C"/>
    <w:rsid w:val="00083D57"/>
    <w:rsid w:val="00084F4E"/>
    <w:rsid w:val="00086579"/>
    <w:rsid w:val="00086E65"/>
    <w:rsid w:val="00086FAC"/>
    <w:rsid w:val="000871E8"/>
    <w:rsid w:val="00087CE5"/>
    <w:rsid w:val="000903FC"/>
    <w:rsid w:val="00090D76"/>
    <w:rsid w:val="0009129E"/>
    <w:rsid w:val="00091F1B"/>
    <w:rsid w:val="0009249A"/>
    <w:rsid w:val="0009285F"/>
    <w:rsid w:val="000931B1"/>
    <w:rsid w:val="00093D1F"/>
    <w:rsid w:val="00094240"/>
    <w:rsid w:val="000943EB"/>
    <w:rsid w:val="0009442B"/>
    <w:rsid w:val="00095088"/>
    <w:rsid w:val="00095EA9"/>
    <w:rsid w:val="00096674"/>
    <w:rsid w:val="00096D78"/>
    <w:rsid w:val="00096D91"/>
    <w:rsid w:val="00096E1C"/>
    <w:rsid w:val="000971A8"/>
    <w:rsid w:val="00097203"/>
    <w:rsid w:val="00097D11"/>
    <w:rsid w:val="000A0895"/>
    <w:rsid w:val="000A0E45"/>
    <w:rsid w:val="000A19F3"/>
    <w:rsid w:val="000A1C04"/>
    <w:rsid w:val="000A26D5"/>
    <w:rsid w:val="000A28F5"/>
    <w:rsid w:val="000A3116"/>
    <w:rsid w:val="000A36DD"/>
    <w:rsid w:val="000A4542"/>
    <w:rsid w:val="000A4556"/>
    <w:rsid w:val="000A48B2"/>
    <w:rsid w:val="000A51A4"/>
    <w:rsid w:val="000A6B66"/>
    <w:rsid w:val="000A6C59"/>
    <w:rsid w:val="000A7517"/>
    <w:rsid w:val="000A7816"/>
    <w:rsid w:val="000B0CAA"/>
    <w:rsid w:val="000B1177"/>
    <w:rsid w:val="000B12D9"/>
    <w:rsid w:val="000B159B"/>
    <w:rsid w:val="000B2A0B"/>
    <w:rsid w:val="000B2CB8"/>
    <w:rsid w:val="000B2F2D"/>
    <w:rsid w:val="000B3A0F"/>
    <w:rsid w:val="000B3E20"/>
    <w:rsid w:val="000B3E69"/>
    <w:rsid w:val="000B44EC"/>
    <w:rsid w:val="000B4697"/>
    <w:rsid w:val="000B5077"/>
    <w:rsid w:val="000B51D4"/>
    <w:rsid w:val="000B54DC"/>
    <w:rsid w:val="000B54EB"/>
    <w:rsid w:val="000B7250"/>
    <w:rsid w:val="000B76ED"/>
    <w:rsid w:val="000B7A57"/>
    <w:rsid w:val="000C01AA"/>
    <w:rsid w:val="000C15FD"/>
    <w:rsid w:val="000C259E"/>
    <w:rsid w:val="000C2643"/>
    <w:rsid w:val="000C2EC0"/>
    <w:rsid w:val="000C342B"/>
    <w:rsid w:val="000C3D1B"/>
    <w:rsid w:val="000C4410"/>
    <w:rsid w:val="000C447C"/>
    <w:rsid w:val="000C47DD"/>
    <w:rsid w:val="000C4BF1"/>
    <w:rsid w:val="000C5191"/>
    <w:rsid w:val="000C5293"/>
    <w:rsid w:val="000C54A2"/>
    <w:rsid w:val="000C5EC6"/>
    <w:rsid w:val="000C6CD8"/>
    <w:rsid w:val="000C6FBB"/>
    <w:rsid w:val="000C7396"/>
    <w:rsid w:val="000C7754"/>
    <w:rsid w:val="000C7D31"/>
    <w:rsid w:val="000C7DF5"/>
    <w:rsid w:val="000D030F"/>
    <w:rsid w:val="000D0DB1"/>
    <w:rsid w:val="000D1233"/>
    <w:rsid w:val="000D1CD9"/>
    <w:rsid w:val="000D1CFA"/>
    <w:rsid w:val="000D3908"/>
    <w:rsid w:val="000D3B46"/>
    <w:rsid w:val="000D3C2F"/>
    <w:rsid w:val="000D461D"/>
    <w:rsid w:val="000D57B5"/>
    <w:rsid w:val="000D5DE8"/>
    <w:rsid w:val="000D6252"/>
    <w:rsid w:val="000D6B59"/>
    <w:rsid w:val="000D745B"/>
    <w:rsid w:val="000D7D93"/>
    <w:rsid w:val="000E02E1"/>
    <w:rsid w:val="000E144F"/>
    <w:rsid w:val="000E1971"/>
    <w:rsid w:val="000E198E"/>
    <w:rsid w:val="000E1E20"/>
    <w:rsid w:val="000E2A88"/>
    <w:rsid w:val="000E2EB4"/>
    <w:rsid w:val="000E2F26"/>
    <w:rsid w:val="000E3DA9"/>
    <w:rsid w:val="000E435E"/>
    <w:rsid w:val="000E43EB"/>
    <w:rsid w:val="000E7243"/>
    <w:rsid w:val="000E7279"/>
    <w:rsid w:val="000F0FC3"/>
    <w:rsid w:val="000F1026"/>
    <w:rsid w:val="000F1B52"/>
    <w:rsid w:val="000F3447"/>
    <w:rsid w:val="000F3C2A"/>
    <w:rsid w:val="000F403F"/>
    <w:rsid w:val="000F4301"/>
    <w:rsid w:val="000F48B3"/>
    <w:rsid w:val="000F4E83"/>
    <w:rsid w:val="000F6501"/>
    <w:rsid w:val="000F75DB"/>
    <w:rsid w:val="000F7948"/>
    <w:rsid w:val="000F79E4"/>
    <w:rsid w:val="000F7CEF"/>
    <w:rsid w:val="00100634"/>
    <w:rsid w:val="00100EE9"/>
    <w:rsid w:val="001010E8"/>
    <w:rsid w:val="00101903"/>
    <w:rsid w:val="001020B8"/>
    <w:rsid w:val="00102848"/>
    <w:rsid w:val="00102B7C"/>
    <w:rsid w:val="001041B3"/>
    <w:rsid w:val="00104343"/>
    <w:rsid w:val="0010566A"/>
    <w:rsid w:val="0010598F"/>
    <w:rsid w:val="00105AA6"/>
    <w:rsid w:val="00106CE4"/>
    <w:rsid w:val="00107017"/>
    <w:rsid w:val="001074DF"/>
    <w:rsid w:val="001075B5"/>
    <w:rsid w:val="001077B0"/>
    <w:rsid w:val="00107CFE"/>
    <w:rsid w:val="0011017B"/>
    <w:rsid w:val="001122D9"/>
    <w:rsid w:val="001123A3"/>
    <w:rsid w:val="0011298D"/>
    <w:rsid w:val="001136E7"/>
    <w:rsid w:val="001145A4"/>
    <w:rsid w:val="00114AA9"/>
    <w:rsid w:val="0011506E"/>
    <w:rsid w:val="0011575E"/>
    <w:rsid w:val="0011655F"/>
    <w:rsid w:val="0011793F"/>
    <w:rsid w:val="001179BC"/>
    <w:rsid w:val="00120A4E"/>
    <w:rsid w:val="00120C23"/>
    <w:rsid w:val="00122384"/>
    <w:rsid w:val="001230B8"/>
    <w:rsid w:val="0012438C"/>
    <w:rsid w:val="001246BD"/>
    <w:rsid w:val="00124A8F"/>
    <w:rsid w:val="001253E5"/>
    <w:rsid w:val="00125881"/>
    <w:rsid w:val="00125AB1"/>
    <w:rsid w:val="00125FC6"/>
    <w:rsid w:val="00126172"/>
    <w:rsid w:val="00126691"/>
    <w:rsid w:val="00127B39"/>
    <w:rsid w:val="00130254"/>
    <w:rsid w:val="001303BB"/>
    <w:rsid w:val="0013099A"/>
    <w:rsid w:val="00130E3D"/>
    <w:rsid w:val="00131602"/>
    <w:rsid w:val="00131826"/>
    <w:rsid w:val="001318D2"/>
    <w:rsid w:val="00131FCD"/>
    <w:rsid w:val="00132317"/>
    <w:rsid w:val="00132AB6"/>
    <w:rsid w:val="00132B53"/>
    <w:rsid w:val="001332B1"/>
    <w:rsid w:val="0013397A"/>
    <w:rsid w:val="00134657"/>
    <w:rsid w:val="0013513A"/>
    <w:rsid w:val="001351CB"/>
    <w:rsid w:val="0013548F"/>
    <w:rsid w:val="00135B1F"/>
    <w:rsid w:val="00136279"/>
    <w:rsid w:val="00136E31"/>
    <w:rsid w:val="001371E7"/>
    <w:rsid w:val="001373DE"/>
    <w:rsid w:val="001374A2"/>
    <w:rsid w:val="00140683"/>
    <w:rsid w:val="00141CD7"/>
    <w:rsid w:val="00142DE5"/>
    <w:rsid w:val="0014314A"/>
    <w:rsid w:val="00143375"/>
    <w:rsid w:val="001438D6"/>
    <w:rsid w:val="00143A0F"/>
    <w:rsid w:val="001444E3"/>
    <w:rsid w:val="00145442"/>
    <w:rsid w:val="00145BC5"/>
    <w:rsid w:val="001464B4"/>
    <w:rsid w:val="00146885"/>
    <w:rsid w:val="00146CC4"/>
    <w:rsid w:val="001474BE"/>
    <w:rsid w:val="00147E75"/>
    <w:rsid w:val="001508DF"/>
    <w:rsid w:val="0015095A"/>
    <w:rsid w:val="00152161"/>
    <w:rsid w:val="00152A3B"/>
    <w:rsid w:val="00152CB6"/>
    <w:rsid w:val="0015338B"/>
    <w:rsid w:val="001536B3"/>
    <w:rsid w:val="00154178"/>
    <w:rsid w:val="00155756"/>
    <w:rsid w:val="001569D7"/>
    <w:rsid w:val="00156CC6"/>
    <w:rsid w:val="00157B54"/>
    <w:rsid w:val="00157E4E"/>
    <w:rsid w:val="00160639"/>
    <w:rsid w:val="00161176"/>
    <w:rsid w:val="001611DE"/>
    <w:rsid w:val="00161431"/>
    <w:rsid w:val="001615DF"/>
    <w:rsid w:val="00161920"/>
    <w:rsid w:val="00162311"/>
    <w:rsid w:val="00162DD7"/>
    <w:rsid w:val="00162EBC"/>
    <w:rsid w:val="001630E0"/>
    <w:rsid w:val="00164259"/>
    <w:rsid w:val="001642B0"/>
    <w:rsid w:val="0016488F"/>
    <w:rsid w:val="00164B85"/>
    <w:rsid w:val="00164D1C"/>
    <w:rsid w:val="00164EF6"/>
    <w:rsid w:val="001656B8"/>
    <w:rsid w:val="00165980"/>
    <w:rsid w:val="00166366"/>
    <w:rsid w:val="0016660B"/>
    <w:rsid w:val="00167161"/>
    <w:rsid w:val="001671CE"/>
    <w:rsid w:val="00167211"/>
    <w:rsid w:val="001674CA"/>
    <w:rsid w:val="001675A7"/>
    <w:rsid w:val="0016793E"/>
    <w:rsid w:val="001679BE"/>
    <w:rsid w:val="00167C58"/>
    <w:rsid w:val="00167DE6"/>
    <w:rsid w:val="00167FB4"/>
    <w:rsid w:val="00170217"/>
    <w:rsid w:val="00170C76"/>
    <w:rsid w:val="001712FC"/>
    <w:rsid w:val="001717EC"/>
    <w:rsid w:val="001719E2"/>
    <w:rsid w:val="00171B41"/>
    <w:rsid w:val="00171C0F"/>
    <w:rsid w:val="0017270A"/>
    <w:rsid w:val="00172A76"/>
    <w:rsid w:val="00173D2B"/>
    <w:rsid w:val="00173E86"/>
    <w:rsid w:val="00174934"/>
    <w:rsid w:val="001767D5"/>
    <w:rsid w:val="00176D74"/>
    <w:rsid w:val="001773FD"/>
    <w:rsid w:val="00177516"/>
    <w:rsid w:val="00177999"/>
    <w:rsid w:val="00177D83"/>
    <w:rsid w:val="0018209F"/>
    <w:rsid w:val="00182B8F"/>
    <w:rsid w:val="00182D0F"/>
    <w:rsid w:val="00183114"/>
    <w:rsid w:val="00183AED"/>
    <w:rsid w:val="001843BF"/>
    <w:rsid w:val="00184D89"/>
    <w:rsid w:val="00184DB4"/>
    <w:rsid w:val="00185042"/>
    <w:rsid w:val="00185662"/>
    <w:rsid w:val="00185C1A"/>
    <w:rsid w:val="00185CE1"/>
    <w:rsid w:val="0018680A"/>
    <w:rsid w:val="0018768C"/>
    <w:rsid w:val="0019015C"/>
    <w:rsid w:val="00190392"/>
    <w:rsid w:val="001911E1"/>
    <w:rsid w:val="001916DD"/>
    <w:rsid w:val="00192F05"/>
    <w:rsid w:val="001930B3"/>
    <w:rsid w:val="0019368B"/>
    <w:rsid w:val="00193B0C"/>
    <w:rsid w:val="00193E0C"/>
    <w:rsid w:val="00193F8A"/>
    <w:rsid w:val="00193FFA"/>
    <w:rsid w:val="00194024"/>
    <w:rsid w:val="00194184"/>
    <w:rsid w:val="0019443D"/>
    <w:rsid w:val="00194726"/>
    <w:rsid w:val="001947AD"/>
    <w:rsid w:val="001949CC"/>
    <w:rsid w:val="0019547D"/>
    <w:rsid w:val="00195E96"/>
    <w:rsid w:val="001968AF"/>
    <w:rsid w:val="001A07CB"/>
    <w:rsid w:val="001A09E4"/>
    <w:rsid w:val="001A12BE"/>
    <w:rsid w:val="001A15CB"/>
    <w:rsid w:val="001A1921"/>
    <w:rsid w:val="001A2147"/>
    <w:rsid w:val="001A23DE"/>
    <w:rsid w:val="001A2D1F"/>
    <w:rsid w:val="001A48FB"/>
    <w:rsid w:val="001A541C"/>
    <w:rsid w:val="001A544F"/>
    <w:rsid w:val="001A555E"/>
    <w:rsid w:val="001A55D8"/>
    <w:rsid w:val="001A5E1A"/>
    <w:rsid w:val="001A6098"/>
    <w:rsid w:val="001A6272"/>
    <w:rsid w:val="001A6CC7"/>
    <w:rsid w:val="001A729B"/>
    <w:rsid w:val="001A72AE"/>
    <w:rsid w:val="001A7621"/>
    <w:rsid w:val="001A7951"/>
    <w:rsid w:val="001A7D44"/>
    <w:rsid w:val="001A7FE9"/>
    <w:rsid w:val="001B0A59"/>
    <w:rsid w:val="001B14BC"/>
    <w:rsid w:val="001B1595"/>
    <w:rsid w:val="001B1598"/>
    <w:rsid w:val="001B185D"/>
    <w:rsid w:val="001B20AF"/>
    <w:rsid w:val="001B21A4"/>
    <w:rsid w:val="001B2828"/>
    <w:rsid w:val="001B2DEC"/>
    <w:rsid w:val="001B31F6"/>
    <w:rsid w:val="001B3788"/>
    <w:rsid w:val="001B3AE3"/>
    <w:rsid w:val="001B3C6B"/>
    <w:rsid w:val="001B3DFB"/>
    <w:rsid w:val="001B4128"/>
    <w:rsid w:val="001B4214"/>
    <w:rsid w:val="001B59BE"/>
    <w:rsid w:val="001B5B3A"/>
    <w:rsid w:val="001B5CE6"/>
    <w:rsid w:val="001B5D6C"/>
    <w:rsid w:val="001B7746"/>
    <w:rsid w:val="001B77AC"/>
    <w:rsid w:val="001C09A1"/>
    <w:rsid w:val="001C14E5"/>
    <w:rsid w:val="001C196F"/>
    <w:rsid w:val="001C1E21"/>
    <w:rsid w:val="001C2133"/>
    <w:rsid w:val="001C2816"/>
    <w:rsid w:val="001C2C74"/>
    <w:rsid w:val="001C39A0"/>
    <w:rsid w:val="001C3FE5"/>
    <w:rsid w:val="001C459E"/>
    <w:rsid w:val="001C4C35"/>
    <w:rsid w:val="001C4F7A"/>
    <w:rsid w:val="001C54E1"/>
    <w:rsid w:val="001C569C"/>
    <w:rsid w:val="001C58EF"/>
    <w:rsid w:val="001C5E96"/>
    <w:rsid w:val="001C685E"/>
    <w:rsid w:val="001C6BC1"/>
    <w:rsid w:val="001C752C"/>
    <w:rsid w:val="001D0A71"/>
    <w:rsid w:val="001D1D2D"/>
    <w:rsid w:val="001D1E45"/>
    <w:rsid w:val="001D213C"/>
    <w:rsid w:val="001D2277"/>
    <w:rsid w:val="001D2815"/>
    <w:rsid w:val="001D291B"/>
    <w:rsid w:val="001D2DD6"/>
    <w:rsid w:val="001D310B"/>
    <w:rsid w:val="001D3481"/>
    <w:rsid w:val="001D38FD"/>
    <w:rsid w:val="001D3918"/>
    <w:rsid w:val="001D4A8F"/>
    <w:rsid w:val="001D5B8A"/>
    <w:rsid w:val="001D664E"/>
    <w:rsid w:val="001D7529"/>
    <w:rsid w:val="001D761B"/>
    <w:rsid w:val="001D7DAF"/>
    <w:rsid w:val="001E0917"/>
    <w:rsid w:val="001E0B3F"/>
    <w:rsid w:val="001E0F29"/>
    <w:rsid w:val="001E174B"/>
    <w:rsid w:val="001E1EB6"/>
    <w:rsid w:val="001E1EF0"/>
    <w:rsid w:val="001E2F69"/>
    <w:rsid w:val="001E3611"/>
    <w:rsid w:val="001E4CE8"/>
    <w:rsid w:val="001E5083"/>
    <w:rsid w:val="001E5F8D"/>
    <w:rsid w:val="001E6094"/>
    <w:rsid w:val="001E676B"/>
    <w:rsid w:val="001E6B34"/>
    <w:rsid w:val="001F0CF8"/>
    <w:rsid w:val="001F2D4D"/>
    <w:rsid w:val="001F2D97"/>
    <w:rsid w:val="001F3507"/>
    <w:rsid w:val="001F360F"/>
    <w:rsid w:val="001F40F0"/>
    <w:rsid w:val="001F44F6"/>
    <w:rsid w:val="001F4EE4"/>
    <w:rsid w:val="001F565E"/>
    <w:rsid w:val="001F62F3"/>
    <w:rsid w:val="001F6676"/>
    <w:rsid w:val="001F67E1"/>
    <w:rsid w:val="001F6805"/>
    <w:rsid w:val="001F7200"/>
    <w:rsid w:val="001F734F"/>
    <w:rsid w:val="001F7884"/>
    <w:rsid w:val="001F7A85"/>
    <w:rsid w:val="001F7F45"/>
    <w:rsid w:val="0020047B"/>
    <w:rsid w:val="00200CBE"/>
    <w:rsid w:val="00201A16"/>
    <w:rsid w:val="002027E2"/>
    <w:rsid w:val="00203248"/>
    <w:rsid w:val="00203B37"/>
    <w:rsid w:val="00203C16"/>
    <w:rsid w:val="0020412D"/>
    <w:rsid w:val="00204505"/>
    <w:rsid w:val="002046CF"/>
    <w:rsid w:val="00204E7E"/>
    <w:rsid w:val="00204FBB"/>
    <w:rsid w:val="0020524A"/>
    <w:rsid w:val="00205323"/>
    <w:rsid w:val="00206627"/>
    <w:rsid w:val="0020704B"/>
    <w:rsid w:val="00207813"/>
    <w:rsid w:val="00210B3F"/>
    <w:rsid w:val="00210EB4"/>
    <w:rsid w:val="00210EE8"/>
    <w:rsid w:val="00210F4D"/>
    <w:rsid w:val="00211B83"/>
    <w:rsid w:val="00212071"/>
    <w:rsid w:val="00212B67"/>
    <w:rsid w:val="00212E4A"/>
    <w:rsid w:val="00213407"/>
    <w:rsid w:val="00213462"/>
    <w:rsid w:val="00213893"/>
    <w:rsid w:val="00213C01"/>
    <w:rsid w:val="00213C15"/>
    <w:rsid w:val="002143B3"/>
    <w:rsid w:val="002147F7"/>
    <w:rsid w:val="00214A1B"/>
    <w:rsid w:val="00214B12"/>
    <w:rsid w:val="00214B3D"/>
    <w:rsid w:val="00214B47"/>
    <w:rsid w:val="00214BE3"/>
    <w:rsid w:val="00214C8A"/>
    <w:rsid w:val="00214D7C"/>
    <w:rsid w:val="002163C2"/>
    <w:rsid w:val="00216958"/>
    <w:rsid w:val="00216BA0"/>
    <w:rsid w:val="00216C98"/>
    <w:rsid w:val="00216CE6"/>
    <w:rsid w:val="00216D33"/>
    <w:rsid w:val="0021790F"/>
    <w:rsid w:val="00220737"/>
    <w:rsid w:val="00220D59"/>
    <w:rsid w:val="00220DD2"/>
    <w:rsid w:val="00221B00"/>
    <w:rsid w:val="002221E4"/>
    <w:rsid w:val="002229C6"/>
    <w:rsid w:val="00222EE1"/>
    <w:rsid w:val="002230C2"/>
    <w:rsid w:val="00223B8D"/>
    <w:rsid w:val="00224C9F"/>
    <w:rsid w:val="0022533D"/>
    <w:rsid w:val="00226B1F"/>
    <w:rsid w:val="00230312"/>
    <w:rsid w:val="002307FF"/>
    <w:rsid w:val="002319F5"/>
    <w:rsid w:val="00232064"/>
    <w:rsid w:val="002320C7"/>
    <w:rsid w:val="00232395"/>
    <w:rsid w:val="00232823"/>
    <w:rsid w:val="00232E98"/>
    <w:rsid w:val="00233366"/>
    <w:rsid w:val="00233AF3"/>
    <w:rsid w:val="00234170"/>
    <w:rsid w:val="0023438F"/>
    <w:rsid w:val="0023526A"/>
    <w:rsid w:val="00235A0E"/>
    <w:rsid w:val="002403E6"/>
    <w:rsid w:val="002407C2"/>
    <w:rsid w:val="00241AA0"/>
    <w:rsid w:val="00241DD6"/>
    <w:rsid w:val="00242338"/>
    <w:rsid w:val="00242830"/>
    <w:rsid w:val="00242D91"/>
    <w:rsid w:val="00243E1B"/>
    <w:rsid w:val="00244536"/>
    <w:rsid w:val="00244BA5"/>
    <w:rsid w:val="00244D32"/>
    <w:rsid w:val="00245253"/>
    <w:rsid w:val="002459E2"/>
    <w:rsid w:val="00247E38"/>
    <w:rsid w:val="002515DE"/>
    <w:rsid w:val="0025185C"/>
    <w:rsid w:val="00252954"/>
    <w:rsid w:val="00253227"/>
    <w:rsid w:val="00253B62"/>
    <w:rsid w:val="00253FB5"/>
    <w:rsid w:val="0025424A"/>
    <w:rsid w:val="00254A9C"/>
    <w:rsid w:val="00254FE0"/>
    <w:rsid w:val="0025534A"/>
    <w:rsid w:val="0025579A"/>
    <w:rsid w:val="00255D66"/>
    <w:rsid w:val="00257389"/>
    <w:rsid w:val="00257553"/>
    <w:rsid w:val="0026114C"/>
    <w:rsid w:val="00261335"/>
    <w:rsid w:val="00261D10"/>
    <w:rsid w:val="00261F3F"/>
    <w:rsid w:val="0026247D"/>
    <w:rsid w:val="002628B8"/>
    <w:rsid w:val="002628DE"/>
    <w:rsid w:val="00262992"/>
    <w:rsid w:val="00262A47"/>
    <w:rsid w:val="00262AAD"/>
    <w:rsid w:val="00262AF3"/>
    <w:rsid w:val="00262BA9"/>
    <w:rsid w:val="00262C7D"/>
    <w:rsid w:val="00263693"/>
    <w:rsid w:val="0026395E"/>
    <w:rsid w:val="00263EA1"/>
    <w:rsid w:val="00264943"/>
    <w:rsid w:val="00264B00"/>
    <w:rsid w:val="0026509D"/>
    <w:rsid w:val="00265335"/>
    <w:rsid w:val="002660CD"/>
    <w:rsid w:val="00266493"/>
    <w:rsid w:val="00266AA7"/>
    <w:rsid w:val="002711BA"/>
    <w:rsid w:val="002714A0"/>
    <w:rsid w:val="00271919"/>
    <w:rsid w:val="00272011"/>
    <w:rsid w:val="0027205B"/>
    <w:rsid w:val="00272159"/>
    <w:rsid w:val="00272701"/>
    <w:rsid w:val="00273D84"/>
    <w:rsid w:val="00274D96"/>
    <w:rsid w:val="00274DC7"/>
    <w:rsid w:val="00275571"/>
    <w:rsid w:val="00275C5B"/>
    <w:rsid w:val="00275D08"/>
    <w:rsid w:val="00276119"/>
    <w:rsid w:val="002764A2"/>
    <w:rsid w:val="00276551"/>
    <w:rsid w:val="002768C6"/>
    <w:rsid w:val="00276FDB"/>
    <w:rsid w:val="002771FA"/>
    <w:rsid w:val="002773BE"/>
    <w:rsid w:val="00277718"/>
    <w:rsid w:val="0028022C"/>
    <w:rsid w:val="00280DF5"/>
    <w:rsid w:val="00281033"/>
    <w:rsid w:val="0028175A"/>
    <w:rsid w:val="00281973"/>
    <w:rsid w:val="002821B5"/>
    <w:rsid w:val="002829C9"/>
    <w:rsid w:val="002831B5"/>
    <w:rsid w:val="00283204"/>
    <w:rsid w:val="00283346"/>
    <w:rsid w:val="00283535"/>
    <w:rsid w:val="00283A8E"/>
    <w:rsid w:val="00283CE5"/>
    <w:rsid w:val="00283DEF"/>
    <w:rsid w:val="00283F73"/>
    <w:rsid w:val="00286E0F"/>
    <w:rsid w:val="002871CD"/>
    <w:rsid w:val="0028768B"/>
    <w:rsid w:val="00287739"/>
    <w:rsid w:val="00287F28"/>
    <w:rsid w:val="00290DC3"/>
    <w:rsid w:val="00290FF1"/>
    <w:rsid w:val="002913D8"/>
    <w:rsid w:val="002917F1"/>
    <w:rsid w:val="00292367"/>
    <w:rsid w:val="0029299F"/>
    <w:rsid w:val="00293022"/>
    <w:rsid w:val="0029380B"/>
    <w:rsid w:val="0029381A"/>
    <w:rsid w:val="00293B86"/>
    <w:rsid w:val="00294957"/>
    <w:rsid w:val="00294C50"/>
    <w:rsid w:val="00294C81"/>
    <w:rsid w:val="0029582F"/>
    <w:rsid w:val="00295DFD"/>
    <w:rsid w:val="002979BD"/>
    <w:rsid w:val="002A014F"/>
    <w:rsid w:val="002A1309"/>
    <w:rsid w:val="002A1BC6"/>
    <w:rsid w:val="002A2E8C"/>
    <w:rsid w:val="002A3933"/>
    <w:rsid w:val="002A3AD7"/>
    <w:rsid w:val="002A3BD8"/>
    <w:rsid w:val="002A455F"/>
    <w:rsid w:val="002A46A3"/>
    <w:rsid w:val="002A566E"/>
    <w:rsid w:val="002A56ED"/>
    <w:rsid w:val="002A65A5"/>
    <w:rsid w:val="002A6B13"/>
    <w:rsid w:val="002A6BAF"/>
    <w:rsid w:val="002A6FA6"/>
    <w:rsid w:val="002A6FF7"/>
    <w:rsid w:val="002B01B8"/>
    <w:rsid w:val="002B129B"/>
    <w:rsid w:val="002B15DC"/>
    <w:rsid w:val="002B1AFE"/>
    <w:rsid w:val="002B2032"/>
    <w:rsid w:val="002B2666"/>
    <w:rsid w:val="002B49CD"/>
    <w:rsid w:val="002B4CFC"/>
    <w:rsid w:val="002B5353"/>
    <w:rsid w:val="002B6278"/>
    <w:rsid w:val="002B6293"/>
    <w:rsid w:val="002B7FD9"/>
    <w:rsid w:val="002C08F9"/>
    <w:rsid w:val="002C0C5C"/>
    <w:rsid w:val="002C1017"/>
    <w:rsid w:val="002C1398"/>
    <w:rsid w:val="002C1975"/>
    <w:rsid w:val="002C26DF"/>
    <w:rsid w:val="002C2C60"/>
    <w:rsid w:val="002C3A9A"/>
    <w:rsid w:val="002C3BC9"/>
    <w:rsid w:val="002C43AB"/>
    <w:rsid w:val="002C5DA7"/>
    <w:rsid w:val="002C730C"/>
    <w:rsid w:val="002D05EB"/>
    <w:rsid w:val="002D0BD5"/>
    <w:rsid w:val="002D0D75"/>
    <w:rsid w:val="002D0DD0"/>
    <w:rsid w:val="002D25FF"/>
    <w:rsid w:val="002D3055"/>
    <w:rsid w:val="002D3B7B"/>
    <w:rsid w:val="002D41E2"/>
    <w:rsid w:val="002D43BC"/>
    <w:rsid w:val="002D43BE"/>
    <w:rsid w:val="002D47A5"/>
    <w:rsid w:val="002D513A"/>
    <w:rsid w:val="002D57B9"/>
    <w:rsid w:val="002D603A"/>
    <w:rsid w:val="002D6296"/>
    <w:rsid w:val="002D67F5"/>
    <w:rsid w:val="002D72CD"/>
    <w:rsid w:val="002D7A91"/>
    <w:rsid w:val="002D7ACE"/>
    <w:rsid w:val="002E0A37"/>
    <w:rsid w:val="002E0A82"/>
    <w:rsid w:val="002E0EDE"/>
    <w:rsid w:val="002E2069"/>
    <w:rsid w:val="002E20B6"/>
    <w:rsid w:val="002E216A"/>
    <w:rsid w:val="002E2893"/>
    <w:rsid w:val="002E35AD"/>
    <w:rsid w:val="002E3912"/>
    <w:rsid w:val="002E4651"/>
    <w:rsid w:val="002E4E16"/>
    <w:rsid w:val="002E5222"/>
    <w:rsid w:val="002E60FD"/>
    <w:rsid w:val="002E66BB"/>
    <w:rsid w:val="002E6AB3"/>
    <w:rsid w:val="002E6D43"/>
    <w:rsid w:val="002E79E7"/>
    <w:rsid w:val="002E7F1B"/>
    <w:rsid w:val="002F09A1"/>
    <w:rsid w:val="002F1653"/>
    <w:rsid w:val="002F1A14"/>
    <w:rsid w:val="002F1BD0"/>
    <w:rsid w:val="002F24D6"/>
    <w:rsid w:val="002F27F3"/>
    <w:rsid w:val="002F34FE"/>
    <w:rsid w:val="002F374C"/>
    <w:rsid w:val="002F4BF5"/>
    <w:rsid w:val="002F6115"/>
    <w:rsid w:val="002F6DE0"/>
    <w:rsid w:val="002F75E8"/>
    <w:rsid w:val="002F7C5B"/>
    <w:rsid w:val="0030033C"/>
    <w:rsid w:val="0030184A"/>
    <w:rsid w:val="00301C69"/>
    <w:rsid w:val="00302C62"/>
    <w:rsid w:val="00302D8A"/>
    <w:rsid w:val="003033AB"/>
    <w:rsid w:val="003039A6"/>
    <w:rsid w:val="00303FE4"/>
    <w:rsid w:val="00305061"/>
    <w:rsid w:val="00305C34"/>
    <w:rsid w:val="00306288"/>
    <w:rsid w:val="003103F2"/>
    <w:rsid w:val="003106B6"/>
    <w:rsid w:val="00311335"/>
    <w:rsid w:val="003147EA"/>
    <w:rsid w:val="00315ED2"/>
    <w:rsid w:val="003162B3"/>
    <w:rsid w:val="00316393"/>
    <w:rsid w:val="00317C98"/>
    <w:rsid w:val="00317EA9"/>
    <w:rsid w:val="00320906"/>
    <w:rsid w:val="003210B0"/>
    <w:rsid w:val="00321126"/>
    <w:rsid w:val="00321936"/>
    <w:rsid w:val="00321A7A"/>
    <w:rsid w:val="003230A3"/>
    <w:rsid w:val="0032347C"/>
    <w:rsid w:val="003240A3"/>
    <w:rsid w:val="003256C4"/>
    <w:rsid w:val="0032617C"/>
    <w:rsid w:val="00327070"/>
    <w:rsid w:val="0033003E"/>
    <w:rsid w:val="003303DE"/>
    <w:rsid w:val="003308BC"/>
    <w:rsid w:val="00331B34"/>
    <w:rsid w:val="003327CF"/>
    <w:rsid w:val="00332F9E"/>
    <w:rsid w:val="00332FC1"/>
    <w:rsid w:val="0033348D"/>
    <w:rsid w:val="003335D7"/>
    <w:rsid w:val="0033395A"/>
    <w:rsid w:val="00333D4A"/>
    <w:rsid w:val="00333D8C"/>
    <w:rsid w:val="00333ED4"/>
    <w:rsid w:val="003342DB"/>
    <w:rsid w:val="0033458E"/>
    <w:rsid w:val="00334769"/>
    <w:rsid w:val="00335217"/>
    <w:rsid w:val="00335415"/>
    <w:rsid w:val="00335B24"/>
    <w:rsid w:val="00335D02"/>
    <w:rsid w:val="00335D99"/>
    <w:rsid w:val="00336E21"/>
    <w:rsid w:val="00336E39"/>
    <w:rsid w:val="00337404"/>
    <w:rsid w:val="00337559"/>
    <w:rsid w:val="00337D42"/>
    <w:rsid w:val="00337E21"/>
    <w:rsid w:val="00342055"/>
    <w:rsid w:val="003423FE"/>
    <w:rsid w:val="003424FA"/>
    <w:rsid w:val="0034289E"/>
    <w:rsid w:val="00342BBF"/>
    <w:rsid w:val="0034328F"/>
    <w:rsid w:val="0034469B"/>
    <w:rsid w:val="003448EB"/>
    <w:rsid w:val="00344F8C"/>
    <w:rsid w:val="0034588F"/>
    <w:rsid w:val="00345B9B"/>
    <w:rsid w:val="00345C54"/>
    <w:rsid w:val="00346D5F"/>
    <w:rsid w:val="00347845"/>
    <w:rsid w:val="0035028C"/>
    <w:rsid w:val="003503C2"/>
    <w:rsid w:val="0035081A"/>
    <w:rsid w:val="00351CB2"/>
    <w:rsid w:val="00351FB7"/>
    <w:rsid w:val="00353504"/>
    <w:rsid w:val="00353538"/>
    <w:rsid w:val="00353AA6"/>
    <w:rsid w:val="00353DEF"/>
    <w:rsid w:val="00353E41"/>
    <w:rsid w:val="0035424D"/>
    <w:rsid w:val="00354758"/>
    <w:rsid w:val="003549B3"/>
    <w:rsid w:val="00354E2E"/>
    <w:rsid w:val="003554B0"/>
    <w:rsid w:val="00355580"/>
    <w:rsid w:val="00355645"/>
    <w:rsid w:val="0035586C"/>
    <w:rsid w:val="0035617E"/>
    <w:rsid w:val="00356465"/>
    <w:rsid w:val="00356C0B"/>
    <w:rsid w:val="00356DD3"/>
    <w:rsid w:val="00357A82"/>
    <w:rsid w:val="00357D06"/>
    <w:rsid w:val="00357F8C"/>
    <w:rsid w:val="00360569"/>
    <w:rsid w:val="003609CC"/>
    <w:rsid w:val="00360D43"/>
    <w:rsid w:val="00361B06"/>
    <w:rsid w:val="00362DD5"/>
    <w:rsid w:val="0036384B"/>
    <w:rsid w:val="00363AAC"/>
    <w:rsid w:val="00365B4F"/>
    <w:rsid w:val="00365BEA"/>
    <w:rsid w:val="003663C5"/>
    <w:rsid w:val="003666D9"/>
    <w:rsid w:val="003675C6"/>
    <w:rsid w:val="00367E85"/>
    <w:rsid w:val="0037069C"/>
    <w:rsid w:val="003721DA"/>
    <w:rsid w:val="003721E9"/>
    <w:rsid w:val="003723E2"/>
    <w:rsid w:val="00372863"/>
    <w:rsid w:val="0037325D"/>
    <w:rsid w:val="00373C10"/>
    <w:rsid w:val="00374D65"/>
    <w:rsid w:val="003750B7"/>
    <w:rsid w:val="0037613B"/>
    <w:rsid w:val="0037615B"/>
    <w:rsid w:val="003774B0"/>
    <w:rsid w:val="00377C2A"/>
    <w:rsid w:val="00380458"/>
    <w:rsid w:val="00380942"/>
    <w:rsid w:val="00380C5A"/>
    <w:rsid w:val="003810DD"/>
    <w:rsid w:val="003812B6"/>
    <w:rsid w:val="003812B7"/>
    <w:rsid w:val="00381FDA"/>
    <w:rsid w:val="003827C0"/>
    <w:rsid w:val="00382A18"/>
    <w:rsid w:val="00383B4B"/>
    <w:rsid w:val="00383E70"/>
    <w:rsid w:val="0038410F"/>
    <w:rsid w:val="00384834"/>
    <w:rsid w:val="00384BC6"/>
    <w:rsid w:val="00384D17"/>
    <w:rsid w:val="00384D78"/>
    <w:rsid w:val="00384F40"/>
    <w:rsid w:val="00386443"/>
    <w:rsid w:val="00386769"/>
    <w:rsid w:val="00387EC1"/>
    <w:rsid w:val="00390557"/>
    <w:rsid w:val="00390A83"/>
    <w:rsid w:val="00390AFC"/>
    <w:rsid w:val="00391809"/>
    <w:rsid w:val="0039272D"/>
    <w:rsid w:val="00393CAF"/>
    <w:rsid w:val="0039461D"/>
    <w:rsid w:val="00394B15"/>
    <w:rsid w:val="00394E3B"/>
    <w:rsid w:val="00395881"/>
    <w:rsid w:val="00395DBE"/>
    <w:rsid w:val="00396285"/>
    <w:rsid w:val="00396991"/>
    <w:rsid w:val="003972CF"/>
    <w:rsid w:val="00397C2F"/>
    <w:rsid w:val="003A0071"/>
    <w:rsid w:val="003A1081"/>
    <w:rsid w:val="003A115D"/>
    <w:rsid w:val="003A195D"/>
    <w:rsid w:val="003A2135"/>
    <w:rsid w:val="003A2C91"/>
    <w:rsid w:val="003A2DA0"/>
    <w:rsid w:val="003A37F9"/>
    <w:rsid w:val="003A390D"/>
    <w:rsid w:val="003A3964"/>
    <w:rsid w:val="003A3F6A"/>
    <w:rsid w:val="003A3FAC"/>
    <w:rsid w:val="003A50CF"/>
    <w:rsid w:val="003A5E75"/>
    <w:rsid w:val="003A6255"/>
    <w:rsid w:val="003A6EB2"/>
    <w:rsid w:val="003A7003"/>
    <w:rsid w:val="003A7027"/>
    <w:rsid w:val="003A7C9B"/>
    <w:rsid w:val="003A7D1D"/>
    <w:rsid w:val="003B0440"/>
    <w:rsid w:val="003B0CD1"/>
    <w:rsid w:val="003B17C2"/>
    <w:rsid w:val="003B3CB6"/>
    <w:rsid w:val="003B4BCA"/>
    <w:rsid w:val="003B5946"/>
    <w:rsid w:val="003B5AD2"/>
    <w:rsid w:val="003B5CEC"/>
    <w:rsid w:val="003B65B1"/>
    <w:rsid w:val="003B6C19"/>
    <w:rsid w:val="003C12A8"/>
    <w:rsid w:val="003C19E5"/>
    <w:rsid w:val="003C2F61"/>
    <w:rsid w:val="003C2FB4"/>
    <w:rsid w:val="003C3E18"/>
    <w:rsid w:val="003C4038"/>
    <w:rsid w:val="003C4383"/>
    <w:rsid w:val="003C43EF"/>
    <w:rsid w:val="003C4569"/>
    <w:rsid w:val="003C47F6"/>
    <w:rsid w:val="003C5215"/>
    <w:rsid w:val="003C5573"/>
    <w:rsid w:val="003C5FF2"/>
    <w:rsid w:val="003C61B9"/>
    <w:rsid w:val="003C63AD"/>
    <w:rsid w:val="003C6CFF"/>
    <w:rsid w:val="003C76DA"/>
    <w:rsid w:val="003C7CF2"/>
    <w:rsid w:val="003D0BB5"/>
    <w:rsid w:val="003D1113"/>
    <w:rsid w:val="003D193E"/>
    <w:rsid w:val="003D224F"/>
    <w:rsid w:val="003D445E"/>
    <w:rsid w:val="003D4495"/>
    <w:rsid w:val="003D4A61"/>
    <w:rsid w:val="003D51D1"/>
    <w:rsid w:val="003D61FF"/>
    <w:rsid w:val="003D6F53"/>
    <w:rsid w:val="003D7781"/>
    <w:rsid w:val="003D7DDD"/>
    <w:rsid w:val="003E16BC"/>
    <w:rsid w:val="003E2D0E"/>
    <w:rsid w:val="003E3AE9"/>
    <w:rsid w:val="003E43E6"/>
    <w:rsid w:val="003E46C3"/>
    <w:rsid w:val="003E4828"/>
    <w:rsid w:val="003E4C3A"/>
    <w:rsid w:val="003E4DE4"/>
    <w:rsid w:val="003E53A4"/>
    <w:rsid w:val="003E5778"/>
    <w:rsid w:val="003E678D"/>
    <w:rsid w:val="003E6ED7"/>
    <w:rsid w:val="003F05C7"/>
    <w:rsid w:val="003F074B"/>
    <w:rsid w:val="003F076A"/>
    <w:rsid w:val="003F084D"/>
    <w:rsid w:val="003F0F5A"/>
    <w:rsid w:val="003F10E5"/>
    <w:rsid w:val="003F1346"/>
    <w:rsid w:val="003F1A47"/>
    <w:rsid w:val="003F240A"/>
    <w:rsid w:val="003F369E"/>
    <w:rsid w:val="003F3855"/>
    <w:rsid w:val="003F3DBB"/>
    <w:rsid w:val="003F3F89"/>
    <w:rsid w:val="003F4781"/>
    <w:rsid w:val="003F4BA2"/>
    <w:rsid w:val="003F4C82"/>
    <w:rsid w:val="003F4D47"/>
    <w:rsid w:val="003F4D88"/>
    <w:rsid w:val="003F5108"/>
    <w:rsid w:val="003F513A"/>
    <w:rsid w:val="003F5591"/>
    <w:rsid w:val="003F5C26"/>
    <w:rsid w:val="003F63D0"/>
    <w:rsid w:val="003F67A6"/>
    <w:rsid w:val="003F715A"/>
    <w:rsid w:val="003F7930"/>
    <w:rsid w:val="00400845"/>
    <w:rsid w:val="00400A98"/>
    <w:rsid w:val="0040159A"/>
    <w:rsid w:val="00401B14"/>
    <w:rsid w:val="0040201A"/>
    <w:rsid w:val="004020BB"/>
    <w:rsid w:val="004021B5"/>
    <w:rsid w:val="00403279"/>
    <w:rsid w:val="00403C79"/>
    <w:rsid w:val="00403F7F"/>
    <w:rsid w:val="0040440E"/>
    <w:rsid w:val="00404620"/>
    <w:rsid w:val="004046C6"/>
    <w:rsid w:val="00404764"/>
    <w:rsid w:val="0040590F"/>
    <w:rsid w:val="00405998"/>
    <w:rsid w:val="0040655B"/>
    <w:rsid w:val="00406D61"/>
    <w:rsid w:val="00407D61"/>
    <w:rsid w:val="00410281"/>
    <w:rsid w:val="00410291"/>
    <w:rsid w:val="00411166"/>
    <w:rsid w:val="0041168F"/>
    <w:rsid w:val="00411707"/>
    <w:rsid w:val="00413302"/>
    <w:rsid w:val="00413499"/>
    <w:rsid w:val="00414342"/>
    <w:rsid w:val="00414717"/>
    <w:rsid w:val="0041502A"/>
    <w:rsid w:val="00415B0D"/>
    <w:rsid w:val="00415CC1"/>
    <w:rsid w:val="00415E13"/>
    <w:rsid w:val="00416440"/>
    <w:rsid w:val="004166EC"/>
    <w:rsid w:val="00416747"/>
    <w:rsid w:val="00416E9B"/>
    <w:rsid w:val="004177C0"/>
    <w:rsid w:val="00417BA3"/>
    <w:rsid w:val="00417C31"/>
    <w:rsid w:val="0042001C"/>
    <w:rsid w:val="00420BD4"/>
    <w:rsid w:val="00420E01"/>
    <w:rsid w:val="00420ED9"/>
    <w:rsid w:val="004211E7"/>
    <w:rsid w:val="00421381"/>
    <w:rsid w:val="0042144C"/>
    <w:rsid w:val="00422CF8"/>
    <w:rsid w:val="00423FC5"/>
    <w:rsid w:val="0042438A"/>
    <w:rsid w:val="00424587"/>
    <w:rsid w:val="004245F3"/>
    <w:rsid w:val="00424899"/>
    <w:rsid w:val="00424E2B"/>
    <w:rsid w:val="00425002"/>
    <w:rsid w:val="00425087"/>
    <w:rsid w:val="00425213"/>
    <w:rsid w:val="00425D8D"/>
    <w:rsid w:val="004274AE"/>
    <w:rsid w:val="00427DD9"/>
    <w:rsid w:val="00430789"/>
    <w:rsid w:val="00430902"/>
    <w:rsid w:val="00430F78"/>
    <w:rsid w:val="00432EA8"/>
    <w:rsid w:val="00433243"/>
    <w:rsid w:val="00433248"/>
    <w:rsid w:val="004333DE"/>
    <w:rsid w:val="004334F1"/>
    <w:rsid w:val="004336F2"/>
    <w:rsid w:val="00433C87"/>
    <w:rsid w:val="00433ECA"/>
    <w:rsid w:val="00434233"/>
    <w:rsid w:val="004347C9"/>
    <w:rsid w:val="004352A1"/>
    <w:rsid w:val="0043556B"/>
    <w:rsid w:val="00436044"/>
    <w:rsid w:val="004369EB"/>
    <w:rsid w:val="00437385"/>
    <w:rsid w:val="00437B54"/>
    <w:rsid w:val="00442134"/>
    <w:rsid w:val="004421AA"/>
    <w:rsid w:val="00442506"/>
    <w:rsid w:val="0044261D"/>
    <w:rsid w:val="004426B6"/>
    <w:rsid w:val="00442D10"/>
    <w:rsid w:val="0044389F"/>
    <w:rsid w:val="00444580"/>
    <w:rsid w:val="00444BD9"/>
    <w:rsid w:val="00444DAA"/>
    <w:rsid w:val="00444DC2"/>
    <w:rsid w:val="00445990"/>
    <w:rsid w:val="00445C61"/>
    <w:rsid w:val="00445DD2"/>
    <w:rsid w:val="0044749F"/>
    <w:rsid w:val="0044790A"/>
    <w:rsid w:val="00450A0C"/>
    <w:rsid w:val="00450FF6"/>
    <w:rsid w:val="004511BC"/>
    <w:rsid w:val="00451626"/>
    <w:rsid w:val="0045181C"/>
    <w:rsid w:val="00452B23"/>
    <w:rsid w:val="00452C59"/>
    <w:rsid w:val="004544F3"/>
    <w:rsid w:val="00454721"/>
    <w:rsid w:val="00455351"/>
    <w:rsid w:val="00455663"/>
    <w:rsid w:val="004565BA"/>
    <w:rsid w:val="00456AC7"/>
    <w:rsid w:val="00456B14"/>
    <w:rsid w:val="00456DC7"/>
    <w:rsid w:val="004571D4"/>
    <w:rsid w:val="004577CB"/>
    <w:rsid w:val="004603D1"/>
    <w:rsid w:val="00460A1B"/>
    <w:rsid w:val="00460B3A"/>
    <w:rsid w:val="00461068"/>
    <w:rsid w:val="004624C0"/>
    <w:rsid w:val="004625ED"/>
    <w:rsid w:val="00464068"/>
    <w:rsid w:val="00464244"/>
    <w:rsid w:val="0046465A"/>
    <w:rsid w:val="00464883"/>
    <w:rsid w:val="00465B99"/>
    <w:rsid w:val="0046608D"/>
    <w:rsid w:val="004661A7"/>
    <w:rsid w:val="00466761"/>
    <w:rsid w:val="00466BCE"/>
    <w:rsid w:val="0047016A"/>
    <w:rsid w:val="0047187E"/>
    <w:rsid w:val="004718B6"/>
    <w:rsid w:val="00471C48"/>
    <w:rsid w:val="00471F5C"/>
    <w:rsid w:val="004722C4"/>
    <w:rsid w:val="00473213"/>
    <w:rsid w:val="004739F0"/>
    <w:rsid w:val="00473CAD"/>
    <w:rsid w:val="004740F2"/>
    <w:rsid w:val="00474804"/>
    <w:rsid w:val="00474B3A"/>
    <w:rsid w:val="00474C4A"/>
    <w:rsid w:val="00475197"/>
    <w:rsid w:val="00476AB0"/>
    <w:rsid w:val="004777F2"/>
    <w:rsid w:val="004800F7"/>
    <w:rsid w:val="004809B0"/>
    <w:rsid w:val="00481070"/>
    <w:rsid w:val="00481862"/>
    <w:rsid w:val="0048202D"/>
    <w:rsid w:val="004820B8"/>
    <w:rsid w:val="004826BC"/>
    <w:rsid w:val="00482D14"/>
    <w:rsid w:val="00482D79"/>
    <w:rsid w:val="00483987"/>
    <w:rsid w:val="00484095"/>
    <w:rsid w:val="00484486"/>
    <w:rsid w:val="00486580"/>
    <w:rsid w:val="00486A5F"/>
    <w:rsid w:val="00486C09"/>
    <w:rsid w:val="00487347"/>
    <w:rsid w:val="00487CBC"/>
    <w:rsid w:val="00490448"/>
    <w:rsid w:val="004904FE"/>
    <w:rsid w:val="00490578"/>
    <w:rsid w:val="00490BCD"/>
    <w:rsid w:val="00490EA3"/>
    <w:rsid w:val="00490EFE"/>
    <w:rsid w:val="00491639"/>
    <w:rsid w:val="004916C0"/>
    <w:rsid w:val="0049253C"/>
    <w:rsid w:val="004926D5"/>
    <w:rsid w:val="00492802"/>
    <w:rsid w:val="0049295A"/>
    <w:rsid w:val="00493383"/>
    <w:rsid w:val="00493445"/>
    <w:rsid w:val="004937BA"/>
    <w:rsid w:val="00494556"/>
    <w:rsid w:val="004945E0"/>
    <w:rsid w:val="00494BFA"/>
    <w:rsid w:val="00494F8F"/>
    <w:rsid w:val="004950DF"/>
    <w:rsid w:val="004950F1"/>
    <w:rsid w:val="00495C59"/>
    <w:rsid w:val="00495E00"/>
    <w:rsid w:val="00495F0A"/>
    <w:rsid w:val="0049600F"/>
    <w:rsid w:val="00496D72"/>
    <w:rsid w:val="004A0127"/>
    <w:rsid w:val="004A07BD"/>
    <w:rsid w:val="004A1661"/>
    <w:rsid w:val="004A209B"/>
    <w:rsid w:val="004A27A2"/>
    <w:rsid w:val="004A4260"/>
    <w:rsid w:val="004A43B9"/>
    <w:rsid w:val="004A4754"/>
    <w:rsid w:val="004A4EC1"/>
    <w:rsid w:val="004A52B3"/>
    <w:rsid w:val="004A5518"/>
    <w:rsid w:val="004A5E8C"/>
    <w:rsid w:val="004A63C2"/>
    <w:rsid w:val="004A6A8B"/>
    <w:rsid w:val="004A6F15"/>
    <w:rsid w:val="004A742B"/>
    <w:rsid w:val="004B0374"/>
    <w:rsid w:val="004B1279"/>
    <w:rsid w:val="004B2336"/>
    <w:rsid w:val="004B2A90"/>
    <w:rsid w:val="004B34A2"/>
    <w:rsid w:val="004B3DAB"/>
    <w:rsid w:val="004B4337"/>
    <w:rsid w:val="004B52E4"/>
    <w:rsid w:val="004B554C"/>
    <w:rsid w:val="004B70D6"/>
    <w:rsid w:val="004B7701"/>
    <w:rsid w:val="004B7DA6"/>
    <w:rsid w:val="004C06B2"/>
    <w:rsid w:val="004C0A8B"/>
    <w:rsid w:val="004C166C"/>
    <w:rsid w:val="004C17AF"/>
    <w:rsid w:val="004C18C8"/>
    <w:rsid w:val="004C1901"/>
    <w:rsid w:val="004C227B"/>
    <w:rsid w:val="004C2308"/>
    <w:rsid w:val="004C2D87"/>
    <w:rsid w:val="004C34C6"/>
    <w:rsid w:val="004C34D1"/>
    <w:rsid w:val="004C3A57"/>
    <w:rsid w:val="004C47BB"/>
    <w:rsid w:val="004C4F72"/>
    <w:rsid w:val="004C5087"/>
    <w:rsid w:val="004C5A51"/>
    <w:rsid w:val="004C6D8E"/>
    <w:rsid w:val="004C7E14"/>
    <w:rsid w:val="004C7FCB"/>
    <w:rsid w:val="004D03E2"/>
    <w:rsid w:val="004D17CB"/>
    <w:rsid w:val="004D3590"/>
    <w:rsid w:val="004D3A8E"/>
    <w:rsid w:val="004D3DF4"/>
    <w:rsid w:val="004D42A3"/>
    <w:rsid w:val="004D4D23"/>
    <w:rsid w:val="004D5A7B"/>
    <w:rsid w:val="004D66DE"/>
    <w:rsid w:val="004D6DCF"/>
    <w:rsid w:val="004D761C"/>
    <w:rsid w:val="004D76A7"/>
    <w:rsid w:val="004D7FBA"/>
    <w:rsid w:val="004E0D5D"/>
    <w:rsid w:val="004E0E0E"/>
    <w:rsid w:val="004E17DF"/>
    <w:rsid w:val="004E1B6D"/>
    <w:rsid w:val="004E2240"/>
    <w:rsid w:val="004E2834"/>
    <w:rsid w:val="004E2B31"/>
    <w:rsid w:val="004E2B7B"/>
    <w:rsid w:val="004E3E2D"/>
    <w:rsid w:val="004E4184"/>
    <w:rsid w:val="004E42C5"/>
    <w:rsid w:val="004E4516"/>
    <w:rsid w:val="004E53CD"/>
    <w:rsid w:val="004E5B18"/>
    <w:rsid w:val="004E5C69"/>
    <w:rsid w:val="004E5E57"/>
    <w:rsid w:val="004E644B"/>
    <w:rsid w:val="004E657E"/>
    <w:rsid w:val="004E6624"/>
    <w:rsid w:val="004E6C8F"/>
    <w:rsid w:val="004E6CE1"/>
    <w:rsid w:val="004E75BD"/>
    <w:rsid w:val="004E7815"/>
    <w:rsid w:val="004E7B46"/>
    <w:rsid w:val="004F005B"/>
    <w:rsid w:val="004F00AC"/>
    <w:rsid w:val="004F0486"/>
    <w:rsid w:val="004F0651"/>
    <w:rsid w:val="004F079F"/>
    <w:rsid w:val="004F0C02"/>
    <w:rsid w:val="004F0D4E"/>
    <w:rsid w:val="004F140E"/>
    <w:rsid w:val="004F15B4"/>
    <w:rsid w:val="004F1AA4"/>
    <w:rsid w:val="004F1B1C"/>
    <w:rsid w:val="004F2160"/>
    <w:rsid w:val="004F3BF6"/>
    <w:rsid w:val="004F3C33"/>
    <w:rsid w:val="004F425C"/>
    <w:rsid w:val="004F43F7"/>
    <w:rsid w:val="004F4889"/>
    <w:rsid w:val="004F5944"/>
    <w:rsid w:val="004F5D24"/>
    <w:rsid w:val="004F687F"/>
    <w:rsid w:val="004F6EF6"/>
    <w:rsid w:val="004F6FE2"/>
    <w:rsid w:val="004F71B0"/>
    <w:rsid w:val="004F73AE"/>
    <w:rsid w:val="004F7903"/>
    <w:rsid w:val="004F7A1D"/>
    <w:rsid w:val="004F7A35"/>
    <w:rsid w:val="004F7D68"/>
    <w:rsid w:val="00500F8A"/>
    <w:rsid w:val="005011F7"/>
    <w:rsid w:val="00501819"/>
    <w:rsid w:val="00501F22"/>
    <w:rsid w:val="005022C4"/>
    <w:rsid w:val="00503D76"/>
    <w:rsid w:val="00504887"/>
    <w:rsid w:val="00504AA0"/>
    <w:rsid w:val="00505A41"/>
    <w:rsid w:val="00506053"/>
    <w:rsid w:val="005066E6"/>
    <w:rsid w:val="005066EE"/>
    <w:rsid w:val="005068C2"/>
    <w:rsid w:val="00507AEE"/>
    <w:rsid w:val="00507C0B"/>
    <w:rsid w:val="00507C0E"/>
    <w:rsid w:val="00507E0A"/>
    <w:rsid w:val="00507F4B"/>
    <w:rsid w:val="00511201"/>
    <w:rsid w:val="00512508"/>
    <w:rsid w:val="005126CF"/>
    <w:rsid w:val="005126F0"/>
    <w:rsid w:val="005137A1"/>
    <w:rsid w:val="00517659"/>
    <w:rsid w:val="005178F2"/>
    <w:rsid w:val="00520645"/>
    <w:rsid w:val="0052079C"/>
    <w:rsid w:val="00520A2C"/>
    <w:rsid w:val="00520E16"/>
    <w:rsid w:val="0052112B"/>
    <w:rsid w:val="00521996"/>
    <w:rsid w:val="00522924"/>
    <w:rsid w:val="00522B16"/>
    <w:rsid w:val="00522D5E"/>
    <w:rsid w:val="005234D8"/>
    <w:rsid w:val="005237D7"/>
    <w:rsid w:val="00523C90"/>
    <w:rsid w:val="00525094"/>
    <w:rsid w:val="005253E3"/>
    <w:rsid w:val="00525E9D"/>
    <w:rsid w:val="0052613F"/>
    <w:rsid w:val="00526659"/>
    <w:rsid w:val="005268AE"/>
    <w:rsid w:val="00527E05"/>
    <w:rsid w:val="00527E55"/>
    <w:rsid w:val="00527FDC"/>
    <w:rsid w:val="005300E4"/>
    <w:rsid w:val="005306E1"/>
    <w:rsid w:val="005319B2"/>
    <w:rsid w:val="005325AD"/>
    <w:rsid w:val="00532C7A"/>
    <w:rsid w:val="005333A0"/>
    <w:rsid w:val="005344D4"/>
    <w:rsid w:val="005344DF"/>
    <w:rsid w:val="00534F56"/>
    <w:rsid w:val="005352A5"/>
    <w:rsid w:val="00535BC6"/>
    <w:rsid w:val="00535DCE"/>
    <w:rsid w:val="00535DF0"/>
    <w:rsid w:val="00536174"/>
    <w:rsid w:val="00536236"/>
    <w:rsid w:val="00536242"/>
    <w:rsid w:val="005368A0"/>
    <w:rsid w:val="0053690B"/>
    <w:rsid w:val="00536AE9"/>
    <w:rsid w:val="00541F98"/>
    <w:rsid w:val="00541F99"/>
    <w:rsid w:val="005434CD"/>
    <w:rsid w:val="00544014"/>
    <w:rsid w:val="0054404C"/>
    <w:rsid w:val="005440DD"/>
    <w:rsid w:val="005457FD"/>
    <w:rsid w:val="00546E6C"/>
    <w:rsid w:val="00547369"/>
    <w:rsid w:val="00547543"/>
    <w:rsid w:val="00547B21"/>
    <w:rsid w:val="005506A9"/>
    <w:rsid w:val="00550751"/>
    <w:rsid w:val="00550998"/>
    <w:rsid w:val="00551B2F"/>
    <w:rsid w:val="00551B63"/>
    <w:rsid w:val="00551D0F"/>
    <w:rsid w:val="0055275F"/>
    <w:rsid w:val="0055352E"/>
    <w:rsid w:val="00553835"/>
    <w:rsid w:val="00553F3B"/>
    <w:rsid w:val="005542DC"/>
    <w:rsid w:val="00554558"/>
    <w:rsid w:val="00554DE2"/>
    <w:rsid w:val="00554E0A"/>
    <w:rsid w:val="00555015"/>
    <w:rsid w:val="00555707"/>
    <w:rsid w:val="00555850"/>
    <w:rsid w:val="00556284"/>
    <w:rsid w:val="005564F5"/>
    <w:rsid w:val="0055660C"/>
    <w:rsid w:val="00556E47"/>
    <w:rsid w:val="00560144"/>
    <w:rsid w:val="00560684"/>
    <w:rsid w:val="00560B86"/>
    <w:rsid w:val="00560EAD"/>
    <w:rsid w:val="005612F7"/>
    <w:rsid w:val="00561403"/>
    <w:rsid w:val="00562F04"/>
    <w:rsid w:val="00563476"/>
    <w:rsid w:val="0056393C"/>
    <w:rsid w:val="0056412A"/>
    <w:rsid w:val="0056564E"/>
    <w:rsid w:val="00565B55"/>
    <w:rsid w:val="00565C23"/>
    <w:rsid w:val="00565FFB"/>
    <w:rsid w:val="00566993"/>
    <w:rsid w:val="00567651"/>
    <w:rsid w:val="00567688"/>
    <w:rsid w:val="005702BB"/>
    <w:rsid w:val="005709FD"/>
    <w:rsid w:val="005717B4"/>
    <w:rsid w:val="00571A2C"/>
    <w:rsid w:val="00573B90"/>
    <w:rsid w:val="00574E71"/>
    <w:rsid w:val="00575F38"/>
    <w:rsid w:val="0057648F"/>
    <w:rsid w:val="00576B05"/>
    <w:rsid w:val="00577E4C"/>
    <w:rsid w:val="0058053E"/>
    <w:rsid w:val="005806FC"/>
    <w:rsid w:val="00580A0F"/>
    <w:rsid w:val="00580AA6"/>
    <w:rsid w:val="00581244"/>
    <w:rsid w:val="0058178B"/>
    <w:rsid w:val="005819B4"/>
    <w:rsid w:val="00582091"/>
    <w:rsid w:val="0058428D"/>
    <w:rsid w:val="00584472"/>
    <w:rsid w:val="005845C8"/>
    <w:rsid w:val="00585B72"/>
    <w:rsid w:val="00586630"/>
    <w:rsid w:val="00587347"/>
    <w:rsid w:val="005904D6"/>
    <w:rsid w:val="00590959"/>
    <w:rsid w:val="00590E59"/>
    <w:rsid w:val="0059174A"/>
    <w:rsid w:val="00591B5D"/>
    <w:rsid w:val="005920F2"/>
    <w:rsid w:val="00592DD0"/>
    <w:rsid w:val="00593D84"/>
    <w:rsid w:val="00594294"/>
    <w:rsid w:val="00594D2C"/>
    <w:rsid w:val="00595805"/>
    <w:rsid w:val="005958B5"/>
    <w:rsid w:val="00595AE3"/>
    <w:rsid w:val="00595AE8"/>
    <w:rsid w:val="00595C85"/>
    <w:rsid w:val="00595D98"/>
    <w:rsid w:val="00596D82"/>
    <w:rsid w:val="00596F9F"/>
    <w:rsid w:val="00596FD4"/>
    <w:rsid w:val="00597D07"/>
    <w:rsid w:val="005A004B"/>
    <w:rsid w:val="005A09B2"/>
    <w:rsid w:val="005A13F7"/>
    <w:rsid w:val="005A28DD"/>
    <w:rsid w:val="005A2D25"/>
    <w:rsid w:val="005A3130"/>
    <w:rsid w:val="005A3B52"/>
    <w:rsid w:val="005A3CCF"/>
    <w:rsid w:val="005A5829"/>
    <w:rsid w:val="005A6D01"/>
    <w:rsid w:val="005A735E"/>
    <w:rsid w:val="005A7568"/>
    <w:rsid w:val="005A77FB"/>
    <w:rsid w:val="005A78C4"/>
    <w:rsid w:val="005A7CE8"/>
    <w:rsid w:val="005B00FA"/>
    <w:rsid w:val="005B0B98"/>
    <w:rsid w:val="005B0FD4"/>
    <w:rsid w:val="005B15CD"/>
    <w:rsid w:val="005B2C51"/>
    <w:rsid w:val="005B5213"/>
    <w:rsid w:val="005B53D8"/>
    <w:rsid w:val="005B5EA2"/>
    <w:rsid w:val="005B6E18"/>
    <w:rsid w:val="005B7CF8"/>
    <w:rsid w:val="005C0829"/>
    <w:rsid w:val="005C092C"/>
    <w:rsid w:val="005C194E"/>
    <w:rsid w:val="005C29D5"/>
    <w:rsid w:val="005C2F7C"/>
    <w:rsid w:val="005C375D"/>
    <w:rsid w:val="005C3A7C"/>
    <w:rsid w:val="005C3A98"/>
    <w:rsid w:val="005C4301"/>
    <w:rsid w:val="005C4E36"/>
    <w:rsid w:val="005C544E"/>
    <w:rsid w:val="005C5C2E"/>
    <w:rsid w:val="005C6112"/>
    <w:rsid w:val="005C7571"/>
    <w:rsid w:val="005C7AE5"/>
    <w:rsid w:val="005C7D86"/>
    <w:rsid w:val="005C7FBC"/>
    <w:rsid w:val="005D0116"/>
    <w:rsid w:val="005D039A"/>
    <w:rsid w:val="005D0D3C"/>
    <w:rsid w:val="005D1B7E"/>
    <w:rsid w:val="005D1CF9"/>
    <w:rsid w:val="005D1F27"/>
    <w:rsid w:val="005D225E"/>
    <w:rsid w:val="005D286E"/>
    <w:rsid w:val="005D324A"/>
    <w:rsid w:val="005D3D75"/>
    <w:rsid w:val="005D45E3"/>
    <w:rsid w:val="005D6486"/>
    <w:rsid w:val="005D6C6B"/>
    <w:rsid w:val="005D6E72"/>
    <w:rsid w:val="005D732F"/>
    <w:rsid w:val="005D769B"/>
    <w:rsid w:val="005D771B"/>
    <w:rsid w:val="005D79FD"/>
    <w:rsid w:val="005D7CA4"/>
    <w:rsid w:val="005E0B3C"/>
    <w:rsid w:val="005E10E5"/>
    <w:rsid w:val="005E15BB"/>
    <w:rsid w:val="005E24CD"/>
    <w:rsid w:val="005E39A3"/>
    <w:rsid w:val="005E499D"/>
    <w:rsid w:val="005E49CF"/>
    <w:rsid w:val="005E4F6A"/>
    <w:rsid w:val="005E5090"/>
    <w:rsid w:val="005E59B8"/>
    <w:rsid w:val="005E5DF8"/>
    <w:rsid w:val="005E66E8"/>
    <w:rsid w:val="005E6950"/>
    <w:rsid w:val="005E7503"/>
    <w:rsid w:val="005E7F18"/>
    <w:rsid w:val="005F084F"/>
    <w:rsid w:val="005F17D3"/>
    <w:rsid w:val="005F2C03"/>
    <w:rsid w:val="005F3507"/>
    <w:rsid w:val="005F356A"/>
    <w:rsid w:val="005F3605"/>
    <w:rsid w:val="005F375E"/>
    <w:rsid w:val="005F3E8F"/>
    <w:rsid w:val="005F4323"/>
    <w:rsid w:val="005F44F3"/>
    <w:rsid w:val="005F4D60"/>
    <w:rsid w:val="005F52E8"/>
    <w:rsid w:val="005F5814"/>
    <w:rsid w:val="005F582D"/>
    <w:rsid w:val="00600395"/>
    <w:rsid w:val="00600A90"/>
    <w:rsid w:val="0060206C"/>
    <w:rsid w:val="00602192"/>
    <w:rsid w:val="00602493"/>
    <w:rsid w:val="006028FD"/>
    <w:rsid w:val="00602F63"/>
    <w:rsid w:val="006030E1"/>
    <w:rsid w:val="0060449A"/>
    <w:rsid w:val="00604C4F"/>
    <w:rsid w:val="00604E6C"/>
    <w:rsid w:val="00605CE4"/>
    <w:rsid w:val="00605EC8"/>
    <w:rsid w:val="006066B6"/>
    <w:rsid w:val="00606C83"/>
    <w:rsid w:val="00607DF1"/>
    <w:rsid w:val="00610DC6"/>
    <w:rsid w:val="0061190A"/>
    <w:rsid w:val="00611988"/>
    <w:rsid w:val="00611AAE"/>
    <w:rsid w:val="00611BAE"/>
    <w:rsid w:val="00612F01"/>
    <w:rsid w:val="006132C4"/>
    <w:rsid w:val="006132F1"/>
    <w:rsid w:val="0061380D"/>
    <w:rsid w:val="00613B77"/>
    <w:rsid w:val="00613BC1"/>
    <w:rsid w:val="00614136"/>
    <w:rsid w:val="00614199"/>
    <w:rsid w:val="00615CDE"/>
    <w:rsid w:val="0061666E"/>
    <w:rsid w:val="00617746"/>
    <w:rsid w:val="00617B8B"/>
    <w:rsid w:val="00617D63"/>
    <w:rsid w:val="00621C1E"/>
    <w:rsid w:val="00621CB1"/>
    <w:rsid w:val="00621F8F"/>
    <w:rsid w:val="00622197"/>
    <w:rsid w:val="006222E3"/>
    <w:rsid w:val="0062259E"/>
    <w:rsid w:val="006229F7"/>
    <w:rsid w:val="0062406C"/>
    <w:rsid w:val="00624476"/>
    <w:rsid w:val="0062455E"/>
    <w:rsid w:val="0062572F"/>
    <w:rsid w:val="0062573C"/>
    <w:rsid w:val="006261C3"/>
    <w:rsid w:val="00626E6E"/>
    <w:rsid w:val="00631E03"/>
    <w:rsid w:val="0063256A"/>
    <w:rsid w:val="006332A3"/>
    <w:rsid w:val="006333FE"/>
    <w:rsid w:val="006336F1"/>
    <w:rsid w:val="00633E40"/>
    <w:rsid w:val="00633EC2"/>
    <w:rsid w:val="00633F01"/>
    <w:rsid w:val="00633F0D"/>
    <w:rsid w:val="00633FBD"/>
    <w:rsid w:val="00634446"/>
    <w:rsid w:val="00635042"/>
    <w:rsid w:val="0063567D"/>
    <w:rsid w:val="00635A3E"/>
    <w:rsid w:val="0063608C"/>
    <w:rsid w:val="0063665B"/>
    <w:rsid w:val="0063668A"/>
    <w:rsid w:val="006371DC"/>
    <w:rsid w:val="00637A89"/>
    <w:rsid w:val="006405C7"/>
    <w:rsid w:val="0064260F"/>
    <w:rsid w:val="00642B72"/>
    <w:rsid w:val="00642E7F"/>
    <w:rsid w:val="006435C9"/>
    <w:rsid w:val="00644F31"/>
    <w:rsid w:val="0064574A"/>
    <w:rsid w:val="00645C8D"/>
    <w:rsid w:val="0064608D"/>
    <w:rsid w:val="00646BD7"/>
    <w:rsid w:val="00647658"/>
    <w:rsid w:val="00647751"/>
    <w:rsid w:val="0064785D"/>
    <w:rsid w:val="00647881"/>
    <w:rsid w:val="00647E55"/>
    <w:rsid w:val="00647E76"/>
    <w:rsid w:val="00647E79"/>
    <w:rsid w:val="006500DB"/>
    <w:rsid w:val="006503D5"/>
    <w:rsid w:val="00650875"/>
    <w:rsid w:val="00650A6D"/>
    <w:rsid w:val="00650BBD"/>
    <w:rsid w:val="00650E46"/>
    <w:rsid w:val="0065213A"/>
    <w:rsid w:val="0065213C"/>
    <w:rsid w:val="006521B5"/>
    <w:rsid w:val="006522D2"/>
    <w:rsid w:val="006522DA"/>
    <w:rsid w:val="00652F12"/>
    <w:rsid w:val="00653BD5"/>
    <w:rsid w:val="00653C75"/>
    <w:rsid w:val="0065406F"/>
    <w:rsid w:val="0065474C"/>
    <w:rsid w:val="0065479B"/>
    <w:rsid w:val="006547E9"/>
    <w:rsid w:val="00655219"/>
    <w:rsid w:val="0065591A"/>
    <w:rsid w:val="0065644C"/>
    <w:rsid w:val="0065645E"/>
    <w:rsid w:val="0065734F"/>
    <w:rsid w:val="00657590"/>
    <w:rsid w:val="00657B2A"/>
    <w:rsid w:val="00657EDD"/>
    <w:rsid w:val="0066016E"/>
    <w:rsid w:val="00660588"/>
    <w:rsid w:val="00660990"/>
    <w:rsid w:val="00661D32"/>
    <w:rsid w:val="0066209A"/>
    <w:rsid w:val="006625E0"/>
    <w:rsid w:val="0066348B"/>
    <w:rsid w:val="0066365B"/>
    <w:rsid w:val="006636F4"/>
    <w:rsid w:val="0066373C"/>
    <w:rsid w:val="00663FB6"/>
    <w:rsid w:val="00664073"/>
    <w:rsid w:val="0066409A"/>
    <w:rsid w:val="00664B4C"/>
    <w:rsid w:val="00664BF2"/>
    <w:rsid w:val="00664C73"/>
    <w:rsid w:val="00665411"/>
    <w:rsid w:val="00666CB2"/>
    <w:rsid w:val="00670446"/>
    <w:rsid w:val="006704E3"/>
    <w:rsid w:val="0067111C"/>
    <w:rsid w:val="00671437"/>
    <w:rsid w:val="0067190E"/>
    <w:rsid w:val="006719E3"/>
    <w:rsid w:val="00672F86"/>
    <w:rsid w:val="00673052"/>
    <w:rsid w:val="006737D8"/>
    <w:rsid w:val="00673858"/>
    <w:rsid w:val="00674C0A"/>
    <w:rsid w:val="00674CCB"/>
    <w:rsid w:val="00675299"/>
    <w:rsid w:val="00675717"/>
    <w:rsid w:val="00675934"/>
    <w:rsid w:val="00675DF9"/>
    <w:rsid w:val="00676382"/>
    <w:rsid w:val="00676E30"/>
    <w:rsid w:val="00677705"/>
    <w:rsid w:val="00677ABE"/>
    <w:rsid w:val="00677AF9"/>
    <w:rsid w:val="00677FC6"/>
    <w:rsid w:val="00680718"/>
    <w:rsid w:val="006814D4"/>
    <w:rsid w:val="0068239B"/>
    <w:rsid w:val="0068240F"/>
    <w:rsid w:val="006824A7"/>
    <w:rsid w:val="006836AD"/>
    <w:rsid w:val="006840BB"/>
    <w:rsid w:val="006848D4"/>
    <w:rsid w:val="006850EF"/>
    <w:rsid w:val="00685C20"/>
    <w:rsid w:val="00686336"/>
    <w:rsid w:val="006868CB"/>
    <w:rsid w:val="00686950"/>
    <w:rsid w:val="0068696B"/>
    <w:rsid w:val="00686E63"/>
    <w:rsid w:val="00687BC6"/>
    <w:rsid w:val="00687F90"/>
    <w:rsid w:val="00687FE1"/>
    <w:rsid w:val="006904AD"/>
    <w:rsid w:val="006915A4"/>
    <w:rsid w:val="0069181F"/>
    <w:rsid w:val="00691D64"/>
    <w:rsid w:val="006924C7"/>
    <w:rsid w:val="0069274E"/>
    <w:rsid w:val="006927D9"/>
    <w:rsid w:val="006929F9"/>
    <w:rsid w:val="006933AC"/>
    <w:rsid w:val="006939D6"/>
    <w:rsid w:val="00693CA4"/>
    <w:rsid w:val="00693EC6"/>
    <w:rsid w:val="00693F17"/>
    <w:rsid w:val="0069441E"/>
    <w:rsid w:val="006947F8"/>
    <w:rsid w:val="006949EE"/>
    <w:rsid w:val="00694B52"/>
    <w:rsid w:val="006951DC"/>
    <w:rsid w:val="00695583"/>
    <w:rsid w:val="00695C54"/>
    <w:rsid w:val="00696000"/>
    <w:rsid w:val="00696900"/>
    <w:rsid w:val="00696AF0"/>
    <w:rsid w:val="00696F17"/>
    <w:rsid w:val="00696FD9"/>
    <w:rsid w:val="0069714B"/>
    <w:rsid w:val="006972FD"/>
    <w:rsid w:val="0069778A"/>
    <w:rsid w:val="006978DC"/>
    <w:rsid w:val="006A0205"/>
    <w:rsid w:val="006A1FEE"/>
    <w:rsid w:val="006A31B8"/>
    <w:rsid w:val="006A397D"/>
    <w:rsid w:val="006A3A00"/>
    <w:rsid w:val="006A3AFA"/>
    <w:rsid w:val="006A4156"/>
    <w:rsid w:val="006A4EF7"/>
    <w:rsid w:val="006A5927"/>
    <w:rsid w:val="006A5B96"/>
    <w:rsid w:val="006A5EAD"/>
    <w:rsid w:val="006A6F59"/>
    <w:rsid w:val="006A719D"/>
    <w:rsid w:val="006A7205"/>
    <w:rsid w:val="006A7B0A"/>
    <w:rsid w:val="006A7C36"/>
    <w:rsid w:val="006B02E1"/>
    <w:rsid w:val="006B0F58"/>
    <w:rsid w:val="006B194E"/>
    <w:rsid w:val="006B2245"/>
    <w:rsid w:val="006B36E7"/>
    <w:rsid w:val="006B403A"/>
    <w:rsid w:val="006B4394"/>
    <w:rsid w:val="006B43FD"/>
    <w:rsid w:val="006B4910"/>
    <w:rsid w:val="006B4AAA"/>
    <w:rsid w:val="006B4B28"/>
    <w:rsid w:val="006B4CDC"/>
    <w:rsid w:val="006B54F9"/>
    <w:rsid w:val="006B553C"/>
    <w:rsid w:val="006B5850"/>
    <w:rsid w:val="006B5D41"/>
    <w:rsid w:val="006B6665"/>
    <w:rsid w:val="006B6775"/>
    <w:rsid w:val="006B6902"/>
    <w:rsid w:val="006B6A77"/>
    <w:rsid w:val="006B6B28"/>
    <w:rsid w:val="006B7187"/>
    <w:rsid w:val="006B771F"/>
    <w:rsid w:val="006C00CE"/>
    <w:rsid w:val="006C068B"/>
    <w:rsid w:val="006C07BB"/>
    <w:rsid w:val="006C157B"/>
    <w:rsid w:val="006C2AFA"/>
    <w:rsid w:val="006C332B"/>
    <w:rsid w:val="006C391B"/>
    <w:rsid w:val="006C3B36"/>
    <w:rsid w:val="006C3C60"/>
    <w:rsid w:val="006C3DC2"/>
    <w:rsid w:val="006C3F71"/>
    <w:rsid w:val="006C49C9"/>
    <w:rsid w:val="006C57D7"/>
    <w:rsid w:val="006C617A"/>
    <w:rsid w:val="006D0008"/>
    <w:rsid w:val="006D0426"/>
    <w:rsid w:val="006D065A"/>
    <w:rsid w:val="006D1B82"/>
    <w:rsid w:val="006D1E04"/>
    <w:rsid w:val="006D1F44"/>
    <w:rsid w:val="006D2802"/>
    <w:rsid w:val="006D2C97"/>
    <w:rsid w:val="006D2C9B"/>
    <w:rsid w:val="006D4A83"/>
    <w:rsid w:val="006D4AEF"/>
    <w:rsid w:val="006D54E6"/>
    <w:rsid w:val="006D5A1A"/>
    <w:rsid w:val="006D5E56"/>
    <w:rsid w:val="006D6F12"/>
    <w:rsid w:val="006D746A"/>
    <w:rsid w:val="006E001B"/>
    <w:rsid w:val="006E06E2"/>
    <w:rsid w:val="006E0879"/>
    <w:rsid w:val="006E151C"/>
    <w:rsid w:val="006E1B1A"/>
    <w:rsid w:val="006E3945"/>
    <w:rsid w:val="006E39C1"/>
    <w:rsid w:val="006E42E6"/>
    <w:rsid w:val="006E49F6"/>
    <w:rsid w:val="006E4B8B"/>
    <w:rsid w:val="006E4E5A"/>
    <w:rsid w:val="006E51AE"/>
    <w:rsid w:val="006E57FC"/>
    <w:rsid w:val="006E7131"/>
    <w:rsid w:val="006E7719"/>
    <w:rsid w:val="006F10BB"/>
    <w:rsid w:val="006F1E03"/>
    <w:rsid w:val="006F204F"/>
    <w:rsid w:val="006F224B"/>
    <w:rsid w:val="006F241C"/>
    <w:rsid w:val="006F28E2"/>
    <w:rsid w:val="006F29BB"/>
    <w:rsid w:val="006F2D98"/>
    <w:rsid w:val="006F3B57"/>
    <w:rsid w:val="006F4619"/>
    <w:rsid w:val="006F4AE8"/>
    <w:rsid w:val="006F5C11"/>
    <w:rsid w:val="006F5E5F"/>
    <w:rsid w:val="006F69D0"/>
    <w:rsid w:val="006F6AFA"/>
    <w:rsid w:val="006F6CEE"/>
    <w:rsid w:val="006F79AE"/>
    <w:rsid w:val="006F7A4F"/>
    <w:rsid w:val="0070128F"/>
    <w:rsid w:val="007013C5"/>
    <w:rsid w:val="007024AE"/>
    <w:rsid w:val="007036B9"/>
    <w:rsid w:val="00703915"/>
    <w:rsid w:val="007042B9"/>
    <w:rsid w:val="007050B3"/>
    <w:rsid w:val="0070511E"/>
    <w:rsid w:val="00705D15"/>
    <w:rsid w:val="007061CE"/>
    <w:rsid w:val="00706BF9"/>
    <w:rsid w:val="00706E43"/>
    <w:rsid w:val="00706EDC"/>
    <w:rsid w:val="0070725B"/>
    <w:rsid w:val="007075BE"/>
    <w:rsid w:val="00707847"/>
    <w:rsid w:val="00707882"/>
    <w:rsid w:val="00710089"/>
    <w:rsid w:val="007105DF"/>
    <w:rsid w:val="0071170F"/>
    <w:rsid w:val="00711B8E"/>
    <w:rsid w:val="007125B3"/>
    <w:rsid w:val="00712779"/>
    <w:rsid w:val="0071323F"/>
    <w:rsid w:val="00713281"/>
    <w:rsid w:val="00713915"/>
    <w:rsid w:val="00713B40"/>
    <w:rsid w:val="007146BF"/>
    <w:rsid w:val="00714A1B"/>
    <w:rsid w:val="007150A6"/>
    <w:rsid w:val="00715F7D"/>
    <w:rsid w:val="0071616C"/>
    <w:rsid w:val="00716389"/>
    <w:rsid w:val="007163FD"/>
    <w:rsid w:val="007164CC"/>
    <w:rsid w:val="00716FC2"/>
    <w:rsid w:val="007172D3"/>
    <w:rsid w:val="00720253"/>
    <w:rsid w:val="00720267"/>
    <w:rsid w:val="0072099D"/>
    <w:rsid w:val="00720B5F"/>
    <w:rsid w:val="00721061"/>
    <w:rsid w:val="007217AA"/>
    <w:rsid w:val="00722248"/>
    <w:rsid w:val="0072342E"/>
    <w:rsid w:val="00723D36"/>
    <w:rsid w:val="00724229"/>
    <w:rsid w:val="007242F9"/>
    <w:rsid w:val="0072466D"/>
    <w:rsid w:val="0072485E"/>
    <w:rsid w:val="00724918"/>
    <w:rsid w:val="00724FD8"/>
    <w:rsid w:val="00725DD6"/>
    <w:rsid w:val="00725E4F"/>
    <w:rsid w:val="00726304"/>
    <w:rsid w:val="00726E50"/>
    <w:rsid w:val="00727799"/>
    <w:rsid w:val="00730195"/>
    <w:rsid w:val="00730355"/>
    <w:rsid w:val="007305A7"/>
    <w:rsid w:val="00730A23"/>
    <w:rsid w:val="00731F9B"/>
    <w:rsid w:val="007321B3"/>
    <w:rsid w:val="00732B94"/>
    <w:rsid w:val="00732E71"/>
    <w:rsid w:val="00732FBD"/>
    <w:rsid w:val="00733AF3"/>
    <w:rsid w:val="0073445B"/>
    <w:rsid w:val="007346E8"/>
    <w:rsid w:val="00734C5C"/>
    <w:rsid w:val="00734F6E"/>
    <w:rsid w:val="00735142"/>
    <w:rsid w:val="00735152"/>
    <w:rsid w:val="007355B3"/>
    <w:rsid w:val="00735AD7"/>
    <w:rsid w:val="00736580"/>
    <w:rsid w:val="0073698B"/>
    <w:rsid w:val="00736F4E"/>
    <w:rsid w:val="007379C5"/>
    <w:rsid w:val="007408D4"/>
    <w:rsid w:val="00740BCF"/>
    <w:rsid w:val="00741074"/>
    <w:rsid w:val="007416BB"/>
    <w:rsid w:val="007418A1"/>
    <w:rsid w:val="007434E6"/>
    <w:rsid w:val="00743515"/>
    <w:rsid w:val="00744324"/>
    <w:rsid w:val="007443E9"/>
    <w:rsid w:val="007449A5"/>
    <w:rsid w:val="00745CB1"/>
    <w:rsid w:val="0074602B"/>
    <w:rsid w:val="00746B60"/>
    <w:rsid w:val="00747652"/>
    <w:rsid w:val="00747A7A"/>
    <w:rsid w:val="00747A7F"/>
    <w:rsid w:val="00750049"/>
    <w:rsid w:val="00750F6A"/>
    <w:rsid w:val="0075214F"/>
    <w:rsid w:val="0075224F"/>
    <w:rsid w:val="0075307D"/>
    <w:rsid w:val="00753790"/>
    <w:rsid w:val="007542EC"/>
    <w:rsid w:val="00754335"/>
    <w:rsid w:val="00754F88"/>
    <w:rsid w:val="00755373"/>
    <w:rsid w:val="00755395"/>
    <w:rsid w:val="00755752"/>
    <w:rsid w:val="00755B6D"/>
    <w:rsid w:val="00756FC5"/>
    <w:rsid w:val="007578C5"/>
    <w:rsid w:val="007605B7"/>
    <w:rsid w:val="00760979"/>
    <w:rsid w:val="007626EA"/>
    <w:rsid w:val="00762C12"/>
    <w:rsid w:val="00762E4F"/>
    <w:rsid w:val="00763D38"/>
    <w:rsid w:val="007641CE"/>
    <w:rsid w:val="00764567"/>
    <w:rsid w:val="00764A62"/>
    <w:rsid w:val="00764ACE"/>
    <w:rsid w:val="00764ADD"/>
    <w:rsid w:val="00764DBA"/>
    <w:rsid w:val="00764EB7"/>
    <w:rsid w:val="0076511B"/>
    <w:rsid w:val="00765479"/>
    <w:rsid w:val="0076598D"/>
    <w:rsid w:val="00765C7B"/>
    <w:rsid w:val="007662FE"/>
    <w:rsid w:val="0076634C"/>
    <w:rsid w:val="007673C0"/>
    <w:rsid w:val="00767470"/>
    <w:rsid w:val="00767BF4"/>
    <w:rsid w:val="00770283"/>
    <w:rsid w:val="007704E7"/>
    <w:rsid w:val="00770771"/>
    <w:rsid w:val="0077078E"/>
    <w:rsid w:val="00771248"/>
    <w:rsid w:val="007712A5"/>
    <w:rsid w:val="00771954"/>
    <w:rsid w:val="00771C94"/>
    <w:rsid w:val="0077221A"/>
    <w:rsid w:val="00772DAD"/>
    <w:rsid w:val="00773C4D"/>
    <w:rsid w:val="00774CD2"/>
    <w:rsid w:val="007756D1"/>
    <w:rsid w:val="0077572D"/>
    <w:rsid w:val="00775D79"/>
    <w:rsid w:val="00776A59"/>
    <w:rsid w:val="00776D6D"/>
    <w:rsid w:val="007774B6"/>
    <w:rsid w:val="00780326"/>
    <w:rsid w:val="00780A3B"/>
    <w:rsid w:val="00780B61"/>
    <w:rsid w:val="00780B70"/>
    <w:rsid w:val="00780BCB"/>
    <w:rsid w:val="00780C0E"/>
    <w:rsid w:val="00781956"/>
    <w:rsid w:val="0078202C"/>
    <w:rsid w:val="00782955"/>
    <w:rsid w:val="007832EE"/>
    <w:rsid w:val="007832F3"/>
    <w:rsid w:val="00783788"/>
    <w:rsid w:val="00783A3F"/>
    <w:rsid w:val="0078456F"/>
    <w:rsid w:val="0078499A"/>
    <w:rsid w:val="00784A58"/>
    <w:rsid w:val="00785535"/>
    <w:rsid w:val="00785CF9"/>
    <w:rsid w:val="0078667B"/>
    <w:rsid w:val="00786839"/>
    <w:rsid w:val="0078690B"/>
    <w:rsid w:val="00786D4A"/>
    <w:rsid w:val="0078763D"/>
    <w:rsid w:val="0079038D"/>
    <w:rsid w:val="00790708"/>
    <w:rsid w:val="007910EB"/>
    <w:rsid w:val="00791618"/>
    <w:rsid w:val="00791623"/>
    <w:rsid w:val="00791706"/>
    <w:rsid w:val="007938ED"/>
    <w:rsid w:val="00794C57"/>
    <w:rsid w:val="00795279"/>
    <w:rsid w:val="007959AB"/>
    <w:rsid w:val="00795C7E"/>
    <w:rsid w:val="00795CE7"/>
    <w:rsid w:val="00796CAA"/>
    <w:rsid w:val="00796DA1"/>
    <w:rsid w:val="007970E9"/>
    <w:rsid w:val="007A0B17"/>
    <w:rsid w:val="007A1773"/>
    <w:rsid w:val="007A287E"/>
    <w:rsid w:val="007A33E6"/>
    <w:rsid w:val="007A341C"/>
    <w:rsid w:val="007A3BB7"/>
    <w:rsid w:val="007A5F84"/>
    <w:rsid w:val="007A6796"/>
    <w:rsid w:val="007A7B24"/>
    <w:rsid w:val="007B098F"/>
    <w:rsid w:val="007B0F81"/>
    <w:rsid w:val="007B12D3"/>
    <w:rsid w:val="007B19E7"/>
    <w:rsid w:val="007B1BE5"/>
    <w:rsid w:val="007B1BF6"/>
    <w:rsid w:val="007B258D"/>
    <w:rsid w:val="007B2946"/>
    <w:rsid w:val="007B30F3"/>
    <w:rsid w:val="007B32EC"/>
    <w:rsid w:val="007B3DF9"/>
    <w:rsid w:val="007B3F07"/>
    <w:rsid w:val="007B514C"/>
    <w:rsid w:val="007B6E15"/>
    <w:rsid w:val="007B788B"/>
    <w:rsid w:val="007B7DCA"/>
    <w:rsid w:val="007B7E6E"/>
    <w:rsid w:val="007C06F6"/>
    <w:rsid w:val="007C0DC0"/>
    <w:rsid w:val="007C1D8C"/>
    <w:rsid w:val="007C1E11"/>
    <w:rsid w:val="007C21C7"/>
    <w:rsid w:val="007C2F4E"/>
    <w:rsid w:val="007C3A65"/>
    <w:rsid w:val="007C43DD"/>
    <w:rsid w:val="007C505B"/>
    <w:rsid w:val="007C51CC"/>
    <w:rsid w:val="007C5F48"/>
    <w:rsid w:val="007C66A8"/>
    <w:rsid w:val="007C6E6A"/>
    <w:rsid w:val="007C7F16"/>
    <w:rsid w:val="007D1334"/>
    <w:rsid w:val="007D1356"/>
    <w:rsid w:val="007D1C7D"/>
    <w:rsid w:val="007D21F6"/>
    <w:rsid w:val="007D2E7B"/>
    <w:rsid w:val="007D2ED6"/>
    <w:rsid w:val="007D2FB2"/>
    <w:rsid w:val="007D4F50"/>
    <w:rsid w:val="007D5D38"/>
    <w:rsid w:val="007D5F7F"/>
    <w:rsid w:val="007D7D62"/>
    <w:rsid w:val="007D7EC9"/>
    <w:rsid w:val="007E07C9"/>
    <w:rsid w:val="007E1135"/>
    <w:rsid w:val="007E15BF"/>
    <w:rsid w:val="007E1BB9"/>
    <w:rsid w:val="007E27C0"/>
    <w:rsid w:val="007E281F"/>
    <w:rsid w:val="007E359C"/>
    <w:rsid w:val="007E36EB"/>
    <w:rsid w:val="007E4633"/>
    <w:rsid w:val="007E4DC1"/>
    <w:rsid w:val="007E598C"/>
    <w:rsid w:val="007E6DF8"/>
    <w:rsid w:val="007E75E9"/>
    <w:rsid w:val="007E7D44"/>
    <w:rsid w:val="007F0583"/>
    <w:rsid w:val="007F11FF"/>
    <w:rsid w:val="007F17C9"/>
    <w:rsid w:val="007F2BC4"/>
    <w:rsid w:val="007F40EC"/>
    <w:rsid w:val="007F4A81"/>
    <w:rsid w:val="007F575C"/>
    <w:rsid w:val="007F579B"/>
    <w:rsid w:val="007F5D3E"/>
    <w:rsid w:val="007F5DF3"/>
    <w:rsid w:val="007F72C1"/>
    <w:rsid w:val="007F72CA"/>
    <w:rsid w:val="007F7E07"/>
    <w:rsid w:val="00801274"/>
    <w:rsid w:val="008032BC"/>
    <w:rsid w:val="00803F2B"/>
    <w:rsid w:val="008045E5"/>
    <w:rsid w:val="00804B16"/>
    <w:rsid w:val="00804EF8"/>
    <w:rsid w:val="00804F72"/>
    <w:rsid w:val="00805797"/>
    <w:rsid w:val="00806024"/>
    <w:rsid w:val="008061C2"/>
    <w:rsid w:val="0080679C"/>
    <w:rsid w:val="008071D3"/>
    <w:rsid w:val="008101FC"/>
    <w:rsid w:val="00810308"/>
    <w:rsid w:val="00810378"/>
    <w:rsid w:val="008105AF"/>
    <w:rsid w:val="00810A4A"/>
    <w:rsid w:val="00810CD6"/>
    <w:rsid w:val="008118E7"/>
    <w:rsid w:val="00812463"/>
    <w:rsid w:val="0081329F"/>
    <w:rsid w:val="008136B5"/>
    <w:rsid w:val="008138F6"/>
    <w:rsid w:val="00813DC4"/>
    <w:rsid w:val="008150FF"/>
    <w:rsid w:val="0081589B"/>
    <w:rsid w:val="0081595C"/>
    <w:rsid w:val="00815A7A"/>
    <w:rsid w:val="00815C70"/>
    <w:rsid w:val="00815EF5"/>
    <w:rsid w:val="00816110"/>
    <w:rsid w:val="0081648A"/>
    <w:rsid w:val="0081768D"/>
    <w:rsid w:val="0081790C"/>
    <w:rsid w:val="00820BD1"/>
    <w:rsid w:val="00820E5A"/>
    <w:rsid w:val="00820F98"/>
    <w:rsid w:val="00821042"/>
    <w:rsid w:val="008219AB"/>
    <w:rsid w:val="00822250"/>
    <w:rsid w:val="008234D7"/>
    <w:rsid w:val="00823F3D"/>
    <w:rsid w:val="00824C50"/>
    <w:rsid w:val="00824D1A"/>
    <w:rsid w:val="00824D8D"/>
    <w:rsid w:val="00824ED4"/>
    <w:rsid w:val="0082584F"/>
    <w:rsid w:val="0082665D"/>
    <w:rsid w:val="008266F5"/>
    <w:rsid w:val="0082690F"/>
    <w:rsid w:val="008270D2"/>
    <w:rsid w:val="00827E92"/>
    <w:rsid w:val="00830605"/>
    <w:rsid w:val="00831290"/>
    <w:rsid w:val="00831485"/>
    <w:rsid w:val="00831979"/>
    <w:rsid w:val="00832219"/>
    <w:rsid w:val="0083359A"/>
    <w:rsid w:val="00833D2F"/>
    <w:rsid w:val="00834181"/>
    <w:rsid w:val="00834273"/>
    <w:rsid w:val="00834DA7"/>
    <w:rsid w:val="00834FD4"/>
    <w:rsid w:val="00835164"/>
    <w:rsid w:val="008354DC"/>
    <w:rsid w:val="00835B13"/>
    <w:rsid w:val="00835DDD"/>
    <w:rsid w:val="008361FB"/>
    <w:rsid w:val="0083768A"/>
    <w:rsid w:val="00837F4F"/>
    <w:rsid w:val="00840ADC"/>
    <w:rsid w:val="008424BE"/>
    <w:rsid w:val="00842971"/>
    <w:rsid w:val="00842A23"/>
    <w:rsid w:val="00842C32"/>
    <w:rsid w:val="00842D59"/>
    <w:rsid w:val="0084357E"/>
    <w:rsid w:val="00843680"/>
    <w:rsid w:val="00844A16"/>
    <w:rsid w:val="00844B56"/>
    <w:rsid w:val="00844E57"/>
    <w:rsid w:val="00844FEC"/>
    <w:rsid w:val="00845563"/>
    <w:rsid w:val="00846741"/>
    <w:rsid w:val="0084700A"/>
    <w:rsid w:val="0084710A"/>
    <w:rsid w:val="00847776"/>
    <w:rsid w:val="00847934"/>
    <w:rsid w:val="00847EB7"/>
    <w:rsid w:val="0085065D"/>
    <w:rsid w:val="00850ABF"/>
    <w:rsid w:val="00850E1C"/>
    <w:rsid w:val="008513BE"/>
    <w:rsid w:val="008517EB"/>
    <w:rsid w:val="00851A47"/>
    <w:rsid w:val="00851CE8"/>
    <w:rsid w:val="00851EF4"/>
    <w:rsid w:val="00851F1B"/>
    <w:rsid w:val="00852609"/>
    <w:rsid w:val="0085291A"/>
    <w:rsid w:val="00854249"/>
    <w:rsid w:val="00855C3D"/>
    <w:rsid w:val="008561EB"/>
    <w:rsid w:val="00856E4A"/>
    <w:rsid w:val="00856F99"/>
    <w:rsid w:val="00857267"/>
    <w:rsid w:val="008573A4"/>
    <w:rsid w:val="0086048F"/>
    <w:rsid w:val="00860577"/>
    <w:rsid w:val="00861BE7"/>
    <w:rsid w:val="00862438"/>
    <w:rsid w:val="00862C1B"/>
    <w:rsid w:val="0086324A"/>
    <w:rsid w:val="00863AAB"/>
    <w:rsid w:val="00863E0D"/>
    <w:rsid w:val="00864A8E"/>
    <w:rsid w:val="00864ECE"/>
    <w:rsid w:val="008653EF"/>
    <w:rsid w:val="008658AA"/>
    <w:rsid w:val="00865D30"/>
    <w:rsid w:val="0086642D"/>
    <w:rsid w:val="00867399"/>
    <w:rsid w:val="00867F76"/>
    <w:rsid w:val="008703CA"/>
    <w:rsid w:val="00870488"/>
    <w:rsid w:val="008704D5"/>
    <w:rsid w:val="008705D9"/>
    <w:rsid w:val="00870A6F"/>
    <w:rsid w:val="008718B2"/>
    <w:rsid w:val="008725EB"/>
    <w:rsid w:val="00873AAF"/>
    <w:rsid w:val="008740C6"/>
    <w:rsid w:val="00874FA0"/>
    <w:rsid w:val="008754EE"/>
    <w:rsid w:val="00875CD5"/>
    <w:rsid w:val="00875D95"/>
    <w:rsid w:val="00876639"/>
    <w:rsid w:val="008766C8"/>
    <w:rsid w:val="008771FB"/>
    <w:rsid w:val="008773D1"/>
    <w:rsid w:val="008778AD"/>
    <w:rsid w:val="00877DC0"/>
    <w:rsid w:val="00877F01"/>
    <w:rsid w:val="00881215"/>
    <w:rsid w:val="00881F9D"/>
    <w:rsid w:val="0088276E"/>
    <w:rsid w:val="008833B7"/>
    <w:rsid w:val="008837B7"/>
    <w:rsid w:val="008839BD"/>
    <w:rsid w:val="00883E58"/>
    <w:rsid w:val="00884237"/>
    <w:rsid w:val="00884C0A"/>
    <w:rsid w:val="00885B45"/>
    <w:rsid w:val="00885E8D"/>
    <w:rsid w:val="0088643B"/>
    <w:rsid w:val="0088682F"/>
    <w:rsid w:val="00891890"/>
    <w:rsid w:val="0089207A"/>
    <w:rsid w:val="00892CFB"/>
    <w:rsid w:val="00893D21"/>
    <w:rsid w:val="00895F64"/>
    <w:rsid w:val="00895FC9"/>
    <w:rsid w:val="0089665C"/>
    <w:rsid w:val="00896C41"/>
    <w:rsid w:val="00897A03"/>
    <w:rsid w:val="008A0D53"/>
    <w:rsid w:val="008A13CE"/>
    <w:rsid w:val="008A3054"/>
    <w:rsid w:val="008A3074"/>
    <w:rsid w:val="008A419B"/>
    <w:rsid w:val="008A46F9"/>
    <w:rsid w:val="008A5970"/>
    <w:rsid w:val="008A5AF1"/>
    <w:rsid w:val="008A5BD8"/>
    <w:rsid w:val="008A610B"/>
    <w:rsid w:val="008A62B3"/>
    <w:rsid w:val="008A66E1"/>
    <w:rsid w:val="008A6757"/>
    <w:rsid w:val="008A6759"/>
    <w:rsid w:val="008A6EA4"/>
    <w:rsid w:val="008A70AD"/>
    <w:rsid w:val="008A754C"/>
    <w:rsid w:val="008A7A81"/>
    <w:rsid w:val="008B0DDB"/>
    <w:rsid w:val="008B12E9"/>
    <w:rsid w:val="008B19D4"/>
    <w:rsid w:val="008B1FC9"/>
    <w:rsid w:val="008B3A49"/>
    <w:rsid w:val="008B3AC8"/>
    <w:rsid w:val="008B3D4F"/>
    <w:rsid w:val="008B44E9"/>
    <w:rsid w:val="008B48DE"/>
    <w:rsid w:val="008B4A89"/>
    <w:rsid w:val="008B5620"/>
    <w:rsid w:val="008B693D"/>
    <w:rsid w:val="008B6EE0"/>
    <w:rsid w:val="008B75F6"/>
    <w:rsid w:val="008B782E"/>
    <w:rsid w:val="008C0F96"/>
    <w:rsid w:val="008C1857"/>
    <w:rsid w:val="008C1A2E"/>
    <w:rsid w:val="008C1EE4"/>
    <w:rsid w:val="008C2525"/>
    <w:rsid w:val="008C2B40"/>
    <w:rsid w:val="008C3156"/>
    <w:rsid w:val="008C3A8C"/>
    <w:rsid w:val="008C3DD5"/>
    <w:rsid w:val="008C41EA"/>
    <w:rsid w:val="008C47E3"/>
    <w:rsid w:val="008C47EA"/>
    <w:rsid w:val="008C4B9D"/>
    <w:rsid w:val="008C5035"/>
    <w:rsid w:val="008C54D2"/>
    <w:rsid w:val="008C574A"/>
    <w:rsid w:val="008C5E8A"/>
    <w:rsid w:val="008C666D"/>
    <w:rsid w:val="008C68B6"/>
    <w:rsid w:val="008C75EA"/>
    <w:rsid w:val="008C7E94"/>
    <w:rsid w:val="008D073F"/>
    <w:rsid w:val="008D1588"/>
    <w:rsid w:val="008D1A72"/>
    <w:rsid w:val="008D24A2"/>
    <w:rsid w:val="008D2A48"/>
    <w:rsid w:val="008D45AF"/>
    <w:rsid w:val="008D5F33"/>
    <w:rsid w:val="008D5FC8"/>
    <w:rsid w:val="008D6487"/>
    <w:rsid w:val="008D6E63"/>
    <w:rsid w:val="008D77E8"/>
    <w:rsid w:val="008D7BBB"/>
    <w:rsid w:val="008E080B"/>
    <w:rsid w:val="008E19FE"/>
    <w:rsid w:val="008E1A3F"/>
    <w:rsid w:val="008E1ACB"/>
    <w:rsid w:val="008E1CB0"/>
    <w:rsid w:val="008E1CC2"/>
    <w:rsid w:val="008E22B1"/>
    <w:rsid w:val="008E243A"/>
    <w:rsid w:val="008E2604"/>
    <w:rsid w:val="008E4011"/>
    <w:rsid w:val="008E42E4"/>
    <w:rsid w:val="008E4B9C"/>
    <w:rsid w:val="008E4C64"/>
    <w:rsid w:val="008E5054"/>
    <w:rsid w:val="008E50C1"/>
    <w:rsid w:val="008E5691"/>
    <w:rsid w:val="008E58EE"/>
    <w:rsid w:val="008E612D"/>
    <w:rsid w:val="008E67E0"/>
    <w:rsid w:val="008E692B"/>
    <w:rsid w:val="008E6C6C"/>
    <w:rsid w:val="008E6D50"/>
    <w:rsid w:val="008E76FF"/>
    <w:rsid w:val="008E7BD2"/>
    <w:rsid w:val="008F0273"/>
    <w:rsid w:val="008F03B7"/>
    <w:rsid w:val="008F0BA9"/>
    <w:rsid w:val="008F1119"/>
    <w:rsid w:val="008F14FE"/>
    <w:rsid w:val="008F1734"/>
    <w:rsid w:val="008F1BDC"/>
    <w:rsid w:val="008F28A5"/>
    <w:rsid w:val="008F2EF0"/>
    <w:rsid w:val="008F3542"/>
    <w:rsid w:val="008F3C6D"/>
    <w:rsid w:val="008F4B00"/>
    <w:rsid w:val="008F5659"/>
    <w:rsid w:val="008F698E"/>
    <w:rsid w:val="008F6FC1"/>
    <w:rsid w:val="0090083C"/>
    <w:rsid w:val="00900BFC"/>
    <w:rsid w:val="00901680"/>
    <w:rsid w:val="0090185B"/>
    <w:rsid w:val="00901F70"/>
    <w:rsid w:val="00902AE5"/>
    <w:rsid w:val="00902D3A"/>
    <w:rsid w:val="00902FB2"/>
    <w:rsid w:val="009036E5"/>
    <w:rsid w:val="00903ABA"/>
    <w:rsid w:val="00904308"/>
    <w:rsid w:val="00904BE5"/>
    <w:rsid w:val="00905C65"/>
    <w:rsid w:val="009061AB"/>
    <w:rsid w:val="00906267"/>
    <w:rsid w:val="0090714E"/>
    <w:rsid w:val="0090770F"/>
    <w:rsid w:val="00907947"/>
    <w:rsid w:val="00907D14"/>
    <w:rsid w:val="009101B6"/>
    <w:rsid w:val="009107D6"/>
    <w:rsid w:val="00910D72"/>
    <w:rsid w:val="00910E62"/>
    <w:rsid w:val="0091195C"/>
    <w:rsid w:val="00912340"/>
    <w:rsid w:val="009124EC"/>
    <w:rsid w:val="009127AA"/>
    <w:rsid w:val="009129AD"/>
    <w:rsid w:val="00913663"/>
    <w:rsid w:val="00913A3F"/>
    <w:rsid w:val="00914E03"/>
    <w:rsid w:val="009158D3"/>
    <w:rsid w:val="00915AFA"/>
    <w:rsid w:val="00915D19"/>
    <w:rsid w:val="009166FF"/>
    <w:rsid w:val="00916916"/>
    <w:rsid w:val="009177C1"/>
    <w:rsid w:val="00920F9D"/>
    <w:rsid w:val="00923105"/>
    <w:rsid w:val="00924AF1"/>
    <w:rsid w:val="00924C52"/>
    <w:rsid w:val="00925727"/>
    <w:rsid w:val="0092572D"/>
    <w:rsid w:val="009258A9"/>
    <w:rsid w:val="009259E1"/>
    <w:rsid w:val="009259EC"/>
    <w:rsid w:val="00925E37"/>
    <w:rsid w:val="00926052"/>
    <w:rsid w:val="0092643B"/>
    <w:rsid w:val="00926CD0"/>
    <w:rsid w:val="00927426"/>
    <w:rsid w:val="00927AF8"/>
    <w:rsid w:val="009305D8"/>
    <w:rsid w:val="009305F3"/>
    <w:rsid w:val="009319EF"/>
    <w:rsid w:val="00932187"/>
    <w:rsid w:val="00932670"/>
    <w:rsid w:val="00932B6B"/>
    <w:rsid w:val="00932EF7"/>
    <w:rsid w:val="00932F28"/>
    <w:rsid w:val="00933487"/>
    <w:rsid w:val="00935162"/>
    <w:rsid w:val="00935E43"/>
    <w:rsid w:val="00935FC8"/>
    <w:rsid w:val="009361DF"/>
    <w:rsid w:val="00936424"/>
    <w:rsid w:val="00936ECE"/>
    <w:rsid w:val="00937416"/>
    <w:rsid w:val="00937441"/>
    <w:rsid w:val="00937E14"/>
    <w:rsid w:val="00940566"/>
    <w:rsid w:val="00940BB8"/>
    <w:rsid w:val="009417FC"/>
    <w:rsid w:val="00942B55"/>
    <w:rsid w:val="00942B63"/>
    <w:rsid w:val="009434F7"/>
    <w:rsid w:val="00943508"/>
    <w:rsid w:val="009436F3"/>
    <w:rsid w:val="00943E26"/>
    <w:rsid w:val="009466D7"/>
    <w:rsid w:val="00946790"/>
    <w:rsid w:val="00946958"/>
    <w:rsid w:val="00947B59"/>
    <w:rsid w:val="00947CF0"/>
    <w:rsid w:val="009505FA"/>
    <w:rsid w:val="009533D5"/>
    <w:rsid w:val="009534A1"/>
    <w:rsid w:val="009542A9"/>
    <w:rsid w:val="009544C7"/>
    <w:rsid w:val="009547BA"/>
    <w:rsid w:val="00954E57"/>
    <w:rsid w:val="009560DC"/>
    <w:rsid w:val="009566DA"/>
    <w:rsid w:val="00957B41"/>
    <w:rsid w:val="00957C29"/>
    <w:rsid w:val="00960E53"/>
    <w:rsid w:val="009618F3"/>
    <w:rsid w:val="0096292A"/>
    <w:rsid w:val="009629B2"/>
    <w:rsid w:val="00963BC0"/>
    <w:rsid w:val="0096434A"/>
    <w:rsid w:val="00964AA0"/>
    <w:rsid w:val="00964CDF"/>
    <w:rsid w:val="00965392"/>
    <w:rsid w:val="00965D37"/>
    <w:rsid w:val="00966860"/>
    <w:rsid w:val="00966B0A"/>
    <w:rsid w:val="00966F49"/>
    <w:rsid w:val="00967D9C"/>
    <w:rsid w:val="00970DEB"/>
    <w:rsid w:val="009710AE"/>
    <w:rsid w:val="00971BBF"/>
    <w:rsid w:val="0097207F"/>
    <w:rsid w:val="0097355B"/>
    <w:rsid w:val="00973C6E"/>
    <w:rsid w:val="009741D4"/>
    <w:rsid w:val="0097455C"/>
    <w:rsid w:val="00974939"/>
    <w:rsid w:val="0097513F"/>
    <w:rsid w:val="00975284"/>
    <w:rsid w:val="00975E17"/>
    <w:rsid w:val="00975E52"/>
    <w:rsid w:val="009779E3"/>
    <w:rsid w:val="00980425"/>
    <w:rsid w:val="009807D1"/>
    <w:rsid w:val="00981499"/>
    <w:rsid w:val="009816C0"/>
    <w:rsid w:val="00982966"/>
    <w:rsid w:val="00984094"/>
    <w:rsid w:val="009840FF"/>
    <w:rsid w:val="00984910"/>
    <w:rsid w:val="00984D38"/>
    <w:rsid w:val="00986B33"/>
    <w:rsid w:val="00986C63"/>
    <w:rsid w:val="00987319"/>
    <w:rsid w:val="009875D7"/>
    <w:rsid w:val="009875FF"/>
    <w:rsid w:val="009878D4"/>
    <w:rsid w:val="00987A5F"/>
    <w:rsid w:val="00987AD5"/>
    <w:rsid w:val="009901EC"/>
    <w:rsid w:val="00990937"/>
    <w:rsid w:val="0099131D"/>
    <w:rsid w:val="00991412"/>
    <w:rsid w:val="00991CB0"/>
    <w:rsid w:val="009922D5"/>
    <w:rsid w:val="00992574"/>
    <w:rsid w:val="0099266A"/>
    <w:rsid w:val="00992734"/>
    <w:rsid w:val="00992FCC"/>
    <w:rsid w:val="009930B2"/>
    <w:rsid w:val="00993795"/>
    <w:rsid w:val="009939D2"/>
    <w:rsid w:val="00993CAD"/>
    <w:rsid w:val="00994D2E"/>
    <w:rsid w:val="0099535D"/>
    <w:rsid w:val="00995553"/>
    <w:rsid w:val="00995993"/>
    <w:rsid w:val="00995D46"/>
    <w:rsid w:val="00996A11"/>
    <w:rsid w:val="00996C85"/>
    <w:rsid w:val="00996C9C"/>
    <w:rsid w:val="0099701C"/>
    <w:rsid w:val="0099721C"/>
    <w:rsid w:val="00997279"/>
    <w:rsid w:val="009979BA"/>
    <w:rsid w:val="00997A9D"/>
    <w:rsid w:val="00997C8C"/>
    <w:rsid w:val="009A0596"/>
    <w:rsid w:val="009A16C9"/>
    <w:rsid w:val="009A223C"/>
    <w:rsid w:val="009A259E"/>
    <w:rsid w:val="009A315F"/>
    <w:rsid w:val="009A31D6"/>
    <w:rsid w:val="009A33B9"/>
    <w:rsid w:val="009A357F"/>
    <w:rsid w:val="009A3693"/>
    <w:rsid w:val="009A4126"/>
    <w:rsid w:val="009A4A3E"/>
    <w:rsid w:val="009A4C80"/>
    <w:rsid w:val="009A4DF0"/>
    <w:rsid w:val="009A5805"/>
    <w:rsid w:val="009A5905"/>
    <w:rsid w:val="009A5CBB"/>
    <w:rsid w:val="009A5E89"/>
    <w:rsid w:val="009A74D4"/>
    <w:rsid w:val="009B11BF"/>
    <w:rsid w:val="009B189D"/>
    <w:rsid w:val="009B1CAA"/>
    <w:rsid w:val="009B1E70"/>
    <w:rsid w:val="009B25E2"/>
    <w:rsid w:val="009B2E3B"/>
    <w:rsid w:val="009B3047"/>
    <w:rsid w:val="009B305F"/>
    <w:rsid w:val="009B4C40"/>
    <w:rsid w:val="009B5346"/>
    <w:rsid w:val="009B53B1"/>
    <w:rsid w:val="009B56DE"/>
    <w:rsid w:val="009B5D53"/>
    <w:rsid w:val="009B5E80"/>
    <w:rsid w:val="009B614F"/>
    <w:rsid w:val="009B6D57"/>
    <w:rsid w:val="009B6FB4"/>
    <w:rsid w:val="009B7138"/>
    <w:rsid w:val="009B7763"/>
    <w:rsid w:val="009B7B85"/>
    <w:rsid w:val="009C001E"/>
    <w:rsid w:val="009C02B1"/>
    <w:rsid w:val="009C0A1A"/>
    <w:rsid w:val="009C11B0"/>
    <w:rsid w:val="009C11CF"/>
    <w:rsid w:val="009C17F2"/>
    <w:rsid w:val="009C1ACD"/>
    <w:rsid w:val="009C1B9A"/>
    <w:rsid w:val="009C1C58"/>
    <w:rsid w:val="009C1FB4"/>
    <w:rsid w:val="009C2177"/>
    <w:rsid w:val="009C2D6E"/>
    <w:rsid w:val="009C3199"/>
    <w:rsid w:val="009C38A1"/>
    <w:rsid w:val="009C54A7"/>
    <w:rsid w:val="009C641E"/>
    <w:rsid w:val="009C6453"/>
    <w:rsid w:val="009C698C"/>
    <w:rsid w:val="009C6AC6"/>
    <w:rsid w:val="009C6D60"/>
    <w:rsid w:val="009C711D"/>
    <w:rsid w:val="009C7500"/>
    <w:rsid w:val="009C759D"/>
    <w:rsid w:val="009C7BE3"/>
    <w:rsid w:val="009C7DA1"/>
    <w:rsid w:val="009C7EEE"/>
    <w:rsid w:val="009D0965"/>
    <w:rsid w:val="009D0C6D"/>
    <w:rsid w:val="009D1507"/>
    <w:rsid w:val="009D15B4"/>
    <w:rsid w:val="009D1B78"/>
    <w:rsid w:val="009D20FD"/>
    <w:rsid w:val="009D2349"/>
    <w:rsid w:val="009D25B4"/>
    <w:rsid w:val="009D2838"/>
    <w:rsid w:val="009D28C3"/>
    <w:rsid w:val="009D28F7"/>
    <w:rsid w:val="009D34EE"/>
    <w:rsid w:val="009D36E3"/>
    <w:rsid w:val="009D3F46"/>
    <w:rsid w:val="009D439B"/>
    <w:rsid w:val="009D4FAC"/>
    <w:rsid w:val="009D5EF2"/>
    <w:rsid w:val="009D6F7B"/>
    <w:rsid w:val="009D7026"/>
    <w:rsid w:val="009D7586"/>
    <w:rsid w:val="009D76C6"/>
    <w:rsid w:val="009D779D"/>
    <w:rsid w:val="009D77DD"/>
    <w:rsid w:val="009D7E63"/>
    <w:rsid w:val="009D7FA3"/>
    <w:rsid w:val="009E04D9"/>
    <w:rsid w:val="009E0623"/>
    <w:rsid w:val="009E070E"/>
    <w:rsid w:val="009E0D77"/>
    <w:rsid w:val="009E1160"/>
    <w:rsid w:val="009E182D"/>
    <w:rsid w:val="009E43BC"/>
    <w:rsid w:val="009E479A"/>
    <w:rsid w:val="009E4E8F"/>
    <w:rsid w:val="009E5DD2"/>
    <w:rsid w:val="009E5FF1"/>
    <w:rsid w:val="009E7395"/>
    <w:rsid w:val="009E73E1"/>
    <w:rsid w:val="009E7490"/>
    <w:rsid w:val="009F0C40"/>
    <w:rsid w:val="009F1107"/>
    <w:rsid w:val="009F16F1"/>
    <w:rsid w:val="009F183B"/>
    <w:rsid w:val="009F1874"/>
    <w:rsid w:val="009F1FF1"/>
    <w:rsid w:val="009F2523"/>
    <w:rsid w:val="009F2905"/>
    <w:rsid w:val="009F2BB8"/>
    <w:rsid w:val="009F3083"/>
    <w:rsid w:val="009F3323"/>
    <w:rsid w:val="009F37AB"/>
    <w:rsid w:val="009F3811"/>
    <w:rsid w:val="009F4675"/>
    <w:rsid w:val="009F5B80"/>
    <w:rsid w:val="009F5EC5"/>
    <w:rsid w:val="009F61C7"/>
    <w:rsid w:val="009F67C6"/>
    <w:rsid w:val="009F75A2"/>
    <w:rsid w:val="009F78ED"/>
    <w:rsid w:val="009F7D3F"/>
    <w:rsid w:val="00A000AE"/>
    <w:rsid w:val="00A00703"/>
    <w:rsid w:val="00A00764"/>
    <w:rsid w:val="00A00823"/>
    <w:rsid w:val="00A00BE1"/>
    <w:rsid w:val="00A011AE"/>
    <w:rsid w:val="00A016C5"/>
    <w:rsid w:val="00A01CED"/>
    <w:rsid w:val="00A01FD4"/>
    <w:rsid w:val="00A023BD"/>
    <w:rsid w:val="00A03D86"/>
    <w:rsid w:val="00A0514D"/>
    <w:rsid w:val="00A0599E"/>
    <w:rsid w:val="00A06340"/>
    <w:rsid w:val="00A0643C"/>
    <w:rsid w:val="00A06DB6"/>
    <w:rsid w:val="00A06F4F"/>
    <w:rsid w:val="00A070CA"/>
    <w:rsid w:val="00A074F8"/>
    <w:rsid w:val="00A0756E"/>
    <w:rsid w:val="00A07C46"/>
    <w:rsid w:val="00A07EE7"/>
    <w:rsid w:val="00A102A5"/>
    <w:rsid w:val="00A10FF2"/>
    <w:rsid w:val="00A115E3"/>
    <w:rsid w:val="00A116FA"/>
    <w:rsid w:val="00A120FC"/>
    <w:rsid w:val="00A12403"/>
    <w:rsid w:val="00A126A9"/>
    <w:rsid w:val="00A13EB2"/>
    <w:rsid w:val="00A13FFF"/>
    <w:rsid w:val="00A141C4"/>
    <w:rsid w:val="00A14220"/>
    <w:rsid w:val="00A14382"/>
    <w:rsid w:val="00A14DBB"/>
    <w:rsid w:val="00A14E34"/>
    <w:rsid w:val="00A14F8D"/>
    <w:rsid w:val="00A162EB"/>
    <w:rsid w:val="00A1670E"/>
    <w:rsid w:val="00A167AB"/>
    <w:rsid w:val="00A16DE8"/>
    <w:rsid w:val="00A17508"/>
    <w:rsid w:val="00A2061D"/>
    <w:rsid w:val="00A20E1A"/>
    <w:rsid w:val="00A2180F"/>
    <w:rsid w:val="00A21E0E"/>
    <w:rsid w:val="00A21E47"/>
    <w:rsid w:val="00A21E83"/>
    <w:rsid w:val="00A2371D"/>
    <w:rsid w:val="00A23A6E"/>
    <w:rsid w:val="00A23AF0"/>
    <w:rsid w:val="00A23BEE"/>
    <w:rsid w:val="00A24B60"/>
    <w:rsid w:val="00A24D21"/>
    <w:rsid w:val="00A251DA"/>
    <w:rsid w:val="00A252F0"/>
    <w:rsid w:val="00A25388"/>
    <w:rsid w:val="00A253F3"/>
    <w:rsid w:val="00A25E52"/>
    <w:rsid w:val="00A268CC"/>
    <w:rsid w:val="00A270BF"/>
    <w:rsid w:val="00A271B9"/>
    <w:rsid w:val="00A27295"/>
    <w:rsid w:val="00A2744A"/>
    <w:rsid w:val="00A2759C"/>
    <w:rsid w:val="00A30A28"/>
    <w:rsid w:val="00A30E7C"/>
    <w:rsid w:val="00A3132A"/>
    <w:rsid w:val="00A32310"/>
    <w:rsid w:val="00A327E2"/>
    <w:rsid w:val="00A32A36"/>
    <w:rsid w:val="00A3328A"/>
    <w:rsid w:val="00A33677"/>
    <w:rsid w:val="00A33B2C"/>
    <w:rsid w:val="00A33D8A"/>
    <w:rsid w:val="00A33E5F"/>
    <w:rsid w:val="00A35078"/>
    <w:rsid w:val="00A3587E"/>
    <w:rsid w:val="00A361D1"/>
    <w:rsid w:val="00A36600"/>
    <w:rsid w:val="00A366F5"/>
    <w:rsid w:val="00A40CFE"/>
    <w:rsid w:val="00A4285B"/>
    <w:rsid w:val="00A42BCC"/>
    <w:rsid w:val="00A44FE7"/>
    <w:rsid w:val="00A45088"/>
    <w:rsid w:val="00A45779"/>
    <w:rsid w:val="00A4587A"/>
    <w:rsid w:val="00A45C6A"/>
    <w:rsid w:val="00A45F88"/>
    <w:rsid w:val="00A4627F"/>
    <w:rsid w:val="00A463B2"/>
    <w:rsid w:val="00A465C3"/>
    <w:rsid w:val="00A46855"/>
    <w:rsid w:val="00A4728A"/>
    <w:rsid w:val="00A4746A"/>
    <w:rsid w:val="00A5144C"/>
    <w:rsid w:val="00A515CC"/>
    <w:rsid w:val="00A51851"/>
    <w:rsid w:val="00A519CC"/>
    <w:rsid w:val="00A523AB"/>
    <w:rsid w:val="00A534F5"/>
    <w:rsid w:val="00A53F5D"/>
    <w:rsid w:val="00A541C3"/>
    <w:rsid w:val="00A54595"/>
    <w:rsid w:val="00A54D10"/>
    <w:rsid w:val="00A55289"/>
    <w:rsid w:val="00A56331"/>
    <w:rsid w:val="00A56682"/>
    <w:rsid w:val="00A56767"/>
    <w:rsid w:val="00A56D22"/>
    <w:rsid w:val="00A573D5"/>
    <w:rsid w:val="00A5753F"/>
    <w:rsid w:val="00A57618"/>
    <w:rsid w:val="00A60C52"/>
    <w:rsid w:val="00A61CC7"/>
    <w:rsid w:val="00A61F3E"/>
    <w:rsid w:val="00A62044"/>
    <w:rsid w:val="00A620DD"/>
    <w:rsid w:val="00A63065"/>
    <w:rsid w:val="00A63711"/>
    <w:rsid w:val="00A66083"/>
    <w:rsid w:val="00A671DE"/>
    <w:rsid w:val="00A67830"/>
    <w:rsid w:val="00A710E1"/>
    <w:rsid w:val="00A712AA"/>
    <w:rsid w:val="00A72AA9"/>
    <w:rsid w:val="00A7375A"/>
    <w:rsid w:val="00A73965"/>
    <w:rsid w:val="00A739E3"/>
    <w:rsid w:val="00A73CE3"/>
    <w:rsid w:val="00A73D1A"/>
    <w:rsid w:val="00A74714"/>
    <w:rsid w:val="00A74A13"/>
    <w:rsid w:val="00A74AF0"/>
    <w:rsid w:val="00A74E08"/>
    <w:rsid w:val="00A752AC"/>
    <w:rsid w:val="00A75395"/>
    <w:rsid w:val="00A75F3D"/>
    <w:rsid w:val="00A75FE8"/>
    <w:rsid w:val="00A77A45"/>
    <w:rsid w:val="00A77AA5"/>
    <w:rsid w:val="00A77F8B"/>
    <w:rsid w:val="00A81073"/>
    <w:rsid w:val="00A8353E"/>
    <w:rsid w:val="00A83BC2"/>
    <w:rsid w:val="00A842F7"/>
    <w:rsid w:val="00A844EA"/>
    <w:rsid w:val="00A84887"/>
    <w:rsid w:val="00A84B30"/>
    <w:rsid w:val="00A8616D"/>
    <w:rsid w:val="00A86335"/>
    <w:rsid w:val="00A86513"/>
    <w:rsid w:val="00A86915"/>
    <w:rsid w:val="00A8735F"/>
    <w:rsid w:val="00A8742C"/>
    <w:rsid w:val="00A87627"/>
    <w:rsid w:val="00A904CF"/>
    <w:rsid w:val="00A90A68"/>
    <w:rsid w:val="00A90AFC"/>
    <w:rsid w:val="00A911F3"/>
    <w:rsid w:val="00A914E2"/>
    <w:rsid w:val="00A91B1F"/>
    <w:rsid w:val="00A91BD2"/>
    <w:rsid w:val="00A92053"/>
    <w:rsid w:val="00A920BF"/>
    <w:rsid w:val="00A920C8"/>
    <w:rsid w:val="00A929BB"/>
    <w:rsid w:val="00A92EF8"/>
    <w:rsid w:val="00A93762"/>
    <w:rsid w:val="00A945A7"/>
    <w:rsid w:val="00A94918"/>
    <w:rsid w:val="00A94B43"/>
    <w:rsid w:val="00A94B7A"/>
    <w:rsid w:val="00A96AFD"/>
    <w:rsid w:val="00A976BF"/>
    <w:rsid w:val="00A97966"/>
    <w:rsid w:val="00A97AEB"/>
    <w:rsid w:val="00A97F4B"/>
    <w:rsid w:val="00AA0143"/>
    <w:rsid w:val="00AA023D"/>
    <w:rsid w:val="00AA05B4"/>
    <w:rsid w:val="00AA085B"/>
    <w:rsid w:val="00AA1062"/>
    <w:rsid w:val="00AA10E0"/>
    <w:rsid w:val="00AA202C"/>
    <w:rsid w:val="00AA23C9"/>
    <w:rsid w:val="00AA2BB8"/>
    <w:rsid w:val="00AA2FF2"/>
    <w:rsid w:val="00AA3066"/>
    <w:rsid w:val="00AA3367"/>
    <w:rsid w:val="00AA3B7E"/>
    <w:rsid w:val="00AA404C"/>
    <w:rsid w:val="00AA462F"/>
    <w:rsid w:val="00AA4B02"/>
    <w:rsid w:val="00AA56E8"/>
    <w:rsid w:val="00AA5A43"/>
    <w:rsid w:val="00AA60D3"/>
    <w:rsid w:val="00AA66C8"/>
    <w:rsid w:val="00AA6ADA"/>
    <w:rsid w:val="00AB01CE"/>
    <w:rsid w:val="00AB0737"/>
    <w:rsid w:val="00AB0CFB"/>
    <w:rsid w:val="00AB0F5E"/>
    <w:rsid w:val="00AB1238"/>
    <w:rsid w:val="00AB1A68"/>
    <w:rsid w:val="00AB2536"/>
    <w:rsid w:val="00AB2FCC"/>
    <w:rsid w:val="00AB38B9"/>
    <w:rsid w:val="00AB3FB5"/>
    <w:rsid w:val="00AB41A9"/>
    <w:rsid w:val="00AB4273"/>
    <w:rsid w:val="00AB4D6A"/>
    <w:rsid w:val="00AB5256"/>
    <w:rsid w:val="00AB584D"/>
    <w:rsid w:val="00AB6072"/>
    <w:rsid w:val="00AB6B78"/>
    <w:rsid w:val="00AB6E9A"/>
    <w:rsid w:val="00AB73B0"/>
    <w:rsid w:val="00AB77E4"/>
    <w:rsid w:val="00AC09D5"/>
    <w:rsid w:val="00AC0BF4"/>
    <w:rsid w:val="00AC1BFA"/>
    <w:rsid w:val="00AC1C7F"/>
    <w:rsid w:val="00AC1D29"/>
    <w:rsid w:val="00AC1EB0"/>
    <w:rsid w:val="00AC2290"/>
    <w:rsid w:val="00AC2FD2"/>
    <w:rsid w:val="00AC30EE"/>
    <w:rsid w:val="00AC331D"/>
    <w:rsid w:val="00AC483F"/>
    <w:rsid w:val="00AC574F"/>
    <w:rsid w:val="00AC5BC1"/>
    <w:rsid w:val="00AC5E5B"/>
    <w:rsid w:val="00AC6BDC"/>
    <w:rsid w:val="00AC6F92"/>
    <w:rsid w:val="00AC72A0"/>
    <w:rsid w:val="00AC740E"/>
    <w:rsid w:val="00AC7829"/>
    <w:rsid w:val="00AD0E22"/>
    <w:rsid w:val="00AD102A"/>
    <w:rsid w:val="00AD1F99"/>
    <w:rsid w:val="00AD2049"/>
    <w:rsid w:val="00AD257A"/>
    <w:rsid w:val="00AD2976"/>
    <w:rsid w:val="00AD2D37"/>
    <w:rsid w:val="00AD31F1"/>
    <w:rsid w:val="00AD4AFB"/>
    <w:rsid w:val="00AD5028"/>
    <w:rsid w:val="00AD5689"/>
    <w:rsid w:val="00AD589B"/>
    <w:rsid w:val="00AD60D6"/>
    <w:rsid w:val="00AD6427"/>
    <w:rsid w:val="00AD6514"/>
    <w:rsid w:val="00AD69B5"/>
    <w:rsid w:val="00AD6C9B"/>
    <w:rsid w:val="00AD70CC"/>
    <w:rsid w:val="00AD79CA"/>
    <w:rsid w:val="00AE0BD3"/>
    <w:rsid w:val="00AE147E"/>
    <w:rsid w:val="00AE1ACE"/>
    <w:rsid w:val="00AE24F3"/>
    <w:rsid w:val="00AE34D9"/>
    <w:rsid w:val="00AE425A"/>
    <w:rsid w:val="00AE465A"/>
    <w:rsid w:val="00AE4AAD"/>
    <w:rsid w:val="00AE4BEC"/>
    <w:rsid w:val="00AE4F77"/>
    <w:rsid w:val="00AE5B45"/>
    <w:rsid w:val="00AE5DE1"/>
    <w:rsid w:val="00AE6B2F"/>
    <w:rsid w:val="00AE6DE0"/>
    <w:rsid w:val="00AE7416"/>
    <w:rsid w:val="00AE7459"/>
    <w:rsid w:val="00AE7DBF"/>
    <w:rsid w:val="00AE7E18"/>
    <w:rsid w:val="00AF032A"/>
    <w:rsid w:val="00AF0823"/>
    <w:rsid w:val="00AF0DFA"/>
    <w:rsid w:val="00AF145A"/>
    <w:rsid w:val="00AF14CD"/>
    <w:rsid w:val="00AF1698"/>
    <w:rsid w:val="00AF22E7"/>
    <w:rsid w:val="00AF4972"/>
    <w:rsid w:val="00AF4993"/>
    <w:rsid w:val="00AF5C1C"/>
    <w:rsid w:val="00AF60D2"/>
    <w:rsid w:val="00AF77D6"/>
    <w:rsid w:val="00AF7B81"/>
    <w:rsid w:val="00AF7C3B"/>
    <w:rsid w:val="00AF7E46"/>
    <w:rsid w:val="00B00A22"/>
    <w:rsid w:val="00B01779"/>
    <w:rsid w:val="00B01B84"/>
    <w:rsid w:val="00B028DF"/>
    <w:rsid w:val="00B02FF6"/>
    <w:rsid w:val="00B03C5B"/>
    <w:rsid w:val="00B0449C"/>
    <w:rsid w:val="00B044FE"/>
    <w:rsid w:val="00B04E95"/>
    <w:rsid w:val="00B059A7"/>
    <w:rsid w:val="00B05A7B"/>
    <w:rsid w:val="00B061C5"/>
    <w:rsid w:val="00B0669E"/>
    <w:rsid w:val="00B0766D"/>
    <w:rsid w:val="00B07827"/>
    <w:rsid w:val="00B07860"/>
    <w:rsid w:val="00B07BE6"/>
    <w:rsid w:val="00B1025A"/>
    <w:rsid w:val="00B103AE"/>
    <w:rsid w:val="00B10703"/>
    <w:rsid w:val="00B10C54"/>
    <w:rsid w:val="00B10D7C"/>
    <w:rsid w:val="00B11440"/>
    <w:rsid w:val="00B12767"/>
    <w:rsid w:val="00B12941"/>
    <w:rsid w:val="00B139FC"/>
    <w:rsid w:val="00B13A67"/>
    <w:rsid w:val="00B142AC"/>
    <w:rsid w:val="00B14E7A"/>
    <w:rsid w:val="00B152A4"/>
    <w:rsid w:val="00B16C6A"/>
    <w:rsid w:val="00B172FC"/>
    <w:rsid w:val="00B21BE6"/>
    <w:rsid w:val="00B220E8"/>
    <w:rsid w:val="00B22204"/>
    <w:rsid w:val="00B22E9A"/>
    <w:rsid w:val="00B23251"/>
    <w:rsid w:val="00B233D7"/>
    <w:rsid w:val="00B235C8"/>
    <w:rsid w:val="00B23ABE"/>
    <w:rsid w:val="00B23FC0"/>
    <w:rsid w:val="00B24EA6"/>
    <w:rsid w:val="00B24EFF"/>
    <w:rsid w:val="00B26052"/>
    <w:rsid w:val="00B26C19"/>
    <w:rsid w:val="00B27617"/>
    <w:rsid w:val="00B27646"/>
    <w:rsid w:val="00B27CA8"/>
    <w:rsid w:val="00B27E46"/>
    <w:rsid w:val="00B3006B"/>
    <w:rsid w:val="00B3056A"/>
    <w:rsid w:val="00B3137E"/>
    <w:rsid w:val="00B31401"/>
    <w:rsid w:val="00B328CB"/>
    <w:rsid w:val="00B3353F"/>
    <w:rsid w:val="00B340BA"/>
    <w:rsid w:val="00B341E3"/>
    <w:rsid w:val="00B34238"/>
    <w:rsid w:val="00B34813"/>
    <w:rsid w:val="00B348C7"/>
    <w:rsid w:val="00B34D4D"/>
    <w:rsid w:val="00B356E6"/>
    <w:rsid w:val="00B3732C"/>
    <w:rsid w:val="00B37883"/>
    <w:rsid w:val="00B37D2E"/>
    <w:rsid w:val="00B40730"/>
    <w:rsid w:val="00B410D6"/>
    <w:rsid w:val="00B41196"/>
    <w:rsid w:val="00B41613"/>
    <w:rsid w:val="00B4188C"/>
    <w:rsid w:val="00B41E54"/>
    <w:rsid w:val="00B420FE"/>
    <w:rsid w:val="00B42812"/>
    <w:rsid w:val="00B42859"/>
    <w:rsid w:val="00B42EA0"/>
    <w:rsid w:val="00B432B8"/>
    <w:rsid w:val="00B435BD"/>
    <w:rsid w:val="00B436EA"/>
    <w:rsid w:val="00B448D3"/>
    <w:rsid w:val="00B45F52"/>
    <w:rsid w:val="00B46F77"/>
    <w:rsid w:val="00B50199"/>
    <w:rsid w:val="00B502B6"/>
    <w:rsid w:val="00B50705"/>
    <w:rsid w:val="00B51893"/>
    <w:rsid w:val="00B52296"/>
    <w:rsid w:val="00B53C2F"/>
    <w:rsid w:val="00B54FA1"/>
    <w:rsid w:val="00B5518F"/>
    <w:rsid w:val="00B5578F"/>
    <w:rsid w:val="00B558EB"/>
    <w:rsid w:val="00B559EE"/>
    <w:rsid w:val="00B56157"/>
    <w:rsid w:val="00B571F5"/>
    <w:rsid w:val="00B5735D"/>
    <w:rsid w:val="00B579B5"/>
    <w:rsid w:val="00B60188"/>
    <w:rsid w:val="00B6067C"/>
    <w:rsid w:val="00B6069C"/>
    <w:rsid w:val="00B606AB"/>
    <w:rsid w:val="00B60970"/>
    <w:rsid w:val="00B61537"/>
    <w:rsid w:val="00B61693"/>
    <w:rsid w:val="00B629A1"/>
    <w:rsid w:val="00B64304"/>
    <w:rsid w:val="00B644B2"/>
    <w:rsid w:val="00B64D65"/>
    <w:rsid w:val="00B65055"/>
    <w:rsid w:val="00B65FBA"/>
    <w:rsid w:val="00B661A9"/>
    <w:rsid w:val="00B662AD"/>
    <w:rsid w:val="00B67038"/>
    <w:rsid w:val="00B671BD"/>
    <w:rsid w:val="00B6775B"/>
    <w:rsid w:val="00B677EF"/>
    <w:rsid w:val="00B7027D"/>
    <w:rsid w:val="00B70DCA"/>
    <w:rsid w:val="00B70E52"/>
    <w:rsid w:val="00B70F56"/>
    <w:rsid w:val="00B71223"/>
    <w:rsid w:val="00B7134E"/>
    <w:rsid w:val="00B71394"/>
    <w:rsid w:val="00B72C0A"/>
    <w:rsid w:val="00B72FD4"/>
    <w:rsid w:val="00B744E3"/>
    <w:rsid w:val="00B74968"/>
    <w:rsid w:val="00B74FC4"/>
    <w:rsid w:val="00B7508B"/>
    <w:rsid w:val="00B76BD6"/>
    <w:rsid w:val="00B811FA"/>
    <w:rsid w:val="00B814D3"/>
    <w:rsid w:val="00B81662"/>
    <w:rsid w:val="00B82213"/>
    <w:rsid w:val="00B823A3"/>
    <w:rsid w:val="00B82957"/>
    <w:rsid w:val="00B82C7C"/>
    <w:rsid w:val="00B82D10"/>
    <w:rsid w:val="00B83603"/>
    <w:rsid w:val="00B84101"/>
    <w:rsid w:val="00B8410A"/>
    <w:rsid w:val="00B84EC4"/>
    <w:rsid w:val="00B850DE"/>
    <w:rsid w:val="00B85AE3"/>
    <w:rsid w:val="00B86B9F"/>
    <w:rsid w:val="00B8705A"/>
    <w:rsid w:val="00B870F7"/>
    <w:rsid w:val="00B878FD"/>
    <w:rsid w:val="00B87D08"/>
    <w:rsid w:val="00B900E5"/>
    <w:rsid w:val="00B901C8"/>
    <w:rsid w:val="00B90D8C"/>
    <w:rsid w:val="00B9180E"/>
    <w:rsid w:val="00B91CA2"/>
    <w:rsid w:val="00B93645"/>
    <w:rsid w:val="00B9378D"/>
    <w:rsid w:val="00B93C67"/>
    <w:rsid w:val="00B93F16"/>
    <w:rsid w:val="00B94C6E"/>
    <w:rsid w:val="00B955F3"/>
    <w:rsid w:val="00B9625C"/>
    <w:rsid w:val="00B97D5E"/>
    <w:rsid w:val="00BA05DE"/>
    <w:rsid w:val="00BA0970"/>
    <w:rsid w:val="00BA1525"/>
    <w:rsid w:val="00BA161D"/>
    <w:rsid w:val="00BA1AB0"/>
    <w:rsid w:val="00BA1F3B"/>
    <w:rsid w:val="00BA2455"/>
    <w:rsid w:val="00BA2A8E"/>
    <w:rsid w:val="00BA306F"/>
    <w:rsid w:val="00BA4505"/>
    <w:rsid w:val="00BA4609"/>
    <w:rsid w:val="00BA495F"/>
    <w:rsid w:val="00BA5261"/>
    <w:rsid w:val="00BA57E1"/>
    <w:rsid w:val="00BB0BE4"/>
    <w:rsid w:val="00BB219A"/>
    <w:rsid w:val="00BB22DA"/>
    <w:rsid w:val="00BB23BB"/>
    <w:rsid w:val="00BB2B01"/>
    <w:rsid w:val="00BB30FB"/>
    <w:rsid w:val="00BB384E"/>
    <w:rsid w:val="00BB43DE"/>
    <w:rsid w:val="00BB5006"/>
    <w:rsid w:val="00BB51DF"/>
    <w:rsid w:val="00BB598C"/>
    <w:rsid w:val="00BB5B12"/>
    <w:rsid w:val="00BB5D80"/>
    <w:rsid w:val="00BB729E"/>
    <w:rsid w:val="00BB77E8"/>
    <w:rsid w:val="00BC14A0"/>
    <w:rsid w:val="00BC1E61"/>
    <w:rsid w:val="00BC1F5C"/>
    <w:rsid w:val="00BC23A3"/>
    <w:rsid w:val="00BC2E64"/>
    <w:rsid w:val="00BC2FDF"/>
    <w:rsid w:val="00BC359D"/>
    <w:rsid w:val="00BC3B54"/>
    <w:rsid w:val="00BC3D03"/>
    <w:rsid w:val="00BC3EC3"/>
    <w:rsid w:val="00BC4014"/>
    <w:rsid w:val="00BC42F9"/>
    <w:rsid w:val="00BC4B52"/>
    <w:rsid w:val="00BC4C84"/>
    <w:rsid w:val="00BC4EF9"/>
    <w:rsid w:val="00BC4F34"/>
    <w:rsid w:val="00BC516F"/>
    <w:rsid w:val="00BC6133"/>
    <w:rsid w:val="00BC62EB"/>
    <w:rsid w:val="00BC63A3"/>
    <w:rsid w:val="00BC63EE"/>
    <w:rsid w:val="00BC7C6B"/>
    <w:rsid w:val="00BC7D09"/>
    <w:rsid w:val="00BD0210"/>
    <w:rsid w:val="00BD0A65"/>
    <w:rsid w:val="00BD0AA8"/>
    <w:rsid w:val="00BD0E11"/>
    <w:rsid w:val="00BD14DD"/>
    <w:rsid w:val="00BD2113"/>
    <w:rsid w:val="00BD24B7"/>
    <w:rsid w:val="00BD50E9"/>
    <w:rsid w:val="00BD5868"/>
    <w:rsid w:val="00BD6507"/>
    <w:rsid w:val="00BD6C71"/>
    <w:rsid w:val="00BD6F36"/>
    <w:rsid w:val="00BD737C"/>
    <w:rsid w:val="00BD74F1"/>
    <w:rsid w:val="00BD7560"/>
    <w:rsid w:val="00BD774F"/>
    <w:rsid w:val="00BE2401"/>
    <w:rsid w:val="00BE246D"/>
    <w:rsid w:val="00BE2FCE"/>
    <w:rsid w:val="00BE36DC"/>
    <w:rsid w:val="00BE4579"/>
    <w:rsid w:val="00BE4FA7"/>
    <w:rsid w:val="00BE5540"/>
    <w:rsid w:val="00BE558A"/>
    <w:rsid w:val="00BE6EA8"/>
    <w:rsid w:val="00BE7075"/>
    <w:rsid w:val="00BE7256"/>
    <w:rsid w:val="00BE7B0E"/>
    <w:rsid w:val="00BE7B1A"/>
    <w:rsid w:val="00BE7BA6"/>
    <w:rsid w:val="00BF073F"/>
    <w:rsid w:val="00BF0795"/>
    <w:rsid w:val="00BF17AA"/>
    <w:rsid w:val="00BF1A8C"/>
    <w:rsid w:val="00BF1E51"/>
    <w:rsid w:val="00BF2EA2"/>
    <w:rsid w:val="00BF36DD"/>
    <w:rsid w:val="00BF3726"/>
    <w:rsid w:val="00BF3ABF"/>
    <w:rsid w:val="00BF3C9D"/>
    <w:rsid w:val="00BF3D47"/>
    <w:rsid w:val="00BF43C2"/>
    <w:rsid w:val="00BF44E0"/>
    <w:rsid w:val="00BF564F"/>
    <w:rsid w:val="00BF5DDE"/>
    <w:rsid w:val="00BF694C"/>
    <w:rsid w:val="00BF6F4B"/>
    <w:rsid w:val="00BF72A1"/>
    <w:rsid w:val="00BF748C"/>
    <w:rsid w:val="00BF76E3"/>
    <w:rsid w:val="00BF7F72"/>
    <w:rsid w:val="00C01D2D"/>
    <w:rsid w:val="00C02E84"/>
    <w:rsid w:val="00C03910"/>
    <w:rsid w:val="00C03ABA"/>
    <w:rsid w:val="00C0437A"/>
    <w:rsid w:val="00C04A95"/>
    <w:rsid w:val="00C04D2E"/>
    <w:rsid w:val="00C0515E"/>
    <w:rsid w:val="00C05891"/>
    <w:rsid w:val="00C05A97"/>
    <w:rsid w:val="00C05AB3"/>
    <w:rsid w:val="00C07254"/>
    <w:rsid w:val="00C1003E"/>
    <w:rsid w:val="00C10F67"/>
    <w:rsid w:val="00C116B5"/>
    <w:rsid w:val="00C11D17"/>
    <w:rsid w:val="00C11F7A"/>
    <w:rsid w:val="00C12192"/>
    <w:rsid w:val="00C124C3"/>
    <w:rsid w:val="00C13586"/>
    <w:rsid w:val="00C136C1"/>
    <w:rsid w:val="00C139C6"/>
    <w:rsid w:val="00C14148"/>
    <w:rsid w:val="00C1440C"/>
    <w:rsid w:val="00C14A9E"/>
    <w:rsid w:val="00C14DC2"/>
    <w:rsid w:val="00C157B8"/>
    <w:rsid w:val="00C15F6C"/>
    <w:rsid w:val="00C1610F"/>
    <w:rsid w:val="00C16115"/>
    <w:rsid w:val="00C162E8"/>
    <w:rsid w:val="00C1673D"/>
    <w:rsid w:val="00C17CCE"/>
    <w:rsid w:val="00C17F3F"/>
    <w:rsid w:val="00C2041A"/>
    <w:rsid w:val="00C20BAE"/>
    <w:rsid w:val="00C20F34"/>
    <w:rsid w:val="00C2121F"/>
    <w:rsid w:val="00C21393"/>
    <w:rsid w:val="00C219D2"/>
    <w:rsid w:val="00C21B3C"/>
    <w:rsid w:val="00C2271F"/>
    <w:rsid w:val="00C227DD"/>
    <w:rsid w:val="00C22E93"/>
    <w:rsid w:val="00C23155"/>
    <w:rsid w:val="00C231AD"/>
    <w:rsid w:val="00C2423A"/>
    <w:rsid w:val="00C24556"/>
    <w:rsid w:val="00C24A58"/>
    <w:rsid w:val="00C24B30"/>
    <w:rsid w:val="00C25761"/>
    <w:rsid w:val="00C25941"/>
    <w:rsid w:val="00C25AB2"/>
    <w:rsid w:val="00C25CE9"/>
    <w:rsid w:val="00C2616C"/>
    <w:rsid w:val="00C300B2"/>
    <w:rsid w:val="00C30BCC"/>
    <w:rsid w:val="00C31209"/>
    <w:rsid w:val="00C31460"/>
    <w:rsid w:val="00C31493"/>
    <w:rsid w:val="00C31517"/>
    <w:rsid w:val="00C31902"/>
    <w:rsid w:val="00C32A55"/>
    <w:rsid w:val="00C33B85"/>
    <w:rsid w:val="00C33D3F"/>
    <w:rsid w:val="00C3404C"/>
    <w:rsid w:val="00C346A3"/>
    <w:rsid w:val="00C357C5"/>
    <w:rsid w:val="00C35C23"/>
    <w:rsid w:val="00C35E23"/>
    <w:rsid w:val="00C36542"/>
    <w:rsid w:val="00C376F8"/>
    <w:rsid w:val="00C4053D"/>
    <w:rsid w:val="00C40BDF"/>
    <w:rsid w:val="00C41419"/>
    <w:rsid w:val="00C4163A"/>
    <w:rsid w:val="00C41695"/>
    <w:rsid w:val="00C41F1B"/>
    <w:rsid w:val="00C420E7"/>
    <w:rsid w:val="00C42116"/>
    <w:rsid w:val="00C42E3F"/>
    <w:rsid w:val="00C42F9E"/>
    <w:rsid w:val="00C43448"/>
    <w:rsid w:val="00C43680"/>
    <w:rsid w:val="00C43894"/>
    <w:rsid w:val="00C43CB7"/>
    <w:rsid w:val="00C43EBB"/>
    <w:rsid w:val="00C44515"/>
    <w:rsid w:val="00C453A3"/>
    <w:rsid w:val="00C45513"/>
    <w:rsid w:val="00C4588E"/>
    <w:rsid w:val="00C45B6A"/>
    <w:rsid w:val="00C462CB"/>
    <w:rsid w:val="00C4657D"/>
    <w:rsid w:val="00C46D76"/>
    <w:rsid w:val="00C4700E"/>
    <w:rsid w:val="00C4715C"/>
    <w:rsid w:val="00C47640"/>
    <w:rsid w:val="00C47956"/>
    <w:rsid w:val="00C47C7C"/>
    <w:rsid w:val="00C50111"/>
    <w:rsid w:val="00C50B1C"/>
    <w:rsid w:val="00C51162"/>
    <w:rsid w:val="00C51269"/>
    <w:rsid w:val="00C51AD6"/>
    <w:rsid w:val="00C52072"/>
    <w:rsid w:val="00C522A8"/>
    <w:rsid w:val="00C52B48"/>
    <w:rsid w:val="00C52D44"/>
    <w:rsid w:val="00C533EA"/>
    <w:rsid w:val="00C535C0"/>
    <w:rsid w:val="00C53740"/>
    <w:rsid w:val="00C542AF"/>
    <w:rsid w:val="00C55116"/>
    <w:rsid w:val="00C55637"/>
    <w:rsid w:val="00C5594C"/>
    <w:rsid w:val="00C559EF"/>
    <w:rsid w:val="00C55D8B"/>
    <w:rsid w:val="00C5649D"/>
    <w:rsid w:val="00C567E5"/>
    <w:rsid w:val="00C56C24"/>
    <w:rsid w:val="00C56EFE"/>
    <w:rsid w:val="00C571A8"/>
    <w:rsid w:val="00C60FA8"/>
    <w:rsid w:val="00C61233"/>
    <w:rsid w:val="00C612DB"/>
    <w:rsid w:val="00C61362"/>
    <w:rsid w:val="00C61448"/>
    <w:rsid w:val="00C615CD"/>
    <w:rsid w:val="00C62401"/>
    <w:rsid w:val="00C624E6"/>
    <w:rsid w:val="00C625DD"/>
    <w:rsid w:val="00C62C49"/>
    <w:rsid w:val="00C62D66"/>
    <w:rsid w:val="00C63306"/>
    <w:rsid w:val="00C635BC"/>
    <w:rsid w:val="00C635D0"/>
    <w:rsid w:val="00C63CCF"/>
    <w:rsid w:val="00C6435F"/>
    <w:rsid w:val="00C64674"/>
    <w:rsid w:val="00C64E30"/>
    <w:rsid w:val="00C65A11"/>
    <w:rsid w:val="00C65E5D"/>
    <w:rsid w:val="00C666AB"/>
    <w:rsid w:val="00C67BDF"/>
    <w:rsid w:val="00C7016F"/>
    <w:rsid w:val="00C707B9"/>
    <w:rsid w:val="00C708A9"/>
    <w:rsid w:val="00C70ED6"/>
    <w:rsid w:val="00C71290"/>
    <w:rsid w:val="00C72023"/>
    <w:rsid w:val="00C72265"/>
    <w:rsid w:val="00C72D6B"/>
    <w:rsid w:val="00C7440B"/>
    <w:rsid w:val="00C75B08"/>
    <w:rsid w:val="00C75EE9"/>
    <w:rsid w:val="00C76485"/>
    <w:rsid w:val="00C76D15"/>
    <w:rsid w:val="00C80EA5"/>
    <w:rsid w:val="00C81E69"/>
    <w:rsid w:val="00C829B8"/>
    <w:rsid w:val="00C84294"/>
    <w:rsid w:val="00C84F91"/>
    <w:rsid w:val="00C8619B"/>
    <w:rsid w:val="00C86283"/>
    <w:rsid w:val="00C866F2"/>
    <w:rsid w:val="00C86A7A"/>
    <w:rsid w:val="00C86F22"/>
    <w:rsid w:val="00C87231"/>
    <w:rsid w:val="00C8752B"/>
    <w:rsid w:val="00C875CB"/>
    <w:rsid w:val="00C875E3"/>
    <w:rsid w:val="00C9012D"/>
    <w:rsid w:val="00C904E9"/>
    <w:rsid w:val="00C910F1"/>
    <w:rsid w:val="00C912D2"/>
    <w:rsid w:val="00C92C58"/>
    <w:rsid w:val="00C93922"/>
    <w:rsid w:val="00C94C95"/>
    <w:rsid w:val="00C94CCC"/>
    <w:rsid w:val="00C94E76"/>
    <w:rsid w:val="00C954D4"/>
    <w:rsid w:val="00C955E1"/>
    <w:rsid w:val="00C95FA5"/>
    <w:rsid w:val="00C969AB"/>
    <w:rsid w:val="00C96B11"/>
    <w:rsid w:val="00C96B76"/>
    <w:rsid w:val="00C971B4"/>
    <w:rsid w:val="00C97559"/>
    <w:rsid w:val="00CA153B"/>
    <w:rsid w:val="00CA255E"/>
    <w:rsid w:val="00CA345D"/>
    <w:rsid w:val="00CA4036"/>
    <w:rsid w:val="00CA4B0C"/>
    <w:rsid w:val="00CA4E57"/>
    <w:rsid w:val="00CA5398"/>
    <w:rsid w:val="00CA5691"/>
    <w:rsid w:val="00CA579B"/>
    <w:rsid w:val="00CA580F"/>
    <w:rsid w:val="00CA6302"/>
    <w:rsid w:val="00CA6394"/>
    <w:rsid w:val="00CA6B80"/>
    <w:rsid w:val="00CA6D6D"/>
    <w:rsid w:val="00CA7292"/>
    <w:rsid w:val="00CA76FA"/>
    <w:rsid w:val="00CA7CFE"/>
    <w:rsid w:val="00CB0097"/>
    <w:rsid w:val="00CB16BB"/>
    <w:rsid w:val="00CB1778"/>
    <w:rsid w:val="00CB221E"/>
    <w:rsid w:val="00CB2353"/>
    <w:rsid w:val="00CB2693"/>
    <w:rsid w:val="00CB2725"/>
    <w:rsid w:val="00CB2730"/>
    <w:rsid w:val="00CB2916"/>
    <w:rsid w:val="00CB2DAD"/>
    <w:rsid w:val="00CB2E9C"/>
    <w:rsid w:val="00CB3105"/>
    <w:rsid w:val="00CB3D1F"/>
    <w:rsid w:val="00CB3D8B"/>
    <w:rsid w:val="00CB493F"/>
    <w:rsid w:val="00CB4B13"/>
    <w:rsid w:val="00CB54C0"/>
    <w:rsid w:val="00CB59EA"/>
    <w:rsid w:val="00CB5A05"/>
    <w:rsid w:val="00CB5B05"/>
    <w:rsid w:val="00CB5F80"/>
    <w:rsid w:val="00CB65C8"/>
    <w:rsid w:val="00CB6FB6"/>
    <w:rsid w:val="00CB7158"/>
    <w:rsid w:val="00CB761C"/>
    <w:rsid w:val="00CB76A1"/>
    <w:rsid w:val="00CB7CC8"/>
    <w:rsid w:val="00CC0060"/>
    <w:rsid w:val="00CC0EE3"/>
    <w:rsid w:val="00CC0FD3"/>
    <w:rsid w:val="00CC1203"/>
    <w:rsid w:val="00CC1F8F"/>
    <w:rsid w:val="00CC2064"/>
    <w:rsid w:val="00CC2724"/>
    <w:rsid w:val="00CC29A9"/>
    <w:rsid w:val="00CC2FD6"/>
    <w:rsid w:val="00CC3026"/>
    <w:rsid w:val="00CC3B37"/>
    <w:rsid w:val="00CC44E1"/>
    <w:rsid w:val="00CC45F3"/>
    <w:rsid w:val="00CC4B48"/>
    <w:rsid w:val="00CC4EB3"/>
    <w:rsid w:val="00CC4EEA"/>
    <w:rsid w:val="00CC5819"/>
    <w:rsid w:val="00CC5979"/>
    <w:rsid w:val="00CC5A2F"/>
    <w:rsid w:val="00CC5C64"/>
    <w:rsid w:val="00CC63D2"/>
    <w:rsid w:val="00CC6778"/>
    <w:rsid w:val="00CC6B66"/>
    <w:rsid w:val="00CC6F6D"/>
    <w:rsid w:val="00CC7C70"/>
    <w:rsid w:val="00CC7D1D"/>
    <w:rsid w:val="00CD05FA"/>
    <w:rsid w:val="00CD08B0"/>
    <w:rsid w:val="00CD0B71"/>
    <w:rsid w:val="00CD14BB"/>
    <w:rsid w:val="00CD1B83"/>
    <w:rsid w:val="00CD1CCA"/>
    <w:rsid w:val="00CD33A1"/>
    <w:rsid w:val="00CD4354"/>
    <w:rsid w:val="00CD5319"/>
    <w:rsid w:val="00CD5C92"/>
    <w:rsid w:val="00CD5F51"/>
    <w:rsid w:val="00CD5FF3"/>
    <w:rsid w:val="00CD6A97"/>
    <w:rsid w:val="00CD7120"/>
    <w:rsid w:val="00CD730B"/>
    <w:rsid w:val="00CD7511"/>
    <w:rsid w:val="00CE0281"/>
    <w:rsid w:val="00CE02C2"/>
    <w:rsid w:val="00CE06ED"/>
    <w:rsid w:val="00CE1EAE"/>
    <w:rsid w:val="00CE1FBC"/>
    <w:rsid w:val="00CE20EA"/>
    <w:rsid w:val="00CE2287"/>
    <w:rsid w:val="00CE23D3"/>
    <w:rsid w:val="00CE259D"/>
    <w:rsid w:val="00CE2FBD"/>
    <w:rsid w:val="00CE30BC"/>
    <w:rsid w:val="00CE3C35"/>
    <w:rsid w:val="00CE476E"/>
    <w:rsid w:val="00CE47CA"/>
    <w:rsid w:val="00CE4F0A"/>
    <w:rsid w:val="00CE54B0"/>
    <w:rsid w:val="00CE63CB"/>
    <w:rsid w:val="00CE684B"/>
    <w:rsid w:val="00CE7423"/>
    <w:rsid w:val="00CE7457"/>
    <w:rsid w:val="00CE75DA"/>
    <w:rsid w:val="00CE7692"/>
    <w:rsid w:val="00CE7B0F"/>
    <w:rsid w:val="00CF0248"/>
    <w:rsid w:val="00CF033C"/>
    <w:rsid w:val="00CF0861"/>
    <w:rsid w:val="00CF24C0"/>
    <w:rsid w:val="00CF2538"/>
    <w:rsid w:val="00CF2AA6"/>
    <w:rsid w:val="00CF2EBF"/>
    <w:rsid w:val="00CF4A41"/>
    <w:rsid w:val="00CF585F"/>
    <w:rsid w:val="00CF6423"/>
    <w:rsid w:val="00CF67CF"/>
    <w:rsid w:val="00CF6F71"/>
    <w:rsid w:val="00CF78C2"/>
    <w:rsid w:val="00CF7A6E"/>
    <w:rsid w:val="00CF7FF3"/>
    <w:rsid w:val="00D00A08"/>
    <w:rsid w:val="00D015BE"/>
    <w:rsid w:val="00D024BC"/>
    <w:rsid w:val="00D02E39"/>
    <w:rsid w:val="00D02F60"/>
    <w:rsid w:val="00D03455"/>
    <w:rsid w:val="00D03779"/>
    <w:rsid w:val="00D0448E"/>
    <w:rsid w:val="00D046AA"/>
    <w:rsid w:val="00D05212"/>
    <w:rsid w:val="00D05308"/>
    <w:rsid w:val="00D05955"/>
    <w:rsid w:val="00D05BAB"/>
    <w:rsid w:val="00D064A1"/>
    <w:rsid w:val="00D07371"/>
    <w:rsid w:val="00D0750C"/>
    <w:rsid w:val="00D077AE"/>
    <w:rsid w:val="00D07B42"/>
    <w:rsid w:val="00D1000E"/>
    <w:rsid w:val="00D11908"/>
    <w:rsid w:val="00D1193E"/>
    <w:rsid w:val="00D11A80"/>
    <w:rsid w:val="00D11CD1"/>
    <w:rsid w:val="00D11D34"/>
    <w:rsid w:val="00D11DD0"/>
    <w:rsid w:val="00D122A9"/>
    <w:rsid w:val="00D144AE"/>
    <w:rsid w:val="00D154FE"/>
    <w:rsid w:val="00D160DC"/>
    <w:rsid w:val="00D16488"/>
    <w:rsid w:val="00D17140"/>
    <w:rsid w:val="00D171F1"/>
    <w:rsid w:val="00D1761F"/>
    <w:rsid w:val="00D17823"/>
    <w:rsid w:val="00D20564"/>
    <w:rsid w:val="00D21B57"/>
    <w:rsid w:val="00D231A8"/>
    <w:rsid w:val="00D2384D"/>
    <w:rsid w:val="00D239CC"/>
    <w:rsid w:val="00D23B40"/>
    <w:rsid w:val="00D23DA4"/>
    <w:rsid w:val="00D23F04"/>
    <w:rsid w:val="00D258B2"/>
    <w:rsid w:val="00D25B33"/>
    <w:rsid w:val="00D260F7"/>
    <w:rsid w:val="00D26435"/>
    <w:rsid w:val="00D2657D"/>
    <w:rsid w:val="00D2665C"/>
    <w:rsid w:val="00D269C7"/>
    <w:rsid w:val="00D2759F"/>
    <w:rsid w:val="00D2780A"/>
    <w:rsid w:val="00D27E03"/>
    <w:rsid w:val="00D30688"/>
    <w:rsid w:val="00D30697"/>
    <w:rsid w:val="00D31B2E"/>
    <w:rsid w:val="00D3217A"/>
    <w:rsid w:val="00D32800"/>
    <w:rsid w:val="00D32A4D"/>
    <w:rsid w:val="00D32D63"/>
    <w:rsid w:val="00D32E8E"/>
    <w:rsid w:val="00D333EA"/>
    <w:rsid w:val="00D338E5"/>
    <w:rsid w:val="00D33963"/>
    <w:rsid w:val="00D341D8"/>
    <w:rsid w:val="00D3439C"/>
    <w:rsid w:val="00D372C3"/>
    <w:rsid w:val="00D37D2B"/>
    <w:rsid w:val="00D40472"/>
    <w:rsid w:val="00D42E87"/>
    <w:rsid w:val="00D43E44"/>
    <w:rsid w:val="00D43E68"/>
    <w:rsid w:val="00D44120"/>
    <w:rsid w:val="00D441A7"/>
    <w:rsid w:val="00D443AA"/>
    <w:rsid w:val="00D445A5"/>
    <w:rsid w:val="00D44AB8"/>
    <w:rsid w:val="00D44D1F"/>
    <w:rsid w:val="00D45287"/>
    <w:rsid w:val="00D455EC"/>
    <w:rsid w:val="00D45940"/>
    <w:rsid w:val="00D45E45"/>
    <w:rsid w:val="00D45F8C"/>
    <w:rsid w:val="00D47764"/>
    <w:rsid w:val="00D50070"/>
    <w:rsid w:val="00D50265"/>
    <w:rsid w:val="00D5086F"/>
    <w:rsid w:val="00D51AE0"/>
    <w:rsid w:val="00D527E5"/>
    <w:rsid w:val="00D533BB"/>
    <w:rsid w:val="00D535D0"/>
    <w:rsid w:val="00D54711"/>
    <w:rsid w:val="00D55C04"/>
    <w:rsid w:val="00D56E1A"/>
    <w:rsid w:val="00D56FAF"/>
    <w:rsid w:val="00D57D2F"/>
    <w:rsid w:val="00D6036F"/>
    <w:rsid w:val="00D60D9B"/>
    <w:rsid w:val="00D60EE7"/>
    <w:rsid w:val="00D61192"/>
    <w:rsid w:val="00D61428"/>
    <w:rsid w:val="00D624E4"/>
    <w:rsid w:val="00D62C59"/>
    <w:rsid w:val="00D62E3D"/>
    <w:rsid w:val="00D63026"/>
    <w:rsid w:val="00D64070"/>
    <w:rsid w:val="00D64545"/>
    <w:rsid w:val="00D64B60"/>
    <w:rsid w:val="00D64F87"/>
    <w:rsid w:val="00D65AA6"/>
    <w:rsid w:val="00D66338"/>
    <w:rsid w:val="00D67175"/>
    <w:rsid w:val="00D6776A"/>
    <w:rsid w:val="00D6795E"/>
    <w:rsid w:val="00D67A5B"/>
    <w:rsid w:val="00D67D40"/>
    <w:rsid w:val="00D71438"/>
    <w:rsid w:val="00D71B3A"/>
    <w:rsid w:val="00D724EF"/>
    <w:rsid w:val="00D72E40"/>
    <w:rsid w:val="00D73192"/>
    <w:rsid w:val="00D733B1"/>
    <w:rsid w:val="00D7365E"/>
    <w:rsid w:val="00D7385D"/>
    <w:rsid w:val="00D73971"/>
    <w:rsid w:val="00D7423C"/>
    <w:rsid w:val="00D742AD"/>
    <w:rsid w:val="00D74DED"/>
    <w:rsid w:val="00D75BD5"/>
    <w:rsid w:val="00D76B0C"/>
    <w:rsid w:val="00D76C6A"/>
    <w:rsid w:val="00D76C74"/>
    <w:rsid w:val="00D771BB"/>
    <w:rsid w:val="00D772D0"/>
    <w:rsid w:val="00D77D37"/>
    <w:rsid w:val="00D80349"/>
    <w:rsid w:val="00D806B6"/>
    <w:rsid w:val="00D80717"/>
    <w:rsid w:val="00D8125B"/>
    <w:rsid w:val="00D8222A"/>
    <w:rsid w:val="00D82905"/>
    <w:rsid w:val="00D841B9"/>
    <w:rsid w:val="00D84858"/>
    <w:rsid w:val="00D85979"/>
    <w:rsid w:val="00D85D73"/>
    <w:rsid w:val="00D8695D"/>
    <w:rsid w:val="00D86DBF"/>
    <w:rsid w:val="00D8707B"/>
    <w:rsid w:val="00D90280"/>
    <w:rsid w:val="00D90BE2"/>
    <w:rsid w:val="00D91443"/>
    <w:rsid w:val="00D9148E"/>
    <w:rsid w:val="00D92A4A"/>
    <w:rsid w:val="00D92E8A"/>
    <w:rsid w:val="00D93099"/>
    <w:rsid w:val="00D9320F"/>
    <w:rsid w:val="00D93B18"/>
    <w:rsid w:val="00D93D4D"/>
    <w:rsid w:val="00D944BA"/>
    <w:rsid w:val="00D94A32"/>
    <w:rsid w:val="00D954F1"/>
    <w:rsid w:val="00D969AD"/>
    <w:rsid w:val="00D96D06"/>
    <w:rsid w:val="00D97208"/>
    <w:rsid w:val="00DA0B4A"/>
    <w:rsid w:val="00DA1904"/>
    <w:rsid w:val="00DA1CB6"/>
    <w:rsid w:val="00DA2323"/>
    <w:rsid w:val="00DA23EF"/>
    <w:rsid w:val="00DA27D5"/>
    <w:rsid w:val="00DA36CB"/>
    <w:rsid w:val="00DA3B11"/>
    <w:rsid w:val="00DA43EF"/>
    <w:rsid w:val="00DA60D7"/>
    <w:rsid w:val="00DA67B9"/>
    <w:rsid w:val="00DA69FD"/>
    <w:rsid w:val="00DA6CF0"/>
    <w:rsid w:val="00DA703D"/>
    <w:rsid w:val="00DA72CB"/>
    <w:rsid w:val="00DA7C05"/>
    <w:rsid w:val="00DB08CE"/>
    <w:rsid w:val="00DB0DB9"/>
    <w:rsid w:val="00DB2739"/>
    <w:rsid w:val="00DB2C99"/>
    <w:rsid w:val="00DB38CB"/>
    <w:rsid w:val="00DB4820"/>
    <w:rsid w:val="00DB50A1"/>
    <w:rsid w:val="00DB50B9"/>
    <w:rsid w:val="00DB511B"/>
    <w:rsid w:val="00DB5CA5"/>
    <w:rsid w:val="00DB6062"/>
    <w:rsid w:val="00DB6870"/>
    <w:rsid w:val="00DB72FE"/>
    <w:rsid w:val="00DB74DF"/>
    <w:rsid w:val="00DB76A8"/>
    <w:rsid w:val="00DB7BD5"/>
    <w:rsid w:val="00DB7D7A"/>
    <w:rsid w:val="00DC0B94"/>
    <w:rsid w:val="00DC15D7"/>
    <w:rsid w:val="00DC1B8C"/>
    <w:rsid w:val="00DC2298"/>
    <w:rsid w:val="00DC24B8"/>
    <w:rsid w:val="00DC24E3"/>
    <w:rsid w:val="00DC33B7"/>
    <w:rsid w:val="00DC4339"/>
    <w:rsid w:val="00DC4356"/>
    <w:rsid w:val="00DC43B8"/>
    <w:rsid w:val="00DC45E3"/>
    <w:rsid w:val="00DC481B"/>
    <w:rsid w:val="00DC489F"/>
    <w:rsid w:val="00DC4F67"/>
    <w:rsid w:val="00DC5BA6"/>
    <w:rsid w:val="00DC625C"/>
    <w:rsid w:val="00DC6DB6"/>
    <w:rsid w:val="00DC7107"/>
    <w:rsid w:val="00DC78CE"/>
    <w:rsid w:val="00DD0DDC"/>
    <w:rsid w:val="00DD17A7"/>
    <w:rsid w:val="00DD196E"/>
    <w:rsid w:val="00DD2072"/>
    <w:rsid w:val="00DD2CA2"/>
    <w:rsid w:val="00DD2ED1"/>
    <w:rsid w:val="00DD2F77"/>
    <w:rsid w:val="00DD2FB0"/>
    <w:rsid w:val="00DD3192"/>
    <w:rsid w:val="00DD32CD"/>
    <w:rsid w:val="00DD32EF"/>
    <w:rsid w:val="00DD3331"/>
    <w:rsid w:val="00DD342F"/>
    <w:rsid w:val="00DD3599"/>
    <w:rsid w:val="00DD37F7"/>
    <w:rsid w:val="00DD3D6A"/>
    <w:rsid w:val="00DD4151"/>
    <w:rsid w:val="00DD43AE"/>
    <w:rsid w:val="00DD47CE"/>
    <w:rsid w:val="00DD4AD5"/>
    <w:rsid w:val="00DD4C05"/>
    <w:rsid w:val="00DD4EFA"/>
    <w:rsid w:val="00DD5889"/>
    <w:rsid w:val="00DD612E"/>
    <w:rsid w:val="00DD6260"/>
    <w:rsid w:val="00DD66FB"/>
    <w:rsid w:val="00DD68A6"/>
    <w:rsid w:val="00DD6FBA"/>
    <w:rsid w:val="00DD700A"/>
    <w:rsid w:val="00DD752D"/>
    <w:rsid w:val="00DD7CF3"/>
    <w:rsid w:val="00DE2A24"/>
    <w:rsid w:val="00DE2DCA"/>
    <w:rsid w:val="00DE3788"/>
    <w:rsid w:val="00DE3BA3"/>
    <w:rsid w:val="00DE3F80"/>
    <w:rsid w:val="00DE4BAE"/>
    <w:rsid w:val="00DE4E22"/>
    <w:rsid w:val="00DE5114"/>
    <w:rsid w:val="00DE5390"/>
    <w:rsid w:val="00DE5925"/>
    <w:rsid w:val="00DE6661"/>
    <w:rsid w:val="00DE6D13"/>
    <w:rsid w:val="00DE6F4B"/>
    <w:rsid w:val="00DE7D0D"/>
    <w:rsid w:val="00DF0041"/>
    <w:rsid w:val="00DF04E2"/>
    <w:rsid w:val="00DF0999"/>
    <w:rsid w:val="00DF0AF1"/>
    <w:rsid w:val="00DF0F05"/>
    <w:rsid w:val="00DF111B"/>
    <w:rsid w:val="00DF124C"/>
    <w:rsid w:val="00DF14FF"/>
    <w:rsid w:val="00DF1BBE"/>
    <w:rsid w:val="00DF1E53"/>
    <w:rsid w:val="00DF2349"/>
    <w:rsid w:val="00DF240F"/>
    <w:rsid w:val="00DF2C89"/>
    <w:rsid w:val="00DF3046"/>
    <w:rsid w:val="00DF30DF"/>
    <w:rsid w:val="00DF3531"/>
    <w:rsid w:val="00DF4406"/>
    <w:rsid w:val="00DF45DF"/>
    <w:rsid w:val="00DF51D3"/>
    <w:rsid w:val="00DF5257"/>
    <w:rsid w:val="00DF562A"/>
    <w:rsid w:val="00DF59BC"/>
    <w:rsid w:val="00DF615F"/>
    <w:rsid w:val="00DF7725"/>
    <w:rsid w:val="00DF7A62"/>
    <w:rsid w:val="00E003A6"/>
    <w:rsid w:val="00E007A6"/>
    <w:rsid w:val="00E00E6F"/>
    <w:rsid w:val="00E01CAB"/>
    <w:rsid w:val="00E01EA7"/>
    <w:rsid w:val="00E025BE"/>
    <w:rsid w:val="00E02D1D"/>
    <w:rsid w:val="00E034CD"/>
    <w:rsid w:val="00E03CBB"/>
    <w:rsid w:val="00E04076"/>
    <w:rsid w:val="00E04F97"/>
    <w:rsid w:val="00E05CA6"/>
    <w:rsid w:val="00E061E2"/>
    <w:rsid w:val="00E06AC3"/>
    <w:rsid w:val="00E06D54"/>
    <w:rsid w:val="00E076A5"/>
    <w:rsid w:val="00E07C9F"/>
    <w:rsid w:val="00E10498"/>
    <w:rsid w:val="00E108EC"/>
    <w:rsid w:val="00E10A73"/>
    <w:rsid w:val="00E10CC3"/>
    <w:rsid w:val="00E10D6C"/>
    <w:rsid w:val="00E1212A"/>
    <w:rsid w:val="00E123E4"/>
    <w:rsid w:val="00E1286D"/>
    <w:rsid w:val="00E12DCF"/>
    <w:rsid w:val="00E13612"/>
    <w:rsid w:val="00E13DF7"/>
    <w:rsid w:val="00E14EDE"/>
    <w:rsid w:val="00E15B32"/>
    <w:rsid w:val="00E15F4C"/>
    <w:rsid w:val="00E15F4E"/>
    <w:rsid w:val="00E15FF0"/>
    <w:rsid w:val="00E16A25"/>
    <w:rsid w:val="00E2001E"/>
    <w:rsid w:val="00E2196A"/>
    <w:rsid w:val="00E21AF1"/>
    <w:rsid w:val="00E21EB5"/>
    <w:rsid w:val="00E221D7"/>
    <w:rsid w:val="00E22BC1"/>
    <w:rsid w:val="00E233EE"/>
    <w:rsid w:val="00E23481"/>
    <w:rsid w:val="00E23DA0"/>
    <w:rsid w:val="00E2429F"/>
    <w:rsid w:val="00E244D6"/>
    <w:rsid w:val="00E25061"/>
    <w:rsid w:val="00E25B43"/>
    <w:rsid w:val="00E26061"/>
    <w:rsid w:val="00E2702C"/>
    <w:rsid w:val="00E273C3"/>
    <w:rsid w:val="00E2781A"/>
    <w:rsid w:val="00E30300"/>
    <w:rsid w:val="00E315C2"/>
    <w:rsid w:val="00E32563"/>
    <w:rsid w:val="00E32E90"/>
    <w:rsid w:val="00E33311"/>
    <w:rsid w:val="00E33C5A"/>
    <w:rsid w:val="00E34295"/>
    <w:rsid w:val="00E34ADB"/>
    <w:rsid w:val="00E34DA1"/>
    <w:rsid w:val="00E35197"/>
    <w:rsid w:val="00E36219"/>
    <w:rsid w:val="00E37964"/>
    <w:rsid w:val="00E37F12"/>
    <w:rsid w:val="00E42490"/>
    <w:rsid w:val="00E424B0"/>
    <w:rsid w:val="00E42500"/>
    <w:rsid w:val="00E425B1"/>
    <w:rsid w:val="00E425BE"/>
    <w:rsid w:val="00E426F6"/>
    <w:rsid w:val="00E43725"/>
    <w:rsid w:val="00E438FA"/>
    <w:rsid w:val="00E43CD8"/>
    <w:rsid w:val="00E43FA5"/>
    <w:rsid w:val="00E44FEC"/>
    <w:rsid w:val="00E4557C"/>
    <w:rsid w:val="00E455C5"/>
    <w:rsid w:val="00E458F1"/>
    <w:rsid w:val="00E46669"/>
    <w:rsid w:val="00E46A45"/>
    <w:rsid w:val="00E46D0E"/>
    <w:rsid w:val="00E46E34"/>
    <w:rsid w:val="00E47149"/>
    <w:rsid w:val="00E47B9D"/>
    <w:rsid w:val="00E47D0B"/>
    <w:rsid w:val="00E47D57"/>
    <w:rsid w:val="00E47F62"/>
    <w:rsid w:val="00E51175"/>
    <w:rsid w:val="00E51243"/>
    <w:rsid w:val="00E514F2"/>
    <w:rsid w:val="00E51C86"/>
    <w:rsid w:val="00E51E4F"/>
    <w:rsid w:val="00E51E9F"/>
    <w:rsid w:val="00E51F5E"/>
    <w:rsid w:val="00E52153"/>
    <w:rsid w:val="00E52358"/>
    <w:rsid w:val="00E523E3"/>
    <w:rsid w:val="00E52AD7"/>
    <w:rsid w:val="00E53186"/>
    <w:rsid w:val="00E5475E"/>
    <w:rsid w:val="00E54915"/>
    <w:rsid w:val="00E5495D"/>
    <w:rsid w:val="00E54C03"/>
    <w:rsid w:val="00E5515E"/>
    <w:rsid w:val="00E55665"/>
    <w:rsid w:val="00E55FEF"/>
    <w:rsid w:val="00E5677B"/>
    <w:rsid w:val="00E57180"/>
    <w:rsid w:val="00E574AA"/>
    <w:rsid w:val="00E5779E"/>
    <w:rsid w:val="00E606C5"/>
    <w:rsid w:val="00E61955"/>
    <w:rsid w:val="00E61A47"/>
    <w:rsid w:val="00E61B66"/>
    <w:rsid w:val="00E61F56"/>
    <w:rsid w:val="00E6225B"/>
    <w:rsid w:val="00E623EF"/>
    <w:rsid w:val="00E62732"/>
    <w:rsid w:val="00E630EF"/>
    <w:rsid w:val="00E63391"/>
    <w:rsid w:val="00E64192"/>
    <w:rsid w:val="00E646AC"/>
    <w:rsid w:val="00E64F6D"/>
    <w:rsid w:val="00E651D2"/>
    <w:rsid w:val="00E65857"/>
    <w:rsid w:val="00E65E1E"/>
    <w:rsid w:val="00E65F95"/>
    <w:rsid w:val="00E66AC6"/>
    <w:rsid w:val="00E670F9"/>
    <w:rsid w:val="00E6719C"/>
    <w:rsid w:val="00E67BB3"/>
    <w:rsid w:val="00E70211"/>
    <w:rsid w:val="00E705EB"/>
    <w:rsid w:val="00E70B1E"/>
    <w:rsid w:val="00E724EF"/>
    <w:rsid w:val="00E728F4"/>
    <w:rsid w:val="00E7306A"/>
    <w:rsid w:val="00E7366F"/>
    <w:rsid w:val="00E73E20"/>
    <w:rsid w:val="00E74094"/>
    <w:rsid w:val="00E740C8"/>
    <w:rsid w:val="00E74596"/>
    <w:rsid w:val="00E74654"/>
    <w:rsid w:val="00E74D18"/>
    <w:rsid w:val="00E74D53"/>
    <w:rsid w:val="00E74D80"/>
    <w:rsid w:val="00E75187"/>
    <w:rsid w:val="00E75658"/>
    <w:rsid w:val="00E75E87"/>
    <w:rsid w:val="00E76563"/>
    <w:rsid w:val="00E76C56"/>
    <w:rsid w:val="00E76FE4"/>
    <w:rsid w:val="00E774B4"/>
    <w:rsid w:val="00E779C3"/>
    <w:rsid w:val="00E77CB0"/>
    <w:rsid w:val="00E80C0A"/>
    <w:rsid w:val="00E80C9D"/>
    <w:rsid w:val="00E84553"/>
    <w:rsid w:val="00E84D63"/>
    <w:rsid w:val="00E857D5"/>
    <w:rsid w:val="00E85FDF"/>
    <w:rsid w:val="00E8667C"/>
    <w:rsid w:val="00E86CEB"/>
    <w:rsid w:val="00E87507"/>
    <w:rsid w:val="00E8756C"/>
    <w:rsid w:val="00E90BB6"/>
    <w:rsid w:val="00E918DE"/>
    <w:rsid w:val="00E91A2D"/>
    <w:rsid w:val="00E9312A"/>
    <w:rsid w:val="00E93C54"/>
    <w:rsid w:val="00E93F74"/>
    <w:rsid w:val="00E945A4"/>
    <w:rsid w:val="00E95749"/>
    <w:rsid w:val="00E95B3A"/>
    <w:rsid w:val="00E96B82"/>
    <w:rsid w:val="00E97C16"/>
    <w:rsid w:val="00E97EED"/>
    <w:rsid w:val="00EA0572"/>
    <w:rsid w:val="00EA0657"/>
    <w:rsid w:val="00EA0818"/>
    <w:rsid w:val="00EA0974"/>
    <w:rsid w:val="00EA10CA"/>
    <w:rsid w:val="00EA16D2"/>
    <w:rsid w:val="00EA1E3F"/>
    <w:rsid w:val="00EA1E71"/>
    <w:rsid w:val="00EA2211"/>
    <w:rsid w:val="00EA3214"/>
    <w:rsid w:val="00EA33E1"/>
    <w:rsid w:val="00EA3A54"/>
    <w:rsid w:val="00EA50F5"/>
    <w:rsid w:val="00EA723D"/>
    <w:rsid w:val="00EA7E27"/>
    <w:rsid w:val="00EB0203"/>
    <w:rsid w:val="00EB05BE"/>
    <w:rsid w:val="00EB1710"/>
    <w:rsid w:val="00EB1747"/>
    <w:rsid w:val="00EB1CDD"/>
    <w:rsid w:val="00EB205A"/>
    <w:rsid w:val="00EB3982"/>
    <w:rsid w:val="00EB3D77"/>
    <w:rsid w:val="00EB3FC3"/>
    <w:rsid w:val="00EB4CE7"/>
    <w:rsid w:val="00EB50DF"/>
    <w:rsid w:val="00EB5198"/>
    <w:rsid w:val="00EB58DB"/>
    <w:rsid w:val="00EB5A95"/>
    <w:rsid w:val="00EB6BEF"/>
    <w:rsid w:val="00EB70D2"/>
    <w:rsid w:val="00EB745D"/>
    <w:rsid w:val="00EB78B2"/>
    <w:rsid w:val="00EB791E"/>
    <w:rsid w:val="00EB7DDB"/>
    <w:rsid w:val="00EC05A3"/>
    <w:rsid w:val="00EC0674"/>
    <w:rsid w:val="00EC0BDF"/>
    <w:rsid w:val="00EC10EE"/>
    <w:rsid w:val="00EC1129"/>
    <w:rsid w:val="00EC1457"/>
    <w:rsid w:val="00EC20D7"/>
    <w:rsid w:val="00EC3658"/>
    <w:rsid w:val="00EC3679"/>
    <w:rsid w:val="00EC3B02"/>
    <w:rsid w:val="00EC3B27"/>
    <w:rsid w:val="00EC3DC2"/>
    <w:rsid w:val="00EC419E"/>
    <w:rsid w:val="00EC4304"/>
    <w:rsid w:val="00EC4668"/>
    <w:rsid w:val="00EC4B92"/>
    <w:rsid w:val="00EC4E1B"/>
    <w:rsid w:val="00EC580E"/>
    <w:rsid w:val="00EC63BD"/>
    <w:rsid w:val="00EC6785"/>
    <w:rsid w:val="00EC6DA5"/>
    <w:rsid w:val="00EC6F38"/>
    <w:rsid w:val="00EC701E"/>
    <w:rsid w:val="00EC7CC5"/>
    <w:rsid w:val="00ED0501"/>
    <w:rsid w:val="00ED0BF1"/>
    <w:rsid w:val="00ED1423"/>
    <w:rsid w:val="00ED15FB"/>
    <w:rsid w:val="00ED215E"/>
    <w:rsid w:val="00ED2B37"/>
    <w:rsid w:val="00ED2B6E"/>
    <w:rsid w:val="00ED2D6C"/>
    <w:rsid w:val="00ED333F"/>
    <w:rsid w:val="00ED3D3C"/>
    <w:rsid w:val="00ED3D7E"/>
    <w:rsid w:val="00ED41CF"/>
    <w:rsid w:val="00ED5539"/>
    <w:rsid w:val="00ED656D"/>
    <w:rsid w:val="00ED6DAD"/>
    <w:rsid w:val="00ED6EAE"/>
    <w:rsid w:val="00ED739D"/>
    <w:rsid w:val="00ED7550"/>
    <w:rsid w:val="00ED7681"/>
    <w:rsid w:val="00ED770F"/>
    <w:rsid w:val="00EE033E"/>
    <w:rsid w:val="00EE0B13"/>
    <w:rsid w:val="00EE0E07"/>
    <w:rsid w:val="00EE1921"/>
    <w:rsid w:val="00EE1B32"/>
    <w:rsid w:val="00EE26D0"/>
    <w:rsid w:val="00EE2839"/>
    <w:rsid w:val="00EE4EFD"/>
    <w:rsid w:val="00EE5197"/>
    <w:rsid w:val="00EE5819"/>
    <w:rsid w:val="00EE59D8"/>
    <w:rsid w:val="00EE5AE9"/>
    <w:rsid w:val="00EE63A1"/>
    <w:rsid w:val="00EE6CC1"/>
    <w:rsid w:val="00EE7754"/>
    <w:rsid w:val="00EE7ABF"/>
    <w:rsid w:val="00EE7BB4"/>
    <w:rsid w:val="00EF062D"/>
    <w:rsid w:val="00EF08E4"/>
    <w:rsid w:val="00EF0B55"/>
    <w:rsid w:val="00EF0CC0"/>
    <w:rsid w:val="00EF1008"/>
    <w:rsid w:val="00EF1158"/>
    <w:rsid w:val="00EF11FF"/>
    <w:rsid w:val="00EF137C"/>
    <w:rsid w:val="00EF178F"/>
    <w:rsid w:val="00EF1899"/>
    <w:rsid w:val="00EF1C8A"/>
    <w:rsid w:val="00EF2137"/>
    <w:rsid w:val="00EF2BCB"/>
    <w:rsid w:val="00EF2CE4"/>
    <w:rsid w:val="00EF3055"/>
    <w:rsid w:val="00EF32F1"/>
    <w:rsid w:val="00EF4824"/>
    <w:rsid w:val="00EF491A"/>
    <w:rsid w:val="00EF4C85"/>
    <w:rsid w:val="00EF500D"/>
    <w:rsid w:val="00EF5157"/>
    <w:rsid w:val="00EF5336"/>
    <w:rsid w:val="00F00285"/>
    <w:rsid w:val="00F00BF5"/>
    <w:rsid w:val="00F0286F"/>
    <w:rsid w:val="00F02EE2"/>
    <w:rsid w:val="00F02FDE"/>
    <w:rsid w:val="00F03195"/>
    <w:rsid w:val="00F0329D"/>
    <w:rsid w:val="00F04113"/>
    <w:rsid w:val="00F04768"/>
    <w:rsid w:val="00F052B0"/>
    <w:rsid w:val="00F05672"/>
    <w:rsid w:val="00F05B46"/>
    <w:rsid w:val="00F05B66"/>
    <w:rsid w:val="00F062B4"/>
    <w:rsid w:val="00F069E2"/>
    <w:rsid w:val="00F06C7F"/>
    <w:rsid w:val="00F11F21"/>
    <w:rsid w:val="00F1227C"/>
    <w:rsid w:val="00F12387"/>
    <w:rsid w:val="00F12B9B"/>
    <w:rsid w:val="00F15CD9"/>
    <w:rsid w:val="00F15CFA"/>
    <w:rsid w:val="00F15D96"/>
    <w:rsid w:val="00F161AD"/>
    <w:rsid w:val="00F17729"/>
    <w:rsid w:val="00F20006"/>
    <w:rsid w:val="00F20062"/>
    <w:rsid w:val="00F2058E"/>
    <w:rsid w:val="00F20901"/>
    <w:rsid w:val="00F20F27"/>
    <w:rsid w:val="00F2172C"/>
    <w:rsid w:val="00F23808"/>
    <w:rsid w:val="00F23DF2"/>
    <w:rsid w:val="00F24567"/>
    <w:rsid w:val="00F24928"/>
    <w:rsid w:val="00F253E3"/>
    <w:rsid w:val="00F2681E"/>
    <w:rsid w:val="00F26B96"/>
    <w:rsid w:val="00F26D4B"/>
    <w:rsid w:val="00F26FB3"/>
    <w:rsid w:val="00F27DDE"/>
    <w:rsid w:val="00F27F46"/>
    <w:rsid w:val="00F31B76"/>
    <w:rsid w:val="00F31C78"/>
    <w:rsid w:val="00F31FBF"/>
    <w:rsid w:val="00F32032"/>
    <w:rsid w:val="00F32B7A"/>
    <w:rsid w:val="00F32C6B"/>
    <w:rsid w:val="00F32CCC"/>
    <w:rsid w:val="00F33848"/>
    <w:rsid w:val="00F33B00"/>
    <w:rsid w:val="00F33BAD"/>
    <w:rsid w:val="00F33FEE"/>
    <w:rsid w:val="00F34599"/>
    <w:rsid w:val="00F34E6D"/>
    <w:rsid w:val="00F36F35"/>
    <w:rsid w:val="00F3769E"/>
    <w:rsid w:val="00F37A77"/>
    <w:rsid w:val="00F40390"/>
    <w:rsid w:val="00F40791"/>
    <w:rsid w:val="00F419AF"/>
    <w:rsid w:val="00F4257F"/>
    <w:rsid w:val="00F435D6"/>
    <w:rsid w:val="00F437C0"/>
    <w:rsid w:val="00F439CA"/>
    <w:rsid w:val="00F43A02"/>
    <w:rsid w:val="00F43ADD"/>
    <w:rsid w:val="00F451EE"/>
    <w:rsid w:val="00F4598B"/>
    <w:rsid w:val="00F46612"/>
    <w:rsid w:val="00F478B2"/>
    <w:rsid w:val="00F50B46"/>
    <w:rsid w:val="00F51209"/>
    <w:rsid w:val="00F517B3"/>
    <w:rsid w:val="00F5202D"/>
    <w:rsid w:val="00F52088"/>
    <w:rsid w:val="00F52CDF"/>
    <w:rsid w:val="00F54AAE"/>
    <w:rsid w:val="00F54E80"/>
    <w:rsid w:val="00F55532"/>
    <w:rsid w:val="00F55D2C"/>
    <w:rsid w:val="00F56678"/>
    <w:rsid w:val="00F56762"/>
    <w:rsid w:val="00F56D55"/>
    <w:rsid w:val="00F571F2"/>
    <w:rsid w:val="00F573D4"/>
    <w:rsid w:val="00F57522"/>
    <w:rsid w:val="00F57578"/>
    <w:rsid w:val="00F575B0"/>
    <w:rsid w:val="00F602DF"/>
    <w:rsid w:val="00F60A5B"/>
    <w:rsid w:val="00F60FB5"/>
    <w:rsid w:val="00F60FC2"/>
    <w:rsid w:val="00F61FA9"/>
    <w:rsid w:val="00F62B91"/>
    <w:rsid w:val="00F62DD2"/>
    <w:rsid w:val="00F6374A"/>
    <w:rsid w:val="00F63C8D"/>
    <w:rsid w:val="00F644D4"/>
    <w:rsid w:val="00F64D8E"/>
    <w:rsid w:val="00F65023"/>
    <w:rsid w:val="00F651E0"/>
    <w:rsid w:val="00F659DB"/>
    <w:rsid w:val="00F65B84"/>
    <w:rsid w:val="00F663F1"/>
    <w:rsid w:val="00F67CCC"/>
    <w:rsid w:val="00F704AE"/>
    <w:rsid w:val="00F70FE6"/>
    <w:rsid w:val="00F7190E"/>
    <w:rsid w:val="00F71F2F"/>
    <w:rsid w:val="00F7256D"/>
    <w:rsid w:val="00F72894"/>
    <w:rsid w:val="00F7290B"/>
    <w:rsid w:val="00F72BDD"/>
    <w:rsid w:val="00F73499"/>
    <w:rsid w:val="00F7366D"/>
    <w:rsid w:val="00F7381D"/>
    <w:rsid w:val="00F749EA"/>
    <w:rsid w:val="00F74ED9"/>
    <w:rsid w:val="00F74F4D"/>
    <w:rsid w:val="00F74F71"/>
    <w:rsid w:val="00F76302"/>
    <w:rsid w:val="00F76372"/>
    <w:rsid w:val="00F76A89"/>
    <w:rsid w:val="00F76F36"/>
    <w:rsid w:val="00F7705B"/>
    <w:rsid w:val="00F7714A"/>
    <w:rsid w:val="00F775FD"/>
    <w:rsid w:val="00F77875"/>
    <w:rsid w:val="00F77B1E"/>
    <w:rsid w:val="00F800A5"/>
    <w:rsid w:val="00F80431"/>
    <w:rsid w:val="00F808DB"/>
    <w:rsid w:val="00F81A87"/>
    <w:rsid w:val="00F81C89"/>
    <w:rsid w:val="00F81CA9"/>
    <w:rsid w:val="00F824BA"/>
    <w:rsid w:val="00F827B1"/>
    <w:rsid w:val="00F82B66"/>
    <w:rsid w:val="00F82F2B"/>
    <w:rsid w:val="00F83201"/>
    <w:rsid w:val="00F84001"/>
    <w:rsid w:val="00F849AC"/>
    <w:rsid w:val="00F84D0E"/>
    <w:rsid w:val="00F84DAC"/>
    <w:rsid w:val="00F851EF"/>
    <w:rsid w:val="00F8574D"/>
    <w:rsid w:val="00F85F69"/>
    <w:rsid w:val="00F8618F"/>
    <w:rsid w:val="00F873C4"/>
    <w:rsid w:val="00F90C8E"/>
    <w:rsid w:val="00F9125C"/>
    <w:rsid w:val="00F91942"/>
    <w:rsid w:val="00F91ADD"/>
    <w:rsid w:val="00F91CA2"/>
    <w:rsid w:val="00F92405"/>
    <w:rsid w:val="00F92654"/>
    <w:rsid w:val="00F92E2A"/>
    <w:rsid w:val="00F9363A"/>
    <w:rsid w:val="00F94256"/>
    <w:rsid w:val="00F947A4"/>
    <w:rsid w:val="00F94912"/>
    <w:rsid w:val="00F9663A"/>
    <w:rsid w:val="00F9685A"/>
    <w:rsid w:val="00F96BDB"/>
    <w:rsid w:val="00F96CFB"/>
    <w:rsid w:val="00FA11E2"/>
    <w:rsid w:val="00FA1594"/>
    <w:rsid w:val="00FA2FE8"/>
    <w:rsid w:val="00FA340A"/>
    <w:rsid w:val="00FA3514"/>
    <w:rsid w:val="00FA385E"/>
    <w:rsid w:val="00FA4243"/>
    <w:rsid w:val="00FA43C9"/>
    <w:rsid w:val="00FA45E3"/>
    <w:rsid w:val="00FA4678"/>
    <w:rsid w:val="00FA51C2"/>
    <w:rsid w:val="00FA5479"/>
    <w:rsid w:val="00FA6247"/>
    <w:rsid w:val="00FA6486"/>
    <w:rsid w:val="00FA79C1"/>
    <w:rsid w:val="00FA7F9F"/>
    <w:rsid w:val="00FB0EB9"/>
    <w:rsid w:val="00FB1296"/>
    <w:rsid w:val="00FB12DA"/>
    <w:rsid w:val="00FB1407"/>
    <w:rsid w:val="00FB18A0"/>
    <w:rsid w:val="00FB1DC8"/>
    <w:rsid w:val="00FB223A"/>
    <w:rsid w:val="00FB371E"/>
    <w:rsid w:val="00FB41B4"/>
    <w:rsid w:val="00FB4227"/>
    <w:rsid w:val="00FB4798"/>
    <w:rsid w:val="00FB4C78"/>
    <w:rsid w:val="00FB5153"/>
    <w:rsid w:val="00FB534A"/>
    <w:rsid w:val="00FB5568"/>
    <w:rsid w:val="00FC029F"/>
    <w:rsid w:val="00FC0ACC"/>
    <w:rsid w:val="00FC1F9D"/>
    <w:rsid w:val="00FC2303"/>
    <w:rsid w:val="00FC261C"/>
    <w:rsid w:val="00FC2807"/>
    <w:rsid w:val="00FC376A"/>
    <w:rsid w:val="00FC3E2F"/>
    <w:rsid w:val="00FC423D"/>
    <w:rsid w:val="00FC460C"/>
    <w:rsid w:val="00FC46F1"/>
    <w:rsid w:val="00FC6743"/>
    <w:rsid w:val="00FC72A9"/>
    <w:rsid w:val="00FC7B07"/>
    <w:rsid w:val="00FC7EF0"/>
    <w:rsid w:val="00FD02E7"/>
    <w:rsid w:val="00FD0407"/>
    <w:rsid w:val="00FD04FA"/>
    <w:rsid w:val="00FD07D6"/>
    <w:rsid w:val="00FD097D"/>
    <w:rsid w:val="00FD0E01"/>
    <w:rsid w:val="00FD1051"/>
    <w:rsid w:val="00FD241F"/>
    <w:rsid w:val="00FD279A"/>
    <w:rsid w:val="00FD2AF1"/>
    <w:rsid w:val="00FD33D9"/>
    <w:rsid w:val="00FD357E"/>
    <w:rsid w:val="00FD4583"/>
    <w:rsid w:val="00FD45FE"/>
    <w:rsid w:val="00FD62BC"/>
    <w:rsid w:val="00FD79BE"/>
    <w:rsid w:val="00FD7D51"/>
    <w:rsid w:val="00FE02F6"/>
    <w:rsid w:val="00FE094A"/>
    <w:rsid w:val="00FE0A24"/>
    <w:rsid w:val="00FE0DD1"/>
    <w:rsid w:val="00FE0EA2"/>
    <w:rsid w:val="00FE2716"/>
    <w:rsid w:val="00FE2CB9"/>
    <w:rsid w:val="00FE3104"/>
    <w:rsid w:val="00FE3216"/>
    <w:rsid w:val="00FE3660"/>
    <w:rsid w:val="00FE39DD"/>
    <w:rsid w:val="00FE4B00"/>
    <w:rsid w:val="00FE53F4"/>
    <w:rsid w:val="00FE553F"/>
    <w:rsid w:val="00FE593E"/>
    <w:rsid w:val="00FE5A94"/>
    <w:rsid w:val="00FE5AD8"/>
    <w:rsid w:val="00FE5E83"/>
    <w:rsid w:val="00FE6E3F"/>
    <w:rsid w:val="00FE71F9"/>
    <w:rsid w:val="00FE72DE"/>
    <w:rsid w:val="00FE7308"/>
    <w:rsid w:val="00FF05C2"/>
    <w:rsid w:val="00FF0AA8"/>
    <w:rsid w:val="00FF275F"/>
    <w:rsid w:val="00FF2891"/>
    <w:rsid w:val="00FF3B97"/>
    <w:rsid w:val="00FF4F60"/>
    <w:rsid w:val="00FF5019"/>
    <w:rsid w:val="00FF5197"/>
    <w:rsid w:val="00FF535E"/>
    <w:rsid w:val="00FF569E"/>
    <w:rsid w:val="00FF5AC3"/>
    <w:rsid w:val="00FF5BE6"/>
    <w:rsid w:val="00FF5DBF"/>
    <w:rsid w:val="00FF622B"/>
    <w:rsid w:val="00FF7208"/>
    <w:rsid w:val="00FF7728"/>
    <w:rsid w:val="00FF7CC0"/>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16F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rsid w:val="009B7138"/>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4"/>
      </w:numPr>
      <w:outlineLvl w:val="3"/>
    </w:pPr>
    <w:rPr>
      <w:rFonts w:eastAsiaTheme="majorEastAsia"/>
      <w:bCs/>
      <w:iCs/>
    </w:rPr>
  </w:style>
  <w:style w:type="paragraph" w:styleId="Heading5">
    <w:name w:val="heading 5"/>
    <w:basedOn w:val="Normal"/>
    <w:next w:val="Text2"/>
    <w:link w:val="Heading5Char"/>
    <w:uiPriority w:val="9"/>
    <w:semiHidden/>
    <w:unhideWhenUsed/>
    <w:qFormat/>
    <w:rsid w:val="000C4410"/>
    <w:pPr>
      <w:keepNext/>
      <w:numPr>
        <w:ilvl w:val="4"/>
        <w:numId w:val="24"/>
      </w:numPr>
      <w:outlineLvl w:val="4"/>
    </w:pPr>
    <w:rPr>
      <w:rFonts w:eastAsiaTheme="majorEastAsia"/>
    </w:rPr>
  </w:style>
  <w:style w:type="paragraph" w:styleId="Heading6">
    <w:name w:val="heading 6"/>
    <w:basedOn w:val="Normal"/>
    <w:next w:val="Text2"/>
    <w:link w:val="Heading6Char"/>
    <w:uiPriority w:val="9"/>
    <w:semiHidden/>
    <w:unhideWhenUsed/>
    <w:qFormat/>
    <w:rsid w:val="000C4410"/>
    <w:pPr>
      <w:keepNext/>
      <w:numPr>
        <w:ilvl w:val="5"/>
        <w:numId w:val="24"/>
      </w:numPr>
      <w:outlineLvl w:val="5"/>
    </w:pPr>
    <w:rPr>
      <w:rFonts w:eastAsiaTheme="majorEastAsia"/>
      <w:iCs/>
    </w:rPr>
  </w:style>
  <w:style w:type="paragraph" w:styleId="Heading7">
    <w:name w:val="heading 7"/>
    <w:basedOn w:val="Normal"/>
    <w:next w:val="Text2"/>
    <w:link w:val="Heading7Char"/>
    <w:uiPriority w:val="9"/>
    <w:semiHidden/>
    <w:unhideWhenUsed/>
    <w:qFormat/>
    <w:rsid w:val="000C4410"/>
    <w:pPr>
      <w:keepNext/>
      <w:numPr>
        <w:ilvl w:val="6"/>
        <w:numId w:val="2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B606AB"/>
    <w:pPr>
      <w:numPr>
        <w:numId w:val="1"/>
      </w:numPr>
      <w:contextualSpacing/>
    </w:pPr>
  </w:style>
  <w:style w:type="paragraph" w:styleId="ListBullet2">
    <w:name w:val="List Bullet 2"/>
    <w:basedOn w:val="Normal"/>
    <w:uiPriority w:val="99"/>
    <w:semiHidden/>
    <w:unhideWhenUsed/>
    <w:rsid w:val="00B606AB"/>
    <w:pPr>
      <w:numPr>
        <w:numId w:val="2"/>
      </w:numPr>
      <w:contextualSpacing/>
    </w:pPr>
  </w:style>
  <w:style w:type="paragraph" w:styleId="ListBullet3">
    <w:name w:val="List Bullet 3"/>
    <w:basedOn w:val="Normal"/>
    <w:uiPriority w:val="99"/>
    <w:semiHidden/>
    <w:unhideWhenUsed/>
    <w:rsid w:val="00B606AB"/>
    <w:pPr>
      <w:numPr>
        <w:numId w:val="3"/>
      </w:numPr>
      <w:contextualSpacing/>
    </w:pPr>
  </w:style>
  <w:style w:type="paragraph" w:styleId="ListBullet4">
    <w:name w:val="List Bullet 4"/>
    <w:basedOn w:val="Normal"/>
    <w:uiPriority w:val="99"/>
    <w:semiHidden/>
    <w:unhideWhenUsed/>
    <w:rsid w:val="00B606AB"/>
    <w:pPr>
      <w:numPr>
        <w:numId w:val="4"/>
      </w:numPr>
      <w:contextualSpacing/>
    </w:pPr>
  </w:style>
  <w:style w:type="paragraph" w:customStyle="1" w:styleId="Body">
    <w:name w:val="Body"/>
    <w:basedOn w:val="Normal"/>
    <w:link w:val="BodyChar"/>
    <w:uiPriority w:val="99"/>
    <w:qFormat/>
    <w:rsid w:val="00FE3660"/>
    <w:rPr>
      <w:rFonts w:ascii="Verdana" w:eastAsia="Times New Roman" w:hAnsi="Verdana"/>
      <w:sz w:val="20"/>
      <w:szCs w:val="20"/>
    </w:rPr>
  </w:style>
  <w:style w:type="character" w:customStyle="1" w:styleId="BodyChar">
    <w:name w:val="Body Char"/>
    <w:link w:val="Body"/>
    <w:uiPriority w:val="99"/>
    <w:rsid w:val="00FE3660"/>
    <w:rPr>
      <w:rFonts w:ascii="Verdana" w:eastAsia="Times New Roman" w:hAnsi="Verdana" w:cs="Times New Roman"/>
      <w:sz w:val="20"/>
      <w:szCs w:val="20"/>
      <w:lang w:val="en-GB"/>
    </w:rPr>
  </w:style>
  <w:style w:type="character" w:customStyle="1" w:styleId="BriefingtextChar">
    <w:name w:val="Briefing text Char"/>
    <w:basedOn w:val="DefaultParagraphFont"/>
    <w:link w:val="Briefingtext"/>
    <w:locked/>
    <w:rsid w:val="0022533D"/>
    <w:rPr>
      <w:rFonts w:ascii="Arial" w:hAnsi="Arial" w:cs="Arial"/>
    </w:rPr>
  </w:style>
  <w:style w:type="paragraph" w:customStyle="1" w:styleId="Briefingtext">
    <w:name w:val="Briefing text"/>
    <w:basedOn w:val="Normal"/>
    <w:link w:val="BriefingtextChar"/>
    <w:rsid w:val="0022533D"/>
    <w:pPr>
      <w:spacing w:before="0"/>
    </w:pPr>
    <w:rPr>
      <w:rFonts w:ascii="Arial" w:hAnsi="Arial" w:cs="Arial"/>
      <w:sz w:val="22"/>
      <w:lang w:val="en-US"/>
    </w:rPr>
  </w:style>
  <w:style w:type="paragraph" w:styleId="NormalWeb">
    <w:name w:val="Normal (Web)"/>
    <w:basedOn w:val="Normal"/>
    <w:uiPriority w:val="99"/>
    <w:unhideWhenUsed/>
    <w:rsid w:val="00541F99"/>
    <w:pPr>
      <w:spacing w:before="100" w:beforeAutospacing="1" w:after="100" w:afterAutospacing="1"/>
      <w:jc w:val="left"/>
    </w:pPr>
    <w:rPr>
      <w:rFonts w:eastAsia="Times New Roman"/>
      <w:szCs w:val="24"/>
      <w:lang w:val="en-US"/>
    </w:rPr>
  </w:style>
  <w:style w:type="paragraph" w:styleId="ListContinue2">
    <w:name w:val="List Continue 2"/>
    <w:basedOn w:val="Normal"/>
    <w:rsid w:val="00EB6BEF"/>
    <w:pPr>
      <w:spacing w:before="0"/>
      <w:ind w:left="566"/>
    </w:pPr>
    <w:rPr>
      <w:rFonts w:eastAsia="Times New Roman"/>
      <w:szCs w:val="20"/>
      <w:lang w:val="fr-FR"/>
    </w:rPr>
  </w:style>
  <w:style w:type="paragraph" w:customStyle="1" w:styleId="Bulletmain">
    <w:name w:val="Bullet main"/>
    <w:basedOn w:val="Normal"/>
    <w:link w:val="BulletmainChar"/>
    <w:qFormat/>
    <w:rsid w:val="00EB6BEF"/>
    <w:pPr>
      <w:spacing w:before="60" w:after="60"/>
      <w:ind w:left="530" w:hanging="360"/>
    </w:pPr>
    <w:rPr>
      <w:rFonts w:ascii="Verdana" w:eastAsia="Times New Roman" w:hAnsi="Verdana"/>
      <w:bCs/>
      <w:sz w:val="20"/>
      <w:szCs w:val="20"/>
    </w:rPr>
  </w:style>
  <w:style w:type="character" w:customStyle="1" w:styleId="BulletmainChar">
    <w:name w:val="Bullet main Char"/>
    <w:basedOn w:val="BodyChar"/>
    <w:link w:val="Bulletmain"/>
    <w:rsid w:val="00EB6BEF"/>
    <w:rPr>
      <w:rFonts w:ascii="Verdana" w:eastAsia="Times New Roman" w:hAnsi="Verdana" w:cs="Times New Roman"/>
      <w:bCs/>
      <w:sz w:val="20"/>
      <w:szCs w:val="20"/>
      <w:lang w:val="en-GB"/>
    </w:rPr>
  </w:style>
  <w:style w:type="character" w:styleId="Hyperlink">
    <w:name w:val="Hyperlink"/>
    <w:basedOn w:val="DefaultParagraphFont"/>
    <w:uiPriority w:val="99"/>
    <w:unhideWhenUsed/>
    <w:rsid w:val="00D27E03"/>
    <w:rPr>
      <w:color w:val="0000FF" w:themeColor="hyperlink"/>
      <w:u w:val="single"/>
    </w:rPr>
  </w:style>
  <w:style w:type="character" w:styleId="CommentReference">
    <w:name w:val="annotation reference"/>
    <w:basedOn w:val="DefaultParagraphFont"/>
    <w:uiPriority w:val="99"/>
    <w:semiHidden/>
    <w:unhideWhenUsed/>
    <w:rsid w:val="00FE7308"/>
    <w:rPr>
      <w:sz w:val="16"/>
      <w:szCs w:val="16"/>
    </w:rPr>
  </w:style>
  <w:style w:type="paragraph" w:styleId="CommentText">
    <w:name w:val="annotation text"/>
    <w:basedOn w:val="Normal"/>
    <w:link w:val="CommentTextChar"/>
    <w:uiPriority w:val="99"/>
    <w:unhideWhenUsed/>
    <w:rsid w:val="00FE7308"/>
    <w:rPr>
      <w:sz w:val="20"/>
      <w:szCs w:val="20"/>
    </w:rPr>
  </w:style>
  <w:style w:type="character" w:customStyle="1" w:styleId="CommentTextChar">
    <w:name w:val="Comment Text Char"/>
    <w:basedOn w:val="DefaultParagraphFont"/>
    <w:link w:val="CommentText"/>
    <w:uiPriority w:val="99"/>
    <w:rsid w:val="00FE7308"/>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E7308"/>
    <w:rPr>
      <w:b/>
      <w:bCs/>
    </w:rPr>
  </w:style>
  <w:style w:type="character" w:customStyle="1" w:styleId="CommentSubjectChar">
    <w:name w:val="Comment Subject Char"/>
    <w:basedOn w:val="CommentTextChar"/>
    <w:link w:val="CommentSubject"/>
    <w:uiPriority w:val="99"/>
    <w:semiHidden/>
    <w:rsid w:val="00FE7308"/>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E730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308"/>
    <w:rPr>
      <w:rFonts w:ascii="Segoe UI" w:hAnsi="Segoe UI" w:cs="Segoe UI"/>
      <w:sz w:val="18"/>
      <w:szCs w:val="18"/>
      <w:lang w:val="en-GB"/>
    </w:rPr>
  </w:style>
  <w:style w:type="paragraph" w:styleId="Revision">
    <w:name w:val="Revision"/>
    <w:hidden/>
    <w:uiPriority w:val="99"/>
    <w:semiHidden/>
    <w:rsid w:val="00FE7308"/>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sid w:val="00B432B8"/>
    <w:rPr>
      <w:color w:val="800080" w:themeColor="followedHyperlink"/>
      <w:u w:val="single"/>
    </w:rPr>
  </w:style>
  <w:style w:type="character" w:styleId="Strong">
    <w:name w:val="Strong"/>
    <w:basedOn w:val="DefaultParagraphFont"/>
    <w:uiPriority w:val="22"/>
    <w:qFormat/>
    <w:rsid w:val="00E61F56"/>
    <w:rPr>
      <w:b/>
      <w:bCs/>
    </w:rPr>
  </w:style>
  <w:style w:type="character" w:styleId="Emphasis">
    <w:name w:val="Emphasis"/>
    <w:basedOn w:val="DefaultParagraphFont"/>
    <w:uiPriority w:val="20"/>
    <w:qFormat/>
    <w:rsid w:val="0006607E"/>
    <w:rPr>
      <w:i/>
      <w:iCs/>
    </w:rPr>
  </w:style>
  <w:style w:type="paragraph" w:styleId="Caption">
    <w:name w:val="caption"/>
    <w:basedOn w:val="Normal"/>
    <w:next w:val="Normal"/>
    <w:uiPriority w:val="35"/>
    <w:semiHidden/>
    <w:unhideWhenUsed/>
    <w:qFormat/>
    <w:rsid w:val="00A268C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268CC"/>
    <w:pPr>
      <w:spacing w:after="0"/>
    </w:pPr>
  </w:style>
  <w:style w:type="paragraph" w:styleId="ListNumber">
    <w:name w:val="List Number"/>
    <w:basedOn w:val="Normal"/>
    <w:uiPriority w:val="99"/>
    <w:semiHidden/>
    <w:unhideWhenUsed/>
    <w:rsid w:val="00A268CC"/>
    <w:pPr>
      <w:numPr>
        <w:numId w:val="6"/>
      </w:numPr>
      <w:contextualSpacing/>
    </w:pPr>
  </w:style>
  <w:style w:type="paragraph" w:styleId="ListNumber2">
    <w:name w:val="List Number 2"/>
    <w:basedOn w:val="Normal"/>
    <w:uiPriority w:val="99"/>
    <w:semiHidden/>
    <w:unhideWhenUsed/>
    <w:rsid w:val="00A268CC"/>
    <w:pPr>
      <w:numPr>
        <w:numId w:val="7"/>
      </w:numPr>
      <w:contextualSpacing/>
    </w:pPr>
  </w:style>
  <w:style w:type="paragraph" w:styleId="ListNumber3">
    <w:name w:val="List Number 3"/>
    <w:basedOn w:val="Normal"/>
    <w:uiPriority w:val="99"/>
    <w:semiHidden/>
    <w:unhideWhenUsed/>
    <w:rsid w:val="00A268CC"/>
    <w:pPr>
      <w:numPr>
        <w:numId w:val="8"/>
      </w:numPr>
      <w:contextualSpacing/>
    </w:pPr>
  </w:style>
  <w:style w:type="paragraph" w:styleId="ListNumber4">
    <w:name w:val="List Number 4"/>
    <w:basedOn w:val="Normal"/>
    <w:uiPriority w:val="99"/>
    <w:semiHidden/>
    <w:unhideWhenUsed/>
    <w:rsid w:val="00A268CC"/>
    <w:pPr>
      <w:numPr>
        <w:numId w:val="9"/>
      </w:numPr>
      <w:contextualSpacing/>
    </w:p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rsid w:val="00143375"/>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sid w:val="00143375"/>
    <w:rPr>
      <w:rFonts w:ascii="Times New Roman" w:hAnsi="Times New Roman" w:cs="Times New Roman"/>
      <w:sz w:val="24"/>
      <w:lang w:val="en-GB"/>
    </w:rPr>
  </w:style>
  <w:style w:type="character" w:customStyle="1" w:styleId="footnotereference">
    <w:name w:val="footnotereference"/>
    <w:basedOn w:val="DefaultParagraphFont"/>
    <w:rsid w:val="008A3074"/>
  </w:style>
  <w:style w:type="paragraph" w:styleId="PlainText">
    <w:name w:val="Plain Text"/>
    <w:basedOn w:val="Normal"/>
    <w:link w:val="PlainTextChar"/>
    <w:uiPriority w:val="99"/>
    <w:semiHidden/>
    <w:unhideWhenUsed/>
    <w:rsid w:val="009566DA"/>
    <w:pPr>
      <w:spacing w:before="0" w:after="0"/>
      <w:jc w:val="left"/>
    </w:pPr>
    <w:rPr>
      <w:rFonts w:ascii="Calibri" w:hAnsi="Calibri" w:cstheme="minorBidi"/>
      <w:sz w:val="22"/>
      <w:szCs w:val="21"/>
      <w:lang w:val="fr-BE"/>
    </w:rPr>
  </w:style>
  <w:style w:type="character" w:customStyle="1" w:styleId="PlainTextChar">
    <w:name w:val="Plain Text Char"/>
    <w:basedOn w:val="DefaultParagraphFont"/>
    <w:link w:val="PlainText"/>
    <w:uiPriority w:val="99"/>
    <w:semiHidden/>
    <w:rsid w:val="009566DA"/>
    <w:rPr>
      <w:rFonts w:ascii="Calibri" w:hAnsi="Calibri"/>
      <w:szCs w:val="21"/>
      <w:lang w:val="fr-BE"/>
    </w:rPr>
  </w:style>
  <w:style w:type="character" w:styleId="FootnoteReference0">
    <w:name w:val="footnote reference"/>
    <w:basedOn w:val="DefaultParagraphFont"/>
    <w:uiPriority w:val="99"/>
    <w:semiHidden/>
    <w:unhideWhenUsed/>
    <w:rsid w:val="009B7138"/>
    <w:rPr>
      <w:shd w:val="clear" w:color="auto" w:fill="auto"/>
      <w:vertAlign w:val="superscript"/>
    </w:rPr>
  </w:style>
  <w:style w:type="paragraph" w:styleId="Header">
    <w:name w:val="header"/>
    <w:basedOn w:val="Normal"/>
    <w:link w:val="HeaderChar"/>
    <w:uiPriority w:val="99"/>
    <w:unhideWhenUsed/>
    <w:rsid w:val="00CA7CFE"/>
    <w:pPr>
      <w:tabs>
        <w:tab w:val="center" w:pos="4535"/>
        <w:tab w:val="right" w:pos="9071"/>
      </w:tabs>
      <w:spacing w:before="0"/>
    </w:pPr>
  </w:style>
  <w:style w:type="character" w:customStyle="1" w:styleId="HeaderChar">
    <w:name w:val="Header Char"/>
    <w:basedOn w:val="DefaultParagraphFont"/>
    <w:link w:val="Header"/>
    <w:uiPriority w:val="99"/>
    <w:rsid w:val="00CA7CFE"/>
    <w:rPr>
      <w:rFonts w:ascii="Times New Roman" w:hAnsi="Times New Roman" w:cs="Times New Roman"/>
      <w:sz w:val="24"/>
      <w:lang w:val="pl-PL"/>
    </w:rPr>
  </w:style>
  <w:style w:type="paragraph" w:styleId="Footer">
    <w:name w:val="footer"/>
    <w:basedOn w:val="Normal"/>
    <w:link w:val="FooterChar"/>
    <w:uiPriority w:val="99"/>
    <w:unhideWhenUsed/>
    <w:rsid w:val="00CA7CF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A7CFE"/>
    <w:rPr>
      <w:rFonts w:ascii="Times New Roman" w:hAnsi="Times New Roman" w:cs="Times New Roman"/>
      <w:sz w:val="24"/>
      <w:lang w:val="pl-PL"/>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pl-PL"/>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CA7CFE"/>
    <w:pPr>
      <w:tabs>
        <w:tab w:val="center" w:pos="7285"/>
        <w:tab w:val="right" w:pos="14003"/>
      </w:tabs>
      <w:spacing w:before="0"/>
    </w:pPr>
  </w:style>
  <w:style w:type="paragraph" w:customStyle="1" w:styleId="FooterLandscape">
    <w:name w:val="FooterLandscape"/>
    <w:basedOn w:val="Normal"/>
    <w:rsid w:val="00CA7CFE"/>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CA7CF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A7CFE"/>
    <w:pPr>
      <w:spacing w:before="0"/>
      <w:jc w:val="right"/>
    </w:pPr>
    <w:rPr>
      <w:sz w:val="28"/>
    </w:rPr>
  </w:style>
  <w:style w:type="paragraph" w:customStyle="1" w:styleId="FooterSensitivity">
    <w:name w:val="Footer Sensitivity"/>
    <w:basedOn w:val="Normal"/>
    <w:rsid w:val="00CA7CF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2"/>
      </w:numPr>
    </w:pPr>
  </w:style>
  <w:style w:type="paragraph" w:customStyle="1" w:styleId="Tiret1">
    <w:name w:val="Tiret 1"/>
    <w:basedOn w:val="Point1"/>
    <w:rsid w:val="009B7138"/>
    <w:pPr>
      <w:numPr>
        <w:numId w:val="13"/>
      </w:numPr>
    </w:pPr>
  </w:style>
  <w:style w:type="paragraph" w:customStyle="1" w:styleId="Tiret2">
    <w:name w:val="Tiret 2"/>
    <w:basedOn w:val="Point2"/>
    <w:rsid w:val="009B7138"/>
    <w:pPr>
      <w:numPr>
        <w:numId w:val="14"/>
      </w:numPr>
    </w:pPr>
  </w:style>
  <w:style w:type="paragraph" w:customStyle="1" w:styleId="Tiret3">
    <w:name w:val="Tiret 3"/>
    <w:basedOn w:val="Point3"/>
    <w:rsid w:val="009B7138"/>
    <w:pPr>
      <w:numPr>
        <w:numId w:val="15"/>
      </w:numPr>
    </w:pPr>
  </w:style>
  <w:style w:type="paragraph" w:customStyle="1" w:styleId="Tiret4">
    <w:name w:val="Tiret 4"/>
    <w:basedOn w:val="Point4"/>
    <w:rsid w:val="009B7138"/>
    <w:pPr>
      <w:numPr>
        <w:numId w:val="16"/>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26"/>
      </w:numPr>
    </w:pPr>
  </w:style>
  <w:style w:type="paragraph" w:customStyle="1" w:styleId="NumPar2">
    <w:name w:val="NumPar 2"/>
    <w:basedOn w:val="Normal"/>
    <w:next w:val="Text1"/>
    <w:rsid w:val="009B7138"/>
    <w:pPr>
      <w:numPr>
        <w:ilvl w:val="1"/>
        <w:numId w:val="26"/>
      </w:numPr>
    </w:pPr>
  </w:style>
  <w:style w:type="paragraph" w:customStyle="1" w:styleId="NumPar3">
    <w:name w:val="NumPar 3"/>
    <w:basedOn w:val="Normal"/>
    <w:next w:val="Text1"/>
    <w:rsid w:val="009B7138"/>
    <w:pPr>
      <w:numPr>
        <w:ilvl w:val="2"/>
        <w:numId w:val="26"/>
      </w:numPr>
    </w:pPr>
  </w:style>
  <w:style w:type="paragraph" w:customStyle="1" w:styleId="NumPar4">
    <w:name w:val="NumPar 4"/>
    <w:basedOn w:val="Normal"/>
    <w:next w:val="Text1"/>
    <w:rsid w:val="009B7138"/>
    <w:pPr>
      <w:numPr>
        <w:ilvl w:val="3"/>
        <w:numId w:val="26"/>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DB6062"/>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7"/>
      </w:numPr>
    </w:pPr>
  </w:style>
  <w:style w:type="paragraph" w:customStyle="1" w:styleId="Point1number">
    <w:name w:val="Point 1 (number)"/>
    <w:basedOn w:val="Normal"/>
    <w:rsid w:val="009B7138"/>
    <w:pPr>
      <w:numPr>
        <w:ilvl w:val="2"/>
        <w:numId w:val="17"/>
      </w:numPr>
    </w:pPr>
  </w:style>
  <w:style w:type="paragraph" w:customStyle="1" w:styleId="Point2number">
    <w:name w:val="Point 2 (number)"/>
    <w:basedOn w:val="Normal"/>
    <w:rsid w:val="009B7138"/>
    <w:pPr>
      <w:numPr>
        <w:ilvl w:val="4"/>
        <w:numId w:val="17"/>
      </w:numPr>
    </w:pPr>
  </w:style>
  <w:style w:type="paragraph" w:customStyle="1" w:styleId="Point3number">
    <w:name w:val="Point 3 (number)"/>
    <w:basedOn w:val="Normal"/>
    <w:rsid w:val="009B7138"/>
    <w:pPr>
      <w:numPr>
        <w:ilvl w:val="6"/>
        <w:numId w:val="17"/>
      </w:numPr>
    </w:pPr>
  </w:style>
  <w:style w:type="paragraph" w:customStyle="1" w:styleId="Point0letter">
    <w:name w:val="Point 0 (letter)"/>
    <w:basedOn w:val="Normal"/>
    <w:rsid w:val="009B7138"/>
    <w:pPr>
      <w:numPr>
        <w:ilvl w:val="1"/>
        <w:numId w:val="17"/>
      </w:numPr>
    </w:pPr>
  </w:style>
  <w:style w:type="paragraph" w:customStyle="1" w:styleId="Point1letter">
    <w:name w:val="Point 1 (letter)"/>
    <w:basedOn w:val="Normal"/>
    <w:rsid w:val="009B7138"/>
    <w:pPr>
      <w:numPr>
        <w:ilvl w:val="3"/>
        <w:numId w:val="17"/>
      </w:numPr>
    </w:pPr>
  </w:style>
  <w:style w:type="paragraph" w:customStyle="1" w:styleId="Point2letter">
    <w:name w:val="Point 2 (letter)"/>
    <w:basedOn w:val="Normal"/>
    <w:rsid w:val="009B7138"/>
    <w:pPr>
      <w:numPr>
        <w:ilvl w:val="5"/>
        <w:numId w:val="17"/>
      </w:numPr>
    </w:pPr>
  </w:style>
  <w:style w:type="paragraph" w:customStyle="1" w:styleId="Point3letter">
    <w:name w:val="Point 3 (letter)"/>
    <w:basedOn w:val="Normal"/>
    <w:rsid w:val="009B7138"/>
    <w:pPr>
      <w:numPr>
        <w:ilvl w:val="7"/>
        <w:numId w:val="17"/>
      </w:numPr>
    </w:pPr>
  </w:style>
  <w:style w:type="paragraph" w:customStyle="1" w:styleId="Point4letter">
    <w:name w:val="Point 4 (letter)"/>
    <w:basedOn w:val="Normal"/>
    <w:rsid w:val="009B7138"/>
    <w:pPr>
      <w:numPr>
        <w:ilvl w:val="8"/>
        <w:numId w:val="17"/>
      </w:numPr>
    </w:pPr>
  </w:style>
  <w:style w:type="paragraph" w:customStyle="1" w:styleId="Bullet0">
    <w:name w:val="Bullet 0"/>
    <w:basedOn w:val="Normal"/>
    <w:rsid w:val="009B7138"/>
    <w:pPr>
      <w:numPr>
        <w:numId w:val="18"/>
      </w:numPr>
    </w:pPr>
  </w:style>
  <w:style w:type="paragraph" w:customStyle="1" w:styleId="Bullet1">
    <w:name w:val="Bullet 1"/>
    <w:basedOn w:val="Normal"/>
    <w:rsid w:val="009B7138"/>
    <w:pPr>
      <w:numPr>
        <w:numId w:val="19"/>
      </w:numPr>
    </w:pPr>
  </w:style>
  <w:style w:type="paragraph" w:customStyle="1" w:styleId="Bullet2">
    <w:name w:val="Bullet 2"/>
    <w:basedOn w:val="Normal"/>
    <w:rsid w:val="009B7138"/>
    <w:pPr>
      <w:numPr>
        <w:numId w:val="20"/>
      </w:numPr>
    </w:pPr>
  </w:style>
  <w:style w:type="paragraph" w:customStyle="1" w:styleId="Bullet3">
    <w:name w:val="Bullet 3"/>
    <w:basedOn w:val="Normal"/>
    <w:rsid w:val="009B7138"/>
    <w:pPr>
      <w:numPr>
        <w:numId w:val="21"/>
      </w:numPr>
    </w:pPr>
  </w:style>
  <w:style w:type="paragraph" w:customStyle="1" w:styleId="Bullet4">
    <w:name w:val="Bullet 4"/>
    <w:basedOn w:val="Normal"/>
    <w:rsid w:val="009B7138"/>
    <w:pPr>
      <w:numPr>
        <w:numId w:val="22"/>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3"/>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0C4410"/>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sid w:val="000C4410"/>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sid w:val="000C4410"/>
    <w:rPr>
      <w:rFonts w:ascii="Times New Roman" w:eastAsiaTheme="majorEastAsia" w:hAnsi="Times New Roman" w:cs="Times New Roman"/>
      <w:iCs/>
      <w:sz w:val="24"/>
      <w:lang w:val="pl-PL"/>
    </w:rPr>
  </w:style>
  <w:style w:type="paragraph" w:customStyle="1" w:styleId="ManualHeading5">
    <w:name w:val="Manual Heading 5"/>
    <w:basedOn w:val="Normal"/>
    <w:next w:val="Text2"/>
    <w:rsid w:val="000C4410"/>
    <w:pPr>
      <w:keepNext/>
      <w:tabs>
        <w:tab w:val="left" w:pos="1417"/>
      </w:tabs>
      <w:ind w:left="1417" w:hanging="1417"/>
      <w:outlineLvl w:val="4"/>
    </w:pPr>
  </w:style>
  <w:style w:type="paragraph" w:customStyle="1" w:styleId="ManualHeading6">
    <w:name w:val="Manual Heading 6"/>
    <w:basedOn w:val="Normal"/>
    <w:next w:val="Text2"/>
    <w:rsid w:val="000C4410"/>
    <w:pPr>
      <w:keepNext/>
      <w:tabs>
        <w:tab w:val="left" w:pos="1417"/>
      </w:tabs>
      <w:ind w:left="1417" w:hanging="1417"/>
      <w:outlineLvl w:val="5"/>
    </w:pPr>
  </w:style>
  <w:style w:type="paragraph" w:customStyle="1" w:styleId="ManualHeading7">
    <w:name w:val="Manual Heading 7"/>
    <w:basedOn w:val="Normal"/>
    <w:next w:val="Text2"/>
    <w:rsid w:val="000C4410"/>
    <w:pPr>
      <w:keepNext/>
      <w:tabs>
        <w:tab w:val="left" w:pos="1417"/>
      </w:tabs>
      <w:ind w:left="1417" w:hanging="1417"/>
      <w:outlineLvl w:val="6"/>
    </w:pPr>
  </w:style>
  <w:style w:type="paragraph" w:customStyle="1" w:styleId="Text5">
    <w:name w:val="Text 5"/>
    <w:basedOn w:val="Normal"/>
    <w:rsid w:val="000C4410"/>
    <w:pPr>
      <w:ind w:left="3118"/>
    </w:pPr>
  </w:style>
  <w:style w:type="paragraph" w:customStyle="1" w:styleId="Text6">
    <w:name w:val="Text 6"/>
    <w:basedOn w:val="Normal"/>
    <w:rsid w:val="000C4410"/>
    <w:pPr>
      <w:ind w:left="3685"/>
    </w:pPr>
  </w:style>
  <w:style w:type="paragraph" w:customStyle="1" w:styleId="Point5">
    <w:name w:val="Point 5"/>
    <w:basedOn w:val="Normal"/>
    <w:rsid w:val="000C4410"/>
    <w:pPr>
      <w:ind w:left="3685" w:hanging="567"/>
    </w:pPr>
  </w:style>
  <w:style w:type="paragraph" w:customStyle="1" w:styleId="Tiret5">
    <w:name w:val="Tiret 5"/>
    <w:basedOn w:val="Point5"/>
    <w:rsid w:val="000C4410"/>
    <w:pPr>
      <w:numPr>
        <w:numId w:val="25"/>
      </w:numPr>
    </w:pPr>
  </w:style>
  <w:style w:type="paragraph" w:customStyle="1" w:styleId="NumPar5">
    <w:name w:val="NumPar 5"/>
    <w:basedOn w:val="Normal"/>
    <w:next w:val="Text2"/>
    <w:rsid w:val="000C4410"/>
    <w:pPr>
      <w:numPr>
        <w:ilvl w:val="4"/>
        <w:numId w:val="26"/>
      </w:numPr>
    </w:pPr>
  </w:style>
  <w:style w:type="paragraph" w:customStyle="1" w:styleId="NumPar6">
    <w:name w:val="NumPar 6"/>
    <w:basedOn w:val="Normal"/>
    <w:next w:val="Text2"/>
    <w:rsid w:val="000C4410"/>
    <w:pPr>
      <w:numPr>
        <w:ilvl w:val="5"/>
        <w:numId w:val="26"/>
      </w:numPr>
    </w:pPr>
  </w:style>
  <w:style w:type="paragraph" w:customStyle="1" w:styleId="NumPar7">
    <w:name w:val="NumPar 7"/>
    <w:basedOn w:val="Normal"/>
    <w:next w:val="Text2"/>
    <w:rsid w:val="000C4410"/>
    <w:pPr>
      <w:numPr>
        <w:ilvl w:val="6"/>
        <w:numId w:val="26"/>
      </w:numPr>
    </w:pPr>
  </w:style>
  <w:style w:type="paragraph" w:customStyle="1" w:styleId="ManualNumPar5">
    <w:name w:val="Manual NumPar 5"/>
    <w:basedOn w:val="Normal"/>
    <w:next w:val="Text2"/>
    <w:rsid w:val="000C4410"/>
    <w:pPr>
      <w:ind w:left="1417" w:hanging="1417"/>
    </w:pPr>
  </w:style>
  <w:style w:type="paragraph" w:customStyle="1" w:styleId="ManualNumPar6">
    <w:name w:val="Manual NumPar 6"/>
    <w:basedOn w:val="Normal"/>
    <w:next w:val="Text2"/>
    <w:rsid w:val="000C4410"/>
    <w:pPr>
      <w:ind w:left="1417" w:hanging="1417"/>
    </w:pPr>
  </w:style>
  <w:style w:type="paragraph" w:customStyle="1" w:styleId="ManualNumPar7">
    <w:name w:val="Manual NumPar 7"/>
    <w:basedOn w:val="Normal"/>
    <w:next w:val="Text2"/>
    <w:rsid w:val="000C4410"/>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9175">
      <w:bodyDiv w:val="1"/>
      <w:marLeft w:val="0"/>
      <w:marRight w:val="0"/>
      <w:marTop w:val="0"/>
      <w:marBottom w:val="0"/>
      <w:divBdr>
        <w:top w:val="none" w:sz="0" w:space="0" w:color="auto"/>
        <w:left w:val="none" w:sz="0" w:space="0" w:color="auto"/>
        <w:bottom w:val="none" w:sz="0" w:space="0" w:color="auto"/>
        <w:right w:val="none" w:sz="0" w:space="0" w:color="auto"/>
      </w:divBdr>
    </w:div>
    <w:div w:id="273438307">
      <w:bodyDiv w:val="1"/>
      <w:marLeft w:val="0"/>
      <w:marRight w:val="0"/>
      <w:marTop w:val="0"/>
      <w:marBottom w:val="0"/>
      <w:divBdr>
        <w:top w:val="none" w:sz="0" w:space="0" w:color="auto"/>
        <w:left w:val="none" w:sz="0" w:space="0" w:color="auto"/>
        <w:bottom w:val="none" w:sz="0" w:space="0" w:color="auto"/>
        <w:right w:val="none" w:sz="0" w:space="0" w:color="auto"/>
      </w:divBdr>
    </w:div>
    <w:div w:id="287125951">
      <w:bodyDiv w:val="1"/>
      <w:marLeft w:val="0"/>
      <w:marRight w:val="0"/>
      <w:marTop w:val="0"/>
      <w:marBottom w:val="0"/>
      <w:divBdr>
        <w:top w:val="none" w:sz="0" w:space="0" w:color="auto"/>
        <w:left w:val="none" w:sz="0" w:space="0" w:color="auto"/>
        <w:bottom w:val="none" w:sz="0" w:space="0" w:color="auto"/>
        <w:right w:val="none" w:sz="0" w:space="0" w:color="auto"/>
      </w:divBdr>
    </w:div>
    <w:div w:id="312829374">
      <w:bodyDiv w:val="1"/>
      <w:marLeft w:val="0"/>
      <w:marRight w:val="0"/>
      <w:marTop w:val="0"/>
      <w:marBottom w:val="0"/>
      <w:divBdr>
        <w:top w:val="none" w:sz="0" w:space="0" w:color="auto"/>
        <w:left w:val="none" w:sz="0" w:space="0" w:color="auto"/>
        <w:bottom w:val="none" w:sz="0" w:space="0" w:color="auto"/>
        <w:right w:val="none" w:sz="0" w:space="0" w:color="auto"/>
      </w:divBdr>
    </w:div>
    <w:div w:id="340543829">
      <w:bodyDiv w:val="1"/>
      <w:marLeft w:val="0"/>
      <w:marRight w:val="0"/>
      <w:marTop w:val="0"/>
      <w:marBottom w:val="0"/>
      <w:divBdr>
        <w:top w:val="none" w:sz="0" w:space="0" w:color="auto"/>
        <w:left w:val="none" w:sz="0" w:space="0" w:color="auto"/>
        <w:bottom w:val="none" w:sz="0" w:space="0" w:color="auto"/>
        <w:right w:val="none" w:sz="0" w:space="0" w:color="auto"/>
      </w:divBdr>
    </w:div>
    <w:div w:id="521822403">
      <w:bodyDiv w:val="1"/>
      <w:marLeft w:val="0"/>
      <w:marRight w:val="0"/>
      <w:marTop w:val="0"/>
      <w:marBottom w:val="0"/>
      <w:divBdr>
        <w:top w:val="none" w:sz="0" w:space="0" w:color="auto"/>
        <w:left w:val="none" w:sz="0" w:space="0" w:color="auto"/>
        <w:bottom w:val="none" w:sz="0" w:space="0" w:color="auto"/>
        <w:right w:val="none" w:sz="0" w:space="0" w:color="auto"/>
      </w:divBdr>
    </w:div>
    <w:div w:id="528689034">
      <w:bodyDiv w:val="1"/>
      <w:marLeft w:val="0"/>
      <w:marRight w:val="0"/>
      <w:marTop w:val="0"/>
      <w:marBottom w:val="0"/>
      <w:divBdr>
        <w:top w:val="none" w:sz="0" w:space="0" w:color="auto"/>
        <w:left w:val="none" w:sz="0" w:space="0" w:color="auto"/>
        <w:bottom w:val="none" w:sz="0" w:space="0" w:color="auto"/>
        <w:right w:val="none" w:sz="0" w:space="0" w:color="auto"/>
      </w:divBdr>
    </w:div>
    <w:div w:id="571816138">
      <w:bodyDiv w:val="1"/>
      <w:marLeft w:val="0"/>
      <w:marRight w:val="0"/>
      <w:marTop w:val="0"/>
      <w:marBottom w:val="0"/>
      <w:divBdr>
        <w:top w:val="none" w:sz="0" w:space="0" w:color="auto"/>
        <w:left w:val="none" w:sz="0" w:space="0" w:color="auto"/>
        <w:bottom w:val="none" w:sz="0" w:space="0" w:color="auto"/>
        <w:right w:val="none" w:sz="0" w:space="0" w:color="auto"/>
      </w:divBdr>
    </w:div>
    <w:div w:id="602108497">
      <w:bodyDiv w:val="1"/>
      <w:marLeft w:val="0"/>
      <w:marRight w:val="0"/>
      <w:marTop w:val="0"/>
      <w:marBottom w:val="0"/>
      <w:divBdr>
        <w:top w:val="none" w:sz="0" w:space="0" w:color="auto"/>
        <w:left w:val="none" w:sz="0" w:space="0" w:color="auto"/>
        <w:bottom w:val="none" w:sz="0" w:space="0" w:color="auto"/>
        <w:right w:val="none" w:sz="0" w:space="0" w:color="auto"/>
      </w:divBdr>
    </w:div>
    <w:div w:id="602225700">
      <w:bodyDiv w:val="1"/>
      <w:marLeft w:val="0"/>
      <w:marRight w:val="0"/>
      <w:marTop w:val="0"/>
      <w:marBottom w:val="0"/>
      <w:divBdr>
        <w:top w:val="none" w:sz="0" w:space="0" w:color="auto"/>
        <w:left w:val="none" w:sz="0" w:space="0" w:color="auto"/>
        <w:bottom w:val="none" w:sz="0" w:space="0" w:color="auto"/>
        <w:right w:val="none" w:sz="0" w:space="0" w:color="auto"/>
      </w:divBdr>
    </w:div>
    <w:div w:id="627778681">
      <w:bodyDiv w:val="1"/>
      <w:marLeft w:val="0"/>
      <w:marRight w:val="0"/>
      <w:marTop w:val="0"/>
      <w:marBottom w:val="0"/>
      <w:divBdr>
        <w:top w:val="none" w:sz="0" w:space="0" w:color="auto"/>
        <w:left w:val="none" w:sz="0" w:space="0" w:color="auto"/>
        <w:bottom w:val="none" w:sz="0" w:space="0" w:color="auto"/>
        <w:right w:val="none" w:sz="0" w:space="0" w:color="auto"/>
      </w:divBdr>
    </w:div>
    <w:div w:id="636641941">
      <w:bodyDiv w:val="1"/>
      <w:marLeft w:val="0"/>
      <w:marRight w:val="0"/>
      <w:marTop w:val="0"/>
      <w:marBottom w:val="0"/>
      <w:divBdr>
        <w:top w:val="none" w:sz="0" w:space="0" w:color="auto"/>
        <w:left w:val="none" w:sz="0" w:space="0" w:color="auto"/>
        <w:bottom w:val="none" w:sz="0" w:space="0" w:color="auto"/>
        <w:right w:val="none" w:sz="0" w:space="0" w:color="auto"/>
      </w:divBdr>
    </w:div>
    <w:div w:id="802236451">
      <w:bodyDiv w:val="1"/>
      <w:marLeft w:val="0"/>
      <w:marRight w:val="0"/>
      <w:marTop w:val="0"/>
      <w:marBottom w:val="0"/>
      <w:divBdr>
        <w:top w:val="none" w:sz="0" w:space="0" w:color="auto"/>
        <w:left w:val="none" w:sz="0" w:space="0" w:color="auto"/>
        <w:bottom w:val="none" w:sz="0" w:space="0" w:color="auto"/>
        <w:right w:val="none" w:sz="0" w:space="0" w:color="auto"/>
      </w:divBdr>
    </w:div>
    <w:div w:id="873494049">
      <w:bodyDiv w:val="1"/>
      <w:marLeft w:val="0"/>
      <w:marRight w:val="0"/>
      <w:marTop w:val="0"/>
      <w:marBottom w:val="0"/>
      <w:divBdr>
        <w:top w:val="none" w:sz="0" w:space="0" w:color="auto"/>
        <w:left w:val="none" w:sz="0" w:space="0" w:color="auto"/>
        <w:bottom w:val="none" w:sz="0" w:space="0" w:color="auto"/>
        <w:right w:val="none" w:sz="0" w:space="0" w:color="auto"/>
      </w:divBdr>
    </w:div>
    <w:div w:id="956061820">
      <w:bodyDiv w:val="1"/>
      <w:marLeft w:val="0"/>
      <w:marRight w:val="0"/>
      <w:marTop w:val="0"/>
      <w:marBottom w:val="0"/>
      <w:divBdr>
        <w:top w:val="none" w:sz="0" w:space="0" w:color="auto"/>
        <w:left w:val="none" w:sz="0" w:space="0" w:color="auto"/>
        <w:bottom w:val="none" w:sz="0" w:space="0" w:color="auto"/>
        <w:right w:val="none" w:sz="0" w:space="0" w:color="auto"/>
      </w:divBdr>
    </w:div>
    <w:div w:id="963804206">
      <w:bodyDiv w:val="1"/>
      <w:marLeft w:val="0"/>
      <w:marRight w:val="0"/>
      <w:marTop w:val="0"/>
      <w:marBottom w:val="0"/>
      <w:divBdr>
        <w:top w:val="none" w:sz="0" w:space="0" w:color="auto"/>
        <w:left w:val="none" w:sz="0" w:space="0" w:color="auto"/>
        <w:bottom w:val="none" w:sz="0" w:space="0" w:color="auto"/>
        <w:right w:val="none" w:sz="0" w:space="0" w:color="auto"/>
      </w:divBdr>
    </w:div>
    <w:div w:id="1175681246">
      <w:bodyDiv w:val="1"/>
      <w:marLeft w:val="0"/>
      <w:marRight w:val="0"/>
      <w:marTop w:val="0"/>
      <w:marBottom w:val="0"/>
      <w:divBdr>
        <w:top w:val="none" w:sz="0" w:space="0" w:color="auto"/>
        <w:left w:val="none" w:sz="0" w:space="0" w:color="auto"/>
        <w:bottom w:val="none" w:sz="0" w:space="0" w:color="auto"/>
        <w:right w:val="none" w:sz="0" w:space="0" w:color="auto"/>
      </w:divBdr>
    </w:div>
    <w:div w:id="1314798166">
      <w:bodyDiv w:val="1"/>
      <w:marLeft w:val="0"/>
      <w:marRight w:val="0"/>
      <w:marTop w:val="0"/>
      <w:marBottom w:val="0"/>
      <w:divBdr>
        <w:top w:val="none" w:sz="0" w:space="0" w:color="auto"/>
        <w:left w:val="none" w:sz="0" w:space="0" w:color="auto"/>
        <w:bottom w:val="none" w:sz="0" w:space="0" w:color="auto"/>
        <w:right w:val="none" w:sz="0" w:space="0" w:color="auto"/>
      </w:divBdr>
    </w:div>
    <w:div w:id="1360205175">
      <w:bodyDiv w:val="1"/>
      <w:marLeft w:val="0"/>
      <w:marRight w:val="0"/>
      <w:marTop w:val="0"/>
      <w:marBottom w:val="0"/>
      <w:divBdr>
        <w:top w:val="none" w:sz="0" w:space="0" w:color="auto"/>
        <w:left w:val="none" w:sz="0" w:space="0" w:color="auto"/>
        <w:bottom w:val="none" w:sz="0" w:space="0" w:color="auto"/>
        <w:right w:val="none" w:sz="0" w:space="0" w:color="auto"/>
      </w:divBdr>
    </w:div>
    <w:div w:id="1390805370">
      <w:bodyDiv w:val="1"/>
      <w:marLeft w:val="0"/>
      <w:marRight w:val="0"/>
      <w:marTop w:val="0"/>
      <w:marBottom w:val="0"/>
      <w:divBdr>
        <w:top w:val="none" w:sz="0" w:space="0" w:color="auto"/>
        <w:left w:val="none" w:sz="0" w:space="0" w:color="auto"/>
        <w:bottom w:val="none" w:sz="0" w:space="0" w:color="auto"/>
        <w:right w:val="none" w:sz="0" w:space="0" w:color="auto"/>
      </w:divBdr>
    </w:div>
    <w:div w:id="1494253263">
      <w:bodyDiv w:val="1"/>
      <w:marLeft w:val="0"/>
      <w:marRight w:val="0"/>
      <w:marTop w:val="0"/>
      <w:marBottom w:val="0"/>
      <w:divBdr>
        <w:top w:val="none" w:sz="0" w:space="0" w:color="auto"/>
        <w:left w:val="none" w:sz="0" w:space="0" w:color="auto"/>
        <w:bottom w:val="none" w:sz="0" w:space="0" w:color="auto"/>
        <w:right w:val="none" w:sz="0" w:space="0" w:color="auto"/>
      </w:divBdr>
    </w:div>
    <w:div w:id="1667974779">
      <w:bodyDiv w:val="1"/>
      <w:marLeft w:val="0"/>
      <w:marRight w:val="0"/>
      <w:marTop w:val="0"/>
      <w:marBottom w:val="0"/>
      <w:divBdr>
        <w:top w:val="none" w:sz="0" w:space="0" w:color="auto"/>
        <w:left w:val="none" w:sz="0" w:space="0" w:color="auto"/>
        <w:bottom w:val="none" w:sz="0" w:space="0" w:color="auto"/>
        <w:right w:val="none" w:sz="0" w:space="0" w:color="auto"/>
      </w:divBdr>
    </w:div>
    <w:div w:id="1668632427">
      <w:bodyDiv w:val="1"/>
      <w:marLeft w:val="0"/>
      <w:marRight w:val="0"/>
      <w:marTop w:val="0"/>
      <w:marBottom w:val="0"/>
      <w:divBdr>
        <w:top w:val="none" w:sz="0" w:space="0" w:color="auto"/>
        <w:left w:val="none" w:sz="0" w:space="0" w:color="auto"/>
        <w:bottom w:val="none" w:sz="0" w:space="0" w:color="auto"/>
        <w:right w:val="none" w:sz="0" w:space="0" w:color="auto"/>
      </w:divBdr>
    </w:div>
    <w:div w:id="1700276414">
      <w:bodyDiv w:val="1"/>
      <w:marLeft w:val="0"/>
      <w:marRight w:val="0"/>
      <w:marTop w:val="0"/>
      <w:marBottom w:val="0"/>
      <w:divBdr>
        <w:top w:val="none" w:sz="0" w:space="0" w:color="auto"/>
        <w:left w:val="none" w:sz="0" w:space="0" w:color="auto"/>
        <w:bottom w:val="none" w:sz="0" w:space="0" w:color="auto"/>
        <w:right w:val="none" w:sz="0" w:space="0" w:color="auto"/>
      </w:divBdr>
    </w:div>
    <w:div w:id="1737623968">
      <w:bodyDiv w:val="1"/>
      <w:marLeft w:val="0"/>
      <w:marRight w:val="0"/>
      <w:marTop w:val="0"/>
      <w:marBottom w:val="0"/>
      <w:divBdr>
        <w:top w:val="none" w:sz="0" w:space="0" w:color="auto"/>
        <w:left w:val="none" w:sz="0" w:space="0" w:color="auto"/>
        <w:bottom w:val="none" w:sz="0" w:space="0" w:color="auto"/>
        <w:right w:val="none" w:sz="0" w:space="0" w:color="auto"/>
      </w:divBdr>
    </w:div>
    <w:div w:id="1851984506">
      <w:bodyDiv w:val="1"/>
      <w:marLeft w:val="0"/>
      <w:marRight w:val="0"/>
      <w:marTop w:val="0"/>
      <w:marBottom w:val="0"/>
      <w:divBdr>
        <w:top w:val="none" w:sz="0" w:space="0" w:color="auto"/>
        <w:left w:val="none" w:sz="0" w:space="0" w:color="auto"/>
        <w:bottom w:val="none" w:sz="0" w:space="0" w:color="auto"/>
        <w:right w:val="none" w:sz="0" w:space="0" w:color="auto"/>
      </w:divBdr>
    </w:div>
    <w:div w:id="1974552587">
      <w:bodyDiv w:val="1"/>
      <w:marLeft w:val="0"/>
      <w:marRight w:val="0"/>
      <w:marTop w:val="0"/>
      <w:marBottom w:val="0"/>
      <w:divBdr>
        <w:top w:val="none" w:sz="0" w:space="0" w:color="auto"/>
        <w:left w:val="none" w:sz="0" w:space="0" w:color="auto"/>
        <w:bottom w:val="none" w:sz="0" w:space="0" w:color="auto"/>
        <w:right w:val="none" w:sz="0" w:space="0" w:color="auto"/>
      </w:divBdr>
    </w:div>
    <w:div w:id="2031564389">
      <w:bodyDiv w:val="1"/>
      <w:marLeft w:val="0"/>
      <w:marRight w:val="0"/>
      <w:marTop w:val="0"/>
      <w:marBottom w:val="0"/>
      <w:divBdr>
        <w:top w:val="none" w:sz="0" w:space="0" w:color="auto"/>
        <w:left w:val="none" w:sz="0" w:space="0" w:color="auto"/>
        <w:bottom w:val="none" w:sz="0" w:space="0" w:color="auto"/>
        <w:right w:val="none" w:sz="0" w:space="0" w:color="auto"/>
      </w:divBdr>
    </w:div>
    <w:div w:id="2079673389">
      <w:bodyDiv w:val="1"/>
      <w:marLeft w:val="0"/>
      <w:marRight w:val="0"/>
      <w:marTop w:val="0"/>
      <w:marBottom w:val="0"/>
      <w:divBdr>
        <w:top w:val="none" w:sz="0" w:space="0" w:color="auto"/>
        <w:left w:val="none" w:sz="0" w:space="0" w:color="auto"/>
        <w:bottom w:val="none" w:sz="0" w:space="0" w:color="auto"/>
        <w:right w:val="none" w:sz="0" w:space="0" w:color="auto"/>
      </w:divBdr>
    </w:div>
    <w:div w:id="208699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home-affairs/system/files/2020-07/20200724_com-2020-607-commission-communication_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schengenvisainfo.com/greece-visa/" TargetMode="External"/><Relationship Id="rId13" Type="http://schemas.openxmlformats.org/officeDocument/2006/relationships/hyperlink" Target="https://www.schengenvisainfo.com/lithuania-visa/" TargetMode="External"/><Relationship Id="rId18" Type="http://schemas.openxmlformats.org/officeDocument/2006/relationships/hyperlink" Target="https://www.schengenvisainfo.com/portugal-visa/" TargetMode="External"/><Relationship Id="rId26" Type="http://schemas.openxmlformats.org/officeDocument/2006/relationships/hyperlink" Target="https://eur-lex.europa.eu/legal-content/PL/AUTO/?uri=OJ:L:2016:077:TOC" TargetMode="External"/><Relationship Id="rId3" Type="http://schemas.openxmlformats.org/officeDocument/2006/relationships/hyperlink" Target="https://www.schengenvisainfo.com/denmark-visa/" TargetMode="External"/><Relationship Id="rId21" Type="http://schemas.openxmlformats.org/officeDocument/2006/relationships/hyperlink" Target="https://www.schengenvisainfo.com/spain-visa/" TargetMode="External"/><Relationship Id="rId7" Type="http://schemas.openxmlformats.org/officeDocument/2006/relationships/hyperlink" Target="https://www.schengenvisainfo.com/germany-visa/" TargetMode="External"/><Relationship Id="rId12" Type="http://schemas.openxmlformats.org/officeDocument/2006/relationships/hyperlink" Target="https://www.schengenvisainfo.com/latvia-visa/" TargetMode="External"/><Relationship Id="rId17" Type="http://schemas.openxmlformats.org/officeDocument/2006/relationships/hyperlink" Target="https://www.schengenvisainfo.com/poland-visa/" TargetMode="External"/><Relationship Id="rId25" Type="http://schemas.openxmlformats.org/officeDocument/2006/relationships/hyperlink" Target="https://data.europa.eu/euodp/nl/data/dataset/S2218_89_3_474_ENG" TargetMode="External"/><Relationship Id="rId2" Type="http://schemas.openxmlformats.org/officeDocument/2006/relationships/hyperlink" Target="https://www.schengenvisainfo.com/belgium-visa/" TargetMode="External"/><Relationship Id="rId16" Type="http://schemas.openxmlformats.org/officeDocument/2006/relationships/hyperlink" Target="https://www.schengenvisainfo.com/norway-visa/" TargetMode="External"/><Relationship Id="rId20" Type="http://schemas.openxmlformats.org/officeDocument/2006/relationships/hyperlink" Target="https://www.schengenvisainfo.com/slovenia-visa/" TargetMode="External"/><Relationship Id="rId1" Type="http://schemas.openxmlformats.org/officeDocument/2006/relationships/hyperlink" Target="https://www.schengenvisainfo.com/austria-visa/" TargetMode="External"/><Relationship Id="rId6" Type="http://schemas.openxmlformats.org/officeDocument/2006/relationships/hyperlink" Target="https://www.schengenvisainfo.com/france-visa/" TargetMode="External"/><Relationship Id="rId11" Type="http://schemas.openxmlformats.org/officeDocument/2006/relationships/hyperlink" Target="https://www.schengenvisainfo.com/italy-visa/" TargetMode="External"/><Relationship Id="rId24" Type="http://schemas.openxmlformats.org/officeDocument/2006/relationships/hyperlink" Target="https://ec.europa.eu/regional_policy/sources/docoffic/2014/boosting_growth/com_boosting_borders.pdf" TargetMode="External"/><Relationship Id="rId5" Type="http://schemas.openxmlformats.org/officeDocument/2006/relationships/hyperlink" Target="https://www.schengenvisainfo.com/finland-visa/" TargetMode="External"/><Relationship Id="rId15" Type="http://schemas.openxmlformats.org/officeDocument/2006/relationships/hyperlink" Target="https://www.schengenvisainfo.com/netherlands-visa/" TargetMode="External"/><Relationship Id="rId23" Type="http://schemas.openxmlformats.org/officeDocument/2006/relationships/hyperlink" Target="https://www.schengenvisainfo.com/switzerland-visa/" TargetMode="External"/><Relationship Id="rId28" Type="http://schemas.openxmlformats.org/officeDocument/2006/relationships/hyperlink" Target="https://ec.europa.eu/echo/what/civil-protection/emergency-response-coordination-centre-ercc_en" TargetMode="External"/><Relationship Id="rId10" Type="http://schemas.openxmlformats.org/officeDocument/2006/relationships/hyperlink" Target="https://www.schengenvisainfo.com/iceland-visa/" TargetMode="External"/><Relationship Id="rId19" Type="http://schemas.openxmlformats.org/officeDocument/2006/relationships/hyperlink" Target="https://www.schengenvisainfo.com/slovakia-visa/" TargetMode="External"/><Relationship Id="rId4" Type="http://schemas.openxmlformats.org/officeDocument/2006/relationships/hyperlink" Target="https://www.schengenvisainfo.com/estonia-visa/" TargetMode="External"/><Relationship Id="rId9" Type="http://schemas.openxmlformats.org/officeDocument/2006/relationships/hyperlink" Target="https://www.schengenvisainfo.com/hungary-visa/" TargetMode="External"/><Relationship Id="rId14" Type="http://schemas.openxmlformats.org/officeDocument/2006/relationships/hyperlink" Target="https://www.schengenvisainfo.com/malta-visa/" TargetMode="External"/><Relationship Id="rId22" Type="http://schemas.openxmlformats.org/officeDocument/2006/relationships/hyperlink" Target="https://www.schengenvisainfo.com/sweden-visa/" TargetMode="External"/><Relationship Id="rId27" Type="http://schemas.openxmlformats.org/officeDocument/2006/relationships/hyperlink" Target="https://ec.europa.eu/echo/what/civil-protection/emergency-response-coordination-centre-ercc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7CA2F6B74511147B3461A61DEA2C86A" ma:contentTypeVersion="0" ma:contentTypeDescription="Create a new document in this library." ma:contentTypeScope="" ma:versionID="835fa7af2654457fd0e6d5e20575e27e">
  <xsd:schema xmlns:xsd="http://www.w3.org/2001/XMLSchema" xmlns:xs="http://www.w3.org/2001/XMLSchema" xmlns:p="http://schemas.microsoft.com/office/2006/metadata/properties" xmlns:ns2="http://schemas.microsoft.com/sharepoint/v3/fields" xmlns:ns3="2f4a4dcd-f1c6-47ce-9634-6bcefe8f1fc8" targetNamespace="http://schemas.microsoft.com/office/2006/metadata/properties" ma:root="true" ma:fieldsID="6dfb2b5beb0e646868c5c8b76c34f258" ns2:_="" ns3:_="">
    <xsd:import namespace="http://schemas.microsoft.com/sharepoint/v3/fields"/>
    <xsd:import namespace="2f4a4dcd-f1c6-47ce-9634-6bcefe8f1fc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f4a4dcd-f1c6-47ce-9634-6bcefe8f1fc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2f4a4dcd-f1c6-47ce-9634-6bcefe8f1fc8">Not Started</EC_Collab_Status>
    <EC_Collab_Reference xmlns="2f4a4dcd-f1c6-47ce-9634-6bcefe8f1fc8" xsi:nil="true"/>
    <_Status xmlns="http://schemas.microsoft.com/sharepoint/v3/fields">Not Started</_Status>
    <EC_Collab_DocumentLanguage xmlns="2f4a4dcd-f1c6-47ce-9634-6bcefe8f1fc8">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6949A30-810E-49AD-9C5B-143234BD4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f4a4dcd-f1c6-47ce-9634-6bcefe8f1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C5514-9D37-42CE-85F5-BF186E1193B7}">
  <ds:schemaRefs>
    <ds:schemaRef ds:uri="http://purl.org/dc/terms/"/>
    <ds:schemaRef ds:uri="http://schemas.microsoft.com/office/2006/documentManagement/types"/>
    <ds:schemaRef ds:uri="http://schemas.microsoft.com/office/2006/metadata/properties"/>
    <ds:schemaRef ds:uri="2f4a4dcd-f1c6-47ce-9634-6bcefe8f1fc8"/>
    <ds:schemaRef ds:uri="http://purl.org/dc/elements/1.1/"/>
    <ds:schemaRef ds:uri="http://schemas.microsoft.com/sharepoint/v3/field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3904AAE-B0C8-4D6F-B4CA-5467A1050C5C}">
  <ds:schemaRefs>
    <ds:schemaRef ds:uri="http://schemas.microsoft.com/sharepoint/v3/contenttype/forms"/>
  </ds:schemaRefs>
</ds:datastoreItem>
</file>

<file path=customXml/itemProps4.xml><?xml version="1.0" encoding="utf-8"?>
<ds:datastoreItem xmlns:ds="http://schemas.openxmlformats.org/officeDocument/2006/customXml" ds:itemID="{1289961C-51C6-49BE-9030-E1038A1D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30</Pages>
  <Words>9685</Words>
  <Characters>68282</Characters>
  <Application>Microsoft Office Word</Application>
  <DocSecurity>0</DocSecurity>
  <Lines>1119</Lines>
  <Paragraphs>253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2022-01-07T14:43:00Z</dcterms:created>
  <dcterms:modified xsi:type="dcterms:W3CDTF">2022-01-07T19:31:00Z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ContentTypeId">
    <vt:lpwstr>0x010100258AA79CEB83498886A3A086811232500047CA2F6B74511147B3461A61DEA2C86A</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SJ-022</vt:lpwstr>
  </property>
  <property fmtid="{D5CDD505-2E9C-101B-9397-08002B2CF9AE}" pid="9" name="DQCStatus">
    <vt:lpwstr>Green (DQC version 03)</vt:lpwstr>
  </property>
</Properties>
</file>