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D388D" w14:textId="20D83BE6" w:rsidR="001A3A0C" w:rsidRPr="006F430E" w:rsidRDefault="005A33DF" w:rsidP="005A33DF">
      <w:pPr>
        <w:pStyle w:val="Pagedecouverture"/>
        <w:rPr>
          <w:noProof/>
        </w:rPr>
      </w:pPr>
      <w:r>
        <w:rPr>
          <w:noProof/>
        </w:rPr>
        <w:pict w14:anchorId="603F4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06C9236-636A-4BC7-B92A-5FFB4079C619" style="width:455.25pt;height:355.5pt">
            <v:imagedata r:id="rId8" o:title=""/>
          </v:shape>
        </w:pict>
      </w:r>
    </w:p>
    <w:p w14:paraId="0DCF4760" w14:textId="77777777" w:rsidR="001A3A0C" w:rsidRPr="006F430E" w:rsidRDefault="001A3A0C" w:rsidP="001A3A0C">
      <w:pPr>
        <w:rPr>
          <w:noProof/>
        </w:rPr>
        <w:sectPr w:rsidR="001A3A0C" w:rsidRPr="006F430E" w:rsidSect="005A33DF">
          <w:footerReference w:type="default" r:id="rId9"/>
          <w:pgSz w:w="11907" w:h="16839"/>
          <w:pgMar w:top="1134" w:right="1417" w:bottom="1134" w:left="1417" w:header="709" w:footer="709" w:gutter="0"/>
          <w:pgNumType w:start="0"/>
          <w:cols w:space="720"/>
          <w:docGrid w:linePitch="360"/>
        </w:sectPr>
      </w:pPr>
    </w:p>
    <w:p w14:paraId="63F1F2A8" w14:textId="77777777" w:rsidR="001A3A0C" w:rsidRPr="006F430E" w:rsidRDefault="001A3A0C" w:rsidP="004F6AC7">
      <w:pPr>
        <w:pStyle w:val="Exposdesmotifstitre"/>
        <w:rPr>
          <w:noProof/>
        </w:rPr>
      </w:pPr>
      <w:bookmarkStart w:id="0" w:name="_GoBack"/>
      <w:bookmarkEnd w:id="0"/>
      <w:r w:rsidRPr="006F430E">
        <w:rPr>
          <w:noProof/>
        </w:rPr>
        <w:lastRenderedPageBreak/>
        <w:t>EXPOSÉ DES MOTIFS</w:t>
      </w:r>
    </w:p>
    <w:p w14:paraId="53F70D7E" w14:textId="77777777" w:rsidR="001A3A0C" w:rsidRPr="006F430E" w:rsidRDefault="001A3A0C" w:rsidP="004F6AC7">
      <w:pPr>
        <w:pStyle w:val="ManualHeading1"/>
        <w:rPr>
          <w:noProof/>
        </w:rPr>
      </w:pPr>
      <w:r w:rsidRPr="006F430E">
        <w:rPr>
          <w:noProof/>
        </w:rPr>
        <w:t>1.</w:t>
      </w:r>
      <w:r w:rsidRPr="006F430E">
        <w:rPr>
          <w:noProof/>
        </w:rPr>
        <w:tab/>
        <w:t>CONTEXTE DE LA PROPOSITION</w:t>
      </w:r>
    </w:p>
    <w:p w14:paraId="47CD7B48" w14:textId="77777777" w:rsidR="001A3A0C" w:rsidRPr="006F430E" w:rsidRDefault="001A3A0C" w:rsidP="004F6AC7">
      <w:pPr>
        <w:pStyle w:val="ManualHeading2"/>
        <w:rPr>
          <w:rFonts w:eastAsia="Arial Unicode MS"/>
          <w:noProof/>
        </w:rPr>
      </w:pPr>
      <w:r w:rsidRPr="006F430E">
        <w:rPr>
          <w:noProof/>
          <w:color w:val="000000"/>
          <w:u w:color="000000"/>
          <w:bdr w:val="nil"/>
        </w:rPr>
        <w:t>•</w:t>
      </w:r>
      <w:r w:rsidRPr="006F430E">
        <w:rPr>
          <w:noProof/>
        </w:rPr>
        <w:tab/>
        <w:t>Justification et objectifs de la proposition</w:t>
      </w:r>
    </w:p>
    <w:p w14:paraId="30FF5133" w14:textId="2DAD69F5" w:rsidR="00C11C47" w:rsidRPr="006F430E" w:rsidRDefault="00C11C47" w:rsidP="00C11C47">
      <w:pPr>
        <w:rPr>
          <w:noProof/>
        </w:rPr>
      </w:pPr>
      <w:r w:rsidRPr="006F430E">
        <w:rPr>
          <w:noProof/>
        </w:rPr>
        <w:t xml:space="preserve">Ces dernières années, la République de Moldavie a été confrontée à de nombreuses difficultés, notamment sur le front économique et politique. En 2020, la pandémie de COVID-19, ainsi qu’une période de sécheresse pendant l’été, ont eu des répercussions considérables sur la croissance: le PIB s’est contracté de 7 %, ce qui constitue la récession la plus sévère depuis la crise financière mondiale. Le ralentissement économique a été aggravé par la longue crise politique qui a suivi les élections présidentielles de novembre 2020 et qui a finalement été résolue par les élections législatives de juillet 2021. Depuis que le nouveau gouvernement réformateur a pris ses fonctions au mois d’août, toutes les forces politiques moldaves (le président, le gouvernement et le parlement) sont sur la même ligne, soutenant un ambitieux programme commun de réformes dans des domaines clés, tels que le secteur de la justice, la bonne gouvernance et la lutte contre la corruption. </w:t>
      </w:r>
    </w:p>
    <w:p w14:paraId="4DDAD569" w14:textId="36CA52FD" w:rsidR="00C11C47" w:rsidRPr="006F430E" w:rsidRDefault="00C11C47" w:rsidP="00C11C47">
      <w:pPr>
        <w:rPr>
          <w:noProof/>
        </w:rPr>
      </w:pPr>
      <w:r w:rsidRPr="006F430E">
        <w:rPr>
          <w:noProof/>
        </w:rPr>
        <w:t>Cependant, malgré son élan politique retrouvé et sa ferme volonté de mettre en œuvre les réformes, la Moldavie reste confrontée à d’importants défis, notamment en ce qui concerne la gouvernance, la corruption, ses capacités administratives limitées et la récente crise énergétique, qui a encore fragilisé la stabilité économique du pays et l’a contraint à de difficiles négociations avec Gazprom (un nouvel accord d’approvisionnement en gaz a été signé le 29 octobre).</w:t>
      </w:r>
    </w:p>
    <w:p w14:paraId="5F3A0CB6" w14:textId="4A24DDCE" w:rsidR="00C11C47" w:rsidRPr="006F430E" w:rsidRDefault="009D515A" w:rsidP="00C11C47">
      <w:pPr>
        <w:rPr>
          <w:noProof/>
        </w:rPr>
      </w:pPr>
      <w:r w:rsidRPr="006F430E">
        <w:rPr>
          <w:noProof/>
        </w:rPr>
        <w:t xml:space="preserve">Dans ce contexte, et compte tenu de ses besoins de financement extérieur encore importants, estimés à 1,2 % du PIB pour 2022, le gouvernement moldave a demandé une nouvelle assistance macrofinancière (AMF) à l’UE le 19 novembre 2021, à la suite d’un accord au niveau technique conclu avec le FMI (annoncé le 21 octobre 2021) sur une facilité élargie de crédit/un mécanisme élargi de crédit d’un montant de 564 millions d’USD sur trois ans. </w:t>
      </w:r>
    </w:p>
    <w:p w14:paraId="51068DB7" w14:textId="4306B1A4" w:rsidR="00C11C47" w:rsidRPr="006F430E" w:rsidRDefault="00E012B0" w:rsidP="00C11C47">
      <w:pPr>
        <w:rPr>
          <w:noProof/>
        </w:rPr>
      </w:pPr>
      <w:r w:rsidRPr="006F430E">
        <w:rPr>
          <w:noProof/>
        </w:rPr>
        <w:t xml:space="preserve">Dans ce contexte de regain de stabilité politique en Moldavie, la Commission, après une évaluation approfondie de la situation politique et économique du pays, présente au Parlement européen et au Conseil une proposition visant à octroyer une nouvelle AMF de 150 millions d’EUR à la République de Moldavie, dont 120 millions d’EUR sous forme de prêts et 30 millions d’EUR sous forme de subventions. </w:t>
      </w:r>
    </w:p>
    <w:p w14:paraId="423A9F6E" w14:textId="4F8BD38A" w:rsidR="00C75866" w:rsidRPr="006F430E" w:rsidRDefault="00C75866" w:rsidP="00C75866">
      <w:pPr>
        <w:rPr>
          <w:rFonts w:eastAsia="Calibri"/>
          <w:noProof/>
          <w:szCs w:val="24"/>
        </w:rPr>
      </w:pPr>
      <w:r w:rsidRPr="006F430E">
        <w:rPr>
          <w:noProof/>
        </w:rPr>
        <w:t xml:space="preserve">L’AMF proposée permettrait à la Moldavie de couvrir une partie de ses besoins de financement extérieur résiduels, estimés à 480 millions d’USD, dans le cadre du nouveau programme du FMI pour la période 2021-2025. </w:t>
      </w:r>
    </w:p>
    <w:p w14:paraId="196AC954" w14:textId="5D15713C" w:rsidR="00C11C47" w:rsidRPr="006F430E" w:rsidRDefault="00C11C47" w:rsidP="00C11C47">
      <w:pPr>
        <w:rPr>
          <w:noProof/>
        </w:rPr>
      </w:pPr>
      <w:r w:rsidRPr="006F430E">
        <w:rPr>
          <w:noProof/>
        </w:rPr>
        <w:t xml:space="preserve">Le versement de l’assistance se ferait en trois tranches, chaque tranche, y compris la première, n’étant débloquée qu’à la stricte condition que des progrès satisfaisants soient accomplis dans la mise en œuvre du programme du FMI et d’un certain nombre de mesures supplémentaires convenues entre la Commission et les autorités et énumérées dans un protocole d’accord. Il est probable que le protocole d’accord se concentre sur des mesures visant au recouvrement des actifs concernés par la fraude bancaire de 2014, sur la poursuite de la réforme de la gestion des finances publiques, sur la réforme du secteur de la justice, sur le secteur de l’énergie ainsi que sur l’environnement des entreprises en général. La mise en œuvre de l’opération proposée devrait aller de pair avec le soutien accordé au titre de l’appui budgétaire, financé par l’instrument de voisinage, de coopération au développement et de coopération internationale (IVCDCI). </w:t>
      </w:r>
    </w:p>
    <w:p w14:paraId="30BA4F71" w14:textId="77777777" w:rsidR="00E012B0" w:rsidRPr="006F430E" w:rsidRDefault="00E012B0" w:rsidP="00C11C47">
      <w:pPr>
        <w:rPr>
          <w:noProof/>
        </w:rPr>
      </w:pPr>
      <w:r w:rsidRPr="006F430E">
        <w:rPr>
          <w:noProof/>
        </w:rPr>
        <w:t>Ainsi que le montre de façon plus détaillée le document de travail des services de la Commission joint à la présente proposition, la Commission considère, au vu également de l’appréciation de la situation politique réalisée par le Service européen pour l’action extérieure, que les conditions politiques et économiques indispensables à l’octroi de l’assistance macrofinancière proposée sont remplies.</w:t>
      </w:r>
    </w:p>
    <w:p w14:paraId="7686772B" w14:textId="406194FD" w:rsidR="00F650BF" w:rsidRPr="006F430E" w:rsidRDefault="00F650BF" w:rsidP="00F650BF">
      <w:pPr>
        <w:pStyle w:val="ManualHeading2"/>
        <w:rPr>
          <w:noProof/>
        </w:rPr>
      </w:pPr>
      <w:r w:rsidRPr="006F430E">
        <w:rPr>
          <w:noProof/>
          <w:color w:val="000000"/>
          <w:u w:color="000000"/>
          <w:bdr w:val="nil"/>
        </w:rPr>
        <w:t>•</w:t>
      </w:r>
      <w:r w:rsidRPr="006F430E">
        <w:rPr>
          <w:noProof/>
        </w:rPr>
        <w:tab/>
        <w:t xml:space="preserve">Contexte général </w:t>
      </w:r>
    </w:p>
    <w:p w14:paraId="0368B5E1" w14:textId="5CD0A247" w:rsidR="00BF7942" w:rsidRPr="006F430E" w:rsidRDefault="00BF7942" w:rsidP="00BF7942">
      <w:pPr>
        <w:rPr>
          <w:noProof/>
        </w:rPr>
      </w:pPr>
      <w:r w:rsidRPr="006F430E">
        <w:rPr>
          <w:noProof/>
        </w:rPr>
        <w:t>Malgré une reprise notable à la suite de la grave récession de 2020, les perspectives macroéconomiques de la Moldavie demeurent fragiles. Cela est en partie lié à une situation encore difficile sur le front de la pandémie (le nombre de cas de COVID-19 étant en augmentation et le taux de vaccination restant relativement faible, à moins de 30 % début décembre 2021), ainsi qu’à la récente crise gazière, qui a accru les contraintes financières s’exerçant sur le pays. À cela s’ajoutent d’importantes faiblesses structurelles, notamment des capacités administratives limitées ainsi que la nécessité d’améliorer encore la gouvernance et de poursuivre la lutte contre la corruption.</w:t>
      </w:r>
    </w:p>
    <w:p w14:paraId="63162937" w14:textId="3A921AC2" w:rsidR="00BF7942" w:rsidRPr="006F430E" w:rsidRDefault="00BF7942" w:rsidP="00BF7942">
      <w:pPr>
        <w:rPr>
          <w:noProof/>
        </w:rPr>
      </w:pPr>
      <w:r w:rsidRPr="006F430E">
        <w:rPr>
          <w:noProof/>
        </w:rPr>
        <w:t xml:space="preserve">Après avoir subi en 2020 une forte contraction provoquée par la pandémie, l’économie s’est considérablement redressée au premier semestre 2021, enregistrant une hausse de 11,5 % du PIB, toutefois due en majeure partie au point de départ très bas. La croissance devrait ralentir au second semestre de l’année, parallèlement à une hausse de l’inflation et à un essoufflement de la consommation des ménages. Dans ce contexte, le FMI et la Banque mondiale tablent sur un rebond global d’environ 7 % pour l’ensemble de cette année et sur un recul de la croissance du PIB à 4,5 % l’année prochaine. </w:t>
      </w:r>
    </w:p>
    <w:p w14:paraId="643810D3" w14:textId="1ADC6D59" w:rsidR="00BF7942" w:rsidRPr="006F430E" w:rsidRDefault="00BF7942" w:rsidP="00BF7942">
      <w:pPr>
        <w:rPr>
          <w:noProof/>
        </w:rPr>
      </w:pPr>
      <w:r w:rsidRPr="006F430E">
        <w:rPr>
          <w:noProof/>
        </w:rPr>
        <w:t xml:space="preserve">Après une forte désinflation l’année dernière, l’inflation mesurée par l’indice des prix à la consommation (IPC) s’est fortement redressée en 2021, atteignant 8,8 % en octobre, un taux largement supérieur à la cible de 5 % +/- 1,5 point de pourcentage fixée par la Banque nationale de Moldavie. Cela s’explique en majeure partie par la hausse des prix de l’alimentation et de ceux de l’énergie. En réponse à cette forte pression inflationniste, la banque centrale moldave a relevé à plusieurs reprises cette année son taux directeur, qui atteignait 5,5 % en octobre. La Banque nationale de Moldavie prévoit jusqu’à 15 % d’inflation pour le premier semestre de 2022, ce taux à deux chiffres étant en partie considéré comme de nature transitoire mais étant également susceptible de conduire à un nouveau resserrement monétaire. </w:t>
      </w:r>
    </w:p>
    <w:p w14:paraId="3BDC2204" w14:textId="6AE6424F" w:rsidR="006D7639" w:rsidRPr="006F430E" w:rsidRDefault="00BF7942" w:rsidP="00BF7942">
      <w:pPr>
        <w:rPr>
          <w:noProof/>
        </w:rPr>
      </w:pPr>
      <w:r w:rsidRPr="006F430E">
        <w:rPr>
          <w:noProof/>
        </w:rPr>
        <w:t xml:space="preserve">Compte tenu de l’amélioration des perspectives de croissance et de l’augmentation des recettes fiscales, le gouvernement a modifié en septembre la loi sur le budget de l’État, tablant sur un déficit plus faible qu’initialement prévu, à 5,1 % du PIB au lieu de 6,7 % du PIB début 2021. Toutefois, compte tenu de la crise énergétique actuelle et des nouvelles mesures de compensation que les autorités projettent d’instaurer pour protéger les consommateurs les plus vulnérables, la situation budgétaire de la Moldavie devrait se détériorer l’an prochain. Selon le budget de l’État pour 2022 présenté au Parlement le 25 novembre, le déficit budgétaire grimpera à 6 % du PIB l’an prochain, soit un niveau élevé par rapport aux moyennes historiques de la Moldavie, qui se sont maintenues en deçà de 2 % du PIB sur la période 2015-2019. Les dépenses devraient augmenter de 7,6 milliards de MDL, parallèlement à une augmentation des recettes de 4,2 milliards de MDL à la faveur d’une hausse des recettes de TVA. </w:t>
      </w:r>
    </w:p>
    <w:p w14:paraId="55EA536E" w14:textId="18657DFD" w:rsidR="00BF7942" w:rsidRPr="006F430E" w:rsidRDefault="00BF7942" w:rsidP="00BF7942">
      <w:pPr>
        <w:rPr>
          <w:noProof/>
        </w:rPr>
      </w:pPr>
      <w:r w:rsidRPr="006F430E">
        <w:rPr>
          <w:noProof/>
        </w:rPr>
        <w:t xml:space="preserve">Compte tenu de cette augmentation des dépenses, et malgré l’aide supplémentaire apportée par les partenaires internationaux pour atténuer les effets de la hausse des prix de l’énergie, la dette publique moldave devrait fortement augmenter et dépasser 40 % du PIB à moyen terme, contre environ 28 % du PIB en 2019, avant la récession provoquée par la pandémie et la crise gazière.  </w:t>
      </w:r>
    </w:p>
    <w:p w14:paraId="198F8891" w14:textId="2FC4B90F" w:rsidR="00BF7942" w:rsidRPr="006F430E" w:rsidRDefault="00BF7942" w:rsidP="00BF7942">
      <w:pPr>
        <w:rPr>
          <w:noProof/>
        </w:rPr>
      </w:pPr>
      <w:r w:rsidRPr="006F430E">
        <w:rPr>
          <w:noProof/>
        </w:rPr>
        <w:t xml:space="preserve">Après avoir diminué à 6,6 % du PIB en 2020, le déficit de la balance courante s’est creusé pour s’établir à 14 % du PIB au premier semestre 2021, exerçant un regain de pressions sur la balance des paiements moldave. Selon les prévisions du FMI, le déficit de la balance courante atteindra 1,5 milliard d’USD à la fin de cette année (environ 11 % du PIB), soit près du double de l’année dernière. Cela s’explique en grande partie par la forte augmentation des importations comme des exportations en 2021. Les exportations de janvier à septembre ont augmenté de 21,1 % par rapport à la même période de 2020, mais ont moins progressé que les importations, dont la croissance a été de 31,7 %. </w:t>
      </w:r>
    </w:p>
    <w:p w14:paraId="3276E1D7" w14:textId="41791ED9" w:rsidR="00BF7942" w:rsidRPr="006F430E" w:rsidRDefault="00BF7942" w:rsidP="00BF7942">
      <w:pPr>
        <w:rPr>
          <w:noProof/>
        </w:rPr>
      </w:pPr>
      <w:r w:rsidRPr="006F430E">
        <w:rPr>
          <w:noProof/>
        </w:rPr>
        <w:t xml:space="preserve">Les réserves de change de la Moldavie sont restées stables pendant la pandémie en 2020 et ont augmenté en 2021 pour atteindre 4 milliards d’USD fin septembre, demeurant à un niveau historiquement élevé. Cela représente une couverture de 8 mois d’importations et reflète en grande partie l’allocation en août, par le FMI, de droits de tirage spéciaux (DTS) équivalant à 236 millions d’USD, dans le cadre de la réponse globale du FMI à la crise de la COVID-19. </w:t>
      </w:r>
    </w:p>
    <w:p w14:paraId="15A90613" w14:textId="77777777" w:rsidR="001A3A0C" w:rsidRPr="006F430E" w:rsidRDefault="001A3A0C" w:rsidP="004F6AC7">
      <w:pPr>
        <w:pStyle w:val="ManualHeading2"/>
        <w:rPr>
          <w:rFonts w:eastAsia="Arial Unicode MS"/>
          <w:noProof/>
          <w:color w:val="000000"/>
          <w:u w:color="000000"/>
          <w:bdr w:val="nil"/>
        </w:rPr>
      </w:pPr>
      <w:r w:rsidRPr="006F430E">
        <w:rPr>
          <w:noProof/>
          <w:color w:val="000000"/>
          <w:u w:color="000000"/>
          <w:bdr w:val="nil"/>
        </w:rPr>
        <w:t>•</w:t>
      </w:r>
      <w:r w:rsidRPr="006F430E">
        <w:rPr>
          <w:noProof/>
        </w:rPr>
        <w:tab/>
        <w:t>Cohérence avec les dispositions existantes dans le domaine d’action</w:t>
      </w:r>
    </w:p>
    <w:p w14:paraId="105ACAB7" w14:textId="77777777" w:rsidR="00E42251" w:rsidRPr="006F430E" w:rsidRDefault="00E42251" w:rsidP="00E42251">
      <w:pPr>
        <w:rPr>
          <w:noProof/>
        </w:rPr>
      </w:pPr>
      <w:r w:rsidRPr="006F430E">
        <w:rPr>
          <w:noProof/>
        </w:rPr>
        <w:t>La précédente assistance macrofinancière, d’un montant de 100 millions d’EUR, a été accordée à la République de Moldavie au titre de la décision nº 701/2020/UE, adoptée par le Parlement européen et le Conseil le 25 mai 2020 (dans le cadre du paquet d’AMF en faveur des pays de l’élargissement et du voisinage dans le contexte de la pandémie de COVID-19). Cette assistance a été intégralement décaissée en 2020 et 2021.</w:t>
      </w:r>
    </w:p>
    <w:p w14:paraId="061F90B9" w14:textId="77777777" w:rsidR="001A3A0C" w:rsidRPr="006F430E" w:rsidRDefault="001A3A0C" w:rsidP="004F6AC7">
      <w:pPr>
        <w:pStyle w:val="ManualHeading2"/>
        <w:rPr>
          <w:rFonts w:eastAsia="Arial Unicode MS"/>
          <w:noProof/>
        </w:rPr>
      </w:pPr>
      <w:r w:rsidRPr="006F430E">
        <w:rPr>
          <w:noProof/>
          <w:color w:val="000000"/>
          <w:u w:color="000000"/>
          <w:bdr w:val="nil"/>
        </w:rPr>
        <w:t>•</w:t>
      </w:r>
      <w:r w:rsidRPr="006F430E">
        <w:rPr>
          <w:noProof/>
        </w:rPr>
        <w:tab/>
        <w:t>Cohérence avec les autres politiques de l’Union</w:t>
      </w:r>
    </w:p>
    <w:p w14:paraId="03FFAC34" w14:textId="77777777" w:rsidR="001A3A0C" w:rsidRPr="006F430E" w:rsidRDefault="000E6D02" w:rsidP="004F6AC7">
      <w:pPr>
        <w:pBdr>
          <w:top w:val="nil"/>
          <w:left w:val="nil"/>
          <w:bottom w:val="nil"/>
          <w:right w:val="nil"/>
          <w:between w:val="nil"/>
          <w:bar w:val="nil"/>
        </w:pBdr>
        <w:spacing w:before="0" w:after="240"/>
        <w:rPr>
          <w:rFonts w:eastAsia="Arial Unicode MS"/>
          <w:noProof/>
        </w:rPr>
      </w:pPr>
      <w:r w:rsidRPr="006F430E">
        <w:rPr>
          <w:noProof/>
        </w:rPr>
        <w:t>Au fil des ans, l’UE et la République de Moldavie ont noué d’étroites relations économiques et politiques, qui ont débouché sur la conclusion d’un accord d’association (y compris un accord de libre-échange approfondi et complet), signé le 27 juin 2014 et entré pleinement en vigueur le 1</w:t>
      </w:r>
      <w:r w:rsidRPr="006F430E">
        <w:rPr>
          <w:noProof/>
          <w:vertAlign w:val="superscript"/>
        </w:rPr>
        <w:t>er</w:t>
      </w:r>
      <w:r w:rsidRPr="006F430E">
        <w:rPr>
          <w:noProof/>
        </w:rPr>
        <w:t xml:space="preserve"> juillet 2016, la liste de leurs priorités de coopération étant définie par un programme d’association. Le dernier programme d’association, qui porte sur la période 2017-2019, a été prolongé pour une durée d’un an (en raison de la pandémie l’année dernière), tandis qu’un nouveau programme couvrant la période 2021-2027 est en cours d’élaboration. </w:t>
      </w:r>
    </w:p>
    <w:p w14:paraId="027DF3B4" w14:textId="0E6A2907" w:rsidR="001A3A0C" w:rsidRPr="006F430E" w:rsidRDefault="00F840C0" w:rsidP="004F6AC7">
      <w:pPr>
        <w:pBdr>
          <w:top w:val="nil"/>
          <w:left w:val="nil"/>
          <w:bottom w:val="nil"/>
          <w:right w:val="nil"/>
          <w:between w:val="nil"/>
          <w:bar w:val="nil"/>
        </w:pBdr>
        <w:spacing w:before="0" w:after="240"/>
        <w:rPr>
          <w:noProof/>
        </w:rPr>
      </w:pPr>
      <w:r w:rsidRPr="006F430E">
        <w:rPr>
          <w:noProof/>
        </w:rPr>
        <w:t>Les liens économiques de la Moldavie avec l’UE sont aussi bien développés. En 2020, l’UE a concentré 52 % de l’ensemble des échanges de la Moldavie (environ 67 % des exportations du pays et 45 % de ses importations), dont elle demeure le premier partenaire commercial, suivie par la Russie (9 %) et la Chine (8 %).</w:t>
      </w:r>
    </w:p>
    <w:p w14:paraId="34FAE555" w14:textId="304CCE7F" w:rsidR="00F840C0" w:rsidRPr="006F430E" w:rsidRDefault="00CB2259" w:rsidP="00D77020">
      <w:pPr>
        <w:rPr>
          <w:noProof/>
        </w:rPr>
      </w:pPr>
      <w:r w:rsidRPr="006F430E">
        <w:rPr>
          <w:noProof/>
        </w:rPr>
        <w:t>Les pays couverts par la politique européenne de voisinage peuvent prétendre à une assistance macrofinancière (s’ils satisfont à plusieurs conditions). Cette assistance macrofinancière compléterait les subventions accordées au titre de l’IVCDCI et d’autres programmes de l’UE, en particulier les programmes d’appui budgétaire conditionnel. En soutenant l’adoption, par les autorités moldaves, d’un cadre approprié pour la politique macroéconomique et les réformes structurelles, elle renforcerait la valeur ajoutée et l’efficacité de l’intervention financière globale de l’Union européenne, y compris de l’action menée au moyen d’autres instruments financiers.</w:t>
      </w:r>
    </w:p>
    <w:p w14:paraId="183CB66A" w14:textId="77777777" w:rsidR="001A3A0C" w:rsidRPr="006F430E" w:rsidRDefault="001A3A0C" w:rsidP="004F6AC7">
      <w:pPr>
        <w:pStyle w:val="ManualHeading1"/>
        <w:rPr>
          <w:noProof/>
        </w:rPr>
      </w:pPr>
      <w:r w:rsidRPr="006F430E">
        <w:rPr>
          <w:noProof/>
        </w:rPr>
        <w:t>2.</w:t>
      </w:r>
      <w:r w:rsidRPr="006F430E">
        <w:rPr>
          <w:noProof/>
        </w:rPr>
        <w:tab/>
        <w:t>BASE JURIDIQUE, SUBSIDIARITÉ ET PROPORTIONNALITÉ</w:t>
      </w:r>
    </w:p>
    <w:p w14:paraId="6C2EC464" w14:textId="77777777" w:rsidR="001A3A0C" w:rsidRPr="006F430E" w:rsidRDefault="001A3A0C" w:rsidP="004F6AC7">
      <w:pPr>
        <w:pStyle w:val="ManualHeading2"/>
        <w:rPr>
          <w:rFonts w:eastAsia="Arial Unicode MS"/>
          <w:noProof/>
          <w:u w:color="000000"/>
          <w:bdr w:val="nil"/>
        </w:rPr>
      </w:pPr>
      <w:r w:rsidRPr="006F430E">
        <w:rPr>
          <w:noProof/>
          <w:u w:color="000000"/>
          <w:bdr w:val="nil"/>
        </w:rPr>
        <w:t>•</w:t>
      </w:r>
      <w:r w:rsidRPr="006F430E">
        <w:rPr>
          <w:noProof/>
        </w:rPr>
        <w:tab/>
      </w:r>
      <w:r w:rsidRPr="006F430E">
        <w:rPr>
          <w:noProof/>
          <w:u w:color="000000"/>
          <w:bdr w:val="nil"/>
        </w:rPr>
        <w:t>Base juridique</w:t>
      </w:r>
    </w:p>
    <w:p w14:paraId="59311FE5" w14:textId="77777777" w:rsidR="001A3A0C" w:rsidRPr="006F430E" w:rsidRDefault="00095918" w:rsidP="00095918">
      <w:pPr>
        <w:rPr>
          <w:noProof/>
        </w:rPr>
      </w:pPr>
      <w:r w:rsidRPr="006F430E">
        <w:rPr>
          <w:noProof/>
        </w:rPr>
        <w:t xml:space="preserve">La base juridique de la présente proposition est l’article 212 du TFUE. </w:t>
      </w:r>
    </w:p>
    <w:p w14:paraId="4CA17FDD" w14:textId="77777777" w:rsidR="001A3A0C" w:rsidRPr="006F430E" w:rsidRDefault="001A3A0C" w:rsidP="004F6AC7">
      <w:pPr>
        <w:pStyle w:val="ManualHeading2"/>
        <w:rPr>
          <w:rFonts w:eastAsia="Arial Unicode MS"/>
          <w:noProof/>
          <w:u w:color="000000"/>
          <w:bdr w:val="nil"/>
        </w:rPr>
      </w:pPr>
      <w:r w:rsidRPr="006F430E">
        <w:rPr>
          <w:noProof/>
          <w:u w:color="000000"/>
          <w:bdr w:val="nil"/>
        </w:rPr>
        <w:t>•</w:t>
      </w:r>
      <w:r w:rsidRPr="006F430E">
        <w:rPr>
          <w:noProof/>
        </w:rPr>
        <w:tab/>
      </w:r>
      <w:r w:rsidRPr="006F430E">
        <w:rPr>
          <w:noProof/>
          <w:u w:color="000000"/>
          <w:bdr w:val="nil"/>
        </w:rPr>
        <w:t xml:space="preserve">Subsidiarité (en cas de compétence non exclusive) </w:t>
      </w:r>
    </w:p>
    <w:p w14:paraId="6AB31BCC" w14:textId="19E1D4B9" w:rsidR="00095918" w:rsidRPr="006F430E" w:rsidRDefault="00095918" w:rsidP="00095918">
      <w:pPr>
        <w:rPr>
          <w:noProof/>
        </w:rPr>
      </w:pPr>
      <w:r w:rsidRPr="006F430E">
        <w:rPr>
          <w:noProof/>
        </w:rPr>
        <w:t xml:space="preserve">Le principe de subsidiarité est respecté dans la mesure où l’objectif de rétablir la stabilité macroéconomique de la République de Moldavie à court terme ne peut pas être réalisé de manière satisfaisante par les seuls États membres et peut l’être mieux par l’Union européenne. Cela tient essentiellement aux contraintes budgétaires rencontrées au niveau national et à la nécessité d’une coordination très étroite entre donateurs pour maximiser l’ampleur et l’efficacité de l’aide. </w:t>
      </w:r>
    </w:p>
    <w:p w14:paraId="743E4B21" w14:textId="77777777" w:rsidR="001A3A0C" w:rsidRPr="006F430E" w:rsidRDefault="001A3A0C" w:rsidP="004F6AC7">
      <w:pPr>
        <w:pStyle w:val="ManualHeading2"/>
        <w:rPr>
          <w:rFonts w:eastAsia="Arial Unicode MS"/>
          <w:noProof/>
          <w:u w:color="000000"/>
          <w:bdr w:val="nil"/>
        </w:rPr>
      </w:pPr>
      <w:r w:rsidRPr="006F430E">
        <w:rPr>
          <w:noProof/>
          <w:u w:color="000000"/>
          <w:bdr w:val="nil"/>
        </w:rPr>
        <w:t>•</w:t>
      </w:r>
      <w:r w:rsidRPr="006F430E">
        <w:rPr>
          <w:noProof/>
        </w:rPr>
        <w:tab/>
      </w:r>
      <w:r w:rsidRPr="006F430E">
        <w:rPr>
          <w:noProof/>
          <w:u w:color="000000"/>
          <w:bdr w:val="nil"/>
        </w:rPr>
        <w:t>Proportionnalité</w:t>
      </w:r>
    </w:p>
    <w:p w14:paraId="14D53205" w14:textId="77777777" w:rsidR="00095918" w:rsidRPr="006F430E" w:rsidRDefault="00095918" w:rsidP="00095918">
      <w:pPr>
        <w:rPr>
          <w:noProof/>
        </w:rPr>
      </w:pPr>
      <w:r w:rsidRPr="006F430E">
        <w:rPr>
          <w:noProof/>
        </w:rPr>
        <w:t xml:space="preserve">La proposition respecte le principe de proportionnalité: elle se limite au minimum requis pour atteindre l’objectif de stabilisation macroéconomique à court terme et n’excède pas ce qui est nécessaire à cette fin. </w:t>
      </w:r>
    </w:p>
    <w:p w14:paraId="51EC9533" w14:textId="35265918" w:rsidR="00095918" w:rsidRPr="006F430E" w:rsidRDefault="00095918" w:rsidP="00095918">
      <w:pPr>
        <w:rPr>
          <w:noProof/>
        </w:rPr>
      </w:pPr>
      <w:r w:rsidRPr="006F430E">
        <w:rPr>
          <w:noProof/>
        </w:rPr>
        <w:t xml:space="preserve">Ainsi que la Commission l’a établi sur la base des estimations réalisées par le FMI dans le cadre du mécanisme élargi de crédit, le montant de la nouvelle assistance macrofinancière proposée correspond à 36 % du déficit de financement résiduel estimé pour la période 2021-2025. Ce chiffre est conforme aux pratiques courantes en matière de partage de la charge pour les opérations d’assistance macrofinancière (pour un pays ayant conclu un accord d’association, le plafond serait de 60 % selon les conclusions du Conseil ECOFIN du 8 octobre 2002), compte tenu de l’aide promise à la Moldavie par d’autres donateurs bilatéraux et multilatéraux.  </w:t>
      </w:r>
    </w:p>
    <w:p w14:paraId="7C24A5E2" w14:textId="77777777" w:rsidR="001A3A0C" w:rsidRPr="006F430E" w:rsidRDefault="001A3A0C" w:rsidP="004F6AC7">
      <w:pPr>
        <w:pStyle w:val="ManualHeading2"/>
        <w:rPr>
          <w:rFonts w:eastAsia="Arial Unicode MS"/>
          <w:noProof/>
          <w:u w:color="000000"/>
          <w:bdr w:val="nil"/>
        </w:rPr>
      </w:pPr>
      <w:r w:rsidRPr="006F430E">
        <w:rPr>
          <w:noProof/>
          <w:u w:color="000000"/>
          <w:bdr w:val="nil"/>
        </w:rPr>
        <w:t>•</w:t>
      </w:r>
      <w:r w:rsidRPr="006F430E">
        <w:rPr>
          <w:noProof/>
        </w:rPr>
        <w:tab/>
      </w:r>
      <w:r w:rsidRPr="006F430E">
        <w:rPr>
          <w:noProof/>
          <w:u w:color="000000"/>
          <w:bdr w:val="nil"/>
        </w:rPr>
        <w:t>Choix de l’instrument</w:t>
      </w:r>
    </w:p>
    <w:p w14:paraId="24FCBF92" w14:textId="77777777" w:rsidR="00095918" w:rsidRPr="006F430E" w:rsidRDefault="00095918" w:rsidP="00095918">
      <w:pPr>
        <w:rPr>
          <w:noProof/>
        </w:rPr>
      </w:pPr>
      <w:r w:rsidRPr="006F430E">
        <w:rPr>
          <w:noProof/>
        </w:rPr>
        <w:t xml:space="preserve">Le financement de projets ou une assistance technique ne conviendrait pas ou ne suffirait pas pour atteindre les objectifs macroéconomiques visés. L’assistance macrofinancière aurait pour principale valeur ajoutée, par rapport à d’autres instruments de l’UE, d’alléger la contrainte financière extérieure et de contribuer à créer un environnement macroéconomique stable, notamment en facilitant le rééquilibrage de la balance des paiements et de la situation budgétaire, ainsi que des conditions propices aux réformes structurelles. En soutenant la mise en place d’un cadre global approprié, l’assistance macrofinancière peut accroître l’efficacité des mesures qui, en Moldavie, sont financées par d’autres instruments financiers plus ciblés de l’UE. </w:t>
      </w:r>
    </w:p>
    <w:p w14:paraId="0F4E103F" w14:textId="77777777" w:rsidR="001A3A0C" w:rsidRPr="006F430E" w:rsidRDefault="001A3A0C" w:rsidP="004F6AC7">
      <w:pPr>
        <w:pStyle w:val="ManualHeading1"/>
        <w:rPr>
          <w:noProof/>
        </w:rPr>
      </w:pPr>
      <w:r w:rsidRPr="006F430E">
        <w:rPr>
          <w:noProof/>
        </w:rPr>
        <w:t>3.</w:t>
      </w:r>
      <w:r w:rsidRPr="006F430E">
        <w:rPr>
          <w:noProof/>
        </w:rPr>
        <w:tab/>
        <w:t>RÉSULTATS DES ÉVALUATIONS EX POST, DES CONSULTATIONS DES PARTIES INTÉRESSÉES ET DES ANALYSES D’IMPACT</w:t>
      </w:r>
    </w:p>
    <w:p w14:paraId="1B671D3C" w14:textId="77777777" w:rsidR="001A3A0C" w:rsidRPr="006F430E" w:rsidRDefault="001A3A0C" w:rsidP="004F6AC7">
      <w:pPr>
        <w:pStyle w:val="ManualHeading2"/>
        <w:rPr>
          <w:rFonts w:eastAsia="Arial Unicode MS"/>
          <w:noProof/>
          <w:u w:color="000000"/>
          <w:bdr w:val="nil"/>
        </w:rPr>
      </w:pPr>
      <w:r w:rsidRPr="006F430E">
        <w:rPr>
          <w:noProof/>
          <w:u w:color="000000"/>
          <w:bdr w:val="nil"/>
        </w:rPr>
        <w:t>•</w:t>
      </w:r>
      <w:r w:rsidRPr="006F430E">
        <w:rPr>
          <w:noProof/>
        </w:rPr>
        <w:tab/>
      </w:r>
      <w:r w:rsidRPr="006F430E">
        <w:rPr>
          <w:noProof/>
          <w:u w:color="000000"/>
          <w:bdr w:val="nil"/>
        </w:rPr>
        <w:t>Consultation des parties intéressées</w:t>
      </w:r>
    </w:p>
    <w:p w14:paraId="5DD94968" w14:textId="49443A06" w:rsidR="00095918" w:rsidRPr="006F430E" w:rsidRDefault="00095918" w:rsidP="00095918">
      <w:pPr>
        <w:rPr>
          <w:noProof/>
        </w:rPr>
      </w:pPr>
      <w:r w:rsidRPr="006F430E">
        <w:rPr>
          <w:noProof/>
        </w:rPr>
        <w:t>L’assistance macrofinancière fait partie intégrante du soutien international à la stabilisation économique de la République de Moldavie. Pour préparer la présente proposition d’assistance macrofinancière, les services de la Commission ont consulté le FMI et la Banque mondiale, qui ont déjà mis en place d’importants programmes de financement et en préparent de nouveaux. Le 25 novembre 2021, la Commission a consulté le Comité économique et financier au niveau des suppléants, qui a approuvé sa proposition. Elle a aussi été en contact régulier avec les autorités moldaves.</w:t>
      </w:r>
    </w:p>
    <w:p w14:paraId="73E206FA" w14:textId="77777777" w:rsidR="001A3A0C" w:rsidRPr="006F430E" w:rsidRDefault="001A3A0C" w:rsidP="004F6AC7">
      <w:pPr>
        <w:pStyle w:val="ManualHeading2"/>
        <w:rPr>
          <w:rFonts w:eastAsia="Arial Unicode MS"/>
          <w:noProof/>
          <w:u w:color="000000"/>
          <w:bdr w:val="nil"/>
        </w:rPr>
      </w:pPr>
      <w:r w:rsidRPr="006F430E">
        <w:rPr>
          <w:noProof/>
          <w:u w:color="000000"/>
          <w:bdr w:val="nil"/>
        </w:rPr>
        <w:t>•</w:t>
      </w:r>
      <w:r w:rsidRPr="006F430E">
        <w:rPr>
          <w:noProof/>
        </w:rPr>
        <w:tab/>
      </w:r>
      <w:r w:rsidRPr="006F430E">
        <w:rPr>
          <w:noProof/>
          <w:u w:color="000000"/>
          <w:bdr w:val="nil"/>
        </w:rPr>
        <w:t>Obtention et utilisation d’expertise</w:t>
      </w:r>
    </w:p>
    <w:p w14:paraId="77897C23" w14:textId="02422D11" w:rsidR="000F40D0" w:rsidRPr="006F430E" w:rsidRDefault="000F40D0" w:rsidP="000F40D0">
      <w:pPr>
        <w:autoSpaceDE w:val="0"/>
        <w:autoSpaceDN w:val="0"/>
        <w:adjustRightInd w:val="0"/>
        <w:rPr>
          <w:noProof/>
          <w:szCs w:val="24"/>
        </w:rPr>
      </w:pPr>
      <w:r w:rsidRPr="006F430E">
        <w:rPr>
          <w:noProof/>
        </w:rPr>
        <w:t xml:space="preserve">Conformément aux exigences du règlement financier, dans le contexte du paquet d’AMF COVID-19, les services de la Commission ont procédé à une évaluation opérationnelle des circuits administratifs et financiers de la Moldavie, afin de s’assurer que les procédures en place pour la gestion des programmes d’aide, y compris l’assistance macrofinancière, offraient des garanties adéquates. Le rapport final de l’évaluation opérationnelle, établi par un consultant, a été reçu en juin 2020. Ce rapport constate qu’en ce qui concerne les systèmes de gestion des finances publiques et les autres circuits financiers, des progrès manifestes ont été accomplis depuis 2015, date de la précédente évaluation, et il conclut que les procédures et circuits financiers de la Moldavie sont dans un état jugé favorable pour une nouvelle opération d’assistance macrofinancière. Les développements à cet égard resteront suivis de près, notamment par le biais des rapports d’avancement produits régulièrement par la délégation de l’UE à Chisinau sur la réforme de la gestion des finances publiques. </w:t>
      </w:r>
    </w:p>
    <w:p w14:paraId="5BCBDC41" w14:textId="77777777" w:rsidR="001A3A0C" w:rsidRPr="006F430E" w:rsidRDefault="001A3A0C" w:rsidP="004F6AC7">
      <w:pPr>
        <w:pStyle w:val="ManualHeading2"/>
        <w:rPr>
          <w:rFonts w:eastAsia="Arial Unicode MS"/>
          <w:noProof/>
          <w:u w:color="000000"/>
          <w:bdr w:val="nil"/>
        </w:rPr>
      </w:pPr>
      <w:r w:rsidRPr="006F430E">
        <w:rPr>
          <w:noProof/>
          <w:u w:color="000000"/>
          <w:bdr w:val="nil"/>
        </w:rPr>
        <w:t>•</w:t>
      </w:r>
      <w:r w:rsidRPr="006F430E">
        <w:rPr>
          <w:noProof/>
        </w:rPr>
        <w:tab/>
      </w:r>
      <w:r w:rsidRPr="006F430E">
        <w:rPr>
          <w:noProof/>
          <w:u w:color="000000"/>
          <w:bdr w:val="nil"/>
        </w:rPr>
        <w:t>Analyse d’impact</w:t>
      </w:r>
    </w:p>
    <w:p w14:paraId="36CD84CD" w14:textId="73E56CA6" w:rsidR="00095918" w:rsidRPr="006F430E" w:rsidRDefault="00095918" w:rsidP="00095918">
      <w:pPr>
        <w:rPr>
          <w:noProof/>
        </w:rPr>
      </w:pPr>
      <w:r w:rsidRPr="006F430E">
        <w:rPr>
          <w:noProof/>
        </w:rPr>
        <w:t>L’assistance macrofinancière de l’Union européenne est un instrument d’aide d’urgence exceptionnelle, visant à répondre à de graves difficultés de balance des paiements de pays tiers. C’est pourquoi la présente proposition d’assistance macrofinancière est exemptée de l’obligation de procéder à une analyse d’impact, conformément aux lignes directrices de la Commission pour une meilleure réglementation [SWD(2015) 111 final], parce qu’il est politiquement impératif de répondre rapidement à la situation considérée.</w:t>
      </w:r>
      <w:r w:rsidRPr="006F430E">
        <w:rPr>
          <w:rFonts w:ascii="TimesNewRoman" w:hAnsi="TimesNewRoman"/>
          <w:noProof/>
          <w:szCs w:val="24"/>
        </w:rPr>
        <w:t xml:space="preserve"> </w:t>
      </w:r>
    </w:p>
    <w:p w14:paraId="056C887D" w14:textId="2F5197CD" w:rsidR="00095918" w:rsidRPr="006F430E" w:rsidRDefault="00095918" w:rsidP="00095918">
      <w:pPr>
        <w:rPr>
          <w:noProof/>
        </w:rPr>
      </w:pPr>
      <w:r w:rsidRPr="006F430E">
        <w:rPr>
          <w:noProof/>
        </w:rPr>
        <w:t>Plus généralement, les propositions d’assistance macrofinancière de la Commission s’appuient sur les enseignements tirés des évaluations ex post d’opérations conduites précédemment dans des pays du voisinage de l’UE. La nouvelle assistance macrofinancière et le programme d’ajustement et de réforme économiques qui l’accompagne contribueront à couvrir les besoins de financement à court terme de la Moldavie, tout en soutenant les mesures prises pour renforcer la balance des paiements et la viabilité des finances publiques à moyen terme et promouvoir une croissance durable, complétant de la sorte le programme qui doit être adopté par le conseil d’administration du FMI. Les conditions fixées devraient cibler certaines des grandes faiblesses qu’accusent depuis des années l’économie et le système de gouvernance économique de la Moldavie. En principe, l’aide pourrait ainsi être conditionnée à la conduite de réformes notamment dans la gouvernance du secteur financier, la gestion des finances publiques et le secteur de l’énergie, ainsi qu’à l’adoption de mesures d’accompagnement destinées à renforcer le système de sécurité sociale, à améliorer le climat d’investissement et à soutenir la mise en œuvre de l’accord de libre-échange approfondi et complet.</w:t>
      </w:r>
    </w:p>
    <w:p w14:paraId="455CC8F1" w14:textId="77777777" w:rsidR="001A3A0C" w:rsidRPr="006F430E" w:rsidRDefault="001A3A0C" w:rsidP="004F6AC7">
      <w:pPr>
        <w:pStyle w:val="ManualHeading2"/>
        <w:rPr>
          <w:rFonts w:eastAsia="Arial Unicode MS"/>
          <w:noProof/>
          <w:u w:color="000000"/>
          <w:bdr w:val="nil"/>
        </w:rPr>
      </w:pPr>
      <w:r w:rsidRPr="006F430E">
        <w:rPr>
          <w:noProof/>
          <w:u w:color="000000"/>
          <w:bdr w:val="nil"/>
        </w:rPr>
        <w:t>•</w:t>
      </w:r>
      <w:r w:rsidRPr="006F430E">
        <w:rPr>
          <w:noProof/>
        </w:rPr>
        <w:tab/>
      </w:r>
      <w:r w:rsidRPr="006F430E">
        <w:rPr>
          <w:noProof/>
          <w:u w:color="000000"/>
          <w:bdr w:val="nil"/>
        </w:rPr>
        <w:t>Droits fondamentaux</w:t>
      </w:r>
    </w:p>
    <w:p w14:paraId="13959C3F" w14:textId="77777777" w:rsidR="002B7B2F" w:rsidRPr="006F430E" w:rsidRDefault="002B7B2F" w:rsidP="004F6AC7">
      <w:pPr>
        <w:pBdr>
          <w:top w:val="nil"/>
          <w:left w:val="nil"/>
          <w:bottom w:val="nil"/>
          <w:right w:val="nil"/>
          <w:between w:val="nil"/>
          <w:bar w:val="nil"/>
        </w:pBdr>
        <w:spacing w:before="0" w:after="240"/>
        <w:rPr>
          <w:noProof/>
        </w:rPr>
      </w:pPr>
      <w:r w:rsidRPr="006F430E">
        <w:rPr>
          <w:noProof/>
        </w:rPr>
        <w:t xml:space="preserve">Les pays couverts par la politique européenne de voisinage peuvent prétendre à une assistance macrofinancière. L’octroi de l’assistance macrofinancière est subordonné à la condition préalable que le pays qui peut prétendre à cette assistance respecte les mécanismes démocratiques effectifs – notamment le pluralisme parlementaire et l’état de droit – et garantisse le respect des droits de l’homme. </w:t>
      </w:r>
    </w:p>
    <w:p w14:paraId="6D97D66E" w14:textId="77777777" w:rsidR="001A3A0C" w:rsidRPr="006F430E" w:rsidRDefault="002B7B2F" w:rsidP="004F6AC7">
      <w:pPr>
        <w:pBdr>
          <w:top w:val="nil"/>
          <w:left w:val="nil"/>
          <w:bottom w:val="nil"/>
          <w:right w:val="nil"/>
          <w:between w:val="nil"/>
          <w:bar w:val="nil"/>
        </w:pBdr>
        <w:spacing w:before="0" w:after="240"/>
        <w:rPr>
          <w:noProof/>
        </w:rPr>
      </w:pPr>
      <w:r w:rsidRPr="006F430E">
        <w:rPr>
          <w:noProof/>
        </w:rPr>
        <w:t>L’engagement renouvelé en faveur des réformes et la ferme volonté politique exprimés par les nouvelles autorités moldaves, à la suite des élections de juillet, dans des domaines essentiels tels que la réforme du secteur de la justice, la bonne gouvernance, l’état de droit et la lutte contre la corruption constituent de toute évidence un signe positif. Les autorités se sont engagées à mener ces réformes en toute transparence et dans le respect des normes de l’UE. À cet égard, la condition préalable pour bénéficier d’un programme d’AMF est considérée comme remplie.</w:t>
      </w:r>
    </w:p>
    <w:p w14:paraId="750A26FB" w14:textId="77777777" w:rsidR="001A3A0C" w:rsidRPr="006F430E" w:rsidRDefault="001A3A0C" w:rsidP="004F6AC7">
      <w:pPr>
        <w:pStyle w:val="ManualHeading1"/>
        <w:rPr>
          <w:noProof/>
        </w:rPr>
      </w:pPr>
      <w:r w:rsidRPr="006F430E">
        <w:rPr>
          <w:noProof/>
        </w:rPr>
        <w:t>4.</w:t>
      </w:r>
      <w:r w:rsidRPr="006F430E">
        <w:rPr>
          <w:noProof/>
        </w:rPr>
        <w:tab/>
        <w:t>INCIDENCE BUDGÉTAIRE</w:t>
      </w:r>
    </w:p>
    <w:p w14:paraId="2186501D" w14:textId="0FA621C7" w:rsidR="00F95508" w:rsidRPr="006F430E" w:rsidRDefault="002C6C4C" w:rsidP="00F95508">
      <w:pPr>
        <w:rPr>
          <w:noProof/>
        </w:rPr>
      </w:pPr>
      <w:r w:rsidRPr="006F430E">
        <w:rPr>
          <w:noProof/>
        </w:rPr>
        <w:t xml:space="preserve">Il est prévu que l’opération d’assistance macrofinancière proposée pour la Moldavie, d’un montant de 150 millions d’EUR, soit versée en trois tranches égales, qui seront décaissées entre 2022 et 2024. La programmation financière pour la période 2022-2024 prévoit un volet «subventions» de 30 millions d’EUR à financer sur le budget disponible sur la ligne budgétaire 14 20 03 01 «Subventions au titre de l’assistance macrofinancière (AMF)». Pour le volet «prêts» de 120 millions d’EUR, le provisionnement de la garantie pour l’action extérieure, au taux requis de 9%, sera programmé au titre de l’instrument de voisinage, de coopération au développement et de coopération internationale (IVCDCI), pour un montant total de 10,8 millions d’EUR (ligne budgétaire 14 02 01 70 «IVCDCI – Provisionnement du fonds commun de provisionnement»). </w:t>
      </w:r>
    </w:p>
    <w:p w14:paraId="38BC35C9" w14:textId="77777777" w:rsidR="001A3A0C" w:rsidRPr="006F430E" w:rsidRDefault="001A3A0C" w:rsidP="004F6AC7">
      <w:pPr>
        <w:pStyle w:val="ManualHeading1"/>
        <w:rPr>
          <w:noProof/>
        </w:rPr>
      </w:pPr>
      <w:r w:rsidRPr="006F430E">
        <w:rPr>
          <w:noProof/>
        </w:rPr>
        <w:t>5.</w:t>
      </w:r>
      <w:r w:rsidRPr="006F430E">
        <w:rPr>
          <w:noProof/>
        </w:rPr>
        <w:tab/>
        <w:t>AUTRES ÉLÉMENTS</w:t>
      </w:r>
    </w:p>
    <w:p w14:paraId="27684447" w14:textId="77777777" w:rsidR="001A3A0C" w:rsidRPr="006F430E" w:rsidRDefault="001A3A0C" w:rsidP="004F6AC7">
      <w:pPr>
        <w:pStyle w:val="ManualHeading2"/>
        <w:rPr>
          <w:rFonts w:eastAsia="Arial Unicode MS"/>
          <w:noProof/>
          <w:u w:color="000000"/>
          <w:bdr w:val="nil"/>
        </w:rPr>
      </w:pPr>
      <w:r w:rsidRPr="006F430E">
        <w:rPr>
          <w:noProof/>
          <w:u w:color="000000"/>
          <w:bdr w:val="nil"/>
        </w:rPr>
        <w:t>•</w:t>
      </w:r>
      <w:r w:rsidRPr="006F430E">
        <w:rPr>
          <w:noProof/>
        </w:rPr>
        <w:tab/>
      </w:r>
      <w:r w:rsidRPr="006F430E">
        <w:rPr>
          <w:noProof/>
          <w:u w:color="000000"/>
          <w:bdr w:val="nil"/>
        </w:rPr>
        <w:t>Plans de mise en œuvre et modalités de suivi, d’évaluation et d’information</w:t>
      </w:r>
    </w:p>
    <w:p w14:paraId="66100C9E" w14:textId="583C7201" w:rsidR="00AE22F5" w:rsidRPr="006F430E" w:rsidRDefault="00AE22F5" w:rsidP="00AE22F5">
      <w:pPr>
        <w:pStyle w:val="Text1"/>
        <w:ind w:left="0"/>
        <w:rPr>
          <w:noProof/>
        </w:rPr>
      </w:pPr>
      <w:r w:rsidRPr="006F430E">
        <w:rPr>
          <w:noProof/>
        </w:rPr>
        <w:t xml:space="preserve">L’Union européenne mettra à la disposition de la Moldavie une AMF d’un montant total de 150 millions d’EUR, sous forme de prêts à moyen et long terme ainsi que de subventions, qui contribuera à couvrir les besoins de financement résiduels du pays sur la période 2022-2024. Il est prévu que cette assistance soit versée en trois tranches de montant égal réparties sur toute la durée de l’opération d’AMF, à condition que les politiques à mener pour pouvoir bénéficier de chaque tranche aient été pleinement mises en œuvre en temps utile. </w:t>
      </w:r>
    </w:p>
    <w:p w14:paraId="10C0E56A" w14:textId="77777777" w:rsidR="00AE22F5" w:rsidRPr="006F430E" w:rsidRDefault="00AE22F5" w:rsidP="00AE22F5">
      <w:pPr>
        <w:pStyle w:val="Text1"/>
        <w:ind w:left="0"/>
        <w:rPr>
          <w:noProof/>
        </w:rPr>
      </w:pPr>
      <w:r w:rsidRPr="006F430E">
        <w:rPr>
          <w:noProof/>
        </w:rPr>
        <w:t xml:space="preserve">L’assistance sera gérée par la Commission. Des dispositions spécifiques sur la prévention de la fraude et d’autres irrégularités, conformes au règlement financier, sont applicables. </w:t>
      </w:r>
    </w:p>
    <w:p w14:paraId="532DC915" w14:textId="77777777" w:rsidR="00AE22F5" w:rsidRPr="006F430E" w:rsidRDefault="00AE22F5" w:rsidP="00AE22F5">
      <w:pPr>
        <w:pStyle w:val="Text1"/>
        <w:ind w:left="0"/>
        <w:rPr>
          <w:noProof/>
        </w:rPr>
      </w:pPr>
      <w:r w:rsidRPr="006F430E">
        <w:rPr>
          <w:noProof/>
        </w:rPr>
        <w:t xml:space="preserve">La Commission et les autorités moldaves devront conclure un protocole d’accord établissant les mesures de réforme structurelle liées à l’AMF proposée, y compris l’articulation des différentes mesures et les délais applicables. En outre, comme cela est normalement le cas pour l’assistance macrofinancière, les décaissements seront subordonnés, entre autres, à des évaluations satisfaisantes dans le cadre du programme du FMI, ainsi qu’à des progrès dans la mise en œuvre de l’accord d’association entre l’UE et la Moldavie et de la zone de libre-échange approfondi et complet. La Commission travaillera en étroite collaboration avec les autorités pour suivre les progrès dans la mise en œuvre des politiques et des conditions préalables, comme indiqué ci-dessus. </w:t>
      </w:r>
    </w:p>
    <w:p w14:paraId="4B7C7B09" w14:textId="77777777" w:rsidR="00E814CC" w:rsidRPr="006F430E" w:rsidRDefault="00E814CC" w:rsidP="004F6AC7">
      <w:pPr>
        <w:rPr>
          <w:noProof/>
        </w:rPr>
        <w:sectPr w:rsidR="00E814CC" w:rsidRPr="006F430E" w:rsidSect="005A33DF">
          <w:footerReference w:type="default" r:id="rId10"/>
          <w:footerReference w:type="first" r:id="rId11"/>
          <w:pgSz w:w="11907" w:h="16839"/>
          <w:pgMar w:top="1134" w:right="1417" w:bottom="1134" w:left="1417" w:header="709" w:footer="709" w:gutter="0"/>
          <w:cols w:space="708"/>
          <w:docGrid w:linePitch="360"/>
        </w:sectPr>
      </w:pPr>
    </w:p>
    <w:p w14:paraId="6B9D2CE5" w14:textId="2F98AE5F" w:rsidR="00BB0926" w:rsidRDefault="00BB0926" w:rsidP="00BB0926">
      <w:pPr>
        <w:pStyle w:val="Rfrenceinterinstitutionnelle"/>
        <w:rPr>
          <w:noProof/>
        </w:rPr>
      </w:pPr>
      <w:r w:rsidRPr="00BB0926">
        <w:t>2021/0438 (COD)</w:t>
      </w:r>
    </w:p>
    <w:p w14:paraId="0188D85F" w14:textId="5869BDA4" w:rsidR="001A3A0C" w:rsidRPr="006F430E" w:rsidRDefault="006F430E" w:rsidP="006F430E">
      <w:pPr>
        <w:pStyle w:val="Statut"/>
        <w:rPr>
          <w:noProof/>
        </w:rPr>
      </w:pPr>
      <w:r w:rsidRPr="006F430E">
        <w:rPr>
          <w:noProof/>
        </w:rPr>
        <w:t>Proposition de</w:t>
      </w:r>
    </w:p>
    <w:p w14:paraId="79E16EA7" w14:textId="0126F882" w:rsidR="001A3A0C" w:rsidRPr="006F430E" w:rsidRDefault="006F430E" w:rsidP="006F430E">
      <w:pPr>
        <w:pStyle w:val="Typedudocument"/>
        <w:rPr>
          <w:noProof/>
        </w:rPr>
      </w:pPr>
      <w:r w:rsidRPr="006F430E">
        <w:rPr>
          <w:noProof/>
        </w:rPr>
        <w:t>DÉCISION DU PARLEMENT EUROPÉEN ET DU CONSEIL</w:t>
      </w:r>
    </w:p>
    <w:p w14:paraId="585EFB12" w14:textId="70BF202D" w:rsidR="001A3A0C" w:rsidRPr="006F430E" w:rsidRDefault="006F430E" w:rsidP="006F430E">
      <w:pPr>
        <w:pStyle w:val="Titreobjet"/>
        <w:rPr>
          <w:noProof/>
        </w:rPr>
      </w:pPr>
      <w:r w:rsidRPr="006F430E">
        <w:rPr>
          <w:noProof/>
        </w:rPr>
        <w:t>accordant une assistance macrofinancière à la République de Moldavie</w:t>
      </w:r>
    </w:p>
    <w:p w14:paraId="4ED2D767" w14:textId="77777777" w:rsidR="001A3A0C" w:rsidRPr="006F430E" w:rsidRDefault="001A3A0C" w:rsidP="004F6AC7">
      <w:pPr>
        <w:pStyle w:val="Institutionquiagit"/>
        <w:rPr>
          <w:noProof/>
        </w:rPr>
      </w:pPr>
      <w:r w:rsidRPr="006F430E">
        <w:rPr>
          <w:noProof/>
        </w:rPr>
        <w:t>LE PARLEMENT EUROPÉEN ET LE CONSEIL DE L’UNION EUROPÉENNE,</w:t>
      </w:r>
    </w:p>
    <w:p w14:paraId="099E598C" w14:textId="77777777" w:rsidR="001A3A0C" w:rsidRPr="006F430E" w:rsidRDefault="001A3A0C" w:rsidP="004F6AC7">
      <w:pPr>
        <w:rPr>
          <w:noProof/>
        </w:rPr>
      </w:pPr>
      <w:r w:rsidRPr="006F430E">
        <w:rPr>
          <w:noProof/>
        </w:rPr>
        <w:t>vu le traité sur le fonctionnement de l’Union européenne, et notamment son article 212,</w:t>
      </w:r>
    </w:p>
    <w:p w14:paraId="1ADDFC25" w14:textId="77777777" w:rsidR="001A3A0C" w:rsidRPr="006F430E" w:rsidRDefault="001A3A0C" w:rsidP="004F6AC7">
      <w:pPr>
        <w:rPr>
          <w:noProof/>
        </w:rPr>
      </w:pPr>
      <w:r w:rsidRPr="006F430E">
        <w:rPr>
          <w:noProof/>
        </w:rPr>
        <w:t>vu la proposition de la Commission européenne,</w:t>
      </w:r>
    </w:p>
    <w:p w14:paraId="511ED854" w14:textId="77777777" w:rsidR="001A3A0C" w:rsidRPr="006F430E" w:rsidRDefault="001A3A0C" w:rsidP="004F6AC7">
      <w:pPr>
        <w:rPr>
          <w:noProof/>
        </w:rPr>
      </w:pPr>
      <w:r w:rsidRPr="006F430E">
        <w:rPr>
          <w:noProof/>
        </w:rPr>
        <w:t>après transmission du projet d’acte législatif aux parlements nationaux,</w:t>
      </w:r>
    </w:p>
    <w:p w14:paraId="0C5BDE7D" w14:textId="77777777" w:rsidR="001A3A0C" w:rsidRPr="006F430E" w:rsidRDefault="001A3A0C" w:rsidP="004F6AC7">
      <w:pPr>
        <w:rPr>
          <w:noProof/>
        </w:rPr>
      </w:pPr>
      <w:r w:rsidRPr="006F430E">
        <w:rPr>
          <w:noProof/>
        </w:rPr>
        <w:t>statuant conformément à la procédure législative ordinaire,</w:t>
      </w:r>
    </w:p>
    <w:p w14:paraId="3B731C9B" w14:textId="77777777" w:rsidR="001A3A0C" w:rsidRPr="006F430E" w:rsidRDefault="001A3A0C" w:rsidP="004F6AC7">
      <w:pPr>
        <w:rPr>
          <w:noProof/>
        </w:rPr>
      </w:pPr>
      <w:r w:rsidRPr="006F430E">
        <w:rPr>
          <w:noProof/>
        </w:rPr>
        <w:t>considérant ce qui suit:</w:t>
      </w:r>
    </w:p>
    <w:p w14:paraId="4A1D2CD1" w14:textId="6F0037B4" w:rsidR="007E34D3" w:rsidRPr="006F430E" w:rsidRDefault="0024257C" w:rsidP="0024257C">
      <w:pPr>
        <w:pStyle w:val="ManualConsidrant"/>
        <w:rPr>
          <w:noProof/>
        </w:rPr>
      </w:pPr>
      <w:r w:rsidRPr="0024257C">
        <w:t>(1)</w:t>
      </w:r>
      <w:r w:rsidRPr="0024257C">
        <w:tab/>
      </w:r>
      <w:r w:rsidR="007E34D3" w:rsidRPr="006F430E">
        <w:rPr>
          <w:noProof/>
        </w:rPr>
        <w:t>Les relations entre l’Union européenne (ci-après l’«Union») et la République de Moldavie (ci-après la «Moldavie») continuent à se développer dans le cadre de la politique européenne de voisinage (PEV) et du partenariat oriental. La Moldavie a adhéré au partenariat oriental de l’Union en 2009, à la suite de quoi un accord d’association UE-Moldavie a été négocié. Cet accord, qui prévoit notamment la mise en place progressive d’une zone de libre-échange approfondi et complet, a été signé en juin 2014 et est entré en vigueur le 1</w:t>
      </w:r>
      <w:r w:rsidR="007E34D3" w:rsidRPr="006F430E">
        <w:rPr>
          <w:noProof/>
          <w:vertAlign w:val="superscript"/>
        </w:rPr>
        <w:t>er</w:t>
      </w:r>
      <w:r w:rsidR="007E34D3" w:rsidRPr="006F430E">
        <w:rPr>
          <w:noProof/>
        </w:rPr>
        <w:t xml:space="preserve"> juillet 2016.</w:t>
      </w:r>
    </w:p>
    <w:p w14:paraId="5C4D24D7" w14:textId="0BDE6CCA" w:rsidR="001A3A0C" w:rsidRPr="006F430E" w:rsidRDefault="0024257C" w:rsidP="0024257C">
      <w:pPr>
        <w:pStyle w:val="ManualConsidrant"/>
        <w:rPr>
          <w:noProof/>
        </w:rPr>
      </w:pPr>
      <w:r w:rsidRPr="0024257C">
        <w:t>(2)</w:t>
      </w:r>
      <w:r w:rsidRPr="0024257C">
        <w:tab/>
      </w:r>
      <w:r w:rsidR="007E34D3" w:rsidRPr="006F430E">
        <w:rPr>
          <w:noProof/>
        </w:rPr>
        <w:t xml:space="preserve">L’économie moldave a fortement souffert de la récession de 2020, engendrée par la pandémie de COVID-19, par la longue paralysie politique du pays après les élections présidentielles de novembre 2020, ainsi que par la récente crise énergétique. Cette situation a contribué à l’ampleur du déficit de financement de la Moldavie, à la détérioration de sa position extérieure et à l’accroissement de ses besoins budgétaires. </w:t>
      </w:r>
    </w:p>
    <w:p w14:paraId="168B40EC" w14:textId="3233E4D4" w:rsidR="001A3A0C" w:rsidRPr="006F430E" w:rsidRDefault="0024257C" w:rsidP="0024257C">
      <w:pPr>
        <w:pStyle w:val="ManualConsidrant"/>
        <w:rPr>
          <w:noProof/>
        </w:rPr>
      </w:pPr>
      <w:r w:rsidRPr="0024257C">
        <w:t>(3)</w:t>
      </w:r>
      <w:r w:rsidRPr="0024257C">
        <w:tab/>
      </w:r>
      <w:r w:rsidR="00032132" w:rsidRPr="006F430E">
        <w:rPr>
          <w:noProof/>
        </w:rPr>
        <w:t>À la suite des élections de juillet 2021, le nouveau gouvernement moldave a démontré sa ferme volonté de poursuivre les réformes, grâce à un programme ambitieux intitulé «Moldova in good times 2021-2025», axé sur des domaines d’action clés, notamment la réforme du secteur de la justice, la lutte contre la corruption, la bonne gouvernance et l’état de droit.</w:t>
      </w:r>
    </w:p>
    <w:p w14:paraId="77465807" w14:textId="64CD4744" w:rsidR="008659A5" w:rsidRPr="006F430E" w:rsidRDefault="0024257C" w:rsidP="0024257C">
      <w:pPr>
        <w:pStyle w:val="ManualConsidrant"/>
        <w:rPr>
          <w:noProof/>
        </w:rPr>
      </w:pPr>
      <w:r w:rsidRPr="0024257C">
        <w:t>(4)</w:t>
      </w:r>
      <w:r w:rsidRPr="0024257C">
        <w:tab/>
      </w:r>
      <w:r w:rsidR="008659A5" w:rsidRPr="006F430E">
        <w:rPr>
          <w:noProof/>
        </w:rPr>
        <w:t>Grâce à cet engagement renouvelé en faveur des réformes et à une volonté politique forte, les autorités ont considérablement accéléré la mise en œuvre des réformes, ce qui a également permis à la Moldavie d’achever avec succès le programme de l’opération d’AMF COVID-19</w:t>
      </w:r>
      <w:r w:rsidR="008659A5" w:rsidRPr="006F430E">
        <w:rPr>
          <w:rStyle w:val="FootnoteReference"/>
          <w:noProof/>
        </w:rPr>
        <w:footnoteReference w:id="1"/>
      </w:r>
      <w:r w:rsidR="008659A5" w:rsidRPr="006F430E">
        <w:rPr>
          <w:noProof/>
        </w:rPr>
        <w:t xml:space="preserve">, toutes les mesures de réforme convenues avec l’Union dans le protocole d’accord ayant été menées à bien, à l’exception de celle relative au recouvrement des actifs, pour laquelle une dérogation a été accordée. À cet égard, la Commission a consulté le comité des États membres, qui n’a émis aucune objection. </w:t>
      </w:r>
    </w:p>
    <w:p w14:paraId="3E50D266" w14:textId="6F6084A3" w:rsidR="008F3982" w:rsidRPr="006F430E" w:rsidRDefault="0024257C" w:rsidP="0024257C">
      <w:pPr>
        <w:pStyle w:val="ManualConsidrant"/>
        <w:rPr>
          <w:noProof/>
        </w:rPr>
      </w:pPr>
      <w:r w:rsidRPr="0024257C">
        <w:t>(5)</w:t>
      </w:r>
      <w:r w:rsidRPr="0024257C">
        <w:tab/>
      </w:r>
      <w:r w:rsidR="000904F7" w:rsidRPr="006F430E">
        <w:rPr>
          <w:noProof/>
        </w:rPr>
        <w:t xml:space="preserve">L’adoption d’un nouveau programme du FMI, négocié en 2020, n’ayant pas abouti, le Fonds monétaire international (FMI) a repris le dialogue avec la Moldavie après les élections de juillet 2021 et est parvenu à un accord technique (le 21 octobre 2021) sur une facilité élargie de crédit/mécanisme élargi de crédit d’un montant de 564 millions d’USD. Le nouveau programme a été adopté par décision du conseil d’administration du FMI [le 20 décembre 2021]. Ce programme vise à soutenir la reprise économique et à engager un processus ambitieux de réforme de la gouvernance et des institutions, à renforcer la transparence et la responsabilité, à améliorer la prévisibilité des politiques publiques, à renforcer les institutions financières et à favoriser la déréglementation. </w:t>
      </w:r>
    </w:p>
    <w:p w14:paraId="3DA463FA" w14:textId="0C608F27" w:rsidR="008F3982" w:rsidRPr="006F430E" w:rsidRDefault="0024257C" w:rsidP="0024257C">
      <w:pPr>
        <w:pStyle w:val="ManualConsidrant"/>
        <w:rPr>
          <w:noProof/>
        </w:rPr>
      </w:pPr>
      <w:r w:rsidRPr="0024257C">
        <w:t>(6)</w:t>
      </w:r>
      <w:r w:rsidRPr="0024257C">
        <w:tab/>
      </w:r>
      <w:r w:rsidR="008F3982" w:rsidRPr="006F430E">
        <w:rPr>
          <w:noProof/>
        </w:rPr>
        <w:t xml:space="preserve">Compte tenu de la détérioration de la conjoncture et des perspectives économiques, la Moldavie a demandé une assistance macrofinancière complémentaire de l’Union en novembre 2021. </w:t>
      </w:r>
    </w:p>
    <w:p w14:paraId="4E545BD3" w14:textId="2607980A" w:rsidR="002C6C4C" w:rsidRPr="006F430E" w:rsidRDefault="0024257C" w:rsidP="0024257C">
      <w:pPr>
        <w:pStyle w:val="ManualConsidrant"/>
        <w:rPr>
          <w:noProof/>
        </w:rPr>
      </w:pPr>
      <w:r w:rsidRPr="0024257C">
        <w:t>(7)</w:t>
      </w:r>
      <w:r w:rsidRPr="0024257C">
        <w:tab/>
      </w:r>
      <w:r w:rsidR="00470A5C" w:rsidRPr="006F430E">
        <w:rPr>
          <w:noProof/>
        </w:rPr>
        <w:t xml:space="preserve">Le montant indicatif de l’enveloppe allouée par l’Union à la Moldavie au titre de l’instrument européen de voisinage est de 518,15 millions d’EUR pour la période 2014-2020, appui budgétaire et assistance technique compris. Les cadres uniques d’appui pour la période 2014-2017 et pour la période 2017-2020 ont défini le secteur prioritaire de coopération avec la Moldavie financé par l’instrument européen de voisinage pour la période budgétaire précédente. Les priorités pour 2021-2027 seront définies dans le nouveau programme indicatif pluriannuel, élaboré en étroite concertation avec toutes les parties prenantes concernées. </w:t>
      </w:r>
    </w:p>
    <w:p w14:paraId="669C4E40" w14:textId="62C4769F" w:rsidR="008F3982" w:rsidRPr="006F430E" w:rsidRDefault="0024257C" w:rsidP="0024257C">
      <w:pPr>
        <w:pStyle w:val="ManualConsidrant"/>
        <w:rPr>
          <w:noProof/>
        </w:rPr>
      </w:pPr>
      <w:r w:rsidRPr="0024257C">
        <w:t>(8)</w:t>
      </w:r>
      <w:r w:rsidRPr="0024257C">
        <w:tab/>
      </w:r>
      <w:r w:rsidR="00580283" w:rsidRPr="006F430E">
        <w:rPr>
          <w:noProof/>
        </w:rPr>
        <w:t xml:space="preserve">La Moldavie étant un pays couvert par la politique européenne de voisinage, il y a lieu de considérer qu’elle peut prétendre à une assistance macrofinancière de l’Union. </w:t>
      </w:r>
    </w:p>
    <w:p w14:paraId="1572E4B0" w14:textId="0EE78420" w:rsidR="009568EF" w:rsidRPr="006F430E" w:rsidRDefault="0024257C" w:rsidP="0024257C">
      <w:pPr>
        <w:pStyle w:val="ManualConsidrant"/>
        <w:rPr>
          <w:noProof/>
        </w:rPr>
      </w:pPr>
      <w:r w:rsidRPr="0024257C">
        <w:t>(9)</w:t>
      </w:r>
      <w:r w:rsidRPr="0024257C">
        <w:tab/>
      </w:r>
      <w:r w:rsidR="009568EF" w:rsidRPr="006F430E">
        <w:rPr>
          <w:noProof/>
        </w:rPr>
        <w:t>L’assistance macrofinancière de l’Union devrait constituer un instrument financier de caractère exceptionnel destiné à apporter un soutien, non lié et sans affectation particulière, à la balance des paiements du bénéficiaire en réponse à ses besoins urgents de financement externe, et elle devrait appuyer la mise en œuvre d’un programme de mesures vigoureuses et immédiates d’ajustement et de réforme structurelle visant à améliorer la situation de la balance des paiements à court terme.</w:t>
      </w:r>
    </w:p>
    <w:p w14:paraId="73BBFBF1" w14:textId="141BF089" w:rsidR="009568EF" w:rsidRPr="006F430E" w:rsidRDefault="0024257C" w:rsidP="0024257C">
      <w:pPr>
        <w:pStyle w:val="ManualConsidrant"/>
        <w:rPr>
          <w:noProof/>
        </w:rPr>
      </w:pPr>
      <w:r w:rsidRPr="0024257C">
        <w:t>(10)</w:t>
      </w:r>
      <w:r w:rsidRPr="0024257C">
        <w:tab/>
      </w:r>
      <w:r w:rsidR="009568EF" w:rsidRPr="006F430E">
        <w:rPr>
          <w:noProof/>
        </w:rPr>
        <w:t>Étant donné que la balance des paiements moldave continue de présenter un important besoin de financement externe résiduel, qui dépasse les ressources octroyées par le FMI et d’autres institutions multilatérales, l’assistance macrofinancière que doit fournir l’Union à la Moldavie est considérée, dans les circonstances exceptionnelles du moment, comme une réponse appropriée à la demande du pays de soutenir la stabilisation de son économie en combinaison avec le programme du FMI. L’assistance macrofinancière de l’Union faciliterait la stabilisation économique et la mise en œuvre du programme de réformes structurelles de la Moldavie, en complément des ressources mises à sa disposition dans le cadre de l’accord financier pris avec le FMI.</w:t>
      </w:r>
    </w:p>
    <w:p w14:paraId="0DBD3BBF" w14:textId="49D89012" w:rsidR="009568EF" w:rsidRPr="006F430E" w:rsidRDefault="0024257C" w:rsidP="0024257C">
      <w:pPr>
        <w:pStyle w:val="ManualConsidrant"/>
        <w:rPr>
          <w:noProof/>
        </w:rPr>
      </w:pPr>
      <w:r w:rsidRPr="0024257C">
        <w:t>(11)</w:t>
      </w:r>
      <w:r w:rsidRPr="0024257C">
        <w:tab/>
      </w:r>
      <w:r w:rsidR="009568EF" w:rsidRPr="006F430E">
        <w:rPr>
          <w:noProof/>
        </w:rPr>
        <w:t>Elle devrait aider la Moldavie à rétablir la viabilité de ses finances extérieures et, ce faisant, soutenir son développement économique et social.</w:t>
      </w:r>
    </w:p>
    <w:p w14:paraId="2FA9D725" w14:textId="5C0F1655" w:rsidR="009568EF" w:rsidRPr="006F430E" w:rsidRDefault="0024257C" w:rsidP="0024257C">
      <w:pPr>
        <w:pStyle w:val="ManualConsidrant"/>
        <w:rPr>
          <w:noProof/>
        </w:rPr>
      </w:pPr>
      <w:r w:rsidRPr="0024257C">
        <w:t>(12)</w:t>
      </w:r>
      <w:r w:rsidRPr="0024257C">
        <w:tab/>
      </w:r>
      <w:r w:rsidR="009568EF" w:rsidRPr="006F430E">
        <w:rPr>
          <w:noProof/>
        </w:rPr>
        <w:t>L’assistance macrofinancière de l’Union devrait aller de pair avec les décaissements au titre des opérations d’appui budgétaire financées par l’instrument de voisinage, de coopération au développement et de coopération internationale établi par le règlement (UE) 2021/947 du Parlement européen et du Conseil</w:t>
      </w:r>
      <w:r w:rsidR="009568EF" w:rsidRPr="006F430E">
        <w:rPr>
          <w:rStyle w:val="FootnoteReference"/>
          <w:noProof/>
        </w:rPr>
        <w:footnoteReference w:id="2"/>
      </w:r>
      <w:r w:rsidR="009568EF" w:rsidRPr="006F430E">
        <w:rPr>
          <w:noProof/>
        </w:rPr>
        <w:t>.</w:t>
      </w:r>
    </w:p>
    <w:p w14:paraId="21AF683B" w14:textId="7792F6B3" w:rsidR="009568EF" w:rsidRPr="006F430E" w:rsidRDefault="0024257C" w:rsidP="0024257C">
      <w:pPr>
        <w:pStyle w:val="ManualConsidrant"/>
        <w:rPr>
          <w:noProof/>
        </w:rPr>
      </w:pPr>
      <w:r w:rsidRPr="0024257C">
        <w:t>(13)</w:t>
      </w:r>
      <w:r w:rsidRPr="0024257C">
        <w:tab/>
      </w:r>
      <w:r w:rsidR="009568EF" w:rsidRPr="006F430E">
        <w:rPr>
          <w:noProof/>
        </w:rPr>
        <w:t xml:space="preserve">Le montant de l’assistance macrofinancière de l’Union a été déterminé sur la base d’une évaluation quantitative complète des besoins de financement externe résiduels de la Moldavie et tient compte de sa capacité à se financer par ses propres ressources, en particulier grâce aux réserves internationales qu’elle détient. L’assistance macrofinancière de l’Union devrait venir en complément des programmes du FMI et de la Banque mondiale et des ressources libérées par ces institutions. Le montant de l’assistance tient également compte des contributions financières attendues des bailleurs de fonds multilatéraux et de la nécessité d’assurer un partage équitable de la charge entre l’Union et les autres donateurs, ainsi que du déploiement préexistant d’autres instruments de financement externe de l’Union en Moldavie et de la valeur ajoutée de la contribution globale de l’Union.  </w:t>
      </w:r>
    </w:p>
    <w:p w14:paraId="613E6557" w14:textId="018C1F21" w:rsidR="009568EF" w:rsidRPr="006F430E" w:rsidRDefault="0024257C" w:rsidP="0024257C">
      <w:pPr>
        <w:pStyle w:val="ManualConsidrant"/>
        <w:rPr>
          <w:noProof/>
        </w:rPr>
      </w:pPr>
      <w:r w:rsidRPr="0024257C">
        <w:t>(14)</w:t>
      </w:r>
      <w:r w:rsidRPr="0024257C">
        <w:tab/>
      </w:r>
      <w:r w:rsidR="009568EF" w:rsidRPr="006F430E">
        <w:rPr>
          <w:noProof/>
        </w:rPr>
        <w:t>Compte tenu des besoins de financement externe résiduels de la Moldavie, de son niveau de développement économique, mesuré par le revenu par habitant et les taux de pauvreté, de sa capacité à se financer par ses propres moyens, en particulier grâce aux réserves internationales qu’elle détient, et de l’évaluation de sa capacité de remboursement sur la base d’une analyse de soutenabilité de la dette, une partie de l’assistance devrait être fournie sous la forme de subventions.</w:t>
      </w:r>
    </w:p>
    <w:p w14:paraId="31C2A681" w14:textId="7598CA0C" w:rsidR="009568EF" w:rsidRPr="006F430E" w:rsidRDefault="0024257C" w:rsidP="0024257C">
      <w:pPr>
        <w:pStyle w:val="ManualConsidrant"/>
        <w:rPr>
          <w:noProof/>
        </w:rPr>
      </w:pPr>
      <w:r w:rsidRPr="0024257C">
        <w:t>(15)</w:t>
      </w:r>
      <w:r w:rsidRPr="0024257C">
        <w:tab/>
      </w:r>
      <w:r w:rsidR="009568EF" w:rsidRPr="006F430E">
        <w:rPr>
          <w:noProof/>
        </w:rPr>
        <w:t>La Commission devrait veiller à ce que l’assistance macrofinancière de l’Union soit cohérente, juridiquement et sur le fond, avec les grands principes et objectifs qui la guident et les principales mesures qu’elle prend dans les différents domaines de son action extérieure, ainsi qu’avec ses autres politiques concernées.</w:t>
      </w:r>
    </w:p>
    <w:p w14:paraId="137A6BEC" w14:textId="44DD3721" w:rsidR="009568EF" w:rsidRPr="006F430E" w:rsidRDefault="0024257C" w:rsidP="0024257C">
      <w:pPr>
        <w:pStyle w:val="ManualConsidrant"/>
        <w:rPr>
          <w:noProof/>
        </w:rPr>
      </w:pPr>
      <w:r w:rsidRPr="0024257C">
        <w:t>(16)</w:t>
      </w:r>
      <w:r w:rsidRPr="0024257C">
        <w:tab/>
      </w:r>
      <w:r w:rsidR="009568EF" w:rsidRPr="006F430E">
        <w:rPr>
          <w:noProof/>
        </w:rPr>
        <w:t>L’assistance macrofinancière de l’Union devrait étayer sa politique extérieure envers la Moldavie. Il convient que la Commission et le Service européen pour l’action extérieure collaborent étroitement durant toute l’opération d’assistance macrofinancière afin de coordonner la politique extérieure de l’Union et d’assurer sa cohérence.</w:t>
      </w:r>
    </w:p>
    <w:p w14:paraId="5A8AF408" w14:textId="41E337B7" w:rsidR="009568EF" w:rsidRPr="006F430E" w:rsidRDefault="0024257C" w:rsidP="0024257C">
      <w:pPr>
        <w:pStyle w:val="ManualConsidrant"/>
        <w:rPr>
          <w:noProof/>
        </w:rPr>
      </w:pPr>
      <w:r w:rsidRPr="0024257C">
        <w:t>(17)</w:t>
      </w:r>
      <w:r w:rsidRPr="0024257C">
        <w:tab/>
      </w:r>
      <w:r w:rsidR="009568EF" w:rsidRPr="006F430E">
        <w:rPr>
          <w:noProof/>
        </w:rPr>
        <w:t>L’assistance macrofinancière de l’Union devrait aider la Moldavie à tenir ses engagements envers les valeurs qu’elle partage avec l’Union, notamment la démocratie, l’état de droit, la bonne gouvernance, le respect des droits de l’homme, le développement durable et la réduction de la pauvreté, ainsi qu’envers les principes d’un commerce ouvert, fondé sur des règles et équitable.</w:t>
      </w:r>
    </w:p>
    <w:p w14:paraId="1FC0B2B2" w14:textId="26A5CE2C" w:rsidR="00431E62" w:rsidRPr="006F430E" w:rsidRDefault="0024257C" w:rsidP="0024257C">
      <w:pPr>
        <w:pStyle w:val="ManualConsidrant"/>
        <w:rPr>
          <w:noProof/>
        </w:rPr>
      </w:pPr>
      <w:r w:rsidRPr="0024257C">
        <w:t>(18)</w:t>
      </w:r>
      <w:r w:rsidRPr="0024257C">
        <w:tab/>
      </w:r>
      <w:r w:rsidR="00431E62" w:rsidRPr="006F430E">
        <w:rPr>
          <w:noProof/>
        </w:rPr>
        <w:t>L’octroi de l’assistance macrofinancière de l’Union devrait être subordonné à la condition préalable que la Moldavie respecte des mécanismes démocratiques effectifs – dont le pluralisme parlementaire – et l’état de droit et qu’elle garantisse le respect des droits de l’homme. En outre, l’assistance macrofinancière de l’Union devrait avoir pour objectifs spécifiques d’accroître l’efficacité, la transparence et la responsabilisation des systèmes de gestion des finances publiques de la Moldavie, de renforcer la gouvernance et la surveillance de son secteur financier et de promouvoir des réformes structurelles visant à soutenir une croissance durable et inclusive, la création d’emplois décents et l’assainissement budgétaire. Tant le respect de la condition préalable précitée que la réalisation de ces objectifs devraient faire l’objet d’un suivi régulier par la Commission et le Service européen pour l’action extérieure.</w:t>
      </w:r>
    </w:p>
    <w:p w14:paraId="3E941DB2" w14:textId="62A67365" w:rsidR="00431E62" w:rsidRPr="006F430E" w:rsidRDefault="0024257C" w:rsidP="0024257C">
      <w:pPr>
        <w:pStyle w:val="ManualConsidrant"/>
        <w:rPr>
          <w:noProof/>
        </w:rPr>
      </w:pPr>
      <w:r w:rsidRPr="0024257C">
        <w:t>(19)</w:t>
      </w:r>
      <w:r w:rsidRPr="0024257C">
        <w:tab/>
      </w:r>
      <w:r w:rsidR="00431E62" w:rsidRPr="006F430E">
        <w:rPr>
          <w:noProof/>
        </w:rPr>
        <w:t>Afin de protéger efficacement les intérêts financiers de l’Union liés à son assistance macrofinancière, la Moldavie devrait prendre des mesures appropriées de prévention et de lutte contre la fraude, la corruption et toute autre irrégularité liée à cette assistance. En outre, des dispositions devraient prévoir que la Commission effectue des vérifications et que la Cour des comptes réalise des audits.</w:t>
      </w:r>
    </w:p>
    <w:p w14:paraId="534416FF" w14:textId="197CC536" w:rsidR="00431E62" w:rsidRPr="006F430E" w:rsidRDefault="0024257C" w:rsidP="0024257C">
      <w:pPr>
        <w:pStyle w:val="ManualConsidrant"/>
        <w:rPr>
          <w:noProof/>
        </w:rPr>
      </w:pPr>
      <w:r w:rsidRPr="0024257C">
        <w:t>(20)</w:t>
      </w:r>
      <w:r w:rsidRPr="0024257C">
        <w:tab/>
      </w:r>
      <w:r w:rsidR="00431E62" w:rsidRPr="006F430E">
        <w:rPr>
          <w:noProof/>
        </w:rPr>
        <w:t xml:space="preserve">Le versement de l’assistance macrofinancière de l’Union est sans préjudice des pouvoirs du Parlement européen et du Conseil en tant qu’autorité budgétaire. </w:t>
      </w:r>
    </w:p>
    <w:p w14:paraId="76330C99" w14:textId="27B9AF09" w:rsidR="00431E62" w:rsidRPr="006F430E" w:rsidRDefault="0024257C" w:rsidP="0024257C">
      <w:pPr>
        <w:pStyle w:val="ManualConsidrant"/>
        <w:rPr>
          <w:noProof/>
        </w:rPr>
      </w:pPr>
      <w:r w:rsidRPr="0024257C">
        <w:t>(21)</w:t>
      </w:r>
      <w:r w:rsidRPr="0024257C">
        <w:tab/>
      </w:r>
      <w:r w:rsidR="00431E62" w:rsidRPr="006F430E">
        <w:rPr>
          <w:noProof/>
        </w:rPr>
        <w:t>Les montants d’assistance macrofinancière accordés sous la forme de subventions et les montants des provisions nécessaires pour l’assistance macrofinancière accordée sous la forme de prêts devraient être compatibles avec les crédits budgétaires inscrits dans le cadre financier pluriannuel.</w:t>
      </w:r>
    </w:p>
    <w:p w14:paraId="1F77533A" w14:textId="3F4A7D67" w:rsidR="00431E62" w:rsidRPr="006F430E" w:rsidRDefault="0024257C" w:rsidP="0024257C">
      <w:pPr>
        <w:pStyle w:val="ManualConsidrant"/>
        <w:rPr>
          <w:noProof/>
        </w:rPr>
      </w:pPr>
      <w:r w:rsidRPr="0024257C">
        <w:t>(22)</w:t>
      </w:r>
      <w:r w:rsidRPr="0024257C">
        <w:tab/>
      </w:r>
      <w:r w:rsidR="00431E62" w:rsidRPr="006F430E">
        <w:rPr>
          <w:noProof/>
        </w:rPr>
        <w:t>L’assistance macrofinancière de l’Union devrait être gérée par la Commission. Afin que le Parlement européen et le Conseil puissent suivre la mise en œuvre de la présente décision, la Commission devrait régulièrement les informer des développements liés à l’assistance et leur fournir les documents y afférents.</w:t>
      </w:r>
    </w:p>
    <w:p w14:paraId="3FC0A579" w14:textId="6790F66C" w:rsidR="00431E62" w:rsidRPr="006F430E" w:rsidRDefault="0024257C" w:rsidP="0024257C">
      <w:pPr>
        <w:pStyle w:val="ManualConsidrant"/>
        <w:rPr>
          <w:noProof/>
        </w:rPr>
      </w:pPr>
      <w:r w:rsidRPr="0024257C">
        <w:t>(23)</w:t>
      </w:r>
      <w:r w:rsidRPr="0024257C">
        <w:tab/>
      </w:r>
      <w:r w:rsidR="00431E62" w:rsidRPr="006F430E">
        <w:rPr>
          <w:noProof/>
        </w:rPr>
        <w:t>Afin d’assurer des conditions uniformes d’exécution de la présente décision, il convient de conférer des compétences d’exécution à la Commission. Ces compétences devraient être exercées conformément au règlement (UE) nº 182/2011 du Parlement européen et du Conseil</w:t>
      </w:r>
      <w:r w:rsidR="00431E62" w:rsidRPr="006F430E">
        <w:rPr>
          <w:rStyle w:val="FootnoteReference"/>
          <w:noProof/>
        </w:rPr>
        <w:footnoteReference w:id="3"/>
      </w:r>
      <w:r w:rsidR="00431E62" w:rsidRPr="006F430E">
        <w:rPr>
          <w:noProof/>
        </w:rPr>
        <w:t>.</w:t>
      </w:r>
    </w:p>
    <w:p w14:paraId="5C98DEC8" w14:textId="1CBF078A" w:rsidR="00431E62" w:rsidRPr="006F430E" w:rsidRDefault="0024257C" w:rsidP="0024257C">
      <w:pPr>
        <w:pStyle w:val="ManualConsidrant"/>
        <w:rPr>
          <w:noProof/>
        </w:rPr>
      </w:pPr>
      <w:r w:rsidRPr="0024257C">
        <w:t>(24)</w:t>
      </w:r>
      <w:r w:rsidRPr="0024257C">
        <w:tab/>
      </w:r>
      <w:r w:rsidR="00431E62" w:rsidRPr="006F430E">
        <w:rPr>
          <w:noProof/>
        </w:rPr>
        <w:t>L’assistance macrofinancière de l’Union devrait être subordonnée à des conditions de politique économique inscrites dans un protocole d’accord. Pour garantir des conditions de mise en œuvre uniformes et pour des raisons d’efficacité, la Commission devrait être habilitée à négocier ces conditions avec les autorités moldaves sous la supervision du comité composé des représentants des États membres, conformément au règlement (UE) nº 182/2011. En vertu de ce règlement, il convient, en règle générale, d’appliquer la procédure consultative dans tous les cas autres que ceux qu’il prévoit. Compte tenu de l’impact potentiellement important d’une assistance d’un montant supérieur à 90 millions d’EUR, il convient d’appliquer la procédure d’examen aux opérations dépassant ce seuil. Étant donné le montant de l’assistance macrofinancière apportée par l’Union à la Moldavie, la procédure d’examen devrait être appliquée à l’adoption du protocole d’accord ainsi qu’à toute réduction, suspension ou annulation de l’assistance,</w:t>
      </w:r>
    </w:p>
    <w:p w14:paraId="6FA797F6" w14:textId="1FB42505" w:rsidR="001A3A0C" w:rsidRPr="006F430E" w:rsidRDefault="001A3A0C" w:rsidP="007654F8">
      <w:pPr>
        <w:pStyle w:val="Formuledadoption"/>
        <w:rPr>
          <w:noProof/>
        </w:rPr>
      </w:pPr>
      <w:r w:rsidRPr="006F430E">
        <w:rPr>
          <w:noProof/>
        </w:rPr>
        <w:t>ONT ADOPTÉ LA PRÉSENTE DÉCISION:</w:t>
      </w:r>
    </w:p>
    <w:p w14:paraId="0B7DBB7F" w14:textId="5C57101F" w:rsidR="001A3A0C" w:rsidRPr="006F430E" w:rsidRDefault="001A3A0C" w:rsidP="004F6AC7">
      <w:pPr>
        <w:pStyle w:val="Titrearticle"/>
        <w:rPr>
          <w:noProof/>
        </w:rPr>
      </w:pPr>
      <w:r w:rsidRPr="006F430E">
        <w:rPr>
          <w:noProof/>
        </w:rPr>
        <w:t>Article premier</w:t>
      </w:r>
    </w:p>
    <w:p w14:paraId="718EA5D0" w14:textId="47BC4565" w:rsidR="00431E62" w:rsidRPr="006F430E" w:rsidRDefault="0024257C" w:rsidP="0024257C">
      <w:pPr>
        <w:pStyle w:val="ManualNumPar1"/>
        <w:rPr>
          <w:noProof/>
        </w:rPr>
      </w:pPr>
      <w:r w:rsidRPr="0024257C">
        <w:t>1.</w:t>
      </w:r>
      <w:r w:rsidRPr="0024257C">
        <w:tab/>
      </w:r>
      <w:r w:rsidR="00431E62" w:rsidRPr="006F430E">
        <w:rPr>
          <w:noProof/>
        </w:rPr>
        <w:t xml:space="preserve">L’Union met à la disposition de la Moldavie une assistance macrofinancière (ci-après dénommée l’«assistance macrofinancière de l’Union») d’un montant maximal de 150 000 000 EUR en vue de faciliter la stabilisation de son économie et l’exécution d’un important programme de réformes. Sur ce montant maximal, 120 000 000 EUR au maximum sont versés sous forme de prêts, et 30 000 000 EUR au maximum sous forme de subventions. Le versement de l’assistance macrofinancière de l’Union est subordonné à l’approbation, par le Parlement européen et le Conseil, du budget de l’Union pour l’exercice concerné. Cette assistance contribue à couvrir les besoins de financement de la balance des paiements de la Moldavie, tels que chiffrés dans le programme du FMI. </w:t>
      </w:r>
    </w:p>
    <w:p w14:paraId="087C22FD" w14:textId="4149CFF8" w:rsidR="00431E62" w:rsidRPr="006F430E" w:rsidRDefault="0024257C" w:rsidP="0024257C">
      <w:pPr>
        <w:pStyle w:val="ManualNumPar1"/>
        <w:rPr>
          <w:noProof/>
        </w:rPr>
      </w:pPr>
      <w:r w:rsidRPr="0024257C">
        <w:t>2.</w:t>
      </w:r>
      <w:r w:rsidRPr="0024257C">
        <w:tab/>
      </w:r>
      <w:r w:rsidR="00431E62" w:rsidRPr="006F430E">
        <w:rPr>
          <w:noProof/>
        </w:rPr>
        <w:t>Pour financer le volet «prêts» de l’assistance macrofinancière de l’Union, la Commission est habilitée, au nom de l’Union, à emprunter les fonds nécessaires sur les marchés des capitaux ou auprès d’établissements financiers et à les prêter à la Moldavie. Ces prêts ont une durée moyenne maximale de 15 ans.</w:t>
      </w:r>
    </w:p>
    <w:p w14:paraId="1DCEEA93" w14:textId="3A4D4481" w:rsidR="007654F8" w:rsidRPr="006F430E" w:rsidRDefault="0024257C" w:rsidP="0024257C">
      <w:pPr>
        <w:pStyle w:val="ManualNumPar1"/>
        <w:rPr>
          <w:noProof/>
        </w:rPr>
      </w:pPr>
      <w:r w:rsidRPr="0024257C">
        <w:t>3.</w:t>
      </w:r>
      <w:r w:rsidRPr="0024257C">
        <w:tab/>
      </w:r>
      <w:r w:rsidR="00431E62" w:rsidRPr="006F430E">
        <w:rPr>
          <w:noProof/>
        </w:rPr>
        <w:t>La Commission gère le décaissement de l’assistance macrofinancière de l’Union, dans le respect des accords ou conventions conclus entre le Fonds monétaire international (FMI) et la Moldavie, ainsi que des principes et objectifs fondamentaux de la réforme économique énoncés dans l’accord d’association entre l’Union et la Moldavie, y compris l’accord de libre-échange approfondi et complet, conclu dans le cadre de la politique européenne de voisinage.</w:t>
      </w:r>
    </w:p>
    <w:p w14:paraId="2B99EB6F" w14:textId="6FEB1F18" w:rsidR="00431E62" w:rsidRPr="006F430E" w:rsidRDefault="00431E62" w:rsidP="007654F8">
      <w:pPr>
        <w:pStyle w:val="Text1"/>
        <w:rPr>
          <w:noProof/>
        </w:rPr>
      </w:pPr>
      <w:r w:rsidRPr="006F430E">
        <w:rPr>
          <w:noProof/>
        </w:rPr>
        <w:t>La Commission informe régulièrement le Parlement européen et le Conseil des développements liés à l’assistance macrofinancière de l’Union, y compris des versements effectués, et elle communique en temps voulu à ces institutions les documents y afférents.</w:t>
      </w:r>
    </w:p>
    <w:p w14:paraId="4AE9C00A" w14:textId="040B2313" w:rsidR="00431E62" w:rsidRPr="006F430E" w:rsidRDefault="0024257C" w:rsidP="0024257C">
      <w:pPr>
        <w:pStyle w:val="ManualNumPar1"/>
        <w:rPr>
          <w:noProof/>
        </w:rPr>
      </w:pPr>
      <w:r w:rsidRPr="0024257C">
        <w:t>4.</w:t>
      </w:r>
      <w:r w:rsidRPr="0024257C">
        <w:tab/>
      </w:r>
      <w:r w:rsidR="00431E62" w:rsidRPr="006F430E">
        <w:rPr>
          <w:noProof/>
        </w:rPr>
        <w:t>L’assistance macrofinancière</w:t>
      </w:r>
      <w:r w:rsidR="00431E62" w:rsidRPr="006F430E">
        <w:rPr>
          <w:b/>
          <w:i/>
          <w:noProof/>
        </w:rPr>
        <w:t xml:space="preserve"> </w:t>
      </w:r>
      <w:r w:rsidR="00431E62" w:rsidRPr="006F430E">
        <w:rPr>
          <w:noProof/>
        </w:rPr>
        <w:t>de l’Union est mise à disposition pour une durée de deux ans et demi à compter du jour suivant l’entrée en vigueur du protocole d’accord visé à l’article 3, paragraphe 1.</w:t>
      </w:r>
    </w:p>
    <w:p w14:paraId="04791AC0" w14:textId="06BFB839" w:rsidR="00431E62" w:rsidRPr="006F430E" w:rsidRDefault="0024257C" w:rsidP="0024257C">
      <w:pPr>
        <w:pStyle w:val="ManualNumPar1"/>
        <w:rPr>
          <w:noProof/>
        </w:rPr>
      </w:pPr>
      <w:r w:rsidRPr="0024257C">
        <w:t>5.</w:t>
      </w:r>
      <w:r w:rsidRPr="0024257C">
        <w:tab/>
      </w:r>
      <w:r w:rsidR="00431E62" w:rsidRPr="006F430E">
        <w:rPr>
          <w:noProof/>
        </w:rPr>
        <w:t>Si, au cours de la période de versement de l’assistance macrofinancière de l’Union, les besoins de financement de la Moldavie diminuent de manière importante par rapport aux projections initiales, la Commission, statuant conformément à la procédure d’examen visée à l’article 7, paragraphe 2, réduit le montant de l’assistance, ou suspend ou supprime cette dernière.</w:t>
      </w:r>
    </w:p>
    <w:p w14:paraId="3503E66E" w14:textId="77777777" w:rsidR="001A3A0C" w:rsidRPr="006F430E" w:rsidRDefault="001A3A0C" w:rsidP="004F6AC7">
      <w:pPr>
        <w:pStyle w:val="Titrearticle"/>
        <w:rPr>
          <w:noProof/>
        </w:rPr>
      </w:pPr>
      <w:r w:rsidRPr="006F430E">
        <w:rPr>
          <w:noProof/>
        </w:rPr>
        <w:t>Article 2</w:t>
      </w:r>
    </w:p>
    <w:p w14:paraId="71ABEA04" w14:textId="7B730625" w:rsidR="00CD0E4F" w:rsidRPr="006F430E" w:rsidRDefault="0024257C" w:rsidP="0024257C">
      <w:pPr>
        <w:pStyle w:val="ManualNumPar1"/>
        <w:rPr>
          <w:noProof/>
        </w:rPr>
      </w:pPr>
      <w:r w:rsidRPr="0024257C">
        <w:t>1.</w:t>
      </w:r>
      <w:r w:rsidRPr="0024257C">
        <w:tab/>
      </w:r>
      <w:r w:rsidR="00CD0E4F" w:rsidRPr="006F430E">
        <w:rPr>
          <w:noProof/>
        </w:rPr>
        <w:t>L’octroi de l’assistance macrofinancière de l’Union est subordonné à la condition préalable que la Moldavie respecte les mécanismes démocratiques effectifs – notamment le pluralisme parlementaire – et l’état de droit et qu’elle garantisse le respect des droits de l’homme.</w:t>
      </w:r>
    </w:p>
    <w:p w14:paraId="6B3D9668" w14:textId="61364E9F" w:rsidR="00CD0E4F" w:rsidRPr="006F430E" w:rsidRDefault="0024257C" w:rsidP="0024257C">
      <w:pPr>
        <w:pStyle w:val="ManualNumPar1"/>
        <w:rPr>
          <w:noProof/>
        </w:rPr>
      </w:pPr>
      <w:r w:rsidRPr="0024257C">
        <w:t>2.</w:t>
      </w:r>
      <w:r w:rsidRPr="0024257C">
        <w:tab/>
      </w:r>
      <w:r w:rsidR="00CD0E4F" w:rsidRPr="006F430E">
        <w:rPr>
          <w:noProof/>
        </w:rPr>
        <w:t xml:space="preserve">La Commission et le Service européen pour l’action extérieure contrôlent le respect de cette condition préalable pendant toute la durée de l’assistance macrofinancière de l’Union. </w:t>
      </w:r>
    </w:p>
    <w:p w14:paraId="34C016D5" w14:textId="0FB300E7" w:rsidR="00CD0E4F" w:rsidRPr="006F430E" w:rsidRDefault="0024257C" w:rsidP="0024257C">
      <w:pPr>
        <w:pStyle w:val="ManualNumPar1"/>
        <w:rPr>
          <w:noProof/>
        </w:rPr>
      </w:pPr>
      <w:r w:rsidRPr="0024257C">
        <w:t>3.</w:t>
      </w:r>
      <w:r w:rsidRPr="0024257C">
        <w:tab/>
      </w:r>
      <w:r w:rsidR="00CD0E4F" w:rsidRPr="006F430E">
        <w:rPr>
          <w:noProof/>
        </w:rPr>
        <w:t>Les paragraphes 1 et 2 s’appliquent conformément à la décision 2010/427/UE du Conseil</w:t>
      </w:r>
      <w:r w:rsidR="00CD0E4F" w:rsidRPr="006F430E">
        <w:rPr>
          <w:rStyle w:val="FootnoteReference"/>
          <w:noProof/>
        </w:rPr>
        <w:footnoteReference w:id="4"/>
      </w:r>
      <w:r w:rsidR="00CD0E4F" w:rsidRPr="006F430E">
        <w:rPr>
          <w:noProof/>
        </w:rPr>
        <w:t>.</w:t>
      </w:r>
    </w:p>
    <w:p w14:paraId="4838B761" w14:textId="77777777" w:rsidR="001A3A0C" w:rsidRPr="006F430E" w:rsidRDefault="001A3A0C" w:rsidP="004F6AC7">
      <w:pPr>
        <w:pStyle w:val="Titrearticle"/>
        <w:rPr>
          <w:noProof/>
        </w:rPr>
      </w:pPr>
      <w:r w:rsidRPr="006F430E">
        <w:rPr>
          <w:noProof/>
        </w:rPr>
        <w:t>Article 3</w:t>
      </w:r>
    </w:p>
    <w:p w14:paraId="42DFE173" w14:textId="27B61792" w:rsidR="005845C7" w:rsidRPr="006F430E" w:rsidRDefault="0024257C" w:rsidP="0024257C">
      <w:pPr>
        <w:pStyle w:val="ManualNumPar1"/>
        <w:rPr>
          <w:noProof/>
        </w:rPr>
      </w:pPr>
      <w:r w:rsidRPr="0024257C">
        <w:t>1.</w:t>
      </w:r>
      <w:r w:rsidRPr="0024257C">
        <w:tab/>
      </w:r>
      <w:r w:rsidR="005845C7" w:rsidRPr="006F430E">
        <w:rPr>
          <w:noProof/>
        </w:rPr>
        <w:t>La Commission, conformément à la procédure d’examen visée à l’article 7, paragraphe 2, convient avec les autorités moldaves de conditions de politique économique et de conditions financières clairement définies, mettant l’accent sur des réformes structurelles et des finances publiques saines, auxquelles l’assistance macrofinancière de l’Union doit être subordonnée et qui doivent être énoncées dans un protocole d’accord (ci-après dénommé le «protocole d’accord») comportant un calendrier pour leur satisfaction. Les conditions de politique économique et les conditions financières énoncées dans le protocole d’accord sont cohérentes avec les accords ou conventions visés à l’article 1</w:t>
      </w:r>
      <w:r w:rsidR="005845C7" w:rsidRPr="006F430E">
        <w:rPr>
          <w:noProof/>
          <w:vertAlign w:val="superscript"/>
        </w:rPr>
        <w:t>er</w:t>
      </w:r>
      <w:r w:rsidR="005845C7" w:rsidRPr="006F430E">
        <w:rPr>
          <w:noProof/>
        </w:rPr>
        <w:t xml:space="preserve">, paragraphe 3, y compris les programmes d’ajustement macroéconomique et de réformes structurelles mis en œuvre par la Moldavie avec le soutien du FMI. </w:t>
      </w:r>
    </w:p>
    <w:p w14:paraId="21D8D11F" w14:textId="7A6FA266" w:rsidR="005845C7" w:rsidRPr="006F430E" w:rsidRDefault="0024257C" w:rsidP="0024257C">
      <w:pPr>
        <w:pStyle w:val="ManualNumPar1"/>
        <w:rPr>
          <w:noProof/>
        </w:rPr>
      </w:pPr>
      <w:r w:rsidRPr="0024257C">
        <w:t>2.</w:t>
      </w:r>
      <w:r w:rsidRPr="0024257C">
        <w:tab/>
      </w:r>
      <w:r w:rsidR="005845C7" w:rsidRPr="006F430E">
        <w:rPr>
          <w:noProof/>
        </w:rPr>
        <w:t>Les conditions visées au paragraphe 1 ont notamment pour but de renforcer l’efficacité, la transparence et la responsabilisation des systèmes de gestion des finances publiques de la Moldavie, y compris pour l’utilisation de l’assistance macrofinancière de l’Union. Lors de l’élaboration des mesures, les avancées réalisées en matière d’ouverture réciproque des marchés, le développement d’un commerce équitable et fondé sur des règles et d’autres priorités de la politique extérieure de l’Union sont aussi dûment pris en considération. La Commission suit régulièrement les progrès accomplis dans la réalisation de ces objectifs.</w:t>
      </w:r>
    </w:p>
    <w:p w14:paraId="15DB4BA9" w14:textId="128B05F1" w:rsidR="005845C7" w:rsidRPr="006F430E" w:rsidRDefault="0024257C" w:rsidP="0024257C">
      <w:pPr>
        <w:pStyle w:val="ManualNumPar1"/>
        <w:rPr>
          <w:noProof/>
        </w:rPr>
      </w:pPr>
      <w:r w:rsidRPr="0024257C">
        <w:t>3.</w:t>
      </w:r>
      <w:r w:rsidRPr="0024257C">
        <w:tab/>
      </w:r>
      <w:r w:rsidR="005845C7" w:rsidRPr="006F430E">
        <w:rPr>
          <w:noProof/>
        </w:rPr>
        <w:t xml:space="preserve">Les modalités financières détaillées de l’assistance macrofinancière de l’Union sont prévues dans un accord de subvention et un accord de prêt à conclure entre la Commission et la Moldavie. </w:t>
      </w:r>
    </w:p>
    <w:p w14:paraId="18F24B1E" w14:textId="4D781358" w:rsidR="005845C7" w:rsidRPr="006F430E" w:rsidRDefault="0024257C" w:rsidP="0024257C">
      <w:pPr>
        <w:pStyle w:val="ManualNumPar1"/>
        <w:rPr>
          <w:noProof/>
        </w:rPr>
      </w:pPr>
      <w:r w:rsidRPr="0024257C">
        <w:t>4.</w:t>
      </w:r>
      <w:r w:rsidRPr="0024257C">
        <w:tab/>
      </w:r>
      <w:r w:rsidR="005845C7" w:rsidRPr="006F430E">
        <w:rPr>
          <w:noProof/>
        </w:rPr>
        <w:t>La Commission vérifie périodiquement que les conditions visées à l’article 4, paragraphe 3, continuent d’être respectées, et notamment si les politiques économiques de la Moldavie sont conformes aux objectifs de l’assistance macrofinancière de l’Union. La Commission effectue cette vérification en étroite coordination avec le FMI et la Banque mondiale et, si nécessaire, avec le Parlement européen et le Conseil.</w:t>
      </w:r>
    </w:p>
    <w:p w14:paraId="223884A2" w14:textId="77777777" w:rsidR="005845C7" w:rsidRPr="006F430E" w:rsidRDefault="005845C7" w:rsidP="005845C7">
      <w:pPr>
        <w:rPr>
          <w:noProof/>
        </w:rPr>
      </w:pPr>
    </w:p>
    <w:p w14:paraId="6D45004F" w14:textId="77777777" w:rsidR="005845C7" w:rsidRPr="006F430E" w:rsidRDefault="005845C7" w:rsidP="005845C7">
      <w:pPr>
        <w:pStyle w:val="Titrearticle"/>
        <w:rPr>
          <w:noProof/>
        </w:rPr>
      </w:pPr>
      <w:r w:rsidRPr="006F430E">
        <w:rPr>
          <w:noProof/>
        </w:rPr>
        <w:t>Article 4</w:t>
      </w:r>
    </w:p>
    <w:p w14:paraId="0B29BF27" w14:textId="63B26275" w:rsidR="005845C7" w:rsidRPr="006F430E" w:rsidRDefault="0024257C" w:rsidP="0024257C">
      <w:pPr>
        <w:pStyle w:val="ManualNumPar1"/>
        <w:rPr>
          <w:noProof/>
        </w:rPr>
      </w:pPr>
      <w:r w:rsidRPr="0024257C">
        <w:t>1.</w:t>
      </w:r>
      <w:r w:rsidRPr="0024257C">
        <w:tab/>
      </w:r>
      <w:r w:rsidR="005845C7" w:rsidRPr="006F430E">
        <w:rPr>
          <w:noProof/>
        </w:rPr>
        <w:t xml:space="preserve">Sous réserve des conditions visées au paragraphe 3, la Commission met l’assistance macrofinancière de l’Union à disposition par tranches, comportant chacune un élément de prêt et un élément de subvention. Le montant de chaque tranche est fixé dans le protocole d’accord visé à l’article 3. </w:t>
      </w:r>
    </w:p>
    <w:p w14:paraId="5B96F6BC" w14:textId="5E61A98D" w:rsidR="005845C7" w:rsidRPr="006F430E" w:rsidRDefault="0024257C" w:rsidP="0024257C">
      <w:pPr>
        <w:pStyle w:val="ManualNumPar1"/>
        <w:rPr>
          <w:noProof/>
        </w:rPr>
      </w:pPr>
      <w:r w:rsidRPr="0024257C">
        <w:t>2.</w:t>
      </w:r>
      <w:r w:rsidRPr="0024257C">
        <w:tab/>
      </w:r>
      <w:r w:rsidR="005845C7" w:rsidRPr="006F430E">
        <w:rPr>
          <w:noProof/>
        </w:rPr>
        <w:t xml:space="preserve">Les montants de l’assistance macrofinancière de l’Union octroyés sous forme de prêts sont provisionnés, si nécessaire, conformément au règlement (UE) 2021/947 du Parlement européen et du Conseil. </w:t>
      </w:r>
    </w:p>
    <w:p w14:paraId="498473A5" w14:textId="7360A9DE" w:rsidR="004C2AB7" w:rsidRPr="006F430E" w:rsidRDefault="0024257C" w:rsidP="0024257C">
      <w:pPr>
        <w:pStyle w:val="ManualNumPar1"/>
        <w:rPr>
          <w:noProof/>
        </w:rPr>
      </w:pPr>
      <w:r w:rsidRPr="0024257C">
        <w:t>3.</w:t>
      </w:r>
      <w:r w:rsidRPr="0024257C">
        <w:tab/>
      </w:r>
      <w:r w:rsidR="004C2AB7" w:rsidRPr="006F430E">
        <w:rPr>
          <w:noProof/>
        </w:rPr>
        <w:t>La Commission décide du versement des tranches sous réserve du respect des conditions suivantes:</w:t>
      </w:r>
    </w:p>
    <w:p w14:paraId="7955699D" w14:textId="3E08D1AD" w:rsidR="004C2AB7" w:rsidRPr="006F430E" w:rsidRDefault="0024257C" w:rsidP="0024257C">
      <w:pPr>
        <w:pStyle w:val="Point0"/>
        <w:rPr>
          <w:noProof/>
        </w:rPr>
      </w:pPr>
      <w:r w:rsidRPr="0024257C">
        <w:t>(a)</w:t>
      </w:r>
      <w:r w:rsidRPr="0024257C">
        <w:tab/>
      </w:r>
      <w:r w:rsidR="004C2AB7" w:rsidRPr="006F430E">
        <w:rPr>
          <w:noProof/>
        </w:rPr>
        <w:t>la condition préalable prévue à l’article 2;</w:t>
      </w:r>
    </w:p>
    <w:p w14:paraId="5CC1A2B8" w14:textId="2F933945" w:rsidR="004C2AB7" w:rsidRPr="006F430E" w:rsidRDefault="0024257C" w:rsidP="0024257C">
      <w:pPr>
        <w:pStyle w:val="Point0"/>
        <w:rPr>
          <w:noProof/>
        </w:rPr>
      </w:pPr>
      <w:r w:rsidRPr="0024257C">
        <w:t>(b)</w:t>
      </w:r>
      <w:r w:rsidRPr="0024257C">
        <w:tab/>
      </w:r>
      <w:r w:rsidR="004C2AB7" w:rsidRPr="006F430E">
        <w:rPr>
          <w:noProof/>
        </w:rPr>
        <w:t xml:space="preserve">un état, continuellement satisfaisant, de mise en œuvre d’un programme de mesures fortes d’ajustement et de réforme structurelle, soutenu par un accord de crédit du FMI qui ne soit pas un accord de précaution; </w:t>
      </w:r>
    </w:p>
    <w:p w14:paraId="0B8C6243" w14:textId="6E1ED30B" w:rsidR="004C2AB7" w:rsidRPr="006F430E" w:rsidRDefault="0024257C" w:rsidP="0024257C">
      <w:pPr>
        <w:pStyle w:val="Point0"/>
        <w:rPr>
          <w:noProof/>
        </w:rPr>
      </w:pPr>
      <w:r w:rsidRPr="0024257C">
        <w:t>(c)</w:t>
      </w:r>
      <w:r w:rsidRPr="0024257C">
        <w:tab/>
      </w:r>
      <w:r w:rsidR="004C2AB7" w:rsidRPr="006F430E">
        <w:rPr>
          <w:noProof/>
        </w:rPr>
        <w:t>la réalisation satisfaisante des conditions de politique économique et des conditions financières fixées dans le protocole d’accord.</w:t>
      </w:r>
    </w:p>
    <w:p w14:paraId="23A249A8" w14:textId="78DC1161" w:rsidR="004C2AB7" w:rsidRPr="006F430E" w:rsidRDefault="004C2AB7" w:rsidP="007654F8">
      <w:pPr>
        <w:pStyle w:val="Text1"/>
        <w:rPr>
          <w:noProof/>
        </w:rPr>
      </w:pPr>
      <w:r w:rsidRPr="006F430E">
        <w:rPr>
          <w:noProof/>
        </w:rPr>
        <w:t xml:space="preserve">En principe, le versement de la deuxième tranche intervient au minimum trois mois après le versement de la première tranche. En principe, le versement de la troisième tranche intervient au minimum trois mois après le versement de la deuxième tranche. </w:t>
      </w:r>
    </w:p>
    <w:p w14:paraId="23F0770B" w14:textId="2A327E2A" w:rsidR="004C2AB7" w:rsidRPr="006F430E" w:rsidRDefault="0024257C" w:rsidP="0024257C">
      <w:pPr>
        <w:pStyle w:val="ManualNumPar1"/>
        <w:rPr>
          <w:noProof/>
        </w:rPr>
      </w:pPr>
      <w:r w:rsidRPr="0024257C">
        <w:t>4.</w:t>
      </w:r>
      <w:r w:rsidRPr="0024257C">
        <w:tab/>
      </w:r>
      <w:r w:rsidR="004C2AB7" w:rsidRPr="006F430E">
        <w:rPr>
          <w:noProof/>
        </w:rPr>
        <w:t xml:space="preserve">Lorsque les conditions prévues au paragraphe 3 ne sont pas remplies, la Commission suspend provisoirement ou annule le versement de l’assistance macrofinancière de l’Union. En pareil cas, elle informe le Parlement européen et le Conseil des motifs de cette suspension ou de cette annulation. </w:t>
      </w:r>
    </w:p>
    <w:p w14:paraId="5B139FA3" w14:textId="35196488" w:rsidR="004C2AB7" w:rsidRPr="006F430E" w:rsidRDefault="0024257C" w:rsidP="0024257C">
      <w:pPr>
        <w:pStyle w:val="ManualNumPar1"/>
        <w:rPr>
          <w:noProof/>
        </w:rPr>
      </w:pPr>
      <w:r w:rsidRPr="0024257C">
        <w:t>5.</w:t>
      </w:r>
      <w:r w:rsidRPr="0024257C">
        <w:tab/>
      </w:r>
      <w:r w:rsidR="004C2AB7" w:rsidRPr="006F430E">
        <w:rPr>
          <w:noProof/>
        </w:rPr>
        <w:t xml:space="preserve">L’assistance macrofinancière de l’Union est versée à la Banque nationale de Moldavie. Sous réserve des dispositions qui doivent être arrêtées dans le protocole d’accord, dont une confirmation des besoins de financement budgétaire résiduels, les fonds de l’Union peuvent être transférés au ministère des finances de la Moldavie en tant que bénéficiaire final. </w:t>
      </w:r>
    </w:p>
    <w:p w14:paraId="1AE0045D" w14:textId="77777777" w:rsidR="00DC49CE" w:rsidRPr="006F430E" w:rsidRDefault="00DC49CE" w:rsidP="00DC49CE">
      <w:pPr>
        <w:pStyle w:val="Titrearticle"/>
        <w:rPr>
          <w:noProof/>
        </w:rPr>
      </w:pPr>
      <w:r w:rsidRPr="006F430E">
        <w:rPr>
          <w:noProof/>
        </w:rPr>
        <w:t>Article 5</w:t>
      </w:r>
    </w:p>
    <w:p w14:paraId="1F141697" w14:textId="6B79A770" w:rsidR="00DC49CE" w:rsidRPr="006F430E" w:rsidRDefault="0024257C" w:rsidP="0024257C">
      <w:pPr>
        <w:pStyle w:val="ManualNumPar1"/>
        <w:rPr>
          <w:noProof/>
        </w:rPr>
      </w:pPr>
      <w:r w:rsidRPr="0024257C">
        <w:t>1.</w:t>
      </w:r>
      <w:r w:rsidRPr="0024257C">
        <w:tab/>
      </w:r>
      <w:r w:rsidR="00DC49CE" w:rsidRPr="006F430E">
        <w:rPr>
          <w:noProof/>
        </w:rPr>
        <w:t>Les opérations d’emprunt et de prêt liées à l’élément de prêt de l’assistance macrofinancière de l’Union sont effectuées en euros avec application de la même date de valeur et n’impliquent pas pour l’Union de transformation d’échéance, ni ne l’exposent à un quelconque risque de change ou de taux d’intérêt, ou à un quelconque autre risque commercial.</w:t>
      </w:r>
    </w:p>
    <w:p w14:paraId="60B3582D" w14:textId="583E5CC4" w:rsidR="00DC49CE" w:rsidRPr="006F430E" w:rsidRDefault="0024257C" w:rsidP="0024257C">
      <w:pPr>
        <w:pStyle w:val="ManualNumPar1"/>
        <w:rPr>
          <w:noProof/>
        </w:rPr>
      </w:pPr>
      <w:r w:rsidRPr="0024257C">
        <w:t>2.</w:t>
      </w:r>
      <w:r w:rsidRPr="0024257C">
        <w:tab/>
      </w:r>
      <w:r w:rsidR="00DC49CE" w:rsidRPr="006F430E">
        <w:rPr>
          <w:noProof/>
        </w:rPr>
        <w:t xml:space="preserve">Lorsque les circonstances le permettent, et si la Moldavie le demande, la Commission peut prendre les mesures nécessaires pour qu’une clause de remboursement anticipé soit incluse dans les conditions du prêt, avec une clause correspondante dans les conditions des opérations d’emprunt. </w:t>
      </w:r>
    </w:p>
    <w:p w14:paraId="5B4A8E76" w14:textId="72A5A881" w:rsidR="00DC49CE" w:rsidRPr="006F430E" w:rsidRDefault="0024257C" w:rsidP="0024257C">
      <w:pPr>
        <w:pStyle w:val="ManualNumPar1"/>
        <w:rPr>
          <w:noProof/>
        </w:rPr>
      </w:pPr>
      <w:r w:rsidRPr="0024257C">
        <w:t>3.</w:t>
      </w:r>
      <w:r w:rsidRPr="0024257C">
        <w:tab/>
      </w:r>
      <w:r w:rsidR="00DC49CE" w:rsidRPr="006F430E">
        <w:rPr>
          <w:noProof/>
        </w:rPr>
        <w:t>Lorsque les circonstances permettent une amélioration du taux d’intérêt du prêt, et si la Moldavie le demande, la Commission peut décider de refinancer tout ou partie de ses emprunts initiaux ou peut réaménager les conditions financières correspondantes. Ces opérations de refinancement ou de réaménagement sont réalisées conformément aux paragraphes 1 et 4 et n’ont pas pour effet de reporter l’échéance des emprunts concernés ni d’augmenter le montant du capital restant dû à la date de ces opérations.</w:t>
      </w:r>
    </w:p>
    <w:p w14:paraId="56483615" w14:textId="7AD258CD" w:rsidR="00DC49CE" w:rsidRPr="006F430E" w:rsidRDefault="0024257C" w:rsidP="0024257C">
      <w:pPr>
        <w:pStyle w:val="ManualNumPar1"/>
        <w:rPr>
          <w:noProof/>
        </w:rPr>
      </w:pPr>
      <w:r w:rsidRPr="0024257C">
        <w:t>4.</w:t>
      </w:r>
      <w:r w:rsidRPr="0024257C">
        <w:tab/>
      </w:r>
      <w:r w:rsidR="00DC49CE" w:rsidRPr="006F430E">
        <w:rPr>
          <w:noProof/>
        </w:rPr>
        <w:t>Tous les frais exposés par l’Union qui sont liés aux opérations d’emprunt et de prêt prévues par la présente décision sont à la charge de la Moldavie.</w:t>
      </w:r>
    </w:p>
    <w:p w14:paraId="2B4FAF14" w14:textId="52B4BD63" w:rsidR="005845C7" w:rsidRPr="006F430E" w:rsidRDefault="0024257C" w:rsidP="0024257C">
      <w:pPr>
        <w:pStyle w:val="ManualNumPar1"/>
        <w:rPr>
          <w:noProof/>
        </w:rPr>
      </w:pPr>
      <w:r w:rsidRPr="0024257C">
        <w:t>5.</w:t>
      </w:r>
      <w:r w:rsidRPr="0024257C">
        <w:tab/>
      </w:r>
      <w:r w:rsidR="00DC49CE" w:rsidRPr="006F430E">
        <w:rPr>
          <w:noProof/>
        </w:rPr>
        <w:t>La Commission informe le Parlement européen et le Conseil du déroulement des opérations visées aux paragraphes 2 et 3.</w:t>
      </w:r>
    </w:p>
    <w:p w14:paraId="2AFC57E0" w14:textId="77777777" w:rsidR="006C4BC7" w:rsidRPr="006F430E" w:rsidRDefault="006C4BC7" w:rsidP="006C4BC7">
      <w:pPr>
        <w:pStyle w:val="Titrearticle"/>
        <w:rPr>
          <w:noProof/>
        </w:rPr>
      </w:pPr>
      <w:r w:rsidRPr="006F430E">
        <w:rPr>
          <w:noProof/>
        </w:rPr>
        <w:t>Article 6</w:t>
      </w:r>
    </w:p>
    <w:p w14:paraId="2DC3FC66" w14:textId="0E0436BE" w:rsidR="00905972" w:rsidRPr="006F430E" w:rsidRDefault="0024257C" w:rsidP="0024257C">
      <w:pPr>
        <w:pStyle w:val="ManualNumPar1"/>
        <w:rPr>
          <w:noProof/>
        </w:rPr>
      </w:pPr>
      <w:r w:rsidRPr="0024257C">
        <w:t>1.</w:t>
      </w:r>
      <w:r w:rsidRPr="0024257C">
        <w:tab/>
      </w:r>
      <w:r w:rsidR="006C4BC7" w:rsidRPr="006F430E">
        <w:rPr>
          <w:noProof/>
        </w:rPr>
        <w:t>L’assistance macrofinancière de l’Union est mise en œuvre conformément au règlement (UE, Euratom) nº 1046/2018 du Parlement européen et du Conseil</w:t>
      </w:r>
      <w:r w:rsidR="006C4BC7" w:rsidRPr="006F430E">
        <w:rPr>
          <w:rStyle w:val="FootnoteReference"/>
          <w:noProof/>
        </w:rPr>
        <w:footnoteReference w:id="5"/>
      </w:r>
      <w:r w:rsidR="006C4BC7" w:rsidRPr="006F430E">
        <w:rPr>
          <w:noProof/>
        </w:rPr>
        <w:t xml:space="preserve">. </w:t>
      </w:r>
    </w:p>
    <w:p w14:paraId="52B6AE98" w14:textId="39445882" w:rsidR="006C4BC7" w:rsidRPr="006F430E" w:rsidRDefault="0024257C" w:rsidP="0024257C">
      <w:pPr>
        <w:pStyle w:val="ManualNumPar1"/>
        <w:rPr>
          <w:noProof/>
        </w:rPr>
      </w:pPr>
      <w:r w:rsidRPr="0024257C">
        <w:t>2.</w:t>
      </w:r>
      <w:r w:rsidRPr="0024257C">
        <w:tab/>
      </w:r>
      <w:r w:rsidR="006C4BC7" w:rsidRPr="006F430E">
        <w:rPr>
          <w:noProof/>
        </w:rPr>
        <w:t xml:space="preserve">La mise en œuvre de l’assistance macrofinancière de l’Union fait l’objet d’une gestion directe. </w:t>
      </w:r>
    </w:p>
    <w:p w14:paraId="4554D961" w14:textId="22C9F839" w:rsidR="006C4BC7" w:rsidRPr="006F430E" w:rsidRDefault="0024257C" w:rsidP="0024257C">
      <w:pPr>
        <w:pStyle w:val="ManualNumPar1"/>
        <w:rPr>
          <w:noProof/>
        </w:rPr>
      </w:pPr>
      <w:r w:rsidRPr="0024257C">
        <w:t>3.</w:t>
      </w:r>
      <w:r w:rsidRPr="0024257C">
        <w:tab/>
      </w:r>
      <w:r w:rsidR="006C4BC7" w:rsidRPr="006F430E">
        <w:rPr>
          <w:noProof/>
        </w:rPr>
        <w:t xml:space="preserve">L’accord de prêt et l’accord de subvention à conclure avec les autorités moldaves contiennent des dispositions: </w:t>
      </w:r>
    </w:p>
    <w:p w14:paraId="6324481C" w14:textId="0C689287" w:rsidR="006C4BC7" w:rsidRPr="006F430E" w:rsidRDefault="0024257C" w:rsidP="0024257C">
      <w:pPr>
        <w:pStyle w:val="Point0"/>
        <w:rPr>
          <w:noProof/>
        </w:rPr>
      </w:pPr>
      <w:r w:rsidRPr="0024257C">
        <w:t>(a)</w:t>
      </w:r>
      <w:r w:rsidRPr="0024257C">
        <w:tab/>
      </w:r>
      <w:r w:rsidR="006C4BC7" w:rsidRPr="006F430E">
        <w:rPr>
          <w:noProof/>
        </w:rPr>
        <w:t>garantissant que la Moldavie vérifie régulièrement que les fonds provenant du budget de l’Union sont utilisés correctement, prend des mesures propres à prévenir les irrégularités et les fraudes et, si nécessaire, engage des poursuites pour récupérer les fonds octroyés au titre de la présente décision qui auraient été détournés;</w:t>
      </w:r>
    </w:p>
    <w:p w14:paraId="5473DD2E" w14:textId="2639A480" w:rsidR="006C4BC7" w:rsidRPr="006F430E" w:rsidRDefault="0024257C" w:rsidP="0024257C">
      <w:pPr>
        <w:pStyle w:val="Point0"/>
        <w:rPr>
          <w:noProof/>
        </w:rPr>
      </w:pPr>
      <w:r w:rsidRPr="0024257C">
        <w:t>(b)</w:t>
      </w:r>
      <w:r w:rsidRPr="0024257C">
        <w:tab/>
      </w:r>
      <w:r w:rsidR="00760878" w:rsidRPr="006F430E">
        <w:rPr>
          <w:noProof/>
        </w:rPr>
        <w:t>garantissant la protection des intérêts financiers de l’Union, et en particulier prévoyant des mesures spécifiques pour prévenir et combattre la fraude, la corruption et toute autre irrégularité en relation avec l’assistance macrofinancière de l’Union, conformément au règlement (CE, Euratom) nº 2988/95 du Conseil</w:t>
      </w:r>
      <w:r w:rsidR="00760878" w:rsidRPr="006F430E">
        <w:rPr>
          <w:rStyle w:val="FootnoteReference"/>
          <w:noProof/>
        </w:rPr>
        <w:footnoteReference w:id="6"/>
      </w:r>
      <w:r w:rsidR="00760878" w:rsidRPr="006F430E">
        <w:rPr>
          <w:noProof/>
        </w:rPr>
        <w:t>, au règlement (Euratom, CE) nº 2185/96 du Conseil</w:t>
      </w:r>
      <w:r w:rsidR="00760878" w:rsidRPr="006F430E">
        <w:rPr>
          <w:rStyle w:val="FootnoteReference"/>
          <w:noProof/>
        </w:rPr>
        <w:footnoteReference w:id="7"/>
      </w:r>
      <w:r w:rsidR="00760878" w:rsidRPr="006F430E">
        <w:rPr>
          <w:noProof/>
        </w:rPr>
        <w:t>, au règlement (UE, Euratom) nº 883/2013 du Parlement européen et du Conseil</w:t>
      </w:r>
      <w:r w:rsidR="00760878" w:rsidRPr="006F430E">
        <w:rPr>
          <w:rStyle w:val="FootnoteReference"/>
          <w:noProof/>
        </w:rPr>
        <w:footnoteReference w:id="8"/>
      </w:r>
      <w:r w:rsidR="00760878" w:rsidRPr="006F430E">
        <w:rPr>
          <w:noProof/>
        </w:rPr>
        <w:t xml:space="preserve"> et, pour les États membres participant à une coopération renforcée concernant le Parquet européen, au règlement (UE) 2017/1939 du Conseil</w:t>
      </w:r>
      <w:r w:rsidR="00760878" w:rsidRPr="006F430E">
        <w:rPr>
          <w:rStyle w:val="FootnoteReference"/>
          <w:noProof/>
        </w:rPr>
        <w:footnoteReference w:id="9"/>
      </w:r>
      <w:r w:rsidR="00760878" w:rsidRPr="006F430E">
        <w:rPr>
          <w:noProof/>
        </w:rPr>
        <w:t xml:space="preserve">; notamment, l’Office européen de lutte antifraude (OLAF) est expressément autorisé, à cette fin, à mener des enquêtes, et en particulier à effectuer des contrôles et vérifications sur place, y compris par voie d’expertises technico-légales numériques et d’entretiens; autorisant expressément la Commission, ou ses représentants, à effectuer des contrôles, notamment des contrôles et des vérifications sur place; </w:t>
      </w:r>
    </w:p>
    <w:p w14:paraId="7BF8FF62" w14:textId="1574359E" w:rsidR="006C4BC7" w:rsidRPr="006F430E" w:rsidRDefault="0024257C" w:rsidP="0024257C">
      <w:pPr>
        <w:pStyle w:val="Point0"/>
        <w:rPr>
          <w:noProof/>
        </w:rPr>
      </w:pPr>
      <w:r w:rsidRPr="0024257C">
        <w:t>(c)</w:t>
      </w:r>
      <w:r w:rsidRPr="0024257C">
        <w:tab/>
      </w:r>
      <w:r w:rsidR="006C4BC7" w:rsidRPr="006F430E">
        <w:rPr>
          <w:noProof/>
        </w:rPr>
        <w:t>autorisant expressément la Commission et la Cour des comptes à effectuer des audits, pendant et après la période de mise à disposition de l’assistance macrofinancière de l’Union, y compris des audits sur pièces et sur place, tels que des évaluations opérationnelles;</w:t>
      </w:r>
    </w:p>
    <w:p w14:paraId="1A6A42FF" w14:textId="01C248EC" w:rsidR="006C4BC7" w:rsidRPr="006F430E" w:rsidRDefault="0024257C" w:rsidP="0024257C">
      <w:pPr>
        <w:pStyle w:val="Point0"/>
        <w:rPr>
          <w:noProof/>
        </w:rPr>
      </w:pPr>
      <w:r w:rsidRPr="0024257C">
        <w:t>(d)</w:t>
      </w:r>
      <w:r w:rsidRPr="0024257C">
        <w:tab/>
      </w:r>
      <w:r w:rsidR="006C4BC7" w:rsidRPr="006F430E">
        <w:rPr>
          <w:noProof/>
        </w:rPr>
        <w:t>garantissant que l’Union est habilitée à procéder au recouvrement anticipé du prêt et/ou au recouvrement intégral de la subvention s’il est établi que la Moldavie a participé, dans la gestion de l’assistance macrofinancière de l’Union, à un quelconque acte de fraude ou de corruption ou à toute autre activité illicite préjudiciable aux intérêts financiers de l’Union.</w:t>
      </w:r>
    </w:p>
    <w:p w14:paraId="7998F5CB" w14:textId="6A19FB15" w:rsidR="00E76603" w:rsidRPr="006F430E" w:rsidRDefault="0024257C" w:rsidP="0024257C">
      <w:pPr>
        <w:pStyle w:val="Point0"/>
        <w:rPr>
          <w:noProof/>
        </w:rPr>
      </w:pPr>
      <w:r w:rsidRPr="0024257C">
        <w:t>(e)</w:t>
      </w:r>
      <w:r w:rsidRPr="0024257C">
        <w:tab/>
      </w:r>
      <w:r w:rsidR="00E76603" w:rsidRPr="006F430E">
        <w:rPr>
          <w:noProof/>
        </w:rPr>
        <w:t>Garantissant que tous les frais exposés par l’Union qui ont trait à l’assistance macrofinancière sont à la charge de la Moldavie.</w:t>
      </w:r>
    </w:p>
    <w:p w14:paraId="7C1A5FAF" w14:textId="4472259E" w:rsidR="006C4BC7" w:rsidRPr="006F430E" w:rsidRDefault="0024257C" w:rsidP="0024257C">
      <w:pPr>
        <w:pStyle w:val="ManualNumPar1"/>
        <w:rPr>
          <w:noProof/>
        </w:rPr>
      </w:pPr>
      <w:r w:rsidRPr="0024257C">
        <w:t>4.</w:t>
      </w:r>
      <w:r w:rsidRPr="0024257C">
        <w:tab/>
      </w:r>
      <w:r w:rsidR="006C4BC7" w:rsidRPr="006F430E">
        <w:rPr>
          <w:noProof/>
        </w:rPr>
        <w:t>Avant la mise en œuvre de l’assistance macrofinancière de l’Union, la Commission apprécie, au moyen d’une évaluation opérationnelle, la fiabilité des dispositifs financiers de la Moldavie, ainsi que des procédures administratives et des mécanismes de contrôle interne et externe applicables à ladite assistance.</w:t>
      </w:r>
    </w:p>
    <w:p w14:paraId="1AD5AEFE" w14:textId="77777777" w:rsidR="00240C09" w:rsidRPr="006F430E" w:rsidRDefault="00240C09" w:rsidP="00240C09">
      <w:pPr>
        <w:pStyle w:val="Titrearticle"/>
        <w:rPr>
          <w:noProof/>
        </w:rPr>
      </w:pPr>
      <w:r w:rsidRPr="006F430E">
        <w:rPr>
          <w:noProof/>
        </w:rPr>
        <w:t>Article 7</w:t>
      </w:r>
    </w:p>
    <w:p w14:paraId="12A707D7" w14:textId="6058A9AC" w:rsidR="00240C09" w:rsidRPr="006F430E" w:rsidRDefault="0024257C" w:rsidP="0024257C">
      <w:pPr>
        <w:pStyle w:val="ManualNumPar1"/>
        <w:rPr>
          <w:noProof/>
        </w:rPr>
      </w:pPr>
      <w:r w:rsidRPr="0024257C">
        <w:t>1.</w:t>
      </w:r>
      <w:r w:rsidRPr="0024257C">
        <w:tab/>
      </w:r>
      <w:r w:rsidR="00240C09" w:rsidRPr="006F430E">
        <w:rPr>
          <w:noProof/>
        </w:rPr>
        <w:t>La Commission est assistée par un comité. Ce comité est un comité au sens du règlement (UE) nº 182/2011.</w:t>
      </w:r>
    </w:p>
    <w:p w14:paraId="2CE4741C" w14:textId="29A5FFF2" w:rsidR="00240C09" w:rsidRPr="006F430E" w:rsidRDefault="0024257C" w:rsidP="0024257C">
      <w:pPr>
        <w:pStyle w:val="ManualNumPar1"/>
        <w:rPr>
          <w:noProof/>
        </w:rPr>
      </w:pPr>
      <w:r w:rsidRPr="0024257C">
        <w:t>2.</w:t>
      </w:r>
      <w:r w:rsidRPr="0024257C">
        <w:tab/>
      </w:r>
      <w:r w:rsidR="00240C09" w:rsidRPr="006F430E">
        <w:rPr>
          <w:noProof/>
        </w:rPr>
        <w:t>Lorsqu’il est fait référence au présent paragraphe, l’article 5 du règlement (UE) nº 182/2011 s’applique.</w:t>
      </w:r>
    </w:p>
    <w:p w14:paraId="53472811" w14:textId="77777777" w:rsidR="00055341" w:rsidRPr="006F430E" w:rsidRDefault="00055341" w:rsidP="00055341">
      <w:pPr>
        <w:pStyle w:val="Titrearticle"/>
        <w:rPr>
          <w:noProof/>
        </w:rPr>
      </w:pPr>
      <w:r w:rsidRPr="006F430E">
        <w:rPr>
          <w:noProof/>
        </w:rPr>
        <w:t>Article 8</w:t>
      </w:r>
    </w:p>
    <w:p w14:paraId="6BD90278" w14:textId="746D8C23" w:rsidR="00055341" w:rsidRPr="006F430E" w:rsidRDefault="0024257C" w:rsidP="0024257C">
      <w:pPr>
        <w:pStyle w:val="ManualNumPar1"/>
        <w:rPr>
          <w:noProof/>
        </w:rPr>
      </w:pPr>
      <w:r w:rsidRPr="0024257C">
        <w:t>1.</w:t>
      </w:r>
      <w:r w:rsidRPr="0024257C">
        <w:tab/>
      </w:r>
      <w:r w:rsidR="00055341" w:rsidRPr="006F430E">
        <w:rPr>
          <w:noProof/>
        </w:rPr>
        <w:t>Le 30 juin de chaque année au plus tard, la Commission adresse au Parlement européen et au Conseil un rapport qui rend compte de la mise en œuvre de la présente décision au cours de l’année précédente et comporte une évaluation de cette mise en œuvre. Ce rapport:</w:t>
      </w:r>
    </w:p>
    <w:p w14:paraId="7F409DD1" w14:textId="3604E262" w:rsidR="00055341" w:rsidRPr="006F430E" w:rsidRDefault="0024257C" w:rsidP="0024257C">
      <w:pPr>
        <w:pStyle w:val="Point0"/>
        <w:rPr>
          <w:noProof/>
        </w:rPr>
      </w:pPr>
      <w:r w:rsidRPr="0024257C">
        <w:t>(a)</w:t>
      </w:r>
      <w:r w:rsidRPr="0024257C">
        <w:tab/>
      </w:r>
      <w:r w:rsidR="00055341" w:rsidRPr="006F430E">
        <w:rPr>
          <w:noProof/>
        </w:rPr>
        <w:t>examine l’état de mise en œuvre de l’assistance macrofinancière de l’Union;</w:t>
      </w:r>
    </w:p>
    <w:p w14:paraId="6CF34E3D" w14:textId="42D30F75" w:rsidR="00055341" w:rsidRPr="006F430E" w:rsidRDefault="0024257C" w:rsidP="0024257C">
      <w:pPr>
        <w:pStyle w:val="Point0"/>
        <w:rPr>
          <w:noProof/>
        </w:rPr>
      </w:pPr>
      <w:r w:rsidRPr="0024257C">
        <w:t>(b)</w:t>
      </w:r>
      <w:r w:rsidRPr="0024257C">
        <w:tab/>
      </w:r>
      <w:r w:rsidR="00055341" w:rsidRPr="006F430E">
        <w:rPr>
          <w:noProof/>
        </w:rPr>
        <w:t>évalue la situation et les perspectives économiques de la Moldavie, ainsi que les avancées réalisées dans la mise en œuvre des mesures visées à l’article 3, paragraphe 1;</w:t>
      </w:r>
    </w:p>
    <w:p w14:paraId="4D0D68FB" w14:textId="66360E64" w:rsidR="00055341" w:rsidRPr="006F430E" w:rsidRDefault="0024257C" w:rsidP="0024257C">
      <w:pPr>
        <w:pStyle w:val="Point0"/>
        <w:rPr>
          <w:noProof/>
        </w:rPr>
      </w:pPr>
      <w:r w:rsidRPr="0024257C">
        <w:t>(c)</w:t>
      </w:r>
      <w:r w:rsidRPr="0024257C">
        <w:tab/>
      </w:r>
      <w:r w:rsidR="00055341" w:rsidRPr="006F430E">
        <w:rPr>
          <w:noProof/>
        </w:rPr>
        <w:t>fait le lien entre les conditions de politique économique définies dans le protocole d’accord, les résultats économiques et budgétaires de la Moldavie à cette date et les décisions de la Commission de libérer les tranches de l’assistance macrofinancière de l’Union.</w:t>
      </w:r>
    </w:p>
    <w:p w14:paraId="1681318A" w14:textId="12BFE161" w:rsidR="008A5B26" w:rsidRPr="006F430E" w:rsidRDefault="0024257C" w:rsidP="0024257C">
      <w:pPr>
        <w:pStyle w:val="ManualNumPar1"/>
        <w:rPr>
          <w:noProof/>
        </w:rPr>
      </w:pPr>
      <w:r w:rsidRPr="0024257C">
        <w:t>2.</w:t>
      </w:r>
      <w:r w:rsidRPr="0024257C">
        <w:tab/>
      </w:r>
      <w:r w:rsidR="00055341" w:rsidRPr="006F430E">
        <w:rPr>
          <w:noProof/>
        </w:rPr>
        <w:t>Au plus tard deux ans après l’expiration de la période de mise à disposition prévue à l’article 1</w:t>
      </w:r>
      <w:r w:rsidR="00055341" w:rsidRPr="006F430E">
        <w:rPr>
          <w:noProof/>
          <w:vertAlign w:val="superscript"/>
        </w:rPr>
        <w:t>er</w:t>
      </w:r>
      <w:r w:rsidR="00055341" w:rsidRPr="006F430E">
        <w:rPr>
          <w:noProof/>
        </w:rPr>
        <w:t>, paragraphe 4, la Commission soumet au Parlement européen et au Conseil un rapport d’évaluation ex post, qui évalue les résultats et l’efficacité de l’assistance macrofinancière que l’Union a déjà octroyée et la mesure dans laquelle elle a atteint ses objectifs.</w:t>
      </w:r>
    </w:p>
    <w:p w14:paraId="75563221" w14:textId="77777777" w:rsidR="008A5B26" w:rsidRPr="006F430E" w:rsidRDefault="008A5B26" w:rsidP="00BC7D9E">
      <w:pPr>
        <w:pStyle w:val="Titrearticle"/>
        <w:rPr>
          <w:noProof/>
        </w:rPr>
      </w:pPr>
      <w:r w:rsidRPr="006F430E">
        <w:rPr>
          <w:noProof/>
        </w:rPr>
        <w:t>Article 9</w:t>
      </w:r>
    </w:p>
    <w:p w14:paraId="06CE0245" w14:textId="3CAE2AB7" w:rsidR="008A5B26" w:rsidRPr="006F430E" w:rsidRDefault="008A5B26" w:rsidP="00E50111">
      <w:pPr>
        <w:rPr>
          <w:noProof/>
        </w:rPr>
      </w:pPr>
      <w:r w:rsidRPr="006F430E">
        <w:rPr>
          <w:noProof/>
        </w:rPr>
        <w:t xml:space="preserve">La présente décision entre en vigueur le troisième jour suivant celui de sa publication au </w:t>
      </w:r>
      <w:r w:rsidRPr="006F430E">
        <w:rPr>
          <w:i/>
          <w:iCs/>
          <w:noProof/>
        </w:rPr>
        <w:t>Journal officiel de l’Union européenne</w:t>
      </w:r>
      <w:r w:rsidRPr="006F430E">
        <w:rPr>
          <w:noProof/>
        </w:rPr>
        <w:t xml:space="preserve">. </w:t>
      </w:r>
    </w:p>
    <w:p w14:paraId="2839C24C" w14:textId="0A0CD5B3" w:rsidR="008A5B26" w:rsidRPr="006F430E" w:rsidRDefault="0085166A" w:rsidP="00BC7D9E">
      <w:pPr>
        <w:pStyle w:val="Fait"/>
        <w:rPr>
          <w:noProof/>
        </w:rPr>
      </w:pPr>
      <w:r w:rsidRPr="0085166A">
        <w:t>Fait à Bruxelles, le</w:t>
      </w:r>
    </w:p>
    <w:p w14:paraId="7FBF1449" w14:textId="77777777" w:rsidR="008A5B26" w:rsidRPr="006F430E" w:rsidRDefault="008A5B26" w:rsidP="00BC7D9E">
      <w:pPr>
        <w:pStyle w:val="Institutionquisigne"/>
        <w:rPr>
          <w:noProof/>
        </w:rPr>
      </w:pPr>
      <w:r w:rsidRPr="006F430E">
        <w:rPr>
          <w:noProof/>
        </w:rPr>
        <w:t>Par le Parlement européen</w:t>
      </w:r>
      <w:r w:rsidRPr="006F430E">
        <w:rPr>
          <w:noProof/>
        </w:rPr>
        <w:tab/>
      </w:r>
      <w:r w:rsidRPr="006F430E">
        <w:rPr>
          <w:noProof/>
        </w:rPr>
        <w:tab/>
      </w:r>
      <w:r w:rsidRPr="006F430E">
        <w:rPr>
          <w:noProof/>
        </w:rPr>
        <w:tab/>
      </w:r>
      <w:r w:rsidRPr="006F430E">
        <w:rPr>
          <w:noProof/>
        </w:rPr>
        <w:tab/>
        <w:t>Par le Conseil</w:t>
      </w:r>
    </w:p>
    <w:p w14:paraId="607A443B" w14:textId="49290ABA" w:rsidR="008A5B26" w:rsidRPr="006F430E" w:rsidRDefault="008A5B26" w:rsidP="008A5B26">
      <w:pPr>
        <w:pStyle w:val="Personnequisigne"/>
        <w:rPr>
          <w:noProof/>
        </w:rPr>
      </w:pPr>
      <w:r w:rsidRPr="006F430E">
        <w:rPr>
          <w:noProof/>
        </w:rPr>
        <w:t>Le président</w:t>
      </w:r>
      <w:r w:rsidRPr="006F430E">
        <w:rPr>
          <w:noProof/>
        </w:rPr>
        <w:tab/>
      </w:r>
      <w:r w:rsidRPr="006F430E">
        <w:rPr>
          <w:noProof/>
        </w:rPr>
        <w:tab/>
      </w:r>
      <w:r w:rsidRPr="006F430E">
        <w:rPr>
          <w:noProof/>
        </w:rPr>
        <w:tab/>
      </w:r>
      <w:r w:rsidRPr="006F430E">
        <w:rPr>
          <w:noProof/>
        </w:rPr>
        <w:tab/>
        <w:t>Le président</w:t>
      </w:r>
    </w:p>
    <w:p w14:paraId="3B7D648F" w14:textId="7C7A3564" w:rsidR="006E1D4B" w:rsidRPr="006F430E" w:rsidRDefault="006E1D4B" w:rsidP="001A3A0C">
      <w:pPr>
        <w:rPr>
          <w:noProof/>
        </w:rPr>
        <w:sectPr w:rsidR="006E1D4B" w:rsidRPr="006F430E" w:rsidSect="005A33DF">
          <w:pgSz w:w="11907" w:h="16839"/>
          <w:pgMar w:top="1134" w:right="1417" w:bottom="1134" w:left="1417" w:header="709" w:footer="709" w:gutter="0"/>
          <w:cols w:space="708"/>
          <w:docGrid w:linePitch="360"/>
        </w:sectPr>
      </w:pPr>
    </w:p>
    <w:p w14:paraId="3D968E99" w14:textId="77777777" w:rsidR="001A3A0C" w:rsidRPr="006F430E" w:rsidRDefault="001A3A0C" w:rsidP="004F6AC7">
      <w:pPr>
        <w:pStyle w:val="Fichefinanciretitre"/>
        <w:keepNext/>
        <w:rPr>
          <w:noProof/>
        </w:rPr>
      </w:pPr>
      <w:r w:rsidRPr="006F430E">
        <w:rPr>
          <w:noProof/>
        </w:rPr>
        <w:t>FICHE FINANCIÈRE LÉGISLATIVE</w:t>
      </w:r>
    </w:p>
    <w:p w14:paraId="53E94884" w14:textId="77777777" w:rsidR="001A3A0C" w:rsidRPr="006F430E" w:rsidRDefault="001A3A0C" w:rsidP="004F6AC7">
      <w:pPr>
        <w:pStyle w:val="ManualHeading1"/>
        <w:rPr>
          <w:noProof/>
        </w:rPr>
      </w:pPr>
      <w:r w:rsidRPr="006F430E">
        <w:rPr>
          <w:noProof/>
        </w:rPr>
        <w:t>1.</w:t>
      </w:r>
      <w:r w:rsidRPr="006F430E">
        <w:rPr>
          <w:noProof/>
        </w:rPr>
        <w:tab/>
        <w:t>CADRE DE LA PROPOSITION/DE L’INITIATIVE</w:t>
      </w:r>
    </w:p>
    <w:p w14:paraId="378FCDFD" w14:textId="77777777" w:rsidR="001A3A0C" w:rsidRPr="006F430E" w:rsidRDefault="001A3A0C" w:rsidP="004F6AC7">
      <w:pPr>
        <w:pStyle w:val="ManualHeading2"/>
        <w:rPr>
          <w:noProof/>
        </w:rPr>
      </w:pPr>
      <w:r w:rsidRPr="006F430E">
        <w:rPr>
          <w:noProof/>
        </w:rPr>
        <w:tab/>
        <w:t>1.1.</w:t>
      </w:r>
      <w:r w:rsidRPr="006F430E">
        <w:rPr>
          <w:noProof/>
        </w:rPr>
        <w:tab/>
        <w:t>Dénomination de la proposition/de l’initiative</w:t>
      </w:r>
    </w:p>
    <w:p w14:paraId="22DE3B2E" w14:textId="77777777" w:rsidR="001A3A0C" w:rsidRPr="006F430E" w:rsidRDefault="001A3A0C" w:rsidP="004F6AC7">
      <w:pPr>
        <w:pStyle w:val="ManualHeading2"/>
        <w:rPr>
          <w:noProof/>
        </w:rPr>
      </w:pPr>
      <w:r w:rsidRPr="006F430E">
        <w:rPr>
          <w:noProof/>
        </w:rPr>
        <w:tab/>
        <w:t>1.2.</w:t>
      </w:r>
      <w:r w:rsidRPr="006F430E">
        <w:rPr>
          <w:noProof/>
        </w:rPr>
        <w:tab/>
        <w:t>Domaine(s) politique(s) concerné(s)</w:t>
      </w:r>
    </w:p>
    <w:p w14:paraId="42910623" w14:textId="77777777" w:rsidR="001A3A0C" w:rsidRPr="006F430E" w:rsidRDefault="001A3A0C" w:rsidP="004F6AC7">
      <w:pPr>
        <w:pStyle w:val="ManualHeading2"/>
        <w:rPr>
          <w:noProof/>
        </w:rPr>
      </w:pPr>
      <w:r w:rsidRPr="006F430E">
        <w:rPr>
          <w:noProof/>
        </w:rPr>
        <w:tab/>
        <w:t>1.3.</w:t>
      </w:r>
      <w:r w:rsidRPr="006F430E">
        <w:rPr>
          <w:noProof/>
        </w:rPr>
        <w:tab/>
        <w:t>La proposition/l’initiative est relative à:</w:t>
      </w:r>
    </w:p>
    <w:p w14:paraId="50A54FEB" w14:textId="77777777" w:rsidR="001A3A0C" w:rsidRPr="006F430E" w:rsidRDefault="001A3A0C" w:rsidP="004F6AC7">
      <w:pPr>
        <w:pStyle w:val="ManualHeading2"/>
        <w:rPr>
          <w:noProof/>
        </w:rPr>
      </w:pPr>
      <w:r w:rsidRPr="006F430E">
        <w:rPr>
          <w:noProof/>
        </w:rPr>
        <w:tab/>
        <w:t>1.4.</w:t>
      </w:r>
      <w:r w:rsidRPr="006F430E">
        <w:rPr>
          <w:noProof/>
        </w:rPr>
        <w:tab/>
        <w:t>Objectif(s)</w:t>
      </w:r>
    </w:p>
    <w:p w14:paraId="70F7D717" w14:textId="77777777" w:rsidR="001A3A0C" w:rsidRPr="006F430E" w:rsidRDefault="001A3A0C" w:rsidP="004F6AC7">
      <w:pPr>
        <w:pStyle w:val="ManualHeading3"/>
        <w:rPr>
          <w:noProof/>
        </w:rPr>
      </w:pPr>
      <w:r w:rsidRPr="006F430E">
        <w:rPr>
          <w:noProof/>
        </w:rPr>
        <w:tab/>
        <w:t>1.4.1.</w:t>
      </w:r>
      <w:r w:rsidRPr="006F430E">
        <w:rPr>
          <w:noProof/>
        </w:rPr>
        <w:tab/>
        <w:t>Objectif général / objectifs généraux</w:t>
      </w:r>
    </w:p>
    <w:p w14:paraId="6F037CB2" w14:textId="77777777" w:rsidR="001A3A0C" w:rsidRPr="006F430E" w:rsidRDefault="001A3A0C" w:rsidP="004F6AC7">
      <w:pPr>
        <w:pStyle w:val="ManualHeading3"/>
        <w:rPr>
          <w:noProof/>
        </w:rPr>
      </w:pPr>
      <w:r w:rsidRPr="006F430E">
        <w:rPr>
          <w:noProof/>
        </w:rPr>
        <w:tab/>
        <w:t>1.4.2.</w:t>
      </w:r>
      <w:r w:rsidRPr="006F430E">
        <w:rPr>
          <w:noProof/>
        </w:rPr>
        <w:tab/>
        <w:t>Objectif(s) spécifique(s)</w:t>
      </w:r>
    </w:p>
    <w:p w14:paraId="73D3B5DE" w14:textId="77777777" w:rsidR="001A3A0C" w:rsidRPr="006F430E" w:rsidRDefault="001A3A0C" w:rsidP="004F6AC7">
      <w:pPr>
        <w:pStyle w:val="ManualHeading3"/>
        <w:rPr>
          <w:noProof/>
        </w:rPr>
      </w:pPr>
      <w:r w:rsidRPr="006F430E">
        <w:rPr>
          <w:noProof/>
        </w:rPr>
        <w:tab/>
        <w:t>1.4.3.</w:t>
      </w:r>
      <w:r w:rsidRPr="006F430E">
        <w:rPr>
          <w:noProof/>
        </w:rPr>
        <w:tab/>
        <w:t>Résultat(s) et incidence(s) attendus</w:t>
      </w:r>
    </w:p>
    <w:p w14:paraId="1BF4F392" w14:textId="77777777" w:rsidR="001A3A0C" w:rsidRPr="006F430E" w:rsidRDefault="001A3A0C" w:rsidP="004F6AC7">
      <w:pPr>
        <w:pStyle w:val="ManualHeading3"/>
        <w:rPr>
          <w:noProof/>
        </w:rPr>
      </w:pPr>
      <w:r w:rsidRPr="006F430E">
        <w:rPr>
          <w:noProof/>
        </w:rPr>
        <w:tab/>
        <w:t>1.4.4.</w:t>
      </w:r>
      <w:r w:rsidRPr="006F430E">
        <w:rPr>
          <w:noProof/>
        </w:rPr>
        <w:tab/>
        <w:t>Indicateurs de performance</w:t>
      </w:r>
    </w:p>
    <w:p w14:paraId="1F30ED80" w14:textId="77777777" w:rsidR="001A3A0C" w:rsidRPr="006F430E" w:rsidRDefault="001A3A0C" w:rsidP="004F6AC7">
      <w:pPr>
        <w:pStyle w:val="ManualHeading2"/>
        <w:rPr>
          <w:noProof/>
        </w:rPr>
      </w:pPr>
      <w:r w:rsidRPr="006F430E">
        <w:rPr>
          <w:noProof/>
        </w:rPr>
        <w:tab/>
        <w:t>1.5.</w:t>
      </w:r>
      <w:r w:rsidRPr="006F430E">
        <w:rPr>
          <w:noProof/>
        </w:rPr>
        <w:tab/>
        <w:t>Justifications de la proposition/de l’initiative</w:t>
      </w:r>
    </w:p>
    <w:p w14:paraId="33140996" w14:textId="77777777" w:rsidR="001A3A0C" w:rsidRPr="006F430E" w:rsidRDefault="001A3A0C" w:rsidP="004F6AC7">
      <w:pPr>
        <w:pStyle w:val="ManualHeading3"/>
        <w:rPr>
          <w:noProof/>
        </w:rPr>
      </w:pPr>
      <w:r w:rsidRPr="006F430E">
        <w:rPr>
          <w:noProof/>
        </w:rPr>
        <w:tab/>
        <w:t>1.5.1.</w:t>
      </w:r>
      <w:r w:rsidRPr="006F430E">
        <w:rPr>
          <w:noProof/>
        </w:rPr>
        <w:tab/>
        <w:t>Besoin(s) à satisfaire à court ou à long terme, assorti(s) d’un calendrier détaillé pour la mise en œuvre de l’initiative</w:t>
      </w:r>
    </w:p>
    <w:p w14:paraId="22C0A147" w14:textId="77777777" w:rsidR="001A3A0C" w:rsidRPr="006F430E" w:rsidRDefault="001A3A0C" w:rsidP="004F6AC7">
      <w:pPr>
        <w:pStyle w:val="ManualHeading3"/>
        <w:rPr>
          <w:noProof/>
        </w:rPr>
      </w:pPr>
      <w:r w:rsidRPr="006F430E">
        <w:rPr>
          <w:noProof/>
        </w:rPr>
        <w:tab/>
        <w:t>1.5.2.</w:t>
      </w:r>
      <w:r w:rsidRPr="006F430E">
        <w:rPr>
          <w:noProof/>
        </w:rPr>
        <w:tab/>
        <w:t>Valeur ajoutée de l’intervention de l’Union (celle-ci peut résulter de différents facteurs, par exemple gains de coordination, sécurité juridique, efficacité accrue, complémentarités, etc.). Aux fins du présent point, on entend par «valeur ajoutée de l’intervention de l’Union» la valeur découlant de l’intervention de l’Union qui vient s’ajouter à la valeur qui, sans cela, aurait été générée par la seule action des États membres.</w:t>
      </w:r>
    </w:p>
    <w:p w14:paraId="52F7D5D7" w14:textId="77777777" w:rsidR="001A3A0C" w:rsidRPr="006F430E" w:rsidRDefault="001A3A0C" w:rsidP="004F6AC7">
      <w:pPr>
        <w:pStyle w:val="ManualHeading3"/>
        <w:rPr>
          <w:noProof/>
        </w:rPr>
      </w:pPr>
      <w:r w:rsidRPr="006F430E">
        <w:rPr>
          <w:noProof/>
        </w:rPr>
        <w:tab/>
        <w:t>1.5.3.</w:t>
      </w:r>
      <w:r w:rsidRPr="006F430E">
        <w:rPr>
          <w:noProof/>
        </w:rPr>
        <w:tab/>
        <w:t>Leçons tirées d’expériences similaires</w:t>
      </w:r>
    </w:p>
    <w:p w14:paraId="08D38A07" w14:textId="77777777" w:rsidR="001A3A0C" w:rsidRPr="006F430E" w:rsidRDefault="001A3A0C" w:rsidP="004F6AC7">
      <w:pPr>
        <w:pStyle w:val="ManualHeading3"/>
        <w:rPr>
          <w:noProof/>
        </w:rPr>
      </w:pPr>
      <w:r w:rsidRPr="006F430E">
        <w:rPr>
          <w:noProof/>
        </w:rPr>
        <w:tab/>
        <w:t>1.5.4.</w:t>
      </w:r>
      <w:r w:rsidRPr="006F430E">
        <w:rPr>
          <w:noProof/>
        </w:rPr>
        <w:tab/>
        <w:t>Compatibilité avec le cadre financier pluriannuel et synergies éventuelles avec d’autres instruments appropriés</w:t>
      </w:r>
    </w:p>
    <w:p w14:paraId="3662D7C1" w14:textId="77777777" w:rsidR="001A3A0C" w:rsidRPr="006F430E" w:rsidRDefault="001A3A0C" w:rsidP="004F6AC7">
      <w:pPr>
        <w:pStyle w:val="ManualHeading3"/>
        <w:rPr>
          <w:noProof/>
        </w:rPr>
      </w:pPr>
      <w:r w:rsidRPr="006F430E">
        <w:rPr>
          <w:noProof/>
        </w:rPr>
        <w:tab/>
        <w:t>1.5.5.</w:t>
      </w:r>
      <w:r w:rsidRPr="006F430E">
        <w:rPr>
          <w:noProof/>
        </w:rPr>
        <w:tab/>
        <w:t>Évaluation des différentes possibilités de financement disponibles, y compris des possibilités de redéploiement</w:t>
      </w:r>
    </w:p>
    <w:p w14:paraId="08FBDD36" w14:textId="77777777" w:rsidR="001A3A0C" w:rsidRPr="006F430E" w:rsidRDefault="001A3A0C" w:rsidP="004F6AC7">
      <w:pPr>
        <w:pStyle w:val="ManualHeading2"/>
        <w:rPr>
          <w:noProof/>
        </w:rPr>
      </w:pPr>
      <w:r w:rsidRPr="006F430E">
        <w:rPr>
          <w:noProof/>
        </w:rPr>
        <w:tab/>
        <w:t>1.6.</w:t>
      </w:r>
      <w:r w:rsidRPr="006F430E">
        <w:rPr>
          <w:noProof/>
        </w:rPr>
        <w:tab/>
        <w:t>Durée et incidence financière de la proposition/de l’initiative</w:t>
      </w:r>
    </w:p>
    <w:p w14:paraId="416208C7" w14:textId="77777777" w:rsidR="001A3A0C" w:rsidRPr="006F430E" w:rsidRDefault="001A3A0C" w:rsidP="004F6AC7">
      <w:pPr>
        <w:pStyle w:val="ManualHeading2"/>
        <w:rPr>
          <w:noProof/>
        </w:rPr>
      </w:pPr>
      <w:r w:rsidRPr="006F430E">
        <w:rPr>
          <w:noProof/>
        </w:rPr>
        <w:tab/>
        <w:t>1.7.</w:t>
      </w:r>
      <w:r w:rsidRPr="006F430E">
        <w:rPr>
          <w:noProof/>
        </w:rPr>
        <w:tab/>
        <w:t>Mode(s) de gestion prévu(s)</w:t>
      </w:r>
    </w:p>
    <w:p w14:paraId="68F7A1EB" w14:textId="77777777" w:rsidR="001A3A0C" w:rsidRPr="006F430E" w:rsidRDefault="001A3A0C" w:rsidP="004F6AC7">
      <w:pPr>
        <w:pStyle w:val="ManualHeading1"/>
        <w:rPr>
          <w:noProof/>
        </w:rPr>
      </w:pPr>
      <w:r w:rsidRPr="006F430E">
        <w:rPr>
          <w:noProof/>
        </w:rPr>
        <w:tab/>
        <w:t>2.</w:t>
      </w:r>
      <w:r w:rsidRPr="006F430E">
        <w:rPr>
          <w:noProof/>
        </w:rPr>
        <w:tab/>
        <w:t>MESURES DE GESTION</w:t>
      </w:r>
    </w:p>
    <w:p w14:paraId="7F0B9639" w14:textId="77777777" w:rsidR="001A3A0C" w:rsidRPr="006F430E" w:rsidRDefault="001A3A0C" w:rsidP="004F6AC7">
      <w:pPr>
        <w:pStyle w:val="ManualHeading2"/>
        <w:rPr>
          <w:noProof/>
        </w:rPr>
      </w:pPr>
      <w:r w:rsidRPr="006F430E">
        <w:rPr>
          <w:noProof/>
        </w:rPr>
        <w:tab/>
        <w:t>2.1.</w:t>
      </w:r>
      <w:r w:rsidRPr="006F430E">
        <w:rPr>
          <w:noProof/>
        </w:rPr>
        <w:tab/>
        <w:t>Dispositions en matière de suivi et de compte rendu</w:t>
      </w:r>
    </w:p>
    <w:p w14:paraId="7A8F1173" w14:textId="77777777" w:rsidR="001A3A0C" w:rsidRPr="006F430E" w:rsidRDefault="001A3A0C" w:rsidP="004F6AC7">
      <w:pPr>
        <w:pStyle w:val="ManualHeading2"/>
        <w:rPr>
          <w:noProof/>
        </w:rPr>
      </w:pPr>
      <w:r w:rsidRPr="006F430E">
        <w:rPr>
          <w:noProof/>
        </w:rPr>
        <w:tab/>
        <w:t>2.2.</w:t>
      </w:r>
      <w:r w:rsidRPr="006F430E">
        <w:rPr>
          <w:noProof/>
        </w:rPr>
        <w:tab/>
        <w:t>Système(s) de gestion et de contrôle</w:t>
      </w:r>
    </w:p>
    <w:p w14:paraId="5D9D55A6" w14:textId="77777777" w:rsidR="001A3A0C" w:rsidRPr="006F430E" w:rsidRDefault="001A3A0C" w:rsidP="004F6AC7">
      <w:pPr>
        <w:pStyle w:val="ManualHeading3"/>
        <w:rPr>
          <w:noProof/>
        </w:rPr>
      </w:pPr>
      <w:r w:rsidRPr="006F430E">
        <w:rPr>
          <w:noProof/>
        </w:rPr>
        <w:tab/>
        <w:t>2.2.1.</w:t>
      </w:r>
      <w:r w:rsidRPr="006F430E">
        <w:rPr>
          <w:noProof/>
        </w:rPr>
        <w:tab/>
        <w:t>Justification du (des) mode(s) de gestion, du (des) mécanisme(s) de mise en œuvre des financements, des modalités de paiement et de la stratégie de contrôle proposée</w:t>
      </w:r>
    </w:p>
    <w:p w14:paraId="77EB984B" w14:textId="77777777" w:rsidR="001A3A0C" w:rsidRPr="006F430E" w:rsidRDefault="001A3A0C" w:rsidP="004F6AC7">
      <w:pPr>
        <w:pStyle w:val="ManualHeading3"/>
        <w:rPr>
          <w:noProof/>
        </w:rPr>
      </w:pPr>
      <w:r w:rsidRPr="006F430E">
        <w:rPr>
          <w:noProof/>
        </w:rPr>
        <w:tab/>
        <w:t>2.2.2.</w:t>
      </w:r>
      <w:r w:rsidRPr="006F430E">
        <w:rPr>
          <w:noProof/>
        </w:rPr>
        <w:tab/>
        <w:t>Informations sur les risques recensés et sur le(s) système(s) de contrôle interne mis en place pour les atténuer</w:t>
      </w:r>
    </w:p>
    <w:p w14:paraId="243E7108" w14:textId="77777777" w:rsidR="001A3A0C" w:rsidRPr="006F430E" w:rsidRDefault="001A3A0C" w:rsidP="004F6AC7">
      <w:pPr>
        <w:pStyle w:val="ManualHeading3"/>
        <w:rPr>
          <w:noProof/>
        </w:rPr>
      </w:pPr>
      <w:r w:rsidRPr="006F430E">
        <w:rPr>
          <w:noProof/>
        </w:rPr>
        <w:tab/>
        <w:t>2.2.3.</w:t>
      </w:r>
      <w:r w:rsidRPr="006F430E">
        <w:rPr>
          <w:noProof/>
        </w:rPr>
        <w:tab/>
        <w:t>Estimation et justification du rapport coût/efficacité des contrôles (rapport «coûts du contrôle ÷ valeur des fonds gérés concernés»), et évaluation du niveau attendu de risque d’erreur (lors du paiement et lors de la clôture)</w:t>
      </w:r>
    </w:p>
    <w:p w14:paraId="0A82F615" w14:textId="77777777" w:rsidR="001A3A0C" w:rsidRPr="006F430E" w:rsidRDefault="001A3A0C" w:rsidP="004F6AC7">
      <w:pPr>
        <w:pStyle w:val="ManualHeading2"/>
        <w:rPr>
          <w:noProof/>
        </w:rPr>
      </w:pPr>
      <w:r w:rsidRPr="006F430E">
        <w:rPr>
          <w:noProof/>
        </w:rPr>
        <w:tab/>
        <w:t>2.3.</w:t>
      </w:r>
      <w:r w:rsidRPr="006F430E">
        <w:rPr>
          <w:noProof/>
        </w:rPr>
        <w:tab/>
        <w:t>Mesures de prévention des fraudes et irrégularités</w:t>
      </w:r>
    </w:p>
    <w:p w14:paraId="5D27439E" w14:textId="77777777" w:rsidR="001A3A0C" w:rsidRPr="006F430E" w:rsidRDefault="001A3A0C" w:rsidP="004F6AC7">
      <w:pPr>
        <w:pStyle w:val="ManualHeading1"/>
        <w:rPr>
          <w:noProof/>
        </w:rPr>
      </w:pPr>
      <w:r w:rsidRPr="006F430E">
        <w:rPr>
          <w:noProof/>
        </w:rPr>
        <w:t>3.</w:t>
      </w:r>
      <w:r w:rsidRPr="006F430E">
        <w:rPr>
          <w:noProof/>
        </w:rPr>
        <w:tab/>
        <w:t>INCIDENCE FINANCIÈRE ESTIMÉE DE LA PROPOSITION/DE L’INITIATIVE</w:t>
      </w:r>
      <w:r w:rsidRPr="006F430E">
        <w:rPr>
          <w:noProof/>
        </w:rPr>
        <w:tab/>
      </w:r>
    </w:p>
    <w:p w14:paraId="4659E2E2" w14:textId="77777777" w:rsidR="001A3A0C" w:rsidRPr="006F430E" w:rsidRDefault="001A3A0C" w:rsidP="004F6AC7">
      <w:pPr>
        <w:pStyle w:val="ManualHeading2"/>
        <w:rPr>
          <w:noProof/>
        </w:rPr>
      </w:pPr>
      <w:r w:rsidRPr="006F430E">
        <w:rPr>
          <w:noProof/>
        </w:rPr>
        <w:tab/>
        <w:t>3.1.</w:t>
      </w:r>
      <w:r w:rsidRPr="006F430E">
        <w:rPr>
          <w:noProof/>
        </w:rPr>
        <w:tab/>
        <w:t>Rubrique(s) du cadre financier pluriannuel et ligne(s) budgétaire(s) de dépenses concernée(s)</w:t>
      </w:r>
    </w:p>
    <w:p w14:paraId="0161D3D1" w14:textId="77777777" w:rsidR="001A3A0C" w:rsidRPr="006F430E" w:rsidRDefault="001A3A0C" w:rsidP="004F6AC7">
      <w:pPr>
        <w:pStyle w:val="ManualHeading2"/>
        <w:rPr>
          <w:noProof/>
        </w:rPr>
      </w:pPr>
      <w:r w:rsidRPr="006F430E">
        <w:rPr>
          <w:noProof/>
        </w:rPr>
        <w:tab/>
        <w:t>3.2.</w:t>
      </w:r>
      <w:r w:rsidRPr="006F430E">
        <w:rPr>
          <w:noProof/>
        </w:rPr>
        <w:tab/>
        <w:t>Incidence financière estimée de la proposition sur les crédits</w:t>
      </w:r>
    </w:p>
    <w:p w14:paraId="2107B8FE" w14:textId="77777777" w:rsidR="001A3A0C" w:rsidRPr="006F430E" w:rsidRDefault="001A3A0C" w:rsidP="004F6AC7">
      <w:pPr>
        <w:pStyle w:val="ManualHeading3"/>
        <w:rPr>
          <w:noProof/>
        </w:rPr>
      </w:pPr>
      <w:r w:rsidRPr="006F430E">
        <w:rPr>
          <w:noProof/>
        </w:rPr>
        <w:tab/>
        <w:t>3.2.1.</w:t>
      </w:r>
      <w:r w:rsidRPr="006F430E">
        <w:rPr>
          <w:noProof/>
        </w:rPr>
        <w:tab/>
        <w:t>Synthèse de l’incidence estimée sur les crédits opérationnels</w:t>
      </w:r>
    </w:p>
    <w:p w14:paraId="4050A75D" w14:textId="77777777" w:rsidR="001A3A0C" w:rsidRPr="006F430E" w:rsidRDefault="001A3A0C" w:rsidP="004F6AC7">
      <w:pPr>
        <w:pStyle w:val="ManualHeading3"/>
        <w:rPr>
          <w:noProof/>
        </w:rPr>
      </w:pPr>
      <w:r w:rsidRPr="006F430E">
        <w:rPr>
          <w:noProof/>
        </w:rPr>
        <w:tab/>
        <w:t>3.2.2.</w:t>
      </w:r>
      <w:r w:rsidRPr="006F430E">
        <w:rPr>
          <w:noProof/>
        </w:rPr>
        <w:tab/>
        <w:t>Estimation des réalisations financées avec des crédits opérationnels</w:t>
      </w:r>
    </w:p>
    <w:p w14:paraId="71317DE0" w14:textId="77777777" w:rsidR="001A3A0C" w:rsidRPr="006F430E" w:rsidRDefault="001A3A0C" w:rsidP="004F6AC7">
      <w:pPr>
        <w:pStyle w:val="ManualHeading3"/>
        <w:rPr>
          <w:noProof/>
        </w:rPr>
      </w:pPr>
      <w:r w:rsidRPr="006F430E">
        <w:rPr>
          <w:noProof/>
        </w:rPr>
        <w:tab/>
        <w:t>3.2.3.</w:t>
      </w:r>
      <w:r w:rsidRPr="006F430E">
        <w:rPr>
          <w:noProof/>
        </w:rPr>
        <w:tab/>
        <w:t>Synthèse de l’incidence estimée sur les crédits administratifs</w:t>
      </w:r>
    </w:p>
    <w:p w14:paraId="12B6EFDE" w14:textId="77777777" w:rsidR="001A3A0C" w:rsidRPr="006F430E" w:rsidRDefault="001A3A0C" w:rsidP="004F6AC7">
      <w:pPr>
        <w:pStyle w:val="ManualHeading3"/>
        <w:rPr>
          <w:noProof/>
        </w:rPr>
      </w:pPr>
      <w:r w:rsidRPr="006F430E">
        <w:rPr>
          <w:noProof/>
        </w:rPr>
        <w:tab/>
        <w:t>3.2.4.</w:t>
      </w:r>
      <w:r w:rsidRPr="006F430E">
        <w:rPr>
          <w:noProof/>
        </w:rPr>
        <w:tab/>
        <w:t>Compatibilité avec le cadre financier pluriannuel actuel</w:t>
      </w:r>
    </w:p>
    <w:p w14:paraId="0F1CC3EF" w14:textId="77777777" w:rsidR="001A3A0C" w:rsidRPr="006F430E" w:rsidRDefault="001A3A0C" w:rsidP="004F6AC7">
      <w:pPr>
        <w:pStyle w:val="ManualHeading3"/>
        <w:rPr>
          <w:noProof/>
        </w:rPr>
      </w:pPr>
      <w:r w:rsidRPr="006F430E">
        <w:rPr>
          <w:noProof/>
        </w:rPr>
        <w:tab/>
        <w:t>3.2.5.</w:t>
      </w:r>
      <w:r w:rsidRPr="006F430E">
        <w:rPr>
          <w:noProof/>
        </w:rPr>
        <w:tab/>
        <w:t>Participation de tiers au financement</w:t>
      </w:r>
    </w:p>
    <w:p w14:paraId="5D9568B6" w14:textId="77777777" w:rsidR="001A3A0C" w:rsidRPr="006F430E" w:rsidRDefault="001A3A0C" w:rsidP="004F6AC7">
      <w:pPr>
        <w:pStyle w:val="ManualHeading2"/>
        <w:rPr>
          <w:noProof/>
        </w:rPr>
      </w:pPr>
      <w:r w:rsidRPr="006F430E">
        <w:rPr>
          <w:noProof/>
        </w:rPr>
        <w:tab/>
        <w:t>3.3.</w:t>
      </w:r>
      <w:r w:rsidRPr="006F430E">
        <w:rPr>
          <w:noProof/>
        </w:rPr>
        <w:tab/>
        <w:t>Incidence estimée sur les recettes</w:t>
      </w:r>
    </w:p>
    <w:p w14:paraId="47DEF37F" w14:textId="77777777" w:rsidR="001A3A0C" w:rsidRPr="006F430E" w:rsidRDefault="001A3A0C" w:rsidP="004F6AC7">
      <w:pPr>
        <w:rPr>
          <w:noProof/>
        </w:rPr>
        <w:sectPr w:rsidR="001A3A0C" w:rsidRPr="006F430E" w:rsidSect="005A33DF">
          <w:pgSz w:w="11907" w:h="16840" w:code="9"/>
          <w:pgMar w:top="1134" w:right="1418" w:bottom="1134" w:left="1418" w:header="709" w:footer="709" w:gutter="0"/>
          <w:cols w:space="708"/>
          <w:docGrid w:linePitch="360"/>
        </w:sectPr>
      </w:pPr>
    </w:p>
    <w:p w14:paraId="4F301FC2" w14:textId="77777777" w:rsidR="001A3A0C" w:rsidRPr="006F430E" w:rsidRDefault="001A3A0C" w:rsidP="004F6AC7">
      <w:pPr>
        <w:jc w:val="center"/>
        <w:rPr>
          <w:noProof/>
        </w:rPr>
      </w:pPr>
      <w:r w:rsidRPr="006F430E">
        <w:rPr>
          <w:b/>
          <w:noProof/>
          <w:u w:val="single"/>
        </w:rPr>
        <w:t>FICHE FINANCIÈRE LÉGISLATIVE</w:t>
      </w:r>
    </w:p>
    <w:p w14:paraId="043F4067" w14:textId="0853D285" w:rsidR="001A3A0C" w:rsidRPr="006F430E" w:rsidRDefault="0024257C" w:rsidP="0024257C">
      <w:pPr>
        <w:pStyle w:val="ManualHeading1"/>
        <w:rPr>
          <w:noProof/>
        </w:rPr>
      </w:pPr>
      <w:bookmarkStart w:id="1" w:name="_Toc514938007"/>
      <w:bookmarkStart w:id="2" w:name="_Toc520485025"/>
      <w:r w:rsidRPr="0024257C">
        <w:t>1.</w:t>
      </w:r>
      <w:r w:rsidRPr="0024257C">
        <w:tab/>
      </w:r>
      <w:r w:rsidR="001A3A0C" w:rsidRPr="006F430E">
        <w:rPr>
          <w:noProof/>
        </w:rPr>
        <w:t>CADRE DE LA PROPOSITION/DE L’INITIATIVE</w:t>
      </w:r>
      <w:bookmarkEnd w:id="1"/>
      <w:bookmarkEnd w:id="2"/>
      <w:r w:rsidR="001A3A0C" w:rsidRPr="006F430E">
        <w:rPr>
          <w:noProof/>
        </w:rPr>
        <w:t xml:space="preserve"> </w:t>
      </w:r>
    </w:p>
    <w:p w14:paraId="09966A9D" w14:textId="61BC1A8F" w:rsidR="004A4E56" w:rsidRPr="006F430E" w:rsidRDefault="0024257C" w:rsidP="0024257C">
      <w:pPr>
        <w:pStyle w:val="ManualHeading2"/>
        <w:rPr>
          <w:noProof/>
        </w:rPr>
      </w:pPr>
      <w:bookmarkStart w:id="3" w:name="_Toc514938015"/>
      <w:bookmarkStart w:id="4" w:name="_Toc520485029"/>
      <w:r w:rsidRPr="0024257C">
        <w:t>1.1.</w:t>
      </w:r>
      <w:r w:rsidRPr="0024257C">
        <w:tab/>
      </w:r>
      <w:r w:rsidR="004A4E56" w:rsidRPr="006F430E">
        <w:rPr>
          <w:noProof/>
        </w:rPr>
        <w:t xml:space="preserve">Dénomination de la proposition/de l’initiative </w:t>
      </w:r>
    </w:p>
    <w:p w14:paraId="6A84CF8A" w14:textId="2E9907E0" w:rsidR="004A4E56" w:rsidRPr="006F430E" w:rsidRDefault="00643F09" w:rsidP="004A4E56">
      <w:pPr>
        <w:pStyle w:val="Text1"/>
        <w:pBdr>
          <w:top w:val="single" w:sz="4" w:space="1" w:color="auto"/>
          <w:left w:val="single" w:sz="4" w:space="4" w:color="auto"/>
          <w:bottom w:val="single" w:sz="4" w:space="1" w:color="auto"/>
          <w:right w:val="single" w:sz="4" w:space="4" w:color="auto"/>
        </w:pBdr>
        <w:rPr>
          <w:noProof/>
        </w:rPr>
      </w:pPr>
      <w:r w:rsidRPr="006F430E">
        <w:rPr>
          <w:noProof/>
          <w:color w:val="000000" w:themeColor="text1"/>
        </w:rPr>
        <w:t>Proposition de décision du Parlement européen et du Conseil accordant une assistance macrofinancière supplémentaire à la République de Moldavie</w:t>
      </w:r>
    </w:p>
    <w:p w14:paraId="041ADE6B" w14:textId="473BF1E8" w:rsidR="004A4E56" w:rsidRPr="006F430E" w:rsidRDefault="0024257C" w:rsidP="0024257C">
      <w:pPr>
        <w:pStyle w:val="ManualHeading2"/>
        <w:rPr>
          <w:noProof/>
        </w:rPr>
      </w:pPr>
      <w:r w:rsidRPr="0024257C">
        <w:t>1.2.</w:t>
      </w:r>
      <w:r w:rsidRPr="0024257C">
        <w:tab/>
      </w:r>
      <w:r w:rsidR="004A4E56" w:rsidRPr="006F430E">
        <w:rPr>
          <w:noProof/>
        </w:rPr>
        <w:tab/>
        <w:t>Domaine(s) politique(s) concerné(s) dans la structure ABM/ABB</w:t>
      </w:r>
      <w:r w:rsidR="004A4E56" w:rsidRPr="006F430E">
        <w:rPr>
          <w:rStyle w:val="FootnoteReference"/>
          <w:noProof/>
        </w:rPr>
        <w:footnoteReference w:id="10"/>
      </w:r>
      <w:r w:rsidR="004A4E56" w:rsidRPr="006F430E">
        <w:rPr>
          <w:noProof/>
        </w:rPr>
        <w:t xml:space="preserve"> </w:t>
      </w:r>
    </w:p>
    <w:p w14:paraId="15D356F6" w14:textId="77777777" w:rsidR="004A4E56" w:rsidRPr="006F430E" w:rsidRDefault="004A4E56" w:rsidP="004A4E56">
      <w:pPr>
        <w:pStyle w:val="Text1"/>
        <w:pBdr>
          <w:top w:val="single" w:sz="4" w:space="1" w:color="auto"/>
          <w:left w:val="single" w:sz="4" w:space="4" w:color="auto"/>
          <w:bottom w:val="single" w:sz="4" w:space="1" w:color="auto"/>
          <w:right w:val="single" w:sz="4" w:space="4" w:color="auto"/>
        </w:pBdr>
        <w:rPr>
          <w:noProof/>
        </w:rPr>
      </w:pPr>
      <w:r w:rsidRPr="006F430E">
        <w:rPr>
          <w:noProof/>
        </w:rPr>
        <w:t>Domaine politique:</w:t>
      </w:r>
      <w:r w:rsidRPr="006F430E">
        <w:rPr>
          <w:noProof/>
        </w:rPr>
        <w:tab/>
        <w:t>Affaires économiques et financières</w:t>
      </w:r>
    </w:p>
    <w:p w14:paraId="67BBD5A9" w14:textId="77777777" w:rsidR="004A4E56" w:rsidRPr="006F430E" w:rsidRDefault="004A4E56" w:rsidP="004A4E56">
      <w:pPr>
        <w:pStyle w:val="Text1"/>
        <w:pBdr>
          <w:top w:val="single" w:sz="4" w:space="1" w:color="auto"/>
          <w:left w:val="single" w:sz="4" w:space="4" w:color="auto"/>
          <w:bottom w:val="single" w:sz="4" w:space="1" w:color="auto"/>
          <w:right w:val="single" w:sz="4" w:space="4" w:color="auto"/>
        </w:pBdr>
        <w:rPr>
          <w:noProof/>
        </w:rPr>
      </w:pPr>
      <w:r w:rsidRPr="006F430E">
        <w:rPr>
          <w:noProof/>
        </w:rPr>
        <w:t>Activité:</w:t>
      </w:r>
      <w:r w:rsidRPr="006F430E">
        <w:rPr>
          <w:noProof/>
        </w:rPr>
        <w:tab/>
        <w:t>Affaires économiques et financières internationales</w:t>
      </w:r>
    </w:p>
    <w:p w14:paraId="2C009A60" w14:textId="38704CB8" w:rsidR="005866E1" w:rsidRPr="006F430E" w:rsidRDefault="0024257C" w:rsidP="0024257C">
      <w:pPr>
        <w:pStyle w:val="ManualHeading2"/>
        <w:rPr>
          <w:bCs/>
          <w:noProof/>
          <w:szCs w:val="24"/>
        </w:rPr>
      </w:pPr>
      <w:r w:rsidRPr="0024257C">
        <w:t>1.3.</w:t>
      </w:r>
      <w:r w:rsidRPr="0024257C">
        <w:tab/>
      </w:r>
      <w:r w:rsidR="005866E1" w:rsidRPr="006F430E">
        <w:rPr>
          <w:noProof/>
        </w:rPr>
        <w:t xml:space="preserve">Nature de la proposition/de l’initiative </w:t>
      </w:r>
    </w:p>
    <w:p w14:paraId="2E2F1085" w14:textId="77777777" w:rsidR="005866E1" w:rsidRPr="006F430E" w:rsidRDefault="005866E1" w:rsidP="005866E1">
      <w:pPr>
        <w:pStyle w:val="Text1"/>
        <w:rPr>
          <w:b/>
          <w:noProof/>
          <w:sz w:val="22"/>
        </w:rPr>
      </w:pPr>
      <w:r w:rsidRPr="006F430E">
        <w:rPr>
          <w:b/>
          <w:noProof/>
        </w:rPr>
        <w:t>X</w:t>
      </w:r>
      <w:r w:rsidRPr="006F430E">
        <w:rPr>
          <w:noProof/>
        </w:rPr>
        <w:t xml:space="preserve"> La proposition/l’initiative porte sur </w:t>
      </w:r>
      <w:r w:rsidRPr="006F430E">
        <w:rPr>
          <w:b/>
          <w:noProof/>
        </w:rPr>
        <w:t>une action nouvelle</w:t>
      </w:r>
      <w:r w:rsidRPr="006F430E">
        <w:rPr>
          <w:b/>
          <w:noProof/>
          <w:sz w:val="22"/>
        </w:rPr>
        <w:t xml:space="preserve"> </w:t>
      </w:r>
    </w:p>
    <w:p w14:paraId="5E998845" w14:textId="77777777" w:rsidR="005866E1" w:rsidRPr="006F430E" w:rsidRDefault="005866E1" w:rsidP="005866E1">
      <w:pPr>
        <w:pStyle w:val="Text1"/>
        <w:rPr>
          <w:noProof/>
        </w:rPr>
      </w:pPr>
      <w:r w:rsidRPr="006F430E">
        <w:rPr>
          <w:noProof/>
          <w:sz w:val="22"/>
        </w:rPr>
        <w:sym w:font="Wingdings" w:char="F0A8"/>
      </w:r>
      <w:r w:rsidRPr="006F430E">
        <w:rPr>
          <w:i/>
          <w:iCs/>
          <w:noProof/>
          <w:sz w:val="22"/>
        </w:rPr>
        <w:t xml:space="preserve"> </w:t>
      </w:r>
      <w:r w:rsidRPr="006F430E">
        <w:rPr>
          <w:noProof/>
        </w:rPr>
        <w:t xml:space="preserve">La proposition/l’initiative porte sur </w:t>
      </w:r>
      <w:r w:rsidRPr="006F430E">
        <w:rPr>
          <w:b/>
          <w:bCs/>
          <w:noProof/>
        </w:rPr>
        <w:t>une action nouvelle suite à un projet pilote/une action préparatoire</w:t>
      </w:r>
      <w:r w:rsidRPr="006F430E">
        <w:rPr>
          <w:rStyle w:val="FootnoteReference"/>
          <w:b/>
          <w:bCs/>
          <w:noProof/>
        </w:rPr>
        <w:footnoteReference w:id="11"/>
      </w:r>
      <w:r w:rsidRPr="006F430E">
        <w:rPr>
          <w:noProof/>
          <w:sz w:val="22"/>
        </w:rPr>
        <w:t xml:space="preserve"> </w:t>
      </w:r>
    </w:p>
    <w:p w14:paraId="430DA39F" w14:textId="56B3A155" w:rsidR="005866E1" w:rsidRPr="006F430E" w:rsidRDefault="00643F09" w:rsidP="005866E1">
      <w:pPr>
        <w:pStyle w:val="Text1"/>
        <w:rPr>
          <w:noProof/>
          <w:sz w:val="22"/>
        </w:rPr>
      </w:pPr>
      <w:r w:rsidRPr="006F430E">
        <w:rPr>
          <w:noProof/>
          <w:sz w:val="22"/>
        </w:rPr>
        <w:sym w:font="Wingdings" w:char="F0A8"/>
      </w:r>
      <w:r w:rsidRPr="006F430E">
        <w:rPr>
          <w:b/>
          <w:noProof/>
        </w:rPr>
        <w:t xml:space="preserve"> </w:t>
      </w:r>
      <w:r w:rsidRPr="006F430E">
        <w:rPr>
          <w:i/>
          <w:noProof/>
          <w:sz w:val="22"/>
        </w:rPr>
        <w:t xml:space="preserve"> </w:t>
      </w:r>
      <w:r w:rsidRPr="006F430E">
        <w:rPr>
          <w:noProof/>
        </w:rPr>
        <w:t xml:space="preserve">La proposition/l’initiative est relative à </w:t>
      </w:r>
      <w:r w:rsidRPr="006F430E">
        <w:rPr>
          <w:b/>
          <w:noProof/>
        </w:rPr>
        <w:t>la prolongation d’une action existante</w:t>
      </w:r>
      <w:r w:rsidRPr="006F430E">
        <w:rPr>
          <w:noProof/>
          <w:sz w:val="22"/>
        </w:rPr>
        <w:t xml:space="preserve"> </w:t>
      </w:r>
    </w:p>
    <w:p w14:paraId="7D4ADB75" w14:textId="77777777" w:rsidR="005866E1" w:rsidRPr="006F430E" w:rsidRDefault="005866E1" w:rsidP="005866E1">
      <w:pPr>
        <w:pStyle w:val="Text1"/>
        <w:rPr>
          <w:noProof/>
        </w:rPr>
      </w:pPr>
      <w:r w:rsidRPr="006F430E">
        <w:rPr>
          <w:noProof/>
          <w:sz w:val="22"/>
        </w:rPr>
        <w:sym w:font="Wingdings" w:char="F0A8"/>
      </w:r>
      <w:r w:rsidRPr="006F430E">
        <w:rPr>
          <w:i/>
          <w:noProof/>
          <w:sz w:val="22"/>
        </w:rPr>
        <w:t xml:space="preserve"> </w:t>
      </w:r>
      <w:r w:rsidRPr="006F430E">
        <w:rPr>
          <w:noProof/>
        </w:rPr>
        <w:t xml:space="preserve">La proposition/l’initiative porte sur </w:t>
      </w:r>
      <w:r w:rsidRPr="006F430E">
        <w:rPr>
          <w:b/>
          <w:noProof/>
        </w:rPr>
        <w:t>une action réorientée vers une nouvelle action</w:t>
      </w:r>
      <w:r w:rsidRPr="006F430E">
        <w:rPr>
          <w:noProof/>
        </w:rPr>
        <w:t xml:space="preserve"> </w:t>
      </w:r>
    </w:p>
    <w:p w14:paraId="3BD20965" w14:textId="78FDB75C" w:rsidR="001A3A0C" w:rsidRPr="006F430E" w:rsidRDefault="0024257C" w:rsidP="0024257C">
      <w:pPr>
        <w:pStyle w:val="ManualHeading2"/>
        <w:rPr>
          <w:bCs/>
          <w:noProof/>
          <w:szCs w:val="24"/>
        </w:rPr>
      </w:pPr>
      <w:r w:rsidRPr="0024257C">
        <w:t>1.4.</w:t>
      </w:r>
      <w:r w:rsidRPr="0024257C">
        <w:tab/>
      </w:r>
      <w:r w:rsidR="001A3A0C" w:rsidRPr="006F430E">
        <w:rPr>
          <w:noProof/>
        </w:rPr>
        <w:t>Objectif(s)</w:t>
      </w:r>
      <w:bookmarkEnd w:id="3"/>
      <w:bookmarkEnd w:id="4"/>
    </w:p>
    <w:p w14:paraId="03BF4522" w14:textId="4A13E9D0" w:rsidR="00030A7A" w:rsidRPr="006F430E" w:rsidRDefault="0024257C" w:rsidP="0024257C">
      <w:pPr>
        <w:pStyle w:val="ManualHeading3"/>
        <w:rPr>
          <w:noProof/>
        </w:rPr>
      </w:pPr>
      <w:bookmarkStart w:id="5" w:name="_Toc514938018"/>
      <w:bookmarkStart w:id="6" w:name="_Toc520485031"/>
      <w:r w:rsidRPr="0024257C">
        <w:t>1.4.1.</w:t>
      </w:r>
      <w:r w:rsidRPr="0024257C">
        <w:tab/>
      </w:r>
      <w:r w:rsidR="00030A7A" w:rsidRPr="006F430E">
        <w:rPr>
          <w:noProof/>
        </w:rPr>
        <w:t xml:space="preserve">Objectif(s) stratégique(s) pluriannuel(s) de la Commission visé(s) par la proposition/l’initiative </w:t>
      </w:r>
    </w:p>
    <w:p w14:paraId="5BCBC9DE" w14:textId="77777777" w:rsidR="00030A7A" w:rsidRPr="006F430E" w:rsidRDefault="00030A7A" w:rsidP="00030A7A">
      <w:pPr>
        <w:pStyle w:val="Text1"/>
        <w:pBdr>
          <w:top w:val="single" w:sz="4" w:space="1" w:color="auto"/>
          <w:left w:val="single" w:sz="4" w:space="4" w:color="auto"/>
          <w:bottom w:val="single" w:sz="4" w:space="1" w:color="auto"/>
          <w:right w:val="single" w:sz="4" w:space="4" w:color="auto"/>
        </w:pBdr>
        <w:rPr>
          <w:noProof/>
        </w:rPr>
      </w:pPr>
      <w:r w:rsidRPr="006F430E">
        <w:rPr>
          <w:noProof/>
        </w:rPr>
        <w:t xml:space="preserve"> «Un nouvel élan pour l’emploi, la croissance et l’investissement: promouvoir la prospérité au-delà de l’Union européenne»</w:t>
      </w:r>
    </w:p>
    <w:p w14:paraId="340C4368" w14:textId="1B98A58E" w:rsidR="001A3A0C" w:rsidRPr="006F430E" w:rsidRDefault="0024257C" w:rsidP="0024257C">
      <w:pPr>
        <w:pStyle w:val="ManualHeading3"/>
        <w:rPr>
          <w:bCs/>
          <w:noProof/>
          <w:szCs w:val="24"/>
        </w:rPr>
      </w:pPr>
      <w:r w:rsidRPr="0024257C">
        <w:t>1.4.2.</w:t>
      </w:r>
      <w:r w:rsidRPr="0024257C">
        <w:tab/>
      </w:r>
      <w:r w:rsidR="001A3A0C" w:rsidRPr="006F430E">
        <w:rPr>
          <w:noProof/>
        </w:rPr>
        <w:t>Objectif(s) spécifique(s)</w:t>
      </w:r>
      <w:bookmarkEnd w:id="5"/>
      <w:bookmarkEnd w:id="6"/>
    </w:p>
    <w:p w14:paraId="5582CCFD" w14:textId="77777777" w:rsidR="00030A7A" w:rsidRPr="006F430E" w:rsidRDefault="00030A7A" w:rsidP="00030A7A">
      <w:pPr>
        <w:pStyle w:val="Text1"/>
        <w:pBdr>
          <w:top w:val="single" w:sz="4" w:space="1" w:color="auto"/>
          <w:left w:val="single" w:sz="4" w:space="4" w:color="auto"/>
          <w:bottom w:val="single" w:sz="4" w:space="1" w:color="auto"/>
          <w:right w:val="single" w:sz="4" w:space="4" w:color="auto"/>
        </w:pBdr>
        <w:rPr>
          <w:noProof/>
          <w:u w:val="single"/>
        </w:rPr>
      </w:pPr>
      <w:bookmarkStart w:id="7" w:name="_Toc514938019"/>
      <w:bookmarkStart w:id="8" w:name="_Toc520485032"/>
      <w:r w:rsidRPr="006F430E">
        <w:rPr>
          <w:noProof/>
          <w:u w:val="single"/>
        </w:rPr>
        <w:t>Objectif spécifique n°</w:t>
      </w:r>
    </w:p>
    <w:p w14:paraId="15FEE872" w14:textId="77777777" w:rsidR="00030A7A" w:rsidRPr="006F430E" w:rsidRDefault="00030A7A" w:rsidP="00030A7A">
      <w:pPr>
        <w:pStyle w:val="Text1"/>
        <w:pBdr>
          <w:top w:val="single" w:sz="4" w:space="1" w:color="auto"/>
          <w:left w:val="single" w:sz="4" w:space="4" w:color="auto"/>
          <w:bottom w:val="single" w:sz="4" w:space="1" w:color="auto"/>
          <w:right w:val="single" w:sz="4" w:space="4" w:color="auto"/>
        </w:pBdr>
        <w:rPr>
          <w:noProof/>
        </w:rPr>
      </w:pPr>
      <w:r w:rsidRPr="006F430E">
        <w:rPr>
          <w:noProof/>
        </w:rPr>
        <w:t xml:space="preserve">«Promouvoir la prospérité au-delà de l’Union européenne» </w:t>
      </w:r>
    </w:p>
    <w:p w14:paraId="6F280B6B" w14:textId="77777777" w:rsidR="00030A7A" w:rsidRPr="006F430E" w:rsidRDefault="00030A7A" w:rsidP="00030A7A">
      <w:pPr>
        <w:pStyle w:val="Text1"/>
        <w:pBdr>
          <w:top w:val="single" w:sz="4" w:space="1" w:color="auto"/>
          <w:left w:val="single" w:sz="4" w:space="4" w:color="auto"/>
          <w:bottom w:val="single" w:sz="4" w:space="1" w:color="auto"/>
          <w:right w:val="single" w:sz="4" w:space="4" w:color="auto"/>
        </w:pBdr>
        <w:rPr>
          <w:noProof/>
          <w:u w:val="single"/>
        </w:rPr>
      </w:pPr>
      <w:r w:rsidRPr="006F430E">
        <w:rPr>
          <w:noProof/>
          <w:u w:val="single"/>
        </w:rPr>
        <w:t>Activité(s) ABM/ABB concernée(s)</w:t>
      </w:r>
    </w:p>
    <w:p w14:paraId="6E4AF5F0" w14:textId="77777777" w:rsidR="00030A7A" w:rsidRPr="006F430E" w:rsidRDefault="00030A7A" w:rsidP="00030A7A">
      <w:pPr>
        <w:pStyle w:val="Text1"/>
        <w:pBdr>
          <w:top w:val="single" w:sz="4" w:space="1" w:color="auto"/>
          <w:left w:val="single" w:sz="4" w:space="4" w:color="auto"/>
          <w:bottom w:val="single" w:sz="4" w:space="1" w:color="auto"/>
          <w:right w:val="single" w:sz="4" w:space="4" w:color="auto"/>
        </w:pBdr>
        <w:rPr>
          <w:noProof/>
        </w:rPr>
      </w:pPr>
      <w:r w:rsidRPr="006F430E">
        <w:rPr>
          <w:noProof/>
        </w:rPr>
        <w:t xml:space="preserve">Les principaux domaines d’activité intéressant la DG ECFIN sont les suivants: </w:t>
      </w:r>
    </w:p>
    <w:p w14:paraId="4CC9F1F2" w14:textId="77777777" w:rsidR="00030A7A" w:rsidRPr="006F430E" w:rsidRDefault="00030A7A" w:rsidP="00030A7A">
      <w:pPr>
        <w:pStyle w:val="Text1"/>
        <w:pBdr>
          <w:top w:val="single" w:sz="4" w:space="1" w:color="auto"/>
          <w:left w:val="single" w:sz="4" w:space="4" w:color="auto"/>
          <w:bottom w:val="single" w:sz="4" w:space="1" w:color="auto"/>
          <w:right w:val="single" w:sz="4" w:space="4" w:color="auto"/>
        </w:pBdr>
        <w:rPr>
          <w:noProof/>
        </w:rPr>
      </w:pPr>
      <w:r w:rsidRPr="006F430E">
        <w:rPr>
          <w:noProof/>
        </w:rPr>
        <w:t>a)</w:t>
      </w:r>
      <w:r w:rsidRPr="006F430E">
        <w:rPr>
          <w:noProof/>
        </w:rPr>
        <w:tab/>
        <w:t xml:space="preserve">soutenir la stabilité macrofinancière et encourager les réformes favorisant la croissance à l’extérieur de l’UE, y compris par un dialogue économique régulier avec les partenaires clés et par l’octroi d’une assistance macrofinancière; et </w:t>
      </w:r>
    </w:p>
    <w:p w14:paraId="7A53B132" w14:textId="77777777" w:rsidR="00030A7A" w:rsidRPr="006F430E" w:rsidRDefault="00030A7A" w:rsidP="00030A7A">
      <w:pPr>
        <w:pStyle w:val="Text1"/>
        <w:pBdr>
          <w:top w:val="single" w:sz="4" w:space="1" w:color="auto"/>
          <w:left w:val="single" w:sz="4" w:space="4" w:color="auto"/>
          <w:bottom w:val="single" w:sz="4" w:space="1" w:color="auto"/>
          <w:right w:val="single" w:sz="4" w:space="4" w:color="auto"/>
        </w:pBdr>
        <w:rPr>
          <w:noProof/>
        </w:rPr>
      </w:pPr>
      <w:r w:rsidRPr="006F430E">
        <w:rPr>
          <w:noProof/>
        </w:rPr>
        <w:t>b)</w:t>
      </w:r>
      <w:r w:rsidRPr="006F430E">
        <w:rPr>
          <w:noProof/>
        </w:rPr>
        <w:tab/>
        <w:t>soutenir le processus d’élargissement et la mise en œuvre des politiques européennes d’élargissement et de voisinage de l’UE, ainsi que les priorités de l’Union auprès des partenaires, par la réalisation d’analyses économiques et la fourniture d’évaluations et de conseils.</w:t>
      </w:r>
    </w:p>
    <w:p w14:paraId="77C1B4A9" w14:textId="1B8D6CEE" w:rsidR="001A3A0C" w:rsidRPr="006F430E" w:rsidRDefault="0024257C" w:rsidP="0024257C">
      <w:pPr>
        <w:pStyle w:val="ManualHeading3"/>
        <w:rPr>
          <w:noProof/>
        </w:rPr>
      </w:pPr>
      <w:r w:rsidRPr="0024257C">
        <w:t>1.4.3.</w:t>
      </w:r>
      <w:r w:rsidRPr="0024257C">
        <w:tab/>
      </w:r>
      <w:r w:rsidR="001A3A0C" w:rsidRPr="006F430E">
        <w:rPr>
          <w:noProof/>
        </w:rPr>
        <w:t>Résultat(s) et incidence(s) attendus</w:t>
      </w:r>
      <w:bookmarkEnd w:id="7"/>
      <w:bookmarkEnd w:id="8"/>
    </w:p>
    <w:p w14:paraId="5D3CAE01" w14:textId="77777777" w:rsidR="001A3A0C" w:rsidRPr="006F430E" w:rsidRDefault="001A3A0C" w:rsidP="004F6AC7">
      <w:pPr>
        <w:pStyle w:val="Text1"/>
        <w:rPr>
          <w:i/>
          <w:noProof/>
          <w:sz w:val="20"/>
        </w:rPr>
      </w:pPr>
      <w:r w:rsidRPr="006F430E">
        <w:rPr>
          <w:i/>
          <w:noProof/>
          <w:sz w:val="20"/>
        </w:rPr>
        <w:t>Préciser les effets que la proposition/l’initiative devrait avoir sur les bénéficiaires/la population visée.</w:t>
      </w:r>
    </w:p>
    <w:p w14:paraId="7BEC4AE1" w14:textId="77777777" w:rsidR="00097B25" w:rsidRPr="006F430E" w:rsidRDefault="00097B25" w:rsidP="004C72C3">
      <w:pPr>
        <w:pStyle w:val="Bullet1"/>
        <w:numPr>
          <w:ilvl w:val="0"/>
          <w:numId w:val="29"/>
        </w:numPr>
        <w:rPr>
          <w:noProof/>
        </w:rPr>
      </w:pPr>
      <w:bookmarkStart w:id="9" w:name="_Toc514938023"/>
      <w:bookmarkStart w:id="10" w:name="_Toc520485033"/>
      <w:r w:rsidRPr="006F430E">
        <w:rPr>
          <w:noProof/>
        </w:rPr>
        <w:t xml:space="preserve">Contribuer à couvrir une partie des besoins de financement extérieur de la Moldavie dans le contexte d’une détérioration importante de sa balance des paiements causée par l’actuelle pandémie de COVID-19. </w:t>
      </w:r>
    </w:p>
    <w:p w14:paraId="330196DF" w14:textId="77777777" w:rsidR="00097B25" w:rsidRPr="006F430E" w:rsidRDefault="00097B25" w:rsidP="00097B25">
      <w:pPr>
        <w:pStyle w:val="Bullet1"/>
        <w:rPr>
          <w:noProof/>
        </w:rPr>
      </w:pPr>
      <w:r w:rsidRPr="006F430E">
        <w:rPr>
          <w:noProof/>
        </w:rPr>
        <w:t>Réduire les besoins de financement à court terme du partenaire.</w:t>
      </w:r>
    </w:p>
    <w:p w14:paraId="5F05A9AC" w14:textId="12D7A223" w:rsidR="00097B25" w:rsidRPr="006F430E" w:rsidRDefault="00097B25" w:rsidP="00097B25">
      <w:pPr>
        <w:pStyle w:val="Bullet1"/>
        <w:rPr>
          <w:noProof/>
        </w:rPr>
      </w:pPr>
      <w:r w:rsidRPr="006F430E">
        <w:rPr>
          <w:noProof/>
        </w:rPr>
        <w:t>Appuyer l’assainissement budgétaire et la stabilisation extérieure dans le contexte du programme du FMI.</w:t>
      </w:r>
    </w:p>
    <w:p w14:paraId="774B2251" w14:textId="77777777" w:rsidR="00097B25" w:rsidRPr="006F430E" w:rsidRDefault="00097B25" w:rsidP="00097B25">
      <w:pPr>
        <w:pStyle w:val="Bullet1"/>
        <w:rPr>
          <w:noProof/>
        </w:rPr>
      </w:pPr>
      <w:r w:rsidRPr="006F430E">
        <w:rPr>
          <w:noProof/>
        </w:rPr>
        <w:t>Appuyer des réformes structurelles destinées à perfectionner la gestion macroéconomique globale, à renforcer la gouvernance économique et la transparence et à améliorer les conditions propices à une croissance durable.</w:t>
      </w:r>
    </w:p>
    <w:p w14:paraId="187080C7" w14:textId="259D3881" w:rsidR="001A3A0C" w:rsidRPr="006F430E" w:rsidRDefault="0024257C" w:rsidP="0024257C">
      <w:pPr>
        <w:pStyle w:val="ManualHeading3"/>
        <w:rPr>
          <w:noProof/>
          <w:szCs w:val="24"/>
        </w:rPr>
      </w:pPr>
      <w:r w:rsidRPr="0024257C">
        <w:t>1.4.4.</w:t>
      </w:r>
      <w:r w:rsidRPr="0024257C">
        <w:tab/>
      </w:r>
      <w:r w:rsidR="001A3A0C" w:rsidRPr="006F430E">
        <w:rPr>
          <w:noProof/>
        </w:rPr>
        <w:t>Indicateurs de performance</w:t>
      </w:r>
      <w:bookmarkEnd w:id="9"/>
      <w:bookmarkEnd w:id="10"/>
    </w:p>
    <w:p w14:paraId="2F0915CE" w14:textId="77777777" w:rsidR="001A3A0C" w:rsidRPr="006F430E" w:rsidRDefault="001A3A0C" w:rsidP="004F6AC7">
      <w:pPr>
        <w:pStyle w:val="Text1"/>
        <w:rPr>
          <w:i/>
          <w:noProof/>
          <w:sz w:val="20"/>
        </w:rPr>
      </w:pPr>
      <w:r w:rsidRPr="006F430E">
        <w:rPr>
          <w:i/>
          <w:noProof/>
          <w:sz w:val="20"/>
        </w:rPr>
        <w:t>Préciser les indicateurs permettant de suivre l’avancement et les réalisations.</w:t>
      </w:r>
    </w:p>
    <w:p w14:paraId="0A964C91" w14:textId="77777777" w:rsidR="00BF5827" w:rsidRPr="006F430E" w:rsidRDefault="00BF5827" w:rsidP="00BF5827">
      <w:pPr>
        <w:pStyle w:val="Text1"/>
        <w:pBdr>
          <w:top w:val="single" w:sz="4" w:space="1" w:color="auto"/>
          <w:left w:val="single" w:sz="4" w:space="4" w:color="auto"/>
          <w:bottom w:val="single" w:sz="4" w:space="1" w:color="auto"/>
          <w:right w:val="single" w:sz="4" w:space="4" w:color="auto"/>
        </w:pBdr>
        <w:rPr>
          <w:noProof/>
          <w:color w:val="0000FF"/>
        </w:rPr>
      </w:pPr>
      <w:r w:rsidRPr="006F430E">
        <w:rPr>
          <w:noProof/>
        </w:rPr>
        <w:t xml:space="preserve">Les autorités de la Moldavie devront rendre compte régulièrement aux services de la Commission de l’évolution d’un ensemble d’indicateurs économiques, et fournir un rapport complet sur le respect des conditions de politique économique convenues préalablement au décaissement des tranches du prêt. </w:t>
      </w:r>
    </w:p>
    <w:p w14:paraId="43040A27" w14:textId="22330F54" w:rsidR="00BF5827" w:rsidRPr="006F430E" w:rsidRDefault="00BF5827" w:rsidP="00BF5827">
      <w:pPr>
        <w:pStyle w:val="Text1"/>
        <w:pBdr>
          <w:top w:val="single" w:sz="4" w:space="1" w:color="auto"/>
          <w:left w:val="single" w:sz="4" w:space="4" w:color="auto"/>
          <w:bottom w:val="single" w:sz="4" w:space="1" w:color="auto"/>
          <w:right w:val="single" w:sz="4" w:space="4" w:color="auto"/>
        </w:pBdr>
        <w:rPr>
          <w:noProof/>
        </w:rPr>
      </w:pPr>
      <w:r w:rsidRPr="006F430E">
        <w:rPr>
          <w:noProof/>
        </w:rPr>
        <w:t xml:space="preserve">Les services de la Commission continueront de contrôler la gestion des finances publiques, après l’évaluation opérationnelle des circuits financiers et des procédures administratives de la Moldavie qui a été livrée en juin 2020. La délégation de l’Union européenne auprès de chaque partenaire fera également le point régulièrement sur des aspects utiles au contrôle de l’assistance. Les services de la Commission resteront en contact étroit avec le FMI et la Banque mondiale, afin de bénéficier des informations que ces institutions retirent de leurs activités actuelles auprès du partenaire en question. </w:t>
      </w:r>
    </w:p>
    <w:p w14:paraId="0D064BD8" w14:textId="77777777" w:rsidR="00BF5827" w:rsidRPr="006F430E" w:rsidRDefault="00BF5827" w:rsidP="00BF5827">
      <w:pPr>
        <w:pStyle w:val="Text1"/>
        <w:pBdr>
          <w:top w:val="single" w:sz="4" w:space="1" w:color="auto"/>
          <w:left w:val="single" w:sz="4" w:space="4" w:color="auto"/>
          <w:bottom w:val="single" w:sz="4" w:space="1" w:color="auto"/>
          <w:right w:val="single" w:sz="4" w:space="4" w:color="auto"/>
        </w:pBdr>
        <w:rPr>
          <w:noProof/>
        </w:rPr>
      </w:pPr>
      <w:r w:rsidRPr="006F430E">
        <w:rPr>
          <w:noProof/>
        </w:rPr>
        <w:t>La proposition de décision législative prévoit la présentation au Conseil et au Parlement européen d’un rapport annuel contenant une évaluation de l’exécution de cette opération. Une évaluation ex post indépendante de l’assistance macrofinancière sera réalisée dans les deux ans qui suivent l’expiration de la période de mise en œuvre.</w:t>
      </w:r>
    </w:p>
    <w:p w14:paraId="4598507F" w14:textId="47CD2F52" w:rsidR="001A3A0C" w:rsidRPr="006F430E" w:rsidRDefault="0024257C" w:rsidP="0024257C">
      <w:pPr>
        <w:pStyle w:val="ManualHeading2"/>
        <w:rPr>
          <w:bCs/>
          <w:noProof/>
          <w:szCs w:val="24"/>
        </w:rPr>
      </w:pPr>
      <w:bookmarkStart w:id="11" w:name="_Toc514938025"/>
      <w:bookmarkStart w:id="12" w:name="_Toc520485034"/>
      <w:r w:rsidRPr="0024257C">
        <w:t>1.5.</w:t>
      </w:r>
      <w:r w:rsidRPr="0024257C">
        <w:tab/>
      </w:r>
      <w:r w:rsidR="001A3A0C" w:rsidRPr="006F430E">
        <w:rPr>
          <w:noProof/>
        </w:rPr>
        <w:t>Justifications de la proposition/de l’initiative</w:t>
      </w:r>
      <w:bookmarkEnd w:id="11"/>
      <w:bookmarkEnd w:id="12"/>
      <w:r w:rsidR="001A3A0C" w:rsidRPr="006F430E">
        <w:rPr>
          <w:noProof/>
        </w:rPr>
        <w:t xml:space="preserve"> </w:t>
      </w:r>
    </w:p>
    <w:p w14:paraId="7F54E65C" w14:textId="47EC1ACE" w:rsidR="001A3A0C" w:rsidRPr="006F430E" w:rsidRDefault="0024257C" w:rsidP="0024257C">
      <w:pPr>
        <w:pStyle w:val="ManualHeading3"/>
        <w:rPr>
          <w:noProof/>
        </w:rPr>
      </w:pPr>
      <w:bookmarkStart w:id="13" w:name="_Toc514938026"/>
      <w:bookmarkStart w:id="14" w:name="_Toc520485035"/>
      <w:r w:rsidRPr="0024257C">
        <w:t>1.5.1.</w:t>
      </w:r>
      <w:r w:rsidRPr="0024257C">
        <w:tab/>
      </w:r>
      <w:r w:rsidR="001A3A0C" w:rsidRPr="006F430E">
        <w:rPr>
          <w:noProof/>
        </w:rPr>
        <w:t>Besoin(s) à satisfaire à court ou à long terme, assorti(s) d’un calendrier détaillé pour la mise en œuvre de l’initiative</w:t>
      </w:r>
      <w:bookmarkEnd w:id="13"/>
      <w:bookmarkEnd w:id="14"/>
    </w:p>
    <w:p w14:paraId="77164989" w14:textId="210C0661" w:rsidR="005E0BA0" w:rsidRPr="006F430E" w:rsidRDefault="005E0BA0" w:rsidP="005E0BA0">
      <w:pPr>
        <w:pStyle w:val="Text1"/>
        <w:pBdr>
          <w:top w:val="single" w:sz="4" w:space="1" w:color="auto"/>
          <w:left w:val="single" w:sz="4" w:space="4" w:color="auto"/>
          <w:bottom w:val="single" w:sz="4" w:space="1" w:color="auto"/>
          <w:right w:val="single" w:sz="4" w:space="4" w:color="auto"/>
        </w:pBdr>
        <w:rPr>
          <w:noProof/>
        </w:rPr>
      </w:pPr>
      <w:bookmarkStart w:id="15" w:name="_Toc514938029"/>
      <w:bookmarkStart w:id="16" w:name="_Toc520485036"/>
      <w:r w:rsidRPr="006F430E">
        <w:rPr>
          <w:noProof/>
        </w:rPr>
        <w:t xml:space="preserve">Le décaissement de l’assistance sera subordonné au respect des conditions politiques préalables et à des avancées satisfaisantes dans la mise en œuvre du programme économique convenu entre la Moldavie et le FMI, qui a été approuvé par le conseil d’administration du FMI [le 20 décembre 2021], après que les autorités moldaves eurent pris un certain nombre de mesures préalables. En outre, la Commission et les autorités moldaves conviendront de conditions précises, qui seront énumérées dans un protocole d’accord. </w:t>
      </w:r>
    </w:p>
    <w:p w14:paraId="2D0FFF30" w14:textId="69FD9281" w:rsidR="005E0BA0" w:rsidRPr="006F430E" w:rsidRDefault="005E0BA0" w:rsidP="005E0BA0">
      <w:pPr>
        <w:pStyle w:val="Text1"/>
        <w:pBdr>
          <w:top w:val="single" w:sz="4" w:space="1" w:color="auto"/>
          <w:left w:val="single" w:sz="4" w:space="4" w:color="auto"/>
          <w:bottom w:val="single" w:sz="4" w:space="1" w:color="auto"/>
          <w:right w:val="single" w:sz="4" w:space="4" w:color="auto"/>
        </w:pBdr>
        <w:rPr>
          <w:noProof/>
        </w:rPr>
      </w:pPr>
      <w:r w:rsidRPr="006F430E">
        <w:rPr>
          <w:noProof/>
        </w:rPr>
        <w:t>Il est prévu que l’aide soit versée en trois tranches. La première tranche devrait être décaissée à la mi-2022. Pour autant que les mesures auxquelles le versement de chaque tranche est subordonné aient été mises en œuvre en temps utile, la deuxième tranche pourrait être décaissée début 2023, et la troisième plus tard dans l’année ou au premier semestre de 2024.</w:t>
      </w:r>
    </w:p>
    <w:p w14:paraId="59BD9600" w14:textId="57D95704" w:rsidR="001A3A0C" w:rsidRPr="006F430E" w:rsidRDefault="0024257C" w:rsidP="0024257C">
      <w:pPr>
        <w:pStyle w:val="ManualHeading3"/>
        <w:rPr>
          <w:bCs/>
          <w:noProof/>
          <w:szCs w:val="24"/>
        </w:rPr>
      </w:pPr>
      <w:r w:rsidRPr="0024257C">
        <w:t>1.5.2.</w:t>
      </w:r>
      <w:r w:rsidRPr="0024257C">
        <w:tab/>
      </w:r>
      <w:r w:rsidR="001A3A0C" w:rsidRPr="006F430E">
        <w:rPr>
          <w:noProof/>
        </w:rPr>
        <w:t>Valeur ajoutée de l’intervention de l’Union (celle-ci peut résulter de différents facteurs, par exemple gains de coordination, sécurité juridique, efficacité accrue, complémentarités, etc.). Aux fins du présent point, on entend par «valeur ajoutée de l’intervention de l’Union» la valeur découlant de l’intervention de l’Union qui vient s’ajouter à la valeur qui, sans cela, aurait été générée par la seule action des États membres.</w:t>
      </w:r>
      <w:bookmarkEnd w:id="15"/>
      <w:bookmarkEnd w:id="16"/>
    </w:p>
    <w:p w14:paraId="5930555D" w14:textId="1CC3DD0B" w:rsidR="00F946F5" w:rsidRPr="006F430E" w:rsidRDefault="00F946F5" w:rsidP="00F946F5">
      <w:pPr>
        <w:pStyle w:val="Text1"/>
        <w:pBdr>
          <w:top w:val="single" w:sz="4" w:space="1" w:color="auto"/>
          <w:left w:val="single" w:sz="4" w:space="4" w:color="auto"/>
          <w:bottom w:val="single" w:sz="4" w:space="1" w:color="auto"/>
          <w:right w:val="single" w:sz="4" w:space="4" w:color="auto"/>
        </w:pBdr>
        <w:rPr>
          <w:noProof/>
        </w:rPr>
      </w:pPr>
      <w:bookmarkStart w:id="17" w:name="_Toc514938030"/>
      <w:bookmarkStart w:id="18" w:name="_Toc520485037"/>
      <w:r w:rsidRPr="006F430E">
        <w:rPr>
          <w:noProof/>
        </w:rPr>
        <w:t>L’instrument d’assistance macrofinancière est un instrument axé sur les politiques qui vise à réduire les besoins de financement extérieur à court et moyen terme. Dans le contexte de la pandémie actuelle de COVID-19, l’AMF contribuera, sur le plan de la politique économique, à donner aux autorités la marge de manœuvre dont elles ont besoin pour mettre en place une réponse économique efficace à la persistance de la pandémie. En aidant le partenaire à surmonter les difficultés économiques amplifiées par la pandémie de COVID-19, l’AMF proposée contribuera à promouvoir sa stabilité macroéconomique et politique. L’AMF complétera les ressources mises à disposition par les institutions financières internationales, des bailleurs de fonds bilatéraux et les autres institutions financières de l’UE. Elle contribuera ainsi à l’efficacité globale du soutien financier accordé par la communauté internationale, ainsi que des autres formes d’assistance financière de l’UE, y compris les opérations d’appui budgétaire.</w:t>
      </w:r>
    </w:p>
    <w:p w14:paraId="2103B488" w14:textId="28B4FCF4" w:rsidR="00EC2B73" w:rsidRPr="006F430E" w:rsidRDefault="00EC2B73" w:rsidP="00F946F5">
      <w:pPr>
        <w:pStyle w:val="Text1"/>
        <w:pBdr>
          <w:top w:val="single" w:sz="4" w:space="1" w:color="auto"/>
          <w:left w:val="single" w:sz="4" w:space="4" w:color="auto"/>
          <w:bottom w:val="single" w:sz="4" w:space="1" w:color="auto"/>
          <w:right w:val="single" w:sz="4" w:space="4" w:color="auto"/>
        </w:pBdr>
        <w:rPr>
          <w:noProof/>
        </w:rPr>
      </w:pPr>
      <w:r w:rsidRPr="006F430E">
        <w:rPr>
          <w:noProof/>
        </w:rPr>
        <w:t>En outre, en fournissant un financement à long terme à des taux très favorables, généralement inférieurs à ceux offerts par les autres donateurs internationaux ou bilatéraux, le programme d’AMF devrait aider le gouvernement à exécuter son budget sans écarts budgétaires et contribuer à la soutenabilité de la dette.</w:t>
      </w:r>
    </w:p>
    <w:p w14:paraId="2E47C90C" w14:textId="4A4BC705" w:rsidR="00F946F5" w:rsidRPr="006F430E" w:rsidRDefault="00F946F5" w:rsidP="00F946F5">
      <w:pPr>
        <w:pStyle w:val="Text1"/>
        <w:pBdr>
          <w:top w:val="single" w:sz="4" w:space="1" w:color="auto"/>
          <w:left w:val="single" w:sz="4" w:space="4" w:color="auto"/>
          <w:bottom w:val="single" w:sz="4" w:space="1" w:color="auto"/>
          <w:right w:val="single" w:sz="4" w:space="4" w:color="auto"/>
        </w:pBdr>
        <w:rPr>
          <w:noProof/>
        </w:rPr>
      </w:pPr>
      <w:r w:rsidRPr="006F430E">
        <w:rPr>
          <w:noProof/>
        </w:rPr>
        <w:t>Outre l’incidence financière de l’AMF, le programme proposé confortera le gouvernement dans sa volonté de réforme et dans son aspiration à un resserrement des relations avec l’UE, dont témoigne l’accord d’association entré en vigueur en 2016. Pour que ce résultat soit atteint, le versement de l’assistance sera notamment subordonné à des conditions appropriées. De la même manière, le programme constituera le signe que l’UE est disposée à aider ses partenaires du voisinage oriental, dont la Moldavie, en période de difficultés économiques.</w:t>
      </w:r>
      <w:r w:rsidRPr="006F430E">
        <w:rPr>
          <w:noProof/>
          <w:highlight w:val="yellow"/>
        </w:rPr>
        <w:t xml:space="preserve"> </w:t>
      </w:r>
    </w:p>
    <w:bookmarkEnd w:id="17"/>
    <w:bookmarkEnd w:id="18"/>
    <w:p w14:paraId="2633185A" w14:textId="3C8866B7" w:rsidR="002C6C4C" w:rsidRPr="006F430E" w:rsidRDefault="0024257C" w:rsidP="0024257C">
      <w:pPr>
        <w:pStyle w:val="ManualHeading3"/>
        <w:rPr>
          <w:noProof/>
        </w:rPr>
      </w:pPr>
      <w:r w:rsidRPr="0024257C">
        <w:t>1.5.3.</w:t>
      </w:r>
      <w:r w:rsidRPr="0024257C">
        <w:tab/>
      </w:r>
      <w:r w:rsidR="002C6C4C" w:rsidRPr="006F430E">
        <w:rPr>
          <w:noProof/>
        </w:rPr>
        <w:t>Leçons tirées d’expériences similaires</w:t>
      </w:r>
    </w:p>
    <w:p w14:paraId="661D941B" w14:textId="77777777" w:rsidR="001A3A0C" w:rsidRPr="006F430E" w:rsidRDefault="006149F6" w:rsidP="006149F6">
      <w:pPr>
        <w:pStyle w:val="Text1"/>
        <w:pBdr>
          <w:top w:val="single" w:sz="4" w:space="1" w:color="auto"/>
          <w:left w:val="single" w:sz="4" w:space="4" w:color="auto"/>
          <w:bottom w:val="single" w:sz="4" w:space="1" w:color="auto"/>
          <w:right w:val="single" w:sz="4" w:space="4" w:color="auto"/>
        </w:pBdr>
        <w:rPr>
          <w:noProof/>
        </w:rPr>
      </w:pPr>
      <w:r w:rsidRPr="006F430E">
        <w:rPr>
          <w:noProof/>
        </w:rPr>
        <w:t>Les opérations d’assistance macrofinancière auprès des partenaires font l’objet d’une évaluation ex post. Les évaluations menées à ce jour (sur les programmes d’AMF achevés) permettent de conclure que les opérations d’assistance macrofinancière contribuent effectivement, même si ce n’est parfois que modestement et indirectement, à l’amélioration de la viabilité extérieure, à la stabilité macroéconomique et aux réformes structurelles du partenaire. Dans la plupart des cas, ces opérations ont eu un effet positif sur la balance des paiements du partenaire et ont contribué à alléger ses contraintes budgétaires. Elles ont également eu pour effet une croissance économique un peu plus forte.</w:t>
      </w:r>
    </w:p>
    <w:p w14:paraId="17C7C30D" w14:textId="0F7CA9BD" w:rsidR="001A3A0C" w:rsidRPr="006F430E" w:rsidRDefault="0024257C" w:rsidP="0024257C">
      <w:pPr>
        <w:pStyle w:val="ManualHeading3"/>
        <w:rPr>
          <w:noProof/>
        </w:rPr>
      </w:pPr>
      <w:bookmarkStart w:id="19" w:name="_Toc514938033"/>
      <w:bookmarkStart w:id="20" w:name="_Toc520485038"/>
      <w:r w:rsidRPr="0024257C">
        <w:t>1.5.4.</w:t>
      </w:r>
      <w:r w:rsidRPr="0024257C">
        <w:tab/>
      </w:r>
      <w:r w:rsidR="001A3A0C" w:rsidRPr="006F430E">
        <w:rPr>
          <w:noProof/>
        </w:rPr>
        <w:t>Compatibilité avec le cadre financier pluriannuel et synergies éventuelles avec d’autres instruments appropriés</w:t>
      </w:r>
      <w:bookmarkEnd w:id="19"/>
      <w:bookmarkEnd w:id="20"/>
    </w:p>
    <w:p w14:paraId="65928B22" w14:textId="77777777" w:rsidR="00CA5E73" w:rsidRPr="006F430E" w:rsidRDefault="00CA5E73" w:rsidP="00CA5E73">
      <w:pPr>
        <w:pStyle w:val="Text1"/>
        <w:pBdr>
          <w:top w:val="single" w:sz="4" w:space="1" w:color="auto"/>
          <w:left w:val="single" w:sz="4" w:space="4" w:color="auto"/>
          <w:bottom w:val="single" w:sz="4" w:space="1" w:color="auto"/>
          <w:right w:val="single" w:sz="4" w:space="4" w:color="auto"/>
        </w:pBdr>
        <w:rPr>
          <w:i/>
          <w:noProof/>
        </w:rPr>
      </w:pPr>
      <w:r w:rsidRPr="006F430E">
        <w:rPr>
          <w:i/>
          <w:noProof/>
        </w:rPr>
        <w:t>Compatibilité avec le cadre financier pluriannuel</w:t>
      </w:r>
    </w:p>
    <w:p w14:paraId="41F08725" w14:textId="77777777" w:rsidR="00C762AC" w:rsidRPr="006F430E" w:rsidRDefault="00CA5E73" w:rsidP="00C762AC">
      <w:pPr>
        <w:pStyle w:val="Text1"/>
        <w:pBdr>
          <w:top w:val="single" w:sz="4" w:space="1" w:color="auto"/>
          <w:left w:val="single" w:sz="4" w:space="4" w:color="auto"/>
          <w:bottom w:val="single" w:sz="4" w:space="1" w:color="auto"/>
          <w:right w:val="single" w:sz="4" w:space="4" w:color="auto"/>
        </w:pBdr>
        <w:rPr>
          <w:noProof/>
        </w:rPr>
      </w:pPr>
      <w:r w:rsidRPr="006F430E">
        <w:rPr>
          <w:noProof/>
        </w:rPr>
        <w:t>Dans le cadre financier pluriannuel 2021-2027, le provisionnement des prêts au titre de l’AMF sera couvert par la garantie pour l’action extérieure au sein de l’instrument «Europe dans le monde» (instrument de voisinage, de coopération au développement et de coopération internationale). La capacité (indicative) de prêt prévue pour l’AMF est suffisante pour couvrir cette opération ainsi que les autres opérations d’AMF en cours de mise en œuvre.</w:t>
      </w:r>
    </w:p>
    <w:p w14:paraId="44512F23" w14:textId="66EB6699" w:rsidR="00AF1FF4" w:rsidRPr="006F430E" w:rsidRDefault="00AF1FF4" w:rsidP="00C762AC">
      <w:pPr>
        <w:pStyle w:val="Text1"/>
        <w:pBdr>
          <w:top w:val="single" w:sz="4" w:space="1" w:color="auto"/>
          <w:left w:val="single" w:sz="4" w:space="4" w:color="auto"/>
          <w:bottom w:val="single" w:sz="4" w:space="1" w:color="auto"/>
          <w:right w:val="single" w:sz="4" w:space="4" w:color="auto"/>
        </w:pBdr>
        <w:rPr>
          <w:i/>
          <w:noProof/>
        </w:rPr>
      </w:pPr>
      <w:r w:rsidRPr="006F430E">
        <w:rPr>
          <w:i/>
          <w:noProof/>
        </w:rPr>
        <w:t>Synergies éventuelles avec d’autres instruments appropriés</w:t>
      </w:r>
    </w:p>
    <w:p w14:paraId="1AF7EBB4" w14:textId="6527D8CA" w:rsidR="003132D5" w:rsidRPr="006F430E" w:rsidRDefault="00C762AC" w:rsidP="00C762AC">
      <w:pPr>
        <w:pStyle w:val="Text1"/>
        <w:pBdr>
          <w:top w:val="single" w:sz="4" w:space="1" w:color="auto"/>
          <w:left w:val="single" w:sz="4" w:space="4" w:color="auto"/>
          <w:bottom w:val="single" w:sz="4" w:space="1" w:color="auto"/>
          <w:right w:val="single" w:sz="4" w:space="4" w:color="auto"/>
        </w:pBdr>
        <w:rPr>
          <w:rFonts w:ascii="Raleway" w:hAnsi="Raleway"/>
          <w:b/>
          <w:bCs/>
          <w:noProof/>
          <w:color w:val="666666"/>
          <w:shd w:val="clear" w:color="auto" w:fill="FFFFFF"/>
        </w:rPr>
      </w:pPr>
      <w:r w:rsidRPr="006F430E">
        <w:rPr>
          <w:noProof/>
        </w:rPr>
        <w:t>L’UE est l’un des principaux bailleurs de fonds de la Moldavie, soutenant les réformes économiques, structurelles et institutionnelles du pays, ainsi que sa société civile. Le soutien financier apporté par l’UE à la Moldavie pour la période 2014-2020 s’est élevé à 518,15 millions d’EUR [programme indicatif pluriannuel (PIP) 2021-2027, en cours d’élaboration]. Dans ce contexte, ce programme d’AMF complète d’autres actions ou instruments extérieurs de l’UE utilisés pour soutenir la Moldavie. Il est également aligné sur le nouvel instrument «Europe dans le monde» (instrument de voisinage, de coopération au développement et de coopération internationale) et sur l’instrument d’aide de préadhésion (IAP III) pour la période 2021-2027.</w:t>
      </w:r>
      <w:r w:rsidRPr="006F430E">
        <w:rPr>
          <w:rFonts w:ascii="Raleway" w:hAnsi="Raleway"/>
          <w:noProof/>
          <w:color w:val="666666"/>
          <w:shd w:val="clear" w:color="auto" w:fill="FFFFFF"/>
        </w:rPr>
        <w:t xml:space="preserve"> </w:t>
      </w:r>
    </w:p>
    <w:p w14:paraId="3E54CB50" w14:textId="77777777" w:rsidR="00C762AC" w:rsidRPr="006F430E" w:rsidRDefault="00C762AC" w:rsidP="00C762AC">
      <w:pPr>
        <w:pStyle w:val="Text1"/>
        <w:pBdr>
          <w:top w:val="single" w:sz="4" w:space="1" w:color="auto"/>
          <w:left w:val="single" w:sz="4" w:space="4" w:color="auto"/>
          <w:bottom w:val="single" w:sz="4" w:space="1" w:color="auto"/>
          <w:right w:val="single" w:sz="4" w:space="4" w:color="auto"/>
        </w:pBdr>
        <w:rPr>
          <w:noProof/>
        </w:rPr>
      </w:pPr>
      <w:r w:rsidRPr="006F430E">
        <w:rPr>
          <w:noProof/>
        </w:rPr>
        <w:t xml:space="preserve">Par rapport aux autres instruments de l’UE, l’assistance macrofinancière aurait pour principale valeur ajoutée de contribuer à la création de conditions macroéconomiques stables, notamment en facilitant le rééquilibrage de la balance des paiements et de la situation budgétaire, ainsi que de conditions propices aux réformes structurelles. L’AMF ne constitue pas un soutien financier régulier et doit donc s’interrompre dès que la situation financière extérieure du partenaire est redevenue viable. </w:t>
      </w:r>
    </w:p>
    <w:p w14:paraId="560884F7" w14:textId="77777777" w:rsidR="00C762AC" w:rsidRPr="006F430E" w:rsidRDefault="00C762AC" w:rsidP="00C762AC">
      <w:pPr>
        <w:pStyle w:val="Text1"/>
        <w:pBdr>
          <w:top w:val="single" w:sz="4" w:space="1" w:color="auto"/>
          <w:left w:val="single" w:sz="4" w:space="4" w:color="auto"/>
          <w:bottom w:val="single" w:sz="4" w:space="1" w:color="auto"/>
          <w:right w:val="single" w:sz="4" w:space="4" w:color="auto"/>
        </w:pBdr>
        <w:rPr>
          <w:noProof/>
        </w:rPr>
      </w:pPr>
      <w:r w:rsidRPr="006F430E">
        <w:rPr>
          <w:noProof/>
        </w:rPr>
        <w:t>L’AMF complétera également les interventions prévues par la communauté internationale, en particulier les programmes d’ajustement et de réforme soutenus par le FMI et la Banque mondiale.</w:t>
      </w:r>
    </w:p>
    <w:p w14:paraId="1FE1EDD2" w14:textId="4AF0B5D6" w:rsidR="001A3A0C" w:rsidRPr="006F430E" w:rsidRDefault="0024257C" w:rsidP="0024257C">
      <w:pPr>
        <w:pStyle w:val="ManualHeading3"/>
        <w:rPr>
          <w:noProof/>
        </w:rPr>
      </w:pPr>
      <w:bookmarkStart w:id="21" w:name="_Toc514938036"/>
      <w:bookmarkStart w:id="22" w:name="_Toc520485039"/>
      <w:r w:rsidRPr="0024257C">
        <w:t>1.5.5.</w:t>
      </w:r>
      <w:r w:rsidRPr="0024257C">
        <w:tab/>
      </w:r>
      <w:r w:rsidR="001A3A0C" w:rsidRPr="006F430E">
        <w:rPr>
          <w:noProof/>
        </w:rPr>
        <w:t>Évaluation des différentes possibilités de financement disponibles, y compris des possibilités de redéploiement</w:t>
      </w:r>
      <w:bookmarkEnd w:id="21"/>
      <w:bookmarkEnd w:id="22"/>
    </w:p>
    <w:p w14:paraId="396D4EF5" w14:textId="77777777" w:rsidR="00505947" w:rsidRPr="006F430E" w:rsidRDefault="00505947" w:rsidP="00505947">
      <w:pPr>
        <w:pStyle w:val="Text1"/>
        <w:pBdr>
          <w:top w:val="single" w:sz="4" w:space="1" w:color="auto"/>
          <w:left w:val="single" w:sz="4" w:space="4" w:color="auto"/>
          <w:bottom w:val="single" w:sz="4" w:space="1" w:color="auto"/>
          <w:right w:val="single" w:sz="4" w:space="4" w:color="auto"/>
        </w:pBdr>
        <w:rPr>
          <w:noProof/>
          <w:szCs w:val="20"/>
        </w:rPr>
      </w:pPr>
      <w:r w:rsidRPr="006F430E">
        <w:rPr>
          <w:noProof/>
        </w:rPr>
        <w:t xml:space="preserve">En recourant à des prêts, la présente opération d’AMF accroît l’efficacité du budget de l’UE par effet de levier et constitue l’option présentant le meilleur rapport coût-efficacité. </w:t>
      </w:r>
    </w:p>
    <w:p w14:paraId="317AD34A" w14:textId="77777777" w:rsidR="001A3A0C" w:rsidRPr="006F430E" w:rsidRDefault="00505947" w:rsidP="004F6AC7">
      <w:pPr>
        <w:pStyle w:val="Text1"/>
        <w:pBdr>
          <w:top w:val="single" w:sz="4" w:space="1" w:color="auto"/>
          <w:left w:val="single" w:sz="4" w:space="4" w:color="auto"/>
          <w:bottom w:val="single" w:sz="4" w:space="1" w:color="auto"/>
          <w:right w:val="single" w:sz="4" w:space="4" w:color="auto"/>
        </w:pBdr>
        <w:rPr>
          <w:noProof/>
        </w:rPr>
      </w:pPr>
      <w:r w:rsidRPr="006F430E">
        <w:rPr>
          <w:noProof/>
        </w:rPr>
        <w:t>La Commission est habilitée, au nom de l’Union européenne et d’Euratom, à emprunter les fonds nécessaires sur les marchés de capitaux en utilisant la garantie du budget de l’Union. L’objectif est d’obtenir des fonds sur le marché aux meilleurs taux disponibles grâce à l’excellente notation de crédit de l’UE/Euratom («AAA» chez Fitch, Moody’s et DBRS, «AA» chez S&amp;P, toutes assorties de perspectives stables) puis de les prêter aux emprunteurs éligibles, dans le cadre des activités de prêt réalisées au moyen du MESF, de la BDP, de l’AMF, ou afin de financer des projets relevant d’Euratom. Chaque prêt est adossé à un emprunt (opérations back-to-back), de sorte que le budget de l’UE n’est soumis à aucun risque de taux d’intérêt ou de change. L’objectif consistant à obtenir des fonds aux meilleurs taux disponibles pour les activités d’emprunt et de prêt a été atteint puisque ces taux correspondent à ceux pratiqués par les institutions homologues (BEI, MESF et MES).</w:t>
      </w:r>
    </w:p>
    <w:p w14:paraId="50087FE5" w14:textId="77777777" w:rsidR="001A3A0C" w:rsidRPr="006F430E" w:rsidRDefault="001A3A0C" w:rsidP="004F6AC7">
      <w:pPr>
        <w:pStyle w:val="Text1"/>
        <w:rPr>
          <w:noProof/>
        </w:rPr>
      </w:pPr>
    </w:p>
    <w:p w14:paraId="711F4F00" w14:textId="52BD8052" w:rsidR="001A3A0C" w:rsidRPr="006F430E" w:rsidRDefault="001A3A0C" w:rsidP="0024257C">
      <w:pPr>
        <w:pStyle w:val="ManualHeading2"/>
        <w:rPr>
          <w:bCs/>
          <w:noProof/>
          <w:szCs w:val="24"/>
        </w:rPr>
      </w:pPr>
      <w:r w:rsidRPr="006F430E">
        <w:rPr>
          <w:noProof/>
        </w:rPr>
        <w:br w:type="page"/>
      </w:r>
      <w:bookmarkStart w:id="23" w:name="_Toc514938039"/>
      <w:bookmarkStart w:id="24" w:name="_Toc520485040"/>
      <w:r w:rsidR="0024257C" w:rsidRPr="0024257C">
        <w:t>1.6.</w:t>
      </w:r>
      <w:r w:rsidR="0024257C" w:rsidRPr="0024257C">
        <w:tab/>
      </w:r>
      <w:r w:rsidRPr="006F430E">
        <w:rPr>
          <w:noProof/>
        </w:rPr>
        <w:t>Durée et incidence financière de la proposition/de l’initiative</w:t>
      </w:r>
      <w:bookmarkEnd w:id="23"/>
      <w:bookmarkEnd w:id="24"/>
    </w:p>
    <w:p w14:paraId="5926B8E5" w14:textId="77777777" w:rsidR="001A3A0C" w:rsidRPr="006F430E" w:rsidRDefault="00321790" w:rsidP="004F6AC7">
      <w:pPr>
        <w:pStyle w:val="Text1"/>
        <w:rPr>
          <w:noProof/>
        </w:rPr>
      </w:pPr>
      <w:r w:rsidRPr="006F430E">
        <w:rPr>
          <w:b/>
          <w:noProof/>
        </w:rPr>
        <w:t>X</w:t>
      </w:r>
      <w:r w:rsidRPr="006F430E">
        <w:rPr>
          <w:b/>
          <w:i/>
          <w:noProof/>
        </w:rPr>
        <w:t xml:space="preserve"> </w:t>
      </w:r>
      <w:r w:rsidRPr="006F430E">
        <w:rPr>
          <w:b/>
          <w:noProof/>
        </w:rPr>
        <w:t xml:space="preserve">Durée limitée </w:t>
      </w:r>
    </w:p>
    <w:p w14:paraId="3D9019CF" w14:textId="1926B688" w:rsidR="001A3A0C" w:rsidRPr="006F430E" w:rsidRDefault="001A3A0C" w:rsidP="004F6AC7">
      <w:pPr>
        <w:pStyle w:val="ListDash2"/>
        <w:rPr>
          <w:noProof/>
        </w:rPr>
      </w:pPr>
      <w:r w:rsidRPr="006F430E">
        <w:rPr>
          <w:noProof/>
        </w:rPr>
        <w:sym w:font="Wingdings" w:char="F0A8"/>
      </w:r>
      <w:r w:rsidRPr="006F430E">
        <w:rPr>
          <w:noProof/>
        </w:rPr>
        <w:tab/>
        <w:t xml:space="preserve">en vigueur de 2022 à 2024 </w:t>
      </w:r>
    </w:p>
    <w:p w14:paraId="5C3AF443" w14:textId="7E4F69DD" w:rsidR="001A3A0C" w:rsidRPr="006F430E" w:rsidRDefault="001A3A0C" w:rsidP="004F6AC7">
      <w:pPr>
        <w:pStyle w:val="ListDash2"/>
        <w:rPr>
          <w:noProof/>
        </w:rPr>
      </w:pPr>
      <w:r w:rsidRPr="006F430E">
        <w:rPr>
          <w:noProof/>
        </w:rPr>
        <w:sym w:font="Wingdings" w:char="F0A8"/>
      </w:r>
      <w:r w:rsidRPr="006F430E">
        <w:rPr>
          <w:noProof/>
        </w:rPr>
        <w:tab/>
        <w:t xml:space="preserve">Incidence financière de 2022 à 2024 pour les crédits d’engagement et de 2022 à 2025 pour les crédits de paiement. </w:t>
      </w:r>
    </w:p>
    <w:p w14:paraId="5CB994EA" w14:textId="77777777" w:rsidR="001A3A0C" w:rsidRPr="006F430E" w:rsidRDefault="001A3A0C" w:rsidP="004F6AC7">
      <w:pPr>
        <w:pStyle w:val="Text1"/>
        <w:rPr>
          <w:noProof/>
        </w:rPr>
      </w:pPr>
      <w:r w:rsidRPr="006F430E">
        <w:rPr>
          <w:noProof/>
        </w:rPr>
        <w:sym w:font="Wingdings" w:char="F0A8"/>
      </w:r>
      <w:r w:rsidRPr="006F430E">
        <w:rPr>
          <w:b/>
          <w:i/>
          <w:noProof/>
        </w:rPr>
        <w:t xml:space="preserve"> </w:t>
      </w:r>
      <w:r w:rsidRPr="006F430E">
        <w:rPr>
          <w:b/>
          <w:noProof/>
        </w:rPr>
        <w:t>durée illimitée</w:t>
      </w:r>
    </w:p>
    <w:p w14:paraId="5692C865" w14:textId="77777777" w:rsidR="001A3A0C" w:rsidRPr="006F430E" w:rsidRDefault="001A3A0C" w:rsidP="004F6AC7">
      <w:pPr>
        <w:pStyle w:val="ListDash1"/>
        <w:rPr>
          <w:noProof/>
        </w:rPr>
      </w:pPr>
      <w:r w:rsidRPr="006F430E">
        <w:rPr>
          <w:noProof/>
        </w:rPr>
        <w:t>Mise en œuvre avec une période de montée en puissance de AAAA jusqu’en AAAA,</w:t>
      </w:r>
    </w:p>
    <w:p w14:paraId="581EC067" w14:textId="77777777" w:rsidR="001A3A0C" w:rsidRPr="006F430E" w:rsidRDefault="001A3A0C" w:rsidP="004F6AC7">
      <w:pPr>
        <w:pStyle w:val="ListDash1"/>
        <w:rPr>
          <w:noProof/>
        </w:rPr>
      </w:pPr>
      <w:r w:rsidRPr="006F430E">
        <w:rPr>
          <w:noProof/>
        </w:rPr>
        <w:t>puis un fonctionnement en rythme de croisière au-delà.</w:t>
      </w:r>
    </w:p>
    <w:p w14:paraId="2EC816F8" w14:textId="588DCB4F" w:rsidR="001A3A0C" w:rsidRPr="006F430E" w:rsidRDefault="0024257C" w:rsidP="0024257C">
      <w:pPr>
        <w:pStyle w:val="ManualHeading2"/>
        <w:rPr>
          <w:bCs/>
          <w:noProof/>
          <w:szCs w:val="24"/>
        </w:rPr>
      </w:pPr>
      <w:bookmarkStart w:id="25" w:name="_Toc514938040"/>
      <w:bookmarkStart w:id="26" w:name="_Toc520485041"/>
      <w:r w:rsidRPr="0024257C">
        <w:t>1.7.</w:t>
      </w:r>
      <w:r w:rsidRPr="0024257C">
        <w:tab/>
      </w:r>
      <w:r w:rsidR="001A3A0C" w:rsidRPr="006F430E">
        <w:rPr>
          <w:noProof/>
        </w:rPr>
        <w:t>Mode(s) de gestion prévu(s)</w:t>
      </w:r>
      <w:r w:rsidR="001A3A0C" w:rsidRPr="006F430E">
        <w:rPr>
          <w:rStyle w:val="FootnoteReference"/>
          <w:noProof/>
        </w:rPr>
        <w:footnoteReference w:id="12"/>
      </w:r>
      <w:r w:rsidR="001A3A0C" w:rsidRPr="006F430E">
        <w:rPr>
          <w:rStyle w:val="FootnoteReference"/>
          <w:noProof/>
        </w:rPr>
        <w:t xml:space="preserve"> </w:t>
      </w:r>
      <w:bookmarkEnd w:id="25"/>
      <w:bookmarkEnd w:id="26"/>
      <w:r w:rsidR="001A3A0C" w:rsidRPr="006F430E">
        <w:rPr>
          <w:rStyle w:val="FootnoteReference"/>
          <w:noProof/>
        </w:rPr>
        <w:t xml:space="preserve"> </w:t>
      </w:r>
    </w:p>
    <w:p w14:paraId="4D2602FB" w14:textId="77777777" w:rsidR="001A3A0C" w:rsidRPr="006F430E" w:rsidRDefault="00321790" w:rsidP="004F6AC7">
      <w:pPr>
        <w:pStyle w:val="Text1"/>
        <w:rPr>
          <w:noProof/>
        </w:rPr>
      </w:pPr>
      <w:r w:rsidRPr="006F430E">
        <w:rPr>
          <w:b/>
          <w:noProof/>
        </w:rPr>
        <w:t>X</w:t>
      </w:r>
      <w:r w:rsidRPr="006F430E">
        <w:rPr>
          <w:i/>
          <w:noProof/>
        </w:rPr>
        <w:t xml:space="preserve"> </w:t>
      </w:r>
      <w:r w:rsidRPr="006F430E">
        <w:rPr>
          <w:b/>
          <w:noProof/>
        </w:rPr>
        <w:t>Gestion directe</w:t>
      </w:r>
      <w:r w:rsidRPr="006F430E">
        <w:rPr>
          <w:noProof/>
        </w:rPr>
        <w:t xml:space="preserve"> par la Commission</w:t>
      </w:r>
    </w:p>
    <w:p w14:paraId="464D3DAF" w14:textId="75A95960" w:rsidR="001A3A0C" w:rsidRPr="006F430E" w:rsidRDefault="001C6FC4" w:rsidP="004F6AC7">
      <w:pPr>
        <w:pStyle w:val="ListDash2"/>
        <w:rPr>
          <w:rFonts w:cs="EUAlbertina"/>
          <w:noProof/>
        </w:rPr>
      </w:pPr>
      <w:r w:rsidRPr="006F430E">
        <w:rPr>
          <w:b/>
          <w:noProof/>
        </w:rPr>
        <w:t xml:space="preserve">X </w:t>
      </w:r>
      <w:r w:rsidRPr="006F430E">
        <w:rPr>
          <w:noProof/>
        </w:rPr>
        <w:t xml:space="preserve">dans ses services, y compris par l’intermédiaire de son personnel dans les délégations de l’Union; </w:t>
      </w:r>
    </w:p>
    <w:p w14:paraId="1C444EFF" w14:textId="77777777" w:rsidR="001A3A0C" w:rsidRPr="006F430E" w:rsidRDefault="001A3A0C" w:rsidP="004F6AC7">
      <w:pPr>
        <w:pStyle w:val="ListDash2"/>
        <w:rPr>
          <w:noProof/>
        </w:rPr>
      </w:pPr>
      <w:r w:rsidRPr="006F430E">
        <w:rPr>
          <w:noProof/>
        </w:rPr>
        <w:sym w:font="Wingdings" w:char="F0A8"/>
      </w:r>
      <w:r w:rsidRPr="006F430E">
        <w:rPr>
          <w:noProof/>
        </w:rPr>
        <w:tab/>
        <w:t xml:space="preserve">par les agences exécutives </w:t>
      </w:r>
    </w:p>
    <w:p w14:paraId="0397601C" w14:textId="77777777" w:rsidR="001A3A0C" w:rsidRPr="006F430E" w:rsidRDefault="001A3A0C" w:rsidP="004F6AC7">
      <w:pPr>
        <w:pStyle w:val="Text1"/>
        <w:rPr>
          <w:noProof/>
        </w:rPr>
      </w:pPr>
      <w:r w:rsidRPr="006F430E">
        <w:rPr>
          <w:noProof/>
        </w:rPr>
        <w:sym w:font="Wingdings" w:char="F0A8"/>
      </w:r>
      <w:r w:rsidRPr="006F430E">
        <w:rPr>
          <w:b/>
          <w:i/>
          <w:noProof/>
        </w:rPr>
        <w:t xml:space="preserve"> </w:t>
      </w:r>
      <w:r w:rsidRPr="006F430E">
        <w:rPr>
          <w:b/>
          <w:noProof/>
        </w:rPr>
        <w:t>Gestion partagée</w:t>
      </w:r>
      <w:r w:rsidRPr="006F430E">
        <w:rPr>
          <w:noProof/>
        </w:rPr>
        <w:t xml:space="preserve"> avec les États membres </w:t>
      </w:r>
    </w:p>
    <w:p w14:paraId="614ED2FC" w14:textId="77777777" w:rsidR="001A3A0C" w:rsidRPr="006F430E" w:rsidRDefault="001A3A0C" w:rsidP="004F6AC7">
      <w:pPr>
        <w:pStyle w:val="Text1"/>
        <w:rPr>
          <w:noProof/>
        </w:rPr>
      </w:pPr>
      <w:r w:rsidRPr="006F430E">
        <w:rPr>
          <w:noProof/>
        </w:rPr>
        <w:sym w:font="Wingdings" w:char="F0A8"/>
      </w:r>
      <w:r w:rsidRPr="006F430E">
        <w:rPr>
          <w:i/>
          <w:noProof/>
        </w:rPr>
        <w:t xml:space="preserve"> </w:t>
      </w:r>
      <w:r w:rsidRPr="006F430E">
        <w:rPr>
          <w:b/>
          <w:noProof/>
        </w:rPr>
        <w:t>Gestion indirecte</w:t>
      </w:r>
      <w:r w:rsidRPr="006F430E">
        <w:rPr>
          <w:noProof/>
        </w:rPr>
        <w:t xml:space="preserve"> en confiant des tâches d’exécution budgétaire:</w:t>
      </w:r>
    </w:p>
    <w:p w14:paraId="2800EBF5" w14:textId="77777777" w:rsidR="001A3A0C" w:rsidRPr="006F430E" w:rsidRDefault="001A3A0C" w:rsidP="004F6AC7">
      <w:pPr>
        <w:pStyle w:val="ListDash2"/>
        <w:rPr>
          <w:noProof/>
        </w:rPr>
      </w:pPr>
      <w:r w:rsidRPr="006F430E">
        <w:rPr>
          <w:noProof/>
        </w:rPr>
        <w:sym w:font="Wingdings" w:char="F0A8"/>
      </w:r>
      <w:r w:rsidRPr="006F430E">
        <w:rPr>
          <w:noProof/>
        </w:rPr>
        <w:t xml:space="preserve"> à des pays tiers ou des organismes qu’ils ont désignés;</w:t>
      </w:r>
    </w:p>
    <w:p w14:paraId="4668EABF" w14:textId="77777777" w:rsidR="001A3A0C" w:rsidRPr="006F430E" w:rsidRDefault="001A3A0C" w:rsidP="004F6AC7">
      <w:pPr>
        <w:pStyle w:val="ListDash2"/>
        <w:rPr>
          <w:noProof/>
        </w:rPr>
      </w:pPr>
      <w:r w:rsidRPr="006F430E">
        <w:rPr>
          <w:noProof/>
        </w:rPr>
        <w:sym w:font="Wingdings" w:char="F0A8"/>
      </w:r>
      <w:r w:rsidRPr="006F430E">
        <w:rPr>
          <w:noProof/>
        </w:rPr>
        <w:t xml:space="preserve"> à des organisations internationales et à leurs agences (à préciser);</w:t>
      </w:r>
    </w:p>
    <w:p w14:paraId="42028BEF" w14:textId="77777777" w:rsidR="001A3A0C" w:rsidRPr="006F430E" w:rsidRDefault="001A3A0C" w:rsidP="004F6AC7">
      <w:pPr>
        <w:pStyle w:val="ListDash2"/>
        <w:rPr>
          <w:noProof/>
        </w:rPr>
      </w:pPr>
      <w:r w:rsidRPr="006F430E">
        <w:rPr>
          <w:noProof/>
        </w:rPr>
        <w:sym w:font="Wingdings" w:char="F0A8"/>
      </w:r>
      <w:r w:rsidRPr="006F430E">
        <w:rPr>
          <w:noProof/>
        </w:rPr>
        <w:t xml:space="preserve"> à la BEI et au Fonds européen d’investissement;</w:t>
      </w:r>
    </w:p>
    <w:p w14:paraId="76BF34E6" w14:textId="77777777" w:rsidR="001A3A0C" w:rsidRPr="006F430E" w:rsidRDefault="001A3A0C" w:rsidP="004F6AC7">
      <w:pPr>
        <w:pStyle w:val="ListDash2"/>
        <w:rPr>
          <w:noProof/>
        </w:rPr>
      </w:pPr>
      <w:r w:rsidRPr="006F430E">
        <w:rPr>
          <w:noProof/>
        </w:rPr>
        <w:sym w:font="Wingdings" w:char="F0A8"/>
      </w:r>
      <w:r w:rsidRPr="006F430E">
        <w:rPr>
          <w:noProof/>
        </w:rPr>
        <w:t xml:space="preserve"> aux organismes visés aux articles 70 et 71 du règlement financier;</w:t>
      </w:r>
    </w:p>
    <w:p w14:paraId="205D5D08" w14:textId="77777777" w:rsidR="001A3A0C" w:rsidRPr="006F430E" w:rsidRDefault="001A3A0C" w:rsidP="004F6AC7">
      <w:pPr>
        <w:pStyle w:val="ListDash2"/>
        <w:rPr>
          <w:noProof/>
        </w:rPr>
      </w:pPr>
      <w:r w:rsidRPr="006F430E">
        <w:rPr>
          <w:noProof/>
        </w:rPr>
        <w:sym w:font="Wingdings" w:char="F0A8"/>
      </w:r>
      <w:r w:rsidRPr="006F430E">
        <w:rPr>
          <w:noProof/>
        </w:rPr>
        <w:t xml:space="preserve"> à des organismes de droit public;</w:t>
      </w:r>
    </w:p>
    <w:p w14:paraId="38C6D0F3" w14:textId="77777777" w:rsidR="001A3A0C" w:rsidRPr="006F430E" w:rsidRDefault="001A3A0C" w:rsidP="004F6AC7">
      <w:pPr>
        <w:pStyle w:val="ListDash2"/>
        <w:rPr>
          <w:noProof/>
        </w:rPr>
      </w:pPr>
      <w:r w:rsidRPr="006F430E">
        <w:rPr>
          <w:noProof/>
        </w:rPr>
        <w:sym w:font="Wingdings" w:char="F0A8"/>
      </w:r>
      <w:r w:rsidRPr="006F430E">
        <w:rPr>
          <w:noProof/>
        </w:rPr>
        <w:t xml:space="preserve"> à des entités de droit privé investies d’une mission de service public, pour autant qu’elles soient dotées de garanties financières suffisantes;</w:t>
      </w:r>
    </w:p>
    <w:p w14:paraId="3E4ADA56" w14:textId="77777777" w:rsidR="001A3A0C" w:rsidRPr="006F430E" w:rsidRDefault="001A3A0C" w:rsidP="004F6AC7">
      <w:pPr>
        <w:pStyle w:val="ListDash2"/>
        <w:rPr>
          <w:noProof/>
        </w:rPr>
      </w:pPr>
      <w:r w:rsidRPr="006F430E">
        <w:rPr>
          <w:noProof/>
        </w:rPr>
        <w:sym w:font="Wingdings" w:char="F0A8"/>
      </w:r>
      <w:r w:rsidRPr="006F430E">
        <w:rPr>
          <w:noProof/>
        </w:rPr>
        <w:t xml:space="preserve"> à des organismes de droit privé d’un État membre qui sont chargés de la mise en œuvre d’un partenariat public-privé et sont dotés de garanties financières suffisantes;</w:t>
      </w:r>
    </w:p>
    <w:p w14:paraId="58A6E9D6" w14:textId="77777777" w:rsidR="001A3A0C" w:rsidRPr="006F430E" w:rsidRDefault="001A3A0C" w:rsidP="004F6AC7">
      <w:pPr>
        <w:pStyle w:val="ListDash2"/>
        <w:rPr>
          <w:noProof/>
        </w:rPr>
      </w:pPr>
      <w:r w:rsidRPr="006F430E">
        <w:rPr>
          <w:noProof/>
        </w:rPr>
        <w:sym w:font="Wingdings" w:char="F0A8"/>
      </w:r>
      <w:r w:rsidRPr="006F430E">
        <w:rPr>
          <w:noProof/>
        </w:rPr>
        <w:t xml:space="preserve"> à des personnes chargées de l’exécution d’actions spécifiques relevant de la PESC, en vertu du titre V du traité sur l’Union européenne, identifiées dans l’acte de base concerné.</w:t>
      </w:r>
    </w:p>
    <w:p w14:paraId="1665935B" w14:textId="77777777" w:rsidR="001A3A0C" w:rsidRPr="006F430E" w:rsidRDefault="001A3A0C" w:rsidP="004F6AC7">
      <w:pPr>
        <w:pStyle w:val="ListDash2"/>
        <w:rPr>
          <w:i/>
          <w:noProof/>
          <w:sz w:val="18"/>
          <w:u w:val="single"/>
        </w:rPr>
      </w:pPr>
      <w:r w:rsidRPr="006F430E">
        <w:rPr>
          <w:i/>
          <w:noProof/>
          <w:sz w:val="18"/>
        </w:rPr>
        <w:t>Si plusieurs modes de gestion sont indiqués, veuillez donner des précisions dans la partie «Remarques».</w:t>
      </w:r>
    </w:p>
    <w:p w14:paraId="51D2D104" w14:textId="77777777" w:rsidR="001A3A0C" w:rsidRPr="006F430E" w:rsidRDefault="001A3A0C" w:rsidP="004F6AC7">
      <w:pPr>
        <w:rPr>
          <w:noProof/>
        </w:rPr>
      </w:pPr>
      <w:r w:rsidRPr="006F430E">
        <w:rPr>
          <w:noProof/>
        </w:rPr>
        <w:t xml:space="preserve">Remarques </w:t>
      </w:r>
    </w:p>
    <w:p w14:paraId="1FA960D2" w14:textId="77777777" w:rsidR="001A3A0C" w:rsidRPr="006F430E" w:rsidRDefault="001A3A0C" w:rsidP="004F6AC7">
      <w:pPr>
        <w:pBdr>
          <w:top w:val="single" w:sz="4" w:space="1" w:color="auto"/>
          <w:left w:val="single" w:sz="4" w:space="4" w:color="auto"/>
          <w:bottom w:val="single" w:sz="4" w:space="1" w:color="auto"/>
          <w:right w:val="single" w:sz="4" w:space="4" w:color="auto"/>
        </w:pBdr>
        <w:rPr>
          <w:noProof/>
        </w:rPr>
      </w:pPr>
    </w:p>
    <w:p w14:paraId="3FF40E03" w14:textId="77777777" w:rsidR="001A3A0C" w:rsidRPr="006F430E" w:rsidRDefault="001A3A0C" w:rsidP="004F6AC7">
      <w:pPr>
        <w:rPr>
          <w:noProof/>
        </w:rPr>
        <w:sectPr w:rsidR="001A3A0C" w:rsidRPr="006F430E" w:rsidSect="005A33DF">
          <w:pgSz w:w="11907" w:h="16840" w:code="9"/>
          <w:pgMar w:top="1134" w:right="1418" w:bottom="1134" w:left="1418" w:header="709" w:footer="709" w:gutter="0"/>
          <w:cols w:space="708"/>
          <w:docGrid w:linePitch="360"/>
        </w:sectPr>
      </w:pPr>
    </w:p>
    <w:p w14:paraId="10CA6C00" w14:textId="2D6D6378" w:rsidR="001A3A0C" w:rsidRPr="006F430E" w:rsidRDefault="0024257C" w:rsidP="0024257C">
      <w:pPr>
        <w:pStyle w:val="ManualHeading1"/>
        <w:rPr>
          <w:bCs/>
          <w:noProof/>
          <w:szCs w:val="24"/>
        </w:rPr>
      </w:pPr>
      <w:bookmarkStart w:id="27" w:name="_Toc514938041"/>
      <w:bookmarkStart w:id="28" w:name="_Toc520485042"/>
      <w:r w:rsidRPr="0024257C">
        <w:t>2.</w:t>
      </w:r>
      <w:r w:rsidRPr="0024257C">
        <w:tab/>
      </w:r>
      <w:r w:rsidR="001A3A0C" w:rsidRPr="006F430E">
        <w:rPr>
          <w:noProof/>
        </w:rPr>
        <w:t>MESURES DE GESTION</w:t>
      </w:r>
      <w:bookmarkEnd w:id="27"/>
      <w:bookmarkEnd w:id="28"/>
      <w:r w:rsidR="001A3A0C" w:rsidRPr="006F430E">
        <w:rPr>
          <w:noProof/>
        </w:rPr>
        <w:t xml:space="preserve"> </w:t>
      </w:r>
    </w:p>
    <w:p w14:paraId="409DE67C" w14:textId="001B2BD6" w:rsidR="001A3A0C" w:rsidRPr="006F430E" w:rsidRDefault="0024257C" w:rsidP="0024257C">
      <w:pPr>
        <w:pStyle w:val="ManualHeading2"/>
        <w:rPr>
          <w:noProof/>
        </w:rPr>
      </w:pPr>
      <w:bookmarkStart w:id="29" w:name="_Toc514938042"/>
      <w:bookmarkStart w:id="30" w:name="_Toc520485043"/>
      <w:r w:rsidRPr="0024257C">
        <w:t>2.1.</w:t>
      </w:r>
      <w:r w:rsidRPr="0024257C">
        <w:tab/>
      </w:r>
      <w:r w:rsidR="001A3A0C" w:rsidRPr="006F430E">
        <w:rPr>
          <w:noProof/>
        </w:rPr>
        <w:t>Dispositions en matière de suivi et de compte rendu</w:t>
      </w:r>
      <w:bookmarkEnd w:id="29"/>
      <w:bookmarkEnd w:id="30"/>
      <w:r w:rsidR="001A3A0C" w:rsidRPr="006F430E">
        <w:rPr>
          <w:noProof/>
        </w:rPr>
        <w:t xml:space="preserve"> </w:t>
      </w:r>
    </w:p>
    <w:p w14:paraId="049FFC84" w14:textId="77777777" w:rsidR="001A3A0C" w:rsidRPr="006F430E" w:rsidRDefault="001A3A0C" w:rsidP="004F6AC7">
      <w:pPr>
        <w:pStyle w:val="Text1"/>
        <w:rPr>
          <w:i/>
          <w:noProof/>
          <w:sz w:val="20"/>
        </w:rPr>
      </w:pPr>
      <w:r w:rsidRPr="006F430E">
        <w:rPr>
          <w:i/>
          <w:noProof/>
          <w:sz w:val="20"/>
        </w:rPr>
        <w:t>Préciser la fréquence et les conditions de ces dispositions.</w:t>
      </w:r>
    </w:p>
    <w:p w14:paraId="08A702C9" w14:textId="77777777" w:rsidR="00F33084" w:rsidRPr="006F430E" w:rsidRDefault="00F33084" w:rsidP="00F33084">
      <w:pPr>
        <w:pStyle w:val="Text1"/>
        <w:pBdr>
          <w:top w:val="single" w:sz="4" w:space="1" w:color="auto"/>
          <w:left w:val="single" w:sz="4" w:space="4" w:color="auto"/>
          <w:bottom w:val="single" w:sz="4" w:space="1" w:color="auto"/>
          <w:right w:val="single" w:sz="4" w:space="4" w:color="auto"/>
        </w:pBdr>
        <w:rPr>
          <w:noProof/>
        </w:rPr>
      </w:pPr>
      <w:r w:rsidRPr="006F430E">
        <w:rPr>
          <w:noProof/>
        </w:rPr>
        <w:t xml:space="preserve">Les actions à financer au titre de la présente décision seront mises en œuvre en gestion directe par la Commission, au siège et avec l’appui des délégations de l’Union. </w:t>
      </w:r>
    </w:p>
    <w:p w14:paraId="0A22A0A8" w14:textId="77777777" w:rsidR="001A3A0C" w:rsidRPr="006F430E" w:rsidRDefault="00F33084" w:rsidP="00F33084">
      <w:pPr>
        <w:pStyle w:val="Text1"/>
        <w:pBdr>
          <w:top w:val="single" w:sz="4" w:space="1" w:color="auto"/>
          <w:left w:val="single" w:sz="4" w:space="4" w:color="auto"/>
          <w:bottom w:val="single" w:sz="4" w:space="1" w:color="auto"/>
          <w:right w:val="single" w:sz="4" w:space="4" w:color="auto"/>
        </w:pBdr>
        <w:rPr>
          <w:noProof/>
        </w:rPr>
      </w:pPr>
      <w:r w:rsidRPr="006F430E">
        <w:rPr>
          <w:noProof/>
        </w:rPr>
        <w:t xml:space="preserve">Cette assistance, de nature macroéconomique, est conçue de façon à être compatible avec le programme soutenu par le FMI. Le contrôle de l’action par les services de la Commission portera sur les progrès réalisés dans la mise en œuvre de la convention conclue avec le FMI et des réformes spécifiques qui seront arrêtées avec les autorités des partenaires dans un protocole d’accord. La fréquence à laquelle il sera réalisé dépendra du nombre de versements (voir aussi le point 1.4.4.). </w:t>
      </w:r>
    </w:p>
    <w:p w14:paraId="6D79F304" w14:textId="73C8F991" w:rsidR="001A3A0C" w:rsidRPr="006F430E" w:rsidRDefault="0024257C" w:rsidP="0024257C">
      <w:pPr>
        <w:pStyle w:val="ManualHeading2"/>
        <w:rPr>
          <w:bCs/>
          <w:noProof/>
          <w:szCs w:val="24"/>
        </w:rPr>
      </w:pPr>
      <w:bookmarkStart w:id="31" w:name="_Toc514938045"/>
      <w:bookmarkStart w:id="32" w:name="_Toc520485044"/>
      <w:r w:rsidRPr="0024257C">
        <w:t>2.2.</w:t>
      </w:r>
      <w:r w:rsidRPr="0024257C">
        <w:tab/>
      </w:r>
      <w:r w:rsidR="001A3A0C" w:rsidRPr="006F430E">
        <w:rPr>
          <w:noProof/>
        </w:rPr>
        <w:t>Système(s) de gestion et de contrôle</w:t>
      </w:r>
      <w:bookmarkEnd w:id="31"/>
      <w:bookmarkEnd w:id="32"/>
      <w:r w:rsidR="001A3A0C" w:rsidRPr="006F430E">
        <w:rPr>
          <w:noProof/>
        </w:rPr>
        <w:t xml:space="preserve"> </w:t>
      </w:r>
    </w:p>
    <w:p w14:paraId="7A6CE42D" w14:textId="65CC904E" w:rsidR="001A3A0C" w:rsidRPr="006F430E" w:rsidRDefault="0024257C" w:rsidP="0024257C">
      <w:pPr>
        <w:pStyle w:val="ManualHeading3"/>
        <w:rPr>
          <w:noProof/>
        </w:rPr>
      </w:pPr>
      <w:bookmarkStart w:id="33" w:name="_Toc514938046"/>
      <w:bookmarkStart w:id="34" w:name="_Toc520485045"/>
      <w:r w:rsidRPr="0024257C">
        <w:t>2.2.1.</w:t>
      </w:r>
      <w:r w:rsidRPr="0024257C">
        <w:tab/>
      </w:r>
      <w:r w:rsidR="001A3A0C" w:rsidRPr="006F430E">
        <w:rPr>
          <w:noProof/>
        </w:rPr>
        <w:t>Justification du (des) mode(s) de gestion, du (des) mécanisme(s) de mise en œuvre des financements, des modalités de paiement et de la stratégie de contrôle proposée</w:t>
      </w:r>
      <w:bookmarkEnd w:id="33"/>
      <w:bookmarkEnd w:id="34"/>
    </w:p>
    <w:p w14:paraId="3E7A78C6" w14:textId="77777777" w:rsidR="007D01AA" w:rsidRPr="006F430E" w:rsidRDefault="007D01AA" w:rsidP="007D01AA">
      <w:pPr>
        <w:pStyle w:val="Text1"/>
        <w:pBdr>
          <w:top w:val="single" w:sz="4" w:space="1" w:color="auto"/>
          <w:left w:val="single" w:sz="4" w:space="4" w:color="auto"/>
          <w:bottom w:val="single" w:sz="4" w:space="1" w:color="auto"/>
          <w:right w:val="single" w:sz="4" w:space="4" w:color="auto"/>
        </w:pBdr>
        <w:rPr>
          <w:noProof/>
        </w:rPr>
      </w:pPr>
      <w:bookmarkStart w:id="35" w:name="_Toc514938047"/>
      <w:bookmarkStart w:id="36" w:name="_Toc520485046"/>
      <w:r w:rsidRPr="006F430E">
        <w:rPr>
          <w:noProof/>
        </w:rPr>
        <w:t xml:space="preserve">Les actions à financer au titre de la présente décision seront mises en œuvre en gestion directe par la Commission, au siège et avec l’appui des délégations de l’Union. </w:t>
      </w:r>
    </w:p>
    <w:p w14:paraId="7B782974" w14:textId="77777777" w:rsidR="007D01AA" w:rsidRPr="006F430E" w:rsidRDefault="007D01AA" w:rsidP="007D01AA">
      <w:pPr>
        <w:pStyle w:val="Text1"/>
        <w:pBdr>
          <w:top w:val="single" w:sz="4" w:space="1" w:color="auto"/>
          <w:left w:val="single" w:sz="4" w:space="4" w:color="auto"/>
          <w:bottom w:val="single" w:sz="4" w:space="1" w:color="auto"/>
          <w:right w:val="single" w:sz="4" w:space="4" w:color="auto"/>
        </w:pBdr>
        <w:rPr>
          <w:noProof/>
        </w:rPr>
      </w:pPr>
      <w:r w:rsidRPr="006F430E">
        <w:rPr>
          <w:noProof/>
        </w:rPr>
        <w:t>Les décaissements de l’AMF sont subordonnés à des évaluations concluantes ainsi qu’au respect de conditions afférentes à chaque opération. Le respect des conditions fait l’objet d’un suivi attentif de la Commission, en collaboration étroite avec les délégations de l’Union.</w:t>
      </w:r>
    </w:p>
    <w:p w14:paraId="4BDB4C10" w14:textId="041647C9" w:rsidR="001A3A0C" w:rsidRPr="006F430E" w:rsidRDefault="0024257C" w:rsidP="0024257C">
      <w:pPr>
        <w:pStyle w:val="ManualHeading3"/>
        <w:rPr>
          <w:bCs/>
          <w:noProof/>
          <w:szCs w:val="24"/>
        </w:rPr>
      </w:pPr>
      <w:r w:rsidRPr="0024257C">
        <w:t>2.2.2.</w:t>
      </w:r>
      <w:r w:rsidRPr="0024257C">
        <w:tab/>
      </w:r>
      <w:r w:rsidR="001A3A0C" w:rsidRPr="006F430E">
        <w:rPr>
          <w:noProof/>
        </w:rPr>
        <w:t>Informations sur les risques recensés et sur le(s) système(s) de contrôle interne mis en place pour les atténuer</w:t>
      </w:r>
      <w:bookmarkEnd w:id="35"/>
      <w:bookmarkEnd w:id="36"/>
    </w:p>
    <w:p w14:paraId="3701E4A5" w14:textId="77777777" w:rsidR="00CA243F" w:rsidRPr="006F430E" w:rsidRDefault="00CA243F" w:rsidP="00CA243F">
      <w:pPr>
        <w:pStyle w:val="Text1"/>
        <w:pBdr>
          <w:top w:val="single" w:sz="4" w:space="1" w:color="auto"/>
          <w:left w:val="single" w:sz="4" w:space="4" w:color="auto"/>
          <w:bottom w:val="single" w:sz="4" w:space="1" w:color="auto"/>
          <w:right w:val="single" w:sz="4" w:space="4" w:color="auto"/>
        </w:pBdr>
        <w:rPr>
          <w:i/>
          <w:noProof/>
        </w:rPr>
      </w:pPr>
      <w:bookmarkStart w:id="37" w:name="_Toc514938048"/>
      <w:bookmarkStart w:id="38" w:name="_Toc520485047"/>
      <w:r w:rsidRPr="006F430E">
        <w:rPr>
          <w:i/>
          <w:noProof/>
        </w:rPr>
        <w:t>Risques identifiés</w:t>
      </w:r>
    </w:p>
    <w:p w14:paraId="5EAD57D2" w14:textId="77777777" w:rsidR="00CA243F" w:rsidRPr="006F430E" w:rsidRDefault="00CA243F" w:rsidP="00CA243F">
      <w:pPr>
        <w:pStyle w:val="Text1"/>
        <w:pBdr>
          <w:top w:val="single" w:sz="4" w:space="1" w:color="auto"/>
          <w:left w:val="single" w:sz="4" w:space="4" w:color="auto"/>
          <w:bottom w:val="single" w:sz="4" w:space="1" w:color="auto"/>
          <w:right w:val="single" w:sz="4" w:space="4" w:color="auto"/>
        </w:pBdr>
        <w:rPr>
          <w:noProof/>
        </w:rPr>
      </w:pPr>
      <w:r w:rsidRPr="006F430E">
        <w:rPr>
          <w:noProof/>
        </w:rPr>
        <w:t xml:space="preserve">Ces opérations d’AMF comportent des risques fiduciaires, des risques liés aux politiques mises en œuvre et des risques liés à la situation politique générale. </w:t>
      </w:r>
    </w:p>
    <w:p w14:paraId="3B0EF0E0" w14:textId="77777777" w:rsidR="00CA243F" w:rsidRPr="006F430E" w:rsidRDefault="00CA243F" w:rsidP="00CA243F">
      <w:pPr>
        <w:pStyle w:val="Text1"/>
        <w:pBdr>
          <w:top w:val="single" w:sz="4" w:space="1" w:color="auto"/>
          <w:left w:val="single" w:sz="4" w:space="4" w:color="auto"/>
          <w:bottom w:val="single" w:sz="4" w:space="1" w:color="auto"/>
          <w:right w:val="single" w:sz="4" w:space="4" w:color="auto"/>
        </w:pBdr>
        <w:rPr>
          <w:noProof/>
        </w:rPr>
      </w:pPr>
      <w:r w:rsidRPr="006F430E">
        <w:rPr>
          <w:noProof/>
        </w:rPr>
        <w:t>Le risque existe que l’AMF puisse être utilisée de manière frauduleuse. L’AMF n’étant pas destinée à financer des dépenses particulières (contrairement au financement de projets, par exemple), ce risque est lié à des facteurs tels que la qualité générale des systèmes de gestion de la banque centrale et du ministère des finances des partenaires, les procédures administratives, les fonctions de contrôle et de supervision, la sécurité des systèmes informatiques et l’adéquation des capacités d’audit interne et externe.</w:t>
      </w:r>
    </w:p>
    <w:p w14:paraId="473B9632" w14:textId="77777777" w:rsidR="00CA243F" w:rsidRPr="006F430E" w:rsidRDefault="00CA243F" w:rsidP="00CA243F">
      <w:pPr>
        <w:pStyle w:val="Text1"/>
        <w:pBdr>
          <w:top w:val="single" w:sz="4" w:space="1" w:color="auto"/>
          <w:left w:val="single" w:sz="4" w:space="4" w:color="auto"/>
          <w:bottom w:val="single" w:sz="4" w:space="1" w:color="auto"/>
          <w:right w:val="single" w:sz="4" w:space="4" w:color="auto"/>
        </w:pBdr>
        <w:rPr>
          <w:noProof/>
        </w:rPr>
      </w:pPr>
      <w:r w:rsidRPr="006F430E">
        <w:rPr>
          <w:noProof/>
        </w:rPr>
        <w:t>Un deuxième risque découle de la possibilité que les partenaires manquent aux engagements financiers que constituent les prêts de l’AMF proposée à l’égard de l’UE (risque de défaut ou de crédit), en raison, par exemple, d’une nouvelle détérioration importante de leur balance des paiements et de leur situation budgétaire.</w:t>
      </w:r>
    </w:p>
    <w:p w14:paraId="53FDC751" w14:textId="77777777" w:rsidR="00CA243F" w:rsidRPr="006F430E" w:rsidRDefault="00CA243F" w:rsidP="00CA243F">
      <w:pPr>
        <w:pStyle w:val="Text1"/>
        <w:pBdr>
          <w:top w:val="single" w:sz="4" w:space="1" w:color="auto"/>
          <w:left w:val="single" w:sz="4" w:space="4" w:color="auto"/>
          <w:bottom w:val="single" w:sz="4" w:space="1" w:color="auto"/>
          <w:right w:val="single" w:sz="4" w:space="4" w:color="auto"/>
        </w:pBdr>
        <w:rPr>
          <w:i/>
          <w:noProof/>
        </w:rPr>
      </w:pPr>
      <w:r w:rsidRPr="006F430E">
        <w:rPr>
          <w:i/>
          <w:noProof/>
        </w:rPr>
        <w:t>Systèmes de contrôle interne</w:t>
      </w:r>
    </w:p>
    <w:p w14:paraId="49D44F62" w14:textId="77777777" w:rsidR="00CA243F" w:rsidRPr="006F430E" w:rsidRDefault="00CA243F" w:rsidP="00CA243F">
      <w:pPr>
        <w:pStyle w:val="Text1"/>
        <w:pBdr>
          <w:top w:val="single" w:sz="4" w:space="1" w:color="auto"/>
          <w:left w:val="single" w:sz="4" w:space="4" w:color="auto"/>
          <w:bottom w:val="single" w:sz="4" w:space="1" w:color="auto"/>
          <w:right w:val="single" w:sz="4" w:space="4" w:color="auto"/>
        </w:pBdr>
        <w:rPr>
          <w:noProof/>
        </w:rPr>
      </w:pPr>
      <w:r w:rsidRPr="006F430E">
        <w:rPr>
          <w:noProof/>
        </w:rPr>
        <w:t>L’assistance macrofinancière sera soumise à des procédures de vérification, de contrôle et d’audit, sous la responsabilité de la Commission, et notamment de l’Office européen de lutte antifraude (OLAF), ainsi que de la Cour des comptes européenne, conformément à l’article 129 du règlement financier.</w:t>
      </w:r>
    </w:p>
    <w:p w14:paraId="70F63E16" w14:textId="77777777" w:rsidR="00CA243F" w:rsidRPr="006F430E" w:rsidRDefault="00CA243F" w:rsidP="00CA243F">
      <w:pPr>
        <w:pStyle w:val="Text1"/>
        <w:pBdr>
          <w:top w:val="single" w:sz="4" w:space="1" w:color="auto"/>
          <w:left w:val="single" w:sz="4" w:space="4" w:color="auto"/>
          <w:bottom w:val="single" w:sz="4" w:space="1" w:color="auto"/>
          <w:right w:val="single" w:sz="4" w:space="4" w:color="auto"/>
        </w:pBdr>
        <w:rPr>
          <w:noProof/>
        </w:rPr>
      </w:pPr>
      <w:r w:rsidRPr="006F430E">
        <w:rPr>
          <w:noProof/>
          <w:u w:val="single"/>
        </w:rPr>
        <w:t>Ex ante:</w:t>
      </w:r>
      <w:r w:rsidRPr="006F430E">
        <w:rPr>
          <w:noProof/>
        </w:rPr>
        <w:t xml:space="preserve"> évaluation, par la Commission, du système de gestion et de contrôle dans le pays bénéficiaire. Pour chaque pays bénéficiaire, une évaluation opérationnelle ex ante des circuits financiers et de l’environnement de contrôle est réalisée par la Commission, si nécessaire, avec l’appui technique de consultants. Une analyse des procédures comptables, une séparation des tâches et un audit interne/externe de la Banque centrale et du ministère des finances sont réalisés afin d’atteindre un niveau d’assurance raisonnable quant à la qualité de la gestion financière. Dans le cas où des lacunes seraient constatées, l’assistance ne sera décaissée qu’une fois que celles-ci auront été comblées. De plus, des dispositifs spécifiques pour les paiements (comptes cantonnés, par exemple) peuvent, le cas échéant, être mis en place.</w:t>
      </w:r>
    </w:p>
    <w:p w14:paraId="31B8C9E1" w14:textId="77777777" w:rsidR="00CA243F" w:rsidRPr="006F430E" w:rsidRDefault="00CA243F" w:rsidP="00CA243F">
      <w:pPr>
        <w:pStyle w:val="Text1"/>
        <w:pBdr>
          <w:top w:val="single" w:sz="4" w:space="1" w:color="auto"/>
          <w:left w:val="single" w:sz="4" w:space="4" w:color="auto"/>
          <w:bottom w:val="single" w:sz="4" w:space="1" w:color="auto"/>
          <w:right w:val="single" w:sz="4" w:space="4" w:color="auto"/>
        </w:pBdr>
        <w:rPr>
          <w:noProof/>
        </w:rPr>
      </w:pPr>
      <w:r w:rsidRPr="006F430E">
        <w:rPr>
          <w:noProof/>
          <w:u w:val="single"/>
        </w:rPr>
        <w:t>Pendant la mise en œuvre:</w:t>
      </w:r>
      <w:r w:rsidRPr="006F430E">
        <w:rPr>
          <w:noProof/>
        </w:rPr>
        <w:t xml:space="preserve"> contrôles, par la Commission, des déclarations périodiques des partenaires. Le versement est soumis 1) à la surveillance, par les services de la DG ECFIN, en étroite collaboration avec les délégations de l’UE et conjointement avec les parties prenantes externes, telles que le FMI, de la mise en œuvre des conditions définies, et 2) à la procédure normale de contrôle prévue par le circuit financier (modèle 2) utilisé à la DG ECFIN, dont la vérification, par l’unité financière, du respect des conditions précitées auxquelles est subordonné le décaissement de l’assistance. Les décaissements des opérations d’AMF peuvent être soumis à des vérifications ex post indépendantes supplémentaires (documentaires et/ou sur place) par les agents de l’équipe de contrôle ex post de la DG. De telles vérifications peuvent aussi être réalisées à la demande de l’ordonnateur subdélégué compétent. Des interruptions et suspensions des paiements, des corrections financières (par la Commission) et des récupérations peuvent être pratiquées si nécessaire (cela ne s’est jamais produit) et sont expressément prévues dans les conventions de financement conclues avec les partenaires.</w:t>
      </w:r>
    </w:p>
    <w:p w14:paraId="19258832" w14:textId="7372543B" w:rsidR="001A3A0C" w:rsidRPr="006F430E" w:rsidRDefault="0024257C" w:rsidP="0024257C">
      <w:pPr>
        <w:pStyle w:val="ManualHeading3"/>
        <w:rPr>
          <w:noProof/>
        </w:rPr>
      </w:pPr>
      <w:r w:rsidRPr="0024257C">
        <w:t>2.2.3.</w:t>
      </w:r>
      <w:r w:rsidRPr="0024257C">
        <w:tab/>
      </w:r>
      <w:r w:rsidR="001A3A0C" w:rsidRPr="006F430E">
        <w:rPr>
          <w:noProof/>
        </w:rPr>
        <w:t>Estimation et justification du rapport coût/efficacité des contrôles (rapport «coûts du contrôle ÷ valeur des fonds gérés concernés»), et évaluation du niveau attendu de risque d’erreur (lors du paiement et lors de la clôture)</w:t>
      </w:r>
      <w:bookmarkEnd w:id="37"/>
      <w:bookmarkEnd w:id="38"/>
      <w:r w:rsidR="001A3A0C" w:rsidRPr="006F430E">
        <w:rPr>
          <w:noProof/>
        </w:rPr>
        <w:t xml:space="preserve"> </w:t>
      </w:r>
    </w:p>
    <w:p w14:paraId="4FE69644" w14:textId="77777777" w:rsidR="004D2D10" w:rsidRPr="006F430E" w:rsidRDefault="004D2D10" w:rsidP="004D2D10">
      <w:pPr>
        <w:pStyle w:val="Text1"/>
        <w:pBdr>
          <w:top w:val="single" w:sz="4" w:space="1" w:color="auto"/>
          <w:left w:val="single" w:sz="4" w:space="4" w:color="auto"/>
          <w:bottom w:val="single" w:sz="4" w:space="1" w:color="auto"/>
          <w:right w:val="single" w:sz="4" w:space="4" w:color="auto"/>
        </w:pBdr>
        <w:rPr>
          <w:noProof/>
        </w:rPr>
      </w:pPr>
      <w:bookmarkStart w:id="39" w:name="_Toc514938049"/>
      <w:bookmarkStart w:id="40" w:name="_Toc520485048"/>
      <w:r w:rsidRPr="006F430E">
        <w:rPr>
          <w:noProof/>
        </w:rPr>
        <w:t xml:space="preserve">Grâce aux systèmes de contrôle en place, tels que les évaluations opérationnelles ex ante ou les évaluations ex post, le taux d’erreur effectif des paiements d’AMF est de 0 %. Aucun cas de fraude, de corruption ou d’activité illégale n’a jamais été signalé. Les opérations d’AMF obéissent à une logique d’intervention claire, qui permet à la Commission d’évaluer leur impact. Ces contrôles permettent la confirmation des assurances obtenues et de la réalisation des objectifs et priorités politiques. </w:t>
      </w:r>
    </w:p>
    <w:p w14:paraId="5C1FA011" w14:textId="17FD8209" w:rsidR="001A3A0C" w:rsidRPr="006F430E" w:rsidRDefault="0024257C" w:rsidP="0024257C">
      <w:pPr>
        <w:pStyle w:val="ManualHeading2"/>
        <w:rPr>
          <w:bCs/>
          <w:noProof/>
          <w:szCs w:val="24"/>
        </w:rPr>
      </w:pPr>
      <w:r w:rsidRPr="0024257C">
        <w:t>2.3.</w:t>
      </w:r>
      <w:r w:rsidRPr="0024257C">
        <w:tab/>
      </w:r>
      <w:r w:rsidR="001A3A0C" w:rsidRPr="006F430E">
        <w:rPr>
          <w:noProof/>
        </w:rPr>
        <w:t>Mesures de prévention des fraudes et irrégularités</w:t>
      </w:r>
      <w:bookmarkEnd w:id="39"/>
      <w:bookmarkEnd w:id="40"/>
      <w:r w:rsidR="001A3A0C" w:rsidRPr="006F430E">
        <w:rPr>
          <w:noProof/>
        </w:rPr>
        <w:t xml:space="preserve"> </w:t>
      </w:r>
    </w:p>
    <w:p w14:paraId="444CA58F" w14:textId="77777777" w:rsidR="001A3A0C" w:rsidRPr="006F430E" w:rsidRDefault="001A3A0C" w:rsidP="004F6AC7">
      <w:pPr>
        <w:pStyle w:val="Text1"/>
        <w:rPr>
          <w:i/>
          <w:noProof/>
          <w:sz w:val="20"/>
        </w:rPr>
      </w:pPr>
      <w:r w:rsidRPr="006F430E">
        <w:rPr>
          <w:i/>
          <w:noProof/>
          <w:sz w:val="20"/>
        </w:rPr>
        <w:t>Préciser les mesures de prévention et de protection existantes ou envisagées, au titre de la stratégie antifraude par exemple.</w:t>
      </w:r>
    </w:p>
    <w:p w14:paraId="4B7842AE" w14:textId="77777777" w:rsidR="00FA7084" w:rsidRPr="006F430E" w:rsidRDefault="00FA7084" w:rsidP="00FA7084">
      <w:pPr>
        <w:pStyle w:val="Text1"/>
        <w:pBdr>
          <w:top w:val="single" w:sz="4" w:space="1" w:color="auto"/>
          <w:left w:val="single" w:sz="4" w:space="4" w:color="auto"/>
          <w:bottom w:val="single" w:sz="4" w:space="1" w:color="auto"/>
          <w:right w:val="single" w:sz="4" w:space="4" w:color="auto"/>
        </w:pBdr>
        <w:rPr>
          <w:noProof/>
        </w:rPr>
      </w:pPr>
      <w:r w:rsidRPr="006F430E">
        <w:rPr>
          <w:noProof/>
        </w:rPr>
        <w:t xml:space="preserve">Plusieurs mesures ont été ou seront prises pour limiter les risques de détournement des fonds: </w:t>
      </w:r>
    </w:p>
    <w:p w14:paraId="5FA2DDFB" w14:textId="77777777" w:rsidR="00FA7084" w:rsidRPr="006F430E" w:rsidRDefault="00FA7084" w:rsidP="00FA7084">
      <w:pPr>
        <w:pStyle w:val="Text1"/>
        <w:pBdr>
          <w:top w:val="single" w:sz="4" w:space="1" w:color="auto"/>
          <w:left w:val="single" w:sz="4" w:space="4" w:color="auto"/>
          <w:bottom w:val="single" w:sz="4" w:space="1" w:color="auto"/>
          <w:right w:val="single" w:sz="4" w:space="4" w:color="auto"/>
        </w:pBdr>
        <w:rPr>
          <w:noProof/>
        </w:rPr>
      </w:pPr>
      <w:r w:rsidRPr="006F430E">
        <w:rPr>
          <w:noProof/>
        </w:rPr>
        <w:t xml:space="preserve">Premièrement, l’accord de prêt prévoira un ensemble de dispositions en matière d’inspections, de prévention des fraudes, d’audit et de recouvrement des fonds en cas de fraude ou de corruption. Il est également envisagé de subordonner le versement de l’assistance à des conditions précises en matière de politique économique, et notamment de gestion des finances publiques, afin de renforcer l’efficacité et la transparence de l’aide ainsi que la responsabilisation des acteurs. Les fonds seront par ailleurs versés sur un compte spécial de la Banque centrale du partenaire. </w:t>
      </w:r>
    </w:p>
    <w:p w14:paraId="062ADF0C" w14:textId="15F7AB14" w:rsidR="00FA7084" w:rsidRPr="006F430E" w:rsidRDefault="00FA7084" w:rsidP="00FA7084">
      <w:pPr>
        <w:pStyle w:val="Text1"/>
        <w:pBdr>
          <w:top w:val="single" w:sz="4" w:space="1" w:color="auto"/>
          <w:left w:val="single" w:sz="4" w:space="4" w:color="auto"/>
          <w:bottom w:val="single" w:sz="4" w:space="1" w:color="auto"/>
          <w:right w:val="single" w:sz="4" w:space="4" w:color="auto"/>
        </w:pBdr>
        <w:rPr>
          <w:noProof/>
        </w:rPr>
      </w:pPr>
      <w:r w:rsidRPr="006F430E">
        <w:rPr>
          <w:noProof/>
        </w:rPr>
        <w:t>En outre, conformément aux exigences du règlement financier, les services de la Commission ont procédé à une évaluation opérationnelle des circuits administratifs et financiers de la Moldavie, afin de s’assurer que les procédures en place pour la gestion des programmes d’aide, y compris l’assistance macrofinancière, offraient des garanties adéquates. Cette évaluation a été effectuée en 2020 et couvre des domaines tels que l’élaboration et l’exécution du budget, le contrôle interne des finances publiques, l’audit interne et externe, les marchés publics, la gestion de la trésorerie et de la dette publique, ainsi que l’indépendance de la banque centrale. Les développements à cet égard seront suivis de près par les délégations de l’UE auprès des partenaires respectifs. La Commission a également recours à des opérations d’appui budgétaire pour aider les partenaires à améliorer leurs systèmes de gestion des finances publiques, et ces efforts sont vigoureusement soutenus par d’autres bailleurs de fonds.</w:t>
      </w:r>
    </w:p>
    <w:p w14:paraId="35BB8250" w14:textId="77777777" w:rsidR="00FA7084" w:rsidRPr="006F430E" w:rsidRDefault="00FA7084" w:rsidP="00FA7084">
      <w:pPr>
        <w:pStyle w:val="Text1"/>
        <w:pBdr>
          <w:top w:val="single" w:sz="4" w:space="1" w:color="auto"/>
          <w:left w:val="single" w:sz="4" w:space="4" w:color="auto"/>
          <w:bottom w:val="single" w:sz="4" w:space="1" w:color="auto"/>
          <w:right w:val="single" w:sz="4" w:space="4" w:color="auto"/>
        </w:pBdr>
        <w:rPr>
          <w:noProof/>
        </w:rPr>
      </w:pPr>
      <w:r w:rsidRPr="006F430E">
        <w:rPr>
          <w:noProof/>
        </w:rPr>
        <w:t>Enfin, l’assistance sera soumise à des procédures de vérification, de contrôle et d’audit, sous la responsabilité de la Commission, dont l’Office européen de lutte antifraude (OLAF), et de la Cour des comptes européenne, conformément à l’article 129 du règlement financier.</w:t>
      </w:r>
    </w:p>
    <w:p w14:paraId="7582FE51" w14:textId="77777777" w:rsidR="001A3A0C" w:rsidRPr="006F430E" w:rsidRDefault="001A3A0C" w:rsidP="004F6AC7">
      <w:pPr>
        <w:rPr>
          <w:noProof/>
        </w:rPr>
        <w:sectPr w:rsidR="001A3A0C" w:rsidRPr="006F430E" w:rsidSect="005A33DF">
          <w:pgSz w:w="11907" w:h="16840" w:code="9"/>
          <w:pgMar w:top="1134" w:right="1418" w:bottom="1134" w:left="1418" w:header="709" w:footer="709" w:gutter="0"/>
          <w:cols w:space="708"/>
          <w:docGrid w:linePitch="360"/>
        </w:sectPr>
      </w:pPr>
    </w:p>
    <w:p w14:paraId="3D635FAA" w14:textId="75995FCF" w:rsidR="001A3A0C" w:rsidRPr="006F430E" w:rsidRDefault="0024257C" w:rsidP="0024257C">
      <w:pPr>
        <w:pStyle w:val="ManualHeading1"/>
        <w:rPr>
          <w:bCs/>
          <w:noProof/>
          <w:szCs w:val="24"/>
        </w:rPr>
      </w:pPr>
      <w:bookmarkStart w:id="41" w:name="_Toc514938050"/>
      <w:bookmarkStart w:id="42" w:name="_Toc520485049"/>
      <w:r w:rsidRPr="0024257C">
        <w:t>3.</w:t>
      </w:r>
      <w:r w:rsidRPr="0024257C">
        <w:tab/>
      </w:r>
      <w:r w:rsidR="001A3A0C" w:rsidRPr="006F430E">
        <w:rPr>
          <w:noProof/>
        </w:rPr>
        <w:t>INCIDENCE FINANCIÈRE ESTIMÉE DE LA PROPOSITION/DE L’INITIATIVE</w:t>
      </w:r>
      <w:bookmarkEnd w:id="41"/>
      <w:bookmarkEnd w:id="42"/>
      <w:r w:rsidR="001A3A0C" w:rsidRPr="006F430E">
        <w:rPr>
          <w:noProof/>
        </w:rPr>
        <w:t xml:space="preserve"> </w:t>
      </w:r>
    </w:p>
    <w:p w14:paraId="2859C883" w14:textId="3EEBC2B5" w:rsidR="001A3A0C" w:rsidRPr="006F430E" w:rsidRDefault="0024257C" w:rsidP="0024257C">
      <w:pPr>
        <w:pStyle w:val="ManualHeading2"/>
        <w:rPr>
          <w:noProof/>
        </w:rPr>
      </w:pPr>
      <w:bookmarkStart w:id="43" w:name="_Toc514938051"/>
      <w:bookmarkStart w:id="44" w:name="_Toc520485050"/>
      <w:r w:rsidRPr="0024257C">
        <w:t>3.1.</w:t>
      </w:r>
      <w:r w:rsidRPr="0024257C">
        <w:tab/>
      </w:r>
      <w:r w:rsidR="001A3A0C" w:rsidRPr="006F430E">
        <w:rPr>
          <w:noProof/>
        </w:rPr>
        <w:t>Rubrique(s) du cadre financier pluriannuel et ligne(s) budgétaire(s) de dépenses concernée(s)</w:t>
      </w:r>
      <w:bookmarkEnd w:id="43"/>
      <w:bookmarkEnd w:id="44"/>
      <w:r w:rsidR="001A3A0C" w:rsidRPr="006F430E">
        <w:rPr>
          <w:noProof/>
        </w:rPr>
        <w:t xml:space="preserve"> </w:t>
      </w:r>
    </w:p>
    <w:p w14:paraId="176E1592" w14:textId="77777777" w:rsidR="001A3A0C" w:rsidRPr="006F430E" w:rsidRDefault="001A3A0C" w:rsidP="004F6AC7">
      <w:pPr>
        <w:pStyle w:val="ListBullet1"/>
        <w:rPr>
          <w:noProof/>
        </w:rPr>
      </w:pPr>
      <w:r w:rsidRPr="006F430E">
        <w:rPr>
          <w:noProof/>
        </w:rPr>
        <w:t xml:space="preserve">Lignes budgétaires existantes </w:t>
      </w:r>
    </w:p>
    <w:p w14:paraId="753E3C8E" w14:textId="77777777" w:rsidR="001A3A0C" w:rsidRPr="006F430E" w:rsidRDefault="001A3A0C" w:rsidP="004F6AC7">
      <w:pPr>
        <w:pStyle w:val="Text1"/>
        <w:rPr>
          <w:i/>
          <w:noProof/>
        </w:rPr>
      </w:pPr>
      <w:r w:rsidRPr="006F430E">
        <w:rPr>
          <w:i/>
          <w:noProof/>
          <w:u w:val="single"/>
        </w:rPr>
        <w:t>Dans l’ordre</w:t>
      </w:r>
      <w:r w:rsidRPr="006F430E">
        <w:rPr>
          <w:i/>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1A3A0C" w:rsidRPr="006F430E" w14:paraId="7ECB6B4D" w14:textId="77777777" w:rsidTr="004F6AC7">
        <w:tc>
          <w:tcPr>
            <w:tcW w:w="1080" w:type="dxa"/>
            <w:vMerge w:val="restart"/>
            <w:vAlign w:val="center"/>
          </w:tcPr>
          <w:p w14:paraId="6FA60E77" w14:textId="77777777" w:rsidR="001A3A0C" w:rsidRPr="006F430E" w:rsidRDefault="001A3A0C" w:rsidP="004F6AC7">
            <w:pPr>
              <w:spacing w:before="60" w:after="60"/>
              <w:jc w:val="center"/>
              <w:rPr>
                <w:noProof/>
              </w:rPr>
            </w:pPr>
            <w:r w:rsidRPr="006F430E">
              <w:rPr>
                <w:noProof/>
                <w:sz w:val="18"/>
              </w:rPr>
              <w:t>Rubrique du cadre financier pluriannuel</w:t>
            </w:r>
          </w:p>
        </w:tc>
        <w:tc>
          <w:tcPr>
            <w:tcW w:w="3960" w:type="dxa"/>
            <w:vAlign w:val="center"/>
          </w:tcPr>
          <w:p w14:paraId="5085E73C" w14:textId="77777777" w:rsidR="001A3A0C" w:rsidRPr="006F430E" w:rsidRDefault="001A3A0C" w:rsidP="004F6AC7">
            <w:pPr>
              <w:spacing w:before="60" w:after="60"/>
              <w:jc w:val="center"/>
              <w:rPr>
                <w:noProof/>
              </w:rPr>
            </w:pPr>
            <w:r w:rsidRPr="006F430E">
              <w:rPr>
                <w:noProof/>
                <w:sz w:val="20"/>
              </w:rPr>
              <w:t>Ligne budgétaire</w:t>
            </w:r>
          </w:p>
        </w:tc>
        <w:tc>
          <w:tcPr>
            <w:tcW w:w="1080" w:type="dxa"/>
            <w:vAlign w:val="center"/>
          </w:tcPr>
          <w:p w14:paraId="3C04DA50" w14:textId="77777777" w:rsidR="001A3A0C" w:rsidRPr="006F430E" w:rsidRDefault="001A3A0C" w:rsidP="004F6AC7">
            <w:pPr>
              <w:spacing w:before="60" w:after="60"/>
              <w:jc w:val="center"/>
              <w:rPr>
                <w:noProof/>
              </w:rPr>
            </w:pPr>
            <w:r w:rsidRPr="006F430E">
              <w:rPr>
                <w:noProof/>
                <w:sz w:val="18"/>
              </w:rPr>
              <w:t>Nature de</w:t>
            </w:r>
            <w:r w:rsidRPr="006F430E">
              <w:rPr>
                <w:noProof/>
              </w:rPr>
              <w:t xml:space="preserve"> </w:t>
            </w:r>
            <w:r w:rsidRPr="006F430E">
              <w:rPr>
                <w:noProof/>
              </w:rPr>
              <w:br/>
            </w:r>
            <w:r w:rsidRPr="006F430E">
              <w:rPr>
                <w:noProof/>
                <w:sz w:val="18"/>
              </w:rPr>
              <w:t>la dépense</w:t>
            </w:r>
          </w:p>
        </w:tc>
        <w:tc>
          <w:tcPr>
            <w:tcW w:w="4440" w:type="dxa"/>
            <w:gridSpan w:val="4"/>
            <w:vAlign w:val="center"/>
          </w:tcPr>
          <w:p w14:paraId="21381006" w14:textId="77777777" w:rsidR="001A3A0C" w:rsidRPr="006F430E" w:rsidRDefault="001A3A0C" w:rsidP="004F6AC7">
            <w:pPr>
              <w:spacing w:before="60" w:after="60"/>
              <w:jc w:val="center"/>
              <w:rPr>
                <w:noProof/>
              </w:rPr>
            </w:pPr>
            <w:r w:rsidRPr="006F430E">
              <w:rPr>
                <w:noProof/>
                <w:sz w:val="20"/>
              </w:rPr>
              <w:t xml:space="preserve">Participation </w:t>
            </w:r>
          </w:p>
        </w:tc>
      </w:tr>
      <w:tr w:rsidR="001A3A0C" w:rsidRPr="006F430E" w14:paraId="6DEC01DB" w14:textId="77777777" w:rsidTr="004F6AC7">
        <w:tc>
          <w:tcPr>
            <w:tcW w:w="1080" w:type="dxa"/>
            <w:vMerge/>
            <w:vAlign w:val="center"/>
          </w:tcPr>
          <w:p w14:paraId="5CE060DB" w14:textId="77777777" w:rsidR="001A3A0C" w:rsidRPr="006F430E" w:rsidRDefault="001A3A0C" w:rsidP="004F6AC7">
            <w:pPr>
              <w:jc w:val="center"/>
              <w:rPr>
                <w:noProof/>
              </w:rPr>
            </w:pPr>
          </w:p>
        </w:tc>
        <w:tc>
          <w:tcPr>
            <w:tcW w:w="3960" w:type="dxa"/>
            <w:vAlign w:val="center"/>
          </w:tcPr>
          <w:p w14:paraId="26F0A360" w14:textId="77777777" w:rsidR="001A3A0C" w:rsidRPr="006F430E" w:rsidRDefault="001A3A0C" w:rsidP="004F6AC7">
            <w:pPr>
              <w:rPr>
                <w:noProof/>
              </w:rPr>
            </w:pPr>
            <w:r w:rsidRPr="006F430E">
              <w:rPr>
                <w:noProof/>
                <w:sz w:val="20"/>
              </w:rPr>
              <w:t xml:space="preserve">Nombre </w:t>
            </w:r>
            <w:r w:rsidRPr="006F430E">
              <w:rPr>
                <w:noProof/>
              </w:rPr>
              <w:t xml:space="preserve"> </w:t>
            </w:r>
            <w:r w:rsidRPr="006F430E">
              <w:rPr>
                <w:noProof/>
              </w:rPr>
              <w:br/>
            </w:r>
          </w:p>
        </w:tc>
        <w:tc>
          <w:tcPr>
            <w:tcW w:w="1080" w:type="dxa"/>
            <w:vAlign w:val="center"/>
          </w:tcPr>
          <w:p w14:paraId="78B87057" w14:textId="77777777" w:rsidR="001A3A0C" w:rsidRPr="006F430E" w:rsidRDefault="001A3A0C" w:rsidP="004F6AC7">
            <w:pPr>
              <w:jc w:val="center"/>
              <w:rPr>
                <w:noProof/>
              </w:rPr>
            </w:pPr>
            <w:r w:rsidRPr="006F430E">
              <w:rPr>
                <w:noProof/>
                <w:sz w:val="18"/>
              </w:rPr>
              <w:t>CD/CND</w:t>
            </w:r>
            <w:r w:rsidRPr="006F430E">
              <w:rPr>
                <w:rStyle w:val="FootnoteReference"/>
                <w:noProof/>
                <w:sz w:val="18"/>
              </w:rPr>
              <w:footnoteReference w:id="13"/>
            </w:r>
            <w:r w:rsidRPr="006F430E">
              <w:rPr>
                <w:noProof/>
              </w:rPr>
              <w:t>.</w:t>
            </w:r>
          </w:p>
        </w:tc>
        <w:tc>
          <w:tcPr>
            <w:tcW w:w="956" w:type="dxa"/>
            <w:vAlign w:val="center"/>
          </w:tcPr>
          <w:p w14:paraId="56BAAAF9" w14:textId="77777777" w:rsidR="001A3A0C" w:rsidRPr="006F430E" w:rsidRDefault="001A3A0C" w:rsidP="004F6AC7">
            <w:pPr>
              <w:jc w:val="center"/>
              <w:rPr>
                <w:noProof/>
              </w:rPr>
            </w:pPr>
            <w:r w:rsidRPr="006F430E">
              <w:rPr>
                <w:noProof/>
                <w:sz w:val="18"/>
              </w:rPr>
              <w:t>de pays AELE</w:t>
            </w:r>
            <w:r w:rsidRPr="006F430E">
              <w:rPr>
                <w:rStyle w:val="FootnoteReference"/>
                <w:noProof/>
                <w:sz w:val="18"/>
              </w:rPr>
              <w:footnoteReference w:id="14"/>
            </w:r>
          </w:p>
          <w:p w14:paraId="523DE58D" w14:textId="77777777" w:rsidR="001A3A0C" w:rsidRPr="006F430E" w:rsidRDefault="001A3A0C" w:rsidP="004F6AC7">
            <w:pPr>
              <w:spacing w:before="0" w:after="0"/>
              <w:jc w:val="center"/>
              <w:rPr>
                <w:b/>
                <w:noProof/>
                <w:sz w:val="18"/>
              </w:rPr>
            </w:pPr>
          </w:p>
        </w:tc>
        <w:tc>
          <w:tcPr>
            <w:tcW w:w="1080" w:type="dxa"/>
            <w:vAlign w:val="center"/>
          </w:tcPr>
          <w:p w14:paraId="2B9C3CEC" w14:textId="77777777" w:rsidR="001A3A0C" w:rsidRPr="006F430E" w:rsidRDefault="001A3A0C" w:rsidP="004F6AC7">
            <w:pPr>
              <w:jc w:val="center"/>
              <w:rPr>
                <w:noProof/>
              </w:rPr>
            </w:pPr>
            <w:r w:rsidRPr="006F430E">
              <w:rPr>
                <w:noProof/>
                <w:sz w:val="18"/>
              </w:rPr>
              <w:t>de pays candidats</w:t>
            </w:r>
            <w:r w:rsidRPr="006F430E">
              <w:rPr>
                <w:rStyle w:val="FootnoteReference"/>
                <w:noProof/>
                <w:sz w:val="18"/>
              </w:rPr>
              <w:footnoteReference w:id="15"/>
            </w:r>
          </w:p>
          <w:p w14:paraId="23D9F663" w14:textId="77777777" w:rsidR="001A3A0C" w:rsidRPr="006F430E" w:rsidRDefault="001A3A0C" w:rsidP="004F6AC7">
            <w:pPr>
              <w:spacing w:before="0" w:after="0"/>
              <w:jc w:val="center"/>
              <w:rPr>
                <w:noProof/>
                <w:sz w:val="18"/>
              </w:rPr>
            </w:pPr>
          </w:p>
        </w:tc>
        <w:tc>
          <w:tcPr>
            <w:tcW w:w="956" w:type="dxa"/>
            <w:vAlign w:val="center"/>
          </w:tcPr>
          <w:p w14:paraId="7BCE06D5" w14:textId="77777777" w:rsidR="001A3A0C" w:rsidRPr="006F430E" w:rsidRDefault="001A3A0C" w:rsidP="004F6AC7">
            <w:pPr>
              <w:jc w:val="center"/>
              <w:rPr>
                <w:noProof/>
                <w:sz w:val="18"/>
              </w:rPr>
            </w:pPr>
            <w:r w:rsidRPr="006F430E">
              <w:rPr>
                <w:noProof/>
                <w:sz w:val="18"/>
              </w:rPr>
              <w:t>de pays tiers</w:t>
            </w:r>
          </w:p>
        </w:tc>
        <w:tc>
          <w:tcPr>
            <w:tcW w:w="1448" w:type="dxa"/>
            <w:vAlign w:val="center"/>
          </w:tcPr>
          <w:p w14:paraId="29E91589" w14:textId="77777777" w:rsidR="001A3A0C" w:rsidRPr="006F430E" w:rsidRDefault="001A3A0C" w:rsidP="004F6AC7">
            <w:pPr>
              <w:jc w:val="center"/>
              <w:rPr>
                <w:noProof/>
              </w:rPr>
            </w:pPr>
            <w:r w:rsidRPr="006F430E">
              <w:rPr>
                <w:noProof/>
                <w:sz w:val="16"/>
              </w:rPr>
              <w:t xml:space="preserve">au sens de l’article 21, paragraphe 2, point b), du règlement financier </w:t>
            </w:r>
          </w:p>
        </w:tc>
      </w:tr>
      <w:tr w:rsidR="000051D9" w:rsidRPr="006F430E" w14:paraId="730D9814" w14:textId="77777777" w:rsidTr="004F6AC7">
        <w:tc>
          <w:tcPr>
            <w:tcW w:w="1080" w:type="dxa"/>
            <w:vAlign w:val="center"/>
          </w:tcPr>
          <w:p w14:paraId="42384A7C" w14:textId="77777777" w:rsidR="000051D9" w:rsidRPr="006F430E" w:rsidRDefault="000051D9" w:rsidP="000051D9">
            <w:pPr>
              <w:jc w:val="center"/>
              <w:rPr>
                <w:noProof/>
                <w:color w:val="0000FF"/>
              </w:rPr>
            </w:pPr>
          </w:p>
        </w:tc>
        <w:tc>
          <w:tcPr>
            <w:tcW w:w="3960" w:type="dxa"/>
            <w:vAlign w:val="center"/>
          </w:tcPr>
          <w:p w14:paraId="048E4DD1" w14:textId="63EE12FE" w:rsidR="000051D9" w:rsidRPr="006F430E" w:rsidRDefault="000051D9" w:rsidP="000051D9">
            <w:pPr>
              <w:spacing w:before="60"/>
              <w:rPr>
                <w:noProof/>
                <w:sz w:val="22"/>
              </w:rPr>
            </w:pPr>
            <w:r w:rsidRPr="006F430E">
              <w:rPr>
                <w:noProof/>
                <w:sz w:val="22"/>
              </w:rPr>
              <w:t>14.02.01.70.06 [prêts AMF — Garantie pour l’action extérieure]</w:t>
            </w:r>
          </w:p>
        </w:tc>
        <w:tc>
          <w:tcPr>
            <w:tcW w:w="1080" w:type="dxa"/>
            <w:vAlign w:val="center"/>
          </w:tcPr>
          <w:p w14:paraId="624C0B70" w14:textId="3F5B7610" w:rsidR="000051D9" w:rsidRPr="006F430E" w:rsidRDefault="000051D9" w:rsidP="000051D9">
            <w:pPr>
              <w:jc w:val="center"/>
              <w:rPr>
                <w:noProof/>
                <w:sz w:val="22"/>
              </w:rPr>
            </w:pPr>
            <w:r w:rsidRPr="006F430E">
              <w:rPr>
                <w:noProof/>
                <w:sz w:val="22"/>
              </w:rPr>
              <w:t>CD</w:t>
            </w:r>
          </w:p>
        </w:tc>
        <w:tc>
          <w:tcPr>
            <w:tcW w:w="956" w:type="dxa"/>
            <w:vAlign w:val="center"/>
          </w:tcPr>
          <w:p w14:paraId="1A5FB097" w14:textId="32CD0AD8" w:rsidR="000051D9" w:rsidRPr="006F430E" w:rsidRDefault="000051D9" w:rsidP="000051D9">
            <w:pPr>
              <w:jc w:val="center"/>
              <w:rPr>
                <w:noProof/>
                <w:sz w:val="20"/>
                <w:szCs w:val="20"/>
              </w:rPr>
            </w:pPr>
            <w:r w:rsidRPr="006F430E">
              <w:rPr>
                <w:noProof/>
                <w:sz w:val="20"/>
                <w:szCs w:val="20"/>
              </w:rPr>
              <w:t>NON</w:t>
            </w:r>
          </w:p>
        </w:tc>
        <w:tc>
          <w:tcPr>
            <w:tcW w:w="1080" w:type="dxa"/>
            <w:vAlign w:val="center"/>
          </w:tcPr>
          <w:p w14:paraId="64064FB8" w14:textId="7F25E1CC" w:rsidR="000051D9" w:rsidRPr="006F430E" w:rsidRDefault="000051D9" w:rsidP="000051D9">
            <w:pPr>
              <w:jc w:val="center"/>
              <w:rPr>
                <w:noProof/>
                <w:sz w:val="20"/>
                <w:szCs w:val="20"/>
              </w:rPr>
            </w:pPr>
            <w:r w:rsidRPr="006F430E">
              <w:rPr>
                <w:noProof/>
                <w:sz w:val="20"/>
                <w:szCs w:val="20"/>
              </w:rPr>
              <w:t>NON</w:t>
            </w:r>
          </w:p>
        </w:tc>
        <w:tc>
          <w:tcPr>
            <w:tcW w:w="956" w:type="dxa"/>
            <w:vAlign w:val="center"/>
          </w:tcPr>
          <w:p w14:paraId="612D2EE4" w14:textId="6B544D70" w:rsidR="000051D9" w:rsidRPr="006F430E" w:rsidRDefault="000051D9" w:rsidP="000051D9">
            <w:pPr>
              <w:jc w:val="center"/>
              <w:rPr>
                <w:noProof/>
                <w:sz w:val="20"/>
                <w:szCs w:val="20"/>
              </w:rPr>
            </w:pPr>
            <w:r w:rsidRPr="006F430E">
              <w:rPr>
                <w:noProof/>
                <w:sz w:val="20"/>
                <w:szCs w:val="20"/>
              </w:rPr>
              <w:t>NON</w:t>
            </w:r>
          </w:p>
        </w:tc>
        <w:tc>
          <w:tcPr>
            <w:tcW w:w="1448" w:type="dxa"/>
            <w:vAlign w:val="center"/>
          </w:tcPr>
          <w:p w14:paraId="1D6CD3FF" w14:textId="1C2BA51F" w:rsidR="000051D9" w:rsidRPr="006F430E" w:rsidRDefault="000051D9" w:rsidP="000051D9">
            <w:pPr>
              <w:jc w:val="center"/>
              <w:rPr>
                <w:noProof/>
                <w:sz w:val="20"/>
                <w:szCs w:val="20"/>
              </w:rPr>
            </w:pPr>
            <w:r w:rsidRPr="006F430E">
              <w:rPr>
                <w:noProof/>
                <w:sz w:val="20"/>
                <w:szCs w:val="20"/>
              </w:rPr>
              <w:t>NON</w:t>
            </w:r>
          </w:p>
        </w:tc>
      </w:tr>
      <w:tr w:rsidR="000051D9" w:rsidRPr="006F430E" w14:paraId="64BF4C41" w14:textId="77777777" w:rsidTr="004F6AC7">
        <w:tc>
          <w:tcPr>
            <w:tcW w:w="1080" w:type="dxa"/>
            <w:vAlign w:val="center"/>
          </w:tcPr>
          <w:p w14:paraId="12102DA4" w14:textId="13B9C226" w:rsidR="000051D9" w:rsidRPr="006F430E" w:rsidRDefault="000051D9" w:rsidP="000051D9">
            <w:pPr>
              <w:jc w:val="center"/>
              <w:rPr>
                <w:noProof/>
                <w:color w:val="0000FF"/>
              </w:rPr>
            </w:pPr>
          </w:p>
        </w:tc>
        <w:tc>
          <w:tcPr>
            <w:tcW w:w="3960" w:type="dxa"/>
            <w:vAlign w:val="center"/>
          </w:tcPr>
          <w:p w14:paraId="11B3A274" w14:textId="7376CABE" w:rsidR="000051D9" w:rsidRPr="006F430E" w:rsidRDefault="000051D9" w:rsidP="000051D9">
            <w:pPr>
              <w:spacing w:before="60"/>
              <w:rPr>
                <w:noProof/>
              </w:rPr>
            </w:pPr>
            <w:r w:rsidRPr="006F430E">
              <w:rPr>
                <w:noProof/>
                <w:sz w:val="22"/>
              </w:rPr>
              <w:t>14.20.03.01 [subventions au titre de l’AMF]</w:t>
            </w:r>
          </w:p>
          <w:p w14:paraId="336C069F" w14:textId="77777777" w:rsidR="000051D9" w:rsidRPr="006F430E" w:rsidRDefault="000051D9" w:rsidP="000051D9">
            <w:pPr>
              <w:spacing w:after="60"/>
              <w:rPr>
                <w:noProof/>
              </w:rPr>
            </w:pPr>
          </w:p>
        </w:tc>
        <w:tc>
          <w:tcPr>
            <w:tcW w:w="1080" w:type="dxa"/>
            <w:vAlign w:val="center"/>
          </w:tcPr>
          <w:p w14:paraId="5246CA5E" w14:textId="328D7150" w:rsidR="000051D9" w:rsidRPr="006F430E" w:rsidRDefault="000051D9" w:rsidP="000051D9">
            <w:pPr>
              <w:jc w:val="center"/>
              <w:rPr>
                <w:noProof/>
                <w:color w:val="0000FF"/>
              </w:rPr>
            </w:pPr>
            <w:r w:rsidRPr="006F430E">
              <w:rPr>
                <w:noProof/>
                <w:sz w:val="22"/>
              </w:rPr>
              <w:t>CD</w:t>
            </w:r>
          </w:p>
        </w:tc>
        <w:tc>
          <w:tcPr>
            <w:tcW w:w="956" w:type="dxa"/>
            <w:vAlign w:val="center"/>
          </w:tcPr>
          <w:p w14:paraId="00CE525E" w14:textId="4337EEA2" w:rsidR="000051D9" w:rsidRPr="006F430E" w:rsidRDefault="000051D9" w:rsidP="000051D9">
            <w:pPr>
              <w:jc w:val="center"/>
              <w:rPr>
                <w:noProof/>
                <w:sz w:val="20"/>
                <w:szCs w:val="20"/>
              </w:rPr>
            </w:pPr>
            <w:r w:rsidRPr="006F430E">
              <w:rPr>
                <w:noProof/>
                <w:sz w:val="20"/>
                <w:szCs w:val="20"/>
              </w:rPr>
              <w:t>NON</w:t>
            </w:r>
          </w:p>
        </w:tc>
        <w:tc>
          <w:tcPr>
            <w:tcW w:w="1080" w:type="dxa"/>
            <w:vAlign w:val="center"/>
          </w:tcPr>
          <w:p w14:paraId="063A87F0" w14:textId="5BA35A48" w:rsidR="000051D9" w:rsidRPr="006F430E" w:rsidRDefault="000051D9" w:rsidP="000051D9">
            <w:pPr>
              <w:jc w:val="center"/>
              <w:rPr>
                <w:noProof/>
                <w:sz w:val="20"/>
                <w:szCs w:val="20"/>
              </w:rPr>
            </w:pPr>
            <w:r w:rsidRPr="006F430E">
              <w:rPr>
                <w:noProof/>
                <w:sz w:val="20"/>
                <w:szCs w:val="20"/>
              </w:rPr>
              <w:t>NON</w:t>
            </w:r>
          </w:p>
        </w:tc>
        <w:tc>
          <w:tcPr>
            <w:tcW w:w="956" w:type="dxa"/>
            <w:vAlign w:val="center"/>
          </w:tcPr>
          <w:p w14:paraId="0E7DC6FA" w14:textId="63796724" w:rsidR="000051D9" w:rsidRPr="006F430E" w:rsidRDefault="000051D9" w:rsidP="000051D9">
            <w:pPr>
              <w:jc w:val="center"/>
              <w:rPr>
                <w:noProof/>
                <w:sz w:val="20"/>
                <w:szCs w:val="20"/>
              </w:rPr>
            </w:pPr>
            <w:r w:rsidRPr="006F430E">
              <w:rPr>
                <w:noProof/>
                <w:sz w:val="20"/>
                <w:szCs w:val="20"/>
              </w:rPr>
              <w:t>NON</w:t>
            </w:r>
          </w:p>
        </w:tc>
        <w:tc>
          <w:tcPr>
            <w:tcW w:w="1448" w:type="dxa"/>
            <w:vAlign w:val="center"/>
          </w:tcPr>
          <w:p w14:paraId="0A471A0E" w14:textId="60279B28" w:rsidR="000051D9" w:rsidRPr="006F430E" w:rsidRDefault="000051D9" w:rsidP="000051D9">
            <w:pPr>
              <w:jc w:val="center"/>
              <w:rPr>
                <w:noProof/>
                <w:sz w:val="20"/>
                <w:szCs w:val="20"/>
              </w:rPr>
            </w:pPr>
            <w:r w:rsidRPr="006F430E">
              <w:rPr>
                <w:noProof/>
                <w:sz w:val="20"/>
                <w:szCs w:val="20"/>
              </w:rPr>
              <w:t>NON</w:t>
            </w:r>
          </w:p>
        </w:tc>
      </w:tr>
    </w:tbl>
    <w:p w14:paraId="19DD3C5A" w14:textId="77777777" w:rsidR="001A3A0C" w:rsidRPr="006F430E" w:rsidRDefault="001A3A0C" w:rsidP="004F6AC7">
      <w:pPr>
        <w:pStyle w:val="ListBullet1"/>
        <w:rPr>
          <w:noProof/>
        </w:rPr>
      </w:pPr>
      <w:r w:rsidRPr="006F430E">
        <w:rPr>
          <w:noProof/>
        </w:rPr>
        <w:t>Nouvelles lignes budgétaires dont la création est demandée – Sans objet</w:t>
      </w:r>
    </w:p>
    <w:p w14:paraId="2E6AD19E" w14:textId="77777777" w:rsidR="001A3A0C" w:rsidRPr="006F430E" w:rsidRDefault="001A3A0C" w:rsidP="004F6AC7">
      <w:pPr>
        <w:rPr>
          <w:noProof/>
        </w:rPr>
        <w:sectPr w:rsidR="001A3A0C" w:rsidRPr="006F430E" w:rsidSect="005A33DF">
          <w:pgSz w:w="11907" w:h="16840" w:code="1"/>
          <w:pgMar w:top="1134" w:right="1418" w:bottom="1134" w:left="1418" w:header="709" w:footer="709" w:gutter="0"/>
          <w:cols w:space="708"/>
          <w:docGrid w:linePitch="360"/>
        </w:sectPr>
      </w:pPr>
    </w:p>
    <w:p w14:paraId="52F87656" w14:textId="1E15A1C5" w:rsidR="001A3A0C" w:rsidRPr="006F430E" w:rsidRDefault="0024257C" w:rsidP="0024257C">
      <w:pPr>
        <w:pStyle w:val="ManualHeading2"/>
        <w:rPr>
          <w:bCs/>
          <w:noProof/>
          <w:szCs w:val="24"/>
        </w:rPr>
      </w:pPr>
      <w:bookmarkStart w:id="45" w:name="_Toc514938052"/>
      <w:bookmarkStart w:id="46" w:name="_Toc520485051"/>
      <w:r w:rsidRPr="0024257C">
        <w:t>3.2.</w:t>
      </w:r>
      <w:r w:rsidRPr="0024257C">
        <w:tab/>
      </w:r>
      <w:r w:rsidR="001A3A0C" w:rsidRPr="006F430E">
        <w:rPr>
          <w:noProof/>
        </w:rPr>
        <w:t>Incidence financière estimée de la proposition sur les crédits</w:t>
      </w:r>
      <w:bookmarkEnd w:id="45"/>
      <w:bookmarkEnd w:id="46"/>
      <w:r w:rsidR="001A3A0C" w:rsidRPr="006F430E">
        <w:rPr>
          <w:noProof/>
        </w:rPr>
        <w:t xml:space="preserve"> </w:t>
      </w:r>
    </w:p>
    <w:p w14:paraId="20E09637" w14:textId="39D79255" w:rsidR="001A3A0C" w:rsidRPr="006F430E" w:rsidRDefault="0024257C" w:rsidP="0024257C">
      <w:pPr>
        <w:pStyle w:val="ManualHeading3"/>
        <w:rPr>
          <w:noProof/>
        </w:rPr>
      </w:pPr>
      <w:bookmarkStart w:id="47" w:name="_Toc514938053"/>
      <w:bookmarkStart w:id="48" w:name="_Toc520485052"/>
      <w:r w:rsidRPr="0024257C">
        <w:t>3.2.1.</w:t>
      </w:r>
      <w:r w:rsidRPr="0024257C">
        <w:tab/>
      </w:r>
      <w:r w:rsidR="001A3A0C" w:rsidRPr="006F430E">
        <w:rPr>
          <w:noProof/>
        </w:rPr>
        <w:t>Synthèse de l’incidence estimée sur les crédits opérationnels</w:t>
      </w:r>
      <w:bookmarkEnd w:id="47"/>
      <w:bookmarkEnd w:id="48"/>
      <w:r w:rsidR="001A3A0C" w:rsidRPr="006F430E">
        <w:rPr>
          <w:noProof/>
        </w:rPr>
        <w:t xml:space="preserve"> </w:t>
      </w:r>
    </w:p>
    <w:p w14:paraId="62EF6EB5" w14:textId="77777777" w:rsidR="001A3A0C" w:rsidRPr="006F430E" w:rsidRDefault="001A3A0C" w:rsidP="004F6AC7">
      <w:pPr>
        <w:pStyle w:val="ListDash1"/>
        <w:rPr>
          <w:noProof/>
        </w:rPr>
      </w:pPr>
      <w:r w:rsidRPr="006F430E">
        <w:rPr>
          <w:noProof/>
        </w:rPr>
        <w:sym w:font="Wingdings" w:char="F0A8"/>
      </w:r>
      <w:r w:rsidRPr="006F430E">
        <w:rPr>
          <w:noProof/>
        </w:rPr>
        <w:tab/>
        <w:t xml:space="preserve">La proposition/l’initiative n’engendre pas l’utilisation de crédits opérationnels. </w:t>
      </w:r>
    </w:p>
    <w:p w14:paraId="1676EE79" w14:textId="485551AD" w:rsidR="001A3A0C" w:rsidRPr="006F430E" w:rsidRDefault="006D4D80" w:rsidP="004F6AC7">
      <w:pPr>
        <w:pStyle w:val="ListDash1"/>
        <w:rPr>
          <w:b/>
          <w:noProof/>
        </w:rPr>
      </w:pPr>
      <w:r w:rsidRPr="006F430E">
        <w:rPr>
          <w:b/>
          <w:noProof/>
        </w:rPr>
        <w:t>X</w:t>
      </w:r>
      <w:r w:rsidRPr="006F430E">
        <w:rPr>
          <w:noProof/>
        </w:rPr>
        <w:tab/>
      </w:r>
      <w:r w:rsidRPr="006F430E">
        <w:rPr>
          <w:b/>
          <w:noProof/>
        </w:rPr>
        <w:t>La proposition/l’initiative engendre l’utilisation de crédits opérationnels, comme expliqué ci-après:</w:t>
      </w:r>
    </w:p>
    <w:p w14:paraId="6BA74DD4" w14:textId="77777777" w:rsidR="001A3A0C" w:rsidRPr="006F430E" w:rsidRDefault="001A3A0C" w:rsidP="004F6AC7">
      <w:pPr>
        <w:jc w:val="right"/>
        <w:rPr>
          <w:noProof/>
          <w:sz w:val="18"/>
          <w:szCs w:val="18"/>
        </w:rPr>
      </w:pPr>
      <w:r w:rsidRPr="006F430E">
        <w:rPr>
          <w:noProof/>
          <w:sz w:val="18"/>
          <w:szCs w:val="18"/>
        </w:rPr>
        <w:t>en Mio EUR (à la 3</w:t>
      </w:r>
      <w:r w:rsidRPr="006F430E">
        <w:rPr>
          <w:noProof/>
          <w:sz w:val="18"/>
          <w:szCs w:val="18"/>
          <w:vertAlign w:val="superscript"/>
        </w:rPr>
        <w:t>e</w:t>
      </w:r>
      <w:r w:rsidRPr="006F430E">
        <w:rPr>
          <w:noProof/>
          <w:sz w:val="18"/>
          <w:szCs w:val="18"/>
        </w:rPr>
        <w:t xml:space="preserve"> décimale)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1"/>
        <w:gridCol w:w="1276"/>
        <w:gridCol w:w="7282"/>
      </w:tblGrid>
      <w:tr w:rsidR="001A3A0C" w:rsidRPr="006F430E" w14:paraId="114A4CE9" w14:textId="77777777" w:rsidTr="00D66D78">
        <w:trPr>
          <w:jc w:val="center"/>
        </w:trPr>
        <w:tc>
          <w:tcPr>
            <w:tcW w:w="3911" w:type="dxa"/>
            <w:shd w:val="thinDiagStripe" w:color="C0C0C0" w:fill="auto"/>
            <w:vAlign w:val="center"/>
          </w:tcPr>
          <w:p w14:paraId="0C61AEDC" w14:textId="77777777" w:rsidR="001A3A0C" w:rsidRPr="006F430E" w:rsidRDefault="001A3A0C" w:rsidP="004F6AC7">
            <w:pPr>
              <w:spacing w:before="60" w:after="60"/>
              <w:jc w:val="center"/>
              <w:rPr>
                <w:b/>
                <w:noProof/>
              </w:rPr>
            </w:pPr>
            <w:r w:rsidRPr="006F430E">
              <w:rPr>
                <w:b/>
                <w:noProof/>
                <w:sz w:val="22"/>
              </w:rPr>
              <w:t xml:space="preserve">Rubrique du cadre financier </w:t>
            </w:r>
            <w:r w:rsidRPr="006F430E">
              <w:rPr>
                <w:noProof/>
              </w:rPr>
              <w:t xml:space="preserve"> </w:t>
            </w:r>
            <w:r w:rsidRPr="006F430E">
              <w:rPr>
                <w:noProof/>
              </w:rPr>
              <w:br/>
            </w:r>
            <w:r w:rsidRPr="006F430E">
              <w:rPr>
                <w:b/>
                <w:noProof/>
                <w:sz w:val="22"/>
              </w:rPr>
              <w:t xml:space="preserve">pluriannuel </w:t>
            </w:r>
          </w:p>
        </w:tc>
        <w:tc>
          <w:tcPr>
            <w:tcW w:w="1276" w:type="dxa"/>
            <w:vAlign w:val="center"/>
          </w:tcPr>
          <w:p w14:paraId="1A7DF6AE" w14:textId="48E059A8" w:rsidR="001A3A0C" w:rsidRPr="006F430E" w:rsidRDefault="007E2B2A" w:rsidP="004F6AC7">
            <w:pPr>
              <w:spacing w:before="60" w:after="60"/>
              <w:jc w:val="center"/>
              <w:rPr>
                <w:noProof/>
              </w:rPr>
            </w:pPr>
            <w:r w:rsidRPr="006F430E">
              <w:rPr>
                <w:noProof/>
                <w:sz w:val="22"/>
              </w:rPr>
              <w:t>6</w:t>
            </w:r>
          </w:p>
        </w:tc>
        <w:tc>
          <w:tcPr>
            <w:tcW w:w="7282" w:type="dxa"/>
            <w:vAlign w:val="center"/>
          </w:tcPr>
          <w:p w14:paraId="6D6D32FF" w14:textId="405D7C87" w:rsidR="001A3A0C" w:rsidRPr="006F430E" w:rsidRDefault="007E2B2A" w:rsidP="007E2B2A">
            <w:pPr>
              <w:spacing w:before="60" w:after="60"/>
              <w:jc w:val="center"/>
              <w:rPr>
                <w:noProof/>
              </w:rPr>
            </w:pPr>
            <w:r w:rsidRPr="006F430E">
              <w:rPr>
                <w:b/>
                <w:noProof/>
                <w:sz w:val="22"/>
              </w:rPr>
              <w:t>Rubrique 6 — «Voisinage et le monde»</w:t>
            </w:r>
            <w:r w:rsidRPr="006F430E">
              <w:rPr>
                <w:rFonts w:ascii="Arial" w:hAnsi="Arial"/>
                <w:noProof/>
                <w:color w:val="202124"/>
                <w:shd w:val="clear" w:color="auto" w:fill="FFFFFF"/>
              </w:rPr>
              <w:t xml:space="preserve"> </w:t>
            </w:r>
          </w:p>
        </w:tc>
      </w:tr>
    </w:tbl>
    <w:tbl>
      <w:tblPr>
        <w:tblpPr w:leftFromText="180" w:rightFromText="180" w:vertAnchor="text" w:horzAnchor="margin" w:tblpX="250"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1440"/>
        <w:gridCol w:w="120"/>
        <w:gridCol w:w="534"/>
        <w:gridCol w:w="868"/>
        <w:gridCol w:w="868"/>
        <w:gridCol w:w="868"/>
        <w:gridCol w:w="868"/>
        <w:gridCol w:w="897"/>
        <w:gridCol w:w="2657"/>
      </w:tblGrid>
      <w:tr w:rsidR="00AD5E1E" w:rsidRPr="006F430E" w14:paraId="6CA682C4" w14:textId="77777777" w:rsidTr="00AD5E1E">
        <w:tc>
          <w:tcPr>
            <w:tcW w:w="3710" w:type="dxa"/>
            <w:vAlign w:val="center"/>
          </w:tcPr>
          <w:p w14:paraId="30F8385A" w14:textId="77777777" w:rsidR="00AD5E1E" w:rsidRPr="006F430E" w:rsidRDefault="00AD5E1E" w:rsidP="008E5A65">
            <w:pPr>
              <w:jc w:val="center"/>
              <w:rPr>
                <w:noProof/>
              </w:rPr>
            </w:pPr>
            <w:r w:rsidRPr="006F430E">
              <w:rPr>
                <w:noProof/>
                <w:sz w:val="22"/>
              </w:rPr>
              <w:t>DG: ECFIN</w:t>
            </w:r>
          </w:p>
        </w:tc>
        <w:tc>
          <w:tcPr>
            <w:tcW w:w="1560" w:type="dxa"/>
            <w:gridSpan w:val="2"/>
          </w:tcPr>
          <w:p w14:paraId="3D96A6D1" w14:textId="77777777" w:rsidR="00AD5E1E" w:rsidRPr="006F430E" w:rsidRDefault="00AD5E1E" w:rsidP="008E5A65">
            <w:pPr>
              <w:rPr>
                <w:noProof/>
                <w:sz w:val="20"/>
              </w:rPr>
            </w:pPr>
          </w:p>
        </w:tc>
        <w:tc>
          <w:tcPr>
            <w:tcW w:w="534" w:type="dxa"/>
          </w:tcPr>
          <w:p w14:paraId="578A7CC3" w14:textId="77777777" w:rsidR="00AD5E1E" w:rsidRPr="006F430E" w:rsidRDefault="00AD5E1E" w:rsidP="008E5A65">
            <w:pPr>
              <w:jc w:val="center"/>
              <w:rPr>
                <w:noProof/>
                <w:sz w:val="20"/>
              </w:rPr>
            </w:pPr>
          </w:p>
        </w:tc>
        <w:tc>
          <w:tcPr>
            <w:tcW w:w="868" w:type="dxa"/>
            <w:vAlign w:val="center"/>
          </w:tcPr>
          <w:p w14:paraId="76E120B3" w14:textId="77777777" w:rsidR="00AD5E1E" w:rsidRPr="006F430E" w:rsidRDefault="00AD5E1E" w:rsidP="008E5A65">
            <w:pPr>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2021</w:t>
            </w:r>
          </w:p>
        </w:tc>
        <w:tc>
          <w:tcPr>
            <w:tcW w:w="868" w:type="dxa"/>
            <w:vAlign w:val="center"/>
          </w:tcPr>
          <w:p w14:paraId="35B06764" w14:textId="77777777" w:rsidR="00AD5E1E" w:rsidRPr="006F430E" w:rsidRDefault="00AD5E1E" w:rsidP="008E5A65">
            <w:pPr>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2022</w:t>
            </w:r>
          </w:p>
        </w:tc>
        <w:tc>
          <w:tcPr>
            <w:tcW w:w="868" w:type="dxa"/>
            <w:vAlign w:val="center"/>
          </w:tcPr>
          <w:p w14:paraId="4B7B449D" w14:textId="77777777" w:rsidR="00AD5E1E" w:rsidRPr="006F430E" w:rsidRDefault="00AD5E1E" w:rsidP="008E5A65">
            <w:pPr>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2023</w:t>
            </w:r>
          </w:p>
        </w:tc>
        <w:tc>
          <w:tcPr>
            <w:tcW w:w="868" w:type="dxa"/>
            <w:vAlign w:val="center"/>
          </w:tcPr>
          <w:p w14:paraId="53041A58" w14:textId="77777777" w:rsidR="00AD5E1E" w:rsidRPr="006F430E" w:rsidRDefault="00AD5E1E" w:rsidP="008E5A65">
            <w:pPr>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2024</w:t>
            </w:r>
          </w:p>
        </w:tc>
        <w:tc>
          <w:tcPr>
            <w:tcW w:w="897" w:type="dxa"/>
          </w:tcPr>
          <w:p w14:paraId="66CA5C7C" w14:textId="02CBD7AE" w:rsidR="00AD5E1E" w:rsidRPr="006F430E" w:rsidRDefault="00AD5E1E" w:rsidP="008E5A65">
            <w:pPr>
              <w:jc w:val="center"/>
              <w:rPr>
                <w:b/>
                <w:noProof/>
                <w:sz w:val="20"/>
              </w:rPr>
            </w:pPr>
            <w:r w:rsidRPr="006F430E">
              <w:rPr>
                <w:noProof/>
                <w:sz w:val="20"/>
              </w:rPr>
              <w:t>Année</w:t>
            </w:r>
            <w:r w:rsidRPr="006F430E">
              <w:rPr>
                <w:noProof/>
              </w:rPr>
              <w:t xml:space="preserve"> </w:t>
            </w:r>
            <w:r w:rsidRPr="006F430E">
              <w:rPr>
                <w:noProof/>
              </w:rPr>
              <w:br/>
            </w:r>
            <w:r w:rsidRPr="006F430E">
              <w:rPr>
                <w:b/>
                <w:noProof/>
                <w:sz w:val="20"/>
              </w:rPr>
              <w:t>2025</w:t>
            </w:r>
          </w:p>
        </w:tc>
        <w:tc>
          <w:tcPr>
            <w:tcW w:w="2657" w:type="dxa"/>
            <w:vAlign w:val="center"/>
          </w:tcPr>
          <w:p w14:paraId="5F737D9B" w14:textId="558B946F" w:rsidR="00AD5E1E" w:rsidRPr="006F430E" w:rsidRDefault="00AD5E1E" w:rsidP="008E5A65">
            <w:pPr>
              <w:jc w:val="center"/>
              <w:rPr>
                <w:b/>
                <w:noProof/>
                <w:sz w:val="20"/>
              </w:rPr>
            </w:pPr>
            <w:r w:rsidRPr="006F430E">
              <w:rPr>
                <w:b/>
                <w:noProof/>
                <w:sz w:val="20"/>
              </w:rPr>
              <w:t>TOTAL</w:t>
            </w:r>
          </w:p>
        </w:tc>
      </w:tr>
      <w:tr w:rsidR="00AD5E1E" w:rsidRPr="006F430E" w14:paraId="017E616D" w14:textId="77777777" w:rsidTr="00AD5E1E">
        <w:trPr>
          <w:trHeight w:val="213"/>
        </w:trPr>
        <w:tc>
          <w:tcPr>
            <w:tcW w:w="5804" w:type="dxa"/>
            <w:gridSpan w:val="4"/>
            <w:vAlign w:val="center"/>
          </w:tcPr>
          <w:p w14:paraId="4AF382C7" w14:textId="77777777" w:rsidR="00AD5E1E" w:rsidRPr="006F430E" w:rsidRDefault="00AD5E1E" w:rsidP="008E5A65">
            <w:pPr>
              <w:spacing w:before="20" w:after="20"/>
              <w:rPr>
                <w:noProof/>
                <w:sz w:val="21"/>
              </w:rPr>
            </w:pPr>
            <w:r w:rsidRPr="006F430E">
              <w:rPr>
                <w:noProof/>
                <w:sz w:val="21"/>
              </w:rPr>
              <w:sym w:font="Wingdings" w:char="F09F"/>
            </w:r>
            <w:r w:rsidRPr="006F430E">
              <w:rPr>
                <w:noProof/>
                <w:sz w:val="21"/>
              </w:rPr>
              <w:t xml:space="preserve"> Crédits opérationnels </w:t>
            </w:r>
          </w:p>
        </w:tc>
        <w:tc>
          <w:tcPr>
            <w:tcW w:w="868" w:type="dxa"/>
            <w:vAlign w:val="center"/>
          </w:tcPr>
          <w:p w14:paraId="7AECE395" w14:textId="77777777" w:rsidR="00AD5E1E" w:rsidRPr="006F430E" w:rsidRDefault="00AD5E1E" w:rsidP="008E5A65">
            <w:pPr>
              <w:rPr>
                <w:noProof/>
                <w:sz w:val="20"/>
              </w:rPr>
            </w:pPr>
          </w:p>
        </w:tc>
        <w:tc>
          <w:tcPr>
            <w:tcW w:w="868" w:type="dxa"/>
            <w:vAlign w:val="center"/>
          </w:tcPr>
          <w:p w14:paraId="6CE3BC6B" w14:textId="77777777" w:rsidR="00AD5E1E" w:rsidRPr="006F430E" w:rsidRDefault="00AD5E1E" w:rsidP="008E5A65">
            <w:pPr>
              <w:rPr>
                <w:noProof/>
                <w:sz w:val="20"/>
              </w:rPr>
            </w:pPr>
          </w:p>
        </w:tc>
        <w:tc>
          <w:tcPr>
            <w:tcW w:w="868" w:type="dxa"/>
            <w:vAlign w:val="center"/>
          </w:tcPr>
          <w:p w14:paraId="77C04749" w14:textId="77777777" w:rsidR="00AD5E1E" w:rsidRPr="006F430E" w:rsidRDefault="00AD5E1E" w:rsidP="008E5A65">
            <w:pPr>
              <w:rPr>
                <w:noProof/>
                <w:sz w:val="20"/>
              </w:rPr>
            </w:pPr>
          </w:p>
        </w:tc>
        <w:tc>
          <w:tcPr>
            <w:tcW w:w="868" w:type="dxa"/>
            <w:vAlign w:val="center"/>
          </w:tcPr>
          <w:p w14:paraId="267BA372" w14:textId="77777777" w:rsidR="00AD5E1E" w:rsidRPr="006F430E" w:rsidRDefault="00AD5E1E" w:rsidP="008E5A65">
            <w:pPr>
              <w:rPr>
                <w:noProof/>
                <w:sz w:val="20"/>
              </w:rPr>
            </w:pPr>
          </w:p>
        </w:tc>
        <w:tc>
          <w:tcPr>
            <w:tcW w:w="897" w:type="dxa"/>
          </w:tcPr>
          <w:p w14:paraId="614E4A85" w14:textId="77777777" w:rsidR="00AD5E1E" w:rsidRPr="006F430E" w:rsidRDefault="00AD5E1E" w:rsidP="008E5A65">
            <w:pPr>
              <w:rPr>
                <w:b/>
                <w:noProof/>
                <w:sz w:val="20"/>
              </w:rPr>
            </w:pPr>
          </w:p>
        </w:tc>
        <w:tc>
          <w:tcPr>
            <w:tcW w:w="2657" w:type="dxa"/>
            <w:vAlign w:val="center"/>
          </w:tcPr>
          <w:p w14:paraId="703A23DA" w14:textId="7C4AEC0B" w:rsidR="00AD5E1E" w:rsidRPr="006F430E" w:rsidRDefault="00AD5E1E" w:rsidP="008E5A65">
            <w:pPr>
              <w:rPr>
                <w:b/>
                <w:noProof/>
                <w:sz w:val="20"/>
              </w:rPr>
            </w:pPr>
          </w:p>
        </w:tc>
      </w:tr>
      <w:tr w:rsidR="00AD5E1E" w:rsidRPr="006F430E" w14:paraId="6DEAE5C7" w14:textId="77777777" w:rsidTr="00AD5E1E">
        <w:trPr>
          <w:trHeight w:val="277"/>
        </w:trPr>
        <w:tc>
          <w:tcPr>
            <w:tcW w:w="3710" w:type="dxa"/>
            <w:vMerge w:val="restart"/>
            <w:vAlign w:val="center"/>
          </w:tcPr>
          <w:p w14:paraId="686C568E" w14:textId="77777777" w:rsidR="00AD5E1E" w:rsidRPr="006F430E" w:rsidRDefault="00AD5E1E" w:rsidP="008E5A65">
            <w:pPr>
              <w:rPr>
                <w:noProof/>
                <w:sz w:val="20"/>
              </w:rPr>
            </w:pPr>
            <w:r w:rsidRPr="006F430E">
              <w:rPr>
                <w:noProof/>
                <w:sz w:val="20"/>
              </w:rPr>
              <w:t>Ligne budgétaire</w:t>
            </w:r>
            <w:r w:rsidRPr="006F430E">
              <w:rPr>
                <w:rStyle w:val="FootnoteReference"/>
                <w:noProof/>
                <w:sz w:val="20"/>
              </w:rPr>
              <w:footnoteReference w:id="16"/>
            </w:r>
            <w:r w:rsidRPr="006F430E">
              <w:rPr>
                <w:noProof/>
                <w:sz w:val="20"/>
              </w:rPr>
              <w:t xml:space="preserve"> </w:t>
            </w:r>
          </w:p>
          <w:p w14:paraId="1F417C20" w14:textId="77777777" w:rsidR="00AD5E1E" w:rsidRPr="006F430E" w:rsidRDefault="00AD5E1E" w:rsidP="008E5A65">
            <w:pPr>
              <w:rPr>
                <w:noProof/>
              </w:rPr>
            </w:pPr>
            <w:r w:rsidRPr="006F430E">
              <w:rPr>
                <w:noProof/>
                <w:sz w:val="22"/>
              </w:rPr>
              <w:t>14.02.01.70.06 [prêts AMF — Garantie pour l’action extérieure]</w:t>
            </w:r>
          </w:p>
        </w:tc>
        <w:tc>
          <w:tcPr>
            <w:tcW w:w="1440" w:type="dxa"/>
            <w:vAlign w:val="center"/>
          </w:tcPr>
          <w:p w14:paraId="2E43A434" w14:textId="77777777" w:rsidR="00AD5E1E" w:rsidRPr="006F430E" w:rsidRDefault="00AD5E1E" w:rsidP="008E5A65">
            <w:pPr>
              <w:spacing w:before="20" w:after="20"/>
              <w:rPr>
                <w:noProof/>
                <w:sz w:val="18"/>
              </w:rPr>
            </w:pPr>
            <w:r w:rsidRPr="006F430E">
              <w:rPr>
                <w:noProof/>
                <w:sz w:val="18"/>
              </w:rPr>
              <w:t>Engagements</w:t>
            </w:r>
          </w:p>
        </w:tc>
        <w:tc>
          <w:tcPr>
            <w:tcW w:w="654" w:type="dxa"/>
            <w:gridSpan w:val="2"/>
            <w:vAlign w:val="center"/>
          </w:tcPr>
          <w:p w14:paraId="73FF2ACA" w14:textId="77777777" w:rsidR="00AD5E1E" w:rsidRPr="006F430E" w:rsidRDefault="00AD5E1E" w:rsidP="008E5A65">
            <w:pPr>
              <w:spacing w:before="20" w:after="20"/>
              <w:jc w:val="center"/>
              <w:rPr>
                <w:noProof/>
                <w:sz w:val="14"/>
              </w:rPr>
            </w:pPr>
            <w:r w:rsidRPr="006F430E">
              <w:rPr>
                <w:noProof/>
                <w:sz w:val="14"/>
              </w:rPr>
              <w:t>(1a)</w:t>
            </w:r>
          </w:p>
        </w:tc>
        <w:tc>
          <w:tcPr>
            <w:tcW w:w="868" w:type="dxa"/>
            <w:vAlign w:val="center"/>
          </w:tcPr>
          <w:p w14:paraId="1F1987AA" w14:textId="77777777" w:rsidR="00AD5E1E" w:rsidRPr="006F430E" w:rsidRDefault="00AD5E1E" w:rsidP="008E5A65">
            <w:pPr>
              <w:spacing w:before="20" w:after="20"/>
              <w:jc w:val="right"/>
              <w:rPr>
                <w:noProof/>
                <w:sz w:val="20"/>
              </w:rPr>
            </w:pPr>
          </w:p>
        </w:tc>
        <w:tc>
          <w:tcPr>
            <w:tcW w:w="868" w:type="dxa"/>
            <w:vAlign w:val="center"/>
          </w:tcPr>
          <w:p w14:paraId="31763709" w14:textId="2040DD3E" w:rsidR="00AD5E1E" w:rsidRPr="006F430E" w:rsidRDefault="002C6C4C" w:rsidP="00AD5E1E">
            <w:pPr>
              <w:spacing w:before="20" w:after="20"/>
              <w:jc w:val="center"/>
              <w:rPr>
                <w:noProof/>
                <w:sz w:val="20"/>
              </w:rPr>
            </w:pPr>
            <w:r w:rsidRPr="006F430E">
              <w:rPr>
                <w:noProof/>
                <w:sz w:val="20"/>
              </w:rPr>
              <w:t>10,8</w:t>
            </w:r>
          </w:p>
        </w:tc>
        <w:tc>
          <w:tcPr>
            <w:tcW w:w="868" w:type="dxa"/>
            <w:vAlign w:val="center"/>
          </w:tcPr>
          <w:p w14:paraId="1F2A298A" w14:textId="77777777" w:rsidR="00AD5E1E" w:rsidRPr="006F430E" w:rsidRDefault="00AD5E1E" w:rsidP="00AD5E1E">
            <w:pPr>
              <w:spacing w:before="20" w:after="20"/>
              <w:jc w:val="center"/>
              <w:rPr>
                <w:noProof/>
                <w:sz w:val="20"/>
              </w:rPr>
            </w:pPr>
          </w:p>
        </w:tc>
        <w:tc>
          <w:tcPr>
            <w:tcW w:w="868" w:type="dxa"/>
            <w:vAlign w:val="center"/>
          </w:tcPr>
          <w:p w14:paraId="2F8861BC" w14:textId="77777777" w:rsidR="00AD5E1E" w:rsidRPr="006F430E" w:rsidRDefault="00AD5E1E" w:rsidP="00AD5E1E">
            <w:pPr>
              <w:spacing w:before="20" w:after="20"/>
              <w:jc w:val="center"/>
              <w:rPr>
                <w:noProof/>
                <w:sz w:val="20"/>
              </w:rPr>
            </w:pPr>
          </w:p>
        </w:tc>
        <w:tc>
          <w:tcPr>
            <w:tcW w:w="897" w:type="dxa"/>
          </w:tcPr>
          <w:p w14:paraId="3F047857" w14:textId="77777777" w:rsidR="00AD5E1E" w:rsidRPr="006F430E" w:rsidRDefault="00AD5E1E" w:rsidP="00AD5E1E">
            <w:pPr>
              <w:spacing w:before="20" w:after="20"/>
              <w:jc w:val="center"/>
              <w:rPr>
                <w:b/>
                <w:noProof/>
                <w:sz w:val="20"/>
              </w:rPr>
            </w:pPr>
          </w:p>
        </w:tc>
        <w:tc>
          <w:tcPr>
            <w:tcW w:w="2657" w:type="dxa"/>
            <w:vAlign w:val="center"/>
          </w:tcPr>
          <w:p w14:paraId="1E1A3188" w14:textId="138DB925" w:rsidR="00AD5E1E" w:rsidRPr="006F430E" w:rsidRDefault="00AD5E1E" w:rsidP="00AD5E1E">
            <w:pPr>
              <w:spacing w:before="20" w:after="20"/>
              <w:jc w:val="center"/>
              <w:rPr>
                <w:b/>
                <w:noProof/>
                <w:sz w:val="20"/>
              </w:rPr>
            </w:pPr>
            <w:r w:rsidRPr="006F430E">
              <w:rPr>
                <w:b/>
                <w:noProof/>
                <w:sz w:val="20"/>
              </w:rPr>
              <w:t>10,8</w:t>
            </w:r>
          </w:p>
        </w:tc>
      </w:tr>
      <w:tr w:rsidR="00AD5E1E" w:rsidRPr="006F430E" w14:paraId="28D4DA2B" w14:textId="77777777" w:rsidTr="00AD5E1E">
        <w:tc>
          <w:tcPr>
            <w:tcW w:w="3710" w:type="dxa"/>
            <w:vMerge/>
          </w:tcPr>
          <w:p w14:paraId="677DE60C" w14:textId="77777777" w:rsidR="00AD5E1E" w:rsidRPr="006F430E" w:rsidRDefault="00AD5E1E" w:rsidP="008E5A65">
            <w:pPr>
              <w:jc w:val="center"/>
              <w:rPr>
                <w:noProof/>
                <w:sz w:val="20"/>
              </w:rPr>
            </w:pPr>
          </w:p>
        </w:tc>
        <w:tc>
          <w:tcPr>
            <w:tcW w:w="1440" w:type="dxa"/>
            <w:vAlign w:val="center"/>
          </w:tcPr>
          <w:p w14:paraId="63EF43C8" w14:textId="77777777" w:rsidR="00AD5E1E" w:rsidRPr="006F430E" w:rsidRDefault="00AD5E1E" w:rsidP="008E5A65">
            <w:pPr>
              <w:spacing w:before="20" w:after="20"/>
              <w:rPr>
                <w:noProof/>
                <w:sz w:val="18"/>
              </w:rPr>
            </w:pPr>
            <w:r w:rsidRPr="006F430E">
              <w:rPr>
                <w:noProof/>
                <w:sz w:val="18"/>
              </w:rPr>
              <w:t>Paiements</w:t>
            </w:r>
          </w:p>
        </w:tc>
        <w:tc>
          <w:tcPr>
            <w:tcW w:w="654" w:type="dxa"/>
            <w:gridSpan w:val="2"/>
            <w:vAlign w:val="center"/>
          </w:tcPr>
          <w:p w14:paraId="6D083F4C" w14:textId="77777777" w:rsidR="00AD5E1E" w:rsidRPr="006F430E" w:rsidRDefault="00AD5E1E" w:rsidP="008E5A65">
            <w:pPr>
              <w:spacing w:before="20" w:after="20"/>
              <w:jc w:val="center"/>
              <w:rPr>
                <w:noProof/>
                <w:sz w:val="14"/>
              </w:rPr>
            </w:pPr>
            <w:r w:rsidRPr="006F430E">
              <w:rPr>
                <w:noProof/>
                <w:sz w:val="14"/>
              </w:rPr>
              <w:t>(2a)</w:t>
            </w:r>
          </w:p>
        </w:tc>
        <w:tc>
          <w:tcPr>
            <w:tcW w:w="868" w:type="dxa"/>
            <w:vAlign w:val="center"/>
          </w:tcPr>
          <w:p w14:paraId="7071392C" w14:textId="77777777" w:rsidR="00AD5E1E" w:rsidRPr="006F430E" w:rsidRDefault="00AD5E1E" w:rsidP="008E5A65">
            <w:pPr>
              <w:spacing w:before="20" w:after="20"/>
              <w:jc w:val="right"/>
              <w:rPr>
                <w:noProof/>
                <w:sz w:val="20"/>
              </w:rPr>
            </w:pPr>
          </w:p>
        </w:tc>
        <w:tc>
          <w:tcPr>
            <w:tcW w:w="868" w:type="dxa"/>
            <w:vAlign w:val="center"/>
          </w:tcPr>
          <w:p w14:paraId="42AB42D9" w14:textId="3A30E7CB" w:rsidR="00AD5E1E" w:rsidRPr="006F430E" w:rsidRDefault="00AD5E1E" w:rsidP="00AD5E1E">
            <w:pPr>
              <w:spacing w:before="20" w:after="20"/>
              <w:jc w:val="center"/>
              <w:rPr>
                <w:noProof/>
                <w:sz w:val="20"/>
              </w:rPr>
            </w:pPr>
            <w:r w:rsidRPr="006F430E">
              <w:rPr>
                <w:noProof/>
                <w:sz w:val="20"/>
              </w:rPr>
              <w:t>10,8</w:t>
            </w:r>
          </w:p>
        </w:tc>
        <w:tc>
          <w:tcPr>
            <w:tcW w:w="868" w:type="dxa"/>
            <w:vAlign w:val="center"/>
          </w:tcPr>
          <w:p w14:paraId="3F304E08" w14:textId="292A4E54" w:rsidR="00AD5E1E" w:rsidRPr="006F430E" w:rsidRDefault="00AD5E1E" w:rsidP="00AD5E1E">
            <w:pPr>
              <w:spacing w:before="20" w:after="20"/>
              <w:jc w:val="center"/>
              <w:rPr>
                <w:noProof/>
                <w:sz w:val="20"/>
              </w:rPr>
            </w:pPr>
          </w:p>
        </w:tc>
        <w:tc>
          <w:tcPr>
            <w:tcW w:w="868" w:type="dxa"/>
            <w:vAlign w:val="center"/>
          </w:tcPr>
          <w:p w14:paraId="3B2E6285" w14:textId="77777777" w:rsidR="00AD5E1E" w:rsidRPr="006F430E" w:rsidRDefault="00AD5E1E" w:rsidP="00AD5E1E">
            <w:pPr>
              <w:spacing w:before="20" w:after="20"/>
              <w:jc w:val="center"/>
              <w:rPr>
                <w:noProof/>
                <w:sz w:val="20"/>
              </w:rPr>
            </w:pPr>
          </w:p>
        </w:tc>
        <w:tc>
          <w:tcPr>
            <w:tcW w:w="897" w:type="dxa"/>
          </w:tcPr>
          <w:p w14:paraId="177776F0" w14:textId="77777777" w:rsidR="00AD5E1E" w:rsidRPr="006F430E" w:rsidRDefault="00AD5E1E" w:rsidP="00AD5E1E">
            <w:pPr>
              <w:spacing w:before="20" w:after="20"/>
              <w:jc w:val="center"/>
              <w:rPr>
                <w:b/>
                <w:noProof/>
                <w:sz w:val="20"/>
              </w:rPr>
            </w:pPr>
          </w:p>
        </w:tc>
        <w:tc>
          <w:tcPr>
            <w:tcW w:w="2657" w:type="dxa"/>
            <w:vAlign w:val="center"/>
          </w:tcPr>
          <w:p w14:paraId="7D866B71" w14:textId="2989686A" w:rsidR="00AD5E1E" w:rsidRPr="006F430E" w:rsidRDefault="00AD5E1E" w:rsidP="00AD5E1E">
            <w:pPr>
              <w:spacing w:before="20" w:after="20"/>
              <w:jc w:val="center"/>
              <w:rPr>
                <w:b/>
                <w:noProof/>
                <w:sz w:val="20"/>
              </w:rPr>
            </w:pPr>
            <w:r w:rsidRPr="006F430E">
              <w:rPr>
                <w:b/>
                <w:noProof/>
                <w:sz w:val="20"/>
              </w:rPr>
              <w:t>10,8</w:t>
            </w:r>
          </w:p>
        </w:tc>
      </w:tr>
      <w:tr w:rsidR="00AD5E1E" w:rsidRPr="006F430E" w14:paraId="29E77780" w14:textId="77777777" w:rsidTr="00AD5E1E">
        <w:tc>
          <w:tcPr>
            <w:tcW w:w="3710" w:type="dxa"/>
            <w:vMerge w:val="restart"/>
            <w:vAlign w:val="center"/>
          </w:tcPr>
          <w:p w14:paraId="08C270E0" w14:textId="77777777" w:rsidR="00AD5E1E" w:rsidRPr="006F430E" w:rsidRDefault="00AD5E1E" w:rsidP="008E5A65">
            <w:pPr>
              <w:spacing w:before="60"/>
              <w:rPr>
                <w:noProof/>
                <w:sz w:val="22"/>
              </w:rPr>
            </w:pPr>
            <w:r w:rsidRPr="006F430E">
              <w:rPr>
                <w:noProof/>
                <w:sz w:val="20"/>
              </w:rPr>
              <w:t>Ligne budgétaire</w:t>
            </w:r>
            <w:r w:rsidRPr="006F430E">
              <w:rPr>
                <w:noProof/>
                <w:sz w:val="22"/>
              </w:rPr>
              <w:t xml:space="preserve"> </w:t>
            </w:r>
          </w:p>
          <w:p w14:paraId="2670FF45" w14:textId="77777777" w:rsidR="00AD5E1E" w:rsidRPr="006F430E" w:rsidRDefault="00AD5E1E" w:rsidP="008E5A65">
            <w:pPr>
              <w:spacing w:before="60"/>
              <w:rPr>
                <w:noProof/>
              </w:rPr>
            </w:pPr>
            <w:r w:rsidRPr="006F430E">
              <w:rPr>
                <w:noProof/>
                <w:sz w:val="22"/>
              </w:rPr>
              <w:t>14.20.03.01 [subventions au titre de l’AMF]</w:t>
            </w:r>
          </w:p>
        </w:tc>
        <w:tc>
          <w:tcPr>
            <w:tcW w:w="1440" w:type="dxa"/>
            <w:vAlign w:val="center"/>
          </w:tcPr>
          <w:p w14:paraId="57FDAEE4" w14:textId="77777777" w:rsidR="00AD5E1E" w:rsidRPr="006F430E" w:rsidRDefault="00AD5E1E" w:rsidP="008E5A65">
            <w:pPr>
              <w:spacing w:before="20" w:after="20"/>
              <w:rPr>
                <w:noProof/>
                <w:sz w:val="18"/>
              </w:rPr>
            </w:pPr>
            <w:r w:rsidRPr="006F430E">
              <w:rPr>
                <w:noProof/>
                <w:sz w:val="18"/>
              </w:rPr>
              <w:t>Engagements</w:t>
            </w:r>
          </w:p>
        </w:tc>
        <w:tc>
          <w:tcPr>
            <w:tcW w:w="654" w:type="dxa"/>
            <w:gridSpan w:val="2"/>
            <w:vAlign w:val="center"/>
          </w:tcPr>
          <w:p w14:paraId="3A2B3CD7" w14:textId="77777777" w:rsidR="00AD5E1E" w:rsidRPr="006F430E" w:rsidRDefault="00AD5E1E" w:rsidP="008E5A65">
            <w:pPr>
              <w:spacing w:before="20" w:after="20"/>
              <w:jc w:val="center"/>
              <w:rPr>
                <w:noProof/>
                <w:sz w:val="14"/>
              </w:rPr>
            </w:pPr>
            <w:r w:rsidRPr="006F430E">
              <w:rPr>
                <w:noProof/>
                <w:sz w:val="14"/>
              </w:rPr>
              <w:t>(1b)</w:t>
            </w:r>
          </w:p>
        </w:tc>
        <w:tc>
          <w:tcPr>
            <w:tcW w:w="868" w:type="dxa"/>
            <w:vAlign w:val="center"/>
          </w:tcPr>
          <w:p w14:paraId="27C9E00B" w14:textId="77777777" w:rsidR="00AD5E1E" w:rsidRPr="006F430E" w:rsidRDefault="00AD5E1E" w:rsidP="008E5A65">
            <w:pPr>
              <w:spacing w:before="20" w:after="20"/>
              <w:jc w:val="right"/>
              <w:rPr>
                <w:noProof/>
                <w:sz w:val="20"/>
              </w:rPr>
            </w:pPr>
          </w:p>
        </w:tc>
        <w:tc>
          <w:tcPr>
            <w:tcW w:w="868" w:type="dxa"/>
            <w:vAlign w:val="center"/>
          </w:tcPr>
          <w:p w14:paraId="06A4DAF8" w14:textId="2407DC91" w:rsidR="00AD5E1E" w:rsidRPr="006F430E" w:rsidRDefault="00CC7FCE" w:rsidP="00AD5E1E">
            <w:pPr>
              <w:spacing w:before="20" w:after="20"/>
              <w:jc w:val="center"/>
              <w:rPr>
                <w:noProof/>
                <w:sz w:val="20"/>
              </w:rPr>
            </w:pPr>
            <w:r w:rsidRPr="006F430E">
              <w:rPr>
                <w:noProof/>
                <w:sz w:val="20"/>
              </w:rPr>
              <w:t>30</w:t>
            </w:r>
          </w:p>
        </w:tc>
        <w:tc>
          <w:tcPr>
            <w:tcW w:w="868" w:type="dxa"/>
            <w:vAlign w:val="center"/>
          </w:tcPr>
          <w:p w14:paraId="7D710ED1" w14:textId="5CA579C5" w:rsidR="00AD5E1E" w:rsidRPr="006F430E" w:rsidRDefault="00AD5E1E" w:rsidP="00AD5E1E">
            <w:pPr>
              <w:spacing w:before="20" w:after="20"/>
              <w:jc w:val="center"/>
              <w:rPr>
                <w:noProof/>
                <w:sz w:val="20"/>
              </w:rPr>
            </w:pPr>
          </w:p>
        </w:tc>
        <w:tc>
          <w:tcPr>
            <w:tcW w:w="868" w:type="dxa"/>
            <w:vAlign w:val="center"/>
          </w:tcPr>
          <w:p w14:paraId="75526700" w14:textId="77777777" w:rsidR="00AD5E1E" w:rsidRPr="006F430E" w:rsidRDefault="00AD5E1E" w:rsidP="00AD5E1E">
            <w:pPr>
              <w:spacing w:before="20" w:after="20"/>
              <w:jc w:val="center"/>
              <w:rPr>
                <w:noProof/>
                <w:sz w:val="20"/>
              </w:rPr>
            </w:pPr>
          </w:p>
        </w:tc>
        <w:tc>
          <w:tcPr>
            <w:tcW w:w="897" w:type="dxa"/>
          </w:tcPr>
          <w:p w14:paraId="5F8C2153" w14:textId="77777777" w:rsidR="00AD5E1E" w:rsidRPr="006F430E" w:rsidRDefault="00AD5E1E" w:rsidP="00AD5E1E">
            <w:pPr>
              <w:spacing w:before="20" w:after="20"/>
              <w:jc w:val="center"/>
              <w:rPr>
                <w:b/>
                <w:noProof/>
                <w:sz w:val="20"/>
              </w:rPr>
            </w:pPr>
          </w:p>
        </w:tc>
        <w:tc>
          <w:tcPr>
            <w:tcW w:w="2657" w:type="dxa"/>
            <w:vAlign w:val="center"/>
          </w:tcPr>
          <w:p w14:paraId="75466D99" w14:textId="5D1A9327" w:rsidR="00AD5E1E" w:rsidRPr="006F430E" w:rsidRDefault="00AD5E1E" w:rsidP="00AD5E1E">
            <w:pPr>
              <w:spacing w:before="20" w:after="20"/>
              <w:jc w:val="center"/>
              <w:rPr>
                <w:b/>
                <w:noProof/>
                <w:sz w:val="20"/>
              </w:rPr>
            </w:pPr>
            <w:r w:rsidRPr="006F430E">
              <w:rPr>
                <w:b/>
                <w:noProof/>
                <w:sz w:val="20"/>
              </w:rPr>
              <w:t>30</w:t>
            </w:r>
          </w:p>
        </w:tc>
      </w:tr>
      <w:tr w:rsidR="00AD5E1E" w:rsidRPr="006F430E" w14:paraId="43CB71A2" w14:textId="77777777" w:rsidTr="00AD5E1E">
        <w:tc>
          <w:tcPr>
            <w:tcW w:w="3710" w:type="dxa"/>
            <w:vMerge/>
          </w:tcPr>
          <w:p w14:paraId="2FE03926" w14:textId="77777777" w:rsidR="00AD5E1E" w:rsidRPr="006F430E" w:rsidRDefault="00AD5E1E" w:rsidP="008E5A65">
            <w:pPr>
              <w:jc w:val="center"/>
              <w:rPr>
                <w:noProof/>
                <w:sz w:val="20"/>
              </w:rPr>
            </w:pPr>
          </w:p>
        </w:tc>
        <w:tc>
          <w:tcPr>
            <w:tcW w:w="1440" w:type="dxa"/>
            <w:vAlign w:val="center"/>
          </w:tcPr>
          <w:p w14:paraId="47FD43DE" w14:textId="77777777" w:rsidR="00AD5E1E" w:rsidRPr="006F430E" w:rsidRDefault="00AD5E1E" w:rsidP="008E5A65">
            <w:pPr>
              <w:spacing w:before="20" w:after="20"/>
              <w:rPr>
                <w:noProof/>
                <w:sz w:val="18"/>
              </w:rPr>
            </w:pPr>
            <w:r w:rsidRPr="006F430E">
              <w:rPr>
                <w:noProof/>
                <w:sz w:val="18"/>
              </w:rPr>
              <w:t>Paiements</w:t>
            </w:r>
          </w:p>
        </w:tc>
        <w:tc>
          <w:tcPr>
            <w:tcW w:w="654" w:type="dxa"/>
            <w:gridSpan w:val="2"/>
            <w:vAlign w:val="center"/>
          </w:tcPr>
          <w:p w14:paraId="5A21660D" w14:textId="77777777" w:rsidR="00AD5E1E" w:rsidRPr="006F430E" w:rsidRDefault="00AD5E1E" w:rsidP="008E5A65">
            <w:pPr>
              <w:spacing w:before="20" w:after="20"/>
              <w:jc w:val="center"/>
              <w:rPr>
                <w:noProof/>
                <w:sz w:val="14"/>
              </w:rPr>
            </w:pPr>
            <w:r w:rsidRPr="006F430E">
              <w:rPr>
                <w:noProof/>
                <w:sz w:val="14"/>
              </w:rPr>
              <w:t>(2b)</w:t>
            </w:r>
          </w:p>
        </w:tc>
        <w:tc>
          <w:tcPr>
            <w:tcW w:w="868" w:type="dxa"/>
            <w:vAlign w:val="center"/>
          </w:tcPr>
          <w:p w14:paraId="4E54E8B9" w14:textId="77777777" w:rsidR="00AD5E1E" w:rsidRPr="006F430E" w:rsidRDefault="00AD5E1E" w:rsidP="008E5A65">
            <w:pPr>
              <w:spacing w:before="20" w:after="20"/>
              <w:jc w:val="right"/>
              <w:rPr>
                <w:noProof/>
                <w:sz w:val="20"/>
              </w:rPr>
            </w:pPr>
          </w:p>
        </w:tc>
        <w:tc>
          <w:tcPr>
            <w:tcW w:w="868" w:type="dxa"/>
            <w:vAlign w:val="center"/>
          </w:tcPr>
          <w:p w14:paraId="2A70DF8B" w14:textId="77777777" w:rsidR="00AD5E1E" w:rsidRPr="006F430E" w:rsidRDefault="00AD5E1E" w:rsidP="00AD5E1E">
            <w:pPr>
              <w:spacing w:before="20" w:after="20"/>
              <w:jc w:val="center"/>
              <w:rPr>
                <w:noProof/>
                <w:sz w:val="20"/>
              </w:rPr>
            </w:pPr>
            <w:r w:rsidRPr="006F430E">
              <w:rPr>
                <w:noProof/>
                <w:sz w:val="20"/>
              </w:rPr>
              <w:t>20</w:t>
            </w:r>
          </w:p>
        </w:tc>
        <w:tc>
          <w:tcPr>
            <w:tcW w:w="868" w:type="dxa"/>
            <w:vAlign w:val="center"/>
          </w:tcPr>
          <w:p w14:paraId="473CA546" w14:textId="77777777" w:rsidR="00AD5E1E" w:rsidRPr="006F430E" w:rsidRDefault="00AD5E1E" w:rsidP="00AD5E1E">
            <w:pPr>
              <w:spacing w:before="20" w:after="20"/>
              <w:jc w:val="center"/>
              <w:rPr>
                <w:noProof/>
                <w:sz w:val="20"/>
              </w:rPr>
            </w:pPr>
            <w:r w:rsidRPr="006F430E">
              <w:rPr>
                <w:noProof/>
                <w:sz w:val="20"/>
              </w:rPr>
              <w:t>10</w:t>
            </w:r>
          </w:p>
        </w:tc>
        <w:tc>
          <w:tcPr>
            <w:tcW w:w="868" w:type="dxa"/>
            <w:vAlign w:val="center"/>
          </w:tcPr>
          <w:p w14:paraId="7C9D36BB" w14:textId="77777777" w:rsidR="00AD5E1E" w:rsidRPr="006F430E" w:rsidRDefault="00AD5E1E" w:rsidP="00AD5E1E">
            <w:pPr>
              <w:spacing w:before="20" w:after="20"/>
              <w:jc w:val="center"/>
              <w:rPr>
                <w:noProof/>
                <w:sz w:val="20"/>
              </w:rPr>
            </w:pPr>
          </w:p>
        </w:tc>
        <w:tc>
          <w:tcPr>
            <w:tcW w:w="897" w:type="dxa"/>
          </w:tcPr>
          <w:p w14:paraId="4C50934F" w14:textId="77777777" w:rsidR="00AD5E1E" w:rsidRPr="006F430E" w:rsidRDefault="00AD5E1E" w:rsidP="00AD5E1E">
            <w:pPr>
              <w:spacing w:before="20" w:after="20"/>
              <w:jc w:val="center"/>
              <w:rPr>
                <w:b/>
                <w:noProof/>
                <w:sz w:val="20"/>
              </w:rPr>
            </w:pPr>
          </w:p>
        </w:tc>
        <w:tc>
          <w:tcPr>
            <w:tcW w:w="2657" w:type="dxa"/>
            <w:vAlign w:val="center"/>
          </w:tcPr>
          <w:p w14:paraId="3649AF00" w14:textId="1DE7450C" w:rsidR="00AD5E1E" w:rsidRPr="006F430E" w:rsidRDefault="00AD5E1E" w:rsidP="00AD5E1E">
            <w:pPr>
              <w:spacing w:before="20" w:after="20"/>
              <w:jc w:val="center"/>
              <w:rPr>
                <w:b/>
                <w:noProof/>
                <w:sz w:val="20"/>
              </w:rPr>
            </w:pPr>
            <w:r w:rsidRPr="006F430E">
              <w:rPr>
                <w:b/>
                <w:noProof/>
                <w:sz w:val="20"/>
              </w:rPr>
              <w:t>30</w:t>
            </w:r>
          </w:p>
        </w:tc>
      </w:tr>
      <w:tr w:rsidR="00AD5E1E" w:rsidRPr="006F430E" w14:paraId="742E559B" w14:textId="77777777" w:rsidTr="00AD5E1E">
        <w:trPr>
          <w:trHeight w:val="231"/>
        </w:trPr>
        <w:tc>
          <w:tcPr>
            <w:tcW w:w="5804" w:type="dxa"/>
            <w:gridSpan w:val="4"/>
            <w:vAlign w:val="center"/>
          </w:tcPr>
          <w:p w14:paraId="6ED33D7F" w14:textId="77777777" w:rsidR="00AD5E1E" w:rsidRPr="006F430E" w:rsidRDefault="00AD5E1E" w:rsidP="008E5A65">
            <w:pPr>
              <w:spacing w:before="20" w:after="20"/>
              <w:rPr>
                <w:noProof/>
              </w:rPr>
            </w:pPr>
            <w:r w:rsidRPr="006F430E">
              <w:rPr>
                <w:noProof/>
                <w:sz w:val="21"/>
              </w:rPr>
              <w:t>Crédits de nature administrative financés par l’enveloppe de certains programmes spécifiques</w:t>
            </w:r>
            <w:r w:rsidRPr="006F430E">
              <w:rPr>
                <w:rStyle w:val="FootnoteReference"/>
                <w:noProof/>
                <w:sz w:val="21"/>
              </w:rPr>
              <w:footnoteReference w:id="17"/>
            </w:r>
            <w:r w:rsidRPr="006F430E">
              <w:rPr>
                <w:noProof/>
                <w:sz w:val="21"/>
              </w:rPr>
              <w:t xml:space="preserve"> </w:t>
            </w:r>
          </w:p>
          <w:p w14:paraId="38EB35B0" w14:textId="77777777" w:rsidR="00AD5E1E" w:rsidRPr="006F430E" w:rsidRDefault="00AD5E1E" w:rsidP="008E5A65">
            <w:pPr>
              <w:spacing w:before="0" w:after="0"/>
              <w:rPr>
                <w:noProof/>
              </w:rPr>
            </w:pPr>
          </w:p>
        </w:tc>
        <w:tc>
          <w:tcPr>
            <w:tcW w:w="868" w:type="dxa"/>
            <w:vAlign w:val="center"/>
          </w:tcPr>
          <w:p w14:paraId="327760DA" w14:textId="77777777" w:rsidR="00AD5E1E" w:rsidRPr="006F430E" w:rsidRDefault="00AD5E1E" w:rsidP="008E5A65">
            <w:pPr>
              <w:rPr>
                <w:b/>
                <w:noProof/>
                <w:sz w:val="20"/>
              </w:rPr>
            </w:pPr>
          </w:p>
        </w:tc>
        <w:tc>
          <w:tcPr>
            <w:tcW w:w="868" w:type="dxa"/>
            <w:vAlign w:val="center"/>
          </w:tcPr>
          <w:p w14:paraId="28CB62B7" w14:textId="77777777" w:rsidR="00AD5E1E" w:rsidRPr="006F430E" w:rsidRDefault="00AD5E1E" w:rsidP="00AD5E1E">
            <w:pPr>
              <w:jc w:val="center"/>
              <w:rPr>
                <w:b/>
                <w:noProof/>
                <w:sz w:val="20"/>
              </w:rPr>
            </w:pPr>
          </w:p>
        </w:tc>
        <w:tc>
          <w:tcPr>
            <w:tcW w:w="868" w:type="dxa"/>
            <w:vAlign w:val="center"/>
          </w:tcPr>
          <w:p w14:paraId="1D96BFF4" w14:textId="77777777" w:rsidR="00AD5E1E" w:rsidRPr="006F430E" w:rsidRDefault="00AD5E1E" w:rsidP="00AD5E1E">
            <w:pPr>
              <w:jc w:val="center"/>
              <w:rPr>
                <w:b/>
                <w:noProof/>
                <w:sz w:val="20"/>
              </w:rPr>
            </w:pPr>
          </w:p>
        </w:tc>
        <w:tc>
          <w:tcPr>
            <w:tcW w:w="868" w:type="dxa"/>
            <w:vAlign w:val="center"/>
          </w:tcPr>
          <w:p w14:paraId="3B4EB355" w14:textId="77777777" w:rsidR="00AD5E1E" w:rsidRPr="006F430E" w:rsidRDefault="00AD5E1E" w:rsidP="00AD5E1E">
            <w:pPr>
              <w:jc w:val="center"/>
              <w:rPr>
                <w:b/>
                <w:noProof/>
                <w:sz w:val="20"/>
              </w:rPr>
            </w:pPr>
          </w:p>
        </w:tc>
        <w:tc>
          <w:tcPr>
            <w:tcW w:w="897" w:type="dxa"/>
          </w:tcPr>
          <w:p w14:paraId="30C1E94A" w14:textId="77777777" w:rsidR="00AD5E1E" w:rsidRPr="006F430E" w:rsidRDefault="00AD5E1E" w:rsidP="00AD5E1E">
            <w:pPr>
              <w:jc w:val="center"/>
              <w:rPr>
                <w:b/>
                <w:noProof/>
                <w:sz w:val="20"/>
              </w:rPr>
            </w:pPr>
          </w:p>
        </w:tc>
        <w:tc>
          <w:tcPr>
            <w:tcW w:w="2657" w:type="dxa"/>
            <w:vAlign w:val="center"/>
          </w:tcPr>
          <w:p w14:paraId="5542867D" w14:textId="4A300F25" w:rsidR="00AD5E1E" w:rsidRPr="006F430E" w:rsidRDefault="00AD5E1E" w:rsidP="00AD5E1E">
            <w:pPr>
              <w:jc w:val="center"/>
              <w:rPr>
                <w:b/>
                <w:noProof/>
                <w:sz w:val="20"/>
              </w:rPr>
            </w:pPr>
          </w:p>
        </w:tc>
      </w:tr>
      <w:tr w:rsidR="00AD5E1E" w:rsidRPr="006F430E" w14:paraId="10CD8854" w14:textId="77777777" w:rsidTr="00AD5E1E">
        <w:trPr>
          <w:trHeight w:val="319"/>
        </w:trPr>
        <w:tc>
          <w:tcPr>
            <w:tcW w:w="3710" w:type="dxa"/>
            <w:vAlign w:val="center"/>
          </w:tcPr>
          <w:p w14:paraId="040A1BCD" w14:textId="77777777" w:rsidR="00AD5E1E" w:rsidRPr="006F430E" w:rsidRDefault="00AD5E1E" w:rsidP="008E5A65">
            <w:pPr>
              <w:spacing w:before="60" w:after="60"/>
              <w:rPr>
                <w:noProof/>
                <w:sz w:val="20"/>
              </w:rPr>
            </w:pPr>
            <w:r w:rsidRPr="006F430E">
              <w:rPr>
                <w:noProof/>
                <w:sz w:val="20"/>
              </w:rPr>
              <w:t xml:space="preserve">Ligne budgétaire </w:t>
            </w:r>
          </w:p>
          <w:p w14:paraId="3097003D" w14:textId="4CD5D611" w:rsidR="00AD5E1E" w:rsidRPr="006F430E" w:rsidRDefault="00AD5E1E" w:rsidP="00234E03">
            <w:pPr>
              <w:spacing w:before="60" w:after="60"/>
              <w:rPr>
                <w:noProof/>
              </w:rPr>
            </w:pPr>
            <w:r w:rsidRPr="006F430E">
              <w:rPr>
                <w:noProof/>
                <w:sz w:val="22"/>
              </w:rPr>
              <w:t xml:space="preserve">14.20.03.01 </w:t>
            </w:r>
          </w:p>
        </w:tc>
        <w:tc>
          <w:tcPr>
            <w:tcW w:w="1440" w:type="dxa"/>
            <w:vAlign w:val="center"/>
          </w:tcPr>
          <w:p w14:paraId="2BF0F16A" w14:textId="77777777" w:rsidR="00AD5E1E" w:rsidRPr="006F430E" w:rsidRDefault="00AD5E1E" w:rsidP="008E5A65">
            <w:pPr>
              <w:spacing w:before="40" w:after="40"/>
              <w:jc w:val="right"/>
              <w:rPr>
                <w:noProof/>
                <w:sz w:val="18"/>
              </w:rPr>
            </w:pPr>
          </w:p>
        </w:tc>
        <w:tc>
          <w:tcPr>
            <w:tcW w:w="654" w:type="dxa"/>
            <w:gridSpan w:val="2"/>
            <w:vAlign w:val="center"/>
          </w:tcPr>
          <w:p w14:paraId="556A2D66" w14:textId="77777777" w:rsidR="00AD5E1E" w:rsidRPr="006F430E" w:rsidRDefault="00AD5E1E" w:rsidP="008E5A65">
            <w:pPr>
              <w:spacing w:before="40" w:after="40"/>
              <w:jc w:val="center"/>
              <w:rPr>
                <w:noProof/>
                <w:sz w:val="14"/>
              </w:rPr>
            </w:pPr>
            <w:r w:rsidRPr="006F430E">
              <w:rPr>
                <w:noProof/>
                <w:sz w:val="14"/>
              </w:rPr>
              <w:t>(3)</w:t>
            </w:r>
          </w:p>
        </w:tc>
        <w:tc>
          <w:tcPr>
            <w:tcW w:w="868" w:type="dxa"/>
            <w:vAlign w:val="center"/>
          </w:tcPr>
          <w:p w14:paraId="655C7D3E" w14:textId="77777777" w:rsidR="00AD5E1E" w:rsidRPr="006F430E" w:rsidRDefault="00AD5E1E" w:rsidP="008E5A65">
            <w:pPr>
              <w:spacing w:before="40" w:after="40"/>
              <w:jc w:val="right"/>
              <w:rPr>
                <w:b/>
                <w:noProof/>
                <w:sz w:val="20"/>
              </w:rPr>
            </w:pPr>
          </w:p>
        </w:tc>
        <w:tc>
          <w:tcPr>
            <w:tcW w:w="868" w:type="dxa"/>
            <w:vAlign w:val="center"/>
          </w:tcPr>
          <w:p w14:paraId="283D8F8A" w14:textId="77777777" w:rsidR="00AD5E1E" w:rsidRPr="006F430E" w:rsidRDefault="00AD5E1E" w:rsidP="00AD5E1E">
            <w:pPr>
              <w:spacing w:before="40" w:after="40"/>
              <w:jc w:val="center"/>
              <w:rPr>
                <w:b/>
                <w:noProof/>
                <w:sz w:val="20"/>
              </w:rPr>
            </w:pPr>
          </w:p>
        </w:tc>
        <w:tc>
          <w:tcPr>
            <w:tcW w:w="868" w:type="dxa"/>
            <w:vAlign w:val="center"/>
          </w:tcPr>
          <w:p w14:paraId="5CB856B5" w14:textId="77777777" w:rsidR="00AD5E1E" w:rsidRPr="006F430E" w:rsidRDefault="00AD5E1E" w:rsidP="00AD5E1E">
            <w:pPr>
              <w:spacing w:before="40" w:after="40"/>
              <w:jc w:val="center"/>
              <w:rPr>
                <w:b/>
                <w:noProof/>
                <w:sz w:val="20"/>
              </w:rPr>
            </w:pPr>
          </w:p>
        </w:tc>
        <w:tc>
          <w:tcPr>
            <w:tcW w:w="868" w:type="dxa"/>
            <w:vAlign w:val="center"/>
          </w:tcPr>
          <w:p w14:paraId="26E332B9" w14:textId="77777777" w:rsidR="00AD5E1E" w:rsidRPr="006F430E" w:rsidRDefault="00AD5E1E" w:rsidP="00AD5E1E">
            <w:pPr>
              <w:spacing w:before="40" w:after="40"/>
              <w:jc w:val="center"/>
              <w:rPr>
                <w:b/>
                <w:noProof/>
                <w:sz w:val="20"/>
              </w:rPr>
            </w:pPr>
          </w:p>
        </w:tc>
        <w:tc>
          <w:tcPr>
            <w:tcW w:w="897" w:type="dxa"/>
          </w:tcPr>
          <w:p w14:paraId="48DC6A96" w14:textId="2316763A" w:rsidR="00AD5E1E" w:rsidRPr="006F430E" w:rsidRDefault="00AD5E1E" w:rsidP="00AD5E1E">
            <w:pPr>
              <w:spacing w:before="40" w:after="40"/>
              <w:jc w:val="center"/>
              <w:rPr>
                <w:noProof/>
                <w:sz w:val="20"/>
              </w:rPr>
            </w:pPr>
            <w:r w:rsidRPr="006F430E">
              <w:rPr>
                <w:noProof/>
                <w:sz w:val="20"/>
              </w:rPr>
              <w:t>0,15</w:t>
            </w:r>
          </w:p>
        </w:tc>
        <w:tc>
          <w:tcPr>
            <w:tcW w:w="2657" w:type="dxa"/>
            <w:vAlign w:val="center"/>
          </w:tcPr>
          <w:p w14:paraId="751DBC4B" w14:textId="1F3347BE" w:rsidR="00AD5E1E" w:rsidRPr="006F430E" w:rsidRDefault="00AD5E1E" w:rsidP="00AD5E1E">
            <w:pPr>
              <w:spacing w:before="40" w:after="40"/>
              <w:jc w:val="center"/>
              <w:rPr>
                <w:b/>
                <w:noProof/>
                <w:sz w:val="20"/>
              </w:rPr>
            </w:pPr>
            <w:r w:rsidRPr="006F430E">
              <w:rPr>
                <w:b/>
                <w:noProof/>
                <w:sz w:val="20"/>
              </w:rPr>
              <w:t>0,15</w:t>
            </w:r>
          </w:p>
        </w:tc>
      </w:tr>
      <w:tr w:rsidR="00AD5E1E" w:rsidRPr="006F430E" w14:paraId="6B66BEB2" w14:textId="77777777" w:rsidTr="00AD5E1E">
        <w:tc>
          <w:tcPr>
            <w:tcW w:w="3710" w:type="dxa"/>
            <w:vMerge w:val="restart"/>
            <w:vAlign w:val="center"/>
          </w:tcPr>
          <w:p w14:paraId="37F3B464" w14:textId="25615081" w:rsidR="00AD5E1E" w:rsidRPr="006F430E" w:rsidRDefault="00AD5E1E" w:rsidP="005A0E95">
            <w:pPr>
              <w:jc w:val="center"/>
              <w:rPr>
                <w:b/>
                <w:noProof/>
              </w:rPr>
            </w:pPr>
            <w:r w:rsidRPr="006F430E">
              <w:rPr>
                <w:b/>
                <w:noProof/>
                <w:sz w:val="22"/>
              </w:rPr>
              <w:t>TOTAL des crédits</w:t>
            </w:r>
            <w:r w:rsidRPr="006F430E">
              <w:rPr>
                <w:noProof/>
              </w:rPr>
              <w:t xml:space="preserve"> </w:t>
            </w:r>
            <w:r w:rsidRPr="006F430E">
              <w:rPr>
                <w:noProof/>
              </w:rPr>
              <w:br/>
            </w:r>
            <w:r w:rsidRPr="006F430E">
              <w:rPr>
                <w:b/>
                <w:noProof/>
                <w:sz w:val="22"/>
              </w:rPr>
              <w:t>pour la DG ECFIN</w:t>
            </w:r>
          </w:p>
        </w:tc>
        <w:tc>
          <w:tcPr>
            <w:tcW w:w="1440" w:type="dxa"/>
            <w:vAlign w:val="center"/>
          </w:tcPr>
          <w:p w14:paraId="1B5C2ACF" w14:textId="77777777" w:rsidR="00AD5E1E" w:rsidRPr="006F430E" w:rsidRDefault="00AD5E1E" w:rsidP="008E5A65">
            <w:pPr>
              <w:rPr>
                <w:noProof/>
                <w:sz w:val="18"/>
              </w:rPr>
            </w:pPr>
            <w:r w:rsidRPr="006F430E">
              <w:rPr>
                <w:noProof/>
                <w:sz w:val="18"/>
              </w:rPr>
              <w:t>Engagements</w:t>
            </w:r>
          </w:p>
        </w:tc>
        <w:tc>
          <w:tcPr>
            <w:tcW w:w="654" w:type="dxa"/>
            <w:gridSpan w:val="2"/>
            <w:vAlign w:val="center"/>
          </w:tcPr>
          <w:p w14:paraId="39E30FCE" w14:textId="77777777" w:rsidR="00AD5E1E" w:rsidRPr="006F430E" w:rsidRDefault="00AD5E1E" w:rsidP="008E5A65">
            <w:pPr>
              <w:jc w:val="center"/>
              <w:rPr>
                <w:noProof/>
                <w:sz w:val="14"/>
              </w:rPr>
            </w:pPr>
            <w:r w:rsidRPr="006F430E">
              <w:rPr>
                <w:noProof/>
                <w:sz w:val="14"/>
              </w:rPr>
              <w:t>=1a+1b +3</w:t>
            </w:r>
          </w:p>
        </w:tc>
        <w:tc>
          <w:tcPr>
            <w:tcW w:w="868" w:type="dxa"/>
            <w:vAlign w:val="center"/>
          </w:tcPr>
          <w:p w14:paraId="56E22C0C" w14:textId="77777777" w:rsidR="00AD5E1E" w:rsidRPr="006F430E" w:rsidRDefault="00AD5E1E" w:rsidP="008E5A65">
            <w:pPr>
              <w:spacing w:before="20" w:after="20"/>
              <w:jc w:val="right"/>
              <w:rPr>
                <w:noProof/>
                <w:sz w:val="20"/>
              </w:rPr>
            </w:pPr>
          </w:p>
        </w:tc>
        <w:tc>
          <w:tcPr>
            <w:tcW w:w="868" w:type="dxa"/>
            <w:vAlign w:val="center"/>
          </w:tcPr>
          <w:p w14:paraId="3DC0BCE0" w14:textId="586DFA21" w:rsidR="00AD5E1E" w:rsidRPr="006F430E" w:rsidRDefault="00CC7FCE" w:rsidP="00AD5E1E">
            <w:pPr>
              <w:spacing w:before="20" w:after="20"/>
              <w:jc w:val="center"/>
              <w:rPr>
                <w:noProof/>
                <w:sz w:val="20"/>
              </w:rPr>
            </w:pPr>
            <w:r w:rsidRPr="006F430E">
              <w:rPr>
                <w:noProof/>
                <w:sz w:val="20"/>
              </w:rPr>
              <w:t>40,8</w:t>
            </w:r>
          </w:p>
        </w:tc>
        <w:tc>
          <w:tcPr>
            <w:tcW w:w="868" w:type="dxa"/>
            <w:vAlign w:val="center"/>
          </w:tcPr>
          <w:p w14:paraId="261AA229" w14:textId="0E219D28" w:rsidR="00AD5E1E" w:rsidRPr="006F430E" w:rsidRDefault="00AD5E1E" w:rsidP="00AD5E1E">
            <w:pPr>
              <w:spacing w:before="20" w:after="20"/>
              <w:jc w:val="center"/>
              <w:rPr>
                <w:noProof/>
                <w:sz w:val="20"/>
              </w:rPr>
            </w:pPr>
          </w:p>
        </w:tc>
        <w:tc>
          <w:tcPr>
            <w:tcW w:w="868" w:type="dxa"/>
            <w:vAlign w:val="center"/>
          </w:tcPr>
          <w:p w14:paraId="66CBCEFE" w14:textId="77777777" w:rsidR="00AD5E1E" w:rsidRPr="006F430E" w:rsidRDefault="00AD5E1E" w:rsidP="00AD5E1E">
            <w:pPr>
              <w:spacing w:before="20" w:after="20"/>
              <w:jc w:val="center"/>
              <w:rPr>
                <w:noProof/>
                <w:sz w:val="20"/>
              </w:rPr>
            </w:pPr>
          </w:p>
        </w:tc>
        <w:tc>
          <w:tcPr>
            <w:tcW w:w="897" w:type="dxa"/>
          </w:tcPr>
          <w:p w14:paraId="3A39D23E" w14:textId="6CC3D1BC" w:rsidR="00AD5E1E" w:rsidRPr="006F430E" w:rsidRDefault="00B42921" w:rsidP="00AD5E1E">
            <w:pPr>
              <w:spacing w:before="20" w:after="20"/>
              <w:jc w:val="center"/>
              <w:rPr>
                <w:noProof/>
                <w:sz w:val="20"/>
              </w:rPr>
            </w:pPr>
            <w:r w:rsidRPr="006F430E">
              <w:rPr>
                <w:noProof/>
                <w:sz w:val="20"/>
              </w:rPr>
              <w:t>0,15</w:t>
            </w:r>
          </w:p>
        </w:tc>
        <w:tc>
          <w:tcPr>
            <w:tcW w:w="2657" w:type="dxa"/>
            <w:vAlign w:val="center"/>
          </w:tcPr>
          <w:p w14:paraId="33D0C6C8" w14:textId="0FDF36E9" w:rsidR="00AD5E1E" w:rsidRPr="006F430E" w:rsidRDefault="00B42921" w:rsidP="00AD5E1E">
            <w:pPr>
              <w:spacing w:before="20" w:after="20"/>
              <w:jc w:val="center"/>
              <w:rPr>
                <w:b/>
                <w:noProof/>
                <w:sz w:val="20"/>
              </w:rPr>
            </w:pPr>
            <w:r w:rsidRPr="006F430E">
              <w:rPr>
                <w:b/>
                <w:noProof/>
                <w:sz w:val="20"/>
              </w:rPr>
              <w:t>40,95</w:t>
            </w:r>
          </w:p>
        </w:tc>
      </w:tr>
      <w:tr w:rsidR="00AD5E1E" w:rsidRPr="006F430E" w14:paraId="7DB4934A" w14:textId="77777777" w:rsidTr="00AD5E1E">
        <w:tc>
          <w:tcPr>
            <w:tcW w:w="3710" w:type="dxa"/>
            <w:vMerge/>
          </w:tcPr>
          <w:p w14:paraId="5FAE9CE9" w14:textId="77777777" w:rsidR="00AD5E1E" w:rsidRPr="006F430E" w:rsidRDefault="00AD5E1E" w:rsidP="008E5A65">
            <w:pPr>
              <w:rPr>
                <w:noProof/>
                <w:sz w:val="20"/>
              </w:rPr>
            </w:pPr>
          </w:p>
        </w:tc>
        <w:tc>
          <w:tcPr>
            <w:tcW w:w="1440" w:type="dxa"/>
            <w:vAlign w:val="center"/>
          </w:tcPr>
          <w:p w14:paraId="48C6865D" w14:textId="77777777" w:rsidR="00AD5E1E" w:rsidRPr="006F430E" w:rsidRDefault="00AD5E1E" w:rsidP="008E5A65">
            <w:pPr>
              <w:rPr>
                <w:noProof/>
                <w:sz w:val="18"/>
              </w:rPr>
            </w:pPr>
            <w:r w:rsidRPr="006F430E">
              <w:rPr>
                <w:noProof/>
                <w:sz w:val="18"/>
              </w:rPr>
              <w:t>Paiements</w:t>
            </w:r>
          </w:p>
        </w:tc>
        <w:tc>
          <w:tcPr>
            <w:tcW w:w="654" w:type="dxa"/>
            <w:gridSpan w:val="2"/>
            <w:vAlign w:val="center"/>
          </w:tcPr>
          <w:p w14:paraId="031D70F6" w14:textId="77777777" w:rsidR="00AD5E1E" w:rsidRPr="006F430E" w:rsidRDefault="00AD5E1E" w:rsidP="008E5A65">
            <w:pPr>
              <w:jc w:val="center"/>
              <w:rPr>
                <w:noProof/>
                <w:sz w:val="14"/>
              </w:rPr>
            </w:pPr>
            <w:r w:rsidRPr="006F430E">
              <w:rPr>
                <w:noProof/>
                <w:sz w:val="14"/>
              </w:rPr>
              <w:t>=2a+2b</w:t>
            </w:r>
          </w:p>
          <w:p w14:paraId="1B83324F" w14:textId="77777777" w:rsidR="00AD5E1E" w:rsidRPr="006F430E" w:rsidRDefault="00AD5E1E" w:rsidP="008E5A65">
            <w:pPr>
              <w:jc w:val="center"/>
              <w:rPr>
                <w:noProof/>
                <w:sz w:val="14"/>
              </w:rPr>
            </w:pPr>
            <w:r w:rsidRPr="006F430E">
              <w:rPr>
                <w:noProof/>
                <w:sz w:val="14"/>
              </w:rPr>
              <w:t>+3</w:t>
            </w:r>
          </w:p>
        </w:tc>
        <w:tc>
          <w:tcPr>
            <w:tcW w:w="868" w:type="dxa"/>
            <w:vAlign w:val="center"/>
          </w:tcPr>
          <w:p w14:paraId="132DC93C" w14:textId="77777777" w:rsidR="00AD5E1E" w:rsidRPr="006F430E" w:rsidRDefault="00AD5E1E" w:rsidP="008E5A65">
            <w:pPr>
              <w:spacing w:before="20" w:after="20"/>
              <w:jc w:val="right"/>
              <w:rPr>
                <w:noProof/>
                <w:sz w:val="20"/>
              </w:rPr>
            </w:pPr>
          </w:p>
        </w:tc>
        <w:tc>
          <w:tcPr>
            <w:tcW w:w="868" w:type="dxa"/>
            <w:vAlign w:val="center"/>
          </w:tcPr>
          <w:p w14:paraId="5E8DC6AE" w14:textId="3D1772FA" w:rsidR="00AD5E1E" w:rsidRPr="006F430E" w:rsidRDefault="00AD5E1E" w:rsidP="00AD5E1E">
            <w:pPr>
              <w:spacing w:before="20" w:after="20"/>
              <w:jc w:val="center"/>
              <w:rPr>
                <w:noProof/>
                <w:sz w:val="20"/>
              </w:rPr>
            </w:pPr>
            <w:r w:rsidRPr="006F430E">
              <w:rPr>
                <w:noProof/>
                <w:sz w:val="20"/>
              </w:rPr>
              <w:t>30,8</w:t>
            </w:r>
          </w:p>
        </w:tc>
        <w:tc>
          <w:tcPr>
            <w:tcW w:w="868" w:type="dxa"/>
            <w:vAlign w:val="center"/>
          </w:tcPr>
          <w:p w14:paraId="000BF0C9" w14:textId="62AB4934" w:rsidR="00AD5E1E" w:rsidRPr="006F430E" w:rsidRDefault="00AD5E1E" w:rsidP="00AD5E1E">
            <w:pPr>
              <w:spacing w:before="20" w:after="20"/>
              <w:jc w:val="center"/>
              <w:rPr>
                <w:noProof/>
                <w:sz w:val="20"/>
              </w:rPr>
            </w:pPr>
            <w:r w:rsidRPr="006F430E">
              <w:rPr>
                <w:noProof/>
                <w:sz w:val="20"/>
              </w:rPr>
              <w:t>10</w:t>
            </w:r>
          </w:p>
        </w:tc>
        <w:tc>
          <w:tcPr>
            <w:tcW w:w="868" w:type="dxa"/>
            <w:vAlign w:val="center"/>
          </w:tcPr>
          <w:p w14:paraId="6520EDE3" w14:textId="77777777" w:rsidR="00AD5E1E" w:rsidRPr="006F430E" w:rsidRDefault="00AD5E1E" w:rsidP="00AD5E1E">
            <w:pPr>
              <w:spacing w:before="20" w:after="20"/>
              <w:jc w:val="center"/>
              <w:rPr>
                <w:noProof/>
                <w:sz w:val="20"/>
              </w:rPr>
            </w:pPr>
          </w:p>
        </w:tc>
        <w:tc>
          <w:tcPr>
            <w:tcW w:w="897" w:type="dxa"/>
          </w:tcPr>
          <w:p w14:paraId="4F4A0A57" w14:textId="2167EF83" w:rsidR="00AD5E1E" w:rsidRPr="006F430E" w:rsidRDefault="00B42921" w:rsidP="00B42921">
            <w:pPr>
              <w:spacing w:before="20" w:after="20"/>
              <w:rPr>
                <w:noProof/>
                <w:sz w:val="20"/>
              </w:rPr>
            </w:pPr>
            <w:r w:rsidRPr="006F430E">
              <w:rPr>
                <w:noProof/>
                <w:sz w:val="20"/>
              </w:rPr>
              <w:t xml:space="preserve">   0,15</w:t>
            </w:r>
          </w:p>
        </w:tc>
        <w:tc>
          <w:tcPr>
            <w:tcW w:w="2657" w:type="dxa"/>
            <w:vAlign w:val="center"/>
          </w:tcPr>
          <w:p w14:paraId="3B531760" w14:textId="3A07D39D" w:rsidR="00AD5E1E" w:rsidRPr="006F430E" w:rsidRDefault="00B42921" w:rsidP="00AD5E1E">
            <w:pPr>
              <w:spacing w:before="20" w:after="20"/>
              <w:jc w:val="center"/>
              <w:rPr>
                <w:b/>
                <w:noProof/>
                <w:sz w:val="20"/>
              </w:rPr>
            </w:pPr>
            <w:r w:rsidRPr="006F430E">
              <w:rPr>
                <w:b/>
                <w:noProof/>
                <w:sz w:val="20"/>
              </w:rPr>
              <w:t>40,95</w:t>
            </w:r>
          </w:p>
        </w:tc>
      </w:tr>
    </w:tbl>
    <w:p w14:paraId="6A754C40" w14:textId="77777777" w:rsidR="001A3A0C" w:rsidRPr="006F430E" w:rsidRDefault="001A3A0C" w:rsidP="004F6AC7">
      <w:pPr>
        <w:rPr>
          <w:noProof/>
          <w:sz w:val="16"/>
        </w:rPr>
      </w:pPr>
    </w:p>
    <w:p w14:paraId="0E5AFA06" w14:textId="77777777" w:rsidR="001A3A0C" w:rsidRPr="006F430E" w:rsidRDefault="001A3A0C" w:rsidP="004F6AC7">
      <w:pPr>
        <w:rPr>
          <w:noProof/>
        </w:rPr>
      </w:pPr>
      <w:r w:rsidRPr="006F430E">
        <w:rPr>
          <w:noProof/>
        </w:rPr>
        <w:t xml:space="preserve"> </w:t>
      </w:r>
      <w:r w:rsidRPr="006F430E">
        <w:rPr>
          <w:noProof/>
        </w:rPr>
        <w:br/>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0"/>
        <w:gridCol w:w="1517"/>
        <w:gridCol w:w="625"/>
        <w:gridCol w:w="850"/>
        <w:gridCol w:w="851"/>
        <w:gridCol w:w="850"/>
        <w:gridCol w:w="851"/>
        <w:gridCol w:w="992"/>
        <w:gridCol w:w="2693"/>
      </w:tblGrid>
      <w:tr w:rsidR="005A0E95" w:rsidRPr="006F430E" w14:paraId="24FF1A69" w14:textId="77777777" w:rsidTr="00D66D78">
        <w:trPr>
          <w:trHeight w:val="249"/>
        </w:trPr>
        <w:tc>
          <w:tcPr>
            <w:tcW w:w="3670" w:type="dxa"/>
            <w:vMerge w:val="restart"/>
            <w:vAlign w:val="center"/>
          </w:tcPr>
          <w:p w14:paraId="533673AC" w14:textId="77777777" w:rsidR="005A0E95" w:rsidRPr="006F430E" w:rsidRDefault="005A0E95" w:rsidP="004F6AC7">
            <w:pPr>
              <w:spacing w:before="20" w:after="20"/>
              <w:rPr>
                <w:noProof/>
              </w:rPr>
            </w:pPr>
            <w:r w:rsidRPr="006F430E">
              <w:rPr>
                <w:noProof/>
              </w:rPr>
              <w:br w:type="page"/>
            </w:r>
            <w:r w:rsidRPr="006F430E">
              <w:rPr>
                <w:noProof/>
                <w:sz w:val="21"/>
              </w:rPr>
              <w:sym w:font="Wingdings" w:char="F09F"/>
            </w:r>
            <w:r w:rsidRPr="006F430E">
              <w:rPr>
                <w:noProof/>
                <w:sz w:val="21"/>
              </w:rPr>
              <w:t xml:space="preserve">TOTAL des crédits opérationnels </w:t>
            </w:r>
          </w:p>
        </w:tc>
        <w:tc>
          <w:tcPr>
            <w:tcW w:w="1517" w:type="dxa"/>
            <w:vAlign w:val="center"/>
          </w:tcPr>
          <w:p w14:paraId="6B006FDD" w14:textId="77777777" w:rsidR="005A0E95" w:rsidRPr="006F430E" w:rsidRDefault="005A0E95" w:rsidP="004F6AC7">
            <w:pPr>
              <w:spacing w:beforeLines="20" w:before="48" w:afterLines="20" w:after="48"/>
              <w:rPr>
                <w:noProof/>
                <w:sz w:val="18"/>
              </w:rPr>
            </w:pPr>
            <w:r w:rsidRPr="006F430E">
              <w:rPr>
                <w:noProof/>
                <w:sz w:val="18"/>
              </w:rPr>
              <w:t>Engagements</w:t>
            </w:r>
          </w:p>
        </w:tc>
        <w:tc>
          <w:tcPr>
            <w:tcW w:w="625" w:type="dxa"/>
            <w:vAlign w:val="center"/>
          </w:tcPr>
          <w:p w14:paraId="0AD05E16" w14:textId="77777777" w:rsidR="005A0E95" w:rsidRPr="006F430E" w:rsidRDefault="005A0E95" w:rsidP="004F6AC7">
            <w:pPr>
              <w:spacing w:beforeLines="20" w:before="48" w:afterLines="20" w:after="48"/>
              <w:jc w:val="center"/>
              <w:rPr>
                <w:noProof/>
                <w:sz w:val="14"/>
              </w:rPr>
            </w:pPr>
            <w:r w:rsidRPr="006F430E">
              <w:rPr>
                <w:noProof/>
                <w:sz w:val="14"/>
              </w:rPr>
              <w:t>(4)</w:t>
            </w:r>
          </w:p>
        </w:tc>
        <w:tc>
          <w:tcPr>
            <w:tcW w:w="850" w:type="dxa"/>
            <w:vAlign w:val="center"/>
          </w:tcPr>
          <w:p w14:paraId="76B61B93" w14:textId="77777777" w:rsidR="005A0E95" w:rsidRPr="006F430E" w:rsidRDefault="005A0E95" w:rsidP="004F6AC7">
            <w:pPr>
              <w:spacing w:before="20" w:after="20"/>
              <w:jc w:val="right"/>
              <w:rPr>
                <w:noProof/>
                <w:sz w:val="20"/>
              </w:rPr>
            </w:pPr>
          </w:p>
        </w:tc>
        <w:tc>
          <w:tcPr>
            <w:tcW w:w="851" w:type="dxa"/>
            <w:vAlign w:val="center"/>
          </w:tcPr>
          <w:p w14:paraId="434CCF56" w14:textId="3A96C0DA" w:rsidR="005A0E95" w:rsidRPr="006F430E" w:rsidRDefault="00CC7FCE" w:rsidP="00DE691F">
            <w:pPr>
              <w:spacing w:before="20" w:after="20"/>
              <w:jc w:val="center"/>
              <w:rPr>
                <w:noProof/>
                <w:sz w:val="20"/>
              </w:rPr>
            </w:pPr>
            <w:r w:rsidRPr="006F430E">
              <w:rPr>
                <w:noProof/>
                <w:sz w:val="20"/>
              </w:rPr>
              <w:t>40,8</w:t>
            </w:r>
          </w:p>
        </w:tc>
        <w:tc>
          <w:tcPr>
            <w:tcW w:w="850" w:type="dxa"/>
            <w:vAlign w:val="center"/>
          </w:tcPr>
          <w:p w14:paraId="74BAF6AC" w14:textId="44714350" w:rsidR="005A0E95" w:rsidRPr="006F430E" w:rsidRDefault="005A0E95" w:rsidP="00DE691F">
            <w:pPr>
              <w:spacing w:before="20" w:after="20"/>
              <w:jc w:val="center"/>
              <w:rPr>
                <w:noProof/>
                <w:sz w:val="20"/>
              </w:rPr>
            </w:pPr>
          </w:p>
        </w:tc>
        <w:tc>
          <w:tcPr>
            <w:tcW w:w="851" w:type="dxa"/>
            <w:vAlign w:val="center"/>
          </w:tcPr>
          <w:p w14:paraId="43961BEC" w14:textId="77777777" w:rsidR="005A0E95" w:rsidRPr="006F430E" w:rsidRDefault="005A0E95" w:rsidP="00DE691F">
            <w:pPr>
              <w:spacing w:before="20" w:after="20"/>
              <w:jc w:val="center"/>
              <w:rPr>
                <w:noProof/>
                <w:sz w:val="20"/>
              </w:rPr>
            </w:pPr>
          </w:p>
        </w:tc>
        <w:tc>
          <w:tcPr>
            <w:tcW w:w="992" w:type="dxa"/>
            <w:vAlign w:val="center"/>
          </w:tcPr>
          <w:p w14:paraId="70B9F4E3" w14:textId="77777777" w:rsidR="005A0E95" w:rsidRPr="006F430E" w:rsidRDefault="005A0E95" w:rsidP="00DE691F">
            <w:pPr>
              <w:spacing w:before="20" w:after="20"/>
              <w:jc w:val="center"/>
              <w:rPr>
                <w:noProof/>
                <w:sz w:val="20"/>
              </w:rPr>
            </w:pPr>
          </w:p>
        </w:tc>
        <w:tc>
          <w:tcPr>
            <w:tcW w:w="2693" w:type="dxa"/>
            <w:vAlign w:val="center"/>
          </w:tcPr>
          <w:p w14:paraId="23C7045D" w14:textId="31AA4D1A" w:rsidR="005A0E95" w:rsidRPr="006F430E" w:rsidRDefault="00B42921" w:rsidP="00DE691F">
            <w:pPr>
              <w:spacing w:before="20" w:after="20"/>
              <w:jc w:val="center"/>
              <w:rPr>
                <w:b/>
                <w:noProof/>
                <w:sz w:val="20"/>
              </w:rPr>
            </w:pPr>
            <w:r w:rsidRPr="006F430E">
              <w:rPr>
                <w:b/>
                <w:noProof/>
                <w:sz w:val="20"/>
              </w:rPr>
              <w:t>40,8</w:t>
            </w:r>
          </w:p>
        </w:tc>
      </w:tr>
      <w:tr w:rsidR="005A0E95" w:rsidRPr="006F430E" w14:paraId="62960081" w14:textId="77777777" w:rsidTr="00D66D78">
        <w:trPr>
          <w:trHeight w:val="271"/>
        </w:trPr>
        <w:tc>
          <w:tcPr>
            <w:tcW w:w="3670" w:type="dxa"/>
            <w:vMerge/>
          </w:tcPr>
          <w:p w14:paraId="69A4F194" w14:textId="77777777" w:rsidR="005A0E95" w:rsidRPr="006F430E" w:rsidRDefault="005A0E95" w:rsidP="004F6AC7">
            <w:pPr>
              <w:jc w:val="center"/>
              <w:rPr>
                <w:noProof/>
                <w:sz w:val="20"/>
              </w:rPr>
            </w:pPr>
          </w:p>
        </w:tc>
        <w:tc>
          <w:tcPr>
            <w:tcW w:w="1517" w:type="dxa"/>
            <w:vAlign w:val="center"/>
          </w:tcPr>
          <w:p w14:paraId="77D4A6E2" w14:textId="77777777" w:rsidR="005A0E95" w:rsidRPr="006F430E" w:rsidRDefault="005A0E95" w:rsidP="004F6AC7">
            <w:pPr>
              <w:spacing w:beforeLines="20" w:before="48" w:afterLines="20" w:after="48"/>
              <w:rPr>
                <w:noProof/>
                <w:sz w:val="18"/>
              </w:rPr>
            </w:pPr>
            <w:r w:rsidRPr="006F430E">
              <w:rPr>
                <w:noProof/>
                <w:sz w:val="18"/>
              </w:rPr>
              <w:t>Paiements</w:t>
            </w:r>
          </w:p>
        </w:tc>
        <w:tc>
          <w:tcPr>
            <w:tcW w:w="625" w:type="dxa"/>
            <w:vAlign w:val="center"/>
          </w:tcPr>
          <w:p w14:paraId="3413306D" w14:textId="77777777" w:rsidR="005A0E95" w:rsidRPr="006F430E" w:rsidRDefault="005A0E95" w:rsidP="004F6AC7">
            <w:pPr>
              <w:spacing w:beforeLines="20" w:before="48" w:afterLines="20" w:after="48"/>
              <w:jc w:val="center"/>
              <w:rPr>
                <w:noProof/>
                <w:sz w:val="14"/>
              </w:rPr>
            </w:pPr>
            <w:r w:rsidRPr="006F430E">
              <w:rPr>
                <w:noProof/>
                <w:sz w:val="14"/>
              </w:rPr>
              <w:t>(5)</w:t>
            </w:r>
          </w:p>
        </w:tc>
        <w:tc>
          <w:tcPr>
            <w:tcW w:w="850" w:type="dxa"/>
            <w:vAlign w:val="center"/>
          </w:tcPr>
          <w:p w14:paraId="5F35970B" w14:textId="77777777" w:rsidR="005A0E95" w:rsidRPr="006F430E" w:rsidRDefault="005A0E95" w:rsidP="004F6AC7">
            <w:pPr>
              <w:spacing w:before="20" w:after="20"/>
              <w:jc w:val="right"/>
              <w:rPr>
                <w:noProof/>
                <w:sz w:val="20"/>
              </w:rPr>
            </w:pPr>
          </w:p>
        </w:tc>
        <w:tc>
          <w:tcPr>
            <w:tcW w:w="851" w:type="dxa"/>
            <w:vAlign w:val="center"/>
          </w:tcPr>
          <w:p w14:paraId="25F06BD9" w14:textId="6F64CA6A" w:rsidR="005A0E95" w:rsidRPr="006F430E" w:rsidRDefault="00B42921" w:rsidP="00DE691F">
            <w:pPr>
              <w:spacing w:before="20" w:after="20"/>
              <w:jc w:val="center"/>
              <w:rPr>
                <w:noProof/>
                <w:sz w:val="20"/>
              </w:rPr>
            </w:pPr>
            <w:r w:rsidRPr="006F430E">
              <w:rPr>
                <w:noProof/>
                <w:sz w:val="20"/>
              </w:rPr>
              <w:t>30,8</w:t>
            </w:r>
          </w:p>
        </w:tc>
        <w:tc>
          <w:tcPr>
            <w:tcW w:w="850" w:type="dxa"/>
            <w:vAlign w:val="center"/>
          </w:tcPr>
          <w:p w14:paraId="1366180F" w14:textId="725752E1" w:rsidR="005A0E95" w:rsidRPr="006F430E" w:rsidRDefault="00B42921" w:rsidP="00DE691F">
            <w:pPr>
              <w:spacing w:before="20" w:after="20"/>
              <w:jc w:val="center"/>
              <w:rPr>
                <w:noProof/>
                <w:sz w:val="20"/>
              </w:rPr>
            </w:pPr>
            <w:r w:rsidRPr="006F430E">
              <w:rPr>
                <w:noProof/>
                <w:sz w:val="20"/>
              </w:rPr>
              <w:t>10</w:t>
            </w:r>
          </w:p>
        </w:tc>
        <w:tc>
          <w:tcPr>
            <w:tcW w:w="851" w:type="dxa"/>
            <w:vAlign w:val="center"/>
          </w:tcPr>
          <w:p w14:paraId="4EB5C214" w14:textId="77777777" w:rsidR="005A0E95" w:rsidRPr="006F430E" w:rsidRDefault="005A0E95" w:rsidP="00DE691F">
            <w:pPr>
              <w:spacing w:before="20" w:after="20"/>
              <w:jc w:val="center"/>
              <w:rPr>
                <w:noProof/>
                <w:sz w:val="20"/>
              </w:rPr>
            </w:pPr>
          </w:p>
        </w:tc>
        <w:tc>
          <w:tcPr>
            <w:tcW w:w="992" w:type="dxa"/>
            <w:vAlign w:val="center"/>
          </w:tcPr>
          <w:p w14:paraId="2DE34FCF" w14:textId="77777777" w:rsidR="005A0E95" w:rsidRPr="006F430E" w:rsidRDefault="005A0E95" w:rsidP="00DE691F">
            <w:pPr>
              <w:spacing w:before="20" w:after="20"/>
              <w:jc w:val="center"/>
              <w:rPr>
                <w:noProof/>
                <w:sz w:val="20"/>
              </w:rPr>
            </w:pPr>
          </w:p>
        </w:tc>
        <w:tc>
          <w:tcPr>
            <w:tcW w:w="2693" w:type="dxa"/>
            <w:vAlign w:val="center"/>
          </w:tcPr>
          <w:p w14:paraId="06AE2A36" w14:textId="1B638BD2" w:rsidR="005A0E95" w:rsidRPr="006F430E" w:rsidRDefault="00B42921" w:rsidP="00DE691F">
            <w:pPr>
              <w:spacing w:before="20" w:after="20"/>
              <w:jc w:val="center"/>
              <w:rPr>
                <w:b/>
                <w:noProof/>
                <w:sz w:val="20"/>
              </w:rPr>
            </w:pPr>
            <w:r w:rsidRPr="006F430E">
              <w:rPr>
                <w:b/>
                <w:noProof/>
                <w:sz w:val="20"/>
              </w:rPr>
              <w:t>40,8</w:t>
            </w:r>
          </w:p>
        </w:tc>
      </w:tr>
      <w:tr w:rsidR="005A0E95" w:rsidRPr="006F430E" w14:paraId="3A9AB986" w14:textId="77777777" w:rsidTr="00D66D78">
        <w:trPr>
          <w:trHeight w:val="480"/>
        </w:trPr>
        <w:tc>
          <w:tcPr>
            <w:tcW w:w="5187" w:type="dxa"/>
            <w:gridSpan w:val="2"/>
            <w:vAlign w:val="center"/>
          </w:tcPr>
          <w:p w14:paraId="2F9E391E" w14:textId="77777777" w:rsidR="005A0E95" w:rsidRPr="006F430E" w:rsidRDefault="005A0E95" w:rsidP="004F6AC7">
            <w:pPr>
              <w:spacing w:beforeLines="20" w:before="48" w:afterLines="20" w:after="48"/>
              <w:rPr>
                <w:noProof/>
              </w:rPr>
            </w:pPr>
            <w:r w:rsidRPr="006F430E">
              <w:rPr>
                <w:noProof/>
                <w:sz w:val="21"/>
              </w:rPr>
              <w:sym w:font="Wingdings" w:char="F09F"/>
            </w:r>
            <w:r w:rsidRPr="006F430E">
              <w:rPr>
                <w:noProof/>
                <w:sz w:val="21"/>
              </w:rPr>
              <w:t xml:space="preserve">TOTAL des crédits de nature administrative financés sur l’enveloppe de certains programmes spécifiques </w:t>
            </w:r>
          </w:p>
        </w:tc>
        <w:tc>
          <w:tcPr>
            <w:tcW w:w="625" w:type="dxa"/>
            <w:vAlign w:val="center"/>
          </w:tcPr>
          <w:p w14:paraId="64020F16" w14:textId="77777777" w:rsidR="005A0E95" w:rsidRPr="006F430E" w:rsidRDefault="005A0E95" w:rsidP="004F6AC7">
            <w:pPr>
              <w:spacing w:beforeLines="20" w:before="48" w:afterLines="20" w:after="48"/>
              <w:jc w:val="center"/>
              <w:rPr>
                <w:noProof/>
                <w:sz w:val="14"/>
              </w:rPr>
            </w:pPr>
            <w:r w:rsidRPr="006F430E">
              <w:rPr>
                <w:noProof/>
                <w:sz w:val="14"/>
              </w:rPr>
              <w:t>(6)</w:t>
            </w:r>
          </w:p>
        </w:tc>
        <w:tc>
          <w:tcPr>
            <w:tcW w:w="850" w:type="dxa"/>
            <w:vAlign w:val="center"/>
          </w:tcPr>
          <w:p w14:paraId="3E099B01" w14:textId="77777777" w:rsidR="005A0E95" w:rsidRPr="006F430E" w:rsidRDefault="005A0E95" w:rsidP="004F6AC7">
            <w:pPr>
              <w:spacing w:before="20" w:after="20"/>
              <w:jc w:val="right"/>
              <w:rPr>
                <w:b/>
                <w:noProof/>
                <w:sz w:val="20"/>
              </w:rPr>
            </w:pPr>
          </w:p>
        </w:tc>
        <w:tc>
          <w:tcPr>
            <w:tcW w:w="851" w:type="dxa"/>
            <w:vAlign w:val="center"/>
          </w:tcPr>
          <w:p w14:paraId="118C514E" w14:textId="77777777" w:rsidR="005A0E95" w:rsidRPr="006F430E" w:rsidRDefault="005A0E95" w:rsidP="00DE691F">
            <w:pPr>
              <w:spacing w:before="20" w:after="20"/>
              <w:jc w:val="center"/>
              <w:rPr>
                <w:b/>
                <w:noProof/>
                <w:sz w:val="20"/>
              </w:rPr>
            </w:pPr>
          </w:p>
        </w:tc>
        <w:tc>
          <w:tcPr>
            <w:tcW w:w="850" w:type="dxa"/>
            <w:vAlign w:val="center"/>
          </w:tcPr>
          <w:p w14:paraId="4F17CBF1" w14:textId="77777777" w:rsidR="005A0E95" w:rsidRPr="006F430E" w:rsidRDefault="005A0E95" w:rsidP="00DE691F">
            <w:pPr>
              <w:spacing w:before="20" w:after="20"/>
              <w:jc w:val="center"/>
              <w:rPr>
                <w:b/>
                <w:noProof/>
                <w:sz w:val="20"/>
              </w:rPr>
            </w:pPr>
          </w:p>
        </w:tc>
        <w:tc>
          <w:tcPr>
            <w:tcW w:w="851" w:type="dxa"/>
            <w:vAlign w:val="center"/>
          </w:tcPr>
          <w:p w14:paraId="5EF7B5A4" w14:textId="77777777" w:rsidR="005A0E95" w:rsidRPr="006F430E" w:rsidRDefault="005A0E95" w:rsidP="00DE691F">
            <w:pPr>
              <w:spacing w:before="20" w:after="20"/>
              <w:jc w:val="center"/>
              <w:rPr>
                <w:b/>
                <w:noProof/>
                <w:sz w:val="20"/>
              </w:rPr>
            </w:pPr>
          </w:p>
        </w:tc>
        <w:tc>
          <w:tcPr>
            <w:tcW w:w="992" w:type="dxa"/>
            <w:vAlign w:val="center"/>
          </w:tcPr>
          <w:p w14:paraId="60002D4B" w14:textId="4CB124B0" w:rsidR="005A0E95" w:rsidRPr="006F430E" w:rsidRDefault="00DE691F" w:rsidP="00DE691F">
            <w:pPr>
              <w:spacing w:before="20" w:after="20"/>
              <w:jc w:val="center"/>
              <w:rPr>
                <w:noProof/>
                <w:sz w:val="20"/>
              </w:rPr>
            </w:pPr>
            <w:r w:rsidRPr="006F430E">
              <w:rPr>
                <w:noProof/>
                <w:sz w:val="20"/>
              </w:rPr>
              <w:t>0,15</w:t>
            </w:r>
          </w:p>
        </w:tc>
        <w:tc>
          <w:tcPr>
            <w:tcW w:w="2693" w:type="dxa"/>
            <w:vAlign w:val="center"/>
          </w:tcPr>
          <w:p w14:paraId="6F2A08A6" w14:textId="7A93D915" w:rsidR="005A0E95" w:rsidRPr="006F430E" w:rsidRDefault="00DE691F" w:rsidP="00DE691F">
            <w:pPr>
              <w:spacing w:before="20" w:after="20"/>
              <w:jc w:val="center"/>
              <w:rPr>
                <w:b/>
                <w:noProof/>
                <w:sz w:val="20"/>
              </w:rPr>
            </w:pPr>
            <w:r w:rsidRPr="006F430E">
              <w:rPr>
                <w:b/>
                <w:noProof/>
                <w:sz w:val="20"/>
              </w:rPr>
              <w:t>0,15</w:t>
            </w:r>
          </w:p>
        </w:tc>
      </w:tr>
      <w:tr w:rsidR="005A0E95" w:rsidRPr="006F430E" w14:paraId="5EFFD901" w14:textId="77777777" w:rsidTr="00D66D78">
        <w:trPr>
          <w:trHeight w:val="392"/>
        </w:trPr>
        <w:tc>
          <w:tcPr>
            <w:tcW w:w="3670" w:type="dxa"/>
            <w:vMerge w:val="restart"/>
            <w:shd w:val="thinDiagStripe" w:color="C0C0C0" w:fill="auto"/>
            <w:vAlign w:val="center"/>
          </w:tcPr>
          <w:p w14:paraId="5CCC0ED6" w14:textId="594B0A83" w:rsidR="005A0E95" w:rsidRPr="006F430E" w:rsidRDefault="005A0E95" w:rsidP="00D66D78">
            <w:pPr>
              <w:jc w:val="center"/>
              <w:rPr>
                <w:b/>
                <w:noProof/>
              </w:rPr>
            </w:pPr>
            <w:r w:rsidRPr="006F430E">
              <w:rPr>
                <w:b/>
                <w:noProof/>
                <w:sz w:val="22"/>
              </w:rPr>
              <w:t>TOTAL des crédits</w:t>
            </w:r>
            <w:r w:rsidRPr="006F430E">
              <w:rPr>
                <w:noProof/>
              </w:rPr>
              <w:t xml:space="preserve"> </w:t>
            </w:r>
            <w:r w:rsidRPr="006F430E">
              <w:rPr>
                <w:noProof/>
              </w:rPr>
              <w:br/>
            </w:r>
            <w:r w:rsidRPr="006F430E">
              <w:rPr>
                <w:b/>
                <w:noProof/>
                <w:sz w:val="22"/>
              </w:rPr>
              <w:t>pour la RUBRIQUE 6</w:t>
            </w:r>
            <w:r w:rsidRPr="006F430E">
              <w:rPr>
                <w:noProof/>
              </w:rPr>
              <w:t xml:space="preserve"> </w:t>
            </w:r>
            <w:r w:rsidRPr="006F430E">
              <w:rPr>
                <w:noProof/>
              </w:rPr>
              <w:br/>
            </w:r>
            <w:r w:rsidRPr="006F430E">
              <w:rPr>
                <w:noProof/>
                <w:sz w:val="22"/>
              </w:rPr>
              <w:t>du cadre financier pluriannuel</w:t>
            </w:r>
          </w:p>
        </w:tc>
        <w:tc>
          <w:tcPr>
            <w:tcW w:w="1517" w:type="dxa"/>
            <w:vAlign w:val="center"/>
          </w:tcPr>
          <w:p w14:paraId="1B621AAF" w14:textId="77777777" w:rsidR="005A0E95" w:rsidRPr="006F430E" w:rsidRDefault="005A0E95" w:rsidP="004F6AC7">
            <w:pPr>
              <w:rPr>
                <w:noProof/>
                <w:sz w:val="18"/>
              </w:rPr>
            </w:pPr>
            <w:r w:rsidRPr="006F430E">
              <w:rPr>
                <w:noProof/>
                <w:sz w:val="18"/>
              </w:rPr>
              <w:t>Engagements</w:t>
            </w:r>
          </w:p>
        </w:tc>
        <w:tc>
          <w:tcPr>
            <w:tcW w:w="625" w:type="dxa"/>
            <w:vAlign w:val="center"/>
          </w:tcPr>
          <w:p w14:paraId="1DA6777B" w14:textId="77777777" w:rsidR="005A0E95" w:rsidRPr="006F430E" w:rsidRDefault="005A0E95" w:rsidP="004F6AC7">
            <w:pPr>
              <w:jc w:val="center"/>
              <w:rPr>
                <w:noProof/>
                <w:sz w:val="14"/>
              </w:rPr>
            </w:pPr>
            <w:r w:rsidRPr="006F430E">
              <w:rPr>
                <w:noProof/>
                <w:sz w:val="14"/>
              </w:rPr>
              <w:t>=4+ 6</w:t>
            </w:r>
          </w:p>
        </w:tc>
        <w:tc>
          <w:tcPr>
            <w:tcW w:w="850" w:type="dxa"/>
            <w:vAlign w:val="center"/>
          </w:tcPr>
          <w:p w14:paraId="16425D3D" w14:textId="77777777" w:rsidR="005A0E95" w:rsidRPr="006F430E" w:rsidRDefault="005A0E95" w:rsidP="004F6AC7">
            <w:pPr>
              <w:spacing w:before="20" w:after="20"/>
              <w:jc w:val="right"/>
              <w:rPr>
                <w:noProof/>
                <w:sz w:val="20"/>
              </w:rPr>
            </w:pPr>
          </w:p>
        </w:tc>
        <w:tc>
          <w:tcPr>
            <w:tcW w:w="851" w:type="dxa"/>
            <w:vAlign w:val="center"/>
          </w:tcPr>
          <w:p w14:paraId="0AFF9F71" w14:textId="48301EEA" w:rsidR="005A0E95" w:rsidRPr="006F430E" w:rsidRDefault="00CC7FCE" w:rsidP="00DE691F">
            <w:pPr>
              <w:spacing w:before="20" w:after="20"/>
              <w:jc w:val="center"/>
              <w:rPr>
                <w:noProof/>
                <w:sz w:val="20"/>
              </w:rPr>
            </w:pPr>
            <w:r w:rsidRPr="006F430E">
              <w:rPr>
                <w:noProof/>
                <w:sz w:val="20"/>
              </w:rPr>
              <w:t>40,8</w:t>
            </w:r>
          </w:p>
        </w:tc>
        <w:tc>
          <w:tcPr>
            <w:tcW w:w="850" w:type="dxa"/>
            <w:vAlign w:val="center"/>
          </w:tcPr>
          <w:p w14:paraId="0B9460F6" w14:textId="791EE274" w:rsidR="005A0E95" w:rsidRPr="006F430E" w:rsidRDefault="005A0E95" w:rsidP="00DE691F">
            <w:pPr>
              <w:spacing w:before="20" w:after="20"/>
              <w:jc w:val="center"/>
              <w:rPr>
                <w:noProof/>
                <w:sz w:val="20"/>
              </w:rPr>
            </w:pPr>
          </w:p>
        </w:tc>
        <w:tc>
          <w:tcPr>
            <w:tcW w:w="851" w:type="dxa"/>
            <w:vAlign w:val="center"/>
          </w:tcPr>
          <w:p w14:paraId="5658659A" w14:textId="77777777" w:rsidR="005A0E95" w:rsidRPr="006F430E" w:rsidRDefault="005A0E95" w:rsidP="00DE691F">
            <w:pPr>
              <w:spacing w:before="20" w:after="20"/>
              <w:jc w:val="center"/>
              <w:rPr>
                <w:noProof/>
                <w:sz w:val="20"/>
              </w:rPr>
            </w:pPr>
          </w:p>
        </w:tc>
        <w:tc>
          <w:tcPr>
            <w:tcW w:w="992" w:type="dxa"/>
            <w:vAlign w:val="center"/>
          </w:tcPr>
          <w:p w14:paraId="183EB38B" w14:textId="05C7EA53" w:rsidR="005A0E95" w:rsidRPr="006F430E" w:rsidRDefault="00DE691F" w:rsidP="00DE691F">
            <w:pPr>
              <w:spacing w:before="20" w:after="20"/>
              <w:jc w:val="center"/>
              <w:rPr>
                <w:noProof/>
                <w:sz w:val="20"/>
              </w:rPr>
            </w:pPr>
            <w:r w:rsidRPr="006F430E">
              <w:rPr>
                <w:noProof/>
                <w:sz w:val="20"/>
              </w:rPr>
              <w:t>0,15</w:t>
            </w:r>
          </w:p>
        </w:tc>
        <w:tc>
          <w:tcPr>
            <w:tcW w:w="2693" w:type="dxa"/>
            <w:vAlign w:val="center"/>
          </w:tcPr>
          <w:p w14:paraId="18B125B2" w14:textId="742E9CC8" w:rsidR="005A0E95" w:rsidRPr="006F430E" w:rsidRDefault="00DE691F" w:rsidP="00DE691F">
            <w:pPr>
              <w:spacing w:before="20" w:after="20"/>
              <w:jc w:val="center"/>
              <w:rPr>
                <w:b/>
                <w:noProof/>
                <w:sz w:val="20"/>
              </w:rPr>
            </w:pPr>
            <w:r w:rsidRPr="006F430E">
              <w:rPr>
                <w:b/>
                <w:noProof/>
                <w:sz w:val="20"/>
              </w:rPr>
              <w:t>40,95</w:t>
            </w:r>
          </w:p>
        </w:tc>
      </w:tr>
      <w:tr w:rsidR="005A0E95" w:rsidRPr="006F430E" w14:paraId="2F1DDFF1" w14:textId="77777777" w:rsidTr="00D66D78">
        <w:trPr>
          <w:trHeight w:val="483"/>
        </w:trPr>
        <w:tc>
          <w:tcPr>
            <w:tcW w:w="3670" w:type="dxa"/>
            <w:vMerge/>
            <w:shd w:val="thinDiagStripe" w:color="C0C0C0" w:fill="auto"/>
          </w:tcPr>
          <w:p w14:paraId="1834F62C" w14:textId="77777777" w:rsidR="005A0E95" w:rsidRPr="006F430E" w:rsidRDefault="005A0E95" w:rsidP="004F6AC7">
            <w:pPr>
              <w:rPr>
                <w:noProof/>
                <w:sz w:val="20"/>
              </w:rPr>
            </w:pPr>
          </w:p>
        </w:tc>
        <w:tc>
          <w:tcPr>
            <w:tcW w:w="1517" w:type="dxa"/>
            <w:vAlign w:val="center"/>
          </w:tcPr>
          <w:p w14:paraId="42D4C4A9" w14:textId="77777777" w:rsidR="005A0E95" w:rsidRPr="006F430E" w:rsidRDefault="005A0E95" w:rsidP="004F6AC7">
            <w:pPr>
              <w:rPr>
                <w:noProof/>
                <w:sz w:val="18"/>
              </w:rPr>
            </w:pPr>
            <w:r w:rsidRPr="006F430E">
              <w:rPr>
                <w:noProof/>
                <w:sz w:val="18"/>
              </w:rPr>
              <w:t>Paiements</w:t>
            </w:r>
          </w:p>
        </w:tc>
        <w:tc>
          <w:tcPr>
            <w:tcW w:w="625" w:type="dxa"/>
            <w:vAlign w:val="center"/>
          </w:tcPr>
          <w:p w14:paraId="77895697" w14:textId="77777777" w:rsidR="005A0E95" w:rsidRPr="006F430E" w:rsidRDefault="005A0E95" w:rsidP="004F6AC7">
            <w:pPr>
              <w:jc w:val="center"/>
              <w:rPr>
                <w:noProof/>
                <w:sz w:val="14"/>
              </w:rPr>
            </w:pPr>
            <w:r w:rsidRPr="006F430E">
              <w:rPr>
                <w:noProof/>
                <w:sz w:val="14"/>
              </w:rPr>
              <w:t>=5+ 6</w:t>
            </w:r>
          </w:p>
        </w:tc>
        <w:tc>
          <w:tcPr>
            <w:tcW w:w="850" w:type="dxa"/>
            <w:vAlign w:val="center"/>
          </w:tcPr>
          <w:p w14:paraId="6ACBDED5" w14:textId="77777777" w:rsidR="005A0E95" w:rsidRPr="006F430E" w:rsidRDefault="005A0E95" w:rsidP="004F6AC7">
            <w:pPr>
              <w:spacing w:before="20" w:after="20"/>
              <w:jc w:val="right"/>
              <w:rPr>
                <w:noProof/>
                <w:sz w:val="20"/>
              </w:rPr>
            </w:pPr>
          </w:p>
        </w:tc>
        <w:tc>
          <w:tcPr>
            <w:tcW w:w="851" w:type="dxa"/>
            <w:vAlign w:val="center"/>
          </w:tcPr>
          <w:p w14:paraId="2A307483" w14:textId="734DB5CA" w:rsidR="005A0E95" w:rsidRPr="006F430E" w:rsidRDefault="00DE691F" w:rsidP="00DE691F">
            <w:pPr>
              <w:spacing w:before="20" w:after="20"/>
              <w:jc w:val="center"/>
              <w:rPr>
                <w:noProof/>
                <w:sz w:val="20"/>
              </w:rPr>
            </w:pPr>
            <w:r w:rsidRPr="006F430E">
              <w:rPr>
                <w:noProof/>
                <w:sz w:val="20"/>
              </w:rPr>
              <w:t>30,8</w:t>
            </w:r>
          </w:p>
        </w:tc>
        <w:tc>
          <w:tcPr>
            <w:tcW w:w="850" w:type="dxa"/>
            <w:vAlign w:val="center"/>
          </w:tcPr>
          <w:p w14:paraId="1FF2850E" w14:textId="427991FB" w:rsidR="005A0E95" w:rsidRPr="006F430E" w:rsidRDefault="00DE691F" w:rsidP="00DE691F">
            <w:pPr>
              <w:spacing w:before="20" w:after="20"/>
              <w:jc w:val="center"/>
              <w:rPr>
                <w:noProof/>
                <w:sz w:val="20"/>
              </w:rPr>
            </w:pPr>
            <w:r w:rsidRPr="006F430E">
              <w:rPr>
                <w:noProof/>
                <w:sz w:val="20"/>
              </w:rPr>
              <w:t>10</w:t>
            </w:r>
          </w:p>
        </w:tc>
        <w:tc>
          <w:tcPr>
            <w:tcW w:w="851" w:type="dxa"/>
            <w:vAlign w:val="center"/>
          </w:tcPr>
          <w:p w14:paraId="35E73E28" w14:textId="77777777" w:rsidR="005A0E95" w:rsidRPr="006F430E" w:rsidRDefault="005A0E95" w:rsidP="00DE691F">
            <w:pPr>
              <w:spacing w:before="20" w:after="20"/>
              <w:jc w:val="center"/>
              <w:rPr>
                <w:noProof/>
                <w:sz w:val="20"/>
              </w:rPr>
            </w:pPr>
          </w:p>
        </w:tc>
        <w:tc>
          <w:tcPr>
            <w:tcW w:w="992" w:type="dxa"/>
            <w:vAlign w:val="center"/>
          </w:tcPr>
          <w:p w14:paraId="034856BB" w14:textId="7FCDB088" w:rsidR="005A0E95" w:rsidRPr="006F430E" w:rsidRDefault="00DE691F" w:rsidP="00DE691F">
            <w:pPr>
              <w:spacing w:before="20" w:after="20"/>
              <w:jc w:val="center"/>
              <w:rPr>
                <w:noProof/>
                <w:sz w:val="20"/>
              </w:rPr>
            </w:pPr>
            <w:r w:rsidRPr="006F430E">
              <w:rPr>
                <w:noProof/>
                <w:sz w:val="20"/>
              </w:rPr>
              <w:t>0,15</w:t>
            </w:r>
          </w:p>
        </w:tc>
        <w:tc>
          <w:tcPr>
            <w:tcW w:w="2693" w:type="dxa"/>
            <w:vAlign w:val="center"/>
          </w:tcPr>
          <w:p w14:paraId="5C366DC4" w14:textId="2A59FD9E" w:rsidR="005A0E95" w:rsidRPr="006F430E" w:rsidRDefault="00DE691F" w:rsidP="00DE691F">
            <w:pPr>
              <w:spacing w:before="20" w:after="20"/>
              <w:jc w:val="center"/>
              <w:rPr>
                <w:b/>
                <w:noProof/>
                <w:sz w:val="20"/>
              </w:rPr>
            </w:pPr>
            <w:r w:rsidRPr="006F430E">
              <w:rPr>
                <w:b/>
                <w:noProof/>
                <w:sz w:val="20"/>
              </w:rPr>
              <w:t>40,95</w:t>
            </w:r>
          </w:p>
        </w:tc>
      </w:tr>
    </w:tbl>
    <w:p w14:paraId="37DFE0D8" w14:textId="77777777" w:rsidR="00687C2B" w:rsidRPr="006F430E" w:rsidRDefault="00687C2B" w:rsidP="009E5CA2">
      <w:pPr>
        <w:spacing w:after="40"/>
        <w:rPr>
          <w:b/>
          <w:noProof/>
          <w:sz w:val="22"/>
          <w:u w:val="single"/>
        </w:rPr>
      </w:pPr>
    </w:p>
    <w:p w14:paraId="788C99E7" w14:textId="77777777" w:rsidR="00687C2B" w:rsidRPr="006F430E" w:rsidRDefault="00687C2B">
      <w:pPr>
        <w:spacing w:before="0" w:after="200" w:line="276" w:lineRule="auto"/>
        <w:jc w:val="left"/>
        <w:rPr>
          <w:b/>
          <w:noProof/>
          <w:sz w:val="22"/>
          <w:u w:val="single"/>
        </w:rPr>
      </w:pPr>
      <w:r w:rsidRPr="006F430E">
        <w:rPr>
          <w:noProof/>
        </w:rPr>
        <w:br w:type="page"/>
      </w:r>
    </w:p>
    <w:p w14:paraId="504F9963" w14:textId="1DA019BC" w:rsidR="00D66D78" w:rsidRPr="006F430E" w:rsidRDefault="001A3A0C" w:rsidP="009E5CA2">
      <w:pPr>
        <w:spacing w:after="40"/>
        <w:rPr>
          <w:b/>
          <w:noProof/>
          <w:sz w:val="22"/>
          <w:u w:val="single"/>
        </w:rPr>
      </w:pPr>
      <w:r w:rsidRPr="006F430E">
        <w:rPr>
          <w:b/>
          <w:noProof/>
          <w:sz w:val="22"/>
          <w:u w:val="single"/>
        </w:rPr>
        <w:t>Si plusieurs rubriques opérationnelles sont concernées par la proposition/l’initiative, dupliquer la section qui précède: [</w:t>
      </w:r>
      <w:r w:rsidRPr="006F430E">
        <w:rPr>
          <w:noProof/>
          <w:sz w:val="20"/>
        </w:rPr>
        <w:t>en Mio EUR (à la 3</w:t>
      </w:r>
      <w:r w:rsidRPr="006F430E">
        <w:rPr>
          <w:noProof/>
          <w:sz w:val="20"/>
          <w:vertAlign w:val="superscript"/>
        </w:rPr>
        <w:t>e</w:t>
      </w:r>
      <w:r w:rsidRPr="006F430E">
        <w:rPr>
          <w:noProof/>
          <w:sz w:val="20"/>
        </w:rPr>
        <w:t xml:space="preserve"> décimale)]</w:t>
      </w:r>
    </w:p>
    <w:p w14:paraId="56B9AF22" w14:textId="77777777" w:rsidR="009E5CA2" w:rsidRPr="006F430E" w:rsidRDefault="009E5CA2" w:rsidP="004F6AC7">
      <w:pPr>
        <w:spacing w:after="40"/>
        <w:rPr>
          <w:b/>
          <w:noProof/>
          <w:sz w:val="22"/>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126"/>
        <w:gridCol w:w="7371"/>
      </w:tblGrid>
      <w:tr w:rsidR="00D66D78" w:rsidRPr="006F430E" w14:paraId="242EEF24" w14:textId="77777777" w:rsidTr="00687C2B">
        <w:tc>
          <w:tcPr>
            <w:tcW w:w="3402" w:type="dxa"/>
            <w:shd w:val="thinDiagStripe" w:color="C0C0C0" w:fill="auto"/>
            <w:vAlign w:val="center"/>
          </w:tcPr>
          <w:p w14:paraId="40877065" w14:textId="77777777" w:rsidR="00D66D78" w:rsidRPr="006F430E" w:rsidRDefault="00D66D78" w:rsidP="00657700">
            <w:pPr>
              <w:spacing w:before="60" w:after="60"/>
              <w:jc w:val="center"/>
              <w:rPr>
                <w:b/>
                <w:noProof/>
              </w:rPr>
            </w:pPr>
            <w:r w:rsidRPr="006F430E">
              <w:rPr>
                <w:b/>
                <w:noProof/>
                <w:sz w:val="22"/>
              </w:rPr>
              <w:t xml:space="preserve">Rubrique du cadre financier </w:t>
            </w:r>
            <w:r w:rsidRPr="006F430E">
              <w:rPr>
                <w:noProof/>
              </w:rPr>
              <w:t xml:space="preserve"> </w:t>
            </w:r>
            <w:r w:rsidRPr="006F430E">
              <w:rPr>
                <w:noProof/>
              </w:rPr>
              <w:br/>
            </w:r>
            <w:r w:rsidRPr="006F430E">
              <w:rPr>
                <w:b/>
                <w:noProof/>
                <w:sz w:val="22"/>
              </w:rPr>
              <w:t xml:space="preserve">pluriannuel </w:t>
            </w:r>
          </w:p>
        </w:tc>
        <w:tc>
          <w:tcPr>
            <w:tcW w:w="2126" w:type="dxa"/>
            <w:vAlign w:val="center"/>
          </w:tcPr>
          <w:p w14:paraId="26EFAE41" w14:textId="6383E0D8" w:rsidR="00D66D78" w:rsidRPr="006F430E" w:rsidRDefault="00D66D78" w:rsidP="00657700">
            <w:pPr>
              <w:spacing w:before="60" w:after="60"/>
              <w:jc w:val="center"/>
              <w:rPr>
                <w:noProof/>
              </w:rPr>
            </w:pPr>
            <w:r w:rsidRPr="006F430E">
              <w:rPr>
                <w:noProof/>
                <w:sz w:val="22"/>
              </w:rPr>
              <w:t>7</w:t>
            </w:r>
          </w:p>
        </w:tc>
        <w:tc>
          <w:tcPr>
            <w:tcW w:w="7371" w:type="dxa"/>
            <w:vAlign w:val="center"/>
          </w:tcPr>
          <w:p w14:paraId="53FCCC1A" w14:textId="3D004073" w:rsidR="00D66D78" w:rsidRPr="006F430E" w:rsidRDefault="00D66D78" w:rsidP="00D66D78">
            <w:pPr>
              <w:spacing w:before="60" w:after="60"/>
              <w:jc w:val="center"/>
              <w:rPr>
                <w:noProof/>
              </w:rPr>
            </w:pPr>
            <w:r w:rsidRPr="006F430E">
              <w:rPr>
                <w:b/>
                <w:noProof/>
                <w:sz w:val="22"/>
              </w:rPr>
              <w:t>Rubrique 7 — Administration publique européenne</w:t>
            </w:r>
          </w:p>
        </w:tc>
      </w:tr>
    </w:tbl>
    <w:tbl>
      <w:tblPr>
        <w:tblpPr w:leftFromText="180" w:rightFromText="180" w:vertAnchor="text" w:horzAnchor="margin" w:tblpX="250" w:tblpY="8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0"/>
        <w:gridCol w:w="1360"/>
        <w:gridCol w:w="80"/>
        <w:gridCol w:w="654"/>
        <w:gridCol w:w="868"/>
        <w:gridCol w:w="868"/>
        <w:gridCol w:w="868"/>
        <w:gridCol w:w="868"/>
        <w:gridCol w:w="897"/>
        <w:gridCol w:w="2943"/>
      </w:tblGrid>
      <w:tr w:rsidR="00D66D78" w:rsidRPr="006F430E" w14:paraId="2480A968" w14:textId="77777777" w:rsidTr="00687C2B">
        <w:tc>
          <w:tcPr>
            <w:tcW w:w="3460" w:type="dxa"/>
            <w:vAlign w:val="center"/>
          </w:tcPr>
          <w:p w14:paraId="37990EEC" w14:textId="77777777" w:rsidR="00D66D78" w:rsidRPr="006F430E" w:rsidRDefault="00D66D78" w:rsidP="00687C2B">
            <w:pPr>
              <w:jc w:val="center"/>
              <w:rPr>
                <w:noProof/>
              </w:rPr>
            </w:pPr>
            <w:r w:rsidRPr="006F430E">
              <w:rPr>
                <w:noProof/>
                <w:sz w:val="22"/>
              </w:rPr>
              <w:t>DG: ECFIN</w:t>
            </w:r>
          </w:p>
        </w:tc>
        <w:tc>
          <w:tcPr>
            <w:tcW w:w="1360" w:type="dxa"/>
          </w:tcPr>
          <w:p w14:paraId="05DE3B38" w14:textId="77777777" w:rsidR="00D66D78" w:rsidRPr="006F430E" w:rsidRDefault="00D66D78" w:rsidP="00687C2B">
            <w:pPr>
              <w:rPr>
                <w:noProof/>
                <w:sz w:val="20"/>
              </w:rPr>
            </w:pPr>
          </w:p>
        </w:tc>
        <w:tc>
          <w:tcPr>
            <w:tcW w:w="734" w:type="dxa"/>
            <w:gridSpan w:val="2"/>
          </w:tcPr>
          <w:p w14:paraId="399291C2" w14:textId="77777777" w:rsidR="00D66D78" w:rsidRPr="006F430E" w:rsidRDefault="00D66D78" w:rsidP="00687C2B">
            <w:pPr>
              <w:jc w:val="center"/>
              <w:rPr>
                <w:noProof/>
                <w:sz w:val="20"/>
              </w:rPr>
            </w:pPr>
          </w:p>
        </w:tc>
        <w:tc>
          <w:tcPr>
            <w:tcW w:w="868" w:type="dxa"/>
            <w:vAlign w:val="center"/>
          </w:tcPr>
          <w:p w14:paraId="46EEA514" w14:textId="77777777" w:rsidR="00D66D78" w:rsidRPr="006F430E" w:rsidRDefault="00D66D78" w:rsidP="00687C2B">
            <w:pPr>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2021</w:t>
            </w:r>
          </w:p>
        </w:tc>
        <w:tc>
          <w:tcPr>
            <w:tcW w:w="868" w:type="dxa"/>
            <w:vAlign w:val="center"/>
          </w:tcPr>
          <w:p w14:paraId="4C3FD5CB" w14:textId="77777777" w:rsidR="00D66D78" w:rsidRPr="006F430E" w:rsidRDefault="00D66D78" w:rsidP="00687C2B">
            <w:pPr>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2022</w:t>
            </w:r>
          </w:p>
        </w:tc>
        <w:tc>
          <w:tcPr>
            <w:tcW w:w="868" w:type="dxa"/>
            <w:vAlign w:val="center"/>
          </w:tcPr>
          <w:p w14:paraId="47F9AB4E" w14:textId="77777777" w:rsidR="00D66D78" w:rsidRPr="006F430E" w:rsidRDefault="00D66D78" w:rsidP="00687C2B">
            <w:pPr>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2023</w:t>
            </w:r>
          </w:p>
        </w:tc>
        <w:tc>
          <w:tcPr>
            <w:tcW w:w="868" w:type="dxa"/>
            <w:vAlign w:val="center"/>
          </w:tcPr>
          <w:p w14:paraId="502DB204" w14:textId="77777777" w:rsidR="00D66D78" w:rsidRPr="006F430E" w:rsidRDefault="00D66D78" w:rsidP="00687C2B">
            <w:pPr>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2024</w:t>
            </w:r>
          </w:p>
        </w:tc>
        <w:tc>
          <w:tcPr>
            <w:tcW w:w="897" w:type="dxa"/>
          </w:tcPr>
          <w:p w14:paraId="041325C3" w14:textId="77777777" w:rsidR="00D66D78" w:rsidRPr="006F430E" w:rsidRDefault="00D66D78" w:rsidP="00687C2B">
            <w:pPr>
              <w:jc w:val="center"/>
              <w:rPr>
                <w:b/>
                <w:noProof/>
                <w:sz w:val="20"/>
              </w:rPr>
            </w:pPr>
            <w:r w:rsidRPr="006F430E">
              <w:rPr>
                <w:noProof/>
                <w:sz w:val="20"/>
              </w:rPr>
              <w:t>Année</w:t>
            </w:r>
            <w:r w:rsidRPr="006F430E">
              <w:rPr>
                <w:noProof/>
              </w:rPr>
              <w:t xml:space="preserve"> </w:t>
            </w:r>
            <w:r w:rsidRPr="006F430E">
              <w:rPr>
                <w:noProof/>
              </w:rPr>
              <w:br/>
            </w:r>
            <w:r w:rsidRPr="006F430E">
              <w:rPr>
                <w:b/>
                <w:noProof/>
                <w:sz w:val="20"/>
              </w:rPr>
              <w:t>2025</w:t>
            </w:r>
          </w:p>
        </w:tc>
        <w:tc>
          <w:tcPr>
            <w:tcW w:w="2943" w:type="dxa"/>
            <w:vAlign w:val="center"/>
          </w:tcPr>
          <w:p w14:paraId="6D9C694D" w14:textId="77777777" w:rsidR="00D66D78" w:rsidRPr="006F430E" w:rsidRDefault="00D66D78" w:rsidP="00687C2B">
            <w:pPr>
              <w:jc w:val="center"/>
              <w:rPr>
                <w:b/>
                <w:noProof/>
                <w:sz w:val="20"/>
              </w:rPr>
            </w:pPr>
            <w:r w:rsidRPr="006F430E">
              <w:rPr>
                <w:b/>
                <w:noProof/>
                <w:sz w:val="20"/>
              </w:rPr>
              <w:t>TOTAL</w:t>
            </w:r>
          </w:p>
        </w:tc>
      </w:tr>
      <w:tr w:rsidR="00D66D78" w:rsidRPr="006F430E" w14:paraId="1845B340" w14:textId="77777777" w:rsidTr="00687C2B">
        <w:trPr>
          <w:trHeight w:val="213"/>
        </w:trPr>
        <w:tc>
          <w:tcPr>
            <w:tcW w:w="5554" w:type="dxa"/>
            <w:gridSpan w:val="4"/>
            <w:vAlign w:val="center"/>
          </w:tcPr>
          <w:p w14:paraId="76EFCD20" w14:textId="06206D47" w:rsidR="00D66D78" w:rsidRPr="006F430E" w:rsidRDefault="00D66D78" w:rsidP="00687C2B">
            <w:pPr>
              <w:spacing w:before="20" w:after="20"/>
              <w:rPr>
                <w:noProof/>
                <w:sz w:val="21"/>
              </w:rPr>
            </w:pPr>
          </w:p>
        </w:tc>
        <w:tc>
          <w:tcPr>
            <w:tcW w:w="868" w:type="dxa"/>
            <w:vAlign w:val="center"/>
          </w:tcPr>
          <w:p w14:paraId="689D365D" w14:textId="77777777" w:rsidR="00D66D78" w:rsidRPr="006F430E" w:rsidRDefault="00D66D78" w:rsidP="00687C2B">
            <w:pPr>
              <w:rPr>
                <w:noProof/>
                <w:sz w:val="20"/>
              </w:rPr>
            </w:pPr>
          </w:p>
        </w:tc>
        <w:tc>
          <w:tcPr>
            <w:tcW w:w="868" w:type="dxa"/>
            <w:vAlign w:val="center"/>
          </w:tcPr>
          <w:p w14:paraId="723B83CB" w14:textId="77777777" w:rsidR="00D66D78" w:rsidRPr="006F430E" w:rsidRDefault="00D66D78" w:rsidP="00687C2B">
            <w:pPr>
              <w:rPr>
                <w:noProof/>
                <w:sz w:val="20"/>
              </w:rPr>
            </w:pPr>
          </w:p>
        </w:tc>
        <w:tc>
          <w:tcPr>
            <w:tcW w:w="868" w:type="dxa"/>
            <w:vAlign w:val="center"/>
          </w:tcPr>
          <w:p w14:paraId="703C062B" w14:textId="77777777" w:rsidR="00D66D78" w:rsidRPr="006F430E" w:rsidRDefault="00D66D78" w:rsidP="00687C2B">
            <w:pPr>
              <w:rPr>
                <w:noProof/>
                <w:sz w:val="20"/>
              </w:rPr>
            </w:pPr>
          </w:p>
        </w:tc>
        <w:tc>
          <w:tcPr>
            <w:tcW w:w="868" w:type="dxa"/>
            <w:vAlign w:val="center"/>
          </w:tcPr>
          <w:p w14:paraId="49C5908A" w14:textId="77777777" w:rsidR="00D66D78" w:rsidRPr="006F430E" w:rsidRDefault="00D66D78" w:rsidP="00687C2B">
            <w:pPr>
              <w:rPr>
                <w:noProof/>
                <w:sz w:val="20"/>
              </w:rPr>
            </w:pPr>
          </w:p>
        </w:tc>
        <w:tc>
          <w:tcPr>
            <w:tcW w:w="897" w:type="dxa"/>
          </w:tcPr>
          <w:p w14:paraId="3B46CDC8" w14:textId="77777777" w:rsidR="00D66D78" w:rsidRPr="006F430E" w:rsidRDefault="00D66D78" w:rsidP="00687C2B">
            <w:pPr>
              <w:rPr>
                <w:b/>
                <w:noProof/>
                <w:sz w:val="20"/>
              </w:rPr>
            </w:pPr>
          </w:p>
        </w:tc>
        <w:tc>
          <w:tcPr>
            <w:tcW w:w="2943" w:type="dxa"/>
            <w:vAlign w:val="center"/>
          </w:tcPr>
          <w:p w14:paraId="26514EB8" w14:textId="77777777" w:rsidR="00D66D78" w:rsidRPr="006F430E" w:rsidRDefault="00D66D78" w:rsidP="00687C2B">
            <w:pPr>
              <w:rPr>
                <w:b/>
                <w:noProof/>
                <w:sz w:val="20"/>
              </w:rPr>
            </w:pPr>
          </w:p>
        </w:tc>
      </w:tr>
      <w:tr w:rsidR="00D66D78" w:rsidRPr="006F430E" w14:paraId="303B145D" w14:textId="77777777" w:rsidTr="00687C2B">
        <w:trPr>
          <w:trHeight w:val="790"/>
        </w:trPr>
        <w:tc>
          <w:tcPr>
            <w:tcW w:w="3460" w:type="dxa"/>
            <w:vAlign w:val="center"/>
          </w:tcPr>
          <w:p w14:paraId="543D65CC" w14:textId="673AF78D" w:rsidR="00D66D78" w:rsidRPr="006F430E" w:rsidRDefault="00D66D78" w:rsidP="00687C2B">
            <w:pPr>
              <w:spacing w:before="60"/>
              <w:rPr>
                <w:noProof/>
              </w:rPr>
            </w:pPr>
            <w:r w:rsidRPr="006F430E">
              <w:rPr>
                <w:noProof/>
                <w:sz w:val="20"/>
              </w:rPr>
              <w:t>Ressources humaines</w:t>
            </w:r>
          </w:p>
        </w:tc>
        <w:tc>
          <w:tcPr>
            <w:tcW w:w="1440" w:type="dxa"/>
            <w:gridSpan w:val="2"/>
            <w:vAlign w:val="center"/>
          </w:tcPr>
          <w:p w14:paraId="5277373F" w14:textId="1EC5CDFB" w:rsidR="00D66D78" w:rsidRPr="006F430E" w:rsidRDefault="00D66D78" w:rsidP="00687C2B">
            <w:pPr>
              <w:spacing w:before="20" w:after="20"/>
              <w:jc w:val="center"/>
              <w:rPr>
                <w:noProof/>
                <w:sz w:val="18"/>
              </w:rPr>
            </w:pPr>
          </w:p>
        </w:tc>
        <w:tc>
          <w:tcPr>
            <w:tcW w:w="654" w:type="dxa"/>
            <w:vAlign w:val="center"/>
          </w:tcPr>
          <w:p w14:paraId="428F5A8E" w14:textId="06D9AF95" w:rsidR="00D66D78" w:rsidRPr="006F430E" w:rsidRDefault="00D66D78" w:rsidP="00687C2B">
            <w:pPr>
              <w:spacing w:before="20" w:after="20"/>
              <w:jc w:val="center"/>
              <w:rPr>
                <w:noProof/>
                <w:sz w:val="14"/>
              </w:rPr>
            </w:pPr>
          </w:p>
        </w:tc>
        <w:tc>
          <w:tcPr>
            <w:tcW w:w="868" w:type="dxa"/>
            <w:vAlign w:val="center"/>
          </w:tcPr>
          <w:p w14:paraId="1091DE4B" w14:textId="7A800D38" w:rsidR="00D66D78" w:rsidRPr="006F430E" w:rsidRDefault="00D66D78" w:rsidP="00687C2B">
            <w:pPr>
              <w:spacing w:before="20" w:after="20"/>
              <w:jc w:val="center"/>
              <w:rPr>
                <w:noProof/>
                <w:sz w:val="20"/>
              </w:rPr>
            </w:pPr>
            <w:r w:rsidRPr="006F430E">
              <w:rPr>
                <w:noProof/>
                <w:sz w:val="20"/>
              </w:rPr>
              <w:t>0,034</w:t>
            </w:r>
          </w:p>
        </w:tc>
        <w:tc>
          <w:tcPr>
            <w:tcW w:w="868" w:type="dxa"/>
            <w:vAlign w:val="center"/>
          </w:tcPr>
          <w:p w14:paraId="47099B84" w14:textId="0ABC8AC2" w:rsidR="00D66D78" w:rsidRPr="006F430E" w:rsidRDefault="00D66D78" w:rsidP="00687C2B">
            <w:pPr>
              <w:spacing w:before="20" w:after="20"/>
              <w:jc w:val="center"/>
              <w:rPr>
                <w:noProof/>
                <w:sz w:val="20"/>
              </w:rPr>
            </w:pPr>
            <w:r w:rsidRPr="006F430E">
              <w:rPr>
                <w:noProof/>
                <w:sz w:val="20"/>
              </w:rPr>
              <w:t>0,044</w:t>
            </w:r>
          </w:p>
        </w:tc>
        <w:tc>
          <w:tcPr>
            <w:tcW w:w="868" w:type="dxa"/>
            <w:vAlign w:val="center"/>
          </w:tcPr>
          <w:p w14:paraId="56A0009A" w14:textId="1CE56814" w:rsidR="00D66D78" w:rsidRPr="006F430E" w:rsidRDefault="00D66D78" w:rsidP="00687C2B">
            <w:pPr>
              <w:spacing w:before="20" w:after="20"/>
              <w:jc w:val="center"/>
              <w:rPr>
                <w:noProof/>
                <w:sz w:val="20"/>
              </w:rPr>
            </w:pPr>
            <w:r w:rsidRPr="006F430E">
              <w:rPr>
                <w:noProof/>
                <w:sz w:val="20"/>
              </w:rPr>
              <w:t>0,022</w:t>
            </w:r>
          </w:p>
        </w:tc>
        <w:tc>
          <w:tcPr>
            <w:tcW w:w="868" w:type="dxa"/>
            <w:vAlign w:val="center"/>
          </w:tcPr>
          <w:p w14:paraId="5343F221" w14:textId="642C8A10" w:rsidR="00D66D78" w:rsidRPr="006F430E" w:rsidRDefault="00D66D78" w:rsidP="00687C2B">
            <w:pPr>
              <w:spacing w:before="20" w:after="20"/>
              <w:jc w:val="center"/>
              <w:rPr>
                <w:noProof/>
                <w:sz w:val="20"/>
              </w:rPr>
            </w:pPr>
            <w:r w:rsidRPr="006F430E">
              <w:rPr>
                <w:noProof/>
                <w:sz w:val="20"/>
              </w:rPr>
              <w:t>0,011</w:t>
            </w:r>
          </w:p>
        </w:tc>
        <w:tc>
          <w:tcPr>
            <w:tcW w:w="897" w:type="dxa"/>
          </w:tcPr>
          <w:p w14:paraId="031012B5" w14:textId="77777777" w:rsidR="00D66D78" w:rsidRPr="006F430E" w:rsidRDefault="00D66D78" w:rsidP="00687C2B">
            <w:pPr>
              <w:spacing w:before="20" w:after="20"/>
              <w:jc w:val="center"/>
              <w:rPr>
                <w:noProof/>
                <w:sz w:val="20"/>
              </w:rPr>
            </w:pPr>
          </w:p>
          <w:p w14:paraId="70ACC230" w14:textId="79D532F0" w:rsidR="00D66D78" w:rsidRPr="006F430E" w:rsidRDefault="00D66D78" w:rsidP="00687C2B">
            <w:pPr>
              <w:spacing w:before="20" w:after="20"/>
              <w:jc w:val="center"/>
              <w:rPr>
                <w:b/>
                <w:noProof/>
                <w:sz w:val="20"/>
              </w:rPr>
            </w:pPr>
            <w:r w:rsidRPr="006F430E">
              <w:rPr>
                <w:noProof/>
                <w:sz w:val="20"/>
              </w:rPr>
              <w:t>0,011</w:t>
            </w:r>
          </w:p>
        </w:tc>
        <w:tc>
          <w:tcPr>
            <w:tcW w:w="2943" w:type="dxa"/>
            <w:vAlign w:val="center"/>
          </w:tcPr>
          <w:p w14:paraId="2EA2A25A" w14:textId="27BFDC42" w:rsidR="00D66D78" w:rsidRPr="006F430E" w:rsidRDefault="00D66D78" w:rsidP="00687C2B">
            <w:pPr>
              <w:spacing w:before="20" w:after="20"/>
              <w:jc w:val="center"/>
              <w:rPr>
                <w:b/>
                <w:noProof/>
                <w:sz w:val="20"/>
              </w:rPr>
            </w:pPr>
            <w:r w:rsidRPr="006F430E">
              <w:rPr>
                <w:b/>
                <w:noProof/>
                <w:sz w:val="20"/>
              </w:rPr>
              <w:t>0,122</w:t>
            </w:r>
          </w:p>
        </w:tc>
      </w:tr>
      <w:tr w:rsidR="00D66D78" w:rsidRPr="006F430E" w14:paraId="367736AE" w14:textId="77777777" w:rsidTr="00687C2B">
        <w:tc>
          <w:tcPr>
            <w:tcW w:w="3460" w:type="dxa"/>
            <w:vAlign w:val="center"/>
          </w:tcPr>
          <w:p w14:paraId="1B33C694" w14:textId="4642F9C9" w:rsidR="00D66D78" w:rsidRPr="006F430E" w:rsidRDefault="00D66D78" w:rsidP="00687C2B">
            <w:pPr>
              <w:spacing w:before="60"/>
              <w:rPr>
                <w:noProof/>
              </w:rPr>
            </w:pPr>
            <w:r w:rsidRPr="006F430E">
              <w:rPr>
                <w:noProof/>
                <w:sz w:val="20"/>
              </w:rPr>
              <w:t>Autres dépenses administratives</w:t>
            </w:r>
          </w:p>
        </w:tc>
        <w:tc>
          <w:tcPr>
            <w:tcW w:w="1440" w:type="dxa"/>
            <w:gridSpan w:val="2"/>
            <w:vAlign w:val="center"/>
          </w:tcPr>
          <w:p w14:paraId="2C55D7A3" w14:textId="666CB6E0" w:rsidR="00D66D78" w:rsidRPr="006F430E" w:rsidRDefault="00D66D78" w:rsidP="00687C2B">
            <w:pPr>
              <w:spacing w:before="20" w:after="20"/>
              <w:rPr>
                <w:noProof/>
                <w:sz w:val="18"/>
              </w:rPr>
            </w:pPr>
          </w:p>
        </w:tc>
        <w:tc>
          <w:tcPr>
            <w:tcW w:w="654" w:type="dxa"/>
            <w:vAlign w:val="center"/>
          </w:tcPr>
          <w:p w14:paraId="743E40B5" w14:textId="4CAD40AC" w:rsidR="00D66D78" w:rsidRPr="006F430E" w:rsidRDefault="00D66D78" w:rsidP="00687C2B">
            <w:pPr>
              <w:spacing w:before="20" w:after="20"/>
              <w:jc w:val="center"/>
              <w:rPr>
                <w:noProof/>
                <w:sz w:val="14"/>
              </w:rPr>
            </w:pPr>
          </w:p>
        </w:tc>
        <w:tc>
          <w:tcPr>
            <w:tcW w:w="868" w:type="dxa"/>
            <w:vAlign w:val="center"/>
          </w:tcPr>
          <w:p w14:paraId="13455E50" w14:textId="77777777" w:rsidR="00D66D78" w:rsidRPr="006F430E" w:rsidRDefault="00D66D78" w:rsidP="00687C2B">
            <w:pPr>
              <w:spacing w:before="20" w:after="20"/>
              <w:jc w:val="right"/>
              <w:rPr>
                <w:noProof/>
                <w:sz w:val="20"/>
              </w:rPr>
            </w:pPr>
          </w:p>
        </w:tc>
        <w:tc>
          <w:tcPr>
            <w:tcW w:w="868" w:type="dxa"/>
            <w:vAlign w:val="center"/>
          </w:tcPr>
          <w:p w14:paraId="673FCE98" w14:textId="337F3F7F" w:rsidR="00D66D78" w:rsidRPr="006F430E" w:rsidRDefault="00D66D78" w:rsidP="00687C2B">
            <w:pPr>
              <w:spacing w:before="20" w:after="20"/>
              <w:jc w:val="center"/>
              <w:rPr>
                <w:noProof/>
                <w:sz w:val="20"/>
              </w:rPr>
            </w:pPr>
            <w:r w:rsidRPr="006F430E">
              <w:rPr>
                <w:noProof/>
                <w:sz w:val="22"/>
              </w:rPr>
              <w:t>0,020</w:t>
            </w:r>
          </w:p>
        </w:tc>
        <w:tc>
          <w:tcPr>
            <w:tcW w:w="868" w:type="dxa"/>
            <w:vAlign w:val="center"/>
          </w:tcPr>
          <w:p w14:paraId="15E58B84" w14:textId="33B3CC05" w:rsidR="00D66D78" w:rsidRPr="006F430E" w:rsidRDefault="00D66D78" w:rsidP="00687C2B">
            <w:pPr>
              <w:spacing w:before="20" w:after="20"/>
              <w:jc w:val="center"/>
              <w:rPr>
                <w:noProof/>
                <w:sz w:val="20"/>
              </w:rPr>
            </w:pPr>
            <w:r w:rsidRPr="006F430E">
              <w:rPr>
                <w:noProof/>
                <w:sz w:val="22"/>
              </w:rPr>
              <w:t>0,010</w:t>
            </w:r>
          </w:p>
        </w:tc>
        <w:tc>
          <w:tcPr>
            <w:tcW w:w="868" w:type="dxa"/>
            <w:vAlign w:val="center"/>
          </w:tcPr>
          <w:p w14:paraId="222608D1" w14:textId="77777777" w:rsidR="00D66D78" w:rsidRPr="006F430E" w:rsidRDefault="00D66D78" w:rsidP="00687C2B">
            <w:pPr>
              <w:spacing w:before="20" w:after="20"/>
              <w:jc w:val="center"/>
              <w:rPr>
                <w:noProof/>
                <w:sz w:val="20"/>
              </w:rPr>
            </w:pPr>
          </w:p>
        </w:tc>
        <w:tc>
          <w:tcPr>
            <w:tcW w:w="897" w:type="dxa"/>
            <w:vAlign w:val="center"/>
          </w:tcPr>
          <w:p w14:paraId="282D06CE" w14:textId="77777777" w:rsidR="00D66D78" w:rsidRPr="006F430E" w:rsidRDefault="00D66D78" w:rsidP="00687C2B">
            <w:pPr>
              <w:spacing w:before="20" w:after="20"/>
              <w:jc w:val="center"/>
              <w:rPr>
                <w:b/>
                <w:noProof/>
                <w:sz w:val="20"/>
              </w:rPr>
            </w:pPr>
          </w:p>
        </w:tc>
        <w:tc>
          <w:tcPr>
            <w:tcW w:w="2943" w:type="dxa"/>
            <w:vAlign w:val="center"/>
          </w:tcPr>
          <w:p w14:paraId="626ACE3F" w14:textId="076F3617" w:rsidR="00D66D78" w:rsidRPr="006F430E" w:rsidRDefault="00D66D78" w:rsidP="008A688D">
            <w:pPr>
              <w:spacing w:before="20" w:after="20"/>
              <w:jc w:val="center"/>
              <w:rPr>
                <w:b/>
                <w:noProof/>
                <w:sz w:val="20"/>
              </w:rPr>
            </w:pPr>
            <w:r w:rsidRPr="006F430E">
              <w:rPr>
                <w:b/>
                <w:noProof/>
                <w:sz w:val="22"/>
              </w:rPr>
              <w:t>0,030</w:t>
            </w:r>
          </w:p>
        </w:tc>
      </w:tr>
      <w:tr w:rsidR="00D66D78" w:rsidRPr="006F430E" w14:paraId="0CF326E9" w14:textId="77777777" w:rsidTr="00687C2B">
        <w:tc>
          <w:tcPr>
            <w:tcW w:w="3460" w:type="dxa"/>
            <w:vAlign w:val="center"/>
          </w:tcPr>
          <w:p w14:paraId="1A28D301" w14:textId="527E8184" w:rsidR="00D66D78" w:rsidRPr="006F430E" w:rsidRDefault="00D66D78" w:rsidP="00687C2B">
            <w:pPr>
              <w:spacing w:before="60"/>
              <w:jc w:val="left"/>
              <w:rPr>
                <w:noProof/>
                <w:sz w:val="20"/>
              </w:rPr>
            </w:pPr>
            <w:r w:rsidRPr="006F430E">
              <w:rPr>
                <w:b/>
                <w:noProof/>
                <w:sz w:val="22"/>
              </w:rPr>
              <w:t>TOTAL des crédits</w:t>
            </w:r>
            <w:r w:rsidRPr="006F430E">
              <w:rPr>
                <w:noProof/>
              </w:rPr>
              <w:t xml:space="preserve"> </w:t>
            </w:r>
            <w:r w:rsidRPr="006F430E">
              <w:rPr>
                <w:noProof/>
              </w:rPr>
              <w:br/>
            </w:r>
            <w:r w:rsidRPr="006F430E">
              <w:rPr>
                <w:b/>
                <w:noProof/>
                <w:sz w:val="22"/>
              </w:rPr>
              <w:t>pour la RUBRIQUE 7</w:t>
            </w:r>
            <w:r w:rsidRPr="006F430E">
              <w:rPr>
                <w:noProof/>
              </w:rPr>
              <w:t xml:space="preserve"> </w:t>
            </w:r>
            <w:r w:rsidRPr="006F430E">
              <w:rPr>
                <w:noProof/>
              </w:rPr>
              <w:br/>
            </w:r>
            <w:r w:rsidRPr="006F430E">
              <w:rPr>
                <w:noProof/>
                <w:sz w:val="22"/>
              </w:rPr>
              <w:t>du cadre financier pluriannuel</w:t>
            </w:r>
          </w:p>
        </w:tc>
        <w:tc>
          <w:tcPr>
            <w:tcW w:w="1440" w:type="dxa"/>
            <w:gridSpan w:val="2"/>
            <w:vAlign w:val="center"/>
          </w:tcPr>
          <w:p w14:paraId="2B337E71" w14:textId="2BB81279" w:rsidR="00D66D78" w:rsidRPr="006F430E" w:rsidRDefault="00D66D78" w:rsidP="00687C2B">
            <w:pPr>
              <w:spacing w:before="20" w:after="20"/>
              <w:rPr>
                <w:noProof/>
                <w:sz w:val="18"/>
              </w:rPr>
            </w:pPr>
            <w:r w:rsidRPr="006F430E">
              <w:rPr>
                <w:noProof/>
                <w:sz w:val="22"/>
              </w:rPr>
              <w:t>Crédits</w:t>
            </w:r>
          </w:p>
        </w:tc>
        <w:tc>
          <w:tcPr>
            <w:tcW w:w="654" w:type="dxa"/>
            <w:vAlign w:val="center"/>
          </w:tcPr>
          <w:p w14:paraId="71868DEA" w14:textId="3677C472" w:rsidR="00D66D78" w:rsidRPr="006F430E" w:rsidRDefault="00D66D78" w:rsidP="00687C2B">
            <w:pPr>
              <w:spacing w:before="20" w:after="20"/>
              <w:jc w:val="center"/>
              <w:rPr>
                <w:noProof/>
                <w:sz w:val="14"/>
              </w:rPr>
            </w:pPr>
          </w:p>
        </w:tc>
        <w:tc>
          <w:tcPr>
            <w:tcW w:w="868" w:type="dxa"/>
            <w:vAlign w:val="center"/>
          </w:tcPr>
          <w:p w14:paraId="51FF342E" w14:textId="0630EE3F" w:rsidR="00D66D78" w:rsidRPr="006F430E" w:rsidRDefault="00D66D78" w:rsidP="00687C2B">
            <w:pPr>
              <w:spacing w:before="20" w:after="20"/>
              <w:jc w:val="right"/>
              <w:rPr>
                <w:noProof/>
                <w:sz w:val="20"/>
              </w:rPr>
            </w:pPr>
            <w:r w:rsidRPr="006F430E">
              <w:rPr>
                <w:noProof/>
                <w:sz w:val="22"/>
              </w:rPr>
              <w:t>0,034</w:t>
            </w:r>
          </w:p>
        </w:tc>
        <w:tc>
          <w:tcPr>
            <w:tcW w:w="868" w:type="dxa"/>
            <w:vAlign w:val="center"/>
          </w:tcPr>
          <w:p w14:paraId="4681B163" w14:textId="683FE668" w:rsidR="00D66D78" w:rsidRPr="006F430E" w:rsidRDefault="00D66D78" w:rsidP="00687C2B">
            <w:pPr>
              <w:spacing w:before="20" w:after="20"/>
              <w:jc w:val="center"/>
              <w:rPr>
                <w:noProof/>
                <w:sz w:val="22"/>
              </w:rPr>
            </w:pPr>
            <w:r w:rsidRPr="006F430E">
              <w:rPr>
                <w:noProof/>
                <w:sz w:val="22"/>
              </w:rPr>
              <w:t>0,064</w:t>
            </w:r>
          </w:p>
        </w:tc>
        <w:tc>
          <w:tcPr>
            <w:tcW w:w="868" w:type="dxa"/>
            <w:vAlign w:val="center"/>
          </w:tcPr>
          <w:p w14:paraId="787EF349" w14:textId="767715AB" w:rsidR="00D66D78" w:rsidRPr="006F430E" w:rsidRDefault="00D66D78" w:rsidP="00687C2B">
            <w:pPr>
              <w:spacing w:before="20" w:after="20"/>
              <w:jc w:val="center"/>
              <w:rPr>
                <w:noProof/>
                <w:sz w:val="22"/>
              </w:rPr>
            </w:pPr>
            <w:r w:rsidRPr="006F430E">
              <w:rPr>
                <w:noProof/>
                <w:sz w:val="22"/>
              </w:rPr>
              <w:t>0,032</w:t>
            </w:r>
          </w:p>
        </w:tc>
        <w:tc>
          <w:tcPr>
            <w:tcW w:w="868" w:type="dxa"/>
            <w:vAlign w:val="center"/>
          </w:tcPr>
          <w:p w14:paraId="39482CEF" w14:textId="518744EB" w:rsidR="00D66D78" w:rsidRPr="006F430E" w:rsidRDefault="00D66D78" w:rsidP="00687C2B">
            <w:pPr>
              <w:spacing w:before="20" w:after="20"/>
              <w:jc w:val="center"/>
              <w:rPr>
                <w:noProof/>
                <w:sz w:val="20"/>
              </w:rPr>
            </w:pPr>
            <w:r w:rsidRPr="006F430E">
              <w:rPr>
                <w:noProof/>
                <w:sz w:val="22"/>
              </w:rPr>
              <w:t>0,011</w:t>
            </w:r>
          </w:p>
        </w:tc>
        <w:tc>
          <w:tcPr>
            <w:tcW w:w="897" w:type="dxa"/>
            <w:vAlign w:val="center"/>
          </w:tcPr>
          <w:p w14:paraId="20F09894" w14:textId="4D6BD8B1" w:rsidR="00D66D78" w:rsidRPr="006F430E" w:rsidRDefault="00D66D78" w:rsidP="00687C2B">
            <w:pPr>
              <w:spacing w:before="20" w:after="20"/>
              <w:jc w:val="center"/>
              <w:rPr>
                <w:b/>
                <w:noProof/>
                <w:sz w:val="20"/>
              </w:rPr>
            </w:pPr>
            <w:r w:rsidRPr="006F430E">
              <w:rPr>
                <w:noProof/>
                <w:sz w:val="22"/>
              </w:rPr>
              <w:t>0,011</w:t>
            </w:r>
          </w:p>
        </w:tc>
        <w:tc>
          <w:tcPr>
            <w:tcW w:w="2943" w:type="dxa"/>
            <w:vAlign w:val="center"/>
          </w:tcPr>
          <w:p w14:paraId="491A31BE" w14:textId="66E908C5" w:rsidR="00D66D78" w:rsidRPr="006F430E" w:rsidRDefault="00D66D78" w:rsidP="00687C2B">
            <w:pPr>
              <w:spacing w:before="20" w:after="20"/>
              <w:jc w:val="center"/>
              <w:rPr>
                <w:b/>
                <w:noProof/>
                <w:sz w:val="22"/>
              </w:rPr>
            </w:pPr>
            <w:r w:rsidRPr="006F430E">
              <w:rPr>
                <w:b/>
                <w:noProof/>
                <w:sz w:val="22"/>
              </w:rPr>
              <w:t>0,152</w:t>
            </w:r>
          </w:p>
        </w:tc>
      </w:tr>
      <w:tr w:rsidR="00D66D78" w:rsidRPr="006F430E" w14:paraId="5D992603" w14:textId="77777777" w:rsidTr="00687C2B">
        <w:tc>
          <w:tcPr>
            <w:tcW w:w="3460" w:type="dxa"/>
          </w:tcPr>
          <w:p w14:paraId="5710FD10" w14:textId="77777777" w:rsidR="00D66D78" w:rsidRPr="006F430E" w:rsidRDefault="00D66D78" w:rsidP="00687C2B">
            <w:pPr>
              <w:spacing w:before="60"/>
              <w:rPr>
                <w:b/>
                <w:noProof/>
                <w:sz w:val="22"/>
              </w:rPr>
            </w:pPr>
          </w:p>
        </w:tc>
        <w:tc>
          <w:tcPr>
            <w:tcW w:w="1440" w:type="dxa"/>
            <w:gridSpan w:val="2"/>
            <w:vAlign w:val="center"/>
          </w:tcPr>
          <w:p w14:paraId="41C93EAE" w14:textId="22BE2CED" w:rsidR="00D66D78" w:rsidRPr="006F430E" w:rsidRDefault="00D66D78" w:rsidP="00687C2B">
            <w:pPr>
              <w:spacing w:before="20" w:after="20"/>
              <w:rPr>
                <w:noProof/>
                <w:sz w:val="18"/>
              </w:rPr>
            </w:pPr>
            <w:r w:rsidRPr="006F430E">
              <w:rPr>
                <w:noProof/>
                <w:sz w:val="22"/>
              </w:rPr>
              <w:t>(Total engagements = Total paiements)</w:t>
            </w:r>
          </w:p>
        </w:tc>
        <w:tc>
          <w:tcPr>
            <w:tcW w:w="654" w:type="dxa"/>
            <w:vAlign w:val="center"/>
          </w:tcPr>
          <w:p w14:paraId="60767A51" w14:textId="54A7E4C2" w:rsidR="00D66D78" w:rsidRPr="006F430E" w:rsidRDefault="00D66D78" w:rsidP="00687C2B">
            <w:pPr>
              <w:spacing w:before="20" w:after="20"/>
              <w:jc w:val="center"/>
              <w:rPr>
                <w:noProof/>
                <w:sz w:val="14"/>
              </w:rPr>
            </w:pPr>
          </w:p>
        </w:tc>
        <w:tc>
          <w:tcPr>
            <w:tcW w:w="868" w:type="dxa"/>
            <w:vAlign w:val="center"/>
          </w:tcPr>
          <w:p w14:paraId="3C3F5EDA" w14:textId="30604DEB" w:rsidR="00D66D78" w:rsidRPr="006F430E" w:rsidRDefault="00054912" w:rsidP="00687C2B">
            <w:pPr>
              <w:spacing w:before="20" w:after="20"/>
              <w:jc w:val="right"/>
              <w:rPr>
                <w:noProof/>
                <w:sz w:val="20"/>
              </w:rPr>
            </w:pPr>
            <w:r w:rsidRPr="006F430E">
              <w:rPr>
                <w:noProof/>
                <w:sz w:val="22"/>
              </w:rPr>
              <w:t>0,034</w:t>
            </w:r>
          </w:p>
        </w:tc>
        <w:tc>
          <w:tcPr>
            <w:tcW w:w="868" w:type="dxa"/>
            <w:vAlign w:val="center"/>
          </w:tcPr>
          <w:p w14:paraId="66269A79" w14:textId="153223C4" w:rsidR="00D66D78" w:rsidRPr="006F430E" w:rsidRDefault="00D66D78" w:rsidP="00687C2B">
            <w:pPr>
              <w:spacing w:before="20" w:after="20"/>
              <w:jc w:val="center"/>
              <w:rPr>
                <w:noProof/>
                <w:sz w:val="20"/>
              </w:rPr>
            </w:pPr>
            <w:r w:rsidRPr="006F430E">
              <w:rPr>
                <w:noProof/>
                <w:sz w:val="22"/>
              </w:rPr>
              <w:t>0,064</w:t>
            </w:r>
          </w:p>
        </w:tc>
        <w:tc>
          <w:tcPr>
            <w:tcW w:w="868" w:type="dxa"/>
            <w:vAlign w:val="center"/>
          </w:tcPr>
          <w:p w14:paraId="72010685" w14:textId="3F92E1BB" w:rsidR="00D66D78" w:rsidRPr="006F430E" w:rsidRDefault="00D66D78" w:rsidP="00687C2B">
            <w:pPr>
              <w:spacing w:before="20" w:after="20"/>
              <w:jc w:val="center"/>
              <w:rPr>
                <w:noProof/>
                <w:sz w:val="20"/>
              </w:rPr>
            </w:pPr>
            <w:r w:rsidRPr="006F430E">
              <w:rPr>
                <w:noProof/>
                <w:sz w:val="22"/>
              </w:rPr>
              <w:t>0,032</w:t>
            </w:r>
          </w:p>
        </w:tc>
        <w:tc>
          <w:tcPr>
            <w:tcW w:w="868" w:type="dxa"/>
            <w:vAlign w:val="center"/>
          </w:tcPr>
          <w:p w14:paraId="2C64121B" w14:textId="00EAA060" w:rsidR="00D66D78" w:rsidRPr="006F430E" w:rsidRDefault="00D66D78" w:rsidP="00687C2B">
            <w:pPr>
              <w:spacing w:before="20" w:after="20"/>
              <w:jc w:val="center"/>
              <w:rPr>
                <w:noProof/>
                <w:sz w:val="20"/>
              </w:rPr>
            </w:pPr>
            <w:r w:rsidRPr="006F430E">
              <w:rPr>
                <w:noProof/>
                <w:sz w:val="22"/>
              </w:rPr>
              <w:t>0,011</w:t>
            </w:r>
          </w:p>
        </w:tc>
        <w:tc>
          <w:tcPr>
            <w:tcW w:w="897" w:type="dxa"/>
            <w:vAlign w:val="center"/>
          </w:tcPr>
          <w:p w14:paraId="16175DF8" w14:textId="44172365" w:rsidR="00D66D78" w:rsidRPr="006F430E" w:rsidRDefault="00D66D78" w:rsidP="00687C2B">
            <w:pPr>
              <w:spacing w:before="20" w:after="20"/>
              <w:jc w:val="center"/>
              <w:rPr>
                <w:noProof/>
                <w:sz w:val="20"/>
              </w:rPr>
            </w:pPr>
            <w:r w:rsidRPr="006F430E">
              <w:rPr>
                <w:noProof/>
                <w:sz w:val="22"/>
              </w:rPr>
              <w:t>0,011</w:t>
            </w:r>
          </w:p>
        </w:tc>
        <w:tc>
          <w:tcPr>
            <w:tcW w:w="2943" w:type="dxa"/>
            <w:vAlign w:val="center"/>
          </w:tcPr>
          <w:p w14:paraId="197CA380" w14:textId="4C19E729" w:rsidR="00D66D78" w:rsidRPr="006F430E" w:rsidRDefault="00054912" w:rsidP="00687C2B">
            <w:pPr>
              <w:spacing w:before="20" w:after="20"/>
              <w:jc w:val="center"/>
              <w:rPr>
                <w:b/>
                <w:noProof/>
                <w:sz w:val="20"/>
              </w:rPr>
            </w:pPr>
            <w:r w:rsidRPr="006F430E">
              <w:rPr>
                <w:b/>
                <w:noProof/>
                <w:sz w:val="22"/>
              </w:rPr>
              <w:t>0,152</w:t>
            </w:r>
          </w:p>
        </w:tc>
      </w:tr>
    </w:tbl>
    <w:p w14:paraId="5CA545F0" w14:textId="26FB9944" w:rsidR="00687C2B" w:rsidRPr="006F430E" w:rsidRDefault="00687C2B" w:rsidP="00687C2B">
      <w:pPr>
        <w:jc w:val="left"/>
        <w:rPr>
          <w:noProof/>
        </w:rPr>
      </w:pPr>
      <w:r w:rsidRPr="006F430E">
        <w:rPr>
          <w:noProof/>
        </w:rPr>
        <w:t>Cette partie est à compléter en utilisant les «données budgétaires de nature administrative», à introduire d’abord dans l’</w:t>
      </w:r>
      <w:hyperlink r:id="rId12" w:history="1">
        <w:r w:rsidRPr="006F430E">
          <w:rPr>
            <w:rStyle w:val="Hyperlink"/>
            <w:noProof/>
          </w:rPr>
          <w:t>annexe de la fiche financière législative</w:t>
        </w:r>
      </w:hyperlink>
      <w:r w:rsidRPr="006F430E">
        <w:rPr>
          <w:noProof/>
        </w:rPr>
        <w:t xml:space="preserve"> (annexe V des règles internes), à charger dans DECIDE pour les besoins de la consultation interservices. </w:t>
      </w:r>
    </w:p>
    <w:p w14:paraId="21FE403E" w14:textId="77777777" w:rsidR="00687C2B" w:rsidRPr="006F430E" w:rsidRDefault="00687C2B" w:rsidP="00687C2B">
      <w:pPr>
        <w:jc w:val="left"/>
        <w:rPr>
          <w:noProof/>
        </w:rPr>
      </w:pPr>
    </w:p>
    <w:p w14:paraId="03DD2D35" w14:textId="77777777" w:rsidR="00687C2B" w:rsidRPr="006F430E" w:rsidRDefault="00687C2B" w:rsidP="00687C2B">
      <w:pPr>
        <w:jc w:val="left"/>
        <w:rPr>
          <w:noProof/>
        </w:rPr>
      </w:pPr>
    </w:p>
    <w:p w14:paraId="5C965150" w14:textId="77777777" w:rsidR="00687C2B" w:rsidRPr="006F430E" w:rsidRDefault="00687C2B" w:rsidP="00687C2B">
      <w:pPr>
        <w:jc w:val="left"/>
        <w:rPr>
          <w:noProof/>
          <w:sz w:val="20"/>
        </w:rPr>
      </w:pPr>
    </w:p>
    <w:p w14:paraId="65C2004B" w14:textId="1BD90343" w:rsidR="00D66D78" w:rsidRPr="006F430E" w:rsidRDefault="00D66D78" w:rsidP="004F6AC7">
      <w:pPr>
        <w:spacing w:after="40"/>
        <w:rPr>
          <w:b/>
          <w:noProof/>
          <w:sz w:val="22"/>
          <w:u w:val="single"/>
        </w:rPr>
      </w:pPr>
    </w:p>
    <w:p w14:paraId="6F5EDC88" w14:textId="13B437B5" w:rsidR="00D66D78" w:rsidRPr="006F430E" w:rsidRDefault="00D66D78" w:rsidP="004F6AC7">
      <w:pPr>
        <w:spacing w:after="40"/>
        <w:rPr>
          <w:b/>
          <w:noProof/>
          <w:sz w:val="22"/>
          <w:u w:val="single"/>
        </w:rPr>
      </w:pPr>
    </w:p>
    <w:p w14:paraId="03C9D20E" w14:textId="7D958345" w:rsidR="00D66D78" w:rsidRPr="006F430E" w:rsidRDefault="00D66D78" w:rsidP="004F6AC7">
      <w:pPr>
        <w:spacing w:after="40"/>
        <w:rPr>
          <w:b/>
          <w:noProof/>
          <w:sz w:val="22"/>
          <w:u w:val="single"/>
        </w:rPr>
      </w:pPr>
    </w:p>
    <w:p w14:paraId="6BD9F7EF" w14:textId="2FE1495D" w:rsidR="00D66D78" w:rsidRPr="006F430E" w:rsidRDefault="00D66D78" w:rsidP="004F6AC7">
      <w:pPr>
        <w:spacing w:after="40"/>
        <w:rPr>
          <w:b/>
          <w:noProof/>
          <w:sz w:val="22"/>
          <w:u w:val="single"/>
        </w:rPr>
      </w:pPr>
    </w:p>
    <w:p w14:paraId="70C84555" w14:textId="20EAE635" w:rsidR="009E5CA2" w:rsidRPr="006F430E" w:rsidRDefault="009E5CA2" w:rsidP="004F6AC7">
      <w:pPr>
        <w:spacing w:after="40"/>
        <w:rPr>
          <w:b/>
          <w:noProof/>
          <w:sz w:val="22"/>
          <w:u w:val="single"/>
        </w:rPr>
      </w:pPr>
    </w:p>
    <w:p w14:paraId="657FFD76" w14:textId="77777777" w:rsidR="009E5CA2" w:rsidRPr="006F430E" w:rsidRDefault="009E5CA2" w:rsidP="009E5CA2">
      <w:pPr>
        <w:rPr>
          <w:noProof/>
          <w:sz w:val="22"/>
        </w:rPr>
      </w:pPr>
    </w:p>
    <w:p w14:paraId="7156CBAC" w14:textId="77777777" w:rsidR="009E5CA2" w:rsidRPr="006F430E" w:rsidRDefault="009E5CA2" w:rsidP="009E5CA2">
      <w:pPr>
        <w:rPr>
          <w:noProof/>
          <w:sz w:val="22"/>
        </w:rPr>
      </w:pPr>
    </w:p>
    <w:p w14:paraId="3C47297C" w14:textId="77777777" w:rsidR="009E5CA2" w:rsidRPr="006F430E" w:rsidRDefault="009E5CA2" w:rsidP="009E5CA2">
      <w:pPr>
        <w:rPr>
          <w:noProof/>
          <w:sz w:val="22"/>
        </w:rPr>
      </w:pPr>
    </w:p>
    <w:p w14:paraId="1099C51A" w14:textId="77777777" w:rsidR="009E5CA2" w:rsidRPr="006F430E" w:rsidRDefault="009E5CA2" w:rsidP="009E5CA2">
      <w:pPr>
        <w:rPr>
          <w:noProof/>
          <w:sz w:val="22"/>
        </w:rPr>
      </w:pPr>
    </w:p>
    <w:p w14:paraId="71FF6860" w14:textId="77777777" w:rsidR="009E5CA2" w:rsidRPr="006F430E" w:rsidRDefault="009E5CA2" w:rsidP="009E5CA2">
      <w:pPr>
        <w:rPr>
          <w:noProof/>
          <w:sz w:val="22"/>
        </w:rPr>
      </w:pPr>
    </w:p>
    <w:p w14:paraId="3121B5D8" w14:textId="77777777" w:rsidR="009E5CA2" w:rsidRPr="006F430E" w:rsidRDefault="009E5CA2" w:rsidP="009E5CA2">
      <w:pPr>
        <w:rPr>
          <w:noProof/>
          <w:sz w:val="22"/>
        </w:rPr>
      </w:pPr>
    </w:p>
    <w:tbl>
      <w:tblPr>
        <w:tblW w:w="0" w:type="auto"/>
        <w:tblInd w:w="250"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686"/>
        <w:gridCol w:w="1134"/>
        <w:gridCol w:w="708"/>
        <w:gridCol w:w="851"/>
        <w:gridCol w:w="850"/>
        <w:gridCol w:w="993"/>
        <w:gridCol w:w="850"/>
        <w:gridCol w:w="851"/>
        <w:gridCol w:w="2976"/>
      </w:tblGrid>
      <w:tr w:rsidR="009E5CA2" w:rsidRPr="006F430E" w14:paraId="76AB5F93" w14:textId="77777777" w:rsidTr="00687C2B">
        <w:tc>
          <w:tcPr>
            <w:tcW w:w="3686" w:type="dxa"/>
            <w:tcBorders>
              <w:top w:val="single" w:sz="4" w:space="0" w:color="FF0000"/>
              <w:left w:val="single" w:sz="4" w:space="0" w:color="auto"/>
              <w:bottom w:val="single" w:sz="4" w:space="0" w:color="FF0000"/>
            </w:tcBorders>
            <w:shd w:val="thinDiagStripe" w:color="C0C0C0" w:fill="auto"/>
            <w:vAlign w:val="center"/>
          </w:tcPr>
          <w:p w14:paraId="739491DE" w14:textId="5BA91438" w:rsidR="009E5CA2" w:rsidRPr="006F430E" w:rsidRDefault="009E5CA2" w:rsidP="009E5CA2">
            <w:pPr>
              <w:jc w:val="center"/>
              <w:rPr>
                <w:b/>
                <w:noProof/>
                <w:sz w:val="22"/>
              </w:rPr>
            </w:pPr>
          </w:p>
        </w:tc>
        <w:tc>
          <w:tcPr>
            <w:tcW w:w="1134" w:type="dxa"/>
            <w:vAlign w:val="center"/>
          </w:tcPr>
          <w:p w14:paraId="25ACF214" w14:textId="77777777" w:rsidR="009E5CA2" w:rsidRPr="006F430E" w:rsidRDefault="009E5CA2" w:rsidP="009E5CA2">
            <w:pPr>
              <w:rPr>
                <w:noProof/>
                <w:sz w:val="18"/>
              </w:rPr>
            </w:pPr>
          </w:p>
        </w:tc>
        <w:tc>
          <w:tcPr>
            <w:tcW w:w="708" w:type="dxa"/>
            <w:vAlign w:val="center"/>
          </w:tcPr>
          <w:p w14:paraId="76CFA9A0" w14:textId="77777777" w:rsidR="009E5CA2" w:rsidRPr="006F430E" w:rsidRDefault="009E5CA2" w:rsidP="009E5CA2">
            <w:pPr>
              <w:jc w:val="center"/>
              <w:rPr>
                <w:noProof/>
                <w:sz w:val="14"/>
              </w:rPr>
            </w:pPr>
          </w:p>
        </w:tc>
        <w:tc>
          <w:tcPr>
            <w:tcW w:w="851" w:type="dxa"/>
            <w:vAlign w:val="center"/>
          </w:tcPr>
          <w:p w14:paraId="17AB6074" w14:textId="1A0917A4" w:rsidR="009E5CA2" w:rsidRPr="006F430E" w:rsidRDefault="009E5CA2" w:rsidP="009E5CA2">
            <w:pPr>
              <w:spacing w:before="20" w:after="20"/>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2021</w:t>
            </w:r>
          </w:p>
        </w:tc>
        <w:tc>
          <w:tcPr>
            <w:tcW w:w="850" w:type="dxa"/>
            <w:vAlign w:val="center"/>
          </w:tcPr>
          <w:p w14:paraId="24A00966" w14:textId="69DCB948" w:rsidR="009E5CA2" w:rsidRPr="006F430E" w:rsidRDefault="009E5CA2" w:rsidP="009E5CA2">
            <w:pPr>
              <w:spacing w:before="20" w:after="20"/>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2022</w:t>
            </w:r>
          </w:p>
        </w:tc>
        <w:tc>
          <w:tcPr>
            <w:tcW w:w="993" w:type="dxa"/>
            <w:vAlign w:val="center"/>
          </w:tcPr>
          <w:p w14:paraId="2A955DEE" w14:textId="53BCDCAA" w:rsidR="009E5CA2" w:rsidRPr="006F430E" w:rsidRDefault="009E5CA2" w:rsidP="009E5CA2">
            <w:pPr>
              <w:spacing w:before="20" w:after="20"/>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2023</w:t>
            </w:r>
          </w:p>
        </w:tc>
        <w:tc>
          <w:tcPr>
            <w:tcW w:w="850" w:type="dxa"/>
            <w:vAlign w:val="center"/>
          </w:tcPr>
          <w:p w14:paraId="3F413F10" w14:textId="0F6A59FA" w:rsidR="009E5CA2" w:rsidRPr="006F430E" w:rsidRDefault="009E5CA2" w:rsidP="009E5CA2">
            <w:pPr>
              <w:spacing w:before="20" w:after="20"/>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2024</w:t>
            </w:r>
          </w:p>
        </w:tc>
        <w:tc>
          <w:tcPr>
            <w:tcW w:w="851" w:type="dxa"/>
          </w:tcPr>
          <w:p w14:paraId="451D2D37" w14:textId="7E0A74BA" w:rsidR="009E5CA2" w:rsidRPr="006F430E" w:rsidRDefault="009E5CA2" w:rsidP="009E5CA2">
            <w:pPr>
              <w:spacing w:before="20" w:after="20"/>
              <w:jc w:val="center"/>
              <w:rPr>
                <w:noProof/>
                <w:sz w:val="20"/>
              </w:rPr>
            </w:pPr>
            <w:r w:rsidRPr="006F430E">
              <w:rPr>
                <w:noProof/>
                <w:sz w:val="20"/>
              </w:rPr>
              <w:t>Année</w:t>
            </w:r>
            <w:r w:rsidRPr="006F430E">
              <w:rPr>
                <w:noProof/>
              </w:rPr>
              <w:t xml:space="preserve"> </w:t>
            </w:r>
            <w:r w:rsidRPr="006F430E">
              <w:rPr>
                <w:noProof/>
              </w:rPr>
              <w:br/>
            </w:r>
            <w:r w:rsidRPr="006F430E">
              <w:rPr>
                <w:b/>
                <w:noProof/>
                <w:sz w:val="20"/>
              </w:rPr>
              <w:t>2025</w:t>
            </w:r>
          </w:p>
        </w:tc>
        <w:tc>
          <w:tcPr>
            <w:tcW w:w="2976" w:type="dxa"/>
            <w:tcBorders>
              <w:right w:val="single" w:sz="4" w:space="0" w:color="auto"/>
            </w:tcBorders>
            <w:vAlign w:val="center"/>
          </w:tcPr>
          <w:p w14:paraId="0B5C801C" w14:textId="1A6201E4" w:rsidR="009E5CA2" w:rsidRPr="006F430E" w:rsidRDefault="009E5CA2" w:rsidP="009E5CA2">
            <w:pPr>
              <w:spacing w:before="20" w:after="20"/>
              <w:jc w:val="center"/>
              <w:rPr>
                <w:b/>
                <w:noProof/>
                <w:sz w:val="20"/>
              </w:rPr>
            </w:pPr>
            <w:r w:rsidRPr="006F430E">
              <w:rPr>
                <w:b/>
                <w:noProof/>
                <w:sz w:val="20"/>
              </w:rPr>
              <w:t>TOTAL</w:t>
            </w:r>
          </w:p>
        </w:tc>
      </w:tr>
      <w:tr w:rsidR="009E5CA2" w:rsidRPr="006F430E" w14:paraId="111890A0" w14:textId="77777777" w:rsidTr="00687C2B">
        <w:tc>
          <w:tcPr>
            <w:tcW w:w="3686" w:type="dxa"/>
            <w:vMerge w:val="restart"/>
            <w:tcBorders>
              <w:top w:val="single" w:sz="4" w:space="0" w:color="FF0000"/>
              <w:left w:val="single" w:sz="4" w:space="0" w:color="auto"/>
              <w:bottom w:val="single" w:sz="4" w:space="0" w:color="FF0000"/>
            </w:tcBorders>
            <w:shd w:val="thinDiagStripe" w:color="C0C0C0" w:fill="auto"/>
            <w:vAlign w:val="center"/>
          </w:tcPr>
          <w:p w14:paraId="73AB0D68" w14:textId="4CD75764" w:rsidR="009E5CA2" w:rsidRPr="006F430E" w:rsidRDefault="009E5CA2" w:rsidP="009E5CA2">
            <w:pPr>
              <w:jc w:val="center"/>
              <w:rPr>
                <w:b/>
                <w:noProof/>
              </w:rPr>
            </w:pPr>
            <w:r w:rsidRPr="006F430E">
              <w:rPr>
                <w:b/>
                <w:noProof/>
                <w:sz w:val="22"/>
              </w:rPr>
              <w:t>TOTAL des crédits</w:t>
            </w:r>
            <w:r w:rsidRPr="006F430E">
              <w:rPr>
                <w:noProof/>
              </w:rPr>
              <w:t xml:space="preserve"> </w:t>
            </w:r>
            <w:r w:rsidRPr="006F430E">
              <w:rPr>
                <w:noProof/>
              </w:rPr>
              <w:br/>
            </w:r>
            <w:r w:rsidRPr="006F430E">
              <w:rPr>
                <w:b/>
                <w:noProof/>
                <w:sz w:val="22"/>
              </w:rPr>
              <w:t>pour les RUBRIQUES 1 à 7</w:t>
            </w:r>
            <w:r w:rsidRPr="006F430E">
              <w:rPr>
                <w:noProof/>
              </w:rPr>
              <w:t xml:space="preserve"> </w:t>
            </w:r>
            <w:r w:rsidRPr="006F430E">
              <w:rPr>
                <w:noProof/>
              </w:rPr>
              <w:br/>
            </w:r>
            <w:r w:rsidRPr="006F430E">
              <w:rPr>
                <w:noProof/>
                <w:sz w:val="22"/>
              </w:rPr>
              <w:t>du cadre financier pluriannuel</w:t>
            </w:r>
            <w:r w:rsidRPr="006F430E">
              <w:rPr>
                <w:noProof/>
              </w:rPr>
              <w:t xml:space="preserve"> </w:t>
            </w:r>
            <w:r w:rsidRPr="006F430E">
              <w:rPr>
                <w:noProof/>
              </w:rPr>
              <w:br/>
            </w:r>
            <w:r w:rsidRPr="006F430E">
              <w:rPr>
                <w:noProof/>
                <w:sz w:val="20"/>
              </w:rPr>
              <w:t>(Montant de référence)</w:t>
            </w:r>
          </w:p>
        </w:tc>
        <w:tc>
          <w:tcPr>
            <w:tcW w:w="1134" w:type="dxa"/>
            <w:vAlign w:val="center"/>
          </w:tcPr>
          <w:p w14:paraId="042E35F6" w14:textId="77777777" w:rsidR="009E5CA2" w:rsidRPr="006F430E" w:rsidRDefault="009E5CA2" w:rsidP="009E5CA2">
            <w:pPr>
              <w:rPr>
                <w:noProof/>
                <w:sz w:val="18"/>
              </w:rPr>
            </w:pPr>
            <w:r w:rsidRPr="006F430E">
              <w:rPr>
                <w:noProof/>
                <w:sz w:val="18"/>
              </w:rPr>
              <w:t>Engagements</w:t>
            </w:r>
          </w:p>
        </w:tc>
        <w:tc>
          <w:tcPr>
            <w:tcW w:w="708" w:type="dxa"/>
            <w:vAlign w:val="center"/>
          </w:tcPr>
          <w:p w14:paraId="7BD8D67C" w14:textId="77777777" w:rsidR="009E5CA2" w:rsidRPr="006F430E" w:rsidRDefault="009E5CA2" w:rsidP="009E5CA2">
            <w:pPr>
              <w:jc w:val="center"/>
              <w:rPr>
                <w:noProof/>
                <w:sz w:val="14"/>
              </w:rPr>
            </w:pPr>
            <w:r w:rsidRPr="006F430E">
              <w:rPr>
                <w:noProof/>
                <w:sz w:val="14"/>
              </w:rPr>
              <w:t>=4+ 6</w:t>
            </w:r>
          </w:p>
        </w:tc>
        <w:tc>
          <w:tcPr>
            <w:tcW w:w="851" w:type="dxa"/>
            <w:vAlign w:val="center"/>
          </w:tcPr>
          <w:p w14:paraId="48A9551F" w14:textId="0ED5AAB6" w:rsidR="009E5CA2" w:rsidRPr="006F430E" w:rsidRDefault="009E5CA2" w:rsidP="009E5CA2">
            <w:pPr>
              <w:spacing w:before="20" w:after="20"/>
              <w:jc w:val="center"/>
              <w:rPr>
                <w:noProof/>
                <w:sz w:val="20"/>
              </w:rPr>
            </w:pPr>
            <w:r w:rsidRPr="006F430E">
              <w:rPr>
                <w:noProof/>
                <w:sz w:val="20"/>
              </w:rPr>
              <w:t>0,034</w:t>
            </w:r>
          </w:p>
        </w:tc>
        <w:tc>
          <w:tcPr>
            <w:tcW w:w="850" w:type="dxa"/>
            <w:vAlign w:val="center"/>
          </w:tcPr>
          <w:p w14:paraId="23336CB1" w14:textId="5E411232" w:rsidR="009E5CA2" w:rsidRPr="006F430E" w:rsidRDefault="009E5CA2" w:rsidP="009E5CA2">
            <w:pPr>
              <w:spacing w:before="20" w:after="20"/>
              <w:jc w:val="center"/>
              <w:rPr>
                <w:noProof/>
                <w:sz w:val="20"/>
              </w:rPr>
            </w:pPr>
            <w:r w:rsidRPr="006F430E">
              <w:rPr>
                <w:noProof/>
                <w:sz w:val="20"/>
              </w:rPr>
              <w:t>30,864</w:t>
            </w:r>
          </w:p>
        </w:tc>
        <w:tc>
          <w:tcPr>
            <w:tcW w:w="993" w:type="dxa"/>
            <w:vAlign w:val="center"/>
          </w:tcPr>
          <w:p w14:paraId="06DD8165" w14:textId="778764B5" w:rsidR="009E5CA2" w:rsidRPr="006F430E" w:rsidRDefault="009E5CA2" w:rsidP="009E5CA2">
            <w:pPr>
              <w:spacing w:before="20" w:after="20"/>
              <w:jc w:val="center"/>
              <w:rPr>
                <w:noProof/>
                <w:sz w:val="20"/>
              </w:rPr>
            </w:pPr>
            <w:r w:rsidRPr="006F430E">
              <w:rPr>
                <w:noProof/>
                <w:sz w:val="20"/>
              </w:rPr>
              <w:t>10,032</w:t>
            </w:r>
          </w:p>
        </w:tc>
        <w:tc>
          <w:tcPr>
            <w:tcW w:w="850" w:type="dxa"/>
            <w:vAlign w:val="center"/>
          </w:tcPr>
          <w:p w14:paraId="7AB9B0EB" w14:textId="3CA9F7BB" w:rsidR="009E5CA2" w:rsidRPr="006F430E" w:rsidRDefault="009E5CA2" w:rsidP="009E5CA2">
            <w:pPr>
              <w:spacing w:before="20" w:after="20"/>
              <w:jc w:val="center"/>
              <w:rPr>
                <w:noProof/>
                <w:sz w:val="20"/>
              </w:rPr>
            </w:pPr>
            <w:r w:rsidRPr="006F430E">
              <w:rPr>
                <w:noProof/>
                <w:sz w:val="20"/>
              </w:rPr>
              <w:t>0,011</w:t>
            </w:r>
          </w:p>
        </w:tc>
        <w:tc>
          <w:tcPr>
            <w:tcW w:w="851" w:type="dxa"/>
            <w:vAlign w:val="center"/>
          </w:tcPr>
          <w:p w14:paraId="40C50E2C" w14:textId="7984CF6E" w:rsidR="009E5CA2" w:rsidRPr="006F430E" w:rsidRDefault="009E5CA2" w:rsidP="00005C2E">
            <w:pPr>
              <w:spacing w:before="20" w:after="20"/>
              <w:jc w:val="center"/>
              <w:rPr>
                <w:noProof/>
                <w:sz w:val="20"/>
              </w:rPr>
            </w:pPr>
            <w:r w:rsidRPr="006F430E">
              <w:rPr>
                <w:noProof/>
                <w:sz w:val="20"/>
              </w:rPr>
              <w:t>0,161</w:t>
            </w:r>
          </w:p>
        </w:tc>
        <w:tc>
          <w:tcPr>
            <w:tcW w:w="2976" w:type="dxa"/>
            <w:tcBorders>
              <w:right w:val="single" w:sz="4" w:space="0" w:color="auto"/>
            </w:tcBorders>
            <w:vAlign w:val="center"/>
          </w:tcPr>
          <w:p w14:paraId="450CA4BC" w14:textId="219F25FE" w:rsidR="009E5CA2" w:rsidRPr="006F430E" w:rsidRDefault="00005C2E" w:rsidP="009E5CA2">
            <w:pPr>
              <w:spacing w:before="20" w:after="20"/>
              <w:jc w:val="center"/>
              <w:rPr>
                <w:b/>
                <w:noProof/>
                <w:sz w:val="20"/>
              </w:rPr>
            </w:pPr>
            <w:r w:rsidRPr="006F430E">
              <w:rPr>
                <w:b/>
                <w:noProof/>
                <w:sz w:val="20"/>
              </w:rPr>
              <w:t>41,102</w:t>
            </w:r>
          </w:p>
        </w:tc>
      </w:tr>
      <w:tr w:rsidR="009E5CA2" w:rsidRPr="006F430E" w14:paraId="43117DCB" w14:textId="77777777" w:rsidTr="00687C2B">
        <w:tc>
          <w:tcPr>
            <w:tcW w:w="3686" w:type="dxa"/>
            <w:vMerge/>
            <w:tcBorders>
              <w:top w:val="single" w:sz="4" w:space="0" w:color="FF0000"/>
              <w:left w:val="single" w:sz="4" w:space="0" w:color="auto"/>
              <w:bottom w:val="single" w:sz="4" w:space="0" w:color="auto"/>
            </w:tcBorders>
            <w:shd w:val="thinDiagStripe" w:color="C0C0C0" w:fill="auto"/>
          </w:tcPr>
          <w:p w14:paraId="7670F2CF" w14:textId="77777777" w:rsidR="009E5CA2" w:rsidRPr="006F430E" w:rsidRDefault="009E5CA2" w:rsidP="009E5CA2">
            <w:pPr>
              <w:rPr>
                <w:noProof/>
                <w:sz w:val="20"/>
              </w:rPr>
            </w:pPr>
          </w:p>
        </w:tc>
        <w:tc>
          <w:tcPr>
            <w:tcW w:w="1134" w:type="dxa"/>
            <w:tcBorders>
              <w:bottom w:val="single" w:sz="4" w:space="0" w:color="auto"/>
            </w:tcBorders>
            <w:vAlign w:val="center"/>
          </w:tcPr>
          <w:p w14:paraId="661FE13D" w14:textId="77777777" w:rsidR="009E5CA2" w:rsidRPr="006F430E" w:rsidRDefault="009E5CA2" w:rsidP="009E5CA2">
            <w:pPr>
              <w:rPr>
                <w:noProof/>
                <w:sz w:val="18"/>
              </w:rPr>
            </w:pPr>
            <w:r w:rsidRPr="006F430E">
              <w:rPr>
                <w:noProof/>
                <w:sz w:val="18"/>
              </w:rPr>
              <w:t>Paiements</w:t>
            </w:r>
          </w:p>
        </w:tc>
        <w:tc>
          <w:tcPr>
            <w:tcW w:w="708" w:type="dxa"/>
            <w:tcBorders>
              <w:bottom w:val="single" w:sz="4" w:space="0" w:color="auto"/>
            </w:tcBorders>
            <w:vAlign w:val="center"/>
          </w:tcPr>
          <w:p w14:paraId="7010CCAE" w14:textId="77777777" w:rsidR="009E5CA2" w:rsidRPr="006F430E" w:rsidRDefault="009E5CA2" w:rsidP="009E5CA2">
            <w:pPr>
              <w:jc w:val="center"/>
              <w:rPr>
                <w:noProof/>
                <w:sz w:val="14"/>
              </w:rPr>
            </w:pPr>
            <w:r w:rsidRPr="006F430E">
              <w:rPr>
                <w:noProof/>
                <w:sz w:val="14"/>
              </w:rPr>
              <w:t>=5+ 6</w:t>
            </w:r>
          </w:p>
        </w:tc>
        <w:tc>
          <w:tcPr>
            <w:tcW w:w="851" w:type="dxa"/>
            <w:tcBorders>
              <w:bottom w:val="single" w:sz="4" w:space="0" w:color="auto"/>
            </w:tcBorders>
            <w:vAlign w:val="center"/>
          </w:tcPr>
          <w:p w14:paraId="4F892226" w14:textId="667803E3" w:rsidR="009E5CA2" w:rsidRPr="006F430E" w:rsidRDefault="009E5CA2" w:rsidP="009E5CA2">
            <w:pPr>
              <w:spacing w:before="20" w:after="20"/>
              <w:jc w:val="center"/>
              <w:rPr>
                <w:noProof/>
                <w:sz w:val="20"/>
              </w:rPr>
            </w:pPr>
            <w:r w:rsidRPr="006F430E">
              <w:rPr>
                <w:noProof/>
                <w:sz w:val="20"/>
              </w:rPr>
              <w:t>0,034</w:t>
            </w:r>
          </w:p>
        </w:tc>
        <w:tc>
          <w:tcPr>
            <w:tcW w:w="850" w:type="dxa"/>
            <w:tcBorders>
              <w:bottom w:val="single" w:sz="4" w:space="0" w:color="auto"/>
            </w:tcBorders>
            <w:vAlign w:val="center"/>
          </w:tcPr>
          <w:p w14:paraId="5AEFFE38" w14:textId="7E3FA294" w:rsidR="009E5CA2" w:rsidRPr="006F430E" w:rsidRDefault="009E5CA2" w:rsidP="009E5CA2">
            <w:pPr>
              <w:spacing w:before="20" w:after="20"/>
              <w:jc w:val="center"/>
              <w:rPr>
                <w:noProof/>
                <w:sz w:val="20"/>
              </w:rPr>
            </w:pPr>
            <w:r w:rsidRPr="006F430E">
              <w:rPr>
                <w:noProof/>
                <w:sz w:val="20"/>
              </w:rPr>
              <w:t>30,864</w:t>
            </w:r>
          </w:p>
        </w:tc>
        <w:tc>
          <w:tcPr>
            <w:tcW w:w="993" w:type="dxa"/>
            <w:tcBorders>
              <w:bottom w:val="single" w:sz="4" w:space="0" w:color="auto"/>
            </w:tcBorders>
            <w:vAlign w:val="center"/>
          </w:tcPr>
          <w:p w14:paraId="43F89232" w14:textId="113B28AD" w:rsidR="009E5CA2" w:rsidRPr="006F430E" w:rsidRDefault="009E5CA2" w:rsidP="009E5CA2">
            <w:pPr>
              <w:spacing w:before="20" w:after="20"/>
              <w:jc w:val="center"/>
              <w:rPr>
                <w:noProof/>
                <w:sz w:val="20"/>
              </w:rPr>
            </w:pPr>
            <w:r w:rsidRPr="006F430E">
              <w:rPr>
                <w:noProof/>
                <w:sz w:val="20"/>
              </w:rPr>
              <w:t>10,032</w:t>
            </w:r>
          </w:p>
        </w:tc>
        <w:tc>
          <w:tcPr>
            <w:tcW w:w="850" w:type="dxa"/>
            <w:tcBorders>
              <w:bottom w:val="single" w:sz="4" w:space="0" w:color="auto"/>
            </w:tcBorders>
            <w:vAlign w:val="center"/>
          </w:tcPr>
          <w:p w14:paraId="320D5890" w14:textId="53673E19" w:rsidR="009E5CA2" w:rsidRPr="006F430E" w:rsidRDefault="009E5CA2" w:rsidP="009E5CA2">
            <w:pPr>
              <w:spacing w:before="20" w:after="20"/>
              <w:jc w:val="center"/>
              <w:rPr>
                <w:noProof/>
                <w:sz w:val="20"/>
              </w:rPr>
            </w:pPr>
            <w:r w:rsidRPr="006F430E">
              <w:rPr>
                <w:noProof/>
                <w:sz w:val="20"/>
              </w:rPr>
              <w:t>0,011</w:t>
            </w:r>
          </w:p>
        </w:tc>
        <w:tc>
          <w:tcPr>
            <w:tcW w:w="851" w:type="dxa"/>
            <w:tcBorders>
              <w:bottom w:val="single" w:sz="4" w:space="0" w:color="auto"/>
            </w:tcBorders>
            <w:vAlign w:val="center"/>
          </w:tcPr>
          <w:p w14:paraId="450B6255" w14:textId="69A216C7" w:rsidR="009E5CA2" w:rsidRPr="006F430E" w:rsidRDefault="009E5CA2" w:rsidP="00005C2E">
            <w:pPr>
              <w:spacing w:before="20" w:after="20"/>
              <w:jc w:val="center"/>
              <w:rPr>
                <w:noProof/>
                <w:sz w:val="20"/>
              </w:rPr>
            </w:pPr>
            <w:r w:rsidRPr="006F430E">
              <w:rPr>
                <w:noProof/>
                <w:sz w:val="20"/>
              </w:rPr>
              <w:t>0,161</w:t>
            </w:r>
          </w:p>
        </w:tc>
        <w:tc>
          <w:tcPr>
            <w:tcW w:w="2976" w:type="dxa"/>
            <w:tcBorders>
              <w:bottom w:val="single" w:sz="4" w:space="0" w:color="auto"/>
              <w:right w:val="single" w:sz="4" w:space="0" w:color="auto"/>
            </w:tcBorders>
            <w:vAlign w:val="center"/>
          </w:tcPr>
          <w:p w14:paraId="7525B805" w14:textId="54B0E19C" w:rsidR="009E5CA2" w:rsidRPr="006F430E" w:rsidRDefault="00005C2E" w:rsidP="009E5CA2">
            <w:pPr>
              <w:spacing w:before="20" w:after="20"/>
              <w:jc w:val="center"/>
              <w:rPr>
                <w:b/>
                <w:noProof/>
                <w:sz w:val="20"/>
              </w:rPr>
            </w:pPr>
            <w:r w:rsidRPr="006F430E">
              <w:rPr>
                <w:b/>
                <w:noProof/>
                <w:sz w:val="20"/>
              </w:rPr>
              <w:t>41,102</w:t>
            </w:r>
          </w:p>
        </w:tc>
      </w:tr>
    </w:tbl>
    <w:p w14:paraId="3799A5BB" w14:textId="5F2C1968" w:rsidR="001A3A0C" w:rsidRPr="006F430E" w:rsidRDefault="0024257C" w:rsidP="0024257C">
      <w:pPr>
        <w:pStyle w:val="ManualHeading3"/>
        <w:rPr>
          <w:bCs/>
          <w:noProof/>
          <w:szCs w:val="24"/>
        </w:rPr>
      </w:pPr>
      <w:bookmarkStart w:id="49" w:name="_Toc514938054"/>
      <w:bookmarkStart w:id="50" w:name="_Toc520485053"/>
      <w:r w:rsidRPr="0024257C">
        <w:t>3.2.2.</w:t>
      </w:r>
      <w:r w:rsidRPr="0024257C">
        <w:tab/>
      </w:r>
      <w:r w:rsidR="001A3A0C" w:rsidRPr="006F430E">
        <w:rPr>
          <w:noProof/>
        </w:rPr>
        <w:t>Estimation des réalisations financées avec des crédits opérationnels</w:t>
      </w:r>
      <w:bookmarkEnd w:id="49"/>
      <w:bookmarkEnd w:id="50"/>
      <w:r w:rsidR="001A3A0C" w:rsidRPr="006F430E">
        <w:rPr>
          <w:noProof/>
        </w:rPr>
        <w:t xml:space="preserve"> </w:t>
      </w:r>
    </w:p>
    <w:p w14:paraId="1C77C47D" w14:textId="422BDA58" w:rsidR="001A3A0C" w:rsidRPr="006F430E" w:rsidRDefault="001A3A0C" w:rsidP="004F6AC7">
      <w:pPr>
        <w:jc w:val="right"/>
        <w:rPr>
          <w:noProof/>
          <w:sz w:val="20"/>
        </w:rPr>
      </w:pPr>
      <w:r w:rsidRPr="006F430E">
        <w:rPr>
          <w:noProof/>
          <w:sz w:val="20"/>
        </w:rPr>
        <w:t>Crédits d’engagement (en Mio EUR, à la 3</w:t>
      </w:r>
      <w:r w:rsidRPr="006F430E">
        <w:rPr>
          <w:noProof/>
          <w:sz w:val="20"/>
          <w:vertAlign w:val="superscript"/>
        </w:rPr>
        <w:t>e</w:t>
      </w:r>
      <w:r w:rsidRPr="006F430E">
        <w:rPr>
          <w:noProof/>
          <w:sz w:val="20"/>
        </w:rPr>
        <w:t xml:space="preserve"> décimale)</w:t>
      </w:r>
    </w:p>
    <w:p w14:paraId="27643D02" w14:textId="6557F738" w:rsidR="00581A40" w:rsidRPr="006F430E" w:rsidRDefault="00581A40" w:rsidP="004F6AC7">
      <w:pPr>
        <w:jc w:val="right"/>
        <w:rPr>
          <w:noProof/>
          <w:sz w:val="20"/>
        </w:rPr>
      </w:pPr>
    </w:p>
    <w:tbl>
      <w:tblPr>
        <w:tblStyle w:val="TableGrid"/>
        <w:tblW w:w="13151" w:type="dxa"/>
        <w:tblLook w:val="04A0" w:firstRow="1" w:lastRow="0" w:firstColumn="1" w:lastColumn="0" w:noHBand="0" w:noVBand="1"/>
      </w:tblPr>
      <w:tblGrid>
        <w:gridCol w:w="1309"/>
        <w:gridCol w:w="1804"/>
        <w:gridCol w:w="853"/>
        <w:gridCol w:w="19"/>
        <w:gridCol w:w="666"/>
        <w:gridCol w:w="872"/>
        <w:gridCol w:w="7"/>
        <w:gridCol w:w="660"/>
        <w:gridCol w:w="857"/>
        <w:gridCol w:w="15"/>
        <w:gridCol w:w="663"/>
        <w:gridCol w:w="872"/>
        <w:gridCol w:w="16"/>
        <w:gridCol w:w="646"/>
        <w:gridCol w:w="872"/>
        <w:gridCol w:w="662"/>
        <w:gridCol w:w="1202"/>
        <w:gridCol w:w="1156"/>
      </w:tblGrid>
      <w:tr w:rsidR="00094966" w:rsidRPr="006F430E" w14:paraId="22B5A008" w14:textId="77777777" w:rsidTr="00657700">
        <w:tc>
          <w:tcPr>
            <w:tcW w:w="1320" w:type="dxa"/>
            <w:vMerge w:val="restart"/>
          </w:tcPr>
          <w:p w14:paraId="7927955F" w14:textId="77777777" w:rsidR="00581A40" w:rsidRPr="006F430E" w:rsidRDefault="00581A40" w:rsidP="00657700">
            <w:pPr>
              <w:pStyle w:val="Pagedecouverture"/>
              <w:rPr>
                <w:b/>
                <w:noProof/>
                <w:sz w:val="20"/>
              </w:rPr>
            </w:pPr>
            <w:r w:rsidRPr="006F430E">
              <w:rPr>
                <w:b/>
                <w:noProof/>
                <w:sz w:val="20"/>
              </w:rPr>
              <w:t xml:space="preserve">   Indiquer les objectifs et les réalisations </w:t>
            </w:r>
          </w:p>
          <w:p w14:paraId="7E9A668D" w14:textId="77777777" w:rsidR="00581A40" w:rsidRPr="006F430E" w:rsidRDefault="00581A40" w:rsidP="00657700">
            <w:pPr>
              <w:pStyle w:val="Pagedecouverture"/>
              <w:rPr>
                <w:noProof/>
                <w:sz w:val="14"/>
              </w:rPr>
            </w:pPr>
          </w:p>
          <w:p w14:paraId="045D37F9" w14:textId="77777777" w:rsidR="00581A40" w:rsidRPr="006F430E" w:rsidRDefault="00581A40" w:rsidP="00657700">
            <w:pPr>
              <w:pStyle w:val="Pagedecouverture"/>
              <w:spacing w:after="120"/>
              <w:jc w:val="center"/>
              <w:rPr>
                <w:noProof/>
                <w:sz w:val="20"/>
              </w:rPr>
            </w:pPr>
            <w:r w:rsidRPr="006F430E">
              <w:rPr>
                <w:noProof/>
                <w:sz w:val="20"/>
              </w:rPr>
              <w:sym w:font="Wingdings" w:char="F0F2"/>
            </w:r>
          </w:p>
        </w:tc>
        <w:tc>
          <w:tcPr>
            <w:tcW w:w="1827" w:type="dxa"/>
          </w:tcPr>
          <w:p w14:paraId="0738EB9B" w14:textId="77777777" w:rsidR="00581A40" w:rsidRPr="006F430E" w:rsidRDefault="00581A40" w:rsidP="00657700">
            <w:pPr>
              <w:pStyle w:val="Pagedecouverture"/>
              <w:jc w:val="center"/>
              <w:rPr>
                <w:noProof/>
                <w:sz w:val="20"/>
              </w:rPr>
            </w:pPr>
          </w:p>
        </w:tc>
        <w:tc>
          <w:tcPr>
            <w:tcW w:w="1402" w:type="dxa"/>
            <w:gridSpan w:val="3"/>
          </w:tcPr>
          <w:p w14:paraId="2DB349DD" w14:textId="77B2031C" w:rsidR="00581A40" w:rsidRPr="006F430E" w:rsidRDefault="00581A40" w:rsidP="00581A40">
            <w:pPr>
              <w:pStyle w:val="Pagedecouverture"/>
              <w:jc w:val="center"/>
              <w:rPr>
                <w:noProof/>
                <w:sz w:val="20"/>
              </w:rPr>
            </w:pPr>
            <w:r w:rsidRPr="006F430E">
              <w:rPr>
                <w:noProof/>
                <w:sz w:val="20"/>
              </w:rPr>
              <w:t xml:space="preserve">Année </w:t>
            </w:r>
            <w:r w:rsidRPr="006F430E">
              <w:rPr>
                <w:b/>
                <w:noProof/>
                <w:sz w:val="20"/>
              </w:rPr>
              <w:t>2021</w:t>
            </w:r>
          </w:p>
        </w:tc>
        <w:tc>
          <w:tcPr>
            <w:tcW w:w="1545" w:type="dxa"/>
            <w:gridSpan w:val="3"/>
          </w:tcPr>
          <w:p w14:paraId="522571BC" w14:textId="4CF39E31" w:rsidR="00581A40" w:rsidRPr="006F430E" w:rsidRDefault="00581A40" w:rsidP="00581A40">
            <w:pPr>
              <w:pStyle w:val="Pagedecouverture"/>
              <w:jc w:val="center"/>
              <w:rPr>
                <w:noProof/>
                <w:sz w:val="20"/>
              </w:rPr>
            </w:pPr>
            <w:r w:rsidRPr="006F430E">
              <w:rPr>
                <w:noProof/>
                <w:sz w:val="20"/>
              </w:rPr>
              <w:t xml:space="preserve">Année </w:t>
            </w:r>
            <w:r w:rsidRPr="006F430E">
              <w:rPr>
                <w:b/>
                <w:noProof/>
                <w:sz w:val="20"/>
              </w:rPr>
              <w:t>2022</w:t>
            </w:r>
          </w:p>
        </w:tc>
        <w:tc>
          <w:tcPr>
            <w:tcW w:w="1541" w:type="dxa"/>
            <w:gridSpan w:val="3"/>
          </w:tcPr>
          <w:p w14:paraId="018919F5" w14:textId="0A074F4A" w:rsidR="00581A40" w:rsidRPr="006F430E" w:rsidRDefault="00581A40" w:rsidP="00581A40">
            <w:pPr>
              <w:pStyle w:val="Pagedecouverture"/>
              <w:jc w:val="center"/>
              <w:rPr>
                <w:noProof/>
                <w:sz w:val="20"/>
              </w:rPr>
            </w:pPr>
            <w:r w:rsidRPr="006F430E">
              <w:rPr>
                <w:noProof/>
                <w:sz w:val="20"/>
              </w:rPr>
              <w:t xml:space="preserve">Année </w:t>
            </w:r>
            <w:r w:rsidRPr="006F430E">
              <w:rPr>
                <w:b/>
                <w:noProof/>
                <w:sz w:val="20"/>
              </w:rPr>
              <w:t>2023</w:t>
            </w:r>
          </w:p>
        </w:tc>
        <w:tc>
          <w:tcPr>
            <w:tcW w:w="1539" w:type="dxa"/>
            <w:gridSpan w:val="3"/>
          </w:tcPr>
          <w:p w14:paraId="03B58B9F" w14:textId="48F48A48" w:rsidR="00581A40" w:rsidRPr="006F430E" w:rsidRDefault="00581A40" w:rsidP="00581A40">
            <w:pPr>
              <w:pStyle w:val="Pagedecouverture"/>
              <w:jc w:val="center"/>
              <w:rPr>
                <w:noProof/>
                <w:sz w:val="20"/>
              </w:rPr>
            </w:pPr>
            <w:r w:rsidRPr="006F430E">
              <w:rPr>
                <w:noProof/>
                <w:sz w:val="20"/>
              </w:rPr>
              <w:t xml:space="preserve">Année </w:t>
            </w:r>
            <w:r w:rsidRPr="006F430E">
              <w:rPr>
                <w:b/>
                <w:noProof/>
                <w:sz w:val="20"/>
              </w:rPr>
              <w:t>2024</w:t>
            </w:r>
          </w:p>
        </w:tc>
        <w:tc>
          <w:tcPr>
            <w:tcW w:w="1539" w:type="dxa"/>
            <w:gridSpan w:val="2"/>
          </w:tcPr>
          <w:p w14:paraId="66BA0E67" w14:textId="5EF9203B" w:rsidR="00581A40" w:rsidRPr="006F430E" w:rsidRDefault="00581A40" w:rsidP="00581A40">
            <w:pPr>
              <w:pStyle w:val="Pagedecouverture"/>
              <w:jc w:val="center"/>
              <w:rPr>
                <w:noProof/>
                <w:sz w:val="20"/>
              </w:rPr>
            </w:pPr>
            <w:r w:rsidRPr="006F430E">
              <w:rPr>
                <w:noProof/>
                <w:sz w:val="20"/>
              </w:rPr>
              <w:t xml:space="preserve">Année </w:t>
            </w:r>
            <w:r w:rsidRPr="006F430E">
              <w:rPr>
                <w:b/>
                <w:noProof/>
                <w:sz w:val="20"/>
              </w:rPr>
              <w:t>2025</w:t>
            </w:r>
          </w:p>
        </w:tc>
        <w:tc>
          <w:tcPr>
            <w:tcW w:w="2438" w:type="dxa"/>
            <w:gridSpan w:val="2"/>
          </w:tcPr>
          <w:p w14:paraId="0AC7813C" w14:textId="77777777" w:rsidR="00581A40" w:rsidRPr="006F430E" w:rsidRDefault="00581A40" w:rsidP="00657700">
            <w:pPr>
              <w:pStyle w:val="Pagedecouverture"/>
              <w:jc w:val="center"/>
              <w:rPr>
                <w:b/>
                <w:noProof/>
                <w:sz w:val="20"/>
              </w:rPr>
            </w:pPr>
            <w:r w:rsidRPr="006F430E">
              <w:rPr>
                <w:b/>
                <w:noProof/>
                <w:sz w:val="20"/>
              </w:rPr>
              <w:t>TOTAL</w:t>
            </w:r>
          </w:p>
        </w:tc>
      </w:tr>
      <w:tr w:rsidR="00581A40" w:rsidRPr="006F430E" w14:paraId="7437F305" w14:textId="77777777" w:rsidTr="00657700">
        <w:tc>
          <w:tcPr>
            <w:tcW w:w="1320" w:type="dxa"/>
            <w:vMerge/>
          </w:tcPr>
          <w:p w14:paraId="2CC92674" w14:textId="77777777" w:rsidR="00581A40" w:rsidRPr="006F430E" w:rsidRDefault="00581A40" w:rsidP="00657700">
            <w:pPr>
              <w:pStyle w:val="Pagedecouverture"/>
              <w:rPr>
                <w:noProof/>
                <w:sz w:val="20"/>
              </w:rPr>
            </w:pPr>
          </w:p>
        </w:tc>
        <w:tc>
          <w:tcPr>
            <w:tcW w:w="11831" w:type="dxa"/>
            <w:gridSpan w:val="17"/>
          </w:tcPr>
          <w:p w14:paraId="3BD4F7EC" w14:textId="77777777" w:rsidR="00581A40" w:rsidRPr="006F430E" w:rsidRDefault="00581A40" w:rsidP="00657700">
            <w:pPr>
              <w:pStyle w:val="Pagedecouverture"/>
              <w:jc w:val="center"/>
              <w:rPr>
                <w:noProof/>
                <w:sz w:val="20"/>
              </w:rPr>
            </w:pPr>
          </w:p>
        </w:tc>
      </w:tr>
      <w:tr w:rsidR="00094966" w:rsidRPr="006F430E" w14:paraId="261DEF37" w14:textId="77777777" w:rsidTr="00657700">
        <w:tc>
          <w:tcPr>
            <w:tcW w:w="1320" w:type="dxa"/>
            <w:vMerge/>
          </w:tcPr>
          <w:p w14:paraId="2173024D" w14:textId="77777777" w:rsidR="00581A40" w:rsidRPr="006F430E" w:rsidRDefault="00581A40" w:rsidP="00657700">
            <w:pPr>
              <w:pStyle w:val="Pagedecouverture"/>
              <w:rPr>
                <w:noProof/>
                <w:sz w:val="20"/>
              </w:rPr>
            </w:pPr>
          </w:p>
        </w:tc>
        <w:tc>
          <w:tcPr>
            <w:tcW w:w="1827" w:type="dxa"/>
            <w:vAlign w:val="center"/>
          </w:tcPr>
          <w:p w14:paraId="542C04A3" w14:textId="77777777" w:rsidR="00581A40" w:rsidRPr="006F430E" w:rsidRDefault="00581A40" w:rsidP="00657700">
            <w:pPr>
              <w:pStyle w:val="Pagedecouverture"/>
              <w:jc w:val="center"/>
              <w:rPr>
                <w:noProof/>
                <w:sz w:val="20"/>
              </w:rPr>
            </w:pPr>
            <w:r w:rsidRPr="006F430E">
              <w:rPr>
                <w:noProof/>
                <w:sz w:val="20"/>
              </w:rPr>
              <w:t>Type</w:t>
            </w:r>
            <w:r w:rsidRPr="006F430E">
              <w:rPr>
                <w:rStyle w:val="FootnoteReference"/>
                <w:noProof/>
                <w:sz w:val="20"/>
              </w:rPr>
              <w:footnoteReference w:id="18"/>
            </w:r>
          </w:p>
        </w:tc>
        <w:tc>
          <w:tcPr>
            <w:tcW w:w="730" w:type="dxa"/>
            <w:gridSpan w:val="2"/>
            <w:shd w:val="clear" w:color="auto" w:fill="D9D9D9" w:themeFill="background1" w:themeFillShade="D9"/>
            <w:vAlign w:val="center"/>
          </w:tcPr>
          <w:p w14:paraId="37BAB1B0" w14:textId="77777777" w:rsidR="00581A40" w:rsidRPr="006F430E" w:rsidRDefault="00581A40" w:rsidP="00657700">
            <w:pPr>
              <w:pStyle w:val="Pagedecouverture"/>
              <w:jc w:val="center"/>
              <w:rPr>
                <w:noProof/>
                <w:sz w:val="20"/>
              </w:rPr>
            </w:pPr>
            <w:r w:rsidRPr="006F430E">
              <w:rPr>
                <w:noProof/>
                <w:sz w:val="20"/>
              </w:rPr>
              <w:t>Nombre</w:t>
            </w:r>
          </w:p>
        </w:tc>
        <w:tc>
          <w:tcPr>
            <w:tcW w:w="672" w:type="dxa"/>
            <w:shd w:val="clear" w:color="auto" w:fill="D9D9D9" w:themeFill="background1" w:themeFillShade="D9"/>
            <w:vAlign w:val="center"/>
          </w:tcPr>
          <w:p w14:paraId="103F89ED" w14:textId="77777777" w:rsidR="00581A40" w:rsidRPr="006F430E" w:rsidRDefault="00581A40" w:rsidP="00657700">
            <w:pPr>
              <w:pStyle w:val="Pagedecouverture"/>
              <w:jc w:val="center"/>
              <w:rPr>
                <w:noProof/>
                <w:sz w:val="20"/>
              </w:rPr>
            </w:pPr>
            <w:r w:rsidRPr="006F430E">
              <w:rPr>
                <w:noProof/>
                <w:sz w:val="20"/>
              </w:rPr>
              <w:t>Coût</w:t>
            </w:r>
          </w:p>
        </w:tc>
        <w:tc>
          <w:tcPr>
            <w:tcW w:w="872" w:type="dxa"/>
            <w:shd w:val="clear" w:color="auto" w:fill="D9D9D9" w:themeFill="background1" w:themeFillShade="D9"/>
            <w:vAlign w:val="center"/>
          </w:tcPr>
          <w:p w14:paraId="709B0C88" w14:textId="77777777" w:rsidR="00581A40" w:rsidRPr="006F430E" w:rsidRDefault="00581A40" w:rsidP="00657700">
            <w:pPr>
              <w:pStyle w:val="Pagedecouverture"/>
              <w:jc w:val="center"/>
              <w:rPr>
                <w:noProof/>
                <w:sz w:val="20"/>
              </w:rPr>
            </w:pPr>
            <w:r w:rsidRPr="006F430E">
              <w:rPr>
                <w:noProof/>
                <w:sz w:val="20"/>
              </w:rPr>
              <w:t>Nombre</w:t>
            </w:r>
          </w:p>
        </w:tc>
        <w:tc>
          <w:tcPr>
            <w:tcW w:w="673" w:type="dxa"/>
            <w:gridSpan w:val="2"/>
            <w:shd w:val="clear" w:color="auto" w:fill="D9D9D9" w:themeFill="background1" w:themeFillShade="D9"/>
            <w:vAlign w:val="center"/>
          </w:tcPr>
          <w:p w14:paraId="073CA988" w14:textId="77777777" w:rsidR="00581A40" w:rsidRPr="006F430E" w:rsidRDefault="00581A40" w:rsidP="00657700">
            <w:pPr>
              <w:pStyle w:val="Pagedecouverture"/>
              <w:jc w:val="center"/>
              <w:rPr>
                <w:noProof/>
                <w:sz w:val="20"/>
              </w:rPr>
            </w:pPr>
            <w:r w:rsidRPr="006F430E">
              <w:rPr>
                <w:noProof/>
                <w:sz w:val="20"/>
              </w:rPr>
              <w:t>Coût</w:t>
            </w:r>
          </w:p>
        </w:tc>
        <w:tc>
          <w:tcPr>
            <w:tcW w:w="872" w:type="dxa"/>
            <w:gridSpan w:val="2"/>
            <w:shd w:val="clear" w:color="auto" w:fill="D9D9D9" w:themeFill="background1" w:themeFillShade="D9"/>
            <w:vAlign w:val="center"/>
          </w:tcPr>
          <w:p w14:paraId="3D407E14" w14:textId="77777777" w:rsidR="00581A40" w:rsidRPr="006F430E" w:rsidRDefault="00581A40" w:rsidP="00657700">
            <w:pPr>
              <w:pStyle w:val="Pagedecouverture"/>
              <w:jc w:val="center"/>
              <w:rPr>
                <w:noProof/>
                <w:sz w:val="20"/>
              </w:rPr>
            </w:pPr>
            <w:r w:rsidRPr="006F430E">
              <w:rPr>
                <w:noProof/>
                <w:sz w:val="20"/>
              </w:rPr>
              <w:t>Nombre</w:t>
            </w:r>
          </w:p>
        </w:tc>
        <w:tc>
          <w:tcPr>
            <w:tcW w:w="669" w:type="dxa"/>
            <w:shd w:val="clear" w:color="auto" w:fill="D9D9D9" w:themeFill="background1" w:themeFillShade="D9"/>
            <w:vAlign w:val="center"/>
          </w:tcPr>
          <w:p w14:paraId="6E319D87" w14:textId="77777777" w:rsidR="00581A40" w:rsidRPr="006F430E" w:rsidRDefault="00581A40" w:rsidP="00657700">
            <w:pPr>
              <w:pStyle w:val="Pagedecouverture"/>
              <w:jc w:val="center"/>
              <w:rPr>
                <w:noProof/>
                <w:sz w:val="20"/>
              </w:rPr>
            </w:pPr>
            <w:r w:rsidRPr="006F430E">
              <w:rPr>
                <w:noProof/>
                <w:sz w:val="20"/>
              </w:rPr>
              <w:t>Coût</w:t>
            </w:r>
          </w:p>
        </w:tc>
        <w:tc>
          <w:tcPr>
            <w:tcW w:w="872" w:type="dxa"/>
            <w:shd w:val="clear" w:color="auto" w:fill="D9D9D9" w:themeFill="background1" w:themeFillShade="D9"/>
            <w:vAlign w:val="center"/>
          </w:tcPr>
          <w:p w14:paraId="00754333" w14:textId="77777777" w:rsidR="00581A40" w:rsidRPr="006F430E" w:rsidRDefault="00581A40" w:rsidP="00657700">
            <w:pPr>
              <w:pStyle w:val="Pagedecouverture"/>
              <w:jc w:val="center"/>
              <w:rPr>
                <w:noProof/>
                <w:sz w:val="20"/>
              </w:rPr>
            </w:pPr>
            <w:r w:rsidRPr="006F430E">
              <w:rPr>
                <w:noProof/>
                <w:sz w:val="20"/>
              </w:rPr>
              <w:t>Nombre</w:t>
            </w:r>
          </w:p>
        </w:tc>
        <w:tc>
          <w:tcPr>
            <w:tcW w:w="667" w:type="dxa"/>
            <w:gridSpan w:val="2"/>
            <w:shd w:val="clear" w:color="auto" w:fill="D9D9D9" w:themeFill="background1" w:themeFillShade="D9"/>
            <w:vAlign w:val="center"/>
          </w:tcPr>
          <w:p w14:paraId="2D9FB872" w14:textId="77777777" w:rsidR="00581A40" w:rsidRPr="006F430E" w:rsidRDefault="00581A40" w:rsidP="00657700">
            <w:pPr>
              <w:pStyle w:val="Pagedecouverture"/>
              <w:jc w:val="center"/>
              <w:rPr>
                <w:noProof/>
                <w:sz w:val="20"/>
              </w:rPr>
            </w:pPr>
            <w:r w:rsidRPr="006F430E">
              <w:rPr>
                <w:noProof/>
                <w:sz w:val="20"/>
              </w:rPr>
              <w:t>Coût</w:t>
            </w:r>
          </w:p>
        </w:tc>
        <w:tc>
          <w:tcPr>
            <w:tcW w:w="872" w:type="dxa"/>
            <w:shd w:val="clear" w:color="auto" w:fill="D9D9D9" w:themeFill="background1" w:themeFillShade="D9"/>
            <w:vAlign w:val="center"/>
          </w:tcPr>
          <w:p w14:paraId="6373BABD" w14:textId="77777777" w:rsidR="00581A40" w:rsidRPr="006F430E" w:rsidRDefault="00581A40" w:rsidP="00657700">
            <w:pPr>
              <w:pStyle w:val="Pagedecouverture"/>
              <w:jc w:val="center"/>
              <w:rPr>
                <w:noProof/>
                <w:sz w:val="20"/>
              </w:rPr>
            </w:pPr>
            <w:r w:rsidRPr="006F430E">
              <w:rPr>
                <w:noProof/>
                <w:sz w:val="20"/>
              </w:rPr>
              <w:t>Nombre</w:t>
            </w:r>
          </w:p>
        </w:tc>
        <w:tc>
          <w:tcPr>
            <w:tcW w:w="667" w:type="dxa"/>
            <w:shd w:val="clear" w:color="auto" w:fill="D9D9D9" w:themeFill="background1" w:themeFillShade="D9"/>
            <w:vAlign w:val="center"/>
          </w:tcPr>
          <w:p w14:paraId="69CFDB62" w14:textId="77777777" w:rsidR="00581A40" w:rsidRPr="006F430E" w:rsidRDefault="00581A40" w:rsidP="00657700">
            <w:pPr>
              <w:pStyle w:val="Pagedecouverture"/>
              <w:jc w:val="center"/>
              <w:rPr>
                <w:noProof/>
                <w:sz w:val="20"/>
              </w:rPr>
            </w:pPr>
            <w:r w:rsidRPr="006F430E">
              <w:rPr>
                <w:noProof/>
                <w:sz w:val="20"/>
              </w:rPr>
              <w:t>Coût</w:t>
            </w:r>
          </w:p>
        </w:tc>
        <w:tc>
          <w:tcPr>
            <w:tcW w:w="1234" w:type="dxa"/>
            <w:shd w:val="clear" w:color="auto" w:fill="D9D9D9" w:themeFill="background1" w:themeFillShade="D9"/>
            <w:vAlign w:val="center"/>
          </w:tcPr>
          <w:p w14:paraId="6620245A" w14:textId="77777777" w:rsidR="00581A40" w:rsidRPr="006F430E" w:rsidRDefault="00581A40" w:rsidP="00657700">
            <w:pPr>
              <w:pStyle w:val="Pagedecouverture"/>
              <w:jc w:val="center"/>
              <w:rPr>
                <w:noProof/>
                <w:sz w:val="20"/>
              </w:rPr>
            </w:pPr>
            <w:r w:rsidRPr="006F430E">
              <w:rPr>
                <w:noProof/>
                <w:sz w:val="20"/>
              </w:rPr>
              <w:t>Nombre total</w:t>
            </w:r>
          </w:p>
        </w:tc>
        <w:tc>
          <w:tcPr>
            <w:tcW w:w="1204" w:type="dxa"/>
            <w:shd w:val="clear" w:color="auto" w:fill="D9D9D9" w:themeFill="background1" w:themeFillShade="D9"/>
            <w:vAlign w:val="center"/>
          </w:tcPr>
          <w:p w14:paraId="7A1F8428" w14:textId="77777777" w:rsidR="00581A40" w:rsidRPr="006F430E" w:rsidRDefault="00581A40" w:rsidP="00657700">
            <w:pPr>
              <w:pStyle w:val="Pagedecouverture"/>
              <w:jc w:val="center"/>
              <w:rPr>
                <w:noProof/>
                <w:sz w:val="20"/>
              </w:rPr>
            </w:pPr>
            <w:r w:rsidRPr="006F430E">
              <w:rPr>
                <w:noProof/>
                <w:sz w:val="20"/>
              </w:rPr>
              <w:t>Coût total</w:t>
            </w:r>
          </w:p>
        </w:tc>
      </w:tr>
      <w:tr w:rsidR="00581A40" w:rsidRPr="006F430E" w14:paraId="66E37D9F" w14:textId="77777777" w:rsidTr="00657700">
        <w:trPr>
          <w:trHeight w:val="386"/>
        </w:trPr>
        <w:tc>
          <w:tcPr>
            <w:tcW w:w="13151" w:type="dxa"/>
            <w:gridSpan w:val="18"/>
            <w:vAlign w:val="center"/>
          </w:tcPr>
          <w:p w14:paraId="656ECE0C" w14:textId="77777777" w:rsidR="00581A40" w:rsidRPr="006F430E" w:rsidRDefault="00581A40" w:rsidP="00657700">
            <w:pPr>
              <w:pStyle w:val="Pagedecouverture"/>
              <w:jc w:val="center"/>
              <w:rPr>
                <w:noProof/>
                <w:sz w:val="20"/>
              </w:rPr>
            </w:pPr>
            <w:r w:rsidRPr="006F430E">
              <w:rPr>
                <w:noProof/>
                <w:sz w:val="20"/>
              </w:rPr>
              <w:t>OBJECTIF SPÉCIFIQUE N° 1</w:t>
            </w:r>
            <w:r w:rsidRPr="006F430E">
              <w:rPr>
                <w:rStyle w:val="FootnoteReference"/>
                <w:noProof/>
                <w:sz w:val="20"/>
              </w:rPr>
              <w:footnoteReference w:id="19"/>
            </w:r>
          </w:p>
        </w:tc>
      </w:tr>
      <w:tr w:rsidR="00094966" w:rsidRPr="006F430E" w14:paraId="307FA61B" w14:textId="77777777" w:rsidTr="00657700">
        <w:trPr>
          <w:trHeight w:val="560"/>
        </w:trPr>
        <w:tc>
          <w:tcPr>
            <w:tcW w:w="1320" w:type="dxa"/>
            <w:vAlign w:val="center"/>
          </w:tcPr>
          <w:p w14:paraId="40571FBE" w14:textId="77777777" w:rsidR="00581A40" w:rsidRPr="006F430E" w:rsidRDefault="00581A40" w:rsidP="00657700">
            <w:pPr>
              <w:pStyle w:val="Pagedecouverture"/>
              <w:rPr>
                <w:noProof/>
                <w:sz w:val="20"/>
              </w:rPr>
            </w:pPr>
            <w:r w:rsidRPr="006F430E">
              <w:rPr>
                <w:noProof/>
                <w:sz w:val="20"/>
              </w:rPr>
              <w:t>- Réalisation 1</w:t>
            </w:r>
          </w:p>
        </w:tc>
        <w:tc>
          <w:tcPr>
            <w:tcW w:w="1827" w:type="dxa"/>
            <w:vAlign w:val="center"/>
          </w:tcPr>
          <w:p w14:paraId="696993D6" w14:textId="77777777" w:rsidR="00581A40" w:rsidRPr="006F430E" w:rsidRDefault="00581A40" w:rsidP="00657700">
            <w:pPr>
              <w:pStyle w:val="Pagedecouverture"/>
              <w:jc w:val="left"/>
              <w:rPr>
                <w:noProof/>
                <w:sz w:val="20"/>
              </w:rPr>
            </w:pPr>
            <w:r w:rsidRPr="006F430E">
              <w:rPr>
                <w:noProof/>
                <w:sz w:val="20"/>
              </w:rPr>
              <w:t>Versements de subventions</w:t>
            </w:r>
          </w:p>
        </w:tc>
        <w:tc>
          <w:tcPr>
            <w:tcW w:w="713" w:type="dxa"/>
            <w:vAlign w:val="center"/>
          </w:tcPr>
          <w:p w14:paraId="12597474" w14:textId="77777777" w:rsidR="00581A40" w:rsidRPr="006F430E" w:rsidRDefault="00581A40" w:rsidP="00657700">
            <w:pPr>
              <w:pStyle w:val="Pagedecouverture"/>
              <w:jc w:val="center"/>
              <w:rPr>
                <w:noProof/>
                <w:sz w:val="20"/>
              </w:rPr>
            </w:pPr>
          </w:p>
        </w:tc>
        <w:tc>
          <w:tcPr>
            <w:tcW w:w="689" w:type="dxa"/>
            <w:gridSpan w:val="2"/>
            <w:vAlign w:val="center"/>
          </w:tcPr>
          <w:p w14:paraId="0CD53559" w14:textId="77777777" w:rsidR="00581A40" w:rsidRPr="006F430E" w:rsidRDefault="00581A40" w:rsidP="00657700">
            <w:pPr>
              <w:pStyle w:val="Pagedecouverture"/>
              <w:jc w:val="center"/>
              <w:rPr>
                <w:noProof/>
                <w:sz w:val="20"/>
              </w:rPr>
            </w:pPr>
          </w:p>
        </w:tc>
        <w:tc>
          <w:tcPr>
            <w:tcW w:w="879" w:type="dxa"/>
            <w:gridSpan w:val="2"/>
            <w:vAlign w:val="center"/>
          </w:tcPr>
          <w:p w14:paraId="6A6C5B71" w14:textId="37ED7574" w:rsidR="00581A40" w:rsidRPr="006F430E" w:rsidRDefault="006C22EA" w:rsidP="00657700">
            <w:pPr>
              <w:pStyle w:val="Pagedecouverture"/>
              <w:jc w:val="center"/>
              <w:rPr>
                <w:noProof/>
                <w:sz w:val="20"/>
              </w:rPr>
            </w:pPr>
            <w:r w:rsidRPr="006F430E">
              <w:rPr>
                <w:noProof/>
                <w:sz w:val="20"/>
              </w:rPr>
              <w:t>1</w:t>
            </w:r>
          </w:p>
        </w:tc>
        <w:tc>
          <w:tcPr>
            <w:tcW w:w="666" w:type="dxa"/>
            <w:vAlign w:val="center"/>
          </w:tcPr>
          <w:p w14:paraId="59FCDC29" w14:textId="07A9B82C" w:rsidR="00581A40" w:rsidRPr="006F430E" w:rsidRDefault="00CC7FCE" w:rsidP="00657700">
            <w:pPr>
              <w:pStyle w:val="Pagedecouverture"/>
              <w:jc w:val="center"/>
              <w:rPr>
                <w:noProof/>
                <w:sz w:val="20"/>
              </w:rPr>
            </w:pPr>
            <w:r w:rsidRPr="006F430E">
              <w:rPr>
                <w:noProof/>
                <w:sz w:val="20"/>
              </w:rPr>
              <w:t>20</w:t>
            </w:r>
          </w:p>
        </w:tc>
        <w:tc>
          <w:tcPr>
            <w:tcW w:w="857" w:type="dxa"/>
            <w:vAlign w:val="center"/>
          </w:tcPr>
          <w:p w14:paraId="5496F021" w14:textId="6E0318B2" w:rsidR="00581A40" w:rsidRPr="006F430E" w:rsidRDefault="006C22EA" w:rsidP="00657700">
            <w:pPr>
              <w:pStyle w:val="Pagedecouverture"/>
              <w:jc w:val="center"/>
              <w:rPr>
                <w:noProof/>
                <w:sz w:val="20"/>
              </w:rPr>
            </w:pPr>
            <w:r w:rsidRPr="006F430E">
              <w:rPr>
                <w:noProof/>
                <w:sz w:val="20"/>
              </w:rPr>
              <w:t>2</w:t>
            </w:r>
          </w:p>
        </w:tc>
        <w:tc>
          <w:tcPr>
            <w:tcW w:w="684" w:type="dxa"/>
            <w:gridSpan w:val="2"/>
            <w:vAlign w:val="center"/>
          </w:tcPr>
          <w:p w14:paraId="3D86F6A8" w14:textId="48D7571E" w:rsidR="00581A40" w:rsidRPr="006F430E" w:rsidRDefault="00CC7FCE" w:rsidP="00657700">
            <w:pPr>
              <w:pStyle w:val="Pagedecouverture"/>
              <w:jc w:val="center"/>
              <w:rPr>
                <w:noProof/>
                <w:sz w:val="20"/>
              </w:rPr>
            </w:pPr>
            <w:r w:rsidRPr="006F430E">
              <w:rPr>
                <w:noProof/>
                <w:sz w:val="20"/>
              </w:rPr>
              <w:t>10</w:t>
            </w:r>
          </w:p>
        </w:tc>
        <w:tc>
          <w:tcPr>
            <w:tcW w:w="888" w:type="dxa"/>
            <w:gridSpan w:val="2"/>
            <w:vAlign w:val="center"/>
          </w:tcPr>
          <w:p w14:paraId="7DB16E9C" w14:textId="77777777" w:rsidR="00581A40" w:rsidRPr="006F430E" w:rsidRDefault="00581A40" w:rsidP="00657700">
            <w:pPr>
              <w:pStyle w:val="Pagedecouverture"/>
              <w:jc w:val="center"/>
              <w:rPr>
                <w:noProof/>
                <w:sz w:val="20"/>
              </w:rPr>
            </w:pPr>
          </w:p>
        </w:tc>
        <w:tc>
          <w:tcPr>
            <w:tcW w:w="651" w:type="dxa"/>
            <w:vAlign w:val="center"/>
          </w:tcPr>
          <w:p w14:paraId="1AED3FE0" w14:textId="77777777" w:rsidR="00581A40" w:rsidRPr="006F430E" w:rsidRDefault="00581A40" w:rsidP="00657700">
            <w:pPr>
              <w:pStyle w:val="Pagedecouverture"/>
              <w:jc w:val="center"/>
              <w:rPr>
                <w:noProof/>
                <w:sz w:val="20"/>
              </w:rPr>
            </w:pPr>
          </w:p>
        </w:tc>
        <w:tc>
          <w:tcPr>
            <w:tcW w:w="872" w:type="dxa"/>
            <w:vAlign w:val="center"/>
          </w:tcPr>
          <w:p w14:paraId="1AB828C1" w14:textId="77777777" w:rsidR="00581A40" w:rsidRPr="006F430E" w:rsidRDefault="00581A40" w:rsidP="00657700">
            <w:pPr>
              <w:pStyle w:val="Pagedecouverture"/>
              <w:jc w:val="center"/>
              <w:rPr>
                <w:noProof/>
                <w:sz w:val="20"/>
              </w:rPr>
            </w:pPr>
          </w:p>
        </w:tc>
        <w:tc>
          <w:tcPr>
            <w:tcW w:w="667" w:type="dxa"/>
            <w:vAlign w:val="center"/>
          </w:tcPr>
          <w:p w14:paraId="26002651" w14:textId="77777777" w:rsidR="00581A40" w:rsidRPr="006F430E" w:rsidRDefault="00581A40" w:rsidP="00657700">
            <w:pPr>
              <w:pStyle w:val="Pagedecouverture"/>
              <w:jc w:val="center"/>
              <w:rPr>
                <w:noProof/>
                <w:sz w:val="20"/>
              </w:rPr>
            </w:pPr>
          </w:p>
        </w:tc>
        <w:tc>
          <w:tcPr>
            <w:tcW w:w="1234" w:type="dxa"/>
            <w:vAlign w:val="center"/>
          </w:tcPr>
          <w:p w14:paraId="6ECABFB9" w14:textId="77777777" w:rsidR="00581A40" w:rsidRPr="006F430E" w:rsidRDefault="00581A40" w:rsidP="00657700">
            <w:pPr>
              <w:pStyle w:val="Pagedecouverture"/>
              <w:jc w:val="center"/>
              <w:rPr>
                <w:noProof/>
                <w:sz w:val="20"/>
              </w:rPr>
            </w:pPr>
            <w:r w:rsidRPr="006F430E">
              <w:rPr>
                <w:noProof/>
                <w:sz w:val="20"/>
              </w:rPr>
              <w:t>3</w:t>
            </w:r>
          </w:p>
        </w:tc>
        <w:tc>
          <w:tcPr>
            <w:tcW w:w="1204" w:type="dxa"/>
            <w:vAlign w:val="center"/>
          </w:tcPr>
          <w:p w14:paraId="732A154A" w14:textId="35CE160A" w:rsidR="00581A40" w:rsidRPr="006F430E" w:rsidRDefault="006C22EA" w:rsidP="00657700">
            <w:pPr>
              <w:pStyle w:val="Pagedecouverture"/>
              <w:jc w:val="center"/>
              <w:rPr>
                <w:noProof/>
                <w:sz w:val="20"/>
              </w:rPr>
            </w:pPr>
            <w:r w:rsidRPr="006F430E">
              <w:rPr>
                <w:noProof/>
                <w:sz w:val="20"/>
              </w:rPr>
              <w:t>30</w:t>
            </w:r>
          </w:p>
        </w:tc>
      </w:tr>
      <w:tr w:rsidR="00094966" w:rsidRPr="006F430E" w14:paraId="5034D693" w14:textId="77777777" w:rsidTr="00657700">
        <w:trPr>
          <w:trHeight w:val="537"/>
        </w:trPr>
        <w:tc>
          <w:tcPr>
            <w:tcW w:w="1320" w:type="dxa"/>
            <w:vAlign w:val="center"/>
          </w:tcPr>
          <w:p w14:paraId="2C1414C7" w14:textId="77777777" w:rsidR="00581A40" w:rsidRPr="006F430E" w:rsidRDefault="00581A40" w:rsidP="00657700">
            <w:pPr>
              <w:pStyle w:val="Pagedecouverture"/>
              <w:rPr>
                <w:noProof/>
                <w:sz w:val="20"/>
              </w:rPr>
            </w:pPr>
            <w:r w:rsidRPr="006F430E">
              <w:rPr>
                <w:noProof/>
                <w:sz w:val="20"/>
              </w:rPr>
              <w:t>- Réalisation 2</w:t>
            </w:r>
          </w:p>
        </w:tc>
        <w:tc>
          <w:tcPr>
            <w:tcW w:w="1827" w:type="dxa"/>
            <w:vAlign w:val="center"/>
          </w:tcPr>
          <w:p w14:paraId="196DEE43" w14:textId="18A3EB3C" w:rsidR="00581A40" w:rsidRPr="006F430E" w:rsidRDefault="00581A40" w:rsidP="00581A40">
            <w:pPr>
              <w:pStyle w:val="Pagedecouverture"/>
              <w:jc w:val="left"/>
              <w:rPr>
                <w:noProof/>
                <w:sz w:val="20"/>
              </w:rPr>
            </w:pPr>
            <w:r w:rsidRPr="006F430E">
              <w:rPr>
                <w:noProof/>
                <w:sz w:val="20"/>
              </w:rPr>
              <w:t>Provisionnement de la garantie pour l’action extérieure</w:t>
            </w:r>
          </w:p>
        </w:tc>
        <w:tc>
          <w:tcPr>
            <w:tcW w:w="713" w:type="dxa"/>
            <w:vAlign w:val="center"/>
          </w:tcPr>
          <w:p w14:paraId="295A3D42" w14:textId="77777777" w:rsidR="00581A40" w:rsidRPr="006F430E" w:rsidRDefault="00581A40" w:rsidP="00657700">
            <w:pPr>
              <w:pStyle w:val="Pagedecouverture"/>
              <w:jc w:val="center"/>
              <w:rPr>
                <w:noProof/>
                <w:sz w:val="20"/>
              </w:rPr>
            </w:pPr>
          </w:p>
        </w:tc>
        <w:tc>
          <w:tcPr>
            <w:tcW w:w="689" w:type="dxa"/>
            <w:gridSpan w:val="2"/>
            <w:vAlign w:val="center"/>
          </w:tcPr>
          <w:p w14:paraId="05ECDA4E" w14:textId="77777777" w:rsidR="00581A40" w:rsidRPr="006F430E" w:rsidRDefault="00581A40" w:rsidP="00657700">
            <w:pPr>
              <w:pStyle w:val="Pagedecouverture"/>
              <w:jc w:val="center"/>
              <w:rPr>
                <w:noProof/>
                <w:sz w:val="20"/>
              </w:rPr>
            </w:pPr>
          </w:p>
        </w:tc>
        <w:tc>
          <w:tcPr>
            <w:tcW w:w="879" w:type="dxa"/>
            <w:gridSpan w:val="2"/>
            <w:vAlign w:val="center"/>
          </w:tcPr>
          <w:p w14:paraId="6A7FA731" w14:textId="16EE2A62" w:rsidR="00581A40" w:rsidRPr="006F430E" w:rsidRDefault="007B6388" w:rsidP="00657700">
            <w:pPr>
              <w:pStyle w:val="Pagedecouverture"/>
              <w:jc w:val="center"/>
              <w:rPr>
                <w:noProof/>
                <w:sz w:val="20"/>
              </w:rPr>
            </w:pPr>
            <w:r w:rsidRPr="006F430E">
              <w:rPr>
                <w:noProof/>
                <w:sz w:val="20"/>
              </w:rPr>
              <w:t>3</w:t>
            </w:r>
          </w:p>
        </w:tc>
        <w:tc>
          <w:tcPr>
            <w:tcW w:w="666" w:type="dxa"/>
            <w:vAlign w:val="center"/>
          </w:tcPr>
          <w:p w14:paraId="3E3E003B" w14:textId="0BEC8847" w:rsidR="00581A40" w:rsidRPr="006F430E" w:rsidRDefault="007B6388" w:rsidP="00657700">
            <w:pPr>
              <w:pStyle w:val="Pagedecouverture"/>
              <w:jc w:val="center"/>
              <w:rPr>
                <w:noProof/>
                <w:sz w:val="20"/>
              </w:rPr>
            </w:pPr>
            <w:r w:rsidRPr="006F430E">
              <w:rPr>
                <w:noProof/>
                <w:sz w:val="20"/>
              </w:rPr>
              <w:t>10,8</w:t>
            </w:r>
          </w:p>
        </w:tc>
        <w:tc>
          <w:tcPr>
            <w:tcW w:w="857" w:type="dxa"/>
            <w:vAlign w:val="center"/>
          </w:tcPr>
          <w:p w14:paraId="6B9BB3D1" w14:textId="657B00A9" w:rsidR="00581A40" w:rsidRPr="006F430E" w:rsidRDefault="00581A40" w:rsidP="00657700">
            <w:pPr>
              <w:pStyle w:val="Pagedecouverture"/>
              <w:jc w:val="center"/>
              <w:rPr>
                <w:noProof/>
                <w:sz w:val="20"/>
              </w:rPr>
            </w:pPr>
          </w:p>
        </w:tc>
        <w:tc>
          <w:tcPr>
            <w:tcW w:w="684" w:type="dxa"/>
            <w:gridSpan w:val="2"/>
            <w:vAlign w:val="center"/>
          </w:tcPr>
          <w:p w14:paraId="4F4E57B4" w14:textId="50FB4348" w:rsidR="00581A40" w:rsidRPr="006F430E" w:rsidRDefault="00581A40" w:rsidP="00657700">
            <w:pPr>
              <w:pStyle w:val="Pagedecouverture"/>
              <w:jc w:val="center"/>
              <w:rPr>
                <w:noProof/>
                <w:sz w:val="20"/>
              </w:rPr>
            </w:pPr>
          </w:p>
        </w:tc>
        <w:tc>
          <w:tcPr>
            <w:tcW w:w="888" w:type="dxa"/>
            <w:gridSpan w:val="2"/>
            <w:vAlign w:val="center"/>
          </w:tcPr>
          <w:p w14:paraId="0B877B1F" w14:textId="2AB9FEF0" w:rsidR="00581A40" w:rsidRPr="006F430E" w:rsidRDefault="00581A40" w:rsidP="00657700">
            <w:pPr>
              <w:pStyle w:val="Pagedecouverture"/>
              <w:jc w:val="center"/>
              <w:rPr>
                <w:noProof/>
                <w:sz w:val="20"/>
              </w:rPr>
            </w:pPr>
          </w:p>
        </w:tc>
        <w:tc>
          <w:tcPr>
            <w:tcW w:w="651" w:type="dxa"/>
            <w:vAlign w:val="center"/>
          </w:tcPr>
          <w:p w14:paraId="678B08DC" w14:textId="0439713E" w:rsidR="00581A40" w:rsidRPr="006F430E" w:rsidRDefault="00581A40" w:rsidP="00657700">
            <w:pPr>
              <w:pStyle w:val="Pagedecouverture"/>
              <w:jc w:val="center"/>
              <w:rPr>
                <w:noProof/>
                <w:sz w:val="20"/>
              </w:rPr>
            </w:pPr>
          </w:p>
        </w:tc>
        <w:tc>
          <w:tcPr>
            <w:tcW w:w="872" w:type="dxa"/>
            <w:vAlign w:val="center"/>
          </w:tcPr>
          <w:p w14:paraId="5BDFCD64" w14:textId="24810214" w:rsidR="00581A40" w:rsidRPr="006F430E" w:rsidRDefault="00581A40" w:rsidP="00657700">
            <w:pPr>
              <w:pStyle w:val="Pagedecouverture"/>
              <w:jc w:val="center"/>
              <w:rPr>
                <w:noProof/>
                <w:sz w:val="20"/>
              </w:rPr>
            </w:pPr>
          </w:p>
        </w:tc>
        <w:tc>
          <w:tcPr>
            <w:tcW w:w="667" w:type="dxa"/>
            <w:vAlign w:val="center"/>
          </w:tcPr>
          <w:p w14:paraId="33D75DA1" w14:textId="5A525B2F" w:rsidR="00581A40" w:rsidRPr="006F430E" w:rsidRDefault="00581A40" w:rsidP="00657700">
            <w:pPr>
              <w:pStyle w:val="Pagedecouverture"/>
              <w:jc w:val="center"/>
              <w:rPr>
                <w:noProof/>
                <w:sz w:val="20"/>
              </w:rPr>
            </w:pPr>
          </w:p>
        </w:tc>
        <w:tc>
          <w:tcPr>
            <w:tcW w:w="1234" w:type="dxa"/>
            <w:vAlign w:val="center"/>
          </w:tcPr>
          <w:p w14:paraId="682FBD55" w14:textId="2F720FB8" w:rsidR="00581A40" w:rsidRPr="006F430E" w:rsidRDefault="006C22EA" w:rsidP="00657700">
            <w:pPr>
              <w:pStyle w:val="Pagedecouverture"/>
              <w:jc w:val="center"/>
              <w:rPr>
                <w:noProof/>
                <w:sz w:val="20"/>
              </w:rPr>
            </w:pPr>
            <w:r w:rsidRPr="006F430E">
              <w:rPr>
                <w:noProof/>
                <w:sz w:val="20"/>
              </w:rPr>
              <w:t>3</w:t>
            </w:r>
          </w:p>
        </w:tc>
        <w:tc>
          <w:tcPr>
            <w:tcW w:w="1204" w:type="dxa"/>
            <w:vAlign w:val="center"/>
          </w:tcPr>
          <w:p w14:paraId="0A7F498A" w14:textId="21854AE5" w:rsidR="00581A40" w:rsidRPr="006F430E" w:rsidRDefault="002C6C4C" w:rsidP="00657700">
            <w:pPr>
              <w:pStyle w:val="Pagedecouverture"/>
              <w:jc w:val="center"/>
              <w:rPr>
                <w:noProof/>
                <w:sz w:val="20"/>
              </w:rPr>
            </w:pPr>
            <w:r w:rsidRPr="006F430E">
              <w:rPr>
                <w:noProof/>
                <w:sz w:val="20"/>
              </w:rPr>
              <w:t>10,8</w:t>
            </w:r>
          </w:p>
        </w:tc>
      </w:tr>
      <w:tr w:rsidR="00094966" w:rsidRPr="006F430E" w14:paraId="52BDAF2B" w14:textId="77777777" w:rsidTr="00657700">
        <w:trPr>
          <w:trHeight w:val="533"/>
        </w:trPr>
        <w:tc>
          <w:tcPr>
            <w:tcW w:w="1320" w:type="dxa"/>
            <w:vAlign w:val="center"/>
          </w:tcPr>
          <w:p w14:paraId="16189C06" w14:textId="77777777" w:rsidR="00581A40" w:rsidRPr="006F430E" w:rsidRDefault="00581A40" w:rsidP="00657700">
            <w:pPr>
              <w:pStyle w:val="Pagedecouverture"/>
              <w:rPr>
                <w:noProof/>
                <w:sz w:val="20"/>
              </w:rPr>
            </w:pPr>
            <w:r w:rsidRPr="006F430E">
              <w:rPr>
                <w:noProof/>
                <w:sz w:val="20"/>
              </w:rPr>
              <w:t>- Réalisation 3</w:t>
            </w:r>
          </w:p>
        </w:tc>
        <w:tc>
          <w:tcPr>
            <w:tcW w:w="1827" w:type="dxa"/>
            <w:vAlign w:val="center"/>
          </w:tcPr>
          <w:p w14:paraId="492644C2" w14:textId="77777777" w:rsidR="00581A40" w:rsidRPr="006F430E" w:rsidRDefault="00581A40" w:rsidP="00657700">
            <w:pPr>
              <w:pStyle w:val="Pagedecouverture"/>
              <w:jc w:val="left"/>
              <w:rPr>
                <w:noProof/>
                <w:sz w:val="20"/>
              </w:rPr>
            </w:pPr>
            <w:r w:rsidRPr="006F430E">
              <w:rPr>
                <w:noProof/>
                <w:sz w:val="20"/>
              </w:rPr>
              <w:t>Évaluation ex post</w:t>
            </w:r>
          </w:p>
        </w:tc>
        <w:tc>
          <w:tcPr>
            <w:tcW w:w="713" w:type="dxa"/>
            <w:vAlign w:val="center"/>
          </w:tcPr>
          <w:p w14:paraId="5C289141" w14:textId="77777777" w:rsidR="00581A40" w:rsidRPr="006F430E" w:rsidRDefault="00581A40" w:rsidP="00657700">
            <w:pPr>
              <w:pStyle w:val="Pagedecouverture"/>
              <w:jc w:val="center"/>
              <w:rPr>
                <w:noProof/>
                <w:sz w:val="20"/>
              </w:rPr>
            </w:pPr>
          </w:p>
        </w:tc>
        <w:tc>
          <w:tcPr>
            <w:tcW w:w="689" w:type="dxa"/>
            <w:gridSpan w:val="2"/>
            <w:vAlign w:val="center"/>
          </w:tcPr>
          <w:p w14:paraId="1B594F18" w14:textId="77777777" w:rsidR="00581A40" w:rsidRPr="006F430E" w:rsidRDefault="00581A40" w:rsidP="00657700">
            <w:pPr>
              <w:pStyle w:val="Pagedecouverture"/>
              <w:jc w:val="center"/>
              <w:rPr>
                <w:noProof/>
                <w:sz w:val="20"/>
              </w:rPr>
            </w:pPr>
          </w:p>
        </w:tc>
        <w:tc>
          <w:tcPr>
            <w:tcW w:w="879" w:type="dxa"/>
            <w:gridSpan w:val="2"/>
            <w:vAlign w:val="center"/>
          </w:tcPr>
          <w:p w14:paraId="4C3C1573" w14:textId="77777777" w:rsidR="00581A40" w:rsidRPr="006F430E" w:rsidRDefault="00581A40" w:rsidP="00657700">
            <w:pPr>
              <w:pStyle w:val="Pagedecouverture"/>
              <w:jc w:val="center"/>
              <w:rPr>
                <w:noProof/>
                <w:sz w:val="20"/>
              </w:rPr>
            </w:pPr>
          </w:p>
        </w:tc>
        <w:tc>
          <w:tcPr>
            <w:tcW w:w="666" w:type="dxa"/>
            <w:vAlign w:val="center"/>
          </w:tcPr>
          <w:p w14:paraId="380FAC6D" w14:textId="77777777" w:rsidR="00581A40" w:rsidRPr="006F430E" w:rsidRDefault="00581A40" w:rsidP="00657700">
            <w:pPr>
              <w:pStyle w:val="Pagedecouverture"/>
              <w:jc w:val="center"/>
              <w:rPr>
                <w:noProof/>
                <w:sz w:val="20"/>
              </w:rPr>
            </w:pPr>
          </w:p>
        </w:tc>
        <w:tc>
          <w:tcPr>
            <w:tcW w:w="857" w:type="dxa"/>
            <w:vAlign w:val="center"/>
          </w:tcPr>
          <w:p w14:paraId="4C56AEA8" w14:textId="77777777" w:rsidR="00581A40" w:rsidRPr="006F430E" w:rsidRDefault="00581A40" w:rsidP="00657700">
            <w:pPr>
              <w:pStyle w:val="Pagedecouverture"/>
              <w:jc w:val="center"/>
              <w:rPr>
                <w:noProof/>
                <w:sz w:val="20"/>
              </w:rPr>
            </w:pPr>
          </w:p>
        </w:tc>
        <w:tc>
          <w:tcPr>
            <w:tcW w:w="684" w:type="dxa"/>
            <w:gridSpan w:val="2"/>
            <w:vAlign w:val="center"/>
          </w:tcPr>
          <w:p w14:paraId="347753CD" w14:textId="77777777" w:rsidR="00581A40" w:rsidRPr="006F430E" w:rsidRDefault="00581A40" w:rsidP="00657700">
            <w:pPr>
              <w:pStyle w:val="Pagedecouverture"/>
              <w:jc w:val="center"/>
              <w:rPr>
                <w:noProof/>
                <w:sz w:val="20"/>
              </w:rPr>
            </w:pPr>
          </w:p>
        </w:tc>
        <w:tc>
          <w:tcPr>
            <w:tcW w:w="888" w:type="dxa"/>
            <w:gridSpan w:val="2"/>
            <w:vAlign w:val="center"/>
          </w:tcPr>
          <w:p w14:paraId="60D6A11C" w14:textId="77777777" w:rsidR="00581A40" w:rsidRPr="006F430E" w:rsidRDefault="00581A40" w:rsidP="00657700">
            <w:pPr>
              <w:pStyle w:val="Pagedecouverture"/>
              <w:jc w:val="center"/>
              <w:rPr>
                <w:noProof/>
                <w:sz w:val="20"/>
              </w:rPr>
            </w:pPr>
          </w:p>
        </w:tc>
        <w:tc>
          <w:tcPr>
            <w:tcW w:w="651" w:type="dxa"/>
            <w:vAlign w:val="center"/>
          </w:tcPr>
          <w:p w14:paraId="24EF8D82" w14:textId="77777777" w:rsidR="00581A40" w:rsidRPr="006F430E" w:rsidRDefault="00581A40" w:rsidP="00657700">
            <w:pPr>
              <w:pStyle w:val="Pagedecouverture"/>
              <w:jc w:val="center"/>
              <w:rPr>
                <w:noProof/>
                <w:sz w:val="20"/>
              </w:rPr>
            </w:pPr>
          </w:p>
        </w:tc>
        <w:tc>
          <w:tcPr>
            <w:tcW w:w="872" w:type="dxa"/>
            <w:vAlign w:val="center"/>
          </w:tcPr>
          <w:p w14:paraId="15148201" w14:textId="77777777" w:rsidR="00581A40" w:rsidRPr="006F430E" w:rsidRDefault="00581A40" w:rsidP="00657700">
            <w:pPr>
              <w:pStyle w:val="Pagedecouverture"/>
              <w:jc w:val="center"/>
              <w:rPr>
                <w:noProof/>
                <w:sz w:val="20"/>
              </w:rPr>
            </w:pPr>
            <w:r w:rsidRPr="006F430E">
              <w:rPr>
                <w:noProof/>
                <w:sz w:val="20"/>
              </w:rPr>
              <w:t>1</w:t>
            </w:r>
          </w:p>
        </w:tc>
        <w:tc>
          <w:tcPr>
            <w:tcW w:w="667" w:type="dxa"/>
            <w:vAlign w:val="center"/>
          </w:tcPr>
          <w:p w14:paraId="4ECC28AB" w14:textId="77777777" w:rsidR="00581A40" w:rsidRPr="006F430E" w:rsidRDefault="00581A40" w:rsidP="00657700">
            <w:pPr>
              <w:pStyle w:val="Pagedecouverture"/>
              <w:jc w:val="center"/>
              <w:rPr>
                <w:noProof/>
                <w:sz w:val="20"/>
              </w:rPr>
            </w:pPr>
            <w:r w:rsidRPr="006F430E">
              <w:rPr>
                <w:noProof/>
                <w:sz w:val="20"/>
              </w:rPr>
              <w:t>0,15</w:t>
            </w:r>
          </w:p>
        </w:tc>
        <w:tc>
          <w:tcPr>
            <w:tcW w:w="1234" w:type="dxa"/>
            <w:vAlign w:val="center"/>
          </w:tcPr>
          <w:p w14:paraId="09410CD4" w14:textId="77777777" w:rsidR="00581A40" w:rsidRPr="006F430E" w:rsidRDefault="00581A40" w:rsidP="00657700">
            <w:pPr>
              <w:pStyle w:val="Pagedecouverture"/>
              <w:jc w:val="center"/>
              <w:rPr>
                <w:noProof/>
                <w:sz w:val="20"/>
              </w:rPr>
            </w:pPr>
            <w:r w:rsidRPr="006F430E">
              <w:rPr>
                <w:noProof/>
                <w:sz w:val="20"/>
              </w:rPr>
              <w:t>1</w:t>
            </w:r>
          </w:p>
        </w:tc>
        <w:tc>
          <w:tcPr>
            <w:tcW w:w="1204" w:type="dxa"/>
            <w:vAlign w:val="center"/>
          </w:tcPr>
          <w:p w14:paraId="1F95D94A" w14:textId="77777777" w:rsidR="00581A40" w:rsidRPr="006F430E" w:rsidRDefault="00581A40" w:rsidP="00657700">
            <w:pPr>
              <w:pStyle w:val="Pagedecouverture"/>
              <w:jc w:val="center"/>
              <w:rPr>
                <w:noProof/>
                <w:sz w:val="20"/>
              </w:rPr>
            </w:pPr>
            <w:r w:rsidRPr="006F430E">
              <w:rPr>
                <w:noProof/>
                <w:sz w:val="20"/>
              </w:rPr>
              <w:t>0,15</w:t>
            </w:r>
          </w:p>
        </w:tc>
      </w:tr>
      <w:tr w:rsidR="00094966" w:rsidRPr="006F430E" w14:paraId="210BD173" w14:textId="77777777" w:rsidTr="00657700">
        <w:trPr>
          <w:trHeight w:val="424"/>
        </w:trPr>
        <w:tc>
          <w:tcPr>
            <w:tcW w:w="3147" w:type="dxa"/>
            <w:gridSpan w:val="2"/>
            <w:vAlign w:val="center"/>
          </w:tcPr>
          <w:p w14:paraId="51F5E2CE" w14:textId="77777777" w:rsidR="00581A40" w:rsidRPr="006F430E" w:rsidRDefault="00581A40" w:rsidP="00657700">
            <w:pPr>
              <w:pStyle w:val="Pagedecouverture"/>
              <w:jc w:val="left"/>
              <w:rPr>
                <w:noProof/>
                <w:sz w:val="20"/>
              </w:rPr>
            </w:pPr>
            <w:r w:rsidRPr="006F430E">
              <w:rPr>
                <w:noProof/>
                <w:sz w:val="20"/>
              </w:rPr>
              <w:t>Sous-total objectif spécifique nº 1</w:t>
            </w:r>
          </w:p>
        </w:tc>
        <w:tc>
          <w:tcPr>
            <w:tcW w:w="713" w:type="dxa"/>
            <w:vAlign w:val="center"/>
          </w:tcPr>
          <w:p w14:paraId="610ADF09" w14:textId="60A4B735" w:rsidR="00581A40" w:rsidRPr="006F430E" w:rsidRDefault="006C22EA" w:rsidP="00657700">
            <w:pPr>
              <w:pStyle w:val="Pagedecouverture"/>
              <w:jc w:val="center"/>
              <w:rPr>
                <w:noProof/>
                <w:sz w:val="20"/>
              </w:rPr>
            </w:pPr>
            <w:r w:rsidRPr="006F430E">
              <w:rPr>
                <w:noProof/>
                <w:sz w:val="20"/>
              </w:rPr>
              <w:t>-</w:t>
            </w:r>
          </w:p>
        </w:tc>
        <w:tc>
          <w:tcPr>
            <w:tcW w:w="689" w:type="dxa"/>
            <w:gridSpan w:val="2"/>
            <w:vAlign w:val="center"/>
          </w:tcPr>
          <w:p w14:paraId="791B532D" w14:textId="42FD3F84" w:rsidR="00581A40" w:rsidRPr="006F430E" w:rsidRDefault="006C22EA" w:rsidP="00657700">
            <w:pPr>
              <w:pStyle w:val="Pagedecouverture"/>
              <w:jc w:val="center"/>
              <w:rPr>
                <w:noProof/>
                <w:sz w:val="20"/>
              </w:rPr>
            </w:pPr>
            <w:r w:rsidRPr="006F430E">
              <w:rPr>
                <w:noProof/>
                <w:sz w:val="20"/>
              </w:rPr>
              <w:t>-</w:t>
            </w:r>
          </w:p>
        </w:tc>
        <w:tc>
          <w:tcPr>
            <w:tcW w:w="879" w:type="dxa"/>
            <w:gridSpan w:val="2"/>
            <w:vAlign w:val="center"/>
          </w:tcPr>
          <w:p w14:paraId="2852EFAB" w14:textId="625BB31D" w:rsidR="00581A40" w:rsidRPr="006F430E" w:rsidRDefault="006C22EA" w:rsidP="00657700">
            <w:pPr>
              <w:pStyle w:val="Pagedecouverture"/>
              <w:jc w:val="center"/>
              <w:rPr>
                <w:noProof/>
                <w:sz w:val="20"/>
              </w:rPr>
            </w:pPr>
            <w:r w:rsidRPr="006F430E">
              <w:rPr>
                <w:noProof/>
                <w:sz w:val="20"/>
              </w:rPr>
              <w:t>1</w:t>
            </w:r>
          </w:p>
        </w:tc>
        <w:tc>
          <w:tcPr>
            <w:tcW w:w="666" w:type="dxa"/>
            <w:vAlign w:val="center"/>
          </w:tcPr>
          <w:p w14:paraId="10C13297" w14:textId="00FEB071" w:rsidR="00581A40" w:rsidRPr="006F430E" w:rsidRDefault="00CC7FCE" w:rsidP="00657700">
            <w:pPr>
              <w:pStyle w:val="Pagedecouverture"/>
              <w:jc w:val="center"/>
              <w:rPr>
                <w:noProof/>
                <w:sz w:val="20"/>
              </w:rPr>
            </w:pPr>
            <w:r w:rsidRPr="006F430E">
              <w:rPr>
                <w:noProof/>
                <w:sz w:val="20"/>
              </w:rPr>
              <w:t>20</w:t>
            </w:r>
          </w:p>
        </w:tc>
        <w:tc>
          <w:tcPr>
            <w:tcW w:w="857" w:type="dxa"/>
            <w:vAlign w:val="center"/>
          </w:tcPr>
          <w:p w14:paraId="5EBE788F" w14:textId="22E0CCB0" w:rsidR="00581A40" w:rsidRPr="006F430E" w:rsidRDefault="006C22EA" w:rsidP="00657700">
            <w:pPr>
              <w:pStyle w:val="Pagedecouverture"/>
              <w:jc w:val="center"/>
              <w:rPr>
                <w:noProof/>
                <w:sz w:val="20"/>
              </w:rPr>
            </w:pPr>
            <w:r w:rsidRPr="006F430E">
              <w:rPr>
                <w:noProof/>
                <w:sz w:val="20"/>
              </w:rPr>
              <w:t>5</w:t>
            </w:r>
          </w:p>
        </w:tc>
        <w:tc>
          <w:tcPr>
            <w:tcW w:w="684" w:type="dxa"/>
            <w:gridSpan w:val="2"/>
            <w:vAlign w:val="center"/>
          </w:tcPr>
          <w:p w14:paraId="4C23FE82" w14:textId="35EB7A2A" w:rsidR="00581A40" w:rsidRPr="006F430E" w:rsidRDefault="00094966" w:rsidP="00657700">
            <w:pPr>
              <w:pStyle w:val="Pagedecouverture"/>
              <w:jc w:val="center"/>
              <w:rPr>
                <w:noProof/>
                <w:sz w:val="20"/>
              </w:rPr>
            </w:pPr>
            <w:r w:rsidRPr="006F430E">
              <w:rPr>
                <w:noProof/>
                <w:sz w:val="20"/>
              </w:rPr>
              <w:t>10</w:t>
            </w:r>
          </w:p>
        </w:tc>
        <w:tc>
          <w:tcPr>
            <w:tcW w:w="888" w:type="dxa"/>
            <w:gridSpan w:val="2"/>
            <w:vAlign w:val="center"/>
          </w:tcPr>
          <w:p w14:paraId="1BE7A509" w14:textId="784C5312" w:rsidR="00581A40" w:rsidRPr="006F430E" w:rsidRDefault="006C22EA" w:rsidP="00657700">
            <w:pPr>
              <w:pStyle w:val="Pagedecouverture"/>
              <w:jc w:val="center"/>
              <w:rPr>
                <w:noProof/>
                <w:sz w:val="20"/>
              </w:rPr>
            </w:pPr>
            <w:r w:rsidRPr="006F430E">
              <w:rPr>
                <w:noProof/>
                <w:sz w:val="20"/>
              </w:rPr>
              <w:t>-</w:t>
            </w:r>
          </w:p>
        </w:tc>
        <w:tc>
          <w:tcPr>
            <w:tcW w:w="651" w:type="dxa"/>
            <w:vAlign w:val="center"/>
          </w:tcPr>
          <w:p w14:paraId="20B2FBA6" w14:textId="0AC38D03" w:rsidR="00581A40" w:rsidRPr="006F430E" w:rsidRDefault="006C22EA" w:rsidP="00657700">
            <w:pPr>
              <w:pStyle w:val="Pagedecouverture"/>
              <w:jc w:val="center"/>
              <w:rPr>
                <w:noProof/>
                <w:sz w:val="20"/>
              </w:rPr>
            </w:pPr>
            <w:r w:rsidRPr="006F430E">
              <w:rPr>
                <w:noProof/>
                <w:sz w:val="20"/>
              </w:rPr>
              <w:t>-</w:t>
            </w:r>
          </w:p>
        </w:tc>
        <w:tc>
          <w:tcPr>
            <w:tcW w:w="872" w:type="dxa"/>
            <w:vAlign w:val="center"/>
          </w:tcPr>
          <w:p w14:paraId="0D6CDDAF" w14:textId="53238AEB" w:rsidR="00581A40" w:rsidRPr="006F430E" w:rsidRDefault="006C22EA" w:rsidP="00657700">
            <w:pPr>
              <w:pStyle w:val="Pagedecouverture"/>
              <w:jc w:val="center"/>
              <w:rPr>
                <w:noProof/>
                <w:sz w:val="20"/>
              </w:rPr>
            </w:pPr>
            <w:r w:rsidRPr="006F430E">
              <w:rPr>
                <w:noProof/>
                <w:sz w:val="20"/>
              </w:rPr>
              <w:t>1</w:t>
            </w:r>
          </w:p>
        </w:tc>
        <w:tc>
          <w:tcPr>
            <w:tcW w:w="667" w:type="dxa"/>
            <w:vAlign w:val="center"/>
          </w:tcPr>
          <w:p w14:paraId="248135E7" w14:textId="318B3500" w:rsidR="00581A40" w:rsidRPr="006F430E" w:rsidRDefault="006C22EA" w:rsidP="00657700">
            <w:pPr>
              <w:pStyle w:val="Pagedecouverture"/>
              <w:jc w:val="center"/>
              <w:rPr>
                <w:noProof/>
                <w:sz w:val="20"/>
              </w:rPr>
            </w:pPr>
            <w:r w:rsidRPr="006F430E">
              <w:rPr>
                <w:noProof/>
                <w:sz w:val="20"/>
              </w:rPr>
              <w:t>0,15</w:t>
            </w:r>
          </w:p>
        </w:tc>
        <w:tc>
          <w:tcPr>
            <w:tcW w:w="1234" w:type="dxa"/>
            <w:vAlign w:val="center"/>
          </w:tcPr>
          <w:p w14:paraId="0BFDA2A8" w14:textId="0C2E30B9" w:rsidR="00581A40" w:rsidRPr="006F430E" w:rsidRDefault="006C22EA" w:rsidP="00657700">
            <w:pPr>
              <w:pStyle w:val="Pagedecouverture"/>
              <w:jc w:val="center"/>
              <w:rPr>
                <w:noProof/>
                <w:sz w:val="20"/>
              </w:rPr>
            </w:pPr>
            <w:r w:rsidRPr="006F430E">
              <w:rPr>
                <w:noProof/>
                <w:sz w:val="20"/>
              </w:rPr>
              <w:t>7</w:t>
            </w:r>
          </w:p>
        </w:tc>
        <w:tc>
          <w:tcPr>
            <w:tcW w:w="1204" w:type="dxa"/>
            <w:vAlign w:val="center"/>
          </w:tcPr>
          <w:p w14:paraId="1C55C24D" w14:textId="53030327" w:rsidR="00581A40" w:rsidRPr="006F430E" w:rsidRDefault="00094966" w:rsidP="00094966">
            <w:pPr>
              <w:pStyle w:val="Pagedecouverture"/>
              <w:jc w:val="center"/>
              <w:rPr>
                <w:noProof/>
                <w:sz w:val="20"/>
              </w:rPr>
            </w:pPr>
            <w:r w:rsidRPr="006F430E">
              <w:rPr>
                <w:noProof/>
                <w:sz w:val="20"/>
              </w:rPr>
              <w:t>30,15</w:t>
            </w:r>
          </w:p>
        </w:tc>
      </w:tr>
      <w:tr w:rsidR="00094966" w:rsidRPr="006F430E" w14:paraId="6AD1D10F" w14:textId="77777777" w:rsidTr="00657700">
        <w:trPr>
          <w:trHeight w:val="589"/>
        </w:trPr>
        <w:tc>
          <w:tcPr>
            <w:tcW w:w="3147" w:type="dxa"/>
            <w:gridSpan w:val="2"/>
            <w:vAlign w:val="center"/>
          </w:tcPr>
          <w:p w14:paraId="5D6EFB92" w14:textId="77777777" w:rsidR="00581A40" w:rsidRPr="006F430E" w:rsidRDefault="00581A40" w:rsidP="00657700">
            <w:pPr>
              <w:pStyle w:val="Pagedecouverture"/>
              <w:rPr>
                <w:b/>
                <w:noProof/>
                <w:sz w:val="20"/>
              </w:rPr>
            </w:pPr>
            <w:r w:rsidRPr="006F430E">
              <w:rPr>
                <w:b/>
                <w:noProof/>
                <w:sz w:val="20"/>
              </w:rPr>
              <w:t>COÛT TOTAL</w:t>
            </w:r>
          </w:p>
        </w:tc>
        <w:tc>
          <w:tcPr>
            <w:tcW w:w="713" w:type="dxa"/>
            <w:vAlign w:val="center"/>
          </w:tcPr>
          <w:p w14:paraId="05B6053B" w14:textId="6CC93111" w:rsidR="00581A40" w:rsidRPr="006F430E" w:rsidRDefault="006C22EA" w:rsidP="00657700">
            <w:pPr>
              <w:pStyle w:val="Pagedecouverture"/>
              <w:jc w:val="center"/>
              <w:rPr>
                <w:noProof/>
                <w:sz w:val="20"/>
              </w:rPr>
            </w:pPr>
            <w:r w:rsidRPr="006F430E">
              <w:rPr>
                <w:noProof/>
                <w:sz w:val="20"/>
              </w:rPr>
              <w:t>-</w:t>
            </w:r>
          </w:p>
        </w:tc>
        <w:tc>
          <w:tcPr>
            <w:tcW w:w="689" w:type="dxa"/>
            <w:gridSpan w:val="2"/>
            <w:vAlign w:val="center"/>
          </w:tcPr>
          <w:p w14:paraId="32F35F35" w14:textId="0A25786A" w:rsidR="00581A40" w:rsidRPr="006F430E" w:rsidRDefault="006C22EA" w:rsidP="00657700">
            <w:pPr>
              <w:pStyle w:val="Pagedecouverture"/>
              <w:jc w:val="center"/>
              <w:rPr>
                <w:noProof/>
                <w:sz w:val="20"/>
              </w:rPr>
            </w:pPr>
            <w:r w:rsidRPr="006F430E">
              <w:rPr>
                <w:noProof/>
                <w:sz w:val="20"/>
              </w:rPr>
              <w:t>-</w:t>
            </w:r>
          </w:p>
        </w:tc>
        <w:tc>
          <w:tcPr>
            <w:tcW w:w="879" w:type="dxa"/>
            <w:gridSpan w:val="2"/>
            <w:vAlign w:val="center"/>
          </w:tcPr>
          <w:p w14:paraId="3D9845A0" w14:textId="3CAA4751" w:rsidR="00581A40" w:rsidRPr="006F430E" w:rsidRDefault="006C22EA" w:rsidP="00657700">
            <w:pPr>
              <w:pStyle w:val="Pagedecouverture"/>
              <w:jc w:val="center"/>
              <w:rPr>
                <w:noProof/>
                <w:sz w:val="20"/>
              </w:rPr>
            </w:pPr>
            <w:r w:rsidRPr="006F430E">
              <w:rPr>
                <w:noProof/>
                <w:sz w:val="20"/>
              </w:rPr>
              <w:t>1</w:t>
            </w:r>
          </w:p>
        </w:tc>
        <w:tc>
          <w:tcPr>
            <w:tcW w:w="666" w:type="dxa"/>
            <w:vAlign w:val="center"/>
          </w:tcPr>
          <w:p w14:paraId="15B3EF02" w14:textId="5F4F77F7" w:rsidR="00581A40" w:rsidRPr="006F430E" w:rsidRDefault="00094966" w:rsidP="00657700">
            <w:pPr>
              <w:pStyle w:val="Pagedecouverture"/>
              <w:jc w:val="center"/>
              <w:rPr>
                <w:noProof/>
                <w:sz w:val="20"/>
              </w:rPr>
            </w:pPr>
            <w:r w:rsidRPr="006F430E">
              <w:rPr>
                <w:noProof/>
                <w:sz w:val="20"/>
              </w:rPr>
              <w:t>30,8</w:t>
            </w:r>
          </w:p>
        </w:tc>
        <w:tc>
          <w:tcPr>
            <w:tcW w:w="857" w:type="dxa"/>
            <w:vAlign w:val="center"/>
          </w:tcPr>
          <w:p w14:paraId="32E4D813" w14:textId="5555C220" w:rsidR="00581A40" w:rsidRPr="006F430E" w:rsidRDefault="006C22EA" w:rsidP="00657700">
            <w:pPr>
              <w:pStyle w:val="Pagedecouverture"/>
              <w:jc w:val="center"/>
              <w:rPr>
                <w:noProof/>
                <w:sz w:val="20"/>
              </w:rPr>
            </w:pPr>
            <w:r w:rsidRPr="006F430E">
              <w:rPr>
                <w:noProof/>
                <w:sz w:val="20"/>
              </w:rPr>
              <w:t>5</w:t>
            </w:r>
          </w:p>
        </w:tc>
        <w:tc>
          <w:tcPr>
            <w:tcW w:w="684" w:type="dxa"/>
            <w:gridSpan w:val="2"/>
            <w:vAlign w:val="center"/>
          </w:tcPr>
          <w:p w14:paraId="10421B29" w14:textId="092C30BF" w:rsidR="00581A40" w:rsidRPr="006F430E" w:rsidRDefault="00094966" w:rsidP="00657700">
            <w:pPr>
              <w:pStyle w:val="Pagedecouverture"/>
              <w:jc w:val="center"/>
              <w:rPr>
                <w:noProof/>
                <w:sz w:val="20"/>
              </w:rPr>
            </w:pPr>
            <w:r w:rsidRPr="006F430E">
              <w:rPr>
                <w:noProof/>
                <w:sz w:val="20"/>
              </w:rPr>
              <w:t>10</w:t>
            </w:r>
          </w:p>
        </w:tc>
        <w:tc>
          <w:tcPr>
            <w:tcW w:w="888" w:type="dxa"/>
            <w:gridSpan w:val="2"/>
            <w:vAlign w:val="center"/>
          </w:tcPr>
          <w:p w14:paraId="5318A798" w14:textId="5816A5C3" w:rsidR="00581A40" w:rsidRPr="006F430E" w:rsidRDefault="006C22EA" w:rsidP="00657700">
            <w:pPr>
              <w:pStyle w:val="Pagedecouverture"/>
              <w:jc w:val="center"/>
              <w:rPr>
                <w:noProof/>
                <w:sz w:val="20"/>
              </w:rPr>
            </w:pPr>
            <w:r w:rsidRPr="006F430E">
              <w:rPr>
                <w:noProof/>
                <w:sz w:val="20"/>
              </w:rPr>
              <w:t>-</w:t>
            </w:r>
          </w:p>
        </w:tc>
        <w:tc>
          <w:tcPr>
            <w:tcW w:w="651" w:type="dxa"/>
            <w:vAlign w:val="center"/>
          </w:tcPr>
          <w:p w14:paraId="73E258CB" w14:textId="0F344540" w:rsidR="00581A40" w:rsidRPr="006F430E" w:rsidRDefault="006C22EA" w:rsidP="00657700">
            <w:pPr>
              <w:pStyle w:val="Pagedecouverture"/>
              <w:jc w:val="center"/>
              <w:rPr>
                <w:noProof/>
                <w:sz w:val="20"/>
              </w:rPr>
            </w:pPr>
            <w:r w:rsidRPr="006F430E">
              <w:rPr>
                <w:noProof/>
                <w:sz w:val="20"/>
              </w:rPr>
              <w:t>-</w:t>
            </w:r>
          </w:p>
        </w:tc>
        <w:tc>
          <w:tcPr>
            <w:tcW w:w="872" w:type="dxa"/>
            <w:vAlign w:val="center"/>
          </w:tcPr>
          <w:p w14:paraId="4D755723" w14:textId="0A0107F6" w:rsidR="00581A40" w:rsidRPr="006F430E" w:rsidRDefault="006C22EA" w:rsidP="00657700">
            <w:pPr>
              <w:pStyle w:val="Pagedecouverture"/>
              <w:jc w:val="center"/>
              <w:rPr>
                <w:noProof/>
                <w:sz w:val="20"/>
              </w:rPr>
            </w:pPr>
            <w:r w:rsidRPr="006F430E">
              <w:rPr>
                <w:noProof/>
                <w:sz w:val="20"/>
              </w:rPr>
              <w:t>1</w:t>
            </w:r>
          </w:p>
        </w:tc>
        <w:tc>
          <w:tcPr>
            <w:tcW w:w="667" w:type="dxa"/>
            <w:vAlign w:val="center"/>
          </w:tcPr>
          <w:p w14:paraId="299CA911" w14:textId="0BF5A8D5" w:rsidR="00581A40" w:rsidRPr="006F430E" w:rsidRDefault="006C22EA" w:rsidP="00657700">
            <w:pPr>
              <w:pStyle w:val="Pagedecouverture"/>
              <w:jc w:val="center"/>
              <w:rPr>
                <w:noProof/>
                <w:sz w:val="20"/>
              </w:rPr>
            </w:pPr>
            <w:r w:rsidRPr="006F430E">
              <w:rPr>
                <w:noProof/>
                <w:sz w:val="20"/>
              </w:rPr>
              <w:t>0,15</w:t>
            </w:r>
          </w:p>
        </w:tc>
        <w:tc>
          <w:tcPr>
            <w:tcW w:w="1234" w:type="dxa"/>
            <w:vAlign w:val="center"/>
          </w:tcPr>
          <w:p w14:paraId="7A0EB25C" w14:textId="129F9038" w:rsidR="00581A40" w:rsidRPr="006F430E" w:rsidRDefault="006C22EA" w:rsidP="00657700">
            <w:pPr>
              <w:pStyle w:val="Pagedecouverture"/>
              <w:jc w:val="center"/>
              <w:rPr>
                <w:noProof/>
                <w:sz w:val="20"/>
              </w:rPr>
            </w:pPr>
            <w:r w:rsidRPr="006F430E">
              <w:rPr>
                <w:noProof/>
                <w:sz w:val="20"/>
              </w:rPr>
              <w:t>7</w:t>
            </w:r>
          </w:p>
        </w:tc>
        <w:tc>
          <w:tcPr>
            <w:tcW w:w="1204" w:type="dxa"/>
            <w:vAlign w:val="center"/>
          </w:tcPr>
          <w:p w14:paraId="20DD74AD" w14:textId="732BFB58" w:rsidR="00581A40" w:rsidRPr="006F430E" w:rsidRDefault="006C22EA" w:rsidP="00657700">
            <w:pPr>
              <w:pStyle w:val="Pagedecouverture"/>
              <w:jc w:val="center"/>
              <w:rPr>
                <w:noProof/>
                <w:sz w:val="20"/>
              </w:rPr>
            </w:pPr>
            <w:r w:rsidRPr="006F430E">
              <w:rPr>
                <w:noProof/>
                <w:sz w:val="20"/>
              </w:rPr>
              <w:t>40,95</w:t>
            </w:r>
          </w:p>
        </w:tc>
      </w:tr>
    </w:tbl>
    <w:p w14:paraId="7AB4161A" w14:textId="77777777" w:rsidR="00581A40" w:rsidRPr="006F430E" w:rsidRDefault="00581A40" w:rsidP="004F6AC7">
      <w:pPr>
        <w:jc w:val="right"/>
        <w:rPr>
          <w:noProof/>
          <w:sz w:val="20"/>
        </w:rPr>
      </w:pPr>
    </w:p>
    <w:p w14:paraId="2D11DEA4" w14:textId="77777777" w:rsidR="001A3A0C" w:rsidRPr="006F430E" w:rsidRDefault="001A3A0C" w:rsidP="004F6AC7">
      <w:pPr>
        <w:rPr>
          <w:noProof/>
        </w:rPr>
        <w:sectPr w:rsidR="001A3A0C" w:rsidRPr="006F430E" w:rsidSect="005A33DF">
          <w:headerReference w:type="default" r:id="rId13"/>
          <w:footerReference w:type="default" r:id="rId14"/>
          <w:headerReference w:type="first" r:id="rId15"/>
          <w:footerReference w:type="first" r:id="rId16"/>
          <w:pgSz w:w="16840" w:h="11907" w:orient="landscape" w:code="9"/>
          <w:pgMar w:top="1134" w:right="1418" w:bottom="567" w:left="1418" w:header="709" w:footer="709" w:gutter="0"/>
          <w:cols w:space="708"/>
          <w:docGrid w:linePitch="360"/>
        </w:sectPr>
      </w:pPr>
    </w:p>
    <w:p w14:paraId="21970110" w14:textId="290FD35B" w:rsidR="001A3A0C" w:rsidRPr="006F430E" w:rsidRDefault="0024257C" w:rsidP="0024257C">
      <w:pPr>
        <w:pStyle w:val="ManualHeading3"/>
        <w:rPr>
          <w:bCs/>
          <w:noProof/>
          <w:szCs w:val="24"/>
        </w:rPr>
      </w:pPr>
      <w:bookmarkStart w:id="51" w:name="_Toc514938055"/>
      <w:bookmarkStart w:id="52" w:name="_Toc520485054"/>
      <w:r w:rsidRPr="0024257C">
        <w:t>3.2.3.</w:t>
      </w:r>
      <w:r w:rsidRPr="0024257C">
        <w:tab/>
      </w:r>
      <w:r w:rsidR="001A3A0C" w:rsidRPr="006F430E">
        <w:rPr>
          <w:noProof/>
        </w:rPr>
        <w:t>Synthèse de l’incidence estimée sur les crédits administratifs</w:t>
      </w:r>
      <w:bookmarkEnd w:id="51"/>
      <w:bookmarkEnd w:id="52"/>
      <w:r w:rsidR="001A3A0C" w:rsidRPr="006F430E">
        <w:rPr>
          <w:noProof/>
        </w:rPr>
        <w:t xml:space="preserve"> </w:t>
      </w:r>
    </w:p>
    <w:p w14:paraId="493A73AC" w14:textId="726BBE03" w:rsidR="001A3A0C" w:rsidRPr="006F430E" w:rsidRDefault="00990138" w:rsidP="004F6AC7">
      <w:pPr>
        <w:pStyle w:val="ListDash1"/>
        <w:rPr>
          <w:b/>
          <w:noProof/>
        </w:rPr>
      </w:pPr>
      <w:r w:rsidRPr="006F430E">
        <w:rPr>
          <w:b/>
          <w:noProof/>
        </w:rPr>
        <w:t>X</w:t>
      </w:r>
      <w:r w:rsidRPr="006F430E">
        <w:rPr>
          <w:noProof/>
        </w:rPr>
        <w:tab/>
      </w:r>
      <w:r w:rsidRPr="006F430E">
        <w:rPr>
          <w:b/>
          <w:noProof/>
        </w:rPr>
        <w:t>La proposition/l’initiative engendre l’utilisation de crédits de nature administrative, comme expliqué ci-après:</w:t>
      </w:r>
    </w:p>
    <w:p w14:paraId="62747303" w14:textId="77777777" w:rsidR="001A3A0C" w:rsidRPr="006F430E" w:rsidRDefault="001A3A0C" w:rsidP="004F6AC7">
      <w:pPr>
        <w:jc w:val="right"/>
        <w:rPr>
          <w:noProof/>
          <w:sz w:val="20"/>
        </w:rPr>
      </w:pPr>
      <w:r w:rsidRPr="006F430E">
        <w:rPr>
          <w:noProof/>
          <w:sz w:val="20"/>
        </w:rPr>
        <w:t>en Mio EUR (à la 3</w:t>
      </w:r>
      <w:r w:rsidRPr="006F430E">
        <w:rPr>
          <w:noProof/>
          <w:sz w:val="20"/>
          <w:vertAlign w:val="superscript"/>
        </w:rPr>
        <w:t>e</w:t>
      </w:r>
      <w:r w:rsidRPr="006F430E">
        <w:rPr>
          <w:noProof/>
          <w:sz w:val="20"/>
        </w:rPr>
        <w:t xml:space="preserve"> décimale)</w:t>
      </w:r>
    </w:p>
    <w:tbl>
      <w:tblPr>
        <w:tblW w:w="8463"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3"/>
        <w:gridCol w:w="1080"/>
      </w:tblGrid>
      <w:tr w:rsidR="00990138" w:rsidRPr="006F430E" w14:paraId="61E4D015" w14:textId="77777777" w:rsidTr="00990138">
        <w:trPr>
          <w:trHeight w:val="585"/>
        </w:trPr>
        <w:tc>
          <w:tcPr>
            <w:tcW w:w="1980" w:type="dxa"/>
          </w:tcPr>
          <w:p w14:paraId="286D18A7" w14:textId="77777777" w:rsidR="00990138" w:rsidRPr="006F430E" w:rsidRDefault="00990138" w:rsidP="004F6AC7">
            <w:pPr>
              <w:spacing w:before="60" w:after="60" w:line="200" w:lineRule="exact"/>
              <w:rPr>
                <w:noProof/>
                <w:sz w:val="16"/>
                <w:szCs w:val="16"/>
              </w:rPr>
            </w:pPr>
          </w:p>
        </w:tc>
        <w:tc>
          <w:tcPr>
            <w:tcW w:w="1080" w:type="dxa"/>
            <w:vAlign w:val="center"/>
          </w:tcPr>
          <w:p w14:paraId="7C577AFB" w14:textId="024CBF1D" w:rsidR="00990138" w:rsidRPr="006F430E" w:rsidRDefault="00990138" w:rsidP="00990138">
            <w:pPr>
              <w:spacing w:before="60" w:after="60" w:line="200" w:lineRule="exact"/>
              <w:jc w:val="center"/>
              <w:rPr>
                <w:noProof/>
                <w:sz w:val="16"/>
                <w:szCs w:val="16"/>
              </w:rPr>
            </w:pPr>
            <w:r w:rsidRPr="006F430E">
              <w:rPr>
                <w:noProof/>
                <w:sz w:val="16"/>
              </w:rPr>
              <w:t>Année</w:t>
            </w:r>
            <w:r w:rsidRPr="006F430E">
              <w:rPr>
                <w:noProof/>
              </w:rPr>
              <w:t xml:space="preserve"> </w:t>
            </w:r>
            <w:r w:rsidRPr="006F430E">
              <w:rPr>
                <w:noProof/>
              </w:rPr>
              <w:br/>
            </w:r>
            <w:r w:rsidRPr="006F430E">
              <w:rPr>
                <w:b/>
                <w:noProof/>
                <w:sz w:val="16"/>
              </w:rPr>
              <w:t>2021</w:t>
            </w:r>
          </w:p>
        </w:tc>
        <w:tc>
          <w:tcPr>
            <w:tcW w:w="1080" w:type="dxa"/>
            <w:vAlign w:val="center"/>
          </w:tcPr>
          <w:p w14:paraId="4315F7DA" w14:textId="35AD79F9" w:rsidR="00990138" w:rsidRPr="006F430E" w:rsidRDefault="00990138" w:rsidP="00990138">
            <w:pPr>
              <w:spacing w:before="60" w:after="60" w:line="200" w:lineRule="exact"/>
              <w:jc w:val="center"/>
              <w:rPr>
                <w:noProof/>
                <w:sz w:val="16"/>
                <w:szCs w:val="16"/>
              </w:rPr>
            </w:pPr>
            <w:r w:rsidRPr="006F430E">
              <w:rPr>
                <w:noProof/>
                <w:sz w:val="16"/>
              </w:rPr>
              <w:t>Année</w:t>
            </w:r>
            <w:r w:rsidRPr="006F430E">
              <w:rPr>
                <w:noProof/>
              </w:rPr>
              <w:t xml:space="preserve"> </w:t>
            </w:r>
            <w:r w:rsidRPr="006F430E">
              <w:rPr>
                <w:noProof/>
              </w:rPr>
              <w:br/>
            </w:r>
            <w:r w:rsidRPr="006F430E">
              <w:rPr>
                <w:b/>
                <w:noProof/>
                <w:sz w:val="16"/>
              </w:rPr>
              <w:t>2022</w:t>
            </w:r>
          </w:p>
        </w:tc>
        <w:tc>
          <w:tcPr>
            <w:tcW w:w="1080" w:type="dxa"/>
            <w:vAlign w:val="center"/>
          </w:tcPr>
          <w:p w14:paraId="3CD24C06" w14:textId="17A6F637" w:rsidR="00990138" w:rsidRPr="006F430E" w:rsidRDefault="00990138" w:rsidP="00990138">
            <w:pPr>
              <w:spacing w:before="60" w:after="60" w:line="200" w:lineRule="exact"/>
              <w:jc w:val="center"/>
              <w:rPr>
                <w:noProof/>
                <w:sz w:val="16"/>
                <w:szCs w:val="16"/>
              </w:rPr>
            </w:pPr>
            <w:r w:rsidRPr="006F430E">
              <w:rPr>
                <w:noProof/>
                <w:sz w:val="16"/>
              </w:rPr>
              <w:t>Année</w:t>
            </w:r>
            <w:r w:rsidRPr="006F430E">
              <w:rPr>
                <w:noProof/>
              </w:rPr>
              <w:t xml:space="preserve"> </w:t>
            </w:r>
            <w:r w:rsidRPr="006F430E">
              <w:rPr>
                <w:noProof/>
              </w:rPr>
              <w:br/>
            </w:r>
            <w:r w:rsidRPr="006F430E">
              <w:rPr>
                <w:b/>
                <w:noProof/>
                <w:sz w:val="16"/>
              </w:rPr>
              <w:t>2023</w:t>
            </w:r>
          </w:p>
        </w:tc>
        <w:tc>
          <w:tcPr>
            <w:tcW w:w="1080" w:type="dxa"/>
            <w:vAlign w:val="center"/>
          </w:tcPr>
          <w:p w14:paraId="6ABB563F" w14:textId="585E8B50" w:rsidR="00990138" w:rsidRPr="006F430E" w:rsidRDefault="00990138" w:rsidP="00990138">
            <w:pPr>
              <w:spacing w:before="60" w:after="60" w:line="200" w:lineRule="exact"/>
              <w:jc w:val="center"/>
              <w:rPr>
                <w:noProof/>
                <w:sz w:val="16"/>
                <w:szCs w:val="16"/>
              </w:rPr>
            </w:pPr>
            <w:r w:rsidRPr="006F430E">
              <w:rPr>
                <w:noProof/>
                <w:sz w:val="16"/>
              </w:rPr>
              <w:t>Année</w:t>
            </w:r>
            <w:r w:rsidRPr="006F430E">
              <w:rPr>
                <w:noProof/>
              </w:rPr>
              <w:t xml:space="preserve"> </w:t>
            </w:r>
            <w:r w:rsidRPr="006F430E">
              <w:rPr>
                <w:noProof/>
              </w:rPr>
              <w:br/>
            </w:r>
            <w:r w:rsidRPr="006F430E">
              <w:rPr>
                <w:b/>
                <w:noProof/>
                <w:sz w:val="16"/>
              </w:rPr>
              <w:t>2024</w:t>
            </w:r>
          </w:p>
        </w:tc>
        <w:tc>
          <w:tcPr>
            <w:tcW w:w="1083" w:type="dxa"/>
          </w:tcPr>
          <w:p w14:paraId="7ECD7B62" w14:textId="2A6B77E4" w:rsidR="00990138" w:rsidRPr="006F430E" w:rsidRDefault="00990138" w:rsidP="00990138">
            <w:pPr>
              <w:spacing w:line="200" w:lineRule="exact"/>
              <w:jc w:val="center"/>
              <w:rPr>
                <w:noProof/>
                <w:sz w:val="16"/>
              </w:rPr>
            </w:pPr>
            <w:r w:rsidRPr="006F430E">
              <w:rPr>
                <w:noProof/>
                <w:sz w:val="16"/>
              </w:rPr>
              <w:t>Année</w:t>
            </w:r>
            <w:r w:rsidRPr="006F430E">
              <w:rPr>
                <w:noProof/>
              </w:rPr>
              <w:t xml:space="preserve"> </w:t>
            </w:r>
            <w:r w:rsidRPr="006F430E">
              <w:rPr>
                <w:noProof/>
              </w:rPr>
              <w:br/>
            </w:r>
            <w:r w:rsidRPr="006F430E">
              <w:rPr>
                <w:b/>
                <w:noProof/>
                <w:sz w:val="16"/>
              </w:rPr>
              <w:t>2025</w:t>
            </w:r>
          </w:p>
        </w:tc>
        <w:tc>
          <w:tcPr>
            <w:tcW w:w="1080" w:type="dxa"/>
            <w:vAlign w:val="center"/>
          </w:tcPr>
          <w:p w14:paraId="0B6CA439" w14:textId="77777777" w:rsidR="00990138" w:rsidRPr="006F430E" w:rsidRDefault="00990138" w:rsidP="004F6AC7">
            <w:pPr>
              <w:spacing w:before="60" w:after="60" w:line="200" w:lineRule="exact"/>
              <w:jc w:val="center"/>
              <w:rPr>
                <w:b/>
                <w:noProof/>
                <w:sz w:val="16"/>
                <w:szCs w:val="16"/>
              </w:rPr>
            </w:pPr>
            <w:r w:rsidRPr="006F430E">
              <w:rPr>
                <w:b/>
                <w:noProof/>
                <w:sz w:val="16"/>
              </w:rPr>
              <w:t>TOTAL</w:t>
            </w:r>
          </w:p>
        </w:tc>
      </w:tr>
    </w:tbl>
    <w:p w14:paraId="220FAA5F" w14:textId="77777777" w:rsidR="001A3A0C" w:rsidRPr="006F430E" w:rsidRDefault="001A3A0C" w:rsidP="004F6AC7">
      <w:pPr>
        <w:spacing w:line="200" w:lineRule="exact"/>
        <w:rPr>
          <w:noProof/>
          <w:sz w:val="16"/>
          <w:szCs w:val="16"/>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990138" w:rsidRPr="006F430E" w14:paraId="0A75DC44" w14:textId="77777777" w:rsidTr="00990138">
        <w:trPr>
          <w:trHeight w:val="585"/>
        </w:trPr>
        <w:tc>
          <w:tcPr>
            <w:tcW w:w="1980" w:type="dxa"/>
            <w:shd w:val="clear" w:color="auto" w:fill="CCCCCC"/>
            <w:vAlign w:val="center"/>
          </w:tcPr>
          <w:p w14:paraId="4E07B1D6" w14:textId="62A68C2D" w:rsidR="00990138" w:rsidRPr="006F430E" w:rsidRDefault="002C6C4C" w:rsidP="004F6AC7">
            <w:pPr>
              <w:spacing w:before="60" w:after="60" w:line="200" w:lineRule="exact"/>
              <w:jc w:val="center"/>
              <w:rPr>
                <w:b/>
                <w:noProof/>
                <w:sz w:val="16"/>
                <w:szCs w:val="16"/>
              </w:rPr>
            </w:pPr>
            <w:r w:rsidRPr="006F430E">
              <w:rPr>
                <w:b/>
                <w:noProof/>
                <w:sz w:val="16"/>
              </w:rPr>
              <w:t>RUBRIQUE 7</w:t>
            </w:r>
            <w:r w:rsidRPr="006F430E">
              <w:rPr>
                <w:noProof/>
              </w:rPr>
              <w:t xml:space="preserve"> </w:t>
            </w:r>
            <w:r w:rsidRPr="006F430E">
              <w:rPr>
                <w:noProof/>
              </w:rPr>
              <w:br/>
            </w:r>
            <w:r w:rsidRPr="006F430E">
              <w:rPr>
                <w:b/>
                <w:noProof/>
                <w:sz w:val="16"/>
              </w:rPr>
              <w:t>du cadre financier pluriannuel</w:t>
            </w:r>
          </w:p>
        </w:tc>
        <w:tc>
          <w:tcPr>
            <w:tcW w:w="1080" w:type="dxa"/>
            <w:vAlign w:val="center"/>
          </w:tcPr>
          <w:p w14:paraId="183E48D8"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287D41BD"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684FBD22"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5617BA82"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675B026A"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297879A5" w14:textId="77777777" w:rsidR="00990138" w:rsidRPr="006F430E" w:rsidRDefault="00990138" w:rsidP="004F6AC7">
            <w:pPr>
              <w:spacing w:before="60" w:after="60" w:line="200" w:lineRule="exact"/>
              <w:jc w:val="right"/>
              <w:rPr>
                <w:noProof/>
                <w:sz w:val="16"/>
                <w:szCs w:val="16"/>
              </w:rPr>
            </w:pPr>
          </w:p>
        </w:tc>
      </w:tr>
      <w:tr w:rsidR="00990138" w:rsidRPr="006F430E" w14:paraId="55D62840" w14:textId="77777777" w:rsidTr="00990138">
        <w:trPr>
          <w:trHeight w:val="585"/>
        </w:trPr>
        <w:tc>
          <w:tcPr>
            <w:tcW w:w="1980" w:type="dxa"/>
            <w:vAlign w:val="center"/>
          </w:tcPr>
          <w:p w14:paraId="668FC097" w14:textId="77777777" w:rsidR="00990138" w:rsidRPr="006F430E" w:rsidRDefault="00990138" w:rsidP="00990138">
            <w:pPr>
              <w:spacing w:before="60" w:after="60" w:line="200" w:lineRule="exact"/>
              <w:ind w:left="72"/>
              <w:jc w:val="left"/>
              <w:rPr>
                <w:noProof/>
                <w:sz w:val="16"/>
                <w:szCs w:val="16"/>
              </w:rPr>
            </w:pPr>
            <w:r w:rsidRPr="006F430E">
              <w:rPr>
                <w:noProof/>
                <w:sz w:val="16"/>
              </w:rPr>
              <w:t xml:space="preserve">Ressources humaines </w:t>
            </w:r>
          </w:p>
        </w:tc>
        <w:tc>
          <w:tcPr>
            <w:tcW w:w="1080" w:type="dxa"/>
            <w:vAlign w:val="center"/>
          </w:tcPr>
          <w:p w14:paraId="33DC6149" w14:textId="5479F7AC" w:rsidR="00990138" w:rsidRPr="006F430E" w:rsidRDefault="00990138" w:rsidP="00771D0C">
            <w:pPr>
              <w:spacing w:before="60" w:after="60" w:line="200" w:lineRule="exact"/>
              <w:jc w:val="right"/>
              <w:rPr>
                <w:noProof/>
                <w:sz w:val="16"/>
                <w:szCs w:val="16"/>
              </w:rPr>
            </w:pPr>
            <w:r w:rsidRPr="006F430E">
              <w:rPr>
                <w:noProof/>
                <w:sz w:val="16"/>
                <w:szCs w:val="16"/>
              </w:rPr>
              <w:t>0,033</w:t>
            </w:r>
          </w:p>
        </w:tc>
        <w:tc>
          <w:tcPr>
            <w:tcW w:w="1080" w:type="dxa"/>
            <w:vAlign w:val="center"/>
          </w:tcPr>
          <w:p w14:paraId="288CEDBC" w14:textId="74946E33" w:rsidR="00990138" w:rsidRPr="006F430E" w:rsidRDefault="00990138" w:rsidP="00990138">
            <w:pPr>
              <w:spacing w:before="60" w:after="60" w:line="200" w:lineRule="exact"/>
              <w:jc w:val="right"/>
              <w:rPr>
                <w:noProof/>
                <w:sz w:val="16"/>
                <w:szCs w:val="16"/>
              </w:rPr>
            </w:pPr>
            <w:r w:rsidRPr="006F430E">
              <w:rPr>
                <w:noProof/>
                <w:sz w:val="16"/>
                <w:szCs w:val="16"/>
              </w:rPr>
              <w:t>0,069</w:t>
            </w:r>
          </w:p>
        </w:tc>
        <w:tc>
          <w:tcPr>
            <w:tcW w:w="1080" w:type="dxa"/>
            <w:vAlign w:val="center"/>
          </w:tcPr>
          <w:p w14:paraId="41891253" w14:textId="4E99198D" w:rsidR="00990138" w:rsidRPr="006F430E" w:rsidRDefault="00990138" w:rsidP="00771D0C">
            <w:pPr>
              <w:spacing w:before="60" w:after="60" w:line="200" w:lineRule="exact"/>
              <w:jc w:val="right"/>
              <w:rPr>
                <w:noProof/>
                <w:sz w:val="16"/>
                <w:szCs w:val="16"/>
              </w:rPr>
            </w:pPr>
            <w:r w:rsidRPr="006F430E">
              <w:rPr>
                <w:noProof/>
                <w:sz w:val="16"/>
                <w:szCs w:val="16"/>
              </w:rPr>
              <w:t>0,041</w:t>
            </w:r>
          </w:p>
        </w:tc>
        <w:tc>
          <w:tcPr>
            <w:tcW w:w="1080" w:type="dxa"/>
            <w:vAlign w:val="center"/>
          </w:tcPr>
          <w:p w14:paraId="4290C980" w14:textId="5AFC0E83" w:rsidR="00990138" w:rsidRPr="006F430E" w:rsidRDefault="00990138" w:rsidP="00771D0C">
            <w:pPr>
              <w:spacing w:before="60" w:after="60" w:line="200" w:lineRule="exact"/>
              <w:jc w:val="right"/>
              <w:rPr>
                <w:noProof/>
                <w:sz w:val="16"/>
                <w:szCs w:val="16"/>
              </w:rPr>
            </w:pPr>
            <w:r w:rsidRPr="006F430E">
              <w:rPr>
                <w:noProof/>
                <w:sz w:val="16"/>
                <w:szCs w:val="16"/>
              </w:rPr>
              <w:t>0,003</w:t>
            </w:r>
          </w:p>
        </w:tc>
        <w:tc>
          <w:tcPr>
            <w:tcW w:w="1080" w:type="dxa"/>
            <w:vAlign w:val="center"/>
          </w:tcPr>
          <w:p w14:paraId="478F1B0D" w14:textId="1E6F3C0C" w:rsidR="00990138" w:rsidRPr="006F430E" w:rsidRDefault="00990138" w:rsidP="00771D0C">
            <w:pPr>
              <w:spacing w:before="60" w:after="60" w:line="200" w:lineRule="exact"/>
              <w:jc w:val="right"/>
              <w:rPr>
                <w:noProof/>
                <w:sz w:val="16"/>
                <w:szCs w:val="16"/>
              </w:rPr>
            </w:pPr>
            <w:r w:rsidRPr="006F430E">
              <w:rPr>
                <w:noProof/>
                <w:sz w:val="16"/>
                <w:szCs w:val="16"/>
              </w:rPr>
              <w:t>0,025</w:t>
            </w:r>
          </w:p>
        </w:tc>
        <w:tc>
          <w:tcPr>
            <w:tcW w:w="1080" w:type="dxa"/>
            <w:vAlign w:val="center"/>
          </w:tcPr>
          <w:p w14:paraId="580D9C9C" w14:textId="4411FC98" w:rsidR="00990138" w:rsidRPr="006F430E" w:rsidRDefault="00A423E5" w:rsidP="00771D0C">
            <w:pPr>
              <w:spacing w:before="60" w:after="60" w:line="200" w:lineRule="exact"/>
              <w:jc w:val="right"/>
              <w:rPr>
                <w:noProof/>
                <w:sz w:val="16"/>
                <w:szCs w:val="16"/>
              </w:rPr>
            </w:pPr>
            <w:r w:rsidRPr="006F430E">
              <w:rPr>
                <w:b/>
                <w:noProof/>
                <w:sz w:val="16"/>
                <w:szCs w:val="16"/>
              </w:rPr>
              <w:t>0,171</w:t>
            </w:r>
          </w:p>
        </w:tc>
      </w:tr>
      <w:tr w:rsidR="00990138" w:rsidRPr="006F430E" w14:paraId="7AD0627A" w14:textId="77777777" w:rsidTr="00990138">
        <w:trPr>
          <w:trHeight w:val="585"/>
        </w:trPr>
        <w:tc>
          <w:tcPr>
            <w:tcW w:w="1980" w:type="dxa"/>
            <w:vAlign w:val="center"/>
          </w:tcPr>
          <w:p w14:paraId="13D30694" w14:textId="77777777" w:rsidR="00990138" w:rsidRPr="006F430E" w:rsidRDefault="00990138" w:rsidP="00990138">
            <w:pPr>
              <w:spacing w:before="60" w:after="60" w:line="200" w:lineRule="exact"/>
              <w:ind w:left="72"/>
              <w:jc w:val="left"/>
              <w:rPr>
                <w:noProof/>
                <w:sz w:val="16"/>
                <w:szCs w:val="16"/>
              </w:rPr>
            </w:pPr>
            <w:r w:rsidRPr="006F430E">
              <w:rPr>
                <w:noProof/>
                <w:sz w:val="16"/>
              </w:rPr>
              <w:t xml:space="preserve">Autres dépenses administratives </w:t>
            </w:r>
          </w:p>
        </w:tc>
        <w:tc>
          <w:tcPr>
            <w:tcW w:w="1080" w:type="dxa"/>
            <w:vAlign w:val="center"/>
          </w:tcPr>
          <w:p w14:paraId="21B021C0" w14:textId="14A03802" w:rsidR="00990138" w:rsidRPr="006F430E" w:rsidRDefault="00990138" w:rsidP="00990138">
            <w:pPr>
              <w:spacing w:before="60" w:after="60" w:line="200" w:lineRule="exact"/>
              <w:jc w:val="right"/>
              <w:rPr>
                <w:noProof/>
                <w:sz w:val="16"/>
                <w:szCs w:val="16"/>
              </w:rPr>
            </w:pPr>
          </w:p>
        </w:tc>
        <w:tc>
          <w:tcPr>
            <w:tcW w:w="1080" w:type="dxa"/>
            <w:vAlign w:val="center"/>
          </w:tcPr>
          <w:p w14:paraId="7D0B8F40" w14:textId="51797972" w:rsidR="00990138" w:rsidRPr="006F430E" w:rsidRDefault="00990138" w:rsidP="00990138">
            <w:pPr>
              <w:spacing w:before="60" w:after="60" w:line="200" w:lineRule="exact"/>
              <w:jc w:val="right"/>
              <w:rPr>
                <w:noProof/>
                <w:sz w:val="16"/>
                <w:szCs w:val="16"/>
              </w:rPr>
            </w:pPr>
            <w:r w:rsidRPr="006F430E">
              <w:rPr>
                <w:noProof/>
                <w:sz w:val="16"/>
                <w:szCs w:val="16"/>
              </w:rPr>
              <w:t>0,020</w:t>
            </w:r>
          </w:p>
        </w:tc>
        <w:tc>
          <w:tcPr>
            <w:tcW w:w="1080" w:type="dxa"/>
            <w:vAlign w:val="center"/>
          </w:tcPr>
          <w:p w14:paraId="3F83758C" w14:textId="3C34F26A" w:rsidR="00990138" w:rsidRPr="006F430E" w:rsidRDefault="00990138" w:rsidP="00990138">
            <w:pPr>
              <w:spacing w:before="60" w:after="60" w:line="200" w:lineRule="exact"/>
              <w:jc w:val="right"/>
              <w:rPr>
                <w:noProof/>
                <w:sz w:val="16"/>
                <w:szCs w:val="16"/>
              </w:rPr>
            </w:pPr>
            <w:r w:rsidRPr="006F430E">
              <w:rPr>
                <w:noProof/>
                <w:sz w:val="16"/>
                <w:szCs w:val="16"/>
              </w:rPr>
              <w:t>0,010</w:t>
            </w:r>
          </w:p>
        </w:tc>
        <w:tc>
          <w:tcPr>
            <w:tcW w:w="1080" w:type="dxa"/>
            <w:vAlign w:val="center"/>
          </w:tcPr>
          <w:p w14:paraId="314159E5" w14:textId="77777777" w:rsidR="00990138" w:rsidRPr="006F430E" w:rsidRDefault="00990138" w:rsidP="00990138">
            <w:pPr>
              <w:spacing w:before="60" w:after="60" w:line="200" w:lineRule="exact"/>
              <w:jc w:val="right"/>
              <w:rPr>
                <w:noProof/>
                <w:sz w:val="16"/>
                <w:szCs w:val="16"/>
              </w:rPr>
            </w:pPr>
          </w:p>
        </w:tc>
        <w:tc>
          <w:tcPr>
            <w:tcW w:w="1080" w:type="dxa"/>
            <w:vAlign w:val="center"/>
          </w:tcPr>
          <w:p w14:paraId="33227E75" w14:textId="77777777" w:rsidR="00990138" w:rsidRPr="006F430E" w:rsidRDefault="00990138" w:rsidP="00990138">
            <w:pPr>
              <w:spacing w:before="60" w:after="60" w:line="200" w:lineRule="exact"/>
              <w:jc w:val="right"/>
              <w:rPr>
                <w:noProof/>
                <w:sz w:val="16"/>
                <w:szCs w:val="16"/>
              </w:rPr>
            </w:pPr>
          </w:p>
        </w:tc>
        <w:tc>
          <w:tcPr>
            <w:tcW w:w="1080" w:type="dxa"/>
            <w:vAlign w:val="center"/>
          </w:tcPr>
          <w:p w14:paraId="4D5A274B" w14:textId="6584C465" w:rsidR="00990138" w:rsidRPr="006F430E" w:rsidRDefault="008A688D" w:rsidP="00990138">
            <w:pPr>
              <w:spacing w:before="60" w:after="60" w:line="200" w:lineRule="exact"/>
              <w:jc w:val="right"/>
              <w:rPr>
                <w:noProof/>
                <w:sz w:val="16"/>
                <w:szCs w:val="16"/>
              </w:rPr>
            </w:pPr>
            <w:r w:rsidRPr="006F430E">
              <w:rPr>
                <w:b/>
                <w:noProof/>
                <w:sz w:val="16"/>
                <w:szCs w:val="16"/>
              </w:rPr>
              <w:t>0,030</w:t>
            </w:r>
          </w:p>
        </w:tc>
      </w:tr>
      <w:tr w:rsidR="00990138" w:rsidRPr="006F430E" w14:paraId="2862F333" w14:textId="77777777" w:rsidTr="00990138">
        <w:trPr>
          <w:trHeight w:val="585"/>
        </w:trPr>
        <w:tc>
          <w:tcPr>
            <w:tcW w:w="1980" w:type="dxa"/>
            <w:shd w:val="clear" w:color="auto" w:fill="CCCCCC"/>
            <w:vAlign w:val="center"/>
          </w:tcPr>
          <w:p w14:paraId="275EDF87" w14:textId="77777777" w:rsidR="00990138" w:rsidRPr="006F430E" w:rsidRDefault="00990138" w:rsidP="00990138">
            <w:pPr>
              <w:spacing w:before="60" w:after="60" w:line="200" w:lineRule="exact"/>
              <w:jc w:val="center"/>
              <w:rPr>
                <w:b/>
                <w:noProof/>
                <w:sz w:val="16"/>
                <w:szCs w:val="16"/>
              </w:rPr>
            </w:pPr>
            <w:r w:rsidRPr="006F430E">
              <w:rPr>
                <w:b/>
                <w:noProof/>
                <w:sz w:val="16"/>
              </w:rPr>
              <w:t>Sous-total RUBRIQUE 7</w:t>
            </w:r>
            <w:r w:rsidRPr="006F430E">
              <w:rPr>
                <w:noProof/>
              </w:rPr>
              <w:t xml:space="preserve"> </w:t>
            </w:r>
            <w:r w:rsidRPr="006F430E">
              <w:rPr>
                <w:noProof/>
              </w:rPr>
              <w:br/>
            </w:r>
            <w:r w:rsidRPr="006F430E">
              <w:rPr>
                <w:b/>
                <w:noProof/>
                <w:sz w:val="16"/>
              </w:rPr>
              <w:t xml:space="preserve">du cadre financier pluriannuel </w:t>
            </w:r>
          </w:p>
        </w:tc>
        <w:tc>
          <w:tcPr>
            <w:tcW w:w="1080" w:type="dxa"/>
            <w:vAlign w:val="center"/>
          </w:tcPr>
          <w:p w14:paraId="7DB20599" w14:textId="3C2CFB7C" w:rsidR="00990138" w:rsidRPr="006F430E" w:rsidRDefault="00990138" w:rsidP="00990138">
            <w:pPr>
              <w:spacing w:before="60" w:after="60" w:line="200" w:lineRule="exact"/>
              <w:jc w:val="right"/>
              <w:rPr>
                <w:noProof/>
                <w:sz w:val="16"/>
                <w:szCs w:val="16"/>
              </w:rPr>
            </w:pPr>
            <w:r w:rsidRPr="006F430E">
              <w:rPr>
                <w:noProof/>
                <w:sz w:val="16"/>
                <w:szCs w:val="16"/>
              </w:rPr>
              <w:t>0,033</w:t>
            </w:r>
          </w:p>
        </w:tc>
        <w:tc>
          <w:tcPr>
            <w:tcW w:w="1080" w:type="dxa"/>
            <w:vAlign w:val="center"/>
          </w:tcPr>
          <w:p w14:paraId="318DAA55" w14:textId="5457BC12" w:rsidR="00990138" w:rsidRPr="006F430E" w:rsidRDefault="00A423E5" w:rsidP="00A11E1F">
            <w:pPr>
              <w:spacing w:before="60" w:after="60" w:line="200" w:lineRule="exact"/>
              <w:jc w:val="right"/>
              <w:rPr>
                <w:noProof/>
                <w:sz w:val="16"/>
                <w:szCs w:val="16"/>
              </w:rPr>
            </w:pPr>
            <w:r w:rsidRPr="006F430E">
              <w:rPr>
                <w:noProof/>
                <w:sz w:val="16"/>
                <w:szCs w:val="16"/>
              </w:rPr>
              <w:t>0,089</w:t>
            </w:r>
          </w:p>
        </w:tc>
        <w:tc>
          <w:tcPr>
            <w:tcW w:w="1080" w:type="dxa"/>
            <w:vAlign w:val="center"/>
          </w:tcPr>
          <w:p w14:paraId="22CC3A26" w14:textId="47BAB015" w:rsidR="00990138" w:rsidRPr="006F430E" w:rsidRDefault="00A423E5" w:rsidP="00771D0C">
            <w:pPr>
              <w:spacing w:before="60" w:after="60" w:line="200" w:lineRule="exact"/>
              <w:jc w:val="right"/>
              <w:rPr>
                <w:noProof/>
                <w:sz w:val="16"/>
                <w:szCs w:val="16"/>
              </w:rPr>
            </w:pPr>
            <w:r w:rsidRPr="006F430E">
              <w:rPr>
                <w:noProof/>
                <w:sz w:val="16"/>
                <w:szCs w:val="16"/>
              </w:rPr>
              <w:t>0,051</w:t>
            </w:r>
          </w:p>
        </w:tc>
        <w:tc>
          <w:tcPr>
            <w:tcW w:w="1080" w:type="dxa"/>
            <w:vAlign w:val="center"/>
          </w:tcPr>
          <w:p w14:paraId="0FDF9149" w14:textId="0495012C" w:rsidR="00990138" w:rsidRPr="006F430E" w:rsidRDefault="00A423E5" w:rsidP="00771D0C">
            <w:pPr>
              <w:spacing w:before="60" w:after="60" w:line="200" w:lineRule="exact"/>
              <w:jc w:val="right"/>
              <w:rPr>
                <w:noProof/>
                <w:sz w:val="16"/>
                <w:szCs w:val="16"/>
              </w:rPr>
            </w:pPr>
            <w:r w:rsidRPr="006F430E">
              <w:rPr>
                <w:noProof/>
                <w:sz w:val="16"/>
                <w:szCs w:val="16"/>
              </w:rPr>
              <w:t>0,003</w:t>
            </w:r>
          </w:p>
        </w:tc>
        <w:tc>
          <w:tcPr>
            <w:tcW w:w="1080" w:type="dxa"/>
          </w:tcPr>
          <w:p w14:paraId="0ED549F5" w14:textId="1485735D" w:rsidR="00990138" w:rsidRPr="006F430E" w:rsidRDefault="00A423E5" w:rsidP="00771D0C">
            <w:pPr>
              <w:spacing w:before="60" w:after="60" w:line="200" w:lineRule="exact"/>
              <w:jc w:val="right"/>
              <w:rPr>
                <w:noProof/>
                <w:sz w:val="16"/>
                <w:szCs w:val="16"/>
              </w:rPr>
            </w:pPr>
            <w:r w:rsidRPr="006F430E">
              <w:rPr>
                <w:noProof/>
                <w:sz w:val="16"/>
                <w:szCs w:val="16"/>
              </w:rPr>
              <w:t>0,025</w:t>
            </w:r>
          </w:p>
        </w:tc>
        <w:tc>
          <w:tcPr>
            <w:tcW w:w="1080" w:type="dxa"/>
            <w:vAlign w:val="center"/>
          </w:tcPr>
          <w:p w14:paraId="2782E478" w14:textId="3D0DA332" w:rsidR="00990138" w:rsidRPr="006F430E" w:rsidRDefault="00A423E5" w:rsidP="00771D0C">
            <w:pPr>
              <w:spacing w:before="60" w:after="60" w:line="200" w:lineRule="exact"/>
              <w:jc w:val="right"/>
              <w:rPr>
                <w:noProof/>
                <w:sz w:val="16"/>
                <w:szCs w:val="16"/>
              </w:rPr>
            </w:pPr>
            <w:r w:rsidRPr="006F430E">
              <w:rPr>
                <w:b/>
                <w:noProof/>
                <w:sz w:val="16"/>
                <w:szCs w:val="16"/>
              </w:rPr>
              <w:t>0,201</w:t>
            </w:r>
          </w:p>
        </w:tc>
      </w:tr>
    </w:tbl>
    <w:p w14:paraId="7718A3DF" w14:textId="77777777" w:rsidR="001A3A0C" w:rsidRPr="006F430E" w:rsidRDefault="001A3A0C" w:rsidP="004F6AC7">
      <w:pPr>
        <w:spacing w:line="200" w:lineRule="exact"/>
        <w:rPr>
          <w:noProof/>
          <w:sz w:val="16"/>
          <w:szCs w:val="16"/>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990138" w:rsidRPr="006F430E" w14:paraId="36A3AB2A" w14:textId="77777777" w:rsidTr="00990138">
        <w:trPr>
          <w:trHeight w:val="585"/>
        </w:trPr>
        <w:tc>
          <w:tcPr>
            <w:tcW w:w="1980" w:type="dxa"/>
            <w:shd w:val="clear" w:color="auto" w:fill="CCCCCC"/>
            <w:vAlign w:val="center"/>
          </w:tcPr>
          <w:p w14:paraId="075392A2" w14:textId="77777777" w:rsidR="00990138" w:rsidRPr="006F430E" w:rsidRDefault="00990138" w:rsidP="004F6AC7">
            <w:pPr>
              <w:spacing w:before="60" w:after="60" w:line="200" w:lineRule="exact"/>
              <w:jc w:val="center"/>
              <w:rPr>
                <w:noProof/>
                <w:sz w:val="16"/>
                <w:szCs w:val="16"/>
              </w:rPr>
            </w:pPr>
            <w:r w:rsidRPr="006F430E">
              <w:rPr>
                <w:b/>
                <w:noProof/>
                <w:sz w:val="16"/>
              </w:rPr>
              <w:t>Hors RUBRIQUE 7</w:t>
            </w:r>
            <w:r w:rsidRPr="006F430E">
              <w:rPr>
                <w:rStyle w:val="FootnoteReference"/>
                <w:b/>
                <w:noProof/>
                <w:sz w:val="16"/>
              </w:rPr>
              <w:footnoteReference w:id="20"/>
            </w:r>
            <w:r w:rsidRPr="006F430E">
              <w:rPr>
                <w:b/>
                <w:noProof/>
                <w:sz w:val="16"/>
              </w:rPr>
              <w:t xml:space="preserve"> </w:t>
            </w:r>
            <w:r w:rsidRPr="006F430E">
              <w:rPr>
                <w:noProof/>
              </w:rPr>
              <w:t xml:space="preserve"> </w:t>
            </w:r>
            <w:r w:rsidRPr="006F430E">
              <w:rPr>
                <w:noProof/>
              </w:rPr>
              <w:br/>
            </w:r>
            <w:r w:rsidRPr="006F430E">
              <w:rPr>
                <w:b/>
                <w:noProof/>
                <w:sz w:val="16"/>
              </w:rPr>
              <w:t xml:space="preserve">du cadre financier pluriannuel </w:t>
            </w:r>
          </w:p>
          <w:p w14:paraId="2C2D04A1" w14:textId="77777777" w:rsidR="00990138" w:rsidRPr="006F430E" w:rsidRDefault="00990138" w:rsidP="004F6AC7">
            <w:pPr>
              <w:spacing w:before="0" w:after="0" w:line="200" w:lineRule="exact"/>
              <w:jc w:val="center"/>
              <w:rPr>
                <w:b/>
                <w:noProof/>
                <w:sz w:val="16"/>
                <w:szCs w:val="16"/>
              </w:rPr>
            </w:pPr>
          </w:p>
        </w:tc>
        <w:tc>
          <w:tcPr>
            <w:tcW w:w="1080" w:type="dxa"/>
            <w:vAlign w:val="center"/>
          </w:tcPr>
          <w:p w14:paraId="56175BAB"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59249E63"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6CDD320D"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7CD600C0"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38E7B279"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2BB69504" w14:textId="77777777" w:rsidR="00990138" w:rsidRPr="006F430E" w:rsidRDefault="00990138" w:rsidP="004F6AC7">
            <w:pPr>
              <w:spacing w:before="60" w:after="60" w:line="200" w:lineRule="exact"/>
              <w:jc w:val="right"/>
              <w:rPr>
                <w:noProof/>
                <w:sz w:val="16"/>
                <w:szCs w:val="16"/>
              </w:rPr>
            </w:pPr>
          </w:p>
        </w:tc>
      </w:tr>
      <w:tr w:rsidR="00990138" w:rsidRPr="006F430E" w14:paraId="7CE5B650" w14:textId="77777777" w:rsidTr="00990138">
        <w:trPr>
          <w:trHeight w:val="585"/>
        </w:trPr>
        <w:tc>
          <w:tcPr>
            <w:tcW w:w="1980" w:type="dxa"/>
            <w:vAlign w:val="center"/>
          </w:tcPr>
          <w:p w14:paraId="3FEA4B97" w14:textId="77777777" w:rsidR="00990138" w:rsidRPr="006F430E" w:rsidRDefault="00990138" w:rsidP="004F6AC7">
            <w:pPr>
              <w:spacing w:before="60" w:after="60" w:line="200" w:lineRule="exact"/>
              <w:ind w:left="72"/>
              <w:jc w:val="left"/>
              <w:rPr>
                <w:noProof/>
                <w:sz w:val="16"/>
                <w:szCs w:val="16"/>
              </w:rPr>
            </w:pPr>
            <w:r w:rsidRPr="006F430E">
              <w:rPr>
                <w:noProof/>
                <w:sz w:val="16"/>
              </w:rPr>
              <w:t xml:space="preserve">Ressources humaines </w:t>
            </w:r>
          </w:p>
        </w:tc>
        <w:tc>
          <w:tcPr>
            <w:tcW w:w="1080" w:type="dxa"/>
            <w:vAlign w:val="center"/>
          </w:tcPr>
          <w:p w14:paraId="1A62B7D3"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5832D691"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315E6C5E"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0E701703"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7D2F7ECA"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22200E23" w14:textId="77777777" w:rsidR="00990138" w:rsidRPr="006F430E" w:rsidRDefault="00990138" w:rsidP="004F6AC7">
            <w:pPr>
              <w:spacing w:before="60" w:after="60" w:line="200" w:lineRule="exact"/>
              <w:jc w:val="right"/>
              <w:rPr>
                <w:noProof/>
                <w:sz w:val="16"/>
                <w:szCs w:val="16"/>
              </w:rPr>
            </w:pPr>
          </w:p>
        </w:tc>
      </w:tr>
      <w:tr w:rsidR="00990138" w:rsidRPr="006F430E" w14:paraId="1A437CE0" w14:textId="77777777" w:rsidTr="00990138">
        <w:trPr>
          <w:trHeight w:val="585"/>
        </w:trPr>
        <w:tc>
          <w:tcPr>
            <w:tcW w:w="1980" w:type="dxa"/>
            <w:vAlign w:val="center"/>
          </w:tcPr>
          <w:p w14:paraId="139008EA" w14:textId="77777777" w:rsidR="00990138" w:rsidRPr="006F430E" w:rsidRDefault="00990138" w:rsidP="004F6AC7">
            <w:pPr>
              <w:spacing w:before="60" w:after="60" w:line="200" w:lineRule="exact"/>
              <w:ind w:left="72"/>
              <w:jc w:val="left"/>
              <w:rPr>
                <w:noProof/>
                <w:sz w:val="16"/>
                <w:szCs w:val="16"/>
              </w:rPr>
            </w:pPr>
            <w:r w:rsidRPr="006F430E">
              <w:rPr>
                <w:noProof/>
                <w:sz w:val="16"/>
              </w:rPr>
              <w:t>Autres dépenses</w:t>
            </w:r>
            <w:r w:rsidRPr="006F430E">
              <w:rPr>
                <w:noProof/>
              </w:rPr>
              <w:t xml:space="preserve"> </w:t>
            </w:r>
            <w:r w:rsidRPr="006F430E">
              <w:rPr>
                <w:noProof/>
              </w:rPr>
              <w:br/>
            </w:r>
            <w:r w:rsidRPr="006F430E">
              <w:rPr>
                <w:noProof/>
                <w:sz w:val="16"/>
              </w:rPr>
              <w:t>de nature administrative</w:t>
            </w:r>
          </w:p>
        </w:tc>
        <w:tc>
          <w:tcPr>
            <w:tcW w:w="1080" w:type="dxa"/>
            <w:vAlign w:val="center"/>
          </w:tcPr>
          <w:p w14:paraId="17B2A824"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3BE92A38"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7B058892"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1E554E44"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49A838AE"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55934AF8" w14:textId="77777777" w:rsidR="00990138" w:rsidRPr="006F430E" w:rsidRDefault="00990138" w:rsidP="004F6AC7">
            <w:pPr>
              <w:spacing w:before="60" w:after="60" w:line="200" w:lineRule="exact"/>
              <w:jc w:val="right"/>
              <w:rPr>
                <w:noProof/>
                <w:sz w:val="16"/>
                <w:szCs w:val="16"/>
              </w:rPr>
            </w:pPr>
          </w:p>
        </w:tc>
      </w:tr>
      <w:tr w:rsidR="00990138" w:rsidRPr="006F430E" w14:paraId="5443FFFA" w14:textId="77777777" w:rsidTr="00990138">
        <w:trPr>
          <w:trHeight w:val="585"/>
        </w:trPr>
        <w:tc>
          <w:tcPr>
            <w:tcW w:w="1980" w:type="dxa"/>
            <w:shd w:val="clear" w:color="auto" w:fill="CCCCCC"/>
            <w:vAlign w:val="center"/>
          </w:tcPr>
          <w:p w14:paraId="2A1A5F77" w14:textId="77777777" w:rsidR="00990138" w:rsidRPr="006F430E" w:rsidRDefault="00990138" w:rsidP="004F6AC7">
            <w:pPr>
              <w:spacing w:before="60" w:after="60" w:line="200" w:lineRule="exact"/>
              <w:jc w:val="center"/>
              <w:rPr>
                <w:b/>
                <w:noProof/>
                <w:sz w:val="16"/>
                <w:szCs w:val="16"/>
              </w:rPr>
            </w:pPr>
            <w:r w:rsidRPr="006F430E">
              <w:rPr>
                <w:b/>
                <w:noProof/>
                <w:sz w:val="16"/>
              </w:rPr>
              <w:t xml:space="preserve">Sous-total </w:t>
            </w:r>
            <w:r w:rsidRPr="006F430E">
              <w:rPr>
                <w:noProof/>
              </w:rPr>
              <w:t xml:space="preserve"> </w:t>
            </w:r>
            <w:r w:rsidRPr="006F430E">
              <w:rPr>
                <w:noProof/>
              </w:rPr>
              <w:br/>
            </w:r>
            <w:r w:rsidRPr="006F430E">
              <w:rPr>
                <w:b/>
                <w:noProof/>
                <w:sz w:val="16"/>
              </w:rPr>
              <w:t>hors RUBRIQUE 7</w:t>
            </w:r>
            <w:r w:rsidRPr="006F430E">
              <w:rPr>
                <w:noProof/>
              </w:rPr>
              <w:t xml:space="preserve"> </w:t>
            </w:r>
            <w:r w:rsidRPr="006F430E">
              <w:rPr>
                <w:noProof/>
              </w:rPr>
              <w:br/>
            </w:r>
            <w:r w:rsidRPr="006F430E">
              <w:rPr>
                <w:b/>
                <w:noProof/>
                <w:sz w:val="16"/>
              </w:rPr>
              <w:t xml:space="preserve">du cadre financier pluriannuel </w:t>
            </w:r>
          </w:p>
        </w:tc>
        <w:tc>
          <w:tcPr>
            <w:tcW w:w="1080" w:type="dxa"/>
            <w:vAlign w:val="center"/>
          </w:tcPr>
          <w:p w14:paraId="50CD13A6"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6677A2B7"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16AA3766"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1B1C13A2"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1F29DD95" w14:textId="77777777" w:rsidR="00990138" w:rsidRPr="006F430E" w:rsidRDefault="00990138" w:rsidP="004F6AC7">
            <w:pPr>
              <w:spacing w:before="60" w:after="60" w:line="200" w:lineRule="exact"/>
              <w:jc w:val="right"/>
              <w:rPr>
                <w:noProof/>
                <w:sz w:val="16"/>
                <w:szCs w:val="16"/>
              </w:rPr>
            </w:pPr>
          </w:p>
        </w:tc>
        <w:tc>
          <w:tcPr>
            <w:tcW w:w="1080" w:type="dxa"/>
            <w:vAlign w:val="center"/>
          </w:tcPr>
          <w:p w14:paraId="24266BA8" w14:textId="77777777" w:rsidR="00990138" w:rsidRPr="006F430E" w:rsidRDefault="00990138" w:rsidP="004F6AC7">
            <w:pPr>
              <w:spacing w:before="60" w:after="60" w:line="200" w:lineRule="exact"/>
              <w:jc w:val="right"/>
              <w:rPr>
                <w:noProof/>
                <w:sz w:val="16"/>
                <w:szCs w:val="16"/>
              </w:rPr>
            </w:pPr>
          </w:p>
        </w:tc>
      </w:tr>
    </w:tbl>
    <w:p w14:paraId="4FBFEE30" w14:textId="77777777" w:rsidR="001A3A0C" w:rsidRPr="006F430E" w:rsidRDefault="001A3A0C" w:rsidP="004F6AC7">
      <w:pPr>
        <w:spacing w:line="200" w:lineRule="exact"/>
        <w:rPr>
          <w:noProof/>
          <w:sz w:val="16"/>
          <w:szCs w:val="16"/>
        </w:rPr>
      </w:pPr>
    </w:p>
    <w:tbl>
      <w:tblPr>
        <w:tblW w:w="8460" w:type="dxa"/>
        <w:tblInd w:w="-612" w:type="dxa"/>
        <w:tblLayout w:type="fixed"/>
        <w:tblLook w:val="01E0" w:firstRow="1" w:lastRow="1" w:firstColumn="1" w:lastColumn="1" w:noHBand="0" w:noVBand="0"/>
      </w:tblPr>
      <w:tblGrid>
        <w:gridCol w:w="1980"/>
        <w:gridCol w:w="1080"/>
        <w:gridCol w:w="1080"/>
        <w:gridCol w:w="1080"/>
        <w:gridCol w:w="1080"/>
        <w:gridCol w:w="1080"/>
        <w:gridCol w:w="1080"/>
      </w:tblGrid>
      <w:tr w:rsidR="0094124B" w:rsidRPr="006F430E" w14:paraId="145B44B5" w14:textId="77777777" w:rsidTr="00D027DC">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1219583" w14:textId="77777777" w:rsidR="0094124B" w:rsidRPr="006F430E" w:rsidRDefault="0094124B" w:rsidP="0094124B">
            <w:pPr>
              <w:spacing w:before="60" w:after="60" w:line="200" w:lineRule="exact"/>
              <w:jc w:val="center"/>
              <w:rPr>
                <w:noProof/>
                <w:sz w:val="16"/>
                <w:szCs w:val="16"/>
              </w:rPr>
            </w:pPr>
            <w:r w:rsidRPr="006F430E">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50716F8C" w14:textId="34A58021" w:rsidR="0094124B" w:rsidRPr="006F430E" w:rsidRDefault="0094124B" w:rsidP="0094124B">
            <w:pPr>
              <w:spacing w:before="60" w:after="60" w:line="200" w:lineRule="exact"/>
              <w:jc w:val="right"/>
              <w:rPr>
                <w:b/>
                <w:noProof/>
                <w:sz w:val="16"/>
                <w:szCs w:val="16"/>
              </w:rPr>
            </w:pPr>
            <w:r w:rsidRPr="006F430E">
              <w:rPr>
                <w:noProof/>
                <w:sz w:val="16"/>
                <w:szCs w:val="16"/>
              </w:rPr>
              <w:t>0,033</w:t>
            </w:r>
          </w:p>
        </w:tc>
        <w:tc>
          <w:tcPr>
            <w:tcW w:w="1080" w:type="dxa"/>
            <w:tcBorders>
              <w:top w:val="single" w:sz="12" w:space="0" w:color="auto"/>
              <w:left w:val="single" w:sz="2" w:space="0" w:color="auto"/>
              <w:bottom w:val="single" w:sz="12" w:space="0" w:color="auto"/>
              <w:right w:val="single" w:sz="2" w:space="0" w:color="auto"/>
            </w:tcBorders>
            <w:vAlign w:val="center"/>
          </w:tcPr>
          <w:p w14:paraId="2AD1271A" w14:textId="31AC8E55" w:rsidR="0094124B" w:rsidRPr="006F430E" w:rsidRDefault="0094124B" w:rsidP="0094124B">
            <w:pPr>
              <w:spacing w:before="60" w:after="60" w:line="200" w:lineRule="exact"/>
              <w:jc w:val="right"/>
              <w:rPr>
                <w:b/>
                <w:noProof/>
                <w:sz w:val="16"/>
                <w:szCs w:val="16"/>
              </w:rPr>
            </w:pPr>
            <w:r w:rsidRPr="006F430E">
              <w:rPr>
                <w:noProof/>
                <w:sz w:val="16"/>
                <w:szCs w:val="16"/>
              </w:rPr>
              <w:t>0,089</w:t>
            </w:r>
          </w:p>
        </w:tc>
        <w:tc>
          <w:tcPr>
            <w:tcW w:w="1080" w:type="dxa"/>
            <w:tcBorders>
              <w:top w:val="single" w:sz="12" w:space="0" w:color="auto"/>
              <w:left w:val="single" w:sz="2" w:space="0" w:color="auto"/>
              <w:bottom w:val="single" w:sz="12" w:space="0" w:color="auto"/>
              <w:right w:val="single" w:sz="2" w:space="0" w:color="auto"/>
            </w:tcBorders>
            <w:vAlign w:val="center"/>
          </w:tcPr>
          <w:p w14:paraId="34D5D0BC" w14:textId="0A01C619" w:rsidR="0094124B" w:rsidRPr="006F430E" w:rsidRDefault="0094124B" w:rsidP="0094124B">
            <w:pPr>
              <w:spacing w:before="60" w:after="60" w:line="200" w:lineRule="exact"/>
              <w:jc w:val="right"/>
              <w:rPr>
                <w:b/>
                <w:noProof/>
                <w:sz w:val="16"/>
                <w:szCs w:val="16"/>
              </w:rPr>
            </w:pPr>
            <w:r w:rsidRPr="006F430E">
              <w:rPr>
                <w:noProof/>
                <w:sz w:val="16"/>
                <w:szCs w:val="16"/>
              </w:rPr>
              <w:t>0,051</w:t>
            </w:r>
          </w:p>
        </w:tc>
        <w:tc>
          <w:tcPr>
            <w:tcW w:w="1080" w:type="dxa"/>
            <w:tcBorders>
              <w:top w:val="single" w:sz="12" w:space="0" w:color="auto"/>
              <w:left w:val="single" w:sz="2" w:space="0" w:color="auto"/>
              <w:bottom w:val="single" w:sz="12" w:space="0" w:color="auto"/>
              <w:right w:val="single" w:sz="2" w:space="0" w:color="auto"/>
            </w:tcBorders>
            <w:vAlign w:val="center"/>
          </w:tcPr>
          <w:p w14:paraId="09B5904C" w14:textId="2C8F1BE4" w:rsidR="0094124B" w:rsidRPr="006F430E" w:rsidRDefault="0094124B" w:rsidP="0094124B">
            <w:pPr>
              <w:spacing w:before="60" w:after="60" w:line="200" w:lineRule="exact"/>
              <w:jc w:val="right"/>
              <w:rPr>
                <w:b/>
                <w:noProof/>
                <w:sz w:val="16"/>
                <w:szCs w:val="16"/>
              </w:rPr>
            </w:pPr>
            <w:r w:rsidRPr="006F430E">
              <w:rPr>
                <w:noProof/>
                <w:sz w:val="16"/>
                <w:szCs w:val="16"/>
              </w:rPr>
              <w:t>0,003</w:t>
            </w:r>
          </w:p>
        </w:tc>
        <w:tc>
          <w:tcPr>
            <w:tcW w:w="1080" w:type="dxa"/>
            <w:tcBorders>
              <w:top w:val="single" w:sz="12" w:space="0" w:color="auto"/>
              <w:left w:val="single" w:sz="2" w:space="0" w:color="auto"/>
              <w:bottom w:val="single" w:sz="12" w:space="0" w:color="auto"/>
              <w:right w:val="single" w:sz="2" w:space="0" w:color="auto"/>
            </w:tcBorders>
          </w:tcPr>
          <w:p w14:paraId="156D587A" w14:textId="323C170C" w:rsidR="0094124B" w:rsidRPr="006F430E" w:rsidRDefault="0094124B" w:rsidP="0094124B">
            <w:pPr>
              <w:spacing w:before="60" w:after="60" w:line="200" w:lineRule="exact"/>
              <w:jc w:val="right"/>
              <w:rPr>
                <w:b/>
                <w:noProof/>
                <w:sz w:val="16"/>
                <w:szCs w:val="16"/>
              </w:rPr>
            </w:pPr>
            <w:r w:rsidRPr="006F430E">
              <w:rPr>
                <w:noProof/>
                <w:sz w:val="16"/>
                <w:szCs w:val="16"/>
              </w:rPr>
              <w:t>0,025</w:t>
            </w:r>
          </w:p>
        </w:tc>
        <w:tc>
          <w:tcPr>
            <w:tcW w:w="1080" w:type="dxa"/>
            <w:tcBorders>
              <w:top w:val="single" w:sz="12" w:space="0" w:color="auto"/>
              <w:left w:val="single" w:sz="2" w:space="0" w:color="auto"/>
              <w:bottom w:val="single" w:sz="12" w:space="0" w:color="auto"/>
              <w:right w:val="single" w:sz="2" w:space="0" w:color="auto"/>
            </w:tcBorders>
            <w:vAlign w:val="center"/>
          </w:tcPr>
          <w:p w14:paraId="1EE801E3" w14:textId="530EB8F6" w:rsidR="0094124B" w:rsidRPr="006F430E" w:rsidRDefault="0094124B" w:rsidP="0094124B">
            <w:pPr>
              <w:spacing w:before="60" w:after="60" w:line="200" w:lineRule="exact"/>
              <w:jc w:val="right"/>
              <w:rPr>
                <w:b/>
                <w:noProof/>
                <w:sz w:val="16"/>
                <w:szCs w:val="16"/>
              </w:rPr>
            </w:pPr>
            <w:r w:rsidRPr="006F430E">
              <w:rPr>
                <w:b/>
                <w:noProof/>
                <w:sz w:val="16"/>
                <w:szCs w:val="16"/>
              </w:rPr>
              <w:t>0,201</w:t>
            </w:r>
          </w:p>
        </w:tc>
      </w:tr>
    </w:tbl>
    <w:p w14:paraId="0C67959F" w14:textId="11B55FC4" w:rsidR="001A3A0C" w:rsidRPr="006F430E" w:rsidRDefault="001A3A0C" w:rsidP="004F6AC7">
      <w:pPr>
        <w:rPr>
          <w:noProof/>
          <w:sz w:val="18"/>
        </w:rPr>
      </w:pPr>
      <w:r w:rsidRPr="006F430E">
        <w:rPr>
          <w:noProof/>
          <w:sz w:val="18"/>
        </w:rPr>
        <w:t>Les besoins en crédits pour les ressources humaines et les autres dépenses de nature administrative seront couverts par les crédits de la DG déjà affectés à la gestion de l’action et/ou redéployés en interne au sein de la DG.</w:t>
      </w:r>
    </w:p>
    <w:p w14:paraId="7CE39B45" w14:textId="77777777" w:rsidR="001A3A0C" w:rsidRPr="006F430E" w:rsidRDefault="001A3A0C" w:rsidP="004F6AC7">
      <w:pPr>
        <w:rPr>
          <w:noProof/>
          <w:sz w:val="18"/>
        </w:rPr>
        <w:sectPr w:rsidR="001A3A0C" w:rsidRPr="006F430E" w:rsidSect="005A33DF">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14:paraId="42C8B435" w14:textId="512F9263" w:rsidR="001A3A0C" w:rsidRPr="006F430E" w:rsidRDefault="0024257C" w:rsidP="0024257C">
      <w:pPr>
        <w:pStyle w:val="ManualHeading4"/>
        <w:rPr>
          <w:bCs/>
          <w:noProof/>
          <w:szCs w:val="24"/>
        </w:rPr>
      </w:pPr>
      <w:r w:rsidRPr="0024257C">
        <w:t>3.2.3.1.</w:t>
      </w:r>
      <w:r w:rsidRPr="0024257C">
        <w:tab/>
      </w:r>
      <w:r w:rsidR="001A3A0C" w:rsidRPr="006F430E">
        <w:rPr>
          <w:noProof/>
        </w:rPr>
        <w:t xml:space="preserve">Besoins estimés en ressources humaines </w:t>
      </w:r>
    </w:p>
    <w:p w14:paraId="6DC6D995" w14:textId="20B2A05C" w:rsidR="001A3A0C" w:rsidRPr="006F430E" w:rsidRDefault="00C06B51" w:rsidP="004F6AC7">
      <w:pPr>
        <w:pStyle w:val="ListDash1"/>
        <w:rPr>
          <w:b/>
          <w:noProof/>
        </w:rPr>
      </w:pPr>
      <w:r w:rsidRPr="006F430E">
        <w:rPr>
          <w:b/>
          <w:noProof/>
        </w:rPr>
        <w:t>X</w:t>
      </w:r>
      <w:r w:rsidRPr="006F430E">
        <w:rPr>
          <w:noProof/>
        </w:rPr>
        <w:tab/>
      </w:r>
      <w:r w:rsidRPr="006F430E">
        <w:rPr>
          <w:b/>
          <w:noProof/>
        </w:rPr>
        <w:t>La proposition/l’initiative engendre l’utilisation de ressources humaines, comme expliqué ci-après:</w:t>
      </w:r>
    </w:p>
    <w:p w14:paraId="0096128F" w14:textId="77777777" w:rsidR="001A3A0C" w:rsidRPr="006F430E" w:rsidRDefault="001A3A0C" w:rsidP="004F6AC7">
      <w:pPr>
        <w:spacing w:after="60"/>
        <w:jc w:val="right"/>
        <w:rPr>
          <w:i/>
          <w:noProof/>
          <w:sz w:val="20"/>
        </w:rPr>
      </w:pPr>
      <w:r w:rsidRPr="006F430E">
        <w:rPr>
          <w:i/>
          <w:noProof/>
          <w:sz w:val="20"/>
        </w:rPr>
        <w:t>Estimation à exprimer en équivalents temps plein</w:t>
      </w:r>
    </w:p>
    <w:tbl>
      <w:tblPr>
        <w:tblW w:w="84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178"/>
        <w:gridCol w:w="15"/>
        <w:gridCol w:w="183"/>
        <w:gridCol w:w="2378"/>
        <w:gridCol w:w="731"/>
        <w:gridCol w:w="731"/>
        <w:gridCol w:w="731"/>
        <w:gridCol w:w="731"/>
        <w:gridCol w:w="786"/>
      </w:tblGrid>
      <w:tr w:rsidR="00517420" w:rsidRPr="006F430E" w14:paraId="1F48221B" w14:textId="77777777" w:rsidTr="006805B3">
        <w:trPr>
          <w:gridBefore w:val="1"/>
          <w:wBefore w:w="15" w:type="dxa"/>
          <w:trHeight w:val="289"/>
          <w:jc w:val="center"/>
        </w:trPr>
        <w:tc>
          <w:tcPr>
            <w:tcW w:w="4754" w:type="dxa"/>
            <w:gridSpan w:val="4"/>
            <w:shd w:val="clear" w:color="auto" w:fill="auto"/>
          </w:tcPr>
          <w:p w14:paraId="18529AF2" w14:textId="77777777" w:rsidR="00517420" w:rsidRPr="006F430E" w:rsidRDefault="00517420" w:rsidP="004F6AC7">
            <w:pPr>
              <w:pStyle w:val="Text1"/>
              <w:spacing w:before="40" w:after="40"/>
              <w:ind w:left="0"/>
              <w:jc w:val="center"/>
              <w:rPr>
                <w:i/>
                <w:noProof/>
                <w:sz w:val="16"/>
                <w:szCs w:val="16"/>
              </w:rPr>
            </w:pPr>
          </w:p>
        </w:tc>
        <w:tc>
          <w:tcPr>
            <w:tcW w:w="731" w:type="dxa"/>
            <w:shd w:val="clear" w:color="auto" w:fill="auto"/>
            <w:vAlign w:val="center"/>
          </w:tcPr>
          <w:p w14:paraId="340EE2B9" w14:textId="2558739F" w:rsidR="00517420" w:rsidRPr="006F430E" w:rsidRDefault="00517420" w:rsidP="00C06B51">
            <w:pPr>
              <w:spacing w:before="20" w:after="20"/>
              <w:jc w:val="center"/>
              <w:rPr>
                <w:noProof/>
                <w:sz w:val="16"/>
                <w:szCs w:val="16"/>
              </w:rPr>
            </w:pPr>
            <w:r w:rsidRPr="006F430E">
              <w:rPr>
                <w:noProof/>
                <w:sz w:val="16"/>
              </w:rPr>
              <w:t>Année</w:t>
            </w:r>
            <w:r w:rsidRPr="006F430E">
              <w:rPr>
                <w:noProof/>
              </w:rPr>
              <w:t xml:space="preserve"> </w:t>
            </w:r>
            <w:r w:rsidRPr="006F430E">
              <w:rPr>
                <w:noProof/>
              </w:rPr>
              <w:br/>
            </w:r>
            <w:r w:rsidRPr="006F430E">
              <w:rPr>
                <w:b/>
                <w:noProof/>
                <w:sz w:val="16"/>
              </w:rPr>
              <w:t>2021</w:t>
            </w:r>
          </w:p>
        </w:tc>
        <w:tc>
          <w:tcPr>
            <w:tcW w:w="731" w:type="dxa"/>
            <w:shd w:val="clear" w:color="auto" w:fill="auto"/>
            <w:vAlign w:val="center"/>
          </w:tcPr>
          <w:p w14:paraId="3A1CAA03" w14:textId="04FF6B28" w:rsidR="00517420" w:rsidRPr="006F430E" w:rsidRDefault="00517420" w:rsidP="00C06B51">
            <w:pPr>
              <w:spacing w:before="20" w:after="20"/>
              <w:jc w:val="center"/>
              <w:rPr>
                <w:noProof/>
                <w:sz w:val="16"/>
                <w:szCs w:val="16"/>
              </w:rPr>
            </w:pPr>
            <w:r w:rsidRPr="006F430E">
              <w:rPr>
                <w:noProof/>
                <w:sz w:val="16"/>
              </w:rPr>
              <w:t>Année</w:t>
            </w:r>
            <w:r w:rsidRPr="006F430E">
              <w:rPr>
                <w:noProof/>
              </w:rPr>
              <w:t xml:space="preserve"> </w:t>
            </w:r>
            <w:r w:rsidRPr="006F430E">
              <w:rPr>
                <w:noProof/>
              </w:rPr>
              <w:br/>
            </w:r>
            <w:r w:rsidRPr="006F430E">
              <w:rPr>
                <w:b/>
                <w:noProof/>
                <w:sz w:val="16"/>
              </w:rPr>
              <w:t>2022</w:t>
            </w:r>
          </w:p>
        </w:tc>
        <w:tc>
          <w:tcPr>
            <w:tcW w:w="731" w:type="dxa"/>
            <w:shd w:val="clear" w:color="auto" w:fill="auto"/>
            <w:vAlign w:val="center"/>
          </w:tcPr>
          <w:p w14:paraId="78B30C44" w14:textId="76BDFCF2" w:rsidR="00517420" w:rsidRPr="006F430E" w:rsidRDefault="00517420" w:rsidP="00C06B51">
            <w:pPr>
              <w:spacing w:before="20" w:after="20"/>
              <w:jc w:val="center"/>
              <w:rPr>
                <w:noProof/>
                <w:sz w:val="16"/>
                <w:szCs w:val="16"/>
              </w:rPr>
            </w:pPr>
            <w:r w:rsidRPr="006F430E">
              <w:rPr>
                <w:noProof/>
                <w:sz w:val="16"/>
                <w:szCs w:val="16"/>
              </w:rPr>
              <w:t xml:space="preserve">Année </w:t>
            </w:r>
            <w:r w:rsidRPr="006F430E">
              <w:rPr>
                <w:b/>
                <w:noProof/>
                <w:sz w:val="16"/>
                <w:szCs w:val="16"/>
              </w:rPr>
              <w:t>2023</w:t>
            </w:r>
          </w:p>
        </w:tc>
        <w:tc>
          <w:tcPr>
            <w:tcW w:w="731" w:type="dxa"/>
            <w:shd w:val="clear" w:color="auto" w:fill="auto"/>
            <w:vAlign w:val="center"/>
          </w:tcPr>
          <w:p w14:paraId="07EA86B1" w14:textId="4D6747A6" w:rsidR="00517420" w:rsidRPr="006F430E" w:rsidRDefault="00517420" w:rsidP="00C06B51">
            <w:pPr>
              <w:spacing w:before="20" w:after="20"/>
              <w:jc w:val="center"/>
              <w:rPr>
                <w:noProof/>
                <w:sz w:val="16"/>
                <w:szCs w:val="16"/>
              </w:rPr>
            </w:pPr>
            <w:r w:rsidRPr="006F430E">
              <w:rPr>
                <w:noProof/>
                <w:sz w:val="16"/>
                <w:szCs w:val="16"/>
              </w:rPr>
              <w:t xml:space="preserve">Année </w:t>
            </w:r>
            <w:r w:rsidRPr="006F430E">
              <w:rPr>
                <w:b/>
                <w:noProof/>
                <w:sz w:val="16"/>
                <w:szCs w:val="16"/>
              </w:rPr>
              <w:t>2024</w:t>
            </w:r>
          </w:p>
        </w:tc>
        <w:tc>
          <w:tcPr>
            <w:tcW w:w="786" w:type="dxa"/>
          </w:tcPr>
          <w:p w14:paraId="71A33910" w14:textId="4E5C3124" w:rsidR="00517420" w:rsidRPr="006F430E" w:rsidRDefault="00517420" w:rsidP="004F6AC7">
            <w:pPr>
              <w:jc w:val="center"/>
              <w:rPr>
                <w:noProof/>
                <w:sz w:val="16"/>
              </w:rPr>
            </w:pPr>
            <w:r w:rsidRPr="006F430E">
              <w:rPr>
                <w:noProof/>
                <w:sz w:val="16"/>
              </w:rPr>
              <w:t xml:space="preserve">Année </w:t>
            </w:r>
            <w:r w:rsidRPr="006F430E">
              <w:rPr>
                <w:b/>
                <w:noProof/>
                <w:sz w:val="16"/>
              </w:rPr>
              <w:t>2025</w:t>
            </w:r>
          </w:p>
        </w:tc>
      </w:tr>
      <w:tr w:rsidR="00C06B51" w:rsidRPr="006F430E" w14:paraId="205CDC7B" w14:textId="77777777" w:rsidTr="006805B3">
        <w:trPr>
          <w:gridBefore w:val="1"/>
          <w:wBefore w:w="15" w:type="dxa"/>
          <w:trHeight w:val="289"/>
          <w:jc w:val="center"/>
        </w:trPr>
        <w:tc>
          <w:tcPr>
            <w:tcW w:w="2193" w:type="dxa"/>
            <w:gridSpan w:val="2"/>
          </w:tcPr>
          <w:p w14:paraId="7914C50F" w14:textId="77777777" w:rsidR="00C06B51" w:rsidRPr="006F430E" w:rsidRDefault="00C06B51" w:rsidP="004F6AC7">
            <w:pPr>
              <w:jc w:val="left"/>
              <w:rPr>
                <w:b/>
                <w:noProof/>
                <w:sz w:val="16"/>
              </w:rPr>
            </w:pPr>
          </w:p>
        </w:tc>
        <w:tc>
          <w:tcPr>
            <w:tcW w:w="6271" w:type="dxa"/>
            <w:gridSpan w:val="7"/>
            <w:shd w:val="clear" w:color="auto" w:fill="auto"/>
          </w:tcPr>
          <w:p w14:paraId="2D513B4E" w14:textId="1DD114B9" w:rsidR="00C06B51" w:rsidRPr="006F430E" w:rsidRDefault="00C06B51" w:rsidP="004F6AC7">
            <w:pPr>
              <w:jc w:val="left"/>
              <w:rPr>
                <w:noProof/>
                <w:sz w:val="16"/>
                <w:szCs w:val="16"/>
              </w:rPr>
            </w:pPr>
            <w:r w:rsidRPr="006F430E">
              <w:rPr>
                <w:b/>
                <w:noProof/>
                <w:sz w:val="16"/>
              </w:rPr>
              <w:sym w:font="Wingdings" w:char="F09F"/>
            </w:r>
            <w:r w:rsidRPr="006F430E">
              <w:rPr>
                <w:b/>
                <w:noProof/>
                <w:sz w:val="16"/>
              </w:rPr>
              <w:t xml:space="preserve"> Emplois du tableau des effectifs (fonctionnaires et agents temporaires)</w:t>
            </w:r>
          </w:p>
        </w:tc>
      </w:tr>
      <w:tr w:rsidR="00517420" w:rsidRPr="006F430E" w14:paraId="289B1DC5" w14:textId="77777777" w:rsidTr="006805B3">
        <w:trPr>
          <w:gridBefore w:val="1"/>
          <w:wBefore w:w="15" w:type="dxa"/>
          <w:trHeight w:val="289"/>
          <w:jc w:val="center"/>
        </w:trPr>
        <w:tc>
          <w:tcPr>
            <w:tcW w:w="4754" w:type="dxa"/>
            <w:gridSpan w:val="4"/>
            <w:shd w:val="clear" w:color="auto" w:fill="auto"/>
            <w:vAlign w:val="center"/>
          </w:tcPr>
          <w:p w14:paraId="2583168E" w14:textId="77777777" w:rsidR="00517420" w:rsidRPr="006F430E" w:rsidRDefault="00517420" w:rsidP="00517420">
            <w:pPr>
              <w:pStyle w:val="Text1"/>
              <w:spacing w:beforeLines="20" w:before="48" w:afterLines="20" w:after="48"/>
              <w:ind w:left="134"/>
              <w:jc w:val="left"/>
              <w:rPr>
                <w:b/>
                <w:noProof/>
                <w:sz w:val="16"/>
                <w:szCs w:val="16"/>
              </w:rPr>
            </w:pPr>
            <w:r w:rsidRPr="006F430E">
              <w:rPr>
                <w:noProof/>
                <w:sz w:val="16"/>
              </w:rPr>
              <w:t>20 01 02 01</w:t>
            </w:r>
            <w:r w:rsidRPr="006F430E">
              <w:rPr>
                <w:rFonts w:ascii="Arial Narrow" w:hAnsi="Arial Narrow"/>
                <w:noProof/>
                <w:color w:val="000000"/>
                <w:sz w:val="20"/>
                <w:szCs w:val="20"/>
              </w:rPr>
              <w:t xml:space="preserve"> </w:t>
            </w:r>
            <w:r w:rsidRPr="006F430E">
              <w:rPr>
                <w:noProof/>
                <w:sz w:val="16"/>
              </w:rPr>
              <w:t>(au siège et dans les bureaux de représentation de la Commission)</w:t>
            </w:r>
          </w:p>
        </w:tc>
        <w:tc>
          <w:tcPr>
            <w:tcW w:w="731" w:type="dxa"/>
            <w:shd w:val="clear" w:color="auto" w:fill="auto"/>
            <w:vAlign w:val="center"/>
          </w:tcPr>
          <w:p w14:paraId="3104FE15" w14:textId="4E9450D3" w:rsidR="00517420" w:rsidRPr="006F430E" w:rsidRDefault="00E20324" w:rsidP="00517420">
            <w:pPr>
              <w:spacing w:beforeLines="20" w:before="48" w:afterLines="20" w:after="48"/>
              <w:jc w:val="center"/>
              <w:rPr>
                <w:noProof/>
                <w:sz w:val="16"/>
                <w:szCs w:val="16"/>
              </w:rPr>
            </w:pPr>
            <w:r w:rsidRPr="006F430E">
              <w:rPr>
                <w:noProof/>
                <w:sz w:val="16"/>
                <w:szCs w:val="16"/>
              </w:rPr>
              <w:t>0,100</w:t>
            </w:r>
          </w:p>
        </w:tc>
        <w:tc>
          <w:tcPr>
            <w:tcW w:w="731" w:type="dxa"/>
            <w:shd w:val="clear" w:color="auto" w:fill="auto"/>
            <w:vAlign w:val="center"/>
          </w:tcPr>
          <w:p w14:paraId="279443D2" w14:textId="43959B45" w:rsidR="00517420" w:rsidRPr="006F430E" w:rsidRDefault="00E20324" w:rsidP="00517420">
            <w:pPr>
              <w:spacing w:beforeLines="20" w:before="48" w:afterLines="20" w:after="48"/>
              <w:jc w:val="center"/>
              <w:rPr>
                <w:noProof/>
                <w:sz w:val="16"/>
                <w:szCs w:val="16"/>
              </w:rPr>
            </w:pPr>
            <w:r w:rsidRPr="006F430E">
              <w:rPr>
                <w:noProof/>
                <w:sz w:val="16"/>
                <w:szCs w:val="16"/>
              </w:rPr>
              <w:t>0,250</w:t>
            </w:r>
          </w:p>
        </w:tc>
        <w:tc>
          <w:tcPr>
            <w:tcW w:w="731" w:type="dxa"/>
            <w:shd w:val="clear" w:color="auto" w:fill="auto"/>
            <w:vAlign w:val="center"/>
          </w:tcPr>
          <w:p w14:paraId="7DFAA11B" w14:textId="4B9C6984" w:rsidR="00517420" w:rsidRPr="006F430E" w:rsidRDefault="00E20324" w:rsidP="00517420">
            <w:pPr>
              <w:spacing w:beforeLines="20" w:before="48" w:afterLines="20" w:after="48"/>
              <w:jc w:val="center"/>
              <w:rPr>
                <w:noProof/>
                <w:sz w:val="16"/>
                <w:szCs w:val="16"/>
              </w:rPr>
            </w:pPr>
            <w:r w:rsidRPr="006F430E">
              <w:rPr>
                <w:noProof/>
                <w:sz w:val="16"/>
                <w:szCs w:val="16"/>
              </w:rPr>
              <w:t>0,150</w:t>
            </w:r>
          </w:p>
        </w:tc>
        <w:tc>
          <w:tcPr>
            <w:tcW w:w="731" w:type="dxa"/>
            <w:shd w:val="clear" w:color="auto" w:fill="auto"/>
            <w:vAlign w:val="center"/>
          </w:tcPr>
          <w:p w14:paraId="13039680" w14:textId="010F5E20" w:rsidR="00517420" w:rsidRPr="006F430E" w:rsidRDefault="00E20324" w:rsidP="00517420">
            <w:pPr>
              <w:spacing w:beforeLines="20" w:before="48" w:afterLines="20" w:after="48"/>
              <w:jc w:val="center"/>
              <w:rPr>
                <w:noProof/>
                <w:sz w:val="16"/>
                <w:szCs w:val="16"/>
              </w:rPr>
            </w:pPr>
            <w:r w:rsidRPr="006F430E">
              <w:rPr>
                <w:noProof/>
                <w:sz w:val="16"/>
                <w:szCs w:val="16"/>
              </w:rPr>
              <w:t>0,010</w:t>
            </w:r>
          </w:p>
        </w:tc>
        <w:tc>
          <w:tcPr>
            <w:tcW w:w="786" w:type="dxa"/>
            <w:vAlign w:val="center"/>
          </w:tcPr>
          <w:p w14:paraId="15E5FBB0" w14:textId="71EA6AFC" w:rsidR="00517420" w:rsidRPr="006F430E" w:rsidRDefault="00E20324" w:rsidP="00517420">
            <w:pPr>
              <w:spacing w:beforeLines="20" w:before="48" w:afterLines="20" w:after="48"/>
              <w:jc w:val="center"/>
              <w:rPr>
                <w:noProof/>
                <w:sz w:val="16"/>
                <w:szCs w:val="16"/>
              </w:rPr>
            </w:pPr>
            <w:r w:rsidRPr="006F430E">
              <w:rPr>
                <w:noProof/>
                <w:sz w:val="16"/>
                <w:szCs w:val="16"/>
              </w:rPr>
              <w:t>0,100</w:t>
            </w:r>
          </w:p>
        </w:tc>
      </w:tr>
      <w:tr w:rsidR="00517420" w:rsidRPr="006F430E" w14:paraId="7AA0A393" w14:textId="77777777" w:rsidTr="006805B3">
        <w:trPr>
          <w:gridBefore w:val="1"/>
          <w:wBefore w:w="15" w:type="dxa"/>
          <w:trHeight w:val="289"/>
          <w:jc w:val="center"/>
        </w:trPr>
        <w:tc>
          <w:tcPr>
            <w:tcW w:w="4754" w:type="dxa"/>
            <w:gridSpan w:val="4"/>
            <w:shd w:val="clear" w:color="auto" w:fill="auto"/>
            <w:vAlign w:val="center"/>
          </w:tcPr>
          <w:p w14:paraId="61D1E34F" w14:textId="77777777" w:rsidR="00517420" w:rsidRPr="006F430E" w:rsidRDefault="00517420" w:rsidP="00517420">
            <w:pPr>
              <w:pStyle w:val="Text1"/>
              <w:spacing w:beforeLines="20" w:before="48" w:afterLines="20" w:after="48"/>
              <w:ind w:left="134"/>
              <w:jc w:val="left"/>
              <w:rPr>
                <w:noProof/>
                <w:sz w:val="16"/>
              </w:rPr>
            </w:pPr>
            <w:r w:rsidRPr="006F430E">
              <w:rPr>
                <w:noProof/>
                <w:sz w:val="16"/>
              </w:rPr>
              <w:t>20 01 02 03 (Délégations)</w:t>
            </w:r>
          </w:p>
        </w:tc>
        <w:tc>
          <w:tcPr>
            <w:tcW w:w="731" w:type="dxa"/>
            <w:shd w:val="clear" w:color="auto" w:fill="auto"/>
            <w:vAlign w:val="center"/>
          </w:tcPr>
          <w:p w14:paraId="4C0A383F"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3F1CADF7"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4A4AB7D8"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2F7BAE84" w14:textId="77777777" w:rsidR="00517420" w:rsidRPr="006F430E" w:rsidRDefault="00517420" w:rsidP="00517420">
            <w:pPr>
              <w:spacing w:beforeLines="20" w:before="48" w:afterLines="20" w:after="48"/>
              <w:jc w:val="center"/>
              <w:rPr>
                <w:noProof/>
                <w:sz w:val="16"/>
                <w:szCs w:val="16"/>
              </w:rPr>
            </w:pPr>
          </w:p>
        </w:tc>
        <w:tc>
          <w:tcPr>
            <w:tcW w:w="786" w:type="dxa"/>
          </w:tcPr>
          <w:p w14:paraId="0A209EB8" w14:textId="77777777" w:rsidR="00517420" w:rsidRPr="006F430E" w:rsidRDefault="00517420" w:rsidP="00517420">
            <w:pPr>
              <w:spacing w:beforeLines="20" w:before="48" w:afterLines="20" w:after="48"/>
              <w:jc w:val="center"/>
              <w:rPr>
                <w:noProof/>
                <w:sz w:val="16"/>
                <w:szCs w:val="16"/>
              </w:rPr>
            </w:pPr>
          </w:p>
        </w:tc>
      </w:tr>
      <w:tr w:rsidR="00517420" w:rsidRPr="006F430E" w14:paraId="429ADD19" w14:textId="77777777" w:rsidTr="006805B3">
        <w:trPr>
          <w:gridBefore w:val="1"/>
          <w:wBefore w:w="15" w:type="dxa"/>
          <w:trHeight w:val="289"/>
          <w:jc w:val="center"/>
        </w:trPr>
        <w:tc>
          <w:tcPr>
            <w:tcW w:w="4754" w:type="dxa"/>
            <w:gridSpan w:val="4"/>
            <w:shd w:val="clear" w:color="auto" w:fill="auto"/>
            <w:vAlign w:val="center"/>
          </w:tcPr>
          <w:p w14:paraId="7FB03F20" w14:textId="77777777" w:rsidR="00517420" w:rsidRPr="006F430E" w:rsidRDefault="00517420" w:rsidP="00517420">
            <w:pPr>
              <w:pStyle w:val="Text1"/>
              <w:spacing w:beforeLines="20" w:before="48" w:afterLines="20" w:after="48"/>
              <w:ind w:left="134"/>
              <w:jc w:val="left"/>
              <w:rPr>
                <w:noProof/>
                <w:sz w:val="16"/>
                <w:szCs w:val="16"/>
              </w:rPr>
            </w:pPr>
            <w:r w:rsidRPr="006F430E">
              <w:rPr>
                <w:noProof/>
                <w:sz w:val="16"/>
              </w:rPr>
              <w:t>01 01 01 01</w:t>
            </w:r>
            <w:r w:rsidRPr="006F430E">
              <w:rPr>
                <w:rFonts w:ascii="Arial Narrow" w:hAnsi="Arial Narrow"/>
                <w:noProof/>
                <w:color w:val="000000"/>
                <w:sz w:val="20"/>
                <w:szCs w:val="20"/>
              </w:rPr>
              <w:t xml:space="preserve"> </w:t>
            </w:r>
            <w:r w:rsidRPr="006F430E">
              <w:rPr>
                <w:noProof/>
                <w:sz w:val="16"/>
              </w:rPr>
              <w:t xml:space="preserve"> (recherche indirecte)</w:t>
            </w:r>
          </w:p>
        </w:tc>
        <w:tc>
          <w:tcPr>
            <w:tcW w:w="731" w:type="dxa"/>
            <w:shd w:val="clear" w:color="auto" w:fill="auto"/>
            <w:vAlign w:val="center"/>
          </w:tcPr>
          <w:p w14:paraId="2772B13A"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7605C89F"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56EE71B3"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148CB646" w14:textId="77777777" w:rsidR="00517420" w:rsidRPr="006F430E" w:rsidRDefault="00517420" w:rsidP="00517420">
            <w:pPr>
              <w:spacing w:beforeLines="20" w:before="48" w:afterLines="20" w:after="48"/>
              <w:jc w:val="center"/>
              <w:rPr>
                <w:noProof/>
                <w:sz w:val="16"/>
                <w:szCs w:val="16"/>
              </w:rPr>
            </w:pPr>
          </w:p>
        </w:tc>
        <w:tc>
          <w:tcPr>
            <w:tcW w:w="786" w:type="dxa"/>
          </w:tcPr>
          <w:p w14:paraId="609F5216" w14:textId="77777777" w:rsidR="00517420" w:rsidRPr="006F430E" w:rsidRDefault="00517420" w:rsidP="00517420">
            <w:pPr>
              <w:spacing w:beforeLines="20" w:before="48" w:afterLines="20" w:after="48"/>
              <w:jc w:val="center"/>
              <w:rPr>
                <w:noProof/>
                <w:sz w:val="16"/>
                <w:szCs w:val="16"/>
              </w:rPr>
            </w:pPr>
          </w:p>
        </w:tc>
      </w:tr>
      <w:tr w:rsidR="00517420" w:rsidRPr="006F430E" w14:paraId="6CD9DC67" w14:textId="77777777" w:rsidTr="006805B3">
        <w:trPr>
          <w:gridBefore w:val="1"/>
          <w:wBefore w:w="15" w:type="dxa"/>
          <w:trHeight w:val="289"/>
          <w:jc w:val="center"/>
        </w:trPr>
        <w:tc>
          <w:tcPr>
            <w:tcW w:w="4754" w:type="dxa"/>
            <w:gridSpan w:val="4"/>
            <w:shd w:val="clear" w:color="auto" w:fill="auto"/>
            <w:vAlign w:val="center"/>
          </w:tcPr>
          <w:p w14:paraId="4A20EDE9" w14:textId="77777777" w:rsidR="00517420" w:rsidRPr="006F430E" w:rsidRDefault="00517420" w:rsidP="00517420">
            <w:pPr>
              <w:pStyle w:val="Text1"/>
              <w:spacing w:beforeLines="20" w:before="48" w:afterLines="20" w:after="48"/>
              <w:ind w:left="134"/>
              <w:jc w:val="left"/>
              <w:rPr>
                <w:noProof/>
                <w:sz w:val="16"/>
                <w:szCs w:val="16"/>
              </w:rPr>
            </w:pPr>
            <w:r w:rsidRPr="006F430E">
              <w:rPr>
                <w:noProof/>
                <w:sz w:val="16"/>
              </w:rPr>
              <w:t xml:space="preserve"> 01 01 01 11 (recherche directe)</w:t>
            </w:r>
          </w:p>
        </w:tc>
        <w:tc>
          <w:tcPr>
            <w:tcW w:w="731" w:type="dxa"/>
            <w:shd w:val="clear" w:color="auto" w:fill="auto"/>
            <w:vAlign w:val="center"/>
          </w:tcPr>
          <w:p w14:paraId="6C53D7B6"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678759AD"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4E8825BA"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581C2F47" w14:textId="77777777" w:rsidR="00517420" w:rsidRPr="006F430E" w:rsidRDefault="00517420" w:rsidP="00517420">
            <w:pPr>
              <w:spacing w:beforeLines="20" w:before="48" w:afterLines="20" w:after="48"/>
              <w:jc w:val="center"/>
              <w:rPr>
                <w:noProof/>
                <w:sz w:val="16"/>
                <w:szCs w:val="16"/>
              </w:rPr>
            </w:pPr>
          </w:p>
        </w:tc>
        <w:tc>
          <w:tcPr>
            <w:tcW w:w="786" w:type="dxa"/>
          </w:tcPr>
          <w:p w14:paraId="7FD633CC" w14:textId="77777777" w:rsidR="00517420" w:rsidRPr="006F430E" w:rsidRDefault="00517420" w:rsidP="00517420">
            <w:pPr>
              <w:spacing w:beforeLines="20" w:before="48" w:afterLines="20" w:after="48"/>
              <w:jc w:val="center"/>
              <w:rPr>
                <w:noProof/>
                <w:sz w:val="16"/>
                <w:szCs w:val="16"/>
              </w:rPr>
            </w:pPr>
          </w:p>
        </w:tc>
      </w:tr>
      <w:tr w:rsidR="00517420" w:rsidRPr="006F430E" w14:paraId="352EF6F3" w14:textId="77777777" w:rsidTr="006805B3">
        <w:trPr>
          <w:gridBefore w:val="1"/>
          <w:wBefore w:w="15" w:type="dxa"/>
          <w:trHeight w:val="289"/>
          <w:jc w:val="center"/>
        </w:trPr>
        <w:tc>
          <w:tcPr>
            <w:tcW w:w="4754" w:type="dxa"/>
            <w:gridSpan w:val="4"/>
            <w:shd w:val="clear" w:color="auto" w:fill="auto"/>
            <w:vAlign w:val="center"/>
          </w:tcPr>
          <w:p w14:paraId="7CE95C97" w14:textId="77777777" w:rsidR="00517420" w:rsidRPr="006F430E" w:rsidRDefault="00517420" w:rsidP="00517420">
            <w:pPr>
              <w:pStyle w:val="Text1"/>
              <w:spacing w:beforeLines="20" w:before="48" w:afterLines="20" w:after="48"/>
              <w:ind w:left="134"/>
              <w:jc w:val="left"/>
              <w:rPr>
                <w:noProof/>
                <w:sz w:val="16"/>
              </w:rPr>
            </w:pPr>
            <w:r w:rsidRPr="006F430E">
              <w:rPr>
                <w:noProof/>
                <w:sz w:val="16"/>
              </w:rPr>
              <w:t>Autres lignes budgétaires (à préciser)</w:t>
            </w:r>
          </w:p>
        </w:tc>
        <w:tc>
          <w:tcPr>
            <w:tcW w:w="731" w:type="dxa"/>
            <w:shd w:val="clear" w:color="auto" w:fill="auto"/>
            <w:vAlign w:val="center"/>
          </w:tcPr>
          <w:p w14:paraId="1F9212C1"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41E6405E"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39403037"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6E866E31" w14:textId="77777777" w:rsidR="00517420" w:rsidRPr="006F430E" w:rsidRDefault="00517420" w:rsidP="00517420">
            <w:pPr>
              <w:spacing w:beforeLines="20" w:before="48" w:afterLines="20" w:after="48"/>
              <w:jc w:val="center"/>
              <w:rPr>
                <w:noProof/>
                <w:sz w:val="16"/>
                <w:szCs w:val="16"/>
              </w:rPr>
            </w:pPr>
          </w:p>
        </w:tc>
        <w:tc>
          <w:tcPr>
            <w:tcW w:w="786" w:type="dxa"/>
          </w:tcPr>
          <w:p w14:paraId="02063CE2" w14:textId="77777777" w:rsidR="00517420" w:rsidRPr="006F430E" w:rsidRDefault="00517420" w:rsidP="00517420">
            <w:pPr>
              <w:spacing w:beforeLines="20" w:before="48" w:afterLines="20" w:after="48"/>
              <w:jc w:val="center"/>
              <w:rPr>
                <w:noProof/>
                <w:sz w:val="16"/>
                <w:szCs w:val="16"/>
              </w:rPr>
            </w:pPr>
          </w:p>
        </w:tc>
      </w:tr>
      <w:tr w:rsidR="00517420" w:rsidRPr="006F430E" w14:paraId="213885D3" w14:textId="77777777" w:rsidTr="006805B3">
        <w:trPr>
          <w:trHeight w:val="248"/>
          <w:jc w:val="center"/>
        </w:trPr>
        <w:tc>
          <w:tcPr>
            <w:tcW w:w="2193" w:type="dxa"/>
            <w:gridSpan w:val="2"/>
          </w:tcPr>
          <w:p w14:paraId="5B76D4E9" w14:textId="77777777" w:rsidR="00517420" w:rsidRPr="006F430E" w:rsidRDefault="00517420" w:rsidP="00517420">
            <w:pPr>
              <w:pStyle w:val="Text1"/>
              <w:spacing w:before="60" w:after="60"/>
              <w:ind w:left="0"/>
              <w:jc w:val="left"/>
              <w:rPr>
                <w:b/>
                <w:noProof/>
                <w:sz w:val="16"/>
              </w:rPr>
            </w:pPr>
          </w:p>
        </w:tc>
        <w:tc>
          <w:tcPr>
            <w:tcW w:w="6286" w:type="dxa"/>
            <w:gridSpan w:val="8"/>
            <w:shd w:val="clear" w:color="auto" w:fill="auto"/>
            <w:vAlign w:val="center"/>
          </w:tcPr>
          <w:p w14:paraId="65C4887D" w14:textId="445A68E4" w:rsidR="00517420" w:rsidRPr="006F430E" w:rsidRDefault="00517420" w:rsidP="00517420">
            <w:pPr>
              <w:pStyle w:val="Text1"/>
              <w:spacing w:before="60" w:after="60"/>
              <w:ind w:left="0"/>
              <w:jc w:val="left"/>
              <w:rPr>
                <w:b/>
                <w:noProof/>
                <w:sz w:val="16"/>
                <w:szCs w:val="16"/>
              </w:rPr>
            </w:pPr>
            <w:r w:rsidRPr="006F430E">
              <w:rPr>
                <w:b/>
                <w:noProof/>
                <w:sz w:val="16"/>
              </w:rPr>
              <w:sym w:font="Wingdings" w:char="F09F"/>
            </w:r>
            <w:r w:rsidRPr="006F430E">
              <w:rPr>
                <w:b/>
                <w:noProof/>
                <w:sz w:val="16"/>
              </w:rPr>
              <w:t>Personnel externe (en équivalents temps plein: ETP)</w:t>
            </w:r>
            <w:r w:rsidRPr="006F430E">
              <w:rPr>
                <w:rStyle w:val="FootnoteReference"/>
                <w:b/>
                <w:noProof/>
                <w:sz w:val="16"/>
              </w:rPr>
              <w:footnoteReference w:id="21"/>
            </w:r>
          </w:p>
          <w:p w14:paraId="3FB516CD" w14:textId="77777777" w:rsidR="00517420" w:rsidRPr="006F430E" w:rsidRDefault="00517420" w:rsidP="00517420">
            <w:pPr>
              <w:pStyle w:val="Text1"/>
              <w:spacing w:before="0" w:after="0"/>
              <w:ind w:left="0"/>
              <w:jc w:val="left"/>
              <w:rPr>
                <w:noProof/>
                <w:sz w:val="16"/>
                <w:szCs w:val="16"/>
              </w:rPr>
            </w:pPr>
          </w:p>
        </w:tc>
      </w:tr>
      <w:tr w:rsidR="00517420" w:rsidRPr="006F430E" w14:paraId="0DEEE313" w14:textId="77777777" w:rsidTr="00D027DC">
        <w:trPr>
          <w:gridBefore w:val="1"/>
          <w:wBefore w:w="15" w:type="dxa"/>
          <w:trHeight w:val="540"/>
          <w:jc w:val="center"/>
        </w:trPr>
        <w:tc>
          <w:tcPr>
            <w:tcW w:w="4754" w:type="dxa"/>
            <w:gridSpan w:val="4"/>
            <w:shd w:val="clear" w:color="auto" w:fill="auto"/>
            <w:vAlign w:val="center"/>
          </w:tcPr>
          <w:p w14:paraId="1072B0D8" w14:textId="77777777" w:rsidR="00517420" w:rsidRPr="006F430E" w:rsidRDefault="00517420" w:rsidP="00517420">
            <w:pPr>
              <w:pStyle w:val="Text1"/>
              <w:spacing w:beforeLines="20" w:before="48" w:afterLines="20" w:after="48"/>
              <w:ind w:left="136"/>
              <w:jc w:val="left"/>
              <w:rPr>
                <w:b/>
                <w:noProof/>
                <w:sz w:val="16"/>
                <w:szCs w:val="16"/>
              </w:rPr>
            </w:pPr>
            <w:r w:rsidRPr="006F430E">
              <w:rPr>
                <w:noProof/>
                <w:sz w:val="16"/>
              </w:rPr>
              <w:t>20 02 01</w:t>
            </w:r>
            <w:r w:rsidRPr="006F430E">
              <w:rPr>
                <w:rFonts w:ascii="Arial Narrow" w:hAnsi="Arial Narrow"/>
                <w:noProof/>
                <w:color w:val="000000"/>
                <w:sz w:val="20"/>
                <w:szCs w:val="20"/>
              </w:rPr>
              <w:t xml:space="preserve"> </w:t>
            </w:r>
            <w:r w:rsidRPr="006F430E">
              <w:rPr>
                <w:noProof/>
                <w:sz w:val="16"/>
              </w:rPr>
              <w:t>(AC, END, INT de l’enveloppe globale)</w:t>
            </w:r>
          </w:p>
        </w:tc>
        <w:tc>
          <w:tcPr>
            <w:tcW w:w="731" w:type="dxa"/>
            <w:shd w:val="clear" w:color="auto" w:fill="auto"/>
            <w:vAlign w:val="center"/>
          </w:tcPr>
          <w:p w14:paraId="1AF702FF" w14:textId="6D188561" w:rsidR="00517420" w:rsidRPr="006F430E" w:rsidRDefault="00E20324" w:rsidP="00517420">
            <w:pPr>
              <w:spacing w:beforeLines="20" w:before="48" w:afterLines="20" w:after="48"/>
              <w:jc w:val="center"/>
              <w:rPr>
                <w:noProof/>
                <w:sz w:val="16"/>
                <w:szCs w:val="16"/>
              </w:rPr>
            </w:pPr>
            <w:r w:rsidRPr="006F430E">
              <w:rPr>
                <w:noProof/>
                <w:sz w:val="16"/>
                <w:szCs w:val="16"/>
              </w:rPr>
              <w:t>0,200</w:t>
            </w:r>
          </w:p>
        </w:tc>
        <w:tc>
          <w:tcPr>
            <w:tcW w:w="731" w:type="dxa"/>
            <w:shd w:val="clear" w:color="auto" w:fill="auto"/>
            <w:vAlign w:val="center"/>
          </w:tcPr>
          <w:p w14:paraId="113AB0C7" w14:textId="61AB3188" w:rsidR="00517420" w:rsidRPr="006F430E" w:rsidRDefault="00E20324" w:rsidP="00517420">
            <w:pPr>
              <w:spacing w:beforeLines="20" w:before="48" w:afterLines="20" w:after="48"/>
              <w:jc w:val="center"/>
              <w:rPr>
                <w:noProof/>
                <w:sz w:val="16"/>
                <w:szCs w:val="16"/>
              </w:rPr>
            </w:pPr>
            <w:r w:rsidRPr="006F430E">
              <w:rPr>
                <w:noProof/>
                <w:sz w:val="16"/>
                <w:szCs w:val="16"/>
              </w:rPr>
              <w:t>0,350</w:t>
            </w:r>
          </w:p>
        </w:tc>
        <w:tc>
          <w:tcPr>
            <w:tcW w:w="731" w:type="dxa"/>
            <w:shd w:val="clear" w:color="auto" w:fill="auto"/>
            <w:vAlign w:val="center"/>
          </w:tcPr>
          <w:p w14:paraId="139C885B" w14:textId="65772370" w:rsidR="00517420" w:rsidRPr="006F430E" w:rsidRDefault="00E20324" w:rsidP="00517420">
            <w:pPr>
              <w:spacing w:beforeLines="20" w:before="48" w:afterLines="20" w:after="48"/>
              <w:jc w:val="center"/>
              <w:rPr>
                <w:noProof/>
                <w:sz w:val="16"/>
                <w:szCs w:val="16"/>
              </w:rPr>
            </w:pPr>
            <w:r w:rsidRPr="006F430E">
              <w:rPr>
                <w:noProof/>
                <w:sz w:val="16"/>
                <w:szCs w:val="16"/>
              </w:rPr>
              <w:t>0,200</w:t>
            </w:r>
          </w:p>
        </w:tc>
        <w:tc>
          <w:tcPr>
            <w:tcW w:w="731" w:type="dxa"/>
            <w:shd w:val="clear" w:color="auto" w:fill="auto"/>
            <w:vAlign w:val="center"/>
          </w:tcPr>
          <w:p w14:paraId="7727B82A" w14:textId="4B378F16" w:rsidR="00517420" w:rsidRPr="006F430E" w:rsidRDefault="00E20324" w:rsidP="00517420">
            <w:pPr>
              <w:spacing w:beforeLines="20" w:before="48" w:afterLines="20" w:after="48"/>
              <w:jc w:val="center"/>
              <w:rPr>
                <w:noProof/>
                <w:sz w:val="16"/>
                <w:szCs w:val="16"/>
              </w:rPr>
            </w:pPr>
            <w:r w:rsidRPr="006F430E">
              <w:rPr>
                <w:noProof/>
                <w:sz w:val="16"/>
                <w:szCs w:val="16"/>
              </w:rPr>
              <w:t>0,010</w:t>
            </w:r>
          </w:p>
        </w:tc>
        <w:tc>
          <w:tcPr>
            <w:tcW w:w="786" w:type="dxa"/>
            <w:vAlign w:val="center"/>
          </w:tcPr>
          <w:p w14:paraId="4B7E7668" w14:textId="21F2307C" w:rsidR="00517420" w:rsidRPr="006F430E" w:rsidRDefault="00E20324" w:rsidP="00517420">
            <w:pPr>
              <w:spacing w:beforeLines="20" w:before="48" w:afterLines="20" w:after="48"/>
              <w:jc w:val="center"/>
              <w:rPr>
                <w:noProof/>
                <w:sz w:val="16"/>
                <w:szCs w:val="16"/>
              </w:rPr>
            </w:pPr>
            <w:r w:rsidRPr="006F430E">
              <w:rPr>
                <w:noProof/>
                <w:sz w:val="16"/>
                <w:szCs w:val="16"/>
              </w:rPr>
              <w:t>0,100</w:t>
            </w:r>
          </w:p>
        </w:tc>
      </w:tr>
      <w:tr w:rsidR="00517420" w:rsidRPr="006F430E" w14:paraId="66D68A64" w14:textId="77777777" w:rsidTr="006805B3">
        <w:trPr>
          <w:gridBefore w:val="1"/>
          <w:wBefore w:w="15" w:type="dxa"/>
          <w:trHeight w:val="289"/>
          <w:jc w:val="center"/>
        </w:trPr>
        <w:tc>
          <w:tcPr>
            <w:tcW w:w="4754" w:type="dxa"/>
            <w:gridSpan w:val="4"/>
            <w:shd w:val="clear" w:color="auto" w:fill="auto"/>
            <w:vAlign w:val="center"/>
          </w:tcPr>
          <w:p w14:paraId="208A0EFF" w14:textId="77777777" w:rsidR="00517420" w:rsidRPr="006F430E" w:rsidRDefault="00517420" w:rsidP="00517420">
            <w:pPr>
              <w:pStyle w:val="Text1"/>
              <w:spacing w:beforeLines="20" w:before="48" w:afterLines="20" w:after="48"/>
              <w:ind w:left="136"/>
              <w:jc w:val="left"/>
              <w:rPr>
                <w:noProof/>
                <w:sz w:val="16"/>
              </w:rPr>
            </w:pPr>
            <w:r w:rsidRPr="006F430E">
              <w:rPr>
                <w:noProof/>
                <w:sz w:val="16"/>
              </w:rPr>
              <w:t>20 02 03 (AC, AL, END, INT et JPD dans les délégations)</w:t>
            </w:r>
          </w:p>
        </w:tc>
        <w:tc>
          <w:tcPr>
            <w:tcW w:w="731" w:type="dxa"/>
            <w:shd w:val="clear" w:color="auto" w:fill="auto"/>
            <w:vAlign w:val="center"/>
          </w:tcPr>
          <w:p w14:paraId="6B6DFDDD"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75B0EE15"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1FAAA3ED"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705F7E28" w14:textId="77777777" w:rsidR="00517420" w:rsidRPr="006F430E" w:rsidRDefault="00517420" w:rsidP="00517420">
            <w:pPr>
              <w:spacing w:beforeLines="20" w:before="48" w:afterLines="20" w:after="48"/>
              <w:jc w:val="center"/>
              <w:rPr>
                <w:noProof/>
                <w:sz w:val="16"/>
                <w:szCs w:val="16"/>
              </w:rPr>
            </w:pPr>
          </w:p>
        </w:tc>
        <w:tc>
          <w:tcPr>
            <w:tcW w:w="786" w:type="dxa"/>
          </w:tcPr>
          <w:p w14:paraId="5930ABE2" w14:textId="77777777" w:rsidR="00517420" w:rsidRPr="006F430E" w:rsidRDefault="00517420" w:rsidP="00517420">
            <w:pPr>
              <w:spacing w:beforeLines="20" w:before="48" w:afterLines="20" w:after="48"/>
              <w:jc w:val="center"/>
              <w:rPr>
                <w:noProof/>
                <w:sz w:val="16"/>
                <w:szCs w:val="16"/>
              </w:rPr>
            </w:pPr>
          </w:p>
        </w:tc>
      </w:tr>
      <w:tr w:rsidR="00517420" w:rsidRPr="006F430E" w14:paraId="4B2C9B68" w14:textId="77777777" w:rsidTr="006805B3">
        <w:trPr>
          <w:gridBefore w:val="1"/>
          <w:wBefore w:w="15" w:type="dxa"/>
          <w:trHeight w:val="289"/>
          <w:jc w:val="center"/>
        </w:trPr>
        <w:tc>
          <w:tcPr>
            <w:tcW w:w="2376" w:type="dxa"/>
            <w:gridSpan w:val="3"/>
            <w:vMerge w:val="restart"/>
            <w:shd w:val="clear" w:color="auto" w:fill="auto"/>
            <w:vAlign w:val="center"/>
          </w:tcPr>
          <w:p w14:paraId="4F8803C8" w14:textId="77777777" w:rsidR="00517420" w:rsidRPr="006F430E" w:rsidRDefault="00517420" w:rsidP="00517420">
            <w:pPr>
              <w:pStyle w:val="Text1"/>
              <w:spacing w:beforeLines="20" w:before="48" w:afterLines="20" w:after="48"/>
              <w:ind w:left="136"/>
              <w:jc w:val="left"/>
              <w:rPr>
                <w:b/>
                <w:noProof/>
                <w:sz w:val="16"/>
                <w:szCs w:val="16"/>
              </w:rPr>
            </w:pPr>
            <w:r w:rsidRPr="006F430E">
              <w:rPr>
                <w:b/>
                <w:noProof/>
                <w:sz w:val="16"/>
                <w:szCs w:val="16"/>
              </w:rPr>
              <w:t>XX</w:t>
            </w:r>
            <w:r w:rsidRPr="006F430E">
              <w:rPr>
                <w:noProof/>
                <w:sz w:val="16"/>
                <w:szCs w:val="16"/>
              </w:rPr>
              <w:t xml:space="preserve"> 01 xx </w:t>
            </w:r>
            <w:r w:rsidRPr="006F430E">
              <w:rPr>
                <w:b/>
                <w:noProof/>
                <w:sz w:val="16"/>
                <w:szCs w:val="16"/>
              </w:rPr>
              <w:t xml:space="preserve">yy zz </w:t>
            </w:r>
            <w:r w:rsidRPr="006F430E">
              <w:rPr>
                <w:b/>
                <w:i/>
                <w:noProof/>
                <w:sz w:val="16"/>
              </w:rPr>
              <w:t xml:space="preserve"> </w:t>
            </w:r>
            <w:r w:rsidRPr="006F430E">
              <w:rPr>
                <w:rStyle w:val="FootnoteReference"/>
                <w:b/>
                <w:i/>
                <w:noProof/>
                <w:sz w:val="16"/>
              </w:rPr>
              <w:footnoteReference w:id="22"/>
            </w:r>
          </w:p>
          <w:p w14:paraId="3005E740" w14:textId="77777777" w:rsidR="00517420" w:rsidRPr="006F430E" w:rsidRDefault="00517420" w:rsidP="00517420">
            <w:pPr>
              <w:pStyle w:val="Text1"/>
              <w:spacing w:beforeLines="20" w:before="48" w:afterLines="20" w:after="48"/>
              <w:ind w:left="136"/>
              <w:jc w:val="left"/>
              <w:rPr>
                <w:b/>
                <w:noProof/>
                <w:sz w:val="16"/>
                <w:szCs w:val="16"/>
              </w:rPr>
            </w:pPr>
          </w:p>
        </w:tc>
        <w:tc>
          <w:tcPr>
            <w:tcW w:w="2378" w:type="dxa"/>
            <w:shd w:val="clear" w:color="auto" w:fill="auto"/>
            <w:vAlign w:val="center"/>
          </w:tcPr>
          <w:p w14:paraId="6D8542B0" w14:textId="77777777" w:rsidR="00517420" w:rsidRPr="006F430E" w:rsidRDefault="00517420" w:rsidP="00517420">
            <w:pPr>
              <w:pStyle w:val="Text1"/>
              <w:spacing w:beforeLines="20" w:before="48" w:afterLines="20" w:after="48"/>
              <w:ind w:left="136"/>
              <w:jc w:val="left"/>
              <w:rPr>
                <w:b/>
                <w:noProof/>
                <w:sz w:val="16"/>
                <w:szCs w:val="16"/>
              </w:rPr>
            </w:pPr>
            <w:r w:rsidRPr="006F430E">
              <w:rPr>
                <w:noProof/>
                <w:sz w:val="16"/>
              </w:rPr>
              <w:t>- au siège</w:t>
            </w:r>
          </w:p>
          <w:p w14:paraId="2C5C3BDF" w14:textId="77777777" w:rsidR="00517420" w:rsidRPr="006F430E" w:rsidRDefault="00517420" w:rsidP="00517420">
            <w:pPr>
              <w:pStyle w:val="Text1"/>
              <w:spacing w:beforeLines="20" w:before="48" w:afterLines="20" w:after="48"/>
              <w:ind w:left="136"/>
              <w:jc w:val="left"/>
              <w:rPr>
                <w:b/>
                <w:noProof/>
                <w:sz w:val="16"/>
                <w:szCs w:val="16"/>
              </w:rPr>
            </w:pPr>
          </w:p>
        </w:tc>
        <w:tc>
          <w:tcPr>
            <w:tcW w:w="731" w:type="dxa"/>
            <w:shd w:val="clear" w:color="auto" w:fill="auto"/>
            <w:vAlign w:val="center"/>
          </w:tcPr>
          <w:p w14:paraId="69719D12" w14:textId="77777777" w:rsidR="00517420" w:rsidRPr="006F430E" w:rsidRDefault="00517420" w:rsidP="00517420">
            <w:pPr>
              <w:pStyle w:val="Text1"/>
              <w:spacing w:beforeLines="20" w:before="48" w:afterLines="20" w:after="48"/>
              <w:ind w:left="0"/>
              <w:rPr>
                <w:noProof/>
                <w:sz w:val="16"/>
                <w:szCs w:val="16"/>
              </w:rPr>
            </w:pPr>
          </w:p>
        </w:tc>
        <w:tc>
          <w:tcPr>
            <w:tcW w:w="731" w:type="dxa"/>
            <w:shd w:val="clear" w:color="auto" w:fill="auto"/>
            <w:vAlign w:val="center"/>
          </w:tcPr>
          <w:p w14:paraId="46A3AB2F"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0FEAF648"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43F6D138" w14:textId="77777777" w:rsidR="00517420" w:rsidRPr="006F430E" w:rsidRDefault="00517420" w:rsidP="00517420">
            <w:pPr>
              <w:spacing w:beforeLines="20" w:before="48" w:afterLines="20" w:after="48"/>
              <w:jc w:val="center"/>
              <w:rPr>
                <w:noProof/>
                <w:sz w:val="16"/>
                <w:szCs w:val="16"/>
              </w:rPr>
            </w:pPr>
          </w:p>
        </w:tc>
        <w:tc>
          <w:tcPr>
            <w:tcW w:w="786" w:type="dxa"/>
          </w:tcPr>
          <w:p w14:paraId="75B4629D" w14:textId="77777777" w:rsidR="00517420" w:rsidRPr="006F430E" w:rsidRDefault="00517420" w:rsidP="00517420">
            <w:pPr>
              <w:spacing w:beforeLines="20" w:before="48" w:afterLines="20" w:after="48"/>
              <w:jc w:val="center"/>
              <w:rPr>
                <w:noProof/>
                <w:sz w:val="16"/>
                <w:szCs w:val="16"/>
              </w:rPr>
            </w:pPr>
          </w:p>
        </w:tc>
      </w:tr>
      <w:tr w:rsidR="00517420" w:rsidRPr="006F430E" w14:paraId="4DD85C47" w14:textId="77777777" w:rsidTr="006805B3">
        <w:trPr>
          <w:gridBefore w:val="1"/>
          <w:wBefore w:w="15" w:type="dxa"/>
          <w:trHeight w:val="289"/>
          <w:jc w:val="center"/>
        </w:trPr>
        <w:tc>
          <w:tcPr>
            <w:tcW w:w="2376" w:type="dxa"/>
            <w:gridSpan w:val="3"/>
            <w:vMerge/>
            <w:shd w:val="clear" w:color="auto" w:fill="auto"/>
            <w:vAlign w:val="center"/>
          </w:tcPr>
          <w:p w14:paraId="0952C1C5" w14:textId="77777777" w:rsidR="00517420" w:rsidRPr="006F430E" w:rsidRDefault="00517420" w:rsidP="00517420">
            <w:pPr>
              <w:pStyle w:val="Text1"/>
              <w:spacing w:beforeLines="20" w:before="48" w:afterLines="20" w:after="48"/>
              <w:ind w:left="136"/>
              <w:jc w:val="left"/>
              <w:rPr>
                <w:b/>
                <w:noProof/>
                <w:sz w:val="16"/>
                <w:szCs w:val="16"/>
              </w:rPr>
            </w:pPr>
          </w:p>
        </w:tc>
        <w:tc>
          <w:tcPr>
            <w:tcW w:w="2378" w:type="dxa"/>
            <w:shd w:val="clear" w:color="auto" w:fill="auto"/>
            <w:vAlign w:val="center"/>
          </w:tcPr>
          <w:p w14:paraId="46E06600" w14:textId="77777777" w:rsidR="00517420" w:rsidRPr="006F430E" w:rsidRDefault="00517420" w:rsidP="00517420">
            <w:pPr>
              <w:pStyle w:val="Text1"/>
              <w:spacing w:beforeLines="20" w:before="48" w:afterLines="20" w:after="48"/>
              <w:ind w:left="136"/>
              <w:jc w:val="left"/>
              <w:rPr>
                <w:b/>
                <w:noProof/>
                <w:sz w:val="16"/>
                <w:szCs w:val="16"/>
              </w:rPr>
            </w:pPr>
            <w:r w:rsidRPr="006F430E">
              <w:rPr>
                <w:noProof/>
                <w:sz w:val="16"/>
              </w:rPr>
              <w:t xml:space="preserve">- en délégation </w:t>
            </w:r>
          </w:p>
        </w:tc>
        <w:tc>
          <w:tcPr>
            <w:tcW w:w="731" w:type="dxa"/>
            <w:shd w:val="clear" w:color="auto" w:fill="auto"/>
            <w:vAlign w:val="center"/>
          </w:tcPr>
          <w:p w14:paraId="29B5FA20" w14:textId="77777777" w:rsidR="00517420" w:rsidRPr="006F430E" w:rsidRDefault="00517420" w:rsidP="00517420">
            <w:pPr>
              <w:pStyle w:val="Text1"/>
              <w:spacing w:beforeLines="20" w:before="48" w:afterLines="20" w:after="48"/>
              <w:ind w:left="0"/>
              <w:rPr>
                <w:noProof/>
                <w:sz w:val="16"/>
                <w:szCs w:val="16"/>
              </w:rPr>
            </w:pPr>
          </w:p>
        </w:tc>
        <w:tc>
          <w:tcPr>
            <w:tcW w:w="731" w:type="dxa"/>
            <w:shd w:val="clear" w:color="auto" w:fill="auto"/>
            <w:vAlign w:val="center"/>
          </w:tcPr>
          <w:p w14:paraId="45495539"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29573D02"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12CC2C47" w14:textId="77777777" w:rsidR="00517420" w:rsidRPr="006F430E" w:rsidRDefault="00517420" w:rsidP="00517420">
            <w:pPr>
              <w:spacing w:beforeLines="20" w:before="48" w:afterLines="20" w:after="48"/>
              <w:jc w:val="center"/>
              <w:rPr>
                <w:noProof/>
                <w:sz w:val="16"/>
                <w:szCs w:val="16"/>
              </w:rPr>
            </w:pPr>
          </w:p>
        </w:tc>
        <w:tc>
          <w:tcPr>
            <w:tcW w:w="786" w:type="dxa"/>
          </w:tcPr>
          <w:p w14:paraId="19686703" w14:textId="77777777" w:rsidR="00517420" w:rsidRPr="006F430E" w:rsidRDefault="00517420" w:rsidP="00517420">
            <w:pPr>
              <w:spacing w:beforeLines="20" w:before="48" w:afterLines="20" w:after="48"/>
              <w:jc w:val="center"/>
              <w:rPr>
                <w:noProof/>
                <w:sz w:val="16"/>
                <w:szCs w:val="16"/>
              </w:rPr>
            </w:pPr>
          </w:p>
        </w:tc>
      </w:tr>
      <w:tr w:rsidR="00517420" w:rsidRPr="006F430E" w14:paraId="2A2C7C5E" w14:textId="77777777" w:rsidTr="006805B3">
        <w:trPr>
          <w:gridBefore w:val="1"/>
          <w:wBefore w:w="15" w:type="dxa"/>
          <w:trHeight w:val="289"/>
          <w:jc w:val="center"/>
        </w:trPr>
        <w:tc>
          <w:tcPr>
            <w:tcW w:w="4754" w:type="dxa"/>
            <w:gridSpan w:val="4"/>
            <w:shd w:val="clear" w:color="auto" w:fill="auto"/>
            <w:vAlign w:val="center"/>
          </w:tcPr>
          <w:p w14:paraId="00590150" w14:textId="77777777" w:rsidR="00517420" w:rsidRPr="006F430E" w:rsidRDefault="00517420" w:rsidP="00517420">
            <w:pPr>
              <w:pStyle w:val="Text1"/>
              <w:spacing w:beforeLines="20" w:before="48" w:afterLines="20" w:after="48"/>
              <w:ind w:left="136"/>
              <w:jc w:val="left"/>
              <w:rPr>
                <w:noProof/>
                <w:sz w:val="16"/>
                <w:szCs w:val="16"/>
              </w:rPr>
            </w:pPr>
            <w:r w:rsidRPr="006F430E">
              <w:rPr>
                <w:noProof/>
                <w:sz w:val="16"/>
              </w:rPr>
              <w:t>01 01 01 02</w:t>
            </w:r>
            <w:r w:rsidRPr="006F430E">
              <w:rPr>
                <w:rFonts w:ascii="Arial Narrow" w:hAnsi="Arial Narrow"/>
                <w:noProof/>
                <w:color w:val="000000"/>
                <w:sz w:val="20"/>
                <w:szCs w:val="20"/>
              </w:rPr>
              <w:t xml:space="preserve"> </w:t>
            </w:r>
            <w:r w:rsidRPr="006F430E">
              <w:rPr>
                <w:noProof/>
                <w:sz w:val="16"/>
                <w:szCs w:val="16"/>
              </w:rPr>
              <w:t>(AC, END, INT - recherche indirecte)</w:t>
            </w:r>
          </w:p>
        </w:tc>
        <w:tc>
          <w:tcPr>
            <w:tcW w:w="731" w:type="dxa"/>
            <w:shd w:val="clear" w:color="auto" w:fill="auto"/>
            <w:vAlign w:val="center"/>
          </w:tcPr>
          <w:p w14:paraId="719414A7"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58E94C85"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09296A4E"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14DFD99A" w14:textId="77777777" w:rsidR="00517420" w:rsidRPr="006F430E" w:rsidRDefault="00517420" w:rsidP="00517420">
            <w:pPr>
              <w:spacing w:beforeLines="20" w:before="48" w:afterLines="20" w:after="48"/>
              <w:jc w:val="center"/>
              <w:rPr>
                <w:noProof/>
                <w:sz w:val="16"/>
                <w:szCs w:val="16"/>
              </w:rPr>
            </w:pPr>
          </w:p>
        </w:tc>
        <w:tc>
          <w:tcPr>
            <w:tcW w:w="786" w:type="dxa"/>
          </w:tcPr>
          <w:p w14:paraId="4437C656" w14:textId="77777777" w:rsidR="00517420" w:rsidRPr="006F430E" w:rsidRDefault="00517420" w:rsidP="00517420">
            <w:pPr>
              <w:spacing w:beforeLines="20" w:before="48" w:afterLines="20" w:after="48"/>
              <w:jc w:val="center"/>
              <w:rPr>
                <w:noProof/>
                <w:sz w:val="16"/>
                <w:szCs w:val="16"/>
              </w:rPr>
            </w:pPr>
          </w:p>
        </w:tc>
      </w:tr>
      <w:tr w:rsidR="00517420" w:rsidRPr="006F430E" w14:paraId="04D14AA5" w14:textId="77777777" w:rsidTr="006805B3">
        <w:trPr>
          <w:gridBefore w:val="1"/>
          <w:wBefore w:w="15" w:type="dxa"/>
          <w:trHeight w:val="289"/>
          <w:jc w:val="center"/>
        </w:trPr>
        <w:tc>
          <w:tcPr>
            <w:tcW w:w="4754" w:type="dxa"/>
            <w:gridSpan w:val="4"/>
            <w:shd w:val="clear" w:color="auto" w:fill="auto"/>
            <w:vAlign w:val="center"/>
          </w:tcPr>
          <w:p w14:paraId="07ABDCD2" w14:textId="77777777" w:rsidR="00517420" w:rsidRPr="006F430E" w:rsidRDefault="00517420" w:rsidP="00517420">
            <w:pPr>
              <w:pStyle w:val="Text1"/>
              <w:spacing w:beforeLines="20" w:before="48" w:afterLines="20" w:after="48"/>
              <w:ind w:left="136"/>
              <w:jc w:val="left"/>
              <w:rPr>
                <w:noProof/>
                <w:color w:val="FF0000"/>
                <w:sz w:val="16"/>
                <w:szCs w:val="16"/>
              </w:rPr>
            </w:pPr>
            <w:r w:rsidRPr="006F430E">
              <w:rPr>
                <w:noProof/>
                <w:sz w:val="16"/>
              </w:rPr>
              <w:t xml:space="preserve"> 01 01 01 12 (AC, END, INT - recherche directe)</w:t>
            </w:r>
          </w:p>
        </w:tc>
        <w:tc>
          <w:tcPr>
            <w:tcW w:w="731" w:type="dxa"/>
            <w:shd w:val="clear" w:color="auto" w:fill="auto"/>
            <w:vAlign w:val="center"/>
          </w:tcPr>
          <w:p w14:paraId="67432061"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153E1D01"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0AEB7B32"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06E1D9C0" w14:textId="77777777" w:rsidR="00517420" w:rsidRPr="006F430E" w:rsidRDefault="00517420" w:rsidP="00517420">
            <w:pPr>
              <w:spacing w:beforeLines="20" w:before="48" w:afterLines="20" w:after="48"/>
              <w:jc w:val="center"/>
              <w:rPr>
                <w:noProof/>
                <w:sz w:val="16"/>
                <w:szCs w:val="16"/>
              </w:rPr>
            </w:pPr>
          </w:p>
        </w:tc>
        <w:tc>
          <w:tcPr>
            <w:tcW w:w="786" w:type="dxa"/>
          </w:tcPr>
          <w:p w14:paraId="3D92693D" w14:textId="77777777" w:rsidR="00517420" w:rsidRPr="006F430E" w:rsidRDefault="00517420" w:rsidP="00517420">
            <w:pPr>
              <w:spacing w:beforeLines="20" w:before="48" w:afterLines="20" w:after="48"/>
              <w:jc w:val="center"/>
              <w:rPr>
                <w:noProof/>
                <w:sz w:val="16"/>
                <w:szCs w:val="16"/>
              </w:rPr>
            </w:pPr>
          </w:p>
        </w:tc>
      </w:tr>
      <w:tr w:rsidR="00517420" w:rsidRPr="006F430E" w14:paraId="6D1BFB69" w14:textId="77777777" w:rsidTr="006805B3">
        <w:trPr>
          <w:gridBefore w:val="1"/>
          <w:wBefore w:w="15" w:type="dxa"/>
          <w:trHeight w:val="289"/>
          <w:jc w:val="center"/>
        </w:trPr>
        <w:tc>
          <w:tcPr>
            <w:tcW w:w="4754" w:type="dxa"/>
            <w:gridSpan w:val="4"/>
            <w:shd w:val="clear" w:color="auto" w:fill="auto"/>
            <w:vAlign w:val="center"/>
          </w:tcPr>
          <w:p w14:paraId="6C295170" w14:textId="77777777" w:rsidR="00517420" w:rsidRPr="006F430E" w:rsidRDefault="00517420" w:rsidP="00517420">
            <w:pPr>
              <w:pStyle w:val="Text1"/>
              <w:spacing w:beforeLines="20" w:before="48" w:afterLines="20" w:after="48"/>
              <w:ind w:left="136"/>
              <w:jc w:val="left"/>
              <w:rPr>
                <w:noProof/>
                <w:sz w:val="16"/>
              </w:rPr>
            </w:pPr>
            <w:r w:rsidRPr="006F430E">
              <w:rPr>
                <w:noProof/>
                <w:sz w:val="16"/>
              </w:rPr>
              <w:t>Autres lignes budgétaires (à préciser)</w:t>
            </w:r>
          </w:p>
        </w:tc>
        <w:tc>
          <w:tcPr>
            <w:tcW w:w="731" w:type="dxa"/>
            <w:shd w:val="clear" w:color="auto" w:fill="auto"/>
            <w:vAlign w:val="center"/>
          </w:tcPr>
          <w:p w14:paraId="08262A0E"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3B281202"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0B47B60A" w14:textId="77777777" w:rsidR="00517420" w:rsidRPr="006F430E" w:rsidRDefault="00517420" w:rsidP="00517420">
            <w:pPr>
              <w:spacing w:beforeLines="20" w:before="48" w:afterLines="20" w:after="48"/>
              <w:jc w:val="center"/>
              <w:rPr>
                <w:noProof/>
                <w:sz w:val="16"/>
                <w:szCs w:val="16"/>
              </w:rPr>
            </w:pPr>
          </w:p>
        </w:tc>
        <w:tc>
          <w:tcPr>
            <w:tcW w:w="731" w:type="dxa"/>
            <w:shd w:val="clear" w:color="auto" w:fill="auto"/>
            <w:vAlign w:val="center"/>
          </w:tcPr>
          <w:p w14:paraId="591F52E8" w14:textId="77777777" w:rsidR="00517420" w:rsidRPr="006F430E" w:rsidRDefault="00517420" w:rsidP="00517420">
            <w:pPr>
              <w:spacing w:beforeLines="20" w:before="48" w:afterLines="20" w:after="48"/>
              <w:jc w:val="center"/>
              <w:rPr>
                <w:noProof/>
                <w:sz w:val="16"/>
                <w:szCs w:val="16"/>
              </w:rPr>
            </w:pPr>
          </w:p>
        </w:tc>
        <w:tc>
          <w:tcPr>
            <w:tcW w:w="786" w:type="dxa"/>
          </w:tcPr>
          <w:p w14:paraId="7D039F7C" w14:textId="77777777" w:rsidR="00517420" w:rsidRPr="006F430E" w:rsidRDefault="00517420" w:rsidP="00517420">
            <w:pPr>
              <w:spacing w:beforeLines="20" w:before="48" w:afterLines="20" w:after="48"/>
              <w:jc w:val="center"/>
              <w:rPr>
                <w:noProof/>
                <w:sz w:val="16"/>
                <w:szCs w:val="16"/>
              </w:rPr>
            </w:pPr>
          </w:p>
        </w:tc>
      </w:tr>
      <w:tr w:rsidR="00517420" w:rsidRPr="006F430E" w14:paraId="37FA6D53" w14:textId="77777777" w:rsidTr="006805B3">
        <w:trPr>
          <w:gridBefore w:val="1"/>
          <w:wBefore w:w="15" w:type="dxa"/>
          <w:trHeight w:val="289"/>
          <w:jc w:val="center"/>
        </w:trPr>
        <w:tc>
          <w:tcPr>
            <w:tcW w:w="4754" w:type="dxa"/>
            <w:gridSpan w:val="4"/>
            <w:tcBorders>
              <w:top w:val="double" w:sz="4" w:space="0" w:color="auto"/>
            </w:tcBorders>
            <w:shd w:val="clear" w:color="auto" w:fill="auto"/>
            <w:vAlign w:val="center"/>
          </w:tcPr>
          <w:p w14:paraId="6588E1AE" w14:textId="77777777" w:rsidR="00517420" w:rsidRPr="006F430E" w:rsidRDefault="00517420" w:rsidP="00517420">
            <w:pPr>
              <w:pStyle w:val="Text1"/>
              <w:spacing w:beforeLines="20" w:before="48" w:afterLines="20" w:after="48"/>
              <w:ind w:left="136"/>
              <w:jc w:val="left"/>
              <w:rPr>
                <w:noProof/>
                <w:sz w:val="16"/>
                <w:szCs w:val="16"/>
              </w:rPr>
            </w:pPr>
            <w:r w:rsidRPr="006F430E">
              <w:rPr>
                <w:b/>
                <w:noProof/>
                <w:sz w:val="16"/>
              </w:rPr>
              <w:t>TOTAL</w:t>
            </w:r>
          </w:p>
        </w:tc>
        <w:tc>
          <w:tcPr>
            <w:tcW w:w="731" w:type="dxa"/>
            <w:tcBorders>
              <w:top w:val="double" w:sz="4" w:space="0" w:color="auto"/>
            </w:tcBorders>
            <w:shd w:val="clear" w:color="auto" w:fill="auto"/>
            <w:vAlign w:val="center"/>
          </w:tcPr>
          <w:p w14:paraId="4F46B7D6" w14:textId="5BFBA8BD" w:rsidR="00517420" w:rsidRPr="006F430E" w:rsidRDefault="00CE0D16" w:rsidP="00CE0D16">
            <w:pPr>
              <w:spacing w:beforeLines="20" w:before="48" w:afterLines="20" w:after="48"/>
              <w:jc w:val="center"/>
              <w:rPr>
                <w:b/>
                <w:noProof/>
                <w:sz w:val="16"/>
                <w:szCs w:val="16"/>
              </w:rPr>
            </w:pPr>
            <w:r w:rsidRPr="006F430E">
              <w:rPr>
                <w:b/>
                <w:noProof/>
                <w:sz w:val="16"/>
                <w:szCs w:val="16"/>
              </w:rPr>
              <w:t>0,300</w:t>
            </w:r>
          </w:p>
        </w:tc>
        <w:tc>
          <w:tcPr>
            <w:tcW w:w="731" w:type="dxa"/>
            <w:tcBorders>
              <w:top w:val="double" w:sz="4" w:space="0" w:color="auto"/>
            </w:tcBorders>
            <w:shd w:val="clear" w:color="auto" w:fill="auto"/>
            <w:vAlign w:val="center"/>
          </w:tcPr>
          <w:p w14:paraId="67076E99" w14:textId="5EC16304" w:rsidR="00517420" w:rsidRPr="006F430E" w:rsidRDefault="00CE0D16" w:rsidP="007D2300">
            <w:pPr>
              <w:spacing w:beforeLines="20" w:before="48" w:afterLines="20" w:after="48"/>
              <w:jc w:val="center"/>
              <w:rPr>
                <w:b/>
                <w:noProof/>
                <w:sz w:val="16"/>
                <w:szCs w:val="16"/>
              </w:rPr>
            </w:pPr>
            <w:r w:rsidRPr="006F430E">
              <w:rPr>
                <w:b/>
                <w:noProof/>
                <w:sz w:val="16"/>
                <w:szCs w:val="16"/>
              </w:rPr>
              <w:t>0,600</w:t>
            </w:r>
          </w:p>
        </w:tc>
        <w:tc>
          <w:tcPr>
            <w:tcW w:w="731" w:type="dxa"/>
            <w:tcBorders>
              <w:top w:val="double" w:sz="4" w:space="0" w:color="auto"/>
            </w:tcBorders>
            <w:shd w:val="clear" w:color="auto" w:fill="auto"/>
            <w:vAlign w:val="center"/>
          </w:tcPr>
          <w:p w14:paraId="232AC5F7" w14:textId="5BFC5200" w:rsidR="00517420" w:rsidRPr="006F430E" w:rsidRDefault="00CE0D16" w:rsidP="007D2300">
            <w:pPr>
              <w:spacing w:beforeLines="20" w:before="48" w:afterLines="20" w:after="48"/>
              <w:jc w:val="center"/>
              <w:rPr>
                <w:b/>
                <w:noProof/>
                <w:sz w:val="16"/>
                <w:szCs w:val="16"/>
              </w:rPr>
            </w:pPr>
            <w:r w:rsidRPr="006F430E">
              <w:rPr>
                <w:b/>
                <w:noProof/>
                <w:sz w:val="16"/>
                <w:szCs w:val="16"/>
              </w:rPr>
              <w:t>0,350</w:t>
            </w:r>
          </w:p>
        </w:tc>
        <w:tc>
          <w:tcPr>
            <w:tcW w:w="731" w:type="dxa"/>
            <w:tcBorders>
              <w:top w:val="double" w:sz="4" w:space="0" w:color="auto"/>
            </w:tcBorders>
            <w:shd w:val="clear" w:color="auto" w:fill="auto"/>
            <w:vAlign w:val="center"/>
          </w:tcPr>
          <w:p w14:paraId="3AF95B2A" w14:textId="7B5D4A5B" w:rsidR="00517420" w:rsidRPr="006F430E" w:rsidRDefault="00CE0D16" w:rsidP="00517420">
            <w:pPr>
              <w:spacing w:beforeLines="20" w:before="48" w:afterLines="20" w:after="48"/>
              <w:jc w:val="center"/>
              <w:rPr>
                <w:b/>
                <w:noProof/>
                <w:sz w:val="16"/>
                <w:szCs w:val="16"/>
              </w:rPr>
            </w:pPr>
            <w:r w:rsidRPr="006F430E">
              <w:rPr>
                <w:b/>
                <w:noProof/>
                <w:sz w:val="16"/>
                <w:szCs w:val="16"/>
              </w:rPr>
              <w:t>0,020</w:t>
            </w:r>
          </w:p>
        </w:tc>
        <w:tc>
          <w:tcPr>
            <w:tcW w:w="786" w:type="dxa"/>
            <w:tcBorders>
              <w:top w:val="double" w:sz="4" w:space="0" w:color="auto"/>
            </w:tcBorders>
            <w:vAlign w:val="center"/>
          </w:tcPr>
          <w:p w14:paraId="1CFC2900" w14:textId="7546EA0B" w:rsidR="00517420" w:rsidRPr="006F430E" w:rsidRDefault="00CE0D16" w:rsidP="009A59B5">
            <w:pPr>
              <w:spacing w:beforeLines="20" w:before="48" w:afterLines="20" w:after="48"/>
              <w:jc w:val="center"/>
              <w:rPr>
                <w:b/>
                <w:noProof/>
                <w:sz w:val="16"/>
                <w:szCs w:val="16"/>
              </w:rPr>
            </w:pPr>
            <w:r w:rsidRPr="006F430E">
              <w:rPr>
                <w:b/>
                <w:noProof/>
                <w:sz w:val="16"/>
                <w:szCs w:val="16"/>
              </w:rPr>
              <w:t>0,200</w:t>
            </w:r>
          </w:p>
        </w:tc>
      </w:tr>
    </w:tbl>
    <w:p w14:paraId="1D40D967" w14:textId="77777777" w:rsidR="001A3A0C" w:rsidRPr="006F430E" w:rsidRDefault="001A3A0C" w:rsidP="004F6AC7">
      <w:pPr>
        <w:pStyle w:val="Text1"/>
        <w:spacing w:before="60" w:after="60"/>
        <w:ind w:left="851"/>
        <w:rPr>
          <w:noProof/>
          <w:sz w:val="18"/>
          <w:szCs w:val="18"/>
        </w:rPr>
      </w:pPr>
      <w:r w:rsidRPr="006F430E">
        <w:rPr>
          <w:b/>
          <w:noProof/>
          <w:sz w:val="18"/>
          <w:szCs w:val="18"/>
        </w:rPr>
        <w:t>XX</w:t>
      </w:r>
      <w:r w:rsidRPr="006F430E">
        <w:rPr>
          <w:noProof/>
          <w:sz w:val="18"/>
          <w:szCs w:val="18"/>
        </w:rPr>
        <w:t xml:space="preserve"> est le domaine politique ou le titre concerné.</w:t>
      </w:r>
    </w:p>
    <w:p w14:paraId="5BE10C7F" w14:textId="77777777" w:rsidR="001A3A0C" w:rsidRPr="006F430E" w:rsidRDefault="001A3A0C" w:rsidP="004F6AC7">
      <w:pPr>
        <w:pStyle w:val="Text1"/>
        <w:rPr>
          <w:noProof/>
          <w:sz w:val="18"/>
          <w:szCs w:val="18"/>
        </w:rPr>
      </w:pPr>
      <w:r w:rsidRPr="006F430E">
        <w:rPr>
          <w:noProof/>
          <w:sz w:val="18"/>
        </w:rPr>
        <w:t>Les besoins en ressources humaines seront couverts par les effectifs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14:paraId="63A95A4C" w14:textId="77777777" w:rsidR="001A3A0C" w:rsidRPr="006F430E" w:rsidRDefault="001A3A0C" w:rsidP="004F6AC7">
      <w:pPr>
        <w:rPr>
          <w:noProof/>
          <w:sz w:val="20"/>
        </w:rPr>
      </w:pPr>
      <w:r w:rsidRPr="006F430E">
        <w:rPr>
          <w:noProof/>
          <w:sz w:val="20"/>
        </w:rPr>
        <w:t>Description des tâches à effectuer:</w:t>
      </w:r>
    </w:p>
    <w:tbl>
      <w:tblPr>
        <w:tblW w:w="9616"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416"/>
        <w:gridCol w:w="7200"/>
      </w:tblGrid>
      <w:tr w:rsidR="004E7DA1" w:rsidRPr="006F430E" w14:paraId="2CA32E35" w14:textId="77777777" w:rsidTr="00930735">
        <w:tc>
          <w:tcPr>
            <w:tcW w:w="2416" w:type="dxa"/>
          </w:tcPr>
          <w:p w14:paraId="72FA009B" w14:textId="77777777" w:rsidR="004E7DA1" w:rsidRPr="006F430E" w:rsidRDefault="004E7DA1" w:rsidP="004E7DA1">
            <w:pPr>
              <w:rPr>
                <w:noProof/>
                <w:sz w:val="20"/>
              </w:rPr>
            </w:pPr>
            <w:r w:rsidRPr="006F430E">
              <w:rPr>
                <w:noProof/>
                <w:sz w:val="20"/>
              </w:rPr>
              <w:t>Fonctionnaires et agents temporaires</w:t>
            </w:r>
          </w:p>
        </w:tc>
        <w:tc>
          <w:tcPr>
            <w:tcW w:w="7200" w:type="dxa"/>
          </w:tcPr>
          <w:p w14:paraId="3DDB1936" w14:textId="0131F10E" w:rsidR="004E7DA1" w:rsidRPr="006F430E" w:rsidRDefault="004E7DA1" w:rsidP="004E7DA1">
            <w:pPr>
              <w:spacing w:after="200"/>
              <w:rPr>
                <w:noProof/>
                <w:sz w:val="20"/>
                <w:szCs w:val="20"/>
              </w:rPr>
            </w:pPr>
            <w:r w:rsidRPr="006F430E">
              <w:rPr>
                <w:noProof/>
                <w:sz w:val="20"/>
                <w:szCs w:val="20"/>
              </w:rPr>
              <w:t>Directeur de la direction D: superviser et gérer l’opération, assurer la liaison avec le Conseil et le Parlement pour l’adoption de la décision et l’approbation du protocole d’accord, négocier le protocole d’accord avec les autorités de la Moldavie, examiner des rapports, diriger des missions et évaluer les progrès concernant le respect des conditions attachées à l’assistance.</w:t>
            </w:r>
          </w:p>
          <w:p w14:paraId="1963057C" w14:textId="7B837A8F" w:rsidR="004E7DA1" w:rsidRPr="006F430E" w:rsidRDefault="004E7DA1" w:rsidP="004E7DA1">
            <w:pPr>
              <w:spacing w:after="200"/>
              <w:rPr>
                <w:noProof/>
                <w:sz w:val="20"/>
              </w:rPr>
            </w:pPr>
            <w:r w:rsidRPr="006F430E">
              <w:rPr>
                <w:noProof/>
                <w:sz w:val="20"/>
                <w:szCs w:val="20"/>
              </w:rPr>
              <w:t xml:space="preserve">Chef d’unité/chef d’unité adjoint de la direction D: aider le directeur à gérer l’opération, à assurer la liaison avec le Conseil et le Parlement pour l’adoption de la décision et l’approbation du protocole d’accord, à négocier le protocole d’accord et la convention de prêt avec les autorités moldaves (avec la DG Budget), à examiner des rapports et à évaluer les progrès concernant le respect des conditions attachées à l’assistance. </w:t>
            </w:r>
          </w:p>
          <w:p w14:paraId="7BF622D5" w14:textId="520A9A5F" w:rsidR="004E7DA1" w:rsidRPr="006F430E" w:rsidRDefault="00E66679" w:rsidP="00E66679">
            <w:pPr>
              <w:rPr>
                <w:noProof/>
                <w:sz w:val="20"/>
              </w:rPr>
            </w:pPr>
            <w:r w:rsidRPr="006F430E">
              <w:rPr>
                <w:noProof/>
                <w:sz w:val="20"/>
                <w:szCs w:val="20"/>
              </w:rPr>
              <w:t>DG Budget (unités E1, E3 sous la supervision du directeur): Élaborer la convention de prêt, négocier cette convention avec les autorités de la Moldavie et faire en sorte qu’elle soit approuvée par les services compétents de la Commission et signée par les deux parties. Assurer le suivi de l’entrée en vigueur de la convention de prêt. Élaborer la ou les décisions de la Commission relatives à l’opération ou aux opérations d’emprunt, assurer le suivi de la présentation de la ou des demandes de fonds, choisir les banques, préparer et exécuter la ou les opérations de financement et décaisser les fonds en faveur de la Moldavie. Exercer les fonctions d’arrière-guichet pour assurer le suivi du remboursement du ou des prêts. Préparer les rapports correspondants portant sur ces activités.</w:t>
            </w:r>
          </w:p>
        </w:tc>
      </w:tr>
      <w:tr w:rsidR="004E7DA1" w:rsidRPr="006F430E" w14:paraId="02CDAA24" w14:textId="77777777" w:rsidTr="00D027DC">
        <w:tc>
          <w:tcPr>
            <w:tcW w:w="2416" w:type="dxa"/>
          </w:tcPr>
          <w:p w14:paraId="0B305F3B" w14:textId="77777777" w:rsidR="004E7DA1" w:rsidRPr="006F430E" w:rsidRDefault="004E7DA1" w:rsidP="004E7DA1">
            <w:pPr>
              <w:spacing w:before="60" w:after="60"/>
              <w:rPr>
                <w:noProof/>
                <w:sz w:val="20"/>
              </w:rPr>
            </w:pPr>
            <w:r w:rsidRPr="006F430E">
              <w:rPr>
                <w:noProof/>
                <w:sz w:val="20"/>
              </w:rPr>
              <w:t>Personnel externe</w:t>
            </w:r>
          </w:p>
        </w:tc>
        <w:tc>
          <w:tcPr>
            <w:tcW w:w="7200" w:type="dxa"/>
          </w:tcPr>
          <w:p w14:paraId="09FFDE37" w14:textId="77777777" w:rsidR="001307EB" w:rsidRPr="006F430E" w:rsidRDefault="001307EB" w:rsidP="001307EB">
            <w:pPr>
              <w:rPr>
                <w:noProof/>
                <w:sz w:val="20"/>
                <w:szCs w:val="20"/>
              </w:rPr>
            </w:pPr>
            <w:r w:rsidRPr="006F430E">
              <w:rPr>
                <w:noProof/>
                <w:sz w:val="20"/>
                <w:szCs w:val="20"/>
              </w:rPr>
              <w:t xml:space="preserve">Analystes de données économiques, secteur AMF (direction D): préparer la décision et le protocole d’accord, assurer la liaison avec les autorités et les institutions financières internationales, diriger des missions de contrôle, préparer les rapports des services de la Commission et les procédures de la Commission liées à la gestion de l’assistance, assurer la liaison avec des experts externes pour l’évaluation opérationnelle et l’évaluation ex post. </w:t>
            </w:r>
          </w:p>
          <w:p w14:paraId="59C201D8" w14:textId="77777777" w:rsidR="004E7DA1" w:rsidRPr="006F430E" w:rsidRDefault="004E7DA1" w:rsidP="004E7DA1">
            <w:pPr>
              <w:rPr>
                <w:noProof/>
                <w:sz w:val="20"/>
              </w:rPr>
            </w:pPr>
          </w:p>
        </w:tc>
      </w:tr>
    </w:tbl>
    <w:p w14:paraId="2704E56C" w14:textId="77777777" w:rsidR="001A3A0C" w:rsidRPr="006F430E" w:rsidRDefault="001A3A0C" w:rsidP="004F6AC7">
      <w:pPr>
        <w:rPr>
          <w:noProof/>
        </w:rPr>
        <w:sectPr w:rsidR="001A3A0C" w:rsidRPr="006F430E" w:rsidSect="005A33DF">
          <w:pgSz w:w="11907" w:h="16840"/>
          <w:pgMar w:top="1134" w:right="1418" w:bottom="1134" w:left="1418" w:header="709" w:footer="709" w:gutter="0"/>
          <w:cols w:space="708"/>
          <w:docGrid w:linePitch="360"/>
        </w:sectPr>
      </w:pPr>
    </w:p>
    <w:p w14:paraId="01E21883" w14:textId="2F50FE11" w:rsidR="001A3A0C" w:rsidRPr="006F430E" w:rsidRDefault="0024257C" w:rsidP="0024257C">
      <w:pPr>
        <w:pStyle w:val="ManualHeading3"/>
        <w:rPr>
          <w:noProof/>
        </w:rPr>
      </w:pPr>
      <w:bookmarkStart w:id="53" w:name="_Toc514938056"/>
      <w:bookmarkStart w:id="54" w:name="_Toc520485055"/>
      <w:r w:rsidRPr="0024257C">
        <w:t>3.2.4.</w:t>
      </w:r>
      <w:r w:rsidRPr="0024257C">
        <w:tab/>
      </w:r>
      <w:r w:rsidR="001A3A0C" w:rsidRPr="006F430E">
        <w:rPr>
          <w:noProof/>
        </w:rPr>
        <w:t>Compatibilité avec le cadre financier pluriannuel actuel</w:t>
      </w:r>
      <w:bookmarkEnd w:id="53"/>
      <w:bookmarkEnd w:id="54"/>
      <w:r w:rsidR="001A3A0C" w:rsidRPr="006F430E">
        <w:rPr>
          <w:noProof/>
        </w:rPr>
        <w:t xml:space="preserve"> </w:t>
      </w:r>
    </w:p>
    <w:p w14:paraId="59D30D84" w14:textId="77777777" w:rsidR="001A3A0C" w:rsidRPr="006F430E" w:rsidRDefault="001A3A0C" w:rsidP="004F6AC7">
      <w:pPr>
        <w:pStyle w:val="Text1"/>
        <w:rPr>
          <w:noProof/>
        </w:rPr>
      </w:pPr>
      <w:r w:rsidRPr="006F430E">
        <w:rPr>
          <w:noProof/>
        </w:rPr>
        <w:t>La proposition/l’initiative:</w:t>
      </w:r>
    </w:p>
    <w:p w14:paraId="10BA5614" w14:textId="550C6937" w:rsidR="001A3A0C" w:rsidRPr="006F430E" w:rsidRDefault="00750D09" w:rsidP="004F6AC7">
      <w:pPr>
        <w:pStyle w:val="ListDash1"/>
        <w:rPr>
          <w:b/>
          <w:noProof/>
        </w:rPr>
      </w:pPr>
      <w:r w:rsidRPr="006F430E">
        <w:rPr>
          <w:b/>
          <w:noProof/>
        </w:rPr>
        <w:t>X</w:t>
      </w:r>
      <w:r w:rsidRPr="006F430E">
        <w:rPr>
          <w:noProof/>
        </w:rPr>
        <w:tab/>
      </w:r>
      <w:r w:rsidRPr="006F430E">
        <w:rPr>
          <w:b/>
          <w:noProof/>
        </w:rPr>
        <w:t>peut être intégralement financée par voie de redéploiement au sein de la rubrique concernée du cadre financier pluriannuel (CFP).</w:t>
      </w:r>
    </w:p>
    <w:p w14:paraId="2FC8C89E" w14:textId="5C4A7400" w:rsidR="001A3A0C" w:rsidRPr="006F430E" w:rsidRDefault="0024257C" w:rsidP="0024257C">
      <w:pPr>
        <w:pStyle w:val="ManualHeading3"/>
        <w:rPr>
          <w:bCs/>
          <w:noProof/>
          <w:szCs w:val="24"/>
        </w:rPr>
      </w:pPr>
      <w:bookmarkStart w:id="55" w:name="_Toc514938058"/>
      <w:bookmarkStart w:id="56" w:name="_Toc520485056"/>
      <w:r w:rsidRPr="0024257C">
        <w:t>3.2.5.</w:t>
      </w:r>
      <w:r w:rsidRPr="0024257C">
        <w:tab/>
      </w:r>
      <w:r w:rsidR="001A3A0C" w:rsidRPr="006F430E">
        <w:rPr>
          <w:noProof/>
        </w:rPr>
        <w:t>Participation de tiers au financement</w:t>
      </w:r>
      <w:bookmarkEnd w:id="55"/>
      <w:bookmarkEnd w:id="56"/>
      <w:r w:rsidR="001A3A0C" w:rsidRPr="006F430E">
        <w:rPr>
          <w:noProof/>
        </w:rPr>
        <w:t xml:space="preserve"> </w:t>
      </w:r>
    </w:p>
    <w:p w14:paraId="44C52652" w14:textId="77777777" w:rsidR="001A3A0C" w:rsidRPr="006F430E" w:rsidRDefault="001A3A0C" w:rsidP="004F6AC7">
      <w:pPr>
        <w:pStyle w:val="Text1"/>
        <w:rPr>
          <w:noProof/>
        </w:rPr>
      </w:pPr>
      <w:r w:rsidRPr="006F430E">
        <w:rPr>
          <w:noProof/>
        </w:rPr>
        <w:t>La proposition/l’initiative:</w:t>
      </w:r>
    </w:p>
    <w:p w14:paraId="5A5BF838" w14:textId="0D8337E7" w:rsidR="001A3A0C" w:rsidRPr="006F430E" w:rsidRDefault="00750D09" w:rsidP="004F6AC7">
      <w:pPr>
        <w:pStyle w:val="ListDash1"/>
        <w:rPr>
          <w:b/>
          <w:noProof/>
        </w:rPr>
      </w:pPr>
      <w:r w:rsidRPr="006F430E">
        <w:rPr>
          <w:b/>
          <w:noProof/>
        </w:rPr>
        <w:t>X</w:t>
      </w:r>
      <w:r w:rsidRPr="006F430E">
        <w:rPr>
          <w:noProof/>
        </w:rPr>
        <w:tab/>
      </w:r>
      <w:r w:rsidRPr="006F430E">
        <w:rPr>
          <w:b/>
          <w:noProof/>
        </w:rPr>
        <w:t>ne prévoit pas de cofinancement par des tierces parties</w:t>
      </w:r>
    </w:p>
    <w:p w14:paraId="2F7200A2" w14:textId="496C56CB" w:rsidR="001A3A0C" w:rsidRPr="006F430E" w:rsidRDefault="001A3A0C" w:rsidP="0024257C">
      <w:pPr>
        <w:pStyle w:val="ManualHeading2"/>
        <w:rPr>
          <w:bCs/>
          <w:noProof/>
          <w:szCs w:val="24"/>
        </w:rPr>
      </w:pPr>
      <w:r w:rsidRPr="006F430E">
        <w:rPr>
          <w:noProof/>
        </w:rPr>
        <w:br w:type="page"/>
      </w:r>
      <w:bookmarkStart w:id="57" w:name="_Toc514938059"/>
      <w:bookmarkStart w:id="58" w:name="_Toc520485057"/>
      <w:r w:rsidR="0024257C" w:rsidRPr="0024257C">
        <w:t>3.3.</w:t>
      </w:r>
      <w:r w:rsidR="0024257C" w:rsidRPr="0024257C">
        <w:tab/>
      </w:r>
      <w:r w:rsidRPr="006F430E">
        <w:rPr>
          <w:noProof/>
        </w:rPr>
        <w:t>Incidence estimée sur les recettes</w:t>
      </w:r>
      <w:bookmarkEnd w:id="57"/>
      <w:bookmarkEnd w:id="58"/>
      <w:r w:rsidRPr="006F430E">
        <w:rPr>
          <w:noProof/>
        </w:rPr>
        <w:t xml:space="preserve"> </w:t>
      </w:r>
    </w:p>
    <w:p w14:paraId="438F074A" w14:textId="142D87ED" w:rsidR="001A3A0C" w:rsidRPr="006F430E" w:rsidRDefault="00750D09" w:rsidP="004F6AC7">
      <w:pPr>
        <w:pStyle w:val="ListDash1"/>
        <w:rPr>
          <w:b/>
          <w:noProof/>
        </w:rPr>
      </w:pPr>
      <w:r w:rsidRPr="006F430E">
        <w:rPr>
          <w:b/>
          <w:noProof/>
        </w:rPr>
        <w:t>X</w:t>
      </w:r>
      <w:r w:rsidRPr="006F430E">
        <w:rPr>
          <w:noProof/>
        </w:rPr>
        <w:tab/>
      </w:r>
      <w:r w:rsidRPr="006F430E">
        <w:rPr>
          <w:b/>
          <w:noProof/>
        </w:rPr>
        <w:t>La proposition/l’initiative est sans incidence financière sur les recettes.</w:t>
      </w:r>
    </w:p>
    <w:sectPr w:rsidR="001A3A0C" w:rsidRPr="006F430E" w:rsidSect="005A33DF">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107AD" w14:textId="77777777" w:rsidR="00827348" w:rsidRDefault="00827348" w:rsidP="001A3A0C">
      <w:pPr>
        <w:spacing w:before="0" w:after="0"/>
      </w:pPr>
      <w:r>
        <w:separator/>
      </w:r>
    </w:p>
  </w:endnote>
  <w:endnote w:type="continuationSeparator" w:id="0">
    <w:p w14:paraId="7C22DCCC" w14:textId="77777777" w:rsidR="00827348" w:rsidRDefault="00827348" w:rsidP="001A3A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Raleway">
    <w:altName w:val="Times New Roman"/>
    <w:panose1 w:val="00000000000000000000"/>
    <w:charset w:val="00"/>
    <w:family w:val="roman"/>
    <w:notTrueType/>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9F76" w14:textId="110CE849" w:rsidR="00827348" w:rsidRPr="005A33DF" w:rsidRDefault="005A33DF" w:rsidP="005A33DF">
    <w:pPr>
      <w:pStyle w:val="Footer"/>
      <w:rPr>
        <w:rFonts w:ascii="Arial" w:hAnsi="Arial" w:cs="Arial"/>
        <w:b/>
        <w:sz w:val="48"/>
      </w:rPr>
    </w:pPr>
    <w:r w:rsidRPr="005A33DF">
      <w:rPr>
        <w:rFonts w:ascii="Arial" w:hAnsi="Arial" w:cs="Arial"/>
        <w:b/>
        <w:sz w:val="48"/>
      </w:rPr>
      <w:t>FR</w:t>
    </w:r>
    <w:r w:rsidRPr="005A33DF">
      <w:rPr>
        <w:rFonts w:ascii="Arial" w:hAnsi="Arial" w:cs="Arial"/>
        <w:b/>
        <w:sz w:val="48"/>
      </w:rPr>
      <w:tab/>
    </w:r>
    <w:r w:rsidRPr="005A33DF">
      <w:rPr>
        <w:rFonts w:ascii="Arial" w:hAnsi="Arial" w:cs="Arial"/>
        <w:b/>
        <w:sz w:val="48"/>
      </w:rPr>
      <w:tab/>
    </w:r>
    <w:r w:rsidRPr="005A33DF">
      <w:tab/>
    </w:r>
    <w:r w:rsidRPr="005A33DF">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9DB32" w14:textId="7CA5F885" w:rsidR="005A33DF" w:rsidRPr="005A33DF" w:rsidRDefault="005A33DF" w:rsidP="005A33DF">
    <w:pPr>
      <w:pStyle w:val="Footer"/>
      <w:rPr>
        <w:rFonts w:ascii="Arial" w:hAnsi="Arial" w:cs="Arial"/>
        <w:b/>
        <w:sz w:val="48"/>
      </w:rPr>
    </w:pPr>
    <w:r w:rsidRPr="005A33DF">
      <w:rPr>
        <w:rFonts w:ascii="Arial" w:hAnsi="Arial" w:cs="Arial"/>
        <w:b/>
        <w:sz w:val="48"/>
      </w:rPr>
      <w:t>FR</w:t>
    </w:r>
    <w:r w:rsidRPr="005A33DF">
      <w:rPr>
        <w:rFonts w:ascii="Arial" w:hAnsi="Arial" w:cs="Arial"/>
        <w:b/>
        <w:sz w:val="48"/>
      </w:rPr>
      <w:tab/>
    </w:r>
    <w:r>
      <w:fldChar w:fldCharType="begin"/>
    </w:r>
    <w:r>
      <w:instrText xml:space="preserve"> PAGE  \* MERGEFORMAT </w:instrText>
    </w:r>
    <w:r>
      <w:fldChar w:fldCharType="separate"/>
    </w:r>
    <w:r w:rsidR="00BC7D9E">
      <w:rPr>
        <w:noProof/>
      </w:rPr>
      <w:t>15</w:t>
    </w:r>
    <w:r>
      <w:fldChar w:fldCharType="end"/>
    </w:r>
    <w:r>
      <w:tab/>
    </w:r>
    <w:r w:rsidRPr="005A33DF">
      <w:tab/>
    </w:r>
    <w:r w:rsidRPr="005A33DF">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BE05" w14:textId="77777777" w:rsidR="005A33DF" w:rsidRPr="005A33DF" w:rsidRDefault="005A33DF" w:rsidP="005A3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36B6" w14:textId="5563A56D" w:rsidR="005A33DF" w:rsidRPr="005A33DF" w:rsidRDefault="005A33DF" w:rsidP="005A33DF">
    <w:pPr>
      <w:pStyle w:val="FooterLandscape"/>
      <w:rPr>
        <w:rFonts w:ascii="Arial" w:hAnsi="Arial" w:cs="Arial"/>
        <w:b/>
        <w:sz w:val="48"/>
      </w:rPr>
    </w:pPr>
    <w:r w:rsidRPr="005A33DF">
      <w:rPr>
        <w:rFonts w:ascii="Arial" w:hAnsi="Arial" w:cs="Arial"/>
        <w:b/>
        <w:sz w:val="48"/>
      </w:rPr>
      <w:t>FR</w:t>
    </w:r>
    <w:r w:rsidRPr="005A33D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A33DF">
      <w:tab/>
    </w:r>
    <w:r w:rsidRPr="005A33DF">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E3303" w14:textId="77777777" w:rsidR="005A33DF" w:rsidRPr="005A33DF" w:rsidRDefault="005A33DF" w:rsidP="005A33DF">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414CC" w14:textId="267069A1" w:rsidR="007F7C57" w:rsidRPr="005A33DF" w:rsidRDefault="005A33DF" w:rsidP="005A33DF">
    <w:pPr>
      <w:pStyle w:val="Footer"/>
      <w:rPr>
        <w:rFonts w:ascii="Arial" w:hAnsi="Arial" w:cs="Arial"/>
        <w:b/>
        <w:sz w:val="48"/>
      </w:rPr>
    </w:pPr>
    <w:r w:rsidRPr="005A33DF">
      <w:rPr>
        <w:rFonts w:ascii="Arial" w:hAnsi="Arial" w:cs="Arial"/>
        <w:b/>
        <w:sz w:val="48"/>
      </w:rPr>
      <w:t>FR</w:t>
    </w:r>
    <w:r w:rsidRPr="005A33D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A33DF">
      <w:tab/>
    </w:r>
    <w:r w:rsidRPr="005A33DF">
      <w:rPr>
        <w:rFonts w:ascii="Arial" w:hAnsi="Arial" w:cs="Arial"/>
        <w:b/>
        <w:sz w:val="48"/>
      </w:rPr>
      <w:t>FR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E3611" w14:textId="77777777" w:rsidR="005A33DF" w:rsidRPr="005A33DF" w:rsidRDefault="005A33DF" w:rsidP="005A3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5BE73" w14:textId="77777777" w:rsidR="00827348" w:rsidRDefault="00827348" w:rsidP="001A3A0C">
      <w:pPr>
        <w:spacing w:before="0" w:after="0"/>
      </w:pPr>
      <w:r>
        <w:separator/>
      </w:r>
    </w:p>
  </w:footnote>
  <w:footnote w:type="continuationSeparator" w:id="0">
    <w:p w14:paraId="362569F3" w14:textId="77777777" w:rsidR="00827348" w:rsidRDefault="00827348" w:rsidP="001A3A0C">
      <w:pPr>
        <w:spacing w:before="0" w:after="0"/>
      </w:pPr>
      <w:r>
        <w:continuationSeparator/>
      </w:r>
    </w:p>
  </w:footnote>
  <w:footnote w:id="1">
    <w:p w14:paraId="44A8D584" w14:textId="1B0576F0" w:rsidR="00827348" w:rsidRPr="00500A57" w:rsidRDefault="00827348">
      <w:pPr>
        <w:pStyle w:val="FootnoteText"/>
      </w:pPr>
      <w:r>
        <w:rPr>
          <w:rStyle w:val="FootnoteReference"/>
        </w:rPr>
        <w:footnoteRef/>
      </w:r>
      <w:r>
        <w:tab/>
        <w:t>Décision (UE) 2020/701 du Parlement européen et du Conseil du 25 mai 2020 relative à l’octroi d’une assistance macrofinancière à des partenaires de l’élargissement et du voisinage dans le contexte de la pandémie de COVID-19 (JO L 165 du 27.5.2020, p. 31).</w:t>
      </w:r>
    </w:p>
  </w:footnote>
  <w:footnote w:id="2">
    <w:p w14:paraId="050D76A0" w14:textId="7FED629D" w:rsidR="00827348" w:rsidRPr="00DF10AF" w:rsidRDefault="00827348" w:rsidP="00A062B2">
      <w:pPr>
        <w:pStyle w:val="FootnoteText"/>
      </w:pPr>
      <w:r>
        <w:rPr>
          <w:rStyle w:val="FootnoteReference"/>
        </w:rPr>
        <w:footnoteRef/>
      </w:r>
      <w:r>
        <w:tab/>
        <w:t xml:space="preserve">Règlement (UE) 2021/947 du Parlement européen et du Conseil du 9 juin 2021 établissant l’instrument de voisinage, de coopération au développement et de coopération internationale — Europe dans le monde, modifiant et abrogeant la décision nº 466/2014/UE du Parlement européen et du Conseil et abrogeant le règlement (UE) 2017/1601 du Parlement européen et du Conseil et le règlement (CE, Euratom) nº 480/2009 du Conseil (JO </w:t>
      </w:r>
      <w:r>
        <w:rPr>
          <w:iCs/>
          <w:color w:val="444444"/>
          <w:shd w:val="clear" w:color="auto" w:fill="FFFFFF"/>
        </w:rPr>
        <w:t>L 209 du 14.6.2021, p. 1</w:t>
      </w:r>
      <w:r>
        <w:t>).</w:t>
      </w:r>
    </w:p>
  </w:footnote>
  <w:footnote w:id="3">
    <w:p w14:paraId="2B4CF5CB" w14:textId="77777777" w:rsidR="00827348" w:rsidRDefault="00827348" w:rsidP="00431E62">
      <w:pPr>
        <w:pStyle w:val="FootnoteText"/>
      </w:pPr>
      <w:r>
        <w:rPr>
          <w:rStyle w:val="FootnoteReference"/>
        </w:rPr>
        <w:footnoteRef/>
      </w:r>
      <w:r>
        <w:tab/>
        <w:t>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4">
    <w:p w14:paraId="427E46A9" w14:textId="77777777" w:rsidR="00827348" w:rsidRDefault="00827348" w:rsidP="00CD0E4F">
      <w:pPr>
        <w:pStyle w:val="FootnoteText"/>
      </w:pPr>
      <w:r>
        <w:rPr>
          <w:rStyle w:val="FootnoteReference"/>
        </w:rPr>
        <w:footnoteRef/>
      </w:r>
      <w:r>
        <w:tab/>
        <w:t xml:space="preserve">Décision 2010/427/UE du Conseil </w:t>
      </w:r>
      <w:r>
        <w:rPr>
          <w:bCs/>
          <w:color w:val="000000"/>
        </w:rPr>
        <w:t>du 26 juillet 2010</w:t>
      </w:r>
      <w:r>
        <w:t xml:space="preserve"> fixant l’organisation et le fonctionnement du Service européen pour l’action extérieure (JO L 201 du 3.8.2010, p. 30).</w:t>
      </w:r>
    </w:p>
  </w:footnote>
  <w:footnote w:id="5">
    <w:p w14:paraId="4B47208A" w14:textId="77777777" w:rsidR="00827348" w:rsidRDefault="00827348" w:rsidP="006C4BC7">
      <w:pPr>
        <w:pStyle w:val="FootnoteText"/>
      </w:pPr>
      <w:r>
        <w:rPr>
          <w:rStyle w:val="FootnoteReference"/>
        </w:rPr>
        <w:footnoteRef/>
      </w:r>
      <w:r>
        <w:tab/>
        <w:t xml:space="preserve">Règlement (UE, Euratom) 2018/1046 du Parlement européen et du Conseil du 18 juillet 2018 relatif aux règles financières applicables au budget général de l’Union et abrogeant le règlement (UE, Euratom) nº 966/2012 du Conseil </w:t>
      </w:r>
      <w:r>
        <w:rPr>
          <w:rStyle w:val="Emphasis"/>
          <w:i w:val="0"/>
          <w:iCs/>
          <w:szCs w:val="24"/>
        </w:rPr>
        <w:t>(JO L 193 du 30.7.2018, p. 1).</w:t>
      </w:r>
    </w:p>
  </w:footnote>
  <w:footnote w:id="6">
    <w:p w14:paraId="20EE0762" w14:textId="77777777" w:rsidR="00827348" w:rsidRDefault="00827348" w:rsidP="00760878">
      <w:pPr>
        <w:pStyle w:val="FootnoteText"/>
        <w:keepLines/>
        <w:spacing w:after="120"/>
      </w:pPr>
      <w:r>
        <w:rPr>
          <w:rStyle w:val="FootnoteReference"/>
        </w:rPr>
        <w:footnoteRef/>
      </w:r>
      <w:r>
        <w:tab/>
        <w:t>Règlement (CE, Euratom) nº 2988/95 du Conseil du 18 décembre 1995 relatif à la protection des intérêts financiers des Communautés européennes (JO L 312 du 23.12.1995, p. 1).</w:t>
      </w:r>
    </w:p>
  </w:footnote>
  <w:footnote w:id="7">
    <w:p w14:paraId="669DF7AB" w14:textId="77777777" w:rsidR="00827348" w:rsidRDefault="00827348" w:rsidP="00760878">
      <w:pPr>
        <w:pStyle w:val="FootnoteText"/>
        <w:keepLines/>
        <w:spacing w:after="120"/>
      </w:pPr>
      <w:r>
        <w:rPr>
          <w:rStyle w:val="FootnoteReference"/>
        </w:rPr>
        <w:footnoteRef/>
      </w:r>
      <w:r>
        <w:tab/>
        <w:t>Règlement (Euratom, CE) nº 2185/96 du Conseil du 11 novembre 1996 relatif aux contrôles et vérifications sur place effectués par la Commission pour la protection des intérêts financiers des Communautés européennes contre les fraudes et autres irrégularités (JO L 292 du 15.11.1996, p. 2).</w:t>
      </w:r>
    </w:p>
  </w:footnote>
  <w:footnote w:id="8">
    <w:p w14:paraId="55333662" w14:textId="77777777" w:rsidR="00827348" w:rsidRDefault="00827348" w:rsidP="00760878">
      <w:pPr>
        <w:pStyle w:val="FootnoteText"/>
        <w:keepLines/>
        <w:spacing w:after="120"/>
      </w:pPr>
      <w:r>
        <w:rPr>
          <w:rStyle w:val="FootnoteReference"/>
        </w:rPr>
        <w:footnoteRef/>
      </w:r>
      <w:r>
        <w:tab/>
      </w:r>
      <w:r>
        <w:rPr>
          <w:color w:val="000000"/>
        </w:rPr>
        <w:t>Règlement (UE, Euratom) nº 883/2013 du Parlement européen et du Conseil</w:t>
      </w:r>
      <w:r>
        <w:t xml:space="preserve"> du 11 septembre 2013 relatif aux enquêtes effectuées par l’Office européen de lutte antifraude (OLAF) et abrogeant le règlement (CE) nº 1073/1999 du Parlement européen et du Conseil et le règlement (Euratom) nº 1074/1999 du Conseil (JO L 248 du 18.9.2013, p. 1).</w:t>
      </w:r>
    </w:p>
  </w:footnote>
  <w:footnote w:id="9">
    <w:p w14:paraId="28BA3095" w14:textId="77777777" w:rsidR="00827348" w:rsidRDefault="00827348" w:rsidP="00760878">
      <w:pPr>
        <w:pStyle w:val="FootnoteText"/>
        <w:keepLines/>
      </w:pPr>
      <w:r>
        <w:rPr>
          <w:rStyle w:val="FootnoteReference"/>
        </w:rPr>
        <w:footnoteRef/>
      </w:r>
      <w:r>
        <w:tab/>
        <w:t>Règlement (UE) 2017/1939 du Conseil du 12 octobre 2017 mettant en œuvre une coopération renforcée concernant la création du Parquet européen (JO L 283 du 31.10.2017, p. 1).</w:t>
      </w:r>
    </w:p>
  </w:footnote>
  <w:footnote w:id="10">
    <w:p w14:paraId="5A99ED66" w14:textId="77777777" w:rsidR="00827348" w:rsidRPr="006F430E" w:rsidRDefault="00827348" w:rsidP="004A4E56">
      <w:pPr>
        <w:pStyle w:val="FootnoteText"/>
        <w:keepLines/>
        <w:rPr>
          <w:szCs w:val="24"/>
        </w:rPr>
      </w:pPr>
      <w:r>
        <w:rPr>
          <w:rStyle w:val="FootnoteReference"/>
        </w:rPr>
        <w:footnoteRef/>
      </w:r>
      <w:r w:rsidRPr="006F430E">
        <w:tab/>
        <w:t>ABM: activity-based management; ABB: activity-based budgeting.</w:t>
      </w:r>
    </w:p>
  </w:footnote>
  <w:footnote w:id="11">
    <w:p w14:paraId="5E3535D3" w14:textId="77777777" w:rsidR="00827348" w:rsidRDefault="00827348" w:rsidP="005866E1">
      <w:pPr>
        <w:pStyle w:val="FootnoteText"/>
        <w:keepLines/>
        <w:rPr>
          <w:szCs w:val="24"/>
        </w:rPr>
      </w:pPr>
      <w:r>
        <w:rPr>
          <w:rStyle w:val="FootnoteReference"/>
        </w:rPr>
        <w:footnoteRef/>
      </w:r>
      <w:r>
        <w:tab/>
        <w:t>Tel(le) que visé(e) à l’article 54, paragraphe 2, point a) ou b), du règlement financier.</w:t>
      </w:r>
    </w:p>
  </w:footnote>
  <w:footnote w:id="12">
    <w:p w14:paraId="3A5ED358" w14:textId="77777777" w:rsidR="00827348" w:rsidRDefault="00827348" w:rsidP="004F6AC7">
      <w:pPr>
        <w:pStyle w:val="FootnoteText"/>
        <w:jc w:val="left"/>
        <w:rPr>
          <w:szCs w:val="24"/>
        </w:rPr>
      </w:pPr>
      <w:r>
        <w:rPr>
          <w:rStyle w:val="FootnoteReference"/>
        </w:rPr>
        <w:footnoteRef/>
      </w:r>
      <w:r>
        <w:tab/>
        <w:t xml:space="preserve">Les explications sur les modes de gestion ainsi que les références au règlement financier sont disponibles sur le site BudgWeb: </w:t>
      </w:r>
      <w:hyperlink r:id="rId1" w:history="1">
        <w:r>
          <w:rPr>
            <w:rStyle w:val="Hyperlink"/>
          </w:rPr>
          <w:t>https://myintracomm.ec.europa.eu/budgweb/EN/man/budgmanag/Pages/budgmanag.aspx</w:t>
        </w:r>
      </w:hyperlink>
      <w:r>
        <w:t xml:space="preserve"> </w:t>
      </w:r>
    </w:p>
  </w:footnote>
  <w:footnote w:id="13">
    <w:p w14:paraId="62DE9BD3" w14:textId="77777777" w:rsidR="00827348" w:rsidRDefault="00827348" w:rsidP="004F6AC7">
      <w:pPr>
        <w:pStyle w:val="FootnoteText"/>
        <w:rPr>
          <w:szCs w:val="24"/>
        </w:rPr>
      </w:pPr>
      <w:r>
        <w:rPr>
          <w:rStyle w:val="FootnoteReference"/>
        </w:rPr>
        <w:footnoteRef/>
      </w:r>
      <w:r>
        <w:tab/>
        <w:t>CD = crédits dissociés / CND = crédits non dissociés.</w:t>
      </w:r>
    </w:p>
  </w:footnote>
  <w:footnote w:id="14">
    <w:p w14:paraId="110CEB16" w14:textId="77777777" w:rsidR="00827348" w:rsidRDefault="00827348" w:rsidP="004F6AC7">
      <w:pPr>
        <w:pStyle w:val="FootnoteText"/>
        <w:rPr>
          <w:szCs w:val="24"/>
        </w:rPr>
      </w:pPr>
      <w:r>
        <w:rPr>
          <w:rStyle w:val="FootnoteReference"/>
        </w:rPr>
        <w:footnoteRef/>
      </w:r>
      <w:r>
        <w:tab/>
        <w:t xml:space="preserve">AELE: Association européenne de libre-échange. </w:t>
      </w:r>
    </w:p>
  </w:footnote>
  <w:footnote w:id="15">
    <w:p w14:paraId="37A36104" w14:textId="77777777" w:rsidR="00827348" w:rsidRDefault="00827348" w:rsidP="004F6AC7">
      <w:pPr>
        <w:pStyle w:val="FootnoteText"/>
        <w:rPr>
          <w:szCs w:val="24"/>
        </w:rPr>
      </w:pPr>
      <w:r>
        <w:rPr>
          <w:rStyle w:val="FootnoteReference"/>
        </w:rPr>
        <w:footnoteRef/>
      </w:r>
      <w:r>
        <w:tab/>
        <w:t>Pays candidats et, le cas échéant, pays candidats potentiels des Balkans occidentaux.</w:t>
      </w:r>
    </w:p>
  </w:footnote>
  <w:footnote w:id="16">
    <w:p w14:paraId="138380C9" w14:textId="77777777" w:rsidR="00827348" w:rsidRPr="001A68DA" w:rsidRDefault="00827348" w:rsidP="008E5A65">
      <w:pPr>
        <w:pStyle w:val="FootnoteText"/>
        <w:rPr>
          <w:sz w:val="18"/>
          <w:szCs w:val="18"/>
        </w:rPr>
      </w:pPr>
      <w:r>
        <w:rPr>
          <w:rStyle w:val="FootnoteReference"/>
        </w:rPr>
        <w:footnoteRef/>
      </w:r>
      <w:r>
        <w:tab/>
      </w:r>
      <w:r>
        <w:rPr>
          <w:sz w:val="18"/>
          <w:szCs w:val="18"/>
        </w:rPr>
        <w:t>Selon la nomenclature budgétaire officielle.</w:t>
      </w:r>
    </w:p>
  </w:footnote>
  <w:footnote w:id="17">
    <w:p w14:paraId="36F05F16" w14:textId="77777777" w:rsidR="00827348" w:rsidRDefault="00827348" w:rsidP="008E5A65">
      <w:pPr>
        <w:pStyle w:val="FootnoteText"/>
        <w:rPr>
          <w:szCs w:val="24"/>
        </w:rPr>
      </w:pPr>
      <w:r>
        <w:rPr>
          <w:rStyle w:val="FootnoteReference"/>
        </w:rPr>
        <w:footnoteRef/>
      </w:r>
      <w:r>
        <w:tab/>
      </w:r>
      <w:r>
        <w:rPr>
          <w:sz w:val="18"/>
          <w:szCs w:val="18"/>
        </w:rPr>
        <w:t>Assistance technique et/ou administrative et dépenses d’appui à la mise en œuvre de programmes et/ou d’actions de l’UE (anciennes lignes «BA»), recherche indirecte, recherche directe.</w:t>
      </w:r>
    </w:p>
  </w:footnote>
  <w:footnote w:id="18">
    <w:p w14:paraId="0E4E1FD8" w14:textId="77777777" w:rsidR="00827348" w:rsidRDefault="00827348" w:rsidP="00581A40">
      <w:pPr>
        <w:pStyle w:val="FootnoteText"/>
      </w:pPr>
      <w:r>
        <w:rPr>
          <w:rStyle w:val="FootnoteReference"/>
        </w:rPr>
        <w:footnoteRef/>
      </w:r>
      <w:r>
        <w:tab/>
        <w:t xml:space="preserve">Les réalisations se réfèrent aux produits et services qui seront fournis (ex: nombre d’échanges d’étudiants financés, nombre de km de routes construites, etc.).  </w:t>
      </w:r>
    </w:p>
  </w:footnote>
  <w:footnote w:id="19">
    <w:p w14:paraId="66284A74" w14:textId="77777777" w:rsidR="00827348" w:rsidRDefault="00827348" w:rsidP="00581A40">
      <w:pPr>
        <w:pStyle w:val="FootnoteText"/>
      </w:pPr>
      <w:r>
        <w:rPr>
          <w:rStyle w:val="FootnoteReference"/>
        </w:rPr>
        <w:footnoteRef/>
      </w:r>
      <w:r>
        <w:tab/>
        <w:t xml:space="preserve">Tel que décrit au point 1.4.2. «Objectif(s) spécifique(s)…».  </w:t>
      </w:r>
    </w:p>
  </w:footnote>
  <w:footnote w:id="20">
    <w:p w14:paraId="511FAD1D" w14:textId="77777777" w:rsidR="00827348" w:rsidRDefault="00827348" w:rsidP="004F6AC7">
      <w:pPr>
        <w:pStyle w:val="FootnoteText"/>
        <w:rPr>
          <w:szCs w:val="24"/>
        </w:rPr>
      </w:pPr>
      <w:r>
        <w:rPr>
          <w:rStyle w:val="FootnoteReference"/>
        </w:rPr>
        <w:footnoteRef/>
      </w:r>
      <w:r>
        <w:tab/>
      </w:r>
      <w:r>
        <w:rPr>
          <w:sz w:val="18"/>
          <w:szCs w:val="18"/>
        </w:rPr>
        <w:t>Assistance technique et/ou administrative et dépenses d’appui à la mise en œuvre de programmes et/ou d’actions de l’UE (anciennes lignes «BA»), recherche indirecte, recherche directe.</w:t>
      </w:r>
    </w:p>
  </w:footnote>
  <w:footnote w:id="21">
    <w:p w14:paraId="0E8F1C0E" w14:textId="77777777" w:rsidR="00827348" w:rsidRDefault="00827348" w:rsidP="004F6AC7">
      <w:pPr>
        <w:pStyle w:val="FootnoteText"/>
        <w:rPr>
          <w:szCs w:val="24"/>
        </w:rPr>
      </w:pPr>
      <w:r>
        <w:rPr>
          <w:rStyle w:val="FootnoteReference"/>
        </w:rPr>
        <w:footnoteRef/>
      </w:r>
      <w:r>
        <w:tab/>
        <w:t xml:space="preserve">AC = agent contractuel; AL = agent local; END = expert national détaché; INT = intérimaire; JPD = jeune professionnel en délégation. </w:t>
      </w:r>
    </w:p>
  </w:footnote>
  <w:footnote w:id="22">
    <w:p w14:paraId="2333EDC6" w14:textId="77777777" w:rsidR="00827348" w:rsidRDefault="00827348" w:rsidP="004F6AC7">
      <w:pPr>
        <w:pStyle w:val="FootnoteText"/>
        <w:rPr>
          <w:szCs w:val="24"/>
        </w:rPr>
      </w:pPr>
      <w:r>
        <w:rPr>
          <w:rStyle w:val="FootnoteReference"/>
        </w:rPr>
        <w:footnoteRef/>
      </w:r>
      <w:r>
        <w:tab/>
        <w:t>Sous-plafonds de personnel externe financés sur crédits opérationnels (anciennes lignes «BA»).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596D" w14:textId="77777777" w:rsidR="005A33DF" w:rsidRPr="005A33DF" w:rsidRDefault="005A33DF" w:rsidP="005A33DF">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CF1E6" w14:textId="77777777" w:rsidR="005A33DF" w:rsidRPr="005A33DF" w:rsidRDefault="005A33DF" w:rsidP="005A33DF">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26E5A" w14:textId="77777777" w:rsidR="007F7C57" w:rsidRPr="007F7C57" w:rsidRDefault="007F7C57" w:rsidP="005A33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475B" w14:textId="77777777" w:rsidR="005A33DF" w:rsidRPr="005A33DF" w:rsidRDefault="005A33DF" w:rsidP="005A3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num>
  <w:num w:numId="30">
    <w:abstractNumId w:val="22"/>
  </w:num>
  <w:num w:numId="31">
    <w:abstractNumId w:val="11"/>
  </w:num>
  <w:num w:numId="32">
    <w:abstractNumId w:val="25"/>
  </w:num>
  <w:num w:numId="33">
    <w:abstractNumId w:val="6"/>
  </w:num>
  <w:num w:numId="34">
    <w:abstractNumId w:val="12"/>
  </w:num>
  <w:num w:numId="35">
    <w:abstractNumId w:val="4"/>
  </w:num>
  <w:num w:numId="36">
    <w:abstractNumId w:val="24"/>
  </w:num>
  <w:num w:numId="37">
    <w:abstractNumId w:val="3"/>
  </w:num>
  <w:num w:numId="38">
    <w:abstractNumId w:val="14"/>
  </w:num>
  <w:num w:numId="39">
    <w:abstractNumId w:val="20"/>
  </w:num>
  <w:num w:numId="40">
    <w:abstractNumId w:val="21"/>
  </w:num>
  <w:num w:numId="41">
    <w:abstractNumId w:val="5"/>
  </w:num>
  <w:num w:numId="42">
    <w:abstractNumId w:val="18"/>
  </w:num>
  <w:num w:numId="43">
    <w:abstractNumId w:val="29"/>
  </w:num>
  <w:num w:numId="44">
    <w:abstractNumId w:val="24"/>
  </w:num>
  <w:num w:numId="45">
    <w:abstractNumId w:val="24"/>
  </w:num>
  <w:num w:numId="46">
    <w:abstractNumId w:val="24"/>
  </w:num>
  <w:num w:numId="47">
    <w:abstractNumId w:val="13"/>
  </w:num>
  <w:num w:numId="48">
    <w:abstractNumId w:val="4"/>
  </w:num>
  <w:num w:numId="49">
    <w:abstractNumId w:val="4"/>
  </w:num>
  <w:num w:numId="50">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20 08:55:1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3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06C9236-636A-4BC7-B92A-5FFB4079C619"/>
    <w:docVar w:name="LW_COVERPAGE_TYPE" w:val="1"/>
    <w:docVar w:name="LW_CROSSREFERENCE" w:val="{SWD(2022) 1 final}"/>
    <w:docVar w:name="LW_DocType" w:val="COM"/>
    <w:docVar w:name="LW_EMISSION" w:val="4.1.2022"/>
    <w:docVar w:name="LW_EMISSION_ISODATE" w:val="2022-01-04"/>
    <w:docVar w:name="LW_EMISSION_LOCATION" w:val="BRX"/>
    <w:docVar w:name="LW_EMISSION_PREFIX" w:val="Bruxelles, le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438"/>
    <w:docVar w:name="LW_REF.II.NEW.CP_YEAR" w:val="2021"/>
    <w:docVar w:name="LW_REF.INST.NEW" w:val="COM"/>
    <w:docVar w:name="LW_REF.INST.NEW_ADOPTED" w:val="final"/>
    <w:docVar w:name="LW_REF.INST.NEW_TEXT" w:val="(2022) 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accordant une assistance macrofinancière à la République de Moldavie"/>
    <w:docVar w:name="LW_TYPE.DOC.CP" w:val="DÉCISION DU PARLEMENT EUROPÉEN ET DU CONSEIL"/>
    <w:docVar w:name="LwApiVersions" w:val="LW4CoDe 1.23.2.0; LW 8.0, Build 20211117"/>
  </w:docVars>
  <w:rsids>
    <w:rsidRoot w:val="001A3A0C"/>
    <w:rsid w:val="000004E1"/>
    <w:rsid w:val="000051D9"/>
    <w:rsid w:val="00005C2E"/>
    <w:rsid w:val="0001697E"/>
    <w:rsid w:val="0001716D"/>
    <w:rsid w:val="0002179F"/>
    <w:rsid w:val="000236A3"/>
    <w:rsid w:val="00030A7A"/>
    <w:rsid w:val="00032132"/>
    <w:rsid w:val="00054912"/>
    <w:rsid w:val="00055341"/>
    <w:rsid w:val="00064A7C"/>
    <w:rsid w:val="0007262B"/>
    <w:rsid w:val="0008370E"/>
    <w:rsid w:val="000904F7"/>
    <w:rsid w:val="00094966"/>
    <w:rsid w:val="00095918"/>
    <w:rsid w:val="00096DF2"/>
    <w:rsid w:val="00097A1F"/>
    <w:rsid w:val="00097B25"/>
    <w:rsid w:val="000A7517"/>
    <w:rsid w:val="000E198E"/>
    <w:rsid w:val="000E6D02"/>
    <w:rsid w:val="000E7FB1"/>
    <w:rsid w:val="000F40D0"/>
    <w:rsid w:val="000F5FD4"/>
    <w:rsid w:val="000F6F7D"/>
    <w:rsid w:val="0012314D"/>
    <w:rsid w:val="001307EB"/>
    <w:rsid w:val="00131C6F"/>
    <w:rsid w:val="00133098"/>
    <w:rsid w:val="00151A3A"/>
    <w:rsid w:val="00164960"/>
    <w:rsid w:val="00164A81"/>
    <w:rsid w:val="00170B76"/>
    <w:rsid w:val="00172D7E"/>
    <w:rsid w:val="00173044"/>
    <w:rsid w:val="001772A9"/>
    <w:rsid w:val="00180B80"/>
    <w:rsid w:val="001A06FD"/>
    <w:rsid w:val="001A3A0C"/>
    <w:rsid w:val="001A4DC0"/>
    <w:rsid w:val="001A7E9A"/>
    <w:rsid w:val="001A7F70"/>
    <w:rsid w:val="001B54BF"/>
    <w:rsid w:val="001B5D0F"/>
    <w:rsid w:val="001B7C55"/>
    <w:rsid w:val="001B7D35"/>
    <w:rsid w:val="001C2816"/>
    <w:rsid w:val="001C6FC4"/>
    <w:rsid w:val="001E316E"/>
    <w:rsid w:val="001F06F4"/>
    <w:rsid w:val="001F1377"/>
    <w:rsid w:val="001F6682"/>
    <w:rsid w:val="00232E98"/>
    <w:rsid w:val="00234E03"/>
    <w:rsid w:val="00240C09"/>
    <w:rsid w:val="0024257C"/>
    <w:rsid w:val="002472F5"/>
    <w:rsid w:val="00261770"/>
    <w:rsid w:val="0027603B"/>
    <w:rsid w:val="0027645F"/>
    <w:rsid w:val="00276F9B"/>
    <w:rsid w:val="0029070A"/>
    <w:rsid w:val="002A1CEE"/>
    <w:rsid w:val="002A3E51"/>
    <w:rsid w:val="002A64C1"/>
    <w:rsid w:val="002A78D8"/>
    <w:rsid w:val="002B2F91"/>
    <w:rsid w:val="002B7B2F"/>
    <w:rsid w:val="002C276D"/>
    <w:rsid w:val="002C6C4C"/>
    <w:rsid w:val="002D4107"/>
    <w:rsid w:val="002D5816"/>
    <w:rsid w:val="003132D5"/>
    <w:rsid w:val="00321790"/>
    <w:rsid w:val="00324D8B"/>
    <w:rsid w:val="00332FF8"/>
    <w:rsid w:val="003554DB"/>
    <w:rsid w:val="00373F78"/>
    <w:rsid w:val="003851CA"/>
    <w:rsid w:val="00394E97"/>
    <w:rsid w:val="003A3252"/>
    <w:rsid w:val="003A3F3C"/>
    <w:rsid w:val="003A411C"/>
    <w:rsid w:val="003D53FC"/>
    <w:rsid w:val="003D7BA2"/>
    <w:rsid w:val="00400C34"/>
    <w:rsid w:val="00400EEF"/>
    <w:rsid w:val="004012E7"/>
    <w:rsid w:val="00414E20"/>
    <w:rsid w:val="00416103"/>
    <w:rsid w:val="00416CA8"/>
    <w:rsid w:val="00417E5F"/>
    <w:rsid w:val="0042437B"/>
    <w:rsid w:val="00431E62"/>
    <w:rsid w:val="00432C5A"/>
    <w:rsid w:val="00432CD6"/>
    <w:rsid w:val="0043577F"/>
    <w:rsid w:val="004415A5"/>
    <w:rsid w:val="0045043D"/>
    <w:rsid w:val="004603A2"/>
    <w:rsid w:val="004704E0"/>
    <w:rsid w:val="00470A5C"/>
    <w:rsid w:val="004856B4"/>
    <w:rsid w:val="004A4E56"/>
    <w:rsid w:val="004B6298"/>
    <w:rsid w:val="004C2AB7"/>
    <w:rsid w:val="004C72C3"/>
    <w:rsid w:val="004D2D10"/>
    <w:rsid w:val="004D6E36"/>
    <w:rsid w:val="004E7DA1"/>
    <w:rsid w:val="004F6AC7"/>
    <w:rsid w:val="004F7D06"/>
    <w:rsid w:val="00500A57"/>
    <w:rsid w:val="00505947"/>
    <w:rsid w:val="00515CEB"/>
    <w:rsid w:val="00517420"/>
    <w:rsid w:val="005179BB"/>
    <w:rsid w:val="0053018B"/>
    <w:rsid w:val="00535498"/>
    <w:rsid w:val="005370D0"/>
    <w:rsid w:val="005506B2"/>
    <w:rsid w:val="00552336"/>
    <w:rsid w:val="0055660E"/>
    <w:rsid w:val="00563680"/>
    <w:rsid w:val="00580283"/>
    <w:rsid w:val="00581109"/>
    <w:rsid w:val="00581A40"/>
    <w:rsid w:val="005845C7"/>
    <w:rsid w:val="005866E1"/>
    <w:rsid w:val="005A0E95"/>
    <w:rsid w:val="005A33DF"/>
    <w:rsid w:val="005A3C77"/>
    <w:rsid w:val="005A3F95"/>
    <w:rsid w:val="005C015B"/>
    <w:rsid w:val="005C0B50"/>
    <w:rsid w:val="005C0E13"/>
    <w:rsid w:val="005C7F5A"/>
    <w:rsid w:val="005E0AAE"/>
    <w:rsid w:val="005E0BA0"/>
    <w:rsid w:val="00601F3F"/>
    <w:rsid w:val="006149F6"/>
    <w:rsid w:val="00620247"/>
    <w:rsid w:val="00623B95"/>
    <w:rsid w:val="00627289"/>
    <w:rsid w:val="0062784E"/>
    <w:rsid w:val="00643F09"/>
    <w:rsid w:val="006448D2"/>
    <w:rsid w:val="00645DDD"/>
    <w:rsid w:val="00657700"/>
    <w:rsid w:val="00663E72"/>
    <w:rsid w:val="006734D3"/>
    <w:rsid w:val="006805B3"/>
    <w:rsid w:val="00685485"/>
    <w:rsid w:val="00687C2B"/>
    <w:rsid w:val="006963D7"/>
    <w:rsid w:val="006A013D"/>
    <w:rsid w:val="006A0E05"/>
    <w:rsid w:val="006A1036"/>
    <w:rsid w:val="006A1DD2"/>
    <w:rsid w:val="006B2660"/>
    <w:rsid w:val="006B5306"/>
    <w:rsid w:val="006C1AA4"/>
    <w:rsid w:val="006C22EA"/>
    <w:rsid w:val="006C4209"/>
    <w:rsid w:val="006C4BC7"/>
    <w:rsid w:val="006D1852"/>
    <w:rsid w:val="006D4D80"/>
    <w:rsid w:val="006D7639"/>
    <w:rsid w:val="006E1D4B"/>
    <w:rsid w:val="006E1F8C"/>
    <w:rsid w:val="006E7FD3"/>
    <w:rsid w:val="006F430E"/>
    <w:rsid w:val="006F55DA"/>
    <w:rsid w:val="0070128F"/>
    <w:rsid w:val="00702229"/>
    <w:rsid w:val="00714AF5"/>
    <w:rsid w:val="0073357A"/>
    <w:rsid w:val="007416D5"/>
    <w:rsid w:val="0074461A"/>
    <w:rsid w:val="00750D09"/>
    <w:rsid w:val="00760878"/>
    <w:rsid w:val="00761993"/>
    <w:rsid w:val="00764719"/>
    <w:rsid w:val="007654F8"/>
    <w:rsid w:val="00771D0C"/>
    <w:rsid w:val="00773EBE"/>
    <w:rsid w:val="007B38B4"/>
    <w:rsid w:val="007B3C89"/>
    <w:rsid w:val="007B4297"/>
    <w:rsid w:val="007B6388"/>
    <w:rsid w:val="007B7FD5"/>
    <w:rsid w:val="007C06F6"/>
    <w:rsid w:val="007C220D"/>
    <w:rsid w:val="007C3A51"/>
    <w:rsid w:val="007D01AA"/>
    <w:rsid w:val="007D2300"/>
    <w:rsid w:val="007E2B2A"/>
    <w:rsid w:val="007E34D3"/>
    <w:rsid w:val="007F2364"/>
    <w:rsid w:val="007F7C57"/>
    <w:rsid w:val="00800500"/>
    <w:rsid w:val="00815304"/>
    <w:rsid w:val="00825B71"/>
    <w:rsid w:val="00827348"/>
    <w:rsid w:val="00827B86"/>
    <w:rsid w:val="00850099"/>
    <w:rsid w:val="0085166A"/>
    <w:rsid w:val="0085458F"/>
    <w:rsid w:val="008548B1"/>
    <w:rsid w:val="0086139F"/>
    <w:rsid w:val="00864350"/>
    <w:rsid w:val="008659A5"/>
    <w:rsid w:val="00875FEE"/>
    <w:rsid w:val="00896D71"/>
    <w:rsid w:val="008A5B26"/>
    <w:rsid w:val="008A688D"/>
    <w:rsid w:val="008B2286"/>
    <w:rsid w:val="008B7D59"/>
    <w:rsid w:val="008E5A65"/>
    <w:rsid w:val="008F3982"/>
    <w:rsid w:val="008F63E4"/>
    <w:rsid w:val="0090373D"/>
    <w:rsid w:val="00905972"/>
    <w:rsid w:val="009137E1"/>
    <w:rsid w:val="00915850"/>
    <w:rsid w:val="00924F15"/>
    <w:rsid w:val="00930735"/>
    <w:rsid w:val="0094124B"/>
    <w:rsid w:val="0095023A"/>
    <w:rsid w:val="009515E7"/>
    <w:rsid w:val="00954C2E"/>
    <w:rsid w:val="009568EF"/>
    <w:rsid w:val="009623EF"/>
    <w:rsid w:val="00966F0C"/>
    <w:rsid w:val="00984DAA"/>
    <w:rsid w:val="00986B33"/>
    <w:rsid w:val="00987AD5"/>
    <w:rsid w:val="00990138"/>
    <w:rsid w:val="00997005"/>
    <w:rsid w:val="009A59B5"/>
    <w:rsid w:val="009B7138"/>
    <w:rsid w:val="009D1223"/>
    <w:rsid w:val="009D515A"/>
    <w:rsid w:val="009E5CA2"/>
    <w:rsid w:val="009F2759"/>
    <w:rsid w:val="009F7B06"/>
    <w:rsid w:val="00A0125F"/>
    <w:rsid w:val="00A062B2"/>
    <w:rsid w:val="00A11E1F"/>
    <w:rsid w:val="00A222EB"/>
    <w:rsid w:val="00A247F7"/>
    <w:rsid w:val="00A423E5"/>
    <w:rsid w:val="00A511DA"/>
    <w:rsid w:val="00A84A7B"/>
    <w:rsid w:val="00A85A13"/>
    <w:rsid w:val="00A86287"/>
    <w:rsid w:val="00A90B4C"/>
    <w:rsid w:val="00AA09EE"/>
    <w:rsid w:val="00AA303F"/>
    <w:rsid w:val="00AD5E1E"/>
    <w:rsid w:val="00AD63A5"/>
    <w:rsid w:val="00AE22F5"/>
    <w:rsid w:val="00AF1FF4"/>
    <w:rsid w:val="00AF4414"/>
    <w:rsid w:val="00B16C7C"/>
    <w:rsid w:val="00B2203B"/>
    <w:rsid w:val="00B42921"/>
    <w:rsid w:val="00B92565"/>
    <w:rsid w:val="00BA5B8B"/>
    <w:rsid w:val="00BB0926"/>
    <w:rsid w:val="00BB4410"/>
    <w:rsid w:val="00BB4F11"/>
    <w:rsid w:val="00BC7D9E"/>
    <w:rsid w:val="00BE246D"/>
    <w:rsid w:val="00BE62AA"/>
    <w:rsid w:val="00BF17AA"/>
    <w:rsid w:val="00BF4CAE"/>
    <w:rsid w:val="00BF5827"/>
    <w:rsid w:val="00BF7942"/>
    <w:rsid w:val="00C00494"/>
    <w:rsid w:val="00C06B51"/>
    <w:rsid w:val="00C11C47"/>
    <w:rsid w:val="00C1630C"/>
    <w:rsid w:val="00C24556"/>
    <w:rsid w:val="00C24DCB"/>
    <w:rsid w:val="00C25922"/>
    <w:rsid w:val="00C313E4"/>
    <w:rsid w:val="00C36F6B"/>
    <w:rsid w:val="00C37200"/>
    <w:rsid w:val="00C704DC"/>
    <w:rsid w:val="00C7474D"/>
    <w:rsid w:val="00C755E1"/>
    <w:rsid w:val="00C75866"/>
    <w:rsid w:val="00C762AC"/>
    <w:rsid w:val="00CA243F"/>
    <w:rsid w:val="00CA5E73"/>
    <w:rsid w:val="00CA713B"/>
    <w:rsid w:val="00CB2259"/>
    <w:rsid w:val="00CB2F9E"/>
    <w:rsid w:val="00CB58A3"/>
    <w:rsid w:val="00CC7FCE"/>
    <w:rsid w:val="00CD0E4F"/>
    <w:rsid w:val="00CE0D16"/>
    <w:rsid w:val="00CE41F2"/>
    <w:rsid w:val="00CF1139"/>
    <w:rsid w:val="00D027DC"/>
    <w:rsid w:val="00D12B3E"/>
    <w:rsid w:val="00D14568"/>
    <w:rsid w:val="00D23B07"/>
    <w:rsid w:val="00D3324C"/>
    <w:rsid w:val="00D36890"/>
    <w:rsid w:val="00D427F2"/>
    <w:rsid w:val="00D47797"/>
    <w:rsid w:val="00D63D34"/>
    <w:rsid w:val="00D64AD1"/>
    <w:rsid w:val="00D664C0"/>
    <w:rsid w:val="00D66D78"/>
    <w:rsid w:val="00D747B5"/>
    <w:rsid w:val="00D769C5"/>
    <w:rsid w:val="00D77020"/>
    <w:rsid w:val="00DC07C1"/>
    <w:rsid w:val="00DC49CE"/>
    <w:rsid w:val="00DC51AD"/>
    <w:rsid w:val="00DE691F"/>
    <w:rsid w:val="00DF3D67"/>
    <w:rsid w:val="00DF6A90"/>
    <w:rsid w:val="00E012B0"/>
    <w:rsid w:val="00E110CC"/>
    <w:rsid w:val="00E12507"/>
    <w:rsid w:val="00E20324"/>
    <w:rsid w:val="00E32086"/>
    <w:rsid w:val="00E42251"/>
    <w:rsid w:val="00E43F61"/>
    <w:rsid w:val="00E44730"/>
    <w:rsid w:val="00E50111"/>
    <w:rsid w:val="00E5060A"/>
    <w:rsid w:val="00E66679"/>
    <w:rsid w:val="00E735BB"/>
    <w:rsid w:val="00E76603"/>
    <w:rsid w:val="00E814CC"/>
    <w:rsid w:val="00EA6806"/>
    <w:rsid w:val="00EC2B73"/>
    <w:rsid w:val="00EE6126"/>
    <w:rsid w:val="00F20062"/>
    <w:rsid w:val="00F25043"/>
    <w:rsid w:val="00F33084"/>
    <w:rsid w:val="00F43D7C"/>
    <w:rsid w:val="00F60E66"/>
    <w:rsid w:val="00F650BF"/>
    <w:rsid w:val="00F770B0"/>
    <w:rsid w:val="00F840C0"/>
    <w:rsid w:val="00F904A0"/>
    <w:rsid w:val="00F946F5"/>
    <w:rsid w:val="00F95508"/>
    <w:rsid w:val="00FA7084"/>
    <w:rsid w:val="00FB154D"/>
    <w:rsid w:val="00FB3A9E"/>
    <w:rsid w:val="00FC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C299406"/>
  <w15:docId w15:val="{D5607E47-CEC8-484A-9211-40ADAFC3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rsid w:val="009B7138"/>
    <w:pPr>
      <w:keepNext/>
      <w:numPr>
        <w:numId w:val="4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6"/>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3A411C"/>
    <w:pPr>
      <w:keepNext/>
      <w:numPr>
        <w:ilvl w:val="4"/>
        <w:numId w:val="46"/>
      </w:numPr>
      <w:outlineLvl w:val="4"/>
    </w:pPr>
    <w:rPr>
      <w:rFonts w:eastAsiaTheme="majorEastAsia"/>
    </w:rPr>
  </w:style>
  <w:style w:type="paragraph" w:styleId="Heading6">
    <w:name w:val="heading 6"/>
    <w:basedOn w:val="Normal"/>
    <w:next w:val="Text2"/>
    <w:link w:val="Heading6Char"/>
    <w:uiPriority w:val="9"/>
    <w:semiHidden/>
    <w:unhideWhenUsed/>
    <w:qFormat/>
    <w:rsid w:val="003A411C"/>
    <w:pPr>
      <w:keepNext/>
      <w:numPr>
        <w:ilvl w:val="5"/>
        <w:numId w:val="46"/>
      </w:numPr>
      <w:outlineLvl w:val="5"/>
    </w:pPr>
    <w:rPr>
      <w:rFonts w:eastAsiaTheme="majorEastAsia"/>
      <w:iCs/>
    </w:rPr>
  </w:style>
  <w:style w:type="paragraph" w:styleId="Heading7">
    <w:name w:val="heading 7"/>
    <w:basedOn w:val="Normal"/>
    <w:next w:val="Text2"/>
    <w:link w:val="Heading7Char"/>
    <w:uiPriority w:val="9"/>
    <w:semiHidden/>
    <w:unhideWhenUsed/>
    <w:qFormat/>
    <w:rsid w:val="003A411C"/>
    <w:pPr>
      <w:keepNext/>
      <w:numPr>
        <w:ilvl w:val="6"/>
        <w:numId w:val="4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1A3A0C"/>
    <w:pPr>
      <w:numPr>
        <w:numId w:val="2"/>
      </w:numPr>
    </w:pPr>
    <w:rPr>
      <w:rFonts w:eastAsia="Times New Roman"/>
      <w:lang w:eastAsia="de-DE"/>
    </w:rPr>
  </w:style>
  <w:style w:type="paragraph" w:styleId="ListNumber">
    <w:name w:val="List Number"/>
    <w:basedOn w:val="Normal"/>
    <w:rsid w:val="001A3A0C"/>
    <w:pPr>
      <w:numPr>
        <w:numId w:val="6"/>
      </w:numPr>
    </w:pPr>
    <w:rPr>
      <w:rFonts w:eastAsia="Times New Roman"/>
      <w:lang w:eastAsia="de-DE"/>
    </w:rPr>
  </w:style>
  <w:style w:type="paragraph" w:customStyle="1" w:styleId="ListBullet1">
    <w:name w:val="List Bullet 1"/>
    <w:basedOn w:val="Normal"/>
    <w:rsid w:val="001A3A0C"/>
    <w:pPr>
      <w:numPr>
        <w:numId w:val="1"/>
      </w:numPr>
    </w:pPr>
    <w:rPr>
      <w:rFonts w:eastAsia="Times New Roman"/>
      <w:lang w:eastAsia="de-DE"/>
    </w:rPr>
  </w:style>
  <w:style w:type="paragraph" w:customStyle="1" w:styleId="ListDash">
    <w:name w:val="List Dash"/>
    <w:basedOn w:val="Normal"/>
    <w:rsid w:val="001A3A0C"/>
    <w:pPr>
      <w:numPr>
        <w:numId w:val="3"/>
      </w:numPr>
    </w:pPr>
    <w:rPr>
      <w:rFonts w:eastAsia="Times New Roman"/>
      <w:lang w:eastAsia="de-DE"/>
    </w:rPr>
  </w:style>
  <w:style w:type="paragraph" w:customStyle="1" w:styleId="ListDash1">
    <w:name w:val="List Dash 1"/>
    <w:basedOn w:val="Normal"/>
    <w:rsid w:val="001A3A0C"/>
    <w:pPr>
      <w:numPr>
        <w:numId w:val="4"/>
      </w:numPr>
    </w:pPr>
    <w:rPr>
      <w:rFonts w:eastAsia="Times New Roman"/>
      <w:lang w:eastAsia="de-DE"/>
    </w:rPr>
  </w:style>
  <w:style w:type="paragraph" w:customStyle="1" w:styleId="ListDash2">
    <w:name w:val="List Dash 2"/>
    <w:basedOn w:val="Normal"/>
    <w:rsid w:val="001A3A0C"/>
    <w:pPr>
      <w:numPr>
        <w:numId w:val="5"/>
      </w:numPr>
    </w:pPr>
    <w:rPr>
      <w:rFonts w:eastAsia="Times New Roman"/>
      <w:lang w:eastAsia="de-DE"/>
    </w:rPr>
  </w:style>
  <w:style w:type="paragraph" w:customStyle="1" w:styleId="ListNumberLevel2">
    <w:name w:val="List Number (Level 2)"/>
    <w:basedOn w:val="Normal"/>
    <w:rsid w:val="001A3A0C"/>
    <w:pPr>
      <w:numPr>
        <w:ilvl w:val="1"/>
        <w:numId w:val="6"/>
      </w:numPr>
    </w:pPr>
    <w:rPr>
      <w:rFonts w:eastAsia="Times New Roman"/>
      <w:lang w:eastAsia="de-DE"/>
    </w:rPr>
  </w:style>
  <w:style w:type="paragraph" w:customStyle="1" w:styleId="ListNumberLevel3">
    <w:name w:val="List Number (Level 3)"/>
    <w:basedOn w:val="Normal"/>
    <w:rsid w:val="001A3A0C"/>
    <w:pPr>
      <w:numPr>
        <w:ilvl w:val="2"/>
        <w:numId w:val="6"/>
      </w:numPr>
    </w:pPr>
    <w:rPr>
      <w:rFonts w:eastAsia="Times New Roman"/>
      <w:lang w:eastAsia="de-DE"/>
    </w:rPr>
  </w:style>
  <w:style w:type="paragraph" w:customStyle="1" w:styleId="ListNumberLevel4">
    <w:name w:val="List Number (Level 4)"/>
    <w:basedOn w:val="Normal"/>
    <w:rsid w:val="001A3A0C"/>
    <w:pPr>
      <w:numPr>
        <w:ilvl w:val="3"/>
        <w:numId w:val="6"/>
      </w:numPr>
    </w:pPr>
    <w:rPr>
      <w:rFonts w:eastAsia="Times New Roman"/>
      <w:lang w:eastAsia="de-DE"/>
    </w:rPr>
  </w:style>
  <w:style w:type="table" w:styleId="TableGrid">
    <w:name w:val="Table Grid"/>
    <w:basedOn w:val="TableNormal"/>
    <w:uiPriority w:val="59"/>
    <w:rsid w:val="001A3A0C"/>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A3A0C"/>
    <w:rPr>
      <w:color w:val="0000FF"/>
      <w:u w:val="single"/>
    </w:rPr>
  </w:style>
  <w:style w:type="paragraph" w:styleId="ListBullet">
    <w:name w:val="List Bullet"/>
    <w:basedOn w:val="Normal"/>
    <w:rsid w:val="001A3A0C"/>
    <w:pPr>
      <w:numPr>
        <w:numId w:val="7"/>
      </w:numPr>
    </w:pPr>
    <w:rPr>
      <w:rFonts w:eastAsia="Times New Roman"/>
      <w:lang w:eastAsia="en-GB"/>
    </w:rPr>
  </w:style>
  <w:style w:type="paragraph" w:styleId="ListBullet2">
    <w:name w:val="List Bullet 2"/>
    <w:basedOn w:val="Normal"/>
    <w:rsid w:val="001A3A0C"/>
    <w:pPr>
      <w:numPr>
        <w:numId w:val="8"/>
      </w:numPr>
    </w:pPr>
    <w:rPr>
      <w:rFonts w:eastAsia="Times New Roman"/>
      <w:lang w:eastAsia="en-GB"/>
    </w:rPr>
  </w:style>
  <w:style w:type="paragraph" w:styleId="ListBullet3">
    <w:name w:val="List Bullet 3"/>
    <w:basedOn w:val="Normal"/>
    <w:rsid w:val="001A3A0C"/>
    <w:pPr>
      <w:numPr>
        <w:numId w:val="9"/>
      </w:numPr>
    </w:pPr>
    <w:rPr>
      <w:rFonts w:eastAsia="Times New Roman"/>
      <w:lang w:eastAsia="en-GB"/>
    </w:rPr>
  </w:style>
  <w:style w:type="paragraph" w:styleId="ListNumber2">
    <w:name w:val="List Number 2"/>
    <w:basedOn w:val="Normal"/>
    <w:rsid w:val="001A3A0C"/>
    <w:pPr>
      <w:numPr>
        <w:numId w:val="13"/>
      </w:numPr>
    </w:pPr>
    <w:rPr>
      <w:rFonts w:eastAsia="Times New Roman"/>
      <w:lang w:eastAsia="en-GB"/>
    </w:rPr>
  </w:style>
  <w:style w:type="paragraph" w:styleId="ListNumber3">
    <w:name w:val="List Number 3"/>
    <w:basedOn w:val="Normal"/>
    <w:rsid w:val="001A3A0C"/>
    <w:pPr>
      <w:numPr>
        <w:numId w:val="14"/>
      </w:numPr>
    </w:pPr>
    <w:rPr>
      <w:rFonts w:eastAsia="Times New Roman"/>
      <w:lang w:eastAsia="en-GB"/>
    </w:rPr>
  </w:style>
  <w:style w:type="paragraph" w:styleId="ListNumber4">
    <w:name w:val="List Number 4"/>
    <w:basedOn w:val="Normal"/>
    <w:rsid w:val="001A3A0C"/>
    <w:pPr>
      <w:numPr>
        <w:numId w:val="15"/>
      </w:numPr>
    </w:pPr>
    <w:rPr>
      <w:rFonts w:eastAsia="Times New Roman"/>
      <w:lang w:eastAsia="en-GB"/>
    </w:rPr>
  </w:style>
  <w:style w:type="paragraph" w:customStyle="1" w:styleId="ListDash3">
    <w:name w:val="List Dash 3"/>
    <w:basedOn w:val="Normal"/>
    <w:rsid w:val="001A3A0C"/>
    <w:pPr>
      <w:numPr>
        <w:numId w:val="10"/>
      </w:numPr>
    </w:pPr>
    <w:rPr>
      <w:rFonts w:eastAsia="Times New Roman"/>
      <w:lang w:eastAsia="en-GB"/>
    </w:rPr>
  </w:style>
  <w:style w:type="paragraph" w:customStyle="1" w:styleId="ListDash4">
    <w:name w:val="List Dash 4"/>
    <w:basedOn w:val="Normal"/>
    <w:rsid w:val="001A3A0C"/>
    <w:pPr>
      <w:numPr>
        <w:numId w:val="11"/>
      </w:numPr>
    </w:pPr>
    <w:rPr>
      <w:rFonts w:eastAsia="Times New Roman"/>
      <w:lang w:eastAsia="en-GB"/>
    </w:rPr>
  </w:style>
  <w:style w:type="paragraph" w:customStyle="1" w:styleId="ListNumber1">
    <w:name w:val="List Number 1"/>
    <w:basedOn w:val="Text1"/>
    <w:rsid w:val="001A3A0C"/>
    <w:pPr>
      <w:numPr>
        <w:numId w:val="12"/>
      </w:numPr>
    </w:pPr>
    <w:rPr>
      <w:rFonts w:eastAsia="Times New Roman"/>
      <w:lang w:eastAsia="en-GB"/>
    </w:rPr>
  </w:style>
  <w:style w:type="paragraph" w:customStyle="1" w:styleId="ListNumber1Level2">
    <w:name w:val="List Number 1 (Level 2)"/>
    <w:basedOn w:val="Text1"/>
    <w:rsid w:val="001A3A0C"/>
    <w:pPr>
      <w:numPr>
        <w:ilvl w:val="1"/>
        <w:numId w:val="12"/>
      </w:numPr>
    </w:pPr>
    <w:rPr>
      <w:rFonts w:eastAsia="Times New Roman"/>
      <w:lang w:eastAsia="en-GB"/>
    </w:rPr>
  </w:style>
  <w:style w:type="paragraph" w:customStyle="1" w:styleId="ListNumber2Level2">
    <w:name w:val="List Number 2 (Level 2)"/>
    <w:basedOn w:val="Text2"/>
    <w:rsid w:val="001A3A0C"/>
    <w:pPr>
      <w:numPr>
        <w:ilvl w:val="1"/>
        <w:numId w:val="13"/>
      </w:numPr>
    </w:pPr>
    <w:rPr>
      <w:rFonts w:eastAsia="Times New Roman"/>
      <w:lang w:eastAsia="en-GB"/>
    </w:rPr>
  </w:style>
  <w:style w:type="paragraph" w:customStyle="1" w:styleId="ListNumber3Level2">
    <w:name w:val="List Number 3 (Level 2)"/>
    <w:basedOn w:val="Text3"/>
    <w:rsid w:val="001A3A0C"/>
    <w:pPr>
      <w:numPr>
        <w:ilvl w:val="1"/>
        <w:numId w:val="14"/>
      </w:numPr>
    </w:pPr>
    <w:rPr>
      <w:rFonts w:eastAsia="Times New Roman"/>
      <w:lang w:eastAsia="en-GB"/>
    </w:rPr>
  </w:style>
  <w:style w:type="paragraph" w:customStyle="1" w:styleId="ListNumber4Level2">
    <w:name w:val="List Number 4 (Level 2)"/>
    <w:basedOn w:val="Text4"/>
    <w:rsid w:val="001A3A0C"/>
    <w:pPr>
      <w:numPr>
        <w:ilvl w:val="1"/>
        <w:numId w:val="15"/>
      </w:numPr>
    </w:pPr>
    <w:rPr>
      <w:rFonts w:eastAsia="Times New Roman"/>
      <w:lang w:eastAsia="en-GB"/>
    </w:rPr>
  </w:style>
  <w:style w:type="paragraph" w:customStyle="1" w:styleId="ListNumber1Level3">
    <w:name w:val="List Number 1 (Level 3)"/>
    <w:basedOn w:val="Text1"/>
    <w:rsid w:val="001A3A0C"/>
    <w:pPr>
      <w:numPr>
        <w:ilvl w:val="2"/>
        <w:numId w:val="12"/>
      </w:numPr>
    </w:pPr>
    <w:rPr>
      <w:rFonts w:eastAsia="Times New Roman"/>
      <w:lang w:eastAsia="en-GB"/>
    </w:rPr>
  </w:style>
  <w:style w:type="paragraph" w:customStyle="1" w:styleId="ListNumber2Level3">
    <w:name w:val="List Number 2 (Level 3)"/>
    <w:basedOn w:val="Text2"/>
    <w:rsid w:val="001A3A0C"/>
    <w:pPr>
      <w:numPr>
        <w:ilvl w:val="2"/>
        <w:numId w:val="13"/>
      </w:numPr>
    </w:pPr>
    <w:rPr>
      <w:rFonts w:eastAsia="Times New Roman"/>
      <w:lang w:eastAsia="en-GB"/>
    </w:rPr>
  </w:style>
  <w:style w:type="paragraph" w:customStyle="1" w:styleId="ListNumber3Level3">
    <w:name w:val="List Number 3 (Level 3)"/>
    <w:basedOn w:val="Text3"/>
    <w:rsid w:val="001A3A0C"/>
    <w:pPr>
      <w:numPr>
        <w:ilvl w:val="2"/>
        <w:numId w:val="14"/>
      </w:numPr>
    </w:pPr>
    <w:rPr>
      <w:rFonts w:eastAsia="Times New Roman"/>
      <w:lang w:eastAsia="en-GB"/>
    </w:rPr>
  </w:style>
  <w:style w:type="paragraph" w:customStyle="1" w:styleId="ListNumber4Level3">
    <w:name w:val="List Number 4 (Level 3)"/>
    <w:basedOn w:val="Text4"/>
    <w:rsid w:val="001A3A0C"/>
    <w:pPr>
      <w:numPr>
        <w:ilvl w:val="2"/>
        <w:numId w:val="15"/>
      </w:numPr>
    </w:pPr>
    <w:rPr>
      <w:rFonts w:eastAsia="Times New Roman"/>
      <w:lang w:eastAsia="en-GB"/>
    </w:rPr>
  </w:style>
  <w:style w:type="paragraph" w:customStyle="1" w:styleId="ListNumber1Level4">
    <w:name w:val="List Number 1 (Level 4)"/>
    <w:basedOn w:val="Text1"/>
    <w:rsid w:val="001A3A0C"/>
    <w:pPr>
      <w:numPr>
        <w:ilvl w:val="3"/>
        <w:numId w:val="12"/>
      </w:numPr>
    </w:pPr>
    <w:rPr>
      <w:rFonts w:eastAsia="Times New Roman"/>
      <w:lang w:eastAsia="en-GB"/>
    </w:rPr>
  </w:style>
  <w:style w:type="paragraph" w:customStyle="1" w:styleId="ListNumber2Level4">
    <w:name w:val="List Number 2 (Level 4)"/>
    <w:basedOn w:val="Text2"/>
    <w:rsid w:val="001A3A0C"/>
    <w:pPr>
      <w:numPr>
        <w:ilvl w:val="3"/>
        <w:numId w:val="13"/>
      </w:numPr>
    </w:pPr>
    <w:rPr>
      <w:rFonts w:eastAsia="Times New Roman"/>
      <w:lang w:eastAsia="en-GB"/>
    </w:rPr>
  </w:style>
  <w:style w:type="paragraph" w:customStyle="1" w:styleId="ListNumber3Level4">
    <w:name w:val="List Number 3 (Level 4)"/>
    <w:basedOn w:val="Text3"/>
    <w:rsid w:val="001A3A0C"/>
    <w:pPr>
      <w:numPr>
        <w:ilvl w:val="3"/>
        <w:numId w:val="14"/>
      </w:numPr>
    </w:pPr>
    <w:rPr>
      <w:rFonts w:eastAsia="Times New Roman"/>
      <w:lang w:eastAsia="en-GB"/>
    </w:rPr>
  </w:style>
  <w:style w:type="paragraph" w:customStyle="1" w:styleId="ListNumber4Level4">
    <w:name w:val="List Number 4 (Level 4)"/>
    <w:basedOn w:val="Text4"/>
    <w:rsid w:val="001A3A0C"/>
    <w:pPr>
      <w:numPr>
        <w:ilvl w:val="3"/>
        <w:numId w:val="15"/>
      </w:numPr>
    </w:pPr>
    <w:rPr>
      <w:rFonts w:eastAsia="Times New Roman"/>
      <w:lang w:eastAsia="en-GB"/>
    </w:rPr>
  </w:style>
  <w:style w:type="paragraph" w:customStyle="1" w:styleId="Annexetitreacte">
    <w:name w:val="Annexe titre (acte)"/>
    <w:basedOn w:val="Normal"/>
    <w:next w:val="Normal"/>
    <w:rsid w:val="001A3A0C"/>
    <w:pPr>
      <w:jc w:val="center"/>
    </w:pPr>
    <w:rPr>
      <w:rFonts w:eastAsia="Times New Roman"/>
      <w:b/>
      <w:u w:val="single"/>
      <w:lang w:eastAsia="en-GB"/>
    </w:rPr>
  </w:style>
  <w:style w:type="paragraph" w:customStyle="1" w:styleId="Annexetitreexposglobal">
    <w:name w:val="Annexe titre (exposé global)"/>
    <w:basedOn w:val="Normal"/>
    <w:next w:val="Normal"/>
    <w:rsid w:val="001A3A0C"/>
    <w:pPr>
      <w:jc w:val="center"/>
    </w:pPr>
    <w:rPr>
      <w:rFonts w:eastAsia="Times New Roman"/>
      <w:b/>
      <w:u w:val="single"/>
      <w:lang w:eastAsia="en-GB"/>
    </w:rPr>
  </w:style>
  <w:style w:type="paragraph" w:customStyle="1" w:styleId="Annexetitrefichefinacte">
    <w:name w:val="Annexe titre (fiche fin. acte)"/>
    <w:basedOn w:val="Normal"/>
    <w:next w:val="Normal"/>
    <w:rsid w:val="001A3A0C"/>
    <w:pPr>
      <w:jc w:val="center"/>
    </w:pPr>
    <w:rPr>
      <w:rFonts w:eastAsia="Times New Roman"/>
      <w:b/>
      <w:u w:val="single"/>
      <w:lang w:eastAsia="en-GB"/>
    </w:rPr>
  </w:style>
  <w:style w:type="paragraph" w:customStyle="1" w:styleId="Annexetitrefichefinglobale">
    <w:name w:val="Annexe titre (fiche fin. globale)"/>
    <w:basedOn w:val="Normal"/>
    <w:next w:val="Normal"/>
    <w:rsid w:val="001A3A0C"/>
    <w:pPr>
      <w:jc w:val="center"/>
    </w:pPr>
    <w:rPr>
      <w:rFonts w:eastAsia="Times New Roman"/>
      <w:b/>
      <w:u w:val="single"/>
      <w:lang w:eastAsia="en-GB"/>
    </w:rPr>
  </w:style>
  <w:style w:type="paragraph" w:customStyle="1" w:styleId="Annexetitreglobale">
    <w:name w:val="Annexe titre (globale)"/>
    <w:basedOn w:val="Normal"/>
    <w:next w:val="Normal"/>
    <w:rsid w:val="001A3A0C"/>
    <w:pPr>
      <w:jc w:val="center"/>
    </w:pPr>
    <w:rPr>
      <w:rFonts w:eastAsia="Times New Roman"/>
      <w:b/>
      <w:u w:val="single"/>
      <w:lang w:eastAsia="en-GB"/>
    </w:rPr>
  </w:style>
  <w:style w:type="paragraph" w:customStyle="1" w:styleId="Exposdesmotifstitreglobal">
    <w:name w:val="Exposé des motifs titre (global)"/>
    <w:basedOn w:val="Normal"/>
    <w:next w:val="Normal"/>
    <w:rsid w:val="001A3A0C"/>
    <w:pPr>
      <w:jc w:val="center"/>
    </w:pPr>
    <w:rPr>
      <w:rFonts w:eastAsia="Times New Roman"/>
      <w:b/>
      <w:u w:val="single"/>
      <w:lang w:eastAsia="en-GB"/>
    </w:rPr>
  </w:style>
  <w:style w:type="paragraph" w:customStyle="1" w:styleId="Langueoriginale">
    <w:name w:val="Langue originale"/>
    <w:basedOn w:val="Normal"/>
    <w:rsid w:val="001A3A0C"/>
    <w:pPr>
      <w:spacing w:before="360"/>
      <w:jc w:val="center"/>
    </w:pPr>
    <w:rPr>
      <w:rFonts w:eastAsia="Times New Roman"/>
      <w:caps/>
      <w:lang w:eastAsia="en-GB"/>
    </w:rPr>
  </w:style>
  <w:style w:type="paragraph" w:customStyle="1" w:styleId="Phrasefinale">
    <w:name w:val="Phrase finale"/>
    <w:basedOn w:val="Normal"/>
    <w:next w:val="Normal"/>
    <w:rsid w:val="001A3A0C"/>
    <w:pPr>
      <w:spacing w:before="360" w:after="0"/>
      <w:jc w:val="center"/>
    </w:pPr>
    <w:rPr>
      <w:rFonts w:eastAsia="Times New Roman"/>
      <w:lang w:eastAsia="en-GB"/>
    </w:rPr>
  </w:style>
  <w:style w:type="paragraph" w:customStyle="1" w:styleId="Prliminairetitre">
    <w:name w:val="Préliminaire titre"/>
    <w:basedOn w:val="Normal"/>
    <w:next w:val="Normal"/>
    <w:rsid w:val="001A3A0C"/>
    <w:pPr>
      <w:spacing w:before="360" w:after="360"/>
      <w:jc w:val="center"/>
    </w:pPr>
    <w:rPr>
      <w:rFonts w:eastAsia="Times New Roman"/>
      <w:b/>
      <w:lang w:eastAsia="en-GB"/>
    </w:rPr>
  </w:style>
  <w:style w:type="paragraph" w:customStyle="1" w:styleId="Prliminairetype">
    <w:name w:val="Préliminaire type"/>
    <w:basedOn w:val="Normal"/>
    <w:next w:val="Normal"/>
    <w:rsid w:val="001A3A0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A3A0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A3A0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A3A0C"/>
    <w:pPr>
      <w:spacing w:before="0" w:after="0"/>
      <w:ind w:left="5103"/>
      <w:jc w:val="left"/>
    </w:pPr>
    <w:rPr>
      <w:rFonts w:eastAsia="Times New Roman"/>
      <w:lang w:eastAsia="en-GB"/>
    </w:rPr>
  </w:style>
  <w:style w:type="paragraph" w:customStyle="1" w:styleId="Sous-titreobjetprliminaire">
    <w:name w:val="Sous-titre objet (préliminaire)"/>
    <w:basedOn w:val="Normal"/>
    <w:rsid w:val="001A3A0C"/>
    <w:pPr>
      <w:spacing w:before="0" w:after="0"/>
      <w:jc w:val="center"/>
    </w:pPr>
    <w:rPr>
      <w:rFonts w:eastAsia="Times New Roman"/>
      <w:b/>
      <w:lang w:eastAsia="en-GB"/>
    </w:rPr>
  </w:style>
  <w:style w:type="paragraph" w:customStyle="1" w:styleId="Statutprliminaire">
    <w:name w:val="Statut (préliminaire)"/>
    <w:basedOn w:val="Normal"/>
    <w:next w:val="Normal"/>
    <w:rsid w:val="001A3A0C"/>
    <w:pPr>
      <w:spacing w:before="360" w:after="0"/>
      <w:jc w:val="center"/>
    </w:pPr>
    <w:rPr>
      <w:rFonts w:eastAsia="Times New Roman"/>
      <w:lang w:eastAsia="en-GB"/>
    </w:rPr>
  </w:style>
  <w:style w:type="paragraph" w:customStyle="1" w:styleId="Titreobjetprliminaire">
    <w:name w:val="Titre objet (préliminaire)"/>
    <w:basedOn w:val="Normal"/>
    <w:next w:val="Normal"/>
    <w:rsid w:val="001A3A0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A3A0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A3A0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A3A0C"/>
    <w:pPr>
      <w:jc w:val="center"/>
    </w:pPr>
    <w:rPr>
      <w:rFonts w:eastAsia="Times New Roman"/>
      <w:b/>
      <w:u w:val="single"/>
      <w:lang w:eastAsia="en-GB"/>
    </w:rPr>
  </w:style>
  <w:style w:type="paragraph" w:customStyle="1" w:styleId="Fichefinanciretravailtitre">
    <w:name w:val="Fiche financière (travail) titre"/>
    <w:basedOn w:val="Normal"/>
    <w:next w:val="Normal"/>
    <w:rsid w:val="001A3A0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A3A0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A3A0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A3A0C"/>
    <w:pPr>
      <w:jc w:val="center"/>
    </w:pPr>
    <w:rPr>
      <w:rFonts w:eastAsia="Times New Roman"/>
      <w:b/>
      <w:u w:val="single"/>
      <w:lang w:eastAsia="en-GB"/>
    </w:rPr>
  </w:style>
  <w:style w:type="character" w:styleId="CommentReference">
    <w:name w:val="annotation reference"/>
    <w:rsid w:val="001A3A0C"/>
    <w:rPr>
      <w:rFonts w:cs="Times New Roman"/>
      <w:sz w:val="16"/>
      <w:szCs w:val="16"/>
    </w:rPr>
  </w:style>
  <w:style w:type="paragraph" w:styleId="CommentText">
    <w:name w:val="annotation text"/>
    <w:basedOn w:val="Normal"/>
    <w:link w:val="CommentTextChar"/>
    <w:rsid w:val="001A3A0C"/>
    <w:rPr>
      <w:rFonts w:eastAsia="Times New Roman"/>
      <w:sz w:val="20"/>
      <w:szCs w:val="20"/>
      <w:lang w:eastAsia="en-GB"/>
    </w:rPr>
  </w:style>
  <w:style w:type="character" w:customStyle="1" w:styleId="CommentTextChar">
    <w:name w:val="Comment Text Char"/>
    <w:basedOn w:val="DefaultParagraphFont"/>
    <w:link w:val="CommentText"/>
    <w:rsid w:val="001A3A0C"/>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1A3A0C"/>
    <w:rPr>
      <w:b/>
      <w:bCs/>
    </w:rPr>
  </w:style>
  <w:style w:type="character" w:customStyle="1" w:styleId="CommentSubjectChar">
    <w:name w:val="Comment Subject Char"/>
    <w:basedOn w:val="CommentTextChar"/>
    <w:link w:val="CommentSubject"/>
    <w:rsid w:val="001A3A0C"/>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1A3A0C"/>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1A3A0C"/>
    <w:rPr>
      <w:rFonts w:ascii="Tahoma" w:eastAsia="Times New Roman" w:hAnsi="Tahoma" w:cs="Tahoma"/>
      <w:sz w:val="16"/>
      <w:szCs w:val="16"/>
      <w:lang w:val="fr-FR" w:eastAsia="en-GB"/>
    </w:rPr>
  </w:style>
  <w:style w:type="paragraph" w:styleId="Caption">
    <w:name w:val="caption"/>
    <w:basedOn w:val="Normal"/>
    <w:next w:val="Normal"/>
    <w:qFormat/>
    <w:rsid w:val="001A3A0C"/>
    <w:rPr>
      <w:rFonts w:eastAsia="Times New Roman"/>
      <w:b/>
      <w:bCs/>
      <w:sz w:val="20"/>
      <w:szCs w:val="20"/>
      <w:lang w:eastAsia="en-GB"/>
    </w:rPr>
  </w:style>
  <w:style w:type="paragraph" w:styleId="TableofFigures">
    <w:name w:val="table of figures"/>
    <w:basedOn w:val="Normal"/>
    <w:next w:val="Normal"/>
    <w:rsid w:val="001A3A0C"/>
    <w:rPr>
      <w:rFonts w:eastAsia="Times New Roman"/>
      <w:lang w:eastAsia="en-GB"/>
    </w:rPr>
  </w:style>
  <w:style w:type="character" w:styleId="PageNumber">
    <w:name w:val="page number"/>
    <w:rsid w:val="001A3A0C"/>
  </w:style>
  <w:style w:type="character" w:customStyle="1" w:styleId="tw4winMark">
    <w:name w:val="tw4winMark"/>
    <w:rsid w:val="001A3A0C"/>
    <w:rPr>
      <w:vanish/>
      <w:color w:val="800080"/>
      <w:vertAlign w:val="subscript"/>
    </w:rPr>
  </w:style>
  <w:style w:type="character" w:styleId="FollowedHyperlink">
    <w:name w:val="FollowedHyperlink"/>
    <w:rsid w:val="001A3A0C"/>
    <w:rPr>
      <w:color w:val="800080"/>
      <w:u w:val="single"/>
    </w:rPr>
  </w:style>
  <w:style w:type="paragraph" w:customStyle="1" w:styleId="Sous-titreobjet">
    <w:name w:val="Sous-titre objet"/>
    <w:basedOn w:val="Normal"/>
    <w:rsid w:val="001A3A0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A3A0C"/>
  </w:style>
  <w:style w:type="paragraph" w:styleId="Revision">
    <w:name w:val="Revision"/>
    <w:hidden/>
    <w:uiPriority w:val="99"/>
    <w:semiHidden/>
    <w:rsid w:val="001A3A0C"/>
    <w:rPr>
      <w:rFonts w:ascii="Calibri" w:eastAsia="Calibri" w:hAnsi="Calibri" w:cs="Times New Roman"/>
      <w:sz w:val="24"/>
      <w:lang w:eastAsia="en-GB"/>
    </w:rPr>
  </w:style>
  <w:style w:type="paragraph" w:customStyle="1" w:styleId="FooterCoverPage">
    <w:name w:val="Footer Cover Page"/>
    <w:basedOn w:val="Normal"/>
    <w:link w:val="FooterCoverPageChar"/>
    <w:rsid w:val="001A3A0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A3A0C"/>
    <w:rPr>
      <w:rFonts w:ascii="Times New Roman" w:hAnsi="Times New Roman" w:cs="Times New Roman"/>
      <w:b/>
      <w:sz w:val="28"/>
      <w:lang w:val="fr-FR"/>
    </w:rPr>
  </w:style>
  <w:style w:type="character" w:customStyle="1" w:styleId="FooterCoverPageChar">
    <w:name w:val="Footer Cover Page Char"/>
    <w:link w:val="FooterCoverPage"/>
    <w:rsid w:val="001A3A0C"/>
    <w:rPr>
      <w:rFonts w:ascii="Times New Roman" w:eastAsia="Calibri" w:hAnsi="Times New Roman" w:cs="Times New Roman"/>
      <w:sz w:val="24"/>
      <w:lang w:val="fr-FR" w:eastAsia="en-GB"/>
    </w:rPr>
  </w:style>
  <w:style w:type="paragraph" w:customStyle="1" w:styleId="HeaderCoverPage">
    <w:name w:val="Header Cover Page"/>
    <w:basedOn w:val="Normal"/>
    <w:link w:val="HeaderCoverPageChar"/>
    <w:rsid w:val="001A3A0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A3A0C"/>
    <w:rPr>
      <w:rFonts w:ascii="Times New Roman" w:eastAsia="Calibri" w:hAnsi="Times New Roman" w:cs="Times New Roman"/>
      <w:sz w:val="24"/>
      <w:lang w:val="fr-FR" w:eastAsia="en-GB"/>
    </w:rPr>
  </w:style>
  <w:style w:type="character" w:styleId="Emphasis">
    <w:name w:val="Emphasis"/>
    <w:uiPriority w:val="20"/>
    <w:qFormat/>
    <w:rsid w:val="006C4BC7"/>
    <w:rPr>
      <w:i/>
    </w:rPr>
  </w:style>
  <w:style w:type="paragraph" w:styleId="Header">
    <w:name w:val="header"/>
    <w:basedOn w:val="Normal"/>
    <w:link w:val="HeaderChar"/>
    <w:uiPriority w:val="99"/>
    <w:unhideWhenUsed/>
    <w:rsid w:val="005A33DF"/>
    <w:pPr>
      <w:tabs>
        <w:tab w:val="center" w:pos="4535"/>
        <w:tab w:val="right" w:pos="9071"/>
      </w:tabs>
      <w:spacing w:before="0"/>
    </w:pPr>
  </w:style>
  <w:style w:type="character" w:customStyle="1" w:styleId="HeaderChar">
    <w:name w:val="Header Char"/>
    <w:basedOn w:val="DefaultParagraphFont"/>
    <w:link w:val="Header"/>
    <w:uiPriority w:val="99"/>
    <w:rsid w:val="005A33DF"/>
    <w:rPr>
      <w:rFonts w:ascii="Times New Roman" w:hAnsi="Times New Roman" w:cs="Times New Roman"/>
      <w:sz w:val="24"/>
      <w:lang w:val="fr-FR"/>
    </w:rPr>
  </w:style>
  <w:style w:type="paragraph" w:styleId="Footer">
    <w:name w:val="footer"/>
    <w:basedOn w:val="Normal"/>
    <w:link w:val="FooterChar"/>
    <w:uiPriority w:val="99"/>
    <w:unhideWhenUsed/>
    <w:rsid w:val="005A33D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A33DF"/>
    <w:rPr>
      <w:rFonts w:ascii="Times New Roman" w:hAnsi="Times New Roman" w:cs="Times New Roman"/>
      <w:sz w:val="24"/>
      <w:lang w:val="fr-F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5A33DF"/>
    <w:pPr>
      <w:tabs>
        <w:tab w:val="center" w:pos="7285"/>
        <w:tab w:val="right" w:pos="14003"/>
      </w:tabs>
      <w:spacing w:before="0"/>
    </w:pPr>
  </w:style>
  <w:style w:type="paragraph" w:customStyle="1" w:styleId="FooterLandscape">
    <w:name w:val="FooterLandscape"/>
    <w:basedOn w:val="Normal"/>
    <w:rsid w:val="005A33D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5A33D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A33DF"/>
    <w:pPr>
      <w:spacing w:before="0"/>
      <w:jc w:val="right"/>
    </w:pPr>
    <w:rPr>
      <w:sz w:val="28"/>
    </w:rPr>
  </w:style>
  <w:style w:type="paragraph" w:customStyle="1" w:styleId="FooterSensitivity">
    <w:name w:val="Footer Sensitivity"/>
    <w:basedOn w:val="Normal"/>
    <w:rsid w:val="005A33D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30"/>
      </w:numPr>
    </w:pPr>
  </w:style>
  <w:style w:type="paragraph" w:customStyle="1" w:styleId="Tiret1">
    <w:name w:val="Tiret 1"/>
    <w:basedOn w:val="Point1"/>
    <w:rsid w:val="009B7138"/>
    <w:pPr>
      <w:numPr>
        <w:numId w:val="31"/>
      </w:numPr>
    </w:pPr>
  </w:style>
  <w:style w:type="paragraph" w:customStyle="1" w:styleId="Tiret2">
    <w:name w:val="Tiret 2"/>
    <w:basedOn w:val="Point2"/>
    <w:rsid w:val="009B7138"/>
    <w:pPr>
      <w:numPr>
        <w:numId w:val="32"/>
      </w:numPr>
    </w:pPr>
  </w:style>
  <w:style w:type="paragraph" w:customStyle="1" w:styleId="Tiret3">
    <w:name w:val="Tiret 3"/>
    <w:basedOn w:val="Point3"/>
    <w:rsid w:val="009B7138"/>
    <w:pPr>
      <w:numPr>
        <w:numId w:val="33"/>
      </w:numPr>
    </w:pPr>
  </w:style>
  <w:style w:type="paragraph" w:customStyle="1" w:styleId="Tiret4">
    <w:name w:val="Tiret 4"/>
    <w:basedOn w:val="Point4"/>
    <w:rsid w:val="009B7138"/>
    <w:pPr>
      <w:numPr>
        <w:numId w:val="3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50"/>
      </w:numPr>
    </w:pPr>
  </w:style>
  <w:style w:type="paragraph" w:customStyle="1" w:styleId="NumPar2">
    <w:name w:val="NumPar 2"/>
    <w:basedOn w:val="Normal"/>
    <w:next w:val="Text1"/>
    <w:rsid w:val="009B7138"/>
    <w:pPr>
      <w:numPr>
        <w:ilvl w:val="1"/>
        <w:numId w:val="50"/>
      </w:numPr>
    </w:pPr>
  </w:style>
  <w:style w:type="paragraph" w:customStyle="1" w:styleId="NumPar3">
    <w:name w:val="NumPar 3"/>
    <w:basedOn w:val="Normal"/>
    <w:next w:val="Text1"/>
    <w:rsid w:val="009B7138"/>
    <w:pPr>
      <w:numPr>
        <w:ilvl w:val="2"/>
        <w:numId w:val="50"/>
      </w:numPr>
    </w:pPr>
  </w:style>
  <w:style w:type="paragraph" w:customStyle="1" w:styleId="NumPar4">
    <w:name w:val="NumPar 4"/>
    <w:basedOn w:val="Normal"/>
    <w:next w:val="Text1"/>
    <w:rsid w:val="009B7138"/>
    <w:pPr>
      <w:numPr>
        <w:ilvl w:val="3"/>
        <w:numId w:val="50"/>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6B2660"/>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7"/>
      </w:numPr>
    </w:pPr>
  </w:style>
  <w:style w:type="paragraph" w:customStyle="1" w:styleId="Point1number">
    <w:name w:val="Point 1 (number)"/>
    <w:basedOn w:val="Normal"/>
    <w:rsid w:val="009B7138"/>
    <w:pPr>
      <w:numPr>
        <w:ilvl w:val="2"/>
        <w:numId w:val="37"/>
      </w:numPr>
    </w:pPr>
  </w:style>
  <w:style w:type="paragraph" w:customStyle="1" w:styleId="Point2number">
    <w:name w:val="Point 2 (number)"/>
    <w:basedOn w:val="Normal"/>
    <w:rsid w:val="009B7138"/>
    <w:pPr>
      <w:numPr>
        <w:ilvl w:val="4"/>
        <w:numId w:val="37"/>
      </w:numPr>
    </w:pPr>
  </w:style>
  <w:style w:type="paragraph" w:customStyle="1" w:styleId="Point3number">
    <w:name w:val="Point 3 (number)"/>
    <w:basedOn w:val="Normal"/>
    <w:rsid w:val="009B7138"/>
    <w:pPr>
      <w:numPr>
        <w:ilvl w:val="6"/>
        <w:numId w:val="37"/>
      </w:numPr>
    </w:pPr>
  </w:style>
  <w:style w:type="paragraph" w:customStyle="1" w:styleId="Point0letter">
    <w:name w:val="Point 0 (letter)"/>
    <w:basedOn w:val="Normal"/>
    <w:rsid w:val="009B7138"/>
    <w:pPr>
      <w:numPr>
        <w:ilvl w:val="1"/>
        <w:numId w:val="37"/>
      </w:numPr>
    </w:pPr>
  </w:style>
  <w:style w:type="paragraph" w:customStyle="1" w:styleId="Point1letter">
    <w:name w:val="Point 1 (letter)"/>
    <w:basedOn w:val="Normal"/>
    <w:rsid w:val="009B7138"/>
    <w:pPr>
      <w:numPr>
        <w:ilvl w:val="3"/>
        <w:numId w:val="37"/>
      </w:numPr>
    </w:pPr>
  </w:style>
  <w:style w:type="paragraph" w:customStyle="1" w:styleId="Point2letter">
    <w:name w:val="Point 2 (letter)"/>
    <w:basedOn w:val="Normal"/>
    <w:rsid w:val="009B7138"/>
    <w:pPr>
      <w:numPr>
        <w:ilvl w:val="5"/>
        <w:numId w:val="37"/>
      </w:numPr>
    </w:pPr>
  </w:style>
  <w:style w:type="paragraph" w:customStyle="1" w:styleId="Point3letter">
    <w:name w:val="Point 3 (letter)"/>
    <w:basedOn w:val="Normal"/>
    <w:rsid w:val="009B7138"/>
    <w:pPr>
      <w:numPr>
        <w:ilvl w:val="7"/>
        <w:numId w:val="37"/>
      </w:numPr>
    </w:pPr>
  </w:style>
  <w:style w:type="paragraph" w:customStyle="1" w:styleId="Point4letter">
    <w:name w:val="Point 4 (letter)"/>
    <w:basedOn w:val="Normal"/>
    <w:rsid w:val="009B7138"/>
    <w:pPr>
      <w:numPr>
        <w:ilvl w:val="8"/>
        <w:numId w:val="37"/>
      </w:numPr>
    </w:pPr>
  </w:style>
  <w:style w:type="paragraph" w:customStyle="1" w:styleId="Bullet0">
    <w:name w:val="Bullet 0"/>
    <w:basedOn w:val="Normal"/>
    <w:rsid w:val="009B7138"/>
    <w:pPr>
      <w:numPr>
        <w:numId w:val="38"/>
      </w:numPr>
    </w:pPr>
  </w:style>
  <w:style w:type="paragraph" w:customStyle="1" w:styleId="Bullet1">
    <w:name w:val="Bullet 1"/>
    <w:basedOn w:val="Normal"/>
    <w:rsid w:val="009B7138"/>
    <w:pPr>
      <w:numPr>
        <w:numId w:val="39"/>
      </w:numPr>
    </w:pPr>
  </w:style>
  <w:style w:type="paragraph" w:customStyle="1" w:styleId="Bullet2">
    <w:name w:val="Bullet 2"/>
    <w:basedOn w:val="Normal"/>
    <w:rsid w:val="009B7138"/>
    <w:pPr>
      <w:numPr>
        <w:numId w:val="40"/>
      </w:numPr>
    </w:pPr>
  </w:style>
  <w:style w:type="paragraph" w:customStyle="1" w:styleId="Bullet3">
    <w:name w:val="Bullet 3"/>
    <w:basedOn w:val="Normal"/>
    <w:rsid w:val="009B7138"/>
    <w:pPr>
      <w:numPr>
        <w:numId w:val="41"/>
      </w:numPr>
    </w:pPr>
  </w:style>
  <w:style w:type="paragraph" w:customStyle="1" w:styleId="Bullet4">
    <w:name w:val="Bullet 4"/>
    <w:basedOn w:val="Normal"/>
    <w:rsid w:val="009B7138"/>
    <w:pPr>
      <w:numPr>
        <w:numId w:val="42"/>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3"/>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3A411C"/>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sid w:val="003A411C"/>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sid w:val="003A411C"/>
    <w:rPr>
      <w:rFonts w:ascii="Times New Roman" w:eastAsiaTheme="majorEastAsia" w:hAnsi="Times New Roman" w:cs="Times New Roman"/>
      <w:iCs/>
      <w:sz w:val="24"/>
      <w:lang w:val="fr-FR"/>
    </w:rPr>
  </w:style>
  <w:style w:type="paragraph" w:customStyle="1" w:styleId="ManualHeading5">
    <w:name w:val="Manual Heading 5"/>
    <w:basedOn w:val="Normal"/>
    <w:next w:val="Text2"/>
    <w:rsid w:val="003A411C"/>
    <w:pPr>
      <w:keepNext/>
      <w:tabs>
        <w:tab w:val="left" w:pos="1417"/>
      </w:tabs>
      <w:ind w:left="1417" w:hanging="1417"/>
      <w:outlineLvl w:val="4"/>
    </w:pPr>
  </w:style>
  <w:style w:type="paragraph" w:customStyle="1" w:styleId="ManualHeading6">
    <w:name w:val="Manual Heading 6"/>
    <w:basedOn w:val="Normal"/>
    <w:next w:val="Text2"/>
    <w:rsid w:val="003A411C"/>
    <w:pPr>
      <w:keepNext/>
      <w:tabs>
        <w:tab w:val="left" w:pos="1417"/>
      </w:tabs>
      <w:ind w:left="1417" w:hanging="1417"/>
      <w:outlineLvl w:val="5"/>
    </w:pPr>
  </w:style>
  <w:style w:type="paragraph" w:customStyle="1" w:styleId="ManualHeading7">
    <w:name w:val="Manual Heading 7"/>
    <w:basedOn w:val="Normal"/>
    <w:next w:val="Text2"/>
    <w:rsid w:val="003A411C"/>
    <w:pPr>
      <w:keepNext/>
      <w:tabs>
        <w:tab w:val="left" w:pos="1417"/>
      </w:tabs>
      <w:ind w:left="1417" w:hanging="1417"/>
      <w:outlineLvl w:val="6"/>
    </w:pPr>
  </w:style>
  <w:style w:type="paragraph" w:customStyle="1" w:styleId="Text5">
    <w:name w:val="Text 5"/>
    <w:basedOn w:val="Normal"/>
    <w:rsid w:val="003A411C"/>
    <w:pPr>
      <w:ind w:left="3118"/>
    </w:pPr>
  </w:style>
  <w:style w:type="paragraph" w:customStyle="1" w:styleId="Text6">
    <w:name w:val="Text 6"/>
    <w:basedOn w:val="Normal"/>
    <w:rsid w:val="003A411C"/>
    <w:pPr>
      <w:ind w:left="3685"/>
    </w:pPr>
  </w:style>
  <w:style w:type="paragraph" w:customStyle="1" w:styleId="Point5">
    <w:name w:val="Point 5"/>
    <w:basedOn w:val="Normal"/>
    <w:rsid w:val="003A411C"/>
    <w:pPr>
      <w:ind w:left="3685" w:hanging="567"/>
    </w:pPr>
  </w:style>
  <w:style w:type="paragraph" w:customStyle="1" w:styleId="Tiret5">
    <w:name w:val="Tiret 5"/>
    <w:basedOn w:val="Point5"/>
    <w:rsid w:val="003A411C"/>
    <w:pPr>
      <w:numPr>
        <w:numId w:val="47"/>
      </w:numPr>
    </w:pPr>
  </w:style>
  <w:style w:type="paragraph" w:customStyle="1" w:styleId="NumPar5">
    <w:name w:val="NumPar 5"/>
    <w:basedOn w:val="Normal"/>
    <w:next w:val="Text2"/>
    <w:rsid w:val="003A411C"/>
    <w:pPr>
      <w:numPr>
        <w:ilvl w:val="4"/>
        <w:numId w:val="50"/>
      </w:numPr>
    </w:pPr>
  </w:style>
  <w:style w:type="paragraph" w:customStyle="1" w:styleId="NumPar6">
    <w:name w:val="NumPar 6"/>
    <w:basedOn w:val="Normal"/>
    <w:next w:val="Text2"/>
    <w:rsid w:val="003A411C"/>
    <w:pPr>
      <w:numPr>
        <w:ilvl w:val="5"/>
        <w:numId w:val="50"/>
      </w:numPr>
    </w:pPr>
  </w:style>
  <w:style w:type="paragraph" w:customStyle="1" w:styleId="NumPar7">
    <w:name w:val="NumPar 7"/>
    <w:basedOn w:val="Normal"/>
    <w:next w:val="Text2"/>
    <w:rsid w:val="003A411C"/>
    <w:pPr>
      <w:numPr>
        <w:ilvl w:val="6"/>
        <w:numId w:val="50"/>
      </w:numPr>
    </w:pPr>
  </w:style>
  <w:style w:type="paragraph" w:customStyle="1" w:styleId="ManualNumPar5">
    <w:name w:val="Manual NumPar 5"/>
    <w:basedOn w:val="Normal"/>
    <w:next w:val="Text2"/>
    <w:rsid w:val="003A411C"/>
    <w:pPr>
      <w:ind w:left="1417" w:hanging="1417"/>
    </w:pPr>
  </w:style>
  <w:style w:type="paragraph" w:customStyle="1" w:styleId="ManualNumPar6">
    <w:name w:val="Manual NumPar 6"/>
    <w:basedOn w:val="Normal"/>
    <w:next w:val="Text2"/>
    <w:rsid w:val="003A411C"/>
    <w:pPr>
      <w:ind w:left="1417" w:hanging="1417"/>
    </w:pPr>
  </w:style>
  <w:style w:type="paragraph" w:customStyle="1" w:styleId="ManualNumPar7">
    <w:name w:val="Manual NumPar 7"/>
    <w:basedOn w:val="Normal"/>
    <w:next w:val="Text2"/>
    <w:rsid w:val="003A411C"/>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2291">
      <w:bodyDiv w:val="1"/>
      <w:marLeft w:val="0"/>
      <w:marRight w:val="0"/>
      <w:marTop w:val="0"/>
      <w:marBottom w:val="0"/>
      <w:divBdr>
        <w:top w:val="none" w:sz="0" w:space="0" w:color="auto"/>
        <w:left w:val="none" w:sz="0" w:space="0" w:color="auto"/>
        <w:bottom w:val="none" w:sz="0" w:space="0" w:color="auto"/>
        <w:right w:val="none" w:sz="0" w:space="0" w:color="auto"/>
      </w:divBdr>
    </w:div>
    <w:div w:id="1272515044">
      <w:bodyDiv w:val="1"/>
      <w:marLeft w:val="0"/>
      <w:marRight w:val="0"/>
      <w:marTop w:val="0"/>
      <w:marBottom w:val="0"/>
      <w:divBdr>
        <w:top w:val="none" w:sz="0" w:space="0" w:color="auto"/>
        <w:left w:val="none" w:sz="0" w:space="0" w:color="auto"/>
        <w:bottom w:val="none" w:sz="0" w:space="0" w:color="auto"/>
        <w:right w:val="none" w:sz="0" w:space="0" w:color="auto"/>
      </w:divBdr>
    </w:div>
    <w:div w:id="14787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tracomm.ec.europa.eu/budgweb/FR/leg/internal/Documents/2016-5-legislative-financial-statement-ann-fr.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313D2-A4C5-4DE0-9AB3-6A1DA4E4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36</Pages>
  <Words>11657</Words>
  <Characters>66096</Characters>
  <Application>Microsoft Office Word</Application>
  <DocSecurity>0</DocSecurity>
  <Lines>1694</Lines>
  <Paragraphs>726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dcterms:created xsi:type="dcterms:W3CDTF">2022-01-17T12:10:00Z</dcterms:created>
  <dcterms:modified xsi:type="dcterms:W3CDTF">2022-01-20T07:55:00Z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Green (DQC version 03)</vt:lpwstr>
  </property>
</Properties>
</file>