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4767F" w14:textId="20DCDE83" w:rsidR="00A17AEC" w:rsidRPr="00B10036" w:rsidRDefault="00CE7A11" w:rsidP="00CE7A11">
      <w:pPr>
        <w:pStyle w:val="Pagedecouverture"/>
        <w:rPr>
          <w:noProof/>
        </w:rPr>
      </w:pPr>
      <w:r>
        <w:rPr>
          <w:noProof/>
        </w:rPr>
        <w:pict w14:anchorId="224B9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231EC15-94D8-4F7B-ADFE-29D93BA98F99" style="width:455.25pt;height:396.75pt">
            <v:imagedata r:id="rId8" o:title=""/>
          </v:shape>
        </w:pict>
      </w:r>
    </w:p>
    <w:p w14:paraId="5DC2F22D" w14:textId="77777777" w:rsidR="00A17AEC" w:rsidRPr="00B10036" w:rsidRDefault="00A17AEC" w:rsidP="00A17AEC">
      <w:pPr>
        <w:rPr>
          <w:noProof/>
        </w:rPr>
        <w:sectPr w:rsidR="00A17AEC" w:rsidRPr="00B10036" w:rsidSect="00CE7A11">
          <w:footerReference w:type="default" r:id="rId9"/>
          <w:pgSz w:w="11907" w:h="16839"/>
          <w:pgMar w:top="1134" w:right="1417" w:bottom="1134" w:left="1417" w:header="709" w:footer="709" w:gutter="0"/>
          <w:pgNumType w:start="0"/>
          <w:cols w:space="720"/>
          <w:docGrid w:linePitch="360"/>
        </w:sectPr>
      </w:pPr>
    </w:p>
    <w:p w14:paraId="1AD194EC" w14:textId="77777777" w:rsidR="00A17AEC" w:rsidRPr="00B10036" w:rsidRDefault="00A17AEC" w:rsidP="00E6118B">
      <w:pPr>
        <w:pStyle w:val="Exposdesmotifstitre"/>
        <w:rPr>
          <w:noProof/>
        </w:rPr>
      </w:pPr>
      <w:bookmarkStart w:id="0" w:name="_GoBack"/>
      <w:bookmarkEnd w:id="0"/>
      <w:r w:rsidRPr="00B10036">
        <w:rPr>
          <w:noProof/>
        </w:rPr>
        <w:lastRenderedPageBreak/>
        <w:t>UZASADNIENIE</w:t>
      </w:r>
    </w:p>
    <w:p w14:paraId="754ADCC6" w14:textId="77777777" w:rsidR="00A17AEC" w:rsidRPr="00B10036" w:rsidRDefault="00A17AEC" w:rsidP="00E6118B">
      <w:pPr>
        <w:pStyle w:val="ManualHeading1"/>
        <w:rPr>
          <w:noProof/>
        </w:rPr>
      </w:pPr>
      <w:r w:rsidRPr="00B10036">
        <w:rPr>
          <w:noProof/>
        </w:rPr>
        <w:t>1.</w:t>
      </w:r>
      <w:r w:rsidRPr="00B10036">
        <w:rPr>
          <w:noProof/>
        </w:rPr>
        <w:tab/>
        <w:t>KONTEKST WNIOSKU</w:t>
      </w:r>
    </w:p>
    <w:p w14:paraId="54049D3A" w14:textId="11078D7E" w:rsidR="00794670" w:rsidRPr="00B10036" w:rsidRDefault="00A17AEC" w:rsidP="00794670">
      <w:pPr>
        <w:pStyle w:val="ManualHeading2"/>
        <w:rPr>
          <w:rFonts w:eastAsia="Arial Unicode MS"/>
          <w:noProof/>
        </w:rPr>
      </w:pPr>
      <w:r w:rsidRPr="00B10036">
        <w:rPr>
          <w:noProof/>
          <w:color w:val="000000"/>
          <w:bdr w:val="nil"/>
        </w:rPr>
        <w:t>•</w:t>
      </w:r>
      <w:r w:rsidRPr="00B10036">
        <w:rPr>
          <w:noProof/>
        </w:rPr>
        <w:tab/>
        <w:t>Przyczyny</w:t>
      </w:r>
      <w:r w:rsidR="00B10036" w:rsidRPr="00B10036">
        <w:rPr>
          <w:noProof/>
        </w:rPr>
        <w:t xml:space="preserve"> i</w:t>
      </w:r>
      <w:r w:rsidR="00B10036">
        <w:rPr>
          <w:noProof/>
        </w:rPr>
        <w:t> </w:t>
      </w:r>
      <w:r w:rsidR="00B10036" w:rsidRPr="00B10036">
        <w:rPr>
          <w:noProof/>
        </w:rPr>
        <w:t>cel</w:t>
      </w:r>
      <w:r w:rsidRPr="00B10036">
        <w:rPr>
          <w:noProof/>
        </w:rPr>
        <w:t>e wniosku</w:t>
      </w:r>
    </w:p>
    <w:p w14:paraId="5010994E" w14:textId="146B56A9"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Europejski Zielony Ład</w:t>
      </w:r>
      <w:r w:rsidRPr="00B10036">
        <w:rPr>
          <w:rStyle w:val="FootnoteReference"/>
          <w:rFonts w:eastAsia="Arial Unicode MS"/>
          <w:noProof/>
        </w:rPr>
        <w:footnoteReference w:id="2"/>
      </w:r>
      <w:r w:rsidRPr="00B10036">
        <w:rPr>
          <w:noProof/>
        </w:rPr>
        <w:t xml:space="preserve"> („Zielony Ład”) dał początek nowej strategii mającej na celu przekształcenie Unii Europejskiej</w:t>
      </w:r>
      <w:r w:rsidR="00B10036" w:rsidRPr="00B10036">
        <w:rPr>
          <w:noProof/>
        </w:rPr>
        <w:t xml:space="preserve"> w</w:t>
      </w:r>
      <w:r w:rsidR="00B10036">
        <w:rPr>
          <w:noProof/>
        </w:rPr>
        <w:t> </w:t>
      </w:r>
      <w:r w:rsidR="00B10036" w:rsidRPr="00B10036">
        <w:rPr>
          <w:noProof/>
        </w:rPr>
        <w:t>zró</w:t>
      </w:r>
      <w:r w:rsidRPr="00B10036">
        <w:rPr>
          <w:noProof/>
        </w:rPr>
        <w:t>wnoważone, sprawiedliwe</w:t>
      </w:r>
      <w:r w:rsidR="00B10036" w:rsidRPr="00B10036">
        <w:rPr>
          <w:noProof/>
        </w:rPr>
        <w:t xml:space="preserve"> i</w:t>
      </w:r>
      <w:r w:rsidR="00B10036">
        <w:rPr>
          <w:noProof/>
        </w:rPr>
        <w:t> </w:t>
      </w:r>
      <w:r w:rsidR="00B10036" w:rsidRPr="00B10036">
        <w:rPr>
          <w:noProof/>
        </w:rPr>
        <w:t>dos</w:t>
      </w:r>
      <w:r w:rsidRPr="00B10036">
        <w:rPr>
          <w:noProof/>
        </w:rPr>
        <w:t>tatnie społeczeństwo,</w:t>
      </w:r>
      <w:r w:rsidR="00B10036" w:rsidRPr="00B10036">
        <w:rPr>
          <w:noProof/>
        </w:rPr>
        <w:t xml:space="preserve"> o</w:t>
      </w:r>
      <w:r w:rsidR="00B10036">
        <w:rPr>
          <w:noProof/>
        </w:rPr>
        <w:t> </w:t>
      </w:r>
      <w:r w:rsidR="00B10036" w:rsidRPr="00B10036">
        <w:rPr>
          <w:noProof/>
        </w:rPr>
        <w:t>now</w:t>
      </w:r>
      <w:r w:rsidRPr="00B10036">
        <w:rPr>
          <w:noProof/>
        </w:rPr>
        <w:t>oczesnej</w:t>
      </w:r>
      <w:r w:rsidR="00B10036" w:rsidRPr="00B10036">
        <w:rPr>
          <w:noProof/>
        </w:rPr>
        <w:t xml:space="preserve"> i</w:t>
      </w:r>
      <w:r w:rsidR="00B10036">
        <w:rPr>
          <w:noProof/>
        </w:rPr>
        <w:t> </w:t>
      </w:r>
      <w:r w:rsidR="00B10036" w:rsidRPr="00B10036">
        <w:rPr>
          <w:noProof/>
        </w:rPr>
        <w:t>kon</w:t>
      </w:r>
      <w:r w:rsidRPr="00B10036">
        <w:rPr>
          <w:noProof/>
        </w:rPr>
        <w:t>kurencyjnej gospodarce</w:t>
      </w:r>
      <w:r w:rsidR="00B10036" w:rsidRPr="00B10036">
        <w:rPr>
          <w:noProof/>
        </w:rPr>
        <w:t xml:space="preserve"> o</w:t>
      </w:r>
      <w:r w:rsidR="00B10036">
        <w:rPr>
          <w:noProof/>
        </w:rPr>
        <w:t> </w:t>
      </w:r>
      <w:r w:rsidR="00B10036" w:rsidRPr="00B10036">
        <w:rPr>
          <w:noProof/>
        </w:rPr>
        <w:t>obi</w:t>
      </w:r>
      <w:r w:rsidRPr="00B10036">
        <w:rPr>
          <w:noProof/>
        </w:rPr>
        <w:t>egu zamkniętym, która</w:t>
      </w:r>
      <w:r w:rsidR="00B10036" w:rsidRPr="00B10036">
        <w:rPr>
          <w:noProof/>
        </w:rPr>
        <w:t xml:space="preserve"> w</w:t>
      </w:r>
      <w:r w:rsidR="00B10036">
        <w:rPr>
          <w:noProof/>
        </w:rPr>
        <w:t> </w:t>
      </w:r>
      <w:r w:rsidR="00B10036" w:rsidRPr="00B10036">
        <w:rPr>
          <w:noProof/>
        </w:rPr>
        <w:t>2</w:t>
      </w:r>
      <w:r w:rsidRPr="00B10036">
        <w:rPr>
          <w:noProof/>
        </w:rPr>
        <w:t>050</w:t>
      </w:r>
      <w:r w:rsidR="00B10036" w:rsidRPr="00B10036">
        <w:rPr>
          <w:noProof/>
        </w:rPr>
        <w:t> </w:t>
      </w:r>
      <w:r w:rsidRPr="00B10036">
        <w:rPr>
          <w:noProof/>
        </w:rPr>
        <w:t>r. osiągnie zerowy poziom emisji gazów cieplarnianych netto. Podkreślono</w:t>
      </w:r>
      <w:r w:rsidR="00B10036" w:rsidRPr="00B10036">
        <w:rPr>
          <w:noProof/>
        </w:rPr>
        <w:t xml:space="preserve"> w</w:t>
      </w:r>
      <w:r w:rsidR="00B10036">
        <w:rPr>
          <w:noProof/>
        </w:rPr>
        <w:t> </w:t>
      </w:r>
      <w:r w:rsidR="00B10036" w:rsidRPr="00B10036">
        <w:rPr>
          <w:noProof/>
        </w:rPr>
        <w:t>nim</w:t>
      </w:r>
      <w:r w:rsidRPr="00B10036">
        <w:rPr>
          <w:noProof/>
        </w:rPr>
        <w:t xml:space="preserve"> zaangażowanie Komisji</w:t>
      </w:r>
      <w:r w:rsidR="00B10036" w:rsidRPr="00B10036">
        <w:rPr>
          <w:noProof/>
        </w:rPr>
        <w:t xml:space="preserve"> w</w:t>
      </w:r>
      <w:r w:rsidR="00B10036">
        <w:rPr>
          <w:noProof/>
        </w:rPr>
        <w:t> </w:t>
      </w:r>
      <w:r w:rsidR="00B10036" w:rsidRPr="00B10036">
        <w:rPr>
          <w:noProof/>
        </w:rPr>
        <w:t>prz</w:t>
      </w:r>
      <w:r w:rsidRPr="00B10036">
        <w:rPr>
          <w:noProof/>
        </w:rPr>
        <w:t>eciwdziałanie zmianie klimatu</w:t>
      </w:r>
      <w:r w:rsidR="00B10036" w:rsidRPr="00B10036">
        <w:rPr>
          <w:noProof/>
        </w:rPr>
        <w:t xml:space="preserve"> i</w:t>
      </w:r>
      <w:r w:rsidR="00B10036">
        <w:rPr>
          <w:noProof/>
        </w:rPr>
        <w:t> </w:t>
      </w:r>
      <w:r w:rsidR="00B10036" w:rsidRPr="00B10036">
        <w:rPr>
          <w:noProof/>
        </w:rPr>
        <w:t>deg</w:t>
      </w:r>
      <w:r w:rsidRPr="00B10036">
        <w:rPr>
          <w:noProof/>
        </w:rPr>
        <w:t>radacji środowiska oraz</w:t>
      </w:r>
      <w:r w:rsidR="00B10036" w:rsidRPr="00B10036">
        <w:rPr>
          <w:noProof/>
        </w:rPr>
        <w:t xml:space="preserve"> w</w:t>
      </w:r>
      <w:r w:rsidR="00B10036">
        <w:rPr>
          <w:noProof/>
        </w:rPr>
        <w:t> </w:t>
      </w:r>
      <w:r w:rsidR="00B10036" w:rsidRPr="00B10036">
        <w:rPr>
          <w:noProof/>
        </w:rPr>
        <w:t>rea</w:t>
      </w:r>
      <w:r w:rsidRPr="00B10036">
        <w:rPr>
          <w:noProof/>
        </w:rPr>
        <w:t>lizację celów przyjętych na podstawie Ramowej konwencji Narodów Zjednoczonych</w:t>
      </w:r>
      <w:r w:rsidR="00B10036" w:rsidRPr="00B10036">
        <w:rPr>
          <w:noProof/>
        </w:rPr>
        <w:t xml:space="preserve"> w</w:t>
      </w:r>
      <w:r w:rsidR="00B10036">
        <w:rPr>
          <w:noProof/>
        </w:rPr>
        <w:t> </w:t>
      </w:r>
      <w:r w:rsidR="00B10036" w:rsidRPr="00B10036">
        <w:rPr>
          <w:noProof/>
        </w:rPr>
        <w:t>spr</w:t>
      </w:r>
      <w:r w:rsidRPr="00B10036">
        <w:rPr>
          <w:noProof/>
        </w:rPr>
        <w:t>awie zmian klimatu („porozumienie paryskie”), polegających na ograniczeniu wzrostu temperatury globalnej do poziomu znacznie niższego niż 2</w:t>
      </w:r>
      <w:r w:rsidR="00B10036" w:rsidRPr="00B10036">
        <w:rPr>
          <w:noProof/>
        </w:rPr>
        <w:t> </w:t>
      </w:r>
      <w:r w:rsidRPr="00B10036">
        <w:rPr>
          <w:noProof/>
        </w:rPr>
        <w:t>°C oraz podejmowanie wysiłków mających na celu ograniczenie go do</w:t>
      </w:r>
      <w:r w:rsidR="00B10036" w:rsidRPr="00B10036">
        <w:rPr>
          <w:noProof/>
        </w:rPr>
        <w:t> </w:t>
      </w:r>
      <w:r w:rsidRPr="00B10036">
        <w:rPr>
          <w:noProof/>
        </w:rPr>
        <w:t>1,5</w:t>
      </w:r>
      <w:r w:rsidR="00B10036" w:rsidRPr="00B10036">
        <w:rPr>
          <w:noProof/>
        </w:rPr>
        <w:t> </w:t>
      </w:r>
      <w:r w:rsidRPr="00B10036">
        <w:rPr>
          <w:noProof/>
        </w:rPr>
        <w:t>°C. Brak działań</w:t>
      </w:r>
      <w:r w:rsidR="00B10036" w:rsidRPr="00B10036">
        <w:rPr>
          <w:noProof/>
        </w:rPr>
        <w:t xml:space="preserve"> w</w:t>
      </w:r>
      <w:r w:rsidR="00B10036">
        <w:rPr>
          <w:noProof/>
        </w:rPr>
        <w:t> </w:t>
      </w:r>
      <w:r w:rsidR="00B10036" w:rsidRPr="00B10036">
        <w:rPr>
          <w:noProof/>
        </w:rPr>
        <w:t>zak</w:t>
      </w:r>
      <w:r w:rsidRPr="00B10036">
        <w:rPr>
          <w:noProof/>
        </w:rPr>
        <w:t>resie polityki klimatycznej</w:t>
      </w:r>
      <w:r w:rsidR="00B10036" w:rsidRPr="00B10036">
        <w:rPr>
          <w:noProof/>
        </w:rPr>
        <w:t xml:space="preserve"> i</w:t>
      </w:r>
      <w:r w:rsidR="00B10036">
        <w:rPr>
          <w:noProof/>
        </w:rPr>
        <w:t> </w:t>
      </w:r>
      <w:r w:rsidR="00B10036" w:rsidRPr="00B10036">
        <w:rPr>
          <w:noProof/>
        </w:rPr>
        <w:t>pol</w:t>
      </w:r>
      <w:r w:rsidRPr="00B10036">
        <w:rPr>
          <w:noProof/>
        </w:rPr>
        <w:t>ityki ochrony środowiska wiązałby się</w:t>
      </w:r>
      <w:r w:rsidR="00B10036" w:rsidRPr="00B10036">
        <w:rPr>
          <w:noProof/>
        </w:rPr>
        <w:t xml:space="preserve"> z</w:t>
      </w:r>
      <w:r w:rsidR="00B10036">
        <w:rPr>
          <w:noProof/>
        </w:rPr>
        <w:t> </w:t>
      </w:r>
      <w:r w:rsidR="00B10036" w:rsidRPr="00B10036">
        <w:rPr>
          <w:noProof/>
        </w:rPr>
        <w:t>ogr</w:t>
      </w:r>
      <w:r w:rsidRPr="00B10036">
        <w:rPr>
          <w:noProof/>
        </w:rPr>
        <w:t>omnymi kosztami dla ludzi,</w:t>
      </w:r>
      <w:r w:rsidR="00B10036" w:rsidRPr="00B10036">
        <w:rPr>
          <w:noProof/>
        </w:rPr>
        <w:t xml:space="preserve"> w</w:t>
      </w:r>
      <w:r w:rsidR="00B10036">
        <w:rPr>
          <w:noProof/>
        </w:rPr>
        <w:t> </w:t>
      </w:r>
      <w:r w:rsidR="00B10036" w:rsidRPr="00B10036">
        <w:rPr>
          <w:noProof/>
        </w:rPr>
        <w:t>szc</w:t>
      </w:r>
      <w:r w:rsidRPr="00B10036">
        <w:rPr>
          <w:noProof/>
        </w:rPr>
        <w:t>zególności dla osób będących</w:t>
      </w:r>
      <w:r w:rsidR="00B10036" w:rsidRPr="00B10036">
        <w:rPr>
          <w:noProof/>
        </w:rPr>
        <w:t xml:space="preserve"> w</w:t>
      </w:r>
      <w:r w:rsidR="00B10036">
        <w:rPr>
          <w:noProof/>
        </w:rPr>
        <w:t> </w:t>
      </w:r>
      <w:r w:rsidR="00B10036" w:rsidRPr="00B10036">
        <w:rPr>
          <w:noProof/>
        </w:rPr>
        <w:t>tru</w:t>
      </w:r>
      <w:r w:rsidRPr="00B10036">
        <w:rPr>
          <w:noProof/>
        </w:rPr>
        <w:t>dnej sytuacji, pod względem poziomu życia, zdrowia</w:t>
      </w:r>
      <w:r w:rsidR="00B10036" w:rsidRPr="00B10036">
        <w:rPr>
          <w:noProof/>
        </w:rPr>
        <w:t xml:space="preserve"> i</w:t>
      </w:r>
      <w:r w:rsidR="00B10036">
        <w:rPr>
          <w:noProof/>
        </w:rPr>
        <w:t> </w:t>
      </w:r>
      <w:r w:rsidR="00B10036" w:rsidRPr="00B10036">
        <w:rPr>
          <w:noProof/>
        </w:rPr>
        <w:t>dob</w:t>
      </w:r>
      <w:r w:rsidRPr="00B10036">
        <w:rPr>
          <w:noProof/>
        </w:rPr>
        <w:t>rostanu</w:t>
      </w:r>
      <w:r w:rsidR="00B10036" w:rsidRPr="00B10036">
        <w:rPr>
          <w:noProof/>
        </w:rPr>
        <w:t>. W</w:t>
      </w:r>
      <w:r w:rsidR="00B10036">
        <w:rPr>
          <w:noProof/>
        </w:rPr>
        <w:t> </w:t>
      </w:r>
      <w:r w:rsidR="00B10036" w:rsidRPr="00B10036">
        <w:rPr>
          <w:noProof/>
        </w:rPr>
        <w:t>kon</w:t>
      </w:r>
      <w:r w:rsidRPr="00B10036">
        <w:rPr>
          <w:noProof/>
        </w:rPr>
        <w:t>tekście dążenia do osiągnięcia zerowych emisji netto potrzeba sprawiedliwej transformacji stanowi integralną część Zielonego Ładu,</w:t>
      </w:r>
      <w:r w:rsidR="00B10036" w:rsidRPr="00B10036">
        <w:rPr>
          <w:noProof/>
        </w:rPr>
        <w:t xml:space="preserve"> w</w:t>
      </w:r>
      <w:r w:rsidR="00B10036">
        <w:rPr>
          <w:noProof/>
        </w:rPr>
        <w:t> </w:t>
      </w:r>
      <w:r w:rsidR="00B10036" w:rsidRPr="00B10036">
        <w:rPr>
          <w:noProof/>
        </w:rPr>
        <w:t>któ</w:t>
      </w:r>
      <w:r w:rsidRPr="00B10036">
        <w:rPr>
          <w:noProof/>
        </w:rPr>
        <w:t>rym podkreślono, że żadnej osoby ani żadnego miejsca nie należy pozostawić</w:t>
      </w:r>
      <w:r w:rsidR="00B10036" w:rsidRPr="00B10036">
        <w:rPr>
          <w:noProof/>
        </w:rPr>
        <w:t xml:space="preserve"> w</w:t>
      </w:r>
      <w:r w:rsidR="00B10036">
        <w:rPr>
          <w:noProof/>
        </w:rPr>
        <w:t> </w:t>
      </w:r>
      <w:r w:rsidR="00B10036" w:rsidRPr="00B10036">
        <w:rPr>
          <w:noProof/>
        </w:rPr>
        <w:t>tyl</w:t>
      </w:r>
      <w:r w:rsidRPr="00B10036">
        <w:rPr>
          <w:noProof/>
        </w:rPr>
        <w:t>e.</w:t>
      </w:r>
    </w:p>
    <w:p w14:paraId="27D61A02" w14:textId="0CF5905B"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W czerwcu 2021</w:t>
      </w:r>
      <w:r w:rsidR="00B10036" w:rsidRPr="00B10036">
        <w:rPr>
          <w:noProof/>
        </w:rPr>
        <w:t> </w:t>
      </w:r>
      <w:r w:rsidRPr="00B10036">
        <w:rPr>
          <w:noProof/>
        </w:rPr>
        <w:t>r. Rada Unii Europejskiej</w:t>
      </w:r>
      <w:r w:rsidR="00B10036" w:rsidRPr="00B10036">
        <w:rPr>
          <w:noProof/>
        </w:rPr>
        <w:t xml:space="preserve"> i</w:t>
      </w:r>
      <w:r w:rsidR="00B10036">
        <w:rPr>
          <w:noProof/>
        </w:rPr>
        <w:t> </w:t>
      </w:r>
      <w:r w:rsidR="00B10036" w:rsidRPr="00B10036">
        <w:rPr>
          <w:noProof/>
        </w:rPr>
        <w:t>Par</w:t>
      </w:r>
      <w:r w:rsidRPr="00B10036">
        <w:rPr>
          <w:noProof/>
        </w:rPr>
        <w:t>lament Europejski przyjęły „Europejskie prawo</w:t>
      </w:r>
      <w:r w:rsidR="00B10036" w:rsidRPr="00B10036">
        <w:rPr>
          <w:noProof/>
        </w:rPr>
        <w:t xml:space="preserve"> o</w:t>
      </w:r>
      <w:r w:rsidR="00B10036">
        <w:rPr>
          <w:noProof/>
        </w:rPr>
        <w:t> </w:t>
      </w:r>
      <w:r w:rsidR="00B10036" w:rsidRPr="00B10036">
        <w:rPr>
          <w:noProof/>
        </w:rPr>
        <w:t>kli</w:t>
      </w:r>
      <w:r w:rsidRPr="00B10036">
        <w:rPr>
          <w:noProof/>
        </w:rPr>
        <w:t>macie”</w:t>
      </w:r>
      <w:r w:rsidRPr="00B10036">
        <w:rPr>
          <w:rStyle w:val="FootnoteReference"/>
          <w:rFonts w:eastAsia="Arial Unicode MS"/>
          <w:noProof/>
        </w:rPr>
        <w:footnoteReference w:id="3"/>
      </w:r>
      <w:r w:rsidRPr="00B10036">
        <w:rPr>
          <w:noProof/>
        </w:rPr>
        <w:t>,</w:t>
      </w:r>
      <w:r w:rsidR="00B10036" w:rsidRPr="00B10036">
        <w:rPr>
          <w:noProof/>
        </w:rPr>
        <w:t xml:space="preserve"> w</w:t>
      </w:r>
      <w:r w:rsidR="00B10036">
        <w:rPr>
          <w:noProof/>
        </w:rPr>
        <w:t> </w:t>
      </w:r>
      <w:r w:rsidR="00B10036" w:rsidRPr="00B10036">
        <w:rPr>
          <w:noProof/>
        </w:rPr>
        <w:t>któ</w:t>
      </w:r>
      <w:r w:rsidRPr="00B10036">
        <w:rPr>
          <w:noProof/>
        </w:rPr>
        <w:t>rym określono wiążący cel, jakim jest neutralność klimatyczna</w:t>
      </w:r>
      <w:r w:rsidR="00B10036" w:rsidRPr="00B10036">
        <w:rPr>
          <w:noProof/>
        </w:rPr>
        <w:t xml:space="preserve"> w</w:t>
      </w:r>
      <w:r w:rsidR="00B10036">
        <w:rPr>
          <w:noProof/>
        </w:rPr>
        <w:t> </w:t>
      </w:r>
      <w:r w:rsidR="00B10036" w:rsidRPr="00B10036">
        <w:rPr>
          <w:noProof/>
        </w:rPr>
        <w:t>Uni</w:t>
      </w:r>
      <w:r w:rsidRPr="00B10036">
        <w:rPr>
          <w:noProof/>
        </w:rPr>
        <w:t>i do</w:t>
      </w:r>
      <w:r w:rsidR="00B10036" w:rsidRPr="00B10036">
        <w:rPr>
          <w:noProof/>
        </w:rPr>
        <w:t> </w:t>
      </w:r>
      <w:r w:rsidRPr="00B10036">
        <w:rPr>
          <w:noProof/>
        </w:rPr>
        <w:t>2050</w:t>
      </w:r>
      <w:r w:rsidR="00B10036" w:rsidRPr="00B10036">
        <w:rPr>
          <w:noProof/>
        </w:rPr>
        <w:t> </w:t>
      </w:r>
      <w:r w:rsidRPr="00B10036">
        <w:rPr>
          <w:noProof/>
        </w:rPr>
        <w:t>r.</w:t>
      </w:r>
      <w:r w:rsidRPr="00B10036">
        <w:rPr>
          <w:rStyle w:val="FootnoteReference"/>
          <w:rFonts w:eastAsia="Arial Unicode MS"/>
          <w:noProof/>
        </w:rPr>
        <w:footnoteReference w:id="4"/>
      </w:r>
      <w:r w:rsidRPr="00B10036">
        <w:rPr>
          <w:noProof/>
        </w:rPr>
        <w:t>, oraz wiążący cel pośredni, jakim jest ograniczenie krajowych emisji netto gazów cieplarnianych do roku 2030 o co najmniej 55</w:t>
      </w:r>
      <w:r w:rsidR="00B10036" w:rsidRPr="00B10036">
        <w:rPr>
          <w:noProof/>
        </w:rPr>
        <w:t> </w:t>
      </w:r>
      <w:r w:rsidRPr="00B10036">
        <w:rPr>
          <w:noProof/>
        </w:rPr>
        <w:t>%</w:t>
      </w:r>
      <w:r w:rsidR="00B10036" w:rsidRPr="00B10036">
        <w:rPr>
          <w:noProof/>
        </w:rPr>
        <w:t xml:space="preserve"> w</w:t>
      </w:r>
      <w:r w:rsidR="00B10036">
        <w:rPr>
          <w:noProof/>
        </w:rPr>
        <w:t> </w:t>
      </w:r>
      <w:r w:rsidR="00B10036" w:rsidRPr="00B10036">
        <w:rPr>
          <w:noProof/>
        </w:rPr>
        <w:t>por</w:t>
      </w:r>
      <w:r w:rsidRPr="00B10036">
        <w:rPr>
          <w:noProof/>
        </w:rPr>
        <w:t>ównaniu</w:t>
      </w:r>
      <w:r w:rsidR="00B10036" w:rsidRPr="00B10036">
        <w:rPr>
          <w:noProof/>
        </w:rPr>
        <w:t xml:space="preserve"> z</w:t>
      </w:r>
      <w:r w:rsidR="00B10036">
        <w:rPr>
          <w:noProof/>
        </w:rPr>
        <w:t> </w:t>
      </w:r>
      <w:r w:rsidR="00B10036" w:rsidRPr="00B10036">
        <w:rPr>
          <w:noProof/>
        </w:rPr>
        <w:t>poz</w:t>
      </w:r>
      <w:r w:rsidRPr="00B10036">
        <w:rPr>
          <w:noProof/>
        </w:rPr>
        <w:t>iomami</w:t>
      </w:r>
      <w:r w:rsidR="00B10036" w:rsidRPr="00B10036">
        <w:rPr>
          <w:noProof/>
        </w:rPr>
        <w:t xml:space="preserve"> z</w:t>
      </w:r>
      <w:r w:rsidR="00B10036">
        <w:rPr>
          <w:noProof/>
        </w:rPr>
        <w:t> </w:t>
      </w:r>
      <w:r w:rsidR="00B10036" w:rsidRPr="00B10036">
        <w:rPr>
          <w:noProof/>
        </w:rPr>
        <w:t>1</w:t>
      </w:r>
      <w:r w:rsidRPr="00B10036">
        <w:rPr>
          <w:noProof/>
        </w:rPr>
        <w:t>990</w:t>
      </w:r>
      <w:r w:rsidR="00B10036" w:rsidRPr="00B10036">
        <w:rPr>
          <w:noProof/>
        </w:rPr>
        <w:t> </w:t>
      </w:r>
      <w:r w:rsidRPr="00B10036">
        <w:rPr>
          <w:noProof/>
        </w:rPr>
        <w:t>r. Aby zrealizować te cele,</w:t>
      </w:r>
      <w:r w:rsidR="00B10036" w:rsidRPr="00B10036">
        <w:rPr>
          <w:noProof/>
        </w:rPr>
        <w:t xml:space="preserve"> w</w:t>
      </w:r>
      <w:r w:rsidR="00B10036">
        <w:rPr>
          <w:noProof/>
        </w:rPr>
        <w:t> </w:t>
      </w:r>
      <w:r w:rsidR="00B10036" w:rsidRPr="00B10036">
        <w:rPr>
          <w:noProof/>
        </w:rPr>
        <w:t>lip</w:t>
      </w:r>
      <w:r w:rsidRPr="00B10036">
        <w:rPr>
          <w:noProof/>
        </w:rPr>
        <w:t>cu 2021</w:t>
      </w:r>
      <w:r w:rsidR="00B10036" w:rsidRPr="00B10036">
        <w:rPr>
          <w:noProof/>
        </w:rPr>
        <w:t> </w:t>
      </w:r>
      <w:r w:rsidRPr="00B10036">
        <w:rPr>
          <w:noProof/>
        </w:rPr>
        <w:t>r. Komisja zaproponowała pakiet legislacyjny „Gotowi na</w:t>
      </w:r>
      <w:r w:rsidR="00B10036" w:rsidRPr="00B10036">
        <w:rPr>
          <w:noProof/>
        </w:rPr>
        <w:t> </w:t>
      </w:r>
      <w:r w:rsidRPr="00B10036">
        <w:rPr>
          <w:noProof/>
        </w:rPr>
        <w:t>55”. Pakiet ten obejmuje spójny zestaw środków zawartych we wnioskach ustawodawczych</w:t>
      </w:r>
      <w:r w:rsidR="00B10036" w:rsidRPr="00B10036">
        <w:rPr>
          <w:noProof/>
        </w:rPr>
        <w:t>. W</w:t>
      </w:r>
      <w:r w:rsidR="00B10036">
        <w:rPr>
          <w:noProof/>
        </w:rPr>
        <w:t> </w:t>
      </w:r>
      <w:r w:rsidR="00B10036" w:rsidRPr="00B10036">
        <w:rPr>
          <w:noProof/>
        </w:rPr>
        <w:t>pak</w:t>
      </w:r>
      <w:r w:rsidRPr="00B10036">
        <w:rPr>
          <w:noProof/>
        </w:rPr>
        <w:t>iecie przedstawiono m.in. wniosek dotyczący ustanowienia nowego Społecznego Funduszu Klimatycznego</w:t>
      </w:r>
      <w:r w:rsidRPr="00B10036">
        <w:rPr>
          <w:rStyle w:val="FootnoteReference"/>
          <w:rFonts w:eastAsia="Arial Unicode MS"/>
          <w:noProof/>
        </w:rPr>
        <w:footnoteReference w:id="5"/>
      </w:r>
      <w:r w:rsidR="00B10036" w:rsidRPr="00B10036">
        <w:rPr>
          <w:noProof/>
        </w:rPr>
        <w:t xml:space="preserve"> w</w:t>
      </w:r>
      <w:r w:rsidR="00B10036">
        <w:rPr>
          <w:noProof/>
        </w:rPr>
        <w:t> </w:t>
      </w:r>
      <w:r w:rsidR="00B10036" w:rsidRPr="00B10036">
        <w:rPr>
          <w:noProof/>
        </w:rPr>
        <w:t>wys</w:t>
      </w:r>
      <w:r w:rsidRPr="00B10036">
        <w:rPr>
          <w:noProof/>
        </w:rPr>
        <w:t>okości 72,2 mld EUR na lata 2025–2032</w:t>
      </w:r>
      <w:r w:rsidR="00B10036" w:rsidRPr="00B10036">
        <w:rPr>
          <w:noProof/>
        </w:rPr>
        <w:t xml:space="preserve"> w</w:t>
      </w:r>
      <w:r w:rsidR="00B10036">
        <w:rPr>
          <w:noProof/>
        </w:rPr>
        <w:t> </w:t>
      </w:r>
      <w:r w:rsidR="00B10036" w:rsidRPr="00B10036">
        <w:rPr>
          <w:noProof/>
        </w:rPr>
        <w:t>cel</w:t>
      </w:r>
      <w:r w:rsidRPr="00B10036">
        <w:rPr>
          <w:noProof/>
        </w:rPr>
        <w:t>u wsparcia znajdujących się</w:t>
      </w:r>
      <w:r w:rsidR="00B10036" w:rsidRPr="00B10036">
        <w:rPr>
          <w:noProof/>
        </w:rPr>
        <w:t xml:space="preserve"> w</w:t>
      </w:r>
      <w:r w:rsidR="00B10036">
        <w:rPr>
          <w:noProof/>
        </w:rPr>
        <w:t> </w:t>
      </w:r>
      <w:r w:rsidR="00B10036" w:rsidRPr="00B10036">
        <w:rPr>
          <w:noProof/>
        </w:rPr>
        <w:t>tru</w:t>
      </w:r>
      <w:r w:rsidRPr="00B10036">
        <w:rPr>
          <w:noProof/>
        </w:rPr>
        <w:t>dnej sytuacji gospodarstw domowych, użytkowników transportu</w:t>
      </w:r>
      <w:r w:rsidR="00B10036" w:rsidRPr="00B10036">
        <w:rPr>
          <w:noProof/>
        </w:rPr>
        <w:t xml:space="preserve"> i</w:t>
      </w:r>
      <w:r w:rsidR="00B10036">
        <w:rPr>
          <w:noProof/>
        </w:rPr>
        <w:t> </w:t>
      </w:r>
      <w:r w:rsidR="00B10036" w:rsidRPr="00B10036">
        <w:rPr>
          <w:noProof/>
        </w:rPr>
        <w:t>mik</w:t>
      </w:r>
      <w:r w:rsidRPr="00B10036">
        <w:rPr>
          <w:noProof/>
        </w:rPr>
        <w:t>roprzedsiębiorstw, których obciążą skutki wprowadzenia handlu uprawnieniami do emisji</w:t>
      </w:r>
      <w:r w:rsidR="00B10036" w:rsidRPr="00B10036">
        <w:rPr>
          <w:noProof/>
        </w:rPr>
        <w:t xml:space="preserve"> w</w:t>
      </w:r>
      <w:r w:rsidR="00B10036">
        <w:rPr>
          <w:noProof/>
        </w:rPr>
        <w:t> </w:t>
      </w:r>
      <w:r w:rsidR="00B10036" w:rsidRPr="00B10036">
        <w:rPr>
          <w:noProof/>
        </w:rPr>
        <w:t>odn</w:t>
      </w:r>
      <w:r w:rsidRPr="00B10036">
        <w:rPr>
          <w:noProof/>
        </w:rPr>
        <w:t>iesieniu do paliw stosowanych</w:t>
      </w:r>
      <w:r w:rsidR="00B10036" w:rsidRPr="00B10036">
        <w:rPr>
          <w:noProof/>
        </w:rPr>
        <w:t xml:space="preserve"> w</w:t>
      </w:r>
      <w:r w:rsidR="00B10036">
        <w:rPr>
          <w:noProof/>
        </w:rPr>
        <w:t> </w:t>
      </w:r>
      <w:r w:rsidR="00B10036" w:rsidRPr="00B10036">
        <w:rPr>
          <w:noProof/>
        </w:rPr>
        <w:t>tra</w:t>
      </w:r>
      <w:r w:rsidRPr="00B10036">
        <w:rPr>
          <w:noProof/>
        </w:rPr>
        <w:t>nsporcie drogowym</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bud</w:t>
      </w:r>
      <w:r w:rsidRPr="00B10036">
        <w:rPr>
          <w:noProof/>
        </w:rPr>
        <w:t>ynkach.</w:t>
      </w:r>
    </w:p>
    <w:p w14:paraId="5BB07BF1" w14:textId="2CED41DF" w:rsidR="004F28DB" w:rsidRPr="00B10036" w:rsidRDefault="00002649" w:rsidP="008C3E10">
      <w:pPr>
        <w:pBdr>
          <w:top w:val="nil"/>
          <w:left w:val="nil"/>
          <w:bottom w:val="nil"/>
          <w:right w:val="nil"/>
          <w:between w:val="nil"/>
          <w:bar w:val="nil"/>
        </w:pBdr>
        <w:spacing w:before="0" w:after="240"/>
        <w:rPr>
          <w:rFonts w:eastAsia="Arial Unicode MS"/>
          <w:noProof/>
        </w:rPr>
      </w:pPr>
      <w:r w:rsidRPr="00B10036">
        <w:rPr>
          <w:noProof/>
        </w:rPr>
        <w:t>Sprawiedliwość</w:t>
      </w:r>
      <w:r w:rsidR="00B10036" w:rsidRPr="00B10036">
        <w:rPr>
          <w:noProof/>
        </w:rPr>
        <w:t xml:space="preserve"> i</w:t>
      </w:r>
      <w:r w:rsidR="00B10036">
        <w:rPr>
          <w:noProof/>
        </w:rPr>
        <w:t> </w:t>
      </w:r>
      <w:r w:rsidR="00B10036" w:rsidRPr="00B10036">
        <w:rPr>
          <w:noProof/>
        </w:rPr>
        <w:t>sol</w:t>
      </w:r>
      <w:r w:rsidRPr="00B10036">
        <w:rPr>
          <w:noProof/>
        </w:rPr>
        <w:t>idarność to podstawowe zasady Europejskiego Zielonego Ładu. Na poziomie międzynarodowym państwa członkowskie poparły</w:t>
      </w:r>
      <w:r w:rsidR="00B10036" w:rsidRPr="00B10036">
        <w:rPr>
          <w:noProof/>
        </w:rPr>
        <w:t xml:space="preserve"> w</w:t>
      </w:r>
      <w:r w:rsidR="00B10036">
        <w:rPr>
          <w:noProof/>
        </w:rPr>
        <w:t> </w:t>
      </w:r>
      <w:r w:rsidR="00B10036" w:rsidRPr="00B10036">
        <w:rPr>
          <w:noProof/>
        </w:rPr>
        <w:t>szc</w:t>
      </w:r>
      <w:r w:rsidRPr="00B10036">
        <w:rPr>
          <w:noProof/>
        </w:rPr>
        <w:t>zególności cele zrównoważonego rozwoju ONZ oraz porozumienie paryskie,</w:t>
      </w:r>
      <w:r w:rsidR="00B10036" w:rsidRPr="00B10036">
        <w:rPr>
          <w:noProof/>
        </w:rPr>
        <w:t xml:space="preserve"> w</w:t>
      </w:r>
      <w:r w:rsidR="00B10036">
        <w:rPr>
          <w:noProof/>
        </w:rPr>
        <w:t> </w:t>
      </w:r>
      <w:r w:rsidR="00B10036" w:rsidRPr="00B10036">
        <w:rPr>
          <w:noProof/>
        </w:rPr>
        <w:t>któ</w:t>
      </w:r>
      <w:r w:rsidRPr="00B10036">
        <w:rPr>
          <w:noProof/>
        </w:rPr>
        <w:t>rym odniesiono się do „koniecznoś[ci] sprawiedliwej transformacji pracowników oraz tworzenia godnej pracy</w:t>
      </w:r>
      <w:r w:rsidR="00B10036" w:rsidRPr="00B10036">
        <w:rPr>
          <w:noProof/>
        </w:rPr>
        <w:t xml:space="preserve"> i</w:t>
      </w:r>
      <w:r w:rsidR="00B10036">
        <w:rPr>
          <w:noProof/>
        </w:rPr>
        <w:t> </w:t>
      </w:r>
      <w:r w:rsidR="00B10036" w:rsidRPr="00B10036">
        <w:rPr>
          <w:noProof/>
        </w:rPr>
        <w:t>wys</w:t>
      </w:r>
      <w:r w:rsidRPr="00B10036">
        <w:rPr>
          <w:noProof/>
        </w:rPr>
        <w:t>okiej jakości miejsc pracy”. Zostało to potwierdzone</w:t>
      </w:r>
      <w:r w:rsidR="00B10036" w:rsidRPr="00B10036">
        <w:rPr>
          <w:noProof/>
        </w:rPr>
        <w:t xml:space="preserve"> i</w:t>
      </w:r>
      <w:r w:rsidR="00B10036">
        <w:rPr>
          <w:noProof/>
        </w:rPr>
        <w:t> </w:t>
      </w:r>
      <w:r w:rsidR="00B10036" w:rsidRPr="00B10036">
        <w:rPr>
          <w:noProof/>
        </w:rPr>
        <w:t>jes</w:t>
      </w:r>
      <w:r w:rsidRPr="00B10036">
        <w:rPr>
          <w:noProof/>
        </w:rPr>
        <w:t>t zgodne</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2 ust.</w:t>
      </w:r>
      <w:r w:rsidR="00B10036" w:rsidRPr="00B10036">
        <w:rPr>
          <w:noProof/>
        </w:rPr>
        <w:t> </w:t>
      </w:r>
      <w:r w:rsidRPr="00B10036">
        <w:rPr>
          <w:noProof/>
        </w:rPr>
        <w:t>1 porozumienia paryskiego, Programem strategicznym Rady Europejskiej na lata 2019–2024 oraz art.</w:t>
      </w:r>
      <w:r w:rsidR="00B10036" w:rsidRPr="00B10036">
        <w:rPr>
          <w:noProof/>
        </w:rPr>
        <w:t> </w:t>
      </w:r>
      <w:r w:rsidRPr="00B10036">
        <w:rPr>
          <w:noProof/>
        </w:rPr>
        <w:t>2 ust.</w:t>
      </w:r>
      <w:r w:rsidR="00B10036" w:rsidRPr="00B10036">
        <w:rPr>
          <w:noProof/>
        </w:rPr>
        <w:t> </w:t>
      </w:r>
      <w:r w:rsidRPr="00B10036">
        <w:rPr>
          <w:noProof/>
        </w:rPr>
        <w:t>2 Europejskiego prawa</w:t>
      </w:r>
      <w:r w:rsidR="00B10036" w:rsidRPr="00B10036">
        <w:rPr>
          <w:noProof/>
        </w:rPr>
        <w:t xml:space="preserve"> o</w:t>
      </w:r>
      <w:r w:rsidR="00B10036">
        <w:rPr>
          <w:noProof/>
        </w:rPr>
        <w:t> </w:t>
      </w:r>
      <w:r w:rsidR="00B10036" w:rsidRPr="00B10036">
        <w:rPr>
          <w:noProof/>
        </w:rPr>
        <w:t>kli</w:t>
      </w:r>
      <w:r w:rsidRPr="00B10036">
        <w:rPr>
          <w:noProof/>
        </w:rPr>
        <w:t>macie,</w:t>
      </w:r>
      <w:r w:rsidR="00B10036" w:rsidRPr="00B10036">
        <w:rPr>
          <w:noProof/>
        </w:rPr>
        <w:t xml:space="preserve"> a</w:t>
      </w:r>
      <w:r w:rsidR="00B10036">
        <w:rPr>
          <w:noProof/>
        </w:rPr>
        <w:t> </w:t>
      </w:r>
      <w:r w:rsidR="00B10036" w:rsidRPr="00B10036">
        <w:rPr>
          <w:noProof/>
        </w:rPr>
        <w:t>tak</w:t>
      </w:r>
      <w:r w:rsidRPr="00B10036">
        <w:rPr>
          <w:noProof/>
        </w:rPr>
        <w:t>że</w:t>
      </w:r>
      <w:r w:rsidR="00B10036" w:rsidRPr="00B10036">
        <w:rPr>
          <w:noProof/>
        </w:rPr>
        <w:t xml:space="preserve"> z</w:t>
      </w:r>
      <w:r w:rsidR="00B10036">
        <w:rPr>
          <w:noProof/>
        </w:rPr>
        <w:t> </w:t>
      </w:r>
      <w:r w:rsidR="00B10036" w:rsidRPr="00B10036">
        <w:rPr>
          <w:noProof/>
        </w:rPr>
        <w:t>Eur</w:t>
      </w:r>
      <w:r w:rsidRPr="00B10036">
        <w:rPr>
          <w:noProof/>
        </w:rPr>
        <w:t>opejskim filarem praw socjalnych. Wytyczne Międzynarodowej Organizacji Pracy (MOP) na temat sprawiedliwej transformacji</w:t>
      </w:r>
      <w:r w:rsidR="00B10036" w:rsidRPr="00B10036">
        <w:rPr>
          <w:noProof/>
        </w:rPr>
        <w:t xml:space="preserve"> w</w:t>
      </w:r>
      <w:r w:rsidR="00B10036">
        <w:rPr>
          <w:noProof/>
        </w:rPr>
        <w:t> </w:t>
      </w:r>
      <w:r w:rsidR="00B10036" w:rsidRPr="00B10036">
        <w:rPr>
          <w:noProof/>
        </w:rPr>
        <w:t>kie</w:t>
      </w:r>
      <w:r w:rsidRPr="00B10036">
        <w:rPr>
          <w:noProof/>
        </w:rPr>
        <w:t>runku zrównoważonych środowiskowo gospodarek</w:t>
      </w:r>
      <w:r w:rsidR="00B10036" w:rsidRPr="00B10036">
        <w:rPr>
          <w:noProof/>
        </w:rPr>
        <w:t xml:space="preserve"> i</w:t>
      </w:r>
      <w:r w:rsidR="00B10036">
        <w:rPr>
          <w:noProof/>
        </w:rPr>
        <w:t> </w:t>
      </w:r>
      <w:r w:rsidR="00B10036" w:rsidRPr="00B10036">
        <w:rPr>
          <w:noProof/>
        </w:rPr>
        <w:t>spo</w:t>
      </w:r>
      <w:r w:rsidRPr="00B10036">
        <w:rPr>
          <w:noProof/>
        </w:rPr>
        <w:t>łeczeństw dla wszystkich również stanowią ustanowione na szczeblu międzynarodowym ramy polityki na rzecz sprawiedliwej transformacji. Ponadto państwa członkowskie</w:t>
      </w:r>
      <w:r w:rsidR="00B10036" w:rsidRPr="00B10036">
        <w:rPr>
          <w:noProof/>
        </w:rPr>
        <w:t xml:space="preserve"> i</w:t>
      </w:r>
      <w:r w:rsidR="00B10036">
        <w:rPr>
          <w:noProof/>
        </w:rPr>
        <w:t> </w:t>
      </w:r>
      <w:r w:rsidR="00B10036" w:rsidRPr="00B10036">
        <w:rPr>
          <w:noProof/>
        </w:rPr>
        <w:t>par</w:t>
      </w:r>
      <w:r w:rsidRPr="00B10036">
        <w:rPr>
          <w:noProof/>
        </w:rPr>
        <w:t>tnerzy społeczni poparli Śląską Deklarację na rzecz Solidarności</w:t>
      </w:r>
      <w:r w:rsidR="00B10036" w:rsidRPr="00B10036">
        <w:rPr>
          <w:noProof/>
        </w:rPr>
        <w:t xml:space="preserve"> i</w:t>
      </w:r>
      <w:r w:rsidR="00B10036">
        <w:rPr>
          <w:noProof/>
        </w:rPr>
        <w:t> </w:t>
      </w:r>
      <w:r w:rsidR="00B10036" w:rsidRPr="00B10036">
        <w:rPr>
          <w:noProof/>
        </w:rPr>
        <w:t>Spr</w:t>
      </w:r>
      <w:r w:rsidRPr="00B10036">
        <w:rPr>
          <w:noProof/>
        </w:rPr>
        <w:t>awiedliwej Transformacji</w:t>
      </w:r>
      <w:r w:rsidR="00B10036" w:rsidRPr="00B10036">
        <w:rPr>
          <w:noProof/>
        </w:rPr>
        <w:t xml:space="preserve"> z</w:t>
      </w:r>
      <w:r w:rsidR="00B10036">
        <w:rPr>
          <w:noProof/>
        </w:rPr>
        <w:t> </w:t>
      </w:r>
      <w:r w:rsidR="00B10036" w:rsidRPr="00B10036">
        <w:rPr>
          <w:noProof/>
        </w:rPr>
        <w:t>2</w:t>
      </w:r>
      <w:r w:rsidRPr="00B10036">
        <w:rPr>
          <w:noProof/>
        </w:rPr>
        <w:t>018</w:t>
      </w:r>
      <w:r w:rsidR="00B10036" w:rsidRPr="00B10036">
        <w:rPr>
          <w:noProof/>
        </w:rPr>
        <w:t> </w:t>
      </w:r>
      <w:r w:rsidRPr="00B10036">
        <w:rPr>
          <w:noProof/>
        </w:rPr>
        <w:t>r., przyjętą podczas COP 24</w:t>
      </w:r>
      <w:r w:rsidR="00B10036" w:rsidRPr="00B10036">
        <w:rPr>
          <w:noProof/>
        </w:rPr>
        <w:t xml:space="preserve"> w</w:t>
      </w:r>
      <w:r w:rsidR="00B10036">
        <w:rPr>
          <w:noProof/>
        </w:rPr>
        <w:t> </w:t>
      </w:r>
      <w:r w:rsidR="00B10036" w:rsidRPr="00B10036">
        <w:rPr>
          <w:noProof/>
        </w:rPr>
        <w:t>Kat</w:t>
      </w:r>
      <w:r w:rsidRPr="00B10036">
        <w:rPr>
          <w:noProof/>
        </w:rPr>
        <w:t>owicach, oraz deklarację</w:t>
      </w:r>
      <w:r w:rsidR="00B10036" w:rsidRPr="00B10036">
        <w:rPr>
          <w:noProof/>
        </w:rPr>
        <w:t xml:space="preserve"> z</w:t>
      </w:r>
      <w:r w:rsidR="00B10036">
        <w:rPr>
          <w:noProof/>
        </w:rPr>
        <w:t> </w:t>
      </w:r>
      <w:r w:rsidR="00B10036" w:rsidRPr="00B10036">
        <w:rPr>
          <w:noProof/>
        </w:rPr>
        <w:t>2</w:t>
      </w:r>
      <w:r w:rsidRPr="00B10036">
        <w:rPr>
          <w:noProof/>
        </w:rPr>
        <w:t>021</w:t>
      </w:r>
      <w:r w:rsidR="00B10036" w:rsidRPr="00B10036">
        <w:rPr>
          <w:noProof/>
        </w:rPr>
        <w:t> </w:t>
      </w:r>
      <w:r w:rsidRPr="00B10036">
        <w:rPr>
          <w:noProof/>
        </w:rPr>
        <w:t>r.</w:t>
      </w:r>
      <w:r w:rsidR="00B10036" w:rsidRPr="00B10036">
        <w:rPr>
          <w:noProof/>
        </w:rPr>
        <w:t xml:space="preserve"> w</w:t>
      </w:r>
      <w:r w:rsidR="00B10036">
        <w:rPr>
          <w:noProof/>
        </w:rPr>
        <w:t> </w:t>
      </w:r>
      <w:r w:rsidR="00B10036" w:rsidRPr="00B10036">
        <w:rPr>
          <w:noProof/>
        </w:rPr>
        <w:t>spr</w:t>
      </w:r>
      <w:r w:rsidRPr="00B10036">
        <w:rPr>
          <w:noProof/>
        </w:rPr>
        <w:t>awie wspierania warunków sprawiedliwej transformacji na szczeblu międzynarodowym (“Supporting the Conditions for</w:t>
      </w:r>
      <w:r w:rsidR="00B10036" w:rsidRPr="00B10036">
        <w:rPr>
          <w:noProof/>
        </w:rPr>
        <w:t xml:space="preserve"> a</w:t>
      </w:r>
      <w:r w:rsidR="00B10036">
        <w:rPr>
          <w:noProof/>
        </w:rPr>
        <w:t> </w:t>
      </w:r>
      <w:r w:rsidR="00B10036" w:rsidRPr="00B10036">
        <w:rPr>
          <w:noProof/>
        </w:rPr>
        <w:t>Jus</w:t>
      </w:r>
      <w:r w:rsidRPr="00B10036">
        <w:rPr>
          <w:noProof/>
        </w:rPr>
        <w:t>t Transition Internationally”), przyjętą podczas COP 26</w:t>
      </w:r>
      <w:r w:rsidR="00B10036" w:rsidRPr="00B10036">
        <w:rPr>
          <w:noProof/>
        </w:rPr>
        <w:t xml:space="preserve"> w</w:t>
      </w:r>
      <w:r w:rsidR="00B10036">
        <w:rPr>
          <w:noProof/>
        </w:rPr>
        <w:t> </w:t>
      </w:r>
      <w:r w:rsidR="00B10036" w:rsidRPr="00B10036">
        <w:rPr>
          <w:noProof/>
        </w:rPr>
        <w:t>Gla</w:t>
      </w:r>
      <w:r w:rsidRPr="00B10036">
        <w:rPr>
          <w:noProof/>
        </w:rPr>
        <w:t xml:space="preserve">sgow. </w:t>
      </w:r>
    </w:p>
    <w:p w14:paraId="1C8FB5C1" w14:textId="7450C893" w:rsidR="001F2F5D" w:rsidRPr="00B10036" w:rsidRDefault="00191936" w:rsidP="009C2412">
      <w:pPr>
        <w:rPr>
          <w:rFonts w:eastAsia="Calibri"/>
          <w:noProof/>
          <w:szCs w:val="24"/>
        </w:rPr>
      </w:pPr>
      <w:r w:rsidRPr="00B10036">
        <w:rPr>
          <w:noProof/>
        </w:rPr>
        <w:t>Środki</w:t>
      </w:r>
      <w:r w:rsidR="00B10036" w:rsidRPr="00B10036">
        <w:rPr>
          <w:noProof/>
        </w:rPr>
        <w:t xml:space="preserve"> z</w:t>
      </w:r>
      <w:r w:rsidR="00B10036">
        <w:rPr>
          <w:noProof/>
        </w:rPr>
        <w:t> </w:t>
      </w:r>
      <w:r w:rsidR="00B10036" w:rsidRPr="00B10036">
        <w:rPr>
          <w:noProof/>
        </w:rPr>
        <w:t>zak</w:t>
      </w:r>
      <w:r w:rsidRPr="00B10036">
        <w:rPr>
          <w:noProof/>
        </w:rPr>
        <w:t>resu polityki służące wspieraniu ludzi</w:t>
      </w:r>
      <w:r w:rsidR="00B10036" w:rsidRPr="00B10036">
        <w:rPr>
          <w:noProof/>
        </w:rPr>
        <w:t xml:space="preserve"> i</w:t>
      </w:r>
      <w:r w:rsidR="00B10036">
        <w:rPr>
          <w:noProof/>
        </w:rPr>
        <w:t> </w:t>
      </w:r>
      <w:r w:rsidR="00B10036" w:rsidRPr="00B10036">
        <w:rPr>
          <w:noProof/>
        </w:rPr>
        <w:t>ich</w:t>
      </w:r>
      <w:r w:rsidRPr="00B10036">
        <w:rPr>
          <w:noProof/>
        </w:rPr>
        <w:t xml:space="preserve"> aktywnego udziału są niezbędne dla udanej zielonej transformacji. Wizja sprawiedliwej transformacji</w:t>
      </w:r>
      <w:r w:rsidR="00B10036" w:rsidRPr="00B10036">
        <w:rPr>
          <w:noProof/>
        </w:rPr>
        <w:t xml:space="preserve"> w</w:t>
      </w:r>
      <w:r w:rsidR="00B10036">
        <w:rPr>
          <w:noProof/>
        </w:rPr>
        <w:t> </w:t>
      </w:r>
      <w:r w:rsidR="00B10036" w:rsidRPr="00B10036">
        <w:rPr>
          <w:noProof/>
        </w:rPr>
        <w:t>kie</w:t>
      </w:r>
      <w:r w:rsidRPr="00B10036">
        <w:rPr>
          <w:noProof/>
        </w:rPr>
        <w:t>runku silnej, neutralnej dla klimatu Europy socjalnej odzwierciedla 20 zasad Europejskiego filaru praw socjalnych, które ogłoszono na szczycie</w:t>
      </w:r>
      <w:r w:rsidR="00B10036" w:rsidRPr="00B10036">
        <w:rPr>
          <w:noProof/>
        </w:rPr>
        <w:t xml:space="preserve"> w</w:t>
      </w:r>
      <w:r w:rsidR="00B10036">
        <w:rPr>
          <w:noProof/>
        </w:rPr>
        <w:t> </w:t>
      </w:r>
      <w:r w:rsidR="00B10036" w:rsidRPr="00B10036">
        <w:rPr>
          <w:noProof/>
        </w:rPr>
        <w:t>Göt</w:t>
      </w:r>
      <w:r w:rsidRPr="00B10036">
        <w:rPr>
          <w:noProof/>
        </w:rPr>
        <w:t>eborgu</w:t>
      </w:r>
      <w:r w:rsidR="00B10036" w:rsidRPr="00B10036">
        <w:rPr>
          <w:noProof/>
        </w:rPr>
        <w:t xml:space="preserve"> w</w:t>
      </w:r>
      <w:r w:rsidR="00B10036">
        <w:rPr>
          <w:noProof/>
        </w:rPr>
        <w:t> </w:t>
      </w:r>
      <w:r w:rsidR="00B10036" w:rsidRPr="00B10036">
        <w:rPr>
          <w:noProof/>
        </w:rPr>
        <w:t>lis</w:t>
      </w:r>
      <w:r w:rsidRPr="00B10036">
        <w:rPr>
          <w:noProof/>
        </w:rPr>
        <w:t>topadzie 2017</w:t>
      </w:r>
      <w:r w:rsidR="00B10036" w:rsidRPr="00B10036">
        <w:rPr>
          <w:noProof/>
        </w:rPr>
        <w:t> </w:t>
      </w:r>
      <w:r w:rsidRPr="00B10036">
        <w:rPr>
          <w:noProof/>
        </w:rPr>
        <w:t>r.</w:t>
      </w:r>
      <w:r w:rsidR="00B10036" w:rsidRPr="00B10036">
        <w:rPr>
          <w:noProof/>
        </w:rPr>
        <w:t xml:space="preserve"> i</w:t>
      </w:r>
      <w:r w:rsidR="00B10036">
        <w:rPr>
          <w:noProof/>
        </w:rPr>
        <w:t> </w:t>
      </w:r>
      <w:r w:rsidR="00B10036" w:rsidRPr="00B10036">
        <w:rPr>
          <w:noProof/>
        </w:rPr>
        <w:t>któ</w:t>
      </w:r>
      <w:r w:rsidRPr="00B10036">
        <w:rPr>
          <w:noProof/>
        </w:rPr>
        <w:t>re składają się na „zbiór przepisów socjalnych” na rzecz sprawiedliwych</w:t>
      </w:r>
      <w:r w:rsidR="00B10036" w:rsidRPr="00B10036">
        <w:rPr>
          <w:noProof/>
        </w:rPr>
        <w:t xml:space="preserve"> i</w:t>
      </w:r>
      <w:r w:rsidR="00B10036">
        <w:rPr>
          <w:noProof/>
        </w:rPr>
        <w:t> </w:t>
      </w:r>
      <w:r w:rsidR="00B10036" w:rsidRPr="00B10036">
        <w:rPr>
          <w:noProof/>
        </w:rPr>
        <w:t>dob</w:t>
      </w:r>
      <w:r w:rsidRPr="00B10036">
        <w:rPr>
          <w:noProof/>
        </w:rPr>
        <w:t>rze funkcjonujących rynków pracy</w:t>
      </w:r>
      <w:r w:rsidR="00B10036" w:rsidRPr="00B10036">
        <w:rPr>
          <w:noProof/>
        </w:rPr>
        <w:t xml:space="preserve"> i</w:t>
      </w:r>
      <w:r w:rsidR="00B10036">
        <w:rPr>
          <w:noProof/>
        </w:rPr>
        <w:t> </w:t>
      </w:r>
      <w:r w:rsidR="00B10036" w:rsidRPr="00B10036">
        <w:rPr>
          <w:noProof/>
        </w:rPr>
        <w:t>sys</w:t>
      </w:r>
      <w:r w:rsidRPr="00B10036">
        <w:rPr>
          <w:noProof/>
        </w:rPr>
        <w:t>temów opieki społecznej</w:t>
      </w:r>
      <w:r w:rsidR="00B10036" w:rsidRPr="00B10036">
        <w:rPr>
          <w:noProof/>
        </w:rPr>
        <w:t xml:space="preserve"> w</w:t>
      </w:r>
      <w:r w:rsidR="00B10036">
        <w:rPr>
          <w:noProof/>
        </w:rPr>
        <w:t> </w:t>
      </w:r>
      <w:r w:rsidR="00B10036" w:rsidRPr="00B10036">
        <w:rPr>
          <w:noProof/>
        </w:rPr>
        <w:t>Eur</w:t>
      </w:r>
      <w:r w:rsidRPr="00B10036">
        <w:rPr>
          <w:noProof/>
        </w:rPr>
        <w:t>opie XXI wieku. Wdrożenie filaru będzie stanowić wsparcie na rzecz sprawiedliwej transformacji, która jest kluczowa dla zapewnienia spójności społecznej. Plan działania na rzecz Europejskiego filaru praw socjalnych</w:t>
      </w:r>
      <w:r w:rsidRPr="00B10036">
        <w:rPr>
          <w:rStyle w:val="FootnoteReference"/>
          <w:noProof/>
        </w:rPr>
        <w:footnoteReference w:id="6"/>
      </w:r>
      <w:r w:rsidRPr="00B10036">
        <w:rPr>
          <w:noProof/>
        </w:rPr>
        <w:t xml:space="preserve"> ma na celu zmobilizowanie sił na wszystkich poziomach, aby przekuć zasady</w:t>
      </w:r>
      <w:r w:rsidR="00B10036" w:rsidRPr="00B10036">
        <w:rPr>
          <w:noProof/>
        </w:rPr>
        <w:t xml:space="preserve"> w</w:t>
      </w:r>
      <w:r w:rsidR="00B10036">
        <w:rPr>
          <w:noProof/>
        </w:rPr>
        <w:t> </w:t>
      </w:r>
      <w:r w:rsidR="00B10036" w:rsidRPr="00B10036">
        <w:rPr>
          <w:noProof/>
        </w:rPr>
        <w:t>kon</w:t>
      </w:r>
      <w:r w:rsidRPr="00B10036">
        <w:rPr>
          <w:noProof/>
        </w:rPr>
        <w:t>kretne działania. Wyznaczono</w:t>
      </w:r>
      <w:r w:rsidR="00B10036" w:rsidRPr="00B10036">
        <w:rPr>
          <w:noProof/>
        </w:rPr>
        <w:t xml:space="preserve"> w</w:t>
      </w:r>
      <w:r w:rsidR="00B10036">
        <w:rPr>
          <w:noProof/>
        </w:rPr>
        <w:t> </w:t>
      </w:r>
      <w:r w:rsidR="00B10036" w:rsidRPr="00B10036">
        <w:rPr>
          <w:noProof/>
        </w:rPr>
        <w:t>nim</w:t>
      </w:r>
      <w:r w:rsidRPr="00B10036">
        <w:rPr>
          <w:noProof/>
        </w:rPr>
        <w:t xml:space="preserve"> trzy główne cele UE na</w:t>
      </w:r>
      <w:r w:rsidR="00B10036" w:rsidRPr="00B10036">
        <w:rPr>
          <w:noProof/>
        </w:rPr>
        <w:t> </w:t>
      </w:r>
      <w:r w:rsidRPr="00B10036">
        <w:rPr>
          <w:noProof/>
        </w:rPr>
        <w:t>2030</w:t>
      </w:r>
      <w:r w:rsidR="00B10036" w:rsidRPr="00B10036">
        <w:rPr>
          <w:noProof/>
        </w:rPr>
        <w:t> </w:t>
      </w:r>
      <w:r w:rsidRPr="00B10036">
        <w:rPr>
          <w:noProof/>
        </w:rPr>
        <w:t>r.</w:t>
      </w:r>
      <w:r w:rsidR="00B10036" w:rsidRPr="00B10036">
        <w:rPr>
          <w:noProof/>
        </w:rPr>
        <w:t xml:space="preserve"> w</w:t>
      </w:r>
      <w:r w:rsidR="00B10036">
        <w:rPr>
          <w:noProof/>
        </w:rPr>
        <w:t> </w:t>
      </w:r>
      <w:r w:rsidR="00B10036" w:rsidRPr="00B10036">
        <w:rPr>
          <w:noProof/>
        </w:rPr>
        <w:t>obs</w:t>
      </w:r>
      <w:r w:rsidRPr="00B10036">
        <w:rPr>
          <w:noProof/>
        </w:rPr>
        <w:t>zarach zatrudnienia, umiejętności</w:t>
      </w:r>
      <w:r w:rsidR="00B10036" w:rsidRPr="00B10036">
        <w:rPr>
          <w:noProof/>
        </w:rPr>
        <w:t xml:space="preserve"> i</w:t>
      </w:r>
      <w:r w:rsidR="00B10036">
        <w:rPr>
          <w:noProof/>
        </w:rPr>
        <w:t> </w:t>
      </w:r>
      <w:r w:rsidR="00B10036" w:rsidRPr="00B10036">
        <w:rPr>
          <w:noProof/>
        </w:rPr>
        <w:t>ogr</w:t>
      </w:r>
      <w:r w:rsidRPr="00B10036">
        <w:rPr>
          <w:noProof/>
        </w:rPr>
        <w:t>aniczania ubóstwa, przyjęte</w:t>
      </w:r>
      <w:r w:rsidR="00B10036" w:rsidRPr="00B10036">
        <w:rPr>
          <w:noProof/>
        </w:rPr>
        <w:t xml:space="preserve"> z</w:t>
      </w:r>
      <w:r w:rsidR="00B10036">
        <w:rPr>
          <w:noProof/>
        </w:rPr>
        <w:t> </w:t>
      </w:r>
      <w:r w:rsidR="00B10036" w:rsidRPr="00B10036">
        <w:rPr>
          <w:noProof/>
        </w:rPr>
        <w:t>zad</w:t>
      </w:r>
      <w:r w:rsidRPr="00B10036">
        <w:rPr>
          <w:noProof/>
        </w:rPr>
        <w:t>owoleniem przez przywódców UE</w:t>
      </w:r>
      <w:r w:rsidR="00B10036" w:rsidRPr="00B10036">
        <w:rPr>
          <w:noProof/>
        </w:rPr>
        <w:t xml:space="preserve"> w</w:t>
      </w:r>
      <w:r w:rsidR="00B10036">
        <w:rPr>
          <w:noProof/>
        </w:rPr>
        <w:t> </w:t>
      </w:r>
      <w:r w:rsidR="00B10036" w:rsidRPr="00B10036">
        <w:rPr>
          <w:noProof/>
        </w:rPr>
        <w:t>dek</w:t>
      </w:r>
      <w:r w:rsidRPr="00B10036">
        <w:rPr>
          <w:noProof/>
        </w:rPr>
        <w:t>laracji</w:t>
      </w:r>
      <w:r w:rsidR="00B10036" w:rsidRPr="00B10036">
        <w:rPr>
          <w:noProof/>
        </w:rPr>
        <w:t xml:space="preserve"> z</w:t>
      </w:r>
      <w:r w:rsidR="00B10036">
        <w:rPr>
          <w:noProof/>
        </w:rPr>
        <w:t> </w:t>
      </w:r>
      <w:r w:rsidR="00B10036" w:rsidRPr="00B10036">
        <w:rPr>
          <w:noProof/>
        </w:rPr>
        <w:t>Por</w:t>
      </w:r>
      <w:r w:rsidRPr="00B10036">
        <w:rPr>
          <w:noProof/>
        </w:rPr>
        <w:t>to</w:t>
      </w:r>
      <w:r w:rsidR="00B10036" w:rsidRPr="00B10036">
        <w:rPr>
          <w:noProof/>
        </w:rPr>
        <w:t xml:space="preserve"> w</w:t>
      </w:r>
      <w:r w:rsidR="00B10036">
        <w:rPr>
          <w:noProof/>
        </w:rPr>
        <w:t> </w:t>
      </w:r>
      <w:r w:rsidR="00B10036" w:rsidRPr="00B10036">
        <w:rPr>
          <w:noProof/>
        </w:rPr>
        <w:t>maj</w:t>
      </w:r>
      <w:r w:rsidRPr="00B10036">
        <w:rPr>
          <w:noProof/>
        </w:rPr>
        <w:t>u</w:t>
      </w:r>
      <w:r w:rsidR="00B10036" w:rsidRPr="00B10036">
        <w:rPr>
          <w:noProof/>
        </w:rPr>
        <w:t xml:space="preserve"> i</w:t>
      </w:r>
      <w:r w:rsidR="00B10036">
        <w:rPr>
          <w:noProof/>
        </w:rPr>
        <w:t> </w:t>
      </w:r>
      <w:r w:rsidR="00B10036" w:rsidRPr="00B10036">
        <w:rPr>
          <w:noProof/>
        </w:rPr>
        <w:t>prz</w:t>
      </w:r>
      <w:r w:rsidRPr="00B10036">
        <w:rPr>
          <w:noProof/>
        </w:rPr>
        <w:t>ez Radę Europejską</w:t>
      </w:r>
      <w:r w:rsidR="00B10036" w:rsidRPr="00B10036">
        <w:rPr>
          <w:noProof/>
        </w:rPr>
        <w:t xml:space="preserve"> w</w:t>
      </w:r>
      <w:r w:rsidR="00B10036">
        <w:rPr>
          <w:noProof/>
        </w:rPr>
        <w:t> </w:t>
      </w:r>
      <w:r w:rsidR="00B10036" w:rsidRPr="00B10036">
        <w:rPr>
          <w:noProof/>
        </w:rPr>
        <w:t>cze</w:t>
      </w:r>
      <w:r w:rsidRPr="00B10036">
        <w:rPr>
          <w:noProof/>
        </w:rPr>
        <w:t>rwcu 2021</w:t>
      </w:r>
      <w:r w:rsidR="00B10036" w:rsidRPr="00B10036">
        <w:rPr>
          <w:noProof/>
        </w:rPr>
        <w:t> </w:t>
      </w:r>
      <w:r w:rsidRPr="00B10036">
        <w:rPr>
          <w:noProof/>
        </w:rPr>
        <w:t>r. Podkreślono</w:t>
      </w:r>
      <w:r w:rsidR="00B10036" w:rsidRPr="00B10036">
        <w:rPr>
          <w:noProof/>
        </w:rPr>
        <w:t xml:space="preserve"> w</w:t>
      </w:r>
      <w:r w:rsidR="00B10036">
        <w:rPr>
          <w:noProof/>
        </w:rPr>
        <w:t> </w:t>
      </w:r>
      <w:r w:rsidR="00B10036" w:rsidRPr="00B10036">
        <w:rPr>
          <w:noProof/>
        </w:rPr>
        <w:t>nim</w:t>
      </w:r>
      <w:r w:rsidRPr="00B10036">
        <w:rPr>
          <w:noProof/>
        </w:rPr>
        <w:t xml:space="preserve"> potrzebę wzmocnienia europejskiego wymiaru socjalnego we wszystkich obszarach polityki Unii, aby zagwarantować społecznie sprawiedliwą</w:t>
      </w:r>
      <w:r w:rsidR="00B10036" w:rsidRPr="00B10036">
        <w:rPr>
          <w:noProof/>
        </w:rPr>
        <w:t xml:space="preserve"> i</w:t>
      </w:r>
      <w:r w:rsidR="00B10036">
        <w:rPr>
          <w:noProof/>
        </w:rPr>
        <w:t> </w:t>
      </w:r>
      <w:r w:rsidR="00B10036" w:rsidRPr="00B10036">
        <w:rPr>
          <w:noProof/>
        </w:rPr>
        <w:t>ucz</w:t>
      </w:r>
      <w:r w:rsidRPr="00B10036">
        <w:rPr>
          <w:noProof/>
        </w:rPr>
        <w:t>ciwą transformację</w:t>
      </w:r>
      <w:r w:rsidR="00B10036" w:rsidRPr="00B10036">
        <w:rPr>
          <w:noProof/>
        </w:rPr>
        <w:t xml:space="preserve"> w</w:t>
      </w:r>
      <w:r w:rsidR="00B10036">
        <w:rPr>
          <w:noProof/>
        </w:rPr>
        <w:t> </w:t>
      </w:r>
      <w:r w:rsidR="00B10036" w:rsidRPr="00B10036">
        <w:rPr>
          <w:noProof/>
        </w:rPr>
        <w:t>kie</w:t>
      </w:r>
      <w:r w:rsidRPr="00B10036">
        <w:rPr>
          <w:noProof/>
        </w:rPr>
        <w:t>runku neutralności klimatycznej.</w:t>
      </w:r>
    </w:p>
    <w:p w14:paraId="503C617D" w14:textId="1911CFED" w:rsidR="00045175" w:rsidRPr="00B10036" w:rsidRDefault="00CC64A8" w:rsidP="009C2412">
      <w:pPr>
        <w:pBdr>
          <w:top w:val="nil"/>
          <w:left w:val="nil"/>
          <w:bottom w:val="nil"/>
          <w:right w:val="nil"/>
          <w:between w:val="nil"/>
          <w:bar w:val="nil"/>
        </w:pBdr>
        <w:spacing w:before="0" w:after="240"/>
        <w:rPr>
          <w:rFonts w:eastAsia="Arial Unicode MS"/>
          <w:noProof/>
          <w:color w:val="000000" w:themeColor="text1"/>
        </w:rPr>
      </w:pPr>
      <w:r w:rsidRPr="00B10036">
        <w:rPr>
          <w:noProof/>
        </w:rPr>
        <w:t>W połączeniu</w:t>
      </w:r>
      <w:r w:rsidR="00B10036" w:rsidRPr="00B10036">
        <w:rPr>
          <w:noProof/>
        </w:rPr>
        <w:t xml:space="preserve"> z</w:t>
      </w:r>
      <w:r w:rsidR="00B10036">
        <w:rPr>
          <w:noProof/>
        </w:rPr>
        <w:t> </w:t>
      </w:r>
      <w:r w:rsidR="00B10036" w:rsidRPr="00B10036">
        <w:rPr>
          <w:noProof/>
        </w:rPr>
        <w:t>wła</w:t>
      </w:r>
      <w:r w:rsidRPr="00B10036">
        <w:rPr>
          <w:noProof/>
        </w:rPr>
        <w:t>ściwą polityką transformacja ta mogłaby doprowadzić do stworzenia około 1 mln miejsc pracy w UE do</w:t>
      </w:r>
      <w:r w:rsidR="00B10036" w:rsidRPr="00B10036">
        <w:rPr>
          <w:noProof/>
        </w:rPr>
        <w:t> </w:t>
      </w:r>
      <w:r w:rsidRPr="00B10036">
        <w:rPr>
          <w:noProof/>
        </w:rPr>
        <w:t>2030</w:t>
      </w:r>
      <w:r w:rsidR="00B10036" w:rsidRPr="00B10036">
        <w:rPr>
          <w:noProof/>
        </w:rPr>
        <w:t> </w:t>
      </w:r>
      <w:r w:rsidRPr="00B10036">
        <w:rPr>
          <w:noProof/>
        </w:rPr>
        <w:t>r.</w:t>
      </w:r>
      <w:r w:rsidRPr="00B10036">
        <w:rPr>
          <w:rStyle w:val="FootnoteReference"/>
          <w:rFonts w:eastAsia="Arial Unicode MS"/>
          <w:noProof/>
        </w:rPr>
        <w:footnoteReference w:id="7"/>
      </w:r>
      <w:r w:rsidR="00B10036" w:rsidRPr="00B10036">
        <w:rPr>
          <w:noProof/>
        </w:rPr>
        <w:t xml:space="preserve"> i</w:t>
      </w:r>
      <w:r w:rsidR="00B10036">
        <w:rPr>
          <w:noProof/>
        </w:rPr>
        <w:t> </w:t>
      </w:r>
      <w:r w:rsidR="00B10036" w:rsidRPr="00B10036">
        <w:rPr>
          <w:noProof/>
        </w:rPr>
        <w:t>2</w:t>
      </w:r>
      <w:r w:rsidRPr="00B10036">
        <w:rPr>
          <w:noProof/>
        </w:rPr>
        <w:t xml:space="preserve"> mln miejsc pracy do</w:t>
      </w:r>
      <w:r w:rsidR="00B10036" w:rsidRPr="00B10036">
        <w:rPr>
          <w:noProof/>
        </w:rPr>
        <w:t> </w:t>
      </w:r>
      <w:r w:rsidRPr="00B10036">
        <w:rPr>
          <w:noProof/>
        </w:rPr>
        <w:t>2050</w:t>
      </w:r>
      <w:r w:rsidR="00B10036" w:rsidRPr="00B10036">
        <w:rPr>
          <w:noProof/>
        </w:rPr>
        <w:t> </w:t>
      </w:r>
      <w:r w:rsidRPr="00B10036">
        <w:rPr>
          <w:noProof/>
        </w:rPr>
        <w:t>r.</w:t>
      </w:r>
      <w:r w:rsidRPr="00B10036">
        <w:rPr>
          <w:rStyle w:val="FootnoteReference"/>
          <w:rFonts w:eastAsia="Arial Unicode MS"/>
          <w:noProof/>
        </w:rPr>
        <w:footnoteReference w:id="8"/>
      </w:r>
      <w:r w:rsidRPr="00B10036">
        <w:rPr>
          <w:noProof/>
        </w:rPr>
        <w:t xml:space="preserve"> Mogłaby ona zwłaszcza przyczynić się do stworzenia miejsc pracy wymagających średnich kwalifikacji przy średnim wynagrodzeniu</w:t>
      </w:r>
      <w:r w:rsidRPr="00B10036">
        <w:rPr>
          <w:rStyle w:val="FootnoteReference"/>
          <w:rFonts w:eastAsia="Arial Unicode MS"/>
          <w:noProof/>
        </w:rPr>
        <w:footnoteReference w:id="9"/>
      </w:r>
      <w:r w:rsidRPr="00B10036">
        <w:rPr>
          <w:noProof/>
        </w:rPr>
        <w:t>, ze zróżnicowanym skutkiem</w:t>
      </w:r>
      <w:r w:rsidR="00B10036" w:rsidRPr="00B10036">
        <w:rPr>
          <w:noProof/>
        </w:rPr>
        <w:t xml:space="preserve"> w</w:t>
      </w:r>
      <w:r w:rsidR="00B10036">
        <w:rPr>
          <w:noProof/>
        </w:rPr>
        <w:t> </w:t>
      </w:r>
      <w:r w:rsidR="00B10036" w:rsidRPr="00B10036">
        <w:rPr>
          <w:noProof/>
        </w:rPr>
        <w:t>róż</w:t>
      </w:r>
      <w:r w:rsidRPr="00B10036">
        <w:rPr>
          <w:noProof/>
        </w:rPr>
        <w:t>nych państwach, regionach</w:t>
      </w:r>
      <w:r w:rsidR="00B10036" w:rsidRPr="00B10036">
        <w:rPr>
          <w:noProof/>
        </w:rPr>
        <w:t xml:space="preserve"> i</w:t>
      </w:r>
      <w:r w:rsidR="00B10036">
        <w:rPr>
          <w:noProof/>
        </w:rPr>
        <w:t> </w:t>
      </w:r>
      <w:r w:rsidR="00B10036" w:rsidRPr="00B10036">
        <w:rPr>
          <w:noProof/>
        </w:rPr>
        <w:t>sek</w:t>
      </w:r>
      <w:r w:rsidRPr="00B10036">
        <w:rPr>
          <w:noProof/>
        </w:rPr>
        <w:t>torach. Mogłoby to doprowadzić do złagodzenia polaryzacji zatrudnienia wynikającej</w:t>
      </w:r>
      <w:r w:rsidR="00B10036" w:rsidRPr="00B10036">
        <w:rPr>
          <w:noProof/>
        </w:rPr>
        <w:t xml:space="preserve"> z</w:t>
      </w:r>
      <w:r w:rsidR="00B10036">
        <w:rPr>
          <w:noProof/>
        </w:rPr>
        <w:t> </w:t>
      </w:r>
      <w:r w:rsidR="00B10036" w:rsidRPr="00B10036">
        <w:rPr>
          <w:noProof/>
        </w:rPr>
        <w:t>inn</w:t>
      </w:r>
      <w:r w:rsidRPr="00B10036">
        <w:rPr>
          <w:noProof/>
        </w:rPr>
        <w:t>ych megatrendów,</w:t>
      </w:r>
      <w:r w:rsidR="00B10036" w:rsidRPr="00B10036">
        <w:rPr>
          <w:noProof/>
        </w:rPr>
        <w:t xml:space="preserve"> w</w:t>
      </w:r>
      <w:r w:rsidR="00B10036">
        <w:rPr>
          <w:noProof/>
        </w:rPr>
        <w:t> </w:t>
      </w:r>
      <w:r w:rsidR="00B10036" w:rsidRPr="00B10036">
        <w:rPr>
          <w:noProof/>
        </w:rPr>
        <w:t>szc</w:t>
      </w:r>
      <w:r w:rsidRPr="00B10036">
        <w:rPr>
          <w:noProof/>
        </w:rPr>
        <w:t>zególności transformacji cyfrowej, do zwiększenia dochodów</w:t>
      </w:r>
      <w:r w:rsidR="00B10036" w:rsidRPr="00B10036">
        <w:rPr>
          <w:noProof/>
        </w:rPr>
        <w:t xml:space="preserve"> i</w:t>
      </w:r>
      <w:r w:rsidR="00B10036">
        <w:rPr>
          <w:noProof/>
        </w:rPr>
        <w:t> </w:t>
      </w:r>
      <w:r w:rsidR="00B10036" w:rsidRPr="00B10036">
        <w:rPr>
          <w:noProof/>
        </w:rPr>
        <w:t>ogó</w:t>
      </w:r>
      <w:r w:rsidRPr="00B10036">
        <w:rPr>
          <w:noProof/>
        </w:rPr>
        <w:t>lnego ograniczenia ubóstwa</w:t>
      </w:r>
      <w:r w:rsidRPr="00B10036">
        <w:rPr>
          <w:rStyle w:val="FootnoteReference"/>
          <w:rFonts w:eastAsia="Arial Unicode MS"/>
          <w:noProof/>
        </w:rPr>
        <w:footnoteReference w:id="10"/>
      </w:r>
      <w:r w:rsidRPr="00B10036">
        <w:rPr>
          <w:noProof/>
        </w:rPr>
        <w:t>. Jak podkreślono</w:t>
      </w:r>
      <w:r w:rsidR="00B10036" w:rsidRPr="00B10036">
        <w:rPr>
          <w:noProof/>
        </w:rPr>
        <w:t xml:space="preserve"> w</w:t>
      </w:r>
      <w:r w:rsidR="00B10036">
        <w:rPr>
          <w:noProof/>
        </w:rPr>
        <w:t> </w:t>
      </w:r>
      <w:r w:rsidR="00B10036" w:rsidRPr="00B10036">
        <w:rPr>
          <w:noProof/>
        </w:rPr>
        <w:t>oce</w:t>
      </w:r>
      <w:r w:rsidRPr="00B10036">
        <w:rPr>
          <w:noProof/>
        </w:rPr>
        <w:t>nach skutków Planu</w:t>
      </w:r>
      <w:r w:rsidR="00B10036" w:rsidRPr="00B10036">
        <w:rPr>
          <w:noProof/>
        </w:rPr>
        <w:t xml:space="preserve"> w</w:t>
      </w:r>
      <w:r w:rsidR="00B10036">
        <w:rPr>
          <w:noProof/>
        </w:rPr>
        <w:t> </w:t>
      </w:r>
      <w:r w:rsidR="00B10036" w:rsidRPr="00B10036">
        <w:rPr>
          <w:noProof/>
        </w:rPr>
        <w:t>zak</w:t>
      </w:r>
      <w:r w:rsidRPr="00B10036">
        <w:rPr>
          <w:noProof/>
        </w:rPr>
        <w:t>resie celów klimatycznych na</w:t>
      </w:r>
      <w:r w:rsidR="00B10036" w:rsidRPr="00B10036">
        <w:rPr>
          <w:noProof/>
        </w:rPr>
        <w:t> </w:t>
      </w:r>
      <w:r w:rsidRPr="00B10036">
        <w:rPr>
          <w:noProof/>
        </w:rPr>
        <w:t>2030</w:t>
      </w:r>
      <w:r w:rsidR="00B10036" w:rsidRPr="00B10036">
        <w:rPr>
          <w:noProof/>
        </w:rPr>
        <w:t> </w:t>
      </w:r>
      <w:r w:rsidRPr="00B10036">
        <w:rPr>
          <w:noProof/>
        </w:rPr>
        <w:t>r. oraz we wnioskach ustawodawczych</w:t>
      </w:r>
      <w:r w:rsidR="00B10036" w:rsidRPr="00B10036">
        <w:rPr>
          <w:noProof/>
        </w:rPr>
        <w:t xml:space="preserve"> w</w:t>
      </w:r>
      <w:r w:rsidR="00B10036">
        <w:rPr>
          <w:noProof/>
        </w:rPr>
        <w:t> </w:t>
      </w:r>
      <w:r w:rsidR="00B10036" w:rsidRPr="00B10036">
        <w:rPr>
          <w:noProof/>
        </w:rPr>
        <w:t>ram</w:t>
      </w:r>
      <w:r w:rsidRPr="00B10036">
        <w:rPr>
          <w:noProof/>
        </w:rPr>
        <w:t>ach pakietu „Gotowi na</w:t>
      </w:r>
      <w:r w:rsidR="00B10036" w:rsidRPr="00B10036">
        <w:rPr>
          <w:noProof/>
        </w:rPr>
        <w:t> </w:t>
      </w:r>
      <w:r w:rsidRPr="00B10036">
        <w:rPr>
          <w:noProof/>
        </w:rPr>
        <w:t>55”, znaczna realokacja siły roboczej</w:t>
      </w:r>
      <w:r w:rsidR="00B10036" w:rsidRPr="00B10036">
        <w:rPr>
          <w:noProof/>
        </w:rPr>
        <w:t xml:space="preserve"> w</w:t>
      </w:r>
      <w:r w:rsidR="00B10036">
        <w:rPr>
          <w:noProof/>
        </w:rPr>
        <w:t> </w:t>
      </w:r>
      <w:r w:rsidR="00B10036" w:rsidRPr="00B10036">
        <w:rPr>
          <w:noProof/>
        </w:rPr>
        <w:t>obr</w:t>
      </w:r>
      <w:r w:rsidRPr="00B10036">
        <w:rPr>
          <w:noProof/>
        </w:rPr>
        <w:t>ębie sektorów</w:t>
      </w:r>
      <w:r w:rsidR="00B10036" w:rsidRPr="00B10036">
        <w:rPr>
          <w:noProof/>
        </w:rPr>
        <w:t xml:space="preserve"> i</w:t>
      </w:r>
      <w:r w:rsidR="00B10036">
        <w:rPr>
          <w:noProof/>
        </w:rPr>
        <w:t> </w:t>
      </w:r>
      <w:r w:rsidR="00B10036" w:rsidRPr="00B10036">
        <w:rPr>
          <w:noProof/>
        </w:rPr>
        <w:t>pom</w:t>
      </w:r>
      <w:r w:rsidRPr="00B10036">
        <w:rPr>
          <w:noProof/>
        </w:rPr>
        <w:t>iędzy nimi będzie wymagała inwestycji na dużą skalę</w:t>
      </w:r>
      <w:r w:rsidR="00B10036" w:rsidRPr="00B10036">
        <w:rPr>
          <w:noProof/>
        </w:rPr>
        <w:t xml:space="preserve"> w</w:t>
      </w:r>
      <w:r w:rsidR="00B10036">
        <w:rPr>
          <w:noProof/>
        </w:rPr>
        <w:t> </w:t>
      </w:r>
      <w:r w:rsidR="00B10036" w:rsidRPr="00B10036">
        <w:rPr>
          <w:noProof/>
        </w:rPr>
        <w:t>prz</w:t>
      </w:r>
      <w:r w:rsidRPr="00B10036">
        <w:rPr>
          <w:noProof/>
        </w:rPr>
        <w:t>ekwalifikowanie</w:t>
      </w:r>
      <w:r w:rsidR="00B10036" w:rsidRPr="00B10036">
        <w:rPr>
          <w:noProof/>
        </w:rPr>
        <w:t xml:space="preserve"> i</w:t>
      </w:r>
      <w:r w:rsidR="00B10036">
        <w:rPr>
          <w:noProof/>
        </w:rPr>
        <w:t> </w:t>
      </w:r>
      <w:r w:rsidR="00B10036" w:rsidRPr="00B10036">
        <w:rPr>
          <w:noProof/>
        </w:rPr>
        <w:t>pod</w:t>
      </w:r>
      <w:r w:rsidRPr="00B10036">
        <w:rPr>
          <w:noProof/>
        </w:rPr>
        <w:t>noszenie kwalifikacji. Na przykład, chociaż szacuje się, że do</w:t>
      </w:r>
      <w:r w:rsidR="00B10036" w:rsidRPr="00B10036">
        <w:rPr>
          <w:noProof/>
        </w:rPr>
        <w:t> </w:t>
      </w:r>
      <w:r w:rsidRPr="00B10036">
        <w:rPr>
          <w:noProof/>
        </w:rPr>
        <w:t>2030</w:t>
      </w:r>
      <w:r w:rsidR="00B10036" w:rsidRPr="00B10036">
        <w:rPr>
          <w:noProof/>
        </w:rPr>
        <w:t> </w:t>
      </w:r>
      <w:r w:rsidRPr="00B10036">
        <w:rPr>
          <w:noProof/>
        </w:rPr>
        <w:t>r. dzięki transformacji klimatycznej w UE może powstać 160 000 dodatkowych miejsc pracy</w:t>
      </w:r>
      <w:r w:rsidR="00B10036" w:rsidRPr="00B10036">
        <w:rPr>
          <w:noProof/>
        </w:rPr>
        <w:t xml:space="preserve"> w</w:t>
      </w:r>
      <w:r w:rsidR="00B10036">
        <w:rPr>
          <w:noProof/>
        </w:rPr>
        <w:t> </w:t>
      </w:r>
      <w:r w:rsidR="00B10036" w:rsidRPr="00B10036">
        <w:rPr>
          <w:noProof/>
        </w:rPr>
        <w:t>bud</w:t>
      </w:r>
      <w:r w:rsidRPr="00B10036">
        <w:rPr>
          <w:noProof/>
        </w:rPr>
        <w:t>ownictwie</w:t>
      </w:r>
      <w:r w:rsidRPr="00B10036">
        <w:rPr>
          <w:rStyle w:val="FootnoteReference"/>
          <w:rFonts w:eastAsia="Arial Unicode MS"/>
          <w:noProof/>
        </w:rPr>
        <w:footnoteReference w:id="11"/>
      </w:r>
      <w:r w:rsidRPr="00B10036">
        <w:rPr>
          <w:noProof/>
        </w:rPr>
        <w:t>, to obecnie</w:t>
      </w:r>
      <w:r w:rsidR="00B10036" w:rsidRPr="00B10036">
        <w:rPr>
          <w:noProof/>
        </w:rPr>
        <w:t xml:space="preserve"> w</w:t>
      </w:r>
      <w:r w:rsidR="00B10036">
        <w:rPr>
          <w:noProof/>
        </w:rPr>
        <w:t> </w:t>
      </w:r>
      <w:r w:rsidR="00B10036" w:rsidRPr="00B10036">
        <w:rPr>
          <w:noProof/>
        </w:rPr>
        <w:t>tym</w:t>
      </w:r>
      <w:r w:rsidRPr="00B10036">
        <w:rPr>
          <w:noProof/>
        </w:rPr>
        <w:t xml:space="preserve"> sektorze widoczne są niedobory kwalifikacji</w:t>
      </w:r>
      <w:r w:rsidR="00B10036" w:rsidRPr="00B10036">
        <w:rPr>
          <w:noProof/>
        </w:rPr>
        <w:t xml:space="preserve"> w</w:t>
      </w:r>
      <w:r w:rsidR="00B10036">
        <w:rPr>
          <w:noProof/>
        </w:rPr>
        <w:t> </w:t>
      </w:r>
      <w:r w:rsidR="00B10036" w:rsidRPr="00B10036">
        <w:rPr>
          <w:noProof/>
        </w:rPr>
        <w:t>zaw</w:t>
      </w:r>
      <w:r w:rsidRPr="00B10036">
        <w:rPr>
          <w:noProof/>
        </w:rPr>
        <w:t>odach związanych</w:t>
      </w:r>
      <w:r w:rsidR="00B10036" w:rsidRPr="00B10036">
        <w:rPr>
          <w:noProof/>
        </w:rPr>
        <w:t xml:space="preserve"> z</w:t>
      </w:r>
      <w:r w:rsidR="00B10036">
        <w:rPr>
          <w:noProof/>
        </w:rPr>
        <w:t> </w:t>
      </w:r>
      <w:r w:rsidR="00B10036" w:rsidRPr="00B10036">
        <w:rPr>
          <w:noProof/>
        </w:rPr>
        <w:t>zie</w:t>
      </w:r>
      <w:r w:rsidRPr="00B10036">
        <w:rPr>
          <w:noProof/>
        </w:rPr>
        <w:t>lonymi projektami, technologiami</w:t>
      </w:r>
      <w:r w:rsidR="00B10036" w:rsidRPr="00B10036">
        <w:rPr>
          <w:noProof/>
        </w:rPr>
        <w:t xml:space="preserve"> i</w:t>
      </w:r>
      <w:r w:rsidR="00B10036">
        <w:rPr>
          <w:noProof/>
        </w:rPr>
        <w:t> </w:t>
      </w:r>
      <w:r w:rsidR="00B10036" w:rsidRPr="00B10036">
        <w:rPr>
          <w:noProof/>
        </w:rPr>
        <w:t>mat</w:t>
      </w:r>
      <w:r w:rsidRPr="00B10036">
        <w:rPr>
          <w:noProof/>
        </w:rPr>
        <w:t>eriałami. Odpowiednie towarzyszące strategie polityczne mogą ograniczyć ubóstwo energetyczne, które wynika</w:t>
      </w:r>
      <w:r w:rsidR="00B10036" w:rsidRPr="00B10036">
        <w:rPr>
          <w:noProof/>
        </w:rPr>
        <w:t xml:space="preserve"> z</w:t>
      </w:r>
      <w:r w:rsidR="00B10036">
        <w:rPr>
          <w:noProof/>
        </w:rPr>
        <w:t> </w:t>
      </w:r>
      <w:r w:rsidR="00B10036" w:rsidRPr="00B10036">
        <w:rPr>
          <w:noProof/>
        </w:rPr>
        <w:t>poł</w:t>
      </w:r>
      <w:r w:rsidRPr="00B10036">
        <w:rPr>
          <w:noProof/>
        </w:rPr>
        <w:t>ączenia niskich dochodów, dużego udziału dochodu do dyspozycji wydawanego na energię</w:t>
      </w:r>
      <w:r w:rsidR="00B10036" w:rsidRPr="00B10036">
        <w:rPr>
          <w:noProof/>
        </w:rPr>
        <w:t xml:space="preserve"> i</w:t>
      </w:r>
      <w:r w:rsidR="00B10036">
        <w:rPr>
          <w:noProof/>
        </w:rPr>
        <w:t> </w:t>
      </w:r>
      <w:r w:rsidR="00B10036" w:rsidRPr="00B10036">
        <w:rPr>
          <w:noProof/>
        </w:rPr>
        <w:t>nis</w:t>
      </w:r>
      <w:r w:rsidRPr="00B10036">
        <w:rPr>
          <w:noProof/>
        </w:rPr>
        <w:t>kiej efektywności energetycznej,</w:t>
      </w:r>
      <w:r w:rsidR="00B10036" w:rsidRPr="00B10036">
        <w:rPr>
          <w:noProof/>
        </w:rPr>
        <w:t xml:space="preserve"> a</w:t>
      </w:r>
      <w:r w:rsidR="00B10036">
        <w:rPr>
          <w:noProof/>
        </w:rPr>
        <w:t> </w:t>
      </w:r>
      <w:r w:rsidR="00B10036" w:rsidRPr="00B10036">
        <w:rPr>
          <w:noProof/>
        </w:rPr>
        <w:t>naw</w:t>
      </w:r>
      <w:r w:rsidRPr="00B10036">
        <w:rPr>
          <w:noProof/>
        </w:rPr>
        <w:t>et mu zapobiec. Ponadto</w:t>
      </w:r>
      <w:r w:rsidR="00B10036" w:rsidRPr="00B10036">
        <w:rPr>
          <w:noProof/>
        </w:rPr>
        <w:t xml:space="preserve"> w</w:t>
      </w:r>
      <w:r w:rsidR="00B10036">
        <w:rPr>
          <w:noProof/>
        </w:rPr>
        <w:t> </w:t>
      </w:r>
      <w:r w:rsidR="00B10036" w:rsidRPr="00B10036">
        <w:rPr>
          <w:noProof/>
        </w:rPr>
        <w:t>ich</w:t>
      </w:r>
      <w:r w:rsidRPr="00B10036">
        <w:rPr>
          <w:noProof/>
        </w:rPr>
        <w:t xml:space="preserve"> ramach można promować dostęp do przystępnych cenowo</w:t>
      </w:r>
      <w:r w:rsidR="00B10036" w:rsidRPr="00B10036">
        <w:rPr>
          <w:noProof/>
        </w:rPr>
        <w:t xml:space="preserve"> i</w:t>
      </w:r>
      <w:r w:rsidR="00B10036">
        <w:rPr>
          <w:noProof/>
        </w:rPr>
        <w:t> </w:t>
      </w:r>
      <w:r w:rsidR="00B10036" w:rsidRPr="00B10036">
        <w:rPr>
          <w:noProof/>
        </w:rPr>
        <w:t>nis</w:t>
      </w:r>
      <w:r w:rsidRPr="00B10036">
        <w:rPr>
          <w:noProof/>
        </w:rPr>
        <w:t>koemisyjnych opcji</w:t>
      </w:r>
      <w:r w:rsidR="00B10036" w:rsidRPr="00B10036">
        <w:rPr>
          <w:noProof/>
        </w:rPr>
        <w:t xml:space="preserve"> w</w:t>
      </w:r>
      <w:r w:rsidR="00B10036">
        <w:rPr>
          <w:noProof/>
        </w:rPr>
        <w:t> </w:t>
      </w:r>
      <w:r w:rsidR="00B10036" w:rsidRPr="00B10036">
        <w:rPr>
          <w:noProof/>
        </w:rPr>
        <w:t>zak</w:t>
      </w:r>
      <w:r w:rsidRPr="00B10036">
        <w:rPr>
          <w:noProof/>
        </w:rPr>
        <w:t>resie transportu</w:t>
      </w:r>
      <w:r w:rsidR="00B10036" w:rsidRPr="00B10036">
        <w:rPr>
          <w:noProof/>
        </w:rPr>
        <w:t xml:space="preserve"> i</w:t>
      </w:r>
      <w:r w:rsidR="00B10036">
        <w:rPr>
          <w:noProof/>
        </w:rPr>
        <w:t> </w:t>
      </w:r>
      <w:r w:rsidR="00B10036" w:rsidRPr="00B10036">
        <w:rPr>
          <w:noProof/>
        </w:rPr>
        <w:t>mob</w:t>
      </w:r>
      <w:r w:rsidRPr="00B10036">
        <w:rPr>
          <w:noProof/>
        </w:rPr>
        <w:t>ilności, przeciwdziałać wykluczeniu społecznemu</w:t>
      </w:r>
      <w:r w:rsidR="00B10036" w:rsidRPr="00B10036">
        <w:rPr>
          <w:noProof/>
        </w:rPr>
        <w:t xml:space="preserve"> i</w:t>
      </w:r>
      <w:r w:rsidR="00B10036">
        <w:rPr>
          <w:noProof/>
        </w:rPr>
        <w:t> </w:t>
      </w:r>
      <w:r w:rsidR="00B10036" w:rsidRPr="00B10036">
        <w:rPr>
          <w:noProof/>
        </w:rPr>
        <w:t>nie</w:t>
      </w:r>
      <w:r w:rsidRPr="00B10036">
        <w:rPr>
          <w:noProof/>
        </w:rPr>
        <w:t>równościom społeczno-gospodarczym, regionalnym</w:t>
      </w:r>
      <w:r w:rsidR="00B10036" w:rsidRPr="00B10036">
        <w:rPr>
          <w:noProof/>
        </w:rPr>
        <w:t xml:space="preserve"> i</w:t>
      </w:r>
      <w:r w:rsidR="00B10036">
        <w:rPr>
          <w:noProof/>
        </w:rPr>
        <w:t> </w:t>
      </w:r>
      <w:r w:rsidR="00B10036" w:rsidRPr="00B10036">
        <w:rPr>
          <w:noProof/>
          <w:color w:val="000000" w:themeColor="text1"/>
        </w:rPr>
        <w:t>w</w:t>
      </w:r>
      <w:r w:rsidR="00B10036">
        <w:rPr>
          <w:noProof/>
        </w:rPr>
        <w:t> </w:t>
      </w:r>
      <w:r w:rsidR="00B10036" w:rsidRPr="00B10036">
        <w:rPr>
          <w:noProof/>
          <w:color w:val="000000" w:themeColor="text1"/>
        </w:rPr>
        <w:t>zak</w:t>
      </w:r>
      <w:r w:rsidRPr="00B10036">
        <w:rPr>
          <w:noProof/>
          <w:color w:val="000000" w:themeColor="text1"/>
        </w:rPr>
        <w:t>resie zdrowia, poprawić zdrowie</w:t>
      </w:r>
      <w:r w:rsidR="00B10036" w:rsidRPr="00B10036">
        <w:rPr>
          <w:noProof/>
          <w:color w:val="000000" w:themeColor="text1"/>
        </w:rPr>
        <w:t xml:space="preserve"> i</w:t>
      </w:r>
      <w:r w:rsidR="00B10036">
        <w:rPr>
          <w:noProof/>
          <w:color w:val="000000" w:themeColor="text1"/>
        </w:rPr>
        <w:t> </w:t>
      </w:r>
      <w:r w:rsidR="00B10036" w:rsidRPr="00B10036">
        <w:rPr>
          <w:noProof/>
          <w:color w:val="000000" w:themeColor="text1"/>
        </w:rPr>
        <w:t>dob</w:t>
      </w:r>
      <w:r w:rsidRPr="00B10036">
        <w:rPr>
          <w:noProof/>
          <w:color w:val="000000" w:themeColor="text1"/>
        </w:rPr>
        <w:t>rostan oraz promować równość –</w:t>
      </w:r>
      <w:r w:rsidR="00B10036" w:rsidRPr="00B10036">
        <w:rPr>
          <w:noProof/>
          <w:color w:val="000000" w:themeColor="text1"/>
        </w:rPr>
        <w:t xml:space="preserve"> w</w:t>
      </w:r>
      <w:r w:rsidR="00B10036">
        <w:rPr>
          <w:noProof/>
          <w:color w:val="000000" w:themeColor="text1"/>
        </w:rPr>
        <w:t> </w:t>
      </w:r>
      <w:r w:rsidR="00B10036" w:rsidRPr="00B10036">
        <w:rPr>
          <w:noProof/>
          <w:color w:val="000000" w:themeColor="text1"/>
        </w:rPr>
        <w:t>uję</w:t>
      </w:r>
      <w:r w:rsidRPr="00B10036">
        <w:rPr>
          <w:noProof/>
          <w:color w:val="000000" w:themeColor="text1"/>
        </w:rPr>
        <w:t>ciu ogólnym,</w:t>
      </w:r>
      <w:r w:rsidR="00B10036" w:rsidRPr="00B10036">
        <w:rPr>
          <w:noProof/>
          <w:color w:val="000000" w:themeColor="text1"/>
        </w:rPr>
        <w:t xml:space="preserve"> a</w:t>
      </w:r>
      <w:r w:rsidR="00B10036">
        <w:rPr>
          <w:noProof/>
          <w:color w:val="000000" w:themeColor="text1"/>
        </w:rPr>
        <w:t> </w:t>
      </w:r>
      <w:r w:rsidR="00B10036" w:rsidRPr="00B10036">
        <w:rPr>
          <w:noProof/>
          <w:color w:val="000000" w:themeColor="text1"/>
        </w:rPr>
        <w:t>tak</w:t>
      </w:r>
      <w:r w:rsidRPr="00B10036">
        <w:rPr>
          <w:noProof/>
          <w:color w:val="000000" w:themeColor="text1"/>
        </w:rPr>
        <w:t>że</w:t>
      </w:r>
      <w:r w:rsidR="00B10036" w:rsidRPr="00B10036">
        <w:rPr>
          <w:noProof/>
          <w:color w:val="000000" w:themeColor="text1"/>
        </w:rPr>
        <w:t xml:space="preserve"> w</w:t>
      </w:r>
      <w:r w:rsidR="00B10036">
        <w:rPr>
          <w:noProof/>
          <w:color w:val="000000" w:themeColor="text1"/>
        </w:rPr>
        <w:t> </w:t>
      </w:r>
      <w:r w:rsidR="00B10036" w:rsidRPr="00B10036">
        <w:rPr>
          <w:noProof/>
          <w:color w:val="000000" w:themeColor="text1"/>
        </w:rPr>
        <w:t>odn</w:t>
      </w:r>
      <w:r w:rsidRPr="00B10036">
        <w:rPr>
          <w:noProof/>
          <w:color w:val="000000" w:themeColor="text1"/>
        </w:rPr>
        <w:t>iesieniu do osób</w:t>
      </w:r>
      <w:r w:rsidR="00B10036" w:rsidRPr="00B10036">
        <w:rPr>
          <w:noProof/>
          <w:color w:val="000000" w:themeColor="text1"/>
        </w:rPr>
        <w:t xml:space="preserve"> w</w:t>
      </w:r>
      <w:r w:rsidR="00B10036">
        <w:rPr>
          <w:noProof/>
          <w:color w:val="000000" w:themeColor="text1"/>
        </w:rPr>
        <w:t> </w:t>
      </w:r>
      <w:r w:rsidR="00B10036" w:rsidRPr="00B10036">
        <w:rPr>
          <w:noProof/>
          <w:color w:val="000000" w:themeColor="text1"/>
        </w:rPr>
        <w:t>nie</w:t>
      </w:r>
      <w:r w:rsidRPr="00B10036">
        <w:rPr>
          <w:noProof/>
          <w:color w:val="000000" w:themeColor="text1"/>
        </w:rPr>
        <w:t>korzystnej sytuacji.</w:t>
      </w:r>
    </w:p>
    <w:p w14:paraId="3774D0FA" w14:textId="3915BE4E" w:rsidR="00AC72B0"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Aby</w:t>
      </w:r>
      <w:r w:rsidR="00B10036" w:rsidRPr="00B10036">
        <w:rPr>
          <w:noProof/>
        </w:rPr>
        <w:t xml:space="preserve"> w</w:t>
      </w:r>
      <w:r w:rsidR="00B10036">
        <w:rPr>
          <w:noProof/>
        </w:rPr>
        <w:t> </w:t>
      </w:r>
      <w:r w:rsidR="00B10036" w:rsidRPr="00B10036">
        <w:rPr>
          <w:noProof/>
        </w:rPr>
        <w:t>peł</w:t>
      </w:r>
      <w:r w:rsidRPr="00B10036">
        <w:rPr>
          <w:noProof/>
        </w:rPr>
        <w:t>ni wykorzystać potencjał zatrudnienia</w:t>
      </w:r>
      <w:r w:rsidR="00B10036" w:rsidRPr="00B10036">
        <w:rPr>
          <w:noProof/>
        </w:rPr>
        <w:t xml:space="preserve"> i</w:t>
      </w:r>
      <w:r w:rsidR="00B10036">
        <w:rPr>
          <w:noProof/>
        </w:rPr>
        <w:t> </w:t>
      </w:r>
      <w:r w:rsidR="00B10036" w:rsidRPr="00B10036">
        <w:rPr>
          <w:noProof/>
        </w:rPr>
        <w:t>pot</w:t>
      </w:r>
      <w:r w:rsidRPr="00B10036">
        <w:rPr>
          <w:noProof/>
        </w:rPr>
        <w:t>encjał społeczny zielonej transformacji, konieczne jest wykorzystanie wszystkich dostępnych narzędzi</w:t>
      </w:r>
      <w:r w:rsidR="00B10036" w:rsidRPr="00B10036">
        <w:rPr>
          <w:noProof/>
        </w:rPr>
        <w:t xml:space="preserve"> i</w:t>
      </w:r>
      <w:r w:rsidR="00B10036">
        <w:rPr>
          <w:noProof/>
        </w:rPr>
        <w:t> </w:t>
      </w:r>
      <w:r w:rsidR="00B10036" w:rsidRPr="00B10036">
        <w:rPr>
          <w:noProof/>
        </w:rPr>
        <w:t>wpr</w:t>
      </w:r>
      <w:r w:rsidRPr="00B10036">
        <w:rPr>
          <w:noProof/>
        </w:rPr>
        <w:t>owadzenie odpowiednich towarzyszących strategii politycznych na poziomie UE, państw członkowskich, poziomie regionalnym</w:t>
      </w:r>
      <w:r w:rsidR="00B10036" w:rsidRPr="00B10036">
        <w:rPr>
          <w:noProof/>
        </w:rPr>
        <w:t xml:space="preserve"> i</w:t>
      </w:r>
      <w:r w:rsidR="00B10036">
        <w:rPr>
          <w:noProof/>
        </w:rPr>
        <w:t> </w:t>
      </w:r>
      <w:r w:rsidR="00B10036" w:rsidRPr="00B10036">
        <w:rPr>
          <w:noProof/>
        </w:rPr>
        <w:t>lok</w:t>
      </w:r>
      <w:r w:rsidRPr="00B10036">
        <w:rPr>
          <w:noProof/>
        </w:rPr>
        <w:t>alnym</w:t>
      </w:r>
      <w:r w:rsidR="00B10036" w:rsidRPr="00B10036">
        <w:rPr>
          <w:noProof/>
        </w:rPr>
        <w:t>. Z</w:t>
      </w:r>
      <w:r w:rsidR="00B10036">
        <w:rPr>
          <w:noProof/>
        </w:rPr>
        <w:t> </w:t>
      </w:r>
      <w:r w:rsidR="00B10036" w:rsidRPr="00B10036">
        <w:rPr>
          <w:noProof/>
        </w:rPr>
        <w:t>dru</w:t>
      </w:r>
      <w:r w:rsidRPr="00B10036">
        <w:rPr>
          <w:noProof/>
        </w:rPr>
        <w:t>giej strony, brak dobrze opracowanej towarzyszącej polityki zatrudnienia</w:t>
      </w:r>
      <w:r w:rsidR="00B10036" w:rsidRPr="00B10036">
        <w:rPr>
          <w:noProof/>
        </w:rPr>
        <w:t xml:space="preserve"> i</w:t>
      </w:r>
      <w:r w:rsidR="00B10036">
        <w:rPr>
          <w:noProof/>
        </w:rPr>
        <w:t> </w:t>
      </w:r>
      <w:r w:rsidR="00B10036" w:rsidRPr="00B10036">
        <w:rPr>
          <w:noProof/>
        </w:rPr>
        <w:t>pol</w:t>
      </w:r>
      <w:r w:rsidRPr="00B10036">
        <w:rPr>
          <w:noProof/>
        </w:rPr>
        <w:t>ityki społecznej niesie ze sobą zagrożenia społeczno-gospodarcze. Jest zatem niezwykle istotne, aby odpowiedzialne władze wprowadziły odpowiednie polityki</w:t>
      </w:r>
      <w:r w:rsidR="00B10036" w:rsidRPr="00B10036">
        <w:rPr>
          <w:noProof/>
        </w:rPr>
        <w:t xml:space="preserve"> i</w:t>
      </w:r>
      <w:r w:rsidR="00B10036">
        <w:rPr>
          <w:noProof/>
        </w:rPr>
        <w:t> </w:t>
      </w:r>
      <w:r w:rsidR="00B10036" w:rsidRPr="00B10036">
        <w:rPr>
          <w:noProof/>
        </w:rPr>
        <w:t>ucz</w:t>
      </w:r>
      <w:r w:rsidRPr="00B10036">
        <w:rPr>
          <w:noProof/>
        </w:rPr>
        <w:t>yniły to bez osłabiania bodźców do zmian</w:t>
      </w:r>
      <w:r w:rsidR="00B10036" w:rsidRPr="00B10036">
        <w:rPr>
          <w:noProof/>
        </w:rPr>
        <w:t xml:space="preserve"> w</w:t>
      </w:r>
      <w:r w:rsidR="00B10036">
        <w:rPr>
          <w:noProof/>
        </w:rPr>
        <w:t> </w:t>
      </w:r>
      <w:r w:rsidR="00B10036" w:rsidRPr="00B10036">
        <w:rPr>
          <w:noProof/>
        </w:rPr>
        <w:t>inw</w:t>
      </w:r>
      <w:r w:rsidRPr="00B10036">
        <w:rPr>
          <w:noProof/>
        </w:rPr>
        <w:t>estycjach</w:t>
      </w:r>
      <w:r w:rsidR="00B10036" w:rsidRPr="00B10036">
        <w:rPr>
          <w:noProof/>
        </w:rPr>
        <w:t xml:space="preserve"> i</w:t>
      </w:r>
      <w:r w:rsidR="00B10036">
        <w:rPr>
          <w:noProof/>
        </w:rPr>
        <w:t> </w:t>
      </w:r>
      <w:r w:rsidR="00B10036" w:rsidRPr="00B10036">
        <w:rPr>
          <w:noProof/>
        </w:rPr>
        <w:t>kon</w:t>
      </w:r>
      <w:r w:rsidRPr="00B10036">
        <w:rPr>
          <w:noProof/>
        </w:rPr>
        <w:t>sumpcji, których wymaga transformacja. Co ważne, mechanizmom takim powinny towarzyszyć środki zapewniające zarządzanie sprzyjające włączeniu społecznemu oraz aktywne zaangażowanie osób najbardziej obciążonych skutkami zielonej transformacji.</w:t>
      </w:r>
      <w:r w:rsidR="00B10036" w:rsidRPr="00B10036">
        <w:rPr>
          <w:noProof/>
        </w:rPr>
        <w:t xml:space="preserve"> </w:t>
      </w:r>
    </w:p>
    <w:p w14:paraId="1781D520" w14:textId="7A148DC1"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Chociaż państwa członkowskie wdrożyły</w:t>
      </w:r>
      <w:r w:rsidR="00B10036" w:rsidRPr="00B10036">
        <w:rPr>
          <w:noProof/>
        </w:rPr>
        <w:t xml:space="preserve"> i</w:t>
      </w:r>
      <w:r w:rsidR="00B10036">
        <w:rPr>
          <w:noProof/>
        </w:rPr>
        <w:t> </w:t>
      </w:r>
      <w:r w:rsidR="00B10036" w:rsidRPr="00B10036">
        <w:rPr>
          <w:noProof/>
        </w:rPr>
        <w:t>prz</w:t>
      </w:r>
      <w:r w:rsidRPr="00B10036">
        <w:rPr>
          <w:noProof/>
        </w:rPr>
        <w:t>ygotowują wiele działań mających na celu promowanie sprawiedliwej transformacji</w:t>
      </w:r>
      <w:r w:rsidR="00B10036" w:rsidRPr="00B10036">
        <w:rPr>
          <w:noProof/>
        </w:rPr>
        <w:t xml:space="preserve"> w</w:t>
      </w:r>
      <w:r w:rsidR="00B10036">
        <w:rPr>
          <w:noProof/>
        </w:rPr>
        <w:t> </w:t>
      </w:r>
      <w:r w:rsidR="00B10036" w:rsidRPr="00B10036">
        <w:rPr>
          <w:noProof/>
        </w:rPr>
        <w:t>kie</w:t>
      </w:r>
      <w:r w:rsidRPr="00B10036">
        <w:rPr>
          <w:noProof/>
        </w:rPr>
        <w:t>runku neutralności klimatycznej, istnieje możliwość dalszego udoskonalania koncepcji polityki wspierającej sprawiedliwą zieloną transformację oraz zapewniania spójności działań podejmowanych</w:t>
      </w:r>
      <w:r w:rsidR="00B10036" w:rsidRPr="00B10036">
        <w:rPr>
          <w:noProof/>
        </w:rPr>
        <w:t xml:space="preserve"> w</w:t>
      </w:r>
      <w:r w:rsidR="00B10036">
        <w:rPr>
          <w:noProof/>
        </w:rPr>
        <w:t> </w:t>
      </w:r>
      <w:r w:rsidR="00B10036" w:rsidRPr="00B10036">
        <w:rPr>
          <w:noProof/>
        </w:rPr>
        <w:t>ram</w:t>
      </w:r>
      <w:r w:rsidRPr="00B10036">
        <w:rPr>
          <w:noProof/>
        </w:rPr>
        <w:t>ach poszczególnych narzędzi dostępnych na szczeblu unijnym</w:t>
      </w:r>
      <w:r w:rsidR="00B10036" w:rsidRPr="00B10036">
        <w:rPr>
          <w:noProof/>
        </w:rPr>
        <w:t xml:space="preserve"> i</w:t>
      </w:r>
      <w:r w:rsidR="00B10036">
        <w:rPr>
          <w:noProof/>
        </w:rPr>
        <w:t> </w:t>
      </w:r>
      <w:r w:rsidR="00B10036" w:rsidRPr="00B10036">
        <w:rPr>
          <w:noProof/>
        </w:rPr>
        <w:t>kra</w:t>
      </w:r>
      <w:r w:rsidRPr="00B10036">
        <w:rPr>
          <w:noProof/>
        </w:rPr>
        <w:t>jowym (zob. następna sekcja)</w:t>
      </w:r>
      <w:r w:rsidR="00B10036" w:rsidRPr="00B10036">
        <w:rPr>
          <w:noProof/>
        </w:rPr>
        <w:t>. W</w:t>
      </w:r>
      <w:r w:rsidR="00B10036">
        <w:rPr>
          <w:noProof/>
        </w:rPr>
        <w:t> </w:t>
      </w:r>
      <w:r w:rsidR="00B10036" w:rsidRPr="00B10036">
        <w:rPr>
          <w:noProof/>
        </w:rPr>
        <w:t>zwi</w:t>
      </w:r>
      <w:r w:rsidRPr="00B10036">
        <w:rPr>
          <w:noProof/>
        </w:rPr>
        <w:t>ązku</w:t>
      </w:r>
      <w:r w:rsidR="00B10036" w:rsidRPr="00B10036">
        <w:rPr>
          <w:noProof/>
        </w:rPr>
        <w:t xml:space="preserve"> z</w:t>
      </w:r>
      <w:r w:rsidR="00B10036">
        <w:rPr>
          <w:noProof/>
        </w:rPr>
        <w:t> </w:t>
      </w:r>
      <w:r w:rsidR="00B10036" w:rsidRPr="00B10036">
        <w:rPr>
          <w:noProof/>
        </w:rPr>
        <w:t>tym w</w:t>
      </w:r>
      <w:r w:rsidR="00B10036">
        <w:rPr>
          <w:noProof/>
        </w:rPr>
        <w:t> </w:t>
      </w:r>
      <w:r w:rsidR="00B10036" w:rsidRPr="00B10036">
        <w:rPr>
          <w:noProof/>
        </w:rPr>
        <w:t>ram</w:t>
      </w:r>
      <w:r w:rsidRPr="00B10036">
        <w:rPr>
          <w:noProof/>
        </w:rPr>
        <w:t>ach pakietu „Gotowi na</w:t>
      </w:r>
      <w:r w:rsidR="00B10036" w:rsidRPr="00B10036">
        <w:rPr>
          <w:noProof/>
        </w:rPr>
        <w:t> </w:t>
      </w:r>
      <w:r w:rsidRPr="00B10036">
        <w:rPr>
          <w:noProof/>
        </w:rPr>
        <w:t>55” Komisja ogłosiła, że do końca 2021</w:t>
      </w:r>
      <w:r w:rsidR="00B10036" w:rsidRPr="00B10036">
        <w:rPr>
          <w:noProof/>
        </w:rPr>
        <w:t> </w:t>
      </w:r>
      <w:r w:rsidRPr="00B10036">
        <w:rPr>
          <w:noProof/>
        </w:rPr>
        <w:t>r. opracuje wniosek dotyczący zalecenia Rady, aby zapewnić państwom członkowskim dalsze wytyczne</w:t>
      </w:r>
      <w:r w:rsidR="00B10036" w:rsidRPr="00B10036">
        <w:rPr>
          <w:noProof/>
        </w:rPr>
        <w:t xml:space="preserve"> w</w:t>
      </w:r>
      <w:r w:rsidR="00B10036">
        <w:rPr>
          <w:noProof/>
        </w:rPr>
        <w:t> </w:t>
      </w:r>
      <w:r w:rsidR="00B10036" w:rsidRPr="00B10036">
        <w:rPr>
          <w:noProof/>
        </w:rPr>
        <w:t>spr</w:t>
      </w:r>
      <w:r w:rsidRPr="00B10036">
        <w:rPr>
          <w:noProof/>
        </w:rPr>
        <w:t>awie najlepszego sposobu uwzględnienia społecznych</w:t>
      </w:r>
      <w:r w:rsidR="00B10036" w:rsidRPr="00B10036">
        <w:rPr>
          <w:noProof/>
        </w:rPr>
        <w:t xml:space="preserve"> i</w:t>
      </w:r>
      <w:r w:rsidR="00B10036">
        <w:rPr>
          <w:noProof/>
        </w:rPr>
        <w:t> </w:t>
      </w:r>
      <w:r w:rsidR="00B10036" w:rsidRPr="00B10036">
        <w:rPr>
          <w:noProof/>
        </w:rPr>
        <w:t>pra</w:t>
      </w:r>
      <w:r w:rsidRPr="00B10036">
        <w:rPr>
          <w:noProof/>
        </w:rPr>
        <w:t>cowniczych aspektów zielonej transformacji. Równolegle</w:t>
      </w:r>
      <w:r w:rsidR="00B10036" w:rsidRPr="00B10036">
        <w:rPr>
          <w:noProof/>
        </w:rPr>
        <w:t xml:space="preserve"> z</w:t>
      </w:r>
      <w:r w:rsidR="00B10036">
        <w:rPr>
          <w:noProof/>
        </w:rPr>
        <w:t> </w:t>
      </w:r>
      <w:r w:rsidR="00B10036" w:rsidRPr="00B10036">
        <w:rPr>
          <w:noProof/>
        </w:rPr>
        <w:t>rea</w:t>
      </w:r>
      <w:r w:rsidRPr="00B10036">
        <w:rPr>
          <w:noProof/>
        </w:rPr>
        <w:t>lizacją Europejskiego Zielonego Ładu Komisja ściśle monitoruje również krótkoterminowe zmiany na rynkach energii, powodowane głównie przez rozwój sytuacji na rynkach światowych,</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dni</w:t>
      </w:r>
      <w:r w:rsidRPr="00B10036">
        <w:rPr>
          <w:noProof/>
        </w:rPr>
        <w:t>u 13 października 2021</w:t>
      </w:r>
      <w:r w:rsidR="00B10036" w:rsidRPr="00B10036">
        <w:rPr>
          <w:noProof/>
        </w:rPr>
        <w:t> </w:t>
      </w:r>
      <w:r w:rsidRPr="00B10036">
        <w:rPr>
          <w:noProof/>
        </w:rPr>
        <w:t>r. przedstawiła komunikat „Reakcja na rosnące ceny energii: zestaw działań</w:t>
      </w:r>
      <w:r w:rsidR="00B10036" w:rsidRPr="00B10036">
        <w:rPr>
          <w:noProof/>
        </w:rPr>
        <w:t xml:space="preserve"> i</w:t>
      </w:r>
      <w:r w:rsidR="00B10036">
        <w:rPr>
          <w:noProof/>
        </w:rPr>
        <w:t> </w:t>
      </w:r>
      <w:r w:rsidR="00B10036" w:rsidRPr="00B10036">
        <w:rPr>
          <w:noProof/>
        </w:rPr>
        <w:t>śro</w:t>
      </w:r>
      <w:r w:rsidRPr="00B10036">
        <w:rPr>
          <w:noProof/>
        </w:rPr>
        <w:t>dków wsparcia”,</w:t>
      </w:r>
      <w:r w:rsidR="00B10036" w:rsidRPr="00B10036">
        <w:rPr>
          <w:noProof/>
        </w:rPr>
        <w:t xml:space="preserve"> w</w:t>
      </w:r>
      <w:r w:rsidR="00B10036">
        <w:rPr>
          <w:noProof/>
        </w:rPr>
        <w:t> </w:t>
      </w:r>
      <w:r w:rsidR="00B10036" w:rsidRPr="00B10036">
        <w:rPr>
          <w:noProof/>
        </w:rPr>
        <w:t>któ</w:t>
      </w:r>
      <w:r w:rsidRPr="00B10036">
        <w:rPr>
          <w:noProof/>
        </w:rPr>
        <w:t>rym nakreśliła natychmiastowe środki chroniące konsumentów</w:t>
      </w:r>
      <w:r w:rsidR="00B10036" w:rsidRPr="00B10036">
        <w:rPr>
          <w:noProof/>
        </w:rPr>
        <w:t xml:space="preserve"> i</w:t>
      </w:r>
      <w:r w:rsidR="00B10036">
        <w:rPr>
          <w:noProof/>
        </w:rPr>
        <w:t> </w:t>
      </w:r>
      <w:r w:rsidR="00B10036" w:rsidRPr="00B10036">
        <w:rPr>
          <w:noProof/>
        </w:rPr>
        <w:t>prz</w:t>
      </w:r>
      <w:r w:rsidRPr="00B10036">
        <w:rPr>
          <w:noProof/>
        </w:rPr>
        <w:t>edsiębiorstwa</w:t>
      </w:r>
      <w:r w:rsidRPr="00B10036">
        <w:rPr>
          <w:rStyle w:val="FootnoteReference"/>
          <w:rFonts w:eastAsia="Arial Unicode MS"/>
          <w:noProof/>
        </w:rPr>
        <w:footnoteReference w:id="12"/>
      </w:r>
      <w:r w:rsidR="00B10036" w:rsidRPr="00B10036">
        <w:rPr>
          <w:noProof/>
        </w:rPr>
        <w:t>. W</w:t>
      </w:r>
      <w:r w:rsidR="00B10036">
        <w:rPr>
          <w:noProof/>
        </w:rPr>
        <w:t> </w:t>
      </w:r>
      <w:r w:rsidR="00B10036" w:rsidRPr="00B10036">
        <w:rPr>
          <w:noProof/>
        </w:rPr>
        <w:t>kom</w:t>
      </w:r>
      <w:r w:rsidRPr="00B10036">
        <w:rPr>
          <w:noProof/>
        </w:rPr>
        <w:t>unikacie tym nawiązano także do niniejszego przygotowywanego wniosku jako ram polityki</w:t>
      </w:r>
      <w:r w:rsidR="00B10036" w:rsidRPr="00B10036">
        <w:rPr>
          <w:noProof/>
        </w:rPr>
        <w:t xml:space="preserve"> z</w:t>
      </w:r>
      <w:r w:rsidR="00B10036">
        <w:rPr>
          <w:noProof/>
        </w:rPr>
        <w:t> </w:t>
      </w:r>
      <w:r w:rsidR="00B10036" w:rsidRPr="00B10036">
        <w:rPr>
          <w:noProof/>
        </w:rPr>
        <w:t>myś</w:t>
      </w:r>
      <w:r w:rsidRPr="00B10036">
        <w:rPr>
          <w:noProof/>
        </w:rPr>
        <w:t>lą</w:t>
      </w:r>
      <w:r w:rsidR="00B10036" w:rsidRPr="00B10036">
        <w:rPr>
          <w:noProof/>
        </w:rPr>
        <w:t xml:space="preserve"> o</w:t>
      </w:r>
      <w:r w:rsidR="00B10036">
        <w:rPr>
          <w:noProof/>
        </w:rPr>
        <w:t> </w:t>
      </w:r>
      <w:r w:rsidR="00B10036" w:rsidRPr="00B10036">
        <w:rPr>
          <w:noProof/>
        </w:rPr>
        <w:t>wsp</w:t>
      </w:r>
      <w:r w:rsidRPr="00B10036">
        <w:rPr>
          <w:noProof/>
        </w:rPr>
        <w:t>ieraniu sprawiedliwej zielonej transformacji</w:t>
      </w:r>
      <w:r w:rsidR="00B10036" w:rsidRPr="00B10036">
        <w:rPr>
          <w:noProof/>
        </w:rPr>
        <w:t xml:space="preserve"> w</w:t>
      </w:r>
      <w:r w:rsidR="00B10036">
        <w:rPr>
          <w:noProof/>
        </w:rPr>
        <w:t> </w:t>
      </w:r>
      <w:r w:rsidR="00B10036" w:rsidRPr="00B10036">
        <w:rPr>
          <w:noProof/>
        </w:rPr>
        <w:t>per</w:t>
      </w:r>
      <w:r w:rsidRPr="00B10036">
        <w:rPr>
          <w:noProof/>
        </w:rPr>
        <w:t>spektywie średniookresowej oraz budowaniu odporności na wszelkie przyszłe zmiany cen.</w:t>
      </w:r>
    </w:p>
    <w:p w14:paraId="6AD9D8FB" w14:textId="7D07D657" w:rsidR="00002649" w:rsidRPr="00B10036" w:rsidRDefault="00002649" w:rsidP="00002649">
      <w:pPr>
        <w:pStyle w:val="ManualHeading2"/>
        <w:rPr>
          <w:rFonts w:eastAsia="Arial Unicode MS"/>
          <w:noProof/>
        </w:rPr>
      </w:pPr>
      <w:r w:rsidRPr="00B10036">
        <w:rPr>
          <w:noProof/>
          <w:color w:val="000000"/>
          <w:bdr w:val="nil"/>
        </w:rPr>
        <w:t>•</w:t>
      </w:r>
      <w:r w:rsidRPr="00B10036">
        <w:rPr>
          <w:noProof/>
        </w:rPr>
        <w:tab/>
        <w:t>Spójność</w:t>
      </w:r>
      <w:r w:rsidR="00B10036" w:rsidRPr="00B10036">
        <w:rPr>
          <w:noProof/>
        </w:rPr>
        <w:t xml:space="preserve"> z</w:t>
      </w:r>
      <w:r w:rsidR="00B10036">
        <w:rPr>
          <w:noProof/>
        </w:rPr>
        <w:t> </w:t>
      </w:r>
      <w:r w:rsidR="00B10036" w:rsidRPr="00B10036">
        <w:rPr>
          <w:noProof/>
        </w:rPr>
        <w:t>obo</w:t>
      </w:r>
      <w:r w:rsidRPr="00B10036">
        <w:rPr>
          <w:noProof/>
        </w:rPr>
        <w:t>wiązującymi przepisami</w:t>
      </w:r>
      <w:r w:rsidR="00B10036" w:rsidRPr="00B10036">
        <w:rPr>
          <w:noProof/>
        </w:rPr>
        <w:t xml:space="preserve"> w</w:t>
      </w:r>
      <w:r w:rsidR="00B10036">
        <w:rPr>
          <w:noProof/>
        </w:rPr>
        <w:t> </w:t>
      </w:r>
      <w:r w:rsidR="00B10036" w:rsidRPr="00B10036">
        <w:rPr>
          <w:noProof/>
        </w:rPr>
        <w:t>obs</w:t>
      </w:r>
      <w:r w:rsidRPr="00B10036">
        <w:rPr>
          <w:noProof/>
        </w:rPr>
        <w:t>zarze polityki dotyczącym zatrudnienia, umiejętności oraz społecznych</w:t>
      </w:r>
      <w:r w:rsidR="00B10036" w:rsidRPr="00B10036">
        <w:rPr>
          <w:noProof/>
        </w:rPr>
        <w:t xml:space="preserve"> i</w:t>
      </w:r>
      <w:r w:rsidR="00B10036">
        <w:rPr>
          <w:noProof/>
        </w:rPr>
        <w:t> </w:t>
      </w:r>
      <w:r w:rsidR="00B10036" w:rsidRPr="00B10036">
        <w:rPr>
          <w:noProof/>
        </w:rPr>
        <w:t>dys</w:t>
      </w:r>
      <w:r w:rsidRPr="00B10036">
        <w:rPr>
          <w:noProof/>
        </w:rPr>
        <w:t>trybucyjnych aspektów zielonej transformacji</w:t>
      </w:r>
    </w:p>
    <w:p w14:paraId="42660367" w14:textId="6176D5E8" w:rsidR="00036AAA" w:rsidRPr="00B10036" w:rsidRDefault="00002649" w:rsidP="00036AAA">
      <w:pPr>
        <w:rPr>
          <w:rFonts w:eastAsia="Calibri"/>
          <w:noProof/>
        </w:rPr>
      </w:pPr>
      <w:r w:rsidRPr="00B10036">
        <w:rPr>
          <w:noProof/>
        </w:rPr>
        <w:t>Zgodnie</w:t>
      </w:r>
      <w:r w:rsidR="00B10036" w:rsidRPr="00B10036">
        <w:rPr>
          <w:noProof/>
        </w:rPr>
        <w:t xml:space="preserve"> z</w:t>
      </w:r>
      <w:r w:rsidR="00B10036">
        <w:rPr>
          <w:noProof/>
        </w:rPr>
        <w:t> </w:t>
      </w:r>
      <w:r w:rsidR="00B10036" w:rsidRPr="00B10036">
        <w:rPr>
          <w:noProof/>
        </w:rPr>
        <w:t>wyt</w:t>
      </w:r>
      <w:r w:rsidRPr="00B10036">
        <w:rPr>
          <w:noProof/>
        </w:rPr>
        <w:t>ycznymi politycznymi Komisji na lata 2019–2024</w:t>
      </w:r>
      <w:r w:rsidRPr="00B10036">
        <w:rPr>
          <w:rStyle w:val="FootnoteReference"/>
          <w:rFonts w:eastAsia="Calibri"/>
          <w:noProof/>
        </w:rPr>
        <w:footnoteReference w:id="13"/>
      </w:r>
      <w:r w:rsidR="00B10036" w:rsidRPr="00B10036">
        <w:rPr>
          <w:noProof/>
        </w:rPr>
        <w:t xml:space="preserve"> w</w:t>
      </w:r>
      <w:r w:rsidR="00B10036">
        <w:rPr>
          <w:noProof/>
        </w:rPr>
        <w:t> </w:t>
      </w:r>
      <w:r w:rsidR="00B10036" w:rsidRPr="00B10036">
        <w:rPr>
          <w:noProof/>
        </w:rPr>
        <w:t>pla</w:t>
      </w:r>
      <w:r w:rsidRPr="00B10036">
        <w:rPr>
          <w:noProof/>
        </w:rPr>
        <w:t>nie działania na rzecz Europejskiego filaru praw socjalnych podkreślono, że</w:t>
      </w:r>
      <w:r w:rsidR="00B10036" w:rsidRPr="00B10036">
        <w:rPr>
          <w:noProof/>
        </w:rPr>
        <w:t xml:space="preserve"> w</w:t>
      </w:r>
      <w:r w:rsidR="00B10036">
        <w:rPr>
          <w:noProof/>
        </w:rPr>
        <w:t> </w:t>
      </w:r>
      <w:r w:rsidR="00B10036" w:rsidRPr="00B10036">
        <w:rPr>
          <w:noProof/>
        </w:rPr>
        <w:t>ram</w:t>
      </w:r>
      <w:r w:rsidRPr="00B10036">
        <w:rPr>
          <w:noProof/>
        </w:rPr>
        <w:t>ach nowego „zbioru przepisów socjalnych” należy wzmocnić prawa socjalne</w:t>
      </w:r>
      <w:r w:rsidR="00B10036" w:rsidRPr="00B10036">
        <w:rPr>
          <w:noProof/>
        </w:rPr>
        <w:t xml:space="preserve"> i</w:t>
      </w:r>
      <w:r w:rsidR="00B10036">
        <w:rPr>
          <w:noProof/>
        </w:rPr>
        <w:t> </w:t>
      </w:r>
      <w:r w:rsidR="00B10036" w:rsidRPr="00B10036">
        <w:rPr>
          <w:noProof/>
        </w:rPr>
        <w:t>eur</w:t>
      </w:r>
      <w:r w:rsidRPr="00B10036">
        <w:rPr>
          <w:noProof/>
        </w:rPr>
        <w:t>opejski wymiar socjalny we wszystkich obszarach polityki Unii zapisanych</w:t>
      </w:r>
      <w:r w:rsidR="00B10036" w:rsidRPr="00B10036">
        <w:rPr>
          <w:noProof/>
        </w:rPr>
        <w:t xml:space="preserve"> w</w:t>
      </w:r>
      <w:r w:rsidR="00B10036">
        <w:rPr>
          <w:noProof/>
        </w:rPr>
        <w:t> </w:t>
      </w:r>
      <w:r w:rsidR="00B10036" w:rsidRPr="00B10036">
        <w:rPr>
          <w:noProof/>
        </w:rPr>
        <w:t>tra</w:t>
      </w:r>
      <w:r w:rsidRPr="00B10036">
        <w:rPr>
          <w:noProof/>
        </w:rPr>
        <w:t>ktatach,</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art</w:t>
      </w:r>
      <w:r w:rsidRPr="00B10036">
        <w:rPr>
          <w:noProof/>
        </w:rPr>
        <w:t>.</w:t>
      </w:r>
      <w:r w:rsidR="00B10036" w:rsidRPr="00B10036">
        <w:rPr>
          <w:noProof/>
        </w:rPr>
        <w:t> </w:t>
      </w:r>
      <w:r w:rsidRPr="00B10036">
        <w:rPr>
          <w:noProof/>
        </w:rPr>
        <w:t>3 TUE</w:t>
      </w:r>
      <w:r w:rsidR="00B10036" w:rsidRPr="00B10036">
        <w:rPr>
          <w:noProof/>
        </w:rPr>
        <w:t xml:space="preserve"> i</w:t>
      </w:r>
      <w:r w:rsidR="00B10036">
        <w:rPr>
          <w:noProof/>
        </w:rPr>
        <w:t> </w:t>
      </w:r>
      <w:r w:rsidR="00B10036" w:rsidRPr="00B10036">
        <w:rPr>
          <w:noProof/>
        </w:rPr>
        <w:t>art</w:t>
      </w:r>
      <w:r w:rsidRPr="00B10036">
        <w:rPr>
          <w:noProof/>
        </w:rPr>
        <w:t>.</w:t>
      </w:r>
      <w:r w:rsidR="00B10036" w:rsidRPr="00B10036">
        <w:rPr>
          <w:noProof/>
        </w:rPr>
        <w:t> </w:t>
      </w:r>
      <w:r w:rsidRPr="00B10036">
        <w:rPr>
          <w:noProof/>
        </w:rPr>
        <w:t>9 TFUE, aby wejść</w:t>
      </w:r>
      <w:r w:rsidR="00B10036" w:rsidRPr="00B10036">
        <w:rPr>
          <w:noProof/>
        </w:rPr>
        <w:t xml:space="preserve"> w</w:t>
      </w:r>
      <w:r w:rsidR="00B10036">
        <w:rPr>
          <w:noProof/>
        </w:rPr>
        <w:t> </w:t>
      </w:r>
      <w:r w:rsidR="00B10036" w:rsidRPr="00B10036">
        <w:rPr>
          <w:noProof/>
        </w:rPr>
        <w:t>bar</w:t>
      </w:r>
      <w:r w:rsidRPr="00B10036">
        <w:rPr>
          <w:noProof/>
        </w:rPr>
        <w:t>dziej ekologiczną</w:t>
      </w:r>
      <w:r w:rsidR="00B10036" w:rsidRPr="00B10036">
        <w:rPr>
          <w:noProof/>
        </w:rPr>
        <w:t xml:space="preserve"> i</w:t>
      </w:r>
      <w:r w:rsidR="00B10036">
        <w:rPr>
          <w:noProof/>
        </w:rPr>
        <w:t> </w:t>
      </w:r>
      <w:r w:rsidR="00B10036" w:rsidRPr="00B10036">
        <w:rPr>
          <w:noProof/>
        </w:rPr>
        <w:t>bar</w:t>
      </w:r>
      <w:r w:rsidRPr="00B10036">
        <w:rPr>
          <w:noProof/>
        </w:rPr>
        <w:t>dziej cyfrową dekadę,</w:t>
      </w:r>
      <w:r w:rsidR="00B10036" w:rsidRPr="00B10036">
        <w:rPr>
          <w:noProof/>
        </w:rPr>
        <w:t xml:space="preserve"> w</w:t>
      </w:r>
      <w:r w:rsidR="00B10036">
        <w:rPr>
          <w:noProof/>
        </w:rPr>
        <w:t> </w:t>
      </w:r>
      <w:r w:rsidR="00B10036" w:rsidRPr="00B10036">
        <w:rPr>
          <w:noProof/>
        </w:rPr>
        <w:t>któ</w:t>
      </w:r>
      <w:r w:rsidRPr="00B10036">
        <w:rPr>
          <w:noProof/>
        </w:rPr>
        <w:t>rej Europejczycy będą mogli prosperować</w:t>
      </w:r>
      <w:r w:rsidR="00B10036" w:rsidRPr="00B10036">
        <w:rPr>
          <w:noProof/>
        </w:rPr>
        <w:t>. Z</w:t>
      </w:r>
      <w:r w:rsidR="00B10036">
        <w:rPr>
          <w:noProof/>
        </w:rPr>
        <w:t> </w:t>
      </w:r>
      <w:r w:rsidR="00B10036" w:rsidRPr="00B10036">
        <w:rPr>
          <w:noProof/>
        </w:rPr>
        <w:t>kol</w:t>
      </w:r>
      <w:r w:rsidRPr="00B10036">
        <w:rPr>
          <w:noProof/>
        </w:rPr>
        <w:t>ei</w:t>
      </w:r>
      <w:r w:rsidR="00B10036" w:rsidRPr="00B10036">
        <w:rPr>
          <w:noProof/>
        </w:rPr>
        <w:t xml:space="preserve"> w</w:t>
      </w:r>
      <w:r w:rsidR="00B10036">
        <w:rPr>
          <w:noProof/>
        </w:rPr>
        <w:t> </w:t>
      </w:r>
      <w:r w:rsidR="00B10036" w:rsidRPr="00B10036">
        <w:rPr>
          <w:noProof/>
        </w:rPr>
        <w:t>Eur</w:t>
      </w:r>
      <w:r w:rsidRPr="00B10036">
        <w:rPr>
          <w:noProof/>
        </w:rPr>
        <w:t>opejskim Zielonym Ładzie przewidziano uwzględnianie kwestii zrównoważonego rozwoju we wszystkich obszarach polityki UE,</w:t>
      </w:r>
      <w:r w:rsidR="00B10036" w:rsidRPr="00B10036">
        <w:rPr>
          <w:noProof/>
        </w:rPr>
        <w:t xml:space="preserve"> w</w:t>
      </w:r>
      <w:r w:rsidR="00B10036">
        <w:rPr>
          <w:noProof/>
        </w:rPr>
        <w:t> </w:t>
      </w:r>
      <w:r w:rsidR="00B10036" w:rsidRPr="00B10036">
        <w:rPr>
          <w:noProof/>
        </w:rPr>
        <w:t>szc</w:t>
      </w:r>
      <w:r w:rsidRPr="00B10036">
        <w:rPr>
          <w:noProof/>
        </w:rPr>
        <w:t>zególności poprzez wspieranie zielonego finansowania</w:t>
      </w:r>
      <w:r w:rsidR="00B10036" w:rsidRPr="00B10036">
        <w:rPr>
          <w:noProof/>
        </w:rPr>
        <w:t xml:space="preserve"> i</w:t>
      </w:r>
      <w:r w:rsidR="00B10036">
        <w:rPr>
          <w:noProof/>
        </w:rPr>
        <w:t> </w:t>
      </w:r>
      <w:r w:rsidR="00B10036" w:rsidRPr="00B10036">
        <w:rPr>
          <w:noProof/>
        </w:rPr>
        <w:t>zie</w:t>
      </w:r>
      <w:r w:rsidRPr="00B10036">
        <w:rPr>
          <w:noProof/>
        </w:rPr>
        <w:t>lonych inwestycji oraz zapewnienie sprawiedliwej transformacji.</w:t>
      </w:r>
    </w:p>
    <w:p w14:paraId="5E9D67C0" w14:textId="153D7038" w:rsidR="00036AAA" w:rsidRPr="00B10036" w:rsidRDefault="00002649" w:rsidP="00036AAA">
      <w:pPr>
        <w:rPr>
          <w:rFonts w:eastAsia="Calibri"/>
          <w:noProof/>
        </w:rPr>
      </w:pPr>
      <w:r w:rsidRPr="00B10036">
        <w:rPr>
          <w:noProof/>
        </w:rPr>
        <w:t>W zaleceniu Komisji</w:t>
      </w:r>
      <w:r w:rsidR="00B10036" w:rsidRPr="00B10036">
        <w:rPr>
          <w:noProof/>
        </w:rPr>
        <w:t xml:space="preserve"> w</w:t>
      </w:r>
      <w:r w:rsidR="00B10036">
        <w:rPr>
          <w:noProof/>
        </w:rPr>
        <w:t> </w:t>
      </w:r>
      <w:r w:rsidR="00B10036" w:rsidRPr="00B10036">
        <w:rPr>
          <w:noProof/>
        </w:rPr>
        <w:t>spr</w:t>
      </w:r>
      <w:r w:rsidRPr="00B10036">
        <w:rPr>
          <w:noProof/>
        </w:rPr>
        <w:t>awie skutecznego aktywnego wspierania zatrudnienia</w:t>
      </w:r>
      <w:r w:rsidR="00B10036" w:rsidRPr="00B10036">
        <w:rPr>
          <w:noProof/>
        </w:rPr>
        <w:t xml:space="preserve"> w</w:t>
      </w:r>
      <w:r w:rsidR="00B10036">
        <w:rPr>
          <w:noProof/>
        </w:rPr>
        <w:t> </w:t>
      </w:r>
      <w:r w:rsidR="00B10036" w:rsidRPr="00B10036">
        <w:rPr>
          <w:noProof/>
        </w:rPr>
        <w:t>nas</w:t>
      </w:r>
      <w:r w:rsidRPr="00B10036">
        <w:rPr>
          <w:noProof/>
        </w:rPr>
        <w:t>tępstwie kryzysu związanego z COVID-19 (EASE)</w:t>
      </w:r>
      <w:r w:rsidRPr="00B10036">
        <w:rPr>
          <w:rStyle w:val="FootnoteReference"/>
          <w:rFonts w:eastAsia="Calibri"/>
          <w:noProof/>
        </w:rPr>
        <w:footnoteReference w:id="14"/>
      </w:r>
      <w:r w:rsidRPr="00B10036">
        <w:rPr>
          <w:noProof/>
        </w:rPr>
        <w:t xml:space="preserve"> podkreślono, że UE</w:t>
      </w:r>
      <w:r w:rsidR="00B10036" w:rsidRPr="00B10036">
        <w:rPr>
          <w:noProof/>
        </w:rPr>
        <w:t xml:space="preserve"> i</w:t>
      </w:r>
      <w:r w:rsidR="00B10036">
        <w:rPr>
          <w:noProof/>
        </w:rPr>
        <w:t> </w:t>
      </w:r>
      <w:r w:rsidR="00B10036" w:rsidRPr="00B10036">
        <w:rPr>
          <w:noProof/>
        </w:rPr>
        <w:t>pań</w:t>
      </w:r>
      <w:r w:rsidRPr="00B10036">
        <w:rPr>
          <w:noProof/>
        </w:rPr>
        <w:t>stwa członkowskie powinny działać wspólnie</w:t>
      </w:r>
      <w:r w:rsidR="00B10036" w:rsidRPr="00B10036">
        <w:rPr>
          <w:noProof/>
        </w:rPr>
        <w:t xml:space="preserve"> w</w:t>
      </w:r>
      <w:r w:rsidR="00B10036">
        <w:rPr>
          <w:noProof/>
        </w:rPr>
        <w:t> </w:t>
      </w:r>
      <w:r w:rsidR="00B10036" w:rsidRPr="00B10036">
        <w:rPr>
          <w:noProof/>
        </w:rPr>
        <w:t>cel</w:t>
      </w:r>
      <w:r w:rsidRPr="00B10036">
        <w:rPr>
          <w:noProof/>
        </w:rPr>
        <w:t>u wspierania dynamicznego, sprzyjającego zatrudnieniu</w:t>
      </w:r>
      <w:r w:rsidR="00B10036" w:rsidRPr="00B10036">
        <w:rPr>
          <w:noProof/>
        </w:rPr>
        <w:t xml:space="preserve"> i</w:t>
      </w:r>
      <w:r w:rsidR="00B10036">
        <w:rPr>
          <w:noProof/>
        </w:rPr>
        <w:t> </w:t>
      </w:r>
      <w:r w:rsidR="00B10036" w:rsidRPr="00B10036">
        <w:rPr>
          <w:noProof/>
        </w:rPr>
        <w:t>włą</w:t>
      </w:r>
      <w:r w:rsidRPr="00B10036">
        <w:rPr>
          <w:noProof/>
        </w:rPr>
        <w:t>czeniu społecznemu ożywienia gospodarczego oraz ułatwienia na europejskim rynku pracy transformacji ekologicznej</w:t>
      </w:r>
      <w:r w:rsidR="00B10036" w:rsidRPr="00B10036">
        <w:rPr>
          <w:noProof/>
        </w:rPr>
        <w:t xml:space="preserve"> i</w:t>
      </w:r>
      <w:r w:rsidR="00B10036">
        <w:rPr>
          <w:noProof/>
        </w:rPr>
        <w:t> </w:t>
      </w:r>
      <w:r w:rsidR="00B10036" w:rsidRPr="00B10036">
        <w:rPr>
          <w:noProof/>
        </w:rPr>
        <w:t>cyf</w:t>
      </w:r>
      <w:r w:rsidRPr="00B10036">
        <w:rPr>
          <w:noProof/>
        </w:rPr>
        <w:t>rowej</w:t>
      </w:r>
      <w:r w:rsidR="00B10036" w:rsidRPr="00B10036">
        <w:rPr>
          <w:noProof/>
        </w:rPr>
        <w:t>. W</w:t>
      </w:r>
      <w:r w:rsidR="00B10036">
        <w:rPr>
          <w:noProof/>
        </w:rPr>
        <w:t> </w:t>
      </w:r>
      <w:r w:rsidR="00B10036" w:rsidRPr="00B10036">
        <w:rPr>
          <w:noProof/>
        </w:rPr>
        <w:t>wyt</w:t>
      </w:r>
      <w:r w:rsidRPr="00B10036">
        <w:rPr>
          <w:noProof/>
        </w:rPr>
        <w:t>ycznych dotyczących polityki zatrudnienia państw członkowskich</w:t>
      </w:r>
      <w:r w:rsidR="00B10036" w:rsidRPr="00B10036">
        <w:rPr>
          <w:noProof/>
        </w:rPr>
        <w:t xml:space="preserve"> z</w:t>
      </w:r>
      <w:r w:rsidR="00B10036">
        <w:rPr>
          <w:noProof/>
        </w:rPr>
        <w:t> </w:t>
      </w:r>
      <w:r w:rsidR="00B10036" w:rsidRPr="00B10036">
        <w:rPr>
          <w:noProof/>
        </w:rPr>
        <w:t>2</w:t>
      </w:r>
      <w:r w:rsidRPr="00B10036">
        <w:rPr>
          <w:noProof/>
        </w:rPr>
        <w:t>020</w:t>
      </w:r>
      <w:r w:rsidR="00B10036" w:rsidRPr="00B10036">
        <w:rPr>
          <w:noProof/>
        </w:rPr>
        <w:t> </w:t>
      </w:r>
      <w:r w:rsidRPr="00B10036">
        <w:rPr>
          <w:noProof/>
        </w:rPr>
        <w:t>r.</w:t>
      </w:r>
      <w:r w:rsidRPr="00B10036">
        <w:rPr>
          <w:rStyle w:val="FootnoteReference"/>
          <w:rFonts w:eastAsia="Calibri"/>
          <w:noProof/>
        </w:rPr>
        <w:footnoteReference w:id="15"/>
      </w:r>
      <w:r w:rsidRPr="00B10036">
        <w:rPr>
          <w:noProof/>
        </w:rPr>
        <w:t xml:space="preserve"> stwierdzono, że działania polityczne powinny obejmować środki mające na celu pobudzenie popytu na pracę, zwiększenie podaży pracy, poprawę dostępu do zatrudnienia, umiejętności</w:t>
      </w:r>
      <w:r w:rsidR="00B10036" w:rsidRPr="00B10036">
        <w:rPr>
          <w:noProof/>
        </w:rPr>
        <w:t xml:space="preserve"> i</w:t>
      </w:r>
      <w:r w:rsidR="00B10036">
        <w:rPr>
          <w:noProof/>
        </w:rPr>
        <w:t> </w:t>
      </w:r>
      <w:r w:rsidR="00B10036" w:rsidRPr="00B10036">
        <w:rPr>
          <w:noProof/>
        </w:rPr>
        <w:t>kom</w:t>
      </w:r>
      <w:r w:rsidRPr="00B10036">
        <w:rPr>
          <w:noProof/>
        </w:rPr>
        <w:t>petencji oraz poprawę funkcjonowania rynków pracy</w:t>
      </w:r>
      <w:r w:rsidR="00B10036" w:rsidRPr="00B10036">
        <w:rPr>
          <w:noProof/>
        </w:rPr>
        <w:t xml:space="preserve"> i</w:t>
      </w:r>
      <w:r w:rsidR="00B10036">
        <w:rPr>
          <w:noProof/>
        </w:rPr>
        <w:t> </w:t>
      </w:r>
      <w:r w:rsidR="00B10036" w:rsidRPr="00B10036">
        <w:rPr>
          <w:noProof/>
        </w:rPr>
        <w:t>sku</w:t>
      </w:r>
      <w:r w:rsidRPr="00B10036">
        <w:rPr>
          <w:noProof/>
        </w:rPr>
        <w:t>teczności dialogu społecznego, uwzględniając ich wpływ na środowisko, zatrudnienie oraz społeczeństwo</w:t>
      </w:r>
      <w:r w:rsidR="00B10036" w:rsidRPr="00B10036">
        <w:rPr>
          <w:noProof/>
        </w:rPr>
        <w:t>. W</w:t>
      </w:r>
      <w:r w:rsidR="00B10036">
        <w:rPr>
          <w:noProof/>
        </w:rPr>
        <w:t> </w:t>
      </w:r>
      <w:r w:rsidR="00B10036" w:rsidRPr="00B10036">
        <w:rPr>
          <w:noProof/>
        </w:rPr>
        <w:t>pro</w:t>
      </w:r>
      <w:r w:rsidRPr="00B10036">
        <w:rPr>
          <w:noProof/>
        </w:rPr>
        <w:t>ponowanym wspólnym sprawozdaniu</w:t>
      </w:r>
      <w:r w:rsidR="00B10036" w:rsidRPr="00B10036">
        <w:rPr>
          <w:noProof/>
        </w:rPr>
        <w:t xml:space="preserve"> o</w:t>
      </w:r>
      <w:r w:rsidR="00B10036">
        <w:rPr>
          <w:noProof/>
        </w:rPr>
        <w:t> </w:t>
      </w:r>
      <w:r w:rsidR="00B10036" w:rsidRPr="00B10036">
        <w:rPr>
          <w:noProof/>
        </w:rPr>
        <w:t>zat</w:t>
      </w:r>
      <w:r w:rsidRPr="00B10036">
        <w:rPr>
          <w:noProof/>
        </w:rPr>
        <w:t>rudnieniu za</w:t>
      </w:r>
      <w:r w:rsidR="00B10036" w:rsidRPr="00B10036">
        <w:rPr>
          <w:noProof/>
        </w:rPr>
        <w:t> </w:t>
      </w:r>
      <w:r w:rsidRPr="00B10036">
        <w:rPr>
          <w:noProof/>
        </w:rPr>
        <w:t>2022</w:t>
      </w:r>
      <w:r w:rsidR="00B10036" w:rsidRPr="00B10036">
        <w:rPr>
          <w:noProof/>
        </w:rPr>
        <w:t> </w:t>
      </w:r>
      <w:r w:rsidRPr="00B10036">
        <w:rPr>
          <w:noProof/>
        </w:rPr>
        <w:t>r. podkreślono, że inwestowanie</w:t>
      </w:r>
      <w:r w:rsidR="00B10036" w:rsidRPr="00B10036">
        <w:rPr>
          <w:noProof/>
        </w:rPr>
        <w:t xml:space="preserve"> w</w:t>
      </w:r>
      <w:r w:rsidR="00B10036">
        <w:rPr>
          <w:noProof/>
        </w:rPr>
        <w:t> </w:t>
      </w:r>
      <w:r w:rsidR="00B10036" w:rsidRPr="00B10036">
        <w:rPr>
          <w:noProof/>
        </w:rPr>
        <w:t>pod</w:t>
      </w:r>
      <w:r w:rsidRPr="00B10036">
        <w:rPr>
          <w:noProof/>
        </w:rPr>
        <w:t>noszenie kwalifikacji</w:t>
      </w:r>
      <w:r w:rsidR="00B10036" w:rsidRPr="00B10036">
        <w:rPr>
          <w:noProof/>
        </w:rPr>
        <w:t xml:space="preserve"> i</w:t>
      </w:r>
      <w:r w:rsidR="00B10036">
        <w:rPr>
          <w:noProof/>
        </w:rPr>
        <w:t> </w:t>
      </w:r>
      <w:r w:rsidR="00B10036" w:rsidRPr="00B10036">
        <w:rPr>
          <w:noProof/>
        </w:rPr>
        <w:t>prz</w:t>
      </w:r>
      <w:r w:rsidRPr="00B10036">
        <w:rPr>
          <w:noProof/>
        </w:rPr>
        <w:t>ekwalifikowywanie jest głównym priorytetem, aby pobudzić ożywienie gospodarcze sprzyjające włączeniu społecznemu oraz wspierać cyfrową</w:t>
      </w:r>
      <w:r w:rsidR="00B10036" w:rsidRPr="00B10036">
        <w:rPr>
          <w:noProof/>
        </w:rPr>
        <w:t xml:space="preserve"> i</w:t>
      </w:r>
      <w:r w:rsidR="00B10036">
        <w:rPr>
          <w:noProof/>
        </w:rPr>
        <w:t> </w:t>
      </w:r>
      <w:r w:rsidR="00B10036" w:rsidRPr="00B10036">
        <w:rPr>
          <w:noProof/>
        </w:rPr>
        <w:t>zie</w:t>
      </w:r>
      <w:r w:rsidRPr="00B10036">
        <w:rPr>
          <w:noProof/>
        </w:rPr>
        <w:t>loną transformację</w:t>
      </w:r>
      <w:r w:rsidRPr="00B10036">
        <w:rPr>
          <w:rStyle w:val="FootnoteReference"/>
          <w:rFonts w:eastAsia="Calibri"/>
          <w:noProof/>
        </w:rPr>
        <w:footnoteReference w:id="16"/>
      </w:r>
      <w:r w:rsidRPr="00B10036">
        <w:rPr>
          <w:noProof/>
        </w:rPr>
        <w:t>. Państwa członkowskie zachęca się m.in. do wprowadzenia wsparcia na rzecz realokacji siły roboczej, np. poprzez dobrze opracowane zachęty do zatrudniania</w:t>
      </w:r>
      <w:r w:rsidR="00B10036" w:rsidRPr="00B10036">
        <w:rPr>
          <w:noProof/>
        </w:rPr>
        <w:t xml:space="preserve"> i</w:t>
      </w:r>
      <w:r w:rsidR="00B10036">
        <w:rPr>
          <w:noProof/>
        </w:rPr>
        <w:t> </w:t>
      </w:r>
      <w:r w:rsidR="00B10036" w:rsidRPr="00B10036">
        <w:rPr>
          <w:noProof/>
        </w:rPr>
        <w:t>szk</w:t>
      </w:r>
      <w:r w:rsidRPr="00B10036">
        <w:rPr>
          <w:noProof/>
        </w:rPr>
        <w:t>olenia, zwłaszcza</w:t>
      </w:r>
      <w:r w:rsidR="00B10036" w:rsidRPr="00B10036">
        <w:rPr>
          <w:noProof/>
        </w:rPr>
        <w:t xml:space="preserve"> w</w:t>
      </w:r>
      <w:r w:rsidR="00B10036">
        <w:rPr>
          <w:noProof/>
        </w:rPr>
        <w:t> </w:t>
      </w:r>
      <w:r w:rsidR="00B10036" w:rsidRPr="00B10036">
        <w:rPr>
          <w:noProof/>
        </w:rPr>
        <w:t>kie</w:t>
      </w:r>
      <w:r w:rsidRPr="00B10036">
        <w:rPr>
          <w:noProof/>
        </w:rPr>
        <w:t>runku gospodarki ekologicznej</w:t>
      </w:r>
      <w:r w:rsidR="00B10036" w:rsidRPr="00B10036">
        <w:rPr>
          <w:noProof/>
        </w:rPr>
        <w:t xml:space="preserve"> i</w:t>
      </w:r>
      <w:r w:rsidR="00B10036">
        <w:rPr>
          <w:noProof/>
        </w:rPr>
        <w:t> </w:t>
      </w:r>
      <w:r w:rsidR="00B10036" w:rsidRPr="00B10036">
        <w:rPr>
          <w:noProof/>
        </w:rPr>
        <w:t>cyf</w:t>
      </w:r>
      <w:r w:rsidRPr="00B10036">
        <w:rPr>
          <w:noProof/>
        </w:rPr>
        <w:t>rowej, przy jednoczesnej ochronie pracowników</w:t>
      </w:r>
      <w:r w:rsidR="00B10036" w:rsidRPr="00B10036">
        <w:rPr>
          <w:noProof/>
        </w:rPr>
        <w:t xml:space="preserve"> w</w:t>
      </w:r>
      <w:r w:rsidR="00B10036">
        <w:rPr>
          <w:noProof/>
        </w:rPr>
        <w:t> </w:t>
      </w:r>
      <w:r w:rsidR="00B10036" w:rsidRPr="00B10036">
        <w:rPr>
          <w:noProof/>
        </w:rPr>
        <w:t>okr</w:t>
      </w:r>
      <w:r w:rsidRPr="00B10036">
        <w:rPr>
          <w:noProof/>
        </w:rPr>
        <w:t>esie przejściowym. Jest to zgodne</w:t>
      </w:r>
      <w:r w:rsidR="00B10036" w:rsidRPr="00B10036">
        <w:rPr>
          <w:noProof/>
        </w:rPr>
        <w:t xml:space="preserve"> z</w:t>
      </w:r>
      <w:r w:rsidR="00B10036">
        <w:rPr>
          <w:noProof/>
        </w:rPr>
        <w:t> </w:t>
      </w:r>
      <w:r w:rsidR="00B10036" w:rsidRPr="00B10036">
        <w:rPr>
          <w:noProof/>
        </w:rPr>
        <w:t>pop</w:t>
      </w:r>
      <w:r w:rsidRPr="00B10036">
        <w:rPr>
          <w:noProof/>
        </w:rPr>
        <w:t>rzednimi powiązanymi zaleceniami Rady, np.</w:t>
      </w:r>
      <w:r w:rsidR="00B10036" w:rsidRPr="00B10036">
        <w:rPr>
          <w:noProof/>
        </w:rPr>
        <w:t xml:space="preserve"> w</w:t>
      </w:r>
      <w:r w:rsidR="00B10036">
        <w:rPr>
          <w:noProof/>
        </w:rPr>
        <w:t> </w:t>
      </w:r>
      <w:r w:rsidR="00B10036" w:rsidRPr="00B10036">
        <w:rPr>
          <w:noProof/>
        </w:rPr>
        <w:t>spr</w:t>
      </w:r>
      <w:r w:rsidRPr="00B10036">
        <w:rPr>
          <w:noProof/>
        </w:rPr>
        <w:t>awie wzmocnienia gwarancji dla młodzieży</w:t>
      </w:r>
      <w:r w:rsidRPr="00B10036">
        <w:rPr>
          <w:rStyle w:val="FootnoteReference"/>
          <w:noProof/>
        </w:rPr>
        <w:footnoteReference w:id="17"/>
      </w:r>
      <w:r w:rsidRPr="00B10036">
        <w:rPr>
          <w:noProof/>
        </w:rPr>
        <w:t xml:space="preserve"> oraz</w:t>
      </w:r>
      <w:r w:rsidR="00B10036" w:rsidRPr="00B10036">
        <w:rPr>
          <w:noProof/>
        </w:rPr>
        <w:t xml:space="preserve"> w</w:t>
      </w:r>
      <w:r w:rsidR="00B10036">
        <w:rPr>
          <w:noProof/>
        </w:rPr>
        <w:t> </w:t>
      </w:r>
      <w:r w:rsidR="00B10036" w:rsidRPr="00B10036">
        <w:rPr>
          <w:noProof/>
        </w:rPr>
        <w:t>spr</w:t>
      </w:r>
      <w:r w:rsidRPr="00B10036">
        <w:rPr>
          <w:noProof/>
        </w:rPr>
        <w:t>awie kształcenia</w:t>
      </w:r>
      <w:r w:rsidR="00B10036" w:rsidRPr="00B10036">
        <w:rPr>
          <w:noProof/>
        </w:rPr>
        <w:t xml:space="preserve"> i</w:t>
      </w:r>
      <w:r w:rsidR="00B10036">
        <w:rPr>
          <w:noProof/>
        </w:rPr>
        <w:t> </w:t>
      </w:r>
      <w:r w:rsidR="00B10036" w:rsidRPr="00B10036">
        <w:rPr>
          <w:noProof/>
        </w:rPr>
        <w:t>szk</w:t>
      </w:r>
      <w:r w:rsidRPr="00B10036">
        <w:rPr>
          <w:noProof/>
        </w:rPr>
        <w:t>olenia zawodowego na rzecz zrównoważonej konkurencyjności, sprawiedliwości społecznej</w:t>
      </w:r>
      <w:r w:rsidR="00B10036" w:rsidRPr="00B10036">
        <w:rPr>
          <w:noProof/>
        </w:rPr>
        <w:t xml:space="preserve"> i</w:t>
      </w:r>
      <w:r w:rsidR="00B10036">
        <w:rPr>
          <w:noProof/>
        </w:rPr>
        <w:t> </w:t>
      </w:r>
      <w:r w:rsidR="00B10036" w:rsidRPr="00B10036">
        <w:rPr>
          <w:noProof/>
        </w:rPr>
        <w:t>odp</w:t>
      </w:r>
      <w:r w:rsidRPr="00B10036">
        <w:rPr>
          <w:noProof/>
        </w:rPr>
        <w:t>orności</w:t>
      </w:r>
      <w:r w:rsidRPr="00B10036">
        <w:rPr>
          <w:rStyle w:val="FootnoteReference"/>
          <w:noProof/>
        </w:rPr>
        <w:footnoteReference w:id="18"/>
      </w:r>
      <w:r w:rsidRPr="00B10036">
        <w:rPr>
          <w:noProof/>
        </w:rPr>
        <w:t>.</w:t>
      </w:r>
    </w:p>
    <w:p w14:paraId="57A208B7" w14:textId="0B5AB294" w:rsidR="00036AAA" w:rsidRPr="00B10036" w:rsidRDefault="00002649" w:rsidP="00036AAA">
      <w:pPr>
        <w:rPr>
          <w:rFonts w:eastAsia="Calibri"/>
          <w:noProof/>
        </w:rPr>
      </w:pPr>
      <w:r w:rsidRPr="00B10036">
        <w:rPr>
          <w:noProof/>
        </w:rPr>
        <w:t>W ramach rozporządzenia</w:t>
      </w:r>
      <w:r w:rsidR="00B10036" w:rsidRPr="00B10036">
        <w:rPr>
          <w:noProof/>
        </w:rPr>
        <w:t xml:space="preserve"> w</w:t>
      </w:r>
      <w:r w:rsidR="00B10036">
        <w:rPr>
          <w:noProof/>
        </w:rPr>
        <w:t> </w:t>
      </w:r>
      <w:r w:rsidR="00B10036" w:rsidRPr="00B10036">
        <w:rPr>
          <w:noProof/>
        </w:rPr>
        <w:t>spr</w:t>
      </w:r>
      <w:r w:rsidRPr="00B10036">
        <w:rPr>
          <w:noProof/>
        </w:rPr>
        <w:t>awie zarządzania unią energetyczną</w:t>
      </w:r>
      <w:r w:rsidR="00B10036" w:rsidRPr="00B10036">
        <w:rPr>
          <w:noProof/>
        </w:rPr>
        <w:t xml:space="preserve"> i</w:t>
      </w:r>
      <w:r w:rsidR="00B10036">
        <w:rPr>
          <w:noProof/>
        </w:rPr>
        <w:t> </w:t>
      </w:r>
      <w:r w:rsidR="00B10036" w:rsidRPr="00B10036">
        <w:rPr>
          <w:noProof/>
        </w:rPr>
        <w:t>dzi</w:t>
      </w:r>
      <w:r w:rsidRPr="00B10036">
        <w:rPr>
          <w:noProof/>
        </w:rPr>
        <w:t>ałaniami</w:t>
      </w:r>
      <w:r w:rsidR="00B10036" w:rsidRPr="00B10036">
        <w:rPr>
          <w:noProof/>
        </w:rPr>
        <w:t xml:space="preserve"> w</w:t>
      </w:r>
      <w:r w:rsidR="00B10036">
        <w:rPr>
          <w:noProof/>
        </w:rPr>
        <w:t> </w:t>
      </w:r>
      <w:r w:rsidR="00B10036" w:rsidRPr="00B10036">
        <w:rPr>
          <w:noProof/>
        </w:rPr>
        <w:t>dzi</w:t>
      </w:r>
      <w:r w:rsidRPr="00B10036">
        <w:rPr>
          <w:noProof/>
        </w:rPr>
        <w:t>edzinie klimatu</w:t>
      </w:r>
      <w:r w:rsidRPr="00B10036">
        <w:rPr>
          <w:rStyle w:val="FootnoteReference"/>
          <w:rFonts w:eastAsia="Calibri"/>
          <w:noProof/>
        </w:rPr>
        <w:footnoteReference w:id="19"/>
      </w:r>
      <w:r w:rsidRPr="00B10036">
        <w:rPr>
          <w:noProof/>
        </w:rPr>
        <w:t xml:space="preserve"> państwa członkowskie sporządzają zintegrowane krajowe plany</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które obejmują okresy dziesięcioletnie, uwzględniając perspektywę długoterminową oraz pięć wymiarów unii energetycznej, tj. bezpieczeństwo energetyczne; wewnętrzny rynek energii; efektywność energetyczną; obniżenie emisyjności; badania naukowe, innowacje</w:t>
      </w:r>
      <w:r w:rsidR="00B10036" w:rsidRPr="00B10036">
        <w:rPr>
          <w:noProof/>
        </w:rPr>
        <w:t xml:space="preserve"> i</w:t>
      </w:r>
      <w:r w:rsidR="00B10036">
        <w:rPr>
          <w:noProof/>
        </w:rPr>
        <w:t> </w:t>
      </w:r>
      <w:r w:rsidR="00B10036" w:rsidRPr="00B10036">
        <w:rPr>
          <w:noProof/>
        </w:rPr>
        <w:t>kon</w:t>
      </w:r>
      <w:r w:rsidRPr="00B10036">
        <w:rPr>
          <w:noProof/>
        </w:rPr>
        <w:t>kurencyjność. Takie plany aktualizuje się pięć lat po pierwszym przedłożeniu danego planu,</w:t>
      </w:r>
      <w:r w:rsidR="00B10036" w:rsidRPr="00B10036">
        <w:rPr>
          <w:noProof/>
        </w:rPr>
        <w:t xml:space="preserve"> a</w:t>
      </w:r>
      <w:r w:rsidR="00B10036">
        <w:rPr>
          <w:noProof/>
        </w:rPr>
        <w:t> </w:t>
      </w:r>
      <w:r w:rsidR="00B10036" w:rsidRPr="00B10036">
        <w:rPr>
          <w:noProof/>
        </w:rPr>
        <w:t>nas</w:t>
      </w:r>
      <w:r w:rsidRPr="00B10036">
        <w:rPr>
          <w:noProof/>
        </w:rPr>
        <w:t>tępnie co dziesięć lat. Zgodnie</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3 ust.</w:t>
      </w:r>
      <w:r w:rsidR="00B10036" w:rsidRPr="00B10036">
        <w:rPr>
          <w:noProof/>
        </w:rPr>
        <w:t> </w:t>
      </w:r>
      <w:r w:rsidRPr="00B10036">
        <w:rPr>
          <w:noProof/>
        </w:rPr>
        <w:t>3 lit.</w:t>
      </w:r>
      <w:r w:rsidR="00B10036" w:rsidRPr="00B10036">
        <w:rPr>
          <w:noProof/>
        </w:rPr>
        <w:t> </w:t>
      </w:r>
      <w:r w:rsidRPr="00B10036">
        <w:rPr>
          <w:noProof/>
        </w:rPr>
        <w:t>d) rozporządzenia (UE) 2018/1999</w:t>
      </w:r>
      <w:r w:rsidR="00B10036" w:rsidRPr="00B10036">
        <w:rPr>
          <w:noProof/>
        </w:rPr>
        <w:t xml:space="preserve"> w</w:t>
      </w:r>
      <w:r w:rsidR="00B10036">
        <w:rPr>
          <w:noProof/>
        </w:rPr>
        <w:t> </w:t>
      </w:r>
      <w:r w:rsidR="00B10036" w:rsidRPr="00B10036">
        <w:rPr>
          <w:noProof/>
        </w:rPr>
        <w:t>spr</w:t>
      </w:r>
      <w:r w:rsidRPr="00B10036">
        <w:rPr>
          <w:noProof/>
        </w:rPr>
        <w:t>awie zarządzania unią energetyczną</w:t>
      </w:r>
      <w:r w:rsidR="00B10036" w:rsidRPr="00B10036">
        <w:rPr>
          <w:noProof/>
        </w:rPr>
        <w:t xml:space="preserve"> i</w:t>
      </w:r>
      <w:r w:rsidR="00B10036">
        <w:rPr>
          <w:noProof/>
        </w:rPr>
        <w:t> </w:t>
      </w:r>
      <w:r w:rsidR="00B10036" w:rsidRPr="00B10036">
        <w:rPr>
          <w:noProof/>
        </w:rPr>
        <w:t>dzi</w:t>
      </w:r>
      <w:r w:rsidRPr="00B10036">
        <w:rPr>
          <w:noProof/>
        </w:rPr>
        <w:t>ałaniami</w:t>
      </w:r>
      <w:r w:rsidR="00B10036" w:rsidRPr="00B10036">
        <w:rPr>
          <w:noProof/>
        </w:rPr>
        <w:t xml:space="preserve"> w</w:t>
      </w:r>
      <w:r w:rsidR="00B10036">
        <w:rPr>
          <w:noProof/>
        </w:rPr>
        <w:t> </w:t>
      </w:r>
      <w:r w:rsidR="00B10036" w:rsidRPr="00B10036">
        <w:rPr>
          <w:noProof/>
        </w:rPr>
        <w:t>dzi</w:t>
      </w:r>
      <w:r w:rsidRPr="00B10036">
        <w:rPr>
          <w:noProof/>
        </w:rPr>
        <w:t>edzinie klimatu,</w:t>
      </w:r>
      <w:r w:rsidR="00B10036" w:rsidRPr="00B10036">
        <w:rPr>
          <w:noProof/>
        </w:rPr>
        <w:t xml:space="preserve"> w</w:t>
      </w:r>
      <w:r w:rsidR="00B10036">
        <w:rPr>
          <w:noProof/>
        </w:rPr>
        <w:t> </w:t>
      </w:r>
      <w:r w:rsidR="00B10036" w:rsidRPr="00B10036">
        <w:rPr>
          <w:noProof/>
        </w:rPr>
        <w:t>prz</w:t>
      </w:r>
      <w:r w:rsidRPr="00B10036">
        <w:rPr>
          <w:noProof/>
        </w:rPr>
        <w:t>ypadku gdy państwo członkowskie stwierdzi, że liczba gospodarstw domowych dotkniętych ubóstwem energetycznym jest</w:t>
      </w:r>
      <w:r w:rsidR="00B10036" w:rsidRPr="00B10036">
        <w:rPr>
          <w:noProof/>
        </w:rPr>
        <w:t xml:space="preserve"> w</w:t>
      </w:r>
      <w:r w:rsidR="00B10036">
        <w:rPr>
          <w:noProof/>
        </w:rPr>
        <w:t> </w:t>
      </w:r>
      <w:r w:rsidR="00B10036" w:rsidRPr="00B10036">
        <w:rPr>
          <w:noProof/>
        </w:rPr>
        <w:t>tym</w:t>
      </w:r>
      <w:r w:rsidRPr="00B10036">
        <w:rPr>
          <w:noProof/>
        </w:rPr>
        <w:t xml:space="preserve"> państwie wysoka, to włącza ono do planu krajowy orientacyjny cel dotyczący zmniejszenia ubóstwa energetycznego wraz</w:t>
      </w:r>
      <w:r w:rsidR="00B10036" w:rsidRPr="00B10036">
        <w:rPr>
          <w:noProof/>
        </w:rPr>
        <w:t xml:space="preserve"> z</w:t>
      </w:r>
      <w:r w:rsidR="00B10036">
        <w:rPr>
          <w:noProof/>
        </w:rPr>
        <w:t> </w:t>
      </w:r>
      <w:r w:rsidR="00B10036" w:rsidRPr="00B10036">
        <w:rPr>
          <w:noProof/>
        </w:rPr>
        <w:t>har</w:t>
      </w:r>
      <w:r w:rsidRPr="00B10036">
        <w:rPr>
          <w:noProof/>
        </w:rPr>
        <w:t>monogramem osiągania tych celów, jak również polityki</w:t>
      </w:r>
      <w:r w:rsidR="00B10036" w:rsidRPr="00B10036">
        <w:rPr>
          <w:noProof/>
        </w:rPr>
        <w:t xml:space="preserve"> i</w:t>
      </w:r>
      <w:r w:rsidR="00B10036">
        <w:rPr>
          <w:noProof/>
        </w:rPr>
        <w:t> </w:t>
      </w:r>
      <w:r w:rsidR="00B10036" w:rsidRPr="00B10036">
        <w:rPr>
          <w:noProof/>
        </w:rPr>
        <w:t>śro</w:t>
      </w:r>
      <w:r w:rsidRPr="00B10036">
        <w:rPr>
          <w:noProof/>
        </w:rPr>
        <w:t>dki służące zwalczaniu ubóstwa energetycznego,</w:t>
      </w:r>
      <w:r w:rsidR="00B10036" w:rsidRPr="00B10036">
        <w:rPr>
          <w:noProof/>
        </w:rPr>
        <w:t xml:space="preserve"> w</w:t>
      </w:r>
      <w:r w:rsidR="00B10036">
        <w:rPr>
          <w:noProof/>
        </w:rPr>
        <w:t> </w:t>
      </w:r>
      <w:r w:rsidR="00B10036" w:rsidRPr="00B10036">
        <w:rPr>
          <w:noProof/>
        </w:rPr>
        <w:t>tym</w:t>
      </w:r>
      <w:r w:rsidRPr="00B10036">
        <w:rPr>
          <w:noProof/>
        </w:rPr>
        <w:t xml:space="preserve"> środki</w:t>
      </w:r>
      <w:r w:rsidR="00B10036" w:rsidRPr="00B10036">
        <w:rPr>
          <w:noProof/>
        </w:rPr>
        <w:t xml:space="preserve"> z</w:t>
      </w:r>
      <w:r w:rsidR="00B10036">
        <w:rPr>
          <w:noProof/>
        </w:rPr>
        <w:t> </w:t>
      </w:r>
      <w:r w:rsidR="00B10036" w:rsidRPr="00B10036">
        <w:rPr>
          <w:noProof/>
        </w:rPr>
        <w:t>zak</w:t>
      </w:r>
      <w:r w:rsidRPr="00B10036">
        <w:rPr>
          <w:noProof/>
        </w:rPr>
        <w:t>resu polityki społecznej</w:t>
      </w:r>
      <w:r w:rsidR="00B10036" w:rsidRPr="00B10036">
        <w:rPr>
          <w:noProof/>
        </w:rPr>
        <w:t xml:space="preserve"> i</w:t>
      </w:r>
      <w:r w:rsidR="00B10036">
        <w:rPr>
          <w:noProof/>
        </w:rPr>
        <w:t> </w:t>
      </w:r>
      <w:r w:rsidR="00B10036" w:rsidRPr="00B10036">
        <w:rPr>
          <w:noProof/>
        </w:rPr>
        <w:t>inn</w:t>
      </w:r>
      <w:r w:rsidRPr="00B10036">
        <w:rPr>
          <w:noProof/>
        </w:rPr>
        <w:t>e odpowiednie programy krajowe</w:t>
      </w:r>
      <w:r w:rsidRPr="00B10036">
        <w:rPr>
          <w:rStyle w:val="FootnoteReference"/>
          <w:rFonts w:eastAsia="Calibri"/>
          <w:noProof/>
        </w:rPr>
        <w:footnoteReference w:id="20"/>
      </w:r>
      <w:r w:rsidRPr="00B10036">
        <w:rPr>
          <w:noProof/>
        </w:rPr>
        <w:t>. Chociaż kilka państw członkowskich opracowało konkretne inicjatywy mające na celu rozwiązanie problemu ubóstwa energetycznego lub wspieranie konsumentów podatnych na zagrożenia,</w:t>
      </w:r>
      <w:r w:rsidR="00B10036" w:rsidRPr="00B10036">
        <w:rPr>
          <w:noProof/>
        </w:rPr>
        <w:t xml:space="preserve"> w</w:t>
      </w:r>
      <w:r w:rsidR="00B10036">
        <w:rPr>
          <w:noProof/>
        </w:rPr>
        <w:t> </w:t>
      </w:r>
      <w:r w:rsidR="00B10036" w:rsidRPr="00B10036">
        <w:rPr>
          <w:noProof/>
        </w:rPr>
        <w:t>któ</w:t>
      </w:r>
      <w:r w:rsidRPr="00B10036">
        <w:rPr>
          <w:noProof/>
        </w:rPr>
        <w:t>rych można także uwzględnić potencjalne efekty dystrybucyjne polityki klimatycznej</w:t>
      </w:r>
      <w:r w:rsidRPr="00B10036">
        <w:rPr>
          <w:rStyle w:val="FootnoteReference"/>
          <w:rFonts w:eastAsia="Calibri"/>
          <w:noProof/>
        </w:rPr>
        <w:footnoteReference w:id="21"/>
      </w:r>
      <w:r w:rsidRPr="00B10036">
        <w:rPr>
          <w:noProof/>
        </w:rPr>
        <w:t>,</w:t>
      </w:r>
      <w:r w:rsidR="00B10036" w:rsidRPr="00B10036">
        <w:rPr>
          <w:noProof/>
        </w:rPr>
        <w:t xml:space="preserve"> w</w:t>
      </w:r>
      <w:r w:rsidR="00B10036">
        <w:rPr>
          <w:noProof/>
        </w:rPr>
        <w:t> </w:t>
      </w:r>
      <w:r w:rsidR="00B10036" w:rsidRPr="00B10036">
        <w:rPr>
          <w:noProof/>
        </w:rPr>
        <w:t>oce</w:t>
      </w:r>
      <w:r w:rsidRPr="00B10036">
        <w:rPr>
          <w:noProof/>
        </w:rPr>
        <w:t>nie Komisji dotyczącej ostatecznych krajowych planów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na</w:t>
      </w:r>
      <w:r w:rsidR="00B10036" w:rsidRPr="00B10036">
        <w:rPr>
          <w:noProof/>
        </w:rPr>
        <w:t> </w:t>
      </w:r>
      <w:r w:rsidRPr="00B10036">
        <w:rPr>
          <w:noProof/>
        </w:rPr>
        <w:t>2020</w:t>
      </w:r>
      <w:r w:rsidR="00B10036" w:rsidRPr="00B10036">
        <w:rPr>
          <w:noProof/>
        </w:rPr>
        <w:t> </w:t>
      </w:r>
      <w:r w:rsidRPr="00B10036">
        <w:rPr>
          <w:noProof/>
        </w:rPr>
        <w:t>r. stwierdzono</w:t>
      </w:r>
      <w:r w:rsidRPr="00B10036">
        <w:rPr>
          <w:rStyle w:val="FootnoteReference"/>
          <w:rFonts w:eastAsia="Calibri"/>
          <w:noProof/>
        </w:rPr>
        <w:footnoteReference w:id="22"/>
      </w:r>
      <w:r w:rsidRPr="00B10036">
        <w:rPr>
          <w:noProof/>
        </w:rPr>
        <w:t>, że „[z]decydowana większość państw członkowskich nadal musi opracować jaśniejsze strategie</w:t>
      </w:r>
      <w:r w:rsidR="00B10036" w:rsidRPr="00B10036">
        <w:rPr>
          <w:noProof/>
        </w:rPr>
        <w:t xml:space="preserve"> i</w:t>
      </w:r>
      <w:r w:rsidR="00B10036">
        <w:rPr>
          <w:noProof/>
        </w:rPr>
        <w:t> </w:t>
      </w:r>
      <w:r w:rsidR="00B10036" w:rsidRPr="00B10036">
        <w:rPr>
          <w:noProof/>
        </w:rPr>
        <w:t>cel</w:t>
      </w:r>
      <w:r w:rsidRPr="00B10036">
        <w:rPr>
          <w:noProof/>
        </w:rPr>
        <w:t>e, stosując podejście przekrojowe do określenia</w:t>
      </w:r>
      <w:r w:rsidR="00B10036" w:rsidRPr="00B10036">
        <w:rPr>
          <w:noProof/>
        </w:rPr>
        <w:t xml:space="preserve"> i</w:t>
      </w:r>
      <w:r w:rsidR="00B10036">
        <w:rPr>
          <w:noProof/>
        </w:rPr>
        <w:t> </w:t>
      </w:r>
      <w:r w:rsidR="00B10036" w:rsidRPr="00B10036">
        <w:rPr>
          <w:noProof/>
        </w:rPr>
        <w:t>zmi</w:t>
      </w:r>
      <w:r w:rsidRPr="00B10036">
        <w:rPr>
          <w:noProof/>
        </w:rPr>
        <w:t>erzenia konsekwencji społecznych, konsekwencji</w:t>
      </w:r>
      <w:r w:rsidR="00B10036" w:rsidRPr="00B10036">
        <w:rPr>
          <w:noProof/>
        </w:rPr>
        <w:t xml:space="preserve"> w</w:t>
      </w:r>
      <w:r w:rsidR="00B10036">
        <w:rPr>
          <w:noProof/>
        </w:rPr>
        <w:t> </w:t>
      </w:r>
      <w:r w:rsidR="00B10036" w:rsidRPr="00B10036">
        <w:rPr>
          <w:noProof/>
        </w:rPr>
        <w:t>zak</w:t>
      </w:r>
      <w:r w:rsidRPr="00B10036">
        <w:rPr>
          <w:noProof/>
        </w:rPr>
        <w:t>resie zatrudnienia</w:t>
      </w:r>
      <w:r w:rsidR="00B10036" w:rsidRPr="00B10036">
        <w:rPr>
          <w:noProof/>
        </w:rPr>
        <w:t xml:space="preserve"> i</w:t>
      </w:r>
      <w:r w:rsidR="00B10036">
        <w:rPr>
          <w:noProof/>
        </w:rPr>
        <w:t> </w:t>
      </w:r>
      <w:r w:rsidR="00B10036" w:rsidRPr="00B10036">
        <w:rPr>
          <w:noProof/>
        </w:rPr>
        <w:t>umi</w:t>
      </w:r>
      <w:r w:rsidRPr="00B10036">
        <w:rPr>
          <w:noProof/>
        </w:rPr>
        <w:t>ejętności oraz innych skutków dystrybucyjnych transformacji energetycznej,</w:t>
      </w:r>
      <w:r w:rsidR="00B10036" w:rsidRPr="00B10036">
        <w:rPr>
          <w:noProof/>
        </w:rPr>
        <w:t xml:space="preserve"> a</w:t>
      </w:r>
      <w:r w:rsidR="00B10036">
        <w:rPr>
          <w:noProof/>
        </w:rPr>
        <w:t> </w:t>
      </w:r>
      <w:r w:rsidR="00B10036" w:rsidRPr="00B10036">
        <w:rPr>
          <w:noProof/>
        </w:rPr>
        <w:t>tak</w:t>
      </w:r>
      <w:r w:rsidRPr="00B10036">
        <w:rPr>
          <w:noProof/>
        </w:rPr>
        <w:t>że należytego rozważenia sposobów sprostania tym wyzwaniom”.</w:t>
      </w:r>
    </w:p>
    <w:p w14:paraId="7E3537C2" w14:textId="50B74511" w:rsidR="00AC72B0" w:rsidRPr="00B10036" w:rsidRDefault="00002649" w:rsidP="00036AAA">
      <w:pPr>
        <w:rPr>
          <w:rFonts w:eastAsia="Calibri"/>
          <w:noProof/>
        </w:rPr>
      </w:pPr>
      <w:r w:rsidRPr="00B10036">
        <w:rPr>
          <w:noProof/>
        </w:rPr>
        <w:t>Na podstawie rozporządzenia</w:t>
      </w:r>
      <w:r w:rsidR="00B10036" w:rsidRPr="00B10036">
        <w:rPr>
          <w:noProof/>
        </w:rPr>
        <w:t xml:space="preserve"> w</w:t>
      </w:r>
      <w:r w:rsidR="00B10036">
        <w:rPr>
          <w:noProof/>
        </w:rPr>
        <w:t> </w:t>
      </w:r>
      <w:r w:rsidR="00B10036" w:rsidRPr="00B10036">
        <w:rPr>
          <w:noProof/>
        </w:rPr>
        <w:t>spr</w:t>
      </w:r>
      <w:r w:rsidRPr="00B10036">
        <w:rPr>
          <w:noProof/>
        </w:rPr>
        <w:t>awie wspólnych przepisów</w:t>
      </w:r>
      <w:r w:rsidRPr="00B10036">
        <w:rPr>
          <w:rStyle w:val="FootnoteReference"/>
          <w:rFonts w:eastAsia="Calibri"/>
          <w:noProof/>
        </w:rPr>
        <w:footnoteReference w:id="23"/>
      </w:r>
      <w:r w:rsidRPr="00B10036">
        <w:rPr>
          <w:noProof/>
        </w:rPr>
        <w:t>, które obejmuje między innymi Europejski Fundusz Rozwoju Regionalnego (EFRR), Europejski Fundusz Społeczny Plus (EFS+), Fundusz Spójności</w:t>
      </w:r>
      <w:r w:rsidR="00B10036" w:rsidRPr="00B10036">
        <w:rPr>
          <w:noProof/>
        </w:rPr>
        <w:t xml:space="preserve"> i</w:t>
      </w:r>
      <w:r w:rsidR="00B10036">
        <w:rPr>
          <w:noProof/>
        </w:rPr>
        <w:t> </w:t>
      </w:r>
      <w:r w:rsidR="00B10036" w:rsidRPr="00B10036">
        <w:rPr>
          <w:noProof/>
        </w:rPr>
        <w:t>Fun</w:t>
      </w:r>
      <w:r w:rsidRPr="00B10036">
        <w:rPr>
          <w:noProof/>
        </w:rPr>
        <w:t>dusz na rzecz Sprawiedliwej Transformacji (FST), oczekuje się, że państwa członkowskie uwzględnią</w:t>
      </w:r>
      <w:r w:rsidR="00B10036" w:rsidRPr="00B10036">
        <w:rPr>
          <w:noProof/>
        </w:rPr>
        <w:t xml:space="preserve"> w</w:t>
      </w:r>
      <w:r w:rsidR="00B10036">
        <w:rPr>
          <w:noProof/>
        </w:rPr>
        <w:t> </w:t>
      </w:r>
      <w:r w:rsidR="00B10036" w:rsidRPr="00B10036">
        <w:rPr>
          <w:noProof/>
        </w:rPr>
        <w:t>swo</w:t>
      </w:r>
      <w:r w:rsidRPr="00B10036">
        <w:rPr>
          <w:noProof/>
        </w:rPr>
        <w:t>ich programach,</w:t>
      </w:r>
      <w:r w:rsidR="00B10036" w:rsidRPr="00B10036">
        <w:rPr>
          <w:noProof/>
        </w:rPr>
        <w:t xml:space="preserve"> w</w:t>
      </w:r>
      <w:r w:rsidR="00B10036">
        <w:rPr>
          <w:noProof/>
        </w:rPr>
        <w:t> </w:t>
      </w:r>
      <w:r w:rsidR="00B10036" w:rsidRPr="00B10036">
        <w:rPr>
          <w:noProof/>
        </w:rPr>
        <w:t>tym</w:t>
      </w:r>
      <w:r w:rsidRPr="00B10036">
        <w:rPr>
          <w:noProof/>
        </w:rPr>
        <w:t xml:space="preserve"> podczas przeglądu śródokresowego, treść zintegrowanych krajowych planów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oraz zalecenia Komisji dotyczące tych planów</w:t>
      </w:r>
      <w:r w:rsidR="00B10036" w:rsidRPr="00B10036">
        <w:rPr>
          <w:noProof/>
        </w:rPr>
        <w:t>. W</w:t>
      </w:r>
      <w:r w:rsidR="00B10036">
        <w:rPr>
          <w:noProof/>
        </w:rPr>
        <w:t> </w:t>
      </w:r>
      <w:r w:rsidR="00B10036" w:rsidRPr="00B10036">
        <w:rPr>
          <w:noProof/>
        </w:rPr>
        <w:t>ter</w:t>
      </w:r>
      <w:r w:rsidRPr="00B10036">
        <w:rPr>
          <w:noProof/>
        </w:rPr>
        <w:t>ytorialnych planach sprawiedliwej transformacji</w:t>
      </w:r>
      <w:r w:rsidR="00B10036" w:rsidRPr="00B10036">
        <w:rPr>
          <w:noProof/>
        </w:rPr>
        <w:t xml:space="preserve"> w</w:t>
      </w:r>
      <w:r w:rsidR="00B10036">
        <w:rPr>
          <w:noProof/>
        </w:rPr>
        <w:t> </w:t>
      </w:r>
      <w:r w:rsidR="00B10036" w:rsidRPr="00B10036">
        <w:rPr>
          <w:noProof/>
        </w:rPr>
        <w:t>ram</w:t>
      </w:r>
      <w:r w:rsidRPr="00B10036">
        <w:rPr>
          <w:noProof/>
        </w:rPr>
        <w:t>ach FST należy skoncentrować się na przeciwdziałaniu skutkom społeczno-ekonomicznym transformacji na wybranych terytoriach zależnych od paliw kopalnych lub działalności przemysłowej charakteryzującej się wysoką intensywnością emisji gazów cieplarnianych</w:t>
      </w:r>
      <w:r w:rsidR="00B10036" w:rsidRPr="00B10036">
        <w:rPr>
          <w:noProof/>
        </w:rPr>
        <w:t xml:space="preserve"> i</w:t>
      </w:r>
      <w:r w:rsidR="00B10036">
        <w:rPr>
          <w:noProof/>
        </w:rPr>
        <w:t> </w:t>
      </w:r>
      <w:r w:rsidR="00B10036" w:rsidRPr="00B10036">
        <w:rPr>
          <w:noProof/>
        </w:rPr>
        <w:t>zaw</w:t>
      </w:r>
      <w:r w:rsidRPr="00B10036">
        <w:rPr>
          <w:noProof/>
        </w:rPr>
        <w:t>rzeć ogólną sekcję dotyczącą krajowego procesu transformacji na podstawie krajowych planów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w:t>
      </w:r>
      <w:r w:rsidR="00B10036" w:rsidRPr="00B10036">
        <w:rPr>
          <w:noProof/>
        </w:rPr>
        <w:t>. W</w:t>
      </w:r>
      <w:r w:rsidR="00B10036">
        <w:rPr>
          <w:noProof/>
        </w:rPr>
        <w:t> </w:t>
      </w:r>
      <w:r w:rsidR="00B10036" w:rsidRPr="00B10036">
        <w:rPr>
          <w:noProof/>
        </w:rPr>
        <w:t>cel</w:t>
      </w:r>
      <w:r w:rsidRPr="00B10036">
        <w:rPr>
          <w:noProof/>
        </w:rPr>
        <w:t>u wspierania wszystkich zainteresowanych stron</w:t>
      </w:r>
      <w:r w:rsidR="00B10036" w:rsidRPr="00B10036">
        <w:rPr>
          <w:noProof/>
        </w:rPr>
        <w:t xml:space="preserve"> w</w:t>
      </w:r>
      <w:r w:rsidR="00B10036">
        <w:rPr>
          <w:noProof/>
        </w:rPr>
        <w:t> </w:t>
      </w:r>
      <w:r w:rsidR="00B10036" w:rsidRPr="00B10036">
        <w:rPr>
          <w:noProof/>
        </w:rPr>
        <w:t>kor</w:t>
      </w:r>
      <w:r w:rsidRPr="00B10036">
        <w:rPr>
          <w:noProof/>
        </w:rPr>
        <w:t>zystaniu</w:t>
      </w:r>
      <w:r w:rsidR="00B10036" w:rsidRPr="00B10036">
        <w:rPr>
          <w:noProof/>
        </w:rPr>
        <w:t xml:space="preserve"> z</w:t>
      </w:r>
      <w:r w:rsidR="00B10036">
        <w:rPr>
          <w:noProof/>
        </w:rPr>
        <w:t> </w:t>
      </w:r>
      <w:r w:rsidR="00B10036" w:rsidRPr="00B10036">
        <w:rPr>
          <w:noProof/>
        </w:rPr>
        <w:t>zas</w:t>
      </w:r>
      <w:r w:rsidRPr="00B10036">
        <w:rPr>
          <w:noProof/>
        </w:rPr>
        <w:t>obów mechanizmu sprawiedliwej transformacji utworzono platformę sprawiedliwej transformacji. Oprócz Funduszu na rzecz Sprawiedliwej Transformacji (filar 1) mechanizm obejmuje specjalny system</w:t>
      </w:r>
      <w:r w:rsidR="00B10036" w:rsidRPr="00B10036">
        <w:rPr>
          <w:noProof/>
        </w:rPr>
        <w:t xml:space="preserve"> w</w:t>
      </w:r>
      <w:r w:rsidR="00B10036">
        <w:rPr>
          <w:noProof/>
        </w:rPr>
        <w:t> </w:t>
      </w:r>
      <w:r w:rsidR="00B10036" w:rsidRPr="00B10036">
        <w:rPr>
          <w:noProof/>
        </w:rPr>
        <w:t>ram</w:t>
      </w:r>
      <w:r w:rsidRPr="00B10036">
        <w:rPr>
          <w:noProof/>
        </w:rPr>
        <w:t>ach Programu InvestEU (filar 2) oraz instrument pożyczkowy na rzecz sektora publicznego (filar 3).</w:t>
      </w:r>
    </w:p>
    <w:p w14:paraId="5AA9012A" w14:textId="263391CA" w:rsidR="00AC72B0" w:rsidRPr="00B10036" w:rsidRDefault="00E52486" w:rsidP="00036AAA">
      <w:pPr>
        <w:rPr>
          <w:rFonts w:eastAsia="Calibri"/>
          <w:noProof/>
        </w:rPr>
      </w:pPr>
      <w:r w:rsidRPr="00B10036">
        <w:rPr>
          <w:noProof/>
        </w:rPr>
        <w:t>Ponieważ</w:t>
      </w:r>
      <w:r w:rsidR="00B10036" w:rsidRPr="00B10036">
        <w:rPr>
          <w:noProof/>
        </w:rPr>
        <w:t xml:space="preserve"> w</w:t>
      </w:r>
      <w:r w:rsidR="00B10036">
        <w:rPr>
          <w:noProof/>
        </w:rPr>
        <w:t> </w:t>
      </w:r>
      <w:r w:rsidR="00B10036" w:rsidRPr="00B10036">
        <w:rPr>
          <w:noProof/>
        </w:rPr>
        <w:t>trz</w:t>
      </w:r>
      <w:r w:rsidRPr="00B10036">
        <w:rPr>
          <w:noProof/>
        </w:rPr>
        <w:t>ech</w:t>
      </w:r>
      <w:r w:rsidR="00B10036" w:rsidRPr="00B10036">
        <w:rPr>
          <w:noProof/>
        </w:rPr>
        <w:t xml:space="preserve"> z</w:t>
      </w:r>
      <w:r w:rsidR="00B10036">
        <w:rPr>
          <w:noProof/>
        </w:rPr>
        <w:t> </w:t>
      </w:r>
      <w:r w:rsidR="00B10036" w:rsidRPr="00B10036">
        <w:rPr>
          <w:noProof/>
        </w:rPr>
        <w:t>sze</w:t>
      </w:r>
      <w:r w:rsidRPr="00B10036">
        <w:rPr>
          <w:noProof/>
        </w:rPr>
        <w:t>ściu filarów określających zakres Instrumentu na rzecz Odbudowy</w:t>
      </w:r>
      <w:r w:rsidR="00B10036" w:rsidRPr="00B10036">
        <w:rPr>
          <w:noProof/>
        </w:rPr>
        <w:t xml:space="preserve"> i</w:t>
      </w:r>
      <w:r w:rsidR="00B10036">
        <w:rPr>
          <w:noProof/>
        </w:rPr>
        <w:t> </w:t>
      </w:r>
      <w:r w:rsidR="00B10036" w:rsidRPr="00B10036">
        <w:rPr>
          <w:noProof/>
        </w:rPr>
        <w:t>Zwi</w:t>
      </w:r>
      <w:r w:rsidRPr="00B10036">
        <w:rPr>
          <w:noProof/>
        </w:rPr>
        <w:t>ększania Odporności skoncentrowano się na elementach społecznych, plany odbudowy</w:t>
      </w:r>
      <w:r w:rsidR="00B10036" w:rsidRPr="00B10036">
        <w:rPr>
          <w:noProof/>
        </w:rPr>
        <w:t xml:space="preserve"> i</w:t>
      </w:r>
      <w:r w:rsidR="00B10036">
        <w:rPr>
          <w:noProof/>
        </w:rPr>
        <w:t> </w:t>
      </w:r>
      <w:r w:rsidR="00B10036" w:rsidRPr="00B10036">
        <w:rPr>
          <w:noProof/>
        </w:rPr>
        <w:t>odp</w:t>
      </w:r>
      <w:r w:rsidRPr="00B10036">
        <w:rPr>
          <w:noProof/>
        </w:rPr>
        <w:t>orności (RRP)</w:t>
      </w:r>
      <w:r w:rsidR="00B10036" w:rsidRPr="00B10036">
        <w:rPr>
          <w:noProof/>
        </w:rPr>
        <w:t xml:space="preserve"> w</w:t>
      </w:r>
      <w:r w:rsidR="00B10036">
        <w:rPr>
          <w:noProof/>
        </w:rPr>
        <w:t> </w:t>
      </w:r>
      <w:r w:rsidR="00B10036" w:rsidRPr="00B10036">
        <w:rPr>
          <w:noProof/>
        </w:rPr>
        <w:t>ram</w:t>
      </w:r>
      <w:r w:rsidRPr="00B10036">
        <w:rPr>
          <w:noProof/>
        </w:rPr>
        <w:t>ach Instrumentu na rzecz Odbudowy</w:t>
      </w:r>
      <w:r w:rsidR="00B10036" w:rsidRPr="00B10036">
        <w:rPr>
          <w:noProof/>
        </w:rPr>
        <w:t xml:space="preserve"> i</w:t>
      </w:r>
      <w:r w:rsidR="00B10036">
        <w:rPr>
          <w:noProof/>
        </w:rPr>
        <w:t> </w:t>
      </w:r>
      <w:r w:rsidR="00B10036" w:rsidRPr="00B10036">
        <w:rPr>
          <w:noProof/>
        </w:rPr>
        <w:t>Zwi</w:t>
      </w:r>
      <w:r w:rsidRPr="00B10036">
        <w:rPr>
          <w:noProof/>
        </w:rPr>
        <w:t>ększania Odporności (RRF) zawierają zarys znacznej liczby reform</w:t>
      </w:r>
      <w:r w:rsidR="00B10036" w:rsidRPr="00B10036">
        <w:rPr>
          <w:noProof/>
        </w:rPr>
        <w:t xml:space="preserve"> i</w:t>
      </w:r>
      <w:r w:rsidR="00B10036">
        <w:rPr>
          <w:noProof/>
        </w:rPr>
        <w:t> </w:t>
      </w:r>
      <w:r w:rsidR="00B10036" w:rsidRPr="00B10036">
        <w:rPr>
          <w:noProof/>
        </w:rPr>
        <w:t>inw</w:t>
      </w:r>
      <w:r w:rsidRPr="00B10036">
        <w:rPr>
          <w:noProof/>
        </w:rPr>
        <w:t>estycji, które dotyczą aspektów sprawiedliwej transformacji zarówno pod względem reform, jak</w:t>
      </w:r>
      <w:r w:rsidR="00B10036" w:rsidRPr="00B10036">
        <w:rPr>
          <w:noProof/>
        </w:rPr>
        <w:t xml:space="preserve"> i</w:t>
      </w:r>
      <w:r w:rsidR="00B10036">
        <w:rPr>
          <w:noProof/>
        </w:rPr>
        <w:t> </w:t>
      </w:r>
      <w:r w:rsidR="00B10036" w:rsidRPr="00B10036">
        <w:rPr>
          <w:noProof/>
        </w:rPr>
        <w:t>inw</w:t>
      </w:r>
      <w:r w:rsidRPr="00B10036">
        <w:rPr>
          <w:noProof/>
        </w:rPr>
        <w:t>estycji. Krajowe plany</w:t>
      </w:r>
      <w:r w:rsidR="00B10036" w:rsidRPr="00B10036">
        <w:rPr>
          <w:noProof/>
        </w:rPr>
        <w:t xml:space="preserve"> i</w:t>
      </w:r>
      <w:r w:rsidR="00B10036">
        <w:rPr>
          <w:noProof/>
        </w:rPr>
        <w:t> </w:t>
      </w:r>
      <w:r w:rsidR="00B10036" w:rsidRPr="00B10036">
        <w:rPr>
          <w:noProof/>
        </w:rPr>
        <w:t>pro</w:t>
      </w:r>
      <w:r w:rsidRPr="00B10036">
        <w:rPr>
          <w:noProof/>
        </w:rPr>
        <w:t>gramy operacyjne mają zostać wdrożone</w:t>
      </w:r>
      <w:r w:rsidR="00B10036" w:rsidRPr="00B10036">
        <w:rPr>
          <w:noProof/>
        </w:rPr>
        <w:t xml:space="preserve"> w</w:t>
      </w:r>
      <w:r w:rsidR="00B10036">
        <w:rPr>
          <w:noProof/>
        </w:rPr>
        <w:t> </w:t>
      </w:r>
      <w:r w:rsidR="00B10036" w:rsidRPr="00B10036">
        <w:rPr>
          <w:noProof/>
        </w:rPr>
        <w:t>ram</w:t>
      </w:r>
      <w:r w:rsidRPr="00B10036">
        <w:rPr>
          <w:noProof/>
        </w:rPr>
        <w:t>ach obecnego okresu finansowania. Chociaż reformy</w:t>
      </w:r>
      <w:r w:rsidR="00B10036" w:rsidRPr="00B10036">
        <w:rPr>
          <w:noProof/>
        </w:rPr>
        <w:t xml:space="preserve"> i</w:t>
      </w:r>
      <w:r w:rsidR="00B10036">
        <w:rPr>
          <w:noProof/>
        </w:rPr>
        <w:t> </w:t>
      </w:r>
      <w:r w:rsidR="00B10036" w:rsidRPr="00B10036">
        <w:rPr>
          <w:noProof/>
        </w:rPr>
        <w:t>inw</w:t>
      </w:r>
      <w:r w:rsidRPr="00B10036">
        <w:rPr>
          <w:noProof/>
        </w:rPr>
        <w:t>estycje mają mieć trwały wpływ, to ze względu na ograniczony czas trwania nie zapewniają one</w:t>
      </w:r>
      <w:r w:rsidR="00B10036" w:rsidRPr="00B10036">
        <w:rPr>
          <w:noProof/>
        </w:rPr>
        <w:t xml:space="preserve"> w</w:t>
      </w:r>
      <w:r w:rsidR="00B10036">
        <w:rPr>
          <w:noProof/>
        </w:rPr>
        <w:t> </w:t>
      </w:r>
      <w:r w:rsidR="00B10036" w:rsidRPr="00B10036">
        <w:rPr>
          <w:noProof/>
        </w:rPr>
        <w:t>peł</w:t>
      </w:r>
      <w:r w:rsidRPr="00B10036">
        <w:rPr>
          <w:noProof/>
        </w:rPr>
        <w:t>ni kompleksowego podejścia do sprawiedliwej transformacji na szczeblu krajowym po</w:t>
      </w:r>
      <w:r w:rsidR="00B10036" w:rsidRPr="00B10036">
        <w:rPr>
          <w:noProof/>
        </w:rPr>
        <w:t> </w:t>
      </w:r>
      <w:r w:rsidRPr="00B10036">
        <w:rPr>
          <w:noProof/>
        </w:rPr>
        <w:t>2027</w:t>
      </w:r>
      <w:r w:rsidR="00B10036" w:rsidRPr="00B10036">
        <w:rPr>
          <w:noProof/>
        </w:rPr>
        <w:t> </w:t>
      </w:r>
      <w:r w:rsidRPr="00B10036">
        <w:rPr>
          <w:noProof/>
        </w:rPr>
        <w:t>r.,</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kon</w:t>
      </w:r>
      <w:r w:rsidRPr="00B10036">
        <w:rPr>
          <w:noProof/>
        </w:rPr>
        <w:t xml:space="preserve">tekście celów klimatycznych UE. </w:t>
      </w:r>
    </w:p>
    <w:p w14:paraId="209E937C" w14:textId="5F334DD6" w:rsidR="00071F47" w:rsidRPr="00B10036" w:rsidRDefault="00002649" w:rsidP="009C2412">
      <w:pPr>
        <w:rPr>
          <w:noProof/>
        </w:rPr>
      </w:pPr>
      <w:r w:rsidRPr="00B10036">
        <w:rPr>
          <w:noProof/>
        </w:rPr>
        <w:t>Inne dostępne źródła finansowania służą wsparciu dalszych działań uzupełniających</w:t>
      </w:r>
      <w:r w:rsidR="00B10036" w:rsidRPr="00B10036">
        <w:rPr>
          <w:noProof/>
        </w:rPr>
        <w:t xml:space="preserve"> w</w:t>
      </w:r>
      <w:r w:rsidR="00B10036">
        <w:rPr>
          <w:noProof/>
        </w:rPr>
        <w:t> </w:t>
      </w:r>
      <w:r w:rsidR="00B10036" w:rsidRPr="00B10036">
        <w:rPr>
          <w:noProof/>
        </w:rPr>
        <w:t>tym</w:t>
      </w:r>
      <w:r w:rsidRPr="00B10036">
        <w:rPr>
          <w:noProof/>
        </w:rPr>
        <w:t xml:space="preserve"> obszarze, między innymi Erasmus+, Europejski Fundusz Dostosowania do Globalizacji dla Zwalnianych Pracowników (EFG), Wsparcie na rzecz odbudowy służącej spójności oraz terytoriom Europy (REACT-EU), fundusz modernizacyjny oraz dochody</w:t>
      </w:r>
      <w:r w:rsidR="00B10036" w:rsidRPr="00B10036">
        <w:rPr>
          <w:noProof/>
        </w:rPr>
        <w:t xml:space="preserve"> z</w:t>
      </w:r>
      <w:r w:rsidR="00B10036">
        <w:rPr>
          <w:noProof/>
        </w:rPr>
        <w:t> </w:t>
      </w:r>
      <w:r w:rsidR="00B10036" w:rsidRPr="00B10036">
        <w:rPr>
          <w:noProof/>
        </w:rPr>
        <w:t>auk</w:t>
      </w:r>
      <w:r w:rsidRPr="00B10036">
        <w:rPr>
          <w:noProof/>
        </w:rPr>
        <w:t>cji</w:t>
      </w:r>
      <w:r w:rsidR="00B10036" w:rsidRPr="00B10036">
        <w:rPr>
          <w:noProof/>
        </w:rPr>
        <w:t xml:space="preserve"> w</w:t>
      </w:r>
      <w:r w:rsidR="00B10036">
        <w:rPr>
          <w:noProof/>
        </w:rPr>
        <w:t> </w:t>
      </w:r>
      <w:r w:rsidR="00B10036" w:rsidRPr="00B10036">
        <w:rPr>
          <w:noProof/>
        </w:rPr>
        <w:t>ram</w:t>
      </w:r>
      <w:r w:rsidRPr="00B10036">
        <w:rPr>
          <w:noProof/>
        </w:rPr>
        <w:t>ach unijnego systemu handlu uprawnieniami do emisji (ETS), program LIFE+</w:t>
      </w:r>
      <w:r w:rsidR="00B10036" w:rsidRPr="00B10036">
        <w:rPr>
          <w:noProof/>
        </w:rPr>
        <w:t xml:space="preserve"> i</w:t>
      </w:r>
      <w:r w:rsidR="00B10036">
        <w:rPr>
          <w:noProof/>
        </w:rPr>
        <w:t> </w:t>
      </w:r>
      <w:r w:rsidR="00B10036" w:rsidRPr="00B10036">
        <w:rPr>
          <w:noProof/>
        </w:rPr>
        <w:t>pro</w:t>
      </w:r>
      <w:r w:rsidRPr="00B10036">
        <w:rPr>
          <w:noProof/>
        </w:rPr>
        <w:t>gram „Horyzont Europa”</w:t>
      </w:r>
      <w:r w:rsidR="00B10036" w:rsidRPr="00B10036">
        <w:rPr>
          <w:noProof/>
        </w:rPr>
        <w:t>. W</w:t>
      </w:r>
      <w:r w:rsidR="00B10036">
        <w:rPr>
          <w:noProof/>
        </w:rPr>
        <w:t> </w:t>
      </w:r>
      <w:r w:rsidR="00B10036" w:rsidRPr="00B10036">
        <w:rPr>
          <w:noProof/>
        </w:rPr>
        <w:t>szc</w:t>
      </w:r>
      <w:r w:rsidRPr="00B10036">
        <w:rPr>
          <w:noProof/>
        </w:rPr>
        <w:t>zególności rozporządzenie</w:t>
      </w:r>
      <w:r w:rsidR="00B10036" w:rsidRPr="00B10036">
        <w:rPr>
          <w:noProof/>
        </w:rPr>
        <w:t xml:space="preserve"> w</w:t>
      </w:r>
      <w:r w:rsidR="00B10036">
        <w:rPr>
          <w:noProof/>
        </w:rPr>
        <w:t> </w:t>
      </w:r>
      <w:r w:rsidR="00B10036" w:rsidRPr="00B10036">
        <w:rPr>
          <w:noProof/>
        </w:rPr>
        <w:t>spr</w:t>
      </w:r>
      <w:r w:rsidRPr="00B10036">
        <w:rPr>
          <w:noProof/>
        </w:rPr>
        <w:t>awie Europejskiego Funduszu Społecznego Plus</w:t>
      </w:r>
      <w:r w:rsidRPr="00B10036">
        <w:rPr>
          <w:rStyle w:val="FootnoteReference"/>
          <w:noProof/>
        </w:rPr>
        <w:footnoteReference w:id="24"/>
      </w:r>
      <w:r w:rsidRPr="00B10036">
        <w:rPr>
          <w:noProof/>
        </w:rPr>
        <w:t xml:space="preserve"> stanowi, że EFS+ przyczynia się, zgodnie</w:t>
      </w:r>
      <w:r w:rsidR="00B10036" w:rsidRPr="00B10036">
        <w:rPr>
          <w:noProof/>
        </w:rPr>
        <w:t xml:space="preserve"> z</w:t>
      </w:r>
      <w:r w:rsidR="00B10036">
        <w:rPr>
          <w:noProof/>
        </w:rPr>
        <w:t> </w:t>
      </w:r>
      <w:r w:rsidR="00B10036" w:rsidRPr="00B10036">
        <w:rPr>
          <w:noProof/>
        </w:rPr>
        <w:t>cel</w:t>
      </w:r>
      <w:r w:rsidRPr="00B10036">
        <w:rPr>
          <w:noProof/>
        </w:rPr>
        <w:t>ami szczegółowymi na podstawie art.</w:t>
      </w:r>
      <w:r w:rsidR="00B10036" w:rsidRPr="00B10036">
        <w:rPr>
          <w:noProof/>
        </w:rPr>
        <w:t> </w:t>
      </w:r>
      <w:r w:rsidRPr="00B10036">
        <w:rPr>
          <w:noProof/>
        </w:rPr>
        <w:t>4 ust.</w:t>
      </w:r>
      <w:r w:rsidR="00B10036" w:rsidRPr="00B10036">
        <w:rPr>
          <w:noProof/>
        </w:rPr>
        <w:t> </w:t>
      </w:r>
      <w:r w:rsidRPr="00B10036">
        <w:rPr>
          <w:noProof/>
        </w:rPr>
        <w:t>1, do realizacji celów związanych</w:t>
      </w:r>
      <w:r w:rsidR="00B10036" w:rsidRPr="00B10036">
        <w:rPr>
          <w:noProof/>
        </w:rPr>
        <w:t xml:space="preserve"> z</w:t>
      </w:r>
      <w:r w:rsidR="00B10036">
        <w:rPr>
          <w:noProof/>
        </w:rPr>
        <w:t> </w:t>
      </w:r>
      <w:r w:rsidR="00B10036" w:rsidRPr="00B10036">
        <w:rPr>
          <w:noProof/>
        </w:rPr>
        <w:t>bar</w:t>
      </w:r>
      <w:r w:rsidRPr="00B10036">
        <w:rPr>
          <w:noProof/>
        </w:rPr>
        <w:t>dziej przyjazną dla środowiska niskoemisyjną Europą przez usprawnianie systemów kształcenia</w:t>
      </w:r>
      <w:r w:rsidR="00B10036" w:rsidRPr="00B10036">
        <w:rPr>
          <w:noProof/>
        </w:rPr>
        <w:t xml:space="preserve"> i</w:t>
      </w:r>
      <w:r w:rsidR="00B10036">
        <w:rPr>
          <w:noProof/>
        </w:rPr>
        <w:t> </w:t>
      </w:r>
      <w:r w:rsidR="00B10036" w:rsidRPr="00B10036">
        <w:rPr>
          <w:noProof/>
        </w:rPr>
        <w:t>szk</w:t>
      </w:r>
      <w:r w:rsidRPr="00B10036">
        <w:rPr>
          <w:noProof/>
        </w:rPr>
        <w:t>olenia niezbędnych do dostosowania umiejętności</w:t>
      </w:r>
      <w:r w:rsidR="00B10036" w:rsidRPr="00B10036">
        <w:rPr>
          <w:noProof/>
        </w:rPr>
        <w:t xml:space="preserve"> i</w:t>
      </w:r>
      <w:r w:rsidR="00B10036">
        <w:rPr>
          <w:noProof/>
        </w:rPr>
        <w:t> </w:t>
      </w:r>
      <w:r w:rsidR="00B10036" w:rsidRPr="00B10036">
        <w:rPr>
          <w:noProof/>
        </w:rPr>
        <w:t>kwa</w:t>
      </w:r>
      <w:r w:rsidRPr="00B10036">
        <w:rPr>
          <w:noProof/>
        </w:rPr>
        <w:t>lifikacji, podnoszenia kwalifikacji,</w:t>
      </w:r>
      <w:r w:rsidR="00B10036" w:rsidRPr="00B10036">
        <w:rPr>
          <w:noProof/>
        </w:rPr>
        <w:t xml:space="preserve"> w</w:t>
      </w:r>
      <w:r w:rsidR="00B10036">
        <w:rPr>
          <w:noProof/>
        </w:rPr>
        <w:t> </w:t>
      </w:r>
      <w:r w:rsidR="00B10036" w:rsidRPr="00B10036">
        <w:rPr>
          <w:noProof/>
        </w:rPr>
        <w:t>tym</w:t>
      </w:r>
      <w:r w:rsidRPr="00B10036">
        <w:rPr>
          <w:noProof/>
        </w:rPr>
        <w:t xml:space="preserve"> siły roboczej, tworzenia nowych miejsc pracy</w:t>
      </w:r>
      <w:r w:rsidR="00B10036" w:rsidRPr="00B10036">
        <w:rPr>
          <w:noProof/>
        </w:rPr>
        <w:t xml:space="preserve"> w</w:t>
      </w:r>
      <w:r w:rsidR="00B10036">
        <w:rPr>
          <w:noProof/>
        </w:rPr>
        <w:t> </w:t>
      </w:r>
      <w:r w:rsidR="00B10036" w:rsidRPr="00B10036">
        <w:rPr>
          <w:noProof/>
        </w:rPr>
        <w:t>sek</w:t>
      </w:r>
      <w:r w:rsidRPr="00B10036">
        <w:rPr>
          <w:noProof/>
        </w:rPr>
        <w:t>torach związanych ze środowiskiem, klimatem, energią, gospodarką</w:t>
      </w:r>
      <w:r w:rsidR="00B10036" w:rsidRPr="00B10036">
        <w:rPr>
          <w:noProof/>
        </w:rPr>
        <w:t xml:space="preserve"> o</w:t>
      </w:r>
      <w:r w:rsidR="00B10036">
        <w:rPr>
          <w:noProof/>
        </w:rPr>
        <w:t> </w:t>
      </w:r>
      <w:r w:rsidR="00B10036" w:rsidRPr="00B10036">
        <w:rPr>
          <w:noProof/>
        </w:rPr>
        <w:t>obi</w:t>
      </w:r>
      <w:r w:rsidRPr="00B10036">
        <w:rPr>
          <w:noProof/>
        </w:rPr>
        <w:t>egu zamkniętym oraz biogospodarką.</w:t>
      </w:r>
    </w:p>
    <w:p w14:paraId="4E07D40A" w14:textId="238D6D47" w:rsidR="00DF139C" w:rsidRPr="00B10036" w:rsidRDefault="0044443E" w:rsidP="00DF139C">
      <w:pPr>
        <w:rPr>
          <w:noProof/>
          <w:szCs w:val="24"/>
        </w:rPr>
      </w:pPr>
      <w:r w:rsidRPr="00B10036">
        <w:rPr>
          <w:noProof/>
        </w:rPr>
        <w:t>Szereg innych strategii</w:t>
      </w:r>
      <w:r w:rsidR="00B10036" w:rsidRPr="00B10036">
        <w:rPr>
          <w:noProof/>
        </w:rPr>
        <w:t xml:space="preserve"> i</w:t>
      </w:r>
      <w:r w:rsidR="00B10036">
        <w:rPr>
          <w:noProof/>
        </w:rPr>
        <w:t> </w:t>
      </w:r>
      <w:r w:rsidR="00B10036" w:rsidRPr="00B10036">
        <w:rPr>
          <w:noProof/>
        </w:rPr>
        <w:t>pla</w:t>
      </w:r>
      <w:r w:rsidRPr="00B10036">
        <w:rPr>
          <w:noProof/>
        </w:rPr>
        <w:t>nów działania przyczynia się do sprawiedliwej zielonej transformacji. Europejski program na rzecz umiejętności</w:t>
      </w:r>
      <w:r w:rsidR="00B10036" w:rsidRPr="00B10036">
        <w:rPr>
          <w:noProof/>
        </w:rPr>
        <w:t xml:space="preserve"> z</w:t>
      </w:r>
      <w:r w:rsidR="00B10036">
        <w:rPr>
          <w:noProof/>
        </w:rPr>
        <w:t> </w:t>
      </w:r>
      <w:r w:rsidR="00B10036" w:rsidRPr="00B10036">
        <w:rPr>
          <w:noProof/>
        </w:rPr>
        <w:t>2</w:t>
      </w:r>
      <w:r w:rsidRPr="00B10036">
        <w:rPr>
          <w:noProof/>
        </w:rPr>
        <w:t>020</w:t>
      </w:r>
      <w:r w:rsidR="00B10036" w:rsidRPr="00B10036">
        <w:rPr>
          <w:noProof/>
        </w:rPr>
        <w:t> </w:t>
      </w:r>
      <w:r w:rsidRPr="00B10036">
        <w:rPr>
          <w:noProof/>
        </w:rPr>
        <w:t>r.</w:t>
      </w:r>
      <w:r w:rsidRPr="00B10036">
        <w:rPr>
          <w:rStyle w:val="FootnoteReference"/>
          <w:noProof/>
        </w:rPr>
        <w:footnoteReference w:id="25"/>
      </w:r>
      <w:r w:rsidRPr="00B10036">
        <w:rPr>
          <w:noProof/>
        </w:rPr>
        <w:t xml:space="preserve"> ma zapewnić obywatelom możliwość uczenia się</w:t>
      </w:r>
      <w:r w:rsidR="00B10036" w:rsidRPr="00B10036">
        <w:rPr>
          <w:noProof/>
        </w:rPr>
        <w:t xml:space="preserve"> i</w:t>
      </w:r>
      <w:r w:rsidR="00B10036">
        <w:rPr>
          <w:noProof/>
        </w:rPr>
        <w:t> </w:t>
      </w:r>
      <w:r w:rsidR="00B10036" w:rsidRPr="00B10036">
        <w:rPr>
          <w:noProof/>
        </w:rPr>
        <w:t>upe</w:t>
      </w:r>
      <w:r w:rsidRPr="00B10036">
        <w:rPr>
          <w:noProof/>
        </w:rPr>
        <w:t>wnienia się, że ich umiejętności są dostosowane do dwojakiej transformacji</w:t>
      </w:r>
      <w:r w:rsidR="00B10036" w:rsidRPr="00B10036">
        <w:rPr>
          <w:noProof/>
        </w:rPr>
        <w:t>. W</w:t>
      </w:r>
      <w:r w:rsidR="00B10036">
        <w:rPr>
          <w:noProof/>
        </w:rPr>
        <w:t> </w:t>
      </w:r>
      <w:r w:rsidR="00B10036" w:rsidRPr="00B10036">
        <w:rPr>
          <w:noProof/>
        </w:rPr>
        <w:t>pro</w:t>
      </w:r>
      <w:r w:rsidRPr="00B10036">
        <w:rPr>
          <w:noProof/>
        </w:rPr>
        <w:t>gramie na rzecz umiejętności Komisja zapowiada szereg działań wspierających nabywanie umiejętności na rzecz zielonej transformacji,</w:t>
      </w:r>
      <w:r w:rsidR="00B10036" w:rsidRPr="00B10036">
        <w:rPr>
          <w:noProof/>
        </w:rPr>
        <w:t xml:space="preserve"> w</w:t>
      </w:r>
      <w:r w:rsidR="00B10036">
        <w:rPr>
          <w:noProof/>
        </w:rPr>
        <w:t> </w:t>
      </w:r>
      <w:r w:rsidR="00B10036" w:rsidRPr="00B10036">
        <w:rPr>
          <w:noProof/>
        </w:rPr>
        <w:t>tym w</w:t>
      </w:r>
      <w:r w:rsidR="00B10036">
        <w:rPr>
          <w:noProof/>
        </w:rPr>
        <w:t> </w:t>
      </w:r>
      <w:r w:rsidR="00B10036" w:rsidRPr="00B10036">
        <w:rPr>
          <w:noProof/>
        </w:rPr>
        <w:t>zak</w:t>
      </w:r>
      <w:r w:rsidRPr="00B10036">
        <w:rPr>
          <w:noProof/>
        </w:rPr>
        <w:t>resie indywidualnych rachunków szkoleniowych</w:t>
      </w:r>
      <w:r w:rsidRPr="00B10036">
        <w:rPr>
          <w:rStyle w:val="FootnoteReference"/>
          <w:noProof/>
        </w:rPr>
        <w:footnoteReference w:id="26"/>
      </w:r>
      <w:r w:rsidRPr="00B10036">
        <w:rPr>
          <w:noProof/>
        </w:rPr>
        <w:t>, europejskiego podejścia do mikropoświadczeń</w:t>
      </w:r>
      <w:r w:rsidRPr="00B10036">
        <w:rPr>
          <w:rStyle w:val="FootnoteReference"/>
          <w:noProof/>
        </w:rPr>
        <w:footnoteReference w:id="27"/>
      </w:r>
      <w:r w:rsidRPr="00B10036">
        <w:rPr>
          <w:noProof/>
        </w:rPr>
        <w:t xml:space="preserve"> oraz uczenia się na rzecz zrównoważenia środowiskowego</w:t>
      </w:r>
      <w:r w:rsidRPr="00B10036">
        <w:rPr>
          <w:rStyle w:val="FootnoteReference"/>
          <w:noProof/>
        </w:rPr>
        <w:footnoteReference w:id="28"/>
      </w:r>
      <w:r w:rsidRPr="00B10036">
        <w:rPr>
          <w:noProof/>
        </w:rPr>
        <w:t>. Pakt na rzecz umiejętności</w:t>
      </w:r>
      <w:r w:rsidRPr="00B10036">
        <w:rPr>
          <w:rStyle w:val="FootnoteReference"/>
          <w:noProof/>
        </w:rPr>
        <w:footnoteReference w:id="29"/>
      </w:r>
      <w:r w:rsidRPr="00B10036">
        <w:rPr>
          <w:noProof/>
        </w:rPr>
        <w:t xml:space="preserve"> ma na celu zmobilizowanie zainteresowanych stron wśród podmiotów prywatnych</w:t>
      </w:r>
      <w:r w:rsidR="00B10036" w:rsidRPr="00B10036">
        <w:rPr>
          <w:noProof/>
        </w:rPr>
        <w:t xml:space="preserve"> i</w:t>
      </w:r>
      <w:r w:rsidR="00B10036">
        <w:rPr>
          <w:noProof/>
        </w:rPr>
        <w:t> </w:t>
      </w:r>
      <w:r w:rsidR="00B10036" w:rsidRPr="00B10036">
        <w:rPr>
          <w:noProof/>
        </w:rPr>
        <w:t>pub</w:t>
      </w:r>
      <w:r w:rsidRPr="00B10036">
        <w:rPr>
          <w:noProof/>
        </w:rPr>
        <w:t>licznych do podjęcia konkretnych działań</w:t>
      </w:r>
      <w:r w:rsidR="00B10036" w:rsidRPr="00B10036">
        <w:rPr>
          <w:noProof/>
        </w:rPr>
        <w:t xml:space="preserve"> w</w:t>
      </w:r>
      <w:r w:rsidR="00B10036">
        <w:rPr>
          <w:noProof/>
        </w:rPr>
        <w:t> </w:t>
      </w:r>
      <w:r w:rsidR="00B10036" w:rsidRPr="00B10036">
        <w:rPr>
          <w:noProof/>
        </w:rPr>
        <w:t>zak</w:t>
      </w:r>
      <w:r w:rsidRPr="00B10036">
        <w:rPr>
          <w:noProof/>
        </w:rPr>
        <w:t>resie podnoszenia kwalifikacji</w:t>
      </w:r>
      <w:r w:rsidR="00B10036" w:rsidRPr="00B10036">
        <w:rPr>
          <w:noProof/>
        </w:rPr>
        <w:t xml:space="preserve"> i</w:t>
      </w:r>
      <w:r w:rsidR="00B10036">
        <w:rPr>
          <w:noProof/>
        </w:rPr>
        <w:t> </w:t>
      </w:r>
      <w:r w:rsidR="00B10036" w:rsidRPr="00B10036">
        <w:rPr>
          <w:noProof/>
        </w:rPr>
        <w:t>prz</w:t>
      </w:r>
      <w:r w:rsidRPr="00B10036">
        <w:rPr>
          <w:noProof/>
        </w:rPr>
        <w:t>ekwalifikowania osób na rynku pracy oraz,</w:t>
      </w:r>
      <w:r w:rsidR="00B10036" w:rsidRPr="00B10036">
        <w:rPr>
          <w:noProof/>
        </w:rPr>
        <w:t xml:space="preserve"> w</w:t>
      </w:r>
      <w:r w:rsidR="00B10036">
        <w:rPr>
          <w:noProof/>
        </w:rPr>
        <w:t> </w:t>
      </w:r>
      <w:r w:rsidR="00B10036" w:rsidRPr="00B10036">
        <w:rPr>
          <w:noProof/>
        </w:rPr>
        <w:t>sto</w:t>
      </w:r>
      <w:r w:rsidRPr="00B10036">
        <w:rPr>
          <w:noProof/>
        </w:rPr>
        <w:t>sownych przypadkach, połączenia starań</w:t>
      </w:r>
      <w:r w:rsidR="00B10036" w:rsidRPr="00B10036">
        <w:rPr>
          <w:noProof/>
        </w:rPr>
        <w:t xml:space="preserve"> w</w:t>
      </w:r>
      <w:r w:rsidR="00B10036">
        <w:rPr>
          <w:noProof/>
        </w:rPr>
        <w:t> </w:t>
      </w:r>
      <w:r w:rsidR="00B10036" w:rsidRPr="00B10036">
        <w:rPr>
          <w:noProof/>
        </w:rPr>
        <w:t>ram</w:t>
      </w:r>
      <w:r w:rsidRPr="00B10036">
        <w:rPr>
          <w:noProof/>
        </w:rPr>
        <w:t>ach partnerstw. Do końca listopada 2021</w:t>
      </w:r>
      <w:r w:rsidR="00B10036" w:rsidRPr="00B10036">
        <w:rPr>
          <w:noProof/>
        </w:rPr>
        <w:t> </w:t>
      </w:r>
      <w:r w:rsidRPr="00B10036">
        <w:rPr>
          <w:noProof/>
        </w:rPr>
        <w:t>r. ustanowiono pięć takich partnerstw</w:t>
      </w:r>
      <w:r w:rsidRPr="00B10036">
        <w:rPr>
          <w:rStyle w:val="FootnoteReference"/>
          <w:noProof/>
        </w:rPr>
        <w:footnoteReference w:id="30"/>
      </w:r>
      <w:r w:rsidRPr="00B10036">
        <w:rPr>
          <w:noProof/>
        </w:rPr>
        <w:t>, które zobowiązały się do podniesienia kwalifikacji</w:t>
      </w:r>
      <w:r w:rsidR="00B10036" w:rsidRPr="00B10036">
        <w:rPr>
          <w:noProof/>
        </w:rPr>
        <w:t xml:space="preserve"> i</w:t>
      </w:r>
      <w:r w:rsidR="00B10036">
        <w:rPr>
          <w:noProof/>
        </w:rPr>
        <w:t> </w:t>
      </w:r>
      <w:r w:rsidR="00B10036" w:rsidRPr="00B10036">
        <w:rPr>
          <w:noProof/>
        </w:rPr>
        <w:t>prz</w:t>
      </w:r>
      <w:r w:rsidRPr="00B10036">
        <w:rPr>
          <w:noProof/>
        </w:rPr>
        <w:t>ekwalifikowania 1,5 mln osób</w:t>
      </w:r>
      <w:r w:rsidR="00B10036" w:rsidRPr="00B10036">
        <w:rPr>
          <w:noProof/>
        </w:rPr>
        <w:t xml:space="preserve"> w</w:t>
      </w:r>
      <w:r w:rsidR="00B10036">
        <w:rPr>
          <w:noProof/>
        </w:rPr>
        <w:t> </w:t>
      </w:r>
      <w:r w:rsidR="00B10036" w:rsidRPr="00B10036">
        <w:rPr>
          <w:noProof/>
        </w:rPr>
        <w:t>nad</w:t>
      </w:r>
      <w:r w:rsidRPr="00B10036">
        <w:rPr>
          <w:noProof/>
        </w:rPr>
        <w:t>chodzących latach. Do końca listopada 2021</w:t>
      </w:r>
      <w:r w:rsidR="00B10036" w:rsidRPr="00B10036">
        <w:rPr>
          <w:noProof/>
        </w:rPr>
        <w:t> </w:t>
      </w:r>
      <w:r w:rsidRPr="00B10036">
        <w:rPr>
          <w:noProof/>
        </w:rPr>
        <w:t>r. pakt na rzecz umiejętności zgromadził ponad 500 członków,</w:t>
      </w:r>
      <w:r w:rsidR="00B10036" w:rsidRPr="00B10036">
        <w:rPr>
          <w:noProof/>
        </w:rPr>
        <w:t xml:space="preserve"> w</w:t>
      </w:r>
      <w:r w:rsidR="00B10036">
        <w:rPr>
          <w:noProof/>
        </w:rPr>
        <w:t> </w:t>
      </w:r>
      <w:r w:rsidR="00B10036" w:rsidRPr="00B10036">
        <w:rPr>
          <w:noProof/>
        </w:rPr>
        <w:t>tym</w:t>
      </w:r>
      <w:r w:rsidRPr="00B10036">
        <w:rPr>
          <w:noProof/>
        </w:rPr>
        <w:t xml:space="preserve"> sektorowe organizacje biznesowe, duże</w:t>
      </w:r>
      <w:r w:rsidR="00B10036" w:rsidRPr="00B10036">
        <w:rPr>
          <w:noProof/>
        </w:rPr>
        <w:t xml:space="preserve"> i</w:t>
      </w:r>
      <w:r w:rsidR="00B10036">
        <w:rPr>
          <w:noProof/>
        </w:rPr>
        <w:t> </w:t>
      </w:r>
      <w:r w:rsidR="00B10036" w:rsidRPr="00B10036">
        <w:rPr>
          <w:noProof/>
        </w:rPr>
        <w:t>mał</w:t>
      </w:r>
      <w:r w:rsidRPr="00B10036">
        <w:rPr>
          <w:noProof/>
        </w:rPr>
        <w:t>e przedsiębiorstwa, uczelnie, organizatorów kształcenia</w:t>
      </w:r>
      <w:r w:rsidR="00B10036" w:rsidRPr="00B10036">
        <w:rPr>
          <w:noProof/>
        </w:rPr>
        <w:t xml:space="preserve"> i</w:t>
      </w:r>
      <w:r w:rsidR="00B10036">
        <w:rPr>
          <w:noProof/>
        </w:rPr>
        <w:t> </w:t>
      </w:r>
      <w:r w:rsidR="00B10036" w:rsidRPr="00B10036">
        <w:rPr>
          <w:noProof/>
        </w:rPr>
        <w:t>szk</w:t>
      </w:r>
      <w:r w:rsidRPr="00B10036">
        <w:rPr>
          <w:noProof/>
        </w:rPr>
        <w:t>olenia zawodowego, partnerów społecznych, izby handlowe, władze regionalne</w:t>
      </w:r>
      <w:r w:rsidR="00B10036" w:rsidRPr="00B10036">
        <w:rPr>
          <w:noProof/>
        </w:rPr>
        <w:t xml:space="preserve"> i</w:t>
      </w:r>
      <w:r w:rsidR="00B10036">
        <w:rPr>
          <w:noProof/>
        </w:rPr>
        <w:t> </w:t>
      </w:r>
      <w:r w:rsidR="00B10036" w:rsidRPr="00B10036">
        <w:rPr>
          <w:noProof/>
        </w:rPr>
        <w:t>lok</w:t>
      </w:r>
      <w:r w:rsidRPr="00B10036">
        <w:rPr>
          <w:noProof/>
        </w:rPr>
        <w:t>alne oraz publiczne</w:t>
      </w:r>
      <w:r w:rsidR="00B10036" w:rsidRPr="00B10036">
        <w:rPr>
          <w:noProof/>
        </w:rPr>
        <w:t xml:space="preserve"> i</w:t>
      </w:r>
      <w:r w:rsidR="00B10036">
        <w:rPr>
          <w:noProof/>
        </w:rPr>
        <w:t> </w:t>
      </w:r>
      <w:r w:rsidR="00B10036" w:rsidRPr="00B10036">
        <w:rPr>
          <w:noProof/>
        </w:rPr>
        <w:t>pry</w:t>
      </w:r>
      <w:r w:rsidRPr="00B10036">
        <w:rPr>
          <w:noProof/>
        </w:rPr>
        <w:t>watne służby zatrudnienia. Zaktualizowana nowa strategia przemysłowa UE służy wspieraniu tworzenia miejsc pracy</w:t>
      </w:r>
      <w:r w:rsidR="00B10036" w:rsidRPr="00B10036">
        <w:rPr>
          <w:noProof/>
        </w:rPr>
        <w:t xml:space="preserve"> w</w:t>
      </w:r>
      <w:r w:rsidR="00B10036">
        <w:rPr>
          <w:noProof/>
        </w:rPr>
        <w:t> </w:t>
      </w:r>
      <w:r w:rsidR="00B10036" w:rsidRPr="00B10036">
        <w:rPr>
          <w:noProof/>
        </w:rPr>
        <w:t>zie</w:t>
      </w:r>
      <w:r w:rsidRPr="00B10036">
        <w:rPr>
          <w:noProof/>
        </w:rPr>
        <w:t>lonej gospodarce</w:t>
      </w:r>
      <w:r w:rsidR="00B10036" w:rsidRPr="00B10036">
        <w:rPr>
          <w:noProof/>
        </w:rPr>
        <w:t xml:space="preserve"> i</w:t>
      </w:r>
      <w:r w:rsidR="00B10036">
        <w:rPr>
          <w:noProof/>
        </w:rPr>
        <w:t> </w:t>
      </w:r>
      <w:r w:rsidR="00B10036" w:rsidRPr="00B10036">
        <w:rPr>
          <w:noProof/>
        </w:rPr>
        <w:t>okr</w:t>
      </w:r>
      <w:r w:rsidRPr="00B10036">
        <w:rPr>
          <w:noProof/>
        </w:rPr>
        <w:t>eślono</w:t>
      </w:r>
      <w:r w:rsidR="00B10036" w:rsidRPr="00B10036">
        <w:rPr>
          <w:noProof/>
        </w:rPr>
        <w:t xml:space="preserve"> w</w:t>
      </w:r>
      <w:r w:rsidR="00B10036">
        <w:rPr>
          <w:noProof/>
        </w:rPr>
        <w:t> </w:t>
      </w:r>
      <w:r w:rsidR="00B10036" w:rsidRPr="00B10036">
        <w:rPr>
          <w:noProof/>
        </w:rPr>
        <w:t>nie</w:t>
      </w:r>
      <w:r w:rsidRPr="00B10036">
        <w:rPr>
          <w:noProof/>
        </w:rPr>
        <w:t>j na przykład ważną rolę inwestycji</w:t>
      </w:r>
      <w:r w:rsidR="00B10036" w:rsidRPr="00B10036">
        <w:rPr>
          <w:noProof/>
        </w:rPr>
        <w:t xml:space="preserve"> w</w:t>
      </w:r>
      <w:r w:rsidR="00B10036">
        <w:rPr>
          <w:noProof/>
        </w:rPr>
        <w:t> </w:t>
      </w:r>
      <w:r w:rsidR="00B10036" w:rsidRPr="00B10036">
        <w:rPr>
          <w:noProof/>
        </w:rPr>
        <w:t>umi</w:t>
      </w:r>
      <w:r w:rsidRPr="00B10036">
        <w:rPr>
          <w:noProof/>
        </w:rPr>
        <w:t>ejętności, elastyczne partnerstwa publiczno-prywatne, współpracę</w:t>
      </w:r>
      <w:r w:rsidR="00B10036" w:rsidRPr="00B10036">
        <w:rPr>
          <w:noProof/>
        </w:rPr>
        <w:t xml:space="preserve"> w</w:t>
      </w:r>
      <w:r w:rsidR="00B10036">
        <w:rPr>
          <w:noProof/>
        </w:rPr>
        <w:t> </w:t>
      </w:r>
      <w:r w:rsidR="00B10036" w:rsidRPr="00B10036">
        <w:rPr>
          <w:noProof/>
        </w:rPr>
        <w:t>zak</w:t>
      </w:r>
      <w:r w:rsidRPr="00B10036">
        <w:rPr>
          <w:noProof/>
        </w:rPr>
        <w:t>resie stymulowania dialogu społecznego,</w:t>
      </w:r>
      <w:r w:rsidR="00B10036" w:rsidRPr="00B10036">
        <w:rPr>
          <w:noProof/>
        </w:rPr>
        <w:t xml:space="preserve"> a</w:t>
      </w:r>
      <w:r w:rsidR="00B10036">
        <w:rPr>
          <w:noProof/>
        </w:rPr>
        <w:t> </w:t>
      </w:r>
      <w:r w:rsidR="00B10036" w:rsidRPr="00B10036">
        <w:rPr>
          <w:noProof/>
        </w:rPr>
        <w:t>tak</w:t>
      </w:r>
      <w:r w:rsidRPr="00B10036">
        <w:rPr>
          <w:noProof/>
        </w:rPr>
        <w:t>że tworzenie zielonych miejsc pracy,</w:t>
      </w:r>
      <w:r w:rsidR="00B10036" w:rsidRPr="00B10036">
        <w:rPr>
          <w:noProof/>
        </w:rPr>
        <w:t xml:space="preserve"> w</w:t>
      </w:r>
      <w:r w:rsidR="00B10036">
        <w:rPr>
          <w:noProof/>
        </w:rPr>
        <w:t> </w:t>
      </w:r>
      <w:r w:rsidR="00B10036" w:rsidRPr="00B10036">
        <w:rPr>
          <w:noProof/>
        </w:rPr>
        <w:t>tym</w:t>
      </w:r>
      <w:r w:rsidRPr="00B10036">
        <w:rPr>
          <w:noProof/>
        </w:rPr>
        <w:t xml:space="preserve"> poprzez poszczególne </w:t>
      </w:r>
      <w:r w:rsidRPr="00B10036">
        <w:rPr>
          <w:bCs/>
          <w:noProof/>
          <w:szCs w:val="24"/>
          <w:shd w:val="clear" w:color="auto" w:fill="FFFFFF"/>
        </w:rPr>
        <w:t>ogólnoeuropejskie sojusze, zwłaszcza na rzecz baterii, czystego wodoru, tworzyw sztucznych</w:t>
      </w:r>
      <w:r w:rsidR="00B10036" w:rsidRPr="00B10036">
        <w:rPr>
          <w:bCs/>
          <w:noProof/>
          <w:szCs w:val="24"/>
          <w:shd w:val="clear" w:color="auto" w:fill="FFFFFF"/>
        </w:rPr>
        <w:t xml:space="preserve"> o</w:t>
      </w:r>
      <w:r w:rsidR="00B10036">
        <w:rPr>
          <w:bCs/>
          <w:noProof/>
          <w:szCs w:val="24"/>
          <w:shd w:val="clear" w:color="auto" w:fill="FFFFFF"/>
        </w:rPr>
        <w:t> </w:t>
      </w:r>
      <w:r w:rsidR="00B10036" w:rsidRPr="00B10036">
        <w:rPr>
          <w:bCs/>
          <w:noProof/>
          <w:szCs w:val="24"/>
          <w:shd w:val="clear" w:color="auto" w:fill="FFFFFF"/>
        </w:rPr>
        <w:t>zam</w:t>
      </w:r>
      <w:r w:rsidRPr="00B10036">
        <w:rPr>
          <w:bCs/>
          <w:noProof/>
          <w:szCs w:val="24"/>
          <w:shd w:val="clear" w:color="auto" w:fill="FFFFFF"/>
        </w:rPr>
        <w:t>kniętym cyklu życia</w:t>
      </w:r>
      <w:r w:rsidR="00B10036" w:rsidRPr="00B10036">
        <w:rPr>
          <w:bCs/>
          <w:noProof/>
          <w:szCs w:val="24"/>
          <w:shd w:val="clear" w:color="auto" w:fill="FFFFFF"/>
        </w:rPr>
        <w:t xml:space="preserve"> i</w:t>
      </w:r>
      <w:r w:rsidR="00B10036">
        <w:rPr>
          <w:bCs/>
          <w:noProof/>
          <w:szCs w:val="24"/>
          <w:shd w:val="clear" w:color="auto" w:fill="FFFFFF"/>
        </w:rPr>
        <w:t> </w:t>
      </w:r>
      <w:r w:rsidR="00B10036" w:rsidRPr="00B10036">
        <w:rPr>
          <w:bCs/>
          <w:noProof/>
          <w:szCs w:val="24"/>
          <w:shd w:val="clear" w:color="auto" w:fill="FFFFFF"/>
        </w:rPr>
        <w:t>sur</w:t>
      </w:r>
      <w:r w:rsidRPr="00B10036">
        <w:rPr>
          <w:bCs/>
          <w:noProof/>
          <w:szCs w:val="24"/>
          <w:shd w:val="clear" w:color="auto" w:fill="FFFFFF"/>
        </w:rPr>
        <w:t xml:space="preserve">owców. </w:t>
      </w:r>
      <w:r w:rsidRPr="00B10036">
        <w:rPr>
          <w:noProof/>
        </w:rPr>
        <w:t>Nowy program na rzecz konsumentów</w:t>
      </w:r>
      <w:r w:rsidRPr="00B10036">
        <w:rPr>
          <w:rStyle w:val="FootnoteReference"/>
          <w:rFonts w:eastAsia="Arial Unicode MS"/>
          <w:noProof/>
        </w:rPr>
        <w:footnoteReference w:id="31"/>
      </w:r>
      <w:r w:rsidRPr="00B10036">
        <w:rPr>
          <w:noProof/>
        </w:rPr>
        <w:t xml:space="preserve"> ma na celu wspieranie zielonej transformacji, aby wzmocnić pozycję konsumentów, zapewnić im wsparcie</w:t>
      </w:r>
      <w:r w:rsidR="00B10036" w:rsidRPr="00B10036">
        <w:rPr>
          <w:noProof/>
        </w:rPr>
        <w:t xml:space="preserve"> i</w:t>
      </w:r>
      <w:r w:rsidR="00B10036">
        <w:rPr>
          <w:noProof/>
        </w:rPr>
        <w:t> </w:t>
      </w:r>
      <w:r w:rsidR="00B10036" w:rsidRPr="00B10036">
        <w:rPr>
          <w:noProof/>
        </w:rPr>
        <w:t>poz</w:t>
      </w:r>
      <w:r w:rsidRPr="00B10036">
        <w:rPr>
          <w:noProof/>
        </w:rPr>
        <w:t>wolić im – niezależnie od ich sytuacji finansowej – pełnić aktywną rolę</w:t>
      </w:r>
      <w:r w:rsidR="00B10036" w:rsidRPr="00B10036">
        <w:rPr>
          <w:noProof/>
        </w:rPr>
        <w:t xml:space="preserve"> w</w:t>
      </w:r>
      <w:r w:rsidR="00B10036">
        <w:rPr>
          <w:noProof/>
        </w:rPr>
        <w:t> </w:t>
      </w:r>
      <w:r w:rsidR="00B10036" w:rsidRPr="00B10036">
        <w:rPr>
          <w:noProof/>
        </w:rPr>
        <w:t>pro</w:t>
      </w:r>
      <w:r w:rsidRPr="00B10036">
        <w:rPr>
          <w:noProof/>
        </w:rPr>
        <w:t>cesie zielonej transformacji bez narzucania im określonego stylu życia</w:t>
      </w:r>
      <w:r w:rsidR="00B10036" w:rsidRPr="00B10036">
        <w:rPr>
          <w:noProof/>
        </w:rPr>
        <w:t xml:space="preserve"> i</w:t>
      </w:r>
      <w:r w:rsidR="00B10036">
        <w:rPr>
          <w:noProof/>
        </w:rPr>
        <w:t> </w:t>
      </w:r>
      <w:r w:rsidR="00B10036" w:rsidRPr="00B10036">
        <w:rPr>
          <w:noProof/>
        </w:rPr>
        <w:t>bez</w:t>
      </w:r>
      <w:r w:rsidRPr="00B10036">
        <w:rPr>
          <w:noProof/>
        </w:rPr>
        <w:t xml:space="preserve"> dyskryminowania ich ze względu na pochodzenie społeczne</w:t>
      </w:r>
      <w:r w:rsidRPr="00B10036">
        <w:rPr>
          <w:rStyle w:val="FootnoteReference"/>
          <w:rFonts w:eastAsia="Arial Unicode MS"/>
          <w:noProof/>
        </w:rPr>
        <w:footnoteReference w:id="32"/>
      </w:r>
      <w:r w:rsidRPr="00B10036">
        <w:rPr>
          <w:noProof/>
        </w:rPr>
        <w:t xml:space="preserve">. </w:t>
      </w:r>
    </w:p>
    <w:p w14:paraId="7E8CACBF" w14:textId="14260ECA" w:rsidR="00E56653" w:rsidRPr="00B10036" w:rsidRDefault="00AA37F6" w:rsidP="009C2412">
      <w:pPr>
        <w:rPr>
          <w:noProof/>
        </w:rPr>
      </w:pPr>
      <w:r w:rsidRPr="00B10036">
        <w:rPr>
          <w:bCs/>
          <w:noProof/>
          <w:szCs w:val="24"/>
          <w:shd w:val="clear" w:color="auto" w:fill="FFFFFF"/>
        </w:rPr>
        <w:t>Ponadto</w:t>
      </w:r>
      <w:r w:rsidRPr="00B10036">
        <w:rPr>
          <w:noProof/>
        </w:rPr>
        <w:t xml:space="preserve"> długoterminowa wizja dla obszarów wiejskich UE</w:t>
      </w:r>
      <w:r w:rsidRPr="00B10036">
        <w:rPr>
          <w:rStyle w:val="FootnoteReference"/>
          <w:noProof/>
        </w:rPr>
        <w:footnoteReference w:id="33"/>
      </w:r>
      <w:r w:rsidRPr="00B10036">
        <w:rPr>
          <w:noProof/>
        </w:rPr>
        <w:t xml:space="preserve"> ma na celu uczynienie obszarów wiejskich silniejszymi, lepiej skomunikowanymi, odpornymi</w:t>
      </w:r>
      <w:r w:rsidR="00B10036" w:rsidRPr="00B10036">
        <w:rPr>
          <w:noProof/>
        </w:rPr>
        <w:t xml:space="preserve"> i</w:t>
      </w:r>
      <w:r w:rsidR="00B10036">
        <w:rPr>
          <w:noProof/>
        </w:rPr>
        <w:t> </w:t>
      </w:r>
      <w:r w:rsidR="00B10036" w:rsidRPr="00B10036">
        <w:rPr>
          <w:noProof/>
        </w:rPr>
        <w:t>zam</w:t>
      </w:r>
      <w:r w:rsidRPr="00B10036">
        <w:rPr>
          <w:noProof/>
        </w:rPr>
        <w:t>ożnymi, również poprzez zieloną transformację. Co więcej,</w:t>
      </w:r>
      <w:r w:rsidR="00B10036" w:rsidRPr="00B10036">
        <w:rPr>
          <w:noProof/>
        </w:rPr>
        <w:t xml:space="preserve"> w</w:t>
      </w:r>
      <w:r w:rsidR="00B10036">
        <w:rPr>
          <w:noProof/>
        </w:rPr>
        <w:t> </w:t>
      </w:r>
      <w:r w:rsidR="00B10036" w:rsidRPr="00B10036">
        <w:rPr>
          <w:noProof/>
        </w:rPr>
        <w:t>uni</w:t>
      </w:r>
      <w:r w:rsidRPr="00B10036">
        <w:rPr>
          <w:noProof/>
        </w:rPr>
        <w:t>jnych ramach strategicznych na rzecz równouprawnienia, włączenia społecznego</w:t>
      </w:r>
      <w:r w:rsidR="00B10036" w:rsidRPr="00B10036">
        <w:rPr>
          <w:noProof/>
        </w:rPr>
        <w:t xml:space="preserve"> i</w:t>
      </w:r>
      <w:r w:rsidR="00B10036">
        <w:rPr>
          <w:noProof/>
        </w:rPr>
        <w:t> </w:t>
      </w:r>
      <w:r w:rsidR="00B10036" w:rsidRPr="00B10036">
        <w:rPr>
          <w:noProof/>
        </w:rPr>
        <w:t>udz</w:t>
      </w:r>
      <w:r w:rsidRPr="00B10036">
        <w:rPr>
          <w:noProof/>
        </w:rPr>
        <w:t>iału Romów na lata 2020–2030 wyznaczono na szczeblu UE siedem celów na okres do</w:t>
      </w:r>
      <w:r w:rsidR="00B10036" w:rsidRPr="00B10036">
        <w:rPr>
          <w:noProof/>
        </w:rPr>
        <w:t> </w:t>
      </w:r>
      <w:r w:rsidRPr="00B10036">
        <w:rPr>
          <w:noProof/>
        </w:rPr>
        <w:t>2030</w:t>
      </w:r>
      <w:r w:rsidR="00B10036" w:rsidRPr="00B10036">
        <w:rPr>
          <w:noProof/>
        </w:rPr>
        <w:t> </w:t>
      </w:r>
      <w:r w:rsidRPr="00B10036">
        <w:rPr>
          <w:noProof/>
        </w:rPr>
        <w:t>r.,</w:t>
      </w:r>
      <w:r w:rsidR="00B10036" w:rsidRPr="00B10036">
        <w:rPr>
          <w:noProof/>
        </w:rPr>
        <w:t xml:space="preserve"> w</w:t>
      </w:r>
      <w:r w:rsidR="00B10036">
        <w:rPr>
          <w:noProof/>
        </w:rPr>
        <w:t> </w:t>
      </w:r>
      <w:r w:rsidR="00B10036" w:rsidRPr="00B10036">
        <w:rPr>
          <w:noProof/>
        </w:rPr>
        <w:t>tym</w:t>
      </w:r>
      <w:r w:rsidRPr="00B10036">
        <w:rPr>
          <w:noProof/>
        </w:rPr>
        <w:t xml:space="preserve"> zwiększenie skutecznego</w:t>
      </w:r>
      <w:r w:rsidR="00B10036" w:rsidRPr="00B10036">
        <w:rPr>
          <w:noProof/>
        </w:rPr>
        <w:t xml:space="preserve"> i</w:t>
      </w:r>
      <w:r w:rsidR="00B10036">
        <w:rPr>
          <w:noProof/>
        </w:rPr>
        <w:t> </w:t>
      </w:r>
      <w:r w:rsidR="00B10036" w:rsidRPr="00B10036">
        <w:rPr>
          <w:noProof/>
        </w:rPr>
        <w:t>rów</w:t>
      </w:r>
      <w:r w:rsidRPr="00B10036">
        <w:rPr>
          <w:noProof/>
        </w:rPr>
        <w:t>nego dostępu do odpowiedniego, wolnego od segregacji zakwaterowania</w:t>
      </w:r>
      <w:r w:rsidR="00B10036" w:rsidRPr="00B10036">
        <w:rPr>
          <w:noProof/>
        </w:rPr>
        <w:t xml:space="preserve"> i</w:t>
      </w:r>
      <w:r w:rsidR="00B10036">
        <w:rPr>
          <w:noProof/>
        </w:rPr>
        <w:t> </w:t>
      </w:r>
      <w:r w:rsidR="00B10036" w:rsidRPr="00B10036">
        <w:rPr>
          <w:noProof/>
        </w:rPr>
        <w:t>pod</w:t>
      </w:r>
      <w:r w:rsidRPr="00B10036">
        <w:rPr>
          <w:noProof/>
        </w:rPr>
        <w:t>stawowych usług</w:t>
      </w:r>
      <w:r w:rsidRPr="00B10036">
        <w:rPr>
          <w:rStyle w:val="FootnoteReference"/>
          <w:noProof/>
        </w:rPr>
        <w:footnoteReference w:id="34"/>
      </w:r>
      <w:r w:rsidRPr="00B10036">
        <w:rPr>
          <w:noProof/>
        </w:rPr>
        <w:t>.</w:t>
      </w:r>
    </w:p>
    <w:p w14:paraId="75CC1E22" w14:textId="4A957D02" w:rsidR="00002649" w:rsidRPr="00B10036" w:rsidRDefault="00002649" w:rsidP="00002649">
      <w:pPr>
        <w:pStyle w:val="ManualHeading2"/>
        <w:rPr>
          <w:rFonts w:eastAsia="Arial Unicode MS"/>
          <w:noProof/>
        </w:rPr>
      </w:pPr>
      <w:r w:rsidRPr="00B10036">
        <w:rPr>
          <w:noProof/>
          <w:color w:val="000000"/>
          <w:bdr w:val="nil"/>
        </w:rPr>
        <w:t>•</w:t>
      </w:r>
      <w:r w:rsidRPr="00B10036">
        <w:rPr>
          <w:noProof/>
        </w:rPr>
        <w:tab/>
        <w:t>Spójność</w:t>
      </w:r>
      <w:r w:rsidR="00B10036" w:rsidRPr="00B10036">
        <w:rPr>
          <w:noProof/>
        </w:rPr>
        <w:t xml:space="preserve"> z</w:t>
      </w:r>
      <w:r w:rsidR="00B10036">
        <w:rPr>
          <w:noProof/>
        </w:rPr>
        <w:t> </w:t>
      </w:r>
      <w:r w:rsidR="00B10036" w:rsidRPr="00B10036">
        <w:rPr>
          <w:noProof/>
        </w:rPr>
        <w:t>inn</w:t>
      </w:r>
      <w:r w:rsidRPr="00B10036">
        <w:rPr>
          <w:noProof/>
        </w:rPr>
        <w:t>ymi politykami Unii</w:t>
      </w:r>
    </w:p>
    <w:p w14:paraId="32ACFD35" w14:textId="14AD27E8" w:rsidR="005C0F00" w:rsidRPr="00B10036" w:rsidRDefault="00AC72B0" w:rsidP="00002649">
      <w:pPr>
        <w:pBdr>
          <w:top w:val="nil"/>
          <w:left w:val="nil"/>
          <w:bottom w:val="nil"/>
          <w:right w:val="nil"/>
          <w:between w:val="nil"/>
          <w:bar w:val="nil"/>
        </w:pBdr>
        <w:spacing w:before="0" w:after="240"/>
        <w:rPr>
          <w:rFonts w:eastAsia="Arial Unicode MS"/>
          <w:noProof/>
        </w:rPr>
      </w:pPr>
      <w:r w:rsidRPr="00B10036">
        <w:rPr>
          <w:noProof/>
        </w:rPr>
        <w:t>Sprawiedliwość społeczną uwzględniono</w:t>
      </w:r>
      <w:r w:rsidR="00B10036" w:rsidRPr="00B10036">
        <w:rPr>
          <w:noProof/>
        </w:rPr>
        <w:t xml:space="preserve"> w</w:t>
      </w:r>
      <w:r w:rsidR="00B10036">
        <w:rPr>
          <w:noProof/>
        </w:rPr>
        <w:t> </w:t>
      </w:r>
      <w:r w:rsidR="00B10036" w:rsidRPr="00B10036">
        <w:rPr>
          <w:noProof/>
        </w:rPr>
        <w:t>pro</w:t>
      </w:r>
      <w:r w:rsidRPr="00B10036">
        <w:rPr>
          <w:noProof/>
        </w:rPr>
        <w:t>jekcie wniosków ustawodawczych</w:t>
      </w:r>
      <w:r w:rsidR="00B10036" w:rsidRPr="00B10036">
        <w:rPr>
          <w:noProof/>
        </w:rPr>
        <w:t xml:space="preserve"> w</w:t>
      </w:r>
      <w:r w:rsidR="00B10036">
        <w:rPr>
          <w:noProof/>
        </w:rPr>
        <w:t> </w:t>
      </w:r>
      <w:r w:rsidR="00B10036" w:rsidRPr="00B10036">
        <w:rPr>
          <w:noProof/>
        </w:rPr>
        <w:t>ram</w:t>
      </w:r>
      <w:r w:rsidRPr="00B10036">
        <w:rPr>
          <w:noProof/>
        </w:rPr>
        <w:t>ach pakietu „Gotowi na</w:t>
      </w:r>
      <w:r w:rsidR="00B10036" w:rsidRPr="00B10036">
        <w:rPr>
          <w:noProof/>
        </w:rPr>
        <w:t> </w:t>
      </w:r>
      <w:r w:rsidRPr="00B10036">
        <w:rPr>
          <w:noProof/>
        </w:rPr>
        <w:t>55”</w:t>
      </w:r>
      <w:r w:rsidR="00B10036" w:rsidRPr="00B10036">
        <w:rPr>
          <w:noProof/>
        </w:rPr>
        <w:t>. W</w:t>
      </w:r>
      <w:r w:rsidR="00B10036">
        <w:rPr>
          <w:noProof/>
        </w:rPr>
        <w:t> </w:t>
      </w:r>
      <w:r w:rsidR="00B10036" w:rsidRPr="00B10036">
        <w:rPr>
          <w:noProof/>
        </w:rPr>
        <w:t>szc</w:t>
      </w:r>
      <w:r w:rsidRPr="00B10036">
        <w:rPr>
          <w:noProof/>
        </w:rPr>
        <w:t>zególności proponowana zmiana dyrektywy</w:t>
      </w:r>
      <w:r w:rsidR="00B10036" w:rsidRPr="00B10036">
        <w:rPr>
          <w:noProof/>
        </w:rPr>
        <w:t xml:space="preserve"> w</w:t>
      </w:r>
      <w:r w:rsidR="00B10036">
        <w:rPr>
          <w:noProof/>
        </w:rPr>
        <w:t> </w:t>
      </w:r>
      <w:r w:rsidR="00B10036" w:rsidRPr="00B10036">
        <w:rPr>
          <w:noProof/>
        </w:rPr>
        <w:t>spr</w:t>
      </w:r>
      <w:r w:rsidRPr="00B10036">
        <w:rPr>
          <w:noProof/>
        </w:rPr>
        <w:t>awie opodatkowania energii</w:t>
      </w:r>
      <w:r w:rsidRPr="00B10036">
        <w:rPr>
          <w:rStyle w:val="FootnoteReference"/>
          <w:rFonts w:eastAsia="Arial Unicode MS"/>
          <w:noProof/>
        </w:rPr>
        <w:footnoteReference w:id="35"/>
      </w:r>
      <w:r w:rsidRPr="00B10036">
        <w:rPr>
          <w:noProof/>
        </w:rPr>
        <w:t xml:space="preserve"> oferuje możliwość tymczasowego zwolnienia gospodarstw domowych znajdujących się</w:t>
      </w:r>
      <w:r w:rsidR="00B10036" w:rsidRPr="00B10036">
        <w:rPr>
          <w:noProof/>
        </w:rPr>
        <w:t xml:space="preserve"> w</w:t>
      </w:r>
      <w:r w:rsidR="00B10036">
        <w:rPr>
          <w:noProof/>
        </w:rPr>
        <w:t> </w:t>
      </w:r>
      <w:r w:rsidR="00B10036" w:rsidRPr="00B10036">
        <w:rPr>
          <w:noProof/>
        </w:rPr>
        <w:t>tru</w:t>
      </w:r>
      <w:r w:rsidRPr="00B10036">
        <w:rPr>
          <w:noProof/>
        </w:rPr>
        <w:t>dnej sytuacji</w:t>
      </w:r>
      <w:r w:rsidR="00B10036" w:rsidRPr="00B10036">
        <w:rPr>
          <w:noProof/>
        </w:rPr>
        <w:t xml:space="preserve"> z</w:t>
      </w:r>
      <w:r w:rsidR="00B10036">
        <w:rPr>
          <w:noProof/>
        </w:rPr>
        <w:t> </w:t>
      </w:r>
      <w:r w:rsidR="00B10036" w:rsidRPr="00B10036">
        <w:rPr>
          <w:noProof/>
        </w:rPr>
        <w:t>wyż</w:t>
      </w:r>
      <w:r w:rsidRPr="00B10036">
        <w:rPr>
          <w:noProof/>
        </w:rPr>
        <w:t>szych podatków energetycznych. Proponowane przekształcenia dyrektywy</w:t>
      </w:r>
      <w:r w:rsidR="00B10036" w:rsidRPr="00B10036">
        <w:rPr>
          <w:noProof/>
        </w:rPr>
        <w:t xml:space="preserve"> w</w:t>
      </w:r>
      <w:r w:rsidR="00B10036">
        <w:rPr>
          <w:noProof/>
        </w:rPr>
        <w:t> </w:t>
      </w:r>
      <w:r w:rsidR="00B10036" w:rsidRPr="00B10036">
        <w:rPr>
          <w:noProof/>
        </w:rPr>
        <w:t>spr</w:t>
      </w:r>
      <w:r w:rsidRPr="00B10036">
        <w:rPr>
          <w:noProof/>
        </w:rPr>
        <w:t>awie efektywności energetycznej</w:t>
      </w:r>
      <w:r w:rsidRPr="00B10036">
        <w:rPr>
          <w:rStyle w:val="FootnoteReference"/>
          <w:rFonts w:eastAsia="Arial Unicode MS"/>
          <w:noProof/>
        </w:rPr>
        <w:footnoteReference w:id="36"/>
      </w:r>
      <w:r w:rsidR="00B10036" w:rsidRPr="00B10036">
        <w:rPr>
          <w:noProof/>
        </w:rPr>
        <w:t xml:space="preserve"> i</w:t>
      </w:r>
      <w:r w:rsidR="00B10036">
        <w:rPr>
          <w:noProof/>
        </w:rPr>
        <w:t> </w:t>
      </w:r>
      <w:r w:rsidR="00B10036" w:rsidRPr="00B10036">
        <w:rPr>
          <w:noProof/>
        </w:rPr>
        <w:t>dyr</w:t>
      </w:r>
      <w:r w:rsidRPr="00B10036">
        <w:rPr>
          <w:noProof/>
        </w:rPr>
        <w:t>ektywy</w:t>
      </w:r>
      <w:r w:rsidR="00B10036" w:rsidRPr="00B10036">
        <w:rPr>
          <w:noProof/>
        </w:rPr>
        <w:t xml:space="preserve"> w</w:t>
      </w:r>
      <w:r w:rsidR="00B10036">
        <w:rPr>
          <w:noProof/>
        </w:rPr>
        <w:t> </w:t>
      </w:r>
      <w:r w:rsidR="00B10036" w:rsidRPr="00B10036">
        <w:rPr>
          <w:noProof/>
        </w:rPr>
        <w:t>spr</w:t>
      </w:r>
      <w:r w:rsidRPr="00B10036">
        <w:rPr>
          <w:noProof/>
        </w:rPr>
        <w:t>awie charakterystyki energetycznej budynków</w:t>
      </w:r>
      <w:r w:rsidRPr="00B10036">
        <w:rPr>
          <w:rStyle w:val="FootnoteReference"/>
          <w:rFonts w:eastAsia="Arial Unicode MS"/>
          <w:noProof/>
        </w:rPr>
        <w:footnoteReference w:id="37"/>
      </w:r>
      <w:r w:rsidRPr="00B10036">
        <w:rPr>
          <w:noProof/>
        </w:rPr>
        <w:t xml:space="preserve"> oraz proponowany przegląd dyrektywy</w:t>
      </w:r>
      <w:r w:rsidR="00B10036" w:rsidRPr="00B10036">
        <w:rPr>
          <w:noProof/>
        </w:rPr>
        <w:t xml:space="preserve"> w</w:t>
      </w:r>
      <w:r w:rsidR="00B10036">
        <w:rPr>
          <w:noProof/>
        </w:rPr>
        <w:t> </w:t>
      </w:r>
      <w:r w:rsidR="00B10036" w:rsidRPr="00B10036">
        <w:rPr>
          <w:noProof/>
        </w:rPr>
        <w:t>spr</w:t>
      </w:r>
      <w:r w:rsidRPr="00B10036">
        <w:rPr>
          <w:noProof/>
        </w:rPr>
        <w:t>awie energii odnawialnej</w:t>
      </w:r>
      <w:r w:rsidRPr="00B10036">
        <w:rPr>
          <w:rStyle w:val="FootnoteReference"/>
          <w:rFonts w:eastAsia="Arial Unicode MS"/>
          <w:noProof/>
        </w:rPr>
        <w:footnoteReference w:id="38"/>
      </w:r>
      <w:r w:rsidRPr="00B10036">
        <w:rPr>
          <w:noProof/>
        </w:rPr>
        <w:t xml:space="preserve"> stymulują oszczędności energii, które mogą być skutecznymi instrumentami łagodzenia ubóstwa energetycznego. Ponadto zastosowanie zasady „efektywność energetyczna przede wszystkim” zapewni, aby grupy defaworyzowane skorzystały na tym, że rozwiązania</w:t>
      </w:r>
      <w:r w:rsidR="00B10036" w:rsidRPr="00B10036">
        <w:rPr>
          <w:noProof/>
        </w:rPr>
        <w:t xml:space="preserve"> w</w:t>
      </w:r>
      <w:r w:rsidR="00B10036">
        <w:rPr>
          <w:noProof/>
        </w:rPr>
        <w:t> </w:t>
      </w:r>
      <w:r w:rsidR="00B10036" w:rsidRPr="00B10036">
        <w:rPr>
          <w:noProof/>
        </w:rPr>
        <w:t>zak</w:t>
      </w:r>
      <w:r w:rsidRPr="00B10036">
        <w:rPr>
          <w:noProof/>
        </w:rPr>
        <w:t>resie efektywności energetycznej będą traktowane jako pierwsza opcja</w:t>
      </w:r>
      <w:r w:rsidR="00B10036" w:rsidRPr="00B10036">
        <w:rPr>
          <w:noProof/>
        </w:rPr>
        <w:t xml:space="preserve"> w</w:t>
      </w:r>
      <w:r w:rsidR="00B10036">
        <w:rPr>
          <w:noProof/>
        </w:rPr>
        <w:t> </w:t>
      </w:r>
      <w:r w:rsidR="00B10036" w:rsidRPr="00B10036">
        <w:rPr>
          <w:noProof/>
        </w:rPr>
        <w:t>dec</w:t>
      </w:r>
      <w:r w:rsidRPr="00B10036">
        <w:rPr>
          <w:noProof/>
        </w:rPr>
        <w:t>yzjach politycznych, planistycznych</w:t>
      </w:r>
      <w:r w:rsidR="00B10036" w:rsidRPr="00B10036">
        <w:rPr>
          <w:noProof/>
        </w:rPr>
        <w:t xml:space="preserve"> i</w:t>
      </w:r>
      <w:r w:rsidR="00B10036">
        <w:rPr>
          <w:noProof/>
        </w:rPr>
        <w:t> </w:t>
      </w:r>
      <w:r w:rsidR="00B10036" w:rsidRPr="00B10036">
        <w:rPr>
          <w:noProof/>
        </w:rPr>
        <w:t>inw</w:t>
      </w:r>
      <w:r w:rsidRPr="00B10036">
        <w:rPr>
          <w:noProof/>
        </w:rPr>
        <w:t>estycyjnych oraz</w:t>
      </w:r>
      <w:r w:rsidR="00B10036" w:rsidRPr="00B10036">
        <w:rPr>
          <w:noProof/>
        </w:rPr>
        <w:t xml:space="preserve"> w</w:t>
      </w:r>
      <w:r w:rsidR="00B10036">
        <w:rPr>
          <w:noProof/>
        </w:rPr>
        <w:t> </w:t>
      </w:r>
      <w:r w:rsidR="00B10036" w:rsidRPr="00B10036">
        <w:rPr>
          <w:noProof/>
        </w:rPr>
        <w:t>inn</w:t>
      </w:r>
      <w:r w:rsidRPr="00B10036">
        <w:rPr>
          <w:noProof/>
        </w:rPr>
        <w:t>ych obszarach polityki. Wniosek</w:t>
      </w:r>
      <w:r w:rsidR="00B10036" w:rsidRPr="00B10036">
        <w:rPr>
          <w:noProof/>
        </w:rPr>
        <w:t xml:space="preserve"> o</w:t>
      </w:r>
      <w:r w:rsidR="00B10036">
        <w:rPr>
          <w:noProof/>
        </w:rPr>
        <w:t> </w:t>
      </w:r>
      <w:r w:rsidR="00B10036" w:rsidRPr="00B10036">
        <w:rPr>
          <w:noProof/>
        </w:rPr>
        <w:t>prz</w:t>
      </w:r>
      <w:r w:rsidRPr="00B10036">
        <w:rPr>
          <w:noProof/>
        </w:rPr>
        <w:t>ekształcenie dyrektywy</w:t>
      </w:r>
      <w:r w:rsidR="00B10036" w:rsidRPr="00B10036">
        <w:rPr>
          <w:noProof/>
        </w:rPr>
        <w:t xml:space="preserve"> w</w:t>
      </w:r>
      <w:r w:rsidR="00B10036">
        <w:rPr>
          <w:noProof/>
        </w:rPr>
        <w:t> </w:t>
      </w:r>
      <w:r w:rsidR="00B10036" w:rsidRPr="00B10036">
        <w:rPr>
          <w:noProof/>
        </w:rPr>
        <w:t>spr</w:t>
      </w:r>
      <w:r w:rsidRPr="00B10036">
        <w:rPr>
          <w:noProof/>
        </w:rPr>
        <w:t>awie efektywności energetycznej zawiera ponadto szczególne zobowiązanie państw członkowskich do wspierania gospodarstw domowych dotkniętych ubóstwem energetycznym</w:t>
      </w:r>
      <w:r w:rsidR="00B10036" w:rsidRPr="00B10036">
        <w:rPr>
          <w:noProof/>
        </w:rPr>
        <w:t xml:space="preserve"> i</w:t>
      </w:r>
      <w:r w:rsidR="00B10036">
        <w:rPr>
          <w:noProof/>
        </w:rPr>
        <w:t> </w:t>
      </w:r>
      <w:r w:rsidR="00B10036" w:rsidRPr="00B10036">
        <w:rPr>
          <w:noProof/>
        </w:rPr>
        <w:t>zna</w:t>
      </w:r>
      <w:r w:rsidRPr="00B10036">
        <w:rPr>
          <w:noProof/>
        </w:rPr>
        <w:t>jdujących się</w:t>
      </w:r>
      <w:r w:rsidR="00B10036" w:rsidRPr="00B10036">
        <w:rPr>
          <w:noProof/>
        </w:rPr>
        <w:t xml:space="preserve"> w</w:t>
      </w:r>
      <w:r w:rsidR="00B10036">
        <w:rPr>
          <w:noProof/>
        </w:rPr>
        <w:t> </w:t>
      </w:r>
      <w:r w:rsidR="00B10036" w:rsidRPr="00B10036">
        <w:rPr>
          <w:noProof/>
        </w:rPr>
        <w:t>tru</w:t>
      </w:r>
      <w:r w:rsidRPr="00B10036">
        <w:rPr>
          <w:noProof/>
        </w:rPr>
        <w:t>dnej sytuacji</w:t>
      </w:r>
      <w:r w:rsidR="00B10036" w:rsidRPr="00B10036">
        <w:rPr>
          <w:noProof/>
        </w:rPr>
        <w:t xml:space="preserve"> w</w:t>
      </w:r>
      <w:r w:rsidR="00B10036">
        <w:rPr>
          <w:noProof/>
        </w:rPr>
        <w:t> </w:t>
      </w:r>
      <w:r w:rsidR="00B10036" w:rsidRPr="00B10036">
        <w:rPr>
          <w:noProof/>
        </w:rPr>
        <w:t>osi</w:t>
      </w:r>
      <w:r w:rsidRPr="00B10036">
        <w:rPr>
          <w:noProof/>
        </w:rPr>
        <w:t>ąganiu oszczędności energii. Proponowane rozporządzenie</w:t>
      </w:r>
      <w:r w:rsidR="00B10036" w:rsidRPr="00B10036">
        <w:rPr>
          <w:noProof/>
        </w:rPr>
        <w:t xml:space="preserve"> w</w:t>
      </w:r>
      <w:r w:rsidR="00B10036">
        <w:rPr>
          <w:noProof/>
        </w:rPr>
        <w:t> </w:t>
      </w:r>
      <w:r w:rsidR="00B10036" w:rsidRPr="00B10036">
        <w:rPr>
          <w:noProof/>
        </w:rPr>
        <w:t>spr</w:t>
      </w:r>
      <w:r w:rsidRPr="00B10036">
        <w:rPr>
          <w:noProof/>
        </w:rPr>
        <w:t>awie infrastruktury paliw alternatywnych</w:t>
      </w:r>
      <w:r w:rsidRPr="00B10036">
        <w:rPr>
          <w:rStyle w:val="FootnoteReference"/>
          <w:rFonts w:eastAsia="Arial Unicode MS"/>
          <w:noProof/>
        </w:rPr>
        <w:footnoteReference w:id="39"/>
      </w:r>
      <w:r w:rsidRPr="00B10036">
        <w:rPr>
          <w:noProof/>
        </w:rPr>
        <w:t xml:space="preserve"> pozwoli zapewnić, aby infrastruktura ładowania</w:t>
      </w:r>
      <w:r w:rsidR="00B10036" w:rsidRPr="00B10036">
        <w:rPr>
          <w:noProof/>
        </w:rPr>
        <w:t xml:space="preserve"> i</w:t>
      </w:r>
      <w:r w:rsidR="00B10036">
        <w:rPr>
          <w:noProof/>
        </w:rPr>
        <w:t> </w:t>
      </w:r>
      <w:r w:rsidR="00B10036" w:rsidRPr="00B10036">
        <w:rPr>
          <w:noProof/>
        </w:rPr>
        <w:t>tan</w:t>
      </w:r>
      <w:r w:rsidRPr="00B10036">
        <w:rPr>
          <w:noProof/>
        </w:rPr>
        <w:t>kowania dla pojazdów bezemisyjnych dotarła do wszystkich części Europy</w:t>
      </w:r>
      <w:r w:rsidR="00B10036" w:rsidRPr="00B10036">
        <w:rPr>
          <w:noProof/>
        </w:rPr>
        <w:t xml:space="preserve"> i</w:t>
      </w:r>
      <w:r w:rsidR="00B10036">
        <w:rPr>
          <w:noProof/>
        </w:rPr>
        <w:t> </w:t>
      </w:r>
      <w:r w:rsidR="00B10036" w:rsidRPr="00B10036">
        <w:rPr>
          <w:noProof/>
        </w:rPr>
        <w:t>był</w:t>
      </w:r>
      <w:r w:rsidRPr="00B10036">
        <w:rPr>
          <w:noProof/>
        </w:rPr>
        <w:t>a dostępna dla wszystkich.</w:t>
      </w:r>
    </w:p>
    <w:p w14:paraId="317AA1A9" w14:textId="7C17E8D0" w:rsidR="00FF1321"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Ponadto, chociaż każde państwo członkowskie będzie musiało przyczynić się do realizacji zwiększonego celu redukcji emisji, uwzględnione zostaną różne punkty wyjścia</w:t>
      </w:r>
      <w:r w:rsidR="00B10036" w:rsidRPr="00B10036">
        <w:rPr>
          <w:noProof/>
        </w:rPr>
        <w:t xml:space="preserve"> i</w:t>
      </w:r>
      <w:r w:rsidR="00B10036">
        <w:rPr>
          <w:noProof/>
        </w:rPr>
        <w:t> </w:t>
      </w:r>
      <w:r w:rsidR="00B10036" w:rsidRPr="00B10036">
        <w:rPr>
          <w:noProof/>
        </w:rPr>
        <w:t>róż</w:t>
      </w:r>
      <w:r w:rsidRPr="00B10036">
        <w:rPr>
          <w:noProof/>
        </w:rPr>
        <w:t>ne możliwości. Instrumenty takie jak rozporządzenie</w:t>
      </w:r>
      <w:r w:rsidR="00B10036" w:rsidRPr="00B10036">
        <w:rPr>
          <w:noProof/>
        </w:rPr>
        <w:t xml:space="preserve"> w</w:t>
      </w:r>
      <w:r w:rsidR="00B10036">
        <w:rPr>
          <w:noProof/>
        </w:rPr>
        <w:t> </w:t>
      </w:r>
      <w:r w:rsidR="00B10036" w:rsidRPr="00B10036">
        <w:rPr>
          <w:noProof/>
        </w:rPr>
        <w:t>spr</w:t>
      </w:r>
      <w:r w:rsidRPr="00B10036">
        <w:rPr>
          <w:noProof/>
        </w:rPr>
        <w:t>awie wspólnego wysiłku redukcyjnego</w:t>
      </w:r>
      <w:r w:rsidRPr="00B10036">
        <w:rPr>
          <w:rStyle w:val="FootnoteReference"/>
          <w:rFonts w:eastAsia="Arial Unicode MS"/>
          <w:noProof/>
        </w:rPr>
        <w:footnoteReference w:id="40"/>
      </w:r>
      <w:r w:rsidRPr="00B10036">
        <w:rPr>
          <w:noProof/>
        </w:rPr>
        <w:t xml:space="preserve"> mają na celu sprawiedliwy podział wysiłków między państwa członkowskie, aby zapewnić solidarność między państwami członkowskimi</w:t>
      </w:r>
      <w:r w:rsidR="00B10036" w:rsidRPr="00B10036">
        <w:rPr>
          <w:noProof/>
        </w:rPr>
        <w:t xml:space="preserve"> i</w:t>
      </w:r>
      <w:r w:rsidR="00B10036">
        <w:rPr>
          <w:noProof/>
        </w:rPr>
        <w:t> </w:t>
      </w:r>
      <w:r w:rsidR="00B10036" w:rsidRPr="00B10036">
        <w:rPr>
          <w:noProof/>
        </w:rPr>
        <w:t>reg</w:t>
      </w:r>
      <w:r w:rsidRPr="00B10036">
        <w:rPr>
          <w:noProof/>
        </w:rPr>
        <w:t>ionami. Fundusz modernizacyjny</w:t>
      </w:r>
      <w:r w:rsidRPr="00B10036">
        <w:rPr>
          <w:rStyle w:val="FootnoteReference"/>
          <w:rFonts w:eastAsia="Arial Unicode MS"/>
          <w:noProof/>
        </w:rPr>
        <w:footnoteReference w:id="41"/>
      </w:r>
      <w:r w:rsidRPr="00B10036">
        <w:rPr>
          <w:noProof/>
        </w:rPr>
        <w:t xml:space="preserve"> wspiera dziesięć państw członkowskich UE</w:t>
      </w:r>
      <w:r w:rsidR="00B10036" w:rsidRPr="00B10036">
        <w:rPr>
          <w:noProof/>
        </w:rPr>
        <w:t xml:space="preserve"> o</w:t>
      </w:r>
      <w:r w:rsidR="00B10036">
        <w:rPr>
          <w:noProof/>
        </w:rPr>
        <w:t> </w:t>
      </w:r>
      <w:r w:rsidR="00B10036" w:rsidRPr="00B10036">
        <w:rPr>
          <w:noProof/>
        </w:rPr>
        <w:t>niż</w:t>
      </w:r>
      <w:r w:rsidRPr="00B10036">
        <w:rPr>
          <w:noProof/>
        </w:rPr>
        <w:t>szych dochodach</w:t>
      </w:r>
      <w:r w:rsidR="00B10036" w:rsidRPr="00B10036">
        <w:rPr>
          <w:noProof/>
        </w:rPr>
        <w:t xml:space="preserve"> w</w:t>
      </w:r>
      <w:r w:rsidR="00B10036">
        <w:rPr>
          <w:noProof/>
        </w:rPr>
        <w:t> </w:t>
      </w:r>
      <w:r w:rsidR="00B10036" w:rsidRPr="00B10036">
        <w:rPr>
          <w:noProof/>
        </w:rPr>
        <w:t>tra</w:t>
      </w:r>
      <w:r w:rsidRPr="00B10036">
        <w:rPr>
          <w:noProof/>
        </w:rPr>
        <w:t>nsformacji</w:t>
      </w:r>
      <w:r w:rsidR="00B10036" w:rsidRPr="00B10036">
        <w:rPr>
          <w:noProof/>
        </w:rPr>
        <w:t xml:space="preserve"> w</w:t>
      </w:r>
      <w:r w:rsidR="00B10036">
        <w:rPr>
          <w:noProof/>
        </w:rPr>
        <w:t> </w:t>
      </w:r>
      <w:r w:rsidR="00B10036" w:rsidRPr="00B10036">
        <w:rPr>
          <w:noProof/>
        </w:rPr>
        <w:t>kie</w:t>
      </w:r>
      <w:r w:rsidRPr="00B10036">
        <w:rPr>
          <w:noProof/>
        </w:rPr>
        <w:t>runku neutralności klimatycznej poprzez pomoc</w:t>
      </w:r>
      <w:r w:rsidR="00B10036" w:rsidRPr="00B10036">
        <w:rPr>
          <w:noProof/>
        </w:rPr>
        <w:t xml:space="preserve"> w</w:t>
      </w:r>
      <w:r w:rsidR="00B10036">
        <w:rPr>
          <w:noProof/>
        </w:rPr>
        <w:t> </w:t>
      </w:r>
      <w:r w:rsidR="00B10036" w:rsidRPr="00B10036">
        <w:rPr>
          <w:noProof/>
        </w:rPr>
        <w:t>mod</w:t>
      </w:r>
      <w:r w:rsidRPr="00B10036">
        <w:rPr>
          <w:noProof/>
        </w:rPr>
        <w:t>ernizacji ich systemów energetycznych</w:t>
      </w:r>
      <w:r w:rsidR="00B10036" w:rsidRPr="00B10036">
        <w:rPr>
          <w:noProof/>
        </w:rPr>
        <w:t xml:space="preserve"> i</w:t>
      </w:r>
      <w:r w:rsidR="00B10036">
        <w:rPr>
          <w:noProof/>
        </w:rPr>
        <w:t> </w:t>
      </w:r>
      <w:r w:rsidR="00B10036" w:rsidRPr="00B10036">
        <w:rPr>
          <w:noProof/>
        </w:rPr>
        <w:t>pop</w:t>
      </w:r>
      <w:r w:rsidRPr="00B10036">
        <w:rPr>
          <w:noProof/>
        </w:rPr>
        <w:t>rawę efektywności energetycznej. Fundusz na rzecz Sprawiedliwej Transformacji</w:t>
      </w:r>
      <w:r w:rsidRPr="00B10036">
        <w:rPr>
          <w:rStyle w:val="FootnoteReference"/>
          <w:rFonts w:eastAsia="Arial Unicode MS"/>
          <w:noProof/>
        </w:rPr>
        <w:footnoteReference w:id="42"/>
      </w:r>
      <w:r w:rsidRPr="00B10036">
        <w:rPr>
          <w:noProof/>
        </w:rPr>
        <w:t xml:space="preserve"> opracowano</w:t>
      </w:r>
      <w:r w:rsidR="00B10036" w:rsidRPr="00B10036">
        <w:rPr>
          <w:noProof/>
        </w:rPr>
        <w:t xml:space="preserve"> z</w:t>
      </w:r>
      <w:r w:rsidR="00B10036">
        <w:rPr>
          <w:noProof/>
        </w:rPr>
        <w:t> </w:t>
      </w:r>
      <w:r w:rsidR="00B10036" w:rsidRPr="00B10036">
        <w:rPr>
          <w:noProof/>
        </w:rPr>
        <w:t>myś</w:t>
      </w:r>
      <w:r w:rsidRPr="00B10036">
        <w:rPr>
          <w:noProof/>
        </w:rPr>
        <w:t>lą</w:t>
      </w:r>
      <w:r w:rsidR="00B10036" w:rsidRPr="00B10036">
        <w:rPr>
          <w:noProof/>
        </w:rPr>
        <w:t xml:space="preserve"> o</w:t>
      </w:r>
      <w:r w:rsidR="00B10036">
        <w:rPr>
          <w:noProof/>
        </w:rPr>
        <w:t> </w:t>
      </w:r>
      <w:r w:rsidR="00B10036" w:rsidRPr="00B10036">
        <w:rPr>
          <w:noProof/>
        </w:rPr>
        <w:t>zaj</w:t>
      </w:r>
      <w:r w:rsidRPr="00B10036">
        <w:rPr>
          <w:noProof/>
        </w:rPr>
        <w:t>ęciu się społecznymi</w:t>
      </w:r>
      <w:r w:rsidR="00B10036" w:rsidRPr="00B10036">
        <w:rPr>
          <w:noProof/>
        </w:rPr>
        <w:t xml:space="preserve"> i</w:t>
      </w:r>
      <w:r w:rsidR="00B10036">
        <w:rPr>
          <w:noProof/>
        </w:rPr>
        <w:t> </w:t>
      </w:r>
      <w:r w:rsidR="00B10036" w:rsidRPr="00B10036">
        <w:rPr>
          <w:noProof/>
        </w:rPr>
        <w:t>gos</w:t>
      </w:r>
      <w:r w:rsidRPr="00B10036">
        <w:rPr>
          <w:noProof/>
        </w:rPr>
        <w:t>podarczymi skutkami zielonej transformacji, skupiając się na regionach, gałęziach przemysłu</w:t>
      </w:r>
      <w:r w:rsidR="00B10036" w:rsidRPr="00B10036">
        <w:rPr>
          <w:noProof/>
        </w:rPr>
        <w:t xml:space="preserve"> i</w:t>
      </w:r>
      <w:r w:rsidR="00B10036">
        <w:rPr>
          <w:noProof/>
        </w:rPr>
        <w:t> </w:t>
      </w:r>
      <w:r w:rsidR="00B10036" w:rsidRPr="00B10036">
        <w:rPr>
          <w:noProof/>
        </w:rPr>
        <w:t>pra</w:t>
      </w:r>
      <w:r w:rsidRPr="00B10036">
        <w:rPr>
          <w:noProof/>
        </w:rPr>
        <w:t>cownikach, którzy stoją przed największymi wyzwaniami</w:t>
      </w:r>
      <w:r w:rsidR="00B10036" w:rsidRPr="00B10036">
        <w:rPr>
          <w:noProof/>
        </w:rPr>
        <w:t xml:space="preserve"> w</w:t>
      </w:r>
      <w:r w:rsidR="00B10036">
        <w:rPr>
          <w:noProof/>
        </w:rPr>
        <w:t> </w:t>
      </w:r>
      <w:r w:rsidR="00B10036" w:rsidRPr="00B10036">
        <w:rPr>
          <w:noProof/>
        </w:rPr>
        <w:t>okr</w:t>
      </w:r>
      <w:r w:rsidRPr="00B10036">
        <w:rPr>
          <w:noProof/>
        </w:rPr>
        <w:t>esie transformacji.</w:t>
      </w:r>
    </w:p>
    <w:p w14:paraId="4898AE34" w14:textId="6A246097" w:rsidR="00FF1321" w:rsidRPr="00B10036" w:rsidRDefault="00002649" w:rsidP="00FF1321">
      <w:pPr>
        <w:pBdr>
          <w:top w:val="nil"/>
          <w:left w:val="nil"/>
          <w:bottom w:val="nil"/>
          <w:right w:val="nil"/>
          <w:between w:val="nil"/>
          <w:bar w:val="nil"/>
        </w:pBdr>
        <w:spacing w:before="0" w:after="240"/>
        <w:rPr>
          <w:rFonts w:eastAsia="Arial Unicode MS"/>
          <w:noProof/>
        </w:rPr>
      </w:pPr>
      <w:r w:rsidRPr="00B10036">
        <w:rPr>
          <w:noProof/>
        </w:rPr>
        <w:t>Proponowany Społeczny Fundusz Klimatyczny pomoże złagodzić wpływ na gospodarstwa domowe znajdujące się</w:t>
      </w:r>
      <w:r w:rsidR="00B10036" w:rsidRPr="00B10036">
        <w:rPr>
          <w:noProof/>
        </w:rPr>
        <w:t xml:space="preserve"> w</w:t>
      </w:r>
      <w:r w:rsidR="00B10036">
        <w:rPr>
          <w:noProof/>
        </w:rPr>
        <w:t> </w:t>
      </w:r>
      <w:r w:rsidR="00B10036" w:rsidRPr="00B10036">
        <w:rPr>
          <w:noProof/>
        </w:rPr>
        <w:t>tru</w:t>
      </w:r>
      <w:r w:rsidRPr="00B10036">
        <w:rPr>
          <w:noProof/>
        </w:rPr>
        <w:t>dnej sytuacji, użytkowników transportu</w:t>
      </w:r>
      <w:r w:rsidR="00B10036" w:rsidRPr="00B10036">
        <w:rPr>
          <w:noProof/>
        </w:rPr>
        <w:t xml:space="preserve"> i</w:t>
      </w:r>
      <w:r w:rsidR="00B10036">
        <w:rPr>
          <w:noProof/>
        </w:rPr>
        <w:t> </w:t>
      </w:r>
      <w:r w:rsidR="00B10036" w:rsidRPr="00B10036">
        <w:rPr>
          <w:noProof/>
        </w:rPr>
        <w:t>mik</w:t>
      </w:r>
      <w:r w:rsidRPr="00B10036">
        <w:rPr>
          <w:noProof/>
        </w:rPr>
        <w:t>roprzedsiębiorstwa, które</w:t>
      </w:r>
      <w:r w:rsidR="00B10036" w:rsidRPr="00B10036">
        <w:rPr>
          <w:noProof/>
        </w:rPr>
        <w:t xml:space="preserve"> w</w:t>
      </w:r>
      <w:r w:rsidR="00B10036">
        <w:rPr>
          <w:noProof/>
        </w:rPr>
        <w:t> </w:t>
      </w:r>
      <w:r w:rsidR="00B10036" w:rsidRPr="00B10036">
        <w:rPr>
          <w:noProof/>
        </w:rPr>
        <w:t>zna</w:t>
      </w:r>
      <w:r w:rsidRPr="00B10036">
        <w:rPr>
          <w:noProof/>
        </w:rPr>
        <w:t>cznym stopniu odczuwają skutki wzrostu cen paliw kopalnych</w:t>
      </w:r>
      <w:r w:rsidR="00B10036" w:rsidRPr="00B10036">
        <w:rPr>
          <w:noProof/>
        </w:rPr>
        <w:t xml:space="preserve"> w</w:t>
      </w:r>
      <w:r w:rsidR="00B10036">
        <w:rPr>
          <w:noProof/>
        </w:rPr>
        <w:t> </w:t>
      </w:r>
      <w:r w:rsidR="00B10036" w:rsidRPr="00B10036">
        <w:rPr>
          <w:noProof/>
        </w:rPr>
        <w:t>wyn</w:t>
      </w:r>
      <w:r w:rsidRPr="00B10036">
        <w:rPr>
          <w:noProof/>
        </w:rPr>
        <w:t>iku wprowadzenia handlu uprawnieniami do emisji</w:t>
      </w:r>
      <w:r w:rsidR="00B10036" w:rsidRPr="00B10036">
        <w:rPr>
          <w:noProof/>
        </w:rPr>
        <w:t xml:space="preserve"> w</w:t>
      </w:r>
      <w:r w:rsidR="00B10036">
        <w:rPr>
          <w:noProof/>
        </w:rPr>
        <w:t> </w:t>
      </w:r>
      <w:r w:rsidR="00B10036" w:rsidRPr="00B10036">
        <w:rPr>
          <w:noProof/>
        </w:rPr>
        <w:t>odn</w:t>
      </w:r>
      <w:r w:rsidRPr="00B10036">
        <w:rPr>
          <w:noProof/>
        </w:rPr>
        <w:t>iesieniu do paliw stosowanych</w:t>
      </w:r>
      <w:r w:rsidR="00B10036" w:rsidRPr="00B10036">
        <w:rPr>
          <w:noProof/>
        </w:rPr>
        <w:t xml:space="preserve"> w</w:t>
      </w:r>
      <w:r w:rsidR="00B10036">
        <w:rPr>
          <w:noProof/>
        </w:rPr>
        <w:t> </w:t>
      </w:r>
      <w:r w:rsidR="00B10036" w:rsidRPr="00B10036">
        <w:rPr>
          <w:noProof/>
        </w:rPr>
        <w:t>bud</w:t>
      </w:r>
      <w:r w:rsidRPr="00B10036">
        <w:rPr>
          <w:noProof/>
        </w:rPr>
        <w:t>ynkach</w:t>
      </w:r>
      <w:r w:rsidR="00B10036" w:rsidRPr="00B10036">
        <w:rPr>
          <w:noProof/>
        </w:rPr>
        <w:t xml:space="preserve"> i</w:t>
      </w:r>
      <w:r w:rsidR="00B10036">
        <w:rPr>
          <w:noProof/>
        </w:rPr>
        <w:t> </w:t>
      </w:r>
      <w:r w:rsidR="00B10036" w:rsidRPr="00B10036">
        <w:rPr>
          <w:noProof/>
        </w:rPr>
        <w:t>tra</w:t>
      </w:r>
      <w:r w:rsidRPr="00B10036">
        <w:rPr>
          <w:noProof/>
        </w:rPr>
        <w:t>nsporcie drogowym. Posłuży on do promowania sprawiedliwości</w:t>
      </w:r>
      <w:r w:rsidR="00B10036" w:rsidRPr="00B10036">
        <w:rPr>
          <w:noProof/>
        </w:rPr>
        <w:t xml:space="preserve"> i</w:t>
      </w:r>
      <w:r w:rsidR="00B10036">
        <w:rPr>
          <w:noProof/>
        </w:rPr>
        <w:t> </w:t>
      </w:r>
      <w:r w:rsidR="00B10036" w:rsidRPr="00B10036">
        <w:rPr>
          <w:noProof/>
        </w:rPr>
        <w:t>sol</w:t>
      </w:r>
      <w:r w:rsidRPr="00B10036">
        <w:rPr>
          <w:noProof/>
        </w:rPr>
        <w:t>idarności między państwami członkowskimi</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ich</w:t>
      </w:r>
      <w:r w:rsidRPr="00B10036">
        <w:rPr>
          <w:noProof/>
        </w:rPr>
        <w:t xml:space="preserve"> obrębie, łagodząc jednocześnie ryzyko ubóstwa energetycznego</w:t>
      </w:r>
      <w:r w:rsidR="00B10036" w:rsidRPr="00B10036">
        <w:rPr>
          <w:noProof/>
        </w:rPr>
        <w:t xml:space="preserve"> i</w:t>
      </w:r>
      <w:r w:rsidR="00B10036">
        <w:rPr>
          <w:noProof/>
        </w:rPr>
        <w:t> </w:t>
      </w:r>
      <w:r w:rsidR="00B10036" w:rsidRPr="00B10036">
        <w:rPr>
          <w:noProof/>
        </w:rPr>
        <w:t>wyz</w:t>
      </w:r>
      <w:r w:rsidRPr="00B10036">
        <w:rPr>
          <w:noProof/>
        </w:rPr>
        <w:t>wania związane</w:t>
      </w:r>
      <w:r w:rsidR="00B10036" w:rsidRPr="00B10036">
        <w:rPr>
          <w:noProof/>
        </w:rPr>
        <w:t xml:space="preserve"> z</w:t>
      </w:r>
      <w:r w:rsidR="00B10036">
        <w:rPr>
          <w:noProof/>
        </w:rPr>
        <w:t> </w:t>
      </w:r>
      <w:r w:rsidR="00B10036" w:rsidRPr="00B10036">
        <w:rPr>
          <w:noProof/>
        </w:rPr>
        <w:t>tra</w:t>
      </w:r>
      <w:r w:rsidRPr="00B10036">
        <w:rPr>
          <w:noProof/>
        </w:rPr>
        <w:t>nsportem oraz uzupełniając istniejące mechanizmy. Fundusz umożliwi wsparcie gospodarstw domowych przy inwestycjach</w:t>
      </w:r>
      <w:r w:rsidR="00B10036" w:rsidRPr="00B10036">
        <w:rPr>
          <w:noProof/>
        </w:rPr>
        <w:t xml:space="preserve"> w</w:t>
      </w:r>
      <w:r w:rsidR="00B10036">
        <w:rPr>
          <w:noProof/>
        </w:rPr>
        <w:t> </w:t>
      </w:r>
      <w:r w:rsidR="00B10036" w:rsidRPr="00B10036">
        <w:rPr>
          <w:noProof/>
        </w:rPr>
        <w:t>efe</w:t>
      </w:r>
      <w:r w:rsidRPr="00B10036">
        <w:rPr>
          <w:noProof/>
        </w:rPr>
        <w:t>ktywność energetyczną oraz ekologiczne ogrzewanie</w:t>
      </w:r>
      <w:r w:rsidR="00B10036" w:rsidRPr="00B10036">
        <w:rPr>
          <w:noProof/>
        </w:rPr>
        <w:t xml:space="preserve"> i</w:t>
      </w:r>
      <w:r w:rsidR="00B10036">
        <w:rPr>
          <w:noProof/>
        </w:rPr>
        <w:t> </w:t>
      </w:r>
      <w:r w:rsidR="00B10036" w:rsidRPr="00B10036">
        <w:rPr>
          <w:noProof/>
        </w:rPr>
        <w:t>chł</w:t>
      </w:r>
      <w:r w:rsidRPr="00B10036">
        <w:rPr>
          <w:noProof/>
        </w:rPr>
        <w:t>odzenie budynków,</w:t>
      </w:r>
      <w:r w:rsidR="00B10036" w:rsidRPr="00B10036">
        <w:rPr>
          <w:noProof/>
        </w:rPr>
        <w:t xml:space="preserve"> w</w:t>
      </w:r>
      <w:r w:rsidR="00B10036">
        <w:rPr>
          <w:noProof/>
        </w:rPr>
        <w:t> </w:t>
      </w:r>
      <w:r w:rsidR="00B10036" w:rsidRPr="00B10036">
        <w:rPr>
          <w:noProof/>
        </w:rPr>
        <w:t>tym</w:t>
      </w:r>
      <w:r w:rsidRPr="00B10036">
        <w:rPr>
          <w:noProof/>
        </w:rPr>
        <w:t xml:space="preserve"> integrację energii odnawialnej,</w:t>
      </w:r>
      <w:r w:rsidR="00B10036" w:rsidRPr="00B10036">
        <w:rPr>
          <w:noProof/>
        </w:rPr>
        <w:t xml:space="preserve"> a</w:t>
      </w:r>
      <w:r w:rsidR="00B10036">
        <w:rPr>
          <w:noProof/>
        </w:rPr>
        <w:t> </w:t>
      </w:r>
      <w:r w:rsidR="00B10036" w:rsidRPr="00B10036">
        <w:rPr>
          <w:noProof/>
        </w:rPr>
        <w:t>tak</w:t>
      </w:r>
      <w:r w:rsidRPr="00B10036">
        <w:rPr>
          <w:noProof/>
        </w:rPr>
        <w:t>że finansowanie dostępu do mobilności bezemisyjnej</w:t>
      </w:r>
      <w:r w:rsidR="00B10036" w:rsidRPr="00B10036">
        <w:rPr>
          <w:noProof/>
        </w:rPr>
        <w:t xml:space="preserve"> i</w:t>
      </w:r>
      <w:r w:rsidR="00B10036">
        <w:rPr>
          <w:noProof/>
        </w:rPr>
        <w:t> </w:t>
      </w:r>
      <w:r w:rsidR="00B10036" w:rsidRPr="00B10036">
        <w:rPr>
          <w:noProof/>
        </w:rPr>
        <w:t>nis</w:t>
      </w:r>
      <w:r w:rsidRPr="00B10036">
        <w:rPr>
          <w:noProof/>
        </w:rPr>
        <w:t>koemisyjnej</w:t>
      </w:r>
      <w:r w:rsidR="00B10036" w:rsidRPr="00B10036">
        <w:rPr>
          <w:noProof/>
        </w:rPr>
        <w:t>. W</w:t>
      </w:r>
      <w:r w:rsidR="00B10036">
        <w:rPr>
          <w:noProof/>
        </w:rPr>
        <w:t> </w:t>
      </w:r>
      <w:r w:rsidR="00B10036" w:rsidRPr="00B10036">
        <w:rPr>
          <w:noProof/>
        </w:rPr>
        <w:t>raz</w:t>
      </w:r>
      <w:r w:rsidRPr="00B10036">
        <w:rPr>
          <w:noProof/>
        </w:rPr>
        <w:t>ie potrzeby,</w:t>
      </w:r>
      <w:r w:rsidR="00B10036" w:rsidRPr="00B10036">
        <w:rPr>
          <w:noProof/>
        </w:rPr>
        <w:t xml:space="preserve"> w</w:t>
      </w:r>
      <w:r w:rsidR="00B10036">
        <w:rPr>
          <w:noProof/>
        </w:rPr>
        <w:t> </w:t>
      </w:r>
      <w:r w:rsidR="00B10036" w:rsidRPr="00B10036">
        <w:rPr>
          <w:noProof/>
        </w:rPr>
        <w:t>ocz</w:t>
      </w:r>
      <w:r w:rsidRPr="00B10036">
        <w:rPr>
          <w:noProof/>
        </w:rPr>
        <w:t>ekiwaniu na wpływ inwestycji na zmniejszenie emisji</w:t>
      </w:r>
      <w:r w:rsidR="00B10036" w:rsidRPr="00B10036">
        <w:rPr>
          <w:noProof/>
        </w:rPr>
        <w:t xml:space="preserve"> i</w:t>
      </w:r>
      <w:r w:rsidR="00B10036">
        <w:rPr>
          <w:noProof/>
        </w:rPr>
        <w:t> </w:t>
      </w:r>
      <w:r w:rsidR="00B10036" w:rsidRPr="00B10036">
        <w:rPr>
          <w:noProof/>
        </w:rPr>
        <w:t>rac</w:t>
      </w:r>
      <w:r w:rsidRPr="00B10036">
        <w:rPr>
          <w:noProof/>
        </w:rPr>
        <w:t>hunków za energię dla grup znajdujących się</w:t>
      </w:r>
      <w:r w:rsidR="00B10036" w:rsidRPr="00B10036">
        <w:rPr>
          <w:noProof/>
        </w:rPr>
        <w:t xml:space="preserve"> w</w:t>
      </w:r>
      <w:r w:rsidR="00B10036">
        <w:rPr>
          <w:noProof/>
        </w:rPr>
        <w:t> </w:t>
      </w:r>
      <w:r w:rsidR="00B10036" w:rsidRPr="00B10036">
        <w:rPr>
          <w:noProof/>
        </w:rPr>
        <w:t>tru</w:t>
      </w:r>
      <w:r w:rsidRPr="00B10036">
        <w:rPr>
          <w:noProof/>
        </w:rPr>
        <w:t>dnej sytuacji, Fundusz umożliwi państwom członkowskim finansowanie środków zapewniających tymczasowe bezpośrednie wsparcie dochodu gospodarstw domowych znajdujących się</w:t>
      </w:r>
      <w:r w:rsidR="00B10036" w:rsidRPr="00B10036">
        <w:rPr>
          <w:noProof/>
        </w:rPr>
        <w:t xml:space="preserve"> w</w:t>
      </w:r>
      <w:r w:rsidR="00B10036">
        <w:rPr>
          <w:noProof/>
        </w:rPr>
        <w:t> </w:t>
      </w:r>
      <w:r w:rsidR="00B10036" w:rsidRPr="00B10036">
        <w:rPr>
          <w:noProof/>
        </w:rPr>
        <w:t>tru</w:t>
      </w:r>
      <w:r w:rsidRPr="00B10036">
        <w:rPr>
          <w:noProof/>
        </w:rPr>
        <w:t>dnej sytuacji oraz gospodarstw domowych będących użytkownikami transportu znajdującymi się</w:t>
      </w:r>
      <w:r w:rsidR="00B10036" w:rsidRPr="00B10036">
        <w:rPr>
          <w:noProof/>
        </w:rPr>
        <w:t xml:space="preserve"> w</w:t>
      </w:r>
      <w:r w:rsidR="00B10036">
        <w:rPr>
          <w:noProof/>
        </w:rPr>
        <w:t> </w:t>
      </w:r>
      <w:r w:rsidR="00B10036" w:rsidRPr="00B10036">
        <w:rPr>
          <w:noProof/>
        </w:rPr>
        <w:t>tru</w:t>
      </w:r>
      <w:r w:rsidRPr="00B10036">
        <w:rPr>
          <w:noProof/>
        </w:rPr>
        <w:t>dnej sytuacji,</w:t>
      </w:r>
      <w:r w:rsidR="00B10036" w:rsidRPr="00B10036">
        <w:rPr>
          <w:noProof/>
        </w:rPr>
        <w:t xml:space="preserve"> w</w:t>
      </w:r>
      <w:r w:rsidR="00B10036">
        <w:rPr>
          <w:noProof/>
        </w:rPr>
        <w:t> </w:t>
      </w:r>
      <w:r w:rsidR="00B10036" w:rsidRPr="00B10036">
        <w:rPr>
          <w:noProof/>
        </w:rPr>
        <w:t>cel</w:t>
      </w:r>
      <w:r w:rsidRPr="00B10036">
        <w:rPr>
          <w:noProof/>
        </w:rPr>
        <w:t>u zmniejszenia bezpośredniego wpływu wzrostu cen paliw kopalnych wynikającego</w:t>
      </w:r>
      <w:r w:rsidR="00B10036" w:rsidRPr="00B10036">
        <w:rPr>
          <w:noProof/>
        </w:rPr>
        <w:t xml:space="preserve"> z</w:t>
      </w:r>
      <w:r w:rsidR="00B10036">
        <w:rPr>
          <w:noProof/>
        </w:rPr>
        <w:t> </w:t>
      </w:r>
      <w:r w:rsidR="00B10036" w:rsidRPr="00B10036">
        <w:rPr>
          <w:noProof/>
        </w:rPr>
        <w:t>włą</w:t>
      </w:r>
      <w:r w:rsidRPr="00B10036">
        <w:rPr>
          <w:noProof/>
        </w:rPr>
        <w:t>czenia budynków</w:t>
      </w:r>
      <w:r w:rsidR="00B10036" w:rsidRPr="00B10036">
        <w:rPr>
          <w:noProof/>
        </w:rPr>
        <w:t xml:space="preserve"> i</w:t>
      </w:r>
      <w:r w:rsidR="00B10036">
        <w:rPr>
          <w:noProof/>
        </w:rPr>
        <w:t> </w:t>
      </w:r>
      <w:r w:rsidR="00B10036" w:rsidRPr="00B10036">
        <w:rPr>
          <w:noProof/>
        </w:rPr>
        <w:t>tra</w:t>
      </w:r>
      <w:r w:rsidRPr="00B10036">
        <w:rPr>
          <w:noProof/>
        </w:rPr>
        <w:t>nsportu drogowego</w:t>
      </w:r>
      <w:r w:rsidR="00B10036" w:rsidRPr="00B10036">
        <w:rPr>
          <w:noProof/>
        </w:rPr>
        <w:t xml:space="preserve"> w</w:t>
      </w:r>
      <w:r w:rsidR="00B10036">
        <w:rPr>
          <w:noProof/>
        </w:rPr>
        <w:t> </w:t>
      </w:r>
      <w:r w:rsidR="00B10036" w:rsidRPr="00B10036">
        <w:rPr>
          <w:noProof/>
        </w:rPr>
        <w:t>zak</w:t>
      </w:r>
      <w:r w:rsidRPr="00B10036">
        <w:rPr>
          <w:noProof/>
        </w:rPr>
        <w:t xml:space="preserve">res dyrektywy 2003/87/WE. </w:t>
      </w:r>
    </w:p>
    <w:p w14:paraId="245FEA9E" w14:textId="6536554B" w:rsidR="00002649" w:rsidRPr="00B10036" w:rsidRDefault="00D83CAE" w:rsidP="00002649">
      <w:pPr>
        <w:pBdr>
          <w:top w:val="nil"/>
          <w:left w:val="nil"/>
          <w:bottom w:val="nil"/>
          <w:right w:val="nil"/>
          <w:between w:val="nil"/>
          <w:bar w:val="nil"/>
        </w:pBdr>
        <w:spacing w:before="0" w:after="240"/>
        <w:rPr>
          <w:rFonts w:eastAsia="Arial Unicode MS"/>
          <w:noProof/>
        </w:rPr>
      </w:pPr>
      <w:r w:rsidRPr="00B10036">
        <w:rPr>
          <w:noProof/>
        </w:rPr>
        <w:t>Ponadto, jak wskazano</w:t>
      </w:r>
      <w:r w:rsidR="00B10036" w:rsidRPr="00B10036">
        <w:rPr>
          <w:noProof/>
        </w:rPr>
        <w:t xml:space="preserve"> w</w:t>
      </w:r>
      <w:r w:rsidR="00B10036">
        <w:rPr>
          <w:noProof/>
        </w:rPr>
        <w:t> </w:t>
      </w:r>
      <w:r w:rsidR="00B10036" w:rsidRPr="00B10036">
        <w:rPr>
          <w:noProof/>
        </w:rPr>
        <w:t>oce</w:t>
      </w:r>
      <w:r w:rsidRPr="00B10036">
        <w:rPr>
          <w:noProof/>
        </w:rPr>
        <w:t>nie skutków towarzyszącej Planowi</w:t>
      </w:r>
      <w:r w:rsidR="00B10036" w:rsidRPr="00B10036">
        <w:rPr>
          <w:noProof/>
        </w:rPr>
        <w:t xml:space="preserve"> w</w:t>
      </w:r>
      <w:r w:rsidR="00B10036">
        <w:rPr>
          <w:noProof/>
        </w:rPr>
        <w:t> </w:t>
      </w:r>
      <w:r w:rsidR="00B10036" w:rsidRPr="00B10036">
        <w:rPr>
          <w:noProof/>
        </w:rPr>
        <w:t>zak</w:t>
      </w:r>
      <w:r w:rsidRPr="00B10036">
        <w:rPr>
          <w:noProof/>
        </w:rPr>
        <w:t>resie celów klimatycznych na</w:t>
      </w:r>
      <w:r w:rsidR="00B10036" w:rsidRPr="00B10036">
        <w:rPr>
          <w:noProof/>
        </w:rPr>
        <w:t> </w:t>
      </w:r>
      <w:r w:rsidRPr="00B10036">
        <w:rPr>
          <w:noProof/>
        </w:rPr>
        <w:t>2030</w:t>
      </w:r>
      <w:r w:rsidR="00B10036" w:rsidRPr="00B10036">
        <w:rPr>
          <w:noProof/>
        </w:rPr>
        <w:t> </w:t>
      </w:r>
      <w:r w:rsidRPr="00B10036">
        <w:rPr>
          <w:noProof/>
        </w:rPr>
        <w:t>r. oraz</w:t>
      </w:r>
      <w:r w:rsidR="00B10036" w:rsidRPr="00B10036">
        <w:rPr>
          <w:noProof/>
        </w:rPr>
        <w:t xml:space="preserve"> w</w:t>
      </w:r>
      <w:r w:rsidR="00B10036">
        <w:rPr>
          <w:noProof/>
        </w:rPr>
        <w:t> </w:t>
      </w:r>
      <w:r w:rsidR="00B10036" w:rsidRPr="00B10036">
        <w:rPr>
          <w:noProof/>
        </w:rPr>
        <w:t>nie</w:t>
      </w:r>
      <w:r w:rsidRPr="00B10036">
        <w:rPr>
          <w:noProof/>
        </w:rPr>
        <w:t>których inicjatywach pakietu „Gotowi na</w:t>
      </w:r>
      <w:r w:rsidR="00B10036" w:rsidRPr="00B10036">
        <w:rPr>
          <w:noProof/>
        </w:rPr>
        <w:t> </w:t>
      </w:r>
      <w:r w:rsidRPr="00B10036">
        <w:rPr>
          <w:noProof/>
        </w:rPr>
        <w:t>55”, państwa członkowskie mogą</w:t>
      </w:r>
      <w:r w:rsidR="00B10036" w:rsidRPr="00B10036">
        <w:rPr>
          <w:noProof/>
        </w:rPr>
        <w:t xml:space="preserve"> w</w:t>
      </w:r>
      <w:r w:rsidR="00B10036">
        <w:rPr>
          <w:noProof/>
        </w:rPr>
        <w:t> </w:t>
      </w:r>
      <w:r w:rsidR="00B10036" w:rsidRPr="00B10036">
        <w:rPr>
          <w:noProof/>
        </w:rPr>
        <w:t>dal</w:t>
      </w:r>
      <w:r w:rsidRPr="00B10036">
        <w:rPr>
          <w:noProof/>
        </w:rPr>
        <w:t>szym ciągu wykorzystywać dochody uzyskane</w:t>
      </w:r>
      <w:r w:rsidR="00B10036" w:rsidRPr="00B10036">
        <w:rPr>
          <w:noProof/>
        </w:rPr>
        <w:t xml:space="preserve"> z</w:t>
      </w:r>
      <w:r w:rsidR="00B10036">
        <w:rPr>
          <w:noProof/>
        </w:rPr>
        <w:t> </w:t>
      </w:r>
      <w:r w:rsidR="00B10036" w:rsidRPr="00B10036">
        <w:rPr>
          <w:noProof/>
        </w:rPr>
        <w:t>auk</w:t>
      </w:r>
      <w:r w:rsidRPr="00B10036">
        <w:rPr>
          <w:noProof/>
        </w:rPr>
        <w:t>cji uprawnień</w:t>
      </w:r>
      <w:r w:rsidR="00B10036" w:rsidRPr="00B10036">
        <w:rPr>
          <w:noProof/>
        </w:rPr>
        <w:t xml:space="preserve"> w</w:t>
      </w:r>
      <w:r w:rsidR="00B10036">
        <w:rPr>
          <w:noProof/>
        </w:rPr>
        <w:t> </w:t>
      </w:r>
      <w:r w:rsidR="00B10036" w:rsidRPr="00B10036">
        <w:rPr>
          <w:noProof/>
        </w:rPr>
        <w:t>ram</w:t>
      </w:r>
      <w:r w:rsidRPr="00B10036">
        <w:rPr>
          <w:noProof/>
        </w:rPr>
        <w:t>ach EU ETS, opłat</w:t>
      </w:r>
      <w:r w:rsidR="00B10036" w:rsidRPr="00B10036">
        <w:rPr>
          <w:noProof/>
        </w:rPr>
        <w:t xml:space="preserve"> i</w:t>
      </w:r>
      <w:r w:rsidR="00B10036">
        <w:rPr>
          <w:noProof/>
        </w:rPr>
        <w:t> </w:t>
      </w:r>
      <w:r w:rsidR="00B10036" w:rsidRPr="00B10036">
        <w:rPr>
          <w:noProof/>
        </w:rPr>
        <w:t>pod</w:t>
      </w:r>
      <w:r w:rsidRPr="00B10036">
        <w:rPr>
          <w:noProof/>
        </w:rPr>
        <w:t>atków od cen energii,</w:t>
      </w:r>
      <w:r w:rsidR="00B10036" w:rsidRPr="00B10036">
        <w:rPr>
          <w:noProof/>
        </w:rPr>
        <w:t xml:space="preserve"> a</w:t>
      </w:r>
      <w:r w:rsidR="00B10036">
        <w:rPr>
          <w:noProof/>
        </w:rPr>
        <w:t> </w:t>
      </w:r>
      <w:r w:rsidR="00B10036" w:rsidRPr="00B10036">
        <w:rPr>
          <w:noProof/>
        </w:rPr>
        <w:t>tak</w:t>
      </w:r>
      <w:r w:rsidRPr="00B10036">
        <w:rPr>
          <w:noProof/>
        </w:rPr>
        <w:t>że</w:t>
      </w:r>
      <w:r w:rsidR="00B10036" w:rsidRPr="00B10036">
        <w:rPr>
          <w:noProof/>
        </w:rPr>
        <w:t xml:space="preserve"> z</w:t>
      </w:r>
      <w:r w:rsidR="00B10036">
        <w:rPr>
          <w:noProof/>
        </w:rPr>
        <w:t> </w:t>
      </w:r>
      <w:r w:rsidR="00B10036" w:rsidRPr="00B10036">
        <w:rPr>
          <w:noProof/>
        </w:rPr>
        <w:t>pod</w:t>
      </w:r>
      <w:r w:rsidRPr="00B10036">
        <w:rPr>
          <w:noProof/>
        </w:rPr>
        <w:t>atków na ochronę środowiska</w:t>
      </w:r>
      <w:r w:rsidR="00B10036" w:rsidRPr="00B10036">
        <w:rPr>
          <w:noProof/>
        </w:rPr>
        <w:t xml:space="preserve"> w</w:t>
      </w:r>
      <w:r w:rsidR="00B10036">
        <w:rPr>
          <w:noProof/>
        </w:rPr>
        <w:t> </w:t>
      </w:r>
      <w:r w:rsidR="00B10036" w:rsidRPr="00B10036">
        <w:rPr>
          <w:noProof/>
        </w:rPr>
        <w:t>cel</w:t>
      </w:r>
      <w:r w:rsidRPr="00B10036">
        <w:rPr>
          <w:noProof/>
        </w:rPr>
        <w:t>u wspierania grup defaworyzowanych.</w:t>
      </w:r>
    </w:p>
    <w:p w14:paraId="0EB86E31" w14:textId="77777777" w:rsidR="00002649" w:rsidRPr="00B10036" w:rsidRDefault="00002649" w:rsidP="00002649">
      <w:pPr>
        <w:pStyle w:val="ManualHeading1"/>
        <w:rPr>
          <w:noProof/>
        </w:rPr>
      </w:pPr>
      <w:r w:rsidRPr="00B10036">
        <w:rPr>
          <w:noProof/>
        </w:rPr>
        <w:t>2.</w:t>
      </w:r>
      <w:r w:rsidRPr="00B10036">
        <w:rPr>
          <w:noProof/>
        </w:rPr>
        <w:tab/>
        <w:t>PODSTAWA PRAWNA, POMOCNICZOŚĆ I PROPORCJONALNOŚĆ</w:t>
      </w:r>
    </w:p>
    <w:p w14:paraId="54680985"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Podstawa prawna</w:t>
      </w:r>
    </w:p>
    <w:p w14:paraId="3642043D" w14:textId="15266E9E" w:rsidR="00002649" w:rsidRPr="00B10036" w:rsidRDefault="00002649" w:rsidP="00002649">
      <w:pPr>
        <w:pStyle w:val="Text1"/>
        <w:ind w:left="0"/>
        <w:rPr>
          <w:noProof/>
        </w:rPr>
      </w:pPr>
      <w:r w:rsidRPr="00B10036">
        <w:rPr>
          <w:noProof/>
        </w:rPr>
        <w:t>Podstawę wniosku będzie stanowił art.</w:t>
      </w:r>
      <w:r w:rsidR="00B10036" w:rsidRPr="00B10036">
        <w:rPr>
          <w:noProof/>
        </w:rPr>
        <w:t> </w:t>
      </w:r>
      <w:r w:rsidRPr="00B10036">
        <w:rPr>
          <w:noProof/>
        </w:rPr>
        <w:t>292 TFUE</w:t>
      </w:r>
      <w:r w:rsidR="00B10036" w:rsidRPr="00B10036">
        <w:rPr>
          <w:noProof/>
        </w:rPr>
        <w:t xml:space="preserve"> w</w:t>
      </w:r>
      <w:r w:rsidR="00B10036">
        <w:rPr>
          <w:noProof/>
        </w:rPr>
        <w:t> </w:t>
      </w:r>
      <w:r w:rsidR="00B10036" w:rsidRPr="00B10036">
        <w:rPr>
          <w:noProof/>
        </w:rPr>
        <w:t>zwi</w:t>
      </w:r>
      <w:r w:rsidRPr="00B10036">
        <w:rPr>
          <w:noProof/>
        </w:rPr>
        <w:t>ązku</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149 TFUE</w:t>
      </w:r>
      <w:r w:rsidR="00B10036" w:rsidRPr="00B10036">
        <w:rPr>
          <w:noProof/>
        </w:rPr>
        <w:t xml:space="preserve"> i</w:t>
      </w:r>
      <w:r w:rsidR="00B10036">
        <w:rPr>
          <w:noProof/>
        </w:rPr>
        <w:t> </w:t>
      </w:r>
      <w:r w:rsidR="00B10036" w:rsidRPr="00B10036">
        <w:rPr>
          <w:noProof/>
        </w:rPr>
        <w:t>art</w:t>
      </w:r>
      <w:r w:rsidRPr="00B10036">
        <w:rPr>
          <w:noProof/>
        </w:rPr>
        <w:t>.</w:t>
      </w:r>
      <w:r w:rsidR="00B10036" w:rsidRPr="00B10036">
        <w:rPr>
          <w:noProof/>
        </w:rPr>
        <w:t> </w:t>
      </w:r>
      <w:r w:rsidRPr="00B10036">
        <w:rPr>
          <w:noProof/>
        </w:rPr>
        <w:t>166 TFUE.</w:t>
      </w:r>
    </w:p>
    <w:p w14:paraId="1DA97898"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Pomocniczość (w przypadku kompetencji niewyłącznych)</w:t>
      </w:r>
    </w:p>
    <w:p w14:paraId="0984304B" w14:textId="190396AF"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Państwa członkowskie opracują</w:t>
      </w:r>
      <w:r w:rsidR="00B10036" w:rsidRPr="00B10036">
        <w:rPr>
          <w:noProof/>
        </w:rPr>
        <w:t xml:space="preserve"> i</w:t>
      </w:r>
      <w:r w:rsidR="00B10036">
        <w:rPr>
          <w:noProof/>
        </w:rPr>
        <w:t> </w:t>
      </w:r>
      <w:r w:rsidR="00B10036" w:rsidRPr="00B10036">
        <w:rPr>
          <w:noProof/>
        </w:rPr>
        <w:t>wyb</w:t>
      </w:r>
      <w:r w:rsidRPr="00B10036">
        <w:rPr>
          <w:noProof/>
        </w:rPr>
        <w:t>iorą środki oraz inwestycje</w:t>
      </w:r>
      <w:r w:rsidR="00B10036" w:rsidRPr="00B10036">
        <w:rPr>
          <w:noProof/>
        </w:rPr>
        <w:t xml:space="preserve"> w</w:t>
      </w:r>
      <w:r w:rsidR="00B10036">
        <w:rPr>
          <w:noProof/>
        </w:rPr>
        <w:t> </w:t>
      </w:r>
      <w:r w:rsidR="00B10036" w:rsidRPr="00B10036">
        <w:rPr>
          <w:noProof/>
        </w:rPr>
        <w:t>cel</w:t>
      </w:r>
      <w:r w:rsidRPr="00B10036">
        <w:rPr>
          <w:noProof/>
        </w:rPr>
        <w:t>u zapewnienia sprawiedliwej transformacji</w:t>
      </w:r>
      <w:r w:rsidR="00B10036" w:rsidRPr="00B10036">
        <w:rPr>
          <w:noProof/>
        </w:rPr>
        <w:t xml:space="preserve"> w</w:t>
      </w:r>
      <w:r w:rsidR="00B10036">
        <w:rPr>
          <w:noProof/>
        </w:rPr>
        <w:t> </w:t>
      </w:r>
      <w:r w:rsidR="00B10036" w:rsidRPr="00B10036">
        <w:rPr>
          <w:noProof/>
        </w:rPr>
        <w:t>kie</w:t>
      </w:r>
      <w:r w:rsidRPr="00B10036">
        <w:rPr>
          <w:noProof/>
        </w:rPr>
        <w:t>runku neutralności klimatycznej,</w:t>
      </w:r>
      <w:r w:rsidR="00B10036" w:rsidRPr="00B10036">
        <w:rPr>
          <w:noProof/>
        </w:rPr>
        <w:t xml:space="preserve"> w</w:t>
      </w:r>
      <w:r w:rsidR="00B10036">
        <w:rPr>
          <w:noProof/>
        </w:rPr>
        <w:t> </w:t>
      </w:r>
      <w:r w:rsidR="00B10036" w:rsidRPr="00B10036">
        <w:rPr>
          <w:noProof/>
        </w:rPr>
        <w:t>tym</w:t>
      </w:r>
      <w:r w:rsidRPr="00B10036">
        <w:rPr>
          <w:noProof/>
        </w:rPr>
        <w:t xml:space="preserve"> specjalne środki, które mogą zaproponować</w:t>
      </w:r>
      <w:r w:rsidR="00B10036" w:rsidRPr="00B10036">
        <w:rPr>
          <w:noProof/>
        </w:rPr>
        <w:t xml:space="preserve"> w</w:t>
      </w:r>
      <w:r w:rsidR="00B10036">
        <w:rPr>
          <w:noProof/>
        </w:rPr>
        <w:t> </w:t>
      </w:r>
      <w:r w:rsidR="00B10036" w:rsidRPr="00B10036">
        <w:rPr>
          <w:noProof/>
        </w:rPr>
        <w:t>ram</w:t>
      </w:r>
      <w:r w:rsidRPr="00B10036">
        <w:rPr>
          <w:noProof/>
        </w:rPr>
        <w:t>ach istniejącego finansowania, instrumentów polityki</w:t>
      </w:r>
      <w:r w:rsidR="00B10036" w:rsidRPr="00B10036">
        <w:rPr>
          <w:noProof/>
        </w:rPr>
        <w:t xml:space="preserve"> i</w:t>
      </w:r>
      <w:r w:rsidR="00B10036">
        <w:rPr>
          <w:noProof/>
        </w:rPr>
        <w:t> </w:t>
      </w:r>
      <w:r w:rsidR="00B10036" w:rsidRPr="00B10036">
        <w:rPr>
          <w:noProof/>
        </w:rPr>
        <w:t>mec</w:t>
      </w:r>
      <w:r w:rsidRPr="00B10036">
        <w:rPr>
          <w:noProof/>
        </w:rPr>
        <w:t>hanizmów zarządzania.</w:t>
      </w:r>
    </w:p>
    <w:p w14:paraId="2F3D7541"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Proporcjonalność</w:t>
      </w:r>
    </w:p>
    <w:p w14:paraId="63C80771" w14:textId="577D6827"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Działanie na poziomie Unii jest niezbędne do osiągnięcia szybkiej</w:t>
      </w:r>
      <w:r w:rsidR="00B10036" w:rsidRPr="00B10036">
        <w:rPr>
          <w:noProof/>
        </w:rPr>
        <w:t xml:space="preserve"> i</w:t>
      </w:r>
      <w:r w:rsidR="00B10036">
        <w:rPr>
          <w:noProof/>
        </w:rPr>
        <w:t> </w:t>
      </w:r>
      <w:r w:rsidR="00B10036" w:rsidRPr="00B10036">
        <w:rPr>
          <w:noProof/>
        </w:rPr>
        <w:t>sol</w:t>
      </w:r>
      <w:r w:rsidRPr="00B10036">
        <w:rPr>
          <w:noProof/>
        </w:rPr>
        <w:t>idnej zielonej transformacji, która przyczyni się do realizacji wiążących celów przyjętych</w:t>
      </w:r>
      <w:r w:rsidR="00B10036" w:rsidRPr="00B10036">
        <w:rPr>
          <w:noProof/>
        </w:rPr>
        <w:t xml:space="preserve"> w</w:t>
      </w:r>
      <w:r w:rsidR="00B10036">
        <w:rPr>
          <w:noProof/>
        </w:rPr>
        <w:t> </w:t>
      </w:r>
      <w:r w:rsidR="00B10036" w:rsidRPr="00B10036">
        <w:rPr>
          <w:noProof/>
        </w:rPr>
        <w:t>Eur</w:t>
      </w:r>
      <w:r w:rsidRPr="00B10036">
        <w:rPr>
          <w:noProof/>
        </w:rPr>
        <w:t>opejskim prawie</w:t>
      </w:r>
      <w:r w:rsidR="00B10036" w:rsidRPr="00B10036">
        <w:rPr>
          <w:noProof/>
        </w:rPr>
        <w:t xml:space="preserve"> o</w:t>
      </w:r>
      <w:r w:rsidR="00B10036">
        <w:rPr>
          <w:noProof/>
        </w:rPr>
        <w:t> </w:t>
      </w:r>
      <w:r w:rsidR="00B10036" w:rsidRPr="00B10036">
        <w:rPr>
          <w:noProof/>
        </w:rPr>
        <w:t>kli</w:t>
      </w:r>
      <w:r w:rsidRPr="00B10036">
        <w:rPr>
          <w:noProof/>
        </w:rPr>
        <w:t>macie, nie pozostawiając nikogo</w:t>
      </w:r>
      <w:r w:rsidR="00B10036" w:rsidRPr="00B10036">
        <w:rPr>
          <w:noProof/>
        </w:rPr>
        <w:t xml:space="preserve"> w</w:t>
      </w:r>
      <w:r w:rsidR="00B10036">
        <w:rPr>
          <w:noProof/>
        </w:rPr>
        <w:t> </w:t>
      </w:r>
      <w:r w:rsidR="00B10036" w:rsidRPr="00B10036">
        <w:rPr>
          <w:noProof/>
        </w:rPr>
        <w:t>tyl</w:t>
      </w:r>
      <w:r w:rsidRPr="00B10036">
        <w:rPr>
          <w:noProof/>
        </w:rPr>
        <w:t>e, zgodnie</w:t>
      </w:r>
      <w:r w:rsidR="00B10036" w:rsidRPr="00B10036">
        <w:rPr>
          <w:noProof/>
        </w:rPr>
        <w:t xml:space="preserve"> z</w:t>
      </w:r>
      <w:r w:rsidR="00B10036">
        <w:rPr>
          <w:noProof/>
        </w:rPr>
        <w:t> </w:t>
      </w:r>
      <w:r w:rsidR="00B10036" w:rsidRPr="00B10036">
        <w:rPr>
          <w:noProof/>
        </w:rPr>
        <w:t>Eur</w:t>
      </w:r>
      <w:r w:rsidRPr="00B10036">
        <w:rPr>
          <w:noProof/>
        </w:rPr>
        <w:t>opejskim Zielonym Ładem, Programem strategicznym Rady Europejskiej na lata 2019–2024, sprawozdaniem Parlamentu Europejskiego</w:t>
      </w:r>
      <w:r w:rsidR="00B10036" w:rsidRPr="00B10036">
        <w:rPr>
          <w:noProof/>
        </w:rPr>
        <w:t xml:space="preserve"> w</w:t>
      </w:r>
      <w:r w:rsidR="00B10036">
        <w:rPr>
          <w:noProof/>
        </w:rPr>
        <w:t> </w:t>
      </w:r>
      <w:r w:rsidR="00B10036" w:rsidRPr="00B10036">
        <w:rPr>
          <w:noProof/>
        </w:rPr>
        <w:t>spr</w:t>
      </w:r>
      <w:r w:rsidRPr="00B10036">
        <w:rPr>
          <w:noProof/>
        </w:rPr>
        <w:t>awie „silnej Europy socjalnej na rzecz sprawiedliwej transformacji”</w:t>
      </w:r>
      <w:r w:rsidRPr="00B10036">
        <w:rPr>
          <w:rStyle w:val="FootnoteReference"/>
          <w:rFonts w:eastAsia="Arial Unicode MS"/>
          <w:noProof/>
        </w:rPr>
        <w:footnoteReference w:id="43"/>
      </w:r>
      <w:r w:rsidRPr="00B10036">
        <w:rPr>
          <w:noProof/>
        </w:rPr>
        <w:t>, sprawozdaniem Europejskiego Komitetu Ekonomiczno-Społecznego „Żadnego Zielonego Ładu bez ładu społecznego”</w:t>
      </w:r>
      <w:r w:rsidRPr="00B10036">
        <w:rPr>
          <w:rStyle w:val="FootnoteReference"/>
          <w:rFonts w:eastAsia="Arial Unicode MS"/>
          <w:noProof/>
        </w:rPr>
        <w:footnoteReference w:id="44"/>
      </w:r>
      <w:r w:rsidRPr="00B10036">
        <w:rPr>
          <w:noProof/>
        </w:rPr>
        <w:t xml:space="preserve"> oraz opinią Komitetu Regionów – „Silna Europa socjalna na rzecz sprawiedliwej transformacji”</w:t>
      </w:r>
      <w:r w:rsidRPr="00B10036">
        <w:rPr>
          <w:rStyle w:val="FootnoteReference"/>
          <w:rFonts w:eastAsia="Arial Unicode MS"/>
          <w:noProof/>
        </w:rPr>
        <w:footnoteReference w:id="45"/>
      </w:r>
      <w:r w:rsidRPr="00B10036">
        <w:rPr>
          <w:noProof/>
        </w:rPr>
        <w:t>. Wymaga to również, aby wyzwania społeczne</w:t>
      </w:r>
      <w:r w:rsidR="00B10036" w:rsidRPr="00B10036">
        <w:rPr>
          <w:noProof/>
        </w:rPr>
        <w:t xml:space="preserve"> i</w:t>
      </w:r>
      <w:r w:rsidR="00B10036">
        <w:rPr>
          <w:noProof/>
        </w:rPr>
        <w:t> </w:t>
      </w:r>
      <w:r w:rsidR="00B10036" w:rsidRPr="00B10036">
        <w:rPr>
          <w:noProof/>
        </w:rPr>
        <w:t>pra</w:t>
      </w:r>
      <w:r w:rsidRPr="00B10036">
        <w:rPr>
          <w:noProof/>
        </w:rPr>
        <w:t>cownicze wynikające</w:t>
      </w:r>
      <w:r w:rsidR="00B10036" w:rsidRPr="00B10036">
        <w:rPr>
          <w:noProof/>
        </w:rPr>
        <w:t xml:space="preserve"> z</w:t>
      </w:r>
      <w:r w:rsidR="00B10036">
        <w:rPr>
          <w:noProof/>
        </w:rPr>
        <w:t> </w:t>
      </w:r>
      <w:r w:rsidR="00B10036" w:rsidRPr="00B10036">
        <w:rPr>
          <w:noProof/>
        </w:rPr>
        <w:t>zie</w:t>
      </w:r>
      <w:r w:rsidRPr="00B10036">
        <w:rPr>
          <w:noProof/>
        </w:rPr>
        <w:t>lonej transformacji były przedmiotem spójnych</w:t>
      </w:r>
      <w:r w:rsidR="00B10036" w:rsidRPr="00B10036">
        <w:rPr>
          <w:noProof/>
        </w:rPr>
        <w:t xml:space="preserve"> i</w:t>
      </w:r>
      <w:r w:rsidR="00B10036">
        <w:rPr>
          <w:noProof/>
        </w:rPr>
        <w:t> </w:t>
      </w:r>
      <w:r w:rsidR="00B10036" w:rsidRPr="00B10036">
        <w:rPr>
          <w:noProof/>
        </w:rPr>
        <w:t>sku</w:t>
      </w:r>
      <w:r w:rsidRPr="00B10036">
        <w:rPr>
          <w:noProof/>
        </w:rPr>
        <w:t xml:space="preserve">tecznych działań we wszystkich państwach członkowskich. </w:t>
      </w:r>
    </w:p>
    <w:p w14:paraId="0BD2692C" w14:textId="759281B3" w:rsidR="00D30560" w:rsidRPr="00B10036" w:rsidRDefault="001463C5" w:rsidP="00002649">
      <w:pPr>
        <w:pBdr>
          <w:top w:val="nil"/>
          <w:left w:val="nil"/>
          <w:bottom w:val="nil"/>
          <w:right w:val="nil"/>
          <w:between w:val="nil"/>
          <w:bar w:val="nil"/>
        </w:pBdr>
        <w:spacing w:before="0" w:after="240"/>
        <w:rPr>
          <w:rFonts w:eastAsia="Arial Unicode MS"/>
          <w:noProof/>
        </w:rPr>
      </w:pPr>
      <w:r w:rsidRPr="00B10036">
        <w:rPr>
          <w:noProof/>
        </w:rPr>
        <w:t>Zgodnie</w:t>
      </w:r>
      <w:r w:rsidR="00B10036" w:rsidRPr="00B10036">
        <w:rPr>
          <w:noProof/>
        </w:rPr>
        <w:t xml:space="preserve"> z</w:t>
      </w:r>
      <w:r w:rsidR="00B10036">
        <w:rPr>
          <w:noProof/>
        </w:rPr>
        <w:t> </w:t>
      </w:r>
      <w:r w:rsidR="00B10036" w:rsidRPr="00B10036">
        <w:rPr>
          <w:noProof/>
        </w:rPr>
        <w:t>prz</w:t>
      </w:r>
      <w:r w:rsidRPr="00B10036">
        <w:rPr>
          <w:noProof/>
        </w:rPr>
        <w:t>eprowadzoną przez Komisję ogólnounijną oceną ostatecznych zintegrowanych krajowych planów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opublikowaną we wrześniu 2020</w:t>
      </w:r>
      <w:r w:rsidR="00B10036" w:rsidRPr="00B10036">
        <w:rPr>
          <w:noProof/>
        </w:rPr>
        <w:t> </w:t>
      </w:r>
      <w:r w:rsidRPr="00B10036">
        <w:rPr>
          <w:noProof/>
        </w:rPr>
        <w:t>r.</w:t>
      </w:r>
      <w:r w:rsidRPr="00B10036">
        <w:rPr>
          <w:rStyle w:val="FootnoteReference"/>
          <w:rFonts w:eastAsia="Arial Unicode MS"/>
          <w:noProof/>
        </w:rPr>
        <w:footnoteReference w:id="46"/>
      </w:r>
      <w:r w:rsidRPr="00B10036">
        <w:rPr>
          <w:noProof/>
        </w:rPr>
        <w:t xml:space="preserve"> konieczne są dodatkowe starania</w:t>
      </w:r>
      <w:r w:rsidR="00B10036" w:rsidRPr="00B10036">
        <w:rPr>
          <w:noProof/>
        </w:rPr>
        <w:t xml:space="preserve"> w</w:t>
      </w:r>
      <w:r w:rsidR="00B10036">
        <w:rPr>
          <w:noProof/>
        </w:rPr>
        <w:t> </w:t>
      </w:r>
      <w:r w:rsidR="00B10036" w:rsidRPr="00B10036">
        <w:rPr>
          <w:noProof/>
        </w:rPr>
        <w:t>cel</w:t>
      </w:r>
      <w:r w:rsidRPr="00B10036">
        <w:rPr>
          <w:noProof/>
        </w:rPr>
        <w:t>u zapewnienia czystej</w:t>
      </w:r>
      <w:r w:rsidR="00B10036" w:rsidRPr="00B10036">
        <w:rPr>
          <w:noProof/>
        </w:rPr>
        <w:t xml:space="preserve"> i</w:t>
      </w:r>
      <w:r w:rsidR="00B10036">
        <w:rPr>
          <w:noProof/>
        </w:rPr>
        <w:t> </w:t>
      </w:r>
      <w:r w:rsidR="00B10036" w:rsidRPr="00B10036">
        <w:rPr>
          <w:noProof/>
        </w:rPr>
        <w:t>spr</w:t>
      </w:r>
      <w:r w:rsidRPr="00B10036">
        <w:rPr>
          <w:noProof/>
        </w:rPr>
        <w:t>awiedliwej transformacji energetycznej</w:t>
      </w:r>
      <w:r w:rsidR="00B10036" w:rsidRPr="00B10036">
        <w:rPr>
          <w:noProof/>
        </w:rPr>
        <w:t xml:space="preserve"> w</w:t>
      </w:r>
      <w:r w:rsidR="00B10036">
        <w:rPr>
          <w:noProof/>
        </w:rPr>
        <w:t> </w:t>
      </w:r>
      <w:r w:rsidR="00B10036" w:rsidRPr="00B10036">
        <w:rPr>
          <w:noProof/>
        </w:rPr>
        <w:t>reg</w:t>
      </w:r>
      <w:r w:rsidRPr="00B10036">
        <w:rPr>
          <w:noProof/>
        </w:rPr>
        <w:t>ionach najbardziej obciążonych skutkami transformacji. Biorąc pod uwagę skalę</w:t>
      </w:r>
      <w:r w:rsidR="00B10036" w:rsidRPr="00B10036">
        <w:rPr>
          <w:noProof/>
        </w:rPr>
        <w:t xml:space="preserve"> i</w:t>
      </w:r>
      <w:r w:rsidR="00B10036">
        <w:rPr>
          <w:noProof/>
        </w:rPr>
        <w:t> </w:t>
      </w:r>
      <w:r w:rsidR="00B10036" w:rsidRPr="00B10036">
        <w:rPr>
          <w:noProof/>
        </w:rPr>
        <w:t>sku</w:t>
      </w:r>
      <w:r w:rsidRPr="00B10036">
        <w:rPr>
          <w:noProof/>
        </w:rPr>
        <w:t>tki proponowanych działań, konieczne</w:t>
      </w:r>
      <w:r w:rsidR="00B10036" w:rsidRPr="00B10036">
        <w:rPr>
          <w:noProof/>
        </w:rPr>
        <w:t xml:space="preserve"> i</w:t>
      </w:r>
      <w:r w:rsidR="00B10036">
        <w:rPr>
          <w:noProof/>
        </w:rPr>
        <w:t> </w:t>
      </w:r>
      <w:r w:rsidR="00B10036" w:rsidRPr="00B10036">
        <w:rPr>
          <w:noProof/>
        </w:rPr>
        <w:t>pro</w:t>
      </w:r>
      <w:r w:rsidRPr="00B10036">
        <w:rPr>
          <w:noProof/>
        </w:rPr>
        <w:t xml:space="preserve">porcjonalne wydają się wytyczne dla państw członkowskich. </w:t>
      </w:r>
    </w:p>
    <w:p w14:paraId="22197EC6" w14:textId="25B3EDAA" w:rsidR="00002649" w:rsidRPr="00B10036" w:rsidRDefault="00D30560" w:rsidP="00002649">
      <w:pPr>
        <w:pBdr>
          <w:top w:val="nil"/>
          <w:left w:val="nil"/>
          <w:bottom w:val="nil"/>
          <w:right w:val="nil"/>
          <w:between w:val="nil"/>
          <w:bar w:val="nil"/>
        </w:pBdr>
        <w:spacing w:before="0" w:after="240"/>
        <w:rPr>
          <w:rFonts w:eastAsia="Arial Unicode MS"/>
          <w:noProof/>
        </w:rPr>
      </w:pPr>
      <w:r w:rsidRPr="00B10036">
        <w:rPr>
          <w:noProof/>
        </w:rPr>
        <w:t>Aby uniknąć niepotrzebnych obciążeń administracyjnych dla państw członkowskich, wdrażanie wytycznych dotyczących polityki zawartych</w:t>
      </w:r>
      <w:r w:rsidR="00B10036" w:rsidRPr="00B10036">
        <w:rPr>
          <w:noProof/>
        </w:rPr>
        <w:t xml:space="preserve"> w</w:t>
      </w:r>
      <w:r w:rsidR="00B10036">
        <w:rPr>
          <w:noProof/>
        </w:rPr>
        <w:t> </w:t>
      </w:r>
      <w:r w:rsidR="00B10036" w:rsidRPr="00B10036">
        <w:rPr>
          <w:noProof/>
        </w:rPr>
        <w:t>nin</w:t>
      </w:r>
      <w:r w:rsidRPr="00B10036">
        <w:rPr>
          <w:noProof/>
        </w:rPr>
        <w:t>iejszym zaleceniu będzie monitorowane</w:t>
      </w:r>
      <w:r w:rsidR="00B10036" w:rsidRPr="00B10036">
        <w:rPr>
          <w:noProof/>
        </w:rPr>
        <w:t xml:space="preserve"> w</w:t>
      </w:r>
      <w:r w:rsidR="00B10036">
        <w:rPr>
          <w:noProof/>
        </w:rPr>
        <w:t> </w:t>
      </w:r>
      <w:r w:rsidR="00B10036" w:rsidRPr="00B10036">
        <w:rPr>
          <w:noProof/>
        </w:rPr>
        <w:t>ram</w:t>
      </w:r>
      <w:r w:rsidRPr="00B10036">
        <w:rPr>
          <w:noProof/>
        </w:rPr>
        <w:t>ach procesu europejskiego semestru</w:t>
      </w:r>
      <w:r w:rsidR="00B10036" w:rsidRPr="00B10036">
        <w:rPr>
          <w:noProof/>
        </w:rPr>
        <w:t xml:space="preserve"> i</w:t>
      </w:r>
      <w:r w:rsidR="00B10036">
        <w:rPr>
          <w:noProof/>
        </w:rPr>
        <w:t> </w:t>
      </w:r>
      <w:r w:rsidR="00B10036" w:rsidRPr="00B10036">
        <w:rPr>
          <w:noProof/>
        </w:rPr>
        <w:t>inn</w:t>
      </w:r>
      <w:r w:rsidRPr="00B10036">
        <w:rPr>
          <w:noProof/>
        </w:rPr>
        <w:t>ych istniejących procesów,</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ram</w:t>
      </w:r>
      <w:r w:rsidRPr="00B10036">
        <w:rPr>
          <w:noProof/>
        </w:rPr>
        <w:t>ach zarządzania unią energetyczną</w:t>
      </w:r>
      <w:r w:rsidR="00B10036" w:rsidRPr="00B10036">
        <w:rPr>
          <w:noProof/>
        </w:rPr>
        <w:t xml:space="preserve"> i</w:t>
      </w:r>
      <w:r w:rsidR="00B10036">
        <w:rPr>
          <w:noProof/>
        </w:rPr>
        <w:t> </w:t>
      </w:r>
      <w:r w:rsidR="00B10036" w:rsidRPr="00B10036">
        <w:rPr>
          <w:noProof/>
        </w:rPr>
        <w:t>dzi</w:t>
      </w:r>
      <w:r w:rsidRPr="00B10036">
        <w:rPr>
          <w:noProof/>
        </w:rPr>
        <w:t>ałań</w:t>
      </w:r>
      <w:r w:rsidR="00B10036" w:rsidRPr="00B10036">
        <w:rPr>
          <w:noProof/>
        </w:rPr>
        <w:t xml:space="preserve"> w</w:t>
      </w:r>
      <w:r w:rsidR="00B10036">
        <w:rPr>
          <w:noProof/>
        </w:rPr>
        <w:t> </w:t>
      </w:r>
      <w:r w:rsidR="00B10036" w:rsidRPr="00B10036">
        <w:rPr>
          <w:noProof/>
        </w:rPr>
        <w:t>dzi</w:t>
      </w:r>
      <w:r w:rsidRPr="00B10036">
        <w:rPr>
          <w:noProof/>
        </w:rPr>
        <w:t>edzinie klimatu, stosownie do potrzeb.</w:t>
      </w:r>
    </w:p>
    <w:p w14:paraId="472137D6"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Wybór instrumentu</w:t>
      </w:r>
    </w:p>
    <w:p w14:paraId="6067F8A3" w14:textId="2FF185E9"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Proponowanym instrumentem jest wniosek dotyczący zalecenia Rady, który jest zgodny</w:t>
      </w:r>
      <w:r w:rsidR="00B10036" w:rsidRPr="00B10036">
        <w:rPr>
          <w:noProof/>
        </w:rPr>
        <w:t xml:space="preserve"> z</w:t>
      </w:r>
      <w:r w:rsidR="00B10036">
        <w:rPr>
          <w:noProof/>
        </w:rPr>
        <w:t> </w:t>
      </w:r>
      <w:r w:rsidR="00B10036" w:rsidRPr="00B10036">
        <w:rPr>
          <w:noProof/>
        </w:rPr>
        <w:t>zas</w:t>
      </w:r>
      <w:r w:rsidRPr="00B10036">
        <w:rPr>
          <w:noProof/>
        </w:rPr>
        <w:t>adami pomocniczości</w:t>
      </w:r>
      <w:r w:rsidR="00B10036" w:rsidRPr="00B10036">
        <w:rPr>
          <w:noProof/>
        </w:rPr>
        <w:t xml:space="preserve"> i</w:t>
      </w:r>
      <w:r w:rsidR="00B10036">
        <w:rPr>
          <w:noProof/>
        </w:rPr>
        <w:t> </w:t>
      </w:r>
      <w:r w:rsidR="00B10036" w:rsidRPr="00B10036">
        <w:rPr>
          <w:noProof/>
        </w:rPr>
        <w:t>pro</w:t>
      </w:r>
      <w:r w:rsidRPr="00B10036">
        <w:rPr>
          <w:noProof/>
        </w:rPr>
        <w:t>porcjonalności. Opiera się na istniejącym dorobku prawnym Unii Europejskiej oraz jest zgodny</w:t>
      </w:r>
      <w:r w:rsidR="00B10036" w:rsidRPr="00B10036">
        <w:rPr>
          <w:noProof/>
        </w:rPr>
        <w:t xml:space="preserve"> z</w:t>
      </w:r>
      <w:r w:rsidR="00B10036">
        <w:rPr>
          <w:noProof/>
        </w:rPr>
        <w:t> </w:t>
      </w:r>
      <w:r w:rsidR="00B10036" w:rsidRPr="00B10036">
        <w:rPr>
          <w:noProof/>
        </w:rPr>
        <w:t>rod</w:t>
      </w:r>
      <w:r w:rsidRPr="00B10036">
        <w:rPr>
          <w:noProof/>
        </w:rPr>
        <w:t>zajem instrumentu, który jest dostępny do celów działań Unii Europejskiej</w:t>
      </w:r>
      <w:r w:rsidR="00B10036" w:rsidRPr="00B10036">
        <w:rPr>
          <w:noProof/>
        </w:rPr>
        <w:t xml:space="preserve"> w</w:t>
      </w:r>
      <w:r w:rsidR="00B10036">
        <w:rPr>
          <w:noProof/>
        </w:rPr>
        <w:t> </w:t>
      </w:r>
      <w:r w:rsidR="00B10036" w:rsidRPr="00B10036">
        <w:rPr>
          <w:noProof/>
        </w:rPr>
        <w:t>zak</w:t>
      </w:r>
      <w:r w:rsidRPr="00B10036">
        <w:rPr>
          <w:noProof/>
        </w:rPr>
        <w:t>resie zatrudnienia</w:t>
      </w:r>
      <w:r w:rsidR="00B10036" w:rsidRPr="00B10036">
        <w:rPr>
          <w:noProof/>
        </w:rPr>
        <w:t xml:space="preserve"> i</w:t>
      </w:r>
      <w:r w:rsidR="00B10036">
        <w:rPr>
          <w:noProof/>
        </w:rPr>
        <w:t> </w:t>
      </w:r>
      <w:r w:rsidR="00B10036" w:rsidRPr="00B10036">
        <w:rPr>
          <w:noProof/>
        </w:rPr>
        <w:t>pol</w:t>
      </w:r>
      <w:r w:rsidRPr="00B10036">
        <w:rPr>
          <w:noProof/>
        </w:rPr>
        <w:t>ityki społecznej. Określa się</w:t>
      </w:r>
      <w:r w:rsidR="00B10036" w:rsidRPr="00B10036">
        <w:rPr>
          <w:noProof/>
        </w:rPr>
        <w:t xml:space="preserve"> w</w:t>
      </w:r>
      <w:r w:rsidR="00B10036">
        <w:rPr>
          <w:noProof/>
        </w:rPr>
        <w:t> </w:t>
      </w:r>
      <w:r w:rsidR="00B10036" w:rsidRPr="00B10036">
        <w:rPr>
          <w:noProof/>
        </w:rPr>
        <w:t>nim</w:t>
      </w:r>
      <w:r w:rsidRPr="00B10036">
        <w:rPr>
          <w:noProof/>
        </w:rPr>
        <w:t xml:space="preserve"> środki do rozważenia przez państwa członkowskie</w:t>
      </w:r>
      <w:r w:rsidR="00B10036" w:rsidRPr="00B10036">
        <w:rPr>
          <w:noProof/>
        </w:rPr>
        <w:t xml:space="preserve"> i</w:t>
      </w:r>
      <w:r w:rsidR="00B10036">
        <w:rPr>
          <w:noProof/>
        </w:rPr>
        <w:t> </w:t>
      </w:r>
      <w:r w:rsidR="00B10036" w:rsidRPr="00B10036">
        <w:rPr>
          <w:noProof/>
        </w:rPr>
        <w:t>sta</w:t>
      </w:r>
      <w:r w:rsidRPr="00B10036">
        <w:rPr>
          <w:noProof/>
        </w:rPr>
        <w:t>nowi on solidną podstawę do współpracy na szczeblu Unii Europejskiej</w:t>
      </w:r>
      <w:r w:rsidR="00B10036" w:rsidRPr="00B10036">
        <w:rPr>
          <w:noProof/>
        </w:rPr>
        <w:t xml:space="preserve"> w</w:t>
      </w:r>
      <w:r w:rsidR="00B10036">
        <w:rPr>
          <w:noProof/>
        </w:rPr>
        <w:t> </w:t>
      </w:r>
      <w:r w:rsidR="00B10036" w:rsidRPr="00B10036">
        <w:rPr>
          <w:noProof/>
        </w:rPr>
        <w:t>tej</w:t>
      </w:r>
      <w:r w:rsidRPr="00B10036">
        <w:rPr>
          <w:noProof/>
        </w:rPr>
        <w:t xml:space="preserve"> dziedzinie, przy pełnym poszanowaniu kompetencji państw członkowskich</w:t>
      </w:r>
      <w:r w:rsidR="00B10036" w:rsidRPr="00B10036">
        <w:rPr>
          <w:noProof/>
        </w:rPr>
        <w:t xml:space="preserve"> w</w:t>
      </w:r>
      <w:r w:rsidR="00B10036">
        <w:rPr>
          <w:noProof/>
        </w:rPr>
        <w:t> </w:t>
      </w:r>
      <w:r w:rsidR="00B10036" w:rsidRPr="00B10036">
        <w:rPr>
          <w:noProof/>
        </w:rPr>
        <w:t>odp</w:t>
      </w:r>
      <w:r w:rsidRPr="00B10036">
        <w:rPr>
          <w:noProof/>
        </w:rPr>
        <w:t>owiednich dziedzinach polityki.</w:t>
      </w:r>
    </w:p>
    <w:p w14:paraId="0FBA74A3" w14:textId="77777777" w:rsidR="00002649" w:rsidRPr="00B10036" w:rsidRDefault="00002649" w:rsidP="00002649">
      <w:pPr>
        <w:pStyle w:val="ManualHeading1"/>
        <w:rPr>
          <w:noProof/>
        </w:rPr>
      </w:pPr>
      <w:r w:rsidRPr="00B10036">
        <w:rPr>
          <w:noProof/>
        </w:rPr>
        <w:t>3.</w:t>
      </w:r>
      <w:r w:rsidRPr="00B10036">
        <w:rPr>
          <w:noProof/>
        </w:rPr>
        <w:tab/>
        <w:t xml:space="preserve">WYNIKI OCEN </w:t>
      </w:r>
      <w:r w:rsidRPr="00B10036">
        <w:rPr>
          <w:i/>
          <w:iCs/>
          <w:noProof/>
        </w:rPr>
        <w:t>EX POST</w:t>
      </w:r>
      <w:r w:rsidRPr="00B10036">
        <w:rPr>
          <w:noProof/>
        </w:rPr>
        <w:t>, KONSULTACJI Z ZAINTERESOWANYMI STRONAMI I OCEN SKUTKÓW</w:t>
      </w:r>
    </w:p>
    <w:p w14:paraId="7F194882"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 xml:space="preserve">Oceny </w:t>
      </w:r>
      <w:r w:rsidRPr="00B10036">
        <w:rPr>
          <w:i/>
          <w:iCs/>
          <w:noProof/>
          <w:bdr w:val="nil"/>
        </w:rPr>
        <w:t>ex post</w:t>
      </w:r>
      <w:r w:rsidRPr="00B10036">
        <w:rPr>
          <w:noProof/>
          <w:bdr w:val="nil"/>
        </w:rPr>
        <w:t>/oceny adekwatności obowiązującego prawodawstwa</w:t>
      </w:r>
    </w:p>
    <w:p w14:paraId="07FFA561" w14:textId="77777777"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Nie dotyczy.</w:t>
      </w:r>
    </w:p>
    <w:p w14:paraId="75784158" w14:textId="5DBFDDF3"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Konsultacje</w:t>
      </w:r>
      <w:r w:rsidR="00B10036" w:rsidRPr="00B10036">
        <w:rPr>
          <w:noProof/>
          <w:bdr w:val="nil"/>
        </w:rPr>
        <w:t xml:space="preserve"> z</w:t>
      </w:r>
      <w:r w:rsidR="00B10036">
        <w:rPr>
          <w:noProof/>
          <w:bdr w:val="nil"/>
        </w:rPr>
        <w:t> </w:t>
      </w:r>
      <w:r w:rsidR="00B10036" w:rsidRPr="00B10036">
        <w:rPr>
          <w:noProof/>
          <w:bdr w:val="nil"/>
        </w:rPr>
        <w:t>zai</w:t>
      </w:r>
      <w:r w:rsidRPr="00B10036">
        <w:rPr>
          <w:noProof/>
          <w:bdr w:val="nil"/>
        </w:rPr>
        <w:t>nteresowanymi stronami</w:t>
      </w:r>
    </w:p>
    <w:p w14:paraId="216FB545" w14:textId="50FC0075" w:rsidR="00002649" w:rsidRPr="00B10036" w:rsidRDefault="00002649" w:rsidP="00002649">
      <w:pPr>
        <w:pStyle w:val="Text1"/>
        <w:ind w:left="0"/>
        <w:rPr>
          <w:noProof/>
        </w:rPr>
      </w:pPr>
      <w:r w:rsidRPr="00B10036">
        <w:rPr>
          <w:noProof/>
        </w:rPr>
        <w:t>Służby Komisji przeprowadziły już szereg ogólnych</w:t>
      </w:r>
      <w:r w:rsidR="00B10036" w:rsidRPr="00B10036">
        <w:rPr>
          <w:noProof/>
        </w:rPr>
        <w:t xml:space="preserve"> i</w:t>
      </w:r>
      <w:r w:rsidR="00B10036">
        <w:rPr>
          <w:noProof/>
        </w:rPr>
        <w:t> </w:t>
      </w:r>
      <w:r w:rsidR="00B10036" w:rsidRPr="00B10036">
        <w:rPr>
          <w:noProof/>
        </w:rPr>
        <w:t>uki</w:t>
      </w:r>
      <w:r w:rsidRPr="00B10036">
        <w:rPr>
          <w:noProof/>
        </w:rPr>
        <w:t>erunkowanych konsultacji</w:t>
      </w:r>
      <w:r w:rsidR="00B10036" w:rsidRPr="00B10036">
        <w:rPr>
          <w:noProof/>
        </w:rPr>
        <w:t xml:space="preserve"> w</w:t>
      </w:r>
      <w:r w:rsidR="00B10036">
        <w:rPr>
          <w:noProof/>
        </w:rPr>
        <w:t> </w:t>
      </w:r>
      <w:r w:rsidR="00B10036" w:rsidRPr="00B10036">
        <w:rPr>
          <w:noProof/>
        </w:rPr>
        <w:t>spr</w:t>
      </w:r>
      <w:r w:rsidRPr="00B10036">
        <w:rPr>
          <w:noProof/>
        </w:rPr>
        <w:t>awie zielonej transformacji,</w:t>
      </w:r>
      <w:r w:rsidR="00B10036" w:rsidRPr="00B10036">
        <w:rPr>
          <w:noProof/>
        </w:rPr>
        <w:t xml:space="preserve"> w</w:t>
      </w:r>
      <w:r w:rsidR="00B10036">
        <w:rPr>
          <w:noProof/>
        </w:rPr>
        <w:t> </w:t>
      </w:r>
      <w:r w:rsidR="00B10036" w:rsidRPr="00B10036">
        <w:rPr>
          <w:noProof/>
        </w:rPr>
        <w:t>tym</w:t>
      </w:r>
      <w:r w:rsidRPr="00B10036">
        <w:rPr>
          <w:noProof/>
        </w:rPr>
        <w:t xml:space="preserve"> jej aspektów społecznych</w:t>
      </w:r>
      <w:r w:rsidR="00B10036" w:rsidRPr="00B10036">
        <w:rPr>
          <w:noProof/>
        </w:rPr>
        <w:t xml:space="preserve"> i</w:t>
      </w:r>
      <w:r w:rsidR="00B10036">
        <w:rPr>
          <w:noProof/>
        </w:rPr>
        <w:t> </w:t>
      </w:r>
      <w:r w:rsidR="00B10036" w:rsidRPr="00B10036">
        <w:rPr>
          <w:noProof/>
        </w:rPr>
        <w:t>pra</w:t>
      </w:r>
      <w:r w:rsidRPr="00B10036">
        <w:rPr>
          <w:noProof/>
        </w:rPr>
        <w:t>cowniczych,</w:t>
      </w:r>
      <w:r w:rsidR="00B10036" w:rsidRPr="00B10036">
        <w:rPr>
          <w:noProof/>
        </w:rPr>
        <w:t xml:space="preserve"> w</w:t>
      </w:r>
      <w:r w:rsidR="00B10036">
        <w:rPr>
          <w:noProof/>
        </w:rPr>
        <w:t> </w:t>
      </w:r>
      <w:r w:rsidR="00B10036" w:rsidRPr="00B10036">
        <w:rPr>
          <w:noProof/>
        </w:rPr>
        <w:t>szc</w:t>
      </w:r>
      <w:r w:rsidRPr="00B10036">
        <w:rPr>
          <w:noProof/>
        </w:rPr>
        <w:t>zególności za pośrednictwem:</w:t>
      </w:r>
    </w:p>
    <w:p w14:paraId="5589EBE9" w14:textId="4930AFE8" w:rsidR="00002649" w:rsidRPr="00B10036" w:rsidRDefault="00F67576" w:rsidP="00AC6A4F">
      <w:pPr>
        <w:pStyle w:val="Bullet1"/>
        <w:numPr>
          <w:ilvl w:val="0"/>
          <w:numId w:val="6"/>
        </w:numPr>
        <w:rPr>
          <w:noProof/>
        </w:rPr>
      </w:pPr>
      <w:r w:rsidRPr="00B10036">
        <w:rPr>
          <w:noProof/>
        </w:rPr>
        <w:t>ukierunkowanych konsultacji,</w:t>
      </w:r>
      <w:r w:rsidR="00B10036" w:rsidRPr="00B10036">
        <w:rPr>
          <w:noProof/>
        </w:rPr>
        <w:t xml:space="preserve"> a</w:t>
      </w:r>
      <w:r w:rsidR="00B10036">
        <w:rPr>
          <w:noProof/>
        </w:rPr>
        <w:t> </w:t>
      </w:r>
      <w:r w:rsidR="00B10036" w:rsidRPr="00B10036">
        <w:rPr>
          <w:noProof/>
        </w:rPr>
        <w:t>tak</w:t>
      </w:r>
      <w:r w:rsidRPr="00B10036">
        <w:rPr>
          <w:noProof/>
        </w:rPr>
        <w:t>że internetowych konsultacji publicznych</w:t>
      </w:r>
      <w:r w:rsidR="00B10036" w:rsidRPr="00B10036">
        <w:rPr>
          <w:noProof/>
        </w:rPr>
        <w:t xml:space="preserve"> w</w:t>
      </w:r>
      <w:r w:rsidR="00B10036">
        <w:rPr>
          <w:noProof/>
        </w:rPr>
        <w:t> </w:t>
      </w:r>
      <w:r w:rsidR="00B10036" w:rsidRPr="00B10036">
        <w:rPr>
          <w:noProof/>
        </w:rPr>
        <w:t>ram</w:t>
      </w:r>
      <w:r w:rsidRPr="00B10036">
        <w:rPr>
          <w:noProof/>
        </w:rPr>
        <w:t>ach pakietów legislacyjnych „Gotowi na</w:t>
      </w:r>
      <w:r w:rsidR="00B10036" w:rsidRPr="00B10036">
        <w:rPr>
          <w:noProof/>
        </w:rPr>
        <w:t> </w:t>
      </w:r>
      <w:r w:rsidRPr="00B10036">
        <w:rPr>
          <w:noProof/>
        </w:rPr>
        <w:t>55”</w:t>
      </w:r>
      <w:r w:rsidR="00B10036" w:rsidRPr="00B10036">
        <w:rPr>
          <w:noProof/>
        </w:rPr>
        <w:t xml:space="preserve"> z</w:t>
      </w:r>
      <w:r w:rsidR="00B10036">
        <w:rPr>
          <w:noProof/>
        </w:rPr>
        <w:t> </w:t>
      </w:r>
      <w:r w:rsidR="00B10036" w:rsidRPr="00B10036">
        <w:rPr>
          <w:noProof/>
        </w:rPr>
        <w:t>lip</w:t>
      </w:r>
      <w:r w:rsidRPr="00B10036">
        <w:rPr>
          <w:noProof/>
        </w:rPr>
        <w:t>ca 2021</w:t>
      </w:r>
      <w:r w:rsidR="00B10036" w:rsidRPr="00B10036">
        <w:rPr>
          <w:noProof/>
        </w:rPr>
        <w:t> </w:t>
      </w:r>
      <w:r w:rsidRPr="00B10036">
        <w:rPr>
          <w:noProof/>
        </w:rPr>
        <w:t>r.</w:t>
      </w:r>
      <w:r w:rsidR="00B10036" w:rsidRPr="00B10036">
        <w:rPr>
          <w:noProof/>
        </w:rPr>
        <w:t xml:space="preserve"> i</w:t>
      </w:r>
      <w:r w:rsidR="00B10036">
        <w:rPr>
          <w:noProof/>
        </w:rPr>
        <w:t> </w:t>
      </w:r>
      <w:r w:rsidR="00B10036" w:rsidRPr="00B10036">
        <w:rPr>
          <w:noProof/>
        </w:rPr>
        <w:t>gru</w:t>
      </w:r>
      <w:r w:rsidRPr="00B10036">
        <w:rPr>
          <w:noProof/>
        </w:rPr>
        <w:t>dnia 2021</w:t>
      </w:r>
      <w:r w:rsidR="00B10036" w:rsidRPr="00B10036">
        <w:rPr>
          <w:noProof/>
        </w:rPr>
        <w:t> </w:t>
      </w:r>
      <w:r w:rsidRPr="00B10036">
        <w:rPr>
          <w:noProof/>
        </w:rPr>
        <w:t>r. (np. unijny system handlu uprawnieniami do emisji, dyrektywa</w:t>
      </w:r>
      <w:r w:rsidR="00B10036" w:rsidRPr="00B10036">
        <w:rPr>
          <w:noProof/>
        </w:rPr>
        <w:t xml:space="preserve"> w</w:t>
      </w:r>
      <w:r w:rsidR="00B10036">
        <w:rPr>
          <w:noProof/>
        </w:rPr>
        <w:t> </w:t>
      </w:r>
      <w:r w:rsidR="00B10036" w:rsidRPr="00B10036">
        <w:rPr>
          <w:noProof/>
        </w:rPr>
        <w:t>spr</w:t>
      </w:r>
      <w:r w:rsidRPr="00B10036">
        <w:rPr>
          <w:noProof/>
        </w:rPr>
        <w:t>awie opodatkowania energii, dyrektywa</w:t>
      </w:r>
      <w:r w:rsidR="00B10036" w:rsidRPr="00B10036">
        <w:rPr>
          <w:noProof/>
        </w:rPr>
        <w:t xml:space="preserve"> w</w:t>
      </w:r>
      <w:r w:rsidR="00B10036">
        <w:rPr>
          <w:noProof/>
        </w:rPr>
        <w:t> </w:t>
      </w:r>
      <w:r w:rsidR="00B10036" w:rsidRPr="00B10036">
        <w:rPr>
          <w:noProof/>
        </w:rPr>
        <w:t>spr</w:t>
      </w:r>
      <w:r w:rsidRPr="00B10036">
        <w:rPr>
          <w:noProof/>
        </w:rPr>
        <w:t>awie efektywności energetycznej, dyrektywa</w:t>
      </w:r>
      <w:r w:rsidR="00B10036" w:rsidRPr="00B10036">
        <w:rPr>
          <w:noProof/>
        </w:rPr>
        <w:t xml:space="preserve"> w</w:t>
      </w:r>
      <w:r w:rsidR="00B10036">
        <w:rPr>
          <w:noProof/>
        </w:rPr>
        <w:t> </w:t>
      </w:r>
      <w:r w:rsidR="00B10036" w:rsidRPr="00B10036">
        <w:rPr>
          <w:noProof/>
        </w:rPr>
        <w:t>spr</w:t>
      </w:r>
      <w:r w:rsidRPr="00B10036">
        <w:rPr>
          <w:noProof/>
        </w:rPr>
        <w:t>awie charakterystyki energetycznej budynków</w:t>
      </w:r>
      <w:r w:rsidR="00B10036" w:rsidRPr="00B10036">
        <w:rPr>
          <w:noProof/>
        </w:rPr>
        <w:t xml:space="preserve"> i</w:t>
      </w:r>
      <w:r w:rsidR="00B10036">
        <w:rPr>
          <w:noProof/>
        </w:rPr>
        <w:t> </w:t>
      </w:r>
      <w:r w:rsidR="00B10036" w:rsidRPr="00B10036">
        <w:rPr>
          <w:noProof/>
        </w:rPr>
        <w:t>inn</w:t>
      </w:r>
      <w:r w:rsidRPr="00B10036">
        <w:rPr>
          <w:noProof/>
        </w:rPr>
        <w:t>e);</w:t>
      </w:r>
    </w:p>
    <w:p w14:paraId="272C2D4D" w14:textId="6B69896C" w:rsidR="00002649" w:rsidRPr="00B10036" w:rsidRDefault="00002649" w:rsidP="00AC6A4F">
      <w:pPr>
        <w:pStyle w:val="Bullet1"/>
        <w:numPr>
          <w:ilvl w:val="0"/>
          <w:numId w:val="6"/>
        </w:numPr>
        <w:rPr>
          <w:noProof/>
        </w:rPr>
      </w:pPr>
      <w:r w:rsidRPr="00B10036">
        <w:rPr>
          <w:noProof/>
        </w:rPr>
        <w:t>dwustronnych/wielostronnych spotkań zainteresowanych stron,</w:t>
      </w:r>
      <w:r w:rsidR="00B10036" w:rsidRPr="00B10036">
        <w:rPr>
          <w:noProof/>
        </w:rPr>
        <w:t xml:space="preserve"> w</w:t>
      </w:r>
      <w:r w:rsidR="00B10036">
        <w:rPr>
          <w:noProof/>
        </w:rPr>
        <w:t> </w:t>
      </w:r>
      <w:r w:rsidR="00B10036" w:rsidRPr="00B10036">
        <w:rPr>
          <w:noProof/>
        </w:rPr>
        <w:t>tym</w:t>
      </w:r>
      <w:r w:rsidRPr="00B10036">
        <w:rPr>
          <w:noProof/>
        </w:rPr>
        <w:t xml:space="preserve"> ponad 50 spotkań dotyczących przeglądu systemu handlu emisjami,</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kon</w:t>
      </w:r>
      <w:r w:rsidRPr="00B10036">
        <w:rPr>
          <w:noProof/>
        </w:rPr>
        <w:t>tekście pakietu przyjętego</w:t>
      </w:r>
      <w:r w:rsidR="00B10036" w:rsidRPr="00B10036">
        <w:rPr>
          <w:noProof/>
        </w:rPr>
        <w:t xml:space="preserve"> w</w:t>
      </w:r>
      <w:r w:rsidR="00B10036">
        <w:rPr>
          <w:noProof/>
        </w:rPr>
        <w:t> </w:t>
      </w:r>
      <w:r w:rsidR="00B10036" w:rsidRPr="00B10036">
        <w:rPr>
          <w:noProof/>
        </w:rPr>
        <w:t>dni</w:t>
      </w:r>
      <w:r w:rsidRPr="00B10036">
        <w:rPr>
          <w:noProof/>
        </w:rPr>
        <w:t>u 14 lipca 2021</w:t>
      </w:r>
      <w:r w:rsidR="00B10036" w:rsidRPr="00B10036">
        <w:rPr>
          <w:noProof/>
        </w:rPr>
        <w:t> </w:t>
      </w:r>
      <w:r w:rsidRPr="00B10036">
        <w:rPr>
          <w:noProof/>
        </w:rPr>
        <w:t>r.;</w:t>
      </w:r>
    </w:p>
    <w:p w14:paraId="64D2ACC6" w14:textId="4B03A4AA" w:rsidR="00002649" w:rsidRPr="00B10036" w:rsidRDefault="00002649" w:rsidP="00AC6A4F">
      <w:pPr>
        <w:pStyle w:val="Bullet1"/>
        <w:numPr>
          <w:ilvl w:val="0"/>
          <w:numId w:val="6"/>
        </w:numPr>
        <w:rPr>
          <w:noProof/>
        </w:rPr>
      </w:pPr>
      <w:r w:rsidRPr="00B10036">
        <w:rPr>
          <w:noProof/>
        </w:rPr>
        <w:t>otwartych konsultacji publicznych</w:t>
      </w:r>
      <w:r w:rsidR="00B10036" w:rsidRPr="00B10036">
        <w:rPr>
          <w:noProof/>
        </w:rPr>
        <w:t xml:space="preserve"> w</w:t>
      </w:r>
      <w:r w:rsidR="00B10036">
        <w:rPr>
          <w:noProof/>
        </w:rPr>
        <w:t> </w:t>
      </w:r>
      <w:r w:rsidR="00B10036" w:rsidRPr="00B10036">
        <w:rPr>
          <w:noProof/>
        </w:rPr>
        <w:t>int</w:t>
      </w:r>
      <w:r w:rsidRPr="00B10036">
        <w:rPr>
          <w:noProof/>
        </w:rPr>
        <w:t>ernecie</w:t>
      </w:r>
      <w:r w:rsidR="00B10036" w:rsidRPr="00B10036">
        <w:rPr>
          <w:noProof/>
        </w:rPr>
        <w:t xml:space="preserve"> w</w:t>
      </w:r>
      <w:r w:rsidR="00B10036">
        <w:rPr>
          <w:noProof/>
        </w:rPr>
        <w:t> </w:t>
      </w:r>
      <w:r w:rsidR="00B10036" w:rsidRPr="00B10036">
        <w:rPr>
          <w:noProof/>
        </w:rPr>
        <w:t>spr</w:t>
      </w:r>
      <w:r w:rsidRPr="00B10036">
        <w:rPr>
          <w:noProof/>
        </w:rPr>
        <w:t>awie Planu</w:t>
      </w:r>
      <w:r w:rsidR="00B10036" w:rsidRPr="00B10036">
        <w:rPr>
          <w:noProof/>
        </w:rPr>
        <w:t xml:space="preserve"> w</w:t>
      </w:r>
      <w:r w:rsidR="00B10036">
        <w:rPr>
          <w:noProof/>
        </w:rPr>
        <w:t> </w:t>
      </w:r>
      <w:r w:rsidR="00B10036" w:rsidRPr="00B10036">
        <w:rPr>
          <w:noProof/>
        </w:rPr>
        <w:t>zak</w:t>
      </w:r>
      <w:r w:rsidRPr="00B10036">
        <w:rPr>
          <w:noProof/>
        </w:rPr>
        <w:t>resie celów klimatycznych na</w:t>
      </w:r>
      <w:r w:rsidR="00B10036" w:rsidRPr="00B10036">
        <w:rPr>
          <w:noProof/>
        </w:rPr>
        <w:t> </w:t>
      </w:r>
      <w:r w:rsidRPr="00B10036">
        <w:rPr>
          <w:noProof/>
        </w:rPr>
        <w:t>2030</w:t>
      </w:r>
      <w:r w:rsidR="00B10036" w:rsidRPr="00B10036">
        <w:rPr>
          <w:noProof/>
        </w:rPr>
        <w:t> </w:t>
      </w:r>
      <w:r w:rsidRPr="00B10036">
        <w:rPr>
          <w:noProof/>
        </w:rPr>
        <w:t>r. (marzec–czerwiec 2020</w:t>
      </w:r>
      <w:r w:rsidR="00B10036" w:rsidRPr="00B10036">
        <w:rPr>
          <w:noProof/>
        </w:rPr>
        <w:t> </w:t>
      </w:r>
      <w:r w:rsidRPr="00B10036">
        <w:rPr>
          <w:noProof/>
        </w:rPr>
        <w:t>r.; ponad 1 000 odpowiedzi) po czterotygodniowych konsultacjach</w:t>
      </w:r>
      <w:r w:rsidR="00B10036" w:rsidRPr="00B10036">
        <w:rPr>
          <w:noProof/>
        </w:rPr>
        <w:t xml:space="preserve"> w</w:t>
      </w:r>
      <w:r w:rsidR="00B10036">
        <w:rPr>
          <w:noProof/>
        </w:rPr>
        <w:t> </w:t>
      </w:r>
      <w:r w:rsidR="00B10036" w:rsidRPr="00B10036">
        <w:rPr>
          <w:noProof/>
        </w:rPr>
        <w:t>spr</w:t>
      </w:r>
      <w:r w:rsidRPr="00B10036">
        <w:rPr>
          <w:noProof/>
        </w:rPr>
        <w:t>awie wstępnej oceny skutków.</w:t>
      </w:r>
    </w:p>
    <w:p w14:paraId="013B24EA" w14:textId="082056F5" w:rsidR="00F67576" w:rsidRPr="00B10036" w:rsidRDefault="00F67576" w:rsidP="00071578">
      <w:pPr>
        <w:pStyle w:val="Text1"/>
        <w:spacing w:afterLines="120" w:after="288"/>
        <w:ind w:left="0"/>
        <w:rPr>
          <w:noProof/>
        </w:rPr>
      </w:pPr>
      <w:r w:rsidRPr="00B10036">
        <w:rPr>
          <w:noProof/>
        </w:rPr>
        <w:t>W celu przygotowania niniejszego wniosku dotyczącego zalecenia Rady Komisja przeprowadziła</w:t>
      </w:r>
      <w:r w:rsidR="00B10036" w:rsidRPr="00B10036">
        <w:rPr>
          <w:noProof/>
        </w:rPr>
        <w:t xml:space="preserve"> w</w:t>
      </w:r>
      <w:r w:rsidR="00B10036">
        <w:rPr>
          <w:noProof/>
        </w:rPr>
        <w:t> </w:t>
      </w:r>
      <w:r w:rsidR="00B10036" w:rsidRPr="00B10036">
        <w:rPr>
          <w:noProof/>
        </w:rPr>
        <w:t>paź</w:t>
      </w:r>
      <w:r w:rsidRPr="00B10036">
        <w:rPr>
          <w:noProof/>
        </w:rPr>
        <w:t>dzierniku</w:t>
      </w:r>
      <w:r w:rsidR="00B10036" w:rsidRPr="00B10036">
        <w:rPr>
          <w:noProof/>
        </w:rPr>
        <w:t xml:space="preserve"> i</w:t>
      </w:r>
      <w:r w:rsidR="00B10036">
        <w:rPr>
          <w:noProof/>
        </w:rPr>
        <w:t> </w:t>
      </w:r>
      <w:r w:rsidR="00B10036" w:rsidRPr="00B10036">
        <w:rPr>
          <w:noProof/>
        </w:rPr>
        <w:t>lis</w:t>
      </w:r>
      <w:r w:rsidRPr="00B10036">
        <w:rPr>
          <w:noProof/>
        </w:rPr>
        <w:t>topadzie 2021</w:t>
      </w:r>
      <w:r w:rsidR="00B10036" w:rsidRPr="00B10036">
        <w:rPr>
          <w:noProof/>
        </w:rPr>
        <w:t> </w:t>
      </w:r>
      <w:r w:rsidRPr="00B10036">
        <w:rPr>
          <w:noProof/>
        </w:rPr>
        <w:t xml:space="preserve">r. </w:t>
      </w:r>
      <w:r w:rsidRPr="00B10036">
        <w:rPr>
          <w:b/>
          <w:noProof/>
        </w:rPr>
        <w:t>ukierunkowane konsultacje</w:t>
      </w:r>
      <w:r w:rsidR="00B10036" w:rsidRPr="00B10036">
        <w:rPr>
          <w:b/>
          <w:noProof/>
        </w:rPr>
        <w:t xml:space="preserve"> i</w:t>
      </w:r>
      <w:r w:rsidR="00B10036">
        <w:rPr>
          <w:b/>
          <w:noProof/>
        </w:rPr>
        <w:t> </w:t>
      </w:r>
      <w:r w:rsidR="00B10036" w:rsidRPr="00B10036">
        <w:rPr>
          <w:b/>
          <w:noProof/>
        </w:rPr>
        <w:t>wym</w:t>
      </w:r>
      <w:r w:rsidRPr="00B10036">
        <w:rPr>
          <w:b/>
          <w:noProof/>
        </w:rPr>
        <w:t>iany</w:t>
      </w:r>
      <w:r w:rsidR="00B10036" w:rsidRPr="00B10036">
        <w:rPr>
          <w:noProof/>
        </w:rPr>
        <w:t xml:space="preserve"> z</w:t>
      </w:r>
      <w:r w:rsidR="00B10036">
        <w:rPr>
          <w:noProof/>
        </w:rPr>
        <w:t> </w:t>
      </w:r>
      <w:r w:rsidR="00B10036" w:rsidRPr="00B10036">
        <w:rPr>
          <w:noProof/>
        </w:rPr>
        <w:t>Kom</w:t>
      </w:r>
      <w:r w:rsidRPr="00B10036">
        <w:rPr>
          <w:noProof/>
        </w:rPr>
        <w:t>itetem ds. Zatrudnienia (EMCO), Komitetem Ochrony Socjalnej (SPC), Komitetem Polityki Gospodarczej (EPC), europejskimi partnerami społecznymi</w:t>
      </w:r>
      <w:r w:rsidR="00B10036" w:rsidRPr="00B10036">
        <w:rPr>
          <w:noProof/>
        </w:rPr>
        <w:t xml:space="preserve"> i</w:t>
      </w:r>
      <w:r w:rsidR="00B10036">
        <w:rPr>
          <w:noProof/>
        </w:rPr>
        <w:t> </w:t>
      </w:r>
      <w:r w:rsidR="00B10036" w:rsidRPr="00B10036">
        <w:rPr>
          <w:noProof/>
        </w:rPr>
        <w:t>org</w:t>
      </w:r>
      <w:r w:rsidRPr="00B10036">
        <w:rPr>
          <w:noProof/>
        </w:rPr>
        <w:t>anizacjami społeczeństwa obywatelskiego działającymi</w:t>
      </w:r>
      <w:r w:rsidR="00B10036" w:rsidRPr="00B10036">
        <w:rPr>
          <w:noProof/>
        </w:rPr>
        <w:t xml:space="preserve"> w</w:t>
      </w:r>
      <w:r w:rsidR="00B10036">
        <w:rPr>
          <w:noProof/>
        </w:rPr>
        <w:t> </w:t>
      </w:r>
      <w:r w:rsidR="00B10036" w:rsidRPr="00B10036">
        <w:rPr>
          <w:noProof/>
        </w:rPr>
        <w:t>obs</w:t>
      </w:r>
      <w:r w:rsidRPr="00B10036">
        <w:rPr>
          <w:noProof/>
        </w:rPr>
        <w:t>zarze polityki dotyczącej niepełnosprawności, polityki społecznej</w:t>
      </w:r>
      <w:r w:rsidR="00B10036" w:rsidRPr="00B10036">
        <w:rPr>
          <w:noProof/>
        </w:rPr>
        <w:t xml:space="preserve"> i</w:t>
      </w:r>
      <w:r w:rsidR="00B10036">
        <w:rPr>
          <w:noProof/>
        </w:rPr>
        <w:t> </w:t>
      </w:r>
      <w:r w:rsidR="00B10036" w:rsidRPr="00B10036">
        <w:rPr>
          <w:noProof/>
        </w:rPr>
        <w:t>pol</w:t>
      </w:r>
      <w:r w:rsidRPr="00B10036">
        <w:rPr>
          <w:noProof/>
        </w:rPr>
        <w:t xml:space="preserve">ityki zatrudnienia. </w:t>
      </w:r>
    </w:p>
    <w:p w14:paraId="5503D795" w14:textId="36600AD4" w:rsidR="000A122F" w:rsidRPr="00B10036" w:rsidRDefault="00F67576" w:rsidP="00071578">
      <w:pPr>
        <w:pStyle w:val="Text1"/>
        <w:spacing w:afterLines="120" w:after="288"/>
        <w:ind w:left="0"/>
        <w:rPr>
          <w:noProof/>
        </w:rPr>
      </w:pPr>
      <w:r w:rsidRPr="00B10036">
        <w:rPr>
          <w:noProof/>
        </w:rPr>
        <w:t>Konsultacje zapewniły szerokie poparcie dla inicjatywy dotyczącej społecznych</w:t>
      </w:r>
      <w:r w:rsidR="00B10036" w:rsidRPr="00B10036">
        <w:rPr>
          <w:noProof/>
        </w:rPr>
        <w:t xml:space="preserve"> i</w:t>
      </w:r>
      <w:r w:rsidR="00B10036">
        <w:rPr>
          <w:noProof/>
        </w:rPr>
        <w:t> </w:t>
      </w:r>
      <w:r w:rsidR="00B10036" w:rsidRPr="00B10036">
        <w:rPr>
          <w:noProof/>
        </w:rPr>
        <w:t>pra</w:t>
      </w:r>
      <w:r w:rsidRPr="00B10036">
        <w:rPr>
          <w:noProof/>
        </w:rPr>
        <w:t>cowniczych aspektów transformacji</w:t>
      </w:r>
      <w:r w:rsidR="00B10036" w:rsidRPr="00B10036">
        <w:rPr>
          <w:noProof/>
        </w:rPr>
        <w:t xml:space="preserve"> i</w:t>
      </w:r>
      <w:r w:rsidR="00B10036">
        <w:rPr>
          <w:noProof/>
        </w:rPr>
        <w:t> </w:t>
      </w:r>
      <w:r w:rsidR="00B10036" w:rsidRPr="00B10036">
        <w:rPr>
          <w:noProof/>
        </w:rPr>
        <w:t>poz</w:t>
      </w:r>
      <w:r w:rsidRPr="00B10036">
        <w:rPr>
          <w:noProof/>
        </w:rPr>
        <w:t>woliły zagwarantować, aby nikt nie został pozostawiony</w:t>
      </w:r>
      <w:r w:rsidR="00B10036" w:rsidRPr="00B10036">
        <w:rPr>
          <w:noProof/>
        </w:rPr>
        <w:t xml:space="preserve"> w</w:t>
      </w:r>
      <w:r w:rsidR="00B10036">
        <w:rPr>
          <w:noProof/>
        </w:rPr>
        <w:t> </w:t>
      </w:r>
      <w:r w:rsidR="00B10036" w:rsidRPr="00B10036">
        <w:rPr>
          <w:noProof/>
        </w:rPr>
        <w:t>tyl</w:t>
      </w:r>
      <w:r w:rsidRPr="00B10036">
        <w:rPr>
          <w:noProof/>
        </w:rPr>
        <w:t>e</w:t>
      </w:r>
      <w:r w:rsidR="00B10036" w:rsidRPr="00B10036">
        <w:rPr>
          <w:noProof/>
        </w:rPr>
        <w:t>. W</w:t>
      </w:r>
      <w:r w:rsidR="00B10036">
        <w:rPr>
          <w:noProof/>
        </w:rPr>
        <w:t> </w:t>
      </w:r>
      <w:r w:rsidR="00B10036" w:rsidRPr="00B10036">
        <w:rPr>
          <w:noProof/>
        </w:rPr>
        <w:t>szc</w:t>
      </w:r>
      <w:r w:rsidRPr="00B10036">
        <w:rPr>
          <w:noProof/>
        </w:rPr>
        <w:t>zególności strony zgodziły się ogółem co do potrzeby wprowadzenia kilku elementów: kompleksowych pakietów politycznych mających na celu osiągnięcie sprawiedliwej transformacji,</w:t>
      </w:r>
      <w:r w:rsidR="00B10036" w:rsidRPr="00B10036">
        <w:rPr>
          <w:noProof/>
        </w:rPr>
        <w:t xml:space="preserve"> w</w:t>
      </w:r>
      <w:r w:rsidR="00B10036">
        <w:rPr>
          <w:noProof/>
        </w:rPr>
        <w:t> </w:t>
      </w:r>
      <w:r w:rsidR="00B10036" w:rsidRPr="00B10036">
        <w:rPr>
          <w:noProof/>
        </w:rPr>
        <w:t>tym</w:t>
      </w:r>
      <w:r w:rsidRPr="00B10036">
        <w:rPr>
          <w:noProof/>
        </w:rPr>
        <w:t xml:space="preserve"> środków na rzecz podnoszenia kwalifikacji</w:t>
      </w:r>
      <w:r w:rsidR="00B10036" w:rsidRPr="00B10036">
        <w:rPr>
          <w:noProof/>
        </w:rPr>
        <w:t xml:space="preserve"> i</w:t>
      </w:r>
      <w:r w:rsidR="00B10036">
        <w:rPr>
          <w:noProof/>
        </w:rPr>
        <w:t> </w:t>
      </w:r>
      <w:r w:rsidR="00B10036" w:rsidRPr="00B10036">
        <w:rPr>
          <w:noProof/>
        </w:rPr>
        <w:t>prz</w:t>
      </w:r>
      <w:r w:rsidRPr="00B10036">
        <w:rPr>
          <w:noProof/>
        </w:rPr>
        <w:t>ekwalifikowania; dobrego wykorzystania istniejących polityk</w:t>
      </w:r>
      <w:r w:rsidR="00B10036" w:rsidRPr="00B10036">
        <w:rPr>
          <w:noProof/>
        </w:rPr>
        <w:t xml:space="preserve"> i</w:t>
      </w:r>
      <w:r w:rsidR="00B10036">
        <w:rPr>
          <w:noProof/>
        </w:rPr>
        <w:t> </w:t>
      </w:r>
      <w:r w:rsidR="00B10036" w:rsidRPr="00B10036">
        <w:rPr>
          <w:noProof/>
        </w:rPr>
        <w:t>ins</w:t>
      </w:r>
      <w:r w:rsidRPr="00B10036">
        <w:rPr>
          <w:noProof/>
        </w:rPr>
        <w:t>trumentów finansowania, unikania powielania</w:t>
      </w:r>
      <w:r w:rsidR="00B10036" w:rsidRPr="00B10036">
        <w:rPr>
          <w:noProof/>
        </w:rPr>
        <w:t xml:space="preserve"> i</w:t>
      </w:r>
      <w:r w:rsidR="00B10036">
        <w:rPr>
          <w:noProof/>
        </w:rPr>
        <w:t> </w:t>
      </w:r>
      <w:r w:rsidR="00B10036" w:rsidRPr="00B10036">
        <w:rPr>
          <w:noProof/>
        </w:rPr>
        <w:t>obc</w:t>
      </w:r>
      <w:r w:rsidRPr="00B10036">
        <w:rPr>
          <w:noProof/>
        </w:rPr>
        <w:t>iążeń administracyjnych; lepszego zrozumienia wpływu polityki klimatycznej na zatrudnienie</w:t>
      </w:r>
      <w:r w:rsidR="00B10036" w:rsidRPr="00B10036">
        <w:rPr>
          <w:noProof/>
        </w:rPr>
        <w:t xml:space="preserve"> i</w:t>
      </w:r>
      <w:r w:rsidR="00B10036">
        <w:rPr>
          <w:noProof/>
        </w:rPr>
        <w:t> </w:t>
      </w:r>
      <w:r w:rsidR="00B10036" w:rsidRPr="00B10036">
        <w:rPr>
          <w:noProof/>
        </w:rPr>
        <w:t>spo</w:t>
      </w:r>
      <w:r w:rsidRPr="00B10036">
        <w:rPr>
          <w:noProof/>
        </w:rPr>
        <w:t>łeczeństwo,</w:t>
      </w:r>
      <w:r w:rsidR="00B10036" w:rsidRPr="00B10036">
        <w:rPr>
          <w:noProof/>
        </w:rPr>
        <w:t xml:space="preserve"> w</w:t>
      </w:r>
      <w:r w:rsidR="00B10036">
        <w:rPr>
          <w:noProof/>
        </w:rPr>
        <w:t> </w:t>
      </w:r>
      <w:r w:rsidR="00B10036" w:rsidRPr="00B10036">
        <w:rPr>
          <w:noProof/>
        </w:rPr>
        <w:t>tym</w:t>
      </w:r>
      <w:r w:rsidRPr="00B10036">
        <w:rPr>
          <w:noProof/>
        </w:rPr>
        <w:t xml:space="preserve"> wpływu na jakość miejsc pracy, oraz związanego</w:t>
      </w:r>
      <w:r w:rsidR="00B10036" w:rsidRPr="00B10036">
        <w:rPr>
          <w:noProof/>
        </w:rPr>
        <w:t xml:space="preserve"> z</w:t>
      </w:r>
      <w:r w:rsidR="00B10036">
        <w:rPr>
          <w:noProof/>
        </w:rPr>
        <w:t> </w:t>
      </w:r>
      <w:r w:rsidR="00B10036" w:rsidRPr="00B10036">
        <w:rPr>
          <w:noProof/>
        </w:rPr>
        <w:t>tym</w:t>
      </w:r>
      <w:r w:rsidRPr="00B10036">
        <w:rPr>
          <w:noProof/>
        </w:rPr>
        <w:t xml:space="preserve"> monitorowania oraz związanej</w:t>
      </w:r>
      <w:r w:rsidR="00B10036" w:rsidRPr="00B10036">
        <w:rPr>
          <w:noProof/>
        </w:rPr>
        <w:t xml:space="preserve"> z</w:t>
      </w:r>
      <w:r w:rsidR="00B10036">
        <w:rPr>
          <w:noProof/>
        </w:rPr>
        <w:t> </w:t>
      </w:r>
      <w:r w:rsidR="00B10036" w:rsidRPr="00B10036">
        <w:rPr>
          <w:noProof/>
        </w:rPr>
        <w:t>tym</w:t>
      </w:r>
      <w:r w:rsidRPr="00B10036">
        <w:rPr>
          <w:noProof/>
        </w:rPr>
        <w:t xml:space="preserve"> sprawozdawczości na podstawie </w:t>
      </w:r>
      <w:r w:rsidRPr="00B10036">
        <w:rPr>
          <w:noProof/>
          <w:sz w:val="20"/>
          <w:szCs w:val="20"/>
        </w:rPr>
        <w:t>„</w:t>
      </w:r>
      <w:r w:rsidRPr="00B10036">
        <w:rPr>
          <w:noProof/>
        </w:rPr>
        <w:t>rzeczywistych danych</w:t>
      </w:r>
      <w:r w:rsidRPr="00B10036">
        <w:rPr>
          <w:noProof/>
          <w:sz w:val="20"/>
          <w:szCs w:val="20"/>
        </w:rPr>
        <w:t>”</w:t>
      </w:r>
      <w:r w:rsidR="00B10036" w:rsidRPr="00B10036">
        <w:rPr>
          <w:noProof/>
        </w:rPr>
        <w:t xml:space="preserve"> i</w:t>
      </w:r>
      <w:r w:rsidR="00B10036">
        <w:rPr>
          <w:noProof/>
        </w:rPr>
        <w:t> </w:t>
      </w:r>
      <w:r w:rsidR="00B10036" w:rsidRPr="00B10036">
        <w:rPr>
          <w:noProof/>
        </w:rPr>
        <w:t>odp</w:t>
      </w:r>
      <w:r w:rsidRPr="00B10036">
        <w:rPr>
          <w:noProof/>
        </w:rPr>
        <w:t>owiednich wskaźników; uwzględnienia kwestii równości, ale również wniosków</w:t>
      </w:r>
      <w:r w:rsidR="00B10036" w:rsidRPr="00B10036">
        <w:rPr>
          <w:noProof/>
        </w:rPr>
        <w:t xml:space="preserve"> o</w:t>
      </w:r>
      <w:r w:rsidR="00B10036">
        <w:rPr>
          <w:noProof/>
        </w:rPr>
        <w:t> </w:t>
      </w:r>
      <w:r w:rsidR="00B10036" w:rsidRPr="00B10036">
        <w:rPr>
          <w:noProof/>
        </w:rPr>
        <w:t>zwi</w:t>
      </w:r>
      <w:r w:rsidRPr="00B10036">
        <w:rPr>
          <w:noProof/>
        </w:rPr>
        <w:t>ększenie funduszy</w:t>
      </w:r>
      <w:r w:rsidR="00B10036" w:rsidRPr="00B10036">
        <w:rPr>
          <w:noProof/>
        </w:rPr>
        <w:t xml:space="preserve"> i</w:t>
      </w:r>
      <w:r w:rsidR="00B10036">
        <w:rPr>
          <w:noProof/>
        </w:rPr>
        <w:t> </w:t>
      </w:r>
      <w:r w:rsidR="00B10036" w:rsidRPr="00B10036">
        <w:rPr>
          <w:noProof/>
        </w:rPr>
        <w:t>bud</w:t>
      </w:r>
      <w:r w:rsidRPr="00B10036">
        <w:rPr>
          <w:noProof/>
        </w:rPr>
        <w:t>owanie zdolności,</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odn</w:t>
      </w:r>
      <w:r w:rsidRPr="00B10036">
        <w:rPr>
          <w:noProof/>
        </w:rPr>
        <w:t>iesieniu do MŚP; włączenia do istniejących mechanizmów zarządzania; oraz zaangażowania partnerów społecznych</w:t>
      </w:r>
      <w:r w:rsidR="00B10036" w:rsidRPr="00B10036">
        <w:rPr>
          <w:noProof/>
        </w:rPr>
        <w:t xml:space="preserve"> i</w:t>
      </w:r>
      <w:r w:rsidR="00B10036">
        <w:rPr>
          <w:noProof/>
        </w:rPr>
        <w:t> </w:t>
      </w:r>
      <w:r w:rsidR="00B10036" w:rsidRPr="00B10036">
        <w:rPr>
          <w:noProof/>
        </w:rPr>
        <w:t>spo</w:t>
      </w:r>
      <w:r w:rsidRPr="00B10036">
        <w:rPr>
          <w:noProof/>
        </w:rPr>
        <w:t>łeczeństwa obywatelskiego</w:t>
      </w:r>
      <w:r w:rsidR="00B10036" w:rsidRPr="00B10036">
        <w:rPr>
          <w:noProof/>
        </w:rPr>
        <w:t xml:space="preserve"> w</w:t>
      </w:r>
      <w:r w:rsidR="00B10036">
        <w:rPr>
          <w:noProof/>
        </w:rPr>
        <w:t> </w:t>
      </w:r>
      <w:r w:rsidR="00B10036" w:rsidRPr="00B10036">
        <w:rPr>
          <w:noProof/>
        </w:rPr>
        <w:t>opr</w:t>
      </w:r>
      <w:r w:rsidRPr="00B10036">
        <w:rPr>
          <w:noProof/>
        </w:rPr>
        <w:t>acowywanie</w:t>
      </w:r>
      <w:r w:rsidR="00B10036" w:rsidRPr="00B10036">
        <w:rPr>
          <w:noProof/>
        </w:rPr>
        <w:t xml:space="preserve"> i</w:t>
      </w:r>
      <w:r w:rsidR="00B10036">
        <w:rPr>
          <w:noProof/>
        </w:rPr>
        <w:t> </w:t>
      </w:r>
      <w:r w:rsidR="00B10036" w:rsidRPr="00B10036">
        <w:rPr>
          <w:noProof/>
        </w:rPr>
        <w:t>wdr</w:t>
      </w:r>
      <w:r w:rsidRPr="00B10036">
        <w:rPr>
          <w:noProof/>
        </w:rPr>
        <w:t>ażanie strategii</w:t>
      </w:r>
      <w:r w:rsidR="00B10036" w:rsidRPr="00B10036">
        <w:rPr>
          <w:noProof/>
        </w:rPr>
        <w:t xml:space="preserve"> w</w:t>
      </w:r>
      <w:r w:rsidR="00B10036">
        <w:rPr>
          <w:noProof/>
        </w:rPr>
        <w:t> </w:t>
      </w:r>
      <w:r w:rsidR="00B10036" w:rsidRPr="00B10036">
        <w:rPr>
          <w:noProof/>
        </w:rPr>
        <w:t>zak</w:t>
      </w:r>
      <w:r w:rsidRPr="00B10036">
        <w:rPr>
          <w:noProof/>
        </w:rPr>
        <w:t>resie zmiany klimatu</w:t>
      </w:r>
      <w:r w:rsidR="00B10036" w:rsidRPr="00B10036">
        <w:rPr>
          <w:noProof/>
        </w:rPr>
        <w:t xml:space="preserve"> i</w:t>
      </w:r>
      <w:r w:rsidR="00B10036">
        <w:rPr>
          <w:noProof/>
        </w:rPr>
        <w:t> </w:t>
      </w:r>
      <w:r w:rsidR="00B10036" w:rsidRPr="00B10036">
        <w:rPr>
          <w:noProof/>
        </w:rPr>
        <w:t>fin</w:t>
      </w:r>
      <w:r w:rsidRPr="00B10036">
        <w:rPr>
          <w:noProof/>
        </w:rPr>
        <w:t xml:space="preserve">ansowania na rzecz sprawiedliwych transformacji. </w:t>
      </w:r>
    </w:p>
    <w:p w14:paraId="0F726046" w14:textId="7AD1CA98" w:rsidR="00F67576" w:rsidRPr="00B10036" w:rsidRDefault="00151ED8" w:rsidP="00071578">
      <w:pPr>
        <w:pStyle w:val="Text1"/>
        <w:spacing w:afterLines="120" w:after="288"/>
        <w:ind w:left="0"/>
        <w:rPr>
          <w:noProof/>
        </w:rPr>
      </w:pPr>
      <w:r w:rsidRPr="00B10036">
        <w:rPr>
          <w:noProof/>
        </w:rPr>
        <w:t xml:space="preserve">Komisja ogłosiła także </w:t>
      </w:r>
      <w:r w:rsidRPr="00B10036">
        <w:rPr>
          <w:b/>
          <w:noProof/>
        </w:rPr>
        <w:t>otwarte zaproszenie do zgłaszania uwag</w:t>
      </w:r>
      <w:r w:rsidR="00B10036" w:rsidRPr="00B10036">
        <w:rPr>
          <w:b/>
          <w:noProof/>
        </w:rPr>
        <w:t xml:space="preserve"> </w:t>
      </w:r>
      <w:r w:rsidR="00B10036" w:rsidRPr="00B10036">
        <w:rPr>
          <w:noProof/>
        </w:rPr>
        <w:t>w</w:t>
      </w:r>
      <w:r w:rsidR="00B10036">
        <w:rPr>
          <w:b/>
          <w:noProof/>
        </w:rPr>
        <w:t> </w:t>
      </w:r>
      <w:r w:rsidR="00B10036" w:rsidRPr="00B10036">
        <w:rPr>
          <w:noProof/>
        </w:rPr>
        <w:t>dni</w:t>
      </w:r>
      <w:r w:rsidRPr="00B10036">
        <w:rPr>
          <w:noProof/>
        </w:rPr>
        <w:t>ach od</w:t>
      </w:r>
      <w:r w:rsidR="00B10036" w:rsidRPr="00B10036">
        <w:rPr>
          <w:noProof/>
        </w:rPr>
        <w:t> </w:t>
      </w:r>
      <w:r w:rsidRPr="00B10036">
        <w:rPr>
          <w:noProof/>
        </w:rPr>
        <w:t>29 października do</w:t>
      </w:r>
      <w:r w:rsidR="00B10036" w:rsidRPr="00B10036">
        <w:rPr>
          <w:noProof/>
        </w:rPr>
        <w:t> </w:t>
      </w:r>
      <w:r w:rsidRPr="00B10036">
        <w:rPr>
          <w:noProof/>
        </w:rPr>
        <w:t>19 listopada 2021</w:t>
      </w:r>
      <w:r w:rsidR="00B10036" w:rsidRPr="00B10036">
        <w:rPr>
          <w:noProof/>
        </w:rPr>
        <w:t> </w:t>
      </w:r>
      <w:r w:rsidRPr="00B10036">
        <w:rPr>
          <w:noProof/>
        </w:rPr>
        <w:t>r.</w:t>
      </w:r>
      <w:r w:rsidR="00B10036" w:rsidRPr="00B10036">
        <w:rPr>
          <w:noProof/>
        </w:rPr>
        <w:t xml:space="preserve"> i</w:t>
      </w:r>
      <w:r w:rsidR="00B10036">
        <w:rPr>
          <w:noProof/>
        </w:rPr>
        <w:t> </w:t>
      </w:r>
      <w:r w:rsidR="00B10036" w:rsidRPr="00B10036">
        <w:rPr>
          <w:noProof/>
        </w:rPr>
        <w:t>otr</w:t>
      </w:r>
      <w:r w:rsidRPr="00B10036">
        <w:rPr>
          <w:noProof/>
        </w:rPr>
        <w:t>zymała 66 odpowiedzi od szerokiego spektrum zainteresowanych stron: organów publicznych, europejskich</w:t>
      </w:r>
      <w:r w:rsidR="00B10036" w:rsidRPr="00B10036">
        <w:rPr>
          <w:noProof/>
        </w:rPr>
        <w:t xml:space="preserve"> i</w:t>
      </w:r>
      <w:r w:rsidR="00B10036">
        <w:rPr>
          <w:noProof/>
        </w:rPr>
        <w:t> </w:t>
      </w:r>
      <w:r w:rsidR="00B10036" w:rsidRPr="00B10036">
        <w:rPr>
          <w:noProof/>
        </w:rPr>
        <w:t>kra</w:t>
      </w:r>
      <w:r w:rsidRPr="00B10036">
        <w:rPr>
          <w:noProof/>
        </w:rPr>
        <w:t>jowych partnerów społecznych, organizacji społeczeństwa obywatelskiego</w:t>
      </w:r>
      <w:r w:rsidR="00B10036" w:rsidRPr="00B10036">
        <w:rPr>
          <w:noProof/>
        </w:rPr>
        <w:t xml:space="preserve"> w</w:t>
      </w:r>
      <w:r w:rsidR="00B10036">
        <w:rPr>
          <w:noProof/>
        </w:rPr>
        <w:t> </w:t>
      </w:r>
      <w:r w:rsidR="00B10036" w:rsidRPr="00B10036">
        <w:rPr>
          <w:noProof/>
        </w:rPr>
        <w:t>obs</w:t>
      </w:r>
      <w:r w:rsidRPr="00B10036">
        <w:rPr>
          <w:noProof/>
        </w:rPr>
        <w:t>zarze spraw społecznych, ale także organizacji zajmujących się klimatem</w:t>
      </w:r>
      <w:r w:rsidR="00B10036" w:rsidRPr="00B10036">
        <w:rPr>
          <w:noProof/>
        </w:rPr>
        <w:t xml:space="preserve"> i</w:t>
      </w:r>
      <w:r w:rsidR="00B10036">
        <w:rPr>
          <w:noProof/>
        </w:rPr>
        <w:t> </w:t>
      </w:r>
      <w:r w:rsidR="00B10036" w:rsidRPr="00B10036">
        <w:rPr>
          <w:noProof/>
        </w:rPr>
        <w:t>och</w:t>
      </w:r>
      <w:r w:rsidRPr="00B10036">
        <w:rPr>
          <w:noProof/>
        </w:rPr>
        <w:t>roną środowiska oraz instytucji akademickich</w:t>
      </w:r>
      <w:r w:rsidR="00B10036" w:rsidRPr="00B10036">
        <w:rPr>
          <w:noProof/>
        </w:rPr>
        <w:t xml:space="preserve"> i</w:t>
      </w:r>
      <w:r w:rsidR="00B10036">
        <w:rPr>
          <w:noProof/>
        </w:rPr>
        <w:t> </w:t>
      </w:r>
      <w:r w:rsidR="00B10036" w:rsidRPr="00B10036">
        <w:rPr>
          <w:noProof/>
        </w:rPr>
        <w:t>bad</w:t>
      </w:r>
      <w:r w:rsidRPr="00B10036">
        <w:rPr>
          <w:noProof/>
        </w:rPr>
        <w:t>awczych.</w:t>
      </w:r>
    </w:p>
    <w:p w14:paraId="2748F3B6" w14:textId="6C8145D7" w:rsidR="00AB75C6" w:rsidRPr="00B10036" w:rsidRDefault="00BF492D" w:rsidP="00071578">
      <w:pPr>
        <w:pStyle w:val="paragraph"/>
        <w:spacing w:before="120" w:beforeAutospacing="0" w:afterLines="120" w:after="288" w:afterAutospacing="0"/>
        <w:jc w:val="both"/>
        <w:textAlignment w:val="baseline"/>
        <w:rPr>
          <w:noProof/>
        </w:rPr>
      </w:pPr>
      <w:r w:rsidRPr="00B10036">
        <w:rPr>
          <w:rStyle w:val="normaltextrun"/>
          <w:bCs/>
          <w:noProof/>
          <w:color w:val="000000"/>
        </w:rPr>
        <w:t>Ogólnie rzecz biorąc, respondenci wyrazili silne poparcie dla długoterminowej strategii dotyczącej zielonej transformacji</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z</w:t>
      </w:r>
      <w:r w:rsidR="00B10036">
        <w:rPr>
          <w:rStyle w:val="normaltextrun"/>
          <w:bCs/>
          <w:noProof/>
          <w:color w:val="000000"/>
        </w:rPr>
        <w:t> </w:t>
      </w:r>
      <w:r w:rsidR="00B10036" w:rsidRPr="00B10036">
        <w:rPr>
          <w:rStyle w:val="normaltextrun"/>
          <w:bCs/>
          <w:noProof/>
          <w:color w:val="000000"/>
        </w:rPr>
        <w:t>zad</w:t>
      </w:r>
      <w:r w:rsidRPr="00B10036">
        <w:rPr>
          <w:rStyle w:val="normaltextrun"/>
          <w:bCs/>
          <w:noProof/>
          <w:color w:val="000000"/>
        </w:rPr>
        <w:t>owoleniem przyjęli fakt, że skupiono się na zatrudnieniu</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asp</w:t>
      </w:r>
      <w:r w:rsidRPr="00B10036">
        <w:rPr>
          <w:rStyle w:val="normaltextrun"/>
          <w:bCs/>
          <w:noProof/>
          <w:color w:val="000000"/>
        </w:rPr>
        <w:t>ektach społecznych</w:t>
      </w:r>
      <w:r w:rsidR="00B10036" w:rsidRPr="00B10036">
        <w:rPr>
          <w:rStyle w:val="normaltextrun"/>
          <w:bCs/>
          <w:noProof/>
          <w:color w:val="000000"/>
        </w:rPr>
        <w:t>.</w:t>
      </w:r>
      <w:r w:rsidR="00B10036" w:rsidRPr="00B10036">
        <w:rPr>
          <w:rStyle w:val="normaltextrun"/>
          <w:noProof/>
          <w:color w:val="000000"/>
        </w:rPr>
        <w:t xml:space="preserve"> </w:t>
      </w:r>
      <w:r w:rsidR="00B10036" w:rsidRPr="00B10036">
        <w:rPr>
          <w:rStyle w:val="normaltextrun"/>
          <w:bCs/>
          <w:noProof/>
          <w:color w:val="000000"/>
        </w:rPr>
        <w:t>W</w:t>
      </w:r>
      <w:r w:rsidR="00B10036">
        <w:rPr>
          <w:rStyle w:val="normaltextrun"/>
          <w:bCs/>
          <w:noProof/>
          <w:color w:val="000000"/>
        </w:rPr>
        <w:t> </w:t>
      </w:r>
      <w:r w:rsidR="00B10036" w:rsidRPr="00B10036">
        <w:rPr>
          <w:rStyle w:val="normaltextrun"/>
          <w:bCs/>
          <w:noProof/>
          <w:color w:val="000000"/>
        </w:rPr>
        <w:t>kil</w:t>
      </w:r>
      <w:r w:rsidRPr="00B10036">
        <w:rPr>
          <w:rStyle w:val="normaltextrun"/>
          <w:bCs/>
          <w:noProof/>
          <w:color w:val="000000"/>
        </w:rPr>
        <w:t>ku odpowiedziach poruszono</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szc</w:t>
      </w:r>
      <w:r w:rsidRPr="00B10036">
        <w:rPr>
          <w:rStyle w:val="normaltextrun"/>
          <w:bCs/>
          <w:noProof/>
          <w:color w:val="000000"/>
        </w:rPr>
        <w:t>zególności kwestię potencjalnego wpływu na nierówności, miejsca pracy</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umi</w:t>
      </w:r>
      <w:r w:rsidRPr="00B10036">
        <w:rPr>
          <w:rStyle w:val="normaltextrun"/>
          <w:bCs/>
          <w:noProof/>
          <w:color w:val="000000"/>
        </w:rPr>
        <w:t>ejętności, jak również zaapelowano ogółem</w:t>
      </w:r>
      <w:r w:rsidR="00B10036" w:rsidRPr="00B10036">
        <w:rPr>
          <w:rStyle w:val="normaltextrun"/>
          <w:bCs/>
          <w:noProof/>
          <w:color w:val="000000"/>
        </w:rPr>
        <w:t xml:space="preserve"> o</w:t>
      </w:r>
      <w:r w:rsidR="00B10036">
        <w:rPr>
          <w:rStyle w:val="normaltextrun"/>
          <w:bCs/>
          <w:noProof/>
          <w:color w:val="000000"/>
        </w:rPr>
        <w:t> </w:t>
      </w:r>
      <w:r w:rsidR="00B10036" w:rsidRPr="00B10036">
        <w:rPr>
          <w:rStyle w:val="normaltextrun"/>
          <w:bCs/>
          <w:noProof/>
          <w:color w:val="000000"/>
        </w:rPr>
        <w:t>zap</w:t>
      </w:r>
      <w:r w:rsidRPr="00B10036">
        <w:rPr>
          <w:rStyle w:val="normaltextrun"/>
          <w:bCs/>
          <w:noProof/>
          <w:color w:val="000000"/>
        </w:rPr>
        <w:t>ewnienie państwom członkowskim odpowiedniego finansowania,</w:t>
      </w:r>
      <w:r w:rsidR="00B10036" w:rsidRPr="00B10036">
        <w:rPr>
          <w:rStyle w:val="normaltextrun"/>
          <w:bCs/>
          <w:noProof/>
          <w:color w:val="000000"/>
        </w:rPr>
        <w:t xml:space="preserve"> a</w:t>
      </w:r>
      <w:r w:rsidR="00B10036">
        <w:rPr>
          <w:rStyle w:val="normaltextrun"/>
          <w:bCs/>
          <w:noProof/>
          <w:color w:val="000000"/>
        </w:rPr>
        <w:t> </w:t>
      </w:r>
      <w:r w:rsidR="00B10036" w:rsidRPr="00B10036">
        <w:rPr>
          <w:rStyle w:val="normaltextrun"/>
          <w:bCs/>
          <w:noProof/>
          <w:color w:val="000000"/>
        </w:rPr>
        <w:t>tak</w:t>
      </w:r>
      <w:r w:rsidRPr="00B10036">
        <w:rPr>
          <w:rStyle w:val="normaltextrun"/>
          <w:bCs/>
          <w:noProof/>
          <w:color w:val="000000"/>
        </w:rPr>
        <w:t>że pomocy technicznej</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zak</w:t>
      </w:r>
      <w:r w:rsidRPr="00B10036">
        <w:rPr>
          <w:rStyle w:val="normaltextrun"/>
          <w:bCs/>
          <w:noProof/>
          <w:color w:val="000000"/>
        </w:rPr>
        <w:t>resie dostępnych instrumentów finansowania, kładąc nacisk zwłaszcza na regiony, sektory</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gru</w:t>
      </w:r>
      <w:r w:rsidRPr="00B10036">
        <w:rPr>
          <w:rStyle w:val="normaltextrun"/>
          <w:bCs/>
          <w:noProof/>
          <w:color w:val="000000"/>
        </w:rPr>
        <w:t>py znajdujące się</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tru</w:t>
      </w:r>
      <w:r w:rsidRPr="00B10036">
        <w:rPr>
          <w:rStyle w:val="normaltextrun"/>
          <w:bCs/>
          <w:noProof/>
          <w:color w:val="000000"/>
        </w:rPr>
        <w:t>dnej sytuacji</w:t>
      </w:r>
      <w:r w:rsidR="00B10036" w:rsidRPr="00B10036">
        <w:rPr>
          <w:rStyle w:val="normaltextrun"/>
          <w:bCs/>
          <w:noProof/>
          <w:color w:val="000000"/>
        </w:rPr>
        <w:t>.</w:t>
      </w:r>
      <w:r w:rsidR="00B10036" w:rsidRPr="00B10036">
        <w:rPr>
          <w:rStyle w:val="normaltextrun"/>
          <w:noProof/>
          <w:color w:val="000000"/>
        </w:rPr>
        <w:t xml:space="preserve"> </w:t>
      </w:r>
      <w:r w:rsidR="00B10036" w:rsidRPr="00B10036">
        <w:rPr>
          <w:rStyle w:val="normaltextrun"/>
          <w:bCs/>
          <w:noProof/>
          <w:color w:val="000000"/>
        </w:rPr>
        <w:t>W</w:t>
      </w:r>
      <w:r w:rsidR="00B10036">
        <w:rPr>
          <w:rStyle w:val="normaltextrun"/>
          <w:bCs/>
          <w:noProof/>
          <w:color w:val="000000"/>
        </w:rPr>
        <w:t> </w:t>
      </w:r>
      <w:r w:rsidR="00B10036" w:rsidRPr="00B10036">
        <w:rPr>
          <w:rStyle w:val="normaltextrun"/>
          <w:bCs/>
          <w:noProof/>
          <w:color w:val="000000"/>
        </w:rPr>
        <w:t>odp</w:t>
      </w:r>
      <w:r w:rsidRPr="00B10036">
        <w:rPr>
          <w:rStyle w:val="normaltextrun"/>
          <w:bCs/>
          <w:noProof/>
          <w:color w:val="000000"/>
        </w:rPr>
        <w:t>owiedziach podkreślano również zwiększoną potrzebę inwestowania</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ini</w:t>
      </w:r>
      <w:r w:rsidRPr="00B10036">
        <w:rPr>
          <w:rStyle w:val="normaltextrun"/>
          <w:bCs/>
          <w:noProof/>
          <w:color w:val="000000"/>
        </w:rPr>
        <w:t>cjatywy</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zak</w:t>
      </w:r>
      <w:r w:rsidRPr="00B10036">
        <w:rPr>
          <w:rStyle w:val="normaltextrun"/>
          <w:bCs/>
          <w:noProof/>
          <w:color w:val="000000"/>
        </w:rPr>
        <w:t>resie przekwalifikowania</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pod</w:t>
      </w:r>
      <w:r w:rsidRPr="00B10036">
        <w:rPr>
          <w:rStyle w:val="normaltextrun"/>
          <w:bCs/>
          <w:noProof/>
          <w:color w:val="000000"/>
        </w:rPr>
        <w:t>noszenia kwalifikacji, budowanie zdolności</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inf</w:t>
      </w:r>
      <w:r w:rsidRPr="00B10036">
        <w:rPr>
          <w:rStyle w:val="normaltextrun"/>
          <w:bCs/>
          <w:noProof/>
          <w:color w:val="000000"/>
        </w:rPr>
        <w:t>rastruktury</w:t>
      </w:r>
      <w:r w:rsidRPr="00B10036">
        <w:rPr>
          <w:rStyle w:val="normaltextrun"/>
          <w:noProof/>
          <w:color w:val="000000"/>
        </w:rPr>
        <w:t>.</w:t>
      </w:r>
      <w:r w:rsidRPr="00B10036">
        <w:rPr>
          <w:rStyle w:val="eop"/>
          <w:noProof/>
          <w:color w:val="000000"/>
        </w:rPr>
        <w:t xml:space="preserve"> </w:t>
      </w:r>
      <w:r w:rsidRPr="00B10036">
        <w:rPr>
          <w:rStyle w:val="normaltextrun"/>
          <w:noProof/>
          <w:color w:val="000000"/>
        </w:rPr>
        <w:t xml:space="preserve">Wyrażono szerokie poparcie dla </w:t>
      </w:r>
      <w:r w:rsidRPr="00B10036">
        <w:rPr>
          <w:rStyle w:val="normaltextrun"/>
          <w:bCs/>
          <w:noProof/>
          <w:color w:val="000000"/>
        </w:rPr>
        <w:t>wzmocnienia dialogu społecznego</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rok</w:t>
      </w:r>
      <w:r w:rsidRPr="00B10036">
        <w:rPr>
          <w:rStyle w:val="normaltextrun"/>
          <w:bCs/>
          <w:noProof/>
          <w:color w:val="000000"/>
        </w:rPr>
        <w:t>owań zbiorowych,</w:t>
      </w:r>
      <w:r w:rsidR="00B10036" w:rsidRPr="00B10036">
        <w:rPr>
          <w:rStyle w:val="normaltextrun"/>
          <w:bCs/>
          <w:noProof/>
          <w:color w:val="000000"/>
        </w:rPr>
        <w:t xml:space="preserve"> a</w:t>
      </w:r>
      <w:r w:rsidR="00B10036">
        <w:rPr>
          <w:rStyle w:val="normaltextrun"/>
          <w:bCs/>
          <w:noProof/>
          <w:color w:val="000000"/>
        </w:rPr>
        <w:t> </w:t>
      </w:r>
      <w:r w:rsidR="00B10036" w:rsidRPr="00B10036">
        <w:rPr>
          <w:rStyle w:val="normaltextrun"/>
          <w:bCs/>
          <w:noProof/>
          <w:color w:val="000000"/>
        </w:rPr>
        <w:t>nie</w:t>
      </w:r>
      <w:r w:rsidRPr="00B10036">
        <w:rPr>
          <w:rStyle w:val="normaltextrun"/>
          <w:bCs/>
          <w:noProof/>
          <w:color w:val="000000"/>
        </w:rPr>
        <w:t>którzy respondenci wezwali do zapewnienia pracownikom prawa do informacji, konsultacji</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wsp</w:t>
      </w:r>
      <w:r w:rsidRPr="00B10036">
        <w:rPr>
          <w:rStyle w:val="normaltextrun"/>
          <w:bCs/>
          <w:noProof/>
          <w:color w:val="000000"/>
        </w:rPr>
        <w:t>ółdecydowania. Ponadto</w:t>
      </w:r>
      <w:r w:rsidR="00B10036" w:rsidRPr="00B10036">
        <w:rPr>
          <w:rStyle w:val="normaltextrun"/>
          <w:bCs/>
          <w:noProof/>
          <w:color w:val="000000"/>
        </w:rPr>
        <w:t xml:space="preserve"> w</w:t>
      </w:r>
      <w:r w:rsidR="00B10036">
        <w:rPr>
          <w:rStyle w:val="normaltextrun"/>
          <w:bCs/>
          <w:noProof/>
          <w:color w:val="000000"/>
        </w:rPr>
        <w:t> </w:t>
      </w:r>
      <w:r w:rsidR="00B10036" w:rsidRPr="00B10036">
        <w:rPr>
          <w:rStyle w:val="normaltextrun"/>
          <w:bCs/>
          <w:noProof/>
          <w:color w:val="000000"/>
        </w:rPr>
        <w:t>zde</w:t>
      </w:r>
      <w:r w:rsidRPr="00B10036">
        <w:rPr>
          <w:rStyle w:val="normaltextrun"/>
          <w:bCs/>
          <w:noProof/>
          <w:color w:val="000000"/>
        </w:rPr>
        <w:t>cydowanej większości odpowiedzi podkreślano potrzebę szczegółowej identyfikacji</w:t>
      </w:r>
      <w:r w:rsidR="00B10036" w:rsidRPr="00B10036">
        <w:rPr>
          <w:rStyle w:val="normaltextrun"/>
          <w:bCs/>
          <w:noProof/>
          <w:color w:val="000000"/>
        </w:rPr>
        <w:t xml:space="preserve"> i</w:t>
      </w:r>
      <w:r w:rsidR="00B10036">
        <w:rPr>
          <w:rStyle w:val="normaltextrun"/>
          <w:bCs/>
          <w:noProof/>
          <w:color w:val="000000"/>
        </w:rPr>
        <w:t> </w:t>
      </w:r>
      <w:r w:rsidR="00B10036" w:rsidRPr="00B10036">
        <w:rPr>
          <w:rStyle w:val="normaltextrun"/>
          <w:bCs/>
          <w:noProof/>
          <w:color w:val="000000"/>
        </w:rPr>
        <w:t>ana</w:t>
      </w:r>
      <w:r w:rsidRPr="00B10036">
        <w:rPr>
          <w:rStyle w:val="normaltextrun"/>
          <w:bCs/>
          <w:noProof/>
          <w:color w:val="000000"/>
        </w:rPr>
        <w:t>lizy</w:t>
      </w:r>
      <w:r w:rsidR="00B10036" w:rsidRPr="00B10036">
        <w:rPr>
          <w:rStyle w:val="normaltextrun"/>
          <w:bCs/>
          <w:noProof/>
          <w:color w:val="000000"/>
        </w:rPr>
        <w:t>.</w:t>
      </w:r>
      <w:r w:rsidR="00B10036" w:rsidRPr="00B10036">
        <w:rPr>
          <w:rStyle w:val="normaltextrun"/>
          <w:noProof/>
          <w:color w:val="000000"/>
        </w:rPr>
        <w:t xml:space="preserve"> </w:t>
      </w:r>
      <w:r w:rsidR="00B10036" w:rsidRPr="00B10036">
        <w:rPr>
          <w:noProof/>
        </w:rPr>
        <w:t>W</w:t>
      </w:r>
      <w:r w:rsidR="00B10036">
        <w:rPr>
          <w:rStyle w:val="normaltextrun"/>
          <w:bCs/>
          <w:noProof/>
          <w:color w:val="000000"/>
        </w:rPr>
        <w:t> </w:t>
      </w:r>
      <w:r w:rsidR="00B10036" w:rsidRPr="00B10036">
        <w:rPr>
          <w:noProof/>
        </w:rPr>
        <w:t>wie</w:t>
      </w:r>
      <w:r w:rsidRPr="00B10036">
        <w:rPr>
          <w:noProof/>
        </w:rPr>
        <w:t>lu opiniach poruszono inne kwestie,</w:t>
      </w:r>
      <w:r w:rsidR="00B10036" w:rsidRPr="00B10036">
        <w:rPr>
          <w:noProof/>
        </w:rPr>
        <w:t xml:space="preserve"> w</w:t>
      </w:r>
      <w:r w:rsidR="00B10036">
        <w:rPr>
          <w:noProof/>
        </w:rPr>
        <w:t> </w:t>
      </w:r>
      <w:r w:rsidR="00B10036" w:rsidRPr="00B10036">
        <w:rPr>
          <w:noProof/>
        </w:rPr>
        <w:t>szc</w:t>
      </w:r>
      <w:r w:rsidRPr="00B10036">
        <w:rPr>
          <w:noProof/>
        </w:rPr>
        <w:t>zególności środki bezpośredniego wsparcia dochodu pracowników</w:t>
      </w:r>
      <w:r w:rsidR="00B10036" w:rsidRPr="00B10036">
        <w:rPr>
          <w:noProof/>
        </w:rPr>
        <w:t xml:space="preserve"> i</w:t>
      </w:r>
      <w:r w:rsidR="00B10036">
        <w:rPr>
          <w:noProof/>
        </w:rPr>
        <w:t> </w:t>
      </w:r>
      <w:r w:rsidR="00B10036" w:rsidRPr="00B10036">
        <w:rPr>
          <w:noProof/>
        </w:rPr>
        <w:t>gos</w:t>
      </w:r>
      <w:r w:rsidRPr="00B10036">
        <w:rPr>
          <w:noProof/>
        </w:rPr>
        <w:t>podarstw domowych znajdujących się</w:t>
      </w:r>
      <w:r w:rsidR="00B10036" w:rsidRPr="00B10036">
        <w:rPr>
          <w:noProof/>
        </w:rPr>
        <w:t xml:space="preserve"> w</w:t>
      </w:r>
      <w:r w:rsidR="00B10036">
        <w:rPr>
          <w:noProof/>
        </w:rPr>
        <w:t> </w:t>
      </w:r>
      <w:r w:rsidR="00B10036" w:rsidRPr="00B10036">
        <w:rPr>
          <w:noProof/>
        </w:rPr>
        <w:t>tru</w:t>
      </w:r>
      <w:r w:rsidRPr="00B10036">
        <w:rPr>
          <w:noProof/>
        </w:rPr>
        <w:t>dnej sytuacji, dostęp do podstawowych usług,</w:t>
      </w:r>
      <w:r w:rsidR="00B10036" w:rsidRPr="00B10036">
        <w:rPr>
          <w:noProof/>
        </w:rPr>
        <w:t xml:space="preserve"> w</w:t>
      </w:r>
      <w:r w:rsidR="00B10036">
        <w:rPr>
          <w:noProof/>
        </w:rPr>
        <w:t> </w:t>
      </w:r>
      <w:r w:rsidR="00B10036" w:rsidRPr="00B10036">
        <w:rPr>
          <w:noProof/>
        </w:rPr>
        <w:t>tym</w:t>
      </w:r>
      <w:r w:rsidRPr="00B10036">
        <w:rPr>
          <w:noProof/>
        </w:rPr>
        <w:t xml:space="preserve"> transportu, oraz zapewnienie bezpieczeństwa</w:t>
      </w:r>
      <w:r w:rsidR="00B10036" w:rsidRPr="00B10036">
        <w:rPr>
          <w:noProof/>
        </w:rPr>
        <w:t xml:space="preserve"> i</w:t>
      </w:r>
      <w:r w:rsidR="00B10036">
        <w:rPr>
          <w:noProof/>
        </w:rPr>
        <w:t> </w:t>
      </w:r>
      <w:r w:rsidR="00B10036" w:rsidRPr="00B10036">
        <w:rPr>
          <w:noProof/>
        </w:rPr>
        <w:t>hig</w:t>
      </w:r>
      <w:r w:rsidRPr="00B10036">
        <w:rPr>
          <w:noProof/>
        </w:rPr>
        <w:t>ieny pracy</w:t>
      </w:r>
      <w:r w:rsidR="00B10036" w:rsidRPr="00B10036">
        <w:rPr>
          <w:noProof/>
        </w:rPr>
        <w:t xml:space="preserve"> w</w:t>
      </w:r>
      <w:r w:rsidR="00B10036">
        <w:rPr>
          <w:noProof/>
        </w:rPr>
        <w:t> </w:t>
      </w:r>
      <w:r w:rsidR="00B10036" w:rsidRPr="00B10036">
        <w:rPr>
          <w:noProof/>
        </w:rPr>
        <w:t>spo</w:t>
      </w:r>
      <w:r w:rsidRPr="00B10036">
        <w:rPr>
          <w:noProof/>
        </w:rPr>
        <w:t xml:space="preserve">sób dostosowany do „zielonych miejsc pracy”. </w:t>
      </w:r>
      <w:r w:rsidRPr="00B10036">
        <w:rPr>
          <w:noProof/>
        </w:rPr>
        <w:tab/>
      </w:r>
    </w:p>
    <w:p w14:paraId="18B95FCE" w14:textId="5FF8B857" w:rsidR="00002649" w:rsidRPr="00B10036" w:rsidRDefault="003A6B54" w:rsidP="004B4DFD">
      <w:pPr>
        <w:pStyle w:val="ManualHeading2"/>
        <w:rPr>
          <w:noProof/>
        </w:rPr>
      </w:pPr>
      <w:r w:rsidRPr="00B10036">
        <w:rPr>
          <w:noProof/>
        </w:rPr>
        <w:t>•</w:t>
      </w:r>
      <w:r w:rsidRPr="00B10036">
        <w:rPr>
          <w:noProof/>
        </w:rPr>
        <w:tab/>
        <w:t>Gromadzenie</w:t>
      </w:r>
      <w:r w:rsidR="00B10036" w:rsidRPr="00B10036">
        <w:rPr>
          <w:noProof/>
        </w:rPr>
        <w:t xml:space="preserve"> i</w:t>
      </w:r>
      <w:r w:rsidR="00B10036">
        <w:rPr>
          <w:noProof/>
        </w:rPr>
        <w:t> </w:t>
      </w:r>
      <w:r w:rsidR="00B10036" w:rsidRPr="00B10036">
        <w:rPr>
          <w:noProof/>
        </w:rPr>
        <w:t>wyk</w:t>
      </w:r>
      <w:r w:rsidRPr="00B10036">
        <w:rPr>
          <w:noProof/>
        </w:rPr>
        <w:t>orzystanie wiedzy eksperckiej</w:t>
      </w:r>
    </w:p>
    <w:p w14:paraId="1A9D20C7" w14:textId="4D320E47" w:rsidR="00C16CD9" w:rsidRPr="00B10036" w:rsidRDefault="00C16CD9" w:rsidP="00AB75C6">
      <w:pPr>
        <w:pStyle w:val="paragraph"/>
        <w:jc w:val="both"/>
        <w:rPr>
          <w:b/>
          <w:noProof/>
        </w:rPr>
      </w:pPr>
      <w:r w:rsidRPr="00B10036">
        <w:rPr>
          <w:noProof/>
        </w:rPr>
        <w:t>Komisja Europejska gromadzi wiedzę ekspercką</w:t>
      </w:r>
      <w:r w:rsidR="00B10036" w:rsidRPr="00B10036">
        <w:rPr>
          <w:noProof/>
        </w:rPr>
        <w:t xml:space="preserve"> w</w:t>
      </w:r>
      <w:r w:rsidR="00B10036">
        <w:rPr>
          <w:noProof/>
        </w:rPr>
        <w:t> </w:t>
      </w:r>
      <w:r w:rsidR="00B10036" w:rsidRPr="00B10036">
        <w:rPr>
          <w:noProof/>
        </w:rPr>
        <w:t>zak</w:t>
      </w:r>
      <w:r w:rsidRPr="00B10036">
        <w:rPr>
          <w:noProof/>
        </w:rPr>
        <w:t>resie polityki społecznej, polityki zatrudnienia</w:t>
      </w:r>
      <w:r w:rsidR="00B10036" w:rsidRPr="00B10036">
        <w:rPr>
          <w:noProof/>
        </w:rPr>
        <w:t xml:space="preserve"> i</w:t>
      </w:r>
      <w:r w:rsidR="00B10036">
        <w:rPr>
          <w:noProof/>
        </w:rPr>
        <w:t> </w:t>
      </w:r>
      <w:r w:rsidR="00B10036" w:rsidRPr="00B10036">
        <w:rPr>
          <w:noProof/>
        </w:rPr>
        <w:t>pow</w:t>
      </w:r>
      <w:r w:rsidRPr="00B10036">
        <w:rPr>
          <w:noProof/>
        </w:rPr>
        <w:t>iązanych dziedzin polityki, między innymi za pośrednictwem Monitora Sytuacji Społecznej</w:t>
      </w:r>
      <w:r w:rsidRPr="00B10036">
        <w:rPr>
          <w:rStyle w:val="FootnoteReference"/>
          <w:noProof/>
        </w:rPr>
        <w:footnoteReference w:id="47"/>
      </w:r>
      <w:r w:rsidRPr="00B10036">
        <w:rPr>
          <w:noProof/>
        </w:rPr>
        <w:t>,</w:t>
      </w:r>
      <w:r w:rsidR="00B10036" w:rsidRPr="00B10036">
        <w:rPr>
          <w:noProof/>
        </w:rPr>
        <w:t xml:space="preserve"> w</w:t>
      </w:r>
      <w:r w:rsidR="00B10036">
        <w:rPr>
          <w:noProof/>
        </w:rPr>
        <w:t> </w:t>
      </w:r>
      <w:r w:rsidR="00B10036" w:rsidRPr="00B10036">
        <w:rPr>
          <w:noProof/>
        </w:rPr>
        <w:t>cel</w:t>
      </w:r>
      <w:r w:rsidRPr="00B10036">
        <w:rPr>
          <w:noProof/>
        </w:rPr>
        <w:t>u pogłębiania wiedzy</w:t>
      </w:r>
      <w:r w:rsidR="00B10036" w:rsidRPr="00B10036">
        <w:rPr>
          <w:noProof/>
        </w:rPr>
        <w:t xml:space="preserve"> w</w:t>
      </w:r>
      <w:r w:rsidR="00B10036">
        <w:rPr>
          <w:noProof/>
        </w:rPr>
        <w:t> </w:t>
      </w:r>
      <w:r w:rsidR="00B10036" w:rsidRPr="00B10036">
        <w:rPr>
          <w:noProof/>
        </w:rPr>
        <w:t>dzi</w:t>
      </w:r>
      <w:r w:rsidRPr="00B10036">
        <w:rPr>
          <w:noProof/>
        </w:rPr>
        <w:t>edzinie polityki społecznej, ochrony socjalnej</w:t>
      </w:r>
      <w:r w:rsidR="00B10036" w:rsidRPr="00B10036">
        <w:rPr>
          <w:noProof/>
        </w:rPr>
        <w:t xml:space="preserve"> i</w:t>
      </w:r>
      <w:r w:rsidR="00B10036">
        <w:rPr>
          <w:noProof/>
        </w:rPr>
        <w:t> </w:t>
      </w:r>
      <w:r w:rsidR="00B10036" w:rsidRPr="00B10036">
        <w:rPr>
          <w:noProof/>
        </w:rPr>
        <w:t>zat</w:t>
      </w:r>
      <w:r w:rsidRPr="00B10036">
        <w:rPr>
          <w:noProof/>
        </w:rPr>
        <w:t>rudnienia przy jednoczesnym dostarczaniu istotnych dla polityki</w:t>
      </w:r>
      <w:r w:rsidR="00B10036" w:rsidRPr="00B10036">
        <w:rPr>
          <w:noProof/>
        </w:rPr>
        <w:t xml:space="preserve"> i</w:t>
      </w:r>
      <w:r w:rsidR="00B10036">
        <w:rPr>
          <w:noProof/>
        </w:rPr>
        <w:t> </w:t>
      </w:r>
      <w:r w:rsidR="00B10036" w:rsidRPr="00B10036">
        <w:rPr>
          <w:noProof/>
        </w:rPr>
        <w:t>opa</w:t>
      </w:r>
      <w:r w:rsidRPr="00B10036">
        <w:rPr>
          <w:noProof/>
        </w:rPr>
        <w:t>rtych na dowodach badań na temat bieżącej sytuacji społeczno-gospodarczej w UE. Monitor Sytuacji Społecznej obejmuje cztery główne dziedziny badań: ubóstwo, nierówności dochodowe, nierówności społeczne, zdrowie</w:t>
      </w:r>
      <w:r w:rsidR="00B10036" w:rsidRPr="00B10036">
        <w:rPr>
          <w:noProof/>
        </w:rPr>
        <w:t xml:space="preserve"> i</w:t>
      </w:r>
      <w:r w:rsidR="00B10036">
        <w:rPr>
          <w:noProof/>
        </w:rPr>
        <w:t> </w:t>
      </w:r>
      <w:r w:rsidR="00B10036" w:rsidRPr="00B10036">
        <w:rPr>
          <w:noProof/>
        </w:rPr>
        <w:t>dob</w:t>
      </w:r>
      <w:r w:rsidRPr="00B10036">
        <w:rPr>
          <w:noProof/>
        </w:rPr>
        <w:t>rostan; zatrudnienie, bezrobocie</w:t>
      </w:r>
      <w:r w:rsidR="00B10036" w:rsidRPr="00B10036">
        <w:rPr>
          <w:noProof/>
        </w:rPr>
        <w:t xml:space="preserve"> i</w:t>
      </w:r>
      <w:r w:rsidR="00B10036">
        <w:rPr>
          <w:noProof/>
        </w:rPr>
        <w:t> </w:t>
      </w:r>
      <w:r w:rsidR="00B10036" w:rsidRPr="00B10036">
        <w:rPr>
          <w:noProof/>
        </w:rPr>
        <w:t>wyn</w:t>
      </w:r>
      <w:r w:rsidRPr="00B10036">
        <w:rPr>
          <w:noProof/>
        </w:rPr>
        <w:t>iki na rynku pracy; państwo opiekuńcze, polityka społeczna</w:t>
      </w:r>
      <w:r w:rsidR="00B10036" w:rsidRPr="00B10036">
        <w:rPr>
          <w:noProof/>
        </w:rPr>
        <w:t xml:space="preserve"> i</w:t>
      </w:r>
      <w:r w:rsidR="00B10036">
        <w:rPr>
          <w:noProof/>
        </w:rPr>
        <w:t> </w:t>
      </w:r>
      <w:r w:rsidR="00B10036" w:rsidRPr="00B10036">
        <w:rPr>
          <w:noProof/>
        </w:rPr>
        <w:t>pol</w:t>
      </w:r>
      <w:r w:rsidRPr="00B10036">
        <w:rPr>
          <w:noProof/>
        </w:rPr>
        <w:t>ityka rynku pracy; oraz wpływ megatrendów na rynek pracy</w:t>
      </w:r>
      <w:r w:rsidR="00B10036" w:rsidRPr="00B10036">
        <w:rPr>
          <w:noProof/>
        </w:rPr>
        <w:t xml:space="preserve"> i</w:t>
      </w:r>
      <w:r w:rsidR="00B10036">
        <w:rPr>
          <w:noProof/>
        </w:rPr>
        <w:t> </w:t>
      </w:r>
      <w:r w:rsidR="00B10036" w:rsidRPr="00B10036">
        <w:rPr>
          <w:noProof/>
        </w:rPr>
        <w:t>ich</w:t>
      </w:r>
      <w:r w:rsidRPr="00B10036">
        <w:rPr>
          <w:noProof/>
        </w:rPr>
        <w:t xml:space="preserve"> skutki dystrybucyjne.</w:t>
      </w:r>
    </w:p>
    <w:p w14:paraId="18FF3BF3" w14:textId="706030B9" w:rsidR="00C16CD9" w:rsidRPr="00B10036" w:rsidRDefault="00121C7D" w:rsidP="00AB75C6">
      <w:pPr>
        <w:pStyle w:val="paragraph"/>
        <w:jc w:val="both"/>
        <w:rPr>
          <w:b/>
          <w:noProof/>
        </w:rPr>
      </w:pPr>
      <w:r w:rsidRPr="00B10036">
        <w:rPr>
          <w:noProof/>
        </w:rPr>
        <w:t>W nawiązaniu do wcześniejszych wydarzeń poświęconych temu tematowi</w:t>
      </w:r>
      <w:r w:rsidR="00B10036" w:rsidRPr="00B10036">
        <w:rPr>
          <w:noProof/>
        </w:rPr>
        <w:t xml:space="preserve"> w</w:t>
      </w:r>
      <w:r w:rsidR="00B10036">
        <w:rPr>
          <w:noProof/>
        </w:rPr>
        <w:t> </w:t>
      </w:r>
      <w:r w:rsidR="00B10036" w:rsidRPr="00B10036">
        <w:rPr>
          <w:noProof/>
        </w:rPr>
        <w:t>lis</w:t>
      </w:r>
      <w:r w:rsidRPr="00B10036">
        <w:rPr>
          <w:noProof/>
        </w:rPr>
        <w:t>topadzie 2021</w:t>
      </w:r>
      <w:r w:rsidR="00B10036" w:rsidRPr="00B10036">
        <w:rPr>
          <w:noProof/>
        </w:rPr>
        <w:t> </w:t>
      </w:r>
      <w:r w:rsidRPr="00B10036">
        <w:rPr>
          <w:noProof/>
        </w:rPr>
        <w:t>r. Monitor Sytuacji Społecznej zorganizował swoje coroczne seminarium badawcze pod tytułem „Społeczne</w:t>
      </w:r>
      <w:r w:rsidR="00B10036" w:rsidRPr="00B10036">
        <w:rPr>
          <w:noProof/>
        </w:rPr>
        <w:t xml:space="preserve"> i</w:t>
      </w:r>
      <w:r w:rsidR="00B10036">
        <w:rPr>
          <w:noProof/>
        </w:rPr>
        <w:t> </w:t>
      </w:r>
      <w:r w:rsidR="00B10036" w:rsidRPr="00B10036">
        <w:rPr>
          <w:noProof/>
        </w:rPr>
        <w:t>pra</w:t>
      </w:r>
      <w:r w:rsidRPr="00B10036">
        <w:rPr>
          <w:noProof/>
        </w:rPr>
        <w:t>cownicze aspekty transformacji</w:t>
      </w:r>
      <w:r w:rsidR="00B10036" w:rsidRPr="00B10036">
        <w:rPr>
          <w:noProof/>
        </w:rPr>
        <w:t xml:space="preserve"> w</w:t>
      </w:r>
      <w:r w:rsidR="00B10036">
        <w:rPr>
          <w:noProof/>
        </w:rPr>
        <w:t> </w:t>
      </w:r>
      <w:r w:rsidR="00B10036" w:rsidRPr="00B10036">
        <w:rPr>
          <w:noProof/>
        </w:rPr>
        <w:t>kie</w:t>
      </w:r>
      <w:r w:rsidRPr="00B10036">
        <w:rPr>
          <w:noProof/>
        </w:rPr>
        <w:t>runku neutralności klimatycznej”</w:t>
      </w:r>
      <w:r w:rsidR="00B10036" w:rsidRPr="00B10036">
        <w:rPr>
          <w:noProof/>
        </w:rPr>
        <w:t>. W</w:t>
      </w:r>
      <w:r w:rsidR="00B10036">
        <w:rPr>
          <w:noProof/>
        </w:rPr>
        <w:t> </w:t>
      </w:r>
      <w:r w:rsidR="00B10036" w:rsidRPr="00B10036">
        <w:rPr>
          <w:noProof/>
        </w:rPr>
        <w:t>ram</w:t>
      </w:r>
      <w:r w:rsidRPr="00B10036">
        <w:rPr>
          <w:noProof/>
        </w:rPr>
        <w:t>ach tego wydarzenia skoncentrowano się na potencjalnych skutkach zielonej transformacji</w:t>
      </w:r>
      <w:r w:rsidR="00B10036" w:rsidRPr="00B10036">
        <w:rPr>
          <w:noProof/>
        </w:rPr>
        <w:t xml:space="preserve"> w</w:t>
      </w:r>
      <w:r w:rsidR="00B10036">
        <w:rPr>
          <w:noProof/>
        </w:rPr>
        <w:t> </w:t>
      </w:r>
      <w:r w:rsidR="00B10036" w:rsidRPr="00B10036">
        <w:rPr>
          <w:noProof/>
        </w:rPr>
        <w:t>zak</w:t>
      </w:r>
      <w:r w:rsidRPr="00B10036">
        <w:rPr>
          <w:noProof/>
        </w:rPr>
        <w:t>resie zatrudnienia, jakości pracy, umiejętności</w:t>
      </w:r>
      <w:r w:rsidR="00B10036" w:rsidRPr="00B10036">
        <w:rPr>
          <w:noProof/>
        </w:rPr>
        <w:t xml:space="preserve"> i</w:t>
      </w:r>
      <w:r w:rsidR="00B10036">
        <w:rPr>
          <w:noProof/>
        </w:rPr>
        <w:t> </w:t>
      </w:r>
      <w:r w:rsidR="00B10036" w:rsidRPr="00B10036">
        <w:rPr>
          <w:noProof/>
        </w:rPr>
        <w:t>inn</w:t>
      </w:r>
      <w:r w:rsidRPr="00B10036">
        <w:rPr>
          <w:noProof/>
        </w:rPr>
        <w:t>ych skutkach dystrybucyjnych, takich jak ubóstwo energetyczne</w:t>
      </w:r>
      <w:r w:rsidR="00B10036" w:rsidRPr="00B10036">
        <w:rPr>
          <w:noProof/>
        </w:rPr>
        <w:t xml:space="preserve"> i</w:t>
      </w:r>
      <w:r w:rsidR="00B10036">
        <w:rPr>
          <w:noProof/>
        </w:rPr>
        <w:t> </w:t>
      </w:r>
      <w:r w:rsidR="00B10036" w:rsidRPr="00B10036">
        <w:rPr>
          <w:noProof/>
        </w:rPr>
        <w:t>dos</w:t>
      </w:r>
      <w:r w:rsidRPr="00B10036">
        <w:rPr>
          <w:noProof/>
        </w:rPr>
        <w:t>tęp do podstawowych usług.</w:t>
      </w:r>
    </w:p>
    <w:p w14:paraId="12ABA1F6" w14:textId="0F2902CD" w:rsidR="00C16CD9" w:rsidRPr="00B10036" w:rsidRDefault="00C16CD9" w:rsidP="00AB75C6">
      <w:pPr>
        <w:pStyle w:val="paragraph"/>
        <w:jc w:val="both"/>
        <w:rPr>
          <w:b/>
          <w:noProof/>
        </w:rPr>
      </w:pPr>
      <w:r w:rsidRPr="00B10036">
        <w:rPr>
          <w:noProof/>
        </w:rPr>
        <w:t>Zgodnie</w:t>
      </w:r>
      <w:r w:rsidR="00B10036" w:rsidRPr="00B10036">
        <w:rPr>
          <w:noProof/>
        </w:rPr>
        <w:t xml:space="preserve"> z</w:t>
      </w:r>
      <w:r w:rsidR="00B10036">
        <w:rPr>
          <w:noProof/>
        </w:rPr>
        <w:t> </w:t>
      </w:r>
      <w:r w:rsidR="00B10036" w:rsidRPr="00B10036">
        <w:rPr>
          <w:noProof/>
        </w:rPr>
        <w:t>głó</w:t>
      </w:r>
      <w:r w:rsidRPr="00B10036">
        <w:rPr>
          <w:noProof/>
        </w:rPr>
        <w:t>wnymi ustaleniami omówionymi</w:t>
      </w:r>
      <w:r w:rsidR="00B10036" w:rsidRPr="00B10036">
        <w:rPr>
          <w:noProof/>
        </w:rPr>
        <w:t xml:space="preserve"> z</w:t>
      </w:r>
      <w:r w:rsidR="00B10036">
        <w:rPr>
          <w:noProof/>
        </w:rPr>
        <w:t> </w:t>
      </w:r>
      <w:r w:rsidR="00B10036" w:rsidRPr="00B10036">
        <w:rPr>
          <w:noProof/>
        </w:rPr>
        <w:t>eks</w:t>
      </w:r>
      <w:r w:rsidRPr="00B10036">
        <w:rPr>
          <w:noProof/>
        </w:rPr>
        <w:t>pertami, na poziomie zagregowanym oczekiwany wpływ jest ogółem pozytywny, przy czym przewiduje się wzrost zatrudnienia</w:t>
      </w:r>
      <w:r w:rsidR="00B10036" w:rsidRPr="00B10036">
        <w:rPr>
          <w:noProof/>
        </w:rPr>
        <w:t xml:space="preserve"> w</w:t>
      </w:r>
      <w:r w:rsidR="00B10036">
        <w:rPr>
          <w:noProof/>
        </w:rPr>
        <w:t> </w:t>
      </w:r>
      <w:r w:rsidR="00B10036" w:rsidRPr="00B10036">
        <w:rPr>
          <w:noProof/>
        </w:rPr>
        <w:t>sek</w:t>
      </w:r>
      <w:r w:rsidRPr="00B10036">
        <w:rPr>
          <w:noProof/>
        </w:rPr>
        <w:t>torze technologii energooszczędnych, budowlanym</w:t>
      </w:r>
      <w:r w:rsidR="00B10036" w:rsidRPr="00B10036">
        <w:rPr>
          <w:noProof/>
        </w:rPr>
        <w:t xml:space="preserve"> i</w:t>
      </w:r>
      <w:r w:rsidR="00B10036">
        <w:rPr>
          <w:noProof/>
        </w:rPr>
        <w:t> </w:t>
      </w:r>
      <w:r w:rsidR="00B10036" w:rsidRPr="00B10036">
        <w:rPr>
          <w:noProof/>
        </w:rPr>
        <w:t>ene</w:t>
      </w:r>
      <w:r w:rsidRPr="00B10036">
        <w:rPr>
          <w:noProof/>
        </w:rPr>
        <w:t>rgii odnawialnej,</w:t>
      </w:r>
      <w:r w:rsidR="00B10036" w:rsidRPr="00B10036">
        <w:rPr>
          <w:noProof/>
        </w:rPr>
        <w:t xml:space="preserve"> w</w:t>
      </w:r>
      <w:r w:rsidR="00B10036">
        <w:rPr>
          <w:noProof/>
        </w:rPr>
        <w:t> </w:t>
      </w:r>
      <w:r w:rsidR="00B10036" w:rsidRPr="00B10036">
        <w:rPr>
          <w:noProof/>
        </w:rPr>
        <w:t>tym</w:t>
      </w:r>
      <w:r w:rsidRPr="00B10036">
        <w:rPr>
          <w:noProof/>
        </w:rPr>
        <w:t xml:space="preserve"> wśród pracowników</w:t>
      </w:r>
      <w:r w:rsidR="00B10036" w:rsidRPr="00B10036">
        <w:rPr>
          <w:noProof/>
        </w:rPr>
        <w:t xml:space="preserve"> o</w:t>
      </w:r>
      <w:r w:rsidR="00B10036">
        <w:rPr>
          <w:noProof/>
        </w:rPr>
        <w:t> </w:t>
      </w:r>
      <w:r w:rsidR="00B10036" w:rsidRPr="00B10036">
        <w:rPr>
          <w:noProof/>
        </w:rPr>
        <w:t>nis</w:t>
      </w:r>
      <w:r w:rsidRPr="00B10036">
        <w:rPr>
          <w:noProof/>
        </w:rPr>
        <w:t>kich</w:t>
      </w:r>
      <w:r w:rsidR="00B10036" w:rsidRPr="00B10036">
        <w:rPr>
          <w:noProof/>
        </w:rPr>
        <w:t xml:space="preserve"> i</w:t>
      </w:r>
      <w:r w:rsidR="00B10036">
        <w:rPr>
          <w:noProof/>
        </w:rPr>
        <w:t> </w:t>
      </w:r>
      <w:r w:rsidR="00B10036" w:rsidRPr="00B10036">
        <w:rPr>
          <w:noProof/>
        </w:rPr>
        <w:t>śre</w:t>
      </w:r>
      <w:r w:rsidRPr="00B10036">
        <w:rPr>
          <w:noProof/>
        </w:rPr>
        <w:t>dnich umiejętnościach</w:t>
      </w:r>
      <w:r w:rsidR="00B10036" w:rsidRPr="00B10036">
        <w:rPr>
          <w:noProof/>
        </w:rPr>
        <w:t>. Z</w:t>
      </w:r>
      <w:r w:rsidR="00B10036">
        <w:rPr>
          <w:noProof/>
        </w:rPr>
        <w:t> </w:t>
      </w:r>
      <w:r w:rsidR="00B10036" w:rsidRPr="00B10036">
        <w:rPr>
          <w:noProof/>
        </w:rPr>
        <w:t>kol</w:t>
      </w:r>
      <w:r w:rsidRPr="00B10036">
        <w:rPr>
          <w:noProof/>
        </w:rPr>
        <w:t>ei oczekuje się, że zatrudnienie</w:t>
      </w:r>
      <w:r w:rsidR="00B10036" w:rsidRPr="00B10036">
        <w:rPr>
          <w:noProof/>
        </w:rPr>
        <w:t xml:space="preserve"> i</w:t>
      </w:r>
      <w:r w:rsidR="00B10036">
        <w:rPr>
          <w:noProof/>
        </w:rPr>
        <w:t> </w:t>
      </w:r>
      <w:r w:rsidR="00B10036" w:rsidRPr="00B10036">
        <w:rPr>
          <w:noProof/>
        </w:rPr>
        <w:t>wyn</w:t>
      </w:r>
      <w:r w:rsidRPr="00B10036">
        <w:rPr>
          <w:noProof/>
        </w:rPr>
        <w:t>agrodzenia ulegną zmniejszeniu</w:t>
      </w:r>
      <w:r w:rsidR="00B10036" w:rsidRPr="00B10036">
        <w:rPr>
          <w:noProof/>
        </w:rPr>
        <w:t xml:space="preserve"> w</w:t>
      </w:r>
      <w:r w:rsidR="00B10036">
        <w:rPr>
          <w:noProof/>
        </w:rPr>
        <w:t> </w:t>
      </w:r>
      <w:r w:rsidR="00B10036" w:rsidRPr="00B10036">
        <w:rPr>
          <w:noProof/>
        </w:rPr>
        <w:t>ene</w:t>
      </w:r>
      <w:r w:rsidRPr="00B10036">
        <w:rPr>
          <w:noProof/>
        </w:rPr>
        <w:t>rgochłonnych „brązowych gałęziach przemysłu”, których emisje trudno obniżyć, co podkreśla potrzebę inwestowania na rzecz wyzwania związanego</w:t>
      </w:r>
      <w:r w:rsidR="00B10036" w:rsidRPr="00B10036">
        <w:rPr>
          <w:noProof/>
        </w:rPr>
        <w:t xml:space="preserve"> z</w:t>
      </w:r>
      <w:r w:rsidR="00B10036">
        <w:rPr>
          <w:noProof/>
        </w:rPr>
        <w:t> </w:t>
      </w:r>
      <w:r w:rsidR="00B10036" w:rsidRPr="00B10036">
        <w:rPr>
          <w:noProof/>
        </w:rPr>
        <w:t>mas</w:t>
      </w:r>
      <w:r w:rsidRPr="00B10036">
        <w:rPr>
          <w:noProof/>
        </w:rPr>
        <w:t>owym podnoszeniem kwalifikacji</w:t>
      </w:r>
      <w:r w:rsidR="00B10036" w:rsidRPr="00B10036">
        <w:rPr>
          <w:noProof/>
        </w:rPr>
        <w:t xml:space="preserve"> i</w:t>
      </w:r>
      <w:r w:rsidR="00B10036">
        <w:rPr>
          <w:noProof/>
        </w:rPr>
        <w:t> </w:t>
      </w:r>
      <w:r w:rsidR="00B10036" w:rsidRPr="00B10036">
        <w:rPr>
          <w:noProof/>
        </w:rPr>
        <w:t>prz</w:t>
      </w:r>
      <w:r w:rsidRPr="00B10036">
        <w:rPr>
          <w:noProof/>
        </w:rPr>
        <w:t>ekwalifikowaniem.</w:t>
      </w:r>
    </w:p>
    <w:p w14:paraId="5D71152F" w14:textId="169CD76D" w:rsidR="00C16CD9" w:rsidRPr="00B10036" w:rsidRDefault="00C16CD9" w:rsidP="00AB75C6">
      <w:pPr>
        <w:pStyle w:val="paragraph"/>
        <w:jc w:val="both"/>
        <w:rPr>
          <w:b/>
          <w:noProof/>
        </w:rPr>
      </w:pPr>
      <w:r w:rsidRPr="00B10036">
        <w:rPr>
          <w:noProof/>
        </w:rPr>
        <w:t>Wśród instrumentów polityki wskazanych przez ekspertów</w:t>
      </w:r>
      <w:r w:rsidR="00B10036" w:rsidRPr="00B10036">
        <w:rPr>
          <w:noProof/>
        </w:rPr>
        <w:t xml:space="preserve"> w</w:t>
      </w:r>
      <w:r w:rsidR="00B10036">
        <w:rPr>
          <w:noProof/>
        </w:rPr>
        <w:t> </w:t>
      </w:r>
      <w:r w:rsidR="00B10036" w:rsidRPr="00B10036">
        <w:rPr>
          <w:noProof/>
        </w:rPr>
        <w:t>cel</w:t>
      </w:r>
      <w:r w:rsidRPr="00B10036">
        <w:rPr>
          <w:noProof/>
        </w:rPr>
        <w:t>u wspierania sprawiedliwej transformacji znalazły się podatki, transfery, dotacje</w:t>
      </w:r>
      <w:r w:rsidR="00B10036" w:rsidRPr="00B10036">
        <w:rPr>
          <w:noProof/>
        </w:rPr>
        <w:t xml:space="preserve"> i</w:t>
      </w:r>
      <w:r w:rsidR="00B10036">
        <w:rPr>
          <w:noProof/>
        </w:rPr>
        <w:t> </w:t>
      </w:r>
      <w:r w:rsidR="00B10036" w:rsidRPr="00B10036">
        <w:rPr>
          <w:noProof/>
        </w:rPr>
        <w:t>reg</w:t>
      </w:r>
      <w:r w:rsidRPr="00B10036">
        <w:rPr>
          <w:noProof/>
        </w:rPr>
        <w:t>ulacje, które wiążą się</w:t>
      </w:r>
      <w:r w:rsidR="00B10036" w:rsidRPr="00B10036">
        <w:rPr>
          <w:noProof/>
        </w:rPr>
        <w:t xml:space="preserve"> z</w:t>
      </w:r>
      <w:r w:rsidR="00B10036">
        <w:rPr>
          <w:noProof/>
        </w:rPr>
        <w:t> </w:t>
      </w:r>
      <w:r w:rsidR="00B10036" w:rsidRPr="00B10036">
        <w:rPr>
          <w:noProof/>
        </w:rPr>
        <w:t>róż</w:t>
      </w:r>
      <w:r w:rsidRPr="00B10036">
        <w:rPr>
          <w:noProof/>
        </w:rPr>
        <w:t>nymi poziomami sprawiedliwości</w:t>
      </w:r>
      <w:r w:rsidR="00B10036" w:rsidRPr="00B10036">
        <w:rPr>
          <w:noProof/>
        </w:rPr>
        <w:t xml:space="preserve"> i</w:t>
      </w:r>
      <w:r w:rsidR="00B10036">
        <w:rPr>
          <w:noProof/>
        </w:rPr>
        <w:t> </w:t>
      </w:r>
      <w:r w:rsidR="00B10036" w:rsidRPr="00B10036">
        <w:rPr>
          <w:noProof/>
        </w:rPr>
        <w:t>sku</w:t>
      </w:r>
      <w:r w:rsidRPr="00B10036">
        <w:rPr>
          <w:noProof/>
        </w:rPr>
        <w:t>teczności. Eksperci zasadniczo zgodzili się co znaczenia tego, aby poprzez transfery</w:t>
      </w:r>
      <w:r w:rsidR="00B10036" w:rsidRPr="00B10036">
        <w:rPr>
          <w:noProof/>
        </w:rPr>
        <w:t xml:space="preserve"> i</w:t>
      </w:r>
      <w:r w:rsidR="00B10036">
        <w:rPr>
          <w:noProof/>
        </w:rPr>
        <w:t> </w:t>
      </w:r>
      <w:r w:rsidR="00B10036" w:rsidRPr="00B10036">
        <w:rPr>
          <w:noProof/>
        </w:rPr>
        <w:t>dot</w:t>
      </w:r>
      <w:r w:rsidRPr="00B10036">
        <w:rPr>
          <w:noProof/>
        </w:rPr>
        <w:t>acje zrównoważyć pewne regresywne lub nieproporcjonalne skutki,</w:t>
      </w:r>
      <w:r w:rsidR="00B10036" w:rsidRPr="00B10036">
        <w:rPr>
          <w:noProof/>
        </w:rPr>
        <w:t xml:space="preserve"> w</w:t>
      </w:r>
      <w:r w:rsidR="00B10036">
        <w:rPr>
          <w:noProof/>
        </w:rPr>
        <w:t> </w:t>
      </w:r>
      <w:r w:rsidR="00B10036" w:rsidRPr="00B10036">
        <w:rPr>
          <w:noProof/>
        </w:rPr>
        <w:t>szc</w:t>
      </w:r>
      <w:r w:rsidRPr="00B10036">
        <w:rPr>
          <w:noProof/>
        </w:rPr>
        <w:t>zególności dla gospodarstw domowych</w:t>
      </w:r>
      <w:r w:rsidR="00B10036" w:rsidRPr="00B10036">
        <w:rPr>
          <w:noProof/>
        </w:rPr>
        <w:t xml:space="preserve"> o</w:t>
      </w:r>
      <w:r w:rsidR="00B10036">
        <w:rPr>
          <w:noProof/>
        </w:rPr>
        <w:t> </w:t>
      </w:r>
      <w:r w:rsidR="00B10036" w:rsidRPr="00B10036">
        <w:rPr>
          <w:noProof/>
        </w:rPr>
        <w:t>nis</w:t>
      </w:r>
      <w:r w:rsidRPr="00B10036">
        <w:rPr>
          <w:noProof/>
        </w:rPr>
        <w:t>kich dochodach</w:t>
      </w:r>
      <w:r w:rsidR="00B10036" w:rsidRPr="00B10036">
        <w:rPr>
          <w:noProof/>
        </w:rPr>
        <w:t xml:space="preserve"> i</w:t>
      </w:r>
      <w:r w:rsidR="00B10036">
        <w:rPr>
          <w:noProof/>
        </w:rPr>
        <w:t> </w:t>
      </w:r>
      <w:r w:rsidR="00B10036" w:rsidRPr="00B10036">
        <w:rPr>
          <w:noProof/>
        </w:rPr>
        <w:t>niż</w:t>
      </w:r>
      <w:r w:rsidRPr="00B10036">
        <w:rPr>
          <w:noProof/>
        </w:rPr>
        <w:t>szych średnich dochodach, także</w:t>
      </w:r>
      <w:r w:rsidR="00B10036" w:rsidRPr="00B10036">
        <w:rPr>
          <w:noProof/>
        </w:rPr>
        <w:t xml:space="preserve"> w</w:t>
      </w:r>
      <w:r w:rsidR="00B10036">
        <w:rPr>
          <w:noProof/>
        </w:rPr>
        <w:t> </w:t>
      </w:r>
      <w:r w:rsidR="00B10036" w:rsidRPr="00B10036">
        <w:rPr>
          <w:noProof/>
        </w:rPr>
        <w:t>cel</w:t>
      </w:r>
      <w:r w:rsidRPr="00B10036">
        <w:rPr>
          <w:noProof/>
        </w:rPr>
        <w:t>u uzyskania</w:t>
      </w:r>
      <w:r w:rsidR="00B10036" w:rsidRPr="00B10036">
        <w:rPr>
          <w:noProof/>
        </w:rPr>
        <w:t xml:space="preserve"> i</w:t>
      </w:r>
      <w:r w:rsidR="00B10036">
        <w:rPr>
          <w:noProof/>
        </w:rPr>
        <w:t> </w:t>
      </w:r>
      <w:r w:rsidR="00B10036" w:rsidRPr="00B10036">
        <w:rPr>
          <w:noProof/>
        </w:rPr>
        <w:t>zap</w:t>
      </w:r>
      <w:r w:rsidRPr="00B10036">
        <w:rPr>
          <w:noProof/>
        </w:rPr>
        <w:t>ewnienia społecznej akceptacji środków</w:t>
      </w:r>
      <w:r w:rsidR="00B10036" w:rsidRPr="00B10036">
        <w:rPr>
          <w:noProof/>
        </w:rPr>
        <w:t xml:space="preserve"> z</w:t>
      </w:r>
      <w:r w:rsidR="00B10036">
        <w:rPr>
          <w:noProof/>
        </w:rPr>
        <w:t> </w:t>
      </w:r>
      <w:r w:rsidR="00B10036" w:rsidRPr="00B10036">
        <w:rPr>
          <w:noProof/>
        </w:rPr>
        <w:t>zak</w:t>
      </w:r>
      <w:r w:rsidRPr="00B10036">
        <w:rPr>
          <w:noProof/>
        </w:rPr>
        <w:t>resu polityki.</w:t>
      </w:r>
    </w:p>
    <w:p w14:paraId="6DED6CC0" w14:textId="3CC870EC" w:rsidR="00433C29" w:rsidRPr="00B10036" w:rsidRDefault="00D522D9" w:rsidP="00AB75C6">
      <w:pPr>
        <w:pStyle w:val="paragraph"/>
        <w:jc w:val="both"/>
        <w:rPr>
          <w:rFonts w:eastAsia="Arial Unicode MS"/>
          <w:noProof/>
        </w:rPr>
      </w:pPr>
      <w:r w:rsidRPr="00B10036">
        <w:rPr>
          <w:noProof/>
        </w:rPr>
        <w:t>Podczas seminarium określono również obszary,</w:t>
      </w:r>
      <w:r w:rsidR="00B10036" w:rsidRPr="00B10036">
        <w:rPr>
          <w:noProof/>
        </w:rPr>
        <w:t xml:space="preserve"> w</w:t>
      </w:r>
      <w:r w:rsidR="00B10036">
        <w:rPr>
          <w:noProof/>
        </w:rPr>
        <w:t> </w:t>
      </w:r>
      <w:r w:rsidR="00B10036" w:rsidRPr="00B10036">
        <w:rPr>
          <w:noProof/>
        </w:rPr>
        <w:t>któ</w:t>
      </w:r>
      <w:r w:rsidRPr="00B10036">
        <w:rPr>
          <w:noProof/>
        </w:rPr>
        <w:t>rych korzystne byłyby dalsze badania,</w:t>
      </w:r>
      <w:r w:rsidR="00B10036" w:rsidRPr="00B10036">
        <w:rPr>
          <w:noProof/>
        </w:rPr>
        <w:t xml:space="preserve"> w</w:t>
      </w:r>
      <w:r w:rsidR="00B10036">
        <w:rPr>
          <w:noProof/>
        </w:rPr>
        <w:t> </w:t>
      </w:r>
      <w:r w:rsidR="00B10036" w:rsidRPr="00B10036">
        <w:rPr>
          <w:noProof/>
        </w:rPr>
        <w:t>tym w</w:t>
      </w:r>
      <w:r w:rsidR="00B10036">
        <w:rPr>
          <w:noProof/>
        </w:rPr>
        <w:t> </w:t>
      </w:r>
      <w:r w:rsidR="00B10036" w:rsidRPr="00B10036">
        <w:rPr>
          <w:noProof/>
        </w:rPr>
        <w:t>zak</w:t>
      </w:r>
      <w:r w:rsidRPr="00B10036">
        <w:rPr>
          <w:noProof/>
        </w:rPr>
        <w:t>resie: a) wymiaru geoprzestrzennego zatrudnienia, skutków społecznych</w:t>
      </w:r>
      <w:r w:rsidR="00B10036" w:rsidRPr="00B10036">
        <w:rPr>
          <w:noProof/>
        </w:rPr>
        <w:t xml:space="preserve"> i</w:t>
      </w:r>
      <w:r w:rsidR="00B10036">
        <w:rPr>
          <w:noProof/>
        </w:rPr>
        <w:t> </w:t>
      </w:r>
      <w:r w:rsidR="00B10036" w:rsidRPr="00B10036">
        <w:rPr>
          <w:noProof/>
        </w:rPr>
        <w:t>efe</w:t>
      </w:r>
      <w:r w:rsidRPr="00B10036">
        <w:rPr>
          <w:noProof/>
        </w:rPr>
        <w:t>któw dystrybucyjnych działań</w:t>
      </w:r>
      <w:r w:rsidR="00B10036" w:rsidRPr="00B10036">
        <w:rPr>
          <w:noProof/>
        </w:rPr>
        <w:t xml:space="preserve"> w</w:t>
      </w:r>
      <w:r w:rsidR="00B10036">
        <w:rPr>
          <w:noProof/>
        </w:rPr>
        <w:t> </w:t>
      </w:r>
      <w:r w:rsidR="00B10036" w:rsidRPr="00B10036">
        <w:rPr>
          <w:noProof/>
        </w:rPr>
        <w:t>dzi</w:t>
      </w:r>
      <w:r w:rsidRPr="00B10036">
        <w:rPr>
          <w:noProof/>
        </w:rPr>
        <w:t>edzinie klimatu,</w:t>
      </w:r>
      <w:r w:rsidR="00B10036" w:rsidRPr="00B10036">
        <w:rPr>
          <w:noProof/>
        </w:rPr>
        <w:t xml:space="preserve"> w</w:t>
      </w:r>
      <w:r w:rsidR="00B10036">
        <w:rPr>
          <w:noProof/>
        </w:rPr>
        <w:t> </w:t>
      </w:r>
      <w:r w:rsidR="00B10036" w:rsidRPr="00B10036">
        <w:rPr>
          <w:noProof/>
        </w:rPr>
        <w:t>tym</w:t>
      </w:r>
      <w:r w:rsidRPr="00B10036">
        <w:rPr>
          <w:noProof/>
        </w:rPr>
        <w:t xml:space="preserve"> poprzez dalsze symulacje obejmujące wszystkie państwa UE</w:t>
      </w:r>
      <w:r w:rsidR="00B10036" w:rsidRPr="00B10036">
        <w:rPr>
          <w:noProof/>
        </w:rPr>
        <w:t xml:space="preserve"> i</w:t>
      </w:r>
      <w:r w:rsidR="00B10036">
        <w:rPr>
          <w:noProof/>
        </w:rPr>
        <w:t> </w:t>
      </w:r>
      <w:r w:rsidR="00B10036" w:rsidRPr="00B10036">
        <w:rPr>
          <w:noProof/>
        </w:rPr>
        <w:t>sza</w:t>
      </w:r>
      <w:r w:rsidRPr="00B10036">
        <w:rPr>
          <w:noProof/>
        </w:rPr>
        <w:t>cowanie skutków</w:t>
      </w:r>
      <w:r w:rsidR="00B10036" w:rsidRPr="00B10036">
        <w:rPr>
          <w:noProof/>
        </w:rPr>
        <w:t xml:space="preserve"> w</w:t>
      </w:r>
      <w:r w:rsidR="00B10036">
        <w:rPr>
          <w:noProof/>
        </w:rPr>
        <w:t> </w:t>
      </w:r>
      <w:r w:rsidR="00B10036" w:rsidRPr="00B10036">
        <w:rPr>
          <w:noProof/>
        </w:rPr>
        <w:t>zal</w:t>
      </w:r>
      <w:r w:rsidRPr="00B10036">
        <w:rPr>
          <w:noProof/>
        </w:rPr>
        <w:t>eżności od obszaru</w:t>
      </w:r>
      <w:r w:rsidR="00B10036" w:rsidRPr="00B10036">
        <w:rPr>
          <w:noProof/>
        </w:rPr>
        <w:t xml:space="preserve"> i</w:t>
      </w:r>
      <w:r w:rsidR="00B10036">
        <w:rPr>
          <w:noProof/>
        </w:rPr>
        <w:t> </w:t>
      </w:r>
      <w:r w:rsidR="00B10036" w:rsidRPr="00B10036">
        <w:rPr>
          <w:noProof/>
        </w:rPr>
        <w:t>sto</w:t>
      </w:r>
      <w:r w:rsidRPr="00B10036">
        <w:rPr>
          <w:noProof/>
        </w:rPr>
        <w:t>pnia urbanizacji; b) integracji makromodeli</w:t>
      </w:r>
      <w:r w:rsidR="00B10036" w:rsidRPr="00B10036">
        <w:rPr>
          <w:noProof/>
        </w:rPr>
        <w:t xml:space="preserve"> i</w:t>
      </w:r>
      <w:r w:rsidR="00B10036">
        <w:rPr>
          <w:noProof/>
        </w:rPr>
        <w:t> </w:t>
      </w:r>
      <w:r w:rsidR="00B10036" w:rsidRPr="00B10036">
        <w:rPr>
          <w:noProof/>
        </w:rPr>
        <w:t>mik</w:t>
      </w:r>
      <w:r w:rsidRPr="00B10036">
        <w:rPr>
          <w:noProof/>
        </w:rPr>
        <w:t>romodeli,</w:t>
      </w:r>
      <w:r w:rsidR="00B10036" w:rsidRPr="00B10036">
        <w:rPr>
          <w:noProof/>
        </w:rPr>
        <w:t xml:space="preserve"> w</w:t>
      </w:r>
      <w:r w:rsidR="00B10036">
        <w:rPr>
          <w:noProof/>
        </w:rPr>
        <w:t> </w:t>
      </w:r>
      <w:r w:rsidR="00B10036" w:rsidRPr="00B10036">
        <w:rPr>
          <w:noProof/>
        </w:rPr>
        <w:t>tym</w:t>
      </w:r>
      <w:r w:rsidRPr="00B10036">
        <w:rPr>
          <w:noProof/>
        </w:rPr>
        <w:t xml:space="preserve"> bardziej szczegółowego modelowania przepływów na rynku pracy, zwłaszcza pomiędzy sektorami, oraz związanych</w:t>
      </w:r>
      <w:r w:rsidR="00B10036" w:rsidRPr="00B10036">
        <w:rPr>
          <w:noProof/>
        </w:rPr>
        <w:t xml:space="preserve"> z</w:t>
      </w:r>
      <w:r w:rsidR="00B10036">
        <w:rPr>
          <w:noProof/>
        </w:rPr>
        <w:t> </w:t>
      </w:r>
      <w:r w:rsidR="00B10036" w:rsidRPr="00B10036">
        <w:rPr>
          <w:noProof/>
        </w:rPr>
        <w:t>nim</w:t>
      </w:r>
      <w:r w:rsidRPr="00B10036">
        <w:rPr>
          <w:noProof/>
        </w:rPr>
        <w:t>i potrzeb</w:t>
      </w:r>
      <w:r w:rsidR="00B10036" w:rsidRPr="00B10036">
        <w:rPr>
          <w:noProof/>
        </w:rPr>
        <w:t xml:space="preserve"> w</w:t>
      </w:r>
      <w:r w:rsidR="00B10036">
        <w:rPr>
          <w:noProof/>
        </w:rPr>
        <w:t> </w:t>
      </w:r>
      <w:r w:rsidR="00B10036" w:rsidRPr="00B10036">
        <w:rPr>
          <w:noProof/>
        </w:rPr>
        <w:t>zak</w:t>
      </w:r>
      <w:r w:rsidRPr="00B10036">
        <w:rPr>
          <w:noProof/>
        </w:rPr>
        <w:t>resie inwestycji społecznych</w:t>
      </w:r>
      <w:r w:rsidR="00B10036" w:rsidRPr="00B10036">
        <w:rPr>
          <w:noProof/>
        </w:rPr>
        <w:t xml:space="preserve"> w</w:t>
      </w:r>
      <w:r w:rsidR="00B10036">
        <w:rPr>
          <w:noProof/>
        </w:rPr>
        <w:t> </w:t>
      </w:r>
      <w:r w:rsidR="00B10036" w:rsidRPr="00B10036">
        <w:rPr>
          <w:noProof/>
        </w:rPr>
        <w:t>cel</w:t>
      </w:r>
      <w:r w:rsidRPr="00B10036">
        <w:rPr>
          <w:noProof/>
        </w:rPr>
        <w:t>u wspierania nabywania nowych kwalifikacji zawodowych, przekwalifikowania</w:t>
      </w:r>
      <w:r w:rsidR="00B10036" w:rsidRPr="00B10036">
        <w:rPr>
          <w:noProof/>
        </w:rPr>
        <w:t xml:space="preserve"> i</w:t>
      </w:r>
      <w:r w:rsidR="00B10036">
        <w:rPr>
          <w:noProof/>
        </w:rPr>
        <w:t> </w:t>
      </w:r>
      <w:r w:rsidR="00B10036" w:rsidRPr="00B10036">
        <w:rPr>
          <w:noProof/>
        </w:rPr>
        <w:t>pod</w:t>
      </w:r>
      <w:r w:rsidRPr="00B10036">
        <w:rPr>
          <w:noProof/>
        </w:rPr>
        <w:t>noszenia kwalifikacji; c) integracji modeli rozkładu dochodów</w:t>
      </w:r>
      <w:r w:rsidR="00B10036" w:rsidRPr="00B10036">
        <w:rPr>
          <w:noProof/>
        </w:rPr>
        <w:t xml:space="preserve"> i</w:t>
      </w:r>
      <w:r w:rsidR="00B10036">
        <w:rPr>
          <w:noProof/>
        </w:rPr>
        <w:t> </w:t>
      </w:r>
      <w:r w:rsidR="00B10036" w:rsidRPr="00B10036">
        <w:rPr>
          <w:noProof/>
        </w:rPr>
        <w:t>bud</w:t>
      </w:r>
      <w:r w:rsidRPr="00B10036">
        <w:rPr>
          <w:noProof/>
        </w:rPr>
        <w:t>żetów gospodarstw domowych</w:t>
      </w:r>
      <w:r w:rsidR="00B10036" w:rsidRPr="00B10036">
        <w:rPr>
          <w:noProof/>
        </w:rPr>
        <w:t xml:space="preserve"> z</w:t>
      </w:r>
      <w:r w:rsidR="00B10036">
        <w:rPr>
          <w:noProof/>
        </w:rPr>
        <w:t> </w:t>
      </w:r>
      <w:r w:rsidR="00B10036" w:rsidRPr="00B10036">
        <w:rPr>
          <w:noProof/>
        </w:rPr>
        <w:t>leż</w:t>
      </w:r>
      <w:r w:rsidRPr="00B10036">
        <w:rPr>
          <w:noProof/>
        </w:rPr>
        <w:t>ącymi</w:t>
      </w:r>
      <w:r w:rsidR="00B10036" w:rsidRPr="00B10036">
        <w:rPr>
          <w:noProof/>
        </w:rPr>
        <w:t xml:space="preserve"> u</w:t>
      </w:r>
      <w:r w:rsidR="00B10036">
        <w:rPr>
          <w:noProof/>
        </w:rPr>
        <w:t> </w:t>
      </w:r>
      <w:r w:rsidR="00B10036" w:rsidRPr="00B10036">
        <w:rPr>
          <w:noProof/>
        </w:rPr>
        <w:t>ich</w:t>
      </w:r>
      <w:r w:rsidRPr="00B10036">
        <w:rPr>
          <w:noProof/>
        </w:rPr>
        <w:t xml:space="preserve"> podstaw makromodelami; oraz d) opracowania wskaźników „ekologiczności” zadań, miejsc pracy</w:t>
      </w:r>
      <w:r w:rsidR="00B10036" w:rsidRPr="00B10036">
        <w:rPr>
          <w:noProof/>
        </w:rPr>
        <w:t xml:space="preserve"> i</w:t>
      </w:r>
      <w:r w:rsidR="00B10036">
        <w:rPr>
          <w:noProof/>
        </w:rPr>
        <w:t> </w:t>
      </w:r>
      <w:r w:rsidR="00B10036" w:rsidRPr="00B10036">
        <w:rPr>
          <w:noProof/>
        </w:rPr>
        <w:t>umi</w:t>
      </w:r>
      <w:r w:rsidRPr="00B10036">
        <w:rPr>
          <w:noProof/>
        </w:rPr>
        <w:t>ejętności.</w:t>
      </w:r>
    </w:p>
    <w:p w14:paraId="4871F4B1"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Ocena skutków</w:t>
      </w:r>
    </w:p>
    <w:p w14:paraId="56C4F65A" w14:textId="68455F8C" w:rsidR="00002649" w:rsidRPr="00B10036" w:rsidRDefault="00002649" w:rsidP="00002649">
      <w:pPr>
        <w:pStyle w:val="Default"/>
        <w:jc w:val="both"/>
        <w:rPr>
          <w:rFonts w:eastAsia="Arial Unicode MS"/>
          <w:noProof/>
          <w:color w:val="auto"/>
          <w:lang w:val="pl-PL"/>
        </w:rPr>
      </w:pPr>
      <w:r w:rsidRPr="00B10036">
        <w:rPr>
          <w:noProof/>
          <w:color w:val="auto"/>
          <w:lang w:val="pl-PL"/>
        </w:rPr>
        <w:t>Proponowany instrument – zalecenie Rady – zawiera wytyczne dotyczące wdrażania polityki społecznej, polityki zatrudnienia</w:t>
      </w:r>
      <w:r w:rsidR="00B10036" w:rsidRPr="00B10036">
        <w:rPr>
          <w:noProof/>
          <w:color w:val="auto"/>
          <w:lang w:val="pl-PL"/>
        </w:rPr>
        <w:t xml:space="preserve"> i</w:t>
      </w:r>
      <w:r w:rsidR="00B10036">
        <w:rPr>
          <w:noProof/>
          <w:color w:val="auto"/>
          <w:lang w:val="pl-PL"/>
        </w:rPr>
        <w:t> </w:t>
      </w:r>
      <w:r w:rsidR="00B10036" w:rsidRPr="00B10036">
        <w:rPr>
          <w:noProof/>
          <w:color w:val="auto"/>
          <w:lang w:val="pl-PL"/>
        </w:rPr>
        <w:t>pow</w:t>
      </w:r>
      <w:r w:rsidRPr="00B10036">
        <w:rPr>
          <w:noProof/>
          <w:color w:val="auto"/>
          <w:lang w:val="pl-PL"/>
        </w:rPr>
        <w:t>iązanych dziedzin polityki</w:t>
      </w:r>
      <w:r w:rsidR="00B10036" w:rsidRPr="00B10036">
        <w:rPr>
          <w:noProof/>
          <w:color w:val="auto"/>
          <w:lang w:val="pl-PL"/>
        </w:rPr>
        <w:t xml:space="preserve"> w</w:t>
      </w:r>
      <w:r w:rsidR="00B10036">
        <w:rPr>
          <w:noProof/>
          <w:color w:val="auto"/>
          <w:lang w:val="pl-PL"/>
        </w:rPr>
        <w:t> </w:t>
      </w:r>
      <w:r w:rsidR="00B10036" w:rsidRPr="00B10036">
        <w:rPr>
          <w:noProof/>
          <w:color w:val="auto"/>
          <w:lang w:val="pl-PL"/>
        </w:rPr>
        <w:t>cel</w:t>
      </w:r>
      <w:r w:rsidRPr="00B10036">
        <w:rPr>
          <w:noProof/>
          <w:color w:val="auto"/>
          <w:lang w:val="pl-PL"/>
        </w:rPr>
        <w:t>u sprostania wyzwaniom związanym</w:t>
      </w:r>
      <w:r w:rsidR="00B10036" w:rsidRPr="00B10036">
        <w:rPr>
          <w:noProof/>
          <w:color w:val="auto"/>
          <w:lang w:val="pl-PL"/>
        </w:rPr>
        <w:t xml:space="preserve"> z</w:t>
      </w:r>
      <w:r w:rsidR="00B10036">
        <w:rPr>
          <w:noProof/>
          <w:color w:val="auto"/>
          <w:lang w:val="pl-PL"/>
        </w:rPr>
        <w:t> </w:t>
      </w:r>
      <w:r w:rsidR="00B10036" w:rsidRPr="00B10036">
        <w:rPr>
          <w:noProof/>
          <w:color w:val="auto"/>
          <w:lang w:val="pl-PL"/>
        </w:rPr>
        <w:t>zie</w:t>
      </w:r>
      <w:r w:rsidRPr="00B10036">
        <w:rPr>
          <w:noProof/>
          <w:color w:val="auto"/>
          <w:lang w:val="pl-PL"/>
        </w:rPr>
        <w:t>loną transformacją. Ponieważ jednak zapewnia on elastyczne wytyczne dla państw członkowskich</w:t>
      </w:r>
      <w:r w:rsidR="00B10036" w:rsidRPr="00B10036">
        <w:rPr>
          <w:noProof/>
          <w:color w:val="auto"/>
          <w:lang w:val="pl-PL"/>
        </w:rPr>
        <w:t xml:space="preserve"> w</w:t>
      </w:r>
      <w:r w:rsidR="00B10036">
        <w:rPr>
          <w:noProof/>
          <w:color w:val="auto"/>
          <w:lang w:val="pl-PL"/>
        </w:rPr>
        <w:t> </w:t>
      </w:r>
      <w:r w:rsidR="00B10036" w:rsidRPr="00B10036">
        <w:rPr>
          <w:noProof/>
          <w:color w:val="auto"/>
          <w:lang w:val="pl-PL"/>
        </w:rPr>
        <w:t>odn</w:t>
      </w:r>
      <w:r w:rsidRPr="00B10036">
        <w:rPr>
          <w:noProof/>
          <w:color w:val="auto"/>
          <w:lang w:val="pl-PL"/>
        </w:rPr>
        <w:t>iesieniu do wyboru</w:t>
      </w:r>
      <w:r w:rsidR="00B10036" w:rsidRPr="00B10036">
        <w:rPr>
          <w:noProof/>
          <w:color w:val="auto"/>
          <w:lang w:val="pl-PL"/>
        </w:rPr>
        <w:t xml:space="preserve"> i</w:t>
      </w:r>
      <w:r w:rsidR="00B10036">
        <w:rPr>
          <w:noProof/>
          <w:color w:val="auto"/>
          <w:lang w:val="pl-PL"/>
        </w:rPr>
        <w:t> </w:t>
      </w:r>
      <w:r w:rsidR="00B10036" w:rsidRPr="00B10036">
        <w:rPr>
          <w:noProof/>
          <w:color w:val="auto"/>
          <w:lang w:val="pl-PL"/>
        </w:rPr>
        <w:t>opr</w:t>
      </w:r>
      <w:r w:rsidRPr="00B10036">
        <w:rPr>
          <w:noProof/>
          <w:color w:val="auto"/>
          <w:lang w:val="pl-PL"/>
        </w:rPr>
        <w:t xml:space="preserve">acowywania środków, ocena skutków nie jest wymagana. </w:t>
      </w:r>
    </w:p>
    <w:p w14:paraId="5D2BC28B" w14:textId="73D77070" w:rsidR="00002649" w:rsidRPr="00B10036" w:rsidRDefault="00002649" w:rsidP="00002649">
      <w:pPr>
        <w:pStyle w:val="Default"/>
        <w:jc w:val="both"/>
        <w:rPr>
          <w:rFonts w:eastAsia="Arial Unicode MS"/>
          <w:noProof/>
          <w:color w:val="auto"/>
          <w:szCs w:val="22"/>
          <w:lang w:val="pl-PL"/>
        </w:rPr>
      </w:pPr>
    </w:p>
    <w:p w14:paraId="72D34541" w14:textId="7CA3341F"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Towarzyszący dokument roboczy służb Komisji zawiera przegląd</w:t>
      </w:r>
      <w:r w:rsidR="00B10036" w:rsidRPr="00B10036">
        <w:rPr>
          <w:noProof/>
        </w:rPr>
        <w:t xml:space="preserve"> i</w:t>
      </w:r>
      <w:r w:rsidR="00B10036">
        <w:rPr>
          <w:noProof/>
        </w:rPr>
        <w:t> </w:t>
      </w:r>
      <w:r w:rsidR="00B10036" w:rsidRPr="00B10036">
        <w:rPr>
          <w:noProof/>
        </w:rPr>
        <w:t>omó</w:t>
      </w:r>
      <w:r w:rsidRPr="00B10036">
        <w:rPr>
          <w:noProof/>
        </w:rPr>
        <w:t>wienie dostępnych dowodów leżących</w:t>
      </w:r>
      <w:r w:rsidR="00B10036" w:rsidRPr="00B10036">
        <w:rPr>
          <w:noProof/>
        </w:rPr>
        <w:t xml:space="preserve"> u</w:t>
      </w:r>
      <w:r w:rsidR="00B10036">
        <w:rPr>
          <w:noProof/>
        </w:rPr>
        <w:t> </w:t>
      </w:r>
      <w:r w:rsidR="00B10036" w:rsidRPr="00B10036">
        <w:rPr>
          <w:noProof/>
        </w:rPr>
        <w:t>pod</w:t>
      </w:r>
      <w:r w:rsidRPr="00B10036">
        <w:rPr>
          <w:noProof/>
        </w:rPr>
        <w:t>staw zalecanych interwencji politycznych</w:t>
      </w:r>
      <w:r w:rsidR="00B10036" w:rsidRPr="00B10036">
        <w:rPr>
          <w:noProof/>
        </w:rPr>
        <w:t xml:space="preserve"> w</w:t>
      </w:r>
      <w:r w:rsidR="00B10036">
        <w:rPr>
          <w:noProof/>
        </w:rPr>
        <w:t> </w:t>
      </w:r>
      <w:r w:rsidR="00B10036" w:rsidRPr="00B10036">
        <w:rPr>
          <w:noProof/>
        </w:rPr>
        <w:t>opa</w:t>
      </w:r>
      <w:r w:rsidRPr="00B10036">
        <w:rPr>
          <w:noProof/>
        </w:rPr>
        <w:t>rciu</w:t>
      </w:r>
      <w:r w:rsidR="00B10036" w:rsidRPr="00B10036">
        <w:rPr>
          <w:noProof/>
        </w:rPr>
        <w:t xml:space="preserve"> o</w:t>
      </w:r>
      <w:r w:rsidR="00B10036">
        <w:rPr>
          <w:noProof/>
        </w:rPr>
        <w:t> </w:t>
      </w:r>
      <w:r w:rsidR="00B10036" w:rsidRPr="00B10036">
        <w:rPr>
          <w:noProof/>
        </w:rPr>
        <w:t>ana</w:t>
      </w:r>
      <w:r w:rsidRPr="00B10036">
        <w:rPr>
          <w:noProof/>
        </w:rPr>
        <w:t>lizy przedstawione</w:t>
      </w:r>
      <w:r w:rsidR="00B10036" w:rsidRPr="00B10036">
        <w:rPr>
          <w:noProof/>
        </w:rPr>
        <w:t xml:space="preserve"> w</w:t>
      </w:r>
      <w:r w:rsidR="00B10036">
        <w:rPr>
          <w:noProof/>
        </w:rPr>
        <w:t> </w:t>
      </w:r>
      <w:r w:rsidR="00B10036" w:rsidRPr="00B10036">
        <w:rPr>
          <w:noProof/>
        </w:rPr>
        <w:t>odp</w:t>
      </w:r>
      <w:r w:rsidRPr="00B10036">
        <w:rPr>
          <w:noProof/>
        </w:rPr>
        <w:t>owiednich sprawozdaniach</w:t>
      </w:r>
      <w:r w:rsidR="00B10036" w:rsidRPr="00B10036">
        <w:rPr>
          <w:noProof/>
        </w:rPr>
        <w:t xml:space="preserve"> z</w:t>
      </w:r>
      <w:r w:rsidR="00B10036">
        <w:rPr>
          <w:noProof/>
        </w:rPr>
        <w:t> </w:t>
      </w:r>
      <w:r w:rsidR="00B10036" w:rsidRPr="00B10036">
        <w:rPr>
          <w:noProof/>
        </w:rPr>
        <w:t>oce</w:t>
      </w:r>
      <w:r w:rsidRPr="00B10036">
        <w:rPr>
          <w:noProof/>
        </w:rPr>
        <w:t>n skutków towarzyszących komunikatowi</w:t>
      </w:r>
      <w:r w:rsidR="00B10036" w:rsidRPr="00B10036">
        <w:rPr>
          <w:noProof/>
        </w:rPr>
        <w:t xml:space="preserve"> w</w:t>
      </w:r>
      <w:r w:rsidR="00B10036">
        <w:rPr>
          <w:noProof/>
        </w:rPr>
        <w:t> </w:t>
      </w:r>
      <w:r w:rsidR="00B10036" w:rsidRPr="00B10036">
        <w:rPr>
          <w:noProof/>
        </w:rPr>
        <w:t>spr</w:t>
      </w:r>
      <w:r w:rsidRPr="00B10036">
        <w:rPr>
          <w:noProof/>
        </w:rPr>
        <w:t>awie Planu</w:t>
      </w:r>
      <w:r w:rsidR="00B10036" w:rsidRPr="00B10036">
        <w:rPr>
          <w:noProof/>
        </w:rPr>
        <w:t xml:space="preserve"> w</w:t>
      </w:r>
      <w:r w:rsidR="00B10036">
        <w:rPr>
          <w:noProof/>
        </w:rPr>
        <w:t> </w:t>
      </w:r>
      <w:r w:rsidR="00B10036" w:rsidRPr="00B10036">
        <w:rPr>
          <w:noProof/>
        </w:rPr>
        <w:t>zak</w:t>
      </w:r>
      <w:r w:rsidRPr="00B10036">
        <w:rPr>
          <w:noProof/>
        </w:rPr>
        <w:t>resie celów klimatycznych na</w:t>
      </w:r>
      <w:r w:rsidR="00B10036" w:rsidRPr="00B10036">
        <w:rPr>
          <w:noProof/>
        </w:rPr>
        <w:t> </w:t>
      </w:r>
      <w:r w:rsidRPr="00B10036">
        <w:rPr>
          <w:noProof/>
        </w:rPr>
        <w:t>2030</w:t>
      </w:r>
      <w:r w:rsidR="00B10036" w:rsidRPr="00B10036">
        <w:rPr>
          <w:noProof/>
        </w:rPr>
        <w:t> </w:t>
      </w:r>
      <w:r w:rsidRPr="00B10036">
        <w:rPr>
          <w:noProof/>
        </w:rPr>
        <w:t>r. oraz inicjatywom</w:t>
      </w:r>
      <w:r w:rsidR="00B10036" w:rsidRPr="00B10036">
        <w:rPr>
          <w:noProof/>
        </w:rPr>
        <w:t xml:space="preserve"> w</w:t>
      </w:r>
      <w:r w:rsidR="00B10036">
        <w:rPr>
          <w:noProof/>
        </w:rPr>
        <w:t> </w:t>
      </w:r>
      <w:r w:rsidR="00B10036" w:rsidRPr="00B10036">
        <w:rPr>
          <w:noProof/>
        </w:rPr>
        <w:t>ram</w:t>
      </w:r>
      <w:r w:rsidRPr="00B10036">
        <w:rPr>
          <w:noProof/>
        </w:rPr>
        <w:t>ach pakietu „Gotowi na</w:t>
      </w:r>
      <w:r w:rsidR="00B10036" w:rsidRPr="00B10036">
        <w:rPr>
          <w:noProof/>
        </w:rPr>
        <w:t> </w:t>
      </w:r>
      <w:r w:rsidRPr="00B10036">
        <w:rPr>
          <w:noProof/>
        </w:rPr>
        <w:t>55”. Uwzględniono</w:t>
      </w:r>
      <w:r w:rsidR="00B10036" w:rsidRPr="00B10036">
        <w:rPr>
          <w:noProof/>
        </w:rPr>
        <w:t xml:space="preserve"> w</w:t>
      </w:r>
      <w:r w:rsidR="00B10036">
        <w:rPr>
          <w:noProof/>
        </w:rPr>
        <w:t> </w:t>
      </w:r>
      <w:r w:rsidR="00B10036" w:rsidRPr="00B10036">
        <w:rPr>
          <w:noProof/>
        </w:rPr>
        <w:t>nim</w:t>
      </w:r>
      <w:r w:rsidRPr="00B10036">
        <w:rPr>
          <w:noProof/>
        </w:rPr>
        <w:t xml:space="preserve"> nowe dowody pochodzące</w:t>
      </w:r>
      <w:r w:rsidR="00B10036" w:rsidRPr="00B10036">
        <w:rPr>
          <w:noProof/>
        </w:rPr>
        <w:t xml:space="preserve"> z</w:t>
      </w:r>
      <w:r w:rsidR="00B10036">
        <w:rPr>
          <w:noProof/>
        </w:rPr>
        <w:t> </w:t>
      </w:r>
      <w:r w:rsidR="00B10036" w:rsidRPr="00B10036">
        <w:rPr>
          <w:noProof/>
        </w:rPr>
        <w:t>dod</w:t>
      </w:r>
      <w:r w:rsidRPr="00B10036">
        <w:rPr>
          <w:noProof/>
        </w:rPr>
        <w:t>atkowych analiz przeprowadzonych przez Komisję Europejską,</w:t>
      </w:r>
      <w:r w:rsidR="00B10036" w:rsidRPr="00B10036">
        <w:rPr>
          <w:noProof/>
        </w:rPr>
        <w:t xml:space="preserve"> w</w:t>
      </w:r>
      <w:r w:rsidR="00B10036">
        <w:rPr>
          <w:noProof/>
        </w:rPr>
        <w:t> </w:t>
      </w:r>
      <w:r w:rsidR="00B10036" w:rsidRPr="00B10036">
        <w:rPr>
          <w:noProof/>
        </w:rPr>
        <w:t>tym</w:t>
      </w:r>
      <w:r w:rsidRPr="00B10036">
        <w:rPr>
          <w:noProof/>
        </w:rPr>
        <w:t xml:space="preserve"> aktualizacje wskaźników ubóstwa energetycznego według progów podatkowych dla tych państw członkowskich, dla których dane za</w:t>
      </w:r>
      <w:r w:rsidR="00B10036" w:rsidRPr="00B10036">
        <w:rPr>
          <w:noProof/>
        </w:rPr>
        <w:t> </w:t>
      </w:r>
      <w:r w:rsidRPr="00B10036">
        <w:rPr>
          <w:noProof/>
        </w:rPr>
        <w:t>2020</w:t>
      </w:r>
      <w:r w:rsidR="00B10036" w:rsidRPr="00B10036">
        <w:rPr>
          <w:noProof/>
        </w:rPr>
        <w:t> </w:t>
      </w:r>
      <w:r w:rsidRPr="00B10036">
        <w:rPr>
          <w:noProof/>
        </w:rPr>
        <w:t>r. są już dostępne</w:t>
      </w:r>
      <w:r w:rsidR="00B10036" w:rsidRPr="00B10036">
        <w:rPr>
          <w:noProof/>
        </w:rPr>
        <w:t xml:space="preserve"> w</w:t>
      </w:r>
      <w:r w:rsidR="00B10036">
        <w:rPr>
          <w:noProof/>
        </w:rPr>
        <w:t> </w:t>
      </w:r>
      <w:r w:rsidR="00B10036" w:rsidRPr="00B10036">
        <w:rPr>
          <w:noProof/>
        </w:rPr>
        <w:t>baz</w:t>
      </w:r>
      <w:r w:rsidRPr="00B10036">
        <w:rPr>
          <w:noProof/>
        </w:rPr>
        <w:t>ie danych EU-SILC. Wykorzystano</w:t>
      </w:r>
      <w:r w:rsidR="00B10036" w:rsidRPr="00B10036">
        <w:rPr>
          <w:noProof/>
        </w:rPr>
        <w:t xml:space="preserve"> w</w:t>
      </w:r>
      <w:r w:rsidR="00B10036">
        <w:rPr>
          <w:noProof/>
        </w:rPr>
        <w:t> </w:t>
      </w:r>
      <w:r w:rsidR="00B10036" w:rsidRPr="00B10036">
        <w:rPr>
          <w:noProof/>
        </w:rPr>
        <w:t>nim</w:t>
      </w:r>
      <w:r w:rsidRPr="00B10036">
        <w:rPr>
          <w:noProof/>
        </w:rPr>
        <w:t xml:space="preserve"> również informacje zwrotne otrzymane podczas ukierunkowanych konsultacji jesienią 2021</w:t>
      </w:r>
      <w:r w:rsidR="00B10036" w:rsidRPr="00B10036">
        <w:rPr>
          <w:noProof/>
        </w:rPr>
        <w:t> </w:t>
      </w:r>
      <w:r w:rsidRPr="00B10036">
        <w:rPr>
          <w:noProof/>
        </w:rPr>
        <w:t>r.,</w:t>
      </w:r>
      <w:r w:rsidR="00B10036" w:rsidRPr="00B10036">
        <w:rPr>
          <w:noProof/>
        </w:rPr>
        <w:t xml:space="preserve"> w</w:t>
      </w:r>
      <w:r w:rsidR="00B10036">
        <w:rPr>
          <w:noProof/>
        </w:rPr>
        <w:t> </w:t>
      </w:r>
      <w:r w:rsidR="00B10036" w:rsidRPr="00B10036">
        <w:rPr>
          <w:noProof/>
        </w:rPr>
        <w:t>ram</w:t>
      </w:r>
      <w:r w:rsidRPr="00B10036">
        <w:rPr>
          <w:noProof/>
        </w:rPr>
        <w:t>ach których Komisja Europejska zwróciła się m.in. do państw członkowskich, partnerów społecznych, społeczeństwa obywatelskiego,</w:t>
      </w:r>
      <w:r w:rsidR="00B10036" w:rsidRPr="00B10036">
        <w:rPr>
          <w:noProof/>
        </w:rPr>
        <w:t xml:space="preserve"> w</w:t>
      </w:r>
      <w:r w:rsidR="00B10036">
        <w:rPr>
          <w:noProof/>
        </w:rPr>
        <w:t> </w:t>
      </w:r>
      <w:r w:rsidR="00B10036" w:rsidRPr="00B10036">
        <w:rPr>
          <w:noProof/>
        </w:rPr>
        <w:t>tym</w:t>
      </w:r>
      <w:r w:rsidRPr="00B10036">
        <w:rPr>
          <w:noProof/>
        </w:rPr>
        <w:t xml:space="preserve"> osób młodych, oraz ekspertów</w:t>
      </w:r>
      <w:r w:rsidR="00B10036" w:rsidRPr="00B10036">
        <w:rPr>
          <w:noProof/>
        </w:rPr>
        <w:t xml:space="preserve"> w</w:t>
      </w:r>
      <w:r w:rsidR="00B10036">
        <w:rPr>
          <w:noProof/>
        </w:rPr>
        <w:t> </w:t>
      </w:r>
      <w:r w:rsidR="00B10036" w:rsidRPr="00B10036">
        <w:rPr>
          <w:noProof/>
        </w:rPr>
        <w:t>dzi</w:t>
      </w:r>
      <w:r w:rsidRPr="00B10036">
        <w:rPr>
          <w:noProof/>
        </w:rPr>
        <w:t>edzinie analizy rynku pracy, polityki społecznej</w:t>
      </w:r>
      <w:r w:rsidR="00B10036" w:rsidRPr="00B10036">
        <w:rPr>
          <w:noProof/>
        </w:rPr>
        <w:t xml:space="preserve"> i</w:t>
      </w:r>
      <w:r w:rsidR="00B10036">
        <w:rPr>
          <w:noProof/>
        </w:rPr>
        <w:t> </w:t>
      </w:r>
      <w:r w:rsidR="00B10036" w:rsidRPr="00B10036">
        <w:rPr>
          <w:noProof/>
        </w:rPr>
        <w:t>spr</w:t>
      </w:r>
      <w:r w:rsidRPr="00B10036">
        <w:rPr>
          <w:noProof/>
        </w:rPr>
        <w:t xml:space="preserve">awiedliwej transformacji. </w:t>
      </w:r>
    </w:p>
    <w:p w14:paraId="2E14CAFF" w14:textId="52A8515D"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Niektóre</w:t>
      </w:r>
      <w:r w:rsidR="00B10036" w:rsidRPr="00B10036">
        <w:rPr>
          <w:noProof/>
        </w:rPr>
        <w:t xml:space="preserve"> z</w:t>
      </w:r>
      <w:r w:rsidR="00B10036">
        <w:rPr>
          <w:noProof/>
        </w:rPr>
        <w:t> </w:t>
      </w:r>
      <w:r w:rsidR="00B10036" w:rsidRPr="00B10036">
        <w:rPr>
          <w:noProof/>
        </w:rPr>
        <w:t>naj</w:t>
      </w:r>
      <w:r w:rsidRPr="00B10036">
        <w:rPr>
          <w:noProof/>
        </w:rPr>
        <w:t xml:space="preserve">istotniejszych dowodów dotyczą następujących aspektów polityki: </w:t>
      </w:r>
    </w:p>
    <w:p w14:paraId="6EBC6031" w14:textId="458BC03B" w:rsidR="00002649" w:rsidRPr="00B10036" w:rsidRDefault="00002649" w:rsidP="00AE5D56">
      <w:pPr>
        <w:rPr>
          <w:noProof/>
        </w:rPr>
      </w:pPr>
      <w:r w:rsidRPr="00B10036">
        <w:rPr>
          <w:noProof/>
        </w:rPr>
        <w:t>Wykazania,</w:t>
      </w:r>
      <w:r w:rsidR="00B10036" w:rsidRPr="00B10036">
        <w:rPr>
          <w:noProof/>
        </w:rPr>
        <w:t xml:space="preserve"> w</w:t>
      </w:r>
      <w:r w:rsidR="00B10036">
        <w:rPr>
          <w:noProof/>
        </w:rPr>
        <w:t> </w:t>
      </w:r>
      <w:r w:rsidR="00B10036" w:rsidRPr="00B10036">
        <w:rPr>
          <w:noProof/>
        </w:rPr>
        <w:t>jak</w:t>
      </w:r>
      <w:r w:rsidRPr="00B10036">
        <w:rPr>
          <w:noProof/>
        </w:rPr>
        <w:t>i sposób potencjał tworzenia miejsc pracy</w:t>
      </w:r>
      <w:r w:rsidR="00B10036" w:rsidRPr="00B10036">
        <w:rPr>
          <w:noProof/>
        </w:rPr>
        <w:t xml:space="preserve"> w</w:t>
      </w:r>
      <w:r w:rsidR="00B10036">
        <w:rPr>
          <w:noProof/>
        </w:rPr>
        <w:t> </w:t>
      </w:r>
      <w:r w:rsidR="00B10036" w:rsidRPr="00B10036">
        <w:rPr>
          <w:noProof/>
        </w:rPr>
        <w:t>ram</w:t>
      </w:r>
      <w:r w:rsidRPr="00B10036">
        <w:rPr>
          <w:noProof/>
        </w:rPr>
        <w:t>ach transformacji zależy zarówno od aktywnego wsparcia przepływów na rynku pracy</w:t>
      </w:r>
      <w:r w:rsidR="00B10036" w:rsidRPr="00B10036">
        <w:rPr>
          <w:noProof/>
        </w:rPr>
        <w:t xml:space="preserve"> i</w:t>
      </w:r>
      <w:r w:rsidR="00B10036">
        <w:rPr>
          <w:noProof/>
        </w:rPr>
        <w:t> </w:t>
      </w:r>
      <w:r w:rsidR="00B10036" w:rsidRPr="00B10036">
        <w:rPr>
          <w:noProof/>
        </w:rPr>
        <w:t>two</w:t>
      </w:r>
      <w:r w:rsidRPr="00B10036">
        <w:rPr>
          <w:noProof/>
        </w:rPr>
        <w:t>rzenia miejsc pracy, jak i od zdolności pracowników do nabycia zestawu umiejętności dostosowanych do rynku pracy</w:t>
      </w:r>
      <w:r w:rsidR="00B10036" w:rsidRPr="00B10036">
        <w:rPr>
          <w:noProof/>
        </w:rPr>
        <w:t xml:space="preserve"> i</w:t>
      </w:r>
      <w:r w:rsidR="00B10036">
        <w:rPr>
          <w:noProof/>
        </w:rPr>
        <w:t> </w:t>
      </w:r>
      <w:r w:rsidR="00B10036" w:rsidRPr="00B10036">
        <w:rPr>
          <w:noProof/>
        </w:rPr>
        <w:t>kra</w:t>
      </w:r>
      <w:r w:rsidRPr="00B10036">
        <w:rPr>
          <w:noProof/>
        </w:rPr>
        <w:t>jobrazu przemysłowego charakteryzującego się zielonymi miejscami pracy</w:t>
      </w:r>
      <w:r w:rsidR="00B10036" w:rsidRPr="00B10036">
        <w:rPr>
          <w:noProof/>
        </w:rPr>
        <w:t xml:space="preserve"> i</w:t>
      </w:r>
      <w:r w:rsidR="00B10036">
        <w:rPr>
          <w:noProof/>
        </w:rPr>
        <w:t> </w:t>
      </w:r>
      <w:r w:rsidR="00B10036" w:rsidRPr="00B10036">
        <w:rPr>
          <w:noProof/>
        </w:rPr>
        <w:t>pro</w:t>
      </w:r>
      <w:r w:rsidRPr="00B10036">
        <w:rPr>
          <w:noProof/>
        </w:rPr>
        <w:t>cesami produkcji przyjaznymi dla klimatu.</w:t>
      </w:r>
    </w:p>
    <w:p w14:paraId="4BC3238C" w14:textId="1A0839B6" w:rsidR="00002649" w:rsidRPr="00B10036" w:rsidRDefault="00002649" w:rsidP="00AE5D56">
      <w:pPr>
        <w:rPr>
          <w:noProof/>
        </w:rPr>
      </w:pPr>
      <w:r w:rsidRPr="00B10036">
        <w:rPr>
          <w:noProof/>
        </w:rPr>
        <w:t>Przedstawienia uzyskanych</w:t>
      </w:r>
      <w:r w:rsidR="00B10036" w:rsidRPr="00B10036">
        <w:rPr>
          <w:noProof/>
        </w:rPr>
        <w:t xml:space="preserve"> z</w:t>
      </w:r>
      <w:r w:rsidR="00B10036">
        <w:rPr>
          <w:noProof/>
        </w:rPr>
        <w:t> </w:t>
      </w:r>
      <w:r w:rsidR="00B10036" w:rsidRPr="00B10036">
        <w:rPr>
          <w:noProof/>
        </w:rPr>
        <w:t>mod</w:t>
      </w:r>
      <w:r w:rsidRPr="00B10036">
        <w:rPr>
          <w:noProof/>
        </w:rPr>
        <w:t>eli dowodów na możliwość przesunięcia dochodów podatkowych</w:t>
      </w:r>
      <w:r w:rsidR="00B10036" w:rsidRPr="00B10036">
        <w:rPr>
          <w:noProof/>
        </w:rPr>
        <w:t xml:space="preserve"> z</w:t>
      </w:r>
      <w:r w:rsidR="00B10036">
        <w:rPr>
          <w:noProof/>
        </w:rPr>
        <w:t> </w:t>
      </w:r>
      <w:r w:rsidR="00B10036" w:rsidRPr="00B10036">
        <w:rPr>
          <w:noProof/>
        </w:rPr>
        <w:t>opo</w:t>
      </w:r>
      <w:r w:rsidRPr="00B10036">
        <w:rPr>
          <w:noProof/>
        </w:rPr>
        <w:t>datkowania pracy na generowanie dochodów związanych</w:t>
      </w:r>
      <w:r w:rsidR="00B10036" w:rsidRPr="00B10036">
        <w:rPr>
          <w:noProof/>
        </w:rPr>
        <w:t xml:space="preserve"> z</w:t>
      </w:r>
      <w:r w:rsidR="00B10036">
        <w:rPr>
          <w:noProof/>
        </w:rPr>
        <w:t> </w:t>
      </w:r>
      <w:r w:rsidR="00B10036" w:rsidRPr="00B10036">
        <w:rPr>
          <w:noProof/>
        </w:rPr>
        <w:t>kli</w:t>
      </w:r>
      <w:r w:rsidRPr="00B10036">
        <w:rPr>
          <w:noProof/>
        </w:rPr>
        <w:t>matem, internalizacji negatywnych ekologicznych efektów zewnętrznych poprzez promowanie zasady „zanieczyszczający płaci” oraz poprawy wyników na rynku pracy przy jednoczesnym zmniejszeniu narażenia na zagrożenia środowiskowe, zwłaszcza</w:t>
      </w:r>
      <w:r w:rsidR="00B10036" w:rsidRPr="00B10036">
        <w:rPr>
          <w:noProof/>
        </w:rPr>
        <w:t xml:space="preserve"> w</w:t>
      </w:r>
      <w:r w:rsidR="00B10036">
        <w:rPr>
          <w:noProof/>
        </w:rPr>
        <w:t> </w:t>
      </w:r>
      <w:r w:rsidR="00B10036" w:rsidRPr="00B10036">
        <w:rPr>
          <w:noProof/>
        </w:rPr>
        <w:t>prz</w:t>
      </w:r>
      <w:r w:rsidRPr="00B10036">
        <w:rPr>
          <w:noProof/>
        </w:rPr>
        <w:t>ypadku osób będących</w:t>
      </w:r>
      <w:r w:rsidR="00B10036" w:rsidRPr="00B10036">
        <w:rPr>
          <w:noProof/>
        </w:rPr>
        <w:t xml:space="preserve"> w</w:t>
      </w:r>
      <w:r w:rsidR="00B10036">
        <w:rPr>
          <w:noProof/>
        </w:rPr>
        <w:t> </w:t>
      </w:r>
      <w:r w:rsidR="00B10036" w:rsidRPr="00B10036">
        <w:rPr>
          <w:noProof/>
        </w:rPr>
        <w:t>naj</w:t>
      </w:r>
      <w:r w:rsidRPr="00B10036">
        <w:rPr>
          <w:noProof/>
        </w:rPr>
        <w:t>trudniejszej sytuacji, jak również na możliwość złagodzenia niekorzystnych efektów dystrybucyjnych poprzez ukierunkowane środki służące transferowi dochodów</w:t>
      </w:r>
      <w:r w:rsidR="00B10036" w:rsidRPr="00B10036">
        <w:rPr>
          <w:noProof/>
        </w:rPr>
        <w:t xml:space="preserve"> z</w:t>
      </w:r>
      <w:r w:rsidR="00B10036">
        <w:rPr>
          <w:noProof/>
        </w:rPr>
        <w:t> </w:t>
      </w:r>
      <w:r w:rsidR="00B10036" w:rsidRPr="00B10036">
        <w:rPr>
          <w:noProof/>
        </w:rPr>
        <w:t>pod</w:t>
      </w:r>
      <w:r w:rsidRPr="00B10036">
        <w:rPr>
          <w:noProof/>
        </w:rPr>
        <w:t>atków energetycznych</w:t>
      </w:r>
      <w:r w:rsidR="00B10036" w:rsidRPr="00B10036">
        <w:rPr>
          <w:noProof/>
        </w:rPr>
        <w:t xml:space="preserve"> i</w:t>
      </w:r>
      <w:r w:rsidR="00B10036">
        <w:rPr>
          <w:noProof/>
        </w:rPr>
        <w:t> </w:t>
      </w:r>
      <w:r w:rsidR="00B10036" w:rsidRPr="00B10036">
        <w:rPr>
          <w:noProof/>
        </w:rPr>
        <w:t>ust</w:t>
      </w:r>
      <w:r w:rsidRPr="00B10036">
        <w:rPr>
          <w:noProof/>
        </w:rPr>
        <w:t>alania opłat za emisję gazów cieplarnianych do gospodarstw domowych najbardziej obciążonych skutkami transformacji, zwłaszcza będących</w:t>
      </w:r>
      <w:r w:rsidR="00B10036" w:rsidRPr="00B10036">
        <w:rPr>
          <w:noProof/>
        </w:rPr>
        <w:t xml:space="preserve"> w</w:t>
      </w:r>
      <w:r w:rsidR="00B10036">
        <w:rPr>
          <w:noProof/>
        </w:rPr>
        <w:t> </w:t>
      </w:r>
      <w:r w:rsidR="00B10036" w:rsidRPr="00B10036">
        <w:rPr>
          <w:noProof/>
        </w:rPr>
        <w:t>tru</w:t>
      </w:r>
      <w:r w:rsidRPr="00B10036">
        <w:rPr>
          <w:noProof/>
        </w:rPr>
        <w:t>dnej sytuacji.</w:t>
      </w:r>
    </w:p>
    <w:p w14:paraId="1837937E" w14:textId="1644C47A" w:rsidR="00002649" w:rsidRPr="00B10036" w:rsidRDefault="00002649" w:rsidP="00AE5D56">
      <w:pPr>
        <w:rPr>
          <w:noProof/>
        </w:rPr>
      </w:pPr>
      <w:r w:rsidRPr="00B10036">
        <w:rPr>
          <w:noProof/>
        </w:rPr>
        <w:t>Podkreślenia,</w:t>
      </w:r>
      <w:r w:rsidR="00B10036" w:rsidRPr="00B10036">
        <w:rPr>
          <w:noProof/>
        </w:rPr>
        <w:t xml:space="preserve"> w</w:t>
      </w:r>
      <w:r w:rsidR="00B10036">
        <w:rPr>
          <w:noProof/>
        </w:rPr>
        <w:t> </w:t>
      </w:r>
      <w:r w:rsidR="00B10036" w:rsidRPr="00B10036">
        <w:rPr>
          <w:noProof/>
        </w:rPr>
        <w:t>jak</w:t>
      </w:r>
      <w:r w:rsidRPr="00B10036">
        <w:rPr>
          <w:noProof/>
        </w:rPr>
        <w:t>i sposób specjalne inwestycje</w:t>
      </w:r>
      <w:r w:rsidR="00B10036" w:rsidRPr="00B10036">
        <w:rPr>
          <w:noProof/>
        </w:rPr>
        <w:t xml:space="preserve"> w</w:t>
      </w:r>
      <w:r w:rsidR="00B10036">
        <w:rPr>
          <w:noProof/>
        </w:rPr>
        <w:t> </w:t>
      </w:r>
      <w:r w:rsidR="00B10036" w:rsidRPr="00B10036">
        <w:rPr>
          <w:noProof/>
        </w:rPr>
        <w:t>efe</w:t>
      </w:r>
      <w:r w:rsidRPr="00B10036">
        <w:rPr>
          <w:noProof/>
        </w:rPr>
        <w:t>ktywność energetyczną, obniżenie emisyjności ogrzewania, chłodzenia</w:t>
      </w:r>
      <w:r w:rsidR="00B10036" w:rsidRPr="00B10036">
        <w:rPr>
          <w:noProof/>
        </w:rPr>
        <w:t xml:space="preserve"> i</w:t>
      </w:r>
      <w:r w:rsidR="00B10036">
        <w:rPr>
          <w:noProof/>
        </w:rPr>
        <w:t> </w:t>
      </w:r>
      <w:r w:rsidR="00B10036" w:rsidRPr="00B10036">
        <w:rPr>
          <w:noProof/>
        </w:rPr>
        <w:t>tra</w:t>
      </w:r>
      <w:r w:rsidRPr="00B10036">
        <w:rPr>
          <w:noProof/>
        </w:rPr>
        <w:t>nsportu, dostęp do podstawowych usług,</w:t>
      </w:r>
      <w:r w:rsidR="00B10036" w:rsidRPr="00B10036">
        <w:rPr>
          <w:noProof/>
        </w:rPr>
        <w:t xml:space="preserve"> w</w:t>
      </w:r>
      <w:r w:rsidR="00B10036">
        <w:rPr>
          <w:noProof/>
        </w:rPr>
        <w:t> </w:t>
      </w:r>
      <w:r w:rsidR="00B10036" w:rsidRPr="00B10036">
        <w:rPr>
          <w:noProof/>
        </w:rPr>
        <w:t>tym</w:t>
      </w:r>
      <w:r w:rsidRPr="00B10036">
        <w:rPr>
          <w:noProof/>
        </w:rPr>
        <w:t xml:space="preserve"> alternatywne rozwiązania</w:t>
      </w:r>
      <w:r w:rsidR="00B10036" w:rsidRPr="00B10036">
        <w:rPr>
          <w:noProof/>
        </w:rPr>
        <w:t xml:space="preserve"> w</w:t>
      </w:r>
      <w:r w:rsidR="00B10036">
        <w:rPr>
          <w:noProof/>
        </w:rPr>
        <w:t> </w:t>
      </w:r>
      <w:r w:rsidR="00B10036" w:rsidRPr="00B10036">
        <w:rPr>
          <w:noProof/>
        </w:rPr>
        <w:t>zak</w:t>
      </w:r>
      <w:r w:rsidRPr="00B10036">
        <w:rPr>
          <w:noProof/>
        </w:rPr>
        <w:t>resie mobilności zgodnej</w:t>
      </w:r>
      <w:r w:rsidR="00B10036" w:rsidRPr="00B10036">
        <w:rPr>
          <w:noProof/>
        </w:rPr>
        <w:t xml:space="preserve"> z</w:t>
      </w:r>
      <w:r w:rsidR="00B10036">
        <w:rPr>
          <w:noProof/>
        </w:rPr>
        <w:t> </w:t>
      </w:r>
      <w:r w:rsidR="00B10036" w:rsidRPr="00B10036">
        <w:rPr>
          <w:noProof/>
        </w:rPr>
        <w:t>zas</w:t>
      </w:r>
      <w:r w:rsidRPr="00B10036">
        <w:rPr>
          <w:noProof/>
        </w:rPr>
        <w:t>adami zrównoważonego rozwoju, oraz podnoszenie świadomości, uzupełnione</w:t>
      </w:r>
      <w:r w:rsidR="00B10036" w:rsidRPr="00B10036">
        <w:rPr>
          <w:noProof/>
        </w:rPr>
        <w:t xml:space="preserve"> w</w:t>
      </w:r>
      <w:r w:rsidR="00B10036">
        <w:rPr>
          <w:noProof/>
        </w:rPr>
        <w:t> </w:t>
      </w:r>
      <w:r w:rsidR="00B10036" w:rsidRPr="00B10036">
        <w:rPr>
          <w:noProof/>
        </w:rPr>
        <w:t>raz</w:t>
      </w:r>
      <w:r w:rsidRPr="00B10036">
        <w:rPr>
          <w:noProof/>
        </w:rPr>
        <w:t>ie potrzeby tymczasowym</w:t>
      </w:r>
      <w:r w:rsidR="00B10036" w:rsidRPr="00B10036">
        <w:rPr>
          <w:noProof/>
        </w:rPr>
        <w:t xml:space="preserve"> i</w:t>
      </w:r>
      <w:r w:rsidR="00B10036">
        <w:rPr>
          <w:noProof/>
        </w:rPr>
        <w:t> </w:t>
      </w:r>
      <w:r w:rsidR="00B10036" w:rsidRPr="00B10036">
        <w:rPr>
          <w:noProof/>
        </w:rPr>
        <w:t>uki</w:t>
      </w:r>
      <w:r w:rsidRPr="00B10036">
        <w:rPr>
          <w:noProof/>
        </w:rPr>
        <w:t>erunkowanym bezpośrednim wsparciem dochodu konsumentów podatnych na zagrożenia</w:t>
      </w:r>
      <w:r w:rsidR="00B10036" w:rsidRPr="00B10036">
        <w:rPr>
          <w:noProof/>
        </w:rPr>
        <w:t xml:space="preserve"> i</w:t>
      </w:r>
      <w:r w:rsidR="00B10036">
        <w:rPr>
          <w:noProof/>
        </w:rPr>
        <w:t> </w:t>
      </w:r>
      <w:r w:rsidR="00B10036" w:rsidRPr="00B10036">
        <w:rPr>
          <w:noProof/>
        </w:rPr>
        <w:t>gos</w:t>
      </w:r>
      <w:r w:rsidRPr="00B10036">
        <w:rPr>
          <w:noProof/>
        </w:rPr>
        <w:t>podarstw domowych, mogą zapewnić sprawiedliwą</w:t>
      </w:r>
      <w:r w:rsidR="00B10036" w:rsidRPr="00B10036">
        <w:rPr>
          <w:noProof/>
        </w:rPr>
        <w:t xml:space="preserve"> i</w:t>
      </w:r>
      <w:r w:rsidR="00B10036">
        <w:rPr>
          <w:noProof/>
        </w:rPr>
        <w:t> </w:t>
      </w:r>
      <w:r w:rsidR="00B10036" w:rsidRPr="00B10036">
        <w:rPr>
          <w:noProof/>
        </w:rPr>
        <w:t>spr</w:t>
      </w:r>
      <w:r w:rsidRPr="00B10036">
        <w:rPr>
          <w:noProof/>
        </w:rPr>
        <w:t>zyjającą włączeniu społecznemu transformację energetyczną, ze szczególnym uwzględnieniem osób</w:t>
      </w:r>
      <w:r w:rsidR="00B10036" w:rsidRPr="00B10036">
        <w:rPr>
          <w:noProof/>
        </w:rPr>
        <w:t xml:space="preserve"> i</w:t>
      </w:r>
      <w:r w:rsidR="00B10036">
        <w:rPr>
          <w:noProof/>
        </w:rPr>
        <w:t> </w:t>
      </w:r>
      <w:r w:rsidR="00B10036" w:rsidRPr="00B10036">
        <w:rPr>
          <w:noProof/>
        </w:rPr>
        <w:t>gos</w:t>
      </w:r>
      <w:r w:rsidRPr="00B10036">
        <w:rPr>
          <w:noProof/>
        </w:rPr>
        <w:t>podarstw domowych najbardziej obciążonych skutkami transformacji, zwłaszcza będących</w:t>
      </w:r>
      <w:r w:rsidR="00B10036" w:rsidRPr="00B10036">
        <w:rPr>
          <w:noProof/>
        </w:rPr>
        <w:t xml:space="preserve"> w</w:t>
      </w:r>
      <w:r w:rsidR="00B10036">
        <w:rPr>
          <w:noProof/>
        </w:rPr>
        <w:t> </w:t>
      </w:r>
      <w:r w:rsidR="00B10036" w:rsidRPr="00B10036">
        <w:rPr>
          <w:noProof/>
        </w:rPr>
        <w:t>tru</w:t>
      </w:r>
      <w:r w:rsidRPr="00B10036">
        <w:rPr>
          <w:noProof/>
        </w:rPr>
        <w:t>dnej sytuacji.</w:t>
      </w:r>
    </w:p>
    <w:p w14:paraId="27221640" w14:textId="35390703"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Sprawność regulacyjna</w:t>
      </w:r>
      <w:r w:rsidR="00B10036" w:rsidRPr="00B10036">
        <w:rPr>
          <w:noProof/>
          <w:bdr w:val="nil"/>
        </w:rPr>
        <w:t xml:space="preserve"> i</w:t>
      </w:r>
      <w:r w:rsidR="00B10036">
        <w:rPr>
          <w:noProof/>
          <w:bdr w:val="nil"/>
        </w:rPr>
        <w:t> </w:t>
      </w:r>
      <w:r w:rsidR="00B10036" w:rsidRPr="00B10036">
        <w:rPr>
          <w:noProof/>
          <w:bdr w:val="nil"/>
        </w:rPr>
        <w:t>upr</w:t>
      </w:r>
      <w:r w:rsidRPr="00B10036">
        <w:rPr>
          <w:noProof/>
          <w:bdr w:val="nil"/>
        </w:rPr>
        <w:t>oszczenie</w:t>
      </w:r>
    </w:p>
    <w:p w14:paraId="61BC680B" w14:textId="77777777"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Nie dotyczy.</w:t>
      </w:r>
    </w:p>
    <w:p w14:paraId="13F06330"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Prawa podstawowe</w:t>
      </w:r>
    </w:p>
    <w:p w14:paraId="0819DF37" w14:textId="7CBAB448" w:rsidR="007D24DA" w:rsidRPr="00B10036" w:rsidRDefault="00002649" w:rsidP="007D24DA">
      <w:pPr>
        <w:autoSpaceDE w:val="0"/>
        <w:autoSpaceDN w:val="0"/>
        <w:spacing w:after="0"/>
        <w:rPr>
          <w:noProof/>
        </w:rPr>
      </w:pPr>
      <w:r w:rsidRPr="00B10036">
        <w:rPr>
          <w:noProof/>
        </w:rPr>
        <w:t>Nie zidentyfikowano negatywnego wpływu na prawa podstawowe. Wręcz przeciwnie, przez inicjatywę promuje się prawa zapisane</w:t>
      </w:r>
      <w:r w:rsidR="00B10036" w:rsidRPr="00B10036">
        <w:rPr>
          <w:noProof/>
        </w:rPr>
        <w:t xml:space="preserve"> w</w:t>
      </w:r>
      <w:r w:rsidR="00B10036">
        <w:rPr>
          <w:noProof/>
        </w:rPr>
        <w:t> </w:t>
      </w:r>
      <w:r w:rsidR="00B10036" w:rsidRPr="00B10036">
        <w:rPr>
          <w:noProof/>
        </w:rPr>
        <w:t>Kar</w:t>
      </w:r>
      <w:r w:rsidRPr="00B10036">
        <w:rPr>
          <w:noProof/>
        </w:rPr>
        <w:t>cie praw podstawowych Unii Europejskiej,</w:t>
      </w:r>
      <w:r w:rsidR="00B10036" w:rsidRPr="00B10036">
        <w:rPr>
          <w:noProof/>
        </w:rPr>
        <w:t xml:space="preserve"> w</w:t>
      </w:r>
      <w:r w:rsidR="00B10036">
        <w:rPr>
          <w:noProof/>
        </w:rPr>
        <w:t> </w:t>
      </w:r>
      <w:r w:rsidR="00B10036" w:rsidRPr="00B10036">
        <w:rPr>
          <w:noProof/>
        </w:rPr>
        <w:t>tym w</w:t>
      </w:r>
      <w:r w:rsidR="00B10036">
        <w:rPr>
          <w:noProof/>
        </w:rPr>
        <w:t> </w:t>
      </w:r>
      <w:r w:rsidR="00B10036" w:rsidRPr="00B10036">
        <w:rPr>
          <w:noProof/>
        </w:rPr>
        <w:t>tyt</w:t>
      </w:r>
      <w:r w:rsidRPr="00B10036">
        <w:rPr>
          <w:noProof/>
        </w:rPr>
        <w:t>ułach dotyczących równości</w:t>
      </w:r>
      <w:r w:rsidR="00B10036" w:rsidRPr="00B10036">
        <w:rPr>
          <w:noProof/>
        </w:rPr>
        <w:t xml:space="preserve"> i</w:t>
      </w:r>
      <w:r w:rsidR="00B10036">
        <w:rPr>
          <w:noProof/>
        </w:rPr>
        <w:t> </w:t>
      </w:r>
      <w:r w:rsidR="00B10036" w:rsidRPr="00B10036">
        <w:rPr>
          <w:noProof/>
        </w:rPr>
        <w:t>sol</w:t>
      </w:r>
      <w:r w:rsidRPr="00B10036">
        <w:rPr>
          <w:noProof/>
        </w:rPr>
        <w:t>idarności, takie jak prawo do sprawiedliwych warunków pracy (art.</w:t>
      </w:r>
      <w:r w:rsidR="00B10036" w:rsidRPr="00B10036">
        <w:rPr>
          <w:noProof/>
        </w:rPr>
        <w:t> </w:t>
      </w:r>
      <w:r w:rsidRPr="00B10036">
        <w:rPr>
          <w:noProof/>
        </w:rPr>
        <w:t>31), prawo do nauki (art.</w:t>
      </w:r>
      <w:r w:rsidR="00B10036" w:rsidRPr="00B10036">
        <w:rPr>
          <w:noProof/>
        </w:rPr>
        <w:t> </w:t>
      </w:r>
      <w:r w:rsidRPr="00B10036">
        <w:rPr>
          <w:noProof/>
        </w:rPr>
        <w:t>14) oraz prawo do zabezpieczenia społecznego</w:t>
      </w:r>
      <w:r w:rsidR="00B10036" w:rsidRPr="00B10036">
        <w:rPr>
          <w:noProof/>
        </w:rPr>
        <w:t xml:space="preserve"> i</w:t>
      </w:r>
      <w:r w:rsidR="00B10036">
        <w:rPr>
          <w:noProof/>
        </w:rPr>
        <w:t> </w:t>
      </w:r>
      <w:r w:rsidR="00B10036" w:rsidRPr="00B10036">
        <w:rPr>
          <w:noProof/>
        </w:rPr>
        <w:t>pom</w:t>
      </w:r>
      <w:r w:rsidRPr="00B10036">
        <w:rPr>
          <w:noProof/>
        </w:rPr>
        <w:t>ocy społecznej (art.</w:t>
      </w:r>
      <w:r w:rsidR="00B10036" w:rsidRPr="00B10036">
        <w:rPr>
          <w:noProof/>
        </w:rPr>
        <w:t> </w:t>
      </w:r>
      <w:r w:rsidRPr="00B10036">
        <w:rPr>
          <w:noProof/>
        </w:rPr>
        <w:t>34), które odnosi się do świadczeń</w:t>
      </w:r>
      <w:r w:rsidR="00B10036" w:rsidRPr="00B10036">
        <w:rPr>
          <w:noProof/>
        </w:rPr>
        <w:t xml:space="preserve"> z</w:t>
      </w:r>
      <w:r w:rsidR="00B10036">
        <w:rPr>
          <w:noProof/>
        </w:rPr>
        <w:t> </w:t>
      </w:r>
      <w:r w:rsidR="00B10036" w:rsidRPr="00B10036">
        <w:rPr>
          <w:noProof/>
        </w:rPr>
        <w:t>zab</w:t>
      </w:r>
      <w:r w:rsidRPr="00B10036">
        <w:rPr>
          <w:noProof/>
        </w:rPr>
        <w:t>ezpieczenia społecznego oraz do usług społecznych, zapewniających ochronę</w:t>
      </w:r>
      <w:r w:rsidR="00B10036" w:rsidRPr="00B10036">
        <w:rPr>
          <w:noProof/>
        </w:rPr>
        <w:t xml:space="preserve"> w</w:t>
      </w:r>
      <w:r w:rsidR="00B10036">
        <w:rPr>
          <w:noProof/>
        </w:rPr>
        <w:t> </w:t>
      </w:r>
      <w:r w:rsidR="00B10036" w:rsidRPr="00B10036">
        <w:rPr>
          <w:noProof/>
        </w:rPr>
        <w:t>okr</w:t>
      </w:r>
      <w:r w:rsidRPr="00B10036">
        <w:rPr>
          <w:noProof/>
        </w:rPr>
        <w:t>eślonych przypadkach,</w:t>
      </w:r>
      <w:r w:rsidR="00B10036" w:rsidRPr="00B10036">
        <w:rPr>
          <w:noProof/>
        </w:rPr>
        <w:t xml:space="preserve"> a</w:t>
      </w:r>
      <w:r w:rsidR="00B10036">
        <w:rPr>
          <w:noProof/>
        </w:rPr>
        <w:t> </w:t>
      </w:r>
      <w:r w:rsidR="00B10036" w:rsidRPr="00B10036">
        <w:rPr>
          <w:noProof/>
        </w:rPr>
        <w:t>tak</w:t>
      </w:r>
      <w:r w:rsidRPr="00B10036">
        <w:rPr>
          <w:noProof/>
        </w:rPr>
        <w:t>że prawo do pomocy społecznej</w:t>
      </w:r>
      <w:r w:rsidR="00B10036" w:rsidRPr="00B10036">
        <w:rPr>
          <w:noProof/>
        </w:rPr>
        <w:t xml:space="preserve"> i</w:t>
      </w:r>
      <w:r w:rsidR="00B10036">
        <w:rPr>
          <w:noProof/>
        </w:rPr>
        <w:t> </w:t>
      </w:r>
      <w:r w:rsidR="00B10036" w:rsidRPr="00B10036">
        <w:rPr>
          <w:noProof/>
        </w:rPr>
        <w:t>mie</w:t>
      </w:r>
      <w:r w:rsidRPr="00B10036">
        <w:rPr>
          <w:noProof/>
        </w:rPr>
        <w:t>szkaniowej.</w:t>
      </w:r>
    </w:p>
    <w:p w14:paraId="632E2CCA" w14:textId="77777777" w:rsidR="00002649" w:rsidRPr="00B10036" w:rsidRDefault="00002649" w:rsidP="00002649">
      <w:pPr>
        <w:pStyle w:val="ManualHeading1"/>
        <w:rPr>
          <w:noProof/>
        </w:rPr>
      </w:pPr>
      <w:r w:rsidRPr="00B10036">
        <w:rPr>
          <w:noProof/>
        </w:rPr>
        <w:t>4.</w:t>
      </w:r>
      <w:r w:rsidRPr="00B10036">
        <w:rPr>
          <w:noProof/>
        </w:rPr>
        <w:tab/>
        <w:t>WPŁYW NA BUDŻET</w:t>
      </w:r>
    </w:p>
    <w:p w14:paraId="7D792017" w14:textId="3114E79C" w:rsidR="00721DC2" w:rsidRPr="00B10036" w:rsidRDefault="00721DC2" w:rsidP="00A420EC">
      <w:pPr>
        <w:pBdr>
          <w:top w:val="nil"/>
          <w:left w:val="nil"/>
          <w:bottom w:val="nil"/>
          <w:right w:val="nil"/>
          <w:between w:val="nil"/>
          <w:bar w:val="nil"/>
        </w:pBdr>
        <w:shd w:val="clear" w:color="auto" w:fill="FFFFFF" w:themeFill="background1"/>
        <w:spacing w:before="0" w:after="240"/>
        <w:rPr>
          <w:noProof/>
        </w:rPr>
      </w:pPr>
      <w:r w:rsidRPr="00B10036">
        <w:rPr>
          <w:noProof/>
        </w:rPr>
        <w:t>Niniejszy wniosek dotyczący zalecenia nie wymaga dodatkowych zasobów</w:t>
      </w:r>
      <w:r w:rsidR="00B10036" w:rsidRPr="00B10036">
        <w:rPr>
          <w:noProof/>
        </w:rPr>
        <w:t xml:space="preserve"> z</w:t>
      </w:r>
      <w:r w:rsidR="00B10036">
        <w:rPr>
          <w:noProof/>
        </w:rPr>
        <w:t> </w:t>
      </w:r>
      <w:r w:rsidR="00B10036" w:rsidRPr="00B10036">
        <w:rPr>
          <w:noProof/>
        </w:rPr>
        <w:t>bud</w:t>
      </w:r>
      <w:r w:rsidRPr="00B10036">
        <w:rPr>
          <w:noProof/>
        </w:rPr>
        <w:t xml:space="preserve">żetu UE. </w:t>
      </w:r>
    </w:p>
    <w:p w14:paraId="2AD102F9" w14:textId="729A8049" w:rsidR="00014691" w:rsidRPr="00B10036" w:rsidRDefault="00721DC2" w:rsidP="00721DC2">
      <w:pPr>
        <w:pBdr>
          <w:top w:val="nil"/>
          <w:left w:val="nil"/>
          <w:bottom w:val="nil"/>
          <w:right w:val="nil"/>
          <w:between w:val="nil"/>
          <w:bar w:val="nil"/>
        </w:pBdr>
        <w:shd w:val="clear" w:color="auto" w:fill="FFFFFF" w:themeFill="background1"/>
        <w:spacing w:before="0" w:after="240"/>
        <w:rPr>
          <w:noProof/>
        </w:rPr>
      </w:pPr>
      <w:r w:rsidRPr="00B10036">
        <w:rPr>
          <w:noProof/>
        </w:rPr>
        <w:t>Możliwości finansowania</w:t>
      </w:r>
      <w:r w:rsidR="00B10036" w:rsidRPr="00B10036">
        <w:rPr>
          <w:noProof/>
        </w:rPr>
        <w:t xml:space="preserve"> w</w:t>
      </w:r>
      <w:r w:rsidR="00B10036">
        <w:rPr>
          <w:noProof/>
        </w:rPr>
        <w:t> </w:t>
      </w:r>
      <w:r w:rsidR="00B10036" w:rsidRPr="00B10036">
        <w:rPr>
          <w:noProof/>
        </w:rPr>
        <w:t>ram</w:t>
      </w:r>
      <w:r w:rsidRPr="00B10036">
        <w:rPr>
          <w:noProof/>
        </w:rPr>
        <w:t>ach budżetu UE związane ze sprawiedliwą transformacją</w:t>
      </w:r>
      <w:r w:rsidR="00B10036" w:rsidRPr="00B10036">
        <w:rPr>
          <w:noProof/>
        </w:rPr>
        <w:t xml:space="preserve"> w</w:t>
      </w:r>
      <w:r w:rsidR="00B10036">
        <w:rPr>
          <w:noProof/>
        </w:rPr>
        <w:t> </w:t>
      </w:r>
      <w:r w:rsidR="00B10036" w:rsidRPr="00B10036">
        <w:rPr>
          <w:noProof/>
        </w:rPr>
        <w:t>kie</w:t>
      </w:r>
      <w:r w:rsidRPr="00B10036">
        <w:rPr>
          <w:noProof/>
        </w:rPr>
        <w:t>runku neutralności klimatycznej są już dostępne zgodnie</w:t>
      </w:r>
      <w:r w:rsidR="00B10036" w:rsidRPr="00B10036">
        <w:rPr>
          <w:noProof/>
        </w:rPr>
        <w:t xml:space="preserve"> z</w:t>
      </w:r>
      <w:r w:rsidR="00B10036">
        <w:rPr>
          <w:noProof/>
        </w:rPr>
        <w:t> </w:t>
      </w:r>
      <w:r w:rsidR="00B10036" w:rsidRPr="00B10036">
        <w:rPr>
          <w:noProof/>
        </w:rPr>
        <w:t>pol</w:t>
      </w:r>
      <w:r w:rsidRPr="00B10036">
        <w:rPr>
          <w:noProof/>
        </w:rPr>
        <w:t>ityką celów</w:t>
      </w:r>
      <w:r w:rsidR="00B10036" w:rsidRPr="00B10036">
        <w:rPr>
          <w:noProof/>
        </w:rPr>
        <w:t xml:space="preserve"> i</w:t>
      </w:r>
      <w:r w:rsidR="00B10036">
        <w:rPr>
          <w:noProof/>
        </w:rPr>
        <w:t> </w:t>
      </w:r>
      <w:r w:rsidR="00B10036" w:rsidRPr="00B10036">
        <w:rPr>
          <w:noProof/>
        </w:rPr>
        <w:t>log</w:t>
      </w:r>
      <w:r w:rsidRPr="00B10036">
        <w:rPr>
          <w:noProof/>
        </w:rPr>
        <w:t>iką interwencji poszczególnych funduszy</w:t>
      </w:r>
      <w:r w:rsidR="00B10036" w:rsidRPr="00B10036">
        <w:rPr>
          <w:noProof/>
        </w:rPr>
        <w:t xml:space="preserve"> i</w:t>
      </w:r>
      <w:r w:rsidR="00B10036">
        <w:rPr>
          <w:noProof/>
        </w:rPr>
        <w:t> </w:t>
      </w:r>
      <w:r w:rsidR="00B10036" w:rsidRPr="00B10036">
        <w:rPr>
          <w:noProof/>
        </w:rPr>
        <w:t>pro</w:t>
      </w:r>
      <w:r w:rsidRPr="00B10036">
        <w:rPr>
          <w:noProof/>
        </w:rPr>
        <w:t>gramów</w:t>
      </w:r>
      <w:r w:rsidRPr="00B10036">
        <w:rPr>
          <w:rStyle w:val="FootnoteReference"/>
          <w:rFonts w:eastAsia="Arial Unicode MS"/>
          <w:noProof/>
        </w:rPr>
        <w:footnoteReference w:id="48"/>
      </w:r>
      <w:r w:rsidRPr="00B10036">
        <w:rPr>
          <w:noProof/>
        </w:rPr>
        <w:t xml:space="preserve">. </w:t>
      </w:r>
    </w:p>
    <w:p w14:paraId="2F6BE499" w14:textId="339221C2" w:rsidR="00721DC2" w:rsidRPr="00B10036" w:rsidRDefault="00CB02FC" w:rsidP="00721DC2">
      <w:pPr>
        <w:pBdr>
          <w:top w:val="nil"/>
          <w:left w:val="nil"/>
          <w:bottom w:val="nil"/>
          <w:right w:val="nil"/>
          <w:between w:val="nil"/>
          <w:bar w:val="nil"/>
        </w:pBdr>
        <w:shd w:val="clear" w:color="auto" w:fill="FFFFFF" w:themeFill="background1"/>
        <w:spacing w:before="0" w:after="240"/>
        <w:rPr>
          <w:noProof/>
        </w:rPr>
      </w:pPr>
      <w:r w:rsidRPr="00B10036">
        <w:rPr>
          <w:noProof/>
        </w:rPr>
        <w:t>Zalecenie zawiera wytyczne dotyczące budżetów krajowych</w:t>
      </w:r>
      <w:r w:rsidR="00B10036" w:rsidRPr="00B10036">
        <w:rPr>
          <w:noProof/>
        </w:rPr>
        <w:t xml:space="preserve"> i</w:t>
      </w:r>
      <w:r w:rsidR="00B10036">
        <w:rPr>
          <w:noProof/>
        </w:rPr>
        <w:t> </w:t>
      </w:r>
      <w:r w:rsidR="00B10036" w:rsidRPr="00B10036">
        <w:rPr>
          <w:noProof/>
        </w:rPr>
        <w:t>ich</w:t>
      </w:r>
      <w:r w:rsidRPr="00B10036">
        <w:rPr>
          <w:noProof/>
        </w:rPr>
        <w:t xml:space="preserve"> ewentualnej roli we wdrażaniu tego zalecenia.</w:t>
      </w:r>
    </w:p>
    <w:p w14:paraId="42E4901C" w14:textId="77777777" w:rsidR="00002649" w:rsidRPr="00B10036" w:rsidRDefault="00002649" w:rsidP="00002649">
      <w:pPr>
        <w:pStyle w:val="ManualHeading1"/>
        <w:rPr>
          <w:noProof/>
        </w:rPr>
      </w:pPr>
      <w:r w:rsidRPr="00B10036">
        <w:rPr>
          <w:noProof/>
        </w:rPr>
        <w:t>5.</w:t>
      </w:r>
      <w:r w:rsidRPr="00B10036">
        <w:rPr>
          <w:noProof/>
        </w:rPr>
        <w:tab/>
        <w:t>ELEMENTY FAKULTATYWNE</w:t>
      </w:r>
    </w:p>
    <w:p w14:paraId="557951E5" w14:textId="5BC076CC"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Plany wdrożenia</w:t>
      </w:r>
      <w:r w:rsidR="00B10036" w:rsidRPr="00B10036">
        <w:rPr>
          <w:noProof/>
          <w:bdr w:val="nil"/>
        </w:rPr>
        <w:t xml:space="preserve"> i</w:t>
      </w:r>
      <w:r w:rsidR="00B10036">
        <w:rPr>
          <w:noProof/>
          <w:bdr w:val="nil"/>
        </w:rPr>
        <w:t> </w:t>
      </w:r>
      <w:r w:rsidR="00B10036" w:rsidRPr="00B10036">
        <w:rPr>
          <w:noProof/>
          <w:bdr w:val="nil"/>
        </w:rPr>
        <w:t>mon</w:t>
      </w:r>
      <w:r w:rsidRPr="00B10036">
        <w:rPr>
          <w:noProof/>
          <w:bdr w:val="nil"/>
        </w:rPr>
        <w:t>itorowanie, ocena</w:t>
      </w:r>
      <w:r w:rsidR="00B10036" w:rsidRPr="00B10036">
        <w:rPr>
          <w:noProof/>
          <w:bdr w:val="nil"/>
        </w:rPr>
        <w:t xml:space="preserve"> i</w:t>
      </w:r>
      <w:r w:rsidR="00B10036">
        <w:rPr>
          <w:noProof/>
          <w:bdr w:val="nil"/>
        </w:rPr>
        <w:t> </w:t>
      </w:r>
      <w:r w:rsidR="00B10036" w:rsidRPr="00B10036">
        <w:rPr>
          <w:noProof/>
          <w:bdr w:val="nil"/>
        </w:rPr>
        <w:t>spr</w:t>
      </w:r>
      <w:r w:rsidRPr="00B10036">
        <w:rPr>
          <w:noProof/>
          <w:bdr w:val="nil"/>
        </w:rPr>
        <w:t>awozdania</w:t>
      </w:r>
    </w:p>
    <w:p w14:paraId="2A47A239" w14:textId="6E847924" w:rsidR="00002649" w:rsidRPr="00B10036" w:rsidRDefault="00002649" w:rsidP="00002649">
      <w:pPr>
        <w:pBdr>
          <w:top w:val="nil"/>
          <w:left w:val="nil"/>
          <w:bottom w:val="nil"/>
          <w:right w:val="nil"/>
          <w:between w:val="nil"/>
          <w:bar w:val="nil"/>
        </w:pBdr>
        <w:spacing w:before="0" w:after="240"/>
        <w:rPr>
          <w:noProof/>
        </w:rPr>
      </w:pPr>
      <w:r w:rsidRPr="00B10036">
        <w:rPr>
          <w:noProof/>
        </w:rPr>
        <w:t>Proponuje się, aby Komisja monitorowała wdrażanie niniejszego zalecenia Rady we współpracy</w:t>
      </w:r>
      <w:r w:rsidR="00B10036" w:rsidRPr="00B10036">
        <w:rPr>
          <w:noProof/>
        </w:rPr>
        <w:t xml:space="preserve"> z</w:t>
      </w:r>
      <w:r w:rsidR="00B10036">
        <w:rPr>
          <w:noProof/>
        </w:rPr>
        <w:t> </w:t>
      </w:r>
      <w:r w:rsidR="00B10036" w:rsidRPr="00B10036">
        <w:rPr>
          <w:noProof/>
        </w:rPr>
        <w:t>pań</w:t>
      </w:r>
      <w:r w:rsidRPr="00B10036">
        <w:rPr>
          <w:noProof/>
        </w:rPr>
        <w:t>stwami członkowskimi</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kon</w:t>
      </w:r>
      <w:r w:rsidRPr="00B10036">
        <w:rPr>
          <w:noProof/>
        </w:rPr>
        <w:t>tekście europejskiego semestru.</w:t>
      </w:r>
    </w:p>
    <w:p w14:paraId="19272AFE" w14:textId="2562EA91" w:rsidR="00002649" w:rsidRPr="00B10036" w:rsidRDefault="00002649" w:rsidP="00002649">
      <w:pPr>
        <w:pBdr>
          <w:top w:val="nil"/>
          <w:left w:val="nil"/>
          <w:bottom w:val="nil"/>
          <w:right w:val="nil"/>
          <w:between w:val="nil"/>
          <w:bar w:val="nil"/>
        </w:pBdr>
        <w:spacing w:before="0" w:after="240"/>
        <w:rPr>
          <w:noProof/>
        </w:rPr>
      </w:pPr>
      <w:r w:rsidRPr="00B10036">
        <w:rPr>
          <w:noProof/>
        </w:rPr>
        <w:t>Ponadto proponuje się, aby państwa członkowskie uwzględniły niniejsze zalecenie Rady</w:t>
      </w:r>
      <w:r w:rsidR="00B10036" w:rsidRPr="00B10036">
        <w:rPr>
          <w:noProof/>
        </w:rPr>
        <w:t xml:space="preserve"> w</w:t>
      </w:r>
      <w:r w:rsidR="00B10036">
        <w:rPr>
          <w:noProof/>
        </w:rPr>
        <w:t> </w:t>
      </w:r>
      <w:r w:rsidR="00B10036" w:rsidRPr="00B10036">
        <w:rPr>
          <w:noProof/>
        </w:rPr>
        <w:t>akt</w:t>
      </w:r>
      <w:r w:rsidRPr="00B10036">
        <w:rPr>
          <w:noProof/>
        </w:rPr>
        <w:t>ualizacji swoich zintegrowanych krajowych planów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w:t>
      </w:r>
      <w:r w:rsidR="00B10036" w:rsidRPr="00B10036">
        <w:rPr>
          <w:noProof/>
        </w:rPr>
        <w:t xml:space="preserve"> w</w:t>
      </w:r>
      <w:r w:rsidR="00B10036">
        <w:rPr>
          <w:noProof/>
        </w:rPr>
        <w:t> </w:t>
      </w:r>
      <w:r w:rsidR="00B10036" w:rsidRPr="00B10036">
        <w:rPr>
          <w:noProof/>
        </w:rPr>
        <w:t>2</w:t>
      </w:r>
      <w:r w:rsidRPr="00B10036">
        <w:rPr>
          <w:noProof/>
        </w:rPr>
        <w:t>023</w:t>
      </w:r>
      <w:r w:rsidR="00B10036" w:rsidRPr="00B10036">
        <w:rPr>
          <w:noProof/>
        </w:rPr>
        <w:t> </w:t>
      </w:r>
      <w:r w:rsidRPr="00B10036">
        <w:rPr>
          <w:noProof/>
        </w:rPr>
        <w:t>r. (w przypadku projektów krajowych planów)</w:t>
      </w:r>
      <w:r w:rsidR="00B10036" w:rsidRPr="00B10036">
        <w:rPr>
          <w:noProof/>
        </w:rPr>
        <w:t xml:space="preserve"> i</w:t>
      </w:r>
      <w:r w:rsidR="00B10036">
        <w:rPr>
          <w:noProof/>
        </w:rPr>
        <w:t> </w:t>
      </w:r>
      <w:r w:rsidR="00B10036" w:rsidRPr="00B10036">
        <w:rPr>
          <w:noProof/>
        </w:rPr>
        <w:t>2</w:t>
      </w:r>
      <w:r w:rsidRPr="00B10036">
        <w:rPr>
          <w:noProof/>
        </w:rPr>
        <w:t>024</w:t>
      </w:r>
      <w:r w:rsidR="00B10036" w:rsidRPr="00B10036">
        <w:rPr>
          <w:noProof/>
        </w:rPr>
        <w:t> </w:t>
      </w:r>
      <w:r w:rsidRPr="00B10036">
        <w:rPr>
          <w:noProof/>
        </w:rPr>
        <w:t>r. (w przypadku ostatecznych krajowych planów) zgodnie</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14 rozporządzenia (UE) 2018/1999</w:t>
      </w:r>
      <w:r w:rsidR="00B10036" w:rsidRPr="00B10036">
        <w:rPr>
          <w:noProof/>
        </w:rPr>
        <w:t xml:space="preserve"> w</w:t>
      </w:r>
      <w:r w:rsidR="00B10036">
        <w:rPr>
          <w:noProof/>
        </w:rPr>
        <w:t> </w:t>
      </w:r>
      <w:r w:rsidR="00B10036" w:rsidRPr="00B10036">
        <w:rPr>
          <w:noProof/>
        </w:rPr>
        <w:t>spr</w:t>
      </w:r>
      <w:r w:rsidRPr="00B10036">
        <w:rPr>
          <w:noProof/>
        </w:rPr>
        <w:t>awie zarządzania unią energetyczną</w:t>
      </w:r>
      <w:r w:rsidR="00B10036" w:rsidRPr="00B10036">
        <w:rPr>
          <w:noProof/>
        </w:rPr>
        <w:t xml:space="preserve"> i</w:t>
      </w:r>
      <w:r w:rsidR="00B10036">
        <w:rPr>
          <w:noProof/>
        </w:rPr>
        <w:t> </w:t>
      </w:r>
      <w:r w:rsidR="00B10036" w:rsidRPr="00B10036">
        <w:rPr>
          <w:noProof/>
        </w:rPr>
        <w:t>dzi</w:t>
      </w:r>
      <w:r w:rsidRPr="00B10036">
        <w:rPr>
          <w:noProof/>
        </w:rPr>
        <w:t>ałaniami</w:t>
      </w:r>
      <w:r w:rsidR="00B10036" w:rsidRPr="00B10036">
        <w:rPr>
          <w:noProof/>
        </w:rPr>
        <w:t xml:space="preserve"> w</w:t>
      </w:r>
      <w:r w:rsidR="00B10036">
        <w:rPr>
          <w:noProof/>
        </w:rPr>
        <w:t> </w:t>
      </w:r>
      <w:r w:rsidR="00B10036" w:rsidRPr="00B10036">
        <w:rPr>
          <w:noProof/>
        </w:rPr>
        <w:t>dzi</w:t>
      </w:r>
      <w:r w:rsidRPr="00B10036">
        <w:rPr>
          <w:noProof/>
        </w:rPr>
        <w:t>edzinie klimatu („rozporządzenie</w:t>
      </w:r>
      <w:r w:rsidR="00B10036" w:rsidRPr="00B10036">
        <w:rPr>
          <w:noProof/>
        </w:rPr>
        <w:t xml:space="preserve"> w</w:t>
      </w:r>
      <w:r w:rsidR="00B10036">
        <w:rPr>
          <w:noProof/>
        </w:rPr>
        <w:t> </w:t>
      </w:r>
      <w:r w:rsidR="00B10036" w:rsidRPr="00B10036">
        <w:rPr>
          <w:noProof/>
        </w:rPr>
        <w:t>spr</w:t>
      </w:r>
      <w:r w:rsidRPr="00B10036">
        <w:rPr>
          <w:noProof/>
        </w:rPr>
        <w:t>awie zarządzania unią energetyczną”) oraz</w:t>
      </w:r>
      <w:r w:rsidR="00B10036" w:rsidRPr="00B10036">
        <w:rPr>
          <w:noProof/>
        </w:rPr>
        <w:t xml:space="preserve"> w</w:t>
      </w:r>
      <w:r w:rsidR="00B10036">
        <w:rPr>
          <w:noProof/>
        </w:rPr>
        <w:t> </w:t>
      </w:r>
      <w:r w:rsidR="00B10036" w:rsidRPr="00B10036">
        <w:rPr>
          <w:noProof/>
        </w:rPr>
        <w:t>kra</w:t>
      </w:r>
      <w:r w:rsidRPr="00B10036">
        <w:rPr>
          <w:noProof/>
        </w:rPr>
        <w:t>jowych sprawozdaniach</w:t>
      </w:r>
      <w:r w:rsidR="00B10036" w:rsidRPr="00B10036">
        <w:rPr>
          <w:noProof/>
        </w:rPr>
        <w:t xml:space="preserve"> z</w:t>
      </w:r>
      <w:r w:rsidR="00B10036">
        <w:rPr>
          <w:noProof/>
        </w:rPr>
        <w:t> </w:t>
      </w:r>
      <w:r w:rsidR="00B10036" w:rsidRPr="00B10036">
        <w:rPr>
          <w:noProof/>
        </w:rPr>
        <w:t>pos</w:t>
      </w:r>
      <w:r w:rsidRPr="00B10036">
        <w:rPr>
          <w:noProof/>
        </w:rPr>
        <w:t>tępów</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zgodnie</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17 tego rozporządzenia</w:t>
      </w:r>
      <w:r w:rsidR="00B10036" w:rsidRPr="00B10036">
        <w:rPr>
          <w:noProof/>
        </w:rPr>
        <w:t>. W</w:t>
      </w:r>
      <w:r w:rsidR="00B10036">
        <w:rPr>
          <w:noProof/>
        </w:rPr>
        <w:t> </w:t>
      </w:r>
      <w:r w:rsidR="00B10036" w:rsidRPr="00B10036">
        <w:rPr>
          <w:noProof/>
        </w:rPr>
        <w:t>szc</w:t>
      </w:r>
      <w:r w:rsidRPr="00B10036">
        <w:rPr>
          <w:noProof/>
        </w:rPr>
        <w:t>zególności zalecenie powinno stanowić podstawę do uwzględnienia aspektów sprawiedliwej transformacji</w:t>
      </w:r>
      <w:r w:rsidR="00B10036" w:rsidRPr="00B10036">
        <w:rPr>
          <w:noProof/>
        </w:rPr>
        <w:t xml:space="preserve"> w</w:t>
      </w:r>
      <w:r w:rsidR="00B10036">
        <w:rPr>
          <w:noProof/>
        </w:rPr>
        <w:t> </w:t>
      </w:r>
      <w:r w:rsidR="00B10036" w:rsidRPr="00B10036">
        <w:rPr>
          <w:noProof/>
        </w:rPr>
        <w:t>kon</w:t>
      </w:r>
      <w:r w:rsidRPr="00B10036">
        <w:rPr>
          <w:noProof/>
        </w:rPr>
        <w:t>tekście środków</w:t>
      </w:r>
      <w:r w:rsidR="00B10036" w:rsidRPr="00B10036">
        <w:rPr>
          <w:noProof/>
        </w:rPr>
        <w:t xml:space="preserve"> i</w:t>
      </w:r>
      <w:r w:rsidR="00B10036">
        <w:rPr>
          <w:noProof/>
        </w:rPr>
        <w:t> </w:t>
      </w:r>
      <w:r w:rsidR="00B10036" w:rsidRPr="00B10036">
        <w:rPr>
          <w:noProof/>
        </w:rPr>
        <w:t>dzi</w:t>
      </w:r>
      <w:r w:rsidRPr="00B10036">
        <w:rPr>
          <w:noProof/>
        </w:rPr>
        <w:t>ałań przewidzianych</w:t>
      </w:r>
      <w:r w:rsidR="00B10036" w:rsidRPr="00B10036">
        <w:rPr>
          <w:noProof/>
        </w:rPr>
        <w:t xml:space="preserve"> w</w:t>
      </w:r>
      <w:r w:rsidR="00B10036">
        <w:rPr>
          <w:noProof/>
        </w:rPr>
        <w:t> </w:t>
      </w:r>
      <w:r w:rsidR="00B10036" w:rsidRPr="00B10036">
        <w:rPr>
          <w:noProof/>
        </w:rPr>
        <w:t>ram</w:t>
      </w:r>
      <w:r w:rsidRPr="00B10036">
        <w:rPr>
          <w:noProof/>
        </w:rPr>
        <w:t>ach każdego</w:t>
      </w:r>
      <w:r w:rsidR="00B10036" w:rsidRPr="00B10036">
        <w:rPr>
          <w:noProof/>
        </w:rPr>
        <w:t xml:space="preserve"> z</w:t>
      </w:r>
      <w:r w:rsidR="00B10036">
        <w:rPr>
          <w:noProof/>
        </w:rPr>
        <w:t> </w:t>
      </w:r>
      <w:r w:rsidR="00B10036" w:rsidRPr="00B10036">
        <w:rPr>
          <w:noProof/>
        </w:rPr>
        <w:t>pię</w:t>
      </w:r>
      <w:r w:rsidRPr="00B10036">
        <w:rPr>
          <w:noProof/>
        </w:rPr>
        <w:t>ciu wymiarów unii energetycznej określonych</w:t>
      </w:r>
      <w:r w:rsidR="00B10036" w:rsidRPr="00B10036">
        <w:rPr>
          <w:noProof/>
        </w:rPr>
        <w:t xml:space="preserve"> w</w:t>
      </w:r>
      <w:r w:rsidR="00B10036">
        <w:rPr>
          <w:noProof/>
        </w:rPr>
        <w:t> </w:t>
      </w:r>
      <w:r w:rsidR="00B10036" w:rsidRPr="00B10036">
        <w:rPr>
          <w:noProof/>
        </w:rPr>
        <w:t>art</w:t>
      </w:r>
      <w:r w:rsidRPr="00B10036">
        <w:rPr>
          <w:noProof/>
        </w:rPr>
        <w:t>.</w:t>
      </w:r>
      <w:r w:rsidR="00B10036" w:rsidRPr="00B10036">
        <w:rPr>
          <w:noProof/>
        </w:rPr>
        <w:t> </w:t>
      </w:r>
      <w:r w:rsidRPr="00B10036">
        <w:rPr>
          <w:noProof/>
        </w:rPr>
        <w:t>1 ust.</w:t>
      </w:r>
      <w:r w:rsidR="00B10036" w:rsidRPr="00B10036">
        <w:rPr>
          <w:noProof/>
        </w:rPr>
        <w:t> </w:t>
      </w:r>
      <w:r w:rsidRPr="00B10036">
        <w:rPr>
          <w:noProof/>
        </w:rPr>
        <w:t>2 rozporządzenia</w:t>
      </w:r>
      <w:r w:rsidR="00B10036" w:rsidRPr="00B10036">
        <w:rPr>
          <w:noProof/>
        </w:rPr>
        <w:t xml:space="preserve"> w</w:t>
      </w:r>
      <w:r w:rsidR="00B10036">
        <w:rPr>
          <w:noProof/>
        </w:rPr>
        <w:t> </w:t>
      </w:r>
      <w:r w:rsidR="00B10036" w:rsidRPr="00B10036">
        <w:rPr>
          <w:noProof/>
        </w:rPr>
        <w:t>spr</w:t>
      </w:r>
      <w:r w:rsidRPr="00B10036">
        <w:rPr>
          <w:noProof/>
        </w:rPr>
        <w:t>awie zarządzania unią energetyczną</w:t>
      </w:r>
      <w:r w:rsidR="00B10036" w:rsidRPr="00B10036">
        <w:rPr>
          <w:noProof/>
        </w:rPr>
        <w:t>. W</w:t>
      </w:r>
      <w:r w:rsidR="00B10036">
        <w:rPr>
          <w:noProof/>
        </w:rPr>
        <w:t> </w:t>
      </w:r>
      <w:r w:rsidR="00B10036" w:rsidRPr="00B10036">
        <w:rPr>
          <w:noProof/>
        </w:rPr>
        <w:t>zal</w:t>
      </w:r>
      <w:r w:rsidRPr="00B10036">
        <w:rPr>
          <w:noProof/>
        </w:rPr>
        <w:t>eceniu tym należy także uwzględnić konkretne działania</w:t>
      </w:r>
      <w:r w:rsidR="00B10036" w:rsidRPr="00B10036">
        <w:rPr>
          <w:noProof/>
        </w:rPr>
        <w:t xml:space="preserve"> i</w:t>
      </w:r>
      <w:r w:rsidR="00B10036">
        <w:rPr>
          <w:noProof/>
        </w:rPr>
        <w:t> </w:t>
      </w:r>
      <w:r w:rsidR="00B10036" w:rsidRPr="00B10036">
        <w:rPr>
          <w:noProof/>
        </w:rPr>
        <w:t>śro</w:t>
      </w:r>
      <w:r w:rsidRPr="00B10036">
        <w:rPr>
          <w:noProof/>
        </w:rPr>
        <w:t>dki krajowe mające na celu rozwiązanie kwestii zatrudnienia, umiejętności, ubóstwa energetycznego</w:t>
      </w:r>
      <w:r w:rsidR="00B10036" w:rsidRPr="00B10036">
        <w:rPr>
          <w:noProof/>
        </w:rPr>
        <w:t xml:space="preserve"> i</w:t>
      </w:r>
      <w:r w:rsidR="00B10036">
        <w:rPr>
          <w:noProof/>
        </w:rPr>
        <w:t> </w:t>
      </w:r>
      <w:r w:rsidR="00B10036" w:rsidRPr="00B10036">
        <w:rPr>
          <w:noProof/>
        </w:rPr>
        <w:t>inn</w:t>
      </w:r>
      <w:r w:rsidRPr="00B10036">
        <w:rPr>
          <w:noProof/>
        </w:rPr>
        <w:t>ych społecznych</w:t>
      </w:r>
      <w:r w:rsidR="00B10036" w:rsidRPr="00B10036">
        <w:rPr>
          <w:noProof/>
        </w:rPr>
        <w:t xml:space="preserve"> i</w:t>
      </w:r>
      <w:r w:rsidR="00B10036">
        <w:rPr>
          <w:noProof/>
        </w:rPr>
        <w:t> </w:t>
      </w:r>
      <w:r w:rsidR="00B10036" w:rsidRPr="00B10036">
        <w:rPr>
          <w:noProof/>
        </w:rPr>
        <w:t>dys</w:t>
      </w:r>
      <w:r w:rsidRPr="00B10036">
        <w:rPr>
          <w:noProof/>
        </w:rPr>
        <w:t>trybucyjnych aspektów wewnętrznego rynku energii,</w:t>
      </w:r>
      <w:r w:rsidR="00B10036" w:rsidRPr="00B10036">
        <w:rPr>
          <w:noProof/>
        </w:rPr>
        <w:t xml:space="preserve"> w</w:t>
      </w:r>
      <w:r w:rsidR="00B10036">
        <w:rPr>
          <w:noProof/>
        </w:rPr>
        <w:t> </w:t>
      </w:r>
      <w:r w:rsidR="00B10036" w:rsidRPr="00B10036">
        <w:rPr>
          <w:noProof/>
        </w:rPr>
        <w:t>prz</w:t>
      </w:r>
      <w:r w:rsidRPr="00B10036">
        <w:rPr>
          <w:noProof/>
        </w:rPr>
        <w:t>ypadku gdy państwa członkowskie zdecydują się na podjęcie takich działań, tym samym wspierając je,</w:t>
      </w:r>
      <w:r w:rsidR="00B10036" w:rsidRPr="00B10036">
        <w:rPr>
          <w:noProof/>
        </w:rPr>
        <w:t xml:space="preserve"> a</w:t>
      </w:r>
      <w:r w:rsidR="00B10036">
        <w:rPr>
          <w:noProof/>
        </w:rPr>
        <w:t> </w:t>
      </w:r>
      <w:r w:rsidR="00B10036" w:rsidRPr="00B10036">
        <w:rPr>
          <w:noProof/>
        </w:rPr>
        <w:t>w</w:t>
      </w:r>
      <w:r w:rsidR="00B10036">
        <w:rPr>
          <w:noProof/>
        </w:rPr>
        <w:t> </w:t>
      </w:r>
      <w:r w:rsidR="00B10036" w:rsidRPr="00B10036">
        <w:rPr>
          <w:noProof/>
        </w:rPr>
        <w:t>szc</w:t>
      </w:r>
      <w:r w:rsidRPr="00B10036">
        <w:rPr>
          <w:noProof/>
        </w:rPr>
        <w:t>zególności te,</w:t>
      </w:r>
      <w:r w:rsidR="00B10036" w:rsidRPr="00B10036">
        <w:rPr>
          <w:noProof/>
        </w:rPr>
        <w:t xml:space="preserve"> w</w:t>
      </w:r>
      <w:r w:rsidR="00B10036">
        <w:rPr>
          <w:noProof/>
        </w:rPr>
        <w:t> </w:t>
      </w:r>
      <w:r w:rsidR="00B10036" w:rsidRPr="00B10036">
        <w:rPr>
          <w:noProof/>
        </w:rPr>
        <w:t>któ</w:t>
      </w:r>
      <w:r w:rsidRPr="00B10036">
        <w:rPr>
          <w:noProof/>
        </w:rPr>
        <w:t>rych liczba gospodarstw domowych dotkniętych ubóstwem energetycznym jest wysoka,</w:t>
      </w:r>
      <w:r w:rsidR="00B10036" w:rsidRPr="00B10036">
        <w:rPr>
          <w:noProof/>
        </w:rPr>
        <w:t xml:space="preserve"> w</w:t>
      </w:r>
      <w:r w:rsidR="00B10036">
        <w:rPr>
          <w:noProof/>
        </w:rPr>
        <w:t> </w:t>
      </w:r>
      <w:r w:rsidR="00B10036" w:rsidRPr="00B10036">
        <w:rPr>
          <w:noProof/>
        </w:rPr>
        <w:t>opr</w:t>
      </w:r>
      <w:r w:rsidRPr="00B10036">
        <w:rPr>
          <w:noProof/>
        </w:rPr>
        <w:t>acowaniu odpowiednich polityk</w:t>
      </w:r>
      <w:r w:rsidR="00B10036" w:rsidRPr="00B10036">
        <w:rPr>
          <w:noProof/>
        </w:rPr>
        <w:t xml:space="preserve"> i</w:t>
      </w:r>
      <w:r w:rsidR="00B10036">
        <w:rPr>
          <w:noProof/>
        </w:rPr>
        <w:t> </w:t>
      </w:r>
      <w:r w:rsidR="00B10036" w:rsidRPr="00B10036">
        <w:rPr>
          <w:noProof/>
        </w:rPr>
        <w:t>śro</w:t>
      </w:r>
      <w:r w:rsidRPr="00B10036">
        <w:rPr>
          <w:noProof/>
        </w:rPr>
        <w:t>dków dotyczących tej kwestii</w:t>
      </w:r>
      <w:r w:rsidR="00B10036" w:rsidRPr="00B10036">
        <w:rPr>
          <w:noProof/>
        </w:rPr>
        <w:t xml:space="preserve"> w</w:t>
      </w:r>
      <w:r w:rsidR="00B10036">
        <w:rPr>
          <w:noProof/>
        </w:rPr>
        <w:t> </w:t>
      </w:r>
      <w:r w:rsidR="00B10036" w:rsidRPr="00B10036">
        <w:rPr>
          <w:noProof/>
        </w:rPr>
        <w:t>ich</w:t>
      </w:r>
      <w:r w:rsidRPr="00B10036">
        <w:rPr>
          <w:noProof/>
        </w:rPr>
        <w:t xml:space="preserve"> zintegrowanych krajowych planach</w:t>
      </w:r>
      <w:r w:rsidR="00B10036" w:rsidRPr="00B10036">
        <w:rPr>
          <w:noProof/>
        </w:rPr>
        <w:t xml:space="preserve"> w</w:t>
      </w:r>
      <w:r w:rsidR="00B10036">
        <w:rPr>
          <w:noProof/>
        </w:rPr>
        <w:t> </w:t>
      </w:r>
      <w:r w:rsidR="00B10036" w:rsidRPr="00B10036">
        <w:rPr>
          <w:noProof/>
        </w:rPr>
        <w:t>dzi</w:t>
      </w:r>
      <w:r w:rsidRPr="00B10036">
        <w:rPr>
          <w:noProof/>
        </w:rPr>
        <w:t>edzinie energii</w:t>
      </w:r>
      <w:r w:rsidR="00B10036" w:rsidRPr="00B10036">
        <w:rPr>
          <w:noProof/>
        </w:rPr>
        <w:t xml:space="preserve"> i</w:t>
      </w:r>
      <w:r w:rsidR="00B10036">
        <w:rPr>
          <w:noProof/>
        </w:rPr>
        <w:t> </w:t>
      </w:r>
      <w:r w:rsidR="00B10036" w:rsidRPr="00B10036">
        <w:rPr>
          <w:noProof/>
        </w:rPr>
        <w:t>kli</w:t>
      </w:r>
      <w:r w:rsidRPr="00B10036">
        <w:rPr>
          <w:noProof/>
        </w:rPr>
        <w:t>matu zgodnie</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3 ust.</w:t>
      </w:r>
      <w:r w:rsidR="00B10036" w:rsidRPr="00B10036">
        <w:rPr>
          <w:noProof/>
        </w:rPr>
        <w:t> </w:t>
      </w:r>
      <w:r w:rsidRPr="00B10036">
        <w:rPr>
          <w:noProof/>
        </w:rPr>
        <w:t>3d,</w:t>
      </w:r>
      <w:r w:rsidR="00B10036" w:rsidRPr="00B10036">
        <w:rPr>
          <w:noProof/>
        </w:rPr>
        <w:t xml:space="preserve"> w</w:t>
      </w:r>
      <w:r w:rsidR="00B10036">
        <w:rPr>
          <w:noProof/>
        </w:rPr>
        <w:t> </w:t>
      </w:r>
      <w:r w:rsidR="00B10036" w:rsidRPr="00B10036">
        <w:rPr>
          <w:noProof/>
        </w:rPr>
        <w:t>tym</w:t>
      </w:r>
      <w:r w:rsidRPr="00B10036">
        <w:rPr>
          <w:noProof/>
        </w:rPr>
        <w:t xml:space="preserve"> środków</w:t>
      </w:r>
      <w:r w:rsidR="00B10036" w:rsidRPr="00B10036">
        <w:rPr>
          <w:noProof/>
        </w:rPr>
        <w:t xml:space="preserve"> z</w:t>
      </w:r>
      <w:r w:rsidR="00B10036">
        <w:rPr>
          <w:noProof/>
        </w:rPr>
        <w:t> </w:t>
      </w:r>
      <w:r w:rsidR="00B10036" w:rsidRPr="00B10036">
        <w:rPr>
          <w:noProof/>
        </w:rPr>
        <w:t>zak</w:t>
      </w:r>
      <w:r w:rsidRPr="00B10036">
        <w:rPr>
          <w:noProof/>
        </w:rPr>
        <w:t>resu polityki społecznej</w:t>
      </w:r>
      <w:r w:rsidR="00B10036" w:rsidRPr="00B10036">
        <w:rPr>
          <w:noProof/>
        </w:rPr>
        <w:t xml:space="preserve"> i</w:t>
      </w:r>
      <w:r w:rsidR="00B10036">
        <w:rPr>
          <w:noProof/>
        </w:rPr>
        <w:t> </w:t>
      </w:r>
      <w:r w:rsidR="00B10036" w:rsidRPr="00B10036">
        <w:rPr>
          <w:noProof/>
        </w:rPr>
        <w:t>inn</w:t>
      </w:r>
      <w:r w:rsidRPr="00B10036">
        <w:rPr>
          <w:noProof/>
        </w:rPr>
        <w:t>ych odpowiednich krajowych programów</w:t>
      </w:r>
      <w:r w:rsidR="00B10036" w:rsidRPr="00B10036">
        <w:rPr>
          <w:noProof/>
        </w:rPr>
        <w:t xml:space="preserve"> i</w:t>
      </w:r>
      <w:r w:rsidR="00B10036">
        <w:rPr>
          <w:noProof/>
        </w:rPr>
        <w:t> </w:t>
      </w:r>
      <w:r w:rsidR="00B10036" w:rsidRPr="00B10036">
        <w:rPr>
          <w:noProof/>
        </w:rPr>
        <w:t>pol</w:t>
      </w:r>
      <w:r w:rsidRPr="00B10036">
        <w:rPr>
          <w:noProof/>
        </w:rPr>
        <w:t>ityk.</w:t>
      </w:r>
    </w:p>
    <w:p w14:paraId="0EA9144A" w14:textId="5C0A6BC9" w:rsidR="00002649" w:rsidRPr="00B10036" w:rsidRDefault="00002649" w:rsidP="00002649">
      <w:pPr>
        <w:pBdr>
          <w:top w:val="nil"/>
          <w:left w:val="nil"/>
          <w:bottom w:val="nil"/>
          <w:right w:val="nil"/>
          <w:between w:val="nil"/>
          <w:bar w:val="nil"/>
        </w:pBdr>
        <w:spacing w:before="0" w:after="240"/>
        <w:rPr>
          <w:noProof/>
        </w:rPr>
      </w:pPr>
      <w:r w:rsidRPr="00B10036">
        <w:rPr>
          <w:noProof/>
        </w:rPr>
        <w:t>Za pomocą wielostronnego mechanizmu nadzoru</w:t>
      </w:r>
      <w:r w:rsidR="00B10036" w:rsidRPr="00B10036">
        <w:rPr>
          <w:noProof/>
        </w:rPr>
        <w:t xml:space="preserve"> i</w:t>
      </w:r>
      <w:r w:rsidR="00B10036">
        <w:rPr>
          <w:noProof/>
        </w:rPr>
        <w:t> </w:t>
      </w:r>
      <w:r w:rsidR="00B10036" w:rsidRPr="00B10036">
        <w:rPr>
          <w:noProof/>
        </w:rPr>
        <w:t>ist</w:t>
      </w:r>
      <w:r w:rsidRPr="00B10036">
        <w:rPr>
          <w:noProof/>
        </w:rPr>
        <w:t>niejących mechanizmów zarządzania Komisja przeanalizuje ewentualne skutki transformacji, określi osoby najbardziej obciążone skutkami transformacji</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sto</w:t>
      </w:r>
      <w:r w:rsidRPr="00B10036">
        <w:rPr>
          <w:noProof/>
        </w:rPr>
        <w:t>sownych przypadkach skieruje do państw członkowskich zalecenia dla poszczególnych krajów</w:t>
      </w:r>
      <w:r w:rsidR="00B10036" w:rsidRPr="00B10036">
        <w:rPr>
          <w:noProof/>
        </w:rPr>
        <w:t xml:space="preserve"> w</w:t>
      </w:r>
      <w:r w:rsidR="00B10036">
        <w:rPr>
          <w:noProof/>
        </w:rPr>
        <w:t> </w:t>
      </w:r>
      <w:r w:rsidR="00B10036" w:rsidRPr="00B10036">
        <w:rPr>
          <w:noProof/>
        </w:rPr>
        <w:t>kon</w:t>
      </w:r>
      <w:r w:rsidRPr="00B10036">
        <w:rPr>
          <w:noProof/>
        </w:rPr>
        <w:t>tekście europejskiego semestru, na podstawie wytycznych dotyczących polityki zatrudnienia</w:t>
      </w:r>
      <w:r w:rsidR="00B10036" w:rsidRPr="00B10036">
        <w:rPr>
          <w:noProof/>
        </w:rPr>
        <w:t xml:space="preserve"> i</w:t>
      </w:r>
      <w:r w:rsidR="00B10036">
        <w:rPr>
          <w:noProof/>
        </w:rPr>
        <w:t> </w:t>
      </w:r>
      <w:r w:rsidR="00B10036" w:rsidRPr="00B10036">
        <w:rPr>
          <w:noProof/>
        </w:rPr>
        <w:t>pol</w:t>
      </w:r>
      <w:r w:rsidRPr="00B10036">
        <w:rPr>
          <w:noProof/>
        </w:rPr>
        <w:t>ityki społecznej państw członkowskich.</w:t>
      </w:r>
    </w:p>
    <w:p w14:paraId="077C0F56" w14:textId="77777777" w:rsidR="00002649" w:rsidRPr="00B10036" w:rsidRDefault="00002649" w:rsidP="00002649">
      <w:pPr>
        <w:pStyle w:val="ManualHeading2"/>
        <w:rPr>
          <w:rFonts w:eastAsia="Arial Unicode MS"/>
          <w:noProof/>
          <w:bdr w:val="nil"/>
        </w:rPr>
      </w:pPr>
      <w:r w:rsidRPr="00B10036">
        <w:rPr>
          <w:noProof/>
          <w:bdr w:val="nil"/>
        </w:rPr>
        <w:t>•</w:t>
      </w:r>
      <w:r w:rsidRPr="00B10036">
        <w:rPr>
          <w:noProof/>
        </w:rPr>
        <w:tab/>
      </w:r>
      <w:r w:rsidRPr="00B10036">
        <w:rPr>
          <w:noProof/>
          <w:bdr w:val="nil"/>
        </w:rPr>
        <w:t>Dokumenty wyjaśniające (w przypadku dyrektyw)</w:t>
      </w:r>
    </w:p>
    <w:p w14:paraId="3D650F6A" w14:textId="77777777" w:rsidR="00002649" w:rsidRPr="00B10036" w:rsidRDefault="00002649" w:rsidP="00002649">
      <w:pPr>
        <w:pBdr>
          <w:top w:val="nil"/>
          <w:left w:val="nil"/>
          <w:bottom w:val="nil"/>
          <w:right w:val="nil"/>
          <w:between w:val="nil"/>
          <w:bar w:val="nil"/>
        </w:pBdr>
        <w:spacing w:before="0" w:after="240"/>
        <w:rPr>
          <w:rFonts w:eastAsia="Arial Unicode MS"/>
          <w:noProof/>
        </w:rPr>
      </w:pPr>
      <w:r w:rsidRPr="00B10036">
        <w:rPr>
          <w:noProof/>
        </w:rPr>
        <w:t>Nie dotyczy.</w:t>
      </w:r>
    </w:p>
    <w:p w14:paraId="690D1FAF" w14:textId="77777777" w:rsidR="00A17AEC" w:rsidRPr="00B10036" w:rsidRDefault="00A17AEC" w:rsidP="00E6118B">
      <w:pPr>
        <w:pStyle w:val="ManualHeading2"/>
        <w:rPr>
          <w:rFonts w:eastAsia="Arial Unicode MS"/>
          <w:noProof/>
          <w:bdr w:val="nil"/>
        </w:rPr>
      </w:pPr>
      <w:r w:rsidRPr="00B10036">
        <w:rPr>
          <w:noProof/>
          <w:bdr w:val="nil"/>
        </w:rPr>
        <w:t>•</w:t>
      </w:r>
      <w:r w:rsidRPr="00B10036">
        <w:rPr>
          <w:noProof/>
        </w:rPr>
        <w:tab/>
      </w:r>
      <w:r w:rsidRPr="00B10036">
        <w:rPr>
          <w:noProof/>
          <w:bdr w:val="nil"/>
        </w:rPr>
        <w:t>Szczegółowe objaśnienia poszczególnych przepisów wniosku</w:t>
      </w:r>
    </w:p>
    <w:p w14:paraId="37857609" w14:textId="0EA6C0E9" w:rsidR="00A17AEC" w:rsidRPr="00B10036" w:rsidRDefault="00450004" w:rsidP="00F42BB2">
      <w:pPr>
        <w:pBdr>
          <w:top w:val="nil"/>
          <w:left w:val="nil"/>
          <w:bottom w:val="nil"/>
          <w:right w:val="nil"/>
          <w:between w:val="nil"/>
          <w:bar w:val="nil"/>
        </w:pBdr>
        <w:spacing w:before="0" w:after="240"/>
        <w:jc w:val="left"/>
        <w:rPr>
          <w:i/>
          <w:noProof/>
        </w:rPr>
      </w:pPr>
      <w:r w:rsidRPr="00B10036">
        <w:rPr>
          <w:noProof/>
        </w:rPr>
        <w:t>W pkt</w:t>
      </w:r>
      <w:r w:rsidR="00B10036" w:rsidRPr="00B10036">
        <w:rPr>
          <w:noProof/>
        </w:rPr>
        <w:t> </w:t>
      </w:r>
      <w:r w:rsidRPr="00B10036">
        <w:rPr>
          <w:noProof/>
        </w:rPr>
        <w:t>1–2 określono przedmiot, cele</w:t>
      </w:r>
      <w:r w:rsidR="00B10036" w:rsidRPr="00B10036">
        <w:rPr>
          <w:noProof/>
        </w:rPr>
        <w:t xml:space="preserve"> i</w:t>
      </w:r>
      <w:r w:rsidR="00B10036">
        <w:rPr>
          <w:noProof/>
        </w:rPr>
        <w:t> </w:t>
      </w:r>
      <w:r w:rsidR="00B10036" w:rsidRPr="00B10036">
        <w:rPr>
          <w:noProof/>
        </w:rPr>
        <w:t>str</w:t>
      </w:r>
      <w:r w:rsidRPr="00B10036">
        <w:rPr>
          <w:noProof/>
        </w:rPr>
        <w:t>ukturę niniejszego zalecenia.</w:t>
      </w:r>
    </w:p>
    <w:p w14:paraId="160DFB9B" w14:textId="5971E671" w:rsidR="00450004" w:rsidRPr="00B10036" w:rsidRDefault="00450004">
      <w:pPr>
        <w:pBdr>
          <w:top w:val="nil"/>
          <w:left w:val="nil"/>
          <w:bottom w:val="nil"/>
          <w:right w:val="nil"/>
          <w:between w:val="nil"/>
          <w:bar w:val="nil"/>
        </w:pBdr>
        <w:spacing w:before="0" w:after="240"/>
        <w:rPr>
          <w:noProof/>
        </w:rPr>
      </w:pPr>
      <w:r w:rsidRPr="00B10036">
        <w:rPr>
          <w:noProof/>
        </w:rPr>
        <w:t>W pkt</w:t>
      </w:r>
      <w:r w:rsidR="00B10036" w:rsidRPr="00B10036">
        <w:rPr>
          <w:noProof/>
        </w:rPr>
        <w:t> </w:t>
      </w:r>
      <w:r w:rsidRPr="00B10036">
        <w:rPr>
          <w:noProof/>
        </w:rPr>
        <w:t>3 zawarto definicje, które należy stosować dla celów niniejszego zalecenia.</w:t>
      </w:r>
    </w:p>
    <w:p w14:paraId="317A35F6" w14:textId="74453171" w:rsidR="00450004" w:rsidRPr="00B10036" w:rsidRDefault="00450004" w:rsidP="00450004">
      <w:pPr>
        <w:pBdr>
          <w:top w:val="nil"/>
          <w:left w:val="nil"/>
          <w:bottom w:val="nil"/>
          <w:right w:val="nil"/>
          <w:between w:val="nil"/>
          <w:bar w:val="nil"/>
        </w:pBdr>
        <w:spacing w:before="0" w:after="240"/>
        <w:rPr>
          <w:noProof/>
        </w:rPr>
      </w:pPr>
      <w:r w:rsidRPr="00B10036">
        <w:rPr>
          <w:noProof/>
        </w:rPr>
        <w:t>W pkt</w:t>
      </w:r>
      <w:r w:rsidR="00B10036" w:rsidRPr="00B10036">
        <w:rPr>
          <w:noProof/>
        </w:rPr>
        <w:t> </w:t>
      </w:r>
      <w:r w:rsidRPr="00B10036">
        <w:rPr>
          <w:noProof/>
        </w:rPr>
        <w:t>4–7 zaleca się państwom członkowskim ustanowienie</w:t>
      </w:r>
      <w:r w:rsidR="00B10036" w:rsidRPr="00B10036">
        <w:rPr>
          <w:noProof/>
        </w:rPr>
        <w:t xml:space="preserve"> i</w:t>
      </w:r>
      <w:r w:rsidR="00B10036">
        <w:rPr>
          <w:noProof/>
        </w:rPr>
        <w:t> </w:t>
      </w:r>
      <w:r w:rsidR="00B10036" w:rsidRPr="00B10036">
        <w:rPr>
          <w:noProof/>
        </w:rPr>
        <w:t>wdr</w:t>
      </w:r>
      <w:r w:rsidRPr="00B10036">
        <w:rPr>
          <w:noProof/>
        </w:rPr>
        <w:t>ożenie kompleksowych</w:t>
      </w:r>
      <w:r w:rsidR="00B10036" w:rsidRPr="00B10036">
        <w:rPr>
          <w:noProof/>
        </w:rPr>
        <w:t xml:space="preserve"> i</w:t>
      </w:r>
      <w:r w:rsidR="00B10036">
        <w:rPr>
          <w:noProof/>
        </w:rPr>
        <w:t> </w:t>
      </w:r>
      <w:r w:rsidR="00B10036" w:rsidRPr="00B10036">
        <w:rPr>
          <w:noProof/>
        </w:rPr>
        <w:t>spó</w:t>
      </w:r>
      <w:r w:rsidRPr="00B10036">
        <w:rPr>
          <w:noProof/>
        </w:rPr>
        <w:t>jnych pakietów politycznych na rzecz sprawiedliwej zielonej transformacji</w:t>
      </w:r>
      <w:r w:rsidR="00B10036" w:rsidRPr="00B10036">
        <w:rPr>
          <w:noProof/>
        </w:rPr>
        <w:t xml:space="preserve"> w</w:t>
      </w:r>
      <w:r w:rsidR="00B10036">
        <w:rPr>
          <w:noProof/>
        </w:rPr>
        <w:t> </w:t>
      </w:r>
      <w:r w:rsidR="00B10036" w:rsidRPr="00B10036">
        <w:rPr>
          <w:noProof/>
        </w:rPr>
        <w:t>cel</w:t>
      </w:r>
      <w:r w:rsidRPr="00B10036">
        <w:rPr>
          <w:noProof/>
        </w:rPr>
        <w:t>u zapewnienia aktywnego wsparcia na rzecz zatrudnienia wysokiej jakości; zapewnienia dostępu do charakteryzującego się wysoką jakością, włączającego kształcenia, szkolenia</w:t>
      </w:r>
      <w:r w:rsidR="00B10036" w:rsidRPr="00B10036">
        <w:rPr>
          <w:noProof/>
        </w:rPr>
        <w:t xml:space="preserve"> i</w:t>
      </w:r>
      <w:r w:rsidR="00B10036">
        <w:rPr>
          <w:noProof/>
        </w:rPr>
        <w:t> </w:t>
      </w:r>
      <w:r w:rsidR="00B10036" w:rsidRPr="00B10036">
        <w:rPr>
          <w:noProof/>
        </w:rPr>
        <w:t>ucz</w:t>
      </w:r>
      <w:r w:rsidRPr="00B10036">
        <w:rPr>
          <w:noProof/>
        </w:rPr>
        <w:t>enia się przez całe życie; zapewnienia sprawiedliwych systemów ulg podatkowych</w:t>
      </w:r>
      <w:r w:rsidR="00B10036" w:rsidRPr="00B10036">
        <w:rPr>
          <w:noProof/>
        </w:rPr>
        <w:t xml:space="preserve"> i</w:t>
      </w:r>
      <w:r w:rsidR="00B10036">
        <w:rPr>
          <w:noProof/>
        </w:rPr>
        <w:t> </w:t>
      </w:r>
      <w:r w:rsidR="00B10036" w:rsidRPr="00B10036">
        <w:rPr>
          <w:noProof/>
        </w:rPr>
        <w:t>sys</w:t>
      </w:r>
      <w:r w:rsidRPr="00B10036">
        <w:rPr>
          <w:noProof/>
        </w:rPr>
        <w:t>temów ochrony socjalnej; zapewnienia dostępu do przystępnych cenowo podstawowych usług</w:t>
      </w:r>
      <w:r w:rsidR="00B10036" w:rsidRPr="00B10036">
        <w:rPr>
          <w:noProof/>
        </w:rPr>
        <w:t xml:space="preserve"> i</w:t>
      </w:r>
      <w:r w:rsidR="00B10036">
        <w:rPr>
          <w:noProof/>
        </w:rPr>
        <w:t> </w:t>
      </w:r>
      <w:r w:rsidR="00B10036" w:rsidRPr="00B10036">
        <w:rPr>
          <w:noProof/>
        </w:rPr>
        <w:t>mie</w:t>
      </w:r>
      <w:r w:rsidRPr="00B10036">
        <w:rPr>
          <w:noProof/>
        </w:rPr>
        <w:t>szkań</w:t>
      </w:r>
      <w:r w:rsidR="00B10036" w:rsidRPr="00B10036">
        <w:rPr>
          <w:noProof/>
        </w:rPr>
        <w:t xml:space="preserve"> w</w:t>
      </w:r>
      <w:r w:rsidR="00B10036">
        <w:rPr>
          <w:noProof/>
        </w:rPr>
        <w:t> </w:t>
      </w:r>
      <w:r w:rsidR="00B10036" w:rsidRPr="00B10036">
        <w:rPr>
          <w:noProof/>
        </w:rPr>
        <w:t>ram</w:t>
      </w:r>
      <w:r w:rsidRPr="00B10036">
        <w:rPr>
          <w:noProof/>
        </w:rPr>
        <w:t>ach transformacji</w:t>
      </w:r>
      <w:r w:rsidR="00B10036" w:rsidRPr="00B10036">
        <w:rPr>
          <w:noProof/>
        </w:rPr>
        <w:t xml:space="preserve"> w</w:t>
      </w:r>
      <w:r w:rsidR="00B10036">
        <w:rPr>
          <w:noProof/>
        </w:rPr>
        <w:t> </w:t>
      </w:r>
      <w:r w:rsidR="00B10036" w:rsidRPr="00B10036">
        <w:rPr>
          <w:noProof/>
        </w:rPr>
        <w:t>kie</w:t>
      </w:r>
      <w:r w:rsidRPr="00B10036">
        <w:rPr>
          <w:noProof/>
        </w:rPr>
        <w:t>runku neutralności klimatycznej.</w:t>
      </w:r>
    </w:p>
    <w:p w14:paraId="3874F13D" w14:textId="0E8946AD" w:rsidR="00F33A00" w:rsidRPr="00B10036" w:rsidRDefault="00450004" w:rsidP="00450004">
      <w:pPr>
        <w:pBdr>
          <w:top w:val="nil"/>
          <w:left w:val="nil"/>
          <w:bottom w:val="nil"/>
          <w:right w:val="nil"/>
          <w:between w:val="nil"/>
          <w:bar w:val="nil"/>
        </w:pBdr>
        <w:spacing w:before="0" w:after="240"/>
        <w:rPr>
          <w:noProof/>
          <w:szCs w:val="24"/>
        </w:rPr>
      </w:pPr>
      <w:r w:rsidRPr="00B10036">
        <w:rPr>
          <w:noProof/>
        </w:rPr>
        <w:t>W pkt</w:t>
      </w:r>
      <w:r w:rsidR="00B10036" w:rsidRPr="00B10036">
        <w:rPr>
          <w:noProof/>
        </w:rPr>
        <w:t> </w:t>
      </w:r>
      <w:r w:rsidRPr="00B10036">
        <w:rPr>
          <w:noProof/>
        </w:rPr>
        <w:t>8–9 zaleca się państwom członkowskim ustanowienie</w:t>
      </w:r>
      <w:r w:rsidR="00B10036" w:rsidRPr="00B10036">
        <w:rPr>
          <w:noProof/>
        </w:rPr>
        <w:t xml:space="preserve"> i</w:t>
      </w:r>
      <w:r w:rsidR="00B10036">
        <w:rPr>
          <w:noProof/>
        </w:rPr>
        <w:t> </w:t>
      </w:r>
      <w:r w:rsidR="00B10036" w:rsidRPr="00B10036">
        <w:rPr>
          <w:noProof/>
        </w:rPr>
        <w:t>wdr</w:t>
      </w:r>
      <w:r w:rsidRPr="00B10036">
        <w:rPr>
          <w:noProof/>
        </w:rPr>
        <w:t>ożenie innych elementów przekrojowych, służących promowaniu sprawiedliwej</w:t>
      </w:r>
      <w:r w:rsidR="00B10036" w:rsidRPr="00B10036">
        <w:rPr>
          <w:noProof/>
        </w:rPr>
        <w:t xml:space="preserve"> i</w:t>
      </w:r>
      <w:r w:rsidR="00B10036">
        <w:rPr>
          <w:noProof/>
        </w:rPr>
        <w:t> </w:t>
      </w:r>
      <w:r w:rsidR="00B10036" w:rsidRPr="00B10036">
        <w:rPr>
          <w:noProof/>
        </w:rPr>
        <w:t>spr</w:t>
      </w:r>
      <w:r w:rsidRPr="00B10036">
        <w:rPr>
          <w:noProof/>
        </w:rPr>
        <w:t>zyjającej włączeniu społecznemu zielonej transformacji,</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cel</w:t>
      </w:r>
      <w:r w:rsidRPr="00B10036">
        <w:rPr>
          <w:noProof/>
        </w:rPr>
        <w:t>u zapewnienia integracyjnego podejścia obejmującego całą gospodarkę oraz zapewnienia solidnej bazy dowodowej, która jest niezbędna do wprowadzenia solidnej polityki społecznej</w:t>
      </w:r>
      <w:r w:rsidR="00B10036" w:rsidRPr="00B10036">
        <w:rPr>
          <w:noProof/>
        </w:rPr>
        <w:t xml:space="preserve"> i</w:t>
      </w:r>
      <w:r w:rsidR="00B10036">
        <w:rPr>
          <w:noProof/>
        </w:rPr>
        <w:t> </w:t>
      </w:r>
      <w:r w:rsidR="00B10036" w:rsidRPr="00B10036">
        <w:rPr>
          <w:noProof/>
        </w:rPr>
        <w:t>pol</w:t>
      </w:r>
      <w:r w:rsidRPr="00B10036">
        <w:rPr>
          <w:noProof/>
        </w:rPr>
        <w:t>ityki rynku pracy promujących sprawiedliwą</w:t>
      </w:r>
      <w:r w:rsidR="00B10036" w:rsidRPr="00B10036">
        <w:rPr>
          <w:noProof/>
        </w:rPr>
        <w:t xml:space="preserve"> i</w:t>
      </w:r>
      <w:r w:rsidR="00B10036">
        <w:rPr>
          <w:noProof/>
        </w:rPr>
        <w:t> </w:t>
      </w:r>
      <w:r w:rsidR="00B10036" w:rsidRPr="00B10036">
        <w:rPr>
          <w:noProof/>
        </w:rPr>
        <w:t>spr</w:t>
      </w:r>
      <w:r w:rsidRPr="00B10036">
        <w:rPr>
          <w:noProof/>
        </w:rPr>
        <w:t>zyjającą włączeniu społecznemu transformację.</w:t>
      </w:r>
    </w:p>
    <w:p w14:paraId="795786F3" w14:textId="7E74274F" w:rsidR="00F33A00" w:rsidRPr="00B10036" w:rsidRDefault="00F33A00" w:rsidP="00450004">
      <w:pPr>
        <w:pBdr>
          <w:top w:val="nil"/>
          <w:left w:val="nil"/>
          <w:bottom w:val="nil"/>
          <w:right w:val="nil"/>
          <w:between w:val="nil"/>
          <w:bar w:val="nil"/>
        </w:pBdr>
        <w:spacing w:before="0" w:after="240"/>
        <w:rPr>
          <w:noProof/>
          <w:szCs w:val="24"/>
        </w:rPr>
      </w:pPr>
      <w:r w:rsidRPr="00B10036">
        <w:rPr>
          <w:noProof/>
        </w:rPr>
        <w:t>W pkt</w:t>
      </w:r>
      <w:r w:rsidR="00B10036" w:rsidRPr="00B10036">
        <w:rPr>
          <w:noProof/>
        </w:rPr>
        <w:t> </w:t>
      </w:r>
      <w:r w:rsidRPr="00B10036">
        <w:rPr>
          <w:noProof/>
        </w:rPr>
        <w:t>10 zaleca się państwom członkowskim optymalne wykorzystanie finansowania publicznego</w:t>
      </w:r>
      <w:r w:rsidR="00B10036" w:rsidRPr="00B10036">
        <w:rPr>
          <w:noProof/>
        </w:rPr>
        <w:t xml:space="preserve"> i</w:t>
      </w:r>
      <w:r w:rsidR="00B10036">
        <w:rPr>
          <w:noProof/>
        </w:rPr>
        <w:t> </w:t>
      </w:r>
      <w:r w:rsidR="00B10036" w:rsidRPr="00B10036">
        <w:rPr>
          <w:noProof/>
        </w:rPr>
        <w:t>pry</w:t>
      </w:r>
      <w:r w:rsidRPr="00B10036">
        <w:rPr>
          <w:noProof/>
        </w:rPr>
        <w:t>watnego</w:t>
      </w:r>
      <w:r w:rsidR="00B10036" w:rsidRPr="00B10036">
        <w:rPr>
          <w:noProof/>
        </w:rPr>
        <w:t xml:space="preserve"> w</w:t>
      </w:r>
      <w:r w:rsidR="00B10036">
        <w:rPr>
          <w:noProof/>
        </w:rPr>
        <w:t> </w:t>
      </w:r>
      <w:r w:rsidR="00B10036" w:rsidRPr="00B10036">
        <w:rPr>
          <w:noProof/>
        </w:rPr>
        <w:t>cel</w:t>
      </w:r>
      <w:r w:rsidRPr="00B10036">
        <w:rPr>
          <w:noProof/>
        </w:rPr>
        <w:t>u zapewnienia skutecznego wsparcia finansowego,</w:t>
      </w:r>
      <w:r w:rsidR="00B10036" w:rsidRPr="00B10036">
        <w:rPr>
          <w:noProof/>
        </w:rPr>
        <w:t xml:space="preserve"> w</w:t>
      </w:r>
      <w:r w:rsidR="00B10036">
        <w:rPr>
          <w:noProof/>
        </w:rPr>
        <w:t> </w:t>
      </w:r>
      <w:r w:rsidR="00B10036" w:rsidRPr="00B10036">
        <w:rPr>
          <w:noProof/>
        </w:rPr>
        <w:t>szc</w:t>
      </w:r>
      <w:r w:rsidRPr="00B10036">
        <w:rPr>
          <w:noProof/>
        </w:rPr>
        <w:t>zególności poprzez przeznaczenie</w:t>
      </w:r>
      <w:r w:rsidR="00B10036" w:rsidRPr="00B10036">
        <w:rPr>
          <w:noProof/>
        </w:rPr>
        <w:t xml:space="preserve"> i</w:t>
      </w:r>
      <w:r w:rsidR="00B10036">
        <w:rPr>
          <w:noProof/>
        </w:rPr>
        <w:t> </w:t>
      </w:r>
      <w:r w:rsidR="00B10036" w:rsidRPr="00B10036">
        <w:rPr>
          <w:noProof/>
        </w:rPr>
        <w:t>wyk</w:t>
      </w:r>
      <w:r w:rsidRPr="00B10036">
        <w:rPr>
          <w:noProof/>
        </w:rPr>
        <w:t>orzystanie odpowiednich zasobów krajowych; opracowanie odpowiedniego zestawu środków</w:t>
      </w:r>
      <w:r w:rsidR="00B10036" w:rsidRPr="00B10036">
        <w:rPr>
          <w:noProof/>
        </w:rPr>
        <w:t xml:space="preserve"> w</w:t>
      </w:r>
      <w:r w:rsidR="00B10036">
        <w:rPr>
          <w:noProof/>
        </w:rPr>
        <w:t> </w:t>
      </w:r>
      <w:r w:rsidR="00B10036" w:rsidRPr="00B10036">
        <w:rPr>
          <w:noProof/>
        </w:rPr>
        <w:t>pla</w:t>
      </w:r>
      <w:r w:rsidRPr="00B10036">
        <w:rPr>
          <w:noProof/>
        </w:rPr>
        <w:t>nach krajowych</w:t>
      </w:r>
      <w:r w:rsidR="00B10036" w:rsidRPr="00B10036">
        <w:rPr>
          <w:noProof/>
        </w:rPr>
        <w:t xml:space="preserve"> w</w:t>
      </w:r>
      <w:r w:rsidR="00B10036">
        <w:rPr>
          <w:noProof/>
        </w:rPr>
        <w:t> </w:t>
      </w:r>
      <w:r w:rsidR="00B10036" w:rsidRPr="00B10036">
        <w:rPr>
          <w:noProof/>
        </w:rPr>
        <w:t>ram</w:t>
      </w:r>
      <w:r w:rsidRPr="00B10036">
        <w:rPr>
          <w:noProof/>
        </w:rPr>
        <w:t>ach proponowanego Społecznego Funduszu Klimatycznego; oraz zapewnienie spójnego</w:t>
      </w:r>
      <w:r w:rsidR="00B10036" w:rsidRPr="00B10036">
        <w:rPr>
          <w:noProof/>
        </w:rPr>
        <w:t xml:space="preserve"> i</w:t>
      </w:r>
      <w:r w:rsidR="00B10036">
        <w:rPr>
          <w:noProof/>
        </w:rPr>
        <w:t> </w:t>
      </w:r>
      <w:r w:rsidR="00B10036" w:rsidRPr="00B10036">
        <w:rPr>
          <w:noProof/>
        </w:rPr>
        <w:t>opt</w:t>
      </w:r>
      <w:r w:rsidRPr="00B10036">
        <w:rPr>
          <w:noProof/>
        </w:rPr>
        <w:t>ymalnego wykorzystania finansowania związanego ze sprawiedliwą transformacją na wszystkich szczeblach,</w:t>
      </w:r>
      <w:r w:rsidR="00B10036" w:rsidRPr="00B10036">
        <w:rPr>
          <w:noProof/>
        </w:rPr>
        <w:t xml:space="preserve"> w</w:t>
      </w:r>
      <w:r w:rsidR="00B10036">
        <w:rPr>
          <w:noProof/>
        </w:rPr>
        <w:t> </w:t>
      </w:r>
      <w:r w:rsidR="00B10036" w:rsidRPr="00B10036">
        <w:rPr>
          <w:noProof/>
        </w:rPr>
        <w:t>tym</w:t>
      </w:r>
      <w:r w:rsidRPr="00B10036">
        <w:rPr>
          <w:noProof/>
        </w:rPr>
        <w:t xml:space="preserve"> na szczeblu UE.</w:t>
      </w:r>
    </w:p>
    <w:p w14:paraId="64595153" w14:textId="13F0412A" w:rsidR="00307E1C" w:rsidRPr="00B10036" w:rsidRDefault="00036AAA">
      <w:pPr>
        <w:pBdr>
          <w:top w:val="nil"/>
          <w:left w:val="nil"/>
          <w:bottom w:val="nil"/>
          <w:right w:val="nil"/>
          <w:between w:val="nil"/>
          <w:bar w:val="nil"/>
        </w:pBdr>
        <w:spacing w:before="0" w:after="240"/>
        <w:rPr>
          <w:noProof/>
        </w:rPr>
      </w:pPr>
      <w:r w:rsidRPr="00B10036">
        <w:rPr>
          <w:noProof/>
        </w:rPr>
        <w:t>W pkt</w:t>
      </w:r>
      <w:r w:rsidR="00B10036" w:rsidRPr="00B10036">
        <w:rPr>
          <w:noProof/>
        </w:rPr>
        <w:t> </w:t>
      </w:r>
      <w:r w:rsidRPr="00B10036">
        <w:rPr>
          <w:noProof/>
        </w:rPr>
        <w:t>11</w:t>
      </w:r>
      <w:r w:rsidR="00B10036" w:rsidRPr="00B10036">
        <w:rPr>
          <w:noProof/>
        </w:rPr>
        <w:t xml:space="preserve"> z</w:t>
      </w:r>
      <w:r w:rsidR="00B10036">
        <w:rPr>
          <w:noProof/>
        </w:rPr>
        <w:t> </w:t>
      </w:r>
      <w:r w:rsidR="00B10036" w:rsidRPr="00B10036">
        <w:rPr>
          <w:noProof/>
        </w:rPr>
        <w:t>zad</w:t>
      </w:r>
      <w:r w:rsidRPr="00B10036">
        <w:rPr>
          <w:noProof/>
        </w:rPr>
        <w:t>owoleniem przyjmuje się zamiar Komisji dotyczący podjęcia działań następczych</w:t>
      </w:r>
      <w:r w:rsidR="00B10036" w:rsidRPr="00B10036">
        <w:rPr>
          <w:noProof/>
        </w:rPr>
        <w:t xml:space="preserve"> w</w:t>
      </w:r>
      <w:r w:rsidR="00B10036">
        <w:rPr>
          <w:noProof/>
        </w:rPr>
        <w:t> </w:t>
      </w:r>
      <w:r w:rsidR="00B10036" w:rsidRPr="00B10036">
        <w:rPr>
          <w:noProof/>
        </w:rPr>
        <w:t>zwi</w:t>
      </w:r>
      <w:r w:rsidRPr="00B10036">
        <w:rPr>
          <w:noProof/>
        </w:rPr>
        <w:t>ązku</w:t>
      </w:r>
      <w:r w:rsidR="00B10036" w:rsidRPr="00B10036">
        <w:rPr>
          <w:noProof/>
        </w:rPr>
        <w:t xml:space="preserve"> z</w:t>
      </w:r>
      <w:r w:rsidR="00B10036">
        <w:rPr>
          <w:noProof/>
        </w:rPr>
        <w:t> </w:t>
      </w:r>
      <w:r w:rsidR="00B10036" w:rsidRPr="00B10036">
        <w:rPr>
          <w:noProof/>
        </w:rPr>
        <w:t>zal</w:t>
      </w:r>
      <w:r w:rsidRPr="00B10036">
        <w:rPr>
          <w:noProof/>
        </w:rPr>
        <w:t>eceniem Rady,</w:t>
      </w:r>
      <w:r w:rsidR="00B10036" w:rsidRPr="00B10036">
        <w:rPr>
          <w:noProof/>
        </w:rPr>
        <w:t xml:space="preserve"> w</w:t>
      </w:r>
      <w:r w:rsidR="00B10036">
        <w:rPr>
          <w:noProof/>
        </w:rPr>
        <w:t> </w:t>
      </w:r>
      <w:r w:rsidR="00B10036" w:rsidRPr="00B10036">
        <w:rPr>
          <w:noProof/>
        </w:rPr>
        <w:t>szc</w:t>
      </w:r>
      <w:r w:rsidRPr="00B10036">
        <w:rPr>
          <w:noProof/>
        </w:rPr>
        <w:t>zególności</w:t>
      </w:r>
      <w:r w:rsidR="00B10036" w:rsidRPr="00B10036">
        <w:rPr>
          <w:noProof/>
        </w:rPr>
        <w:t xml:space="preserve"> w</w:t>
      </w:r>
      <w:r w:rsidR="00B10036">
        <w:rPr>
          <w:noProof/>
        </w:rPr>
        <w:t> </w:t>
      </w:r>
      <w:r w:rsidR="00B10036" w:rsidRPr="00B10036">
        <w:rPr>
          <w:noProof/>
        </w:rPr>
        <w:t>cel</w:t>
      </w:r>
      <w:r w:rsidRPr="00B10036">
        <w:rPr>
          <w:noProof/>
        </w:rPr>
        <w:t>u promowania debaty publicznej na temat sprawiedliwej transformacji, poprawy danych</w:t>
      </w:r>
      <w:r w:rsidR="00B10036" w:rsidRPr="00B10036">
        <w:rPr>
          <w:noProof/>
        </w:rPr>
        <w:t xml:space="preserve"> i</w:t>
      </w:r>
      <w:r w:rsidR="00B10036">
        <w:rPr>
          <w:noProof/>
        </w:rPr>
        <w:t> </w:t>
      </w:r>
      <w:r w:rsidR="00B10036" w:rsidRPr="00B10036">
        <w:rPr>
          <w:noProof/>
        </w:rPr>
        <w:t>pod</w:t>
      </w:r>
      <w:r w:rsidRPr="00B10036">
        <w:rPr>
          <w:noProof/>
        </w:rPr>
        <w:t>stawy metodologicznej, monitorowania</w:t>
      </w:r>
      <w:r w:rsidR="00B10036" w:rsidRPr="00B10036">
        <w:rPr>
          <w:noProof/>
        </w:rPr>
        <w:t xml:space="preserve"> i</w:t>
      </w:r>
      <w:r w:rsidR="00B10036">
        <w:rPr>
          <w:noProof/>
        </w:rPr>
        <w:t> </w:t>
      </w:r>
      <w:r w:rsidR="00B10036" w:rsidRPr="00B10036">
        <w:rPr>
          <w:noProof/>
        </w:rPr>
        <w:t>ana</w:t>
      </w:r>
      <w:r w:rsidRPr="00B10036">
        <w:rPr>
          <w:noProof/>
        </w:rPr>
        <w:t>lizy prognostycznej, przeglądu postępów we wdrażaniu niniejszego zalecenia</w:t>
      </w:r>
      <w:r w:rsidR="00B10036" w:rsidRPr="00B10036">
        <w:rPr>
          <w:noProof/>
        </w:rPr>
        <w:t xml:space="preserve"> w</w:t>
      </w:r>
      <w:r w:rsidR="00B10036">
        <w:rPr>
          <w:noProof/>
        </w:rPr>
        <w:t> </w:t>
      </w:r>
      <w:r w:rsidR="00B10036" w:rsidRPr="00B10036">
        <w:rPr>
          <w:noProof/>
        </w:rPr>
        <w:t>kon</w:t>
      </w:r>
      <w:r w:rsidRPr="00B10036">
        <w:rPr>
          <w:noProof/>
        </w:rPr>
        <w:t>tekście wielostronnego nadzoru, zwłaszcza</w:t>
      </w:r>
      <w:r w:rsidR="00B10036" w:rsidRPr="00B10036">
        <w:rPr>
          <w:noProof/>
        </w:rPr>
        <w:t xml:space="preserve"> w</w:t>
      </w:r>
      <w:r w:rsidR="00B10036">
        <w:rPr>
          <w:noProof/>
        </w:rPr>
        <w:t> </w:t>
      </w:r>
      <w:r w:rsidR="00B10036" w:rsidRPr="00B10036">
        <w:rPr>
          <w:noProof/>
        </w:rPr>
        <w:t>ram</w:t>
      </w:r>
      <w:r w:rsidRPr="00B10036">
        <w:rPr>
          <w:noProof/>
        </w:rPr>
        <w:t>ach europejskiego semestru oraz</w:t>
      </w:r>
      <w:r w:rsidR="00B10036" w:rsidRPr="00B10036">
        <w:rPr>
          <w:noProof/>
        </w:rPr>
        <w:t xml:space="preserve"> w</w:t>
      </w:r>
      <w:r w:rsidR="00B10036">
        <w:rPr>
          <w:noProof/>
        </w:rPr>
        <w:t> </w:t>
      </w:r>
      <w:r w:rsidR="00B10036" w:rsidRPr="00B10036">
        <w:rPr>
          <w:noProof/>
        </w:rPr>
        <w:t>kon</w:t>
      </w:r>
      <w:r w:rsidRPr="00B10036">
        <w:rPr>
          <w:noProof/>
        </w:rPr>
        <w:t>tekście unii energetycznej</w:t>
      </w:r>
      <w:r w:rsidR="00B10036" w:rsidRPr="00B10036">
        <w:rPr>
          <w:noProof/>
        </w:rPr>
        <w:t xml:space="preserve"> i</w:t>
      </w:r>
      <w:r w:rsidR="00B10036">
        <w:rPr>
          <w:noProof/>
        </w:rPr>
        <w:t> </w:t>
      </w:r>
      <w:r w:rsidR="00B10036" w:rsidRPr="00B10036">
        <w:rPr>
          <w:noProof/>
        </w:rPr>
        <w:t>dzi</w:t>
      </w:r>
      <w:r w:rsidRPr="00B10036">
        <w:rPr>
          <w:noProof/>
        </w:rPr>
        <w:t>ałań</w:t>
      </w:r>
      <w:r w:rsidR="00B10036" w:rsidRPr="00B10036">
        <w:rPr>
          <w:noProof/>
        </w:rPr>
        <w:t xml:space="preserve"> w</w:t>
      </w:r>
      <w:r w:rsidR="00B10036">
        <w:rPr>
          <w:noProof/>
        </w:rPr>
        <w:t> </w:t>
      </w:r>
      <w:r w:rsidR="00B10036" w:rsidRPr="00B10036">
        <w:rPr>
          <w:noProof/>
        </w:rPr>
        <w:t>dzi</w:t>
      </w:r>
      <w:r w:rsidRPr="00B10036">
        <w:rPr>
          <w:noProof/>
        </w:rPr>
        <w:t>edzinie klimatu.</w:t>
      </w:r>
    </w:p>
    <w:p w14:paraId="02FD65F8" w14:textId="77777777" w:rsidR="00307E1C" w:rsidRPr="00B10036" w:rsidRDefault="00307E1C">
      <w:pPr>
        <w:pBdr>
          <w:top w:val="nil"/>
          <w:left w:val="nil"/>
          <w:bottom w:val="nil"/>
          <w:right w:val="nil"/>
          <w:between w:val="nil"/>
          <w:bar w:val="nil"/>
        </w:pBdr>
        <w:spacing w:before="0" w:after="240"/>
        <w:rPr>
          <w:noProof/>
        </w:rPr>
        <w:sectPr w:rsidR="00307E1C" w:rsidRPr="00B10036" w:rsidSect="00CE7A11">
          <w:footerReference w:type="default" r:id="rId10"/>
          <w:footerReference w:type="first" r:id="rId11"/>
          <w:pgSz w:w="11907" w:h="16839"/>
          <w:pgMar w:top="1134" w:right="1417" w:bottom="1134" w:left="1417" w:header="709" w:footer="709" w:gutter="0"/>
          <w:cols w:space="708"/>
          <w:docGrid w:linePitch="360"/>
        </w:sectPr>
      </w:pPr>
    </w:p>
    <w:p w14:paraId="19B69CAE" w14:textId="612D8FD8" w:rsidR="00422E27" w:rsidRPr="00B10036" w:rsidRDefault="005057F7" w:rsidP="005057F7">
      <w:pPr>
        <w:pStyle w:val="Rfrenceinterinstitutionnelle"/>
        <w:rPr>
          <w:noProof/>
        </w:rPr>
      </w:pPr>
      <w:r w:rsidRPr="005057F7">
        <w:t>2021/0421 (NLE)</w:t>
      </w:r>
    </w:p>
    <w:p w14:paraId="2F5559C8" w14:textId="3DD1F5C7" w:rsidR="00A17AEC" w:rsidRPr="00B10036" w:rsidRDefault="00B10036" w:rsidP="00B10036">
      <w:pPr>
        <w:pStyle w:val="Statut"/>
        <w:rPr>
          <w:noProof/>
        </w:rPr>
      </w:pPr>
      <w:r w:rsidRPr="00B10036">
        <w:rPr>
          <w:noProof/>
        </w:rPr>
        <w:t>Wniosek</w:t>
      </w:r>
    </w:p>
    <w:p w14:paraId="786207A6" w14:textId="265EBCD1" w:rsidR="00A17AEC" w:rsidRPr="00B10036" w:rsidRDefault="00B10036" w:rsidP="00B10036">
      <w:pPr>
        <w:pStyle w:val="Typedudocument"/>
        <w:rPr>
          <w:noProof/>
        </w:rPr>
      </w:pPr>
      <w:r w:rsidRPr="00B10036">
        <w:rPr>
          <w:noProof/>
        </w:rPr>
        <w:t>ZALECENIE RADY</w:t>
      </w:r>
    </w:p>
    <w:p w14:paraId="63CC5BC5" w14:textId="753B9820" w:rsidR="00A17AEC" w:rsidRPr="00B10036" w:rsidRDefault="00B10036" w:rsidP="00B10036">
      <w:pPr>
        <w:pStyle w:val="Titreobjet"/>
        <w:rPr>
          <w:noProof/>
        </w:rPr>
      </w:pPr>
      <w:r w:rsidRPr="00B10036">
        <w:rPr>
          <w:noProof/>
        </w:rPr>
        <w:t xml:space="preserve">w sprawie zapewnienia sprawiedliwej transformacji w kierunku neutralności klimatycznej </w:t>
      </w:r>
      <w:r w:rsidRPr="00B10036">
        <w:rPr>
          <w:noProof/>
        </w:rPr>
        <w:br/>
        <w:t xml:space="preserve"> </w:t>
      </w:r>
      <w:r w:rsidRPr="00B10036">
        <w:rPr>
          <w:noProof/>
        </w:rPr>
        <w:br/>
      </w:r>
    </w:p>
    <w:p w14:paraId="31E98722" w14:textId="77777777" w:rsidR="00A17AEC" w:rsidRPr="00B10036" w:rsidRDefault="00A17AEC" w:rsidP="00E6118B">
      <w:pPr>
        <w:pStyle w:val="Institutionquiagit"/>
        <w:rPr>
          <w:noProof/>
        </w:rPr>
      </w:pPr>
      <w:r w:rsidRPr="00B10036">
        <w:rPr>
          <w:noProof/>
        </w:rPr>
        <w:t>RADA UNII EUROPEJSKIEJ,</w:t>
      </w:r>
    </w:p>
    <w:p w14:paraId="66F1F2C6" w14:textId="7C6631F8" w:rsidR="00A17AEC" w:rsidRPr="00B10036" w:rsidRDefault="00A17AEC" w:rsidP="00E6118B">
      <w:pPr>
        <w:rPr>
          <w:noProof/>
        </w:rPr>
      </w:pPr>
      <w:r w:rsidRPr="00B10036">
        <w:rPr>
          <w:noProof/>
        </w:rPr>
        <w:t>uwzględniając Traktat</w:t>
      </w:r>
      <w:r w:rsidR="00B10036" w:rsidRPr="00B10036">
        <w:rPr>
          <w:noProof/>
        </w:rPr>
        <w:t xml:space="preserve"> o</w:t>
      </w:r>
      <w:r w:rsidR="00B10036">
        <w:rPr>
          <w:noProof/>
        </w:rPr>
        <w:t> </w:t>
      </w:r>
      <w:r w:rsidR="00B10036" w:rsidRPr="00B10036">
        <w:rPr>
          <w:noProof/>
        </w:rPr>
        <w:t>fun</w:t>
      </w:r>
      <w:r w:rsidRPr="00B10036">
        <w:rPr>
          <w:noProof/>
        </w:rPr>
        <w:t>kcjonowaniu Unii Europejskiej,</w:t>
      </w:r>
      <w:r w:rsidR="00B10036" w:rsidRPr="00B10036">
        <w:rPr>
          <w:noProof/>
        </w:rPr>
        <w:t xml:space="preserve"> w</w:t>
      </w:r>
      <w:r w:rsidR="00B10036">
        <w:rPr>
          <w:noProof/>
        </w:rPr>
        <w:t> </w:t>
      </w:r>
      <w:r w:rsidR="00B10036" w:rsidRPr="00B10036">
        <w:rPr>
          <w:noProof/>
        </w:rPr>
        <w:t>szc</w:t>
      </w:r>
      <w:r w:rsidRPr="00B10036">
        <w:rPr>
          <w:noProof/>
        </w:rPr>
        <w:t>zególności jego art. art.</w:t>
      </w:r>
      <w:r w:rsidR="00B10036" w:rsidRPr="00B10036">
        <w:rPr>
          <w:noProof/>
        </w:rPr>
        <w:t> </w:t>
      </w:r>
      <w:r w:rsidRPr="00B10036">
        <w:rPr>
          <w:noProof/>
        </w:rPr>
        <w:t>166 ust.</w:t>
      </w:r>
      <w:r w:rsidR="00B10036" w:rsidRPr="00B10036">
        <w:rPr>
          <w:noProof/>
        </w:rPr>
        <w:t> </w:t>
      </w:r>
      <w:r w:rsidRPr="00B10036">
        <w:rPr>
          <w:noProof/>
        </w:rPr>
        <w:t>4</w:t>
      </w:r>
      <w:r w:rsidR="00B10036" w:rsidRPr="00B10036">
        <w:rPr>
          <w:noProof/>
        </w:rPr>
        <w:t xml:space="preserve"> i</w:t>
      </w:r>
      <w:r w:rsidR="00B10036">
        <w:rPr>
          <w:noProof/>
        </w:rPr>
        <w:t> </w:t>
      </w:r>
      <w:r w:rsidR="00B10036" w:rsidRPr="00B10036">
        <w:rPr>
          <w:noProof/>
        </w:rPr>
        <w:t>art</w:t>
      </w:r>
      <w:r w:rsidRPr="00B10036">
        <w:rPr>
          <w:noProof/>
        </w:rPr>
        <w:t>.</w:t>
      </w:r>
      <w:r w:rsidR="00B10036" w:rsidRPr="00B10036">
        <w:rPr>
          <w:noProof/>
        </w:rPr>
        <w:t> </w:t>
      </w:r>
      <w:r w:rsidRPr="00B10036">
        <w:rPr>
          <w:noProof/>
        </w:rPr>
        <w:t>292</w:t>
      </w:r>
      <w:r w:rsidR="00B10036" w:rsidRPr="00B10036">
        <w:rPr>
          <w:noProof/>
        </w:rPr>
        <w:t xml:space="preserve"> w</w:t>
      </w:r>
      <w:r w:rsidR="00B10036">
        <w:rPr>
          <w:noProof/>
        </w:rPr>
        <w:t> </w:t>
      </w:r>
      <w:r w:rsidR="00B10036" w:rsidRPr="00B10036">
        <w:rPr>
          <w:noProof/>
        </w:rPr>
        <w:t>zwi</w:t>
      </w:r>
      <w:r w:rsidRPr="00B10036">
        <w:rPr>
          <w:noProof/>
        </w:rPr>
        <w:t>ązku</w:t>
      </w:r>
      <w:r w:rsidR="00B10036" w:rsidRPr="00B10036">
        <w:rPr>
          <w:noProof/>
        </w:rPr>
        <w:t xml:space="preserve"> z</w:t>
      </w:r>
      <w:r w:rsidR="00B10036">
        <w:rPr>
          <w:noProof/>
        </w:rPr>
        <w:t> </w:t>
      </w:r>
      <w:r w:rsidR="00B10036" w:rsidRPr="00B10036">
        <w:rPr>
          <w:noProof/>
        </w:rPr>
        <w:t>art</w:t>
      </w:r>
      <w:r w:rsidRPr="00B10036">
        <w:rPr>
          <w:noProof/>
        </w:rPr>
        <w:t>.</w:t>
      </w:r>
      <w:r w:rsidR="00B10036" w:rsidRPr="00B10036">
        <w:rPr>
          <w:noProof/>
        </w:rPr>
        <w:t> </w:t>
      </w:r>
      <w:r w:rsidRPr="00B10036">
        <w:rPr>
          <w:noProof/>
        </w:rPr>
        <w:t>149,</w:t>
      </w:r>
    </w:p>
    <w:p w14:paraId="6AFB8472" w14:textId="77777777" w:rsidR="00A17AEC" w:rsidRPr="00B10036" w:rsidRDefault="00A17AEC" w:rsidP="00E6118B">
      <w:pPr>
        <w:rPr>
          <w:noProof/>
        </w:rPr>
      </w:pPr>
      <w:r w:rsidRPr="00B10036">
        <w:rPr>
          <w:noProof/>
        </w:rPr>
        <w:t>uwzględniając wniosek Komisji Europejskiej,</w:t>
      </w:r>
    </w:p>
    <w:p w14:paraId="4E15068B" w14:textId="77777777" w:rsidR="005336EA" w:rsidRPr="00B10036" w:rsidRDefault="00A17AEC" w:rsidP="005336EA">
      <w:pPr>
        <w:rPr>
          <w:noProof/>
        </w:rPr>
      </w:pPr>
      <w:r w:rsidRPr="00B10036">
        <w:rPr>
          <w:noProof/>
        </w:rPr>
        <w:t>a także mając na uwadze, co następuje:</w:t>
      </w:r>
    </w:p>
    <w:p w14:paraId="36C10903" w14:textId="62598AC4" w:rsidR="006D0BA7" w:rsidRPr="00B10036" w:rsidRDefault="004D6F52" w:rsidP="004D6F52">
      <w:pPr>
        <w:pStyle w:val="ManualConsidrant"/>
        <w:rPr>
          <w:noProof/>
        </w:rPr>
      </w:pPr>
      <w:r w:rsidRPr="004D6F52">
        <w:t>(1)</w:t>
      </w:r>
      <w:r w:rsidRPr="004D6F52">
        <w:tab/>
      </w:r>
      <w:r w:rsidR="00454F31" w:rsidRPr="00B10036">
        <w:rPr>
          <w:noProof/>
        </w:rPr>
        <w:t>Należy pilnie ograniczyć emisje gazów cieplarnianych,</w:t>
      </w:r>
      <w:r w:rsidR="00B10036" w:rsidRPr="00B10036">
        <w:rPr>
          <w:noProof/>
        </w:rPr>
        <w:t xml:space="preserve"> w</w:t>
      </w:r>
      <w:r w:rsidR="00B10036">
        <w:rPr>
          <w:noProof/>
        </w:rPr>
        <w:t> </w:t>
      </w:r>
      <w:r w:rsidR="00B10036" w:rsidRPr="00B10036">
        <w:rPr>
          <w:noProof/>
        </w:rPr>
        <w:t>szc</w:t>
      </w:r>
      <w:r w:rsidR="00454F31" w:rsidRPr="00B10036">
        <w:rPr>
          <w:noProof/>
        </w:rPr>
        <w:t>zególności</w:t>
      </w:r>
      <w:r w:rsidR="00B10036" w:rsidRPr="00B10036">
        <w:rPr>
          <w:noProof/>
        </w:rPr>
        <w:t xml:space="preserve"> w</w:t>
      </w:r>
      <w:r w:rsidR="00B10036">
        <w:rPr>
          <w:noProof/>
        </w:rPr>
        <w:t> </w:t>
      </w:r>
      <w:r w:rsidR="00B10036" w:rsidRPr="00B10036">
        <w:rPr>
          <w:noProof/>
        </w:rPr>
        <w:t>cel</w:t>
      </w:r>
      <w:r w:rsidR="00454F31" w:rsidRPr="00B10036">
        <w:rPr>
          <w:noProof/>
        </w:rPr>
        <w:t>u zmniejszenia podnoszenia się poziomu mórz</w:t>
      </w:r>
      <w:r w:rsidR="00B10036" w:rsidRPr="00B10036">
        <w:rPr>
          <w:noProof/>
        </w:rPr>
        <w:t xml:space="preserve"> i</w:t>
      </w:r>
      <w:r w:rsidR="00B10036">
        <w:rPr>
          <w:noProof/>
        </w:rPr>
        <w:t> </w:t>
      </w:r>
      <w:r w:rsidR="00B10036" w:rsidRPr="00B10036">
        <w:rPr>
          <w:noProof/>
        </w:rPr>
        <w:t>pra</w:t>
      </w:r>
      <w:r w:rsidR="00454F31" w:rsidRPr="00B10036">
        <w:rPr>
          <w:noProof/>
        </w:rPr>
        <w:t>wdopodobieństwa wystąpienia ekstremalnych zdarzeń pogodowych, które już teraz dotykają każdego regionu na świecie</w:t>
      </w:r>
      <w:r w:rsidR="00454F31" w:rsidRPr="00B10036">
        <w:rPr>
          <w:rStyle w:val="FootnoteReference"/>
          <w:noProof/>
        </w:rPr>
        <w:footnoteReference w:id="49"/>
      </w:r>
      <w:r w:rsidR="00454F31" w:rsidRPr="00B10036">
        <w:rPr>
          <w:noProof/>
        </w:rPr>
        <w:t>, oraz</w:t>
      </w:r>
      <w:r w:rsidR="00B10036" w:rsidRPr="00B10036">
        <w:rPr>
          <w:noProof/>
        </w:rPr>
        <w:t xml:space="preserve"> w</w:t>
      </w:r>
      <w:r w:rsidR="00B10036">
        <w:rPr>
          <w:noProof/>
        </w:rPr>
        <w:t> </w:t>
      </w:r>
      <w:r w:rsidR="00B10036" w:rsidRPr="00B10036">
        <w:rPr>
          <w:noProof/>
        </w:rPr>
        <w:t>cel</w:t>
      </w:r>
      <w:r w:rsidR="00454F31" w:rsidRPr="00B10036">
        <w:rPr>
          <w:noProof/>
        </w:rPr>
        <w:t>u zmniejszenia kosztów gospodarczych</w:t>
      </w:r>
      <w:r w:rsidR="00B10036" w:rsidRPr="00B10036">
        <w:rPr>
          <w:noProof/>
        </w:rPr>
        <w:t xml:space="preserve"> i</w:t>
      </w:r>
      <w:r w:rsidR="00B10036">
        <w:rPr>
          <w:noProof/>
        </w:rPr>
        <w:t> </w:t>
      </w:r>
      <w:r w:rsidR="00B10036" w:rsidRPr="00B10036">
        <w:rPr>
          <w:noProof/>
        </w:rPr>
        <w:t>spo</w:t>
      </w:r>
      <w:r w:rsidR="00454F31" w:rsidRPr="00B10036">
        <w:rPr>
          <w:noProof/>
        </w:rPr>
        <w:t>łecznych związanych ze skutkami globalnego ocieplenia</w:t>
      </w:r>
      <w:r w:rsidR="00454F31" w:rsidRPr="00B10036">
        <w:rPr>
          <w:rStyle w:val="FootnoteReference"/>
          <w:noProof/>
        </w:rPr>
        <w:footnoteReference w:id="50"/>
      </w:r>
      <w:r w:rsidR="00454F31" w:rsidRPr="00B10036">
        <w:rPr>
          <w:noProof/>
        </w:rPr>
        <w:t>. Unia</w:t>
      </w:r>
      <w:r w:rsidR="00B10036" w:rsidRPr="00B10036">
        <w:rPr>
          <w:noProof/>
        </w:rPr>
        <w:t xml:space="preserve"> i</w:t>
      </w:r>
      <w:r w:rsidR="00B10036">
        <w:rPr>
          <w:noProof/>
        </w:rPr>
        <w:t> </w:t>
      </w:r>
      <w:r w:rsidR="00B10036" w:rsidRPr="00B10036">
        <w:rPr>
          <w:noProof/>
        </w:rPr>
        <w:t>jej</w:t>
      </w:r>
      <w:r w:rsidR="00454F31" w:rsidRPr="00B10036">
        <w:rPr>
          <w:noProof/>
        </w:rPr>
        <w:t xml:space="preserve"> państwa członkowskie są stronami porozumienia paryskiego przyjętego na podstawie Ramowej konwencji Narodów Zjednoczonych</w:t>
      </w:r>
      <w:r w:rsidR="00B10036" w:rsidRPr="00B10036">
        <w:rPr>
          <w:noProof/>
        </w:rPr>
        <w:t xml:space="preserve"> w</w:t>
      </w:r>
      <w:r w:rsidR="00B10036">
        <w:rPr>
          <w:noProof/>
        </w:rPr>
        <w:t> </w:t>
      </w:r>
      <w:r w:rsidR="00B10036" w:rsidRPr="00B10036">
        <w:rPr>
          <w:noProof/>
        </w:rPr>
        <w:t>spr</w:t>
      </w:r>
      <w:r w:rsidR="00454F31" w:rsidRPr="00B10036">
        <w:rPr>
          <w:noProof/>
        </w:rPr>
        <w:t>awie zmian klimatu (UNFCCC)</w:t>
      </w:r>
      <w:r w:rsidR="00B10036" w:rsidRPr="00B10036">
        <w:rPr>
          <w:noProof/>
        </w:rPr>
        <w:t xml:space="preserve"> w</w:t>
      </w:r>
      <w:r w:rsidR="00B10036">
        <w:rPr>
          <w:noProof/>
        </w:rPr>
        <w:t> </w:t>
      </w:r>
      <w:r w:rsidR="00B10036" w:rsidRPr="00B10036">
        <w:rPr>
          <w:noProof/>
        </w:rPr>
        <w:t>gru</w:t>
      </w:r>
      <w:r w:rsidR="00454F31" w:rsidRPr="00B10036">
        <w:rPr>
          <w:noProof/>
        </w:rPr>
        <w:t>dniu 2015</w:t>
      </w:r>
      <w:r w:rsidR="00B10036" w:rsidRPr="00B10036">
        <w:rPr>
          <w:noProof/>
        </w:rPr>
        <w:t> </w:t>
      </w:r>
      <w:r w:rsidR="00454F31" w:rsidRPr="00B10036">
        <w:rPr>
          <w:noProof/>
        </w:rPr>
        <w:t>r. („porozumienie paryskie”)</w:t>
      </w:r>
      <w:r w:rsidR="00454F31" w:rsidRPr="00B10036">
        <w:rPr>
          <w:rStyle w:val="FootnoteReference"/>
          <w:noProof/>
        </w:rPr>
        <w:footnoteReference w:id="51"/>
      </w:r>
      <w:r w:rsidR="00454F31" w:rsidRPr="00B10036">
        <w:rPr>
          <w:noProof/>
        </w:rPr>
        <w:t>,</w:t>
      </w:r>
      <w:r w:rsidR="00B10036" w:rsidRPr="00B10036">
        <w:rPr>
          <w:noProof/>
        </w:rPr>
        <w:t xml:space="preserve"> w</w:t>
      </w:r>
      <w:r w:rsidR="00B10036">
        <w:rPr>
          <w:noProof/>
        </w:rPr>
        <w:t> </w:t>
      </w:r>
      <w:r w:rsidR="00B10036" w:rsidRPr="00B10036">
        <w:rPr>
          <w:noProof/>
        </w:rPr>
        <w:t>któ</w:t>
      </w:r>
      <w:r w:rsidR="00454F31" w:rsidRPr="00B10036">
        <w:rPr>
          <w:noProof/>
        </w:rPr>
        <w:t>rym strony zobowiązano do ograniczenia wzrostu średniej temperatury globalnej do poziomu znacznie niższego niż 2</w:t>
      </w:r>
      <w:r w:rsidR="00B10036" w:rsidRPr="00B10036">
        <w:rPr>
          <w:noProof/>
        </w:rPr>
        <w:t> </w:t>
      </w:r>
      <w:r w:rsidR="00454F31" w:rsidRPr="00B10036">
        <w:rPr>
          <w:noProof/>
        </w:rPr>
        <w:t>°C powyżej poziomu przedindustrialnego oraz podejmowania wysiłków mających na celu ograniczenie wzrostu temperatury do</w:t>
      </w:r>
      <w:r w:rsidR="00B10036" w:rsidRPr="00B10036">
        <w:rPr>
          <w:noProof/>
        </w:rPr>
        <w:t> </w:t>
      </w:r>
      <w:r w:rsidR="00454F31" w:rsidRPr="00B10036">
        <w:rPr>
          <w:noProof/>
        </w:rPr>
        <w:t>1,5</w:t>
      </w:r>
      <w:r w:rsidR="00B10036" w:rsidRPr="00B10036">
        <w:rPr>
          <w:noProof/>
        </w:rPr>
        <w:t> </w:t>
      </w:r>
      <w:r w:rsidR="00454F31" w:rsidRPr="00B10036">
        <w:rPr>
          <w:noProof/>
        </w:rPr>
        <w:t xml:space="preserve">°C powyżej poziomu przedindustrialnego. </w:t>
      </w:r>
    </w:p>
    <w:p w14:paraId="44A11874" w14:textId="5090E978" w:rsidR="006D0BA7" w:rsidRPr="00B10036" w:rsidRDefault="004D6F52" w:rsidP="004D6F52">
      <w:pPr>
        <w:pStyle w:val="ManualConsidrant"/>
        <w:rPr>
          <w:noProof/>
        </w:rPr>
      </w:pPr>
      <w:r w:rsidRPr="004D6F52">
        <w:t>(2)</w:t>
      </w:r>
      <w:r w:rsidRPr="004D6F52">
        <w:tab/>
      </w:r>
      <w:r w:rsidR="00DD5B54" w:rsidRPr="00B10036">
        <w:rPr>
          <w:noProof/>
        </w:rPr>
        <w:t>Zmiana klimatu</w:t>
      </w:r>
      <w:r w:rsidR="00B10036" w:rsidRPr="00B10036">
        <w:rPr>
          <w:noProof/>
        </w:rPr>
        <w:t xml:space="preserve"> i</w:t>
      </w:r>
      <w:r w:rsidR="00B10036">
        <w:rPr>
          <w:noProof/>
        </w:rPr>
        <w:t> </w:t>
      </w:r>
      <w:r w:rsidR="00B10036" w:rsidRPr="00B10036">
        <w:rPr>
          <w:noProof/>
        </w:rPr>
        <w:t>deg</w:t>
      </w:r>
      <w:r w:rsidR="00DD5B54" w:rsidRPr="00B10036">
        <w:rPr>
          <w:noProof/>
        </w:rPr>
        <w:t>radacja środowiska stanowią poważne zagrożenia, które wymagają pilnych działań, co ostatnio potwierdzono</w:t>
      </w:r>
      <w:r w:rsidR="00B10036" w:rsidRPr="00B10036">
        <w:rPr>
          <w:noProof/>
        </w:rPr>
        <w:t xml:space="preserve"> w</w:t>
      </w:r>
      <w:r w:rsidR="00B10036">
        <w:rPr>
          <w:noProof/>
        </w:rPr>
        <w:t> </w:t>
      </w:r>
      <w:r w:rsidR="00B10036" w:rsidRPr="00B10036">
        <w:rPr>
          <w:noProof/>
        </w:rPr>
        <w:t>szó</w:t>
      </w:r>
      <w:r w:rsidR="00DD5B54" w:rsidRPr="00B10036">
        <w:rPr>
          <w:noProof/>
        </w:rPr>
        <w:t>stym sprawozdaniu oceniającym Międzyrządowego Zespołu ds. Zmian Klimatu (IPCC)</w:t>
      </w:r>
      <w:r w:rsidR="00B10036" w:rsidRPr="00B10036">
        <w:rPr>
          <w:noProof/>
        </w:rPr>
        <w:t xml:space="preserve"> w</w:t>
      </w:r>
      <w:r w:rsidR="00B10036">
        <w:rPr>
          <w:noProof/>
        </w:rPr>
        <w:t> </w:t>
      </w:r>
      <w:r w:rsidR="00B10036" w:rsidRPr="00B10036">
        <w:rPr>
          <w:noProof/>
        </w:rPr>
        <w:t>spr</w:t>
      </w:r>
      <w:r w:rsidR="00DD5B54" w:rsidRPr="00B10036">
        <w:rPr>
          <w:noProof/>
        </w:rPr>
        <w:t>awie podstaw nauk fizycznych. Cierpienie ludzkie</w:t>
      </w:r>
      <w:r w:rsidR="00B10036" w:rsidRPr="00B10036">
        <w:rPr>
          <w:noProof/>
        </w:rPr>
        <w:t xml:space="preserve"> i</w:t>
      </w:r>
      <w:r w:rsidR="00B10036">
        <w:rPr>
          <w:noProof/>
        </w:rPr>
        <w:t> </w:t>
      </w:r>
      <w:r w:rsidR="00B10036" w:rsidRPr="00B10036">
        <w:rPr>
          <w:noProof/>
        </w:rPr>
        <w:t>str</w:t>
      </w:r>
      <w:r w:rsidR="00DD5B54" w:rsidRPr="00B10036">
        <w:rPr>
          <w:noProof/>
        </w:rPr>
        <w:t>aty ekonomiczne wynikające</w:t>
      </w:r>
      <w:r w:rsidR="00B10036" w:rsidRPr="00B10036">
        <w:rPr>
          <w:noProof/>
        </w:rPr>
        <w:t xml:space="preserve"> z</w:t>
      </w:r>
      <w:r w:rsidR="00B10036">
        <w:rPr>
          <w:noProof/>
        </w:rPr>
        <w:t> </w:t>
      </w:r>
      <w:r w:rsidR="00B10036" w:rsidRPr="00B10036">
        <w:rPr>
          <w:noProof/>
        </w:rPr>
        <w:t>czę</w:t>
      </w:r>
      <w:r w:rsidR="00DD5B54" w:rsidRPr="00B10036">
        <w:rPr>
          <w:noProof/>
        </w:rPr>
        <w:t>stszych ekstremalnych zdarzeń klimatycznych, takich jak powodzie, fale upałów, susze</w:t>
      </w:r>
      <w:r w:rsidR="00B10036" w:rsidRPr="00B10036">
        <w:rPr>
          <w:noProof/>
        </w:rPr>
        <w:t xml:space="preserve"> i</w:t>
      </w:r>
      <w:r w:rsidR="00B10036">
        <w:rPr>
          <w:noProof/>
        </w:rPr>
        <w:t> </w:t>
      </w:r>
      <w:r w:rsidR="00B10036" w:rsidRPr="00B10036">
        <w:rPr>
          <w:noProof/>
        </w:rPr>
        <w:t>poż</w:t>
      </w:r>
      <w:r w:rsidR="00DD5B54" w:rsidRPr="00B10036">
        <w:rPr>
          <w:noProof/>
        </w:rPr>
        <w:t>ary lasów, stają się coraz powszechniejsze. W UE straty te wynoszą już średnio ponad 12 mld EUR rocznie</w:t>
      </w:r>
      <w:r w:rsidR="00DD5B54" w:rsidRPr="00B10036">
        <w:rPr>
          <w:rStyle w:val="FootnoteReference"/>
          <w:noProof/>
        </w:rPr>
        <w:footnoteReference w:id="52"/>
      </w:r>
      <w:r w:rsidR="00DD5B54" w:rsidRPr="00B10036">
        <w:rPr>
          <w:noProof/>
        </w:rPr>
        <w:t>. Straty te mogą osiągnąć dodatkowe 175 mld EUR (1,38</w:t>
      </w:r>
      <w:r w:rsidR="00B10036" w:rsidRPr="00B10036">
        <w:rPr>
          <w:noProof/>
        </w:rPr>
        <w:t> </w:t>
      </w:r>
      <w:r w:rsidR="00DD5B54" w:rsidRPr="00B10036">
        <w:rPr>
          <w:noProof/>
        </w:rPr>
        <w:t>% PKB UE) rocznie, jeżeli globalne ocieplenie osiągnie poziom 3</w:t>
      </w:r>
      <w:r w:rsidR="00B10036" w:rsidRPr="00B10036">
        <w:rPr>
          <w:noProof/>
        </w:rPr>
        <w:t> </w:t>
      </w:r>
      <w:r w:rsidR="00DD5B54" w:rsidRPr="00B10036">
        <w:rPr>
          <w:noProof/>
        </w:rPr>
        <w:t>°C powyżej poziomu przedindustrialnego. 3</w:t>
      </w:r>
      <w:r w:rsidR="00B10036" w:rsidRPr="00B10036">
        <w:rPr>
          <w:noProof/>
        </w:rPr>
        <w:t> </w:t>
      </w:r>
      <w:r w:rsidR="00DD5B54" w:rsidRPr="00B10036">
        <w:rPr>
          <w:noProof/>
        </w:rPr>
        <w:t>°C</w:t>
      </w:r>
      <w:r w:rsidR="00B10036" w:rsidRPr="00B10036">
        <w:rPr>
          <w:noProof/>
        </w:rPr>
        <w:t xml:space="preserve"> w</w:t>
      </w:r>
      <w:r w:rsidR="00B10036">
        <w:rPr>
          <w:noProof/>
        </w:rPr>
        <w:t> </w:t>
      </w:r>
      <w:r w:rsidR="00B10036" w:rsidRPr="00B10036">
        <w:rPr>
          <w:noProof/>
        </w:rPr>
        <w:t>por</w:t>
      </w:r>
      <w:r w:rsidR="00DD5B54" w:rsidRPr="00B10036">
        <w:rPr>
          <w:noProof/>
        </w:rPr>
        <w:t>ównaniu</w:t>
      </w:r>
      <w:r w:rsidR="00B10036" w:rsidRPr="00B10036">
        <w:rPr>
          <w:noProof/>
        </w:rPr>
        <w:t xml:space="preserve"> z</w:t>
      </w:r>
      <w:r w:rsidR="00B10036">
        <w:rPr>
          <w:noProof/>
        </w:rPr>
        <w:t> </w:t>
      </w:r>
      <w:r w:rsidR="00B10036" w:rsidRPr="00B10036">
        <w:rPr>
          <w:noProof/>
        </w:rPr>
        <w:t>6</w:t>
      </w:r>
      <w:r w:rsidR="00DD5B54" w:rsidRPr="00B10036">
        <w:rPr>
          <w:noProof/>
        </w:rPr>
        <w:t>5 mld EUR</w:t>
      </w:r>
      <w:r w:rsidR="00B10036" w:rsidRPr="00B10036">
        <w:rPr>
          <w:noProof/>
        </w:rPr>
        <w:t xml:space="preserve"> w</w:t>
      </w:r>
      <w:r w:rsidR="00B10036">
        <w:rPr>
          <w:noProof/>
        </w:rPr>
        <w:t> </w:t>
      </w:r>
      <w:r w:rsidR="00B10036" w:rsidRPr="00B10036">
        <w:rPr>
          <w:noProof/>
        </w:rPr>
        <w:t>prz</w:t>
      </w:r>
      <w:r w:rsidR="00DD5B54" w:rsidRPr="00B10036">
        <w:rPr>
          <w:noProof/>
        </w:rPr>
        <w:t>ypadku 2</w:t>
      </w:r>
      <w:r w:rsidR="00B10036" w:rsidRPr="00B10036">
        <w:rPr>
          <w:noProof/>
        </w:rPr>
        <w:t> </w:t>
      </w:r>
      <w:r w:rsidR="00DD5B54" w:rsidRPr="00B10036">
        <w:rPr>
          <w:noProof/>
        </w:rPr>
        <w:t>°C</w:t>
      </w:r>
      <w:r w:rsidR="00B10036" w:rsidRPr="00B10036">
        <w:rPr>
          <w:noProof/>
        </w:rPr>
        <w:t xml:space="preserve"> i</w:t>
      </w:r>
      <w:r w:rsidR="00B10036">
        <w:rPr>
          <w:noProof/>
        </w:rPr>
        <w:t> </w:t>
      </w:r>
      <w:r w:rsidR="00B10036" w:rsidRPr="00B10036">
        <w:rPr>
          <w:noProof/>
        </w:rPr>
        <w:t>3</w:t>
      </w:r>
      <w:r w:rsidR="00DD5B54" w:rsidRPr="00B10036">
        <w:rPr>
          <w:noProof/>
        </w:rPr>
        <w:t>6 mld EUR rocznie</w:t>
      </w:r>
      <w:r w:rsidR="00B10036" w:rsidRPr="00B10036">
        <w:rPr>
          <w:noProof/>
        </w:rPr>
        <w:t xml:space="preserve"> w</w:t>
      </w:r>
      <w:r w:rsidR="00B10036">
        <w:rPr>
          <w:noProof/>
        </w:rPr>
        <w:t> </w:t>
      </w:r>
      <w:r w:rsidR="00B10036" w:rsidRPr="00B10036">
        <w:rPr>
          <w:noProof/>
        </w:rPr>
        <w:t>prz</w:t>
      </w:r>
      <w:r w:rsidR="00DD5B54" w:rsidRPr="00B10036">
        <w:rPr>
          <w:noProof/>
        </w:rPr>
        <w:t>ypadku 1,5</w:t>
      </w:r>
      <w:r w:rsidR="00B10036" w:rsidRPr="00B10036">
        <w:rPr>
          <w:noProof/>
        </w:rPr>
        <w:t> </w:t>
      </w:r>
      <w:r w:rsidR="00DD5B54" w:rsidRPr="00B10036">
        <w:rPr>
          <w:noProof/>
        </w:rPr>
        <w:t>°C. Przyniosłoby to nieproporcjonalne szkody niektórym grupom,</w:t>
      </w:r>
      <w:r w:rsidR="00B10036" w:rsidRPr="00B10036">
        <w:rPr>
          <w:noProof/>
        </w:rPr>
        <w:t xml:space="preserve"> w</w:t>
      </w:r>
      <w:r w:rsidR="00B10036">
        <w:rPr>
          <w:noProof/>
        </w:rPr>
        <w:t> </w:t>
      </w:r>
      <w:r w:rsidR="00B10036" w:rsidRPr="00B10036">
        <w:rPr>
          <w:noProof/>
        </w:rPr>
        <w:t>szc</w:t>
      </w:r>
      <w:r w:rsidR="00DD5B54" w:rsidRPr="00B10036">
        <w:rPr>
          <w:noProof/>
        </w:rPr>
        <w:t>zególności osobom już będącym</w:t>
      </w:r>
      <w:r w:rsidR="00B10036" w:rsidRPr="00B10036">
        <w:rPr>
          <w:noProof/>
        </w:rPr>
        <w:t xml:space="preserve"> w</w:t>
      </w:r>
      <w:r w:rsidR="00B10036">
        <w:rPr>
          <w:noProof/>
        </w:rPr>
        <w:t> </w:t>
      </w:r>
      <w:r w:rsidR="00B10036" w:rsidRPr="00B10036">
        <w:rPr>
          <w:noProof/>
        </w:rPr>
        <w:t>tru</w:t>
      </w:r>
      <w:r w:rsidR="00DD5B54" w:rsidRPr="00B10036">
        <w:rPr>
          <w:noProof/>
        </w:rPr>
        <w:t>dnej sytuacji</w:t>
      </w:r>
      <w:r w:rsidR="00B10036" w:rsidRPr="00B10036">
        <w:rPr>
          <w:noProof/>
        </w:rPr>
        <w:t xml:space="preserve"> i</w:t>
      </w:r>
      <w:r w:rsidR="00B10036">
        <w:rPr>
          <w:noProof/>
        </w:rPr>
        <w:t> </w:t>
      </w:r>
      <w:r w:rsidR="00B10036" w:rsidRPr="00B10036">
        <w:rPr>
          <w:noProof/>
        </w:rPr>
        <w:t>reg</w:t>
      </w:r>
      <w:r w:rsidR="00DD5B54" w:rsidRPr="00B10036">
        <w:rPr>
          <w:noProof/>
        </w:rPr>
        <w:t>ionom już stojącym</w:t>
      </w:r>
      <w:r w:rsidR="00B10036" w:rsidRPr="00B10036">
        <w:rPr>
          <w:noProof/>
        </w:rPr>
        <w:t xml:space="preserve"> w</w:t>
      </w:r>
      <w:r w:rsidR="00B10036">
        <w:rPr>
          <w:noProof/>
        </w:rPr>
        <w:t> </w:t>
      </w:r>
      <w:r w:rsidR="00B10036" w:rsidRPr="00B10036">
        <w:rPr>
          <w:noProof/>
        </w:rPr>
        <w:t>obl</w:t>
      </w:r>
      <w:r w:rsidR="00DD5B54" w:rsidRPr="00B10036">
        <w:rPr>
          <w:noProof/>
        </w:rPr>
        <w:t>iczu wyzwań.</w:t>
      </w:r>
    </w:p>
    <w:p w14:paraId="5D1B8F83" w14:textId="12F4B358" w:rsidR="009B54D8" w:rsidRPr="00B10036" w:rsidRDefault="004D6F52" w:rsidP="004D6F52">
      <w:pPr>
        <w:pStyle w:val="ManualConsidrant"/>
        <w:rPr>
          <w:noProof/>
        </w:rPr>
      </w:pPr>
      <w:r w:rsidRPr="004D6F52">
        <w:t>(3)</w:t>
      </w:r>
      <w:r w:rsidRPr="004D6F52">
        <w:tab/>
      </w:r>
      <w:r w:rsidR="00F755F1" w:rsidRPr="00B10036">
        <w:rPr>
          <w:noProof/>
        </w:rPr>
        <w:t>W ramach Europejskiego Zielonego Ładu</w:t>
      </w:r>
      <w:r w:rsidR="00F755F1" w:rsidRPr="00B10036">
        <w:rPr>
          <w:rStyle w:val="FootnoteReference"/>
          <w:noProof/>
        </w:rPr>
        <w:footnoteReference w:id="53"/>
      </w:r>
      <w:r w:rsidR="00F755F1" w:rsidRPr="00B10036">
        <w:rPr>
          <w:noProof/>
        </w:rPr>
        <w:t xml:space="preserve"> określono strategię dla Unii, aby stała się ona pierwszym kontynentem neutralnym dla klimatu</w:t>
      </w:r>
      <w:r w:rsidR="00B10036" w:rsidRPr="00B10036">
        <w:rPr>
          <w:noProof/>
        </w:rPr>
        <w:t xml:space="preserve"> i</w:t>
      </w:r>
      <w:r w:rsidR="00B10036">
        <w:rPr>
          <w:noProof/>
        </w:rPr>
        <w:t> </w:t>
      </w:r>
      <w:r w:rsidR="00B10036" w:rsidRPr="00B10036">
        <w:rPr>
          <w:noProof/>
        </w:rPr>
        <w:t>aby</w:t>
      </w:r>
      <w:r w:rsidR="00F755F1" w:rsidRPr="00B10036">
        <w:rPr>
          <w:noProof/>
        </w:rPr>
        <w:t xml:space="preserve"> przekształcić Unię</w:t>
      </w:r>
      <w:r w:rsidR="00B10036" w:rsidRPr="00B10036">
        <w:rPr>
          <w:noProof/>
        </w:rPr>
        <w:t xml:space="preserve"> w</w:t>
      </w:r>
      <w:r w:rsidR="00B10036">
        <w:rPr>
          <w:noProof/>
        </w:rPr>
        <w:t> </w:t>
      </w:r>
      <w:r w:rsidR="00B10036" w:rsidRPr="00B10036">
        <w:rPr>
          <w:noProof/>
        </w:rPr>
        <w:t>zró</w:t>
      </w:r>
      <w:r w:rsidR="00F755F1" w:rsidRPr="00B10036">
        <w:rPr>
          <w:noProof/>
        </w:rPr>
        <w:t>wnoważone, sprawiedliwsze</w:t>
      </w:r>
      <w:r w:rsidR="00B10036" w:rsidRPr="00B10036">
        <w:rPr>
          <w:noProof/>
        </w:rPr>
        <w:t xml:space="preserve"> i</w:t>
      </w:r>
      <w:r w:rsidR="00B10036">
        <w:rPr>
          <w:noProof/>
        </w:rPr>
        <w:t> </w:t>
      </w:r>
      <w:r w:rsidR="00B10036" w:rsidRPr="00B10036">
        <w:rPr>
          <w:noProof/>
        </w:rPr>
        <w:t>zam</w:t>
      </w:r>
      <w:r w:rsidR="00F755F1" w:rsidRPr="00B10036">
        <w:rPr>
          <w:noProof/>
        </w:rPr>
        <w:t>ożniejsze społeczeństwo, które szanuje ograniczenia planety. Potrzeba sprawiedliwej transformacji stanowi integralną część Zielonego Ładu,</w:t>
      </w:r>
      <w:r w:rsidR="00B10036" w:rsidRPr="00B10036">
        <w:rPr>
          <w:noProof/>
        </w:rPr>
        <w:t xml:space="preserve"> w</w:t>
      </w:r>
      <w:r w:rsidR="00B10036">
        <w:rPr>
          <w:noProof/>
        </w:rPr>
        <w:t> </w:t>
      </w:r>
      <w:r w:rsidR="00B10036" w:rsidRPr="00B10036">
        <w:rPr>
          <w:noProof/>
        </w:rPr>
        <w:t>któ</w:t>
      </w:r>
      <w:r w:rsidR="00F755F1" w:rsidRPr="00B10036">
        <w:rPr>
          <w:noProof/>
        </w:rPr>
        <w:t>rym podkreślono, że żadnej osoby ani żadnego miejsca nie należy pozostawić</w:t>
      </w:r>
      <w:r w:rsidR="00B10036" w:rsidRPr="00B10036">
        <w:rPr>
          <w:noProof/>
        </w:rPr>
        <w:t xml:space="preserve"> w</w:t>
      </w:r>
      <w:r w:rsidR="00B10036">
        <w:rPr>
          <w:noProof/>
        </w:rPr>
        <w:t> </w:t>
      </w:r>
      <w:r w:rsidR="00B10036" w:rsidRPr="00B10036">
        <w:rPr>
          <w:noProof/>
        </w:rPr>
        <w:t>tyl</w:t>
      </w:r>
      <w:r w:rsidR="00F755F1" w:rsidRPr="00B10036">
        <w:rPr>
          <w:noProof/>
        </w:rPr>
        <w:t>e. W Europejskim prawie</w:t>
      </w:r>
      <w:r w:rsidR="00B10036" w:rsidRPr="00B10036">
        <w:rPr>
          <w:noProof/>
        </w:rPr>
        <w:t xml:space="preserve"> o</w:t>
      </w:r>
      <w:r w:rsidR="00B10036">
        <w:rPr>
          <w:noProof/>
        </w:rPr>
        <w:t> </w:t>
      </w:r>
      <w:r w:rsidR="00B10036" w:rsidRPr="00B10036">
        <w:rPr>
          <w:noProof/>
        </w:rPr>
        <w:t>kli</w:t>
      </w:r>
      <w:r w:rsidR="00F755F1" w:rsidRPr="00B10036">
        <w:rPr>
          <w:noProof/>
        </w:rPr>
        <w:t>macie</w:t>
      </w:r>
      <w:r w:rsidR="00F755F1" w:rsidRPr="00B10036">
        <w:rPr>
          <w:rStyle w:val="FootnoteReference"/>
          <w:noProof/>
        </w:rPr>
        <w:footnoteReference w:id="54"/>
      </w:r>
      <w:r w:rsidR="00F755F1" w:rsidRPr="00B10036">
        <w:rPr>
          <w:noProof/>
        </w:rPr>
        <w:t xml:space="preserve"> określono wiążący cel ogólnounijny, jakim jest neutralność klimatyczna do</w:t>
      </w:r>
      <w:r w:rsidR="00B10036" w:rsidRPr="00B10036">
        <w:rPr>
          <w:noProof/>
        </w:rPr>
        <w:t> </w:t>
      </w:r>
      <w:r w:rsidR="00F755F1" w:rsidRPr="00B10036">
        <w:rPr>
          <w:noProof/>
        </w:rPr>
        <w:t>2050</w:t>
      </w:r>
      <w:r w:rsidR="00B10036" w:rsidRPr="00B10036">
        <w:rPr>
          <w:noProof/>
        </w:rPr>
        <w:t> </w:t>
      </w:r>
      <w:r w:rsidR="00F755F1" w:rsidRPr="00B10036">
        <w:rPr>
          <w:noProof/>
        </w:rPr>
        <w:t>r., oraz wiążący cel pośredni, jakim jest ograniczenie krajowych emisji netto gazów cieplarnianych do roku 2030 o co najmniej 55</w:t>
      </w:r>
      <w:r w:rsidR="00B10036" w:rsidRPr="00B10036">
        <w:rPr>
          <w:noProof/>
        </w:rPr>
        <w:t> </w:t>
      </w:r>
      <w:r w:rsidR="00F755F1" w:rsidRPr="00B10036">
        <w:rPr>
          <w:noProof/>
        </w:rPr>
        <w:t>%</w:t>
      </w:r>
      <w:r w:rsidR="00B10036" w:rsidRPr="00B10036">
        <w:rPr>
          <w:noProof/>
        </w:rPr>
        <w:t xml:space="preserve"> w</w:t>
      </w:r>
      <w:r w:rsidR="00B10036">
        <w:rPr>
          <w:noProof/>
        </w:rPr>
        <w:t> </w:t>
      </w:r>
      <w:r w:rsidR="00B10036" w:rsidRPr="00B10036">
        <w:rPr>
          <w:noProof/>
        </w:rPr>
        <w:t>por</w:t>
      </w:r>
      <w:r w:rsidR="00F755F1" w:rsidRPr="00B10036">
        <w:rPr>
          <w:noProof/>
        </w:rPr>
        <w:t>ównaniu</w:t>
      </w:r>
      <w:r w:rsidR="00B10036" w:rsidRPr="00B10036">
        <w:rPr>
          <w:noProof/>
        </w:rPr>
        <w:t xml:space="preserve"> z</w:t>
      </w:r>
      <w:r w:rsidR="00B10036">
        <w:rPr>
          <w:noProof/>
        </w:rPr>
        <w:t> </w:t>
      </w:r>
      <w:r w:rsidR="00B10036" w:rsidRPr="00B10036">
        <w:rPr>
          <w:noProof/>
        </w:rPr>
        <w:t>poz</w:t>
      </w:r>
      <w:r w:rsidR="00F755F1" w:rsidRPr="00B10036">
        <w:rPr>
          <w:noProof/>
        </w:rPr>
        <w:t>iomami</w:t>
      </w:r>
      <w:r w:rsidR="00B10036" w:rsidRPr="00B10036">
        <w:rPr>
          <w:noProof/>
        </w:rPr>
        <w:t xml:space="preserve"> z</w:t>
      </w:r>
      <w:r w:rsidR="00B10036">
        <w:rPr>
          <w:noProof/>
        </w:rPr>
        <w:t> </w:t>
      </w:r>
      <w:r w:rsidR="00B10036" w:rsidRPr="00B10036">
        <w:rPr>
          <w:noProof/>
        </w:rPr>
        <w:t>1</w:t>
      </w:r>
      <w:r w:rsidR="00F755F1" w:rsidRPr="00B10036">
        <w:rPr>
          <w:noProof/>
        </w:rPr>
        <w:t>990</w:t>
      </w:r>
      <w:r w:rsidR="00B10036" w:rsidRPr="00B10036">
        <w:rPr>
          <w:noProof/>
        </w:rPr>
        <w:t> </w:t>
      </w:r>
      <w:r w:rsidR="00F755F1" w:rsidRPr="00B10036">
        <w:rPr>
          <w:noProof/>
        </w:rPr>
        <w:t>r. Ósmy unijny program działań</w:t>
      </w:r>
      <w:r w:rsidR="00B10036" w:rsidRPr="00B10036">
        <w:rPr>
          <w:noProof/>
        </w:rPr>
        <w:t xml:space="preserve"> w</w:t>
      </w:r>
      <w:r w:rsidR="00B10036">
        <w:rPr>
          <w:noProof/>
        </w:rPr>
        <w:t> </w:t>
      </w:r>
      <w:r w:rsidR="00B10036" w:rsidRPr="00B10036">
        <w:rPr>
          <w:noProof/>
        </w:rPr>
        <w:t>zak</w:t>
      </w:r>
      <w:r w:rsidR="00F755F1" w:rsidRPr="00B10036">
        <w:rPr>
          <w:noProof/>
        </w:rPr>
        <w:t>resie środowiska do</w:t>
      </w:r>
      <w:r w:rsidR="00B10036" w:rsidRPr="00B10036">
        <w:rPr>
          <w:noProof/>
        </w:rPr>
        <w:t> </w:t>
      </w:r>
      <w:r w:rsidR="00F755F1" w:rsidRPr="00B10036">
        <w:rPr>
          <w:noProof/>
        </w:rPr>
        <w:t>2030</w:t>
      </w:r>
      <w:r w:rsidR="00B10036" w:rsidRPr="00B10036">
        <w:rPr>
          <w:noProof/>
        </w:rPr>
        <w:t> </w:t>
      </w:r>
      <w:r w:rsidR="00F755F1" w:rsidRPr="00B10036">
        <w:rPr>
          <w:noProof/>
        </w:rPr>
        <w:t>r.</w:t>
      </w:r>
      <w:r w:rsidR="00F755F1" w:rsidRPr="00B10036">
        <w:rPr>
          <w:rStyle w:val="FootnoteReference"/>
          <w:noProof/>
        </w:rPr>
        <w:footnoteReference w:id="55"/>
      </w:r>
      <w:r w:rsidR="00F755F1" w:rsidRPr="00B10036">
        <w:rPr>
          <w:noProof/>
        </w:rPr>
        <w:t xml:space="preserve"> ma na celu ochronę, zachowanie</w:t>
      </w:r>
      <w:r w:rsidR="00B10036" w:rsidRPr="00B10036">
        <w:rPr>
          <w:noProof/>
        </w:rPr>
        <w:t xml:space="preserve"> i</w:t>
      </w:r>
      <w:r w:rsidR="00B10036">
        <w:rPr>
          <w:noProof/>
        </w:rPr>
        <w:t> </w:t>
      </w:r>
      <w:r w:rsidR="00B10036" w:rsidRPr="00B10036">
        <w:rPr>
          <w:noProof/>
        </w:rPr>
        <w:t>pop</w:t>
      </w:r>
      <w:r w:rsidR="00F755F1" w:rsidRPr="00B10036">
        <w:rPr>
          <w:noProof/>
        </w:rPr>
        <w:t>rawę kapitału naturalnego Unii oraz ochronę zdrowia</w:t>
      </w:r>
      <w:r w:rsidR="00B10036" w:rsidRPr="00B10036">
        <w:rPr>
          <w:noProof/>
        </w:rPr>
        <w:t xml:space="preserve"> i</w:t>
      </w:r>
      <w:r w:rsidR="00B10036">
        <w:rPr>
          <w:noProof/>
        </w:rPr>
        <w:t> </w:t>
      </w:r>
      <w:r w:rsidR="00B10036" w:rsidRPr="00B10036">
        <w:rPr>
          <w:noProof/>
        </w:rPr>
        <w:t>dob</w:t>
      </w:r>
      <w:r w:rsidR="00F755F1" w:rsidRPr="00B10036">
        <w:rPr>
          <w:noProof/>
        </w:rPr>
        <w:t>rostanu obywateli przed zagrożeniami</w:t>
      </w:r>
      <w:r w:rsidR="00B10036" w:rsidRPr="00B10036">
        <w:rPr>
          <w:noProof/>
        </w:rPr>
        <w:t xml:space="preserve"> i</w:t>
      </w:r>
      <w:r w:rsidR="00B10036">
        <w:rPr>
          <w:noProof/>
        </w:rPr>
        <w:t> </w:t>
      </w:r>
      <w:r w:rsidR="00B10036" w:rsidRPr="00B10036">
        <w:rPr>
          <w:noProof/>
        </w:rPr>
        <w:t>neg</w:t>
      </w:r>
      <w:r w:rsidR="00F755F1" w:rsidRPr="00B10036">
        <w:rPr>
          <w:noProof/>
        </w:rPr>
        <w:t>atywnymi skutkami związanymi ze środowiskiem.</w:t>
      </w:r>
    </w:p>
    <w:p w14:paraId="552A7008" w14:textId="40E1011E" w:rsidR="00BB2B08" w:rsidRPr="00B10036" w:rsidRDefault="004D6F52" w:rsidP="004D6F52">
      <w:pPr>
        <w:pStyle w:val="ManualConsidrant"/>
        <w:rPr>
          <w:noProof/>
        </w:rPr>
      </w:pPr>
      <w:r w:rsidRPr="004D6F52">
        <w:t>(4)</w:t>
      </w:r>
      <w:r w:rsidRPr="004D6F52">
        <w:tab/>
      </w:r>
      <w:r w:rsidR="002A37C4" w:rsidRPr="00B10036">
        <w:rPr>
          <w:noProof/>
        </w:rPr>
        <w:t>Transformacja</w:t>
      </w:r>
      <w:r w:rsidR="00B10036" w:rsidRPr="00B10036">
        <w:rPr>
          <w:noProof/>
        </w:rPr>
        <w:t xml:space="preserve"> w</w:t>
      </w:r>
      <w:r w:rsidR="00B10036">
        <w:rPr>
          <w:noProof/>
        </w:rPr>
        <w:t> </w:t>
      </w:r>
      <w:r w:rsidR="00B10036" w:rsidRPr="00B10036">
        <w:rPr>
          <w:noProof/>
        </w:rPr>
        <w:t>kie</w:t>
      </w:r>
      <w:r w:rsidR="002A37C4" w:rsidRPr="00B10036">
        <w:rPr>
          <w:noProof/>
        </w:rPr>
        <w:t>runku gospodarki</w:t>
      </w:r>
      <w:r w:rsidR="00B10036" w:rsidRPr="00B10036">
        <w:rPr>
          <w:noProof/>
        </w:rPr>
        <w:t xml:space="preserve"> i</w:t>
      </w:r>
      <w:r w:rsidR="00B10036">
        <w:rPr>
          <w:noProof/>
        </w:rPr>
        <w:t> </w:t>
      </w:r>
      <w:r w:rsidR="00B10036" w:rsidRPr="00B10036">
        <w:rPr>
          <w:noProof/>
        </w:rPr>
        <w:t>spo</w:t>
      </w:r>
      <w:r w:rsidR="002A37C4" w:rsidRPr="00B10036">
        <w:rPr>
          <w:noProof/>
        </w:rPr>
        <w:t>łeczeństwa neutralnych dla klimatu wymaga kompleksowych środków</w:t>
      </w:r>
      <w:r w:rsidR="00B10036" w:rsidRPr="00B10036">
        <w:rPr>
          <w:noProof/>
        </w:rPr>
        <w:t xml:space="preserve"> z</w:t>
      </w:r>
      <w:r w:rsidR="00B10036">
        <w:rPr>
          <w:noProof/>
        </w:rPr>
        <w:t> </w:t>
      </w:r>
      <w:r w:rsidR="00B10036" w:rsidRPr="00B10036">
        <w:rPr>
          <w:noProof/>
        </w:rPr>
        <w:t>zak</w:t>
      </w:r>
      <w:r w:rsidR="002A37C4" w:rsidRPr="00B10036">
        <w:rPr>
          <w:noProof/>
        </w:rPr>
        <w:t>resu polityki oraz znacznych inwestycji</w:t>
      </w:r>
      <w:r w:rsidR="00B10036" w:rsidRPr="00B10036">
        <w:rPr>
          <w:noProof/>
        </w:rPr>
        <w:t xml:space="preserve"> w</w:t>
      </w:r>
      <w:r w:rsidR="00B10036">
        <w:rPr>
          <w:noProof/>
        </w:rPr>
        <w:t> </w:t>
      </w:r>
      <w:r w:rsidR="00B10036" w:rsidRPr="00B10036">
        <w:rPr>
          <w:noProof/>
        </w:rPr>
        <w:t>wie</w:t>
      </w:r>
      <w:r w:rsidR="002A37C4" w:rsidRPr="00B10036">
        <w:rPr>
          <w:noProof/>
        </w:rPr>
        <w:t>lu obszarach, takich jak działania</w:t>
      </w:r>
      <w:r w:rsidR="00B10036" w:rsidRPr="00B10036">
        <w:rPr>
          <w:noProof/>
        </w:rPr>
        <w:t xml:space="preserve"> w</w:t>
      </w:r>
      <w:r w:rsidR="00B10036">
        <w:rPr>
          <w:noProof/>
        </w:rPr>
        <w:t> </w:t>
      </w:r>
      <w:r w:rsidR="00B10036" w:rsidRPr="00B10036">
        <w:rPr>
          <w:noProof/>
        </w:rPr>
        <w:t>dzi</w:t>
      </w:r>
      <w:r w:rsidR="002A37C4" w:rsidRPr="00B10036">
        <w:rPr>
          <w:noProof/>
        </w:rPr>
        <w:t>edzinie klimatu, energia, środowisko, przemysł, badania naukowe</w:t>
      </w:r>
      <w:r w:rsidR="00B10036" w:rsidRPr="00B10036">
        <w:rPr>
          <w:noProof/>
        </w:rPr>
        <w:t xml:space="preserve"> i</w:t>
      </w:r>
      <w:r w:rsidR="00B10036">
        <w:rPr>
          <w:noProof/>
        </w:rPr>
        <w:t> </w:t>
      </w:r>
      <w:r w:rsidR="00B10036" w:rsidRPr="00B10036">
        <w:rPr>
          <w:noProof/>
        </w:rPr>
        <w:t>inn</w:t>
      </w:r>
      <w:r w:rsidR="002A37C4" w:rsidRPr="00B10036">
        <w:rPr>
          <w:noProof/>
        </w:rPr>
        <w:t>owacje</w:t>
      </w:r>
      <w:r w:rsidR="002A37C4" w:rsidRPr="00B10036">
        <w:rPr>
          <w:rStyle w:val="FootnoteReference"/>
          <w:noProof/>
        </w:rPr>
        <w:footnoteReference w:id="56"/>
      </w:r>
      <w:r w:rsidR="002A37C4" w:rsidRPr="00B10036">
        <w:rPr>
          <w:noProof/>
        </w:rPr>
        <w:t>. Aby zrealizować wiążący cel na poziomie Unii na</w:t>
      </w:r>
      <w:r w:rsidR="00B10036" w:rsidRPr="00B10036">
        <w:rPr>
          <w:noProof/>
        </w:rPr>
        <w:t> </w:t>
      </w:r>
      <w:r w:rsidR="002A37C4" w:rsidRPr="00B10036">
        <w:rPr>
          <w:noProof/>
        </w:rPr>
        <w:t>2030</w:t>
      </w:r>
      <w:r w:rsidR="00B10036" w:rsidRPr="00B10036">
        <w:rPr>
          <w:noProof/>
        </w:rPr>
        <w:t> </w:t>
      </w:r>
      <w:r w:rsidR="002A37C4" w:rsidRPr="00B10036">
        <w:rPr>
          <w:noProof/>
        </w:rPr>
        <w:t>r.,</w:t>
      </w:r>
      <w:r w:rsidR="00B10036" w:rsidRPr="00B10036">
        <w:rPr>
          <w:noProof/>
        </w:rPr>
        <w:t xml:space="preserve"> w</w:t>
      </w:r>
      <w:r w:rsidR="00B10036">
        <w:rPr>
          <w:noProof/>
        </w:rPr>
        <w:t> </w:t>
      </w:r>
      <w:r w:rsidR="00B10036" w:rsidRPr="00B10036">
        <w:rPr>
          <w:noProof/>
        </w:rPr>
        <w:t>dni</w:t>
      </w:r>
      <w:r w:rsidR="002A37C4" w:rsidRPr="00B10036">
        <w:rPr>
          <w:noProof/>
        </w:rPr>
        <w:t>u 14 lipca 2021</w:t>
      </w:r>
      <w:r w:rsidR="00B10036" w:rsidRPr="00B10036">
        <w:rPr>
          <w:noProof/>
        </w:rPr>
        <w:t> </w:t>
      </w:r>
      <w:r w:rsidR="002A37C4" w:rsidRPr="00B10036">
        <w:rPr>
          <w:noProof/>
        </w:rPr>
        <w:t>r. Komisja przedstawiła pakiet „Gotowi na</w:t>
      </w:r>
      <w:r w:rsidR="00B10036" w:rsidRPr="00B10036">
        <w:rPr>
          <w:noProof/>
        </w:rPr>
        <w:t> </w:t>
      </w:r>
      <w:r w:rsidR="002A37C4" w:rsidRPr="00B10036">
        <w:rPr>
          <w:noProof/>
        </w:rPr>
        <w:t>55”</w:t>
      </w:r>
      <w:r w:rsidR="002A37C4" w:rsidRPr="00B10036">
        <w:rPr>
          <w:rStyle w:val="FootnoteReference"/>
          <w:noProof/>
        </w:rPr>
        <w:footnoteReference w:id="57"/>
      </w:r>
      <w:r w:rsidR="002A37C4" w:rsidRPr="00B10036">
        <w:rPr>
          <w:noProof/>
        </w:rPr>
        <w:t>. Pakiet ten obejmuje wnioski dotyczące aktualizacji odpowiedniego prawodawstwa,</w:t>
      </w:r>
      <w:r w:rsidR="00B10036" w:rsidRPr="00B10036">
        <w:rPr>
          <w:noProof/>
        </w:rPr>
        <w:t xml:space="preserve"> w</w:t>
      </w:r>
      <w:r w:rsidR="00B10036">
        <w:rPr>
          <w:noProof/>
        </w:rPr>
        <w:t> </w:t>
      </w:r>
      <w:r w:rsidR="00B10036" w:rsidRPr="00B10036">
        <w:rPr>
          <w:noProof/>
        </w:rPr>
        <w:t>tym</w:t>
      </w:r>
      <w:r w:rsidR="002A37C4" w:rsidRPr="00B10036">
        <w:rPr>
          <w:noProof/>
        </w:rPr>
        <w:t xml:space="preserve"> unijnego systemu handlu uprawnieniami do emisji (ETS)</w:t>
      </w:r>
      <w:r w:rsidR="002A37C4" w:rsidRPr="00B10036">
        <w:rPr>
          <w:rStyle w:val="FootnoteReference"/>
          <w:noProof/>
        </w:rPr>
        <w:footnoteReference w:id="58"/>
      </w:r>
      <w:r w:rsidR="002A37C4" w:rsidRPr="00B10036">
        <w:rPr>
          <w:noProof/>
        </w:rPr>
        <w:t>, dyrektyw</w:t>
      </w:r>
      <w:r w:rsidR="00B10036" w:rsidRPr="00B10036">
        <w:rPr>
          <w:noProof/>
        </w:rPr>
        <w:t xml:space="preserve"> w</w:t>
      </w:r>
      <w:r w:rsidR="00B10036">
        <w:rPr>
          <w:noProof/>
        </w:rPr>
        <w:t> </w:t>
      </w:r>
      <w:r w:rsidR="00B10036" w:rsidRPr="00B10036">
        <w:rPr>
          <w:noProof/>
        </w:rPr>
        <w:t>spr</w:t>
      </w:r>
      <w:r w:rsidR="002A37C4" w:rsidRPr="00B10036">
        <w:rPr>
          <w:noProof/>
        </w:rPr>
        <w:t>awie opodatkowania energii, efektywności energetycznej</w:t>
      </w:r>
      <w:r w:rsidR="00B10036" w:rsidRPr="00B10036">
        <w:rPr>
          <w:noProof/>
        </w:rPr>
        <w:t xml:space="preserve"> i</w:t>
      </w:r>
      <w:r w:rsidR="00B10036">
        <w:rPr>
          <w:noProof/>
        </w:rPr>
        <w:t> </w:t>
      </w:r>
      <w:r w:rsidR="00B10036" w:rsidRPr="00B10036">
        <w:rPr>
          <w:noProof/>
        </w:rPr>
        <w:t>ene</w:t>
      </w:r>
      <w:r w:rsidR="002A37C4" w:rsidRPr="00B10036">
        <w:rPr>
          <w:noProof/>
        </w:rPr>
        <w:t>rgii odnawialnej, rozporządzenia</w:t>
      </w:r>
      <w:r w:rsidR="00B10036" w:rsidRPr="00B10036">
        <w:rPr>
          <w:noProof/>
        </w:rPr>
        <w:t xml:space="preserve"> w</w:t>
      </w:r>
      <w:r w:rsidR="00B10036">
        <w:rPr>
          <w:noProof/>
        </w:rPr>
        <w:t> </w:t>
      </w:r>
      <w:r w:rsidR="00B10036" w:rsidRPr="00B10036">
        <w:rPr>
          <w:noProof/>
        </w:rPr>
        <w:t>spr</w:t>
      </w:r>
      <w:r w:rsidR="002A37C4" w:rsidRPr="00B10036">
        <w:rPr>
          <w:noProof/>
        </w:rPr>
        <w:t>awie norm emisji CO</w:t>
      </w:r>
      <w:r w:rsidR="002A37C4" w:rsidRPr="00B10036">
        <w:rPr>
          <w:noProof/>
          <w:vertAlign w:val="subscript"/>
        </w:rPr>
        <w:t>2</w:t>
      </w:r>
      <w:r w:rsidR="002A37C4" w:rsidRPr="00B10036">
        <w:rPr>
          <w:noProof/>
        </w:rPr>
        <w:t xml:space="preserve"> dla samochodów osobowych</w:t>
      </w:r>
      <w:r w:rsidR="00B10036" w:rsidRPr="00B10036">
        <w:rPr>
          <w:noProof/>
        </w:rPr>
        <w:t xml:space="preserve"> i</w:t>
      </w:r>
      <w:r w:rsidR="00B10036">
        <w:rPr>
          <w:noProof/>
        </w:rPr>
        <w:t> </w:t>
      </w:r>
      <w:r w:rsidR="00B10036" w:rsidRPr="00B10036">
        <w:rPr>
          <w:noProof/>
        </w:rPr>
        <w:t>dos</w:t>
      </w:r>
      <w:r w:rsidR="002A37C4" w:rsidRPr="00B10036">
        <w:rPr>
          <w:noProof/>
        </w:rPr>
        <w:t>tawczych, rozporządzenia</w:t>
      </w:r>
      <w:r w:rsidR="00B10036" w:rsidRPr="00B10036">
        <w:rPr>
          <w:noProof/>
        </w:rPr>
        <w:t xml:space="preserve"> w</w:t>
      </w:r>
      <w:r w:rsidR="00B10036">
        <w:rPr>
          <w:noProof/>
        </w:rPr>
        <w:t> </w:t>
      </w:r>
      <w:r w:rsidR="00B10036" w:rsidRPr="00B10036">
        <w:rPr>
          <w:noProof/>
        </w:rPr>
        <w:t>spr</w:t>
      </w:r>
      <w:r w:rsidR="002A37C4" w:rsidRPr="00B10036">
        <w:rPr>
          <w:noProof/>
        </w:rPr>
        <w:t>awie włączenia emisji</w:t>
      </w:r>
      <w:r w:rsidR="00B10036" w:rsidRPr="00B10036">
        <w:rPr>
          <w:noProof/>
        </w:rPr>
        <w:t xml:space="preserve"> i</w:t>
      </w:r>
      <w:r w:rsidR="00B10036">
        <w:rPr>
          <w:noProof/>
        </w:rPr>
        <w:t> </w:t>
      </w:r>
      <w:r w:rsidR="00B10036" w:rsidRPr="00B10036">
        <w:rPr>
          <w:noProof/>
        </w:rPr>
        <w:t>poc</w:t>
      </w:r>
      <w:r w:rsidR="002A37C4" w:rsidRPr="00B10036">
        <w:rPr>
          <w:noProof/>
        </w:rPr>
        <w:t>hłaniania gazów cieplarnianych pochodzących</w:t>
      </w:r>
      <w:r w:rsidR="00B10036" w:rsidRPr="00B10036">
        <w:rPr>
          <w:noProof/>
        </w:rPr>
        <w:t xml:space="preserve"> z</w:t>
      </w:r>
      <w:r w:rsidR="00B10036">
        <w:rPr>
          <w:noProof/>
        </w:rPr>
        <w:t> </w:t>
      </w:r>
      <w:r w:rsidR="00B10036" w:rsidRPr="00B10036">
        <w:rPr>
          <w:noProof/>
        </w:rPr>
        <w:t>dzi</w:t>
      </w:r>
      <w:r w:rsidR="002A37C4" w:rsidRPr="00B10036">
        <w:rPr>
          <w:noProof/>
        </w:rPr>
        <w:t>ałalności związanej</w:t>
      </w:r>
      <w:r w:rsidR="00B10036" w:rsidRPr="00B10036">
        <w:rPr>
          <w:noProof/>
        </w:rPr>
        <w:t xml:space="preserve"> z</w:t>
      </w:r>
      <w:r w:rsidR="00B10036">
        <w:rPr>
          <w:noProof/>
        </w:rPr>
        <w:t> </w:t>
      </w:r>
      <w:r w:rsidR="00B10036" w:rsidRPr="00B10036">
        <w:rPr>
          <w:noProof/>
        </w:rPr>
        <w:t>uży</w:t>
      </w:r>
      <w:r w:rsidR="002A37C4" w:rsidRPr="00B10036">
        <w:rPr>
          <w:noProof/>
        </w:rPr>
        <w:t>tkowaniem gruntów, zmianą użytkowania gruntów</w:t>
      </w:r>
      <w:r w:rsidR="00B10036" w:rsidRPr="00B10036">
        <w:rPr>
          <w:noProof/>
        </w:rPr>
        <w:t xml:space="preserve"> i</w:t>
      </w:r>
      <w:r w:rsidR="00B10036">
        <w:rPr>
          <w:noProof/>
        </w:rPr>
        <w:t> </w:t>
      </w:r>
      <w:r w:rsidR="00B10036" w:rsidRPr="00B10036">
        <w:rPr>
          <w:noProof/>
        </w:rPr>
        <w:t>leś</w:t>
      </w:r>
      <w:r w:rsidR="002A37C4" w:rsidRPr="00B10036">
        <w:rPr>
          <w:noProof/>
        </w:rPr>
        <w:t>nictwem, dyrektywy</w:t>
      </w:r>
      <w:r w:rsidR="00B10036" w:rsidRPr="00B10036">
        <w:rPr>
          <w:noProof/>
        </w:rPr>
        <w:t xml:space="preserve"> w</w:t>
      </w:r>
      <w:r w:rsidR="00B10036">
        <w:rPr>
          <w:noProof/>
        </w:rPr>
        <w:t> </w:t>
      </w:r>
      <w:r w:rsidR="00B10036" w:rsidRPr="00B10036">
        <w:rPr>
          <w:noProof/>
        </w:rPr>
        <w:t>spr</w:t>
      </w:r>
      <w:r w:rsidR="002A37C4" w:rsidRPr="00B10036">
        <w:rPr>
          <w:noProof/>
        </w:rPr>
        <w:t>awie infrastruktury paliw alternatywnych oraz rozporządzenia</w:t>
      </w:r>
      <w:r w:rsidR="00B10036" w:rsidRPr="00B10036">
        <w:rPr>
          <w:noProof/>
        </w:rPr>
        <w:t xml:space="preserve"> w</w:t>
      </w:r>
      <w:r w:rsidR="00B10036">
        <w:rPr>
          <w:noProof/>
        </w:rPr>
        <w:t> </w:t>
      </w:r>
      <w:r w:rsidR="00B10036" w:rsidRPr="00B10036">
        <w:rPr>
          <w:noProof/>
        </w:rPr>
        <w:t>spr</w:t>
      </w:r>
      <w:r w:rsidR="002A37C4" w:rsidRPr="00B10036">
        <w:rPr>
          <w:noProof/>
        </w:rPr>
        <w:t>awie wspólnego wysiłku redukcyjnego</w:t>
      </w:r>
      <w:r w:rsidR="00B10036" w:rsidRPr="00B10036">
        <w:rPr>
          <w:noProof/>
        </w:rPr>
        <w:t xml:space="preserve"> w</w:t>
      </w:r>
      <w:r w:rsidR="00B10036">
        <w:rPr>
          <w:noProof/>
        </w:rPr>
        <w:t> </w:t>
      </w:r>
      <w:r w:rsidR="00B10036" w:rsidRPr="00B10036">
        <w:rPr>
          <w:noProof/>
        </w:rPr>
        <w:t>odn</w:t>
      </w:r>
      <w:r w:rsidR="002A37C4" w:rsidRPr="00B10036">
        <w:rPr>
          <w:noProof/>
        </w:rPr>
        <w:t>iesieniu do sektorów nieobjętych obecnym ETS,</w:t>
      </w:r>
      <w:r w:rsidR="00B10036" w:rsidRPr="00B10036">
        <w:rPr>
          <w:noProof/>
        </w:rPr>
        <w:t xml:space="preserve"> a</w:t>
      </w:r>
      <w:r w:rsidR="00B10036">
        <w:rPr>
          <w:noProof/>
        </w:rPr>
        <w:t> </w:t>
      </w:r>
      <w:r w:rsidR="00B10036" w:rsidRPr="00B10036">
        <w:rPr>
          <w:noProof/>
        </w:rPr>
        <w:t>mia</w:t>
      </w:r>
      <w:r w:rsidR="002A37C4" w:rsidRPr="00B10036">
        <w:rPr>
          <w:noProof/>
        </w:rPr>
        <w:t>nowicie sektora transportu</w:t>
      </w:r>
      <w:r w:rsidR="00B10036" w:rsidRPr="00B10036">
        <w:rPr>
          <w:noProof/>
        </w:rPr>
        <w:t xml:space="preserve"> i</w:t>
      </w:r>
      <w:r w:rsidR="00B10036">
        <w:rPr>
          <w:noProof/>
        </w:rPr>
        <w:t> </w:t>
      </w:r>
      <w:r w:rsidR="00B10036" w:rsidRPr="00B10036">
        <w:rPr>
          <w:noProof/>
        </w:rPr>
        <w:t>sek</w:t>
      </w:r>
      <w:r w:rsidR="002A37C4" w:rsidRPr="00B10036">
        <w:rPr>
          <w:noProof/>
        </w:rPr>
        <w:t>tora budowlanego. Zawiera on również nowe wnioski ustawodawcze,</w:t>
      </w:r>
      <w:r w:rsidR="00B10036" w:rsidRPr="00B10036">
        <w:rPr>
          <w:noProof/>
        </w:rPr>
        <w:t xml:space="preserve"> w</w:t>
      </w:r>
      <w:r w:rsidR="00B10036">
        <w:rPr>
          <w:noProof/>
        </w:rPr>
        <w:t> </w:t>
      </w:r>
      <w:r w:rsidR="00B10036" w:rsidRPr="00B10036">
        <w:rPr>
          <w:noProof/>
        </w:rPr>
        <w:t>szc</w:t>
      </w:r>
      <w:r w:rsidR="002A37C4" w:rsidRPr="00B10036">
        <w:rPr>
          <w:noProof/>
        </w:rPr>
        <w:t>zególności dotyczące wspierania stosowania czystszych paliw</w:t>
      </w:r>
      <w:r w:rsidR="00B10036" w:rsidRPr="00B10036">
        <w:rPr>
          <w:noProof/>
        </w:rPr>
        <w:t xml:space="preserve"> w</w:t>
      </w:r>
      <w:r w:rsidR="00B10036">
        <w:rPr>
          <w:noProof/>
        </w:rPr>
        <w:t> </w:t>
      </w:r>
      <w:r w:rsidR="00B10036" w:rsidRPr="00B10036">
        <w:rPr>
          <w:noProof/>
        </w:rPr>
        <w:t>sek</w:t>
      </w:r>
      <w:r w:rsidR="002A37C4" w:rsidRPr="00B10036">
        <w:rPr>
          <w:noProof/>
        </w:rPr>
        <w:t>torze lotnictwa</w:t>
      </w:r>
      <w:r w:rsidR="00B10036" w:rsidRPr="00B10036">
        <w:rPr>
          <w:noProof/>
        </w:rPr>
        <w:t xml:space="preserve"> i</w:t>
      </w:r>
      <w:r w:rsidR="00B10036">
        <w:rPr>
          <w:noProof/>
        </w:rPr>
        <w:t> </w:t>
      </w:r>
      <w:r w:rsidR="00B10036" w:rsidRPr="00B10036">
        <w:rPr>
          <w:noProof/>
        </w:rPr>
        <w:t>tra</w:t>
      </w:r>
      <w:r w:rsidR="002A37C4" w:rsidRPr="00B10036">
        <w:rPr>
          <w:noProof/>
        </w:rPr>
        <w:t>nsportu morskiego,</w:t>
      </w:r>
      <w:r w:rsidR="00B10036" w:rsidRPr="00B10036">
        <w:rPr>
          <w:noProof/>
        </w:rPr>
        <w:t xml:space="preserve"> a</w:t>
      </w:r>
      <w:r w:rsidR="00B10036">
        <w:rPr>
          <w:noProof/>
        </w:rPr>
        <w:t> </w:t>
      </w:r>
      <w:r w:rsidR="00B10036" w:rsidRPr="00B10036">
        <w:rPr>
          <w:noProof/>
        </w:rPr>
        <w:t>tak</w:t>
      </w:r>
      <w:r w:rsidR="002A37C4" w:rsidRPr="00B10036">
        <w:rPr>
          <w:noProof/>
        </w:rPr>
        <w:t>że wprowadzenia mechanizmu dostosowywania cen na granicach</w:t>
      </w:r>
      <w:r w:rsidR="00B10036" w:rsidRPr="00B10036">
        <w:rPr>
          <w:noProof/>
        </w:rPr>
        <w:t xml:space="preserve"> z</w:t>
      </w:r>
      <w:r w:rsidR="00B10036">
        <w:rPr>
          <w:noProof/>
        </w:rPr>
        <w:t> </w:t>
      </w:r>
      <w:r w:rsidR="00B10036" w:rsidRPr="00B10036">
        <w:rPr>
          <w:noProof/>
        </w:rPr>
        <w:t>uwz</w:t>
      </w:r>
      <w:r w:rsidR="002A37C4" w:rsidRPr="00B10036">
        <w:rPr>
          <w:noProof/>
        </w:rPr>
        <w:t>ględnieniem emisji CO</w:t>
      </w:r>
      <w:r w:rsidR="002A37C4" w:rsidRPr="00B10036">
        <w:rPr>
          <w:noProof/>
          <w:vertAlign w:val="subscript"/>
        </w:rPr>
        <w:t>2</w:t>
      </w:r>
      <w:r w:rsidR="00B10036" w:rsidRPr="00B10036">
        <w:rPr>
          <w:noProof/>
        </w:rPr>
        <w:t xml:space="preserve"> i</w:t>
      </w:r>
      <w:r w:rsidR="00B10036">
        <w:rPr>
          <w:noProof/>
        </w:rPr>
        <w:t> </w:t>
      </w:r>
      <w:r w:rsidR="00B10036" w:rsidRPr="00B10036">
        <w:rPr>
          <w:noProof/>
        </w:rPr>
        <w:t>ust</w:t>
      </w:r>
      <w:r w:rsidR="002A37C4" w:rsidRPr="00B10036">
        <w:rPr>
          <w:noProof/>
        </w:rPr>
        <w:t>anowienia Społecznego Funduszu Klimatycznego, co jest bezpośrednio związane</w:t>
      </w:r>
      <w:r w:rsidR="00B10036" w:rsidRPr="00B10036">
        <w:rPr>
          <w:noProof/>
        </w:rPr>
        <w:t xml:space="preserve"> z</w:t>
      </w:r>
      <w:r w:rsidR="00B10036">
        <w:rPr>
          <w:noProof/>
        </w:rPr>
        <w:t> </w:t>
      </w:r>
      <w:r w:rsidR="00B10036" w:rsidRPr="00B10036">
        <w:rPr>
          <w:noProof/>
        </w:rPr>
        <w:t>pro</w:t>
      </w:r>
      <w:r w:rsidR="002A37C4" w:rsidRPr="00B10036">
        <w:rPr>
          <w:noProof/>
        </w:rPr>
        <w:t>ponowanym wprowadzeniem systemu handlu uprawnieniami do emisji</w:t>
      </w:r>
      <w:r w:rsidR="00B10036" w:rsidRPr="00B10036">
        <w:rPr>
          <w:noProof/>
        </w:rPr>
        <w:t xml:space="preserve"> w</w:t>
      </w:r>
      <w:r w:rsidR="00B10036">
        <w:rPr>
          <w:noProof/>
        </w:rPr>
        <w:t> </w:t>
      </w:r>
      <w:r w:rsidR="00B10036" w:rsidRPr="00B10036">
        <w:rPr>
          <w:noProof/>
        </w:rPr>
        <w:t>odn</w:t>
      </w:r>
      <w:r w:rsidR="002A37C4" w:rsidRPr="00B10036">
        <w:rPr>
          <w:noProof/>
        </w:rPr>
        <w:t>iesieniu do paliw stosowanych</w:t>
      </w:r>
      <w:r w:rsidR="00B10036" w:rsidRPr="00B10036">
        <w:rPr>
          <w:noProof/>
        </w:rPr>
        <w:t xml:space="preserve"> w</w:t>
      </w:r>
      <w:r w:rsidR="00B10036">
        <w:rPr>
          <w:noProof/>
        </w:rPr>
        <w:t> </w:t>
      </w:r>
      <w:r w:rsidR="00B10036" w:rsidRPr="00B10036">
        <w:rPr>
          <w:noProof/>
        </w:rPr>
        <w:t>bud</w:t>
      </w:r>
      <w:r w:rsidR="002A37C4" w:rsidRPr="00B10036">
        <w:rPr>
          <w:noProof/>
        </w:rPr>
        <w:t>ynkach</w:t>
      </w:r>
      <w:r w:rsidR="00B10036" w:rsidRPr="00B10036">
        <w:rPr>
          <w:noProof/>
        </w:rPr>
        <w:t xml:space="preserve"> i</w:t>
      </w:r>
      <w:r w:rsidR="00B10036">
        <w:rPr>
          <w:noProof/>
        </w:rPr>
        <w:t> </w:t>
      </w:r>
      <w:r w:rsidR="00B10036" w:rsidRPr="00B10036">
        <w:rPr>
          <w:noProof/>
        </w:rPr>
        <w:t>tra</w:t>
      </w:r>
      <w:r w:rsidR="002A37C4" w:rsidRPr="00B10036">
        <w:rPr>
          <w:noProof/>
        </w:rPr>
        <w:t>nsporcie drogowym. Pakiet „Gotowi na</w:t>
      </w:r>
      <w:r w:rsidR="00B10036" w:rsidRPr="00B10036">
        <w:rPr>
          <w:noProof/>
        </w:rPr>
        <w:t> </w:t>
      </w:r>
      <w:r w:rsidR="002A37C4" w:rsidRPr="00B10036">
        <w:rPr>
          <w:noProof/>
        </w:rPr>
        <w:t>55”,</w:t>
      </w:r>
      <w:r w:rsidR="00B10036" w:rsidRPr="00B10036">
        <w:rPr>
          <w:noProof/>
        </w:rPr>
        <w:t xml:space="preserve"> w</w:t>
      </w:r>
      <w:r w:rsidR="00B10036">
        <w:rPr>
          <w:noProof/>
        </w:rPr>
        <w:t> </w:t>
      </w:r>
      <w:r w:rsidR="00B10036" w:rsidRPr="00B10036">
        <w:rPr>
          <w:noProof/>
        </w:rPr>
        <w:t>poł</w:t>
      </w:r>
      <w:r w:rsidR="002A37C4" w:rsidRPr="00B10036">
        <w:rPr>
          <w:noProof/>
        </w:rPr>
        <w:t>ączeniu ze środkami wdrażanymi na szczeblu UE</w:t>
      </w:r>
      <w:r w:rsidR="00B10036" w:rsidRPr="00B10036">
        <w:rPr>
          <w:noProof/>
        </w:rPr>
        <w:t xml:space="preserve"> w</w:t>
      </w:r>
      <w:r w:rsidR="00B10036">
        <w:rPr>
          <w:noProof/>
        </w:rPr>
        <w:t> </w:t>
      </w:r>
      <w:r w:rsidR="00B10036" w:rsidRPr="00B10036">
        <w:rPr>
          <w:noProof/>
        </w:rPr>
        <w:t>cel</w:t>
      </w:r>
      <w:r w:rsidR="002A37C4" w:rsidRPr="00B10036">
        <w:rPr>
          <w:noProof/>
        </w:rPr>
        <w:t>u wspierania niezbędnych inwestycji publicznych</w:t>
      </w:r>
      <w:r w:rsidR="00B10036" w:rsidRPr="00B10036">
        <w:rPr>
          <w:noProof/>
        </w:rPr>
        <w:t xml:space="preserve"> i</w:t>
      </w:r>
      <w:r w:rsidR="00B10036">
        <w:rPr>
          <w:noProof/>
        </w:rPr>
        <w:t> </w:t>
      </w:r>
      <w:r w:rsidR="00B10036" w:rsidRPr="00B10036">
        <w:rPr>
          <w:noProof/>
        </w:rPr>
        <w:t>pry</w:t>
      </w:r>
      <w:r w:rsidR="002A37C4" w:rsidRPr="00B10036">
        <w:rPr>
          <w:noProof/>
        </w:rPr>
        <w:t>watnych oraz zachęcania do nich, umożliwi wspieranie</w:t>
      </w:r>
      <w:r w:rsidR="00B10036" w:rsidRPr="00B10036">
        <w:rPr>
          <w:noProof/>
        </w:rPr>
        <w:t xml:space="preserve"> i</w:t>
      </w:r>
      <w:r w:rsidR="00B10036">
        <w:rPr>
          <w:noProof/>
        </w:rPr>
        <w:t> </w:t>
      </w:r>
      <w:r w:rsidR="00B10036" w:rsidRPr="00B10036">
        <w:rPr>
          <w:noProof/>
        </w:rPr>
        <w:t>prz</w:t>
      </w:r>
      <w:r w:rsidR="002A37C4" w:rsidRPr="00B10036">
        <w:rPr>
          <w:noProof/>
        </w:rPr>
        <w:t>yspieszanie rozwoju nowych rynków, na przykład czystych paliw</w:t>
      </w:r>
      <w:r w:rsidR="00B10036" w:rsidRPr="00B10036">
        <w:rPr>
          <w:noProof/>
        </w:rPr>
        <w:t xml:space="preserve"> i</w:t>
      </w:r>
      <w:r w:rsidR="00B10036">
        <w:rPr>
          <w:noProof/>
        </w:rPr>
        <w:t> </w:t>
      </w:r>
      <w:r w:rsidR="00B10036" w:rsidRPr="00B10036">
        <w:rPr>
          <w:noProof/>
        </w:rPr>
        <w:t>poj</w:t>
      </w:r>
      <w:r w:rsidR="002A37C4" w:rsidRPr="00B10036">
        <w:rPr>
          <w:noProof/>
        </w:rPr>
        <w:t>azdów niskoemisyjnych, tym samym prowadząc do obniżenia kosztów zrównoważonej transformacji zarówno dla przedsiębiorstw, jak</w:t>
      </w:r>
      <w:r w:rsidR="00B10036" w:rsidRPr="00B10036">
        <w:rPr>
          <w:noProof/>
        </w:rPr>
        <w:t xml:space="preserve"> i</w:t>
      </w:r>
      <w:r w:rsidR="00B10036">
        <w:rPr>
          <w:noProof/>
        </w:rPr>
        <w:t> </w:t>
      </w:r>
      <w:r w:rsidR="00B10036" w:rsidRPr="00B10036">
        <w:rPr>
          <w:noProof/>
        </w:rPr>
        <w:t>dla</w:t>
      </w:r>
      <w:r w:rsidR="002A37C4" w:rsidRPr="00B10036">
        <w:rPr>
          <w:noProof/>
        </w:rPr>
        <w:t xml:space="preserve"> obywateli.</w:t>
      </w:r>
    </w:p>
    <w:p w14:paraId="66874643" w14:textId="77F659D4" w:rsidR="009B54D8" w:rsidRPr="00B10036" w:rsidRDefault="004D6F52" w:rsidP="004D6F52">
      <w:pPr>
        <w:pStyle w:val="ManualConsidrant"/>
        <w:rPr>
          <w:noProof/>
        </w:rPr>
      </w:pPr>
      <w:r w:rsidRPr="004D6F52">
        <w:t>(5)</w:t>
      </w:r>
      <w:r w:rsidRPr="004D6F52">
        <w:tab/>
      </w:r>
      <w:r w:rsidR="00E63BC2" w:rsidRPr="00B10036">
        <w:rPr>
          <w:noProof/>
        </w:rPr>
        <w:t>W Programie strategicznym Rady Europejskiej na lata 2019–2024 państwa członkowskie zobowiązały się do zapewnienia sprawiedliwej transformacji</w:t>
      </w:r>
      <w:r w:rsidR="00B10036" w:rsidRPr="00B10036">
        <w:rPr>
          <w:noProof/>
        </w:rPr>
        <w:t xml:space="preserve"> w</w:t>
      </w:r>
      <w:r w:rsidR="00B10036">
        <w:rPr>
          <w:noProof/>
        </w:rPr>
        <w:t> </w:t>
      </w:r>
      <w:r w:rsidR="00B10036" w:rsidRPr="00B10036">
        <w:rPr>
          <w:noProof/>
        </w:rPr>
        <w:t>kie</w:t>
      </w:r>
      <w:r w:rsidR="00E63BC2" w:rsidRPr="00B10036">
        <w:rPr>
          <w:noProof/>
        </w:rPr>
        <w:t>runku neutralności klimatycznej, która będzie sprzyjać włączeniu społecznemu</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ram</w:t>
      </w:r>
      <w:r w:rsidR="00E63BC2" w:rsidRPr="00B10036">
        <w:rPr>
          <w:noProof/>
        </w:rPr>
        <w:t>ach której nikt nie zostanie pozostawiony</w:t>
      </w:r>
      <w:r w:rsidR="00B10036" w:rsidRPr="00B10036">
        <w:rPr>
          <w:noProof/>
        </w:rPr>
        <w:t xml:space="preserve"> w</w:t>
      </w:r>
      <w:r w:rsidR="00B10036">
        <w:rPr>
          <w:noProof/>
        </w:rPr>
        <w:t> </w:t>
      </w:r>
      <w:r w:rsidR="00B10036" w:rsidRPr="00B10036">
        <w:rPr>
          <w:noProof/>
        </w:rPr>
        <w:t>tyl</w:t>
      </w:r>
      <w:r w:rsidR="00E63BC2" w:rsidRPr="00B10036">
        <w:rPr>
          <w:noProof/>
        </w:rPr>
        <w:t>e. Na poziomie międzynarodowym państwa członkowskie poparły cele zrównoważonego rozwoju ONZ</w:t>
      </w:r>
      <w:r w:rsidR="00B10036" w:rsidRPr="00B10036">
        <w:rPr>
          <w:noProof/>
        </w:rPr>
        <w:t xml:space="preserve"> i</w:t>
      </w:r>
      <w:r w:rsidR="00B10036">
        <w:rPr>
          <w:noProof/>
        </w:rPr>
        <w:t> </w:t>
      </w:r>
      <w:r w:rsidR="00B10036" w:rsidRPr="00B10036">
        <w:rPr>
          <w:noProof/>
        </w:rPr>
        <w:t>rat</w:t>
      </w:r>
      <w:r w:rsidR="00E63BC2" w:rsidRPr="00B10036">
        <w:rPr>
          <w:noProof/>
        </w:rPr>
        <w:t>yfikowały porozumienie paryskie,</w:t>
      </w:r>
      <w:r w:rsidR="00B10036" w:rsidRPr="00B10036">
        <w:rPr>
          <w:noProof/>
        </w:rPr>
        <w:t xml:space="preserve"> w</w:t>
      </w:r>
      <w:r w:rsidR="00B10036">
        <w:rPr>
          <w:noProof/>
        </w:rPr>
        <w:t> </w:t>
      </w:r>
      <w:r w:rsidR="00B10036" w:rsidRPr="00B10036">
        <w:rPr>
          <w:noProof/>
        </w:rPr>
        <w:t>któ</w:t>
      </w:r>
      <w:r w:rsidR="00E63BC2" w:rsidRPr="00B10036">
        <w:rPr>
          <w:noProof/>
        </w:rPr>
        <w:t>rym odniesiono się do konieczności sprawiedliwej transformacji pracowników oraz promowania godnej pracy</w:t>
      </w:r>
      <w:r w:rsidR="00B10036" w:rsidRPr="00B10036">
        <w:rPr>
          <w:noProof/>
        </w:rPr>
        <w:t xml:space="preserve"> i</w:t>
      </w:r>
      <w:r w:rsidR="00B10036">
        <w:rPr>
          <w:noProof/>
        </w:rPr>
        <w:t> </w:t>
      </w:r>
      <w:r w:rsidR="00B10036" w:rsidRPr="00B10036">
        <w:rPr>
          <w:noProof/>
        </w:rPr>
        <w:t>wys</w:t>
      </w:r>
      <w:r w:rsidR="00E63BC2" w:rsidRPr="00B10036">
        <w:rPr>
          <w:noProof/>
        </w:rPr>
        <w:t>okiej jakości miejsc pracy. Wytyczne MOP zapewniają ustanowione na poziomie międzynarodowym ramy polityczne sprawiedliwej transformacji</w:t>
      </w:r>
      <w:r w:rsidR="00B10036" w:rsidRPr="00B10036">
        <w:rPr>
          <w:noProof/>
        </w:rPr>
        <w:t xml:space="preserve"> w</w:t>
      </w:r>
      <w:r w:rsidR="00B10036">
        <w:rPr>
          <w:noProof/>
        </w:rPr>
        <w:t> </w:t>
      </w:r>
      <w:r w:rsidR="00B10036" w:rsidRPr="00B10036">
        <w:rPr>
          <w:noProof/>
        </w:rPr>
        <w:t>kie</w:t>
      </w:r>
      <w:r w:rsidR="00E63BC2" w:rsidRPr="00B10036">
        <w:rPr>
          <w:noProof/>
        </w:rPr>
        <w:t>runku zrównoważonych środowiskowo gospodarek</w:t>
      </w:r>
      <w:r w:rsidR="00B10036" w:rsidRPr="00B10036">
        <w:rPr>
          <w:noProof/>
        </w:rPr>
        <w:t xml:space="preserve"> i</w:t>
      </w:r>
      <w:r w:rsidR="00B10036">
        <w:rPr>
          <w:noProof/>
        </w:rPr>
        <w:t> </w:t>
      </w:r>
      <w:r w:rsidR="00B10036" w:rsidRPr="00B10036">
        <w:rPr>
          <w:noProof/>
        </w:rPr>
        <w:t>spo</w:t>
      </w:r>
      <w:r w:rsidR="00E63BC2" w:rsidRPr="00B10036">
        <w:rPr>
          <w:noProof/>
        </w:rPr>
        <w:t>łeczeństw dla wszystkich</w:t>
      </w:r>
      <w:r w:rsidR="00E63BC2" w:rsidRPr="00B10036">
        <w:rPr>
          <w:rStyle w:val="FootnoteReference"/>
          <w:noProof/>
        </w:rPr>
        <w:footnoteReference w:id="59"/>
      </w:r>
      <w:r w:rsidR="00E63BC2" w:rsidRPr="00B10036">
        <w:rPr>
          <w:noProof/>
        </w:rPr>
        <w:t>. Ponadto 54 sygnatariuszy (państwa</w:t>
      </w:r>
      <w:r w:rsidR="00B10036" w:rsidRPr="00B10036">
        <w:rPr>
          <w:noProof/>
        </w:rPr>
        <w:t xml:space="preserve"> i</w:t>
      </w:r>
      <w:r w:rsidR="00B10036">
        <w:rPr>
          <w:noProof/>
        </w:rPr>
        <w:t> </w:t>
      </w:r>
      <w:r w:rsidR="00B10036" w:rsidRPr="00B10036">
        <w:rPr>
          <w:noProof/>
        </w:rPr>
        <w:t>par</w:t>
      </w:r>
      <w:r w:rsidR="00E63BC2" w:rsidRPr="00B10036">
        <w:rPr>
          <w:noProof/>
        </w:rPr>
        <w:t>tnerzy społeczni) poparło Śląską Deklarację na rzecz Solidarności</w:t>
      </w:r>
      <w:r w:rsidR="00B10036" w:rsidRPr="00B10036">
        <w:rPr>
          <w:noProof/>
        </w:rPr>
        <w:t xml:space="preserve"> i</w:t>
      </w:r>
      <w:r w:rsidR="00B10036">
        <w:rPr>
          <w:noProof/>
        </w:rPr>
        <w:t> </w:t>
      </w:r>
      <w:r w:rsidR="00B10036" w:rsidRPr="00B10036">
        <w:rPr>
          <w:noProof/>
        </w:rPr>
        <w:t>Spr</w:t>
      </w:r>
      <w:r w:rsidR="00E63BC2" w:rsidRPr="00B10036">
        <w:rPr>
          <w:noProof/>
        </w:rPr>
        <w:t>awiedliwej Transformacji</w:t>
      </w:r>
      <w:r w:rsidR="00B10036" w:rsidRPr="00B10036">
        <w:rPr>
          <w:noProof/>
        </w:rPr>
        <w:t xml:space="preserve"> z</w:t>
      </w:r>
      <w:r w:rsidR="00B10036">
        <w:rPr>
          <w:noProof/>
        </w:rPr>
        <w:t> </w:t>
      </w:r>
      <w:r w:rsidR="00B10036" w:rsidRPr="00B10036">
        <w:rPr>
          <w:noProof/>
        </w:rPr>
        <w:t>2</w:t>
      </w:r>
      <w:r w:rsidR="00E63BC2" w:rsidRPr="00B10036">
        <w:rPr>
          <w:noProof/>
        </w:rPr>
        <w:t>018</w:t>
      </w:r>
      <w:r w:rsidR="00B10036" w:rsidRPr="00B10036">
        <w:rPr>
          <w:noProof/>
        </w:rPr>
        <w:t> </w:t>
      </w:r>
      <w:r w:rsidR="00E63BC2" w:rsidRPr="00B10036">
        <w:rPr>
          <w:noProof/>
        </w:rPr>
        <w:t>r., przyjętą podczas COP 24</w:t>
      </w:r>
      <w:r w:rsidR="00B10036" w:rsidRPr="00B10036">
        <w:rPr>
          <w:noProof/>
        </w:rPr>
        <w:t xml:space="preserve"> w</w:t>
      </w:r>
      <w:r w:rsidR="00B10036">
        <w:rPr>
          <w:noProof/>
        </w:rPr>
        <w:t> </w:t>
      </w:r>
      <w:r w:rsidR="00B10036" w:rsidRPr="00B10036">
        <w:rPr>
          <w:noProof/>
        </w:rPr>
        <w:t>Kat</w:t>
      </w:r>
      <w:r w:rsidR="00E63BC2" w:rsidRPr="00B10036">
        <w:rPr>
          <w:noProof/>
        </w:rPr>
        <w:t>owicach,</w:t>
      </w:r>
      <w:r w:rsidR="00B10036" w:rsidRPr="00B10036">
        <w:rPr>
          <w:noProof/>
        </w:rPr>
        <w:t xml:space="preserve"> w</w:t>
      </w:r>
      <w:r w:rsidR="00B10036">
        <w:rPr>
          <w:noProof/>
        </w:rPr>
        <w:t> </w:t>
      </w:r>
      <w:r w:rsidR="00B10036" w:rsidRPr="00B10036">
        <w:rPr>
          <w:noProof/>
        </w:rPr>
        <w:t>tym</w:t>
      </w:r>
      <w:r w:rsidR="00E63BC2" w:rsidRPr="00B10036">
        <w:rPr>
          <w:noProof/>
        </w:rPr>
        <w:t xml:space="preserve"> Komisja Europejska</w:t>
      </w:r>
      <w:r w:rsidR="00B10036" w:rsidRPr="00B10036">
        <w:rPr>
          <w:noProof/>
        </w:rPr>
        <w:t xml:space="preserve"> w</w:t>
      </w:r>
      <w:r w:rsidR="00B10036">
        <w:rPr>
          <w:noProof/>
        </w:rPr>
        <w:t> </w:t>
      </w:r>
      <w:r w:rsidR="00B10036" w:rsidRPr="00B10036">
        <w:rPr>
          <w:noProof/>
        </w:rPr>
        <w:t>imi</w:t>
      </w:r>
      <w:r w:rsidR="00E63BC2" w:rsidRPr="00B10036">
        <w:rPr>
          <w:noProof/>
        </w:rPr>
        <w:t>eniu Unii Europejskiej</w:t>
      </w:r>
      <w:r w:rsidR="00E63BC2" w:rsidRPr="00B10036">
        <w:rPr>
          <w:rStyle w:val="FootnoteReference"/>
          <w:noProof/>
        </w:rPr>
        <w:footnoteReference w:id="60"/>
      </w:r>
      <w:r w:rsidR="00B10036" w:rsidRPr="00B10036">
        <w:rPr>
          <w:noProof/>
        </w:rPr>
        <w:t xml:space="preserve"> i</w:t>
      </w:r>
      <w:r w:rsidR="00B10036">
        <w:rPr>
          <w:noProof/>
        </w:rPr>
        <w:t> </w:t>
      </w:r>
      <w:r w:rsidR="00B10036" w:rsidRPr="00B10036">
        <w:rPr>
          <w:noProof/>
        </w:rPr>
        <w:t>2</w:t>
      </w:r>
      <w:r w:rsidR="00E63BC2" w:rsidRPr="00B10036">
        <w:rPr>
          <w:noProof/>
        </w:rPr>
        <w:t>1 indywidualnych państw członkowskich UE. Unia Europejska</w:t>
      </w:r>
      <w:r w:rsidR="00B10036" w:rsidRPr="00B10036">
        <w:rPr>
          <w:noProof/>
        </w:rPr>
        <w:t xml:space="preserve"> i</w:t>
      </w:r>
      <w:r w:rsidR="00B10036">
        <w:rPr>
          <w:noProof/>
        </w:rPr>
        <w:t> </w:t>
      </w:r>
      <w:r w:rsidR="00B10036" w:rsidRPr="00B10036">
        <w:rPr>
          <w:noProof/>
        </w:rPr>
        <w:t>1</w:t>
      </w:r>
      <w:r w:rsidR="00E63BC2" w:rsidRPr="00B10036">
        <w:rPr>
          <w:noProof/>
        </w:rPr>
        <w:t>0 indywidualnych państw członkowskich podpisało deklarację</w:t>
      </w:r>
      <w:r w:rsidR="00B10036" w:rsidRPr="00B10036">
        <w:rPr>
          <w:noProof/>
        </w:rPr>
        <w:t xml:space="preserve"> z</w:t>
      </w:r>
      <w:r w:rsidR="00B10036">
        <w:rPr>
          <w:noProof/>
        </w:rPr>
        <w:t> </w:t>
      </w:r>
      <w:r w:rsidR="00B10036" w:rsidRPr="00B10036">
        <w:rPr>
          <w:noProof/>
        </w:rPr>
        <w:t>2</w:t>
      </w:r>
      <w:r w:rsidR="00E63BC2" w:rsidRPr="00B10036">
        <w:rPr>
          <w:noProof/>
        </w:rPr>
        <w:t>021</w:t>
      </w:r>
      <w:r w:rsidR="00B10036" w:rsidRPr="00B10036">
        <w:rPr>
          <w:noProof/>
        </w:rPr>
        <w:t> </w:t>
      </w:r>
      <w:r w:rsidR="00E63BC2" w:rsidRPr="00B10036">
        <w:rPr>
          <w:noProof/>
        </w:rPr>
        <w:t>r.</w:t>
      </w:r>
      <w:r w:rsidR="00B10036" w:rsidRPr="00B10036">
        <w:rPr>
          <w:noProof/>
        </w:rPr>
        <w:t xml:space="preserve"> w</w:t>
      </w:r>
      <w:r w:rsidR="00B10036">
        <w:rPr>
          <w:noProof/>
        </w:rPr>
        <w:t> </w:t>
      </w:r>
      <w:r w:rsidR="00B10036" w:rsidRPr="00B10036">
        <w:rPr>
          <w:noProof/>
        </w:rPr>
        <w:t>spr</w:t>
      </w:r>
      <w:r w:rsidR="00E63BC2" w:rsidRPr="00B10036">
        <w:rPr>
          <w:noProof/>
        </w:rPr>
        <w:t>awie wspierania warunków sprawiedliwej transformacji na szczeblu międzynarodowym, przyjętą podczas COP 26</w:t>
      </w:r>
      <w:r w:rsidR="00B10036" w:rsidRPr="00B10036">
        <w:rPr>
          <w:noProof/>
        </w:rPr>
        <w:t xml:space="preserve"> w</w:t>
      </w:r>
      <w:r w:rsidR="00B10036">
        <w:rPr>
          <w:noProof/>
        </w:rPr>
        <w:t> </w:t>
      </w:r>
      <w:r w:rsidR="00B10036" w:rsidRPr="00B10036">
        <w:rPr>
          <w:noProof/>
        </w:rPr>
        <w:t>Gla</w:t>
      </w:r>
      <w:r w:rsidR="00E63BC2" w:rsidRPr="00B10036">
        <w:rPr>
          <w:noProof/>
        </w:rPr>
        <w:t>sgow, zobowiązując się do włączenia informacji na temat sprawiedliwej transformacji do dwuletnich sprawozdań</w:t>
      </w:r>
      <w:r w:rsidR="00B10036" w:rsidRPr="00B10036">
        <w:rPr>
          <w:noProof/>
        </w:rPr>
        <w:t xml:space="preserve"> z</w:t>
      </w:r>
      <w:r w:rsidR="00B10036">
        <w:rPr>
          <w:noProof/>
        </w:rPr>
        <w:t> </w:t>
      </w:r>
      <w:r w:rsidR="00B10036" w:rsidRPr="00B10036">
        <w:rPr>
          <w:noProof/>
        </w:rPr>
        <w:t>prz</w:t>
      </w:r>
      <w:r w:rsidR="00E63BC2" w:rsidRPr="00B10036">
        <w:rPr>
          <w:noProof/>
        </w:rPr>
        <w:t>ejrzystości</w:t>
      </w:r>
      <w:r w:rsidR="00B10036" w:rsidRPr="00B10036">
        <w:rPr>
          <w:noProof/>
        </w:rPr>
        <w:t xml:space="preserve"> w</w:t>
      </w:r>
      <w:r w:rsidR="00B10036">
        <w:rPr>
          <w:noProof/>
        </w:rPr>
        <w:t> </w:t>
      </w:r>
      <w:r w:rsidR="00B10036" w:rsidRPr="00B10036">
        <w:rPr>
          <w:noProof/>
        </w:rPr>
        <w:t>kon</w:t>
      </w:r>
      <w:r w:rsidR="00E63BC2" w:rsidRPr="00B10036">
        <w:rPr>
          <w:noProof/>
        </w:rPr>
        <w:t>tekście sprawozdawczości dotyczącej polityk</w:t>
      </w:r>
      <w:r w:rsidR="00B10036" w:rsidRPr="00B10036">
        <w:rPr>
          <w:noProof/>
        </w:rPr>
        <w:t xml:space="preserve"> i</w:t>
      </w:r>
      <w:r w:rsidR="00B10036">
        <w:rPr>
          <w:noProof/>
        </w:rPr>
        <w:t> </w:t>
      </w:r>
      <w:r w:rsidR="00B10036" w:rsidRPr="00B10036">
        <w:rPr>
          <w:noProof/>
        </w:rPr>
        <w:t>śro</w:t>
      </w:r>
      <w:r w:rsidR="00E63BC2" w:rsidRPr="00B10036">
        <w:rPr>
          <w:noProof/>
        </w:rPr>
        <w:t xml:space="preserve">dków mających na celu osiągnięcie ustalonych na poziomie krajowym wkładów. </w:t>
      </w:r>
    </w:p>
    <w:p w14:paraId="016A295C" w14:textId="4C2D111D" w:rsidR="009B54D8" w:rsidRPr="00B10036" w:rsidRDefault="004D6F52" w:rsidP="004D6F52">
      <w:pPr>
        <w:pStyle w:val="ManualConsidrant"/>
        <w:rPr>
          <w:noProof/>
        </w:rPr>
      </w:pPr>
      <w:r w:rsidRPr="004D6F52">
        <w:t>(6)</w:t>
      </w:r>
      <w:r w:rsidRPr="004D6F52">
        <w:tab/>
      </w:r>
      <w:r w:rsidR="003124BD" w:rsidRPr="00B10036">
        <w:rPr>
          <w:noProof/>
        </w:rPr>
        <w:t>Sprawiedliwość</w:t>
      </w:r>
      <w:r w:rsidR="00B10036" w:rsidRPr="00B10036">
        <w:rPr>
          <w:noProof/>
        </w:rPr>
        <w:t xml:space="preserve"> i</w:t>
      </w:r>
      <w:r w:rsidR="00B10036">
        <w:rPr>
          <w:noProof/>
        </w:rPr>
        <w:t> </w:t>
      </w:r>
      <w:r w:rsidR="00B10036" w:rsidRPr="00B10036">
        <w:rPr>
          <w:noProof/>
        </w:rPr>
        <w:t>sol</w:t>
      </w:r>
      <w:r w:rsidR="003124BD" w:rsidRPr="00B10036">
        <w:rPr>
          <w:noProof/>
        </w:rPr>
        <w:t>idarność to podstawowe zasady polityki Unii</w:t>
      </w:r>
      <w:r w:rsidR="00B10036" w:rsidRPr="00B10036">
        <w:rPr>
          <w:noProof/>
        </w:rPr>
        <w:t xml:space="preserve"> w</w:t>
      </w:r>
      <w:r w:rsidR="00B10036">
        <w:rPr>
          <w:noProof/>
        </w:rPr>
        <w:t> </w:t>
      </w:r>
      <w:r w:rsidR="00B10036" w:rsidRPr="00B10036">
        <w:rPr>
          <w:noProof/>
        </w:rPr>
        <w:t>zak</w:t>
      </w:r>
      <w:r w:rsidR="003124BD" w:rsidRPr="00B10036">
        <w:rPr>
          <w:noProof/>
        </w:rPr>
        <w:t>resie zielonej transformacji oraz warunek szerokiego</w:t>
      </w:r>
      <w:r w:rsidR="00B10036" w:rsidRPr="00B10036">
        <w:rPr>
          <w:noProof/>
        </w:rPr>
        <w:t xml:space="preserve"> i</w:t>
      </w:r>
      <w:r w:rsidR="00B10036">
        <w:rPr>
          <w:noProof/>
        </w:rPr>
        <w:t> </w:t>
      </w:r>
      <w:r w:rsidR="00B10036" w:rsidRPr="00B10036">
        <w:rPr>
          <w:noProof/>
        </w:rPr>
        <w:t>trw</w:t>
      </w:r>
      <w:r w:rsidR="003124BD" w:rsidRPr="00B10036">
        <w:rPr>
          <w:noProof/>
        </w:rPr>
        <w:t>ałego poparcia publicznego. W Europejskim Zielonym Ładzie podkreślono, że transformacja musi przebiegać zarazem</w:t>
      </w:r>
      <w:r w:rsidR="00B10036" w:rsidRPr="00B10036">
        <w:rPr>
          <w:noProof/>
        </w:rPr>
        <w:t xml:space="preserve"> w</w:t>
      </w:r>
      <w:r w:rsidR="00B10036">
        <w:rPr>
          <w:noProof/>
        </w:rPr>
        <w:t> </w:t>
      </w:r>
      <w:r w:rsidR="00B10036" w:rsidRPr="00B10036">
        <w:rPr>
          <w:noProof/>
        </w:rPr>
        <w:t>spr</w:t>
      </w:r>
      <w:r w:rsidR="003124BD" w:rsidRPr="00B10036">
        <w:rPr>
          <w:noProof/>
        </w:rPr>
        <w:t>awiedliwy</w:t>
      </w:r>
      <w:r w:rsidR="00B10036" w:rsidRPr="00B10036">
        <w:rPr>
          <w:noProof/>
        </w:rPr>
        <w:t xml:space="preserve"> i</w:t>
      </w:r>
      <w:r w:rsidR="00B10036">
        <w:rPr>
          <w:noProof/>
        </w:rPr>
        <w:t> </w:t>
      </w:r>
      <w:r w:rsidR="00B10036" w:rsidRPr="00B10036">
        <w:rPr>
          <w:noProof/>
        </w:rPr>
        <w:t>spr</w:t>
      </w:r>
      <w:r w:rsidR="003124BD" w:rsidRPr="00B10036">
        <w:rPr>
          <w:noProof/>
        </w:rPr>
        <w:t>zyjający włączeniu społecznemu sposób, a na pierwszym miejscu należy stawiać ludzi</w:t>
      </w:r>
      <w:r w:rsidR="00B10036" w:rsidRPr="00B10036">
        <w:rPr>
          <w:noProof/>
        </w:rPr>
        <w:t xml:space="preserve"> i</w:t>
      </w:r>
      <w:r w:rsidR="00B10036">
        <w:rPr>
          <w:noProof/>
        </w:rPr>
        <w:t> </w:t>
      </w:r>
      <w:r w:rsidR="00B10036" w:rsidRPr="00B10036">
        <w:rPr>
          <w:noProof/>
        </w:rPr>
        <w:t>nie</w:t>
      </w:r>
      <w:r w:rsidR="003124BD" w:rsidRPr="00B10036">
        <w:rPr>
          <w:noProof/>
        </w:rPr>
        <w:t xml:space="preserve"> wolno tracić</w:t>
      </w:r>
      <w:r w:rsidR="00B10036" w:rsidRPr="00B10036">
        <w:rPr>
          <w:noProof/>
        </w:rPr>
        <w:t xml:space="preserve"> z</w:t>
      </w:r>
      <w:r w:rsidR="00B10036">
        <w:rPr>
          <w:noProof/>
        </w:rPr>
        <w:t> </w:t>
      </w:r>
      <w:r w:rsidR="00B10036" w:rsidRPr="00B10036">
        <w:rPr>
          <w:noProof/>
        </w:rPr>
        <w:t>ocz</w:t>
      </w:r>
      <w:r w:rsidR="003124BD" w:rsidRPr="00B10036">
        <w:rPr>
          <w:noProof/>
        </w:rPr>
        <w:t>u regionów, sektorów przemysłu, pracowników, gospodarstw domowych</w:t>
      </w:r>
      <w:r w:rsidR="00B10036" w:rsidRPr="00B10036">
        <w:rPr>
          <w:noProof/>
        </w:rPr>
        <w:t xml:space="preserve"> i</w:t>
      </w:r>
      <w:r w:rsidR="00B10036">
        <w:rPr>
          <w:noProof/>
        </w:rPr>
        <w:t> </w:t>
      </w:r>
      <w:r w:rsidR="00B10036" w:rsidRPr="00B10036">
        <w:rPr>
          <w:noProof/>
        </w:rPr>
        <w:t>kon</w:t>
      </w:r>
      <w:r w:rsidR="003124BD" w:rsidRPr="00B10036">
        <w:rPr>
          <w:noProof/>
        </w:rPr>
        <w:t>sumentów, którzy będą borykać się</w:t>
      </w:r>
      <w:r w:rsidR="00B10036" w:rsidRPr="00B10036">
        <w:rPr>
          <w:noProof/>
        </w:rPr>
        <w:t xml:space="preserve"> z</w:t>
      </w:r>
      <w:r w:rsidR="00B10036">
        <w:rPr>
          <w:noProof/>
        </w:rPr>
        <w:t> </w:t>
      </w:r>
      <w:r w:rsidR="00B10036" w:rsidRPr="00B10036">
        <w:rPr>
          <w:noProof/>
        </w:rPr>
        <w:t>naj</w:t>
      </w:r>
      <w:r w:rsidR="003124BD" w:rsidRPr="00B10036">
        <w:rPr>
          <w:noProof/>
        </w:rPr>
        <w:t>większymi trudnościami. Ponadto</w:t>
      </w:r>
      <w:r w:rsidR="00B10036" w:rsidRPr="00B10036">
        <w:rPr>
          <w:noProof/>
        </w:rPr>
        <w:t xml:space="preserve"> w</w:t>
      </w:r>
      <w:r w:rsidR="00B10036">
        <w:rPr>
          <w:noProof/>
        </w:rPr>
        <w:t> </w:t>
      </w:r>
      <w:r w:rsidR="00B10036" w:rsidRPr="00B10036">
        <w:rPr>
          <w:noProof/>
        </w:rPr>
        <w:t>kom</w:t>
      </w:r>
      <w:r w:rsidR="003124BD" w:rsidRPr="00B10036">
        <w:rPr>
          <w:noProof/>
        </w:rPr>
        <w:t>unikacie „Silna Europa socjalna na rzecz sprawiedliwej transformacji”</w:t>
      </w:r>
      <w:r w:rsidR="003124BD" w:rsidRPr="00B10036">
        <w:rPr>
          <w:rStyle w:val="FootnoteReference"/>
          <w:rFonts w:eastAsia="Arial Unicode MS"/>
          <w:noProof/>
        </w:rPr>
        <w:footnoteReference w:id="61"/>
      </w:r>
      <w:r w:rsidR="003124BD" w:rsidRPr="00B10036">
        <w:rPr>
          <w:noProof/>
        </w:rPr>
        <w:t xml:space="preserve"> podkreślono, że dzięki wdrożeniu Europejskiego Zielonego Ładu Europa będzie dysponowała narzędziami, które pozwolą jej realizować ambitne zamierzenia, jeżeli chodzi</w:t>
      </w:r>
      <w:r w:rsidR="00B10036" w:rsidRPr="00B10036">
        <w:rPr>
          <w:noProof/>
        </w:rPr>
        <w:t xml:space="preserve"> o</w:t>
      </w:r>
      <w:r w:rsidR="00B10036">
        <w:rPr>
          <w:noProof/>
        </w:rPr>
        <w:t> </w:t>
      </w:r>
      <w:r w:rsidR="00B10036" w:rsidRPr="00B10036">
        <w:rPr>
          <w:noProof/>
        </w:rPr>
        <w:t>poz</w:t>
      </w:r>
      <w:r w:rsidR="003124BD" w:rsidRPr="00B10036">
        <w:rPr>
          <w:noProof/>
        </w:rPr>
        <w:t>ytywną konwergencję społeczno-gospodarczą, sprawiedliwość społeczną</w:t>
      </w:r>
      <w:r w:rsidR="00B10036" w:rsidRPr="00B10036">
        <w:rPr>
          <w:noProof/>
        </w:rPr>
        <w:t xml:space="preserve"> i</w:t>
      </w:r>
      <w:r w:rsidR="00B10036">
        <w:rPr>
          <w:noProof/>
        </w:rPr>
        <w:t> </w:t>
      </w:r>
      <w:r w:rsidR="00B10036" w:rsidRPr="00B10036">
        <w:rPr>
          <w:noProof/>
        </w:rPr>
        <w:t>wsp</w:t>
      </w:r>
      <w:r w:rsidR="003124BD" w:rsidRPr="00B10036">
        <w:rPr>
          <w:noProof/>
        </w:rPr>
        <w:t>ólny dobrobyt.</w:t>
      </w:r>
    </w:p>
    <w:p w14:paraId="6676E796" w14:textId="68CE44AA" w:rsidR="009B54D8" w:rsidRPr="00B10036" w:rsidRDefault="004D6F52" w:rsidP="004D6F52">
      <w:pPr>
        <w:pStyle w:val="ManualConsidrant"/>
        <w:rPr>
          <w:noProof/>
        </w:rPr>
      </w:pPr>
      <w:r w:rsidRPr="004D6F52">
        <w:t>(7)</w:t>
      </w:r>
      <w:r w:rsidRPr="004D6F52">
        <w:tab/>
      </w:r>
      <w:r w:rsidR="002E7F22" w:rsidRPr="00B10036">
        <w:rPr>
          <w:noProof/>
        </w:rPr>
        <w:t>W planie działania na rzecz Europejskiego filaru praw socjalnych</w:t>
      </w:r>
      <w:r w:rsidR="002E7F22" w:rsidRPr="00B10036">
        <w:rPr>
          <w:rStyle w:val="FootnoteReference"/>
          <w:noProof/>
        </w:rPr>
        <w:footnoteReference w:id="62"/>
      </w:r>
      <w:r w:rsidR="002E7F22" w:rsidRPr="00B10036">
        <w:rPr>
          <w:noProof/>
        </w:rPr>
        <w:t xml:space="preserve"> podkreślono, że jedność, koordynacja</w:t>
      </w:r>
      <w:r w:rsidR="00B10036" w:rsidRPr="00B10036">
        <w:rPr>
          <w:noProof/>
        </w:rPr>
        <w:t xml:space="preserve"> i</w:t>
      </w:r>
      <w:r w:rsidR="00B10036">
        <w:rPr>
          <w:noProof/>
        </w:rPr>
        <w:t> </w:t>
      </w:r>
      <w:r w:rsidR="00B10036" w:rsidRPr="00B10036">
        <w:rPr>
          <w:noProof/>
        </w:rPr>
        <w:t>sol</w:t>
      </w:r>
      <w:r w:rsidR="002E7F22" w:rsidRPr="00B10036">
        <w:rPr>
          <w:noProof/>
        </w:rPr>
        <w:t>idarność są potrzebne, aby</w:t>
      </w:r>
      <w:r w:rsidR="00B10036" w:rsidRPr="00B10036">
        <w:rPr>
          <w:noProof/>
        </w:rPr>
        <w:t xml:space="preserve"> z</w:t>
      </w:r>
      <w:r w:rsidR="00B10036">
        <w:rPr>
          <w:noProof/>
        </w:rPr>
        <w:t> </w:t>
      </w:r>
      <w:r w:rsidR="00B10036" w:rsidRPr="00B10036">
        <w:rPr>
          <w:noProof/>
        </w:rPr>
        <w:t>imp</w:t>
      </w:r>
      <w:r w:rsidR="002E7F22" w:rsidRPr="00B10036">
        <w:rPr>
          <w:noProof/>
        </w:rPr>
        <w:t>etem wejść</w:t>
      </w:r>
      <w:r w:rsidR="00B10036" w:rsidRPr="00B10036">
        <w:rPr>
          <w:noProof/>
        </w:rPr>
        <w:t xml:space="preserve"> w</w:t>
      </w:r>
      <w:r w:rsidR="00B10036">
        <w:rPr>
          <w:noProof/>
        </w:rPr>
        <w:t> </w:t>
      </w:r>
      <w:r w:rsidR="00B10036" w:rsidRPr="00B10036">
        <w:rPr>
          <w:noProof/>
        </w:rPr>
        <w:t>bar</w:t>
      </w:r>
      <w:r w:rsidR="002E7F22" w:rsidRPr="00B10036">
        <w:rPr>
          <w:noProof/>
        </w:rPr>
        <w:t>dziej ekologiczną</w:t>
      </w:r>
      <w:r w:rsidR="00B10036" w:rsidRPr="00B10036">
        <w:rPr>
          <w:noProof/>
        </w:rPr>
        <w:t xml:space="preserve"> i</w:t>
      </w:r>
      <w:r w:rsidR="00B10036">
        <w:rPr>
          <w:noProof/>
        </w:rPr>
        <w:t> </w:t>
      </w:r>
      <w:r w:rsidR="00B10036" w:rsidRPr="00B10036">
        <w:rPr>
          <w:noProof/>
        </w:rPr>
        <w:t>bar</w:t>
      </w:r>
      <w:r w:rsidR="002E7F22" w:rsidRPr="00B10036">
        <w:rPr>
          <w:noProof/>
        </w:rPr>
        <w:t>dziej cyfrową dekadę,</w:t>
      </w:r>
      <w:r w:rsidR="00B10036" w:rsidRPr="00B10036">
        <w:rPr>
          <w:noProof/>
        </w:rPr>
        <w:t xml:space="preserve"> w</w:t>
      </w:r>
      <w:r w:rsidR="00B10036">
        <w:rPr>
          <w:noProof/>
        </w:rPr>
        <w:t> </w:t>
      </w:r>
      <w:r w:rsidR="00B10036" w:rsidRPr="00B10036">
        <w:rPr>
          <w:noProof/>
        </w:rPr>
        <w:t>któ</w:t>
      </w:r>
      <w:r w:rsidR="002E7F22" w:rsidRPr="00B10036">
        <w:rPr>
          <w:noProof/>
        </w:rPr>
        <w:t>rej Europejczycy będą mogli prosperować. Zaproponowano</w:t>
      </w:r>
      <w:r w:rsidR="00B10036" w:rsidRPr="00B10036">
        <w:rPr>
          <w:noProof/>
        </w:rPr>
        <w:t xml:space="preserve"> w</w:t>
      </w:r>
      <w:r w:rsidR="00B10036">
        <w:rPr>
          <w:noProof/>
        </w:rPr>
        <w:t> </w:t>
      </w:r>
      <w:r w:rsidR="00B10036" w:rsidRPr="00B10036">
        <w:rPr>
          <w:noProof/>
        </w:rPr>
        <w:t>nim</w:t>
      </w:r>
      <w:r w:rsidR="002E7F22" w:rsidRPr="00B10036">
        <w:rPr>
          <w:noProof/>
        </w:rPr>
        <w:t xml:space="preserve"> trzy główne cele UE na</w:t>
      </w:r>
      <w:r w:rsidR="00B10036" w:rsidRPr="00B10036">
        <w:rPr>
          <w:noProof/>
        </w:rPr>
        <w:t> </w:t>
      </w:r>
      <w:r w:rsidR="002E7F22" w:rsidRPr="00B10036">
        <w:rPr>
          <w:noProof/>
        </w:rPr>
        <w:t>2030</w:t>
      </w:r>
      <w:r w:rsidR="00B10036" w:rsidRPr="00B10036">
        <w:rPr>
          <w:noProof/>
        </w:rPr>
        <w:t> </w:t>
      </w:r>
      <w:r w:rsidR="002E7F22" w:rsidRPr="00B10036">
        <w:rPr>
          <w:noProof/>
        </w:rPr>
        <w:t>r.,</w:t>
      </w:r>
      <w:r w:rsidR="00B10036" w:rsidRPr="00B10036">
        <w:rPr>
          <w:noProof/>
        </w:rPr>
        <w:t xml:space="preserve"> a</w:t>
      </w:r>
      <w:r w:rsidR="00B10036">
        <w:rPr>
          <w:noProof/>
        </w:rPr>
        <w:t> </w:t>
      </w:r>
      <w:r w:rsidR="00B10036" w:rsidRPr="00B10036">
        <w:rPr>
          <w:noProof/>
        </w:rPr>
        <w:t>mia</w:t>
      </w:r>
      <w:r w:rsidR="002E7F22" w:rsidRPr="00B10036">
        <w:rPr>
          <w:noProof/>
        </w:rPr>
        <w:t>nowicie: do</w:t>
      </w:r>
      <w:r w:rsidR="00B10036" w:rsidRPr="00B10036">
        <w:rPr>
          <w:noProof/>
        </w:rPr>
        <w:t> </w:t>
      </w:r>
      <w:r w:rsidR="002E7F22" w:rsidRPr="00B10036">
        <w:rPr>
          <w:noProof/>
        </w:rPr>
        <w:t>2030</w:t>
      </w:r>
      <w:r w:rsidR="00B10036" w:rsidRPr="00B10036">
        <w:rPr>
          <w:noProof/>
        </w:rPr>
        <w:t> </w:t>
      </w:r>
      <w:r w:rsidR="002E7F22" w:rsidRPr="00B10036">
        <w:rPr>
          <w:noProof/>
        </w:rPr>
        <w:t>r. co najmniej 78</w:t>
      </w:r>
      <w:r w:rsidR="00B10036" w:rsidRPr="00B10036">
        <w:rPr>
          <w:noProof/>
        </w:rPr>
        <w:t> </w:t>
      </w:r>
      <w:r w:rsidR="002E7F22" w:rsidRPr="00B10036">
        <w:rPr>
          <w:noProof/>
        </w:rPr>
        <w:t>% ludności</w:t>
      </w:r>
      <w:r w:rsidR="00B10036" w:rsidRPr="00B10036">
        <w:rPr>
          <w:noProof/>
        </w:rPr>
        <w:t xml:space="preserve"> w</w:t>
      </w:r>
      <w:r w:rsidR="00B10036">
        <w:rPr>
          <w:noProof/>
        </w:rPr>
        <w:t> </w:t>
      </w:r>
      <w:r w:rsidR="00B10036" w:rsidRPr="00B10036">
        <w:rPr>
          <w:noProof/>
        </w:rPr>
        <w:t>wie</w:t>
      </w:r>
      <w:r w:rsidR="002E7F22" w:rsidRPr="00B10036">
        <w:rPr>
          <w:noProof/>
        </w:rPr>
        <w:t>ku 20–64 lat powinno mieć zatrudnienie</w:t>
      </w:r>
      <w:r w:rsidR="002E7F22" w:rsidRPr="00B10036">
        <w:rPr>
          <w:rStyle w:val="FootnoteReference"/>
          <w:noProof/>
        </w:rPr>
        <w:footnoteReference w:id="63"/>
      </w:r>
      <w:r w:rsidR="002E7F22" w:rsidRPr="00B10036">
        <w:rPr>
          <w:noProof/>
        </w:rPr>
        <w:t>; co najmniej 60</w:t>
      </w:r>
      <w:r w:rsidR="00B10036" w:rsidRPr="00B10036">
        <w:rPr>
          <w:noProof/>
        </w:rPr>
        <w:t> </w:t>
      </w:r>
      <w:r w:rsidR="002E7F22" w:rsidRPr="00B10036">
        <w:rPr>
          <w:noProof/>
        </w:rPr>
        <w:t>% wszystkich dorosłych powinno co roku uczestniczyć</w:t>
      </w:r>
      <w:r w:rsidR="00B10036" w:rsidRPr="00B10036">
        <w:rPr>
          <w:noProof/>
        </w:rPr>
        <w:t xml:space="preserve"> w</w:t>
      </w:r>
      <w:r w:rsidR="00B10036">
        <w:rPr>
          <w:noProof/>
        </w:rPr>
        <w:t> </w:t>
      </w:r>
      <w:r w:rsidR="00B10036" w:rsidRPr="00B10036">
        <w:rPr>
          <w:noProof/>
        </w:rPr>
        <w:t>szk</w:t>
      </w:r>
      <w:r w:rsidR="002E7F22" w:rsidRPr="00B10036">
        <w:rPr>
          <w:noProof/>
        </w:rPr>
        <w:t>oleniach</w:t>
      </w:r>
      <w:r w:rsidR="002E7F22" w:rsidRPr="00B10036">
        <w:rPr>
          <w:rStyle w:val="FootnoteReference"/>
          <w:noProof/>
        </w:rPr>
        <w:footnoteReference w:id="64"/>
      </w:r>
      <w:r w:rsidR="002E7F22" w:rsidRPr="00B10036">
        <w:rPr>
          <w:noProof/>
        </w:rPr>
        <w:t>; liczba osób zagrożonych ubóstwem lub wykluczeniem społecznym powinna do</w:t>
      </w:r>
      <w:r w:rsidR="00B10036" w:rsidRPr="00B10036">
        <w:rPr>
          <w:noProof/>
        </w:rPr>
        <w:t> </w:t>
      </w:r>
      <w:r w:rsidR="002E7F22" w:rsidRPr="00B10036">
        <w:rPr>
          <w:noProof/>
        </w:rPr>
        <w:t>2030</w:t>
      </w:r>
      <w:r w:rsidR="00B10036" w:rsidRPr="00B10036">
        <w:rPr>
          <w:noProof/>
        </w:rPr>
        <w:t> </w:t>
      </w:r>
      <w:r w:rsidR="002E7F22" w:rsidRPr="00B10036">
        <w:rPr>
          <w:noProof/>
        </w:rPr>
        <w:t>r. ulec zmniejszeniu o co najmniej 15 mln</w:t>
      </w:r>
      <w:r w:rsidR="002E7F22" w:rsidRPr="00B10036">
        <w:rPr>
          <w:rStyle w:val="FootnoteReference"/>
          <w:noProof/>
        </w:rPr>
        <w:footnoteReference w:id="65"/>
      </w:r>
      <w:r w:rsidR="002E7F22" w:rsidRPr="00B10036">
        <w:rPr>
          <w:noProof/>
        </w:rPr>
        <w:t>. Te główne cele na</w:t>
      </w:r>
      <w:r w:rsidR="00B10036" w:rsidRPr="00B10036">
        <w:rPr>
          <w:noProof/>
        </w:rPr>
        <w:t> </w:t>
      </w:r>
      <w:r w:rsidR="002E7F22" w:rsidRPr="00B10036">
        <w:rPr>
          <w:noProof/>
        </w:rPr>
        <w:t>2030</w:t>
      </w:r>
      <w:r w:rsidR="00B10036" w:rsidRPr="00B10036">
        <w:rPr>
          <w:noProof/>
        </w:rPr>
        <w:t> </w:t>
      </w:r>
      <w:r w:rsidR="002E7F22" w:rsidRPr="00B10036">
        <w:rPr>
          <w:noProof/>
        </w:rPr>
        <w:t>r. zostały przyjęte</w:t>
      </w:r>
      <w:r w:rsidR="00B10036" w:rsidRPr="00B10036">
        <w:rPr>
          <w:noProof/>
        </w:rPr>
        <w:t xml:space="preserve"> z</w:t>
      </w:r>
      <w:r w:rsidR="00B10036">
        <w:rPr>
          <w:noProof/>
        </w:rPr>
        <w:t> </w:t>
      </w:r>
      <w:r w:rsidR="00B10036" w:rsidRPr="00B10036">
        <w:rPr>
          <w:noProof/>
        </w:rPr>
        <w:t>zad</w:t>
      </w:r>
      <w:r w:rsidR="002E7F22" w:rsidRPr="00B10036">
        <w:rPr>
          <w:noProof/>
        </w:rPr>
        <w:t>owoleniem przez przywódców UE</w:t>
      </w:r>
      <w:r w:rsidR="00B10036" w:rsidRPr="00B10036">
        <w:rPr>
          <w:noProof/>
        </w:rPr>
        <w:t xml:space="preserve"> w</w:t>
      </w:r>
      <w:r w:rsidR="00B10036">
        <w:rPr>
          <w:noProof/>
        </w:rPr>
        <w:t> </w:t>
      </w:r>
      <w:r w:rsidR="00B10036" w:rsidRPr="00B10036">
        <w:rPr>
          <w:noProof/>
        </w:rPr>
        <w:t>dek</w:t>
      </w:r>
      <w:r w:rsidR="002E7F22" w:rsidRPr="00B10036">
        <w:rPr>
          <w:noProof/>
        </w:rPr>
        <w:t>laracji</w:t>
      </w:r>
      <w:r w:rsidR="00B10036" w:rsidRPr="00B10036">
        <w:rPr>
          <w:noProof/>
        </w:rPr>
        <w:t xml:space="preserve"> z</w:t>
      </w:r>
      <w:r w:rsidR="00B10036">
        <w:rPr>
          <w:noProof/>
        </w:rPr>
        <w:t> </w:t>
      </w:r>
      <w:r w:rsidR="00B10036" w:rsidRPr="00B10036">
        <w:rPr>
          <w:noProof/>
        </w:rPr>
        <w:t>Por</w:t>
      </w:r>
      <w:r w:rsidR="002E7F22" w:rsidRPr="00B10036">
        <w:rPr>
          <w:noProof/>
        </w:rPr>
        <w:t>to</w:t>
      </w:r>
      <w:r w:rsidR="00B10036" w:rsidRPr="00B10036">
        <w:rPr>
          <w:noProof/>
        </w:rPr>
        <w:t xml:space="preserve"> z</w:t>
      </w:r>
      <w:r w:rsidR="00B10036">
        <w:rPr>
          <w:noProof/>
        </w:rPr>
        <w:t> </w:t>
      </w:r>
      <w:r w:rsidR="00B10036" w:rsidRPr="00B10036">
        <w:rPr>
          <w:noProof/>
        </w:rPr>
        <w:t>maj</w:t>
      </w:r>
      <w:r w:rsidR="002E7F22" w:rsidRPr="00B10036">
        <w:rPr>
          <w:noProof/>
        </w:rPr>
        <w:t>a 2021</w:t>
      </w:r>
      <w:r w:rsidR="00B10036" w:rsidRPr="00B10036">
        <w:rPr>
          <w:noProof/>
        </w:rPr>
        <w:t> </w:t>
      </w:r>
      <w:r w:rsidR="002E7F22" w:rsidRPr="00B10036">
        <w:rPr>
          <w:noProof/>
        </w:rPr>
        <w:t>r.</w:t>
      </w:r>
      <w:r w:rsidR="002E7F22" w:rsidRPr="00B10036">
        <w:rPr>
          <w:rStyle w:val="FootnoteReference"/>
          <w:noProof/>
        </w:rPr>
        <w:footnoteReference w:id="66"/>
      </w:r>
      <w:r w:rsidR="00B10036" w:rsidRPr="00B10036">
        <w:rPr>
          <w:noProof/>
        </w:rPr>
        <w:t xml:space="preserve"> i</w:t>
      </w:r>
      <w:r w:rsidR="00B10036">
        <w:rPr>
          <w:noProof/>
        </w:rPr>
        <w:t> </w:t>
      </w:r>
      <w:r w:rsidR="00B10036" w:rsidRPr="00B10036">
        <w:rPr>
          <w:noProof/>
        </w:rPr>
        <w:t>prz</w:t>
      </w:r>
      <w:r w:rsidR="002E7F22" w:rsidRPr="00B10036">
        <w:rPr>
          <w:noProof/>
        </w:rPr>
        <w:t>ez Radę Europejską</w:t>
      </w:r>
      <w:r w:rsidR="00B10036" w:rsidRPr="00B10036">
        <w:rPr>
          <w:noProof/>
        </w:rPr>
        <w:t xml:space="preserve"> w</w:t>
      </w:r>
      <w:r w:rsidR="00B10036">
        <w:rPr>
          <w:noProof/>
        </w:rPr>
        <w:t> </w:t>
      </w:r>
      <w:r w:rsidR="00B10036" w:rsidRPr="00B10036">
        <w:rPr>
          <w:noProof/>
        </w:rPr>
        <w:t>cze</w:t>
      </w:r>
      <w:r w:rsidR="002E7F22" w:rsidRPr="00B10036">
        <w:rPr>
          <w:noProof/>
        </w:rPr>
        <w:t>rwcu 2021</w:t>
      </w:r>
      <w:r w:rsidR="00B10036" w:rsidRPr="00B10036">
        <w:rPr>
          <w:noProof/>
        </w:rPr>
        <w:t> </w:t>
      </w:r>
      <w:r w:rsidR="002E7F22" w:rsidRPr="00B10036">
        <w:rPr>
          <w:noProof/>
        </w:rPr>
        <w:t xml:space="preserve">r. </w:t>
      </w:r>
    </w:p>
    <w:p w14:paraId="0752C3CD" w14:textId="1A707F3F" w:rsidR="009B54D8" w:rsidRPr="00B10036" w:rsidRDefault="004D6F52" w:rsidP="004D6F52">
      <w:pPr>
        <w:pStyle w:val="ManualConsidrant"/>
        <w:rPr>
          <w:noProof/>
        </w:rPr>
      </w:pPr>
      <w:r w:rsidRPr="004D6F52">
        <w:t>(8)</w:t>
      </w:r>
      <w:r w:rsidRPr="004D6F52">
        <w:tab/>
      </w:r>
      <w:r w:rsidR="004377DF" w:rsidRPr="00B10036">
        <w:rPr>
          <w:noProof/>
        </w:rPr>
        <w:t>Przy zastosowaniu odpowiednich polityk towarzyszących</w:t>
      </w:r>
      <w:r w:rsidR="004377DF" w:rsidRPr="00B10036">
        <w:rPr>
          <w:rStyle w:val="FootnoteReference"/>
          <w:noProof/>
        </w:rPr>
        <w:footnoteReference w:id="67"/>
      </w:r>
      <w:r w:rsidR="004377DF" w:rsidRPr="00B10036">
        <w:rPr>
          <w:noProof/>
        </w:rPr>
        <w:t xml:space="preserve"> zielona transformacja mogłaby skutkować stworzeniem łącznie około 1 mln dodatkowych miejsc pracy wysokiej jakości</w:t>
      </w:r>
      <w:r w:rsidR="004377DF" w:rsidRPr="00B10036">
        <w:rPr>
          <w:rStyle w:val="FootnoteReference"/>
          <w:noProof/>
        </w:rPr>
        <w:footnoteReference w:id="68"/>
      </w:r>
      <w:r w:rsidR="004377DF" w:rsidRPr="00B10036">
        <w:rPr>
          <w:noProof/>
        </w:rPr>
        <w:t xml:space="preserve"> w UE do</w:t>
      </w:r>
      <w:r w:rsidR="00B10036" w:rsidRPr="00B10036">
        <w:rPr>
          <w:noProof/>
        </w:rPr>
        <w:t> </w:t>
      </w:r>
      <w:r w:rsidR="004377DF" w:rsidRPr="00B10036">
        <w:rPr>
          <w:noProof/>
        </w:rPr>
        <w:t>2030</w:t>
      </w:r>
      <w:r w:rsidR="00B10036" w:rsidRPr="00B10036">
        <w:rPr>
          <w:noProof/>
        </w:rPr>
        <w:t> </w:t>
      </w:r>
      <w:r w:rsidR="004377DF" w:rsidRPr="00B10036">
        <w:rPr>
          <w:noProof/>
        </w:rPr>
        <w:t>r.</w:t>
      </w:r>
      <w:r w:rsidR="00B10036" w:rsidRPr="00B10036">
        <w:rPr>
          <w:noProof/>
        </w:rPr>
        <w:t xml:space="preserve"> i</w:t>
      </w:r>
      <w:r w:rsidR="00B10036">
        <w:rPr>
          <w:noProof/>
        </w:rPr>
        <w:t> </w:t>
      </w:r>
      <w:r w:rsidR="00B10036" w:rsidRPr="00B10036">
        <w:rPr>
          <w:noProof/>
        </w:rPr>
        <w:t>2</w:t>
      </w:r>
      <w:r w:rsidR="004377DF" w:rsidRPr="00B10036">
        <w:rPr>
          <w:noProof/>
        </w:rPr>
        <w:t xml:space="preserve"> mln do</w:t>
      </w:r>
      <w:r w:rsidR="00B10036" w:rsidRPr="00B10036">
        <w:rPr>
          <w:noProof/>
        </w:rPr>
        <w:t> </w:t>
      </w:r>
      <w:r w:rsidR="004377DF" w:rsidRPr="00B10036">
        <w:rPr>
          <w:noProof/>
        </w:rPr>
        <w:t>2050</w:t>
      </w:r>
      <w:r w:rsidR="00B10036" w:rsidRPr="00B10036">
        <w:rPr>
          <w:noProof/>
        </w:rPr>
        <w:t> </w:t>
      </w:r>
      <w:r w:rsidR="004377DF" w:rsidRPr="00B10036">
        <w:rPr>
          <w:noProof/>
        </w:rPr>
        <w:t>r.</w:t>
      </w:r>
      <w:r w:rsidR="004377DF" w:rsidRPr="00B10036">
        <w:rPr>
          <w:rStyle w:val="FootnoteReference"/>
          <w:noProof/>
        </w:rPr>
        <w:footnoteReference w:id="69"/>
      </w:r>
      <w:r w:rsidR="00B10036" w:rsidRPr="00B10036">
        <w:rPr>
          <w:noProof/>
        </w:rPr>
        <w:t xml:space="preserve"> w</w:t>
      </w:r>
      <w:r w:rsidR="00B10036">
        <w:rPr>
          <w:noProof/>
        </w:rPr>
        <w:t> </w:t>
      </w:r>
      <w:r w:rsidR="00B10036" w:rsidRPr="00B10036">
        <w:rPr>
          <w:noProof/>
        </w:rPr>
        <w:t>sek</w:t>
      </w:r>
      <w:r w:rsidR="004377DF" w:rsidRPr="00B10036">
        <w:rPr>
          <w:noProof/>
        </w:rPr>
        <w:t>torach takich jak budownictwo, ICT lub energia odnawialna, łagodząc jednocześnie przedłużający się spadek liczby miejsc pracy wymagających średnich kwalifikacji</w:t>
      </w:r>
      <w:r w:rsidR="00B10036" w:rsidRPr="00B10036">
        <w:rPr>
          <w:noProof/>
        </w:rPr>
        <w:t xml:space="preserve"> w</w:t>
      </w:r>
      <w:r w:rsidR="00B10036">
        <w:rPr>
          <w:noProof/>
        </w:rPr>
        <w:t> </w:t>
      </w:r>
      <w:r w:rsidR="00B10036" w:rsidRPr="00B10036">
        <w:rPr>
          <w:noProof/>
        </w:rPr>
        <w:t>wyn</w:t>
      </w:r>
      <w:r w:rsidR="004377DF" w:rsidRPr="00B10036">
        <w:rPr>
          <w:noProof/>
        </w:rPr>
        <w:t>iku automatyzacji</w:t>
      </w:r>
      <w:r w:rsidR="00B10036" w:rsidRPr="00B10036">
        <w:rPr>
          <w:noProof/>
        </w:rPr>
        <w:t xml:space="preserve"> i</w:t>
      </w:r>
      <w:r w:rsidR="00B10036">
        <w:rPr>
          <w:noProof/>
        </w:rPr>
        <w:t> </w:t>
      </w:r>
      <w:r w:rsidR="00B10036" w:rsidRPr="00B10036">
        <w:rPr>
          <w:noProof/>
        </w:rPr>
        <w:t>tra</w:t>
      </w:r>
      <w:r w:rsidR="004377DF" w:rsidRPr="00B10036">
        <w:rPr>
          <w:noProof/>
        </w:rPr>
        <w:t>nsformacji cyfrowej</w:t>
      </w:r>
      <w:r w:rsidR="00B10036" w:rsidRPr="00B10036">
        <w:rPr>
          <w:noProof/>
        </w:rPr>
        <w:t>. W</w:t>
      </w:r>
      <w:r w:rsidR="00B10036">
        <w:rPr>
          <w:noProof/>
        </w:rPr>
        <w:t> </w:t>
      </w:r>
      <w:r w:rsidR="00B10036" w:rsidRPr="00B10036">
        <w:rPr>
          <w:noProof/>
        </w:rPr>
        <w:t>sce</w:t>
      </w:r>
      <w:r w:rsidR="004377DF" w:rsidRPr="00B10036">
        <w:rPr>
          <w:noProof/>
        </w:rPr>
        <w:t>nariuszu pesymistycznym skutki zielonej transformacji</w:t>
      </w:r>
      <w:r w:rsidR="00B10036" w:rsidRPr="00B10036">
        <w:rPr>
          <w:noProof/>
        </w:rPr>
        <w:t xml:space="preserve"> w</w:t>
      </w:r>
      <w:r w:rsidR="00B10036">
        <w:rPr>
          <w:noProof/>
        </w:rPr>
        <w:t> </w:t>
      </w:r>
      <w:r w:rsidR="00B10036" w:rsidRPr="00B10036">
        <w:rPr>
          <w:noProof/>
        </w:rPr>
        <w:t>kie</w:t>
      </w:r>
      <w:r w:rsidR="004377DF" w:rsidRPr="00B10036">
        <w:rPr>
          <w:noProof/>
        </w:rPr>
        <w:t>runku neutralności klimatycznej</w:t>
      </w:r>
      <w:r w:rsidR="00B10036" w:rsidRPr="00B10036">
        <w:rPr>
          <w:noProof/>
        </w:rPr>
        <w:t xml:space="preserve"> w</w:t>
      </w:r>
      <w:r w:rsidR="00B10036">
        <w:rPr>
          <w:noProof/>
        </w:rPr>
        <w:t> </w:t>
      </w:r>
      <w:r w:rsidR="00B10036" w:rsidRPr="00B10036">
        <w:rPr>
          <w:noProof/>
        </w:rPr>
        <w:t>poł</w:t>
      </w:r>
      <w:r w:rsidR="004377DF" w:rsidRPr="00B10036">
        <w:rPr>
          <w:noProof/>
        </w:rPr>
        <w:t>ączeniu</w:t>
      </w:r>
      <w:r w:rsidR="00B10036" w:rsidRPr="00B10036">
        <w:rPr>
          <w:noProof/>
        </w:rPr>
        <w:t xml:space="preserve"> z</w:t>
      </w:r>
      <w:r w:rsidR="00B10036">
        <w:rPr>
          <w:noProof/>
        </w:rPr>
        <w:t> </w:t>
      </w:r>
      <w:r w:rsidR="00B10036" w:rsidRPr="00B10036">
        <w:rPr>
          <w:noProof/>
        </w:rPr>
        <w:t>nie</w:t>
      </w:r>
      <w:r w:rsidR="004377DF" w:rsidRPr="00B10036">
        <w:rPr>
          <w:noProof/>
        </w:rPr>
        <w:t>odpowiednią kombinacją środków</w:t>
      </w:r>
      <w:r w:rsidR="00B10036" w:rsidRPr="00B10036">
        <w:rPr>
          <w:noProof/>
        </w:rPr>
        <w:t xml:space="preserve"> z</w:t>
      </w:r>
      <w:r w:rsidR="00B10036">
        <w:rPr>
          <w:noProof/>
        </w:rPr>
        <w:t> </w:t>
      </w:r>
      <w:r w:rsidR="00B10036" w:rsidRPr="00B10036">
        <w:rPr>
          <w:noProof/>
        </w:rPr>
        <w:t>róż</w:t>
      </w:r>
      <w:r w:rsidR="004377DF" w:rsidRPr="00B10036">
        <w:rPr>
          <w:noProof/>
        </w:rPr>
        <w:t>nych dziedzin polityki mogą jednak oznaczać utratę miejsc pracy</w:t>
      </w:r>
      <w:r w:rsidR="00B10036" w:rsidRPr="00B10036">
        <w:rPr>
          <w:noProof/>
        </w:rPr>
        <w:t xml:space="preserve"> i</w:t>
      </w:r>
      <w:r w:rsidR="00B10036">
        <w:rPr>
          <w:noProof/>
        </w:rPr>
        <w:t> </w:t>
      </w:r>
      <w:r w:rsidR="00B10036" w:rsidRPr="00B10036">
        <w:rPr>
          <w:noProof/>
        </w:rPr>
        <w:t>spa</w:t>
      </w:r>
      <w:r w:rsidR="004377DF" w:rsidRPr="00B10036">
        <w:rPr>
          <w:noProof/>
        </w:rPr>
        <w:t>dek PKB</w:t>
      </w:r>
      <w:r w:rsidR="00B10036" w:rsidRPr="00B10036">
        <w:rPr>
          <w:noProof/>
        </w:rPr>
        <w:t xml:space="preserve"> w</w:t>
      </w:r>
      <w:r w:rsidR="00B10036">
        <w:rPr>
          <w:noProof/>
        </w:rPr>
        <w:t> </w:t>
      </w:r>
      <w:r w:rsidR="00B10036" w:rsidRPr="00B10036">
        <w:rPr>
          <w:noProof/>
        </w:rPr>
        <w:t>wys</w:t>
      </w:r>
      <w:r w:rsidR="004377DF" w:rsidRPr="00B10036">
        <w:rPr>
          <w:noProof/>
        </w:rPr>
        <w:t>okości do</w:t>
      </w:r>
      <w:r w:rsidR="00B10036" w:rsidRPr="00B10036">
        <w:rPr>
          <w:noProof/>
        </w:rPr>
        <w:t> </w:t>
      </w:r>
      <w:r w:rsidR="004377DF" w:rsidRPr="00B10036">
        <w:rPr>
          <w:noProof/>
        </w:rPr>
        <w:t>0,39</w:t>
      </w:r>
      <w:r w:rsidR="00B10036" w:rsidRPr="00B10036">
        <w:rPr>
          <w:noProof/>
        </w:rPr>
        <w:t> </w:t>
      </w:r>
      <w:r w:rsidR="004377DF" w:rsidRPr="00B10036">
        <w:rPr>
          <w:noProof/>
        </w:rPr>
        <w:t>%</w:t>
      </w:r>
      <w:r w:rsidR="00B10036" w:rsidRPr="00B10036">
        <w:rPr>
          <w:noProof/>
        </w:rPr>
        <w:t xml:space="preserve"> w</w:t>
      </w:r>
      <w:r w:rsidR="00B10036">
        <w:rPr>
          <w:noProof/>
        </w:rPr>
        <w:t> </w:t>
      </w:r>
      <w:r w:rsidR="00B10036" w:rsidRPr="00B10036">
        <w:rPr>
          <w:noProof/>
        </w:rPr>
        <w:t>Uni</w:t>
      </w:r>
      <w:r w:rsidR="004377DF" w:rsidRPr="00B10036">
        <w:rPr>
          <w:noProof/>
        </w:rPr>
        <w:t>i oraz utratę miejsc pracy</w:t>
      </w:r>
      <w:r w:rsidR="00B10036" w:rsidRPr="00B10036">
        <w:rPr>
          <w:noProof/>
        </w:rPr>
        <w:t xml:space="preserve"> w</w:t>
      </w:r>
      <w:r w:rsidR="00B10036">
        <w:rPr>
          <w:noProof/>
        </w:rPr>
        <w:t> </w:t>
      </w:r>
      <w:r w:rsidR="00B10036" w:rsidRPr="00B10036">
        <w:rPr>
          <w:noProof/>
        </w:rPr>
        <w:t>wys</w:t>
      </w:r>
      <w:r w:rsidR="004377DF" w:rsidRPr="00B10036">
        <w:rPr>
          <w:noProof/>
        </w:rPr>
        <w:t>okości do</w:t>
      </w:r>
      <w:r w:rsidR="00B10036" w:rsidRPr="00B10036">
        <w:rPr>
          <w:noProof/>
        </w:rPr>
        <w:t> </w:t>
      </w:r>
      <w:r w:rsidR="004377DF" w:rsidRPr="00B10036">
        <w:rPr>
          <w:noProof/>
        </w:rPr>
        <w:t>0,26</w:t>
      </w:r>
      <w:r w:rsidR="00B10036" w:rsidRPr="00B10036">
        <w:rPr>
          <w:noProof/>
        </w:rPr>
        <w:t> </w:t>
      </w:r>
      <w:r w:rsidR="004377DF" w:rsidRPr="00B10036">
        <w:rPr>
          <w:noProof/>
        </w:rPr>
        <w:t>%</w:t>
      </w:r>
      <w:r w:rsidR="004377DF" w:rsidRPr="00B10036">
        <w:rPr>
          <w:rStyle w:val="FootnoteReference"/>
          <w:noProof/>
        </w:rPr>
        <w:footnoteReference w:id="70"/>
      </w:r>
      <w:r w:rsidR="004377DF" w:rsidRPr="00B10036">
        <w:rPr>
          <w:noProof/>
        </w:rPr>
        <w:t>.</w:t>
      </w:r>
    </w:p>
    <w:p w14:paraId="23807E23" w14:textId="755008DA" w:rsidR="009B54D8" w:rsidRPr="00B10036" w:rsidRDefault="004D6F52" w:rsidP="004D6F52">
      <w:pPr>
        <w:pStyle w:val="ManualConsidrant"/>
        <w:rPr>
          <w:noProof/>
        </w:rPr>
      </w:pPr>
      <w:r w:rsidRPr="004D6F52">
        <w:t>(9)</w:t>
      </w:r>
      <w:r w:rsidRPr="004D6F52">
        <w:tab/>
      </w:r>
      <w:r w:rsidR="0074610B" w:rsidRPr="00B10036">
        <w:rPr>
          <w:noProof/>
        </w:rPr>
        <w:t>Wpływ zielonej transformacji na działalność gospodarczą</w:t>
      </w:r>
      <w:r w:rsidR="00B10036" w:rsidRPr="00B10036">
        <w:rPr>
          <w:noProof/>
        </w:rPr>
        <w:t xml:space="preserve"> i</w:t>
      </w:r>
      <w:r w:rsidR="00B10036">
        <w:rPr>
          <w:noProof/>
        </w:rPr>
        <w:t> </w:t>
      </w:r>
      <w:r w:rsidR="00B10036" w:rsidRPr="00B10036">
        <w:rPr>
          <w:noProof/>
        </w:rPr>
        <w:t>zat</w:t>
      </w:r>
      <w:r w:rsidR="0074610B" w:rsidRPr="00B10036">
        <w:rPr>
          <w:noProof/>
        </w:rPr>
        <w:t>rudnienie będzie różny</w:t>
      </w:r>
      <w:r w:rsidR="00B10036" w:rsidRPr="00B10036">
        <w:rPr>
          <w:noProof/>
        </w:rPr>
        <w:t xml:space="preserve"> w</w:t>
      </w:r>
      <w:r w:rsidR="00B10036">
        <w:rPr>
          <w:noProof/>
        </w:rPr>
        <w:t> </w:t>
      </w:r>
      <w:r w:rsidR="00B10036" w:rsidRPr="00B10036">
        <w:rPr>
          <w:noProof/>
        </w:rPr>
        <w:t>zal</w:t>
      </w:r>
      <w:r w:rsidR="0074610B" w:rsidRPr="00B10036">
        <w:rPr>
          <w:noProof/>
        </w:rPr>
        <w:t>eżności od sektora, zawodu, regionu</w:t>
      </w:r>
      <w:r w:rsidR="00B10036" w:rsidRPr="00B10036">
        <w:rPr>
          <w:noProof/>
        </w:rPr>
        <w:t xml:space="preserve"> i</w:t>
      </w:r>
      <w:r w:rsidR="00B10036">
        <w:rPr>
          <w:noProof/>
        </w:rPr>
        <w:t> </w:t>
      </w:r>
      <w:r w:rsidR="00B10036" w:rsidRPr="00B10036">
        <w:rPr>
          <w:noProof/>
        </w:rPr>
        <w:t>pań</w:t>
      </w:r>
      <w:r w:rsidR="0074610B" w:rsidRPr="00B10036">
        <w:rPr>
          <w:noProof/>
        </w:rPr>
        <w:t>stwa, co oznacza zmiany miejsc pracy</w:t>
      </w:r>
      <w:r w:rsidR="00B10036" w:rsidRPr="00B10036">
        <w:rPr>
          <w:noProof/>
        </w:rPr>
        <w:t xml:space="preserve"> w</w:t>
      </w:r>
      <w:r w:rsidR="00B10036">
        <w:rPr>
          <w:noProof/>
        </w:rPr>
        <w:t> </w:t>
      </w:r>
      <w:r w:rsidR="00B10036" w:rsidRPr="00B10036">
        <w:rPr>
          <w:noProof/>
        </w:rPr>
        <w:t>obr</w:t>
      </w:r>
      <w:r w:rsidR="0074610B" w:rsidRPr="00B10036">
        <w:rPr>
          <w:noProof/>
        </w:rPr>
        <w:t>ębie sektorów</w:t>
      </w:r>
      <w:r w:rsidR="00B10036" w:rsidRPr="00B10036">
        <w:rPr>
          <w:noProof/>
        </w:rPr>
        <w:t xml:space="preserve"> i</w:t>
      </w:r>
      <w:r w:rsidR="00B10036">
        <w:rPr>
          <w:noProof/>
        </w:rPr>
        <w:t> </w:t>
      </w:r>
      <w:r w:rsidR="00B10036" w:rsidRPr="00B10036">
        <w:rPr>
          <w:noProof/>
        </w:rPr>
        <w:t>eko</w:t>
      </w:r>
      <w:r w:rsidR="0074610B" w:rsidRPr="00B10036">
        <w:rPr>
          <w:noProof/>
        </w:rPr>
        <w:t>systemów przemysłowych,</w:t>
      </w:r>
      <w:r w:rsidR="00B10036" w:rsidRPr="00B10036">
        <w:rPr>
          <w:noProof/>
        </w:rPr>
        <w:t xml:space="preserve"> a</w:t>
      </w:r>
      <w:r w:rsidR="00B10036">
        <w:rPr>
          <w:noProof/>
        </w:rPr>
        <w:t> </w:t>
      </w:r>
      <w:r w:rsidR="00B10036" w:rsidRPr="00B10036">
        <w:rPr>
          <w:noProof/>
        </w:rPr>
        <w:t>tak</w:t>
      </w:r>
      <w:r w:rsidR="0074610B" w:rsidRPr="00B10036">
        <w:rPr>
          <w:noProof/>
        </w:rPr>
        <w:t>że znaczne realokacje siły roboczej między nimi</w:t>
      </w:r>
      <w:r w:rsidR="0074610B" w:rsidRPr="00B10036">
        <w:rPr>
          <w:rStyle w:val="FootnoteReference"/>
          <w:noProof/>
        </w:rPr>
        <w:footnoteReference w:id="71"/>
      </w:r>
      <w:r w:rsidR="0074610B" w:rsidRPr="00B10036">
        <w:rPr>
          <w:noProof/>
        </w:rPr>
        <w:t>. Restrukturyzacja</w:t>
      </w:r>
      <w:r w:rsidR="00B10036" w:rsidRPr="00B10036">
        <w:rPr>
          <w:noProof/>
        </w:rPr>
        <w:t xml:space="preserve"> i</w:t>
      </w:r>
      <w:r w:rsidR="00B10036">
        <w:rPr>
          <w:noProof/>
        </w:rPr>
        <w:t> </w:t>
      </w:r>
      <w:r w:rsidR="00B10036" w:rsidRPr="00B10036">
        <w:rPr>
          <w:noProof/>
        </w:rPr>
        <w:t>dos</w:t>
      </w:r>
      <w:r w:rsidR="0074610B" w:rsidRPr="00B10036">
        <w:rPr>
          <w:noProof/>
        </w:rPr>
        <w:t>tosowanie</w:t>
      </w:r>
      <w:r w:rsidR="00B10036" w:rsidRPr="00B10036">
        <w:rPr>
          <w:noProof/>
        </w:rPr>
        <w:t xml:space="preserve"> w</w:t>
      </w:r>
      <w:r w:rsidR="00B10036">
        <w:rPr>
          <w:noProof/>
        </w:rPr>
        <w:t> </w:t>
      </w:r>
      <w:r w:rsidR="00B10036" w:rsidRPr="00B10036">
        <w:rPr>
          <w:noProof/>
        </w:rPr>
        <w:t>odn</w:t>
      </w:r>
      <w:r w:rsidR="0074610B" w:rsidRPr="00B10036">
        <w:rPr>
          <w:noProof/>
        </w:rPr>
        <w:t>ośnych przedsiębiorstwach, sektorach</w:t>
      </w:r>
      <w:r w:rsidR="00B10036" w:rsidRPr="00B10036">
        <w:rPr>
          <w:noProof/>
        </w:rPr>
        <w:t xml:space="preserve"> i</w:t>
      </w:r>
      <w:r w:rsidR="00B10036">
        <w:rPr>
          <w:noProof/>
        </w:rPr>
        <w:t> </w:t>
      </w:r>
      <w:r w:rsidR="00B10036" w:rsidRPr="00B10036">
        <w:rPr>
          <w:noProof/>
        </w:rPr>
        <w:t>eko</w:t>
      </w:r>
      <w:r w:rsidR="0074610B" w:rsidRPr="00B10036">
        <w:rPr>
          <w:noProof/>
        </w:rPr>
        <w:t>systemach wymaga opracowania nowych modeli biznesowych</w:t>
      </w:r>
      <w:r w:rsidR="00B10036" w:rsidRPr="00B10036">
        <w:rPr>
          <w:noProof/>
        </w:rPr>
        <w:t xml:space="preserve"> i</w:t>
      </w:r>
      <w:r w:rsidR="00B10036">
        <w:rPr>
          <w:noProof/>
        </w:rPr>
        <w:t> </w:t>
      </w:r>
      <w:r w:rsidR="00B10036" w:rsidRPr="00B10036">
        <w:rPr>
          <w:noProof/>
        </w:rPr>
        <w:t>zna</w:t>
      </w:r>
      <w:r w:rsidR="0074610B" w:rsidRPr="00B10036">
        <w:rPr>
          <w:noProof/>
        </w:rPr>
        <w:t>cznych realokacji siły roboczej między sektorami</w:t>
      </w:r>
      <w:r w:rsidR="00B10036" w:rsidRPr="00B10036">
        <w:rPr>
          <w:noProof/>
        </w:rPr>
        <w:t xml:space="preserve"> i</w:t>
      </w:r>
      <w:r w:rsidR="00B10036">
        <w:rPr>
          <w:noProof/>
        </w:rPr>
        <w:t> </w:t>
      </w:r>
      <w:r w:rsidR="00B10036" w:rsidRPr="00B10036">
        <w:rPr>
          <w:noProof/>
        </w:rPr>
        <w:t>reg</w:t>
      </w:r>
      <w:r w:rsidR="0074610B" w:rsidRPr="00B10036">
        <w:rPr>
          <w:noProof/>
        </w:rPr>
        <w:t>ionami. Na przykład oczekuje się utraty miejsc pracy</w:t>
      </w:r>
      <w:r w:rsidR="00B10036" w:rsidRPr="00B10036">
        <w:rPr>
          <w:noProof/>
        </w:rPr>
        <w:t xml:space="preserve"> w</w:t>
      </w:r>
      <w:r w:rsidR="00B10036">
        <w:rPr>
          <w:noProof/>
        </w:rPr>
        <w:t> </w:t>
      </w:r>
      <w:r w:rsidR="00B10036" w:rsidRPr="00B10036">
        <w:rPr>
          <w:noProof/>
        </w:rPr>
        <w:t>nie</w:t>
      </w:r>
      <w:r w:rsidR="0074610B" w:rsidRPr="00B10036">
        <w:rPr>
          <w:noProof/>
        </w:rPr>
        <w:t>których sektorach górnictwa lub produkcji energii na podstawie paliw kopalnych,</w:t>
      </w:r>
      <w:r w:rsidR="00B10036" w:rsidRPr="00B10036">
        <w:rPr>
          <w:noProof/>
        </w:rPr>
        <w:t xml:space="preserve"> a</w:t>
      </w:r>
      <w:r w:rsidR="00B10036">
        <w:rPr>
          <w:noProof/>
        </w:rPr>
        <w:t> </w:t>
      </w:r>
      <w:r w:rsidR="00B10036" w:rsidRPr="00B10036">
        <w:rPr>
          <w:noProof/>
        </w:rPr>
        <w:t>tak</w:t>
      </w:r>
      <w:r w:rsidR="0074610B" w:rsidRPr="00B10036">
        <w:rPr>
          <w:noProof/>
        </w:rPr>
        <w:t>że</w:t>
      </w:r>
      <w:r w:rsidR="00B10036" w:rsidRPr="00B10036">
        <w:rPr>
          <w:noProof/>
        </w:rPr>
        <w:t xml:space="preserve"> w</w:t>
      </w:r>
      <w:r w:rsidR="00B10036">
        <w:rPr>
          <w:noProof/>
        </w:rPr>
        <w:t> </w:t>
      </w:r>
      <w:r w:rsidR="00B10036" w:rsidRPr="00B10036">
        <w:rPr>
          <w:noProof/>
        </w:rPr>
        <w:t>czę</w:t>
      </w:r>
      <w:r w:rsidR="0074610B" w:rsidRPr="00B10036">
        <w:rPr>
          <w:noProof/>
        </w:rPr>
        <w:t>ściach sektora motoryzacyjnego</w:t>
      </w:r>
      <w:r w:rsidR="00B10036" w:rsidRPr="00B10036">
        <w:rPr>
          <w:noProof/>
        </w:rPr>
        <w:t>. Z</w:t>
      </w:r>
      <w:r w:rsidR="00B10036">
        <w:rPr>
          <w:noProof/>
        </w:rPr>
        <w:t> </w:t>
      </w:r>
      <w:r w:rsidR="00B10036" w:rsidRPr="00B10036">
        <w:rPr>
          <w:noProof/>
        </w:rPr>
        <w:t>dru</w:t>
      </w:r>
      <w:r w:rsidR="0074610B" w:rsidRPr="00B10036">
        <w:rPr>
          <w:noProof/>
        </w:rPr>
        <w:t>giej strony oczekuje się nowych możliwości zatrudnienia</w:t>
      </w:r>
      <w:r w:rsidR="00B10036" w:rsidRPr="00B10036">
        <w:rPr>
          <w:noProof/>
        </w:rPr>
        <w:t xml:space="preserve"> w</w:t>
      </w:r>
      <w:r w:rsidR="00B10036">
        <w:rPr>
          <w:noProof/>
        </w:rPr>
        <w:t> </w:t>
      </w:r>
      <w:r w:rsidR="00B10036" w:rsidRPr="00B10036">
        <w:rPr>
          <w:noProof/>
        </w:rPr>
        <w:t>dzi</w:t>
      </w:r>
      <w:r w:rsidR="0074610B" w:rsidRPr="00B10036">
        <w:rPr>
          <w:noProof/>
        </w:rPr>
        <w:t>ałalności związanej</w:t>
      </w:r>
      <w:r w:rsidR="00B10036" w:rsidRPr="00B10036">
        <w:rPr>
          <w:noProof/>
        </w:rPr>
        <w:t xml:space="preserve"> z</w:t>
      </w:r>
      <w:r w:rsidR="00B10036">
        <w:rPr>
          <w:noProof/>
        </w:rPr>
        <w:t> </w:t>
      </w:r>
      <w:r w:rsidR="00B10036" w:rsidRPr="00B10036">
        <w:rPr>
          <w:noProof/>
        </w:rPr>
        <w:t>zat</w:t>
      </w:r>
      <w:r w:rsidR="0074610B" w:rsidRPr="00B10036">
        <w:rPr>
          <w:noProof/>
        </w:rPr>
        <w:t>rzymaniem wartości</w:t>
      </w:r>
      <w:r w:rsidR="00B10036" w:rsidRPr="00B10036">
        <w:rPr>
          <w:noProof/>
        </w:rPr>
        <w:t xml:space="preserve"> w</w:t>
      </w:r>
      <w:r w:rsidR="00B10036">
        <w:rPr>
          <w:noProof/>
        </w:rPr>
        <w:t> </w:t>
      </w:r>
      <w:r w:rsidR="00B10036" w:rsidRPr="00B10036">
        <w:rPr>
          <w:noProof/>
        </w:rPr>
        <w:t>obi</w:t>
      </w:r>
      <w:r w:rsidR="0074610B" w:rsidRPr="00B10036">
        <w:rPr>
          <w:noProof/>
        </w:rPr>
        <w:t>egu zamkniętym oraz</w:t>
      </w:r>
      <w:r w:rsidR="00B10036" w:rsidRPr="00B10036">
        <w:rPr>
          <w:noProof/>
        </w:rPr>
        <w:t xml:space="preserve"> w</w:t>
      </w:r>
      <w:r w:rsidR="00B10036">
        <w:rPr>
          <w:noProof/>
        </w:rPr>
        <w:t> </w:t>
      </w:r>
      <w:r w:rsidR="00B10036" w:rsidRPr="00B10036">
        <w:rPr>
          <w:noProof/>
        </w:rPr>
        <w:t>zró</w:t>
      </w:r>
      <w:r w:rsidR="0074610B" w:rsidRPr="00B10036">
        <w:rPr>
          <w:noProof/>
        </w:rPr>
        <w:t>wnoważonym transporcie</w:t>
      </w:r>
      <w:r w:rsidR="00B10036" w:rsidRPr="00B10036">
        <w:rPr>
          <w:noProof/>
        </w:rPr>
        <w:t xml:space="preserve"> i</w:t>
      </w:r>
      <w:r w:rsidR="00B10036">
        <w:rPr>
          <w:noProof/>
        </w:rPr>
        <w:t> </w:t>
      </w:r>
      <w:r w:rsidR="00B10036" w:rsidRPr="00B10036">
        <w:rPr>
          <w:noProof/>
        </w:rPr>
        <w:t>pro</w:t>
      </w:r>
      <w:r w:rsidR="0074610B" w:rsidRPr="00B10036">
        <w:rPr>
          <w:noProof/>
        </w:rPr>
        <w:t>dukcji energii. Państwa członkowskie powinny zatem stosować szczegółowe podejścia, koncentrując się na poszczególnych regionach</w:t>
      </w:r>
      <w:r w:rsidR="00B10036" w:rsidRPr="00B10036">
        <w:rPr>
          <w:noProof/>
        </w:rPr>
        <w:t xml:space="preserve"> i</w:t>
      </w:r>
      <w:r w:rsidR="00B10036">
        <w:rPr>
          <w:noProof/>
        </w:rPr>
        <w:t> </w:t>
      </w:r>
      <w:r w:rsidR="00B10036" w:rsidRPr="00B10036">
        <w:rPr>
          <w:noProof/>
        </w:rPr>
        <w:t>eko</w:t>
      </w:r>
      <w:r w:rsidR="0074610B" w:rsidRPr="00B10036">
        <w:rPr>
          <w:noProof/>
        </w:rPr>
        <w:t>systemach, których to dotyczy, we współpracy</w:t>
      </w:r>
      <w:r w:rsidR="00B10036" w:rsidRPr="00B10036">
        <w:rPr>
          <w:noProof/>
        </w:rPr>
        <w:t xml:space="preserve"> z</w:t>
      </w:r>
      <w:r w:rsidR="00B10036">
        <w:rPr>
          <w:noProof/>
        </w:rPr>
        <w:t> </w:t>
      </w:r>
      <w:r w:rsidR="00B10036" w:rsidRPr="00B10036">
        <w:rPr>
          <w:noProof/>
        </w:rPr>
        <w:t>par</w:t>
      </w:r>
      <w:r w:rsidR="0074610B" w:rsidRPr="00B10036">
        <w:rPr>
          <w:noProof/>
        </w:rPr>
        <w:t>tnerami społecznymi lub władzami lokalnymi</w:t>
      </w:r>
      <w:r w:rsidR="00B10036" w:rsidRPr="00B10036">
        <w:rPr>
          <w:noProof/>
        </w:rPr>
        <w:t xml:space="preserve"> i</w:t>
      </w:r>
      <w:r w:rsidR="00B10036">
        <w:rPr>
          <w:noProof/>
        </w:rPr>
        <w:t> </w:t>
      </w:r>
      <w:r w:rsidR="00B10036" w:rsidRPr="00B10036">
        <w:rPr>
          <w:noProof/>
        </w:rPr>
        <w:t>reg</w:t>
      </w:r>
      <w:r w:rsidR="0074610B" w:rsidRPr="00B10036">
        <w:rPr>
          <w:noProof/>
        </w:rPr>
        <w:t>ionalnymi oraz zainteresowanymi stronami.</w:t>
      </w:r>
    </w:p>
    <w:p w14:paraId="500C1C2E" w14:textId="062FDD78" w:rsidR="009B54D8" w:rsidRPr="00B10036" w:rsidRDefault="004D6F52" w:rsidP="004D6F52">
      <w:pPr>
        <w:pStyle w:val="ManualConsidrant"/>
        <w:rPr>
          <w:noProof/>
        </w:rPr>
      </w:pPr>
      <w:r w:rsidRPr="004D6F52">
        <w:t>(10)</w:t>
      </w:r>
      <w:r w:rsidRPr="004D6F52">
        <w:tab/>
      </w:r>
      <w:r w:rsidR="00186B5C" w:rsidRPr="00B10036">
        <w:rPr>
          <w:noProof/>
        </w:rPr>
        <w:t>Poprzez tworzenie wysokiej jakości możliwości zatrudnienia dla wszystkich,</w:t>
      </w:r>
      <w:r w:rsidR="00B10036" w:rsidRPr="00B10036">
        <w:rPr>
          <w:noProof/>
        </w:rPr>
        <w:t xml:space="preserve"> a</w:t>
      </w:r>
      <w:r w:rsidR="00B10036">
        <w:rPr>
          <w:noProof/>
        </w:rPr>
        <w:t> </w:t>
      </w:r>
      <w:r w:rsidR="00B10036" w:rsidRPr="00B10036">
        <w:rPr>
          <w:noProof/>
        </w:rPr>
        <w:t>jed</w:t>
      </w:r>
      <w:r w:rsidR="00186B5C" w:rsidRPr="00B10036">
        <w:rPr>
          <w:noProof/>
        </w:rPr>
        <w:t>nocześnie wdrażanie środków mających na celu łagodzenie ubóstwa energetycznego</w:t>
      </w:r>
      <w:r w:rsidR="00B10036" w:rsidRPr="00B10036">
        <w:rPr>
          <w:noProof/>
        </w:rPr>
        <w:t xml:space="preserve"> i</w:t>
      </w:r>
      <w:r w:rsidR="00B10036">
        <w:rPr>
          <w:noProof/>
        </w:rPr>
        <w:t> </w:t>
      </w:r>
      <w:r w:rsidR="00B10036" w:rsidRPr="00B10036">
        <w:rPr>
          <w:noProof/>
        </w:rPr>
        <w:t>tra</w:t>
      </w:r>
      <w:r w:rsidR="00186B5C" w:rsidRPr="00B10036">
        <w:rPr>
          <w:noProof/>
        </w:rPr>
        <w:t>nsportowego oraz zapobieganie mu zielona transformacja może przyczynić się do zwiększenia dochodów</w:t>
      </w:r>
      <w:r w:rsidR="00B10036" w:rsidRPr="00B10036">
        <w:rPr>
          <w:noProof/>
        </w:rPr>
        <w:t xml:space="preserve"> i</w:t>
      </w:r>
      <w:r w:rsidR="00B10036">
        <w:rPr>
          <w:noProof/>
        </w:rPr>
        <w:t> </w:t>
      </w:r>
      <w:r w:rsidR="00B10036" w:rsidRPr="00B10036">
        <w:rPr>
          <w:noProof/>
        </w:rPr>
        <w:t>ogó</w:t>
      </w:r>
      <w:r w:rsidR="00186B5C" w:rsidRPr="00B10036">
        <w:rPr>
          <w:noProof/>
        </w:rPr>
        <w:t>lnego zmniejszenia nierówności</w:t>
      </w:r>
      <w:r w:rsidR="00B10036" w:rsidRPr="00B10036">
        <w:rPr>
          <w:noProof/>
        </w:rPr>
        <w:t xml:space="preserve"> i</w:t>
      </w:r>
      <w:r w:rsidR="00B10036">
        <w:rPr>
          <w:noProof/>
        </w:rPr>
        <w:t> </w:t>
      </w:r>
      <w:r w:rsidR="00B10036" w:rsidRPr="00B10036">
        <w:rPr>
          <w:noProof/>
        </w:rPr>
        <w:t>ubó</w:t>
      </w:r>
      <w:r w:rsidR="00186B5C" w:rsidRPr="00B10036">
        <w:rPr>
          <w:noProof/>
        </w:rPr>
        <w:t>stwa</w:t>
      </w:r>
      <w:r w:rsidR="00186B5C" w:rsidRPr="00B10036">
        <w:rPr>
          <w:rStyle w:val="FootnoteReference"/>
          <w:noProof/>
        </w:rPr>
        <w:footnoteReference w:id="72"/>
      </w:r>
      <w:r w:rsidR="00186B5C" w:rsidRPr="00B10036">
        <w:rPr>
          <w:noProof/>
        </w:rPr>
        <w:t>. Może ona zatem pomóc</w:t>
      </w:r>
      <w:r w:rsidR="00B10036" w:rsidRPr="00B10036">
        <w:rPr>
          <w:noProof/>
        </w:rPr>
        <w:t xml:space="preserve"> w</w:t>
      </w:r>
      <w:r w:rsidR="00B10036">
        <w:rPr>
          <w:noProof/>
        </w:rPr>
        <w:t> </w:t>
      </w:r>
      <w:r w:rsidR="00B10036" w:rsidRPr="00B10036">
        <w:rPr>
          <w:noProof/>
        </w:rPr>
        <w:t>roz</w:t>
      </w:r>
      <w:r w:rsidR="00186B5C" w:rsidRPr="00B10036">
        <w:rPr>
          <w:noProof/>
        </w:rPr>
        <w:t>wiązaniu problemu istniejących wcześniej nierówności społeczno-gospodarczych</w:t>
      </w:r>
      <w:r w:rsidR="00B10036" w:rsidRPr="00B10036">
        <w:rPr>
          <w:noProof/>
        </w:rPr>
        <w:t xml:space="preserve"> i</w:t>
      </w:r>
      <w:r w:rsidR="00B10036">
        <w:rPr>
          <w:noProof/>
        </w:rPr>
        <w:t> </w:t>
      </w:r>
      <w:r w:rsidR="00B10036" w:rsidRPr="00B10036">
        <w:rPr>
          <w:noProof/>
        </w:rPr>
        <w:t>wyk</w:t>
      </w:r>
      <w:r w:rsidR="00186B5C" w:rsidRPr="00B10036">
        <w:rPr>
          <w:noProof/>
        </w:rPr>
        <w:t>luczenia społecznego, poprawie zdrowia</w:t>
      </w:r>
      <w:r w:rsidR="00B10036" w:rsidRPr="00B10036">
        <w:rPr>
          <w:noProof/>
        </w:rPr>
        <w:t xml:space="preserve"> i</w:t>
      </w:r>
      <w:r w:rsidR="00B10036">
        <w:rPr>
          <w:noProof/>
        </w:rPr>
        <w:t> </w:t>
      </w:r>
      <w:r w:rsidR="00B10036" w:rsidRPr="00B10036">
        <w:rPr>
          <w:noProof/>
        </w:rPr>
        <w:t>dob</w:t>
      </w:r>
      <w:r w:rsidR="00186B5C" w:rsidRPr="00B10036">
        <w:rPr>
          <w:noProof/>
        </w:rPr>
        <w:t>rostanu oraz promowaniu równości. Szczególną uwagę należy zwrócić na niektóre grupy społeczne, zwłaszcza te już będące</w:t>
      </w:r>
      <w:r w:rsidR="00B10036" w:rsidRPr="00B10036">
        <w:rPr>
          <w:noProof/>
        </w:rPr>
        <w:t xml:space="preserve"> w</w:t>
      </w:r>
      <w:r w:rsidR="00B10036">
        <w:rPr>
          <w:noProof/>
        </w:rPr>
        <w:t> </w:t>
      </w:r>
      <w:r w:rsidR="00B10036" w:rsidRPr="00B10036">
        <w:rPr>
          <w:noProof/>
        </w:rPr>
        <w:t>tru</w:t>
      </w:r>
      <w:r w:rsidR="00186B5C" w:rsidRPr="00B10036">
        <w:rPr>
          <w:noProof/>
        </w:rPr>
        <w:t>dnej sytuacji. Dotyczy to przede wszystkim gospodarstw domowych</w:t>
      </w:r>
      <w:r w:rsidR="00B10036" w:rsidRPr="00B10036">
        <w:rPr>
          <w:noProof/>
        </w:rPr>
        <w:t xml:space="preserve"> o</w:t>
      </w:r>
      <w:r w:rsidR="00B10036">
        <w:rPr>
          <w:noProof/>
        </w:rPr>
        <w:t> </w:t>
      </w:r>
      <w:r w:rsidR="00B10036" w:rsidRPr="00B10036">
        <w:rPr>
          <w:noProof/>
        </w:rPr>
        <w:t>nis</w:t>
      </w:r>
      <w:r w:rsidR="00186B5C" w:rsidRPr="00B10036">
        <w:rPr>
          <w:noProof/>
        </w:rPr>
        <w:t>kich</w:t>
      </w:r>
      <w:r w:rsidR="00B10036" w:rsidRPr="00B10036">
        <w:rPr>
          <w:noProof/>
        </w:rPr>
        <w:t xml:space="preserve"> i</w:t>
      </w:r>
      <w:r w:rsidR="00B10036">
        <w:rPr>
          <w:noProof/>
        </w:rPr>
        <w:t> </w:t>
      </w:r>
      <w:r w:rsidR="00B10036" w:rsidRPr="00B10036">
        <w:rPr>
          <w:noProof/>
        </w:rPr>
        <w:t>niż</w:t>
      </w:r>
      <w:r w:rsidR="00186B5C" w:rsidRPr="00B10036">
        <w:rPr>
          <w:noProof/>
        </w:rPr>
        <w:t>szych średnich dochodach, które przeznaczają dużą część dochodu na podstawowe usługi, takie jak energia, transport</w:t>
      </w:r>
      <w:r w:rsidR="00B10036" w:rsidRPr="00B10036">
        <w:rPr>
          <w:noProof/>
        </w:rPr>
        <w:t xml:space="preserve"> i</w:t>
      </w:r>
      <w:r w:rsidR="00B10036">
        <w:rPr>
          <w:noProof/>
        </w:rPr>
        <w:t> </w:t>
      </w:r>
      <w:r w:rsidR="00B10036" w:rsidRPr="00B10036">
        <w:rPr>
          <w:noProof/>
        </w:rPr>
        <w:t>mie</w:t>
      </w:r>
      <w:r w:rsidR="00186B5C" w:rsidRPr="00B10036">
        <w:rPr>
          <w:noProof/>
        </w:rPr>
        <w:t>szkalnictwo,</w:t>
      </w:r>
      <w:r w:rsidR="00B10036" w:rsidRPr="00B10036">
        <w:rPr>
          <w:noProof/>
        </w:rPr>
        <w:t xml:space="preserve"> a</w:t>
      </w:r>
      <w:r w:rsidR="00B10036">
        <w:rPr>
          <w:noProof/>
        </w:rPr>
        <w:t> </w:t>
      </w:r>
      <w:r w:rsidR="00B10036" w:rsidRPr="00B10036">
        <w:rPr>
          <w:noProof/>
        </w:rPr>
        <w:t>tak</w:t>
      </w:r>
      <w:r w:rsidR="00186B5C" w:rsidRPr="00B10036">
        <w:rPr>
          <w:noProof/>
        </w:rPr>
        <w:t>że mikroprzedsiębiorstw oraz małych</w:t>
      </w:r>
      <w:r w:rsidR="00B10036" w:rsidRPr="00B10036">
        <w:rPr>
          <w:noProof/>
        </w:rPr>
        <w:t xml:space="preserve"> i</w:t>
      </w:r>
      <w:r w:rsidR="00B10036">
        <w:rPr>
          <w:noProof/>
        </w:rPr>
        <w:t> </w:t>
      </w:r>
      <w:r w:rsidR="00B10036" w:rsidRPr="00B10036">
        <w:rPr>
          <w:noProof/>
        </w:rPr>
        <w:t>śre</w:t>
      </w:r>
      <w:r w:rsidR="00186B5C" w:rsidRPr="00B10036">
        <w:rPr>
          <w:noProof/>
        </w:rPr>
        <w:t>dnich przedsiębiorstw. Wyniki modelowania pokazują, że to, czy podatki na ochronę środowiska są progresywne czy regresywne, będzie</w:t>
      </w:r>
      <w:r w:rsidR="00B10036" w:rsidRPr="00B10036">
        <w:rPr>
          <w:noProof/>
        </w:rPr>
        <w:t xml:space="preserve"> w</w:t>
      </w:r>
      <w:r w:rsidR="00B10036">
        <w:rPr>
          <w:noProof/>
        </w:rPr>
        <w:t> </w:t>
      </w:r>
      <w:r w:rsidR="00B10036" w:rsidRPr="00B10036">
        <w:rPr>
          <w:noProof/>
        </w:rPr>
        <w:t>duż</w:t>
      </w:r>
      <w:r w:rsidR="00186B5C" w:rsidRPr="00B10036">
        <w:rPr>
          <w:noProof/>
        </w:rPr>
        <w:t>ej mierze zależało od konstrukcji instrumentu,</w:t>
      </w:r>
      <w:r w:rsidR="00B10036" w:rsidRPr="00B10036">
        <w:rPr>
          <w:noProof/>
        </w:rPr>
        <w:t xml:space="preserve"> w</w:t>
      </w:r>
      <w:r w:rsidR="00B10036">
        <w:rPr>
          <w:noProof/>
        </w:rPr>
        <w:t> </w:t>
      </w:r>
      <w:r w:rsidR="00B10036" w:rsidRPr="00B10036">
        <w:rPr>
          <w:noProof/>
        </w:rPr>
        <w:t>tym</w:t>
      </w:r>
      <w:r w:rsidR="00186B5C" w:rsidRPr="00B10036">
        <w:rPr>
          <w:noProof/>
        </w:rPr>
        <w:t xml:space="preserve"> np. od zakresu,</w:t>
      </w:r>
      <w:r w:rsidR="00B10036" w:rsidRPr="00B10036">
        <w:rPr>
          <w:noProof/>
        </w:rPr>
        <w:t xml:space="preserve"> w</w:t>
      </w:r>
      <w:r w:rsidR="00B10036">
        <w:rPr>
          <w:noProof/>
        </w:rPr>
        <w:t> </w:t>
      </w:r>
      <w:r w:rsidR="00B10036" w:rsidRPr="00B10036">
        <w:rPr>
          <w:noProof/>
        </w:rPr>
        <w:t>jak</w:t>
      </w:r>
      <w:r w:rsidR="00186B5C" w:rsidRPr="00B10036">
        <w:rPr>
          <w:noProof/>
        </w:rPr>
        <w:t>im obniżki podatku dochodowego lub inne możliwości recyklingu dochodów są ukierunkowane na osoby</w:t>
      </w:r>
      <w:r w:rsidR="00B10036" w:rsidRPr="00B10036">
        <w:rPr>
          <w:noProof/>
        </w:rPr>
        <w:t xml:space="preserve"> o</w:t>
      </w:r>
      <w:r w:rsidR="00B10036">
        <w:rPr>
          <w:noProof/>
        </w:rPr>
        <w:t> </w:t>
      </w:r>
      <w:r w:rsidR="00B10036" w:rsidRPr="00B10036">
        <w:rPr>
          <w:noProof/>
        </w:rPr>
        <w:t>niż</w:t>
      </w:r>
      <w:r w:rsidR="00186B5C" w:rsidRPr="00B10036">
        <w:rPr>
          <w:noProof/>
        </w:rPr>
        <w:t>szych dochodach</w:t>
      </w:r>
      <w:r w:rsidR="00186B5C" w:rsidRPr="00B10036">
        <w:rPr>
          <w:rStyle w:val="FootnoteReference"/>
          <w:noProof/>
        </w:rPr>
        <w:footnoteReference w:id="73"/>
      </w:r>
      <w:r w:rsidR="00186B5C" w:rsidRPr="00B10036">
        <w:rPr>
          <w:noProof/>
        </w:rPr>
        <w:t xml:space="preserve">. </w:t>
      </w:r>
    </w:p>
    <w:p w14:paraId="361271E0" w14:textId="6CA80E0C" w:rsidR="009B54D8" w:rsidRPr="00B10036" w:rsidRDefault="004D6F52" w:rsidP="004D6F52">
      <w:pPr>
        <w:pStyle w:val="ManualConsidrant"/>
        <w:rPr>
          <w:noProof/>
        </w:rPr>
      </w:pPr>
      <w:r w:rsidRPr="004D6F52">
        <w:t>(11)</w:t>
      </w:r>
      <w:r w:rsidRPr="004D6F52">
        <w:tab/>
      </w:r>
      <w:r w:rsidR="00580BA9" w:rsidRPr="00B10036">
        <w:rPr>
          <w:noProof/>
        </w:rPr>
        <w:t>Działalność związana</w:t>
      </w:r>
      <w:r w:rsidR="00B10036" w:rsidRPr="00B10036">
        <w:rPr>
          <w:noProof/>
        </w:rPr>
        <w:t xml:space="preserve"> z</w:t>
      </w:r>
      <w:r w:rsidR="00B10036">
        <w:rPr>
          <w:noProof/>
        </w:rPr>
        <w:t> </w:t>
      </w:r>
      <w:r w:rsidR="00B10036" w:rsidRPr="00B10036">
        <w:rPr>
          <w:noProof/>
        </w:rPr>
        <w:t>zat</w:t>
      </w:r>
      <w:r w:rsidR="00580BA9" w:rsidRPr="00B10036">
        <w:rPr>
          <w:noProof/>
        </w:rPr>
        <w:t>rzymaniem wartości</w:t>
      </w:r>
      <w:r w:rsidR="00B10036" w:rsidRPr="00B10036">
        <w:rPr>
          <w:noProof/>
        </w:rPr>
        <w:t xml:space="preserve"> w</w:t>
      </w:r>
      <w:r w:rsidR="00B10036">
        <w:rPr>
          <w:noProof/>
        </w:rPr>
        <w:t> </w:t>
      </w:r>
      <w:r w:rsidR="00B10036" w:rsidRPr="00B10036">
        <w:rPr>
          <w:noProof/>
        </w:rPr>
        <w:t>obi</w:t>
      </w:r>
      <w:r w:rsidR="00580BA9" w:rsidRPr="00B10036">
        <w:rPr>
          <w:noProof/>
        </w:rPr>
        <w:t>egu zamkniętym (w tym modele biznesowe obejmujące naprawę, ponowne wykorzystanie, regenerację produktów</w:t>
      </w:r>
      <w:r w:rsidR="00B10036" w:rsidRPr="00B10036">
        <w:rPr>
          <w:noProof/>
        </w:rPr>
        <w:t xml:space="preserve"> i</w:t>
      </w:r>
      <w:r w:rsidR="00B10036">
        <w:rPr>
          <w:noProof/>
        </w:rPr>
        <w:t> </w:t>
      </w:r>
      <w:r w:rsidR="00B10036" w:rsidRPr="00B10036">
        <w:rPr>
          <w:noProof/>
        </w:rPr>
        <w:t>ser</w:t>
      </w:r>
      <w:r w:rsidR="00580BA9" w:rsidRPr="00B10036">
        <w:rPr>
          <w:noProof/>
        </w:rPr>
        <w:t>wicyzację) może sprzyjać zrównoważonemu</w:t>
      </w:r>
      <w:r w:rsidR="00B10036" w:rsidRPr="00B10036">
        <w:rPr>
          <w:noProof/>
        </w:rPr>
        <w:t xml:space="preserve"> i</w:t>
      </w:r>
      <w:r w:rsidR="00B10036">
        <w:rPr>
          <w:noProof/>
        </w:rPr>
        <w:t> </w:t>
      </w:r>
      <w:r w:rsidR="00B10036" w:rsidRPr="00B10036">
        <w:rPr>
          <w:noProof/>
        </w:rPr>
        <w:t>prz</w:t>
      </w:r>
      <w:r w:rsidR="00580BA9" w:rsidRPr="00B10036">
        <w:rPr>
          <w:noProof/>
        </w:rPr>
        <w:t>ystępnemu cenowo dostępowi do towarów</w:t>
      </w:r>
      <w:r w:rsidR="00B10036" w:rsidRPr="00B10036">
        <w:rPr>
          <w:noProof/>
        </w:rPr>
        <w:t xml:space="preserve"> i</w:t>
      </w:r>
      <w:r w:rsidR="00B10036">
        <w:rPr>
          <w:noProof/>
        </w:rPr>
        <w:t> </w:t>
      </w:r>
      <w:r w:rsidR="00B10036" w:rsidRPr="00B10036">
        <w:rPr>
          <w:noProof/>
        </w:rPr>
        <w:t>usł</w:t>
      </w:r>
      <w:r w:rsidR="00580BA9" w:rsidRPr="00B10036">
        <w:rPr>
          <w:noProof/>
        </w:rPr>
        <w:t>ug. Przyczynia się ona także do powstawania miejsc pracy</w:t>
      </w:r>
      <w:r w:rsidR="00B10036" w:rsidRPr="00B10036">
        <w:rPr>
          <w:noProof/>
        </w:rPr>
        <w:t xml:space="preserve"> i</w:t>
      </w:r>
      <w:r w:rsidR="00B10036">
        <w:rPr>
          <w:noProof/>
        </w:rPr>
        <w:t> </w:t>
      </w:r>
      <w:r w:rsidR="00B10036" w:rsidRPr="00B10036">
        <w:rPr>
          <w:noProof/>
        </w:rPr>
        <w:t>moż</w:t>
      </w:r>
      <w:r w:rsidR="00580BA9" w:rsidRPr="00B10036">
        <w:rPr>
          <w:noProof/>
        </w:rPr>
        <w:t>liwości na różnych poziomach umiejętności,</w:t>
      </w:r>
      <w:r w:rsidR="00B10036" w:rsidRPr="00B10036">
        <w:rPr>
          <w:noProof/>
        </w:rPr>
        <w:t xml:space="preserve"> w</w:t>
      </w:r>
      <w:r w:rsidR="00B10036">
        <w:rPr>
          <w:noProof/>
        </w:rPr>
        <w:t> </w:t>
      </w:r>
      <w:r w:rsidR="00B10036" w:rsidRPr="00B10036">
        <w:rPr>
          <w:noProof/>
        </w:rPr>
        <w:t>tym</w:t>
      </w:r>
      <w:r w:rsidR="00580BA9" w:rsidRPr="00B10036">
        <w:rPr>
          <w:noProof/>
        </w:rPr>
        <w:t xml:space="preserve"> dla kobiet, osób niepełnosprawnych</w:t>
      </w:r>
      <w:r w:rsidR="00B10036" w:rsidRPr="00B10036">
        <w:rPr>
          <w:noProof/>
        </w:rPr>
        <w:t xml:space="preserve"> i</w:t>
      </w:r>
      <w:r w:rsidR="00B10036">
        <w:rPr>
          <w:noProof/>
        </w:rPr>
        <w:t> </w:t>
      </w:r>
      <w:r w:rsidR="00B10036" w:rsidRPr="00B10036">
        <w:rPr>
          <w:noProof/>
        </w:rPr>
        <w:t>gru</w:t>
      </w:r>
      <w:r w:rsidR="00580BA9" w:rsidRPr="00B10036">
        <w:rPr>
          <w:noProof/>
        </w:rPr>
        <w:t>p będących</w:t>
      </w:r>
      <w:r w:rsidR="00B10036" w:rsidRPr="00B10036">
        <w:rPr>
          <w:noProof/>
        </w:rPr>
        <w:t xml:space="preserve"> w</w:t>
      </w:r>
      <w:r w:rsidR="00B10036">
        <w:rPr>
          <w:noProof/>
        </w:rPr>
        <w:t> </w:t>
      </w:r>
      <w:r w:rsidR="00B10036" w:rsidRPr="00B10036">
        <w:rPr>
          <w:noProof/>
        </w:rPr>
        <w:t>tru</w:t>
      </w:r>
      <w:r w:rsidR="00580BA9" w:rsidRPr="00B10036">
        <w:rPr>
          <w:noProof/>
        </w:rPr>
        <w:t>dnej sytuacji,</w:t>
      </w:r>
      <w:r w:rsidR="00B10036" w:rsidRPr="00B10036">
        <w:rPr>
          <w:noProof/>
        </w:rPr>
        <w:t xml:space="preserve"> a</w:t>
      </w:r>
      <w:r w:rsidR="00B10036">
        <w:rPr>
          <w:noProof/>
        </w:rPr>
        <w:t> </w:t>
      </w:r>
      <w:r w:rsidR="00B10036" w:rsidRPr="00B10036">
        <w:rPr>
          <w:noProof/>
        </w:rPr>
        <w:t>w</w:t>
      </w:r>
      <w:r w:rsidR="00B10036">
        <w:rPr>
          <w:noProof/>
        </w:rPr>
        <w:t> </w:t>
      </w:r>
      <w:r w:rsidR="00B10036" w:rsidRPr="00B10036">
        <w:rPr>
          <w:noProof/>
        </w:rPr>
        <w:t>obs</w:t>
      </w:r>
      <w:r w:rsidR="00580BA9" w:rsidRPr="00B10036">
        <w:rPr>
          <w:noProof/>
        </w:rPr>
        <w:t>zarze tym działają przedsiębiorstwa społeczne. Dzięki unikaniu nowych zakupów znacznie ogranicza emisje dwutlenku węgla,</w:t>
      </w:r>
      <w:r w:rsidR="00B10036" w:rsidRPr="00B10036">
        <w:rPr>
          <w:noProof/>
        </w:rPr>
        <w:t xml:space="preserve"> a</w:t>
      </w:r>
      <w:r w:rsidR="00B10036">
        <w:rPr>
          <w:noProof/>
        </w:rPr>
        <w:t> </w:t>
      </w:r>
      <w:r w:rsidR="00B10036" w:rsidRPr="00B10036">
        <w:rPr>
          <w:noProof/>
        </w:rPr>
        <w:t>two</w:t>
      </w:r>
      <w:r w:rsidR="00580BA9" w:rsidRPr="00B10036">
        <w:rPr>
          <w:noProof/>
        </w:rPr>
        <w:t>rzone miejsca pracy znajdują się</w:t>
      </w:r>
      <w:r w:rsidR="00B10036" w:rsidRPr="00B10036">
        <w:rPr>
          <w:noProof/>
        </w:rPr>
        <w:t xml:space="preserve"> w</w:t>
      </w:r>
      <w:r w:rsidR="00B10036">
        <w:rPr>
          <w:noProof/>
        </w:rPr>
        <w:t> </w:t>
      </w:r>
      <w:r w:rsidR="00B10036" w:rsidRPr="00B10036">
        <w:rPr>
          <w:noProof/>
        </w:rPr>
        <w:t>pob</w:t>
      </w:r>
      <w:r w:rsidR="00580BA9" w:rsidRPr="00B10036">
        <w:rPr>
          <w:noProof/>
        </w:rPr>
        <w:t xml:space="preserve">liżu produktów, które trzeba konserwować, odnawiać lub udostępniać. </w:t>
      </w:r>
    </w:p>
    <w:p w14:paraId="4E07EFB6" w14:textId="799F3B04" w:rsidR="009B54D8" w:rsidRPr="00B10036" w:rsidRDefault="004D6F52" w:rsidP="004D6F52">
      <w:pPr>
        <w:pStyle w:val="ManualConsidrant"/>
        <w:rPr>
          <w:noProof/>
        </w:rPr>
      </w:pPr>
      <w:r w:rsidRPr="004D6F52">
        <w:t>(12)</w:t>
      </w:r>
      <w:r w:rsidRPr="004D6F52">
        <w:tab/>
      </w:r>
      <w:r w:rsidR="00042484" w:rsidRPr="00B10036">
        <w:rPr>
          <w:noProof/>
        </w:rPr>
        <w:t>Według najnowszych danych dostępnych w EU-SILC na lata 2019–2020</w:t>
      </w:r>
      <w:r w:rsidR="00042484" w:rsidRPr="00B10036">
        <w:rPr>
          <w:rStyle w:val="FootnoteReference"/>
          <w:noProof/>
        </w:rPr>
        <w:footnoteReference w:id="74"/>
      </w:r>
      <w:r w:rsidR="00042484" w:rsidRPr="00B10036">
        <w:rPr>
          <w:noProof/>
        </w:rPr>
        <w:t xml:space="preserve"> ubóstwo energetyczne dotknęło około 8</w:t>
      </w:r>
      <w:r w:rsidR="00B10036" w:rsidRPr="00B10036">
        <w:rPr>
          <w:noProof/>
        </w:rPr>
        <w:t> </w:t>
      </w:r>
      <w:r w:rsidR="00042484" w:rsidRPr="00B10036">
        <w:rPr>
          <w:noProof/>
        </w:rPr>
        <w:t>% ludności UE, tj. ponad 35 mln osób, które nie były</w:t>
      </w:r>
      <w:r w:rsidR="00B10036" w:rsidRPr="00B10036">
        <w:rPr>
          <w:noProof/>
        </w:rPr>
        <w:t xml:space="preserve"> w</w:t>
      </w:r>
      <w:r w:rsidR="00B10036">
        <w:rPr>
          <w:noProof/>
        </w:rPr>
        <w:t> </w:t>
      </w:r>
      <w:r w:rsidR="00B10036" w:rsidRPr="00B10036">
        <w:rPr>
          <w:noProof/>
        </w:rPr>
        <w:t>sta</w:t>
      </w:r>
      <w:r w:rsidR="00042484" w:rsidRPr="00B10036">
        <w:rPr>
          <w:noProof/>
        </w:rPr>
        <w:t>nie</w:t>
      </w:r>
      <w:r w:rsidR="00B10036" w:rsidRPr="00B10036">
        <w:rPr>
          <w:noProof/>
        </w:rPr>
        <w:t xml:space="preserve"> w</w:t>
      </w:r>
      <w:r w:rsidR="00B10036">
        <w:rPr>
          <w:noProof/>
        </w:rPr>
        <w:t> </w:t>
      </w:r>
      <w:r w:rsidR="00B10036" w:rsidRPr="00B10036">
        <w:rPr>
          <w:noProof/>
        </w:rPr>
        <w:t>odp</w:t>
      </w:r>
      <w:r w:rsidR="00042484" w:rsidRPr="00B10036">
        <w:rPr>
          <w:noProof/>
        </w:rPr>
        <w:t>owiedni sposób ogrzać domów, przy czym istnieją znaczne różnice między państwami członkowskimi</w:t>
      </w:r>
      <w:r w:rsidR="00B10036" w:rsidRPr="00B10036">
        <w:rPr>
          <w:noProof/>
        </w:rPr>
        <w:t xml:space="preserve"> i</w:t>
      </w:r>
      <w:r w:rsidR="00B10036">
        <w:rPr>
          <w:noProof/>
        </w:rPr>
        <w:t> </w:t>
      </w:r>
      <w:r w:rsidR="00B10036" w:rsidRPr="00B10036">
        <w:rPr>
          <w:noProof/>
        </w:rPr>
        <w:t>mię</w:t>
      </w:r>
      <w:r w:rsidR="00042484" w:rsidRPr="00B10036">
        <w:rPr>
          <w:noProof/>
        </w:rPr>
        <w:t>dzy grupami objętymi określonymi progami podatkowymi</w:t>
      </w:r>
      <w:r w:rsidR="00042484" w:rsidRPr="00B10036">
        <w:rPr>
          <w:rStyle w:val="FootnoteReference"/>
          <w:noProof/>
        </w:rPr>
        <w:footnoteReference w:id="75"/>
      </w:r>
      <w:r w:rsidR="00042484" w:rsidRPr="00B10036">
        <w:rPr>
          <w:noProof/>
        </w:rPr>
        <w:t>. Ogólnie rzecz biorąc, Obserwatorium Ubóstwa Energetycznego szacuje, że ponad 50 mln gospodarstw domowych</w:t>
      </w:r>
      <w:r w:rsidR="00B10036" w:rsidRPr="00B10036">
        <w:rPr>
          <w:noProof/>
        </w:rPr>
        <w:t xml:space="preserve"> w</w:t>
      </w:r>
      <w:r w:rsidR="00B10036">
        <w:rPr>
          <w:noProof/>
        </w:rPr>
        <w:t> </w:t>
      </w:r>
      <w:r w:rsidR="00B10036" w:rsidRPr="00B10036">
        <w:rPr>
          <w:noProof/>
        </w:rPr>
        <w:t>Uni</w:t>
      </w:r>
      <w:r w:rsidR="00042484" w:rsidRPr="00B10036">
        <w:rPr>
          <w:noProof/>
        </w:rPr>
        <w:t>i Europejskiej doświadcza ubóstwa energetycznego. Ubóstwo energetyczne, wynikające</w:t>
      </w:r>
      <w:r w:rsidR="00B10036" w:rsidRPr="00B10036">
        <w:rPr>
          <w:noProof/>
        </w:rPr>
        <w:t xml:space="preserve"> z</w:t>
      </w:r>
      <w:r w:rsidR="00B10036">
        <w:rPr>
          <w:noProof/>
        </w:rPr>
        <w:t> </w:t>
      </w:r>
      <w:r w:rsidR="00B10036" w:rsidRPr="00B10036">
        <w:rPr>
          <w:noProof/>
        </w:rPr>
        <w:t>poł</w:t>
      </w:r>
      <w:r w:rsidR="00042484" w:rsidRPr="00B10036">
        <w:rPr>
          <w:noProof/>
        </w:rPr>
        <w:t>ączenia niskich dochodów, dużego udziału dochodu do dyspozycji wydawanego na energię</w:t>
      </w:r>
      <w:r w:rsidR="00B10036" w:rsidRPr="00B10036">
        <w:rPr>
          <w:noProof/>
        </w:rPr>
        <w:t xml:space="preserve"> i</w:t>
      </w:r>
      <w:r w:rsidR="00B10036">
        <w:rPr>
          <w:noProof/>
        </w:rPr>
        <w:t> </w:t>
      </w:r>
      <w:r w:rsidR="00B10036" w:rsidRPr="00B10036">
        <w:rPr>
          <w:noProof/>
        </w:rPr>
        <w:t>nis</w:t>
      </w:r>
      <w:r w:rsidR="00042484" w:rsidRPr="00B10036">
        <w:rPr>
          <w:noProof/>
        </w:rPr>
        <w:t>kiej efektywności energetycznej, od pewnego czasu stanowi poważne wyzwanie dla Unii. Ta forma ubóstwa dotyka nie tylko gospodarstwa domowe</w:t>
      </w:r>
      <w:r w:rsidR="00B10036" w:rsidRPr="00B10036">
        <w:rPr>
          <w:noProof/>
        </w:rPr>
        <w:t xml:space="preserve"> o</w:t>
      </w:r>
      <w:r w:rsidR="00B10036">
        <w:rPr>
          <w:noProof/>
        </w:rPr>
        <w:t> </w:t>
      </w:r>
      <w:r w:rsidR="00B10036" w:rsidRPr="00B10036">
        <w:rPr>
          <w:noProof/>
        </w:rPr>
        <w:t>nis</w:t>
      </w:r>
      <w:r w:rsidR="00042484" w:rsidRPr="00B10036">
        <w:rPr>
          <w:noProof/>
        </w:rPr>
        <w:t>kich dochodach, ale także gospodarstwa domowe</w:t>
      </w:r>
      <w:r w:rsidR="00B10036" w:rsidRPr="00B10036">
        <w:rPr>
          <w:noProof/>
        </w:rPr>
        <w:t xml:space="preserve"> o</w:t>
      </w:r>
      <w:r w:rsidR="00B10036">
        <w:rPr>
          <w:noProof/>
        </w:rPr>
        <w:t> </w:t>
      </w:r>
      <w:r w:rsidR="00B10036" w:rsidRPr="00B10036">
        <w:rPr>
          <w:noProof/>
        </w:rPr>
        <w:t>niż</w:t>
      </w:r>
      <w:r w:rsidR="00042484" w:rsidRPr="00B10036">
        <w:rPr>
          <w:noProof/>
        </w:rPr>
        <w:t>szych średnich dochodach</w:t>
      </w:r>
      <w:r w:rsidR="00B10036" w:rsidRPr="00B10036">
        <w:rPr>
          <w:noProof/>
        </w:rPr>
        <w:t xml:space="preserve"> w</w:t>
      </w:r>
      <w:r w:rsidR="00B10036">
        <w:rPr>
          <w:noProof/>
        </w:rPr>
        <w:t> </w:t>
      </w:r>
      <w:r w:rsidR="00B10036" w:rsidRPr="00B10036">
        <w:rPr>
          <w:noProof/>
        </w:rPr>
        <w:t>wie</w:t>
      </w:r>
      <w:r w:rsidR="00042484" w:rsidRPr="00B10036">
        <w:rPr>
          <w:noProof/>
        </w:rPr>
        <w:t>lu państwach członkowskich</w:t>
      </w:r>
      <w:r w:rsidR="00042484" w:rsidRPr="00B10036">
        <w:rPr>
          <w:rStyle w:val="FootnoteReference"/>
          <w:noProof/>
        </w:rPr>
        <w:footnoteReference w:id="76"/>
      </w:r>
      <w:r w:rsidR="00042484" w:rsidRPr="00B10036">
        <w:rPr>
          <w:noProof/>
        </w:rPr>
        <w:t>. Gospodarstwa domowe</w:t>
      </w:r>
      <w:r w:rsidR="00B10036" w:rsidRPr="00B10036">
        <w:rPr>
          <w:noProof/>
        </w:rPr>
        <w:t xml:space="preserve"> o</w:t>
      </w:r>
      <w:r w:rsidR="00B10036">
        <w:rPr>
          <w:noProof/>
        </w:rPr>
        <w:t> </w:t>
      </w:r>
      <w:r w:rsidR="00B10036" w:rsidRPr="00B10036">
        <w:rPr>
          <w:noProof/>
        </w:rPr>
        <w:t>pon</w:t>
      </w:r>
      <w:r w:rsidR="00042484" w:rsidRPr="00B10036">
        <w:rPr>
          <w:noProof/>
        </w:rPr>
        <w:t>adprzeciętnych potrzebach energetycznych, do których należą rodziny</w:t>
      </w:r>
      <w:r w:rsidR="00B10036" w:rsidRPr="00B10036">
        <w:rPr>
          <w:noProof/>
        </w:rPr>
        <w:t xml:space="preserve"> z</w:t>
      </w:r>
      <w:r w:rsidR="00B10036">
        <w:rPr>
          <w:noProof/>
        </w:rPr>
        <w:t> </w:t>
      </w:r>
      <w:r w:rsidR="00B10036" w:rsidRPr="00B10036">
        <w:rPr>
          <w:noProof/>
        </w:rPr>
        <w:t>dzi</w:t>
      </w:r>
      <w:r w:rsidR="00042484" w:rsidRPr="00B10036">
        <w:rPr>
          <w:noProof/>
        </w:rPr>
        <w:t>ećmi, osoby niepełnosprawne</w:t>
      </w:r>
      <w:r w:rsidR="00B10036" w:rsidRPr="00B10036">
        <w:rPr>
          <w:noProof/>
        </w:rPr>
        <w:t xml:space="preserve"> i</w:t>
      </w:r>
      <w:r w:rsidR="00B10036">
        <w:rPr>
          <w:noProof/>
        </w:rPr>
        <w:t> </w:t>
      </w:r>
      <w:r w:rsidR="00B10036" w:rsidRPr="00B10036">
        <w:rPr>
          <w:noProof/>
        </w:rPr>
        <w:t>oso</w:t>
      </w:r>
      <w:r w:rsidR="00042484" w:rsidRPr="00B10036">
        <w:rPr>
          <w:noProof/>
        </w:rPr>
        <w:t>by starsze, są również bardziej narażone na ubóstwo energetyczne</w:t>
      </w:r>
      <w:r w:rsidR="00042484" w:rsidRPr="00B10036">
        <w:rPr>
          <w:rStyle w:val="FootnoteReference"/>
          <w:noProof/>
        </w:rPr>
        <w:footnoteReference w:id="77"/>
      </w:r>
      <w:r w:rsidR="00B10036" w:rsidRPr="00B10036">
        <w:rPr>
          <w:noProof/>
        </w:rPr>
        <w:t xml:space="preserve"> i</w:t>
      </w:r>
      <w:r w:rsidR="00B10036">
        <w:rPr>
          <w:noProof/>
        </w:rPr>
        <w:t> </w:t>
      </w:r>
      <w:r w:rsidR="00B10036" w:rsidRPr="00B10036">
        <w:rPr>
          <w:noProof/>
        </w:rPr>
        <w:t>jeg</w:t>
      </w:r>
      <w:r w:rsidR="00042484" w:rsidRPr="00B10036">
        <w:rPr>
          <w:noProof/>
        </w:rPr>
        <w:t>o skutki. Kobiety,</w:t>
      </w:r>
      <w:r w:rsidR="00B10036" w:rsidRPr="00B10036">
        <w:rPr>
          <w:noProof/>
        </w:rPr>
        <w:t xml:space="preserve"> w</w:t>
      </w:r>
      <w:r w:rsidR="00B10036">
        <w:rPr>
          <w:noProof/>
        </w:rPr>
        <w:t> </w:t>
      </w:r>
      <w:r w:rsidR="00B10036" w:rsidRPr="00B10036">
        <w:rPr>
          <w:noProof/>
        </w:rPr>
        <w:t>szc</w:t>
      </w:r>
      <w:r w:rsidR="00042484" w:rsidRPr="00B10036">
        <w:rPr>
          <w:noProof/>
        </w:rPr>
        <w:t>zególności samotnie wychowujące dzieci</w:t>
      </w:r>
      <w:r w:rsidR="00B10036" w:rsidRPr="00B10036">
        <w:rPr>
          <w:noProof/>
        </w:rPr>
        <w:t xml:space="preserve"> i</w:t>
      </w:r>
      <w:r w:rsidR="00B10036">
        <w:rPr>
          <w:noProof/>
        </w:rPr>
        <w:t> </w:t>
      </w:r>
      <w:r w:rsidR="00B10036" w:rsidRPr="00B10036">
        <w:rPr>
          <w:noProof/>
        </w:rPr>
        <w:t>sta</w:t>
      </w:r>
      <w:r w:rsidR="00042484" w:rsidRPr="00B10036">
        <w:rPr>
          <w:noProof/>
        </w:rPr>
        <w:t>rsze kobiety</w:t>
      </w:r>
      <w:r w:rsidR="00042484" w:rsidRPr="00B10036">
        <w:rPr>
          <w:rStyle w:val="FootnoteReference"/>
          <w:bCs/>
          <w:noProof/>
        </w:rPr>
        <w:footnoteReference w:id="78"/>
      </w:r>
      <w:r w:rsidR="00042484" w:rsidRPr="00B10036">
        <w:rPr>
          <w:noProof/>
        </w:rPr>
        <w:t>, są także szczególnie dotknięte ubóstwem energetycznym. Oprócz ubóstwa energetycznego coraz częściej mówi się</w:t>
      </w:r>
      <w:r w:rsidR="00B10036" w:rsidRPr="00B10036">
        <w:rPr>
          <w:noProof/>
        </w:rPr>
        <w:t xml:space="preserve"> o</w:t>
      </w:r>
      <w:r w:rsidR="00B10036">
        <w:rPr>
          <w:noProof/>
        </w:rPr>
        <w:t> </w:t>
      </w:r>
      <w:r w:rsidR="00B10036" w:rsidRPr="00B10036">
        <w:rPr>
          <w:noProof/>
        </w:rPr>
        <w:t>ubó</w:t>
      </w:r>
      <w:r w:rsidR="00042484" w:rsidRPr="00B10036">
        <w:rPr>
          <w:noProof/>
        </w:rPr>
        <w:t>stwie transportowym, kiedy to pewne kategorie ludności nie są</w:t>
      </w:r>
      <w:r w:rsidR="00B10036" w:rsidRPr="00B10036">
        <w:rPr>
          <w:noProof/>
        </w:rPr>
        <w:t xml:space="preserve"> w</w:t>
      </w:r>
      <w:r w:rsidR="00B10036">
        <w:rPr>
          <w:noProof/>
        </w:rPr>
        <w:t> </w:t>
      </w:r>
      <w:r w:rsidR="00B10036" w:rsidRPr="00B10036">
        <w:rPr>
          <w:noProof/>
        </w:rPr>
        <w:t>sta</w:t>
      </w:r>
      <w:r w:rsidR="00042484" w:rsidRPr="00B10036">
        <w:rPr>
          <w:noProof/>
        </w:rPr>
        <w:t>nie uzyskać dostępu do poziomu usług transportowych niezbędnego pod względem społecznym</w:t>
      </w:r>
      <w:r w:rsidR="00B10036" w:rsidRPr="00B10036">
        <w:rPr>
          <w:noProof/>
        </w:rPr>
        <w:t xml:space="preserve"> i</w:t>
      </w:r>
      <w:r w:rsidR="00B10036">
        <w:rPr>
          <w:noProof/>
        </w:rPr>
        <w:t> </w:t>
      </w:r>
      <w:r w:rsidR="00B10036" w:rsidRPr="00B10036">
        <w:rPr>
          <w:noProof/>
        </w:rPr>
        <w:t>mat</w:t>
      </w:r>
      <w:r w:rsidR="00042484" w:rsidRPr="00B10036">
        <w:rPr>
          <w:noProof/>
        </w:rPr>
        <w:t>erialnym. Bez odpowiednich środków towarzyszących, mających na celu łagodzenie ubóstwa energetycznego</w:t>
      </w:r>
      <w:r w:rsidR="00B10036" w:rsidRPr="00B10036">
        <w:rPr>
          <w:noProof/>
        </w:rPr>
        <w:t xml:space="preserve"> i</w:t>
      </w:r>
      <w:r w:rsidR="00B10036">
        <w:rPr>
          <w:noProof/>
        </w:rPr>
        <w:t> </w:t>
      </w:r>
      <w:r w:rsidR="00B10036" w:rsidRPr="00B10036">
        <w:rPr>
          <w:noProof/>
        </w:rPr>
        <w:t>ubó</w:t>
      </w:r>
      <w:r w:rsidR="00042484" w:rsidRPr="00B10036">
        <w:rPr>
          <w:noProof/>
        </w:rPr>
        <w:t>stwa transportowego oraz zapobieganie mu, istnieje ryzyko pogłębienia się tych zjawisk, zwłaszcza</w:t>
      </w:r>
      <w:r w:rsidR="00B10036" w:rsidRPr="00B10036">
        <w:rPr>
          <w:noProof/>
        </w:rPr>
        <w:t xml:space="preserve"> z</w:t>
      </w:r>
      <w:r w:rsidR="00B10036">
        <w:rPr>
          <w:noProof/>
        </w:rPr>
        <w:t> </w:t>
      </w:r>
      <w:r w:rsidR="00B10036" w:rsidRPr="00B10036">
        <w:rPr>
          <w:noProof/>
        </w:rPr>
        <w:t>pow</w:t>
      </w:r>
      <w:r w:rsidR="00042484" w:rsidRPr="00B10036">
        <w:rPr>
          <w:noProof/>
        </w:rPr>
        <w:t>odu internalizacji kosztów emisji</w:t>
      </w:r>
      <w:r w:rsidR="00B10036" w:rsidRPr="00B10036">
        <w:rPr>
          <w:noProof/>
        </w:rPr>
        <w:t xml:space="preserve"> w</w:t>
      </w:r>
      <w:r w:rsidR="00B10036">
        <w:rPr>
          <w:noProof/>
        </w:rPr>
        <w:t> </w:t>
      </w:r>
      <w:r w:rsidR="00B10036" w:rsidRPr="00B10036">
        <w:rPr>
          <w:noProof/>
        </w:rPr>
        <w:t>ksz</w:t>
      </w:r>
      <w:r w:rsidR="00042484" w:rsidRPr="00B10036">
        <w:rPr>
          <w:noProof/>
        </w:rPr>
        <w:t>tałtowaniu się cen lub kosztów przystosowania się do bardziej wydajnych</w:t>
      </w:r>
      <w:r w:rsidR="00B10036" w:rsidRPr="00B10036">
        <w:rPr>
          <w:noProof/>
        </w:rPr>
        <w:t xml:space="preserve"> i</w:t>
      </w:r>
      <w:r w:rsidR="00B10036">
        <w:rPr>
          <w:noProof/>
        </w:rPr>
        <w:t> </w:t>
      </w:r>
      <w:r w:rsidR="00B10036" w:rsidRPr="00B10036">
        <w:rPr>
          <w:noProof/>
        </w:rPr>
        <w:t>mni</w:t>
      </w:r>
      <w:r w:rsidR="00042484" w:rsidRPr="00B10036">
        <w:rPr>
          <w:noProof/>
        </w:rPr>
        <w:t>ej emisyjnych alternatyw.</w:t>
      </w:r>
    </w:p>
    <w:p w14:paraId="1183AD47" w14:textId="6CE71F0E" w:rsidR="009B54D8" w:rsidRPr="00B10036" w:rsidRDefault="004D6F52" w:rsidP="004D6F52">
      <w:pPr>
        <w:pStyle w:val="ManualConsidrant"/>
        <w:rPr>
          <w:noProof/>
        </w:rPr>
      </w:pPr>
      <w:r w:rsidRPr="004D6F52">
        <w:t>(13)</w:t>
      </w:r>
      <w:r w:rsidRPr="004D6F52">
        <w:tab/>
      </w:r>
      <w:r w:rsidR="00B616E7" w:rsidRPr="00B10036">
        <w:rPr>
          <w:noProof/>
        </w:rPr>
        <w:t>Zasady sprawiedliwości</w:t>
      </w:r>
      <w:r w:rsidR="00B10036" w:rsidRPr="00B10036">
        <w:rPr>
          <w:noProof/>
        </w:rPr>
        <w:t xml:space="preserve"> i</w:t>
      </w:r>
      <w:r w:rsidR="00B10036">
        <w:rPr>
          <w:noProof/>
        </w:rPr>
        <w:t> </w:t>
      </w:r>
      <w:r w:rsidR="00B10036" w:rsidRPr="00B10036">
        <w:rPr>
          <w:noProof/>
        </w:rPr>
        <w:t>sol</w:t>
      </w:r>
      <w:r w:rsidR="00B616E7" w:rsidRPr="00B10036">
        <w:rPr>
          <w:noProof/>
        </w:rPr>
        <w:t>idarności społecznej są silnie zakorzenione</w:t>
      </w:r>
      <w:r w:rsidR="00B10036" w:rsidRPr="00B10036">
        <w:rPr>
          <w:noProof/>
        </w:rPr>
        <w:t xml:space="preserve"> w</w:t>
      </w:r>
      <w:r w:rsidR="00B10036">
        <w:rPr>
          <w:noProof/>
        </w:rPr>
        <w:t> </w:t>
      </w:r>
      <w:r w:rsidR="00B10036" w:rsidRPr="00B10036">
        <w:rPr>
          <w:noProof/>
        </w:rPr>
        <w:t>str</w:t>
      </w:r>
      <w:r w:rsidR="00B616E7" w:rsidRPr="00B10036">
        <w:rPr>
          <w:noProof/>
        </w:rPr>
        <w:t>ukturze odpowiednich ram klimatycznych, energetycznych</w:t>
      </w:r>
      <w:r w:rsidR="00B10036" w:rsidRPr="00B10036">
        <w:rPr>
          <w:noProof/>
        </w:rPr>
        <w:t xml:space="preserve"> i</w:t>
      </w:r>
      <w:r w:rsidR="00B10036">
        <w:rPr>
          <w:noProof/>
        </w:rPr>
        <w:t> </w:t>
      </w:r>
      <w:r w:rsidR="00B10036" w:rsidRPr="00B10036">
        <w:rPr>
          <w:noProof/>
        </w:rPr>
        <w:t>śro</w:t>
      </w:r>
      <w:r w:rsidR="00B616E7" w:rsidRPr="00B10036">
        <w:rPr>
          <w:noProof/>
        </w:rPr>
        <w:t>dowiskowych na poziomie Unii</w:t>
      </w:r>
      <w:r w:rsidR="00B616E7" w:rsidRPr="00B10036">
        <w:rPr>
          <w:rStyle w:val="FootnoteReference"/>
          <w:noProof/>
        </w:rPr>
        <w:footnoteReference w:id="79"/>
      </w:r>
      <w:r w:rsidR="00B616E7" w:rsidRPr="00B10036">
        <w:rPr>
          <w:noProof/>
        </w:rPr>
        <w:t>,</w:t>
      </w:r>
      <w:r w:rsidR="00B10036" w:rsidRPr="00B10036">
        <w:rPr>
          <w:noProof/>
        </w:rPr>
        <w:t xml:space="preserve"> w</w:t>
      </w:r>
      <w:r w:rsidR="00B10036">
        <w:rPr>
          <w:noProof/>
        </w:rPr>
        <w:t> </w:t>
      </w:r>
      <w:r w:rsidR="00B10036" w:rsidRPr="00B10036">
        <w:rPr>
          <w:noProof/>
        </w:rPr>
        <w:t>tym</w:t>
      </w:r>
      <w:r w:rsidR="00B616E7" w:rsidRPr="00B10036">
        <w:rPr>
          <w:noProof/>
        </w:rPr>
        <w:t xml:space="preserve"> poprzez zasadę „zanieczyszczający płaci”</w:t>
      </w:r>
      <w:r w:rsidR="00B10036" w:rsidRPr="00B10036">
        <w:rPr>
          <w:noProof/>
        </w:rPr>
        <w:t xml:space="preserve"> i</w:t>
      </w:r>
      <w:r w:rsidR="00B10036">
        <w:rPr>
          <w:noProof/>
        </w:rPr>
        <w:t> </w:t>
      </w:r>
      <w:r w:rsidR="00B10036" w:rsidRPr="00B10036">
        <w:rPr>
          <w:noProof/>
        </w:rPr>
        <w:t>wsp</w:t>
      </w:r>
      <w:r w:rsidR="00B616E7" w:rsidRPr="00B10036">
        <w:rPr>
          <w:noProof/>
        </w:rPr>
        <w:t>ólny wysiłek redukcyjny państw członkowskich, jak również</w:t>
      </w:r>
      <w:r w:rsidR="00B10036" w:rsidRPr="00B10036">
        <w:rPr>
          <w:noProof/>
        </w:rPr>
        <w:t xml:space="preserve"> w</w:t>
      </w:r>
      <w:r w:rsidR="00B10036">
        <w:rPr>
          <w:noProof/>
        </w:rPr>
        <w:t> </w:t>
      </w:r>
      <w:r w:rsidR="00B10036" w:rsidRPr="00B10036">
        <w:rPr>
          <w:noProof/>
        </w:rPr>
        <w:t>nie</w:t>
      </w:r>
      <w:r w:rsidR="00B616E7" w:rsidRPr="00B10036">
        <w:rPr>
          <w:noProof/>
        </w:rPr>
        <w:t>których przypadkach redystrybucji uprawnień</w:t>
      </w:r>
      <w:r w:rsidR="00B10036" w:rsidRPr="00B10036">
        <w:rPr>
          <w:noProof/>
        </w:rPr>
        <w:t xml:space="preserve"> w</w:t>
      </w:r>
      <w:r w:rsidR="00B10036">
        <w:rPr>
          <w:noProof/>
        </w:rPr>
        <w:t> </w:t>
      </w:r>
      <w:r w:rsidR="00B10036" w:rsidRPr="00B10036">
        <w:rPr>
          <w:noProof/>
        </w:rPr>
        <w:t>ram</w:t>
      </w:r>
      <w:r w:rsidR="00B616E7" w:rsidRPr="00B10036">
        <w:rPr>
          <w:noProof/>
        </w:rPr>
        <w:t>ach ETS na potrzeby solidarności, wzrostu</w:t>
      </w:r>
      <w:r w:rsidR="00B10036" w:rsidRPr="00B10036">
        <w:rPr>
          <w:noProof/>
        </w:rPr>
        <w:t xml:space="preserve"> i</w:t>
      </w:r>
      <w:r w:rsidR="00B10036">
        <w:rPr>
          <w:noProof/>
        </w:rPr>
        <w:t> </w:t>
      </w:r>
      <w:r w:rsidR="00B10036" w:rsidRPr="00B10036">
        <w:rPr>
          <w:noProof/>
        </w:rPr>
        <w:t>poł</w:t>
      </w:r>
      <w:r w:rsidR="00B616E7" w:rsidRPr="00B10036">
        <w:rPr>
          <w:noProof/>
        </w:rPr>
        <w:t>ączeń międzysystemowych</w:t>
      </w:r>
      <w:r w:rsidR="00B10036" w:rsidRPr="00B10036">
        <w:rPr>
          <w:noProof/>
        </w:rPr>
        <w:t xml:space="preserve"> w</w:t>
      </w:r>
      <w:r w:rsidR="00B10036">
        <w:rPr>
          <w:noProof/>
        </w:rPr>
        <w:t> </w:t>
      </w:r>
      <w:r w:rsidR="00B10036" w:rsidRPr="00B10036">
        <w:rPr>
          <w:noProof/>
        </w:rPr>
        <w:t>Uni</w:t>
      </w:r>
      <w:r w:rsidR="00B616E7" w:rsidRPr="00B10036">
        <w:rPr>
          <w:noProof/>
        </w:rPr>
        <w:t>i oraz ich wykorzystaniu na potrzeby funduszu modernizacyjnego, który przyczynia się do zaspokojenia znaczących potrzeb inwestycyjnych państw członkowskich</w:t>
      </w:r>
      <w:r w:rsidR="00B10036" w:rsidRPr="00B10036">
        <w:rPr>
          <w:noProof/>
        </w:rPr>
        <w:t xml:space="preserve"> o</w:t>
      </w:r>
      <w:r w:rsidR="00B10036">
        <w:rPr>
          <w:noProof/>
        </w:rPr>
        <w:t> </w:t>
      </w:r>
      <w:r w:rsidR="00B10036" w:rsidRPr="00B10036">
        <w:rPr>
          <w:noProof/>
        </w:rPr>
        <w:t>niż</w:t>
      </w:r>
      <w:r w:rsidR="00B616E7" w:rsidRPr="00B10036">
        <w:rPr>
          <w:noProof/>
        </w:rPr>
        <w:t>szych dochodach</w:t>
      </w:r>
      <w:r w:rsidR="00B10036" w:rsidRPr="00B10036">
        <w:rPr>
          <w:noProof/>
        </w:rPr>
        <w:t xml:space="preserve"> w</w:t>
      </w:r>
      <w:r w:rsidR="00B10036">
        <w:rPr>
          <w:noProof/>
        </w:rPr>
        <w:t> </w:t>
      </w:r>
      <w:r w:rsidR="00B10036" w:rsidRPr="00B10036">
        <w:rPr>
          <w:noProof/>
        </w:rPr>
        <w:t>zak</w:t>
      </w:r>
      <w:r w:rsidR="00B616E7" w:rsidRPr="00B10036">
        <w:rPr>
          <w:noProof/>
        </w:rPr>
        <w:t>resie modernizacji ich systemów energetycznych. Ponadto ramy prawodawstwa UE</w:t>
      </w:r>
      <w:r w:rsidR="00B10036" w:rsidRPr="00B10036">
        <w:rPr>
          <w:noProof/>
        </w:rPr>
        <w:t xml:space="preserve"> w</w:t>
      </w:r>
      <w:r w:rsidR="00B10036">
        <w:rPr>
          <w:noProof/>
        </w:rPr>
        <w:t> </w:t>
      </w:r>
      <w:r w:rsidR="00B10036" w:rsidRPr="00B10036">
        <w:rPr>
          <w:noProof/>
        </w:rPr>
        <w:t>zak</w:t>
      </w:r>
      <w:r w:rsidR="00B616E7" w:rsidRPr="00B10036">
        <w:rPr>
          <w:noProof/>
        </w:rPr>
        <w:t>resie polityki energetycznej dają państwom członkowskim narzędzia służące zapewnieniu ochrony dotkniętych ubóstwem energetycznym odbiorców będących gospodarstwami domowymi znajdującymi się</w:t>
      </w:r>
      <w:r w:rsidR="00B10036" w:rsidRPr="00B10036">
        <w:rPr>
          <w:noProof/>
        </w:rPr>
        <w:t xml:space="preserve"> w</w:t>
      </w:r>
      <w:r w:rsidR="00B10036">
        <w:rPr>
          <w:noProof/>
        </w:rPr>
        <w:t> </w:t>
      </w:r>
      <w:r w:rsidR="00B10036" w:rsidRPr="00B10036">
        <w:rPr>
          <w:noProof/>
        </w:rPr>
        <w:t>tru</w:t>
      </w:r>
      <w:r w:rsidR="00B616E7" w:rsidRPr="00B10036">
        <w:rPr>
          <w:noProof/>
        </w:rPr>
        <w:t>dnej sytuacji, przy jednoczesnym unikaniu zakłóceń rynku</w:t>
      </w:r>
      <w:r w:rsidR="00B616E7" w:rsidRPr="00B10036">
        <w:rPr>
          <w:rStyle w:val="FootnoteReference"/>
          <w:noProof/>
        </w:rPr>
        <w:footnoteReference w:id="80"/>
      </w:r>
      <w:r w:rsidR="00B616E7" w:rsidRPr="00B10036">
        <w:rPr>
          <w:noProof/>
        </w:rPr>
        <w:t>. Narzędzia te pomagają</w:t>
      </w:r>
      <w:r w:rsidR="00B10036" w:rsidRPr="00B10036">
        <w:rPr>
          <w:noProof/>
        </w:rPr>
        <w:t xml:space="preserve"> w</w:t>
      </w:r>
      <w:r w:rsidR="00B10036">
        <w:rPr>
          <w:noProof/>
        </w:rPr>
        <w:t> </w:t>
      </w:r>
      <w:r w:rsidR="00B10036" w:rsidRPr="00B10036">
        <w:rPr>
          <w:noProof/>
        </w:rPr>
        <w:t>uła</w:t>
      </w:r>
      <w:r w:rsidR="00B616E7" w:rsidRPr="00B10036">
        <w:rPr>
          <w:noProof/>
        </w:rPr>
        <w:t>twieniu zielonej transformacji,</w:t>
      </w:r>
      <w:r w:rsidR="00B10036" w:rsidRPr="00B10036">
        <w:rPr>
          <w:noProof/>
        </w:rPr>
        <w:t xml:space="preserve"> a</w:t>
      </w:r>
      <w:r w:rsidR="00B10036">
        <w:rPr>
          <w:noProof/>
        </w:rPr>
        <w:t> </w:t>
      </w:r>
      <w:r w:rsidR="00B10036" w:rsidRPr="00B10036">
        <w:rPr>
          <w:noProof/>
        </w:rPr>
        <w:t>rów</w:t>
      </w:r>
      <w:r w:rsidR="00B616E7" w:rsidRPr="00B10036">
        <w:rPr>
          <w:noProof/>
        </w:rPr>
        <w:t>nocześnie mają na celu dostarczenie środków do zapewnienia niezbędnej ochrony</w:t>
      </w:r>
      <w:r w:rsidR="00B10036" w:rsidRPr="00B10036">
        <w:rPr>
          <w:noProof/>
        </w:rPr>
        <w:t xml:space="preserve"> w</w:t>
      </w:r>
      <w:r w:rsidR="00B10036">
        <w:rPr>
          <w:noProof/>
        </w:rPr>
        <w:t> </w:t>
      </w:r>
      <w:r w:rsidR="00B10036" w:rsidRPr="00B10036">
        <w:rPr>
          <w:noProof/>
        </w:rPr>
        <w:t>bar</w:t>
      </w:r>
      <w:r w:rsidR="00B616E7" w:rsidRPr="00B10036">
        <w:rPr>
          <w:noProof/>
        </w:rPr>
        <w:t>dziej ogólnym ujęciu, jak pokazuje na przykład niedawny komunikat „Reakcja na rosnące ceny energii: zestaw działań</w:t>
      </w:r>
      <w:r w:rsidR="00B10036" w:rsidRPr="00B10036">
        <w:rPr>
          <w:noProof/>
        </w:rPr>
        <w:t xml:space="preserve"> i</w:t>
      </w:r>
      <w:r w:rsidR="00B10036">
        <w:rPr>
          <w:noProof/>
        </w:rPr>
        <w:t> </w:t>
      </w:r>
      <w:r w:rsidR="00B10036" w:rsidRPr="00B10036">
        <w:rPr>
          <w:noProof/>
        </w:rPr>
        <w:t>śro</w:t>
      </w:r>
      <w:r w:rsidR="00B616E7" w:rsidRPr="00B10036">
        <w:rPr>
          <w:noProof/>
        </w:rPr>
        <w:t>dków wsparcia”</w:t>
      </w:r>
      <w:r w:rsidR="00B616E7" w:rsidRPr="00B10036">
        <w:rPr>
          <w:rStyle w:val="FootnoteReference"/>
          <w:noProof/>
        </w:rPr>
        <w:footnoteReference w:id="81"/>
      </w:r>
      <w:r w:rsidR="00B616E7" w:rsidRPr="00B10036">
        <w:rPr>
          <w:noProof/>
        </w:rPr>
        <w:t>. Ponadto ustanowienie Społecznego Funduszu Klimatycznego</w:t>
      </w:r>
      <w:r w:rsidR="00B10036" w:rsidRPr="00B10036">
        <w:rPr>
          <w:noProof/>
        </w:rPr>
        <w:t xml:space="preserve"> w</w:t>
      </w:r>
      <w:r w:rsidR="00B10036">
        <w:rPr>
          <w:noProof/>
        </w:rPr>
        <w:t> </w:t>
      </w:r>
      <w:r w:rsidR="00B10036" w:rsidRPr="00B10036">
        <w:rPr>
          <w:noProof/>
        </w:rPr>
        <w:t>wys</w:t>
      </w:r>
      <w:r w:rsidR="00B616E7" w:rsidRPr="00B10036">
        <w:rPr>
          <w:noProof/>
        </w:rPr>
        <w:t>okości 72,2 mld EUR na lata 2025–2032 umożliwiłoby wsparcie znajdujących się</w:t>
      </w:r>
      <w:r w:rsidR="00B10036" w:rsidRPr="00B10036">
        <w:rPr>
          <w:noProof/>
        </w:rPr>
        <w:t xml:space="preserve"> w</w:t>
      </w:r>
      <w:r w:rsidR="00B10036">
        <w:rPr>
          <w:noProof/>
        </w:rPr>
        <w:t> </w:t>
      </w:r>
      <w:r w:rsidR="00B10036" w:rsidRPr="00B10036">
        <w:rPr>
          <w:noProof/>
        </w:rPr>
        <w:t>tru</w:t>
      </w:r>
      <w:r w:rsidR="00B616E7" w:rsidRPr="00B10036">
        <w:rPr>
          <w:noProof/>
        </w:rPr>
        <w:t>dnej sytuacji gospodarstw domowych, użytkowników transportu</w:t>
      </w:r>
      <w:r w:rsidR="00B10036" w:rsidRPr="00B10036">
        <w:rPr>
          <w:noProof/>
        </w:rPr>
        <w:t xml:space="preserve"> i</w:t>
      </w:r>
      <w:r w:rsidR="00B10036">
        <w:rPr>
          <w:noProof/>
        </w:rPr>
        <w:t> </w:t>
      </w:r>
      <w:r w:rsidR="00B10036" w:rsidRPr="00B10036">
        <w:rPr>
          <w:noProof/>
        </w:rPr>
        <w:t>mik</w:t>
      </w:r>
      <w:r w:rsidR="00B616E7" w:rsidRPr="00B10036">
        <w:rPr>
          <w:noProof/>
        </w:rPr>
        <w:t>roprzedsiębiorstw, których obciążą skutki wprowadzenia handlu uprawnieniami do emisji</w:t>
      </w:r>
      <w:r w:rsidR="00B10036" w:rsidRPr="00B10036">
        <w:rPr>
          <w:noProof/>
        </w:rPr>
        <w:t xml:space="preserve"> w</w:t>
      </w:r>
      <w:r w:rsidR="00B10036">
        <w:rPr>
          <w:noProof/>
        </w:rPr>
        <w:t> </w:t>
      </w:r>
      <w:r w:rsidR="00B10036" w:rsidRPr="00B10036">
        <w:rPr>
          <w:noProof/>
        </w:rPr>
        <w:t>odn</w:t>
      </w:r>
      <w:r w:rsidR="00B616E7" w:rsidRPr="00B10036">
        <w:rPr>
          <w:noProof/>
        </w:rPr>
        <w:t>iesieniu do paliw stosowanych</w:t>
      </w:r>
      <w:r w:rsidR="00B10036" w:rsidRPr="00B10036">
        <w:rPr>
          <w:noProof/>
        </w:rPr>
        <w:t xml:space="preserve"> w</w:t>
      </w:r>
      <w:r w:rsidR="00B10036">
        <w:rPr>
          <w:noProof/>
        </w:rPr>
        <w:t> </w:t>
      </w:r>
      <w:r w:rsidR="00B10036" w:rsidRPr="00B10036">
        <w:rPr>
          <w:noProof/>
        </w:rPr>
        <w:t>tra</w:t>
      </w:r>
      <w:r w:rsidR="00B616E7" w:rsidRPr="00B10036">
        <w:rPr>
          <w:noProof/>
        </w:rPr>
        <w:t>nsporcie drogowym</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bud</w:t>
      </w:r>
      <w:r w:rsidR="00B616E7" w:rsidRPr="00B10036">
        <w:rPr>
          <w:noProof/>
        </w:rPr>
        <w:t>ynkach</w:t>
      </w:r>
      <w:r w:rsidR="00B616E7" w:rsidRPr="00B10036">
        <w:rPr>
          <w:rStyle w:val="FootnoteReference"/>
          <w:noProof/>
        </w:rPr>
        <w:footnoteReference w:id="82"/>
      </w:r>
      <w:r w:rsidR="00B616E7" w:rsidRPr="00B10036">
        <w:rPr>
          <w:noProof/>
        </w:rPr>
        <w:t>. Fundusz ułatwia zajęcie się skutkami społecznymi za pośrednictwem środków</w:t>
      </w:r>
      <w:r w:rsidR="00B10036" w:rsidRPr="00B10036">
        <w:rPr>
          <w:noProof/>
        </w:rPr>
        <w:t xml:space="preserve"> i</w:t>
      </w:r>
      <w:r w:rsidR="00B10036">
        <w:rPr>
          <w:noProof/>
        </w:rPr>
        <w:t> </w:t>
      </w:r>
      <w:r w:rsidR="00B10036" w:rsidRPr="00B10036">
        <w:rPr>
          <w:noProof/>
        </w:rPr>
        <w:t>inw</w:t>
      </w:r>
      <w:r w:rsidR="00B616E7" w:rsidRPr="00B10036">
        <w:rPr>
          <w:noProof/>
        </w:rPr>
        <w:t>estycji mających na celu zmniejszenie zależności od paliw kopalnych poprzez zwiększenie efektywności energetycznej budynków, obniżenie emisyjności ogrzewania</w:t>
      </w:r>
      <w:r w:rsidR="00B10036" w:rsidRPr="00B10036">
        <w:rPr>
          <w:noProof/>
        </w:rPr>
        <w:t xml:space="preserve"> i</w:t>
      </w:r>
      <w:r w:rsidR="00B10036">
        <w:rPr>
          <w:noProof/>
        </w:rPr>
        <w:t> </w:t>
      </w:r>
      <w:r w:rsidR="00B10036" w:rsidRPr="00B10036">
        <w:rPr>
          <w:noProof/>
        </w:rPr>
        <w:t>chł</w:t>
      </w:r>
      <w:r w:rsidR="00B616E7" w:rsidRPr="00B10036">
        <w:rPr>
          <w:noProof/>
        </w:rPr>
        <w:t>odzenia budynków,</w:t>
      </w:r>
      <w:r w:rsidR="00B10036" w:rsidRPr="00B10036">
        <w:rPr>
          <w:noProof/>
        </w:rPr>
        <w:t xml:space="preserve"> w</w:t>
      </w:r>
      <w:r w:rsidR="00B10036">
        <w:rPr>
          <w:noProof/>
        </w:rPr>
        <w:t> </w:t>
      </w:r>
      <w:r w:rsidR="00B10036" w:rsidRPr="00B10036">
        <w:rPr>
          <w:noProof/>
        </w:rPr>
        <w:t>tym</w:t>
      </w:r>
      <w:r w:rsidR="00B616E7" w:rsidRPr="00B10036">
        <w:rPr>
          <w:noProof/>
        </w:rPr>
        <w:t xml:space="preserve"> integrację energii ze źródeł odnawialnych, oraz zapewnienie lepszego dostępu do mobilności bezemisyjnej</w:t>
      </w:r>
      <w:r w:rsidR="00B10036" w:rsidRPr="00B10036">
        <w:rPr>
          <w:noProof/>
        </w:rPr>
        <w:t xml:space="preserve"> i</w:t>
      </w:r>
      <w:r w:rsidR="00B10036">
        <w:rPr>
          <w:noProof/>
        </w:rPr>
        <w:t> </w:t>
      </w:r>
      <w:r w:rsidR="00B10036" w:rsidRPr="00B10036">
        <w:rPr>
          <w:noProof/>
        </w:rPr>
        <w:t>nis</w:t>
      </w:r>
      <w:r w:rsidR="00B616E7" w:rsidRPr="00B10036">
        <w:rPr>
          <w:noProof/>
        </w:rPr>
        <w:t>koemisyjnej oraz transportu bezemisyjnego</w:t>
      </w:r>
      <w:r w:rsidR="00B10036" w:rsidRPr="00B10036">
        <w:rPr>
          <w:noProof/>
        </w:rPr>
        <w:t xml:space="preserve"> i</w:t>
      </w:r>
      <w:r w:rsidR="00B10036">
        <w:rPr>
          <w:noProof/>
        </w:rPr>
        <w:t> </w:t>
      </w:r>
      <w:r w:rsidR="00B10036" w:rsidRPr="00B10036">
        <w:rPr>
          <w:noProof/>
        </w:rPr>
        <w:t>nis</w:t>
      </w:r>
      <w:r w:rsidR="00B616E7" w:rsidRPr="00B10036">
        <w:rPr>
          <w:noProof/>
        </w:rPr>
        <w:t>koemisyjnego</w:t>
      </w:r>
      <w:r w:rsidR="00B10036" w:rsidRPr="00B10036">
        <w:rPr>
          <w:noProof/>
        </w:rPr>
        <w:t xml:space="preserve"> z</w:t>
      </w:r>
      <w:r w:rsidR="00B10036">
        <w:rPr>
          <w:noProof/>
        </w:rPr>
        <w:t> </w:t>
      </w:r>
      <w:r w:rsidR="00B10036" w:rsidRPr="00B10036">
        <w:rPr>
          <w:noProof/>
        </w:rPr>
        <w:t>kor</w:t>
      </w:r>
      <w:r w:rsidR="00B616E7" w:rsidRPr="00B10036">
        <w:rPr>
          <w:noProof/>
        </w:rPr>
        <w:t>zyścią dla znajdujących się</w:t>
      </w:r>
      <w:r w:rsidR="00B10036" w:rsidRPr="00B10036">
        <w:rPr>
          <w:noProof/>
        </w:rPr>
        <w:t xml:space="preserve"> w</w:t>
      </w:r>
      <w:r w:rsidR="00B10036">
        <w:rPr>
          <w:noProof/>
        </w:rPr>
        <w:t> </w:t>
      </w:r>
      <w:r w:rsidR="00B10036" w:rsidRPr="00B10036">
        <w:rPr>
          <w:noProof/>
        </w:rPr>
        <w:t>tru</w:t>
      </w:r>
      <w:r w:rsidR="00B616E7" w:rsidRPr="00B10036">
        <w:rPr>
          <w:noProof/>
        </w:rPr>
        <w:t>dnej sytuacji gospodarstw domowych, mikroprzedsiębiorstw</w:t>
      </w:r>
      <w:r w:rsidR="00B10036" w:rsidRPr="00B10036">
        <w:rPr>
          <w:noProof/>
        </w:rPr>
        <w:t xml:space="preserve"> i</w:t>
      </w:r>
      <w:r w:rsidR="00B10036">
        <w:rPr>
          <w:noProof/>
        </w:rPr>
        <w:t> </w:t>
      </w:r>
      <w:r w:rsidR="00B10036" w:rsidRPr="00B10036">
        <w:rPr>
          <w:noProof/>
        </w:rPr>
        <w:t>uży</w:t>
      </w:r>
      <w:r w:rsidR="00B616E7" w:rsidRPr="00B10036">
        <w:rPr>
          <w:noProof/>
        </w:rPr>
        <w:t>tkowników transportu,</w:t>
      </w:r>
      <w:r w:rsidR="00B10036" w:rsidRPr="00B10036">
        <w:rPr>
          <w:noProof/>
        </w:rPr>
        <w:t xml:space="preserve"> w</w:t>
      </w:r>
      <w:r w:rsidR="00B10036">
        <w:rPr>
          <w:noProof/>
        </w:rPr>
        <w:t> </w:t>
      </w:r>
      <w:r w:rsidR="00B10036" w:rsidRPr="00B10036">
        <w:rPr>
          <w:noProof/>
        </w:rPr>
        <w:t>sto</w:t>
      </w:r>
      <w:r w:rsidR="00B616E7" w:rsidRPr="00B10036">
        <w:rPr>
          <w:noProof/>
        </w:rPr>
        <w:t>sownych przypadkach uzupełnione tymczasowym bezpośrednim wsparciem dochodu gospodarstw domowych znajdujących się</w:t>
      </w:r>
      <w:r w:rsidR="00B10036" w:rsidRPr="00B10036">
        <w:rPr>
          <w:noProof/>
        </w:rPr>
        <w:t xml:space="preserve"> w</w:t>
      </w:r>
      <w:r w:rsidR="00B10036">
        <w:rPr>
          <w:noProof/>
        </w:rPr>
        <w:t> </w:t>
      </w:r>
      <w:r w:rsidR="00B10036" w:rsidRPr="00B10036">
        <w:rPr>
          <w:noProof/>
        </w:rPr>
        <w:t>tru</w:t>
      </w:r>
      <w:r w:rsidR="00B616E7" w:rsidRPr="00B10036">
        <w:rPr>
          <w:noProof/>
        </w:rPr>
        <w:t>dnej sytuacji,</w:t>
      </w:r>
      <w:r w:rsidR="00B10036" w:rsidRPr="00B10036">
        <w:rPr>
          <w:noProof/>
        </w:rPr>
        <w:t xml:space="preserve"> w</w:t>
      </w:r>
      <w:r w:rsidR="00B10036">
        <w:rPr>
          <w:noProof/>
        </w:rPr>
        <w:t> </w:t>
      </w:r>
      <w:r w:rsidR="00B10036" w:rsidRPr="00B10036">
        <w:rPr>
          <w:noProof/>
        </w:rPr>
        <w:t>tym</w:t>
      </w:r>
      <w:r w:rsidR="00B616E7" w:rsidRPr="00B10036">
        <w:rPr>
          <w:noProof/>
        </w:rPr>
        <w:t xml:space="preserve"> użytkowników transportu znajdujących się</w:t>
      </w:r>
      <w:r w:rsidR="00B10036" w:rsidRPr="00B10036">
        <w:rPr>
          <w:noProof/>
        </w:rPr>
        <w:t xml:space="preserve"> w</w:t>
      </w:r>
      <w:r w:rsidR="00B10036">
        <w:rPr>
          <w:noProof/>
        </w:rPr>
        <w:t> </w:t>
      </w:r>
      <w:r w:rsidR="00B10036" w:rsidRPr="00B10036">
        <w:rPr>
          <w:noProof/>
        </w:rPr>
        <w:t>tru</w:t>
      </w:r>
      <w:r w:rsidR="00B616E7" w:rsidRPr="00B10036">
        <w:rPr>
          <w:noProof/>
        </w:rPr>
        <w:t>dnej sytuacji.</w:t>
      </w:r>
    </w:p>
    <w:p w14:paraId="2E0656B6" w14:textId="77A76BFF" w:rsidR="009B54D8" w:rsidRPr="00B10036" w:rsidRDefault="004D6F52" w:rsidP="004D6F52">
      <w:pPr>
        <w:pStyle w:val="ManualConsidrant"/>
        <w:rPr>
          <w:noProof/>
        </w:rPr>
      </w:pPr>
      <w:r w:rsidRPr="004D6F52">
        <w:t>(14)</w:t>
      </w:r>
      <w:r w:rsidRPr="004D6F52">
        <w:tab/>
      </w:r>
      <w:r w:rsidR="002B5BB6" w:rsidRPr="00B10036">
        <w:rPr>
          <w:noProof/>
        </w:rPr>
        <w:t>Państwa członkowskie mają do dyspozycji szereg narzędzi służących do nakreślenia</w:t>
      </w:r>
      <w:r w:rsidR="00B10036" w:rsidRPr="00B10036">
        <w:rPr>
          <w:noProof/>
        </w:rPr>
        <w:t xml:space="preserve"> i</w:t>
      </w:r>
      <w:r w:rsidR="00B10036">
        <w:rPr>
          <w:noProof/>
        </w:rPr>
        <w:t> </w:t>
      </w:r>
      <w:r w:rsidR="00B10036" w:rsidRPr="00B10036">
        <w:rPr>
          <w:noProof/>
        </w:rPr>
        <w:t>koo</w:t>
      </w:r>
      <w:r w:rsidR="002B5BB6" w:rsidRPr="00B10036">
        <w:rPr>
          <w:noProof/>
        </w:rPr>
        <w:t>rdynacji działań na rzecz sprawiedliwej transformacji. Krajowe plany</w:t>
      </w:r>
      <w:r w:rsidR="00B10036" w:rsidRPr="00B10036">
        <w:rPr>
          <w:noProof/>
        </w:rPr>
        <w:t xml:space="preserve"> w</w:t>
      </w:r>
      <w:r w:rsidR="00B10036">
        <w:rPr>
          <w:noProof/>
        </w:rPr>
        <w:t> </w:t>
      </w:r>
      <w:r w:rsidR="00B10036" w:rsidRPr="00B10036">
        <w:rPr>
          <w:noProof/>
        </w:rPr>
        <w:t>dzi</w:t>
      </w:r>
      <w:r w:rsidR="002B5BB6" w:rsidRPr="00B10036">
        <w:rPr>
          <w:noProof/>
        </w:rPr>
        <w:t>edzinie energii</w:t>
      </w:r>
      <w:r w:rsidR="00B10036" w:rsidRPr="00B10036">
        <w:rPr>
          <w:noProof/>
        </w:rPr>
        <w:t xml:space="preserve"> i</w:t>
      </w:r>
      <w:r w:rsidR="00B10036">
        <w:rPr>
          <w:noProof/>
        </w:rPr>
        <w:t> </w:t>
      </w:r>
      <w:r w:rsidR="00B10036" w:rsidRPr="00B10036">
        <w:rPr>
          <w:noProof/>
        </w:rPr>
        <w:t>kli</w:t>
      </w:r>
      <w:r w:rsidR="002B5BB6" w:rsidRPr="00B10036">
        <w:rPr>
          <w:noProof/>
        </w:rPr>
        <w:t xml:space="preserve">matu powinny zawierać ocenę liczby gospodarstw domowych dotkniętych ubóstwem energetycznym oraz określenie środków niezbędnych do tego, aby </w:t>
      </w:r>
      <w:r w:rsidR="002B5BB6" w:rsidRPr="00B10036">
        <w:rPr>
          <w:noProof/>
          <w:color w:val="000000" w:themeColor="text1"/>
        </w:rPr>
        <w:t>zająć się społecznymi</w:t>
      </w:r>
      <w:r w:rsidR="00B10036" w:rsidRPr="00B10036">
        <w:rPr>
          <w:noProof/>
          <w:color w:val="000000" w:themeColor="text1"/>
        </w:rPr>
        <w:t xml:space="preserve"> i</w:t>
      </w:r>
      <w:r w:rsidR="00B10036">
        <w:rPr>
          <w:noProof/>
          <w:color w:val="000000" w:themeColor="text1"/>
        </w:rPr>
        <w:t> </w:t>
      </w:r>
      <w:r w:rsidR="00B10036" w:rsidRPr="00B10036">
        <w:rPr>
          <w:noProof/>
          <w:color w:val="000000" w:themeColor="text1"/>
        </w:rPr>
        <w:t>ter</w:t>
      </w:r>
      <w:r w:rsidR="002B5BB6" w:rsidRPr="00B10036">
        <w:rPr>
          <w:noProof/>
          <w:color w:val="000000" w:themeColor="text1"/>
        </w:rPr>
        <w:t>ytorialnymi skutkami transformacji energetycznej</w:t>
      </w:r>
      <w:r w:rsidR="002B5BB6" w:rsidRPr="00B10036">
        <w:rPr>
          <w:rStyle w:val="FootnoteReference"/>
          <w:noProof/>
        </w:rPr>
        <w:footnoteReference w:id="83"/>
      </w:r>
      <w:r w:rsidR="00B10036" w:rsidRPr="00B10036">
        <w:rPr>
          <w:noProof/>
          <w:color w:val="000000" w:themeColor="text1"/>
        </w:rPr>
        <w:t>. W</w:t>
      </w:r>
      <w:r w:rsidR="00B10036">
        <w:rPr>
          <w:noProof/>
          <w:color w:val="000000" w:themeColor="text1"/>
        </w:rPr>
        <w:t> </w:t>
      </w:r>
      <w:r w:rsidR="00B10036" w:rsidRPr="00B10036">
        <w:rPr>
          <w:noProof/>
          <w:color w:val="000000" w:themeColor="text1"/>
        </w:rPr>
        <w:t>ter</w:t>
      </w:r>
      <w:r w:rsidR="002B5BB6" w:rsidRPr="00B10036">
        <w:rPr>
          <w:noProof/>
          <w:color w:val="000000" w:themeColor="text1"/>
        </w:rPr>
        <w:t>ytorialnych planach sprawiedliwej transformacji należy wskazać terytoria kwalifikujące się do wsparcia</w:t>
      </w:r>
      <w:r w:rsidR="00B10036" w:rsidRPr="00B10036">
        <w:rPr>
          <w:noProof/>
          <w:color w:val="000000" w:themeColor="text1"/>
        </w:rPr>
        <w:t xml:space="preserve"> w</w:t>
      </w:r>
      <w:r w:rsidR="00B10036">
        <w:rPr>
          <w:noProof/>
          <w:color w:val="000000" w:themeColor="text1"/>
        </w:rPr>
        <w:t> </w:t>
      </w:r>
      <w:r w:rsidR="00B10036" w:rsidRPr="00B10036">
        <w:rPr>
          <w:noProof/>
          <w:color w:val="000000" w:themeColor="text1"/>
        </w:rPr>
        <w:t>ram</w:t>
      </w:r>
      <w:r w:rsidR="002B5BB6" w:rsidRPr="00B10036">
        <w:rPr>
          <w:noProof/>
          <w:color w:val="000000" w:themeColor="text1"/>
        </w:rPr>
        <w:t>ach Funduszu na rzecz Sprawiedliwej Transformacji do</w:t>
      </w:r>
      <w:r w:rsidR="00B10036" w:rsidRPr="00B10036">
        <w:rPr>
          <w:noProof/>
          <w:color w:val="000000" w:themeColor="text1"/>
        </w:rPr>
        <w:t> </w:t>
      </w:r>
      <w:r w:rsidR="002B5BB6" w:rsidRPr="00B10036">
        <w:rPr>
          <w:noProof/>
          <w:color w:val="000000" w:themeColor="text1"/>
        </w:rPr>
        <w:t>2027</w:t>
      </w:r>
      <w:r w:rsidR="00B10036" w:rsidRPr="00B10036">
        <w:rPr>
          <w:noProof/>
          <w:color w:val="000000" w:themeColor="text1"/>
        </w:rPr>
        <w:t> </w:t>
      </w:r>
      <w:r w:rsidR="002B5BB6" w:rsidRPr="00B10036">
        <w:rPr>
          <w:noProof/>
          <w:color w:val="000000" w:themeColor="text1"/>
        </w:rPr>
        <w:t>r.</w:t>
      </w:r>
      <w:r w:rsidR="002B5BB6" w:rsidRPr="00B10036">
        <w:rPr>
          <w:rStyle w:val="FootnoteReference"/>
          <w:noProof/>
        </w:rPr>
        <w:footnoteReference w:id="84"/>
      </w:r>
      <w:r w:rsidR="002B5BB6" w:rsidRPr="00B10036">
        <w:rPr>
          <w:noProof/>
        </w:rPr>
        <w:t xml:space="preserve"> W finansowanych przez NextGenerationEU krajowych planach odbudowy</w:t>
      </w:r>
      <w:r w:rsidR="00B10036" w:rsidRPr="00B10036">
        <w:rPr>
          <w:noProof/>
        </w:rPr>
        <w:t xml:space="preserve"> i</w:t>
      </w:r>
      <w:r w:rsidR="00B10036">
        <w:rPr>
          <w:noProof/>
        </w:rPr>
        <w:t> </w:t>
      </w:r>
      <w:r w:rsidR="00B10036" w:rsidRPr="00B10036">
        <w:rPr>
          <w:noProof/>
        </w:rPr>
        <w:t>zwi</w:t>
      </w:r>
      <w:r w:rsidR="002B5BB6" w:rsidRPr="00B10036">
        <w:rPr>
          <w:noProof/>
        </w:rPr>
        <w:t>ększania odporności określa się reformy</w:t>
      </w:r>
      <w:r w:rsidR="00B10036" w:rsidRPr="00B10036">
        <w:rPr>
          <w:noProof/>
        </w:rPr>
        <w:t xml:space="preserve"> i</w:t>
      </w:r>
      <w:r w:rsidR="00B10036">
        <w:rPr>
          <w:noProof/>
        </w:rPr>
        <w:t> </w:t>
      </w:r>
      <w:r w:rsidR="00B10036" w:rsidRPr="00B10036">
        <w:rPr>
          <w:noProof/>
        </w:rPr>
        <w:t>inw</w:t>
      </w:r>
      <w:r w:rsidR="002B5BB6" w:rsidRPr="00B10036">
        <w:rPr>
          <w:noProof/>
        </w:rPr>
        <w:t>estycje mające na celu wspieranie zielonej transformacji, wzrostu sprzyjającego włączeniu społecznemu, spójności społecznej</w:t>
      </w:r>
      <w:r w:rsidR="00B10036" w:rsidRPr="00B10036">
        <w:rPr>
          <w:noProof/>
        </w:rPr>
        <w:t xml:space="preserve"> i</w:t>
      </w:r>
      <w:r w:rsidR="00B10036">
        <w:rPr>
          <w:noProof/>
        </w:rPr>
        <w:t> </w:t>
      </w:r>
      <w:r w:rsidR="00B10036" w:rsidRPr="00B10036">
        <w:rPr>
          <w:noProof/>
        </w:rPr>
        <w:t>ter</w:t>
      </w:r>
      <w:r w:rsidR="002B5BB6" w:rsidRPr="00B10036">
        <w:rPr>
          <w:noProof/>
        </w:rPr>
        <w:t>ytorialnej, odporności</w:t>
      </w:r>
      <w:r w:rsidR="00B10036" w:rsidRPr="00B10036">
        <w:rPr>
          <w:noProof/>
        </w:rPr>
        <w:t xml:space="preserve"> i</w:t>
      </w:r>
      <w:r w:rsidR="00B10036">
        <w:rPr>
          <w:noProof/>
        </w:rPr>
        <w:t> </w:t>
      </w:r>
      <w:r w:rsidR="00B10036" w:rsidRPr="00B10036">
        <w:rPr>
          <w:noProof/>
        </w:rPr>
        <w:t>per</w:t>
      </w:r>
      <w:r w:rsidR="002B5BB6" w:rsidRPr="00B10036">
        <w:rPr>
          <w:noProof/>
        </w:rPr>
        <w:t>spektyw dla następnego pokolenia,</w:t>
      </w:r>
      <w:r w:rsidR="00B10036" w:rsidRPr="00B10036">
        <w:rPr>
          <w:noProof/>
        </w:rPr>
        <w:t xml:space="preserve"> z</w:t>
      </w:r>
      <w:r w:rsidR="00B10036">
        <w:rPr>
          <w:noProof/>
        </w:rPr>
        <w:t> </w:t>
      </w:r>
      <w:r w:rsidR="00B10036" w:rsidRPr="00B10036">
        <w:rPr>
          <w:noProof/>
        </w:rPr>
        <w:t>prz</w:t>
      </w:r>
      <w:r w:rsidR="002B5BB6" w:rsidRPr="00B10036">
        <w:rPr>
          <w:noProof/>
        </w:rPr>
        <w:t>ewidywaną realizacją do</w:t>
      </w:r>
      <w:r w:rsidR="00B10036" w:rsidRPr="00B10036">
        <w:rPr>
          <w:noProof/>
        </w:rPr>
        <w:t> </w:t>
      </w:r>
      <w:r w:rsidR="002B5BB6" w:rsidRPr="00B10036">
        <w:rPr>
          <w:noProof/>
        </w:rPr>
        <w:t>2026</w:t>
      </w:r>
      <w:r w:rsidR="00B10036" w:rsidRPr="00B10036">
        <w:rPr>
          <w:noProof/>
        </w:rPr>
        <w:t> </w:t>
      </w:r>
      <w:r w:rsidR="002B5BB6" w:rsidRPr="00B10036">
        <w:rPr>
          <w:noProof/>
        </w:rPr>
        <w:t>r.</w:t>
      </w:r>
      <w:r w:rsidR="002B5BB6" w:rsidRPr="00B10036">
        <w:rPr>
          <w:rStyle w:val="FootnoteReference"/>
          <w:noProof/>
        </w:rPr>
        <w:footnoteReference w:id="85"/>
      </w:r>
      <w:r w:rsidR="00B10036" w:rsidRPr="00B10036">
        <w:rPr>
          <w:noProof/>
          <w:color w:val="000000" w:themeColor="text1"/>
        </w:rPr>
        <w:t xml:space="preserve"> </w:t>
      </w:r>
    </w:p>
    <w:p w14:paraId="2896DCD0" w14:textId="2F269ED0" w:rsidR="009B54D8" w:rsidRPr="00B10036" w:rsidRDefault="004D6F52" w:rsidP="004D6F52">
      <w:pPr>
        <w:pStyle w:val="ManualConsidrant"/>
        <w:rPr>
          <w:noProof/>
        </w:rPr>
      </w:pPr>
      <w:r w:rsidRPr="004D6F52">
        <w:t>(15)</w:t>
      </w:r>
      <w:r w:rsidRPr="004D6F52">
        <w:tab/>
      </w:r>
      <w:r w:rsidR="00272008" w:rsidRPr="00B10036">
        <w:rPr>
          <w:noProof/>
        </w:rPr>
        <w:t>Opierając się</w:t>
      </w:r>
      <w:r w:rsidR="00B10036" w:rsidRPr="00B10036">
        <w:rPr>
          <w:noProof/>
        </w:rPr>
        <w:t xml:space="preserve"> w</w:t>
      </w:r>
      <w:r w:rsidR="00B10036">
        <w:rPr>
          <w:noProof/>
        </w:rPr>
        <w:t> </w:t>
      </w:r>
      <w:r w:rsidR="00B10036" w:rsidRPr="00B10036">
        <w:rPr>
          <w:noProof/>
        </w:rPr>
        <w:t>szc</w:t>
      </w:r>
      <w:r w:rsidR="00272008" w:rsidRPr="00B10036">
        <w:rPr>
          <w:noProof/>
        </w:rPr>
        <w:t>zególności na zasadach</w:t>
      </w:r>
      <w:r w:rsidR="00B10036" w:rsidRPr="00B10036">
        <w:rPr>
          <w:noProof/>
        </w:rPr>
        <w:t xml:space="preserve"> i</w:t>
      </w:r>
      <w:r w:rsidR="00B10036">
        <w:rPr>
          <w:noProof/>
        </w:rPr>
        <w:t> </w:t>
      </w:r>
      <w:r w:rsidR="00B10036" w:rsidRPr="00B10036">
        <w:rPr>
          <w:noProof/>
        </w:rPr>
        <w:t>str</w:t>
      </w:r>
      <w:r w:rsidR="00272008" w:rsidRPr="00B10036">
        <w:rPr>
          <w:noProof/>
        </w:rPr>
        <w:t>ategiach Europejskiego Zielonego Ładu</w:t>
      </w:r>
      <w:r w:rsidR="00B10036" w:rsidRPr="00B10036">
        <w:rPr>
          <w:noProof/>
        </w:rPr>
        <w:t xml:space="preserve"> i</w:t>
      </w:r>
      <w:r w:rsidR="00B10036">
        <w:rPr>
          <w:noProof/>
        </w:rPr>
        <w:t> </w:t>
      </w:r>
      <w:r w:rsidR="00B10036" w:rsidRPr="00B10036">
        <w:rPr>
          <w:noProof/>
        </w:rPr>
        <w:t>Eur</w:t>
      </w:r>
      <w:r w:rsidR="00272008" w:rsidRPr="00B10036">
        <w:rPr>
          <w:noProof/>
        </w:rPr>
        <w:t>opejskiego filaru praw socjalnych, można usprawnić kształtowanie polityki</w:t>
      </w:r>
      <w:r w:rsidR="00B10036" w:rsidRPr="00B10036">
        <w:rPr>
          <w:noProof/>
        </w:rPr>
        <w:t xml:space="preserve"> w</w:t>
      </w:r>
      <w:r w:rsidR="00B10036">
        <w:rPr>
          <w:noProof/>
        </w:rPr>
        <w:t> </w:t>
      </w:r>
      <w:r w:rsidR="00B10036" w:rsidRPr="00B10036">
        <w:rPr>
          <w:noProof/>
        </w:rPr>
        <w:t>spo</w:t>
      </w:r>
      <w:r w:rsidR="00272008" w:rsidRPr="00B10036">
        <w:rPr>
          <w:noProof/>
        </w:rPr>
        <w:t>sób kompleksowy</w:t>
      </w:r>
      <w:r w:rsidR="00B10036" w:rsidRPr="00B10036">
        <w:rPr>
          <w:noProof/>
        </w:rPr>
        <w:t xml:space="preserve"> i</w:t>
      </w:r>
      <w:r w:rsidR="00B10036">
        <w:rPr>
          <w:noProof/>
        </w:rPr>
        <w:t> </w:t>
      </w:r>
      <w:r w:rsidR="00B10036" w:rsidRPr="00B10036">
        <w:rPr>
          <w:noProof/>
        </w:rPr>
        <w:t>prz</w:t>
      </w:r>
      <w:r w:rsidR="00272008" w:rsidRPr="00B10036">
        <w:rPr>
          <w:noProof/>
        </w:rPr>
        <w:t>ekrojowy oraz zapewnić spójność działań</w:t>
      </w:r>
      <w:r w:rsidR="00B10036" w:rsidRPr="00B10036">
        <w:rPr>
          <w:noProof/>
        </w:rPr>
        <w:t xml:space="preserve"> w</w:t>
      </w:r>
      <w:r w:rsidR="00B10036">
        <w:rPr>
          <w:noProof/>
        </w:rPr>
        <w:t> </w:t>
      </w:r>
      <w:r w:rsidR="00B10036" w:rsidRPr="00B10036">
        <w:rPr>
          <w:noProof/>
        </w:rPr>
        <w:t>zak</w:t>
      </w:r>
      <w:r w:rsidR="00272008" w:rsidRPr="00B10036">
        <w:rPr>
          <w:noProof/>
        </w:rPr>
        <w:t>resie wydatków na poziomie unijnym</w:t>
      </w:r>
      <w:r w:rsidR="00B10036" w:rsidRPr="00B10036">
        <w:rPr>
          <w:noProof/>
        </w:rPr>
        <w:t xml:space="preserve"> i</w:t>
      </w:r>
      <w:r w:rsidR="00B10036">
        <w:rPr>
          <w:noProof/>
        </w:rPr>
        <w:t> </w:t>
      </w:r>
      <w:r w:rsidR="00B10036" w:rsidRPr="00B10036">
        <w:rPr>
          <w:noProof/>
        </w:rPr>
        <w:t>kra</w:t>
      </w:r>
      <w:r w:rsidR="00272008" w:rsidRPr="00B10036">
        <w:rPr>
          <w:noProof/>
        </w:rPr>
        <w:t>jowym</w:t>
      </w:r>
      <w:r w:rsidR="00B10036" w:rsidRPr="00B10036">
        <w:rPr>
          <w:noProof/>
        </w:rPr>
        <w:t>. W</w:t>
      </w:r>
      <w:r w:rsidR="00B10036">
        <w:rPr>
          <w:noProof/>
        </w:rPr>
        <w:t> </w:t>
      </w:r>
      <w:r w:rsidR="00B10036" w:rsidRPr="00B10036">
        <w:rPr>
          <w:noProof/>
        </w:rPr>
        <w:t>swo</w:t>
      </w:r>
      <w:r w:rsidR="00272008" w:rsidRPr="00B10036">
        <w:rPr>
          <w:noProof/>
        </w:rPr>
        <w:t>jej ocenie ostatecznych krajowych planów</w:t>
      </w:r>
      <w:r w:rsidR="00B10036" w:rsidRPr="00B10036">
        <w:rPr>
          <w:noProof/>
        </w:rPr>
        <w:t xml:space="preserve"> w</w:t>
      </w:r>
      <w:r w:rsidR="00B10036">
        <w:rPr>
          <w:noProof/>
        </w:rPr>
        <w:t> </w:t>
      </w:r>
      <w:r w:rsidR="00B10036" w:rsidRPr="00B10036">
        <w:rPr>
          <w:noProof/>
        </w:rPr>
        <w:t>dzi</w:t>
      </w:r>
      <w:r w:rsidR="00272008" w:rsidRPr="00B10036">
        <w:rPr>
          <w:noProof/>
        </w:rPr>
        <w:t>edzinie energii</w:t>
      </w:r>
      <w:r w:rsidR="00B10036" w:rsidRPr="00B10036">
        <w:rPr>
          <w:noProof/>
        </w:rPr>
        <w:t xml:space="preserve"> i</w:t>
      </w:r>
      <w:r w:rsidR="00B10036">
        <w:rPr>
          <w:noProof/>
        </w:rPr>
        <w:t> </w:t>
      </w:r>
      <w:r w:rsidR="00B10036" w:rsidRPr="00B10036">
        <w:rPr>
          <w:noProof/>
        </w:rPr>
        <w:t>kli</w:t>
      </w:r>
      <w:r w:rsidR="00272008" w:rsidRPr="00B10036">
        <w:rPr>
          <w:noProof/>
        </w:rPr>
        <w:t>matu</w:t>
      </w:r>
      <w:r w:rsidR="00272008" w:rsidRPr="00B10036">
        <w:rPr>
          <w:rStyle w:val="FootnoteReference"/>
          <w:noProof/>
        </w:rPr>
        <w:footnoteReference w:id="86"/>
      </w:r>
      <w:r w:rsidR="00272008" w:rsidRPr="00B10036">
        <w:rPr>
          <w:noProof/>
        </w:rPr>
        <w:t xml:space="preserve"> Komisja uznała, że zawierają one pewne wskaźniki</w:t>
      </w:r>
      <w:r w:rsidR="00B10036" w:rsidRPr="00B10036">
        <w:rPr>
          <w:noProof/>
        </w:rPr>
        <w:t xml:space="preserve"> i</w:t>
      </w:r>
      <w:r w:rsidR="00B10036">
        <w:rPr>
          <w:noProof/>
        </w:rPr>
        <w:t> </w:t>
      </w:r>
      <w:r w:rsidR="00B10036" w:rsidRPr="00B10036">
        <w:rPr>
          <w:noProof/>
        </w:rPr>
        <w:t>str</w:t>
      </w:r>
      <w:r w:rsidR="00272008" w:rsidRPr="00B10036">
        <w:rPr>
          <w:noProof/>
        </w:rPr>
        <w:t>ategie dotyczące ubóstwa energetycznego, ale stwierdziła, że nie zawsze określono</w:t>
      </w:r>
      <w:r w:rsidR="00B10036" w:rsidRPr="00B10036">
        <w:rPr>
          <w:noProof/>
        </w:rPr>
        <w:t xml:space="preserve"> w</w:t>
      </w:r>
      <w:r w:rsidR="00B10036">
        <w:rPr>
          <w:noProof/>
        </w:rPr>
        <w:t> </w:t>
      </w:r>
      <w:r w:rsidR="00B10036" w:rsidRPr="00B10036">
        <w:rPr>
          <w:noProof/>
        </w:rPr>
        <w:t>nic</w:t>
      </w:r>
      <w:r w:rsidR="00272008" w:rsidRPr="00B10036">
        <w:rPr>
          <w:noProof/>
        </w:rPr>
        <w:t>h jasny priorytet potrzeb</w:t>
      </w:r>
      <w:r w:rsidR="00B10036" w:rsidRPr="00B10036">
        <w:rPr>
          <w:noProof/>
        </w:rPr>
        <w:t xml:space="preserve"> w</w:t>
      </w:r>
      <w:r w:rsidR="00B10036">
        <w:rPr>
          <w:noProof/>
        </w:rPr>
        <w:t> </w:t>
      </w:r>
      <w:r w:rsidR="00B10036" w:rsidRPr="00B10036">
        <w:rPr>
          <w:noProof/>
        </w:rPr>
        <w:t>zak</w:t>
      </w:r>
      <w:r w:rsidR="00272008" w:rsidRPr="00B10036">
        <w:rPr>
          <w:noProof/>
        </w:rPr>
        <w:t>resie finansowania</w:t>
      </w:r>
      <w:r w:rsidR="00B10036" w:rsidRPr="00B10036">
        <w:rPr>
          <w:noProof/>
        </w:rPr>
        <w:t xml:space="preserve"> w</w:t>
      </w:r>
      <w:r w:rsidR="00B10036">
        <w:rPr>
          <w:noProof/>
        </w:rPr>
        <w:t> </w:t>
      </w:r>
      <w:r w:rsidR="00B10036" w:rsidRPr="00B10036">
        <w:rPr>
          <w:noProof/>
        </w:rPr>
        <w:t>odn</w:t>
      </w:r>
      <w:r w:rsidR="00272008" w:rsidRPr="00B10036">
        <w:rPr>
          <w:noProof/>
        </w:rPr>
        <w:t>iesieniu do sprawiedliwej transformacji, przekwalifikowania</w:t>
      </w:r>
      <w:r w:rsidR="00B10036" w:rsidRPr="00B10036">
        <w:rPr>
          <w:noProof/>
        </w:rPr>
        <w:t xml:space="preserve"> i</w:t>
      </w:r>
      <w:r w:rsidR="00B10036">
        <w:rPr>
          <w:noProof/>
        </w:rPr>
        <w:t> </w:t>
      </w:r>
      <w:r w:rsidR="00B10036" w:rsidRPr="00B10036">
        <w:rPr>
          <w:noProof/>
        </w:rPr>
        <w:t>pod</w:t>
      </w:r>
      <w:r w:rsidR="00272008" w:rsidRPr="00B10036">
        <w:rPr>
          <w:noProof/>
        </w:rPr>
        <w:t>noszenia kwalifikacji lub wsparcia dostosowań na rynku pracy. Terytorialne plany sprawiedliwej transformacji powinny koncentrować się na wybranych terytoriach,</w:t>
      </w:r>
      <w:r w:rsidR="00B10036" w:rsidRPr="00B10036">
        <w:rPr>
          <w:noProof/>
        </w:rPr>
        <w:t xml:space="preserve"> a</w:t>
      </w:r>
      <w:r w:rsidR="00B10036">
        <w:rPr>
          <w:noProof/>
        </w:rPr>
        <w:t> </w:t>
      </w:r>
      <w:r w:rsidR="00B10036" w:rsidRPr="00B10036">
        <w:rPr>
          <w:noProof/>
        </w:rPr>
        <w:t>zat</w:t>
      </w:r>
      <w:r w:rsidR="00272008" w:rsidRPr="00B10036">
        <w:rPr>
          <w:noProof/>
        </w:rPr>
        <w:t>em nie oczekuje się, że będą zawierały ogólną strategię</w:t>
      </w:r>
      <w:r w:rsidR="00B10036" w:rsidRPr="00B10036">
        <w:rPr>
          <w:noProof/>
        </w:rPr>
        <w:t xml:space="preserve"> i</w:t>
      </w:r>
      <w:r w:rsidR="00B10036">
        <w:rPr>
          <w:noProof/>
        </w:rPr>
        <w:t> </w:t>
      </w:r>
      <w:r w:rsidR="00B10036" w:rsidRPr="00B10036">
        <w:rPr>
          <w:noProof/>
        </w:rPr>
        <w:t>pol</w:t>
      </w:r>
      <w:r w:rsidR="00272008" w:rsidRPr="00B10036">
        <w:rPr>
          <w:noProof/>
        </w:rPr>
        <w:t>itykę na rzecz sprawiedliwej transformacji na poziomie krajowym. Choć reformy</w:t>
      </w:r>
      <w:r w:rsidR="00B10036" w:rsidRPr="00B10036">
        <w:rPr>
          <w:noProof/>
        </w:rPr>
        <w:t xml:space="preserve"> i</w:t>
      </w:r>
      <w:r w:rsidR="00B10036">
        <w:rPr>
          <w:noProof/>
        </w:rPr>
        <w:t> </w:t>
      </w:r>
      <w:r w:rsidR="00B10036" w:rsidRPr="00B10036">
        <w:rPr>
          <w:noProof/>
        </w:rPr>
        <w:t>inw</w:t>
      </w:r>
      <w:r w:rsidR="00272008" w:rsidRPr="00B10036">
        <w:rPr>
          <w:noProof/>
        </w:rPr>
        <w:t>estycje, które te plany wspierają</w:t>
      </w:r>
      <w:r w:rsidR="00B10036" w:rsidRPr="00B10036">
        <w:rPr>
          <w:noProof/>
        </w:rPr>
        <w:t xml:space="preserve"> i</w:t>
      </w:r>
      <w:r w:rsidR="00B10036">
        <w:rPr>
          <w:noProof/>
        </w:rPr>
        <w:t> </w:t>
      </w:r>
      <w:r w:rsidR="00B10036" w:rsidRPr="00B10036">
        <w:rPr>
          <w:noProof/>
        </w:rPr>
        <w:t>pom</w:t>
      </w:r>
      <w:r w:rsidR="00272008" w:rsidRPr="00B10036">
        <w:rPr>
          <w:noProof/>
        </w:rPr>
        <w:t>agają finansować, mają na celu zapewnienie trwałego wpływu, zarówno terytorialne plany sprawiedliwej transformacji, jak</w:t>
      </w:r>
      <w:r w:rsidR="00B10036" w:rsidRPr="00B10036">
        <w:rPr>
          <w:noProof/>
        </w:rPr>
        <w:t xml:space="preserve"> i</w:t>
      </w:r>
      <w:r w:rsidR="00B10036">
        <w:rPr>
          <w:noProof/>
        </w:rPr>
        <w:t> </w:t>
      </w:r>
      <w:r w:rsidR="00B10036" w:rsidRPr="00B10036">
        <w:rPr>
          <w:noProof/>
        </w:rPr>
        <w:t>pla</w:t>
      </w:r>
      <w:r w:rsidR="00272008" w:rsidRPr="00B10036">
        <w:rPr>
          <w:noProof/>
        </w:rPr>
        <w:t>ny odbudowy</w:t>
      </w:r>
      <w:r w:rsidR="00B10036" w:rsidRPr="00B10036">
        <w:rPr>
          <w:noProof/>
        </w:rPr>
        <w:t xml:space="preserve"> i</w:t>
      </w:r>
      <w:r w:rsidR="00B10036">
        <w:rPr>
          <w:noProof/>
        </w:rPr>
        <w:t> </w:t>
      </w:r>
      <w:r w:rsidR="00B10036" w:rsidRPr="00B10036">
        <w:rPr>
          <w:noProof/>
        </w:rPr>
        <w:t>zwi</w:t>
      </w:r>
      <w:r w:rsidR="00272008" w:rsidRPr="00B10036">
        <w:rPr>
          <w:noProof/>
        </w:rPr>
        <w:t>ększania odporności są ograniczone</w:t>
      </w:r>
      <w:r w:rsidR="00B10036" w:rsidRPr="00B10036">
        <w:rPr>
          <w:noProof/>
        </w:rPr>
        <w:t xml:space="preserve"> w</w:t>
      </w:r>
      <w:r w:rsidR="00B10036">
        <w:rPr>
          <w:noProof/>
        </w:rPr>
        <w:t> </w:t>
      </w:r>
      <w:r w:rsidR="00B10036" w:rsidRPr="00B10036">
        <w:rPr>
          <w:noProof/>
        </w:rPr>
        <w:t>cza</w:t>
      </w:r>
      <w:r w:rsidR="00272008" w:rsidRPr="00B10036">
        <w:rPr>
          <w:noProof/>
        </w:rPr>
        <w:t>sie. Niektóre działania na rzecz sprawiedliwej transformacji są ponadto wdrażane</w:t>
      </w:r>
      <w:r w:rsidR="00B10036" w:rsidRPr="00B10036">
        <w:rPr>
          <w:noProof/>
        </w:rPr>
        <w:t xml:space="preserve"> w</w:t>
      </w:r>
      <w:r w:rsidR="00B10036">
        <w:rPr>
          <w:noProof/>
        </w:rPr>
        <w:t> </w:t>
      </w:r>
      <w:r w:rsidR="00B10036" w:rsidRPr="00B10036">
        <w:rPr>
          <w:noProof/>
        </w:rPr>
        <w:t>kon</w:t>
      </w:r>
      <w:r w:rsidR="00272008" w:rsidRPr="00B10036">
        <w:rPr>
          <w:noProof/>
        </w:rPr>
        <w:t>tekście innych programów</w:t>
      </w:r>
      <w:r w:rsidR="00B10036" w:rsidRPr="00B10036">
        <w:rPr>
          <w:noProof/>
        </w:rPr>
        <w:t xml:space="preserve"> i</w:t>
      </w:r>
      <w:r w:rsidR="00B10036">
        <w:rPr>
          <w:noProof/>
        </w:rPr>
        <w:t> </w:t>
      </w:r>
      <w:r w:rsidR="00B10036" w:rsidRPr="00B10036">
        <w:rPr>
          <w:noProof/>
        </w:rPr>
        <w:t>ini</w:t>
      </w:r>
      <w:r w:rsidR="00272008" w:rsidRPr="00B10036">
        <w:rPr>
          <w:noProof/>
        </w:rPr>
        <w:t>cjatyw,</w:t>
      </w:r>
      <w:r w:rsidR="00B10036" w:rsidRPr="00B10036">
        <w:rPr>
          <w:noProof/>
        </w:rPr>
        <w:t xml:space="preserve"> w</w:t>
      </w:r>
      <w:r w:rsidR="00B10036">
        <w:rPr>
          <w:noProof/>
        </w:rPr>
        <w:t> </w:t>
      </w:r>
      <w:r w:rsidR="00B10036" w:rsidRPr="00B10036">
        <w:rPr>
          <w:noProof/>
        </w:rPr>
        <w:t>szc</w:t>
      </w:r>
      <w:r w:rsidR="00272008" w:rsidRPr="00B10036">
        <w:rPr>
          <w:noProof/>
        </w:rPr>
        <w:t>zególności fundusze</w:t>
      </w:r>
      <w:r w:rsidR="00B10036" w:rsidRPr="00B10036">
        <w:rPr>
          <w:noProof/>
        </w:rPr>
        <w:t xml:space="preserve"> w</w:t>
      </w:r>
      <w:r w:rsidR="00B10036">
        <w:rPr>
          <w:noProof/>
        </w:rPr>
        <w:t> </w:t>
      </w:r>
      <w:r w:rsidR="00B10036" w:rsidRPr="00B10036">
        <w:rPr>
          <w:noProof/>
        </w:rPr>
        <w:t>ram</w:t>
      </w:r>
      <w:r w:rsidR="00272008" w:rsidRPr="00B10036">
        <w:rPr>
          <w:noProof/>
        </w:rPr>
        <w:t>ach polityki spójności. Plany społeczno-klimatyczne odegrają ważną rolę</w:t>
      </w:r>
      <w:r w:rsidR="00B10036" w:rsidRPr="00B10036">
        <w:rPr>
          <w:noProof/>
        </w:rPr>
        <w:t xml:space="preserve"> w</w:t>
      </w:r>
      <w:r w:rsidR="00B10036">
        <w:rPr>
          <w:noProof/>
        </w:rPr>
        <w:t> </w:t>
      </w:r>
      <w:r w:rsidR="00B10036" w:rsidRPr="00B10036">
        <w:rPr>
          <w:noProof/>
        </w:rPr>
        <w:t>pom</w:t>
      </w:r>
      <w:r w:rsidR="00272008" w:rsidRPr="00B10036">
        <w:rPr>
          <w:noProof/>
        </w:rPr>
        <w:t>ocy grupom najbardziej obciążonym skutkami transformacji</w:t>
      </w:r>
      <w:r w:rsidR="00B10036" w:rsidRPr="00B10036">
        <w:rPr>
          <w:noProof/>
        </w:rPr>
        <w:t xml:space="preserve"> i</w:t>
      </w:r>
      <w:r w:rsidR="00B10036">
        <w:rPr>
          <w:noProof/>
        </w:rPr>
        <w:t> </w:t>
      </w:r>
      <w:r w:rsidR="00B10036" w:rsidRPr="00B10036">
        <w:rPr>
          <w:noProof/>
        </w:rPr>
        <w:t>będ</w:t>
      </w:r>
      <w:r w:rsidR="00272008" w:rsidRPr="00B10036">
        <w:rPr>
          <w:noProof/>
        </w:rPr>
        <w:t>ącym</w:t>
      </w:r>
      <w:r w:rsidR="00B10036" w:rsidRPr="00B10036">
        <w:rPr>
          <w:noProof/>
        </w:rPr>
        <w:t xml:space="preserve"> w</w:t>
      </w:r>
      <w:r w:rsidR="00B10036">
        <w:rPr>
          <w:noProof/>
        </w:rPr>
        <w:t> </w:t>
      </w:r>
      <w:r w:rsidR="00B10036" w:rsidRPr="00B10036">
        <w:rPr>
          <w:noProof/>
        </w:rPr>
        <w:t>naj</w:t>
      </w:r>
      <w:r w:rsidR="00272008" w:rsidRPr="00B10036">
        <w:rPr>
          <w:noProof/>
        </w:rPr>
        <w:t>trudniejszej sytuacji</w:t>
      </w:r>
      <w:r w:rsidR="00B10036" w:rsidRPr="00B10036">
        <w:rPr>
          <w:noProof/>
        </w:rPr>
        <w:t xml:space="preserve"> w</w:t>
      </w:r>
      <w:r w:rsidR="00B10036">
        <w:rPr>
          <w:noProof/>
        </w:rPr>
        <w:t> </w:t>
      </w:r>
      <w:r w:rsidR="00B10036" w:rsidRPr="00B10036">
        <w:rPr>
          <w:noProof/>
        </w:rPr>
        <w:t>kon</w:t>
      </w:r>
      <w:r w:rsidR="00272008" w:rsidRPr="00B10036">
        <w:rPr>
          <w:noProof/>
        </w:rPr>
        <w:t>tekście wprowadzenia handlu uprawnieniami do emisji</w:t>
      </w:r>
      <w:r w:rsidR="00B10036" w:rsidRPr="00B10036">
        <w:rPr>
          <w:noProof/>
        </w:rPr>
        <w:t xml:space="preserve"> w</w:t>
      </w:r>
      <w:r w:rsidR="00B10036">
        <w:rPr>
          <w:noProof/>
        </w:rPr>
        <w:t> </w:t>
      </w:r>
      <w:r w:rsidR="00B10036" w:rsidRPr="00B10036">
        <w:rPr>
          <w:noProof/>
        </w:rPr>
        <w:t>odn</w:t>
      </w:r>
      <w:r w:rsidR="00272008" w:rsidRPr="00B10036">
        <w:rPr>
          <w:noProof/>
        </w:rPr>
        <w:t>iesieniu do paliw stosowanych</w:t>
      </w:r>
      <w:r w:rsidR="00B10036" w:rsidRPr="00B10036">
        <w:rPr>
          <w:noProof/>
        </w:rPr>
        <w:t xml:space="preserve"> w</w:t>
      </w:r>
      <w:r w:rsidR="00B10036">
        <w:rPr>
          <w:noProof/>
        </w:rPr>
        <w:t> </w:t>
      </w:r>
      <w:r w:rsidR="00B10036" w:rsidRPr="00B10036">
        <w:rPr>
          <w:noProof/>
        </w:rPr>
        <w:t>tra</w:t>
      </w:r>
      <w:r w:rsidR="00272008" w:rsidRPr="00B10036">
        <w:rPr>
          <w:noProof/>
        </w:rPr>
        <w:t>nsporcie drogowym</w:t>
      </w:r>
      <w:r w:rsidR="00B10036" w:rsidRPr="00B10036">
        <w:rPr>
          <w:noProof/>
        </w:rPr>
        <w:t xml:space="preserve"> i</w:t>
      </w:r>
      <w:r w:rsidR="00B10036">
        <w:rPr>
          <w:noProof/>
        </w:rPr>
        <w:t> </w:t>
      </w:r>
      <w:r w:rsidR="00B10036" w:rsidRPr="00B10036">
        <w:rPr>
          <w:noProof/>
        </w:rPr>
        <w:t>bud</w:t>
      </w:r>
      <w:r w:rsidR="00272008" w:rsidRPr="00B10036">
        <w:rPr>
          <w:noProof/>
        </w:rPr>
        <w:t>ynkach.</w:t>
      </w:r>
      <w:r w:rsidR="00B10036" w:rsidRPr="00B10036">
        <w:rPr>
          <w:noProof/>
        </w:rPr>
        <w:t xml:space="preserve"> </w:t>
      </w:r>
    </w:p>
    <w:p w14:paraId="0153E3EB" w14:textId="67B89485" w:rsidR="009B54D8" w:rsidRPr="00B10036" w:rsidRDefault="004D6F52" w:rsidP="004D6F52">
      <w:pPr>
        <w:pStyle w:val="ManualConsidrant"/>
        <w:rPr>
          <w:noProof/>
        </w:rPr>
      </w:pPr>
      <w:r w:rsidRPr="004D6F52">
        <w:t>(16)</w:t>
      </w:r>
      <w:r w:rsidRPr="004D6F52">
        <w:tab/>
      </w:r>
      <w:r w:rsidR="002B2F41" w:rsidRPr="00B10036">
        <w:rPr>
          <w:noProof/>
        </w:rPr>
        <w:t>Sprawiedliwa transformacja</w:t>
      </w:r>
      <w:r w:rsidR="00B10036" w:rsidRPr="00B10036">
        <w:rPr>
          <w:noProof/>
        </w:rPr>
        <w:t xml:space="preserve"> w</w:t>
      </w:r>
      <w:r w:rsidR="00B10036">
        <w:rPr>
          <w:noProof/>
        </w:rPr>
        <w:t> </w:t>
      </w:r>
      <w:r w:rsidR="00B10036" w:rsidRPr="00B10036">
        <w:rPr>
          <w:noProof/>
        </w:rPr>
        <w:t>kie</w:t>
      </w:r>
      <w:r w:rsidR="002B2F41" w:rsidRPr="00B10036">
        <w:rPr>
          <w:noProof/>
        </w:rPr>
        <w:t>runku neutralności klimatycznej Unii do</w:t>
      </w:r>
      <w:r w:rsidR="00B10036" w:rsidRPr="00B10036">
        <w:rPr>
          <w:noProof/>
        </w:rPr>
        <w:t> </w:t>
      </w:r>
      <w:r w:rsidR="002B2F41" w:rsidRPr="00B10036">
        <w:rPr>
          <w:noProof/>
        </w:rPr>
        <w:t>2050</w:t>
      </w:r>
      <w:r w:rsidR="00B10036" w:rsidRPr="00B10036">
        <w:rPr>
          <w:noProof/>
        </w:rPr>
        <w:t> </w:t>
      </w:r>
      <w:r w:rsidR="002B2F41" w:rsidRPr="00B10036">
        <w:rPr>
          <w:noProof/>
        </w:rPr>
        <w:t>r. zapewni, aby nikt nie został pozostawiony</w:t>
      </w:r>
      <w:r w:rsidR="00B10036" w:rsidRPr="00B10036">
        <w:rPr>
          <w:noProof/>
        </w:rPr>
        <w:t xml:space="preserve"> w</w:t>
      </w:r>
      <w:r w:rsidR="00B10036">
        <w:rPr>
          <w:noProof/>
        </w:rPr>
        <w:t> </w:t>
      </w:r>
      <w:r w:rsidR="00B10036" w:rsidRPr="00B10036">
        <w:rPr>
          <w:noProof/>
        </w:rPr>
        <w:t>tyl</w:t>
      </w:r>
      <w:r w:rsidR="002B2F41" w:rsidRPr="00B10036">
        <w:rPr>
          <w:noProof/>
        </w:rPr>
        <w:t>e,</w:t>
      </w:r>
      <w:r w:rsidR="00B10036" w:rsidRPr="00B10036">
        <w:rPr>
          <w:noProof/>
        </w:rPr>
        <w:t xml:space="preserve"> w</w:t>
      </w:r>
      <w:r w:rsidR="00B10036">
        <w:rPr>
          <w:noProof/>
        </w:rPr>
        <w:t> </w:t>
      </w:r>
      <w:r w:rsidR="00B10036" w:rsidRPr="00B10036">
        <w:rPr>
          <w:noProof/>
        </w:rPr>
        <w:t>szc</w:t>
      </w:r>
      <w:r w:rsidR="002B2F41" w:rsidRPr="00B10036">
        <w:rPr>
          <w:noProof/>
        </w:rPr>
        <w:t>zególności osoby pracujące</w:t>
      </w:r>
      <w:r w:rsidR="00B10036" w:rsidRPr="00B10036">
        <w:rPr>
          <w:noProof/>
        </w:rPr>
        <w:t xml:space="preserve"> i</w:t>
      </w:r>
      <w:r w:rsidR="00B10036">
        <w:rPr>
          <w:noProof/>
        </w:rPr>
        <w:t> </w:t>
      </w:r>
      <w:r w:rsidR="00B10036" w:rsidRPr="00B10036">
        <w:rPr>
          <w:noProof/>
        </w:rPr>
        <w:t>gos</w:t>
      </w:r>
      <w:r w:rsidR="002B2F41" w:rsidRPr="00B10036">
        <w:rPr>
          <w:noProof/>
        </w:rPr>
        <w:t>podarstwa domowe najbardziej obciążone skutkami zielonej transformacji, zwłaszcza już będące</w:t>
      </w:r>
      <w:r w:rsidR="00B10036" w:rsidRPr="00B10036">
        <w:rPr>
          <w:noProof/>
        </w:rPr>
        <w:t xml:space="preserve"> w</w:t>
      </w:r>
      <w:r w:rsidR="00B10036">
        <w:rPr>
          <w:noProof/>
        </w:rPr>
        <w:t> </w:t>
      </w:r>
      <w:r w:rsidR="00B10036" w:rsidRPr="00B10036">
        <w:rPr>
          <w:noProof/>
        </w:rPr>
        <w:t>tru</w:t>
      </w:r>
      <w:r w:rsidR="002B2F41" w:rsidRPr="00B10036">
        <w:rPr>
          <w:noProof/>
        </w:rPr>
        <w:t>dnej sytuacji</w:t>
      </w:r>
      <w:r w:rsidR="00B10036" w:rsidRPr="00B10036">
        <w:rPr>
          <w:noProof/>
        </w:rPr>
        <w:t>. W</w:t>
      </w:r>
      <w:r w:rsidR="00B10036">
        <w:rPr>
          <w:noProof/>
        </w:rPr>
        <w:t> </w:t>
      </w:r>
      <w:r w:rsidR="00B10036" w:rsidRPr="00B10036">
        <w:rPr>
          <w:noProof/>
        </w:rPr>
        <w:t>tym</w:t>
      </w:r>
      <w:r w:rsidR="002B2F41" w:rsidRPr="00B10036">
        <w:rPr>
          <w:noProof/>
        </w:rPr>
        <w:t xml:space="preserve"> celu, jak określono</w:t>
      </w:r>
      <w:r w:rsidR="00B10036" w:rsidRPr="00B10036">
        <w:rPr>
          <w:noProof/>
        </w:rPr>
        <w:t xml:space="preserve"> w</w:t>
      </w:r>
      <w:r w:rsidR="00B10036">
        <w:rPr>
          <w:noProof/>
        </w:rPr>
        <w:t> </w:t>
      </w:r>
      <w:r w:rsidR="00B10036" w:rsidRPr="00B10036">
        <w:rPr>
          <w:noProof/>
        </w:rPr>
        <w:t>nin</w:t>
      </w:r>
      <w:r w:rsidR="002B2F41" w:rsidRPr="00B10036">
        <w:rPr>
          <w:noProof/>
        </w:rPr>
        <w:t>iejszym zaleceniu, państwa członkowskie powinny wprowadzić kompleksowe pakiety polityczne</w:t>
      </w:r>
      <w:r w:rsidR="002B2F41" w:rsidRPr="00B10036">
        <w:rPr>
          <w:rStyle w:val="FootnoteReference"/>
          <w:noProof/>
        </w:rPr>
        <w:footnoteReference w:id="87"/>
      </w:r>
      <w:r w:rsidR="002B2F41" w:rsidRPr="00B10036">
        <w:rPr>
          <w:noProof/>
        </w:rPr>
        <w:t>, wzmocnić elementy przekrojowe, które służą promowaniu sprawiedliwej zielonej transformacji, oraz optymalnie wykorzystywać finansowanie publiczne</w:t>
      </w:r>
      <w:r w:rsidR="00B10036" w:rsidRPr="00B10036">
        <w:rPr>
          <w:noProof/>
        </w:rPr>
        <w:t xml:space="preserve"> i</w:t>
      </w:r>
      <w:r w:rsidR="00B10036">
        <w:rPr>
          <w:noProof/>
        </w:rPr>
        <w:t> </w:t>
      </w:r>
      <w:r w:rsidR="00B10036" w:rsidRPr="00B10036">
        <w:rPr>
          <w:noProof/>
        </w:rPr>
        <w:t>pry</w:t>
      </w:r>
      <w:r w:rsidR="002B2F41" w:rsidRPr="00B10036">
        <w:rPr>
          <w:noProof/>
        </w:rPr>
        <w:t>watne. Pakiety polityczne powinny uwzględniać te osoby</w:t>
      </w:r>
      <w:r w:rsidR="00B10036" w:rsidRPr="00B10036">
        <w:rPr>
          <w:noProof/>
        </w:rPr>
        <w:t xml:space="preserve"> i</w:t>
      </w:r>
      <w:r w:rsidR="00B10036">
        <w:rPr>
          <w:noProof/>
        </w:rPr>
        <w:t> </w:t>
      </w:r>
      <w:r w:rsidR="00B10036" w:rsidRPr="00B10036">
        <w:rPr>
          <w:noProof/>
        </w:rPr>
        <w:t>gos</w:t>
      </w:r>
      <w:r w:rsidR="002B2F41" w:rsidRPr="00B10036">
        <w:rPr>
          <w:noProof/>
        </w:rPr>
        <w:t>podarstwa domowe, które są najbardziej obciążone skutkami zielonej transformacji, szczególnie</w:t>
      </w:r>
      <w:r w:rsidR="00B10036" w:rsidRPr="00B10036">
        <w:rPr>
          <w:noProof/>
        </w:rPr>
        <w:t xml:space="preserve"> w</w:t>
      </w:r>
      <w:r w:rsidR="00B10036">
        <w:rPr>
          <w:noProof/>
        </w:rPr>
        <w:t> </w:t>
      </w:r>
      <w:r w:rsidR="00B10036" w:rsidRPr="00B10036">
        <w:rPr>
          <w:noProof/>
        </w:rPr>
        <w:t>zwi</w:t>
      </w:r>
      <w:r w:rsidR="002B2F41" w:rsidRPr="00B10036">
        <w:rPr>
          <w:noProof/>
        </w:rPr>
        <w:t>ązku</w:t>
      </w:r>
      <w:r w:rsidR="00B10036" w:rsidRPr="00B10036">
        <w:rPr>
          <w:noProof/>
        </w:rPr>
        <w:t xml:space="preserve"> z</w:t>
      </w:r>
      <w:r w:rsidR="00B10036">
        <w:rPr>
          <w:noProof/>
        </w:rPr>
        <w:t> </w:t>
      </w:r>
      <w:r w:rsidR="00B10036" w:rsidRPr="00B10036">
        <w:rPr>
          <w:noProof/>
        </w:rPr>
        <w:t>utr</w:t>
      </w:r>
      <w:r w:rsidR="002B2F41" w:rsidRPr="00B10036">
        <w:rPr>
          <w:noProof/>
        </w:rPr>
        <w:t>atą miejsc pracy, ale także zmianą warunków pracy lub nowymi wymogami dotyczącymi zadań</w:t>
      </w:r>
      <w:r w:rsidR="00B10036" w:rsidRPr="00B10036">
        <w:rPr>
          <w:noProof/>
        </w:rPr>
        <w:t xml:space="preserve"> w</w:t>
      </w:r>
      <w:r w:rsidR="00B10036">
        <w:rPr>
          <w:noProof/>
        </w:rPr>
        <w:t> </w:t>
      </w:r>
      <w:r w:rsidR="00B10036" w:rsidRPr="00B10036">
        <w:rPr>
          <w:noProof/>
        </w:rPr>
        <w:t>mie</w:t>
      </w:r>
      <w:r w:rsidR="002B2F41" w:rsidRPr="00B10036">
        <w:rPr>
          <w:noProof/>
        </w:rPr>
        <w:t>jscu pracy, jak również te, które są narażone na niekorzystny wpływ na dochód do dyspozycji, wydatki</w:t>
      </w:r>
      <w:r w:rsidR="00B10036" w:rsidRPr="00B10036">
        <w:rPr>
          <w:noProof/>
        </w:rPr>
        <w:t xml:space="preserve"> i</w:t>
      </w:r>
      <w:r w:rsidR="00B10036">
        <w:rPr>
          <w:noProof/>
        </w:rPr>
        <w:t> </w:t>
      </w:r>
      <w:r w:rsidR="00B10036" w:rsidRPr="00B10036">
        <w:rPr>
          <w:noProof/>
        </w:rPr>
        <w:t>dos</w:t>
      </w:r>
      <w:r w:rsidR="002B2F41" w:rsidRPr="00B10036">
        <w:rPr>
          <w:noProof/>
        </w:rPr>
        <w:t>tęp do podstawowych usług. Wśród grup najbardziej obciążonych skutkami transformacji pakiety polityczne powinny</w:t>
      </w:r>
      <w:r w:rsidR="00B10036" w:rsidRPr="00B10036">
        <w:rPr>
          <w:noProof/>
        </w:rPr>
        <w:t xml:space="preserve"> w</w:t>
      </w:r>
      <w:r w:rsidR="00B10036">
        <w:rPr>
          <w:noProof/>
        </w:rPr>
        <w:t> </w:t>
      </w:r>
      <w:r w:rsidR="00B10036" w:rsidRPr="00B10036">
        <w:rPr>
          <w:noProof/>
        </w:rPr>
        <w:t>szc</w:t>
      </w:r>
      <w:r w:rsidR="002B2F41" w:rsidRPr="00B10036">
        <w:rPr>
          <w:noProof/>
        </w:rPr>
        <w:t>zególności – ale nie tylko – uwzględniać osoby</w:t>
      </w:r>
      <w:r w:rsidR="00B10036" w:rsidRPr="00B10036">
        <w:rPr>
          <w:noProof/>
        </w:rPr>
        <w:t xml:space="preserve"> i</w:t>
      </w:r>
      <w:r w:rsidR="00B10036">
        <w:rPr>
          <w:noProof/>
        </w:rPr>
        <w:t> </w:t>
      </w:r>
      <w:r w:rsidR="00B10036" w:rsidRPr="00B10036">
        <w:rPr>
          <w:noProof/>
        </w:rPr>
        <w:t>gos</w:t>
      </w:r>
      <w:r w:rsidR="002B2F41" w:rsidRPr="00B10036">
        <w:rPr>
          <w:noProof/>
        </w:rPr>
        <w:t>podarstwa domowe będące</w:t>
      </w:r>
      <w:r w:rsidR="00B10036" w:rsidRPr="00B10036">
        <w:rPr>
          <w:noProof/>
        </w:rPr>
        <w:t xml:space="preserve"> w</w:t>
      </w:r>
      <w:r w:rsidR="00B10036">
        <w:rPr>
          <w:noProof/>
        </w:rPr>
        <w:t> </w:t>
      </w:r>
      <w:r w:rsidR="00B10036" w:rsidRPr="00B10036">
        <w:rPr>
          <w:noProof/>
        </w:rPr>
        <w:t>tru</w:t>
      </w:r>
      <w:r w:rsidR="002B2F41" w:rsidRPr="00B10036">
        <w:rPr>
          <w:noProof/>
        </w:rPr>
        <w:t>dnej sytuacji, zwłaszcza osoby najbardziej oddalone od rynku pracy, na przykład ze względu na ich umiejętności, warunki panujące na rynku pracy na danym terytorium lub inne cechy, takie jak płeć, pochodzenie rasowe lub etniczne, przekonania religijne lub wyznanie, niepełnosprawność, wiek czy orientacja seksualna. Ponadto do osób</w:t>
      </w:r>
      <w:r w:rsidR="00B10036" w:rsidRPr="00B10036">
        <w:rPr>
          <w:noProof/>
        </w:rPr>
        <w:t xml:space="preserve"> i</w:t>
      </w:r>
      <w:r w:rsidR="00B10036">
        <w:rPr>
          <w:noProof/>
        </w:rPr>
        <w:t> </w:t>
      </w:r>
      <w:r w:rsidR="00B10036" w:rsidRPr="00B10036">
        <w:rPr>
          <w:noProof/>
        </w:rPr>
        <w:t>gos</w:t>
      </w:r>
      <w:r w:rsidR="002B2F41" w:rsidRPr="00B10036">
        <w:rPr>
          <w:noProof/>
        </w:rPr>
        <w:t>podarstw domowych będących</w:t>
      </w:r>
      <w:r w:rsidR="00B10036" w:rsidRPr="00B10036">
        <w:rPr>
          <w:noProof/>
        </w:rPr>
        <w:t xml:space="preserve"> w</w:t>
      </w:r>
      <w:r w:rsidR="00B10036">
        <w:rPr>
          <w:noProof/>
        </w:rPr>
        <w:t> </w:t>
      </w:r>
      <w:r w:rsidR="00B10036" w:rsidRPr="00B10036">
        <w:rPr>
          <w:noProof/>
        </w:rPr>
        <w:t>tru</w:t>
      </w:r>
      <w:r w:rsidR="002B2F41" w:rsidRPr="00B10036">
        <w:rPr>
          <w:noProof/>
        </w:rPr>
        <w:t>dnej sytuacji można zaliczyć osoby żyjące</w:t>
      </w:r>
      <w:r w:rsidR="00B10036" w:rsidRPr="00B10036">
        <w:rPr>
          <w:noProof/>
        </w:rPr>
        <w:t xml:space="preserve"> w</w:t>
      </w:r>
      <w:r w:rsidR="00B10036">
        <w:rPr>
          <w:noProof/>
        </w:rPr>
        <w:t> </w:t>
      </w:r>
      <w:r w:rsidR="00B10036" w:rsidRPr="00B10036">
        <w:rPr>
          <w:noProof/>
        </w:rPr>
        <w:t>ubó</w:t>
      </w:r>
      <w:r w:rsidR="002B2F41" w:rsidRPr="00B10036">
        <w:rPr>
          <w:noProof/>
        </w:rPr>
        <w:t>stwie lub ubóstwie energetycznym bądź zagrożone takim ubóstwem, zmagające się</w:t>
      </w:r>
      <w:r w:rsidR="00B10036" w:rsidRPr="00B10036">
        <w:rPr>
          <w:noProof/>
        </w:rPr>
        <w:t xml:space="preserve"> z</w:t>
      </w:r>
      <w:r w:rsidR="00B10036">
        <w:rPr>
          <w:noProof/>
        </w:rPr>
        <w:t> </w:t>
      </w:r>
      <w:r w:rsidR="00B10036" w:rsidRPr="00B10036">
        <w:rPr>
          <w:noProof/>
        </w:rPr>
        <w:t>prz</w:t>
      </w:r>
      <w:r w:rsidR="002B2F41" w:rsidRPr="00B10036">
        <w:rPr>
          <w:noProof/>
        </w:rPr>
        <w:t>eszkodami</w:t>
      </w:r>
      <w:r w:rsidR="00B10036" w:rsidRPr="00B10036">
        <w:rPr>
          <w:noProof/>
        </w:rPr>
        <w:t xml:space="preserve"> w</w:t>
      </w:r>
      <w:r w:rsidR="00B10036">
        <w:rPr>
          <w:noProof/>
        </w:rPr>
        <w:t> </w:t>
      </w:r>
      <w:r w:rsidR="00B10036" w:rsidRPr="00B10036">
        <w:rPr>
          <w:noProof/>
        </w:rPr>
        <w:t>zak</w:t>
      </w:r>
      <w:r w:rsidR="002B2F41" w:rsidRPr="00B10036">
        <w:rPr>
          <w:noProof/>
        </w:rPr>
        <w:t>resie mobilności lub przeciążone wydatkami mieszkaniowymi. Pakiety polityczne powinny być dostosowane do warunków lokalnych,</w:t>
      </w:r>
      <w:r w:rsidR="00B10036" w:rsidRPr="00B10036">
        <w:rPr>
          <w:noProof/>
        </w:rPr>
        <w:t xml:space="preserve"> z</w:t>
      </w:r>
      <w:r w:rsidR="00B10036">
        <w:rPr>
          <w:noProof/>
        </w:rPr>
        <w:t> </w:t>
      </w:r>
      <w:r w:rsidR="00B10036" w:rsidRPr="00B10036">
        <w:rPr>
          <w:noProof/>
        </w:rPr>
        <w:t>uwz</w:t>
      </w:r>
      <w:r w:rsidR="002B2F41" w:rsidRPr="00B10036">
        <w:rPr>
          <w:noProof/>
        </w:rPr>
        <w:t>ględnieniem potrzeb najbardziej wrażliwych</w:t>
      </w:r>
      <w:r w:rsidR="00B10036" w:rsidRPr="00B10036">
        <w:rPr>
          <w:noProof/>
        </w:rPr>
        <w:t xml:space="preserve"> i</w:t>
      </w:r>
      <w:r w:rsidR="00B10036">
        <w:rPr>
          <w:noProof/>
        </w:rPr>
        <w:t> </w:t>
      </w:r>
      <w:r w:rsidR="00B10036" w:rsidRPr="00B10036">
        <w:rPr>
          <w:noProof/>
        </w:rPr>
        <w:t>odd</w:t>
      </w:r>
      <w:r w:rsidR="002B2F41" w:rsidRPr="00B10036">
        <w:rPr>
          <w:noProof/>
        </w:rPr>
        <w:t>alonych części UE,</w:t>
      </w:r>
      <w:r w:rsidR="00B10036" w:rsidRPr="00B10036">
        <w:rPr>
          <w:noProof/>
        </w:rPr>
        <w:t xml:space="preserve"> w</w:t>
      </w:r>
      <w:r w:rsidR="00B10036">
        <w:rPr>
          <w:noProof/>
        </w:rPr>
        <w:t> </w:t>
      </w:r>
      <w:r w:rsidR="00B10036" w:rsidRPr="00B10036">
        <w:rPr>
          <w:noProof/>
        </w:rPr>
        <w:t>tym</w:t>
      </w:r>
      <w:r w:rsidR="002B2F41" w:rsidRPr="00B10036">
        <w:rPr>
          <w:noProof/>
        </w:rPr>
        <w:t xml:space="preserve"> regionów najbardziej oddalonych.</w:t>
      </w:r>
    </w:p>
    <w:p w14:paraId="41590915" w14:textId="4A16CCB8" w:rsidR="009B54D8" w:rsidRPr="00B10036" w:rsidRDefault="004D6F52" w:rsidP="004D6F52">
      <w:pPr>
        <w:pStyle w:val="ManualConsidrant"/>
        <w:rPr>
          <w:noProof/>
        </w:rPr>
      </w:pPr>
      <w:r w:rsidRPr="004D6F52">
        <w:t>(17)</w:t>
      </w:r>
      <w:r w:rsidRPr="004D6F52">
        <w:tab/>
      </w:r>
      <w:r w:rsidR="00365A29" w:rsidRPr="00B10036">
        <w:rPr>
          <w:noProof/>
        </w:rPr>
        <w:t>Aktywne wsparcie na rzecz zatrudnienia wysokiej jakości powinno koncentrować się na pomocy pracownikom, osobom poszukującym pracy, osobom niekształcącym się, niepracującym ani nieszkolącym się oraz osobom samozatrudnionym, które są najbardziej obciążone skutkami zielonej transformacji</w:t>
      </w:r>
      <w:r w:rsidR="00B10036" w:rsidRPr="00B10036">
        <w:rPr>
          <w:noProof/>
        </w:rPr>
        <w:t>. W</w:t>
      </w:r>
      <w:r w:rsidR="00B10036">
        <w:rPr>
          <w:noProof/>
        </w:rPr>
        <w:t> </w:t>
      </w:r>
      <w:r w:rsidR="00B10036" w:rsidRPr="00B10036">
        <w:rPr>
          <w:noProof/>
        </w:rPr>
        <w:t>szc</w:t>
      </w:r>
      <w:r w:rsidR="00365A29" w:rsidRPr="00B10036">
        <w:rPr>
          <w:noProof/>
        </w:rPr>
        <w:t>zególności wsparcia</w:t>
      </w:r>
      <w:r w:rsidR="00B10036" w:rsidRPr="00B10036">
        <w:rPr>
          <w:noProof/>
        </w:rPr>
        <w:t xml:space="preserve"> w</w:t>
      </w:r>
      <w:r w:rsidR="00B10036">
        <w:rPr>
          <w:noProof/>
        </w:rPr>
        <w:t> </w:t>
      </w:r>
      <w:r w:rsidR="00B10036" w:rsidRPr="00B10036">
        <w:rPr>
          <w:noProof/>
        </w:rPr>
        <w:t>cel</w:t>
      </w:r>
      <w:r w:rsidR="00365A29" w:rsidRPr="00B10036">
        <w:rPr>
          <w:noProof/>
        </w:rPr>
        <w:t>u poprawy ich zdolności do zatrudnienia oraz znalezienia pracy, zgodnie</w:t>
      </w:r>
      <w:r w:rsidR="00B10036" w:rsidRPr="00B10036">
        <w:rPr>
          <w:noProof/>
        </w:rPr>
        <w:t xml:space="preserve"> z</w:t>
      </w:r>
      <w:r w:rsidR="00B10036">
        <w:rPr>
          <w:noProof/>
        </w:rPr>
        <w:t> </w:t>
      </w:r>
      <w:r w:rsidR="00B10036" w:rsidRPr="00B10036">
        <w:rPr>
          <w:noProof/>
        </w:rPr>
        <w:t>zal</w:t>
      </w:r>
      <w:r w:rsidR="00365A29" w:rsidRPr="00B10036">
        <w:rPr>
          <w:noProof/>
        </w:rPr>
        <w:t>eceniem Komisji</w:t>
      </w:r>
      <w:r w:rsidR="00B10036" w:rsidRPr="00B10036">
        <w:rPr>
          <w:noProof/>
        </w:rPr>
        <w:t xml:space="preserve"> w</w:t>
      </w:r>
      <w:r w:rsidR="00B10036">
        <w:rPr>
          <w:noProof/>
        </w:rPr>
        <w:t> </w:t>
      </w:r>
      <w:r w:rsidR="00B10036" w:rsidRPr="00B10036">
        <w:rPr>
          <w:noProof/>
        </w:rPr>
        <w:t>spr</w:t>
      </w:r>
      <w:r w:rsidR="00365A29" w:rsidRPr="00B10036">
        <w:rPr>
          <w:noProof/>
        </w:rPr>
        <w:t>awie skutecznego aktywnego wspierania zatrudnienia</w:t>
      </w:r>
      <w:r w:rsidR="00B10036" w:rsidRPr="00B10036">
        <w:rPr>
          <w:noProof/>
        </w:rPr>
        <w:t xml:space="preserve"> w</w:t>
      </w:r>
      <w:r w:rsidR="00B10036">
        <w:rPr>
          <w:noProof/>
        </w:rPr>
        <w:t> </w:t>
      </w:r>
      <w:r w:rsidR="00B10036" w:rsidRPr="00B10036">
        <w:rPr>
          <w:noProof/>
        </w:rPr>
        <w:t>nas</w:t>
      </w:r>
      <w:r w:rsidR="00365A29" w:rsidRPr="00B10036">
        <w:rPr>
          <w:noProof/>
        </w:rPr>
        <w:t>tępstwie kryzysu związanego z COVID-19 (EASE)</w:t>
      </w:r>
      <w:r w:rsidR="00365A29" w:rsidRPr="00B10036">
        <w:rPr>
          <w:rStyle w:val="FootnoteReference"/>
          <w:noProof/>
        </w:rPr>
        <w:footnoteReference w:id="88"/>
      </w:r>
      <w:r w:rsidR="00365A29" w:rsidRPr="00B10036">
        <w:rPr>
          <w:noProof/>
        </w:rPr>
        <w:t>, wymagają osoby niedostatecznie reprezentowane, takie jak kobiety lub osoby</w:t>
      </w:r>
      <w:r w:rsidR="00B10036" w:rsidRPr="00B10036">
        <w:rPr>
          <w:noProof/>
        </w:rPr>
        <w:t xml:space="preserve"> o</w:t>
      </w:r>
      <w:r w:rsidR="00B10036">
        <w:rPr>
          <w:noProof/>
        </w:rPr>
        <w:t> </w:t>
      </w:r>
      <w:r w:rsidR="00B10036" w:rsidRPr="00B10036">
        <w:rPr>
          <w:noProof/>
        </w:rPr>
        <w:t>sto</w:t>
      </w:r>
      <w:r w:rsidR="00365A29" w:rsidRPr="00B10036">
        <w:rPr>
          <w:noProof/>
        </w:rPr>
        <w:t>sunkowo niskiej zdolności do adaptacji do zmian na rynku pracy. Opierając się na poprzednich wytycznych dotyczących polityki</w:t>
      </w:r>
      <w:r w:rsidR="00365A29" w:rsidRPr="00B10036">
        <w:rPr>
          <w:rStyle w:val="FootnoteReference"/>
          <w:noProof/>
        </w:rPr>
        <w:footnoteReference w:id="89"/>
      </w:r>
      <w:r w:rsidR="00365A29" w:rsidRPr="00B10036">
        <w:rPr>
          <w:noProof/>
        </w:rPr>
        <w:t>, pakiety polityczne powinny zatem obejmować dostosowane do potrzeb środki wspierające zachęty do zatrudniania</w:t>
      </w:r>
      <w:r w:rsidR="00B10036" w:rsidRPr="00B10036">
        <w:rPr>
          <w:noProof/>
        </w:rPr>
        <w:t xml:space="preserve"> i</w:t>
      </w:r>
      <w:r w:rsidR="00B10036">
        <w:rPr>
          <w:noProof/>
        </w:rPr>
        <w:t> </w:t>
      </w:r>
      <w:r w:rsidR="00B10036" w:rsidRPr="00B10036">
        <w:rPr>
          <w:noProof/>
        </w:rPr>
        <w:t>zmi</w:t>
      </w:r>
      <w:r w:rsidR="00365A29" w:rsidRPr="00B10036">
        <w:rPr>
          <w:noProof/>
        </w:rPr>
        <w:t>any pracy oraz wspierania przedsiębiorczości,</w:t>
      </w:r>
      <w:r w:rsidR="00B10036" w:rsidRPr="00B10036">
        <w:rPr>
          <w:noProof/>
        </w:rPr>
        <w:t xml:space="preserve"> a</w:t>
      </w:r>
      <w:r w:rsidR="00B10036">
        <w:rPr>
          <w:noProof/>
        </w:rPr>
        <w:t> </w:t>
      </w:r>
      <w:r w:rsidR="00B10036" w:rsidRPr="00B10036">
        <w:rPr>
          <w:noProof/>
        </w:rPr>
        <w:t>tak</w:t>
      </w:r>
      <w:r w:rsidR="00365A29" w:rsidRPr="00B10036">
        <w:rPr>
          <w:noProof/>
        </w:rPr>
        <w:t>że środki na rzecz tworzenia wysokiej jakości miejsc pracy,</w:t>
      </w:r>
      <w:r w:rsidR="00B10036" w:rsidRPr="00B10036">
        <w:rPr>
          <w:noProof/>
        </w:rPr>
        <w:t xml:space="preserve"> w</w:t>
      </w:r>
      <w:r w:rsidR="00B10036">
        <w:rPr>
          <w:noProof/>
        </w:rPr>
        <w:t> </w:t>
      </w:r>
      <w:r w:rsidR="00B10036" w:rsidRPr="00B10036">
        <w:rPr>
          <w:noProof/>
        </w:rPr>
        <w:t>szc</w:t>
      </w:r>
      <w:r w:rsidR="00365A29" w:rsidRPr="00B10036">
        <w:rPr>
          <w:noProof/>
        </w:rPr>
        <w:t>zególności dla mikroprzedsiębiorstw oraz małych</w:t>
      </w:r>
      <w:r w:rsidR="00B10036" w:rsidRPr="00B10036">
        <w:rPr>
          <w:noProof/>
        </w:rPr>
        <w:t xml:space="preserve"> i</w:t>
      </w:r>
      <w:r w:rsidR="00B10036">
        <w:rPr>
          <w:noProof/>
        </w:rPr>
        <w:t> </w:t>
      </w:r>
      <w:r w:rsidR="00B10036" w:rsidRPr="00B10036">
        <w:rPr>
          <w:noProof/>
        </w:rPr>
        <w:t>śre</w:t>
      </w:r>
      <w:r w:rsidR="00365A29" w:rsidRPr="00B10036">
        <w:rPr>
          <w:noProof/>
        </w:rPr>
        <w:t>dnich przedsiębiorstw,</w:t>
      </w:r>
      <w:r w:rsidR="00B10036" w:rsidRPr="00B10036">
        <w:rPr>
          <w:noProof/>
        </w:rPr>
        <w:t xml:space="preserve"> a</w:t>
      </w:r>
      <w:r w:rsidR="00B10036">
        <w:rPr>
          <w:noProof/>
        </w:rPr>
        <w:t> </w:t>
      </w:r>
      <w:r w:rsidR="00B10036" w:rsidRPr="00B10036">
        <w:rPr>
          <w:noProof/>
        </w:rPr>
        <w:t>tak</w:t>
      </w:r>
      <w:r w:rsidR="00365A29" w:rsidRPr="00B10036">
        <w:rPr>
          <w:noProof/>
        </w:rPr>
        <w:t>że na terytoriach najbardziej obciążonych skutkami transformacji. Powinny one również sprzyjać skutecznemu wdrożeniu</w:t>
      </w:r>
      <w:r w:rsidR="00B10036" w:rsidRPr="00B10036">
        <w:rPr>
          <w:noProof/>
        </w:rPr>
        <w:t xml:space="preserve"> i</w:t>
      </w:r>
      <w:r w:rsidR="00B10036">
        <w:rPr>
          <w:noProof/>
        </w:rPr>
        <w:t> </w:t>
      </w:r>
      <w:r w:rsidR="00B10036" w:rsidRPr="00B10036">
        <w:rPr>
          <w:noProof/>
        </w:rPr>
        <w:t>egz</w:t>
      </w:r>
      <w:r w:rsidR="00365A29" w:rsidRPr="00B10036">
        <w:rPr>
          <w:noProof/>
        </w:rPr>
        <w:t>ekwowaniu istniejących przepisów dotyczących warunków pracy oraz wspierać społecznie odpowiedzialną restrukturyzację zgodnie</w:t>
      </w:r>
      <w:r w:rsidR="00B10036" w:rsidRPr="00B10036">
        <w:rPr>
          <w:noProof/>
        </w:rPr>
        <w:t xml:space="preserve"> z</w:t>
      </w:r>
      <w:r w:rsidR="00B10036">
        <w:rPr>
          <w:noProof/>
        </w:rPr>
        <w:t> </w:t>
      </w:r>
      <w:r w:rsidR="00B10036" w:rsidRPr="00B10036">
        <w:rPr>
          <w:noProof/>
        </w:rPr>
        <w:t>ist</w:t>
      </w:r>
      <w:r w:rsidR="00365A29" w:rsidRPr="00B10036">
        <w:rPr>
          <w:noProof/>
        </w:rPr>
        <w:t>niejącymi przepisami</w:t>
      </w:r>
      <w:r w:rsidR="00B10036" w:rsidRPr="00B10036">
        <w:rPr>
          <w:noProof/>
        </w:rPr>
        <w:t xml:space="preserve"> i</w:t>
      </w:r>
      <w:r w:rsidR="00B10036">
        <w:rPr>
          <w:noProof/>
        </w:rPr>
        <w:t> </w:t>
      </w:r>
      <w:r w:rsidR="00B10036" w:rsidRPr="00B10036">
        <w:rPr>
          <w:noProof/>
        </w:rPr>
        <w:t>nor</w:t>
      </w:r>
      <w:r w:rsidR="00365A29" w:rsidRPr="00B10036">
        <w:rPr>
          <w:noProof/>
        </w:rPr>
        <w:t>mami. Partnerzy społeczni mają do odegrania istotną rolę, aby przyczynić się do rozwiązania,</w:t>
      </w:r>
      <w:r w:rsidR="00B10036" w:rsidRPr="00B10036">
        <w:rPr>
          <w:noProof/>
        </w:rPr>
        <w:t xml:space="preserve"> w</w:t>
      </w:r>
      <w:r w:rsidR="00B10036">
        <w:rPr>
          <w:noProof/>
        </w:rPr>
        <w:t> </w:t>
      </w:r>
      <w:r w:rsidR="00B10036" w:rsidRPr="00B10036">
        <w:rPr>
          <w:noProof/>
        </w:rPr>
        <w:t>dro</w:t>
      </w:r>
      <w:r w:rsidR="00365A29" w:rsidRPr="00B10036">
        <w:rPr>
          <w:noProof/>
        </w:rPr>
        <w:t>dze dialogu, problemów związanych</w:t>
      </w:r>
      <w:r w:rsidR="00B10036" w:rsidRPr="00B10036">
        <w:rPr>
          <w:noProof/>
        </w:rPr>
        <w:t xml:space="preserve"> z</w:t>
      </w:r>
      <w:r w:rsidR="00B10036">
        <w:rPr>
          <w:noProof/>
        </w:rPr>
        <w:t> </w:t>
      </w:r>
      <w:r w:rsidR="00B10036" w:rsidRPr="00B10036">
        <w:rPr>
          <w:noProof/>
        </w:rPr>
        <w:t>zat</w:t>
      </w:r>
      <w:r w:rsidR="00365A29" w:rsidRPr="00B10036">
        <w:rPr>
          <w:noProof/>
        </w:rPr>
        <w:t>rudnieniem</w:t>
      </w:r>
      <w:r w:rsidR="00B10036" w:rsidRPr="00B10036">
        <w:rPr>
          <w:noProof/>
        </w:rPr>
        <w:t xml:space="preserve"> i</w:t>
      </w:r>
      <w:r w:rsidR="00B10036">
        <w:rPr>
          <w:noProof/>
        </w:rPr>
        <w:t> </w:t>
      </w:r>
      <w:r w:rsidR="00B10036" w:rsidRPr="00B10036">
        <w:rPr>
          <w:noProof/>
        </w:rPr>
        <w:t>spo</w:t>
      </w:r>
      <w:r w:rsidR="00365A29" w:rsidRPr="00B10036">
        <w:rPr>
          <w:noProof/>
        </w:rPr>
        <w:t>łecznymi konsekwencjami wyzwań, jakie niesie ze sobą zielona transformacja.</w:t>
      </w:r>
    </w:p>
    <w:p w14:paraId="228B8481" w14:textId="32B0F795" w:rsidR="009B54D8" w:rsidRPr="00B10036" w:rsidRDefault="004D6F52" w:rsidP="004D6F52">
      <w:pPr>
        <w:pStyle w:val="ManualConsidrant"/>
        <w:rPr>
          <w:noProof/>
        </w:rPr>
      </w:pPr>
      <w:r w:rsidRPr="004D6F52">
        <w:t>(18)</w:t>
      </w:r>
      <w:r w:rsidRPr="004D6F52">
        <w:tab/>
      </w:r>
      <w:r w:rsidR="00C56329" w:rsidRPr="00B10036">
        <w:rPr>
          <w:noProof/>
        </w:rPr>
        <w:t>Zasadnicze znaczenie dla zapewnienia, aby pracownicy zdobyli umiejętności niezbędne do osiągnięcia zielonej transformacji, ma zagwarantowanie wszystkim dostępu do charakteryzującego się wysoką jakością, włączającego kształcenia, szkolenia</w:t>
      </w:r>
      <w:r w:rsidR="00B10036" w:rsidRPr="00B10036">
        <w:rPr>
          <w:noProof/>
        </w:rPr>
        <w:t xml:space="preserve"> i</w:t>
      </w:r>
      <w:r w:rsidR="00B10036">
        <w:rPr>
          <w:noProof/>
        </w:rPr>
        <w:t> </w:t>
      </w:r>
      <w:r w:rsidR="00B10036" w:rsidRPr="00B10036">
        <w:rPr>
          <w:noProof/>
        </w:rPr>
        <w:t>ucz</w:t>
      </w:r>
      <w:r w:rsidR="00C56329" w:rsidRPr="00B10036">
        <w:rPr>
          <w:noProof/>
        </w:rPr>
        <w:t>enia się przez całe życie</w:t>
      </w:r>
      <w:r w:rsidR="00B10036" w:rsidRPr="00B10036">
        <w:rPr>
          <w:noProof/>
        </w:rPr>
        <w:t>. W</w:t>
      </w:r>
      <w:r w:rsidR="00B10036">
        <w:rPr>
          <w:noProof/>
        </w:rPr>
        <w:t> </w:t>
      </w:r>
      <w:r w:rsidR="00B10036" w:rsidRPr="00B10036">
        <w:rPr>
          <w:noProof/>
        </w:rPr>
        <w:t>zwi</w:t>
      </w:r>
      <w:r w:rsidR="00C56329" w:rsidRPr="00B10036">
        <w:rPr>
          <w:noProof/>
        </w:rPr>
        <w:t>ązku</w:t>
      </w:r>
      <w:r w:rsidR="00B10036" w:rsidRPr="00B10036">
        <w:rPr>
          <w:noProof/>
        </w:rPr>
        <w:t xml:space="preserve"> z</w:t>
      </w:r>
      <w:r w:rsidR="00B10036">
        <w:rPr>
          <w:noProof/>
        </w:rPr>
        <w:t> </w:t>
      </w:r>
      <w:r w:rsidR="00B10036" w:rsidRPr="00B10036">
        <w:rPr>
          <w:noProof/>
        </w:rPr>
        <w:t>tym</w:t>
      </w:r>
      <w:r w:rsidR="00C56329" w:rsidRPr="00B10036">
        <w:rPr>
          <w:noProof/>
        </w:rPr>
        <w:t xml:space="preserve"> należy uwzględnić aspekty sprawiedliwej transformacji</w:t>
      </w:r>
      <w:r w:rsidR="00B10036" w:rsidRPr="00B10036">
        <w:rPr>
          <w:noProof/>
        </w:rPr>
        <w:t xml:space="preserve"> w</w:t>
      </w:r>
      <w:r w:rsidR="00B10036">
        <w:rPr>
          <w:noProof/>
        </w:rPr>
        <w:t> </w:t>
      </w:r>
      <w:r w:rsidR="00B10036" w:rsidRPr="00B10036">
        <w:rPr>
          <w:noProof/>
        </w:rPr>
        <w:t>pro</w:t>
      </w:r>
      <w:r w:rsidR="00C56329" w:rsidRPr="00B10036">
        <w:rPr>
          <w:noProof/>
        </w:rPr>
        <w:t>cesie opracowywania</w:t>
      </w:r>
      <w:r w:rsidR="00B10036" w:rsidRPr="00B10036">
        <w:rPr>
          <w:noProof/>
        </w:rPr>
        <w:t xml:space="preserve"> i</w:t>
      </w:r>
      <w:r w:rsidR="00B10036">
        <w:rPr>
          <w:noProof/>
        </w:rPr>
        <w:t> </w:t>
      </w:r>
      <w:r w:rsidR="00B10036" w:rsidRPr="00B10036">
        <w:rPr>
          <w:noProof/>
        </w:rPr>
        <w:t>wdr</w:t>
      </w:r>
      <w:r w:rsidR="00C56329" w:rsidRPr="00B10036">
        <w:rPr>
          <w:noProof/>
        </w:rPr>
        <w:t>ażania krajowych strategii na rzecz umiejętności, zgodnie</w:t>
      </w:r>
      <w:r w:rsidR="00B10036" w:rsidRPr="00B10036">
        <w:rPr>
          <w:noProof/>
        </w:rPr>
        <w:t xml:space="preserve"> z</w:t>
      </w:r>
      <w:r w:rsidR="00B10036">
        <w:rPr>
          <w:noProof/>
        </w:rPr>
        <w:t> </w:t>
      </w:r>
      <w:r w:rsidR="00B10036" w:rsidRPr="00B10036">
        <w:rPr>
          <w:noProof/>
        </w:rPr>
        <w:t>eur</w:t>
      </w:r>
      <w:r w:rsidR="00C56329" w:rsidRPr="00B10036">
        <w:rPr>
          <w:noProof/>
        </w:rPr>
        <w:t>opejskim programem na rzecz umiejętności</w:t>
      </w:r>
      <w:r w:rsidR="00B10036" w:rsidRPr="00B10036">
        <w:rPr>
          <w:noProof/>
        </w:rPr>
        <w:t xml:space="preserve"> i</w:t>
      </w:r>
      <w:r w:rsidR="00B10036">
        <w:rPr>
          <w:noProof/>
        </w:rPr>
        <w:t> </w:t>
      </w:r>
      <w:r w:rsidR="00B10036" w:rsidRPr="00B10036">
        <w:rPr>
          <w:noProof/>
        </w:rPr>
        <w:t>now</w:t>
      </w:r>
      <w:r w:rsidR="00C56329" w:rsidRPr="00B10036">
        <w:rPr>
          <w:noProof/>
        </w:rPr>
        <w:t>ą zaktualizowaną strategią przemysłową UE</w:t>
      </w:r>
      <w:r w:rsidR="00C56329" w:rsidRPr="00B10036">
        <w:rPr>
          <w:rStyle w:val="FootnoteReference"/>
          <w:noProof/>
        </w:rPr>
        <w:footnoteReference w:id="90"/>
      </w:r>
      <w:r w:rsidR="00C56329" w:rsidRPr="00B10036">
        <w:rPr>
          <w:noProof/>
        </w:rPr>
        <w:t>. Istotnym czynnikiem wspierającym będą też partnerstwa na rzecz umiejętności określone</w:t>
      </w:r>
      <w:r w:rsidR="00B10036" w:rsidRPr="00B10036">
        <w:rPr>
          <w:noProof/>
        </w:rPr>
        <w:t xml:space="preserve"> w</w:t>
      </w:r>
      <w:r w:rsidR="00B10036">
        <w:rPr>
          <w:noProof/>
        </w:rPr>
        <w:t> </w:t>
      </w:r>
      <w:r w:rsidR="00B10036" w:rsidRPr="00B10036">
        <w:rPr>
          <w:noProof/>
        </w:rPr>
        <w:t>pak</w:t>
      </w:r>
      <w:r w:rsidR="00C56329" w:rsidRPr="00B10036">
        <w:rPr>
          <w:noProof/>
        </w:rPr>
        <w:t>cie na rzecz umiejętności.</w:t>
      </w:r>
      <w:r w:rsidR="00C56329" w:rsidRPr="00B10036">
        <w:rPr>
          <w:i/>
          <w:iCs/>
          <w:noProof/>
        </w:rPr>
        <w:t xml:space="preserve"> </w:t>
      </w:r>
      <w:r w:rsidR="00C56329" w:rsidRPr="00B10036">
        <w:rPr>
          <w:noProof/>
        </w:rPr>
        <w:t>Aktualne informacje</w:t>
      </w:r>
      <w:r w:rsidR="00B10036" w:rsidRPr="00B10036">
        <w:rPr>
          <w:noProof/>
        </w:rPr>
        <w:t xml:space="preserve"> i</w:t>
      </w:r>
      <w:r w:rsidR="00B10036">
        <w:rPr>
          <w:noProof/>
        </w:rPr>
        <w:t> </w:t>
      </w:r>
      <w:r w:rsidR="00B10036" w:rsidRPr="00B10036">
        <w:rPr>
          <w:noProof/>
        </w:rPr>
        <w:t>pro</w:t>
      </w:r>
      <w:r w:rsidR="00C56329" w:rsidRPr="00B10036">
        <w:rPr>
          <w:noProof/>
        </w:rPr>
        <w:t>gnozy dotyczące rynku pracy</w:t>
      </w:r>
      <w:r w:rsidR="00B10036" w:rsidRPr="00B10036">
        <w:rPr>
          <w:noProof/>
        </w:rPr>
        <w:t xml:space="preserve"> i</w:t>
      </w:r>
      <w:r w:rsidR="00B10036">
        <w:rPr>
          <w:noProof/>
        </w:rPr>
        <w:t> </w:t>
      </w:r>
      <w:r w:rsidR="00B10036" w:rsidRPr="00B10036">
        <w:rPr>
          <w:noProof/>
        </w:rPr>
        <w:t>umi</w:t>
      </w:r>
      <w:r w:rsidR="00C56329" w:rsidRPr="00B10036">
        <w:rPr>
          <w:noProof/>
        </w:rPr>
        <w:t>ejętności,</w:t>
      </w:r>
      <w:r w:rsidR="00B10036" w:rsidRPr="00B10036">
        <w:rPr>
          <w:noProof/>
        </w:rPr>
        <w:t xml:space="preserve"> w</w:t>
      </w:r>
      <w:r w:rsidR="00B10036">
        <w:rPr>
          <w:noProof/>
        </w:rPr>
        <w:t> </w:t>
      </w:r>
      <w:r w:rsidR="00B10036" w:rsidRPr="00B10036">
        <w:rPr>
          <w:noProof/>
        </w:rPr>
        <w:t>tym</w:t>
      </w:r>
      <w:r w:rsidR="00C56329" w:rsidRPr="00B10036">
        <w:rPr>
          <w:noProof/>
        </w:rPr>
        <w:t xml:space="preserve"> na poziomie regionalnym, sektorowym</w:t>
      </w:r>
      <w:r w:rsidR="00B10036" w:rsidRPr="00B10036">
        <w:rPr>
          <w:noProof/>
        </w:rPr>
        <w:t xml:space="preserve"> i</w:t>
      </w:r>
      <w:r w:rsidR="00B10036">
        <w:rPr>
          <w:noProof/>
        </w:rPr>
        <w:t> </w:t>
      </w:r>
      <w:r w:rsidR="00B10036" w:rsidRPr="00B10036">
        <w:rPr>
          <w:noProof/>
        </w:rPr>
        <w:t>zaw</w:t>
      </w:r>
      <w:r w:rsidR="00C56329" w:rsidRPr="00B10036">
        <w:rPr>
          <w:noProof/>
        </w:rPr>
        <w:t>odowym, umożliwiają identyfikację</w:t>
      </w:r>
      <w:r w:rsidR="00B10036" w:rsidRPr="00B10036">
        <w:rPr>
          <w:noProof/>
        </w:rPr>
        <w:t xml:space="preserve"> i</w:t>
      </w:r>
      <w:r w:rsidR="00B10036">
        <w:rPr>
          <w:noProof/>
        </w:rPr>
        <w:t> </w:t>
      </w:r>
      <w:r w:rsidR="00B10036" w:rsidRPr="00B10036">
        <w:rPr>
          <w:noProof/>
        </w:rPr>
        <w:t>pro</w:t>
      </w:r>
      <w:r w:rsidR="00C56329" w:rsidRPr="00B10036">
        <w:rPr>
          <w:noProof/>
        </w:rPr>
        <w:t>gnozowanie odpowiednich potrzeb</w:t>
      </w:r>
      <w:r w:rsidR="00B10036" w:rsidRPr="00B10036">
        <w:rPr>
          <w:noProof/>
        </w:rPr>
        <w:t xml:space="preserve"> w</w:t>
      </w:r>
      <w:r w:rsidR="00B10036">
        <w:rPr>
          <w:noProof/>
        </w:rPr>
        <w:t> </w:t>
      </w:r>
      <w:r w:rsidR="00B10036" w:rsidRPr="00B10036">
        <w:rPr>
          <w:noProof/>
        </w:rPr>
        <w:t>zak</w:t>
      </w:r>
      <w:r w:rsidR="00C56329" w:rsidRPr="00B10036">
        <w:rPr>
          <w:noProof/>
        </w:rPr>
        <w:t>resie umiejętności przekrojowych</w:t>
      </w:r>
      <w:r w:rsidR="00B10036" w:rsidRPr="00B10036">
        <w:rPr>
          <w:noProof/>
        </w:rPr>
        <w:t xml:space="preserve"> i</w:t>
      </w:r>
      <w:r w:rsidR="00B10036">
        <w:rPr>
          <w:noProof/>
        </w:rPr>
        <w:t> </w:t>
      </w:r>
      <w:r w:rsidR="00B10036" w:rsidRPr="00B10036">
        <w:rPr>
          <w:noProof/>
        </w:rPr>
        <w:t>spe</w:t>
      </w:r>
      <w:r w:rsidR="00C56329" w:rsidRPr="00B10036">
        <w:rPr>
          <w:noProof/>
        </w:rPr>
        <w:t>cyficznych dla danego zawodu,</w:t>
      </w:r>
      <w:r w:rsidR="00B10036" w:rsidRPr="00B10036">
        <w:rPr>
          <w:noProof/>
        </w:rPr>
        <w:t xml:space="preserve"> a</w:t>
      </w:r>
      <w:r w:rsidR="00B10036">
        <w:rPr>
          <w:noProof/>
        </w:rPr>
        <w:t> </w:t>
      </w:r>
      <w:r w:rsidR="00B10036" w:rsidRPr="00B10036">
        <w:rPr>
          <w:noProof/>
        </w:rPr>
        <w:t>tak</w:t>
      </w:r>
      <w:r w:rsidR="00C56329" w:rsidRPr="00B10036">
        <w:rPr>
          <w:noProof/>
        </w:rPr>
        <w:t>że stanowią podstawę do dostosowania programów nauczania do potrzeb</w:t>
      </w:r>
      <w:r w:rsidR="00B10036" w:rsidRPr="00B10036">
        <w:rPr>
          <w:noProof/>
        </w:rPr>
        <w:t xml:space="preserve"> w</w:t>
      </w:r>
      <w:r w:rsidR="00B10036">
        <w:rPr>
          <w:noProof/>
        </w:rPr>
        <w:t> </w:t>
      </w:r>
      <w:r w:rsidR="00B10036" w:rsidRPr="00B10036">
        <w:rPr>
          <w:noProof/>
        </w:rPr>
        <w:t>zak</w:t>
      </w:r>
      <w:r w:rsidR="00C56329" w:rsidRPr="00B10036">
        <w:rPr>
          <w:noProof/>
        </w:rPr>
        <w:t>resie umiejętności związanych</w:t>
      </w:r>
      <w:r w:rsidR="00B10036" w:rsidRPr="00B10036">
        <w:rPr>
          <w:noProof/>
        </w:rPr>
        <w:t xml:space="preserve"> z</w:t>
      </w:r>
      <w:r w:rsidR="00B10036">
        <w:rPr>
          <w:noProof/>
        </w:rPr>
        <w:t> </w:t>
      </w:r>
      <w:r w:rsidR="00B10036" w:rsidRPr="00B10036">
        <w:rPr>
          <w:noProof/>
        </w:rPr>
        <w:t>zie</w:t>
      </w:r>
      <w:r w:rsidR="00C56329" w:rsidRPr="00B10036">
        <w:rPr>
          <w:noProof/>
        </w:rPr>
        <w:t>loną transformacją. Kształcenie</w:t>
      </w:r>
      <w:r w:rsidR="00B10036" w:rsidRPr="00B10036">
        <w:rPr>
          <w:noProof/>
        </w:rPr>
        <w:t xml:space="preserve"> i</w:t>
      </w:r>
      <w:r w:rsidR="00B10036">
        <w:rPr>
          <w:noProof/>
        </w:rPr>
        <w:t> </w:t>
      </w:r>
      <w:r w:rsidR="00B10036" w:rsidRPr="00B10036">
        <w:rPr>
          <w:noProof/>
        </w:rPr>
        <w:t>szk</w:t>
      </w:r>
      <w:r w:rsidR="00C56329" w:rsidRPr="00B10036">
        <w:rPr>
          <w:noProof/>
        </w:rPr>
        <w:t>olenie zawodowe powinno rozwijać wśród młodzieży</w:t>
      </w:r>
      <w:r w:rsidR="00B10036" w:rsidRPr="00B10036">
        <w:rPr>
          <w:noProof/>
        </w:rPr>
        <w:t xml:space="preserve"> i</w:t>
      </w:r>
      <w:r w:rsidR="00B10036">
        <w:rPr>
          <w:noProof/>
        </w:rPr>
        <w:t> </w:t>
      </w:r>
      <w:r w:rsidR="00B10036" w:rsidRPr="00B10036">
        <w:rPr>
          <w:noProof/>
        </w:rPr>
        <w:t>dor</w:t>
      </w:r>
      <w:r w:rsidR="00C56329" w:rsidRPr="00B10036">
        <w:rPr>
          <w:noProof/>
        </w:rPr>
        <w:t>osłych,</w:t>
      </w:r>
      <w:r w:rsidR="00B10036" w:rsidRPr="00B10036">
        <w:rPr>
          <w:noProof/>
        </w:rPr>
        <w:t xml:space="preserve"> w</w:t>
      </w:r>
      <w:r w:rsidR="00B10036">
        <w:rPr>
          <w:noProof/>
        </w:rPr>
        <w:t> </w:t>
      </w:r>
      <w:r w:rsidR="00B10036" w:rsidRPr="00B10036">
        <w:rPr>
          <w:noProof/>
        </w:rPr>
        <w:t>szc</w:t>
      </w:r>
      <w:r w:rsidR="00C56329" w:rsidRPr="00B10036">
        <w:rPr>
          <w:noProof/>
        </w:rPr>
        <w:t>zególności kobiet, umiejętności potrzebne do opanowania zielonej transformacji</w:t>
      </w:r>
      <w:r w:rsidR="00C56329" w:rsidRPr="00B10036">
        <w:rPr>
          <w:rStyle w:val="FootnoteReference"/>
          <w:noProof/>
        </w:rPr>
        <w:footnoteReference w:id="91"/>
      </w:r>
      <w:r w:rsidR="00C56329" w:rsidRPr="00B10036">
        <w:rPr>
          <w:noProof/>
        </w:rPr>
        <w:t>. Przygotowanie zawodowe</w:t>
      </w:r>
      <w:r w:rsidR="00B10036" w:rsidRPr="00B10036">
        <w:rPr>
          <w:noProof/>
        </w:rPr>
        <w:t xml:space="preserve"> i</w:t>
      </w:r>
      <w:r w:rsidR="00B10036">
        <w:rPr>
          <w:noProof/>
        </w:rPr>
        <w:t> </w:t>
      </w:r>
      <w:r w:rsidR="00B10036" w:rsidRPr="00B10036">
        <w:rPr>
          <w:noProof/>
        </w:rPr>
        <w:t>pła</w:t>
      </w:r>
      <w:r w:rsidR="00C56329" w:rsidRPr="00B10036">
        <w:rPr>
          <w:noProof/>
        </w:rPr>
        <w:t>tne staże,</w:t>
      </w:r>
      <w:r w:rsidR="00B10036" w:rsidRPr="00B10036">
        <w:rPr>
          <w:noProof/>
        </w:rPr>
        <w:t xml:space="preserve"> w</w:t>
      </w:r>
      <w:r w:rsidR="00B10036">
        <w:rPr>
          <w:noProof/>
        </w:rPr>
        <w:t> </w:t>
      </w:r>
      <w:r w:rsidR="00B10036" w:rsidRPr="00B10036">
        <w:rPr>
          <w:noProof/>
        </w:rPr>
        <w:t>któ</w:t>
      </w:r>
      <w:r w:rsidR="00C56329" w:rsidRPr="00B10036">
        <w:rPr>
          <w:noProof/>
        </w:rPr>
        <w:t>rych stawia się zdecydowany nacisk na elementy szkoleniowe,</w:t>
      </w:r>
      <w:r w:rsidR="00B10036" w:rsidRPr="00B10036">
        <w:rPr>
          <w:noProof/>
        </w:rPr>
        <w:t xml:space="preserve"> w</w:t>
      </w:r>
      <w:r w:rsidR="00B10036">
        <w:rPr>
          <w:noProof/>
        </w:rPr>
        <w:t> </w:t>
      </w:r>
      <w:r w:rsidR="00B10036" w:rsidRPr="00B10036">
        <w:rPr>
          <w:noProof/>
        </w:rPr>
        <w:t>szc</w:t>
      </w:r>
      <w:r w:rsidR="00C56329" w:rsidRPr="00B10036">
        <w:rPr>
          <w:noProof/>
        </w:rPr>
        <w:t>zególności dla osób młodych, ułatwiają przepływy na rynku pracy, zwłaszcza</w:t>
      </w:r>
      <w:r w:rsidR="00B10036" w:rsidRPr="00B10036">
        <w:rPr>
          <w:noProof/>
        </w:rPr>
        <w:t xml:space="preserve"> w</w:t>
      </w:r>
      <w:r w:rsidR="00B10036">
        <w:rPr>
          <w:noProof/>
        </w:rPr>
        <w:t> </w:t>
      </w:r>
      <w:r w:rsidR="00B10036" w:rsidRPr="00B10036">
        <w:rPr>
          <w:noProof/>
        </w:rPr>
        <w:t>kie</w:t>
      </w:r>
      <w:r w:rsidR="00C56329" w:rsidRPr="00B10036">
        <w:rPr>
          <w:noProof/>
        </w:rPr>
        <w:t>runku rodzajów działalności przyczyniających się do realizacji celów klimatycznych</w:t>
      </w:r>
      <w:r w:rsidR="00B10036" w:rsidRPr="00B10036">
        <w:rPr>
          <w:noProof/>
        </w:rPr>
        <w:t xml:space="preserve"> i</w:t>
      </w:r>
      <w:r w:rsidR="00B10036">
        <w:rPr>
          <w:noProof/>
        </w:rPr>
        <w:t> </w:t>
      </w:r>
      <w:r w:rsidR="00B10036" w:rsidRPr="00B10036">
        <w:rPr>
          <w:noProof/>
        </w:rPr>
        <w:t>śro</w:t>
      </w:r>
      <w:r w:rsidR="00C56329" w:rsidRPr="00B10036">
        <w:rPr>
          <w:noProof/>
        </w:rPr>
        <w:t>dowiskowych oraz</w:t>
      </w:r>
      <w:r w:rsidR="00B10036" w:rsidRPr="00B10036">
        <w:rPr>
          <w:noProof/>
        </w:rPr>
        <w:t xml:space="preserve"> w</w:t>
      </w:r>
      <w:r w:rsidR="00B10036">
        <w:rPr>
          <w:noProof/>
        </w:rPr>
        <w:t> </w:t>
      </w:r>
      <w:r w:rsidR="00B10036" w:rsidRPr="00B10036">
        <w:rPr>
          <w:noProof/>
        </w:rPr>
        <w:t>kie</w:t>
      </w:r>
      <w:r w:rsidR="00C56329" w:rsidRPr="00B10036">
        <w:rPr>
          <w:noProof/>
        </w:rPr>
        <w:t>runku sektorów,</w:t>
      </w:r>
      <w:r w:rsidR="00B10036" w:rsidRPr="00B10036">
        <w:rPr>
          <w:noProof/>
        </w:rPr>
        <w:t xml:space="preserve"> w</w:t>
      </w:r>
      <w:r w:rsidR="00B10036">
        <w:rPr>
          <w:noProof/>
        </w:rPr>
        <w:t> </w:t>
      </w:r>
      <w:r w:rsidR="00B10036" w:rsidRPr="00B10036">
        <w:rPr>
          <w:noProof/>
        </w:rPr>
        <w:t>któ</w:t>
      </w:r>
      <w:r w:rsidR="00C56329" w:rsidRPr="00B10036">
        <w:rPr>
          <w:noProof/>
        </w:rPr>
        <w:t>rych występują szczególne niedobory kwalifikacji. Należy promować zwiększanie uczestnictwa dorosłych</w:t>
      </w:r>
      <w:r w:rsidR="00B10036" w:rsidRPr="00B10036">
        <w:rPr>
          <w:noProof/>
        </w:rPr>
        <w:t xml:space="preserve"> w</w:t>
      </w:r>
      <w:r w:rsidR="00B10036">
        <w:rPr>
          <w:noProof/>
        </w:rPr>
        <w:t> </w:t>
      </w:r>
      <w:r w:rsidR="00B10036" w:rsidRPr="00B10036">
        <w:rPr>
          <w:noProof/>
        </w:rPr>
        <w:t>ucz</w:t>
      </w:r>
      <w:r w:rsidR="00C56329" w:rsidRPr="00B10036">
        <w:rPr>
          <w:noProof/>
        </w:rPr>
        <w:t>eniu się przez całe życie, aby zaspokoić potrzeby</w:t>
      </w:r>
      <w:r w:rsidR="00B10036" w:rsidRPr="00B10036">
        <w:rPr>
          <w:noProof/>
        </w:rPr>
        <w:t xml:space="preserve"> w</w:t>
      </w:r>
      <w:r w:rsidR="00B10036">
        <w:rPr>
          <w:noProof/>
        </w:rPr>
        <w:t> </w:t>
      </w:r>
      <w:r w:rsidR="00B10036" w:rsidRPr="00B10036">
        <w:rPr>
          <w:noProof/>
        </w:rPr>
        <w:t>zak</w:t>
      </w:r>
      <w:r w:rsidR="00C56329" w:rsidRPr="00B10036">
        <w:rPr>
          <w:noProof/>
        </w:rPr>
        <w:t>resie podnoszenia kwalifikacji</w:t>
      </w:r>
      <w:r w:rsidR="00B10036" w:rsidRPr="00B10036">
        <w:rPr>
          <w:noProof/>
        </w:rPr>
        <w:t xml:space="preserve"> i</w:t>
      </w:r>
      <w:r w:rsidR="00B10036">
        <w:rPr>
          <w:noProof/>
        </w:rPr>
        <w:t> </w:t>
      </w:r>
      <w:r w:rsidR="00B10036" w:rsidRPr="00B10036">
        <w:rPr>
          <w:noProof/>
        </w:rPr>
        <w:t>prz</w:t>
      </w:r>
      <w:r w:rsidR="00C56329" w:rsidRPr="00B10036">
        <w:rPr>
          <w:noProof/>
        </w:rPr>
        <w:t>ekwalifikowania, między innymi przez umożliwienie zainteresowanym uczestnictwa</w:t>
      </w:r>
      <w:r w:rsidR="00B10036" w:rsidRPr="00B10036">
        <w:rPr>
          <w:noProof/>
        </w:rPr>
        <w:t xml:space="preserve"> w</w:t>
      </w:r>
      <w:r w:rsidR="00B10036">
        <w:rPr>
          <w:noProof/>
        </w:rPr>
        <w:t> </w:t>
      </w:r>
      <w:r w:rsidR="00B10036" w:rsidRPr="00B10036">
        <w:rPr>
          <w:noProof/>
        </w:rPr>
        <w:t>szk</w:t>
      </w:r>
      <w:r w:rsidR="00C56329" w:rsidRPr="00B10036">
        <w:rPr>
          <w:noProof/>
        </w:rPr>
        <w:t>oleniach dostosowanych do ich potrzeb oraz za pomocą krótkich kursów, których jakość będzie gwarantowana,</w:t>
      </w:r>
      <w:r w:rsidR="00B10036" w:rsidRPr="00B10036">
        <w:rPr>
          <w:noProof/>
        </w:rPr>
        <w:t xml:space="preserve"> w</w:t>
      </w:r>
      <w:r w:rsidR="00B10036">
        <w:rPr>
          <w:noProof/>
        </w:rPr>
        <w:t> </w:t>
      </w:r>
      <w:r w:rsidR="00B10036" w:rsidRPr="00B10036">
        <w:rPr>
          <w:noProof/>
        </w:rPr>
        <w:t>zak</w:t>
      </w:r>
      <w:r w:rsidR="00C56329" w:rsidRPr="00B10036">
        <w:rPr>
          <w:noProof/>
        </w:rPr>
        <w:t>resie umiejętności związanych</w:t>
      </w:r>
      <w:r w:rsidR="00B10036" w:rsidRPr="00B10036">
        <w:rPr>
          <w:noProof/>
        </w:rPr>
        <w:t xml:space="preserve"> z</w:t>
      </w:r>
      <w:r w:rsidR="00B10036">
        <w:rPr>
          <w:noProof/>
        </w:rPr>
        <w:t> </w:t>
      </w:r>
      <w:r w:rsidR="00B10036" w:rsidRPr="00B10036">
        <w:rPr>
          <w:noProof/>
        </w:rPr>
        <w:t>zie</w:t>
      </w:r>
      <w:r w:rsidR="00C56329" w:rsidRPr="00B10036">
        <w:rPr>
          <w:noProof/>
        </w:rPr>
        <w:t>loną transformacją,</w:t>
      </w:r>
      <w:r w:rsidR="00B10036" w:rsidRPr="00B10036">
        <w:rPr>
          <w:noProof/>
        </w:rPr>
        <w:t xml:space="preserve"> z</w:t>
      </w:r>
      <w:r w:rsidR="00B10036">
        <w:rPr>
          <w:noProof/>
        </w:rPr>
        <w:t> </w:t>
      </w:r>
      <w:r w:rsidR="00B10036" w:rsidRPr="00B10036">
        <w:rPr>
          <w:noProof/>
        </w:rPr>
        <w:t>zas</w:t>
      </w:r>
      <w:r w:rsidR="00C56329" w:rsidRPr="00B10036">
        <w:rPr>
          <w:noProof/>
        </w:rPr>
        <w:t>tosowaniem europejskiego podejścia do mikropoświadczeń, co ułatwi również ocenę wartości</w:t>
      </w:r>
      <w:r w:rsidR="00B10036" w:rsidRPr="00B10036">
        <w:rPr>
          <w:noProof/>
        </w:rPr>
        <w:t xml:space="preserve"> i</w:t>
      </w:r>
      <w:r w:rsidR="00B10036">
        <w:rPr>
          <w:noProof/>
        </w:rPr>
        <w:t> </w:t>
      </w:r>
      <w:r w:rsidR="00B10036" w:rsidRPr="00B10036">
        <w:rPr>
          <w:noProof/>
        </w:rPr>
        <w:t>uzn</w:t>
      </w:r>
      <w:r w:rsidR="00C56329" w:rsidRPr="00B10036">
        <w:rPr>
          <w:noProof/>
        </w:rPr>
        <w:t>awanie wyników takich kursów.</w:t>
      </w:r>
    </w:p>
    <w:p w14:paraId="3D83D790" w14:textId="3BD342A8" w:rsidR="009B54D8" w:rsidRPr="00B10036" w:rsidRDefault="004D6F52" w:rsidP="004D6F52">
      <w:pPr>
        <w:pStyle w:val="ManualConsidrant"/>
        <w:rPr>
          <w:noProof/>
        </w:rPr>
      </w:pPr>
      <w:r w:rsidRPr="004D6F52">
        <w:t>(19)</w:t>
      </w:r>
      <w:r w:rsidRPr="004D6F52">
        <w:tab/>
      </w:r>
      <w:r w:rsidR="00F13B15" w:rsidRPr="00B10036">
        <w:rPr>
          <w:noProof/>
        </w:rPr>
        <w:t>Należy dokonać przeglądu struktury systemów ulg podatkowych</w:t>
      </w:r>
      <w:r w:rsidR="00B10036" w:rsidRPr="00B10036">
        <w:rPr>
          <w:noProof/>
        </w:rPr>
        <w:t xml:space="preserve"> i</w:t>
      </w:r>
      <w:r w:rsidR="00B10036">
        <w:rPr>
          <w:noProof/>
        </w:rPr>
        <w:t> </w:t>
      </w:r>
      <w:r w:rsidR="00B10036" w:rsidRPr="00B10036">
        <w:rPr>
          <w:noProof/>
        </w:rPr>
        <w:t>sys</w:t>
      </w:r>
      <w:r w:rsidR="00F13B15" w:rsidRPr="00B10036">
        <w:rPr>
          <w:noProof/>
        </w:rPr>
        <w:t>temów ochrony socjalnej pod kątem szczególnych potrzeb wynikających</w:t>
      </w:r>
      <w:r w:rsidR="00B10036" w:rsidRPr="00B10036">
        <w:rPr>
          <w:noProof/>
        </w:rPr>
        <w:t xml:space="preserve"> z</w:t>
      </w:r>
      <w:r w:rsidR="00B10036">
        <w:rPr>
          <w:noProof/>
        </w:rPr>
        <w:t> </w:t>
      </w:r>
      <w:r w:rsidR="00B10036" w:rsidRPr="00B10036">
        <w:rPr>
          <w:noProof/>
        </w:rPr>
        <w:t>zie</w:t>
      </w:r>
      <w:r w:rsidR="00F13B15" w:rsidRPr="00B10036">
        <w:rPr>
          <w:noProof/>
        </w:rPr>
        <w:t>lonej transformacji,</w:t>
      </w:r>
      <w:r w:rsidR="00B10036" w:rsidRPr="00B10036">
        <w:rPr>
          <w:noProof/>
        </w:rPr>
        <w:t xml:space="preserve"> z</w:t>
      </w:r>
      <w:r w:rsidR="00B10036">
        <w:rPr>
          <w:noProof/>
        </w:rPr>
        <w:t> </w:t>
      </w:r>
      <w:r w:rsidR="00B10036" w:rsidRPr="00B10036">
        <w:rPr>
          <w:noProof/>
        </w:rPr>
        <w:t>uwz</w:t>
      </w:r>
      <w:r w:rsidR="00F13B15" w:rsidRPr="00B10036">
        <w:rPr>
          <w:noProof/>
        </w:rPr>
        <w:t>ględnieniem również zasady „zanieczyszczający płaci” oraz konieczności zapewnienia, aby</w:t>
      </w:r>
      <w:r w:rsidR="00B10036" w:rsidRPr="00B10036">
        <w:rPr>
          <w:noProof/>
        </w:rPr>
        <w:t xml:space="preserve"> w</w:t>
      </w:r>
      <w:r w:rsidR="00B10036">
        <w:rPr>
          <w:noProof/>
        </w:rPr>
        <w:t> </w:t>
      </w:r>
      <w:r w:rsidR="00B10036" w:rsidRPr="00B10036">
        <w:rPr>
          <w:noProof/>
        </w:rPr>
        <w:t>ram</w:t>
      </w:r>
      <w:r w:rsidR="00F13B15" w:rsidRPr="00B10036">
        <w:rPr>
          <w:noProof/>
        </w:rPr>
        <w:t>ach polityk towarzyszących nie wprowadzano dotacji do korzystania</w:t>
      </w:r>
      <w:r w:rsidR="00B10036" w:rsidRPr="00B10036">
        <w:rPr>
          <w:noProof/>
        </w:rPr>
        <w:t xml:space="preserve"> z</w:t>
      </w:r>
      <w:r w:rsidR="00B10036">
        <w:rPr>
          <w:noProof/>
        </w:rPr>
        <w:t> </w:t>
      </w:r>
      <w:r w:rsidR="00B10036" w:rsidRPr="00B10036">
        <w:rPr>
          <w:noProof/>
        </w:rPr>
        <w:t>pal</w:t>
      </w:r>
      <w:r w:rsidR="00F13B15" w:rsidRPr="00B10036">
        <w:rPr>
          <w:noProof/>
        </w:rPr>
        <w:t>iw kopalnych, nie uzależniano konsumentów od określonej technologii</w:t>
      </w:r>
      <w:r w:rsidR="00B10036" w:rsidRPr="00B10036">
        <w:rPr>
          <w:noProof/>
        </w:rPr>
        <w:t xml:space="preserve"> i</w:t>
      </w:r>
      <w:r w:rsidR="00B10036">
        <w:rPr>
          <w:noProof/>
        </w:rPr>
        <w:t> </w:t>
      </w:r>
      <w:r w:rsidR="00B10036" w:rsidRPr="00B10036">
        <w:rPr>
          <w:noProof/>
        </w:rPr>
        <w:t>nie</w:t>
      </w:r>
      <w:r w:rsidR="00F13B15" w:rsidRPr="00B10036">
        <w:rPr>
          <w:noProof/>
        </w:rPr>
        <w:t xml:space="preserve"> zmniejszano zachęt do renowacji budynków, zastępowania systemów energii cieplnej</w:t>
      </w:r>
      <w:r w:rsidR="00B10036" w:rsidRPr="00B10036">
        <w:rPr>
          <w:noProof/>
        </w:rPr>
        <w:t xml:space="preserve"> i</w:t>
      </w:r>
      <w:r w:rsidR="00B10036">
        <w:rPr>
          <w:noProof/>
        </w:rPr>
        <w:t> </w:t>
      </w:r>
      <w:r w:rsidR="00B10036" w:rsidRPr="00B10036">
        <w:rPr>
          <w:noProof/>
        </w:rPr>
        <w:t>ogó</w:t>
      </w:r>
      <w:r w:rsidR="00F13B15" w:rsidRPr="00B10036">
        <w:rPr>
          <w:noProof/>
        </w:rPr>
        <w:t>lnie środków</w:t>
      </w:r>
      <w:r w:rsidR="00B10036" w:rsidRPr="00B10036">
        <w:rPr>
          <w:noProof/>
        </w:rPr>
        <w:t xml:space="preserve"> w</w:t>
      </w:r>
      <w:r w:rsidR="00B10036">
        <w:rPr>
          <w:noProof/>
        </w:rPr>
        <w:t> </w:t>
      </w:r>
      <w:r w:rsidR="00B10036" w:rsidRPr="00B10036">
        <w:rPr>
          <w:noProof/>
        </w:rPr>
        <w:t>zak</w:t>
      </w:r>
      <w:r w:rsidR="00F13B15" w:rsidRPr="00B10036">
        <w:rPr>
          <w:noProof/>
        </w:rPr>
        <w:t>resie efektywności energetycznej. Połączenie różnych strategii politycznych może zapewnić wsparcie dla gospodarstw domowych znajdujących się</w:t>
      </w:r>
      <w:r w:rsidR="00B10036" w:rsidRPr="00B10036">
        <w:rPr>
          <w:noProof/>
        </w:rPr>
        <w:t xml:space="preserve"> w</w:t>
      </w:r>
      <w:r w:rsidR="00B10036">
        <w:rPr>
          <w:noProof/>
        </w:rPr>
        <w:t> </w:t>
      </w:r>
      <w:r w:rsidR="00B10036" w:rsidRPr="00B10036">
        <w:rPr>
          <w:noProof/>
        </w:rPr>
        <w:t>tru</w:t>
      </w:r>
      <w:r w:rsidR="00F13B15" w:rsidRPr="00B10036">
        <w:rPr>
          <w:noProof/>
        </w:rPr>
        <w:t>dnej sytuacji</w:t>
      </w:r>
      <w:r w:rsidR="00B10036" w:rsidRPr="00B10036">
        <w:rPr>
          <w:noProof/>
        </w:rPr>
        <w:t xml:space="preserve"> i</w:t>
      </w:r>
      <w:r w:rsidR="00B10036">
        <w:rPr>
          <w:noProof/>
        </w:rPr>
        <w:t> </w:t>
      </w:r>
      <w:r w:rsidR="00B10036" w:rsidRPr="00B10036">
        <w:rPr>
          <w:noProof/>
        </w:rPr>
        <w:t>pra</w:t>
      </w:r>
      <w:r w:rsidR="00F13B15" w:rsidRPr="00B10036">
        <w:rPr>
          <w:noProof/>
        </w:rPr>
        <w:t>cowników najbardziej obciążonych skutkami zielonej transformacji</w:t>
      </w:r>
      <w:r w:rsidR="00B10036" w:rsidRPr="00B10036">
        <w:rPr>
          <w:noProof/>
        </w:rPr>
        <w:t>. W</w:t>
      </w:r>
      <w:r w:rsidR="00B10036">
        <w:rPr>
          <w:noProof/>
        </w:rPr>
        <w:t> </w:t>
      </w:r>
      <w:r w:rsidR="00B10036" w:rsidRPr="00B10036">
        <w:rPr>
          <w:noProof/>
        </w:rPr>
        <w:t>zal</w:t>
      </w:r>
      <w:r w:rsidR="00F13B15" w:rsidRPr="00B10036">
        <w:rPr>
          <w:noProof/>
        </w:rPr>
        <w:t>eżności od sytuacji krajowej</w:t>
      </w:r>
      <w:r w:rsidR="00B10036" w:rsidRPr="00B10036">
        <w:rPr>
          <w:noProof/>
        </w:rPr>
        <w:t xml:space="preserve"> i</w:t>
      </w:r>
      <w:r w:rsidR="00B10036">
        <w:rPr>
          <w:noProof/>
        </w:rPr>
        <w:t> </w:t>
      </w:r>
      <w:r w:rsidR="00B10036" w:rsidRPr="00B10036">
        <w:rPr>
          <w:noProof/>
        </w:rPr>
        <w:t>ind</w:t>
      </w:r>
      <w:r w:rsidR="00F13B15" w:rsidRPr="00B10036">
        <w:rPr>
          <w:noProof/>
        </w:rPr>
        <w:t>ywidualnej, mogłoby to na przykład obejmować zastąpienie opodatkowania pracy opodatkowaniem na cele klimatyczne</w:t>
      </w:r>
      <w:r w:rsidR="00B10036" w:rsidRPr="00B10036">
        <w:rPr>
          <w:noProof/>
        </w:rPr>
        <w:t xml:space="preserve"> i</w:t>
      </w:r>
      <w:r w:rsidR="00B10036">
        <w:rPr>
          <w:noProof/>
        </w:rPr>
        <w:t> </w:t>
      </w:r>
      <w:r w:rsidR="00B10036" w:rsidRPr="00B10036">
        <w:rPr>
          <w:noProof/>
        </w:rPr>
        <w:t>śro</w:t>
      </w:r>
      <w:r w:rsidR="00F13B15" w:rsidRPr="00B10036">
        <w:rPr>
          <w:noProof/>
        </w:rPr>
        <w:t>dowiskowe zgodnie</w:t>
      </w:r>
      <w:r w:rsidR="00B10036" w:rsidRPr="00B10036">
        <w:rPr>
          <w:noProof/>
        </w:rPr>
        <w:t xml:space="preserve"> z</w:t>
      </w:r>
      <w:r w:rsidR="00B10036">
        <w:rPr>
          <w:noProof/>
        </w:rPr>
        <w:t> </w:t>
      </w:r>
      <w:r w:rsidR="00B10036" w:rsidRPr="00B10036">
        <w:rPr>
          <w:noProof/>
        </w:rPr>
        <w:t>wni</w:t>
      </w:r>
      <w:r w:rsidR="00F13B15" w:rsidRPr="00B10036">
        <w:rPr>
          <w:noProof/>
        </w:rPr>
        <w:t>oskiem dotyczącym zmiany dyrektywy</w:t>
      </w:r>
      <w:r w:rsidR="00B10036" w:rsidRPr="00B10036">
        <w:rPr>
          <w:noProof/>
        </w:rPr>
        <w:t xml:space="preserve"> w</w:t>
      </w:r>
      <w:r w:rsidR="00B10036">
        <w:rPr>
          <w:noProof/>
        </w:rPr>
        <w:t> </w:t>
      </w:r>
      <w:r w:rsidR="00B10036" w:rsidRPr="00B10036">
        <w:rPr>
          <w:noProof/>
        </w:rPr>
        <w:t>spr</w:t>
      </w:r>
      <w:r w:rsidR="00F13B15" w:rsidRPr="00B10036">
        <w:rPr>
          <w:noProof/>
        </w:rPr>
        <w:t>awie opodatkowania energii</w:t>
      </w:r>
      <w:r w:rsidR="00F13B15" w:rsidRPr="00B10036">
        <w:rPr>
          <w:rStyle w:val="FootnoteReference"/>
          <w:noProof/>
        </w:rPr>
        <w:footnoteReference w:id="92"/>
      </w:r>
      <w:r w:rsidR="00F13B15" w:rsidRPr="00B10036">
        <w:rPr>
          <w:noProof/>
        </w:rPr>
        <w:t>, przegląd systemów na wypadek bezrobocia lub,</w:t>
      </w:r>
      <w:r w:rsidR="00B10036" w:rsidRPr="00B10036">
        <w:rPr>
          <w:noProof/>
        </w:rPr>
        <w:t xml:space="preserve"> w</w:t>
      </w:r>
      <w:r w:rsidR="00B10036">
        <w:rPr>
          <w:noProof/>
        </w:rPr>
        <w:t> </w:t>
      </w:r>
      <w:r w:rsidR="00B10036" w:rsidRPr="00B10036">
        <w:rPr>
          <w:noProof/>
        </w:rPr>
        <w:t>raz</w:t>
      </w:r>
      <w:r w:rsidR="00F13B15" w:rsidRPr="00B10036">
        <w:rPr>
          <w:noProof/>
        </w:rPr>
        <w:t>ie potrzeby, tymczasowe</w:t>
      </w:r>
      <w:r w:rsidR="00B10036" w:rsidRPr="00B10036">
        <w:rPr>
          <w:noProof/>
        </w:rPr>
        <w:t xml:space="preserve"> i</w:t>
      </w:r>
      <w:r w:rsidR="00B10036">
        <w:rPr>
          <w:noProof/>
        </w:rPr>
        <w:t> </w:t>
      </w:r>
      <w:r w:rsidR="00B10036" w:rsidRPr="00B10036">
        <w:rPr>
          <w:noProof/>
        </w:rPr>
        <w:t>uki</w:t>
      </w:r>
      <w:r w:rsidR="00F13B15" w:rsidRPr="00B10036">
        <w:rPr>
          <w:noProof/>
        </w:rPr>
        <w:t>erunkowane bezpośrednie wsparcie dochodu. Systemy ochrony socjalnej</w:t>
      </w:r>
      <w:r w:rsidR="00B10036" w:rsidRPr="00B10036">
        <w:rPr>
          <w:noProof/>
        </w:rPr>
        <w:t xml:space="preserve"> i</w:t>
      </w:r>
      <w:r w:rsidR="00B10036">
        <w:rPr>
          <w:noProof/>
        </w:rPr>
        <w:t> </w:t>
      </w:r>
      <w:r w:rsidR="00B10036" w:rsidRPr="00B10036">
        <w:rPr>
          <w:noProof/>
        </w:rPr>
        <w:t>włą</w:t>
      </w:r>
      <w:r w:rsidR="00F13B15" w:rsidRPr="00B10036">
        <w:rPr>
          <w:noProof/>
        </w:rPr>
        <w:t>czenia społecznego mogą być oceniane</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sto</w:t>
      </w:r>
      <w:r w:rsidR="00F13B15" w:rsidRPr="00B10036">
        <w:rPr>
          <w:noProof/>
        </w:rPr>
        <w:t>sownych przypadkach dostosowywane</w:t>
      </w:r>
      <w:r w:rsidR="00B10036" w:rsidRPr="00B10036">
        <w:rPr>
          <w:noProof/>
        </w:rPr>
        <w:t xml:space="preserve"> w</w:t>
      </w:r>
      <w:r w:rsidR="00B10036">
        <w:rPr>
          <w:noProof/>
        </w:rPr>
        <w:t> </w:t>
      </w:r>
      <w:r w:rsidR="00B10036" w:rsidRPr="00B10036">
        <w:rPr>
          <w:noProof/>
        </w:rPr>
        <w:t>świ</w:t>
      </w:r>
      <w:r w:rsidR="00F13B15" w:rsidRPr="00B10036">
        <w:rPr>
          <w:noProof/>
        </w:rPr>
        <w:t>etle zielonej transformacji, szczególnie</w:t>
      </w:r>
      <w:r w:rsidR="00B10036" w:rsidRPr="00B10036">
        <w:rPr>
          <w:noProof/>
        </w:rPr>
        <w:t xml:space="preserve"> w</w:t>
      </w:r>
      <w:r w:rsidR="00B10036">
        <w:rPr>
          <w:noProof/>
        </w:rPr>
        <w:t> </w:t>
      </w:r>
      <w:r w:rsidR="00B10036" w:rsidRPr="00B10036">
        <w:rPr>
          <w:noProof/>
        </w:rPr>
        <w:t>cel</w:t>
      </w:r>
      <w:r w:rsidR="00F13B15" w:rsidRPr="00B10036">
        <w:rPr>
          <w:noProof/>
        </w:rPr>
        <w:t>u zapewnienia bezpieczeństwa dochodów, zwłaszcza podczas zmiany pracy, oraz</w:t>
      </w:r>
      <w:r w:rsidR="00B10036" w:rsidRPr="00B10036">
        <w:rPr>
          <w:noProof/>
        </w:rPr>
        <w:t xml:space="preserve"> w</w:t>
      </w:r>
      <w:r w:rsidR="00B10036">
        <w:rPr>
          <w:noProof/>
        </w:rPr>
        <w:t> </w:t>
      </w:r>
      <w:r w:rsidR="00B10036" w:rsidRPr="00B10036">
        <w:rPr>
          <w:noProof/>
        </w:rPr>
        <w:t>cel</w:t>
      </w:r>
      <w:r w:rsidR="00F13B15" w:rsidRPr="00B10036">
        <w:rPr>
          <w:noProof/>
        </w:rPr>
        <w:t>u zapewnienia odpowiednich usług społecznych, zdrowotnych</w:t>
      </w:r>
      <w:r w:rsidR="00B10036" w:rsidRPr="00B10036">
        <w:rPr>
          <w:noProof/>
        </w:rPr>
        <w:t xml:space="preserve"> i</w:t>
      </w:r>
      <w:r w:rsidR="00B10036">
        <w:rPr>
          <w:noProof/>
        </w:rPr>
        <w:t> </w:t>
      </w:r>
      <w:r w:rsidR="00B10036" w:rsidRPr="00B10036">
        <w:rPr>
          <w:noProof/>
        </w:rPr>
        <w:t>usł</w:t>
      </w:r>
      <w:r w:rsidR="00F13B15" w:rsidRPr="00B10036">
        <w:rPr>
          <w:noProof/>
        </w:rPr>
        <w:t>ug</w:t>
      </w:r>
      <w:r w:rsidR="00B10036" w:rsidRPr="00B10036">
        <w:rPr>
          <w:noProof/>
        </w:rPr>
        <w:t xml:space="preserve"> w</w:t>
      </w:r>
      <w:r w:rsidR="00B10036">
        <w:rPr>
          <w:noProof/>
        </w:rPr>
        <w:t> </w:t>
      </w:r>
      <w:r w:rsidR="00B10036" w:rsidRPr="00B10036">
        <w:rPr>
          <w:noProof/>
        </w:rPr>
        <w:t>zak</w:t>
      </w:r>
      <w:r w:rsidR="00F13B15" w:rsidRPr="00B10036">
        <w:rPr>
          <w:noProof/>
        </w:rPr>
        <w:t>resie opieki za pośrednictwem odpowiedniej infrastruktury społecznej,</w:t>
      </w:r>
      <w:r w:rsidR="00B10036" w:rsidRPr="00B10036">
        <w:rPr>
          <w:noProof/>
        </w:rPr>
        <w:t xml:space="preserve"> w</w:t>
      </w:r>
      <w:r w:rsidR="00B10036">
        <w:rPr>
          <w:noProof/>
        </w:rPr>
        <w:t> </w:t>
      </w:r>
      <w:r w:rsidR="00B10036" w:rsidRPr="00B10036">
        <w:rPr>
          <w:noProof/>
        </w:rPr>
        <w:t>szc</w:t>
      </w:r>
      <w:r w:rsidR="00F13B15" w:rsidRPr="00B10036">
        <w:rPr>
          <w:noProof/>
        </w:rPr>
        <w:t>zególności na terytoriach najbardziej obciążonych skutkami transformacji (np. na obszarach wiejskich</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reg</w:t>
      </w:r>
      <w:r w:rsidR="00F13B15" w:rsidRPr="00B10036">
        <w:rPr>
          <w:noProof/>
        </w:rPr>
        <w:t>ionach oddalonych), aby zapobiec wykluczeniu społecznemu</w:t>
      </w:r>
      <w:r w:rsidR="00B10036" w:rsidRPr="00B10036">
        <w:rPr>
          <w:noProof/>
        </w:rPr>
        <w:t xml:space="preserve"> i</w:t>
      </w:r>
      <w:r w:rsidR="00B10036">
        <w:rPr>
          <w:noProof/>
        </w:rPr>
        <w:t> </w:t>
      </w:r>
      <w:r w:rsidR="00B10036" w:rsidRPr="00B10036">
        <w:rPr>
          <w:noProof/>
        </w:rPr>
        <w:t>prz</w:t>
      </w:r>
      <w:r w:rsidR="00F13B15" w:rsidRPr="00B10036">
        <w:rPr>
          <w:noProof/>
        </w:rPr>
        <w:t>eciwdziałać zagrożeniom dla zdrowia. Aby zbudować fizyczną</w:t>
      </w:r>
      <w:r w:rsidR="00B10036" w:rsidRPr="00B10036">
        <w:rPr>
          <w:noProof/>
        </w:rPr>
        <w:t xml:space="preserve"> i</w:t>
      </w:r>
      <w:r w:rsidR="00B10036">
        <w:rPr>
          <w:noProof/>
        </w:rPr>
        <w:t> </w:t>
      </w:r>
      <w:r w:rsidR="00B10036" w:rsidRPr="00B10036">
        <w:rPr>
          <w:noProof/>
        </w:rPr>
        <w:t>fin</w:t>
      </w:r>
      <w:r w:rsidR="00F13B15" w:rsidRPr="00B10036">
        <w:rPr>
          <w:noProof/>
        </w:rPr>
        <w:t>ansową odporność na nieodwracalne skutki zmiany klimatu</w:t>
      </w:r>
      <w:r w:rsidR="00B10036" w:rsidRPr="00B10036">
        <w:rPr>
          <w:noProof/>
        </w:rPr>
        <w:t xml:space="preserve"> w</w:t>
      </w:r>
      <w:r w:rsidR="00B10036">
        <w:rPr>
          <w:noProof/>
        </w:rPr>
        <w:t> </w:t>
      </w:r>
      <w:r w:rsidR="00B10036" w:rsidRPr="00B10036">
        <w:rPr>
          <w:noProof/>
        </w:rPr>
        <w:t>spo</w:t>
      </w:r>
      <w:r w:rsidR="00F13B15" w:rsidRPr="00B10036">
        <w:rPr>
          <w:noProof/>
        </w:rPr>
        <w:t>sób sprzyjający włączeniu społecznemu, należy promować rozwiązania</w:t>
      </w:r>
      <w:r w:rsidR="00B10036" w:rsidRPr="00B10036">
        <w:rPr>
          <w:noProof/>
        </w:rPr>
        <w:t xml:space="preserve"> w</w:t>
      </w:r>
      <w:r w:rsidR="00B10036">
        <w:rPr>
          <w:noProof/>
        </w:rPr>
        <w:t> </w:t>
      </w:r>
      <w:r w:rsidR="00B10036" w:rsidRPr="00B10036">
        <w:rPr>
          <w:noProof/>
        </w:rPr>
        <w:t>zak</w:t>
      </w:r>
      <w:r w:rsidR="00F13B15" w:rsidRPr="00B10036">
        <w:rPr>
          <w:noProof/>
        </w:rPr>
        <w:t>resie świadomości ryzyka, ograniczania ryzyka</w:t>
      </w:r>
      <w:r w:rsidR="00B10036" w:rsidRPr="00B10036">
        <w:rPr>
          <w:noProof/>
        </w:rPr>
        <w:t xml:space="preserve"> i</w:t>
      </w:r>
      <w:r w:rsidR="00B10036">
        <w:rPr>
          <w:noProof/>
        </w:rPr>
        <w:t> </w:t>
      </w:r>
      <w:r w:rsidR="00B10036" w:rsidRPr="00B10036">
        <w:rPr>
          <w:noProof/>
        </w:rPr>
        <w:t>prz</w:t>
      </w:r>
      <w:r w:rsidR="00F13B15" w:rsidRPr="00B10036">
        <w:rPr>
          <w:noProof/>
        </w:rPr>
        <w:t>eniesienia ryzyka,</w:t>
      </w:r>
      <w:r w:rsidR="00B10036" w:rsidRPr="00B10036">
        <w:rPr>
          <w:noProof/>
        </w:rPr>
        <w:t xml:space="preserve"> w</w:t>
      </w:r>
      <w:r w:rsidR="00B10036">
        <w:rPr>
          <w:noProof/>
        </w:rPr>
        <w:t> </w:t>
      </w:r>
      <w:r w:rsidR="00B10036" w:rsidRPr="00B10036">
        <w:rPr>
          <w:noProof/>
        </w:rPr>
        <w:t>szc</w:t>
      </w:r>
      <w:r w:rsidR="00F13B15" w:rsidRPr="00B10036">
        <w:rPr>
          <w:noProof/>
        </w:rPr>
        <w:t>zególności przez zwiększenie dostępności rozwiązań ubezpieczeniowych oraz inwestycje</w:t>
      </w:r>
      <w:r w:rsidR="00B10036" w:rsidRPr="00B10036">
        <w:rPr>
          <w:noProof/>
        </w:rPr>
        <w:t xml:space="preserve"> w</w:t>
      </w:r>
      <w:r w:rsidR="00B10036">
        <w:rPr>
          <w:noProof/>
        </w:rPr>
        <w:t> </w:t>
      </w:r>
      <w:r w:rsidR="00B10036" w:rsidRPr="00B10036">
        <w:rPr>
          <w:noProof/>
        </w:rPr>
        <w:t>zar</w:t>
      </w:r>
      <w:r w:rsidR="00F13B15" w:rsidRPr="00B10036">
        <w:rPr>
          <w:noProof/>
        </w:rPr>
        <w:t>ządzanie ryzykiem związanym</w:t>
      </w:r>
      <w:r w:rsidR="00B10036" w:rsidRPr="00B10036">
        <w:rPr>
          <w:noProof/>
        </w:rPr>
        <w:t xml:space="preserve"> z</w:t>
      </w:r>
      <w:r w:rsidR="00B10036">
        <w:rPr>
          <w:noProof/>
        </w:rPr>
        <w:t> </w:t>
      </w:r>
      <w:r w:rsidR="00B10036" w:rsidRPr="00B10036">
        <w:rPr>
          <w:noProof/>
        </w:rPr>
        <w:t>klę</w:t>
      </w:r>
      <w:r w:rsidR="00F13B15" w:rsidRPr="00B10036">
        <w:rPr>
          <w:noProof/>
        </w:rPr>
        <w:t>skami żywiołowymi</w:t>
      </w:r>
      <w:r w:rsidR="00B10036" w:rsidRPr="00B10036">
        <w:rPr>
          <w:noProof/>
        </w:rPr>
        <w:t xml:space="preserve"> i</w:t>
      </w:r>
      <w:r w:rsidR="00B10036">
        <w:rPr>
          <w:noProof/>
        </w:rPr>
        <w:t> </w:t>
      </w:r>
      <w:r w:rsidR="00B10036" w:rsidRPr="00B10036">
        <w:rPr>
          <w:noProof/>
        </w:rPr>
        <w:t>dos</w:t>
      </w:r>
      <w:r w:rsidR="00F13B15" w:rsidRPr="00B10036">
        <w:rPr>
          <w:noProof/>
        </w:rPr>
        <w:t>tosowanie się do niego,</w:t>
      </w:r>
      <w:r w:rsidR="00B10036" w:rsidRPr="00B10036">
        <w:rPr>
          <w:noProof/>
        </w:rPr>
        <w:t xml:space="preserve"> w</w:t>
      </w:r>
      <w:r w:rsidR="00B10036">
        <w:rPr>
          <w:noProof/>
        </w:rPr>
        <w:t> </w:t>
      </w:r>
      <w:r w:rsidR="00B10036" w:rsidRPr="00B10036">
        <w:rPr>
          <w:noProof/>
        </w:rPr>
        <w:t>cel</w:t>
      </w:r>
      <w:r w:rsidR="00F13B15" w:rsidRPr="00B10036">
        <w:rPr>
          <w:noProof/>
        </w:rPr>
        <w:t>u ograniczenia fizycznych skutków zmiany klimatu,</w:t>
      </w:r>
      <w:r w:rsidR="00B10036" w:rsidRPr="00B10036">
        <w:rPr>
          <w:noProof/>
        </w:rPr>
        <w:t xml:space="preserve"> a</w:t>
      </w:r>
      <w:r w:rsidR="00B10036">
        <w:rPr>
          <w:noProof/>
        </w:rPr>
        <w:t> </w:t>
      </w:r>
      <w:r w:rsidR="00B10036" w:rsidRPr="00B10036">
        <w:rPr>
          <w:noProof/>
        </w:rPr>
        <w:t>tym</w:t>
      </w:r>
      <w:r w:rsidR="00F13B15" w:rsidRPr="00B10036">
        <w:rPr>
          <w:noProof/>
        </w:rPr>
        <w:t xml:space="preserve"> samym zmniejszenia strat oraz luk</w:t>
      </w:r>
      <w:r w:rsidR="00B10036" w:rsidRPr="00B10036">
        <w:rPr>
          <w:noProof/>
        </w:rPr>
        <w:t xml:space="preserve"> w</w:t>
      </w:r>
      <w:r w:rsidR="00B10036">
        <w:rPr>
          <w:noProof/>
        </w:rPr>
        <w:t> </w:t>
      </w:r>
      <w:r w:rsidR="00B10036" w:rsidRPr="00B10036">
        <w:rPr>
          <w:noProof/>
        </w:rPr>
        <w:t>och</w:t>
      </w:r>
      <w:r w:rsidR="00F13B15" w:rsidRPr="00B10036">
        <w:rPr>
          <w:noProof/>
        </w:rPr>
        <w:t>ronie przed ryzykiem klimatycznym,</w:t>
      </w:r>
      <w:r w:rsidR="00B10036" w:rsidRPr="00B10036">
        <w:rPr>
          <w:noProof/>
        </w:rPr>
        <w:t xml:space="preserve"> z</w:t>
      </w:r>
      <w:r w:rsidR="00B10036">
        <w:rPr>
          <w:noProof/>
        </w:rPr>
        <w:t> </w:t>
      </w:r>
      <w:r w:rsidR="00B10036" w:rsidRPr="00B10036">
        <w:rPr>
          <w:noProof/>
        </w:rPr>
        <w:t>uwz</w:t>
      </w:r>
      <w:r w:rsidR="00F13B15" w:rsidRPr="00B10036">
        <w:rPr>
          <w:noProof/>
        </w:rPr>
        <w:t>ględnieniem mikroprzedsiębiorstw oraz małych</w:t>
      </w:r>
      <w:r w:rsidR="00B10036" w:rsidRPr="00B10036">
        <w:rPr>
          <w:noProof/>
        </w:rPr>
        <w:t xml:space="preserve"> i</w:t>
      </w:r>
      <w:r w:rsidR="00B10036">
        <w:rPr>
          <w:noProof/>
        </w:rPr>
        <w:t> </w:t>
      </w:r>
      <w:r w:rsidR="00B10036" w:rsidRPr="00B10036">
        <w:rPr>
          <w:noProof/>
        </w:rPr>
        <w:t>śre</w:t>
      </w:r>
      <w:r w:rsidR="00F13B15" w:rsidRPr="00B10036">
        <w:rPr>
          <w:noProof/>
        </w:rPr>
        <w:t>dnich przedsiębiorstw,</w:t>
      </w:r>
      <w:r w:rsidR="00B10036" w:rsidRPr="00B10036">
        <w:rPr>
          <w:noProof/>
        </w:rPr>
        <w:t xml:space="preserve"> a</w:t>
      </w:r>
      <w:r w:rsidR="00B10036">
        <w:rPr>
          <w:noProof/>
        </w:rPr>
        <w:t> </w:t>
      </w:r>
      <w:r w:rsidR="00B10036" w:rsidRPr="00B10036">
        <w:rPr>
          <w:noProof/>
        </w:rPr>
        <w:t>tak</w:t>
      </w:r>
      <w:r w:rsidR="00F13B15" w:rsidRPr="00B10036">
        <w:rPr>
          <w:noProof/>
        </w:rPr>
        <w:t>że obszarów wiejskich</w:t>
      </w:r>
      <w:r w:rsidR="00B10036" w:rsidRPr="00B10036">
        <w:rPr>
          <w:noProof/>
        </w:rPr>
        <w:t xml:space="preserve"> i</w:t>
      </w:r>
      <w:r w:rsidR="00B10036">
        <w:rPr>
          <w:noProof/>
        </w:rPr>
        <w:t> </w:t>
      </w:r>
      <w:r w:rsidR="00B10036" w:rsidRPr="00B10036">
        <w:rPr>
          <w:noProof/>
        </w:rPr>
        <w:t>reg</w:t>
      </w:r>
      <w:r w:rsidR="00F13B15" w:rsidRPr="00B10036">
        <w:rPr>
          <w:noProof/>
        </w:rPr>
        <w:t>ionów oddalonych. Aby lepiej zapobiegać wstrząsom związanym</w:t>
      </w:r>
      <w:r w:rsidR="00B10036" w:rsidRPr="00B10036">
        <w:rPr>
          <w:noProof/>
        </w:rPr>
        <w:t xml:space="preserve"> z</w:t>
      </w:r>
      <w:r w:rsidR="00B10036">
        <w:rPr>
          <w:noProof/>
        </w:rPr>
        <w:t> </w:t>
      </w:r>
      <w:r w:rsidR="00B10036" w:rsidRPr="00B10036">
        <w:rPr>
          <w:noProof/>
        </w:rPr>
        <w:t>kli</w:t>
      </w:r>
      <w:r w:rsidR="00F13B15" w:rsidRPr="00B10036">
        <w:rPr>
          <w:noProof/>
        </w:rPr>
        <w:t>matem, lepiej się na nie przygotować</w:t>
      </w:r>
      <w:r w:rsidR="00B10036" w:rsidRPr="00B10036">
        <w:rPr>
          <w:noProof/>
        </w:rPr>
        <w:t xml:space="preserve"> i</w:t>
      </w:r>
      <w:r w:rsidR="00B10036">
        <w:rPr>
          <w:noProof/>
        </w:rPr>
        <w:t> </w:t>
      </w:r>
      <w:r w:rsidR="00B10036" w:rsidRPr="00B10036">
        <w:rPr>
          <w:noProof/>
        </w:rPr>
        <w:t>lep</w:t>
      </w:r>
      <w:r w:rsidR="00F13B15" w:rsidRPr="00B10036">
        <w:rPr>
          <w:noProof/>
        </w:rPr>
        <w:t>iej na nie reagować, należy wzmocnić zarządzanie ryzykiem związanym</w:t>
      </w:r>
      <w:r w:rsidR="00B10036" w:rsidRPr="00B10036">
        <w:rPr>
          <w:noProof/>
        </w:rPr>
        <w:t xml:space="preserve"> z</w:t>
      </w:r>
      <w:r w:rsidR="00B10036">
        <w:rPr>
          <w:noProof/>
        </w:rPr>
        <w:t> </w:t>
      </w:r>
      <w:r w:rsidR="00B10036" w:rsidRPr="00B10036">
        <w:rPr>
          <w:noProof/>
        </w:rPr>
        <w:t>klę</w:t>
      </w:r>
      <w:r w:rsidR="00F13B15" w:rsidRPr="00B10036">
        <w:rPr>
          <w:noProof/>
        </w:rPr>
        <w:t>skami żywiołowymi,</w:t>
      </w:r>
      <w:r w:rsidR="00B10036" w:rsidRPr="00B10036">
        <w:rPr>
          <w:noProof/>
        </w:rPr>
        <w:t xml:space="preserve"> w</w:t>
      </w:r>
      <w:r w:rsidR="00B10036">
        <w:rPr>
          <w:noProof/>
        </w:rPr>
        <w:t> </w:t>
      </w:r>
      <w:r w:rsidR="00B10036" w:rsidRPr="00B10036">
        <w:rPr>
          <w:noProof/>
        </w:rPr>
        <w:t>tym</w:t>
      </w:r>
      <w:r w:rsidR="00F13B15" w:rsidRPr="00B10036">
        <w:rPr>
          <w:noProof/>
        </w:rPr>
        <w:t xml:space="preserve"> systemy ochrony ludności na szczeblu krajowym</w:t>
      </w:r>
      <w:r w:rsidR="00B10036" w:rsidRPr="00B10036">
        <w:rPr>
          <w:noProof/>
        </w:rPr>
        <w:t xml:space="preserve"> i</w:t>
      </w:r>
      <w:r w:rsidR="00B10036">
        <w:rPr>
          <w:noProof/>
        </w:rPr>
        <w:t> </w:t>
      </w:r>
      <w:r w:rsidR="00B10036" w:rsidRPr="00B10036">
        <w:rPr>
          <w:noProof/>
        </w:rPr>
        <w:t>uni</w:t>
      </w:r>
      <w:r w:rsidR="00F13B15" w:rsidRPr="00B10036">
        <w:rPr>
          <w:noProof/>
        </w:rPr>
        <w:t>jnym.</w:t>
      </w:r>
    </w:p>
    <w:p w14:paraId="452CC42F" w14:textId="799A9F04" w:rsidR="009B54D8" w:rsidRPr="00B10036" w:rsidRDefault="004D6F52" w:rsidP="004D6F52">
      <w:pPr>
        <w:pStyle w:val="ManualConsidrant"/>
        <w:rPr>
          <w:noProof/>
        </w:rPr>
      </w:pPr>
      <w:r w:rsidRPr="004D6F52">
        <w:t>(20)</w:t>
      </w:r>
      <w:r w:rsidRPr="004D6F52">
        <w:tab/>
      </w:r>
      <w:r w:rsidR="00C827C4" w:rsidRPr="00B10036">
        <w:rPr>
          <w:noProof/>
        </w:rPr>
        <w:t>Każdy ma prawo dostępu do podstawowych usług dobrej jakości,</w:t>
      </w:r>
      <w:r w:rsidR="00B10036" w:rsidRPr="00B10036">
        <w:rPr>
          <w:noProof/>
        </w:rPr>
        <w:t xml:space="preserve"> w</w:t>
      </w:r>
      <w:r w:rsidR="00B10036">
        <w:rPr>
          <w:noProof/>
        </w:rPr>
        <w:t> </w:t>
      </w:r>
      <w:r w:rsidR="00B10036" w:rsidRPr="00B10036">
        <w:rPr>
          <w:noProof/>
        </w:rPr>
        <w:t>tym</w:t>
      </w:r>
      <w:r w:rsidR="00C827C4" w:rsidRPr="00B10036">
        <w:rPr>
          <w:noProof/>
        </w:rPr>
        <w:t xml:space="preserve"> energii, transportu, urządzeń sanitarnych, usług finansowych</w:t>
      </w:r>
      <w:r w:rsidR="00B10036" w:rsidRPr="00B10036">
        <w:rPr>
          <w:noProof/>
        </w:rPr>
        <w:t xml:space="preserve"> i</w:t>
      </w:r>
      <w:r w:rsidR="00B10036">
        <w:rPr>
          <w:noProof/>
        </w:rPr>
        <w:t> </w:t>
      </w:r>
      <w:r w:rsidR="00B10036" w:rsidRPr="00B10036">
        <w:rPr>
          <w:noProof/>
        </w:rPr>
        <w:t>usł</w:t>
      </w:r>
      <w:r w:rsidR="00C827C4" w:rsidRPr="00B10036">
        <w:rPr>
          <w:noProof/>
        </w:rPr>
        <w:t>ug łączności cyfrowej,</w:t>
      </w:r>
      <w:r w:rsidR="00B10036" w:rsidRPr="00B10036">
        <w:rPr>
          <w:noProof/>
        </w:rPr>
        <w:t xml:space="preserve"> a</w:t>
      </w:r>
      <w:r w:rsidR="00B10036">
        <w:rPr>
          <w:noProof/>
        </w:rPr>
        <w:t> </w:t>
      </w:r>
      <w:r w:rsidR="00B10036" w:rsidRPr="00B10036">
        <w:rPr>
          <w:noProof/>
        </w:rPr>
        <w:t>oso</w:t>
      </w:r>
      <w:r w:rsidR="00C827C4" w:rsidRPr="00B10036">
        <w:rPr>
          <w:noProof/>
        </w:rPr>
        <w:t>by potrzebujące powinny otrzymać wsparcie</w:t>
      </w:r>
      <w:r w:rsidR="00B10036" w:rsidRPr="00B10036">
        <w:rPr>
          <w:noProof/>
        </w:rPr>
        <w:t xml:space="preserve"> w</w:t>
      </w:r>
      <w:r w:rsidR="00B10036">
        <w:rPr>
          <w:noProof/>
        </w:rPr>
        <w:t> </w:t>
      </w:r>
      <w:r w:rsidR="00B10036" w:rsidRPr="00B10036">
        <w:rPr>
          <w:noProof/>
        </w:rPr>
        <w:t>zak</w:t>
      </w:r>
      <w:r w:rsidR="00C827C4" w:rsidRPr="00B10036">
        <w:rPr>
          <w:noProof/>
        </w:rPr>
        <w:t>resie równego dostępu do tych usług</w:t>
      </w:r>
      <w:r w:rsidR="00C827C4" w:rsidRPr="00B10036">
        <w:rPr>
          <w:rStyle w:val="FootnoteReference"/>
          <w:noProof/>
        </w:rPr>
        <w:footnoteReference w:id="93"/>
      </w:r>
      <w:r w:rsidR="00C827C4" w:rsidRPr="00B10036">
        <w:rPr>
          <w:noProof/>
        </w:rPr>
        <w:t>.</w:t>
      </w:r>
      <w:r w:rsidR="00B10036" w:rsidRPr="00B10036">
        <w:rPr>
          <w:noProof/>
        </w:rPr>
        <w:t xml:space="preserve"> </w:t>
      </w:r>
      <w:r w:rsidR="00C827C4" w:rsidRPr="00B10036">
        <w:rPr>
          <w:noProof/>
        </w:rPr>
        <w:t>Należy również zapewnić osobom potrzebującym dostęp do mieszkań socjalnych lub pomocy mieszkaniowej dobrej jakości</w:t>
      </w:r>
      <w:r w:rsidR="00C827C4" w:rsidRPr="00B10036">
        <w:rPr>
          <w:rStyle w:val="FootnoteReference"/>
          <w:noProof/>
        </w:rPr>
        <w:footnoteReference w:id="94"/>
      </w:r>
      <w:r w:rsidR="00C827C4" w:rsidRPr="00B10036">
        <w:rPr>
          <w:noProof/>
        </w:rPr>
        <w:t>. Ponadto gospodarstwa domowe</w:t>
      </w:r>
      <w:r w:rsidR="00B10036" w:rsidRPr="00B10036">
        <w:rPr>
          <w:noProof/>
        </w:rPr>
        <w:t xml:space="preserve"> o</w:t>
      </w:r>
      <w:r w:rsidR="00B10036">
        <w:rPr>
          <w:noProof/>
        </w:rPr>
        <w:t> </w:t>
      </w:r>
      <w:r w:rsidR="00B10036" w:rsidRPr="00B10036">
        <w:rPr>
          <w:noProof/>
        </w:rPr>
        <w:t>nis</w:t>
      </w:r>
      <w:r w:rsidR="00C827C4" w:rsidRPr="00B10036">
        <w:rPr>
          <w:noProof/>
        </w:rPr>
        <w:t>kich</w:t>
      </w:r>
      <w:r w:rsidR="00B10036" w:rsidRPr="00B10036">
        <w:rPr>
          <w:noProof/>
        </w:rPr>
        <w:t xml:space="preserve"> i</w:t>
      </w:r>
      <w:r w:rsidR="00B10036">
        <w:rPr>
          <w:noProof/>
        </w:rPr>
        <w:t> </w:t>
      </w:r>
      <w:r w:rsidR="00B10036" w:rsidRPr="00B10036">
        <w:rPr>
          <w:noProof/>
        </w:rPr>
        <w:t>śre</w:t>
      </w:r>
      <w:r w:rsidR="00C827C4" w:rsidRPr="00B10036">
        <w:rPr>
          <w:noProof/>
        </w:rPr>
        <w:t>dnich dochodach, odbiorcy wrażliwi,</w:t>
      </w:r>
      <w:r w:rsidR="00B10036" w:rsidRPr="00B10036">
        <w:rPr>
          <w:noProof/>
        </w:rPr>
        <w:t xml:space="preserve"> w</w:t>
      </w:r>
      <w:r w:rsidR="00B10036">
        <w:rPr>
          <w:noProof/>
        </w:rPr>
        <w:t> </w:t>
      </w:r>
      <w:r w:rsidR="00B10036" w:rsidRPr="00B10036">
        <w:rPr>
          <w:noProof/>
        </w:rPr>
        <w:t>tym</w:t>
      </w:r>
      <w:r w:rsidR="00C827C4" w:rsidRPr="00B10036">
        <w:rPr>
          <w:noProof/>
        </w:rPr>
        <w:t xml:space="preserve"> użytkownicy ostateczni, osoby zmagające się</w:t>
      </w:r>
      <w:r w:rsidR="00B10036" w:rsidRPr="00B10036">
        <w:rPr>
          <w:noProof/>
        </w:rPr>
        <w:t xml:space="preserve"> z</w:t>
      </w:r>
      <w:r w:rsidR="00B10036">
        <w:rPr>
          <w:noProof/>
        </w:rPr>
        <w:t> </w:t>
      </w:r>
      <w:r w:rsidR="00B10036" w:rsidRPr="00B10036">
        <w:rPr>
          <w:noProof/>
        </w:rPr>
        <w:t>ubó</w:t>
      </w:r>
      <w:r w:rsidR="00C827C4" w:rsidRPr="00B10036">
        <w:rPr>
          <w:noProof/>
        </w:rPr>
        <w:t>stwem energetycznym lub zagrożone takim ubóstwem oraz osoby mieszkające</w:t>
      </w:r>
      <w:r w:rsidR="00B10036" w:rsidRPr="00B10036">
        <w:rPr>
          <w:noProof/>
        </w:rPr>
        <w:t xml:space="preserve"> w</w:t>
      </w:r>
      <w:r w:rsidR="00B10036">
        <w:rPr>
          <w:noProof/>
        </w:rPr>
        <w:t> </w:t>
      </w:r>
      <w:r w:rsidR="00B10036" w:rsidRPr="00B10036">
        <w:rPr>
          <w:noProof/>
        </w:rPr>
        <w:t>mie</w:t>
      </w:r>
      <w:r w:rsidR="00C827C4" w:rsidRPr="00B10036">
        <w:rPr>
          <w:noProof/>
        </w:rPr>
        <w:t>szkaniach socjalnych mogą zyskać dzięki stosowaniu zasady „efektywność energetyczna przede wszystkim”. Oprócz ochrony odbiorców energii</w:t>
      </w:r>
      <w:r w:rsidR="00B10036" w:rsidRPr="00B10036">
        <w:rPr>
          <w:noProof/>
        </w:rPr>
        <w:t xml:space="preserve"> i</w:t>
      </w:r>
      <w:r w:rsidR="00B10036">
        <w:rPr>
          <w:noProof/>
        </w:rPr>
        <w:t> </w:t>
      </w:r>
      <w:r w:rsidR="00B10036" w:rsidRPr="00B10036">
        <w:rPr>
          <w:noProof/>
        </w:rPr>
        <w:t>wzm</w:t>
      </w:r>
      <w:r w:rsidR="00C827C4" w:rsidRPr="00B10036">
        <w:rPr>
          <w:noProof/>
        </w:rPr>
        <w:t>ocnienia ich pozycji, konieczne są konkretne środki służące zapobieganiu ubóstwu energetycznemu</w:t>
      </w:r>
      <w:r w:rsidR="00B10036" w:rsidRPr="00B10036">
        <w:rPr>
          <w:noProof/>
        </w:rPr>
        <w:t xml:space="preserve"> i</w:t>
      </w:r>
      <w:r w:rsidR="00B10036">
        <w:rPr>
          <w:noProof/>
        </w:rPr>
        <w:t> </w:t>
      </w:r>
      <w:r w:rsidR="00B10036" w:rsidRPr="00B10036">
        <w:rPr>
          <w:noProof/>
        </w:rPr>
        <w:t>zwa</w:t>
      </w:r>
      <w:r w:rsidR="00C827C4" w:rsidRPr="00B10036">
        <w:rPr>
          <w:noProof/>
        </w:rPr>
        <w:t>lczaniu jego przyczyn,</w:t>
      </w:r>
      <w:r w:rsidR="00B10036" w:rsidRPr="00B10036">
        <w:rPr>
          <w:noProof/>
        </w:rPr>
        <w:t xml:space="preserve"> w</w:t>
      </w:r>
      <w:r w:rsidR="00B10036">
        <w:rPr>
          <w:noProof/>
        </w:rPr>
        <w:t> </w:t>
      </w:r>
      <w:r w:rsidR="00B10036" w:rsidRPr="00B10036">
        <w:rPr>
          <w:noProof/>
        </w:rPr>
        <w:t>szc</w:t>
      </w:r>
      <w:r w:rsidR="00C827C4" w:rsidRPr="00B10036">
        <w:rPr>
          <w:noProof/>
        </w:rPr>
        <w:t>zególności polegające na promowaniu inwestycji ukierunkowanych na poprawę efektywności energetycznej, głównie</w:t>
      </w:r>
      <w:r w:rsidR="00B10036" w:rsidRPr="00B10036">
        <w:rPr>
          <w:noProof/>
        </w:rPr>
        <w:t xml:space="preserve"> w</w:t>
      </w:r>
      <w:r w:rsidR="00B10036">
        <w:rPr>
          <w:noProof/>
        </w:rPr>
        <w:t> </w:t>
      </w:r>
      <w:r w:rsidR="00B10036" w:rsidRPr="00B10036">
        <w:rPr>
          <w:noProof/>
        </w:rPr>
        <w:t>sek</w:t>
      </w:r>
      <w:r w:rsidR="00C827C4" w:rsidRPr="00B10036">
        <w:rPr>
          <w:noProof/>
        </w:rPr>
        <w:t>torze mieszkalnictwa socjalnego, zgodnie</w:t>
      </w:r>
      <w:r w:rsidR="00B10036" w:rsidRPr="00B10036">
        <w:rPr>
          <w:noProof/>
        </w:rPr>
        <w:t xml:space="preserve"> z</w:t>
      </w:r>
      <w:r w:rsidR="00B10036">
        <w:rPr>
          <w:noProof/>
        </w:rPr>
        <w:t> </w:t>
      </w:r>
      <w:r w:rsidR="00B10036" w:rsidRPr="00B10036">
        <w:rPr>
          <w:noProof/>
        </w:rPr>
        <w:t>wni</w:t>
      </w:r>
      <w:r w:rsidR="00C827C4" w:rsidRPr="00B10036">
        <w:rPr>
          <w:noProof/>
        </w:rPr>
        <w:t>oskiem dotyczącym wersji przekształconej dyrektywy</w:t>
      </w:r>
      <w:r w:rsidR="00B10036" w:rsidRPr="00B10036">
        <w:rPr>
          <w:noProof/>
        </w:rPr>
        <w:t xml:space="preserve"> w</w:t>
      </w:r>
      <w:r w:rsidR="00B10036">
        <w:rPr>
          <w:noProof/>
        </w:rPr>
        <w:t> </w:t>
      </w:r>
      <w:r w:rsidR="00B10036" w:rsidRPr="00B10036">
        <w:rPr>
          <w:noProof/>
        </w:rPr>
        <w:t>spr</w:t>
      </w:r>
      <w:r w:rsidR="00C827C4" w:rsidRPr="00B10036">
        <w:rPr>
          <w:noProof/>
        </w:rPr>
        <w:t>awie efektywności energetycznej</w:t>
      </w:r>
      <w:r w:rsidR="00C827C4" w:rsidRPr="00B10036">
        <w:rPr>
          <w:rStyle w:val="FootnoteReference"/>
          <w:noProof/>
        </w:rPr>
        <w:footnoteReference w:id="95"/>
      </w:r>
      <w:r w:rsidR="00C827C4" w:rsidRPr="00B10036">
        <w:rPr>
          <w:noProof/>
        </w:rPr>
        <w:t xml:space="preserve"> przyjętym</w:t>
      </w:r>
      <w:r w:rsidR="00B10036" w:rsidRPr="00B10036">
        <w:rPr>
          <w:noProof/>
        </w:rPr>
        <w:t xml:space="preserve"> w</w:t>
      </w:r>
      <w:r w:rsidR="00B10036">
        <w:rPr>
          <w:noProof/>
        </w:rPr>
        <w:t> </w:t>
      </w:r>
      <w:r w:rsidR="00B10036" w:rsidRPr="00B10036">
        <w:rPr>
          <w:noProof/>
        </w:rPr>
        <w:t>dni</w:t>
      </w:r>
      <w:r w:rsidR="00C827C4" w:rsidRPr="00B10036">
        <w:rPr>
          <w:noProof/>
        </w:rPr>
        <w:t>u 14 lipca 2021</w:t>
      </w:r>
      <w:r w:rsidR="00B10036" w:rsidRPr="00B10036">
        <w:rPr>
          <w:noProof/>
        </w:rPr>
        <w:t> </w:t>
      </w:r>
      <w:r w:rsidR="00C827C4" w:rsidRPr="00B10036">
        <w:rPr>
          <w:noProof/>
        </w:rPr>
        <w:t>r., jak również</w:t>
      </w:r>
      <w:r w:rsidR="00B10036" w:rsidRPr="00B10036">
        <w:rPr>
          <w:noProof/>
        </w:rPr>
        <w:t xml:space="preserve"> z</w:t>
      </w:r>
      <w:r w:rsidR="00B10036">
        <w:rPr>
          <w:noProof/>
        </w:rPr>
        <w:t> </w:t>
      </w:r>
      <w:r w:rsidR="00B10036" w:rsidRPr="00B10036">
        <w:rPr>
          <w:noProof/>
        </w:rPr>
        <w:t>wni</w:t>
      </w:r>
      <w:r w:rsidR="00C827C4" w:rsidRPr="00B10036">
        <w:rPr>
          <w:noProof/>
        </w:rPr>
        <w:t>oskiem dotyczącym dyrektywy</w:t>
      </w:r>
      <w:r w:rsidR="00B10036" w:rsidRPr="00B10036">
        <w:rPr>
          <w:noProof/>
        </w:rPr>
        <w:t xml:space="preserve"> w</w:t>
      </w:r>
      <w:r w:rsidR="00B10036">
        <w:rPr>
          <w:noProof/>
        </w:rPr>
        <w:t> </w:t>
      </w:r>
      <w:r w:rsidR="00B10036" w:rsidRPr="00B10036">
        <w:rPr>
          <w:noProof/>
        </w:rPr>
        <w:t>spr</w:t>
      </w:r>
      <w:r w:rsidR="00C827C4" w:rsidRPr="00B10036">
        <w:rPr>
          <w:noProof/>
        </w:rPr>
        <w:t>awie charakterystyki energetycznej budynków</w:t>
      </w:r>
      <w:r w:rsidR="00C827C4" w:rsidRPr="00B10036">
        <w:rPr>
          <w:rStyle w:val="FootnoteReference"/>
          <w:noProof/>
        </w:rPr>
        <w:footnoteReference w:id="96"/>
      </w:r>
      <w:r w:rsidR="00C827C4" w:rsidRPr="00B10036">
        <w:rPr>
          <w:noProof/>
        </w:rPr>
        <w:t xml:space="preserve"> przyjętym</w:t>
      </w:r>
      <w:r w:rsidR="00B10036" w:rsidRPr="00B10036">
        <w:rPr>
          <w:noProof/>
        </w:rPr>
        <w:t xml:space="preserve"> w</w:t>
      </w:r>
      <w:r w:rsidR="00B10036">
        <w:rPr>
          <w:noProof/>
        </w:rPr>
        <w:t> </w:t>
      </w:r>
      <w:r w:rsidR="00B10036" w:rsidRPr="00B10036">
        <w:rPr>
          <w:noProof/>
        </w:rPr>
        <w:t>dni</w:t>
      </w:r>
      <w:r w:rsidR="00C827C4" w:rsidRPr="00B10036">
        <w:rPr>
          <w:noProof/>
        </w:rPr>
        <w:t>u 14 grudnia 2021</w:t>
      </w:r>
      <w:r w:rsidR="00B10036" w:rsidRPr="00B10036">
        <w:rPr>
          <w:noProof/>
        </w:rPr>
        <w:t> </w:t>
      </w:r>
      <w:r w:rsidR="00C827C4" w:rsidRPr="00B10036">
        <w:rPr>
          <w:noProof/>
        </w:rPr>
        <w:t>r., który dotyczy również głównych barier pozaekonomicznych utrudniających renowację, takich jak rozdział zachęt,</w:t>
      </w:r>
      <w:r w:rsidR="00B10036" w:rsidRPr="00B10036">
        <w:rPr>
          <w:noProof/>
        </w:rPr>
        <w:t xml:space="preserve"> w</w:t>
      </w:r>
      <w:r w:rsidR="00B10036">
        <w:rPr>
          <w:noProof/>
        </w:rPr>
        <w:t> </w:t>
      </w:r>
      <w:r w:rsidR="00B10036" w:rsidRPr="00B10036">
        <w:rPr>
          <w:noProof/>
        </w:rPr>
        <w:t>tym</w:t>
      </w:r>
      <w:r w:rsidR="00C827C4" w:rsidRPr="00B10036">
        <w:rPr>
          <w:noProof/>
        </w:rPr>
        <w:t xml:space="preserve"> na linii właściciel-najemca, oraz struktury współwłasności</w:t>
      </w:r>
      <w:r w:rsidR="00B10036" w:rsidRPr="00B10036">
        <w:rPr>
          <w:noProof/>
        </w:rPr>
        <w:t>. W</w:t>
      </w:r>
      <w:r w:rsidR="00B10036">
        <w:rPr>
          <w:noProof/>
        </w:rPr>
        <w:t> </w:t>
      </w:r>
      <w:r w:rsidR="00B10036" w:rsidRPr="00B10036">
        <w:rPr>
          <w:noProof/>
        </w:rPr>
        <w:t>tym</w:t>
      </w:r>
      <w:r w:rsidR="00C827C4" w:rsidRPr="00B10036">
        <w:rPr>
          <w:noProof/>
        </w:rPr>
        <w:t xml:space="preserve"> kontekście należy zwrócić szczególną uwagę na poszczególne grupy, które są</w:t>
      </w:r>
      <w:r w:rsidR="00B10036" w:rsidRPr="00B10036">
        <w:rPr>
          <w:noProof/>
        </w:rPr>
        <w:t xml:space="preserve"> w</w:t>
      </w:r>
      <w:r w:rsidR="00B10036">
        <w:rPr>
          <w:noProof/>
        </w:rPr>
        <w:t> </w:t>
      </w:r>
      <w:r w:rsidR="00B10036" w:rsidRPr="00B10036">
        <w:rPr>
          <w:noProof/>
        </w:rPr>
        <w:t>wię</w:t>
      </w:r>
      <w:r w:rsidR="00C827C4" w:rsidRPr="00B10036">
        <w:rPr>
          <w:noProof/>
        </w:rPr>
        <w:t>kszym stopniu zagrożone ubóstwem energetycznym, takie jak kobiety, osoby</w:t>
      </w:r>
      <w:r w:rsidR="00B10036" w:rsidRPr="00B10036">
        <w:rPr>
          <w:noProof/>
        </w:rPr>
        <w:t xml:space="preserve"> z</w:t>
      </w:r>
      <w:r w:rsidR="00B10036">
        <w:rPr>
          <w:noProof/>
        </w:rPr>
        <w:t> </w:t>
      </w:r>
      <w:r w:rsidR="00B10036" w:rsidRPr="00B10036">
        <w:rPr>
          <w:noProof/>
        </w:rPr>
        <w:t>nie</w:t>
      </w:r>
      <w:r w:rsidR="00C827C4" w:rsidRPr="00B10036">
        <w:rPr>
          <w:noProof/>
        </w:rPr>
        <w:t>pełnosprawnościami, osoby starsze, dzieci oraz osoby wywodzące się</w:t>
      </w:r>
      <w:r w:rsidR="00B10036" w:rsidRPr="00B10036">
        <w:rPr>
          <w:noProof/>
        </w:rPr>
        <w:t xml:space="preserve"> z</w:t>
      </w:r>
      <w:r w:rsidR="00B10036">
        <w:rPr>
          <w:noProof/>
        </w:rPr>
        <w:t> </w:t>
      </w:r>
      <w:r w:rsidR="00B10036" w:rsidRPr="00B10036">
        <w:rPr>
          <w:noProof/>
        </w:rPr>
        <w:t>mni</w:t>
      </w:r>
      <w:r w:rsidR="00C827C4" w:rsidRPr="00B10036">
        <w:rPr>
          <w:noProof/>
        </w:rPr>
        <w:t>ejszości rasowych lub etnicznych. Istniejącym</w:t>
      </w:r>
      <w:r w:rsidR="00B10036" w:rsidRPr="00B10036">
        <w:rPr>
          <w:noProof/>
        </w:rPr>
        <w:t xml:space="preserve"> i</w:t>
      </w:r>
      <w:r w:rsidR="00B10036">
        <w:rPr>
          <w:noProof/>
        </w:rPr>
        <w:t> </w:t>
      </w:r>
      <w:r w:rsidR="00B10036" w:rsidRPr="00B10036">
        <w:rPr>
          <w:noProof/>
        </w:rPr>
        <w:t>poj</w:t>
      </w:r>
      <w:r w:rsidR="00C827C4" w:rsidRPr="00B10036">
        <w:rPr>
          <w:noProof/>
        </w:rPr>
        <w:t>awiającym się wyzwaniom związanym</w:t>
      </w:r>
      <w:r w:rsidR="00B10036" w:rsidRPr="00B10036">
        <w:rPr>
          <w:noProof/>
        </w:rPr>
        <w:t xml:space="preserve"> z</w:t>
      </w:r>
      <w:r w:rsidR="00B10036">
        <w:rPr>
          <w:noProof/>
        </w:rPr>
        <w:t> </w:t>
      </w:r>
      <w:r w:rsidR="00B10036" w:rsidRPr="00B10036">
        <w:rPr>
          <w:noProof/>
        </w:rPr>
        <w:t>mob</w:t>
      </w:r>
      <w:r w:rsidR="00C827C4" w:rsidRPr="00B10036">
        <w:rPr>
          <w:noProof/>
        </w:rPr>
        <w:t>ilnością można sprostać za pomocą środków wsparcia</w:t>
      </w:r>
      <w:r w:rsidR="00B10036" w:rsidRPr="00B10036">
        <w:rPr>
          <w:noProof/>
        </w:rPr>
        <w:t xml:space="preserve"> i</w:t>
      </w:r>
      <w:r w:rsidR="00B10036">
        <w:rPr>
          <w:noProof/>
        </w:rPr>
        <w:t> </w:t>
      </w:r>
      <w:r w:rsidR="00B10036" w:rsidRPr="00B10036">
        <w:rPr>
          <w:noProof/>
        </w:rPr>
        <w:t>roz</w:t>
      </w:r>
      <w:r w:rsidR="00C827C4" w:rsidRPr="00B10036">
        <w:rPr>
          <w:noProof/>
        </w:rPr>
        <w:t>woju niezbędnej infrastruktury takiej jak transport publiczny. Kluczowe znaczenie dla zapewnienia wszystkim korzyści</w:t>
      </w:r>
      <w:r w:rsidR="00B10036" w:rsidRPr="00B10036">
        <w:rPr>
          <w:noProof/>
        </w:rPr>
        <w:t xml:space="preserve"> z</w:t>
      </w:r>
      <w:r w:rsidR="00B10036">
        <w:rPr>
          <w:noProof/>
        </w:rPr>
        <w:t> </w:t>
      </w:r>
      <w:r w:rsidR="00B10036" w:rsidRPr="00B10036">
        <w:rPr>
          <w:noProof/>
        </w:rPr>
        <w:t>zie</w:t>
      </w:r>
      <w:r w:rsidR="00C827C4" w:rsidRPr="00B10036">
        <w:rPr>
          <w:noProof/>
        </w:rPr>
        <w:t>lonej transformacji</w:t>
      </w:r>
      <w:r w:rsidR="00B10036" w:rsidRPr="00B10036">
        <w:rPr>
          <w:noProof/>
        </w:rPr>
        <w:t xml:space="preserve"> i</w:t>
      </w:r>
      <w:r w:rsidR="00B10036">
        <w:rPr>
          <w:noProof/>
        </w:rPr>
        <w:t> </w:t>
      </w:r>
      <w:r w:rsidR="00B10036" w:rsidRPr="00B10036">
        <w:rPr>
          <w:noProof/>
        </w:rPr>
        <w:t>udz</w:t>
      </w:r>
      <w:r w:rsidR="00C827C4" w:rsidRPr="00B10036">
        <w:rPr>
          <w:noProof/>
        </w:rPr>
        <w:t>iału</w:t>
      </w:r>
      <w:r w:rsidR="00B10036" w:rsidRPr="00B10036">
        <w:rPr>
          <w:noProof/>
        </w:rPr>
        <w:t xml:space="preserve"> w</w:t>
      </w:r>
      <w:r w:rsidR="00B10036">
        <w:rPr>
          <w:noProof/>
        </w:rPr>
        <w:t> </w:t>
      </w:r>
      <w:r w:rsidR="00B10036" w:rsidRPr="00B10036">
        <w:rPr>
          <w:noProof/>
        </w:rPr>
        <w:t>nie</w:t>
      </w:r>
      <w:r w:rsidR="00C827C4" w:rsidRPr="00B10036">
        <w:rPr>
          <w:noProof/>
        </w:rPr>
        <w:t>j mają przystępność cenowa, dostępność</w:t>
      </w:r>
      <w:r w:rsidR="00B10036" w:rsidRPr="00B10036">
        <w:rPr>
          <w:noProof/>
        </w:rPr>
        <w:t xml:space="preserve"> i</w:t>
      </w:r>
      <w:r w:rsidR="00B10036">
        <w:rPr>
          <w:noProof/>
        </w:rPr>
        <w:t> </w:t>
      </w:r>
      <w:r w:rsidR="00B10036" w:rsidRPr="00B10036">
        <w:rPr>
          <w:noProof/>
        </w:rPr>
        <w:t>bez</w:t>
      </w:r>
      <w:r w:rsidR="00C827C4" w:rsidRPr="00B10036">
        <w:rPr>
          <w:noProof/>
        </w:rPr>
        <w:t>pieczeństwo mobilności zgodnej</w:t>
      </w:r>
      <w:r w:rsidR="00B10036" w:rsidRPr="00B10036">
        <w:rPr>
          <w:noProof/>
        </w:rPr>
        <w:t xml:space="preserve"> z</w:t>
      </w:r>
      <w:r w:rsidR="00B10036">
        <w:rPr>
          <w:noProof/>
        </w:rPr>
        <w:t> </w:t>
      </w:r>
      <w:r w:rsidR="00B10036" w:rsidRPr="00B10036">
        <w:rPr>
          <w:noProof/>
        </w:rPr>
        <w:t>zas</w:t>
      </w:r>
      <w:r w:rsidR="00C827C4" w:rsidRPr="00B10036">
        <w:rPr>
          <w:noProof/>
        </w:rPr>
        <w:t>adami zrównoważonego rozwoju oraz różnych rodzajów transportu,</w:t>
      </w:r>
      <w:r w:rsidR="00B10036" w:rsidRPr="00B10036">
        <w:rPr>
          <w:noProof/>
        </w:rPr>
        <w:t xml:space="preserve"> w</w:t>
      </w:r>
      <w:r w:rsidR="00B10036">
        <w:rPr>
          <w:noProof/>
        </w:rPr>
        <w:t> </w:t>
      </w:r>
      <w:r w:rsidR="00B10036" w:rsidRPr="00B10036">
        <w:rPr>
          <w:noProof/>
        </w:rPr>
        <w:t>tym</w:t>
      </w:r>
      <w:r w:rsidR="00C827C4" w:rsidRPr="00B10036">
        <w:rPr>
          <w:noProof/>
        </w:rPr>
        <w:t xml:space="preserve"> transportu prywatnego</w:t>
      </w:r>
      <w:r w:rsidR="00B10036" w:rsidRPr="00B10036">
        <w:rPr>
          <w:noProof/>
        </w:rPr>
        <w:t xml:space="preserve"> i</w:t>
      </w:r>
      <w:r w:rsidR="00B10036">
        <w:rPr>
          <w:noProof/>
        </w:rPr>
        <w:t> </w:t>
      </w:r>
      <w:r w:rsidR="00B10036" w:rsidRPr="00B10036">
        <w:rPr>
          <w:noProof/>
        </w:rPr>
        <w:t>pub</w:t>
      </w:r>
      <w:r w:rsidR="00C827C4" w:rsidRPr="00B10036">
        <w:rPr>
          <w:noProof/>
        </w:rPr>
        <w:t>licznego. Znaczącą rolę</w:t>
      </w:r>
      <w:r w:rsidR="00B10036" w:rsidRPr="00B10036">
        <w:rPr>
          <w:noProof/>
        </w:rPr>
        <w:t xml:space="preserve"> w</w:t>
      </w:r>
      <w:r w:rsidR="00B10036">
        <w:rPr>
          <w:noProof/>
        </w:rPr>
        <w:t> </w:t>
      </w:r>
      <w:r w:rsidR="00B10036" w:rsidRPr="00B10036">
        <w:rPr>
          <w:noProof/>
        </w:rPr>
        <w:t>tym</w:t>
      </w:r>
      <w:r w:rsidR="00C827C4" w:rsidRPr="00B10036">
        <w:rPr>
          <w:noProof/>
        </w:rPr>
        <w:t xml:space="preserve"> kontekście odgrywa mobilność</w:t>
      </w:r>
      <w:r w:rsidR="00B10036" w:rsidRPr="00B10036">
        <w:rPr>
          <w:noProof/>
        </w:rPr>
        <w:t xml:space="preserve"> w</w:t>
      </w:r>
      <w:r w:rsidR="00B10036">
        <w:rPr>
          <w:noProof/>
        </w:rPr>
        <w:t> </w:t>
      </w:r>
      <w:r w:rsidR="00B10036" w:rsidRPr="00B10036">
        <w:rPr>
          <w:noProof/>
        </w:rPr>
        <w:t>mia</w:t>
      </w:r>
      <w:r w:rsidR="00C827C4" w:rsidRPr="00B10036">
        <w:rPr>
          <w:noProof/>
        </w:rPr>
        <w:t>stach, co znalazło również odzwierciedlenie</w:t>
      </w:r>
      <w:r w:rsidR="00B10036" w:rsidRPr="00B10036">
        <w:rPr>
          <w:noProof/>
        </w:rPr>
        <w:t xml:space="preserve"> w</w:t>
      </w:r>
      <w:r w:rsidR="00B10036">
        <w:rPr>
          <w:noProof/>
        </w:rPr>
        <w:t> </w:t>
      </w:r>
      <w:r w:rsidR="00B10036" w:rsidRPr="00B10036">
        <w:rPr>
          <w:noProof/>
        </w:rPr>
        <w:t>eur</w:t>
      </w:r>
      <w:r w:rsidR="00C827C4" w:rsidRPr="00B10036">
        <w:rPr>
          <w:noProof/>
        </w:rPr>
        <w:t>opejskich ramach mobilności</w:t>
      </w:r>
      <w:r w:rsidR="00B10036" w:rsidRPr="00B10036">
        <w:rPr>
          <w:noProof/>
        </w:rPr>
        <w:t xml:space="preserve"> w</w:t>
      </w:r>
      <w:r w:rsidR="00B10036">
        <w:rPr>
          <w:noProof/>
        </w:rPr>
        <w:t> </w:t>
      </w:r>
      <w:r w:rsidR="00B10036" w:rsidRPr="00B10036">
        <w:rPr>
          <w:noProof/>
        </w:rPr>
        <w:t>mia</w:t>
      </w:r>
      <w:r w:rsidR="00C827C4" w:rsidRPr="00B10036">
        <w:rPr>
          <w:noProof/>
        </w:rPr>
        <w:t>stach</w:t>
      </w:r>
      <w:r w:rsidR="00C827C4" w:rsidRPr="00B10036">
        <w:rPr>
          <w:rStyle w:val="FootnoteReference"/>
          <w:noProof/>
        </w:rPr>
        <w:footnoteReference w:id="97"/>
      </w:r>
      <w:r w:rsidR="00C827C4" w:rsidRPr="00B10036">
        <w:rPr>
          <w:noProof/>
        </w:rPr>
        <w:t xml:space="preserve"> przyjętych</w:t>
      </w:r>
      <w:r w:rsidR="00B10036" w:rsidRPr="00B10036">
        <w:rPr>
          <w:noProof/>
        </w:rPr>
        <w:t xml:space="preserve"> w</w:t>
      </w:r>
      <w:r w:rsidR="00B10036">
        <w:rPr>
          <w:noProof/>
        </w:rPr>
        <w:t> </w:t>
      </w:r>
      <w:r w:rsidR="00B10036" w:rsidRPr="00B10036">
        <w:rPr>
          <w:noProof/>
        </w:rPr>
        <w:t>dni</w:t>
      </w:r>
      <w:r w:rsidR="00C827C4" w:rsidRPr="00B10036">
        <w:rPr>
          <w:noProof/>
        </w:rPr>
        <w:t>u 14 grudnia 2021</w:t>
      </w:r>
      <w:r w:rsidR="00B10036" w:rsidRPr="00B10036">
        <w:rPr>
          <w:noProof/>
        </w:rPr>
        <w:t> </w:t>
      </w:r>
      <w:r w:rsidR="00C827C4" w:rsidRPr="00B10036">
        <w:rPr>
          <w:noProof/>
        </w:rPr>
        <w:t xml:space="preserve">r. </w:t>
      </w:r>
    </w:p>
    <w:p w14:paraId="5C1EB5F6" w14:textId="67566CD9" w:rsidR="009B54D8" w:rsidRPr="00B10036" w:rsidRDefault="004D6F52" w:rsidP="004D6F52">
      <w:pPr>
        <w:pStyle w:val="ManualConsidrant"/>
        <w:rPr>
          <w:noProof/>
        </w:rPr>
      </w:pPr>
      <w:r w:rsidRPr="004D6F52">
        <w:t>(21)</w:t>
      </w:r>
      <w:r w:rsidRPr="004D6F52">
        <w:tab/>
      </w:r>
      <w:r w:rsidR="00ED626F" w:rsidRPr="00B10036">
        <w:rPr>
          <w:noProof/>
        </w:rPr>
        <w:t>Podejście do sprawiedliwej transformacji obejmujące całą gospodarkę powinno wspierać środki</w:t>
      </w:r>
      <w:r w:rsidR="00B10036" w:rsidRPr="00B10036">
        <w:rPr>
          <w:noProof/>
        </w:rPr>
        <w:t xml:space="preserve"> z</w:t>
      </w:r>
      <w:r w:rsidR="00B10036">
        <w:rPr>
          <w:noProof/>
        </w:rPr>
        <w:t> </w:t>
      </w:r>
      <w:r w:rsidR="00B10036" w:rsidRPr="00B10036">
        <w:rPr>
          <w:noProof/>
        </w:rPr>
        <w:t>zak</w:t>
      </w:r>
      <w:r w:rsidR="00ED626F" w:rsidRPr="00B10036">
        <w:rPr>
          <w:noProof/>
        </w:rPr>
        <w:t>resu polityki</w:t>
      </w:r>
      <w:r w:rsidR="00B10036" w:rsidRPr="00B10036">
        <w:rPr>
          <w:noProof/>
        </w:rPr>
        <w:t xml:space="preserve"> w</w:t>
      </w:r>
      <w:r w:rsidR="00B10036">
        <w:rPr>
          <w:noProof/>
        </w:rPr>
        <w:t> </w:t>
      </w:r>
      <w:r w:rsidR="00B10036" w:rsidRPr="00B10036">
        <w:rPr>
          <w:noProof/>
        </w:rPr>
        <w:t>opa</w:t>
      </w:r>
      <w:r w:rsidR="00ED626F" w:rsidRPr="00B10036">
        <w:rPr>
          <w:noProof/>
        </w:rPr>
        <w:t>rciu</w:t>
      </w:r>
      <w:r w:rsidR="00B10036" w:rsidRPr="00B10036">
        <w:rPr>
          <w:noProof/>
        </w:rPr>
        <w:t xml:space="preserve"> o</w:t>
      </w:r>
      <w:r w:rsidR="00B10036">
        <w:rPr>
          <w:noProof/>
        </w:rPr>
        <w:t> </w:t>
      </w:r>
      <w:r w:rsidR="00B10036" w:rsidRPr="00B10036">
        <w:rPr>
          <w:noProof/>
        </w:rPr>
        <w:t>koo</w:t>
      </w:r>
      <w:r w:rsidR="00ED626F" w:rsidRPr="00B10036">
        <w:rPr>
          <w:noProof/>
        </w:rPr>
        <w:t>rdynację procesu kształtowania polityki</w:t>
      </w:r>
      <w:r w:rsidR="00B10036" w:rsidRPr="00B10036">
        <w:rPr>
          <w:noProof/>
        </w:rPr>
        <w:t xml:space="preserve"> i</w:t>
      </w:r>
      <w:r w:rsidR="00B10036">
        <w:rPr>
          <w:noProof/>
        </w:rPr>
        <w:t> </w:t>
      </w:r>
      <w:r w:rsidR="00B10036" w:rsidRPr="00B10036">
        <w:rPr>
          <w:noProof/>
        </w:rPr>
        <w:t>wzm</w:t>
      </w:r>
      <w:r w:rsidR="00ED626F" w:rsidRPr="00B10036">
        <w:rPr>
          <w:noProof/>
        </w:rPr>
        <w:t>ocnione zdolności operacyjne na wszystkich szczeblach i we wszystkich odpowiednich obszarach polityki,</w:t>
      </w:r>
      <w:r w:rsidR="00B10036" w:rsidRPr="00B10036">
        <w:rPr>
          <w:noProof/>
        </w:rPr>
        <w:t xml:space="preserve"> a</w:t>
      </w:r>
      <w:r w:rsidR="00B10036">
        <w:rPr>
          <w:noProof/>
        </w:rPr>
        <w:t> </w:t>
      </w:r>
      <w:r w:rsidR="00B10036" w:rsidRPr="00B10036">
        <w:rPr>
          <w:noProof/>
        </w:rPr>
        <w:t>prz</w:t>
      </w:r>
      <w:r w:rsidR="00ED626F" w:rsidRPr="00B10036">
        <w:rPr>
          <w:noProof/>
        </w:rPr>
        <w:t>y tym powinno powierzać aktywną rolę władzom lokalnym</w:t>
      </w:r>
      <w:r w:rsidR="00B10036" w:rsidRPr="00B10036">
        <w:rPr>
          <w:noProof/>
        </w:rPr>
        <w:t xml:space="preserve"> i</w:t>
      </w:r>
      <w:r w:rsidR="00B10036">
        <w:rPr>
          <w:noProof/>
        </w:rPr>
        <w:t> </w:t>
      </w:r>
      <w:r w:rsidR="00B10036" w:rsidRPr="00B10036">
        <w:rPr>
          <w:noProof/>
        </w:rPr>
        <w:t>reg</w:t>
      </w:r>
      <w:r w:rsidR="00ED626F" w:rsidRPr="00B10036">
        <w:rPr>
          <w:noProof/>
        </w:rPr>
        <w:t>ionalnym, umożliwiać zaangażowanie partnerów społecznych na wszystkich szczeblach</w:t>
      </w:r>
      <w:r w:rsidR="00B10036" w:rsidRPr="00B10036">
        <w:rPr>
          <w:noProof/>
        </w:rPr>
        <w:t xml:space="preserve"> i</w:t>
      </w:r>
      <w:r w:rsidR="00B10036">
        <w:rPr>
          <w:noProof/>
        </w:rPr>
        <w:t> </w:t>
      </w:r>
      <w:r w:rsidR="00B10036" w:rsidRPr="00B10036">
        <w:rPr>
          <w:noProof/>
        </w:rPr>
        <w:t>eta</w:t>
      </w:r>
      <w:r w:rsidR="00ED626F" w:rsidRPr="00B10036">
        <w:rPr>
          <w:noProof/>
        </w:rPr>
        <w:t>pach,</w:t>
      </w:r>
      <w:r w:rsidR="00B10036" w:rsidRPr="00B10036">
        <w:rPr>
          <w:noProof/>
        </w:rPr>
        <w:t xml:space="preserve"> a</w:t>
      </w:r>
      <w:r w:rsidR="00B10036">
        <w:rPr>
          <w:noProof/>
        </w:rPr>
        <w:t> </w:t>
      </w:r>
      <w:r w:rsidR="00B10036" w:rsidRPr="00B10036">
        <w:rPr>
          <w:noProof/>
        </w:rPr>
        <w:t>tak</w:t>
      </w:r>
      <w:r w:rsidR="00ED626F" w:rsidRPr="00B10036">
        <w:rPr>
          <w:noProof/>
        </w:rPr>
        <w:t>że zapewniać skuteczny</w:t>
      </w:r>
      <w:r w:rsidR="00B10036" w:rsidRPr="00B10036">
        <w:rPr>
          <w:noProof/>
        </w:rPr>
        <w:t xml:space="preserve"> i</w:t>
      </w:r>
      <w:r w:rsidR="00B10036">
        <w:rPr>
          <w:noProof/>
        </w:rPr>
        <w:t> </w:t>
      </w:r>
      <w:r w:rsidR="00B10036" w:rsidRPr="00B10036">
        <w:rPr>
          <w:noProof/>
        </w:rPr>
        <w:t>zna</w:t>
      </w:r>
      <w:r w:rsidR="00ED626F" w:rsidRPr="00B10036">
        <w:rPr>
          <w:noProof/>
        </w:rPr>
        <w:t>czący udział społeczeństwa obywatelskiego</w:t>
      </w:r>
      <w:r w:rsidR="00B10036" w:rsidRPr="00B10036">
        <w:rPr>
          <w:noProof/>
        </w:rPr>
        <w:t xml:space="preserve"> i</w:t>
      </w:r>
      <w:r w:rsidR="00B10036">
        <w:rPr>
          <w:noProof/>
        </w:rPr>
        <w:t> </w:t>
      </w:r>
      <w:r w:rsidR="00B10036" w:rsidRPr="00B10036">
        <w:rPr>
          <w:noProof/>
        </w:rPr>
        <w:t>zai</w:t>
      </w:r>
      <w:r w:rsidR="00ED626F" w:rsidRPr="00B10036">
        <w:rPr>
          <w:noProof/>
        </w:rPr>
        <w:t>nteresowanych stron. Taka koordynacja</w:t>
      </w:r>
      <w:r w:rsidR="00B10036" w:rsidRPr="00B10036">
        <w:rPr>
          <w:noProof/>
        </w:rPr>
        <w:t xml:space="preserve"> i</w:t>
      </w:r>
      <w:r w:rsidR="00B10036">
        <w:rPr>
          <w:noProof/>
        </w:rPr>
        <w:t> </w:t>
      </w:r>
      <w:r w:rsidR="00B10036" w:rsidRPr="00B10036">
        <w:rPr>
          <w:noProof/>
        </w:rPr>
        <w:t>zaa</w:t>
      </w:r>
      <w:r w:rsidR="00ED626F" w:rsidRPr="00B10036">
        <w:rPr>
          <w:noProof/>
        </w:rPr>
        <w:t>ngażowanie mogłyby zapewnić, aby zasady sprawiedliwości</w:t>
      </w:r>
      <w:r w:rsidR="00B10036" w:rsidRPr="00B10036">
        <w:rPr>
          <w:noProof/>
        </w:rPr>
        <w:t xml:space="preserve"> i</w:t>
      </w:r>
      <w:r w:rsidR="00B10036">
        <w:rPr>
          <w:noProof/>
        </w:rPr>
        <w:t> </w:t>
      </w:r>
      <w:r w:rsidR="00B10036" w:rsidRPr="00B10036">
        <w:rPr>
          <w:noProof/>
        </w:rPr>
        <w:t>sol</w:t>
      </w:r>
      <w:r w:rsidR="00ED626F" w:rsidRPr="00B10036">
        <w:rPr>
          <w:noProof/>
        </w:rPr>
        <w:t>idarności zawarte</w:t>
      </w:r>
      <w:r w:rsidR="00B10036" w:rsidRPr="00B10036">
        <w:rPr>
          <w:noProof/>
        </w:rPr>
        <w:t xml:space="preserve"> w</w:t>
      </w:r>
      <w:r w:rsidR="00B10036">
        <w:rPr>
          <w:noProof/>
        </w:rPr>
        <w:t> </w:t>
      </w:r>
      <w:r w:rsidR="00B10036" w:rsidRPr="00B10036">
        <w:rPr>
          <w:noProof/>
        </w:rPr>
        <w:t>Eur</w:t>
      </w:r>
      <w:r w:rsidR="00ED626F" w:rsidRPr="00B10036">
        <w:rPr>
          <w:noProof/>
        </w:rPr>
        <w:t>opejskim Zielonym Ładzie były od samego początku uwzględniane</w:t>
      </w:r>
      <w:r w:rsidR="00B10036" w:rsidRPr="00B10036">
        <w:rPr>
          <w:noProof/>
        </w:rPr>
        <w:t xml:space="preserve"> w</w:t>
      </w:r>
      <w:r w:rsidR="00B10036">
        <w:rPr>
          <w:noProof/>
        </w:rPr>
        <w:t> </w:t>
      </w:r>
      <w:r w:rsidR="00B10036" w:rsidRPr="00B10036">
        <w:rPr>
          <w:noProof/>
        </w:rPr>
        <w:t>ksz</w:t>
      </w:r>
      <w:r w:rsidR="00ED626F" w:rsidRPr="00B10036">
        <w:rPr>
          <w:noProof/>
        </w:rPr>
        <w:t>tałtowaniu, wdrażaniu</w:t>
      </w:r>
      <w:r w:rsidR="00B10036" w:rsidRPr="00B10036">
        <w:rPr>
          <w:noProof/>
        </w:rPr>
        <w:t xml:space="preserve"> i</w:t>
      </w:r>
      <w:r w:rsidR="00B10036">
        <w:rPr>
          <w:noProof/>
        </w:rPr>
        <w:t> </w:t>
      </w:r>
      <w:r w:rsidR="00B10036" w:rsidRPr="00B10036">
        <w:rPr>
          <w:noProof/>
        </w:rPr>
        <w:t>mon</w:t>
      </w:r>
      <w:r w:rsidR="00ED626F" w:rsidRPr="00B10036">
        <w:rPr>
          <w:noProof/>
        </w:rPr>
        <w:t>itorowaniu polityki, stanowiąc podstawę szerokiego</w:t>
      </w:r>
      <w:r w:rsidR="00B10036" w:rsidRPr="00B10036">
        <w:rPr>
          <w:noProof/>
        </w:rPr>
        <w:t xml:space="preserve"> i</w:t>
      </w:r>
      <w:r w:rsidR="00B10036">
        <w:rPr>
          <w:noProof/>
        </w:rPr>
        <w:t> </w:t>
      </w:r>
      <w:r w:rsidR="00B10036" w:rsidRPr="00B10036">
        <w:rPr>
          <w:noProof/>
        </w:rPr>
        <w:t>dłu</w:t>
      </w:r>
      <w:r w:rsidR="00ED626F" w:rsidRPr="00B10036">
        <w:rPr>
          <w:noProof/>
        </w:rPr>
        <w:t>goterminowego wsparcia dla sprzyjających włączeniu społecznemu polityk służących przeprowadzeniu zielonej transformacji.</w:t>
      </w:r>
    </w:p>
    <w:p w14:paraId="074D92D8" w14:textId="517096CF" w:rsidR="009B54D8" w:rsidRPr="00B10036" w:rsidRDefault="004D6F52" w:rsidP="004D6F52">
      <w:pPr>
        <w:pStyle w:val="ManualConsidrant"/>
        <w:rPr>
          <w:noProof/>
        </w:rPr>
      </w:pPr>
      <w:r w:rsidRPr="004D6F52">
        <w:t>(22)</w:t>
      </w:r>
      <w:r w:rsidRPr="004D6F52">
        <w:tab/>
      </w:r>
      <w:r w:rsidR="006E3392" w:rsidRPr="00B10036">
        <w:rPr>
          <w:noProof/>
        </w:rPr>
        <w:t>Zasadnicze znaczenie dla wprowadzenia rozsądnej polityki społecznej</w:t>
      </w:r>
      <w:r w:rsidR="00B10036" w:rsidRPr="00B10036">
        <w:rPr>
          <w:noProof/>
        </w:rPr>
        <w:t xml:space="preserve"> i</w:t>
      </w:r>
      <w:r w:rsidR="00B10036">
        <w:rPr>
          <w:noProof/>
        </w:rPr>
        <w:t> </w:t>
      </w:r>
      <w:r w:rsidR="00B10036" w:rsidRPr="00B10036">
        <w:rPr>
          <w:noProof/>
        </w:rPr>
        <w:t>pol</w:t>
      </w:r>
      <w:r w:rsidR="006E3392" w:rsidRPr="00B10036">
        <w:rPr>
          <w:noProof/>
        </w:rPr>
        <w:t>ityki rynku pracy, która zagwarantuje sprawiedliwą</w:t>
      </w:r>
      <w:r w:rsidR="00B10036" w:rsidRPr="00B10036">
        <w:rPr>
          <w:noProof/>
        </w:rPr>
        <w:t xml:space="preserve"> i</w:t>
      </w:r>
      <w:r w:rsidR="00B10036">
        <w:rPr>
          <w:noProof/>
        </w:rPr>
        <w:t> </w:t>
      </w:r>
      <w:r w:rsidR="00B10036" w:rsidRPr="00B10036">
        <w:rPr>
          <w:noProof/>
        </w:rPr>
        <w:t>spr</w:t>
      </w:r>
      <w:r w:rsidR="006E3392" w:rsidRPr="00B10036">
        <w:rPr>
          <w:noProof/>
        </w:rPr>
        <w:t>zyjającą włączeniu społecznemu transformację, ma zapewnienie solidnej bazy dowodowej. Do realizacji tego celu posłuży stopniowe harmonizowanie</w:t>
      </w:r>
      <w:r w:rsidR="00B10036" w:rsidRPr="00B10036">
        <w:rPr>
          <w:noProof/>
        </w:rPr>
        <w:t xml:space="preserve"> i</w:t>
      </w:r>
      <w:r w:rsidR="00B10036">
        <w:rPr>
          <w:noProof/>
        </w:rPr>
        <w:t> </w:t>
      </w:r>
      <w:r w:rsidR="00B10036" w:rsidRPr="00B10036">
        <w:rPr>
          <w:noProof/>
        </w:rPr>
        <w:t>zwi</w:t>
      </w:r>
      <w:r w:rsidR="006E3392" w:rsidRPr="00B10036">
        <w:rPr>
          <w:noProof/>
        </w:rPr>
        <w:t>ększanie spójności definicji, pojęć, klasyfikacji</w:t>
      </w:r>
      <w:r w:rsidR="00B10036" w:rsidRPr="00B10036">
        <w:rPr>
          <w:noProof/>
        </w:rPr>
        <w:t xml:space="preserve"> i</w:t>
      </w:r>
      <w:r w:rsidR="00B10036">
        <w:rPr>
          <w:noProof/>
        </w:rPr>
        <w:t> </w:t>
      </w:r>
      <w:r w:rsidR="00B10036" w:rsidRPr="00B10036">
        <w:rPr>
          <w:noProof/>
        </w:rPr>
        <w:t>met</w:t>
      </w:r>
      <w:r w:rsidR="006E3392" w:rsidRPr="00B10036">
        <w:rPr>
          <w:noProof/>
        </w:rPr>
        <w:t>od,</w:t>
      </w:r>
      <w:r w:rsidR="00B10036" w:rsidRPr="00B10036">
        <w:rPr>
          <w:noProof/>
        </w:rPr>
        <w:t xml:space="preserve"> w</w:t>
      </w:r>
      <w:r w:rsidR="00B10036">
        <w:rPr>
          <w:noProof/>
        </w:rPr>
        <w:t> </w:t>
      </w:r>
      <w:r w:rsidR="00B10036" w:rsidRPr="00B10036">
        <w:rPr>
          <w:noProof/>
        </w:rPr>
        <w:t>szc</w:t>
      </w:r>
      <w:r w:rsidR="006E3392" w:rsidRPr="00B10036">
        <w:rPr>
          <w:noProof/>
        </w:rPr>
        <w:t>zególności</w:t>
      </w:r>
      <w:r w:rsidR="00B10036" w:rsidRPr="00B10036">
        <w:rPr>
          <w:noProof/>
        </w:rPr>
        <w:t xml:space="preserve"> w</w:t>
      </w:r>
      <w:r w:rsidR="00B10036">
        <w:rPr>
          <w:noProof/>
        </w:rPr>
        <w:t> </w:t>
      </w:r>
      <w:r w:rsidR="00B10036" w:rsidRPr="00B10036">
        <w:rPr>
          <w:noProof/>
        </w:rPr>
        <w:t>opa</w:t>
      </w:r>
      <w:r w:rsidR="006E3392" w:rsidRPr="00B10036">
        <w:rPr>
          <w:noProof/>
        </w:rPr>
        <w:t>rciu</w:t>
      </w:r>
      <w:r w:rsidR="00B10036" w:rsidRPr="00B10036">
        <w:rPr>
          <w:noProof/>
        </w:rPr>
        <w:t xml:space="preserve"> o</w:t>
      </w:r>
      <w:r w:rsidR="00B10036">
        <w:rPr>
          <w:noProof/>
        </w:rPr>
        <w:t> </w:t>
      </w:r>
      <w:r w:rsidR="00B10036" w:rsidRPr="00B10036">
        <w:rPr>
          <w:noProof/>
        </w:rPr>
        <w:t>zal</w:t>
      </w:r>
      <w:r w:rsidR="006E3392" w:rsidRPr="00B10036">
        <w:rPr>
          <w:noProof/>
        </w:rPr>
        <w:t>ecenie Komisji (UE) 2020/1563 dotyczące ubóstwa energetycznego</w:t>
      </w:r>
      <w:r w:rsidR="006E3392" w:rsidRPr="00B10036">
        <w:rPr>
          <w:rStyle w:val="FootnoteReference"/>
          <w:rFonts w:eastAsia="Calibri"/>
          <w:noProof/>
        </w:rPr>
        <w:footnoteReference w:id="98"/>
      </w:r>
      <w:r w:rsidR="006E3392" w:rsidRPr="00B10036">
        <w:rPr>
          <w:noProof/>
        </w:rPr>
        <w:t>, które ułatwia przeprowadzanie ocen</w:t>
      </w:r>
      <w:r w:rsidR="00B10036" w:rsidRPr="00B10036">
        <w:rPr>
          <w:noProof/>
        </w:rPr>
        <w:t xml:space="preserve"> i</w:t>
      </w:r>
      <w:r w:rsidR="00B10036">
        <w:rPr>
          <w:noProof/>
        </w:rPr>
        <w:t> </w:t>
      </w:r>
      <w:r w:rsidR="00B10036" w:rsidRPr="00B10036">
        <w:rPr>
          <w:noProof/>
        </w:rPr>
        <w:t>spr</w:t>
      </w:r>
      <w:r w:rsidR="006E3392" w:rsidRPr="00B10036">
        <w:rPr>
          <w:noProof/>
        </w:rPr>
        <w:t>awia, że są one bardziej porównywalne. Dalsze działania</w:t>
      </w:r>
      <w:r w:rsidR="00B10036" w:rsidRPr="00B10036">
        <w:rPr>
          <w:noProof/>
        </w:rPr>
        <w:t xml:space="preserve"> w</w:t>
      </w:r>
      <w:r w:rsidR="00B10036">
        <w:rPr>
          <w:noProof/>
        </w:rPr>
        <w:t> </w:t>
      </w:r>
      <w:r w:rsidR="00B10036" w:rsidRPr="00B10036">
        <w:rPr>
          <w:noProof/>
        </w:rPr>
        <w:t>zak</w:t>
      </w:r>
      <w:r w:rsidR="006E3392" w:rsidRPr="00B10036">
        <w:rPr>
          <w:noProof/>
        </w:rPr>
        <w:t>resie badań naukowych</w:t>
      </w:r>
      <w:r w:rsidR="00B10036" w:rsidRPr="00B10036">
        <w:rPr>
          <w:noProof/>
        </w:rPr>
        <w:t xml:space="preserve"> i</w:t>
      </w:r>
      <w:r w:rsidR="00B10036">
        <w:rPr>
          <w:noProof/>
        </w:rPr>
        <w:t> </w:t>
      </w:r>
      <w:r w:rsidR="00B10036" w:rsidRPr="00B10036">
        <w:rPr>
          <w:noProof/>
        </w:rPr>
        <w:t>inn</w:t>
      </w:r>
      <w:r w:rsidR="006E3392" w:rsidRPr="00B10036">
        <w:rPr>
          <w:noProof/>
        </w:rPr>
        <w:t>owacji mogą przyczynić się do poszerzenia bazy wiedzy, która może zostać wykorzystana</w:t>
      </w:r>
      <w:r w:rsidR="00B10036" w:rsidRPr="00B10036">
        <w:rPr>
          <w:noProof/>
        </w:rPr>
        <w:t xml:space="preserve"> w</w:t>
      </w:r>
      <w:r w:rsidR="00B10036">
        <w:rPr>
          <w:noProof/>
        </w:rPr>
        <w:t> </w:t>
      </w:r>
      <w:r w:rsidR="00B10036" w:rsidRPr="00B10036">
        <w:rPr>
          <w:noProof/>
        </w:rPr>
        <w:t>pol</w:t>
      </w:r>
      <w:r w:rsidR="006E3392" w:rsidRPr="00B10036">
        <w:rPr>
          <w:noProof/>
        </w:rPr>
        <w:t>ityce</w:t>
      </w:r>
      <w:r w:rsidR="00B10036" w:rsidRPr="00B10036">
        <w:rPr>
          <w:noProof/>
        </w:rPr>
        <w:t xml:space="preserve"> i</w:t>
      </w:r>
      <w:r w:rsidR="00B10036">
        <w:rPr>
          <w:noProof/>
        </w:rPr>
        <w:t> </w:t>
      </w:r>
      <w:r w:rsidR="00B10036" w:rsidRPr="00B10036">
        <w:rPr>
          <w:noProof/>
        </w:rPr>
        <w:t>dys</w:t>
      </w:r>
      <w:r w:rsidR="006E3392" w:rsidRPr="00B10036">
        <w:rPr>
          <w:noProof/>
        </w:rPr>
        <w:t>kursie publicznym</w:t>
      </w:r>
      <w:r w:rsidR="00B10036" w:rsidRPr="00B10036">
        <w:rPr>
          <w:noProof/>
        </w:rPr>
        <w:t>. Z</w:t>
      </w:r>
      <w:r w:rsidR="00B10036">
        <w:rPr>
          <w:noProof/>
        </w:rPr>
        <w:t> </w:t>
      </w:r>
      <w:r w:rsidR="00B10036" w:rsidRPr="00B10036">
        <w:rPr>
          <w:noProof/>
        </w:rPr>
        <w:t>kol</w:t>
      </w:r>
      <w:r w:rsidR="006E3392" w:rsidRPr="00B10036">
        <w:rPr>
          <w:noProof/>
        </w:rPr>
        <w:t>ei wymiana informacji ze społeczeństwem</w:t>
      </w:r>
      <w:r w:rsidR="00B10036" w:rsidRPr="00B10036">
        <w:rPr>
          <w:noProof/>
        </w:rPr>
        <w:t xml:space="preserve"> w</w:t>
      </w:r>
      <w:r w:rsidR="00B10036">
        <w:rPr>
          <w:noProof/>
        </w:rPr>
        <w:t> </w:t>
      </w:r>
      <w:r w:rsidR="00B10036" w:rsidRPr="00B10036">
        <w:rPr>
          <w:noProof/>
        </w:rPr>
        <w:t>cał</w:t>
      </w:r>
      <w:r w:rsidR="006E3392" w:rsidRPr="00B10036">
        <w:rPr>
          <w:noProof/>
        </w:rPr>
        <w:t>ej jego różnorodności oraz</w:t>
      </w:r>
      <w:r w:rsidR="00B10036" w:rsidRPr="00B10036">
        <w:rPr>
          <w:noProof/>
        </w:rPr>
        <w:t xml:space="preserve"> z</w:t>
      </w:r>
      <w:r w:rsidR="00B10036">
        <w:rPr>
          <w:noProof/>
        </w:rPr>
        <w:t> </w:t>
      </w:r>
      <w:r w:rsidR="00B10036" w:rsidRPr="00B10036">
        <w:rPr>
          <w:noProof/>
        </w:rPr>
        <w:t>klu</w:t>
      </w:r>
      <w:r w:rsidR="006E3392" w:rsidRPr="00B10036">
        <w:rPr>
          <w:noProof/>
        </w:rPr>
        <w:t>czowymi zainteresowanymi stronami, na przykład na temat wyników ocen, prognozowania</w:t>
      </w:r>
      <w:r w:rsidR="00B10036" w:rsidRPr="00B10036">
        <w:rPr>
          <w:noProof/>
        </w:rPr>
        <w:t xml:space="preserve"> i</w:t>
      </w:r>
      <w:r w:rsidR="00B10036">
        <w:rPr>
          <w:noProof/>
        </w:rPr>
        <w:t> </w:t>
      </w:r>
      <w:r w:rsidR="00B10036" w:rsidRPr="00B10036">
        <w:rPr>
          <w:noProof/>
        </w:rPr>
        <w:t>mon</w:t>
      </w:r>
      <w:r w:rsidR="006E3392" w:rsidRPr="00B10036">
        <w:rPr>
          <w:noProof/>
        </w:rPr>
        <w:t>itorowania, może przyczynić się do kształtowania polityki</w:t>
      </w:r>
      <w:r w:rsidR="00B10036" w:rsidRPr="00B10036">
        <w:rPr>
          <w:noProof/>
        </w:rPr>
        <w:t xml:space="preserve"> i</w:t>
      </w:r>
      <w:r w:rsidR="00B10036">
        <w:rPr>
          <w:noProof/>
        </w:rPr>
        <w:t> </w:t>
      </w:r>
      <w:r w:rsidR="00B10036" w:rsidRPr="00B10036">
        <w:rPr>
          <w:noProof/>
        </w:rPr>
        <w:t>zap</w:t>
      </w:r>
      <w:r w:rsidR="006E3392" w:rsidRPr="00B10036">
        <w:rPr>
          <w:noProof/>
        </w:rPr>
        <w:t>ewnienia odpowiedzialności.</w:t>
      </w:r>
    </w:p>
    <w:p w14:paraId="0E35C916" w14:textId="19FB1C12" w:rsidR="009B54D8" w:rsidRPr="00B10036" w:rsidRDefault="004D6F52" w:rsidP="004D6F52">
      <w:pPr>
        <w:pStyle w:val="ManualConsidrant"/>
        <w:rPr>
          <w:noProof/>
        </w:rPr>
      </w:pPr>
      <w:r w:rsidRPr="004D6F52">
        <w:t>(23)</w:t>
      </w:r>
      <w:r w:rsidRPr="004D6F52">
        <w:tab/>
      </w:r>
      <w:r w:rsidR="0029676B" w:rsidRPr="00B10036">
        <w:rPr>
          <w:noProof/>
        </w:rPr>
        <w:t>Niezbędne są dane</w:t>
      </w:r>
      <w:r w:rsidR="00B10036" w:rsidRPr="00B10036">
        <w:rPr>
          <w:noProof/>
        </w:rPr>
        <w:t xml:space="preserve"> i</w:t>
      </w:r>
      <w:r w:rsidR="00B10036">
        <w:rPr>
          <w:noProof/>
        </w:rPr>
        <w:t> </w:t>
      </w:r>
      <w:r w:rsidR="00B10036" w:rsidRPr="00B10036">
        <w:rPr>
          <w:noProof/>
        </w:rPr>
        <w:t>wsk</w:t>
      </w:r>
      <w:r w:rsidR="0029676B" w:rsidRPr="00B10036">
        <w:rPr>
          <w:noProof/>
        </w:rPr>
        <w:t>aźniki</w:t>
      </w:r>
      <w:r w:rsidR="00B10036" w:rsidRPr="00B10036">
        <w:rPr>
          <w:noProof/>
        </w:rPr>
        <w:t xml:space="preserve"> o</w:t>
      </w:r>
      <w:r w:rsidR="00B10036">
        <w:rPr>
          <w:noProof/>
        </w:rPr>
        <w:t> </w:t>
      </w:r>
      <w:r w:rsidR="00B10036" w:rsidRPr="00B10036">
        <w:rPr>
          <w:noProof/>
        </w:rPr>
        <w:t>odp</w:t>
      </w:r>
      <w:r w:rsidR="0029676B" w:rsidRPr="00B10036">
        <w:rPr>
          <w:noProof/>
        </w:rPr>
        <w:t>owiednim stopniu szczegółowości</w:t>
      </w:r>
      <w:r w:rsidR="00B10036" w:rsidRPr="00B10036">
        <w:rPr>
          <w:noProof/>
        </w:rPr>
        <w:t xml:space="preserve"> i</w:t>
      </w:r>
      <w:r w:rsidR="00B10036">
        <w:rPr>
          <w:noProof/>
        </w:rPr>
        <w:t> </w:t>
      </w:r>
      <w:r w:rsidR="00B10036" w:rsidRPr="00B10036">
        <w:rPr>
          <w:noProof/>
        </w:rPr>
        <w:t>wys</w:t>
      </w:r>
      <w:r w:rsidR="0029676B" w:rsidRPr="00B10036">
        <w:rPr>
          <w:noProof/>
        </w:rPr>
        <w:t>okiej jakości,</w:t>
      </w:r>
      <w:r w:rsidR="00B10036" w:rsidRPr="00B10036">
        <w:rPr>
          <w:noProof/>
        </w:rPr>
        <w:t xml:space="preserve"> w</w:t>
      </w:r>
      <w:r w:rsidR="00B10036">
        <w:rPr>
          <w:noProof/>
        </w:rPr>
        <w:t> </w:t>
      </w:r>
      <w:r w:rsidR="00B10036" w:rsidRPr="00B10036">
        <w:rPr>
          <w:noProof/>
        </w:rPr>
        <w:t>szc</w:t>
      </w:r>
      <w:r w:rsidR="0029676B" w:rsidRPr="00B10036">
        <w:rPr>
          <w:noProof/>
        </w:rPr>
        <w:t>zególności do oceny skutków</w:t>
      </w:r>
      <w:r w:rsidR="00B10036" w:rsidRPr="00B10036">
        <w:rPr>
          <w:noProof/>
        </w:rPr>
        <w:t xml:space="preserve"> w</w:t>
      </w:r>
      <w:r w:rsidR="00B10036">
        <w:rPr>
          <w:noProof/>
        </w:rPr>
        <w:t> </w:t>
      </w:r>
      <w:r w:rsidR="00B10036" w:rsidRPr="00B10036">
        <w:rPr>
          <w:noProof/>
        </w:rPr>
        <w:t>zak</w:t>
      </w:r>
      <w:r w:rsidR="0029676B" w:rsidRPr="00B10036">
        <w:rPr>
          <w:noProof/>
        </w:rPr>
        <w:t>resie zatrudnienia oraz skutków społecznych</w:t>
      </w:r>
      <w:r w:rsidR="00B10036" w:rsidRPr="00B10036">
        <w:rPr>
          <w:noProof/>
        </w:rPr>
        <w:t xml:space="preserve"> i</w:t>
      </w:r>
      <w:r w:rsidR="00B10036">
        <w:rPr>
          <w:noProof/>
        </w:rPr>
        <w:t> </w:t>
      </w:r>
      <w:r w:rsidR="00B10036" w:rsidRPr="00B10036">
        <w:rPr>
          <w:noProof/>
        </w:rPr>
        <w:t>dys</w:t>
      </w:r>
      <w:r w:rsidR="0029676B" w:rsidRPr="00B10036">
        <w:rPr>
          <w:noProof/>
        </w:rPr>
        <w:t>trybucyjnych polityki klimatycznej. Takie dane</w:t>
      </w:r>
      <w:r w:rsidR="00B10036" w:rsidRPr="00B10036">
        <w:rPr>
          <w:noProof/>
        </w:rPr>
        <w:t xml:space="preserve"> i</w:t>
      </w:r>
      <w:r w:rsidR="00B10036">
        <w:rPr>
          <w:noProof/>
        </w:rPr>
        <w:t> </w:t>
      </w:r>
      <w:r w:rsidR="00B10036" w:rsidRPr="00B10036">
        <w:rPr>
          <w:noProof/>
        </w:rPr>
        <w:t>wsk</w:t>
      </w:r>
      <w:r w:rsidR="0029676B" w:rsidRPr="00B10036">
        <w:rPr>
          <w:noProof/>
        </w:rPr>
        <w:t>aźniki nie są obecnie</w:t>
      </w:r>
      <w:r w:rsidR="00B10036" w:rsidRPr="00B10036">
        <w:rPr>
          <w:noProof/>
        </w:rPr>
        <w:t xml:space="preserve"> w</w:t>
      </w:r>
      <w:r w:rsidR="00B10036">
        <w:rPr>
          <w:noProof/>
        </w:rPr>
        <w:t> </w:t>
      </w:r>
      <w:r w:rsidR="00B10036" w:rsidRPr="00B10036">
        <w:rPr>
          <w:noProof/>
        </w:rPr>
        <w:t>peł</w:t>
      </w:r>
      <w:r w:rsidR="0029676B" w:rsidRPr="00B10036">
        <w:rPr>
          <w:noProof/>
        </w:rPr>
        <w:t>ni dostępne. Na przykład, choć poczyniono pewne postępy</w:t>
      </w:r>
      <w:r w:rsidR="00B10036" w:rsidRPr="00B10036">
        <w:rPr>
          <w:noProof/>
        </w:rPr>
        <w:t xml:space="preserve"> w</w:t>
      </w:r>
      <w:r w:rsidR="00B10036">
        <w:rPr>
          <w:noProof/>
        </w:rPr>
        <w:t> </w:t>
      </w:r>
      <w:r w:rsidR="00B10036" w:rsidRPr="00B10036">
        <w:rPr>
          <w:noProof/>
        </w:rPr>
        <w:t>zak</w:t>
      </w:r>
      <w:r w:rsidR="0029676B" w:rsidRPr="00B10036">
        <w:rPr>
          <w:noProof/>
        </w:rPr>
        <w:t>resie pomiaru ubóstwa energetycznego, można by opracować wskaźniki służące do oceny ubóstwa transportowego. Monitorowanie</w:t>
      </w:r>
      <w:r w:rsidR="00B10036" w:rsidRPr="00B10036">
        <w:rPr>
          <w:noProof/>
        </w:rPr>
        <w:t xml:space="preserve"> i</w:t>
      </w:r>
      <w:r w:rsidR="00B10036">
        <w:rPr>
          <w:noProof/>
        </w:rPr>
        <w:t> </w:t>
      </w:r>
      <w:r w:rsidR="00B10036" w:rsidRPr="00B10036">
        <w:rPr>
          <w:noProof/>
        </w:rPr>
        <w:t>oce</w:t>
      </w:r>
      <w:r w:rsidR="0029676B" w:rsidRPr="00B10036">
        <w:rPr>
          <w:noProof/>
        </w:rPr>
        <w:t>nę można wzmocnić za pomocą szeregu działań skoncentrowanych na wskaźnikach, tablicach wskaźników,</w:t>
      </w:r>
      <w:r w:rsidR="00B10036" w:rsidRPr="00B10036">
        <w:rPr>
          <w:noProof/>
        </w:rPr>
        <w:t xml:space="preserve"> a</w:t>
      </w:r>
      <w:r w:rsidR="00B10036">
        <w:rPr>
          <w:noProof/>
        </w:rPr>
        <w:t> </w:t>
      </w:r>
      <w:r w:rsidR="00B10036" w:rsidRPr="00B10036">
        <w:rPr>
          <w:noProof/>
        </w:rPr>
        <w:t>tak</w:t>
      </w:r>
      <w:r w:rsidR="0029676B" w:rsidRPr="00B10036">
        <w:rPr>
          <w:noProof/>
        </w:rPr>
        <w:t>że projektach pilotażowych na małą skalę</w:t>
      </w:r>
      <w:r w:rsidR="00B10036" w:rsidRPr="00B10036">
        <w:rPr>
          <w:noProof/>
        </w:rPr>
        <w:t xml:space="preserve"> i</w:t>
      </w:r>
      <w:r w:rsidR="00B10036">
        <w:rPr>
          <w:noProof/>
        </w:rPr>
        <w:t> </w:t>
      </w:r>
      <w:r w:rsidR="00B10036" w:rsidRPr="00B10036">
        <w:rPr>
          <w:noProof/>
        </w:rPr>
        <w:t>eks</w:t>
      </w:r>
      <w:r w:rsidR="0029676B" w:rsidRPr="00B10036">
        <w:rPr>
          <w:noProof/>
        </w:rPr>
        <w:t>perymentach politycznych. Działania te mogą opierać się na istniejących tablicach wskaźników, takich jak tablica wskaźników społecznych</w:t>
      </w:r>
      <w:r w:rsidR="00B10036" w:rsidRPr="00B10036">
        <w:rPr>
          <w:noProof/>
        </w:rPr>
        <w:t xml:space="preserve"> i</w:t>
      </w:r>
      <w:r w:rsidR="00B10036">
        <w:rPr>
          <w:noProof/>
        </w:rPr>
        <w:t> </w:t>
      </w:r>
      <w:r w:rsidR="00B10036" w:rsidRPr="00B10036">
        <w:rPr>
          <w:noProof/>
        </w:rPr>
        <w:t>tab</w:t>
      </w:r>
      <w:r w:rsidR="0029676B" w:rsidRPr="00B10036">
        <w:rPr>
          <w:noProof/>
        </w:rPr>
        <w:t>lica wskaźników Europejskiego Zielonego Ładu, które zawierają istotne informacje na temat konkretnych aspektów polityki</w:t>
      </w:r>
      <w:r w:rsidR="00B10036" w:rsidRPr="00B10036">
        <w:rPr>
          <w:noProof/>
        </w:rPr>
        <w:t xml:space="preserve"> w</w:t>
      </w:r>
      <w:r w:rsidR="00B10036">
        <w:rPr>
          <w:noProof/>
        </w:rPr>
        <w:t> </w:t>
      </w:r>
      <w:r w:rsidR="00B10036" w:rsidRPr="00B10036">
        <w:rPr>
          <w:noProof/>
        </w:rPr>
        <w:t>zak</w:t>
      </w:r>
      <w:r w:rsidR="0029676B" w:rsidRPr="00B10036">
        <w:rPr>
          <w:noProof/>
        </w:rPr>
        <w:t>resie sprawiedliwej transformacji, lub też mogą</w:t>
      </w:r>
      <w:r w:rsidR="00B10036" w:rsidRPr="00B10036">
        <w:rPr>
          <w:noProof/>
        </w:rPr>
        <w:t xml:space="preserve"> z</w:t>
      </w:r>
      <w:r w:rsidR="00B10036">
        <w:rPr>
          <w:noProof/>
        </w:rPr>
        <w:t> </w:t>
      </w:r>
      <w:r w:rsidR="00B10036" w:rsidRPr="00B10036">
        <w:rPr>
          <w:noProof/>
        </w:rPr>
        <w:t>cze</w:t>
      </w:r>
      <w:r w:rsidR="0029676B" w:rsidRPr="00B10036">
        <w:rPr>
          <w:noProof/>
        </w:rPr>
        <w:t>rpać</w:t>
      </w:r>
      <w:r w:rsidR="00B10036" w:rsidRPr="00B10036">
        <w:rPr>
          <w:noProof/>
        </w:rPr>
        <w:t xml:space="preserve"> z</w:t>
      </w:r>
      <w:r w:rsidR="00B10036">
        <w:rPr>
          <w:noProof/>
        </w:rPr>
        <w:t> </w:t>
      </w:r>
      <w:r w:rsidR="00B10036" w:rsidRPr="00B10036">
        <w:rPr>
          <w:noProof/>
        </w:rPr>
        <w:t>tak</w:t>
      </w:r>
      <w:r w:rsidR="0029676B" w:rsidRPr="00B10036">
        <w:rPr>
          <w:noProof/>
        </w:rPr>
        <w:t>ich tablic.</w:t>
      </w:r>
    </w:p>
    <w:p w14:paraId="4CA6338B" w14:textId="6F834501" w:rsidR="009B54D8" w:rsidRPr="00B10036" w:rsidRDefault="004D6F52" w:rsidP="004D6F52">
      <w:pPr>
        <w:pStyle w:val="ManualConsidrant"/>
        <w:rPr>
          <w:noProof/>
        </w:rPr>
      </w:pPr>
      <w:r w:rsidRPr="004D6F52">
        <w:t>(24)</w:t>
      </w:r>
      <w:r w:rsidRPr="004D6F52">
        <w:tab/>
      </w:r>
      <w:r w:rsidR="003F5C80" w:rsidRPr="00B10036">
        <w:rPr>
          <w:noProof/>
        </w:rPr>
        <w:t>Wreszcie szczególne znaczenie</w:t>
      </w:r>
      <w:r w:rsidR="00B10036" w:rsidRPr="00B10036">
        <w:rPr>
          <w:noProof/>
        </w:rPr>
        <w:t xml:space="preserve"> w</w:t>
      </w:r>
      <w:r w:rsidR="00B10036">
        <w:rPr>
          <w:noProof/>
        </w:rPr>
        <w:t> </w:t>
      </w:r>
      <w:r w:rsidR="00B10036" w:rsidRPr="00B10036">
        <w:rPr>
          <w:noProof/>
        </w:rPr>
        <w:t>świ</w:t>
      </w:r>
      <w:r w:rsidR="003F5C80" w:rsidRPr="00B10036">
        <w:rPr>
          <w:noProof/>
        </w:rPr>
        <w:t>etle znacznych potrzeb inwestycyjnych wynikających</w:t>
      </w:r>
      <w:r w:rsidR="00B10036" w:rsidRPr="00B10036">
        <w:rPr>
          <w:noProof/>
        </w:rPr>
        <w:t xml:space="preserve"> z</w:t>
      </w:r>
      <w:r w:rsidR="00B10036">
        <w:rPr>
          <w:noProof/>
        </w:rPr>
        <w:t> </w:t>
      </w:r>
      <w:r w:rsidR="00B10036" w:rsidRPr="00B10036">
        <w:rPr>
          <w:noProof/>
        </w:rPr>
        <w:t>zie</w:t>
      </w:r>
      <w:r w:rsidR="003F5C80" w:rsidRPr="00B10036">
        <w:rPr>
          <w:noProof/>
        </w:rPr>
        <w:t>lonej transformacji mają optymalne</w:t>
      </w:r>
      <w:r w:rsidR="00B10036" w:rsidRPr="00B10036">
        <w:rPr>
          <w:noProof/>
        </w:rPr>
        <w:t xml:space="preserve"> i</w:t>
      </w:r>
      <w:r w:rsidR="00B10036">
        <w:rPr>
          <w:noProof/>
        </w:rPr>
        <w:t> </w:t>
      </w:r>
      <w:r w:rsidR="00B10036" w:rsidRPr="00B10036">
        <w:rPr>
          <w:noProof/>
        </w:rPr>
        <w:t>efe</w:t>
      </w:r>
      <w:r w:rsidR="003F5C80" w:rsidRPr="00B10036">
        <w:rPr>
          <w:noProof/>
        </w:rPr>
        <w:t>ktywne wykorzystanie finansowania publicznego</w:t>
      </w:r>
      <w:r w:rsidR="00B10036" w:rsidRPr="00B10036">
        <w:rPr>
          <w:noProof/>
        </w:rPr>
        <w:t xml:space="preserve"> i</w:t>
      </w:r>
      <w:r w:rsidR="00B10036">
        <w:rPr>
          <w:noProof/>
        </w:rPr>
        <w:t> </w:t>
      </w:r>
      <w:r w:rsidR="00B10036" w:rsidRPr="00B10036">
        <w:rPr>
          <w:noProof/>
        </w:rPr>
        <w:t>pry</w:t>
      </w:r>
      <w:r w:rsidR="003F5C80" w:rsidRPr="00B10036">
        <w:rPr>
          <w:noProof/>
        </w:rPr>
        <w:t>watnego oraz uruchomienie wszystkich dostępnych zasobów</w:t>
      </w:r>
      <w:r w:rsidR="00B10036" w:rsidRPr="00B10036">
        <w:rPr>
          <w:noProof/>
        </w:rPr>
        <w:t xml:space="preserve"> i</w:t>
      </w:r>
      <w:r w:rsidR="00B10036">
        <w:rPr>
          <w:noProof/>
        </w:rPr>
        <w:t> </w:t>
      </w:r>
      <w:r w:rsidR="00B10036" w:rsidRPr="00B10036">
        <w:rPr>
          <w:noProof/>
        </w:rPr>
        <w:t>ich</w:t>
      </w:r>
      <w:r w:rsidR="003F5C80" w:rsidRPr="00B10036">
        <w:rPr>
          <w:noProof/>
        </w:rPr>
        <w:t xml:space="preserve"> skuteczne wdrożenie. Na szczeblu unijnym odpowiednie działania są wspierane</w:t>
      </w:r>
      <w:r w:rsidR="00B10036" w:rsidRPr="00B10036">
        <w:rPr>
          <w:noProof/>
        </w:rPr>
        <w:t xml:space="preserve"> z</w:t>
      </w:r>
      <w:r w:rsidR="00B10036">
        <w:rPr>
          <w:noProof/>
        </w:rPr>
        <w:t> </w:t>
      </w:r>
      <w:r w:rsidR="00B10036" w:rsidRPr="00B10036">
        <w:rPr>
          <w:noProof/>
        </w:rPr>
        <w:t>bud</w:t>
      </w:r>
      <w:r w:rsidR="003F5C80" w:rsidRPr="00B10036">
        <w:rPr>
          <w:noProof/>
        </w:rPr>
        <w:t>żetu UE</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ram</w:t>
      </w:r>
      <w:r w:rsidR="003F5C80" w:rsidRPr="00B10036">
        <w:rPr>
          <w:noProof/>
        </w:rPr>
        <w:t>ach inicjatywy NextGenerationEU. Będą one realizowane</w:t>
      </w:r>
      <w:r w:rsidR="00B10036" w:rsidRPr="00B10036">
        <w:rPr>
          <w:noProof/>
        </w:rPr>
        <w:t xml:space="preserve"> w</w:t>
      </w:r>
      <w:r w:rsidR="00B10036">
        <w:rPr>
          <w:noProof/>
        </w:rPr>
        <w:t> </w:t>
      </w:r>
      <w:r w:rsidR="00B10036" w:rsidRPr="00B10036">
        <w:rPr>
          <w:noProof/>
        </w:rPr>
        <w:t>ram</w:t>
      </w:r>
      <w:r w:rsidR="003F5C80" w:rsidRPr="00B10036">
        <w:rPr>
          <w:noProof/>
        </w:rPr>
        <w:t>ach Instrumentu na rzecz Odbudowy</w:t>
      </w:r>
      <w:r w:rsidR="00B10036" w:rsidRPr="00B10036">
        <w:rPr>
          <w:noProof/>
        </w:rPr>
        <w:t xml:space="preserve"> i</w:t>
      </w:r>
      <w:r w:rsidR="00B10036">
        <w:rPr>
          <w:noProof/>
        </w:rPr>
        <w:t> </w:t>
      </w:r>
      <w:r w:rsidR="00B10036" w:rsidRPr="00B10036">
        <w:rPr>
          <w:noProof/>
        </w:rPr>
        <w:t>Zwi</w:t>
      </w:r>
      <w:r w:rsidR="003F5C80" w:rsidRPr="00B10036">
        <w:rPr>
          <w:noProof/>
        </w:rPr>
        <w:t xml:space="preserve">ększania Odporności (RRF), </w:t>
      </w:r>
      <w:r w:rsidR="003F5C80" w:rsidRPr="00B10036">
        <w:rPr>
          <w:noProof/>
          <w:color w:val="000000" w:themeColor="text1"/>
        </w:rPr>
        <w:t>mechanizmu sprawiedliwej transformacji,</w:t>
      </w:r>
      <w:r w:rsidR="00B10036" w:rsidRPr="00B10036">
        <w:rPr>
          <w:noProof/>
          <w:color w:val="000000" w:themeColor="text1"/>
        </w:rPr>
        <w:t xml:space="preserve"> w</w:t>
      </w:r>
      <w:r w:rsidR="00B10036">
        <w:rPr>
          <w:noProof/>
          <w:color w:val="000000" w:themeColor="text1"/>
        </w:rPr>
        <w:t> </w:t>
      </w:r>
      <w:r w:rsidR="00B10036" w:rsidRPr="00B10036">
        <w:rPr>
          <w:noProof/>
          <w:color w:val="000000" w:themeColor="text1"/>
        </w:rPr>
        <w:t>tym</w:t>
      </w:r>
      <w:r w:rsidR="003F5C80" w:rsidRPr="00B10036">
        <w:rPr>
          <w:noProof/>
          <w:color w:val="000000" w:themeColor="text1"/>
        </w:rPr>
        <w:t xml:space="preserve"> Funduszu na rzecz Sprawiedliwej Transformacji, </w:t>
      </w:r>
      <w:r w:rsidR="003F5C80" w:rsidRPr="00B10036">
        <w:rPr>
          <w:noProof/>
        </w:rPr>
        <w:t>Europejskiego Funduszu Społecznego Plus (EFS+), Europejskiego Funduszu Rozwoju Regionalnego (EFRR), Funduszu Spójności, Wsparcia na rzecz odbudowy służącej spójności oraz terytoriom Europy (REACT-EU), ERASMUS+</w:t>
      </w:r>
      <w:r w:rsidR="00B10036" w:rsidRPr="00B10036">
        <w:rPr>
          <w:noProof/>
        </w:rPr>
        <w:t xml:space="preserve"> i</w:t>
      </w:r>
      <w:r w:rsidR="00B10036">
        <w:rPr>
          <w:noProof/>
        </w:rPr>
        <w:t> </w:t>
      </w:r>
      <w:r w:rsidR="00B10036" w:rsidRPr="00B10036">
        <w:rPr>
          <w:noProof/>
        </w:rPr>
        <w:t>Eur</w:t>
      </w:r>
      <w:r w:rsidR="003F5C80" w:rsidRPr="00B10036">
        <w:rPr>
          <w:noProof/>
        </w:rPr>
        <w:t>opejskiego Funduszu Dostosowania do Globalizacji dla Zwalnianych Pracowników (EFG), programu LIFE, programu „Horyzont Europa”, funduszu modernizacyjnego</w:t>
      </w:r>
      <w:r w:rsidR="003F5C80" w:rsidRPr="00B10036">
        <w:rPr>
          <w:rStyle w:val="FootnoteReference"/>
          <w:noProof/>
        </w:rPr>
        <w:footnoteReference w:id="99"/>
      </w:r>
      <w:r w:rsidR="003F5C80" w:rsidRPr="00B10036">
        <w:rPr>
          <w:noProof/>
        </w:rPr>
        <w:t>, Społecznego Funduszu Klimatycznego oraz funduszy wspólnej polityki rolnej (WPR). Ponadto Komisja wspiera państwa członkowskie za pośrednictwem Instrumentu Wsparcia Technicznego, zapewniając im dostosowaną do potrzeb wiedzę ekspercką niezbędną do opracowania</w:t>
      </w:r>
      <w:r w:rsidR="00B10036" w:rsidRPr="00B10036">
        <w:rPr>
          <w:noProof/>
        </w:rPr>
        <w:t xml:space="preserve"> i</w:t>
      </w:r>
      <w:r w:rsidR="00B10036">
        <w:rPr>
          <w:noProof/>
        </w:rPr>
        <w:t> </w:t>
      </w:r>
      <w:r w:rsidR="00B10036" w:rsidRPr="00B10036">
        <w:rPr>
          <w:noProof/>
        </w:rPr>
        <w:t>wdr</w:t>
      </w:r>
      <w:r w:rsidR="003F5C80" w:rsidRPr="00B10036">
        <w:rPr>
          <w:noProof/>
        </w:rPr>
        <w:t>ożenia reform,</w:t>
      </w:r>
      <w:r w:rsidR="00B10036" w:rsidRPr="00B10036">
        <w:rPr>
          <w:noProof/>
        </w:rPr>
        <w:t xml:space="preserve"> w</w:t>
      </w:r>
      <w:r w:rsidR="00B10036">
        <w:rPr>
          <w:noProof/>
        </w:rPr>
        <w:t> </w:t>
      </w:r>
      <w:r w:rsidR="00B10036" w:rsidRPr="00B10036">
        <w:rPr>
          <w:noProof/>
        </w:rPr>
        <w:t>tym</w:t>
      </w:r>
      <w:r w:rsidR="003F5C80" w:rsidRPr="00B10036">
        <w:rPr>
          <w:noProof/>
        </w:rPr>
        <w:t xml:space="preserve"> reform promujących sprawiedliwą transformację</w:t>
      </w:r>
      <w:r w:rsidR="00B10036" w:rsidRPr="00B10036">
        <w:rPr>
          <w:noProof/>
        </w:rPr>
        <w:t xml:space="preserve"> w</w:t>
      </w:r>
      <w:r w:rsidR="00B10036">
        <w:rPr>
          <w:noProof/>
        </w:rPr>
        <w:t> </w:t>
      </w:r>
      <w:r w:rsidR="00B10036" w:rsidRPr="00B10036">
        <w:rPr>
          <w:noProof/>
        </w:rPr>
        <w:t>cel</w:t>
      </w:r>
      <w:r w:rsidR="003F5C80" w:rsidRPr="00B10036">
        <w:rPr>
          <w:noProof/>
        </w:rPr>
        <w:t>u osiągnięcia neutralności pod względem emisji dwutlenku węgla.</w:t>
      </w:r>
    </w:p>
    <w:p w14:paraId="59D6CCC0" w14:textId="415EDE4F" w:rsidR="009B54D8" w:rsidRPr="00B10036" w:rsidRDefault="004D6F52" w:rsidP="004D6F52">
      <w:pPr>
        <w:pStyle w:val="ManualConsidrant"/>
        <w:rPr>
          <w:noProof/>
        </w:rPr>
      </w:pPr>
      <w:r w:rsidRPr="004D6F52">
        <w:t>(25)</w:t>
      </w:r>
      <w:r w:rsidRPr="004D6F52">
        <w:tab/>
      </w:r>
      <w:r w:rsidR="008E7A6D" w:rsidRPr="00B10036">
        <w:rPr>
          <w:noProof/>
        </w:rPr>
        <w:t>Europejski semestr stanowi ramy koordynacji unijnej polityki gospodarczej</w:t>
      </w:r>
      <w:r w:rsidR="00B10036" w:rsidRPr="00B10036">
        <w:rPr>
          <w:noProof/>
        </w:rPr>
        <w:t xml:space="preserve"> i</w:t>
      </w:r>
      <w:r w:rsidR="00B10036">
        <w:rPr>
          <w:noProof/>
        </w:rPr>
        <w:t> </w:t>
      </w:r>
      <w:r w:rsidR="00B10036" w:rsidRPr="00B10036">
        <w:rPr>
          <w:noProof/>
        </w:rPr>
        <w:t>pol</w:t>
      </w:r>
      <w:r w:rsidR="008E7A6D" w:rsidRPr="00B10036">
        <w:rPr>
          <w:noProof/>
        </w:rPr>
        <w:t>ityki zatrudnienia,</w:t>
      </w:r>
      <w:r w:rsidR="00B10036" w:rsidRPr="00B10036">
        <w:rPr>
          <w:noProof/>
        </w:rPr>
        <w:t xml:space="preserve"> w</w:t>
      </w:r>
      <w:r w:rsidR="00B10036">
        <w:rPr>
          <w:noProof/>
        </w:rPr>
        <w:t> </w:t>
      </w:r>
      <w:r w:rsidR="00B10036" w:rsidRPr="00B10036">
        <w:rPr>
          <w:noProof/>
        </w:rPr>
        <w:t>tym w</w:t>
      </w:r>
      <w:r w:rsidR="00B10036">
        <w:rPr>
          <w:noProof/>
        </w:rPr>
        <w:t> </w:t>
      </w:r>
      <w:r w:rsidR="00B10036" w:rsidRPr="00B10036">
        <w:rPr>
          <w:noProof/>
        </w:rPr>
        <w:t>odn</w:t>
      </w:r>
      <w:r w:rsidR="008E7A6D" w:rsidRPr="00B10036">
        <w:rPr>
          <w:noProof/>
        </w:rPr>
        <w:t>iesieniu do istotnych pod względem gospodarczym</w:t>
      </w:r>
      <w:r w:rsidR="00B10036" w:rsidRPr="00B10036">
        <w:rPr>
          <w:noProof/>
        </w:rPr>
        <w:t xml:space="preserve"> i</w:t>
      </w:r>
      <w:r w:rsidR="00B10036">
        <w:rPr>
          <w:noProof/>
        </w:rPr>
        <w:t> </w:t>
      </w:r>
      <w:r w:rsidR="00B10036" w:rsidRPr="00B10036">
        <w:rPr>
          <w:noProof/>
        </w:rPr>
        <w:t>spo</w:t>
      </w:r>
      <w:r w:rsidR="008E7A6D" w:rsidRPr="00B10036">
        <w:rPr>
          <w:noProof/>
        </w:rPr>
        <w:t>łecznym aspektów zielonej</w:t>
      </w:r>
      <w:r w:rsidR="00B10036" w:rsidRPr="00B10036">
        <w:rPr>
          <w:noProof/>
        </w:rPr>
        <w:t xml:space="preserve"> i</w:t>
      </w:r>
      <w:r w:rsidR="00B10036">
        <w:rPr>
          <w:noProof/>
        </w:rPr>
        <w:t> </w:t>
      </w:r>
      <w:r w:rsidR="00B10036" w:rsidRPr="00B10036">
        <w:rPr>
          <w:noProof/>
        </w:rPr>
        <w:t>cyf</w:t>
      </w:r>
      <w:r w:rsidR="008E7A6D" w:rsidRPr="00B10036">
        <w:rPr>
          <w:noProof/>
        </w:rPr>
        <w:t>rowej transformacji. Będzie on nadal odgrywał tę rolę</w:t>
      </w:r>
      <w:r w:rsidR="00B10036" w:rsidRPr="00B10036">
        <w:rPr>
          <w:noProof/>
        </w:rPr>
        <w:t xml:space="preserve"> w</w:t>
      </w:r>
      <w:r w:rsidR="00B10036">
        <w:rPr>
          <w:noProof/>
        </w:rPr>
        <w:t> </w:t>
      </w:r>
      <w:r w:rsidR="00B10036" w:rsidRPr="00B10036">
        <w:rPr>
          <w:noProof/>
        </w:rPr>
        <w:t>faz</w:t>
      </w:r>
      <w:r w:rsidR="008E7A6D" w:rsidRPr="00B10036">
        <w:rPr>
          <w:noProof/>
        </w:rPr>
        <w:t>ie odbudowy</w:t>
      </w:r>
      <w:r w:rsidR="00B10036" w:rsidRPr="00B10036">
        <w:rPr>
          <w:noProof/>
        </w:rPr>
        <w:t xml:space="preserve"> i</w:t>
      </w:r>
      <w:r w:rsidR="00B10036">
        <w:rPr>
          <w:noProof/>
        </w:rPr>
        <w:t> </w:t>
      </w:r>
      <w:r w:rsidR="00B10036" w:rsidRPr="00B10036">
        <w:rPr>
          <w:noProof/>
        </w:rPr>
        <w:t>w</w:t>
      </w:r>
      <w:r w:rsidR="00B10036">
        <w:rPr>
          <w:noProof/>
        </w:rPr>
        <w:t> </w:t>
      </w:r>
      <w:r w:rsidR="00B10036" w:rsidRPr="00B10036">
        <w:rPr>
          <w:noProof/>
        </w:rPr>
        <w:t>prz</w:t>
      </w:r>
      <w:r w:rsidR="008E7A6D" w:rsidRPr="00B10036">
        <w:rPr>
          <w:noProof/>
        </w:rPr>
        <w:t>eprowadzeniu wspomnianej dwojakiej transformacji oraz będzie skoncentrowany wokół czterech wymiarów konkurencyjnego zrównoważonego rozwoju</w:t>
      </w:r>
      <w:r w:rsidR="00B10036" w:rsidRPr="00B10036">
        <w:rPr>
          <w:noProof/>
        </w:rPr>
        <w:t xml:space="preserve"> i</w:t>
      </w:r>
      <w:r w:rsidR="00B10036">
        <w:rPr>
          <w:noProof/>
        </w:rPr>
        <w:t> </w:t>
      </w:r>
      <w:r w:rsidR="00B10036" w:rsidRPr="00B10036">
        <w:rPr>
          <w:noProof/>
        </w:rPr>
        <w:t>zgo</w:t>
      </w:r>
      <w:r w:rsidR="008E7A6D" w:rsidRPr="00B10036">
        <w:rPr>
          <w:noProof/>
        </w:rPr>
        <w:t>dny</w:t>
      </w:r>
      <w:r w:rsidR="00B10036" w:rsidRPr="00B10036">
        <w:rPr>
          <w:noProof/>
        </w:rPr>
        <w:t xml:space="preserve"> z</w:t>
      </w:r>
      <w:r w:rsidR="00B10036">
        <w:rPr>
          <w:noProof/>
        </w:rPr>
        <w:t> </w:t>
      </w:r>
      <w:r w:rsidR="00B10036" w:rsidRPr="00B10036">
        <w:rPr>
          <w:noProof/>
        </w:rPr>
        <w:t>cel</w:t>
      </w:r>
      <w:r w:rsidR="008E7A6D" w:rsidRPr="00B10036">
        <w:rPr>
          <w:noProof/>
        </w:rPr>
        <w:t>ami zrównoważonego rozwoju</w:t>
      </w:r>
      <w:r w:rsidR="00B10036" w:rsidRPr="00B10036">
        <w:rPr>
          <w:noProof/>
        </w:rPr>
        <w:t>. W</w:t>
      </w:r>
      <w:r w:rsidR="00B10036">
        <w:rPr>
          <w:noProof/>
        </w:rPr>
        <w:t> </w:t>
      </w:r>
      <w:r w:rsidR="00B10036" w:rsidRPr="00B10036">
        <w:rPr>
          <w:noProof/>
        </w:rPr>
        <w:t>ram</w:t>
      </w:r>
      <w:r w:rsidR="008E7A6D" w:rsidRPr="00B10036">
        <w:rPr>
          <w:noProof/>
        </w:rPr>
        <w:t>ach europejskiego semestru Komisja będzie ściśle monitorować społeczno-gospodarcze wyniki</w:t>
      </w:r>
      <w:r w:rsidR="00B10036" w:rsidRPr="00B10036">
        <w:rPr>
          <w:noProof/>
        </w:rPr>
        <w:t xml:space="preserve"> i</w:t>
      </w:r>
      <w:r w:rsidR="00B10036">
        <w:rPr>
          <w:noProof/>
        </w:rPr>
        <w:t> </w:t>
      </w:r>
      <w:r w:rsidR="00B10036" w:rsidRPr="00B10036">
        <w:rPr>
          <w:noProof/>
        </w:rPr>
        <w:t>sku</w:t>
      </w:r>
      <w:r w:rsidR="008E7A6D" w:rsidRPr="00B10036">
        <w:rPr>
          <w:noProof/>
        </w:rPr>
        <w:t>tki,</w:t>
      </w:r>
      <w:r w:rsidR="00B10036" w:rsidRPr="00B10036">
        <w:rPr>
          <w:noProof/>
        </w:rPr>
        <w:t xml:space="preserve"> a</w:t>
      </w:r>
      <w:r w:rsidR="00B10036">
        <w:rPr>
          <w:noProof/>
        </w:rPr>
        <w:t> </w:t>
      </w:r>
      <w:r w:rsidR="00B10036" w:rsidRPr="00B10036">
        <w:rPr>
          <w:noProof/>
        </w:rPr>
        <w:t>w</w:t>
      </w:r>
      <w:r w:rsidR="00B10036">
        <w:rPr>
          <w:noProof/>
        </w:rPr>
        <w:t> </w:t>
      </w:r>
      <w:r w:rsidR="00B10036" w:rsidRPr="00B10036">
        <w:rPr>
          <w:noProof/>
        </w:rPr>
        <w:t>sto</w:t>
      </w:r>
      <w:r w:rsidR="008E7A6D" w:rsidRPr="00B10036">
        <w:rPr>
          <w:noProof/>
        </w:rPr>
        <w:t>sownych przypadkach zaproponuje ukierunkowane zalecenia dla poszczególnych krajów</w:t>
      </w:r>
      <w:r w:rsidR="00B10036" w:rsidRPr="00B10036">
        <w:rPr>
          <w:noProof/>
        </w:rPr>
        <w:t xml:space="preserve"> w</w:t>
      </w:r>
      <w:r w:rsidR="00B10036">
        <w:rPr>
          <w:noProof/>
        </w:rPr>
        <w:t> </w:t>
      </w:r>
      <w:r w:rsidR="00B10036" w:rsidRPr="00B10036">
        <w:rPr>
          <w:noProof/>
        </w:rPr>
        <w:t>cel</w:t>
      </w:r>
      <w:r w:rsidR="008E7A6D" w:rsidRPr="00B10036">
        <w:rPr>
          <w:noProof/>
        </w:rPr>
        <w:t>u zapewnienia, aby nikt nie został pozostawiony</w:t>
      </w:r>
      <w:r w:rsidR="00B10036" w:rsidRPr="00B10036">
        <w:rPr>
          <w:noProof/>
        </w:rPr>
        <w:t xml:space="preserve"> w</w:t>
      </w:r>
      <w:r w:rsidR="00B10036">
        <w:rPr>
          <w:noProof/>
        </w:rPr>
        <w:t> </w:t>
      </w:r>
      <w:r w:rsidR="00B10036" w:rsidRPr="00B10036">
        <w:rPr>
          <w:noProof/>
        </w:rPr>
        <w:t>tyl</w:t>
      </w:r>
      <w:r w:rsidR="008E7A6D" w:rsidRPr="00B10036">
        <w:rPr>
          <w:noProof/>
        </w:rPr>
        <w:t>e. Jednym</w:t>
      </w:r>
      <w:r w:rsidR="00B10036" w:rsidRPr="00B10036">
        <w:rPr>
          <w:noProof/>
        </w:rPr>
        <w:t xml:space="preserve"> z</w:t>
      </w:r>
      <w:r w:rsidR="00B10036">
        <w:rPr>
          <w:noProof/>
        </w:rPr>
        <w:t> </w:t>
      </w:r>
      <w:r w:rsidR="00B10036" w:rsidRPr="00B10036">
        <w:rPr>
          <w:noProof/>
        </w:rPr>
        <w:t>pri</w:t>
      </w:r>
      <w:r w:rsidR="008E7A6D" w:rsidRPr="00B10036">
        <w:rPr>
          <w:noProof/>
        </w:rPr>
        <w:t>orytetów będzie komplementarność ze środkami wspieranymi</w:t>
      </w:r>
      <w:r w:rsidR="00B10036" w:rsidRPr="00B10036">
        <w:rPr>
          <w:noProof/>
        </w:rPr>
        <w:t xml:space="preserve"> w</w:t>
      </w:r>
      <w:r w:rsidR="00B10036">
        <w:rPr>
          <w:noProof/>
        </w:rPr>
        <w:t> </w:t>
      </w:r>
      <w:r w:rsidR="00B10036" w:rsidRPr="00B10036">
        <w:rPr>
          <w:noProof/>
        </w:rPr>
        <w:t>ram</w:t>
      </w:r>
      <w:r w:rsidR="008E7A6D" w:rsidRPr="00B10036">
        <w:rPr>
          <w:noProof/>
        </w:rPr>
        <w:t>ach Instrumentu na rzecz Odbudowy</w:t>
      </w:r>
      <w:r w:rsidR="00B10036" w:rsidRPr="00B10036">
        <w:rPr>
          <w:noProof/>
        </w:rPr>
        <w:t xml:space="preserve"> i</w:t>
      </w:r>
      <w:r w:rsidR="00B10036">
        <w:rPr>
          <w:noProof/>
        </w:rPr>
        <w:t> </w:t>
      </w:r>
      <w:r w:rsidR="00B10036" w:rsidRPr="00B10036">
        <w:rPr>
          <w:noProof/>
        </w:rPr>
        <w:t>Zwi</w:t>
      </w:r>
      <w:r w:rsidR="008E7A6D" w:rsidRPr="00B10036">
        <w:rPr>
          <w:noProof/>
        </w:rPr>
        <w:t>ększania Odporności. Realizacja niniejszego zalecenia będzie zatem monitorowana</w:t>
      </w:r>
      <w:r w:rsidR="00B10036" w:rsidRPr="00B10036">
        <w:rPr>
          <w:noProof/>
        </w:rPr>
        <w:t xml:space="preserve"> w</w:t>
      </w:r>
      <w:r w:rsidR="00B10036">
        <w:rPr>
          <w:noProof/>
        </w:rPr>
        <w:t> </w:t>
      </w:r>
      <w:r w:rsidR="00B10036" w:rsidRPr="00B10036">
        <w:rPr>
          <w:noProof/>
        </w:rPr>
        <w:t>kon</w:t>
      </w:r>
      <w:r w:rsidR="008E7A6D" w:rsidRPr="00B10036">
        <w:rPr>
          <w:noProof/>
        </w:rPr>
        <w:t>tekście europejskiego semestru, na podstawie adekwatnych ocen, ewaluacji wpływu polityki,</w:t>
      </w:r>
      <w:r w:rsidR="00B10036" w:rsidRPr="00B10036">
        <w:rPr>
          <w:noProof/>
        </w:rPr>
        <w:t xml:space="preserve"> a</w:t>
      </w:r>
      <w:r w:rsidR="00B10036">
        <w:rPr>
          <w:noProof/>
        </w:rPr>
        <w:t> </w:t>
      </w:r>
      <w:r w:rsidR="00B10036" w:rsidRPr="00B10036">
        <w:rPr>
          <w:noProof/>
        </w:rPr>
        <w:t>tak</w:t>
      </w:r>
      <w:r w:rsidR="008E7A6D" w:rsidRPr="00B10036">
        <w:rPr>
          <w:noProof/>
        </w:rPr>
        <w:t>że stanu wdrożenia wytycznych przedstawionych</w:t>
      </w:r>
      <w:r w:rsidR="00B10036" w:rsidRPr="00B10036">
        <w:rPr>
          <w:noProof/>
        </w:rPr>
        <w:t xml:space="preserve"> w</w:t>
      </w:r>
      <w:r w:rsidR="00B10036">
        <w:rPr>
          <w:noProof/>
        </w:rPr>
        <w:t> </w:t>
      </w:r>
      <w:r w:rsidR="00B10036" w:rsidRPr="00B10036">
        <w:rPr>
          <w:noProof/>
        </w:rPr>
        <w:t>nin</w:t>
      </w:r>
      <w:r w:rsidR="008E7A6D" w:rsidRPr="00B10036">
        <w:rPr>
          <w:noProof/>
        </w:rPr>
        <w:t xml:space="preserve">iejszym zaleceniu. </w:t>
      </w:r>
    </w:p>
    <w:p w14:paraId="32F20B11" w14:textId="24573A28" w:rsidR="009B54D8" w:rsidRPr="00B10036" w:rsidRDefault="004D6F52" w:rsidP="004D6F52">
      <w:pPr>
        <w:pStyle w:val="ManualConsidrant"/>
        <w:rPr>
          <w:noProof/>
        </w:rPr>
      </w:pPr>
      <w:r w:rsidRPr="004D6F52">
        <w:t>(26)</w:t>
      </w:r>
      <w:r w:rsidRPr="004D6F52">
        <w:tab/>
      </w:r>
      <w:r w:rsidR="0019167A" w:rsidRPr="00B10036">
        <w:rPr>
          <w:noProof/>
        </w:rPr>
        <w:t>Ponadto</w:t>
      </w:r>
      <w:r w:rsidR="00B10036" w:rsidRPr="00B10036">
        <w:rPr>
          <w:noProof/>
        </w:rPr>
        <w:t xml:space="preserve"> w</w:t>
      </w:r>
      <w:r w:rsidR="00B10036">
        <w:rPr>
          <w:noProof/>
        </w:rPr>
        <w:t> </w:t>
      </w:r>
      <w:r w:rsidR="00B10036" w:rsidRPr="00B10036">
        <w:rPr>
          <w:noProof/>
        </w:rPr>
        <w:t>ram</w:t>
      </w:r>
      <w:r w:rsidR="0019167A" w:rsidRPr="00B10036">
        <w:rPr>
          <w:noProof/>
        </w:rPr>
        <w:t>ach projektu</w:t>
      </w:r>
      <w:r w:rsidR="00B10036" w:rsidRPr="00B10036">
        <w:rPr>
          <w:noProof/>
        </w:rPr>
        <w:t xml:space="preserve"> i</w:t>
      </w:r>
      <w:r w:rsidR="00B10036">
        <w:rPr>
          <w:noProof/>
        </w:rPr>
        <w:t> </w:t>
      </w:r>
      <w:r w:rsidR="00B10036" w:rsidRPr="00B10036">
        <w:rPr>
          <w:noProof/>
        </w:rPr>
        <w:t>ost</w:t>
      </w:r>
      <w:r w:rsidR="0019167A" w:rsidRPr="00B10036">
        <w:rPr>
          <w:noProof/>
        </w:rPr>
        <w:t>atecznej aktualizacji krajowych planów</w:t>
      </w:r>
      <w:r w:rsidR="00B10036" w:rsidRPr="00B10036">
        <w:rPr>
          <w:noProof/>
        </w:rPr>
        <w:t xml:space="preserve"> w</w:t>
      </w:r>
      <w:r w:rsidR="00B10036">
        <w:rPr>
          <w:noProof/>
        </w:rPr>
        <w:t> </w:t>
      </w:r>
      <w:r w:rsidR="00B10036" w:rsidRPr="00B10036">
        <w:rPr>
          <w:noProof/>
        </w:rPr>
        <w:t>dzi</w:t>
      </w:r>
      <w:r w:rsidR="0019167A" w:rsidRPr="00B10036">
        <w:rPr>
          <w:noProof/>
        </w:rPr>
        <w:t>edzinie energii</w:t>
      </w:r>
      <w:r w:rsidR="00B10036" w:rsidRPr="00B10036">
        <w:rPr>
          <w:noProof/>
        </w:rPr>
        <w:t xml:space="preserve"> i</w:t>
      </w:r>
      <w:r w:rsidR="00B10036">
        <w:rPr>
          <w:noProof/>
        </w:rPr>
        <w:t> </w:t>
      </w:r>
      <w:r w:rsidR="00B10036" w:rsidRPr="00B10036">
        <w:rPr>
          <w:noProof/>
        </w:rPr>
        <w:t>kli</w:t>
      </w:r>
      <w:r w:rsidR="0019167A" w:rsidRPr="00B10036">
        <w:rPr>
          <w:noProof/>
        </w:rPr>
        <w:t>matu odpowiednio</w:t>
      </w:r>
      <w:r w:rsidR="00B10036" w:rsidRPr="00B10036">
        <w:rPr>
          <w:noProof/>
        </w:rPr>
        <w:t xml:space="preserve"> w</w:t>
      </w:r>
      <w:r w:rsidR="00B10036">
        <w:rPr>
          <w:noProof/>
        </w:rPr>
        <w:t> </w:t>
      </w:r>
      <w:r w:rsidR="00B10036" w:rsidRPr="00B10036">
        <w:rPr>
          <w:noProof/>
        </w:rPr>
        <w:t>lat</w:t>
      </w:r>
      <w:r w:rsidR="0019167A" w:rsidRPr="00B10036">
        <w:rPr>
          <w:noProof/>
        </w:rPr>
        <w:t>ach 2023</w:t>
      </w:r>
      <w:r w:rsidR="00B10036" w:rsidRPr="00B10036">
        <w:rPr>
          <w:noProof/>
        </w:rPr>
        <w:t xml:space="preserve"> i</w:t>
      </w:r>
      <w:r w:rsidR="00B10036">
        <w:rPr>
          <w:noProof/>
        </w:rPr>
        <w:t> </w:t>
      </w:r>
      <w:r w:rsidR="00B10036" w:rsidRPr="00B10036">
        <w:rPr>
          <w:noProof/>
        </w:rPr>
        <w:t>2</w:t>
      </w:r>
      <w:r w:rsidR="0019167A" w:rsidRPr="00B10036">
        <w:rPr>
          <w:noProof/>
        </w:rPr>
        <w:t>024, zgodnie</w:t>
      </w:r>
      <w:r w:rsidR="00B10036" w:rsidRPr="00B10036">
        <w:rPr>
          <w:noProof/>
        </w:rPr>
        <w:t xml:space="preserve"> z</w:t>
      </w:r>
      <w:r w:rsidR="00B10036">
        <w:rPr>
          <w:noProof/>
        </w:rPr>
        <w:t> </w:t>
      </w:r>
      <w:r w:rsidR="00B10036" w:rsidRPr="00B10036">
        <w:rPr>
          <w:noProof/>
        </w:rPr>
        <w:t>art</w:t>
      </w:r>
      <w:r w:rsidR="0019167A" w:rsidRPr="00B10036">
        <w:rPr>
          <w:noProof/>
        </w:rPr>
        <w:t>.</w:t>
      </w:r>
      <w:r w:rsidR="00B10036" w:rsidRPr="00B10036">
        <w:rPr>
          <w:noProof/>
        </w:rPr>
        <w:t> </w:t>
      </w:r>
      <w:r w:rsidR="0019167A" w:rsidRPr="00B10036">
        <w:rPr>
          <w:noProof/>
        </w:rPr>
        <w:t>14 rozporządzenia</w:t>
      </w:r>
      <w:r w:rsidR="00B10036" w:rsidRPr="00B10036">
        <w:rPr>
          <w:noProof/>
        </w:rPr>
        <w:t xml:space="preserve"> w</w:t>
      </w:r>
      <w:r w:rsidR="00B10036">
        <w:rPr>
          <w:noProof/>
        </w:rPr>
        <w:t> </w:t>
      </w:r>
      <w:r w:rsidR="00B10036" w:rsidRPr="00B10036">
        <w:rPr>
          <w:noProof/>
        </w:rPr>
        <w:t>spr</w:t>
      </w:r>
      <w:r w:rsidR="0019167A" w:rsidRPr="00B10036">
        <w:rPr>
          <w:noProof/>
        </w:rPr>
        <w:t>awie zarządzania unią energetyczną</w:t>
      </w:r>
      <w:r w:rsidR="0019167A" w:rsidRPr="00B10036">
        <w:rPr>
          <w:rStyle w:val="FootnoteReference"/>
          <w:rFonts w:eastAsia="Calibri"/>
          <w:noProof/>
        </w:rPr>
        <w:footnoteReference w:id="100"/>
      </w:r>
      <w:r w:rsidR="0019167A" w:rsidRPr="00B10036">
        <w:rPr>
          <w:noProof/>
        </w:rPr>
        <w:t>, państwa członkowskie powinny skorzystać</w:t>
      </w:r>
      <w:r w:rsidR="00B10036" w:rsidRPr="00B10036">
        <w:rPr>
          <w:noProof/>
        </w:rPr>
        <w:t xml:space="preserve"> z</w:t>
      </w:r>
      <w:r w:rsidR="00B10036">
        <w:rPr>
          <w:noProof/>
        </w:rPr>
        <w:t> </w:t>
      </w:r>
      <w:r w:rsidR="00B10036" w:rsidRPr="00B10036">
        <w:rPr>
          <w:noProof/>
        </w:rPr>
        <w:t>nin</w:t>
      </w:r>
      <w:r w:rsidR="0019167A" w:rsidRPr="00B10036">
        <w:rPr>
          <w:noProof/>
        </w:rPr>
        <w:t>iejszego zalecenia, aby rozważyć uwzględnienie ocen skutków</w:t>
      </w:r>
      <w:r w:rsidR="00B10036" w:rsidRPr="00B10036">
        <w:rPr>
          <w:noProof/>
        </w:rPr>
        <w:t xml:space="preserve"> w</w:t>
      </w:r>
      <w:r w:rsidR="00B10036">
        <w:rPr>
          <w:noProof/>
        </w:rPr>
        <w:t> </w:t>
      </w:r>
      <w:r w:rsidR="00B10036" w:rsidRPr="00B10036">
        <w:rPr>
          <w:noProof/>
        </w:rPr>
        <w:t>zak</w:t>
      </w:r>
      <w:r w:rsidR="0019167A" w:rsidRPr="00B10036">
        <w:rPr>
          <w:noProof/>
        </w:rPr>
        <w:t>resie zatrudnienia, skutków społecznych</w:t>
      </w:r>
      <w:r w:rsidR="00B10036" w:rsidRPr="00B10036">
        <w:rPr>
          <w:noProof/>
        </w:rPr>
        <w:t xml:space="preserve"> i</w:t>
      </w:r>
      <w:r w:rsidR="00B10036">
        <w:rPr>
          <w:noProof/>
        </w:rPr>
        <w:t> </w:t>
      </w:r>
      <w:r w:rsidR="00B10036" w:rsidRPr="00B10036">
        <w:rPr>
          <w:noProof/>
        </w:rPr>
        <w:t>dys</w:t>
      </w:r>
      <w:r w:rsidR="0019167A" w:rsidRPr="00B10036">
        <w:rPr>
          <w:noProof/>
        </w:rPr>
        <w:t>trybucyjnych oraz aspektów sprawiedliwej transformacji we wszystkich pięciu wymiarach unii energetycznej,</w:t>
      </w:r>
      <w:r w:rsidR="00B10036" w:rsidRPr="00B10036">
        <w:rPr>
          <w:noProof/>
        </w:rPr>
        <w:t xml:space="preserve"> a</w:t>
      </w:r>
      <w:r w:rsidR="00B10036">
        <w:rPr>
          <w:noProof/>
        </w:rPr>
        <w:t> </w:t>
      </w:r>
      <w:r w:rsidR="00B10036" w:rsidRPr="00B10036">
        <w:rPr>
          <w:noProof/>
        </w:rPr>
        <w:t>tak</w:t>
      </w:r>
      <w:r w:rsidR="0019167A" w:rsidRPr="00B10036">
        <w:rPr>
          <w:noProof/>
        </w:rPr>
        <w:t>że dalej wzmacniać środki</w:t>
      </w:r>
      <w:r w:rsidR="00B10036" w:rsidRPr="00B10036">
        <w:rPr>
          <w:noProof/>
        </w:rPr>
        <w:t xml:space="preserve"> z</w:t>
      </w:r>
      <w:r w:rsidR="00B10036">
        <w:rPr>
          <w:noProof/>
        </w:rPr>
        <w:t> </w:t>
      </w:r>
      <w:r w:rsidR="00B10036" w:rsidRPr="00B10036">
        <w:rPr>
          <w:noProof/>
        </w:rPr>
        <w:t>zak</w:t>
      </w:r>
      <w:r w:rsidR="0019167A" w:rsidRPr="00B10036">
        <w:rPr>
          <w:noProof/>
        </w:rPr>
        <w:t>resu polityki służące przeciwdziałaniu tym skutkom, ze szczególnym ukierunkowaniem na ubóstwo energetyczne.</w:t>
      </w:r>
    </w:p>
    <w:p w14:paraId="41F87A0B" w14:textId="5F0029FA" w:rsidR="00B044BA" w:rsidRPr="00B10036" w:rsidRDefault="004D6F52" w:rsidP="004D6F52">
      <w:pPr>
        <w:pStyle w:val="ManualConsidrant"/>
        <w:rPr>
          <w:noProof/>
        </w:rPr>
      </w:pPr>
      <w:r w:rsidRPr="004D6F52">
        <w:t>(27)</w:t>
      </w:r>
      <w:r w:rsidRPr="004D6F52">
        <w:tab/>
      </w:r>
      <w:r w:rsidR="004D2CB8" w:rsidRPr="00B10036">
        <w:rPr>
          <w:noProof/>
        </w:rPr>
        <w:t>Co więcej, monitorowanie wdrażania niniejszego zalecenia może opierać się na istniejących dowodach</w:t>
      </w:r>
      <w:r w:rsidR="00B10036" w:rsidRPr="00B10036">
        <w:rPr>
          <w:noProof/>
        </w:rPr>
        <w:t xml:space="preserve"> w</w:t>
      </w:r>
      <w:r w:rsidR="00B10036">
        <w:rPr>
          <w:noProof/>
        </w:rPr>
        <w:t> </w:t>
      </w:r>
      <w:r w:rsidR="00B10036" w:rsidRPr="00B10036">
        <w:rPr>
          <w:noProof/>
        </w:rPr>
        <w:t>kon</w:t>
      </w:r>
      <w:r w:rsidR="004D2CB8" w:rsidRPr="00B10036">
        <w:rPr>
          <w:noProof/>
        </w:rPr>
        <w:t>tekście ustanowionych procesów wielostronnego nadzoru,</w:t>
      </w:r>
      <w:r w:rsidR="00B10036" w:rsidRPr="00B10036">
        <w:rPr>
          <w:noProof/>
        </w:rPr>
        <w:t xml:space="preserve"> w</w:t>
      </w:r>
      <w:r w:rsidR="00B10036">
        <w:rPr>
          <w:noProof/>
        </w:rPr>
        <w:t> </w:t>
      </w:r>
      <w:r w:rsidR="00B10036" w:rsidRPr="00B10036">
        <w:rPr>
          <w:noProof/>
        </w:rPr>
        <w:t>szc</w:t>
      </w:r>
      <w:r w:rsidR="004D2CB8" w:rsidRPr="00B10036">
        <w:rPr>
          <w:noProof/>
        </w:rPr>
        <w:t>zególności</w:t>
      </w:r>
      <w:r w:rsidR="00B10036" w:rsidRPr="00B10036">
        <w:rPr>
          <w:noProof/>
        </w:rPr>
        <w:t xml:space="preserve"> w</w:t>
      </w:r>
      <w:r w:rsidR="00B10036">
        <w:rPr>
          <w:noProof/>
        </w:rPr>
        <w:t> </w:t>
      </w:r>
      <w:r w:rsidR="00B10036" w:rsidRPr="00B10036">
        <w:rPr>
          <w:noProof/>
        </w:rPr>
        <w:t>ram</w:t>
      </w:r>
      <w:r w:rsidR="004D2CB8" w:rsidRPr="00B10036">
        <w:rPr>
          <w:noProof/>
        </w:rPr>
        <w:t>ach europejskiego semestru. Rada lub Komisja mogą zwrócić się do Komitetu ds. Zatrudnienia</w:t>
      </w:r>
      <w:r w:rsidR="00B10036" w:rsidRPr="00B10036">
        <w:rPr>
          <w:noProof/>
        </w:rPr>
        <w:t xml:space="preserve"> i</w:t>
      </w:r>
      <w:r w:rsidR="00B10036">
        <w:rPr>
          <w:noProof/>
        </w:rPr>
        <w:t> </w:t>
      </w:r>
      <w:r w:rsidR="00B10036" w:rsidRPr="00B10036">
        <w:rPr>
          <w:noProof/>
        </w:rPr>
        <w:t>Kom</w:t>
      </w:r>
      <w:r w:rsidR="004D2CB8" w:rsidRPr="00B10036">
        <w:rPr>
          <w:noProof/>
        </w:rPr>
        <w:t>itetu Ochrony Socjalnej, zgodnie z – odpowiednio – art.</w:t>
      </w:r>
      <w:r w:rsidR="00B10036" w:rsidRPr="00B10036">
        <w:rPr>
          <w:noProof/>
        </w:rPr>
        <w:t> </w:t>
      </w:r>
      <w:r w:rsidR="004D2CB8" w:rsidRPr="00B10036">
        <w:rPr>
          <w:noProof/>
        </w:rPr>
        <w:t>150</w:t>
      </w:r>
      <w:r w:rsidR="00B10036" w:rsidRPr="00B10036">
        <w:rPr>
          <w:noProof/>
        </w:rPr>
        <w:t xml:space="preserve"> i</w:t>
      </w:r>
      <w:r w:rsidR="00B10036">
        <w:rPr>
          <w:noProof/>
        </w:rPr>
        <w:t> </w:t>
      </w:r>
      <w:r w:rsidR="00B10036" w:rsidRPr="00B10036">
        <w:rPr>
          <w:noProof/>
        </w:rPr>
        <w:t>1</w:t>
      </w:r>
      <w:r w:rsidR="004D2CB8" w:rsidRPr="00B10036">
        <w:rPr>
          <w:noProof/>
        </w:rPr>
        <w:t>60 TFUE,</w:t>
      </w:r>
      <w:r w:rsidR="00B10036" w:rsidRPr="00B10036">
        <w:rPr>
          <w:noProof/>
        </w:rPr>
        <w:t xml:space="preserve"> o</w:t>
      </w:r>
      <w:r w:rsidR="00B10036">
        <w:rPr>
          <w:noProof/>
        </w:rPr>
        <w:t> </w:t>
      </w:r>
      <w:r w:rsidR="00B10036" w:rsidRPr="00B10036">
        <w:rPr>
          <w:noProof/>
        </w:rPr>
        <w:t>prz</w:t>
      </w:r>
      <w:r w:rsidR="004D2CB8" w:rsidRPr="00B10036">
        <w:rPr>
          <w:noProof/>
        </w:rPr>
        <w:t>eanalizowanie</w:t>
      </w:r>
      <w:r w:rsidR="00B10036" w:rsidRPr="00B10036">
        <w:rPr>
          <w:noProof/>
        </w:rPr>
        <w:t xml:space="preserve"> w</w:t>
      </w:r>
      <w:r w:rsidR="00B10036">
        <w:rPr>
          <w:noProof/>
        </w:rPr>
        <w:t> </w:t>
      </w:r>
      <w:r w:rsidR="00B10036" w:rsidRPr="00B10036">
        <w:rPr>
          <w:noProof/>
        </w:rPr>
        <w:t>ram</w:t>
      </w:r>
      <w:r w:rsidR="004D2CB8" w:rsidRPr="00B10036">
        <w:rPr>
          <w:noProof/>
        </w:rPr>
        <w:t>ach ich odpowiednich kompetencji wdrożenia niniejszego zalecenia na podstawie odpowiedniej sprawozdawczości Komisji</w:t>
      </w:r>
      <w:r w:rsidR="00B10036" w:rsidRPr="00B10036">
        <w:rPr>
          <w:noProof/>
        </w:rPr>
        <w:t xml:space="preserve"> i</w:t>
      </w:r>
      <w:r w:rsidR="00B10036">
        <w:rPr>
          <w:noProof/>
        </w:rPr>
        <w:t> </w:t>
      </w:r>
      <w:r w:rsidR="00B10036" w:rsidRPr="00B10036">
        <w:rPr>
          <w:noProof/>
        </w:rPr>
        <w:t>inn</w:t>
      </w:r>
      <w:r w:rsidR="004D2CB8" w:rsidRPr="00B10036">
        <w:rPr>
          <w:noProof/>
        </w:rPr>
        <w:t>ych narzędzi wielostronnego nadzoru. Również</w:t>
      </w:r>
      <w:r w:rsidR="00B10036" w:rsidRPr="00B10036">
        <w:rPr>
          <w:noProof/>
        </w:rPr>
        <w:t xml:space="preserve"> w</w:t>
      </w:r>
      <w:r w:rsidR="00B10036">
        <w:rPr>
          <w:noProof/>
        </w:rPr>
        <w:t> </w:t>
      </w:r>
      <w:r w:rsidR="00B10036" w:rsidRPr="00B10036">
        <w:rPr>
          <w:noProof/>
        </w:rPr>
        <w:t>tym</w:t>
      </w:r>
      <w:r w:rsidR="004D2CB8" w:rsidRPr="00B10036">
        <w:rPr>
          <w:noProof/>
        </w:rPr>
        <w:t xml:space="preserve"> kontekście Komisja pracuje nad zwiększeniem dostępności danych, aktualizacją, opracowaniem</w:t>
      </w:r>
      <w:r w:rsidR="00B10036" w:rsidRPr="00B10036">
        <w:rPr>
          <w:noProof/>
        </w:rPr>
        <w:t xml:space="preserve"> i</w:t>
      </w:r>
      <w:r w:rsidR="00B10036">
        <w:rPr>
          <w:noProof/>
        </w:rPr>
        <w:t> </w:t>
      </w:r>
      <w:r w:rsidR="00B10036" w:rsidRPr="00B10036">
        <w:rPr>
          <w:noProof/>
        </w:rPr>
        <w:t>wyk</w:t>
      </w:r>
      <w:r w:rsidR="004D2CB8" w:rsidRPr="00B10036">
        <w:rPr>
          <w:noProof/>
        </w:rPr>
        <w:t>orzystaniem ram</w:t>
      </w:r>
      <w:r w:rsidR="00B10036" w:rsidRPr="00B10036">
        <w:rPr>
          <w:noProof/>
        </w:rPr>
        <w:t xml:space="preserve"> i</w:t>
      </w:r>
      <w:r w:rsidR="00B10036">
        <w:rPr>
          <w:noProof/>
        </w:rPr>
        <w:t> </w:t>
      </w:r>
      <w:r w:rsidR="00B10036" w:rsidRPr="00B10036">
        <w:rPr>
          <w:noProof/>
        </w:rPr>
        <w:t>wyt</w:t>
      </w:r>
      <w:r w:rsidR="004D2CB8" w:rsidRPr="00B10036">
        <w:rPr>
          <w:noProof/>
        </w:rPr>
        <w:t>ycznych metodologicznych,</w:t>
      </w:r>
      <w:r w:rsidR="00B10036" w:rsidRPr="00B10036">
        <w:rPr>
          <w:noProof/>
        </w:rPr>
        <w:t xml:space="preserve"> w</w:t>
      </w:r>
      <w:r w:rsidR="00B10036">
        <w:rPr>
          <w:noProof/>
        </w:rPr>
        <w:t> </w:t>
      </w:r>
      <w:r w:rsidR="00B10036" w:rsidRPr="00B10036">
        <w:rPr>
          <w:noProof/>
        </w:rPr>
        <w:t>tym</w:t>
      </w:r>
      <w:r w:rsidR="004D2CB8" w:rsidRPr="00B10036">
        <w:rPr>
          <w:noProof/>
        </w:rPr>
        <w:t xml:space="preserve"> do pomiaru ubóstwa energetycznego</w:t>
      </w:r>
      <w:r w:rsidR="00B10036" w:rsidRPr="00B10036">
        <w:rPr>
          <w:noProof/>
        </w:rPr>
        <w:t xml:space="preserve"> i</w:t>
      </w:r>
      <w:r w:rsidR="00B10036">
        <w:rPr>
          <w:noProof/>
        </w:rPr>
        <w:t> </w:t>
      </w:r>
      <w:r w:rsidR="00B10036" w:rsidRPr="00B10036">
        <w:rPr>
          <w:noProof/>
        </w:rPr>
        <w:t>tra</w:t>
      </w:r>
      <w:r w:rsidR="004D2CB8" w:rsidRPr="00B10036">
        <w:rPr>
          <w:noProof/>
        </w:rPr>
        <w:t>nsportowego oraz nierówności</w:t>
      </w:r>
      <w:r w:rsidR="00B10036" w:rsidRPr="00B10036">
        <w:rPr>
          <w:noProof/>
        </w:rPr>
        <w:t xml:space="preserve"> w</w:t>
      </w:r>
      <w:r w:rsidR="00B10036">
        <w:rPr>
          <w:noProof/>
        </w:rPr>
        <w:t> </w:t>
      </w:r>
      <w:r w:rsidR="00B10036" w:rsidRPr="00B10036">
        <w:rPr>
          <w:noProof/>
        </w:rPr>
        <w:t>zak</w:t>
      </w:r>
      <w:r w:rsidR="004D2CB8" w:rsidRPr="00B10036">
        <w:rPr>
          <w:noProof/>
        </w:rPr>
        <w:t>resie środowiska,</w:t>
      </w:r>
      <w:r w:rsidR="00B10036" w:rsidRPr="00B10036">
        <w:rPr>
          <w:noProof/>
        </w:rPr>
        <w:t xml:space="preserve"> a</w:t>
      </w:r>
      <w:r w:rsidR="00B10036">
        <w:rPr>
          <w:noProof/>
        </w:rPr>
        <w:t> </w:t>
      </w:r>
      <w:r w:rsidR="00B10036" w:rsidRPr="00B10036">
        <w:rPr>
          <w:noProof/>
        </w:rPr>
        <w:t>tak</w:t>
      </w:r>
      <w:r w:rsidR="004D2CB8" w:rsidRPr="00B10036">
        <w:rPr>
          <w:noProof/>
        </w:rPr>
        <w:t>że do oceny skuteczności</w:t>
      </w:r>
      <w:r w:rsidR="00B10036" w:rsidRPr="00B10036">
        <w:rPr>
          <w:noProof/>
        </w:rPr>
        <w:t xml:space="preserve"> i</w:t>
      </w:r>
      <w:r w:rsidR="00B10036">
        <w:rPr>
          <w:noProof/>
        </w:rPr>
        <w:t> </w:t>
      </w:r>
      <w:r w:rsidR="00B10036" w:rsidRPr="00B10036">
        <w:rPr>
          <w:noProof/>
        </w:rPr>
        <w:t>rze</w:t>
      </w:r>
      <w:r w:rsidR="004D2CB8" w:rsidRPr="00B10036">
        <w:rPr>
          <w:noProof/>
        </w:rPr>
        <w:t>czywistego wpływu środków</w:t>
      </w:r>
      <w:r w:rsidR="00B10036" w:rsidRPr="00B10036">
        <w:rPr>
          <w:noProof/>
        </w:rPr>
        <w:t xml:space="preserve"> z</w:t>
      </w:r>
      <w:r w:rsidR="00B10036">
        <w:rPr>
          <w:noProof/>
        </w:rPr>
        <w:t> </w:t>
      </w:r>
      <w:r w:rsidR="00B10036" w:rsidRPr="00B10036">
        <w:rPr>
          <w:noProof/>
        </w:rPr>
        <w:t>zak</w:t>
      </w:r>
      <w:r w:rsidR="004D2CB8" w:rsidRPr="00B10036">
        <w:rPr>
          <w:noProof/>
        </w:rPr>
        <w:t>resu polityki.</w:t>
      </w:r>
      <w:r w:rsidR="00B10036" w:rsidRPr="00B10036">
        <w:rPr>
          <w:noProof/>
        </w:rPr>
        <w:t xml:space="preserve"> </w:t>
      </w:r>
    </w:p>
    <w:p w14:paraId="0DF54E4C" w14:textId="7A5F8F1A" w:rsidR="008209DA" w:rsidRPr="00B10036" w:rsidRDefault="003E5077" w:rsidP="005145BE">
      <w:pPr>
        <w:pStyle w:val="Formuledadoption"/>
        <w:rPr>
          <w:noProof/>
        </w:rPr>
      </w:pPr>
      <w:r w:rsidRPr="00B10036">
        <w:rPr>
          <w:noProof/>
        </w:rPr>
        <w:t xml:space="preserve">PRZYJMUJE NINIEJSZE ZALECENIE: </w:t>
      </w:r>
    </w:p>
    <w:p w14:paraId="16C96C6A" w14:textId="77777777" w:rsidR="00454049" w:rsidRPr="00B10036" w:rsidRDefault="00454049" w:rsidP="00B35D4E">
      <w:pPr>
        <w:rPr>
          <w:noProof/>
        </w:rPr>
      </w:pPr>
    </w:p>
    <w:p w14:paraId="4850D7D4" w14:textId="0F928310" w:rsidR="00002649" w:rsidRPr="00B10036" w:rsidRDefault="00002649" w:rsidP="00B35D4E">
      <w:pPr>
        <w:rPr>
          <w:noProof/>
        </w:rPr>
      </w:pPr>
      <w:r w:rsidRPr="00B10036">
        <w:rPr>
          <w:noProof/>
        </w:rPr>
        <w:t>CELE</w:t>
      </w:r>
      <w:r w:rsidR="00B10036" w:rsidRPr="00B10036">
        <w:rPr>
          <w:noProof/>
        </w:rPr>
        <w:t xml:space="preserve"> </w:t>
      </w:r>
    </w:p>
    <w:p w14:paraId="6074B821" w14:textId="0BC7EADF" w:rsidR="00A47217" w:rsidRPr="00B10036" w:rsidRDefault="00B10036" w:rsidP="00B10036">
      <w:pPr>
        <w:pStyle w:val="Point0"/>
        <w:rPr>
          <w:noProof/>
        </w:rPr>
      </w:pPr>
      <w:r>
        <w:rPr>
          <w:noProof/>
        </w:rPr>
        <w:t>1)</w:t>
      </w:r>
      <w:r>
        <w:rPr>
          <w:noProof/>
        </w:rPr>
        <w:tab/>
      </w:r>
      <w:r w:rsidR="00972E37" w:rsidRPr="00B10036">
        <w:rPr>
          <w:noProof/>
        </w:rPr>
        <w:t>Zgodnie</w:t>
      </w:r>
      <w:r w:rsidRPr="00B10036">
        <w:rPr>
          <w:noProof/>
        </w:rPr>
        <w:t xml:space="preserve"> z</w:t>
      </w:r>
      <w:r>
        <w:rPr>
          <w:noProof/>
        </w:rPr>
        <w:t> </w:t>
      </w:r>
      <w:r w:rsidRPr="00B10036">
        <w:rPr>
          <w:noProof/>
        </w:rPr>
        <w:t>zas</w:t>
      </w:r>
      <w:r w:rsidR="00972E37" w:rsidRPr="00B10036">
        <w:rPr>
          <w:noProof/>
        </w:rPr>
        <w:t>adami Europejskiego Zielonego Ładu</w:t>
      </w:r>
      <w:r w:rsidRPr="00B10036">
        <w:rPr>
          <w:noProof/>
        </w:rPr>
        <w:t xml:space="preserve"> i</w:t>
      </w:r>
      <w:r>
        <w:rPr>
          <w:noProof/>
        </w:rPr>
        <w:t> </w:t>
      </w:r>
      <w:r w:rsidRPr="00B10036">
        <w:rPr>
          <w:noProof/>
        </w:rPr>
        <w:t>Eur</w:t>
      </w:r>
      <w:r w:rsidR="00972E37" w:rsidRPr="00B10036">
        <w:rPr>
          <w:noProof/>
        </w:rPr>
        <w:t>opejskiego filaru praw socjalnych niniejsze zalecenie ma zapewnić, aby transformacja Unii</w:t>
      </w:r>
      <w:r w:rsidRPr="00B10036">
        <w:rPr>
          <w:noProof/>
        </w:rPr>
        <w:t xml:space="preserve"> w</w:t>
      </w:r>
      <w:r>
        <w:rPr>
          <w:noProof/>
        </w:rPr>
        <w:t> </w:t>
      </w:r>
      <w:r w:rsidRPr="00B10036">
        <w:rPr>
          <w:noProof/>
        </w:rPr>
        <w:t>kie</w:t>
      </w:r>
      <w:r w:rsidR="00972E37" w:rsidRPr="00B10036">
        <w:rPr>
          <w:noProof/>
        </w:rPr>
        <w:t>runku gospodarki neutralnej dla klimatu</w:t>
      </w:r>
      <w:r w:rsidRPr="00B10036">
        <w:rPr>
          <w:noProof/>
        </w:rPr>
        <w:t xml:space="preserve"> i</w:t>
      </w:r>
      <w:r>
        <w:rPr>
          <w:noProof/>
        </w:rPr>
        <w:t> </w:t>
      </w:r>
      <w:r w:rsidRPr="00B10036">
        <w:rPr>
          <w:noProof/>
        </w:rPr>
        <w:t>zró</w:t>
      </w:r>
      <w:r w:rsidR="00972E37" w:rsidRPr="00B10036">
        <w:rPr>
          <w:noProof/>
        </w:rPr>
        <w:t>wnoważonej środowiskowo do</w:t>
      </w:r>
      <w:r w:rsidRPr="00B10036">
        <w:rPr>
          <w:noProof/>
        </w:rPr>
        <w:t> </w:t>
      </w:r>
      <w:r w:rsidR="00972E37" w:rsidRPr="00B10036">
        <w:rPr>
          <w:noProof/>
        </w:rPr>
        <w:t>2050</w:t>
      </w:r>
      <w:r w:rsidRPr="00B10036">
        <w:rPr>
          <w:noProof/>
        </w:rPr>
        <w:t> </w:t>
      </w:r>
      <w:r w:rsidR="00972E37" w:rsidRPr="00B10036">
        <w:rPr>
          <w:noProof/>
        </w:rPr>
        <w:t>r. była sprawiedliwa</w:t>
      </w:r>
      <w:r w:rsidRPr="00B10036">
        <w:rPr>
          <w:noProof/>
        </w:rPr>
        <w:t xml:space="preserve"> i</w:t>
      </w:r>
      <w:r>
        <w:rPr>
          <w:noProof/>
        </w:rPr>
        <w:t> </w:t>
      </w:r>
      <w:r w:rsidRPr="00B10036">
        <w:rPr>
          <w:noProof/>
        </w:rPr>
        <w:t>aby</w:t>
      </w:r>
      <w:r w:rsidR="00972E37" w:rsidRPr="00B10036">
        <w:rPr>
          <w:noProof/>
        </w:rPr>
        <w:t xml:space="preserve"> nikt nie został pozostawiony</w:t>
      </w:r>
      <w:r w:rsidRPr="00B10036">
        <w:rPr>
          <w:noProof/>
        </w:rPr>
        <w:t xml:space="preserve"> w</w:t>
      </w:r>
      <w:r>
        <w:rPr>
          <w:noProof/>
        </w:rPr>
        <w:t> </w:t>
      </w:r>
      <w:r w:rsidRPr="00B10036">
        <w:rPr>
          <w:noProof/>
        </w:rPr>
        <w:t>tyl</w:t>
      </w:r>
      <w:r w:rsidR="00972E37" w:rsidRPr="00B10036">
        <w:rPr>
          <w:noProof/>
        </w:rPr>
        <w:t>e.</w:t>
      </w:r>
    </w:p>
    <w:p w14:paraId="78C8BB34" w14:textId="073C4E9F" w:rsidR="00002649" w:rsidRPr="00B10036" w:rsidRDefault="00B10036" w:rsidP="00B10036">
      <w:pPr>
        <w:pStyle w:val="Point0"/>
        <w:rPr>
          <w:noProof/>
        </w:rPr>
      </w:pPr>
      <w:r>
        <w:rPr>
          <w:noProof/>
        </w:rPr>
        <w:t>2)</w:t>
      </w:r>
      <w:r>
        <w:rPr>
          <w:noProof/>
        </w:rPr>
        <w:tab/>
      </w:r>
      <w:r w:rsidR="00002649" w:rsidRPr="00B10036">
        <w:rPr>
          <w:noProof/>
        </w:rPr>
        <w:t>W tym celu wzywa się państwa członkowskie do przyjęcia i –</w:t>
      </w:r>
      <w:r w:rsidRPr="00B10036">
        <w:rPr>
          <w:noProof/>
        </w:rPr>
        <w:t xml:space="preserve"> w</w:t>
      </w:r>
      <w:r>
        <w:rPr>
          <w:noProof/>
        </w:rPr>
        <w:t> </w:t>
      </w:r>
      <w:r w:rsidRPr="00B10036">
        <w:rPr>
          <w:noProof/>
        </w:rPr>
        <w:t>sto</w:t>
      </w:r>
      <w:r w:rsidR="00002649" w:rsidRPr="00B10036">
        <w:rPr>
          <w:noProof/>
        </w:rPr>
        <w:t>sownych przypadkach</w:t>
      </w:r>
      <w:r w:rsidRPr="00B10036">
        <w:rPr>
          <w:noProof/>
        </w:rPr>
        <w:t xml:space="preserve"> w</w:t>
      </w:r>
      <w:r>
        <w:rPr>
          <w:noProof/>
        </w:rPr>
        <w:t> </w:t>
      </w:r>
      <w:r w:rsidRPr="00B10036">
        <w:rPr>
          <w:noProof/>
        </w:rPr>
        <w:t>ści</w:t>
      </w:r>
      <w:r w:rsidR="00002649" w:rsidRPr="00B10036">
        <w:rPr>
          <w:noProof/>
        </w:rPr>
        <w:t>słej współpracy</w:t>
      </w:r>
      <w:r w:rsidRPr="00B10036">
        <w:rPr>
          <w:noProof/>
        </w:rPr>
        <w:t xml:space="preserve"> z</w:t>
      </w:r>
      <w:r>
        <w:rPr>
          <w:noProof/>
        </w:rPr>
        <w:t> </w:t>
      </w:r>
      <w:r w:rsidRPr="00B10036">
        <w:rPr>
          <w:noProof/>
        </w:rPr>
        <w:t>par</w:t>
      </w:r>
      <w:r w:rsidR="00002649" w:rsidRPr="00B10036">
        <w:rPr>
          <w:noProof/>
        </w:rPr>
        <w:t>tnerami społecznymi – wdrożenia kompleksowych</w:t>
      </w:r>
      <w:r w:rsidRPr="00B10036">
        <w:rPr>
          <w:noProof/>
        </w:rPr>
        <w:t xml:space="preserve"> i</w:t>
      </w:r>
      <w:r>
        <w:rPr>
          <w:noProof/>
        </w:rPr>
        <w:t> </w:t>
      </w:r>
      <w:r w:rsidRPr="00B10036">
        <w:rPr>
          <w:noProof/>
        </w:rPr>
        <w:t>spó</w:t>
      </w:r>
      <w:r w:rsidR="00002649" w:rsidRPr="00B10036">
        <w:rPr>
          <w:noProof/>
        </w:rPr>
        <w:t>jnych pakietów politycznych, uwzględniających zatrudnienie</w:t>
      </w:r>
      <w:r w:rsidRPr="00B10036">
        <w:rPr>
          <w:noProof/>
        </w:rPr>
        <w:t xml:space="preserve"> i</w:t>
      </w:r>
      <w:r>
        <w:rPr>
          <w:noProof/>
        </w:rPr>
        <w:t> </w:t>
      </w:r>
      <w:r w:rsidRPr="00B10036">
        <w:rPr>
          <w:noProof/>
        </w:rPr>
        <w:t>asp</w:t>
      </w:r>
      <w:r w:rsidR="00002649" w:rsidRPr="00B10036">
        <w:rPr>
          <w:noProof/>
        </w:rPr>
        <w:t>ekty społeczne, aby promować sprawiedliwą transformację we wszystkich obszarach polityki,</w:t>
      </w:r>
      <w:r w:rsidRPr="00B10036">
        <w:rPr>
          <w:noProof/>
        </w:rPr>
        <w:t xml:space="preserve"> w</w:t>
      </w:r>
      <w:r>
        <w:rPr>
          <w:noProof/>
        </w:rPr>
        <w:t> </w:t>
      </w:r>
      <w:r w:rsidRPr="00B10036">
        <w:rPr>
          <w:noProof/>
        </w:rPr>
        <w:t>szc</w:t>
      </w:r>
      <w:r w:rsidR="00002649" w:rsidRPr="00B10036">
        <w:rPr>
          <w:noProof/>
        </w:rPr>
        <w:t>zególności</w:t>
      </w:r>
      <w:r w:rsidRPr="00B10036">
        <w:rPr>
          <w:noProof/>
        </w:rPr>
        <w:t xml:space="preserve"> w</w:t>
      </w:r>
      <w:r>
        <w:rPr>
          <w:noProof/>
        </w:rPr>
        <w:t> </w:t>
      </w:r>
      <w:r w:rsidRPr="00B10036">
        <w:rPr>
          <w:noProof/>
        </w:rPr>
        <w:t>zak</w:t>
      </w:r>
      <w:r w:rsidR="00002649" w:rsidRPr="00B10036">
        <w:rPr>
          <w:noProof/>
        </w:rPr>
        <w:t>resie klimatu, energii</w:t>
      </w:r>
      <w:r w:rsidRPr="00B10036">
        <w:rPr>
          <w:noProof/>
        </w:rPr>
        <w:t xml:space="preserve"> i</w:t>
      </w:r>
      <w:r>
        <w:rPr>
          <w:noProof/>
        </w:rPr>
        <w:t> </w:t>
      </w:r>
      <w:r w:rsidRPr="00B10036">
        <w:rPr>
          <w:noProof/>
        </w:rPr>
        <w:t>och</w:t>
      </w:r>
      <w:r w:rsidR="00002649" w:rsidRPr="00B10036">
        <w:rPr>
          <w:noProof/>
        </w:rPr>
        <w:t>rony środowiska,</w:t>
      </w:r>
      <w:r w:rsidRPr="00B10036">
        <w:rPr>
          <w:noProof/>
        </w:rPr>
        <w:t xml:space="preserve"> a</w:t>
      </w:r>
      <w:r>
        <w:rPr>
          <w:noProof/>
        </w:rPr>
        <w:t> </w:t>
      </w:r>
      <w:r w:rsidRPr="00B10036">
        <w:rPr>
          <w:noProof/>
        </w:rPr>
        <w:t>tak</w:t>
      </w:r>
      <w:r w:rsidR="00002649" w:rsidRPr="00B10036">
        <w:rPr>
          <w:noProof/>
        </w:rPr>
        <w:t>że aby optymalnie wykorzystać finansowanie publiczne</w:t>
      </w:r>
      <w:r w:rsidRPr="00B10036">
        <w:rPr>
          <w:noProof/>
        </w:rPr>
        <w:t xml:space="preserve"> i</w:t>
      </w:r>
      <w:r>
        <w:rPr>
          <w:noProof/>
        </w:rPr>
        <w:t> </w:t>
      </w:r>
      <w:r w:rsidRPr="00B10036">
        <w:rPr>
          <w:noProof/>
        </w:rPr>
        <w:t>pry</w:t>
      </w:r>
      <w:r w:rsidR="00002649" w:rsidRPr="00B10036">
        <w:rPr>
          <w:noProof/>
        </w:rPr>
        <w:t>watne.</w:t>
      </w:r>
    </w:p>
    <w:p w14:paraId="47C2A556" w14:textId="11195AD9" w:rsidR="00002649" w:rsidRPr="00B10036" w:rsidRDefault="00002649" w:rsidP="00002649">
      <w:pPr>
        <w:rPr>
          <w:noProof/>
        </w:rPr>
      </w:pPr>
    </w:p>
    <w:p w14:paraId="114DC05E" w14:textId="77777777" w:rsidR="00002649" w:rsidRPr="00B10036" w:rsidRDefault="00002649" w:rsidP="00002649">
      <w:pPr>
        <w:rPr>
          <w:noProof/>
        </w:rPr>
      </w:pPr>
      <w:r w:rsidRPr="00B10036">
        <w:rPr>
          <w:noProof/>
        </w:rPr>
        <w:t>DEFINICJE</w:t>
      </w:r>
    </w:p>
    <w:p w14:paraId="6ED98DBE" w14:textId="76CC249C" w:rsidR="00002649" w:rsidRPr="00B10036" w:rsidRDefault="00B10036" w:rsidP="00B10036">
      <w:pPr>
        <w:pStyle w:val="Point0"/>
        <w:rPr>
          <w:noProof/>
        </w:rPr>
      </w:pPr>
      <w:r>
        <w:rPr>
          <w:noProof/>
        </w:rPr>
        <w:t>3)</w:t>
      </w:r>
      <w:r>
        <w:rPr>
          <w:noProof/>
        </w:rPr>
        <w:tab/>
      </w:r>
      <w:r w:rsidR="00002649" w:rsidRPr="00B10036">
        <w:rPr>
          <w:noProof/>
        </w:rPr>
        <w:t>Do celów niniejszego zalecenia stosuje się następujące definicje:</w:t>
      </w:r>
    </w:p>
    <w:p w14:paraId="2B1FA9AF" w14:textId="4C52536C" w:rsidR="00915273" w:rsidRPr="00B10036" w:rsidRDefault="00B10036" w:rsidP="00B10036">
      <w:pPr>
        <w:pStyle w:val="Point1"/>
        <w:rPr>
          <w:noProof/>
        </w:rPr>
      </w:pPr>
      <w:r w:rsidRPr="00B10036">
        <w:rPr>
          <w:noProof/>
        </w:rPr>
        <w:t>a)</w:t>
      </w:r>
      <w:r w:rsidRPr="00B10036">
        <w:rPr>
          <w:noProof/>
        </w:rPr>
        <w:tab/>
      </w:r>
      <w:r w:rsidR="00915273" w:rsidRPr="00B10036">
        <w:rPr>
          <w:noProof/>
        </w:rPr>
        <w:t>„zielona transformacja” oznacza transformację gospodarki</w:t>
      </w:r>
      <w:r w:rsidRPr="00B10036">
        <w:rPr>
          <w:noProof/>
        </w:rPr>
        <w:t xml:space="preserve"> i</w:t>
      </w:r>
      <w:r>
        <w:rPr>
          <w:noProof/>
        </w:rPr>
        <w:t> </w:t>
      </w:r>
      <w:r w:rsidRPr="00B10036">
        <w:rPr>
          <w:noProof/>
        </w:rPr>
        <w:t>spo</w:t>
      </w:r>
      <w:r w:rsidR="00915273" w:rsidRPr="00B10036">
        <w:rPr>
          <w:noProof/>
        </w:rPr>
        <w:t>łeczeństwa UE</w:t>
      </w:r>
      <w:r w:rsidRPr="00B10036">
        <w:rPr>
          <w:noProof/>
        </w:rPr>
        <w:t xml:space="preserve"> w</w:t>
      </w:r>
      <w:r>
        <w:rPr>
          <w:noProof/>
        </w:rPr>
        <w:t> </w:t>
      </w:r>
      <w:r w:rsidRPr="00B10036">
        <w:rPr>
          <w:noProof/>
        </w:rPr>
        <w:t>kie</w:t>
      </w:r>
      <w:r w:rsidR="00915273" w:rsidRPr="00B10036">
        <w:rPr>
          <w:noProof/>
        </w:rPr>
        <w:t>runku osiągnięcia celów klimatycznych</w:t>
      </w:r>
      <w:r w:rsidRPr="00B10036">
        <w:rPr>
          <w:noProof/>
        </w:rPr>
        <w:t xml:space="preserve"> i</w:t>
      </w:r>
      <w:r>
        <w:rPr>
          <w:noProof/>
        </w:rPr>
        <w:t> </w:t>
      </w:r>
      <w:r w:rsidRPr="00B10036">
        <w:rPr>
          <w:noProof/>
        </w:rPr>
        <w:t>śro</w:t>
      </w:r>
      <w:r w:rsidR="00915273" w:rsidRPr="00B10036">
        <w:rPr>
          <w:noProof/>
        </w:rPr>
        <w:t>dowiskowych przede wszystkim za pomocą strategii politycznych</w:t>
      </w:r>
      <w:r w:rsidRPr="00B10036">
        <w:rPr>
          <w:noProof/>
        </w:rPr>
        <w:t xml:space="preserve"> i</w:t>
      </w:r>
      <w:r>
        <w:rPr>
          <w:noProof/>
        </w:rPr>
        <w:t> </w:t>
      </w:r>
      <w:r w:rsidRPr="00B10036">
        <w:rPr>
          <w:noProof/>
        </w:rPr>
        <w:t>inw</w:t>
      </w:r>
      <w:r w:rsidR="00915273" w:rsidRPr="00B10036">
        <w:rPr>
          <w:noProof/>
        </w:rPr>
        <w:t>estycji, zgodnie</w:t>
      </w:r>
      <w:r w:rsidRPr="00B10036">
        <w:rPr>
          <w:noProof/>
        </w:rPr>
        <w:t xml:space="preserve"> z</w:t>
      </w:r>
      <w:r>
        <w:rPr>
          <w:noProof/>
        </w:rPr>
        <w:t> </w:t>
      </w:r>
      <w:r w:rsidRPr="00B10036">
        <w:rPr>
          <w:noProof/>
        </w:rPr>
        <w:t>Eur</w:t>
      </w:r>
      <w:r w:rsidR="00915273" w:rsidRPr="00B10036">
        <w:rPr>
          <w:noProof/>
        </w:rPr>
        <w:t>opejskim prawem</w:t>
      </w:r>
      <w:r w:rsidRPr="00B10036">
        <w:rPr>
          <w:noProof/>
        </w:rPr>
        <w:t xml:space="preserve"> o</w:t>
      </w:r>
      <w:r>
        <w:rPr>
          <w:noProof/>
        </w:rPr>
        <w:t> </w:t>
      </w:r>
      <w:r w:rsidRPr="00B10036">
        <w:rPr>
          <w:noProof/>
        </w:rPr>
        <w:t>kli</w:t>
      </w:r>
      <w:r w:rsidR="00915273" w:rsidRPr="00B10036">
        <w:rPr>
          <w:noProof/>
        </w:rPr>
        <w:t>macie,</w:t>
      </w:r>
      <w:r w:rsidRPr="00B10036">
        <w:rPr>
          <w:noProof/>
        </w:rPr>
        <w:t xml:space="preserve"> w</w:t>
      </w:r>
      <w:r>
        <w:rPr>
          <w:noProof/>
        </w:rPr>
        <w:t> </w:t>
      </w:r>
      <w:r w:rsidRPr="00B10036">
        <w:rPr>
          <w:noProof/>
        </w:rPr>
        <w:t>któ</w:t>
      </w:r>
      <w:r w:rsidR="00915273" w:rsidRPr="00B10036">
        <w:rPr>
          <w:noProof/>
        </w:rPr>
        <w:t>rym wprowadzono zobowiązanie do osiągnięcia neutralności klimatycznej do</w:t>
      </w:r>
      <w:r w:rsidRPr="00B10036">
        <w:rPr>
          <w:noProof/>
        </w:rPr>
        <w:t> </w:t>
      </w:r>
      <w:r w:rsidR="00915273" w:rsidRPr="00B10036">
        <w:rPr>
          <w:noProof/>
        </w:rPr>
        <w:t>2050</w:t>
      </w:r>
      <w:r w:rsidRPr="00B10036">
        <w:rPr>
          <w:noProof/>
        </w:rPr>
        <w:t> </w:t>
      </w:r>
      <w:r w:rsidR="00915273" w:rsidRPr="00B10036">
        <w:rPr>
          <w:noProof/>
        </w:rPr>
        <w:t>r.,</w:t>
      </w:r>
      <w:r w:rsidRPr="00B10036">
        <w:rPr>
          <w:noProof/>
        </w:rPr>
        <w:t xml:space="preserve"> z</w:t>
      </w:r>
      <w:r>
        <w:rPr>
          <w:noProof/>
        </w:rPr>
        <w:t> </w:t>
      </w:r>
      <w:r w:rsidRPr="00B10036">
        <w:rPr>
          <w:noProof/>
        </w:rPr>
        <w:t>Eur</w:t>
      </w:r>
      <w:r w:rsidR="00915273" w:rsidRPr="00B10036">
        <w:rPr>
          <w:noProof/>
        </w:rPr>
        <w:t>opejskim Zielonym Ładem oraz</w:t>
      </w:r>
      <w:r w:rsidRPr="00B10036">
        <w:rPr>
          <w:noProof/>
        </w:rPr>
        <w:t xml:space="preserve"> z</w:t>
      </w:r>
      <w:r>
        <w:rPr>
          <w:noProof/>
        </w:rPr>
        <w:t> </w:t>
      </w:r>
      <w:r w:rsidRPr="00B10036">
        <w:rPr>
          <w:noProof/>
        </w:rPr>
        <w:t>por</w:t>
      </w:r>
      <w:r w:rsidR="00915273" w:rsidRPr="00B10036">
        <w:rPr>
          <w:noProof/>
        </w:rPr>
        <w:t>ozumieniem paryskim;</w:t>
      </w:r>
    </w:p>
    <w:p w14:paraId="78BD7B8F" w14:textId="1350B21D" w:rsidR="00915273" w:rsidRPr="00B10036" w:rsidRDefault="00B10036" w:rsidP="00B10036">
      <w:pPr>
        <w:pStyle w:val="Point1"/>
        <w:rPr>
          <w:noProof/>
        </w:rPr>
      </w:pPr>
      <w:r w:rsidRPr="00B10036">
        <w:rPr>
          <w:noProof/>
        </w:rPr>
        <w:t>b)</w:t>
      </w:r>
      <w:r w:rsidRPr="00B10036">
        <w:rPr>
          <w:noProof/>
        </w:rPr>
        <w:tab/>
      </w:r>
      <w:r w:rsidR="00915273" w:rsidRPr="00B10036">
        <w:rPr>
          <w:noProof/>
        </w:rPr>
        <w:t>„cele klimatyczne</w:t>
      </w:r>
      <w:r w:rsidRPr="00B10036">
        <w:rPr>
          <w:noProof/>
        </w:rPr>
        <w:t xml:space="preserve"> i</w:t>
      </w:r>
      <w:r>
        <w:rPr>
          <w:noProof/>
        </w:rPr>
        <w:t> </w:t>
      </w:r>
      <w:r w:rsidRPr="00B10036">
        <w:rPr>
          <w:noProof/>
        </w:rPr>
        <w:t>śro</w:t>
      </w:r>
      <w:r w:rsidR="00915273" w:rsidRPr="00B10036">
        <w:rPr>
          <w:noProof/>
        </w:rPr>
        <w:t>dowiskowe” oznaczają sześć celów określonych</w:t>
      </w:r>
      <w:r w:rsidRPr="00B10036">
        <w:rPr>
          <w:noProof/>
        </w:rPr>
        <w:t xml:space="preserve"> w</w:t>
      </w:r>
      <w:r>
        <w:rPr>
          <w:noProof/>
        </w:rPr>
        <w:t> </w:t>
      </w:r>
      <w:r w:rsidRPr="00B10036">
        <w:rPr>
          <w:noProof/>
        </w:rPr>
        <w:t>roz</w:t>
      </w:r>
      <w:r w:rsidR="00915273" w:rsidRPr="00B10036">
        <w:rPr>
          <w:noProof/>
        </w:rPr>
        <w:t>porządzeniu (UE) 2020/852</w:t>
      </w:r>
      <w:r w:rsidR="00915273" w:rsidRPr="00B10036">
        <w:rPr>
          <w:rStyle w:val="FootnoteReference"/>
          <w:noProof/>
        </w:rPr>
        <w:footnoteReference w:id="101"/>
      </w:r>
      <w:r w:rsidR="00915273" w:rsidRPr="00B10036">
        <w:rPr>
          <w:noProof/>
        </w:rPr>
        <w:t>, mianowicie: łagodzenie zmian klimatu; adaptacja do zmian klimatu; zrównoważone wykorzystywanie</w:t>
      </w:r>
      <w:r w:rsidRPr="00B10036">
        <w:rPr>
          <w:noProof/>
        </w:rPr>
        <w:t xml:space="preserve"> i</w:t>
      </w:r>
      <w:r>
        <w:rPr>
          <w:noProof/>
        </w:rPr>
        <w:t> </w:t>
      </w:r>
      <w:r w:rsidRPr="00B10036">
        <w:rPr>
          <w:noProof/>
        </w:rPr>
        <w:t>och</w:t>
      </w:r>
      <w:r w:rsidR="00915273" w:rsidRPr="00B10036">
        <w:rPr>
          <w:noProof/>
        </w:rPr>
        <w:t>rona zasobów wodnych</w:t>
      </w:r>
      <w:r w:rsidRPr="00B10036">
        <w:rPr>
          <w:noProof/>
        </w:rPr>
        <w:t xml:space="preserve"> i</w:t>
      </w:r>
      <w:r>
        <w:rPr>
          <w:noProof/>
        </w:rPr>
        <w:t> </w:t>
      </w:r>
      <w:r w:rsidRPr="00B10036">
        <w:rPr>
          <w:noProof/>
        </w:rPr>
        <w:t>mor</w:t>
      </w:r>
      <w:r w:rsidR="00915273" w:rsidRPr="00B10036">
        <w:rPr>
          <w:noProof/>
        </w:rPr>
        <w:t>skich; przejście na gospodarkę</w:t>
      </w:r>
      <w:r w:rsidRPr="00B10036">
        <w:rPr>
          <w:noProof/>
        </w:rPr>
        <w:t xml:space="preserve"> o</w:t>
      </w:r>
      <w:r>
        <w:rPr>
          <w:noProof/>
        </w:rPr>
        <w:t> </w:t>
      </w:r>
      <w:r w:rsidRPr="00B10036">
        <w:rPr>
          <w:noProof/>
        </w:rPr>
        <w:t>obi</w:t>
      </w:r>
      <w:r w:rsidR="00915273" w:rsidRPr="00B10036">
        <w:rPr>
          <w:noProof/>
        </w:rPr>
        <w:t>egu zamkniętym; zapobieganie zanieczyszczeniu</w:t>
      </w:r>
      <w:r w:rsidRPr="00B10036">
        <w:rPr>
          <w:noProof/>
        </w:rPr>
        <w:t xml:space="preserve"> i</w:t>
      </w:r>
      <w:r>
        <w:rPr>
          <w:noProof/>
        </w:rPr>
        <w:t> </w:t>
      </w:r>
      <w:r w:rsidRPr="00B10036">
        <w:rPr>
          <w:noProof/>
        </w:rPr>
        <w:t>jeg</w:t>
      </w:r>
      <w:r w:rsidR="00915273" w:rsidRPr="00B10036">
        <w:rPr>
          <w:noProof/>
        </w:rPr>
        <w:t>o kontrola; oraz ochrona</w:t>
      </w:r>
      <w:r w:rsidRPr="00B10036">
        <w:rPr>
          <w:noProof/>
        </w:rPr>
        <w:t xml:space="preserve"> i</w:t>
      </w:r>
      <w:r>
        <w:rPr>
          <w:noProof/>
        </w:rPr>
        <w:t> </w:t>
      </w:r>
      <w:r w:rsidRPr="00B10036">
        <w:rPr>
          <w:noProof/>
        </w:rPr>
        <w:t>odb</w:t>
      </w:r>
      <w:r w:rsidR="00915273" w:rsidRPr="00B10036">
        <w:rPr>
          <w:noProof/>
        </w:rPr>
        <w:t>udowa bioróżnorodności</w:t>
      </w:r>
      <w:r w:rsidRPr="00B10036">
        <w:rPr>
          <w:noProof/>
        </w:rPr>
        <w:t xml:space="preserve"> i</w:t>
      </w:r>
      <w:r>
        <w:rPr>
          <w:noProof/>
        </w:rPr>
        <w:t> </w:t>
      </w:r>
      <w:r w:rsidRPr="00B10036">
        <w:rPr>
          <w:noProof/>
        </w:rPr>
        <w:t>eko</w:t>
      </w:r>
      <w:r w:rsidR="00915273" w:rsidRPr="00B10036">
        <w:rPr>
          <w:noProof/>
        </w:rPr>
        <w:t>systemów;</w:t>
      </w:r>
    </w:p>
    <w:p w14:paraId="183A06C0" w14:textId="7A7F7E01" w:rsidR="00DA61A5" w:rsidRPr="00B10036" w:rsidRDefault="00B10036" w:rsidP="00B10036">
      <w:pPr>
        <w:pStyle w:val="Point1"/>
        <w:rPr>
          <w:noProof/>
        </w:rPr>
      </w:pPr>
      <w:r w:rsidRPr="00B10036">
        <w:rPr>
          <w:noProof/>
        </w:rPr>
        <w:t>c)</w:t>
      </w:r>
      <w:r w:rsidRPr="00B10036">
        <w:rPr>
          <w:noProof/>
        </w:rPr>
        <w:tab/>
      </w:r>
      <w:r w:rsidR="00915273" w:rsidRPr="00B10036">
        <w:rPr>
          <w:noProof/>
        </w:rPr>
        <w:t>„osoby</w:t>
      </w:r>
      <w:r w:rsidRPr="00B10036">
        <w:rPr>
          <w:noProof/>
        </w:rPr>
        <w:t xml:space="preserve"> i</w:t>
      </w:r>
      <w:r>
        <w:rPr>
          <w:noProof/>
        </w:rPr>
        <w:t> </w:t>
      </w:r>
      <w:r w:rsidRPr="00B10036">
        <w:rPr>
          <w:noProof/>
        </w:rPr>
        <w:t>gos</w:t>
      </w:r>
      <w:r w:rsidR="00915273" w:rsidRPr="00B10036">
        <w:rPr>
          <w:noProof/>
        </w:rPr>
        <w:t>podarstwa domowe najbardziej obciążone skutkami zielonej transformacji” oznaczają osoby</w:t>
      </w:r>
      <w:r w:rsidRPr="00B10036">
        <w:rPr>
          <w:noProof/>
        </w:rPr>
        <w:t xml:space="preserve"> i</w:t>
      </w:r>
      <w:r>
        <w:rPr>
          <w:noProof/>
        </w:rPr>
        <w:t> </w:t>
      </w:r>
      <w:r w:rsidRPr="00B10036">
        <w:rPr>
          <w:noProof/>
        </w:rPr>
        <w:t>gos</w:t>
      </w:r>
      <w:r w:rsidR="00915273" w:rsidRPr="00B10036">
        <w:rPr>
          <w:noProof/>
        </w:rPr>
        <w:t>podarstwa domowe, których skuteczny dostęp do zatrudnienia wysokiej jakości,</w:t>
      </w:r>
      <w:r w:rsidRPr="00B10036">
        <w:rPr>
          <w:noProof/>
        </w:rPr>
        <w:t xml:space="preserve"> w</w:t>
      </w:r>
      <w:r>
        <w:rPr>
          <w:noProof/>
        </w:rPr>
        <w:t> </w:t>
      </w:r>
      <w:r w:rsidRPr="00B10036">
        <w:rPr>
          <w:noProof/>
        </w:rPr>
        <w:t>tym</w:t>
      </w:r>
      <w:r w:rsidR="00915273" w:rsidRPr="00B10036">
        <w:rPr>
          <w:noProof/>
        </w:rPr>
        <w:t xml:space="preserve"> samozatrudnienia, lub do kształcenia</w:t>
      </w:r>
      <w:r w:rsidRPr="00B10036">
        <w:rPr>
          <w:noProof/>
        </w:rPr>
        <w:t xml:space="preserve"> i</w:t>
      </w:r>
      <w:r>
        <w:rPr>
          <w:noProof/>
        </w:rPr>
        <w:t> </w:t>
      </w:r>
      <w:r w:rsidRPr="00B10036">
        <w:rPr>
          <w:noProof/>
        </w:rPr>
        <w:t>szk</w:t>
      </w:r>
      <w:r w:rsidR="00915273" w:rsidRPr="00B10036">
        <w:rPr>
          <w:noProof/>
        </w:rPr>
        <w:t>olenia, lub do godnego poziomu życia</w:t>
      </w:r>
      <w:r w:rsidRPr="00B10036">
        <w:rPr>
          <w:noProof/>
        </w:rPr>
        <w:t xml:space="preserve"> i</w:t>
      </w:r>
      <w:r>
        <w:rPr>
          <w:noProof/>
        </w:rPr>
        <w:t> </w:t>
      </w:r>
      <w:r w:rsidRPr="00B10036">
        <w:rPr>
          <w:noProof/>
        </w:rPr>
        <w:t>pod</w:t>
      </w:r>
      <w:r w:rsidR="00915273" w:rsidRPr="00B10036">
        <w:rPr>
          <w:noProof/>
        </w:rPr>
        <w:t>stawowych usług został</w:t>
      </w:r>
      <w:r w:rsidRPr="00B10036">
        <w:rPr>
          <w:noProof/>
        </w:rPr>
        <w:t xml:space="preserve"> w</w:t>
      </w:r>
      <w:r>
        <w:rPr>
          <w:noProof/>
        </w:rPr>
        <w:t> </w:t>
      </w:r>
      <w:r w:rsidRPr="00B10036">
        <w:rPr>
          <w:noProof/>
        </w:rPr>
        <w:t>zna</w:t>
      </w:r>
      <w:r w:rsidR="00915273" w:rsidRPr="00B10036">
        <w:rPr>
          <w:noProof/>
        </w:rPr>
        <w:t>cznym stopniu ograniczony lub jest narażony na znaczne ograniczenie bezpośrednio lub pośrednio na skutek zielonej transformacji;</w:t>
      </w:r>
    </w:p>
    <w:p w14:paraId="0521B983" w14:textId="16A749EE" w:rsidR="00DA61A5" w:rsidRPr="00B10036" w:rsidRDefault="00B10036" w:rsidP="00B10036">
      <w:pPr>
        <w:pStyle w:val="Point1"/>
        <w:rPr>
          <w:noProof/>
        </w:rPr>
      </w:pPr>
      <w:r w:rsidRPr="00B10036">
        <w:rPr>
          <w:noProof/>
        </w:rPr>
        <w:t>d)</w:t>
      </w:r>
      <w:r w:rsidRPr="00B10036">
        <w:rPr>
          <w:noProof/>
        </w:rPr>
        <w:tab/>
      </w:r>
      <w:r w:rsidR="00915273" w:rsidRPr="00B10036">
        <w:rPr>
          <w:noProof/>
        </w:rPr>
        <w:t>„osoby</w:t>
      </w:r>
      <w:r w:rsidRPr="00B10036">
        <w:rPr>
          <w:noProof/>
        </w:rPr>
        <w:t xml:space="preserve"> i</w:t>
      </w:r>
      <w:r>
        <w:rPr>
          <w:noProof/>
        </w:rPr>
        <w:t> </w:t>
      </w:r>
      <w:r w:rsidRPr="00B10036">
        <w:rPr>
          <w:noProof/>
        </w:rPr>
        <w:t>gos</w:t>
      </w:r>
      <w:r w:rsidR="00915273" w:rsidRPr="00B10036">
        <w:rPr>
          <w:noProof/>
        </w:rPr>
        <w:t>podarstwa domowe będące</w:t>
      </w:r>
      <w:r w:rsidRPr="00B10036">
        <w:rPr>
          <w:noProof/>
        </w:rPr>
        <w:t xml:space="preserve"> w</w:t>
      </w:r>
      <w:r>
        <w:rPr>
          <w:noProof/>
        </w:rPr>
        <w:t> </w:t>
      </w:r>
      <w:r w:rsidRPr="00B10036">
        <w:rPr>
          <w:noProof/>
        </w:rPr>
        <w:t>tru</w:t>
      </w:r>
      <w:r w:rsidR="00915273" w:rsidRPr="00B10036">
        <w:rPr>
          <w:noProof/>
        </w:rPr>
        <w:t>dnej sytuacji” oznaczają osoby</w:t>
      </w:r>
      <w:r w:rsidRPr="00B10036">
        <w:rPr>
          <w:noProof/>
        </w:rPr>
        <w:t xml:space="preserve"> i</w:t>
      </w:r>
      <w:r>
        <w:rPr>
          <w:noProof/>
        </w:rPr>
        <w:t> </w:t>
      </w:r>
      <w:r w:rsidRPr="00B10036">
        <w:rPr>
          <w:noProof/>
        </w:rPr>
        <w:t>gos</w:t>
      </w:r>
      <w:r w:rsidR="00915273" w:rsidRPr="00B10036">
        <w:rPr>
          <w:noProof/>
        </w:rPr>
        <w:t>podarstwa domowe, które niezależnie od zielonej transformacji zmagają się lub są narażone na zmaganie się ze znacznie ograniczonym dostępem do zatrudnienia wysokiej jakości,</w:t>
      </w:r>
      <w:r w:rsidRPr="00B10036">
        <w:rPr>
          <w:noProof/>
        </w:rPr>
        <w:t xml:space="preserve"> w</w:t>
      </w:r>
      <w:r>
        <w:rPr>
          <w:noProof/>
        </w:rPr>
        <w:t> </w:t>
      </w:r>
      <w:r w:rsidRPr="00B10036">
        <w:rPr>
          <w:noProof/>
        </w:rPr>
        <w:t>tym</w:t>
      </w:r>
      <w:r w:rsidR="00915273" w:rsidRPr="00B10036">
        <w:rPr>
          <w:noProof/>
        </w:rPr>
        <w:t xml:space="preserve"> samozatrudnienia, lub do kształcenia</w:t>
      </w:r>
      <w:r w:rsidRPr="00B10036">
        <w:rPr>
          <w:noProof/>
        </w:rPr>
        <w:t xml:space="preserve"> i</w:t>
      </w:r>
      <w:r>
        <w:rPr>
          <w:noProof/>
        </w:rPr>
        <w:t> </w:t>
      </w:r>
      <w:r w:rsidRPr="00B10036">
        <w:rPr>
          <w:noProof/>
        </w:rPr>
        <w:t>szk</w:t>
      </w:r>
      <w:r w:rsidR="00915273" w:rsidRPr="00B10036">
        <w:rPr>
          <w:noProof/>
        </w:rPr>
        <w:t>olenia, lub do godnego poziomu życia</w:t>
      </w:r>
      <w:r w:rsidRPr="00B10036">
        <w:rPr>
          <w:noProof/>
        </w:rPr>
        <w:t xml:space="preserve"> i</w:t>
      </w:r>
      <w:r>
        <w:rPr>
          <w:noProof/>
        </w:rPr>
        <w:t> </w:t>
      </w:r>
      <w:r w:rsidRPr="00B10036">
        <w:rPr>
          <w:noProof/>
        </w:rPr>
        <w:t>pod</w:t>
      </w:r>
      <w:r w:rsidR="00915273" w:rsidRPr="00B10036">
        <w:rPr>
          <w:noProof/>
        </w:rPr>
        <w:t>stawowych usług, co świadczy</w:t>
      </w:r>
      <w:r w:rsidRPr="00B10036">
        <w:rPr>
          <w:noProof/>
        </w:rPr>
        <w:t xml:space="preserve"> o</w:t>
      </w:r>
      <w:r>
        <w:rPr>
          <w:noProof/>
        </w:rPr>
        <w:t> </w:t>
      </w:r>
      <w:r w:rsidRPr="00B10036">
        <w:rPr>
          <w:noProof/>
        </w:rPr>
        <w:t>ich</w:t>
      </w:r>
      <w:r w:rsidR="00915273" w:rsidRPr="00B10036">
        <w:rPr>
          <w:noProof/>
        </w:rPr>
        <w:t xml:space="preserve"> niewielkiej zdolności do dostosowania się do skutków zielonej transformacji;</w:t>
      </w:r>
    </w:p>
    <w:p w14:paraId="096FE804" w14:textId="56EEB33A" w:rsidR="002412E0" w:rsidRPr="00B10036" w:rsidRDefault="00B10036" w:rsidP="00B10036">
      <w:pPr>
        <w:pStyle w:val="Point1"/>
        <w:rPr>
          <w:noProof/>
        </w:rPr>
      </w:pPr>
      <w:r w:rsidRPr="00B10036">
        <w:rPr>
          <w:noProof/>
        </w:rPr>
        <w:t>e)</w:t>
      </w:r>
      <w:r w:rsidRPr="00B10036">
        <w:rPr>
          <w:noProof/>
        </w:rPr>
        <w:tab/>
      </w:r>
      <w:r w:rsidR="00DA61A5" w:rsidRPr="00B10036">
        <w:rPr>
          <w:noProof/>
        </w:rPr>
        <w:t>„mikroprzedsiębiorstwa oraz małe</w:t>
      </w:r>
      <w:r w:rsidRPr="00B10036">
        <w:rPr>
          <w:noProof/>
        </w:rPr>
        <w:t xml:space="preserve"> i</w:t>
      </w:r>
      <w:r>
        <w:rPr>
          <w:noProof/>
        </w:rPr>
        <w:t> </w:t>
      </w:r>
      <w:r w:rsidRPr="00B10036">
        <w:rPr>
          <w:noProof/>
        </w:rPr>
        <w:t>śre</w:t>
      </w:r>
      <w:r w:rsidR="00DA61A5" w:rsidRPr="00B10036">
        <w:rPr>
          <w:noProof/>
        </w:rPr>
        <w:t>dnie przedsiębiorstwa” oznaczają przedsiębiorstwa, które zatrudniają mniej niż 250 pracowników,</w:t>
      </w:r>
      <w:r w:rsidRPr="00B10036">
        <w:rPr>
          <w:noProof/>
        </w:rPr>
        <w:t xml:space="preserve"> w</w:t>
      </w:r>
      <w:r>
        <w:rPr>
          <w:noProof/>
        </w:rPr>
        <w:t> </w:t>
      </w:r>
      <w:r w:rsidRPr="00B10036">
        <w:rPr>
          <w:noProof/>
        </w:rPr>
        <w:t>tym</w:t>
      </w:r>
      <w:r w:rsidR="00DA61A5" w:rsidRPr="00B10036">
        <w:rPr>
          <w:noProof/>
        </w:rPr>
        <w:t xml:space="preserve"> osoby samozatrudnione,</w:t>
      </w:r>
      <w:r w:rsidRPr="00B10036">
        <w:rPr>
          <w:noProof/>
        </w:rPr>
        <w:t xml:space="preserve"> i</w:t>
      </w:r>
      <w:r>
        <w:rPr>
          <w:noProof/>
        </w:rPr>
        <w:t> </w:t>
      </w:r>
      <w:r w:rsidRPr="00B10036">
        <w:rPr>
          <w:noProof/>
        </w:rPr>
        <w:t>któ</w:t>
      </w:r>
      <w:r w:rsidR="00DA61A5" w:rsidRPr="00B10036">
        <w:rPr>
          <w:noProof/>
        </w:rPr>
        <w:t>rych roczny obrót nie przekracza 50 mln EUR lub których roczna suma bilansowa nie przekracza 43 mln EUR, obliczone zgodnie</w:t>
      </w:r>
      <w:r w:rsidRPr="00B10036">
        <w:rPr>
          <w:noProof/>
        </w:rPr>
        <w:t xml:space="preserve"> z</w:t>
      </w:r>
      <w:r>
        <w:rPr>
          <w:noProof/>
        </w:rPr>
        <w:t> </w:t>
      </w:r>
      <w:r w:rsidRPr="00B10036">
        <w:rPr>
          <w:noProof/>
        </w:rPr>
        <w:t>art</w:t>
      </w:r>
      <w:r w:rsidR="00DA61A5" w:rsidRPr="00B10036">
        <w:rPr>
          <w:noProof/>
        </w:rPr>
        <w:t>.</w:t>
      </w:r>
      <w:r w:rsidRPr="00B10036">
        <w:rPr>
          <w:noProof/>
        </w:rPr>
        <w:t> </w:t>
      </w:r>
      <w:r w:rsidR="00DA61A5" w:rsidRPr="00B10036">
        <w:rPr>
          <w:noProof/>
        </w:rPr>
        <w:t>3–6 załącznika I do rozporządzenia Komisji (UE) nr</w:t>
      </w:r>
      <w:r w:rsidRPr="00B10036">
        <w:rPr>
          <w:noProof/>
        </w:rPr>
        <w:t> </w:t>
      </w:r>
      <w:r w:rsidR="00DA61A5" w:rsidRPr="00B10036">
        <w:rPr>
          <w:noProof/>
        </w:rPr>
        <w:t>651/2014</w:t>
      </w:r>
      <w:r w:rsidR="00DA61A5" w:rsidRPr="00B10036">
        <w:rPr>
          <w:rStyle w:val="FootnoteReference"/>
          <w:noProof/>
        </w:rPr>
        <w:footnoteReference w:id="102"/>
      </w:r>
      <w:r w:rsidR="00DA61A5" w:rsidRPr="00B10036">
        <w:rPr>
          <w:noProof/>
        </w:rPr>
        <w:t>;</w:t>
      </w:r>
    </w:p>
    <w:p w14:paraId="5579559B" w14:textId="438640D7" w:rsidR="002412E0" w:rsidRPr="00B10036" w:rsidRDefault="00B10036" w:rsidP="00B10036">
      <w:pPr>
        <w:pStyle w:val="Point1"/>
        <w:rPr>
          <w:noProof/>
        </w:rPr>
      </w:pPr>
      <w:r w:rsidRPr="00B10036">
        <w:rPr>
          <w:noProof/>
        </w:rPr>
        <w:t>f)</w:t>
      </w:r>
      <w:r w:rsidRPr="00B10036">
        <w:rPr>
          <w:noProof/>
        </w:rPr>
        <w:tab/>
      </w:r>
      <w:r w:rsidR="00DA61A5" w:rsidRPr="00B10036">
        <w:rPr>
          <w:noProof/>
        </w:rPr>
        <w:t>„ubóstwo energetyczne” oznacza sytuację zdefiniowaną</w:t>
      </w:r>
      <w:r w:rsidRPr="00B10036">
        <w:rPr>
          <w:noProof/>
        </w:rPr>
        <w:t xml:space="preserve"> w</w:t>
      </w:r>
      <w:r>
        <w:rPr>
          <w:noProof/>
        </w:rPr>
        <w:t> </w:t>
      </w:r>
      <w:r w:rsidRPr="00B10036">
        <w:rPr>
          <w:noProof/>
        </w:rPr>
        <w:t>art</w:t>
      </w:r>
      <w:r w:rsidR="00DA61A5" w:rsidRPr="00B10036">
        <w:rPr>
          <w:noProof/>
        </w:rPr>
        <w:t>.</w:t>
      </w:r>
      <w:r w:rsidRPr="00B10036">
        <w:rPr>
          <w:noProof/>
        </w:rPr>
        <w:t> </w:t>
      </w:r>
      <w:r w:rsidR="00DA61A5" w:rsidRPr="00B10036">
        <w:rPr>
          <w:noProof/>
        </w:rPr>
        <w:t>2 pkt</w:t>
      </w:r>
      <w:r w:rsidRPr="00B10036">
        <w:rPr>
          <w:noProof/>
        </w:rPr>
        <w:t> </w:t>
      </w:r>
      <w:r w:rsidR="00DA61A5" w:rsidRPr="00B10036">
        <w:rPr>
          <w:noProof/>
        </w:rPr>
        <w:t>49 wersji przekształconej dyrektywy</w:t>
      </w:r>
      <w:r w:rsidRPr="00B10036">
        <w:rPr>
          <w:noProof/>
        </w:rPr>
        <w:t xml:space="preserve"> w</w:t>
      </w:r>
      <w:r>
        <w:rPr>
          <w:noProof/>
        </w:rPr>
        <w:t> </w:t>
      </w:r>
      <w:r w:rsidRPr="00B10036">
        <w:rPr>
          <w:noProof/>
        </w:rPr>
        <w:t>spr</w:t>
      </w:r>
      <w:r w:rsidR="00DA61A5" w:rsidRPr="00B10036">
        <w:rPr>
          <w:noProof/>
        </w:rPr>
        <w:t>awie efektywności energetycznej</w:t>
      </w:r>
      <w:r w:rsidR="00DA61A5" w:rsidRPr="00B10036">
        <w:rPr>
          <w:rStyle w:val="FootnoteReference"/>
          <w:noProof/>
        </w:rPr>
        <w:footnoteReference w:id="103"/>
      </w:r>
      <w:r w:rsidR="00DA61A5" w:rsidRPr="00B10036">
        <w:rPr>
          <w:noProof/>
        </w:rPr>
        <w:t>, tj. „brak dostępu gospodarstwa domowego do podstawowych usług energetycznych, które stanowią podstawę godnego poziomu życia</w:t>
      </w:r>
      <w:r w:rsidRPr="00B10036">
        <w:rPr>
          <w:noProof/>
        </w:rPr>
        <w:t xml:space="preserve"> i</w:t>
      </w:r>
      <w:r>
        <w:rPr>
          <w:noProof/>
        </w:rPr>
        <w:t> </w:t>
      </w:r>
      <w:r w:rsidRPr="00B10036">
        <w:rPr>
          <w:noProof/>
        </w:rPr>
        <w:t>zdr</w:t>
      </w:r>
      <w:r w:rsidR="00DA61A5" w:rsidRPr="00B10036">
        <w:rPr>
          <w:noProof/>
        </w:rPr>
        <w:t>owia,</w:t>
      </w:r>
      <w:r w:rsidRPr="00B10036">
        <w:rPr>
          <w:noProof/>
        </w:rPr>
        <w:t xml:space="preserve"> w</w:t>
      </w:r>
      <w:r>
        <w:rPr>
          <w:noProof/>
        </w:rPr>
        <w:t> </w:t>
      </w:r>
      <w:r w:rsidRPr="00B10036">
        <w:rPr>
          <w:noProof/>
        </w:rPr>
        <w:t>tym</w:t>
      </w:r>
      <w:r w:rsidR="00DA61A5" w:rsidRPr="00B10036">
        <w:rPr>
          <w:noProof/>
        </w:rPr>
        <w:t xml:space="preserve"> do odpowiedniego ogrzewania, chłodzenia, oświetlenia</w:t>
      </w:r>
      <w:r w:rsidRPr="00B10036">
        <w:rPr>
          <w:noProof/>
        </w:rPr>
        <w:t xml:space="preserve"> i</w:t>
      </w:r>
      <w:r>
        <w:rPr>
          <w:noProof/>
        </w:rPr>
        <w:t> </w:t>
      </w:r>
      <w:r w:rsidRPr="00B10036">
        <w:rPr>
          <w:noProof/>
        </w:rPr>
        <w:t>ene</w:t>
      </w:r>
      <w:r w:rsidR="00DA61A5" w:rsidRPr="00B10036">
        <w:rPr>
          <w:noProof/>
        </w:rPr>
        <w:t>rgii do zasilania urządzeń,</w:t>
      </w:r>
      <w:r w:rsidRPr="00B10036">
        <w:rPr>
          <w:noProof/>
        </w:rPr>
        <w:t xml:space="preserve"> w</w:t>
      </w:r>
      <w:r>
        <w:rPr>
          <w:noProof/>
        </w:rPr>
        <w:t> </w:t>
      </w:r>
      <w:r w:rsidRPr="00B10036">
        <w:rPr>
          <w:noProof/>
        </w:rPr>
        <w:t>odp</w:t>
      </w:r>
      <w:r w:rsidR="00DA61A5" w:rsidRPr="00B10036">
        <w:rPr>
          <w:noProof/>
        </w:rPr>
        <w:t>owiednim kontekście krajowym, obowiązującej polityce społecznej</w:t>
      </w:r>
      <w:r w:rsidRPr="00B10036">
        <w:rPr>
          <w:noProof/>
        </w:rPr>
        <w:t xml:space="preserve"> i</w:t>
      </w:r>
      <w:r>
        <w:rPr>
          <w:noProof/>
        </w:rPr>
        <w:t> </w:t>
      </w:r>
      <w:r w:rsidRPr="00B10036">
        <w:rPr>
          <w:noProof/>
        </w:rPr>
        <w:t>inn</w:t>
      </w:r>
      <w:r w:rsidR="00DA61A5" w:rsidRPr="00B10036">
        <w:rPr>
          <w:noProof/>
        </w:rPr>
        <w:t>ych odpowiednich politykach</w:t>
      </w:r>
      <w:r w:rsidR="00DA61A5" w:rsidRPr="00B10036">
        <w:rPr>
          <w:noProof/>
          <w:sz w:val="20"/>
          <w:szCs w:val="20"/>
        </w:rPr>
        <w:t>”</w:t>
      </w:r>
      <w:r w:rsidR="00DA61A5" w:rsidRPr="00B10036">
        <w:rPr>
          <w:rStyle w:val="FootnoteReference"/>
          <w:noProof/>
        </w:rPr>
        <w:footnoteReference w:id="104"/>
      </w:r>
      <w:r w:rsidR="00DA61A5" w:rsidRPr="00B10036">
        <w:rPr>
          <w:noProof/>
        </w:rPr>
        <w:t>;</w:t>
      </w:r>
    </w:p>
    <w:p w14:paraId="6E194803" w14:textId="66FFEEFC" w:rsidR="002412E0" w:rsidRPr="00B10036" w:rsidRDefault="00B10036" w:rsidP="00B10036">
      <w:pPr>
        <w:pStyle w:val="Point1"/>
        <w:rPr>
          <w:noProof/>
        </w:rPr>
      </w:pPr>
      <w:r w:rsidRPr="00B10036">
        <w:rPr>
          <w:noProof/>
        </w:rPr>
        <w:t>g)</w:t>
      </w:r>
      <w:r w:rsidRPr="00B10036">
        <w:rPr>
          <w:noProof/>
        </w:rPr>
        <w:tab/>
      </w:r>
      <w:r w:rsidR="00DA61A5" w:rsidRPr="00B10036">
        <w:rPr>
          <w:noProof/>
        </w:rPr>
        <w:t>„podstawowe usługi” oznaczają usługi dobrej jakości,</w:t>
      </w:r>
      <w:r w:rsidRPr="00B10036">
        <w:rPr>
          <w:noProof/>
        </w:rPr>
        <w:t xml:space="preserve"> w</w:t>
      </w:r>
      <w:r>
        <w:rPr>
          <w:noProof/>
        </w:rPr>
        <w:t> </w:t>
      </w:r>
      <w:r w:rsidRPr="00B10036">
        <w:rPr>
          <w:noProof/>
        </w:rPr>
        <w:t>tym w</w:t>
      </w:r>
      <w:r>
        <w:rPr>
          <w:noProof/>
        </w:rPr>
        <w:t> </w:t>
      </w:r>
      <w:r w:rsidRPr="00B10036">
        <w:rPr>
          <w:noProof/>
        </w:rPr>
        <w:t>zak</w:t>
      </w:r>
      <w:r w:rsidR="00DA61A5" w:rsidRPr="00B10036">
        <w:rPr>
          <w:noProof/>
        </w:rPr>
        <w:t>resie wody, urządzeń sanitarnych, energii, transportu</w:t>
      </w:r>
      <w:r w:rsidRPr="00B10036">
        <w:rPr>
          <w:noProof/>
        </w:rPr>
        <w:t xml:space="preserve"> i</w:t>
      </w:r>
      <w:r>
        <w:rPr>
          <w:noProof/>
        </w:rPr>
        <w:t> </w:t>
      </w:r>
      <w:r w:rsidRPr="00B10036">
        <w:rPr>
          <w:noProof/>
        </w:rPr>
        <w:t>mob</w:t>
      </w:r>
      <w:r w:rsidR="00DA61A5" w:rsidRPr="00B10036">
        <w:rPr>
          <w:noProof/>
        </w:rPr>
        <w:t>ilności, usług finansowych</w:t>
      </w:r>
      <w:r w:rsidRPr="00B10036">
        <w:rPr>
          <w:noProof/>
        </w:rPr>
        <w:t xml:space="preserve"> i</w:t>
      </w:r>
      <w:r>
        <w:rPr>
          <w:noProof/>
        </w:rPr>
        <w:t> </w:t>
      </w:r>
      <w:r w:rsidRPr="00B10036">
        <w:rPr>
          <w:noProof/>
        </w:rPr>
        <w:t>usł</w:t>
      </w:r>
      <w:r w:rsidR="00DA61A5" w:rsidRPr="00B10036">
        <w:rPr>
          <w:noProof/>
        </w:rPr>
        <w:t>ug łączności cyfrowej; osobom potrzebującym należy zapewnić wsparcie</w:t>
      </w:r>
      <w:r w:rsidRPr="00B10036">
        <w:rPr>
          <w:noProof/>
        </w:rPr>
        <w:t xml:space="preserve"> w</w:t>
      </w:r>
      <w:r>
        <w:rPr>
          <w:noProof/>
        </w:rPr>
        <w:t> </w:t>
      </w:r>
      <w:r w:rsidRPr="00B10036">
        <w:rPr>
          <w:noProof/>
        </w:rPr>
        <w:t>dos</w:t>
      </w:r>
      <w:r w:rsidR="00DA61A5" w:rsidRPr="00B10036">
        <w:rPr>
          <w:noProof/>
        </w:rPr>
        <w:t>tępie do takich usług, zgodnie</w:t>
      </w:r>
      <w:r w:rsidRPr="00B10036">
        <w:rPr>
          <w:noProof/>
        </w:rPr>
        <w:t xml:space="preserve"> z</w:t>
      </w:r>
      <w:r>
        <w:rPr>
          <w:noProof/>
        </w:rPr>
        <w:t> </w:t>
      </w:r>
      <w:r w:rsidRPr="00B10036">
        <w:rPr>
          <w:noProof/>
        </w:rPr>
        <w:t>zas</w:t>
      </w:r>
      <w:r w:rsidR="00DA61A5" w:rsidRPr="00B10036">
        <w:rPr>
          <w:noProof/>
        </w:rPr>
        <w:t>adą 20 Europejskiego filaru praw socjalnych,</w:t>
      </w:r>
      <w:r w:rsidRPr="00B10036">
        <w:rPr>
          <w:noProof/>
        </w:rPr>
        <w:t xml:space="preserve"> a</w:t>
      </w:r>
      <w:r>
        <w:rPr>
          <w:noProof/>
        </w:rPr>
        <w:t> </w:t>
      </w:r>
      <w:r w:rsidRPr="00B10036">
        <w:rPr>
          <w:noProof/>
        </w:rPr>
        <w:t>tak</w:t>
      </w:r>
      <w:r w:rsidR="00DA61A5" w:rsidRPr="00B10036">
        <w:rPr>
          <w:noProof/>
        </w:rPr>
        <w:t>że należy zapewnić możliwości oszczędzania kosztów,</w:t>
      </w:r>
      <w:r w:rsidRPr="00B10036">
        <w:rPr>
          <w:noProof/>
        </w:rPr>
        <w:t xml:space="preserve"> w</w:t>
      </w:r>
      <w:r>
        <w:rPr>
          <w:noProof/>
        </w:rPr>
        <w:t> </w:t>
      </w:r>
      <w:r w:rsidRPr="00B10036">
        <w:rPr>
          <w:noProof/>
        </w:rPr>
        <w:t>tym</w:t>
      </w:r>
      <w:r w:rsidR="00DA61A5" w:rsidRPr="00B10036">
        <w:rPr>
          <w:noProof/>
        </w:rPr>
        <w:t xml:space="preserve"> dzięki usługom</w:t>
      </w:r>
      <w:r w:rsidRPr="00B10036">
        <w:rPr>
          <w:noProof/>
        </w:rPr>
        <w:t xml:space="preserve"> w</w:t>
      </w:r>
      <w:r>
        <w:rPr>
          <w:noProof/>
        </w:rPr>
        <w:t> </w:t>
      </w:r>
      <w:r w:rsidRPr="00B10036">
        <w:rPr>
          <w:noProof/>
        </w:rPr>
        <w:t>zak</w:t>
      </w:r>
      <w:r w:rsidR="00DA61A5" w:rsidRPr="00B10036">
        <w:rPr>
          <w:noProof/>
        </w:rPr>
        <w:t>resie ponownego użycia, napraw, darowizn</w:t>
      </w:r>
      <w:r w:rsidRPr="00B10036">
        <w:rPr>
          <w:noProof/>
        </w:rPr>
        <w:t xml:space="preserve"> i</w:t>
      </w:r>
      <w:r>
        <w:rPr>
          <w:noProof/>
        </w:rPr>
        <w:t> </w:t>
      </w:r>
      <w:r w:rsidRPr="00B10036">
        <w:rPr>
          <w:noProof/>
        </w:rPr>
        <w:t>wsp</w:t>
      </w:r>
      <w:r w:rsidR="00DA61A5" w:rsidRPr="00B10036">
        <w:rPr>
          <w:noProof/>
        </w:rPr>
        <w:t>ółdzielenia;</w:t>
      </w:r>
    </w:p>
    <w:p w14:paraId="20A650F5" w14:textId="21318CDE" w:rsidR="00DA61A5" w:rsidRPr="00B10036" w:rsidRDefault="00B10036" w:rsidP="00B10036">
      <w:pPr>
        <w:pStyle w:val="Point1"/>
        <w:rPr>
          <w:noProof/>
        </w:rPr>
      </w:pPr>
      <w:r w:rsidRPr="00B10036">
        <w:rPr>
          <w:noProof/>
        </w:rPr>
        <w:t>h)</w:t>
      </w:r>
      <w:r w:rsidRPr="00B10036">
        <w:rPr>
          <w:noProof/>
        </w:rPr>
        <w:tab/>
      </w:r>
      <w:r w:rsidR="00DA61A5" w:rsidRPr="00B10036">
        <w:rPr>
          <w:noProof/>
        </w:rPr>
        <w:t>„pakiet polityczny” oznacza kompleksowy</w:t>
      </w:r>
      <w:r w:rsidRPr="00B10036">
        <w:rPr>
          <w:noProof/>
        </w:rPr>
        <w:t xml:space="preserve"> i</w:t>
      </w:r>
      <w:r>
        <w:rPr>
          <w:noProof/>
        </w:rPr>
        <w:t> </w:t>
      </w:r>
      <w:r w:rsidRPr="00B10036">
        <w:rPr>
          <w:noProof/>
        </w:rPr>
        <w:t>spó</w:t>
      </w:r>
      <w:r w:rsidR="00DA61A5" w:rsidRPr="00B10036">
        <w:rPr>
          <w:noProof/>
        </w:rPr>
        <w:t>jny zestaw środków</w:t>
      </w:r>
      <w:r w:rsidRPr="00B10036">
        <w:rPr>
          <w:noProof/>
        </w:rPr>
        <w:t xml:space="preserve"> z</w:t>
      </w:r>
      <w:r>
        <w:rPr>
          <w:noProof/>
        </w:rPr>
        <w:t> </w:t>
      </w:r>
      <w:r w:rsidRPr="00B10036">
        <w:rPr>
          <w:noProof/>
        </w:rPr>
        <w:t>zak</w:t>
      </w:r>
      <w:r w:rsidR="00DA61A5" w:rsidRPr="00B10036">
        <w:rPr>
          <w:noProof/>
        </w:rPr>
        <w:t>resu polityki, który łączy politykę zatrudnienia, politykę</w:t>
      </w:r>
      <w:r w:rsidRPr="00B10036">
        <w:rPr>
          <w:noProof/>
        </w:rPr>
        <w:t xml:space="preserve"> w</w:t>
      </w:r>
      <w:r>
        <w:rPr>
          <w:noProof/>
        </w:rPr>
        <w:t> </w:t>
      </w:r>
      <w:r w:rsidRPr="00B10036">
        <w:rPr>
          <w:noProof/>
        </w:rPr>
        <w:t>zak</w:t>
      </w:r>
      <w:r w:rsidR="00DA61A5" w:rsidRPr="00B10036">
        <w:rPr>
          <w:noProof/>
        </w:rPr>
        <w:t>resie umiejętności</w:t>
      </w:r>
      <w:r w:rsidRPr="00B10036">
        <w:rPr>
          <w:noProof/>
        </w:rPr>
        <w:t xml:space="preserve"> i</w:t>
      </w:r>
      <w:r>
        <w:rPr>
          <w:noProof/>
        </w:rPr>
        <w:t> </w:t>
      </w:r>
      <w:r w:rsidRPr="00B10036">
        <w:rPr>
          <w:noProof/>
        </w:rPr>
        <w:t>pol</w:t>
      </w:r>
      <w:r w:rsidR="00DA61A5" w:rsidRPr="00B10036">
        <w:rPr>
          <w:noProof/>
        </w:rPr>
        <w:t>itykę społeczną</w:t>
      </w:r>
      <w:r w:rsidRPr="00B10036">
        <w:rPr>
          <w:noProof/>
        </w:rPr>
        <w:t xml:space="preserve"> z</w:t>
      </w:r>
      <w:r>
        <w:rPr>
          <w:noProof/>
        </w:rPr>
        <w:t> </w:t>
      </w:r>
      <w:r w:rsidRPr="00B10036">
        <w:rPr>
          <w:noProof/>
        </w:rPr>
        <w:t>pol</w:t>
      </w:r>
      <w:r w:rsidR="00DA61A5" w:rsidRPr="00B10036">
        <w:rPr>
          <w:noProof/>
        </w:rPr>
        <w:t>ityką klimatyczną, energetyczną, transportową, polityką</w:t>
      </w:r>
      <w:r w:rsidRPr="00B10036">
        <w:rPr>
          <w:noProof/>
        </w:rPr>
        <w:t xml:space="preserve"> w</w:t>
      </w:r>
      <w:r>
        <w:rPr>
          <w:noProof/>
        </w:rPr>
        <w:t> </w:t>
      </w:r>
      <w:r w:rsidRPr="00B10036">
        <w:rPr>
          <w:noProof/>
        </w:rPr>
        <w:t>zak</w:t>
      </w:r>
      <w:r w:rsidR="00DA61A5" w:rsidRPr="00B10036">
        <w:rPr>
          <w:noProof/>
        </w:rPr>
        <w:t>resie ochrony środowiska</w:t>
      </w:r>
      <w:r w:rsidRPr="00B10036">
        <w:rPr>
          <w:noProof/>
        </w:rPr>
        <w:t xml:space="preserve"> i</w:t>
      </w:r>
      <w:r>
        <w:rPr>
          <w:noProof/>
        </w:rPr>
        <w:t> </w:t>
      </w:r>
      <w:r w:rsidRPr="00B10036">
        <w:rPr>
          <w:noProof/>
        </w:rPr>
        <w:t>inn</w:t>
      </w:r>
      <w:r w:rsidR="00DA61A5" w:rsidRPr="00B10036">
        <w:rPr>
          <w:noProof/>
        </w:rPr>
        <w:t>ymi politykami dotyczącymi zielonej transformacji za sprawą dobrze skoordynowanego podejścia opartego na krajowych strategiach lub planach działania, wykorzystującego</w:t>
      </w:r>
      <w:r w:rsidRPr="00B10036">
        <w:rPr>
          <w:noProof/>
        </w:rPr>
        <w:t xml:space="preserve"> w</w:t>
      </w:r>
      <w:r>
        <w:rPr>
          <w:noProof/>
        </w:rPr>
        <w:t> </w:t>
      </w:r>
      <w:r w:rsidRPr="00B10036">
        <w:rPr>
          <w:noProof/>
        </w:rPr>
        <w:t>sto</w:t>
      </w:r>
      <w:r w:rsidR="00DA61A5" w:rsidRPr="00B10036">
        <w:rPr>
          <w:noProof/>
        </w:rPr>
        <w:t>sownych przypadkach mechanizmy koordynacji</w:t>
      </w:r>
      <w:r w:rsidRPr="00B10036">
        <w:rPr>
          <w:noProof/>
        </w:rPr>
        <w:t xml:space="preserve"> i</w:t>
      </w:r>
      <w:r>
        <w:rPr>
          <w:noProof/>
        </w:rPr>
        <w:t> </w:t>
      </w:r>
      <w:r w:rsidRPr="00B10036">
        <w:rPr>
          <w:noProof/>
        </w:rPr>
        <w:t>zar</w:t>
      </w:r>
      <w:r w:rsidR="00DA61A5" w:rsidRPr="00B10036">
        <w:rPr>
          <w:noProof/>
        </w:rPr>
        <w:t>ządzania na szczeblu UE.</w:t>
      </w:r>
    </w:p>
    <w:p w14:paraId="277C8CC4" w14:textId="7083BD49" w:rsidR="00002649" w:rsidRPr="00B10036" w:rsidRDefault="00002649" w:rsidP="00B35D4E">
      <w:pPr>
        <w:rPr>
          <w:noProof/>
        </w:rPr>
      </w:pPr>
    </w:p>
    <w:p w14:paraId="7030F2CC" w14:textId="77777777" w:rsidR="00002649" w:rsidRPr="00B10036" w:rsidRDefault="00002649" w:rsidP="00002649">
      <w:pPr>
        <w:rPr>
          <w:noProof/>
        </w:rPr>
      </w:pPr>
      <w:r w:rsidRPr="00B10036">
        <w:rPr>
          <w:noProof/>
        </w:rPr>
        <w:t>PAKIETY POLITYCZNE NA RZECZ SPRAWIEDLIWEJ ZIELONEJ TRANSFORMACJI</w:t>
      </w:r>
    </w:p>
    <w:p w14:paraId="20DF73C6" w14:textId="2B68B203" w:rsidR="00002649" w:rsidRPr="00B10036" w:rsidRDefault="00B10036" w:rsidP="00B10036">
      <w:pPr>
        <w:pStyle w:val="Point0"/>
        <w:rPr>
          <w:noProof/>
        </w:rPr>
      </w:pPr>
      <w:r>
        <w:rPr>
          <w:noProof/>
        </w:rPr>
        <w:t>4)</w:t>
      </w:r>
      <w:r>
        <w:rPr>
          <w:noProof/>
        </w:rPr>
        <w:tab/>
      </w:r>
      <w:r w:rsidR="00DA4622" w:rsidRPr="00B10036">
        <w:rPr>
          <w:noProof/>
        </w:rPr>
        <w:t>W celu zapewnienia aktywnego wsparcia na rzecz zatrudnienia wysokiej jakości</w:t>
      </w:r>
      <w:r w:rsidRPr="00B10036">
        <w:rPr>
          <w:noProof/>
        </w:rPr>
        <w:t xml:space="preserve"> z</w:t>
      </w:r>
      <w:r>
        <w:rPr>
          <w:noProof/>
        </w:rPr>
        <w:t> </w:t>
      </w:r>
      <w:r w:rsidRPr="00B10036">
        <w:rPr>
          <w:noProof/>
        </w:rPr>
        <w:t>myś</w:t>
      </w:r>
      <w:r w:rsidR="00DA4622" w:rsidRPr="00B10036">
        <w:rPr>
          <w:noProof/>
        </w:rPr>
        <w:t>lą</w:t>
      </w:r>
      <w:r w:rsidRPr="00B10036">
        <w:rPr>
          <w:noProof/>
        </w:rPr>
        <w:t xml:space="preserve"> o</w:t>
      </w:r>
      <w:r>
        <w:rPr>
          <w:noProof/>
        </w:rPr>
        <w:t> </w:t>
      </w:r>
      <w:r w:rsidRPr="00B10036">
        <w:rPr>
          <w:noProof/>
        </w:rPr>
        <w:t>spr</w:t>
      </w:r>
      <w:r w:rsidR="00DA4622" w:rsidRPr="00B10036">
        <w:rPr>
          <w:noProof/>
        </w:rPr>
        <w:t>awiedliwej transformacji oraz</w:t>
      </w:r>
      <w:r w:rsidRPr="00B10036">
        <w:rPr>
          <w:noProof/>
        </w:rPr>
        <w:t xml:space="preserve"> w</w:t>
      </w:r>
      <w:r>
        <w:rPr>
          <w:noProof/>
        </w:rPr>
        <w:t> </w:t>
      </w:r>
      <w:r w:rsidRPr="00B10036">
        <w:rPr>
          <w:noProof/>
        </w:rPr>
        <w:t>opa</w:t>
      </w:r>
      <w:r w:rsidR="00DA4622" w:rsidRPr="00B10036">
        <w:rPr>
          <w:noProof/>
        </w:rPr>
        <w:t>rciu</w:t>
      </w:r>
      <w:r w:rsidRPr="00B10036">
        <w:rPr>
          <w:noProof/>
        </w:rPr>
        <w:t xml:space="preserve"> o</w:t>
      </w:r>
      <w:r>
        <w:rPr>
          <w:noProof/>
        </w:rPr>
        <w:t> </w:t>
      </w:r>
      <w:r w:rsidRPr="00B10036">
        <w:rPr>
          <w:noProof/>
        </w:rPr>
        <w:t>zal</w:t>
      </w:r>
      <w:r w:rsidR="00DA4622" w:rsidRPr="00B10036">
        <w:rPr>
          <w:noProof/>
        </w:rPr>
        <w:t>ecenie EASE zachęca się państwa członkowskie, aby</w:t>
      </w:r>
      <w:r w:rsidRPr="00B10036">
        <w:rPr>
          <w:noProof/>
        </w:rPr>
        <w:t xml:space="preserve"> w</w:t>
      </w:r>
      <w:r>
        <w:rPr>
          <w:noProof/>
        </w:rPr>
        <w:t> </w:t>
      </w:r>
      <w:r w:rsidRPr="00B10036">
        <w:rPr>
          <w:noProof/>
        </w:rPr>
        <w:t>ści</w:t>
      </w:r>
      <w:r w:rsidR="00DA4622" w:rsidRPr="00B10036">
        <w:rPr>
          <w:noProof/>
        </w:rPr>
        <w:t>słej współpracy</w:t>
      </w:r>
      <w:r w:rsidRPr="00B10036">
        <w:rPr>
          <w:noProof/>
        </w:rPr>
        <w:t xml:space="preserve"> z</w:t>
      </w:r>
      <w:r>
        <w:rPr>
          <w:noProof/>
        </w:rPr>
        <w:t> </w:t>
      </w:r>
      <w:r w:rsidRPr="00B10036">
        <w:rPr>
          <w:noProof/>
        </w:rPr>
        <w:t>par</w:t>
      </w:r>
      <w:r w:rsidR="00DA4622" w:rsidRPr="00B10036">
        <w:rPr>
          <w:noProof/>
        </w:rPr>
        <w:t>tnerami społecznymi rozważyły wprowadzenie następujących środków na rzecz osób najbardziej obciążonych skutkami zielonej transformacji,</w:t>
      </w:r>
      <w:r w:rsidRPr="00B10036">
        <w:rPr>
          <w:noProof/>
        </w:rPr>
        <w:t xml:space="preserve"> w</w:t>
      </w:r>
      <w:r>
        <w:rPr>
          <w:noProof/>
        </w:rPr>
        <w:t> </w:t>
      </w:r>
      <w:r w:rsidRPr="00B10036">
        <w:rPr>
          <w:noProof/>
        </w:rPr>
        <w:t>szc</w:t>
      </w:r>
      <w:r w:rsidR="00DA4622" w:rsidRPr="00B10036">
        <w:rPr>
          <w:noProof/>
        </w:rPr>
        <w:t>zególności osób będących</w:t>
      </w:r>
      <w:r w:rsidRPr="00B10036">
        <w:rPr>
          <w:noProof/>
        </w:rPr>
        <w:t xml:space="preserve"> w</w:t>
      </w:r>
      <w:r>
        <w:rPr>
          <w:noProof/>
        </w:rPr>
        <w:t> </w:t>
      </w:r>
      <w:r w:rsidRPr="00B10036">
        <w:rPr>
          <w:noProof/>
        </w:rPr>
        <w:t>tru</w:t>
      </w:r>
      <w:r w:rsidR="00DA4622" w:rsidRPr="00B10036">
        <w:rPr>
          <w:noProof/>
        </w:rPr>
        <w:t>dnej sytuacji, oraz –</w:t>
      </w:r>
      <w:r w:rsidRPr="00B10036">
        <w:rPr>
          <w:noProof/>
        </w:rPr>
        <w:t xml:space="preserve"> w</w:t>
      </w:r>
      <w:r>
        <w:rPr>
          <w:noProof/>
        </w:rPr>
        <w:t> </w:t>
      </w:r>
      <w:r w:rsidRPr="00B10036">
        <w:rPr>
          <w:noProof/>
        </w:rPr>
        <w:t>sto</w:t>
      </w:r>
      <w:r w:rsidR="00DA4622" w:rsidRPr="00B10036">
        <w:rPr>
          <w:noProof/>
        </w:rPr>
        <w:t>sownych przypadkach – aby pomogły tym osobom</w:t>
      </w:r>
      <w:r w:rsidRPr="00B10036">
        <w:rPr>
          <w:noProof/>
        </w:rPr>
        <w:t xml:space="preserve"> w</w:t>
      </w:r>
      <w:r>
        <w:rPr>
          <w:noProof/>
        </w:rPr>
        <w:t> </w:t>
      </w:r>
      <w:r w:rsidRPr="00B10036">
        <w:rPr>
          <w:noProof/>
        </w:rPr>
        <w:t>prz</w:t>
      </w:r>
      <w:r w:rsidR="00DA4622" w:rsidRPr="00B10036">
        <w:rPr>
          <w:noProof/>
        </w:rPr>
        <w:t>ejściu, poprzez zatrudnienie lub samozatrudnienie,</w:t>
      </w:r>
      <w:r w:rsidRPr="00B10036">
        <w:rPr>
          <w:noProof/>
        </w:rPr>
        <w:t xml:space="preserve"> w</w:t>
      </w:r>
      <w:r>
        <w:rPr>
          <w:noProof/>
        </w:rPr>
        <w:t> </w:t>
      </w:r>
      <w:r w:rsidRPr="00B10036">
        <w:rPr>
          <w:noProof/>
        </w:rPr>
        <w:t>kie</w:t>
      </w:r>
      <w:r w:rsidR="00DA4622" w:rsidRPr="00B10036">
        <w:rPr>
          <w:noProof/>
        </w:rPr>
        <w:t>runku działalności gospodarczej przyczyniającej się do realizacji celów klimatycznych</w:t>
      </w:r>
      <w:r w:rsidRPr="00B10036">
        <w:rPr>
          <w:noProof/>
        </w:rPr>
        <w:t xml:space="preserve"> i</w:t>
      </w:r>
      <w:r>
        <w:rPr>
          <w:noProof/>
        </w:rPr>
        <w:t> </w:t>
      </w:r>
      <w:r w:rsidRPr="00B10036">
        <w:rPr>
          <w:noProof/>
        </w:rPr>
        <w:t>śro</w:t>
      </w:r>
      <w:r w:rsidR="00DA4622" w:rsidRPr="00B10036">
        <w:rPr>
          <w:noProof/>
        </w:rPr>
        <w:t>dowiskowych:</w:t>
      </w:r>
    </w:p>
    <w:p w14:paraId="3769298E" w14:textId="69AC8B8A" w:rsidR="00002649" w:rsidRPr="00B10036" w:rsidRDefault="00B10036" w:rsidP="00B10036">
      <w:pPr>
        <w:pStyle w:val="Point1"/>
        <w:rPr>
          <w:noProof/>
        </w:rPr>
      </w:pPr>
      <w:r w:rsidRPr="00B10036">
        <w:rPr>
          <w:noProof/>
        </w:rPr>
        <w:t>a)</w:t>
      </w:r>
      <w:r w:rsidRPr="00B10036">
        <w:rPr>
          <w:noProof/>
        </w:rPr>
        <w:tab/>
      </w:r>
      <w:r w:rsidR="00F43E97" w:rsidRPr="00B10036">
        <w:rPr>
          <w:noProof/>
        </w:rPr>
        <w:t>Skuteczne wsparcie</w:t>
      </w:r>
      <w:r w:rsidRPr="00B10036">
        <w:rPr>
          <w:noProof/>
        </w:rPr>
        <w:t xml:space="preserve"> w</w:t>
      </w:r>
      <w:r>
        <w:rPr>
          <w:noProof/>
        </w:rPr>
        <w:t> </w:t>
      </w:r>
      <w:r w:rsidRPr="00B10036">
        <w:rPr>
          <w:noProof/>
        </w:rPr>
        <w:t>zak</w:t>
      </w:r>
      <w:r w:rsidR="00F43E97" w:rsidRPr="00B10036">
        <w:rPr>
          <w:noProof/>
        </w:rPr>
        <w:t>resie dostępu do zatrudnienia wysokiej jakości,</w:t>
      </w:r>
      <w:r w:rsidRPr="00B10036">
        <w:rPr>
          <w:noProof/>
        </w:rPr>
        <w:t xml:space="preserve"> w</w:t>
      </w:r>
      <w:r>
        <w:rPr>
          <w:noProof/>
        </w:rPr>
        <w:t> </w:t>
      </w:r>
      <w:r w:rsidRPr="00B10036">
        <w:rPr>
          <w:noProof/>
        </w:rPr>
        <w:t>szc</w:t>
      </w:r>
      <w:r w:rsidR="00F43E97" w:rsidRPr="00B10036">
        <w:rPr>
          <w:noProof/>
        </w:rPr>
        <w:t>zególności dzięki oferowaniu dostosowanej do potrzeb pomocy</w:t>
      </w:r>
      <w:r w:rsidRPr="00B10036">
        <w:rPr>
          <w:noProof/>
        </w:rPr>
        <w:t xml:space="preserve"> w</w:t>
      </w:r>
      <w:r>
        <w:rPr>
          <w:noProof/>
        </w:rPr>
        <w:t> </w:t>
      </w:r>
      <w:r w:rsidRPr="00B10036">
        <w:rPr>
          <w:noProof/>
        </w:rPr>
        <w:t>pos</w:t>
      </w:r>
      <w:r w:rsidR="00F43E97" w:rsidRPr="00B10036">
        <w:rPr>
          <w:noProof/>
        </w:rPr>
        <w:t>zukiwaniu pracy oraz elastycznych</w:t>
      </w:r>
      <w:r w:rsidRPr="00B10036">
        <w:rPr>
          <w:noProof/>
        </w:rPr>
        <w:t xml:space="preserve"> i</w:t>
      </w:r>
      <w:r>
        <w:rPr>
          <w:noProof/>
        </w:rPr>
        <w:t> </w:t>
      </w:r>
      <w:r w:rsidRPr="00B10036">
        <w:rPr>
          <w:noProof/>
        </w:rPr>
        <w:t>mod</w:t>
      </w:r>
      <w:r w:rsidR="00F43E97" w:rsidRPr="00B10036">
        <w:rPr>
          <w:noProof/>
        </w:rPr>
        <w:t>ułowych kursów nauczania, które</w:t>
      </w:r>
      <w:r w:rsidRPr="00B10036">
        <w:rPr>
          <w:noProof/>
        </w:rPr>
        <w:t xml:space="preserve"> w</w:t>
      </w:r>
      <w:r>
        <w:rPr>
          <w:noProof/>
        </w:rPr>
        <w:t> </w:t>
      </w:r>
      <w:r w:rsidRPr="00B10036">
        <w:rPr>
          <w:noProof/>
        </w:rPr>
        <w:t>sto</w:t>
      </w:r>
      <w:r w:rsidR="00F43E97" w:rsidRPr="00B10036">
        <w:rPr>
          <w:noProof/>
        </w:rPr>
        <w:t>sownych przypadkach ukierunkowane są również na umiejętności ekologiczne</w:t>
      </w:r>
      <w:r w:rsidRPr="00B10036">
        <w:rPr>
          <w:noProof/>
        </w:rPr>
        <w:t xml:space="preserve"> i</w:t>
      </w:r>
      <w:r>
        <w:rPr>
          <w:noProof/>
        </w:rPr>
        <w:t> </w:t>
      </w:r>
      <w:r w:rsidRPr="00B10036">
        <w:rPr>
          <w:noProof/>
        </w:rPr>
        <w:t>cyf</w:t>
      </w:r>
      <w:r w:rsidR="00F43E97" w:rsidRPr="00B10036">
        <w:rPr>
          <w:noProof/>
        </w:rPr>
        <w:t>rowe. Warto również rozważyć dobrze opracowane, ukierunkowane</w:t>
      </w:r>
      <w:r w:rsidRPr="00B10036">
        <w:rPr>
          <w:noProof/>
        </w:rPr>
        <w:t xml:space="preserve"> i</w:t>
      </w:r>
      <w:r>
        <w:rPr>
          <w:noProof/>
        </w:rPr>
        <w:t> </w:t>
      </w:r>
      <w:r w:rsidRPr="00B10036">
        <w:rPr>
          <w:noProof/>
        </w:rPr>
        <w:t>ogr</w:t>
      </w:r>
      <w:r w:rsidR="00F43E97" w:rsidRPr="00B10036">
        <w:rPr>
          <w:noProof/>
        </w:rPr>
        <w:t>aniczone</w:t>
      </w:r>
      <w:r w:rsidRPr="00B10036">
        <w:rPr>
          <w:noProof/>
        </w:rPr>
        <w:t xml:space="preserve"> w</w:t>
      </w:r>
      <w:r>
        <w:rPr>
          <w:noProof/>
        </w:rPr>
        <w:t> </w:t>
      </w:r>
      <w:r w:rsidRPr="00B10036">
        <w:rPr>
          <w:noProof/>
        </w:rPr>
        <w:t>cza</w:t>
      </w:r>
      <w:r w:rsidR="00F43E97" w:rsidRPr="00B10036">
        <w:rPr>
          <w:noProof/>
        </w:rPr>
        <w:t>sie programy na rzecz zatrudnienia, które za pomocą szkoleń przygotowują beneficjentów,</w:t>
      </w:r>
      <w:r w:rsidRPr="00B10036">
        <w:rPr>
          <w:noProof/>
        </w:rPr>
        <w:t xml:space="preserve"> w</w:t>
      </w:r>
      <w:r>
        <w:rPr>
          <w:noProof/>
        </w:rPr>
        <w:t> </w:t>
      </w:r>
      <w:r w:rsidRPr="00B10036">
        <w:rPr>
          <w:noProof/>
        </w:rPr>
        <w:t>szc</w:t>
      </w:r>
      <w:r w:rsidR="00F43E97" w:rsidRPr="00B10036">
        <w:rPr>
          <w:noProof/>
        </w:rPr>
        <w:t>zególności osoby będące</w:t>
      </w:r>
      <w:r w:rsidRPr="00B10036">
        <w:rPr>
          <w:noProof/>
        </w:rPr>
        <w:t xml:space="preserve"> w</w:t>
      </w:r>
      <w:r>
        <w:rPr>
          <w:noProof/>
        </w:rPr>
        <w:t> </w:t>
      </w:r>
      <w:r w:rsidRPr="00B10036">
        <w:rPr>
          <w:noProof/>
        </w:rPr>
        <w:t>tru</w:t>
      </w:r>
      <w:r w:rsidR="00F43E97" w:rsidRPr="00B10036">
        <w:rPr>
          <w:noProof/>
        </w:rPr>
        <w:t>dnej sytuacji, do dalszego uczestnictwa</w:t>
      </w:r>
      <w:r w:rsidRPr="00B10036">
        <w:rPr>
          <w:noProof/>
        </w:rPr>
        <w:t xml:space="preserve"> w</w:t>
      </w:r>
      <w:r>
        <w:rPr>
          <w:noProof/>
        </w:rPr>
        <w:t> </w:t>
      </w:r>
      <w:r w:rsidRPr="00B10036">
        <w:rPr>
          <w:noProof/>
        </w:rPr>
        <w:t>ryn</w:t>
      </w:r>
      <w:r w:rsidR="00F43E97" w:rsidRPr="00B10036">
        <w:rPr>
          <w:noProof/>
        </w:rPr>
        <w:t xml:space="preserve">ku pracy. </w:t>
      </w:r>
    </w:p>
    <w:p w14:paraId="586BF005" w14:textId="1523B04B" w:rsidR="00002649" w:rsidRPr="00B10036" w:rsidRDefault="00B10036" w:rsidP="00B10036">
      <w:pPr>
        <w:pStyle w:val="Point1"/>
        <w:rPr>
          <w:noProof/>
        </w:rPr>
      </w:pPr>
      <w:r w:rsidRPr="00B10036">
        <w:rPr>
          <w:noProof/>
        </w:rPr>
        <w:t>b)</w:t>
      </w:r>
      <w:r w:rsidRPr="00B10036">
        <w:rPr>
          <w:noProof/>
        </w:rPr>
        <w:tab/>
      </w:r>
      <w:r w:rsidR="00002649" w:rsidRPr="00B10036">
        <w:rPr>
          <w:noProof/>
        </w:rPr>
        <w:t>Skuteczne wykorzystywanie ukierunkowanych</w:t>
      </w:r>
      <w:r w:rsidRPr="00B10036">
        <w:rPr>
          <w:noProof/>
        </w:rPr>
        <w:t xml:space="preserve"> i</w:t>
      </w:r>
      <w:r>
        <w:rPr>
          <w:noProof/>
        </w:rPr>
        <w:t> </w:t>
      </w:r>
      <w:r w:rsidRPr="00B10036">
        <w:rPr>
          <w:noProof/>
        </w:rPr>
        <w:t>dob</w:t>
      </w:r>
      <w:r w:rsidR="00002649" w:rsidRPr="00B10036">
        <w:rPr>
          <w:noProof/>
        </w:rPr>
        <w:t>rze opracowanych zachęt do zatrudniania</w:t>
      </w:r>
      <w:r w:rsidRPr="00B10036">
        <w:rPr>
          <w:noProof/>
        </w:rPr>
        <w:t xml:space="preserve"> i</w:t>
      </w:r>
      <w:r>
        <w:rPr>
          <w:noProof/>
        </w:rPr>
        <w:t> </w:t>
      </w:r>
      <w:r w:rsidRPr="00B10036">
        <w:rPr>
          <w:noProof/>
        </w:rPr>
        <w:t>zmi</w:t>
      </w:r>
      <w:r w:rsidR="00002649" w:rsidRPr="00B10036">
        <w:rPr>
          <w:noProof/>
        </w:rPr>
        <w:t>any pracy,</w:t>
      </w:r>
      <w:r w:rsidRPr="00B10036">
        <w:rPr>
          <w:noProof/>
        </w:rPr>
        <w:t xml:space="preserve"> w</w:t>
      </w:r>
      <w:r>
        <w:rPr>
          <w:noProof/>
        </w:rPr>
        <w:t> </w:t>
      </w:r>
      <w:r w:rsidRPr="00B10036">
        <w:rPr>
          <w:noProof/>
        </w:rPr>
        <w:t>tym</w:t>
      </w:r>
      <w:r w:rsidR="00002649" w:rsidRPr="00B10036">
        <w:rPr>
          <w:noProof/>
        </w:rPr>
        <w:t xml:space="preserve"> przez rozważenie odpowiedniego stosowania dopłat do wynagrodzeń</w:t>
      </w:r>
      <w:r w:rsidRPr="00B10036">
        <w:rPr>
          <w:noProof/>
        </w:rPr>
        <w:t xml:space="preserve"> i</w:t>
      </w:r>
      <w:r>
        <w:rPr>
          <w:noProof/>
        </w:rPr>
        <w:t> </w:t>
      </w:r>
      <w:r w:rsidRPr="00B10036">
        <w:rPr>
          <w:noProof/>
        </w:rPr>
        <w:t>dot</w:t>
      </w:r>
      <w:r w:rsidR="00002649" w:rsidRPr="00B10036">
        <w:rPr>
          <w:noProof/>
        </w:rPr>
        <w:t>acji na zatrudnienie nowych pracowników oraz zachęt związanych ze składkami na ubezpieczenie społeczne, które będą towarzyszyć przepływom na rynku pracy</w:t>
      </w:r>
      <w:r w:rsidRPr="00B10036">
        <w:rPr>
          <w:noProof/>
        </w:rPr>
        <w:t xml:space="preserve"> i</w:t>
      </w:r>
      <w:r>
        <w:rPr>
          <w:noProof/>
        </w:rPr>
        <w:t> </w:t>
      </w:r>
      <w:r w:rsidRPr="00B10036">
        <w:rPr>
          <w:noProof/>
        </w:rPr>
        <w:t>mob</w:t>
      </w:r>
      <w:r w:rsidR="00002649" w:rsidRPr="00B10036">
        <w:rPr>
          <w:noProof/>
        </w:rPr>
        <w:t>ilności pracowników między regionami</w:t>
      </w:r>
      <w:r w:rsidRPr="00B10036">
        <w:rPr>
          <w:noProof/>
        </w:rPr>
        <w:t xml:space="preserve"> i</w:t>
      </w:r>
      <w:r>
        <w:rPr>
          <w:noProof/>
        </w:rPr>
        <w:t> </w:t>
      </w:r>
      <w:r w:rsidRPr="00B10036">
        <w:rPr>
          <w:noProof/>
        </w:rPr>
        <w:t>pań</w:t>
      </w:r>
      <w:r w:rsidR="00002649" w:rsidRPr="00B10036">
        <w:rPr>
          <w:noProof/>
        </w:rPr>
        <w:t>stwami,</w:t>
      </w:r>
      <w:r w:rsidRPr="00B10036">
        <w:rPr>
          <w:noProof/>
        </w:rPr>
        <w:t xml:space="preserve"> w</w:t>
      </w:r>
      <w:r>
        <w:rPr>
          <w:noProof/>
        </w:rPr>
        <w:t> </w:t>
      </w:r>
      <w:r w:rsidRPr="00B10036">
        <w:rPr>
          <w:noProof/>
        </w:rPr>
        <w:t>świ</w:t>
      </w:r>
      <w:r w:rsidR="00002649" w:rsidRPr="00B10036">
        <w:rPr>
          <w:noProof/>
        </w:rPr>
        <w:t>etle możliwości</w:t>
      </w:r>
      <w:r w:rsidRPr="00B10036">
        <w:rPr>
          <w:noProof/>
        </w:rPr>
        <w:t xml:space="preserve"> i</w:t>
      </w:r>
      <w:r>
        <w:rPr>
          <w:noProof/>
        </w:rPr>
        <w:t> </w:t>
      </w:r>
      <w:r w:rsidRPr="00B10036">
        <w:rPr>
          <w:noProof/>
        </w:rPr>
        <w:t>wyz</w:t>
      </w:r>
      <w:r w:rsidR="00002649" w:rsidRPr="00B10036">
        <w:rPr>
          <w:noProof/>
        </w:rPr>
        <w:t>wań związanych</w:t>
      </w:r>
      <w:r w:rsidRPr="00B10036">
        <w:rPr>
          <w:noProof/>
        </w:rPr>
        <w:t xml:space="preserve"> z</w:t>
      </w:r>
      <w:r>
        <w:rPr>
          <w:noProof/>
        </w:rPr>
        <w:t> </w:t>
      </w:r>
      <w:r w:rsidRPr="00B10036">
        <w:rPr>
          <w:noProof/>
        </w:rPr>
        <w:t>zie</w:t>
      </w:r>
      <w:r w:rsidR="00002649" w:rsidRPr="00B10036">
        <w:rPr>
          <w:noProof/>
        </w:rPr>
        <w:t>loną transformacją.</w:t>
      </w:r>
    </w:p>
    <w:p w14:paraId="3FE3DBF0" w14:textId="0F5E23F9" w:rsidR="00002649" w:rsidRPr="00B10036" w:rsidRDefault="00B10036" w:rsidP="00B10036">
      <w:pPr>
        <w:pStyle w:val="Point1"/>
        <w:rPr>
          <w:noProof/>
        </w:rPr>
      </w:pPr>
      <w:r w:rsidRPr="00B10036">
        <w:rPr>
          <w:noProof/>
        </w:rPr>
        <w:t>c)</w:t>
      </w:r>
      <w:r w:rsidRPr="00B10036">
        <w:rPr>
          <w:noProof/>
        </w:rPr>
        <w:tab/>
      </w:r>
      <w:r w:rsidR="000A6481" w:rsidRPr="00B10036">
        <w:rPr>
          <w:noProof/>
        </w:rPr>
        <w:t>Promowanie przedsiębiorczości,</w:t>
      </w:r>
      <w:r w:rsidRPr="00B10036">
        <w:rPr>
          <w:noProof/>
        </w:rPr>
        <w:t xml:space="preserve"> w</w:t>
      </w:r>
      <w:r>
        <w:rPr>
          <w:noProof/>
        </w:rPr>
        <w:t> </w:t>
      </w:r>
      <w:r w:rsidRPr="00B10036">
        <w:rPr>
          <w:noProof/>
        </w:rPr>
        <w:t>tym</w:t>
      </w:r>
      <w:r w:rsidR="000A6481" w:rsidRPr="00B10036">
        <w:rPr>
          <w:noProof/>
        </w:rPr>
        <w:t xml:space="preserve"> przedsiębiorstw społecznych</w:t>
      </w:r>
      <w:r w:rsidR="000A6481" w:rsidRPr="00B10036">
        <w:rPr>
          <w:rStyle w:val="FootnoteReference"/>
          <w:noProof/>
        </w:rPr>
        <w:footnoteReference w:id="105"/>
      </w:r>
      <w:r w:rsidR="000A6481" w:rsidRPr="00B10036">
        <w:rPr>
          <w:noProof/>
        </w:rPr>
        <w:t>,</w:t>
      </w:r>
      <w:r w:rsidRPr="00B10036">
        <w:rPr>
          <w:noProof/>
        </w:rPr>
        <w:t xml:space="preserve"> w</w:t>
      </w:r>
      <w:r>
        <w:rPr>
          <w:noProof/>
        </w:rPr>
        <w:t> </w:t>
      </w:r>
      <w:r w:rsidRPr="00B10036">
        <w:rPr>
          <w:noProof/>
        </w:rPr>
        <w:t>szc</w:t>
      </w:r>
      <w:r w:rsidR="000A6481" w:rsidRPr="00B10036">
        <w:rPr>
          <w:noProof/>
        </w:rPr>
        <w:t>zególności</w:t>
      </w:r>
      <w:r w:rsidRPr="00B10036">
        <w:rPr>
          <w:noProof/>
        </w:rPr>
        <w:t xml:space="preserve"> w</w:t>
      </w:r>
      <w:r>
        <w:rPr>
          <w:noProof/>
        </w:rPr>
        <w:t> </w:t>
      </w:r>
      <w:r w:rsidRPr="00B10036">
        <w:rPr>
          <w:noProof/>
        </w:rPr>
        <w:t>reg</w:t>
      </w:r>
      <w:r w:rsidR="000A6481" w:rsidRPr="00B10036">
        <w:rPr>
          <w:noProof/>
        </w:rPr>
        <w:t>ionach zmagających się</w:t>
      </w:r>
      <w:r w:rsidRPr="00B10036">
        <w:rPr>
          <w:noProof/>
        </w:rPr>
        <w:t xml:space="preserve"> z</w:t>
      </w:r>
      <w:r>
        <w:rPr>
          <w:noProof/>
        </w:rPr>
        <w:t> </w:t>
      </w:r>
      <w:r w:rsidRPr="00B10036">
        <w:rPr>
          <w:noProof/>
        </w:rPr>
        <w:t>wyz</w:t>
      </w:r>
      <w:r w:rsidR="000A6481" w:rsidRPr="00B10036">
        <w:rPr>
          <w:noProof/>
        </w:rPr>
        <w:t>waniami związanymi</w:t>
      </w:r>
      <w:r w:rsidRPr="00B10036">
        <w:rPr>
          <w:noProof/>
        </w:rPr>
        <w:t xml:space="preserve"> z</w:t>
      </w:r>
      <w:r>
        <w:rPr>
          <w:noProof/>
        </w:rPr>
        <w:t> </w:t>
      </w:r>
      <w:r w:rsidRPr="00B10036">
        <w:rPr>
          <w:noProof/>
        </w:rPr>
        <w:t>tra</w:t>
      </w:r>
      <w:r w:rsidR="000A6481" w:rsidRPr="00B10036">
        <w:rPr>
          <w:noProof/>
        </w:rPr>
        <w:t>nsformacją,</w:t>
      </w:r>
      <w:r w:rsidRPr="00B10036">
        <w:rPr>
          <w:noProof/>
        </w:rPr>
        <w:t xml:space="preserve"> a</w:t>
      </w:r>
      <w:r>
        <w:rPr>
          <w:noProof/>
        </w:rPr>
        <w:t> </w:t>
      </w:r>
      <w:r w:rsidRPr="00B10036">
        <w:rPr>
          <w:noProof/>
        </w:rPr>
        <w:t>tak</w:t>
      </w:r>
      <w:r w:rsidR="000A6481" w:rsidRPr="00B10036">
        <w:rPr>
          <w:noProof/>
        </w:rPr>
        <w:t>że –</w:t>
      </w:r>
      <w:r w:rsidRPr="00B10036">
        <w:rPr>
          <w:noProof/>
        </w:rPr>
        <w:t xml:space="preserve"> w</w:t>
      </w:r>
      <w:r>
        <w:rPr>
          <w:noProof/>
        </w:rPr>
        <w:t> </w:t>
      </w:r>
      <w:r w:rsidRPr="00B10036">
        <w:rPr>
          <w:noProof/>
        </w:rPr>
        <w:t>sto</w:t>
      </w:r>
      <w:r w:rsidR="000A6481" w:rsidRPr="00B10036">
        <w:rPr>
          <w:noProof/>
        </w:rPr>
        <w:t>sownych przypadkach –</w:t>
      </w:r>
      <w:r w:rsidRPr="00B10036">
        <w:rPr>
          <w:noProof/>
        </w:rPr>
        <w:t xml:space="preserve"> w</w:t>
      </w:r>
      <w:r>
        <w:rPr>
          <w:noProof/>
        </w:rPr>
        <w:t> </w:t>
      </w:r>
      <w:r w:rsidRPr="00B10036">
        <w:rPr>
          <w:noProof/>
        </w:rPr>
        <w:t>sek</w:t>
      </w:r>
      <w:r w:rsidR="000A6481" w:rsidRPr="00B10036">
        <w:rPr>
          <w:noProof/>
        </w:rPr>
        <w:t>torach propagujących cele klimatyczne</w:t>
      </w:r>
      <w:r w:rsidRPr="00B10036">
        <w:rPr>
          <w:noProof/>
        </w:rPr>
        <w:t xml:space="preserve"> i</w:t>
      </w:r>
      <w:r>
        <w:rPr>
          <w:noProof/>
        </w:rPr>
        <w:t> </w:t>
      </w:r>
      <w:r w:rsidRPr="00B10036">
        <w:rPr>
          <w:noProof/>
        </w:rPr>
        <w:t>śro</w:t>
      </w:r>
      <w:r w:rsidR="000A6481" w:rsidRPr="00B10036">
        <w:rPr>
          <w:noProof/>
        </w:rPr>
        <w:t>dowiskowe takich jak gospodarka</w:t>
      </w:r>
      <w:r w:rsidRPr="00B10036">
        <w:rPr>
          <w:noProof/>
        </w:rPr>
        <w:t xml:space="preserve"> o</w:t>
      </w:r>
      <w:r>
        <w:rPr>
          <w:noProof/>
        </w:rPr>
        <w:t> </w:t>
      </w:r>
      <w:r w:rsidRPr="00B10036">
        <w:rPr>
          <w:noProof/>
        </w:rPr>
        <w:t>obi</w:t>
      </w:r>
      <w:r w:rsidR="000A6481" w:rsidRPr="00B10036">
        <w:rPr>
          <w:noProof/>
        </w:rPr>
        <w:t>egu zamkniętym. Wsparcie powinno łączyć</w:t>
      </w:r>
      <w:r w:rsidRPr="00B10036">
        <w:rPr>
          <w:noProof/>
        </w:rPr>
        <w:t xml:space="preserve"> w</w:t>
      </w:r>
      <w:r>
        <w:rPr>
          <w:noProof/>
        </w:rPr>
        <w:t> </w:t>
      </w:r>
      <w:r w:rsidRPr="00B10036">
        <w:rPr>
          <w:noProof/>
        </w:rPr>
        <w:t>sob</w:t>
      </w:r>
      <w:r w:rsidR="000A6481" w:rsidRPr="00B10036">
        <w:rPr>
          <w:noProof/>
        </w:rPr>
        <w:t>ie środki finansowe,</w:t>
      </w:r>
      <w:r w:rsidRPr="00B10036">
        <w:rPr>
          <w:noProof/>
        </w:rPr>
        <w:t xml:space="preserve"> w</w:t>
      </w:r>
      <w:r>
        <w:rPr>
          <w:noProof/>
        </w:rPr>
        <w:t> </w:t>
      </w:r>
      <w:r w:rsidRPr="00B10036">
        <w:rPr>
          <w:noProof/>
        </w:rPr>
        <w:t>tym w</w:t>
      </w:r>
      <w:r>
        <w:rPr>
          <w:noProof/>
        </w:rPr>
        <w:t> </w:t>
      </w:r>
      <w:r w:rsidRPr="00B10036">
        <w:rPr>
          <w:noProof/>
        </w:rPr>
        <w:t>for</w:t>
      </w:r>
      <w:r w:rsidR="000A6481" w:rsidRPr="00B10036">
        <w:rPr>
          <w:noProof/>
        </w:rPr>
        <w:t>mie dotacji, pożyczek lub dopłat do kapitału własnego, oraz środki niefinansowe,</w:t>
      </w:r>
      <w:r w:rsidRPr="00B10036">
        <w:rPr>
          <w:noProof/>
        </w:rPr>
        <w:t xml:space="preserve"> w</w:t>
      </w:r>
      <w:r>
        <w:rPr>
          <w:noProof/>
        </w:rPr>
        <w:t> </w:t>
      </w:r>
      <w:r w:rsidRPr="00B10036">
        <w:rPr>
          <w:noProof/>
        </w:rPr>
        <w:t>tym</w:t>
      </w:r>
      <w:r w:rsidR="000A6481" w:rsidRPr="00B10036">
        <w:rPr>
          <w:noProof/>
        </w:rPr>
        <w:t xml:space="preserve"> usługi szkoleniowe</w:t>
      </w:r>
      <w:r w:rsidRPr="00B10036">
        <w:rPr>
          <w:noProof/>
        </w:rPr>
        <w:t xml:space="preserve"> i</w:t>
      </w:r>
      <w:r>
        <w:rPr>
          <w:noProof/>
        </w:rPr>
        <w:t> </w:t>
      </w:r>
      <w:r w:rsidRPr="00B10036">
        <w:rPr>
          <w:noProof/>
        </w:rPr>
        <w:t>dor</w:t>
      </w:r>
      <w:r w:rsidR="000A6481" w:rsidRPr="00B10036">
        <w:rPr>
          <w:noProof/>
        </w:rPr>
        <w:t>adcze, dostosowane do potrzeb</w:t>
      </w:r>
      <w:r w:rsidRPr="00B10036">
        <w:rPr>
          <w:noProof/>
        </w:rPr>
        <w:t xml:space="preserve"> w</w:t>
      </w:r>
      <w:r>
        <w:rPr>
          <w:noProof/>
        </w:rPr>
        <w:t> </w:t>
      </w:r>
      <w:r w:rsidRPr="00B10036">
        <w:rPr>
          <w:noProof/>
        </w:rPr>
        <w:t>zal</w:t>
      </w:r>
      <w:r w:rsidR="000A6481" w:rsidRPr="00B10036">
        <w:rPr>
          <w:noProof/>
        </w:rPr>
        <w:t>eżności od etapu cyklu życia przedsiębiorstwa. Powinno ono sprzyjać włączeniu społecznemu</w:t>
      </w:r>
      <w:r w:rsidRPr="00B10036">
        <w:rPr>
          <w:noProof/>
        </w:rPr>
        <w:t xml:space="preserve"> i</w:t>
      </w:r>
      <w:r>
        <w:rPr>
          <w:noProof/>
        </w:rPr>
        <w:t> </w:t>
      </w:r>
      <w:r w:rsidRPr="00B10036">
        <w:rPr>
          <w:noProof/>
        </w:rPr>
        <w:t>być</w:t>
      </w:r>
      <w:r w:rsidR="000A6481" w:rsidRPr="00B10036">
        <w:rPr>
          <w:noProof/>
        </w:rPr>
        <w:t xml:space="preserve"> dostępne dla grup niedostatecznie reprezentowanych</w:t>
      </w:r>
      <w:r w:rsidRPr="00B10036">
        <w:rPr>
          <w:noProof/>
        </w:rPr>
        <w:t xml:space="preserve"> i</w:t>
      </w:r>
      <w:r>
        <w:rPr>
          <w:noProof/>
        </w:rPr>
        <w:t> </w:t>
      </w:r>
      <w:r w:rsidRPr="00B10036">
        <w:rPr>
          <w:noProof/>
        </w:rPr>
        <w:t>def</w:t>
      </w:r>
      <w:r w:rsidR="000A6481" w:rsidRPr="00B10036">
        <w:rPr>
          <w:noProof/>
        </w:rPr>
        <w:t>aworyzowanych.</w:t>
      </w:r>
    </w:p>
    <w:p w14:paraId="23796426" w14:textId="5AA6E4D0" w:rsidR="006504B1" w:rsidRPr="00B10036" w:rsidRDefault="00B10036" w:rsidP="00B10036">
      <w:pPr>
        <w:pStyle w:val="Point1"/>
        <w:rPr>
          <w:noProof/>
        </w:rPr>
      </w:pPr>
      <w:r w:rsidRPr="00B10036">
        <w:rPr>
          <w:noProof/>
        </w:rPr>
        <w:t>d)</w:t>
      </w:r>
      <w:r w:rsidRPr="00B10036">
        <w:rPr>
          <w:noProof/>
        </w:rPr>
        <w:tab/>
      </w:r>
      <w:r w:rsidR="006504B1" w:rsidRPr="00B10036">
        <w:rPr>
          <w:noProof/>
        </w:rPr>
        <w:t>Pobudzanie tworzenia miejsc pracy,</w:t>
      </w:r>
      <w:r w:rsidRPr="00B10036">
        <w:rPr>
          <w:noProof/>
        </w:rPr>
        <w:t xml:space="preserve"> w</w:t>
      </w:r>
      <w:r>
        <w:rPr>
          <w:noProof/>
        </w:rPr>
        <w:t> </w:t>
      </w:r>
      <w:r w:rsidRPr="00B10036">
        <w:rPr>
          <w:noProof/>
        </w:rPr>
        <w:t>szc</w:t>
      </w:r>
      <w:r w:rsidR="006504B1" w:rsidRPr="00B10036">
        <w:rPr>
          <w:noProof/>
        </w:rPr>
        <w:t>zególności na terytoriach najbardziej obciążonych skutkami zielonej transformacji i –</w:t>
      </w:r>
      <w:r w:rsidRPr="00B10036">
        <w:rPr>
          <w:noProof/>
        </w:rPr>
        <w:t xml:space="preserve"> w</w:t>
      </w:r>
      <w:r>
        <w:rPr>
          <w:noProof/>
        </w:rPr>
        <w:t> </w:t>
      </w:r>
      <w:r w:rsidRPr="00B10036">
        <w:rPr>
          <w:noProof/>
        </w:rPr>
        <w:t>sto</w:t>
      </w:r>
      <w:r w:rsidR="006504B1" w:rsidRPr="00B10036">
        <w:rPr>
          <w:noProof/>
        </w:rPr>
        <w:t>sownych przypadkach –</w:t>
      </w:r>
      <w:r w:rsidRPr="00B10036">
        <w:rPr>
          <w:noProof/>
        </w:rPr>
        <w:t xml:space="preserve"> w</w:t>
      </w:r>
      <w:r>
        <w:rPr>
          <w:noProof/>
        </w:rPr>
        <w:t> </w:t>
      </w:r>
      <w:r w:rsidRPr="00B10036">
        <w:rPr>
          <w:noProof/>
        </w:rPr>
        <w:t>sek</w:t>
      </w:r>
      <w:r w:rsidR="006504B1" w:rsidRPr="00B10036">
        <w:rPr>
          <w:noProof/>
        </w:rPr>
        <w:t>torach promujących cele klimatyczne</w:t>
      </w:r>
      <w:r w:rsidRPr="00B10036">
        <w:rPr>
          <w:noProof/>
        </w:rPr>
        <w:t xml:space="preserve"> i</w:t>
      </w:r>
      <w:r>
        <w:rPr>
          <w:noProof/>
        </w:rPr>
        <w:t> </w:t>
      </w:r>
      <w:r w:rsidRPr="00B10036">
        <w:rPr>
          <w:noProof/>
        </w:rPr>
        <w:t>śro</w:t>
      </w:r>
      <w:r w:rsidR="006504B1" w:rsidRPr="00B10036">
        <w:rPr>
          <w:noProof/>
        </w:rPr>
        <w:t>dowiskowe takich jak gospodarka</w:t>
      </w:r>
      <w:r w:rsidRPr="00B10036">
        <w:rPr>
          <w:noProof/>
        </w:rPr>
        <w:t xml:space="preserve"> o</w:t>
      </w:r>
      <w:r>
        <w:rPr>
          <w:noProof/>
        </w:rPr>
        <w:t> </w:t>
      </w:r>
      <w:r w:rsidRPr="00B10036">
        <w:rPr>
          <w:noProof/>
        </w:rPr>
        <w:t>obi</w:t>
      </w:r>
      <w:r w:rsidR="006504B1" w:rsidRPr="00B10036">
        <w:rPr>
          <w:noProof/>
        </w:rPr>
        <w:t>egu zamkniętym, przez ułatwianie dostępu do finansowania</w:t>
      </w:r>
      <w:r w:rsidRPr="00B10036">
        <w:rPr>
          <w:noProof/>
        </w:rPr>
        <w:t xml:space="preserve"> i</w:t>
      </w:r>
      <w:r>
        <w:rPr>
          <w:noProof/>
        </w:rPr>
        <w:t> </w:t>
      </w:r>
      <w:r w:rsidRPr="00B10036">
        <w:rPr>
          <w:noProof/>
        </w:rPr>
        <w:t>ryn</w:t>
      </w:r>
      <w:r w:rsidR="006504B1" w:rsidRPr="00B10036">
        <w:rPr>
          <w:noProof/>
        </w:rPr>
        <w:t>ków dla mikroprzedsiębiorstw oraz małych</w:t>
      </w:r>
      <w:r w:rsidRPr="00B10036">
        <w:rPr>
          <w:noProof/>
        </w:rPr>
        <w:t xml:space="preserve"> i</w:t>
      </w:r>
      <w:r>
        <w:rPr>
          <w:noProof/>
        </w:rPr>
        <w:t> </w:t>
      </w:r>
      <w:r w:rsidRPr="00B10036">
        <w:rPr>
          <w:noProof/>
        </w:rPr>
        <w:t>śre</w:t>
      </w:r>
      <w:r w:rsidR="006504B1" w:rsidRPr="00B10036">
        <w:rPr>
          <w:noProof/>
        </w:rPr>
        <w:t>dnich przedsiębiorstw,</w:t>
      </w:r>
      <w:r w:rsidRPr="00B10036">
        <w:rPr>
          <w:noProof/>
        </w:rPr>
        <w:t xml:space="preserve"> w</w:t>
      </w:r>
      <w:r>
        <w:rPr>
          <w:noProof/>
        </w:rPr>
        <w:t> </w:t>
      </w:r>
      <w:r w:rsidRPr="00B10036">
        <w:rPr>
          <w:noProof/>
        </w:rPr>
        <w:t>szc</w:t>
      </w:r>
      <w:r w:rsidR="006504B1" w:rsidRPr="00B10036">
        <w:rPr>
          <w:noProof/>
        </w:rPr>
        <w:t>zególności tych, które przyczyniają się do realizacji celów klimatycznych</w:t>
      </w:r>
      <w:r w:rsidRPr="00B10036">
        <w:rPr>
          <w:noProof/>
        </w:rPr>
        <w:t xml:space="preserve"> i</w:t>
      </w:r>
      <w:r>
        <w:rPr>
          <w:noProof/>
        </w:rPr>
        <w:t> </w:t>
      </w:r>
      <w:r w:rsidRPr="00B10036">
        <w:rPr>
          <w:noProof/>
        </w:rPr>
        <w:t>śro</w:t>
      </w:r>
      <w:r w:rsidR="006504B1" w:rsidRPr="00B10036">
        <w:rPr>
          <w:noProof/>
        </w:rPr>
        <w:t>dowiskowych,</w:t>
      </w:r>
      <w:r w:rsidRPr="00B10036">
        <w:rPr>
          <w:noProof/>
        </w:rPr>
        <w:t xml:space="preserve"> z</w:t>
      </w:r>
      <w:r>
        <w:rPr>
          <w:noProof/>
        </w:rPr>
        <w:t> </w:t>
      </w:r>
      <w:r w:rsidRPr="00B10036">
        <w:rPr>
          <w:noProof/>
        </w:rPr>
        <w:t>myś</w:t>
      </w:r>
      <w:r w:rsidR="006504B1" w:rsidRPr="00B10036">
        <w:rPr>
          <w:noProof/>
        </w:rPr>
        <w:t>lą</w:t>
      </w:r>
      <w:r w:rsidRPr="00B10036">
        <w:rPr>
          <w:noProof/>
        </w:rPr>
        <w:t xml:space="preserve"> o</w:t>
      </w:r>
      <w:r>
        <w:rPr>
          <w:noProof/>
        </w:rPr>
        <w:t> </w:t>
      </w:r>
      <w:r w:rsidRPr="00B10036">
        <w:rPr>
          <w:noProof/>
        </w:rPr>
        <w:t>pro</w:t>
      </w:r>
      <w:r w:rsidR="006504B1" w:rsidRPr="00B10036">
        <w:rPr>
          <w:noProof/>
        </w:rPr>
        <w:t>pagowaniu konkurencyjności, innowacji</w:t>
      </w:r>
      <w:r w:rsidRPr="00B10036">
        <w:rPr>
          <w:noProof/>
        </w:rPr>
        <w:t xml:space="preserve"> i</w:t>
      </w:r>
      <w:r>
        <w:rPr>
          <w:noProof/>
        </w:rPr>
        <w:t> </w:t>
      </w:r>
      <w:r w:rsidRPr="00B10036">
        <w:rPr>
          <w:noProof/>
        </w:rPr>
        <w:t>zat</w:t>
      </w:r>
      <w:r w:rsidR="006504B1" w:rsidRPr="00B10036">
        <w:rPr>
          <w:noProof/>
        </w:rPr>
        <w:t>rudnienia na całym jednolitym rynku,</w:t>
      </w:r>
      <w:r w:rsidRPr="00B10036">
        <w:rPr>
          <w:noProof/>
        </w:rPr>
        <w:t xml:space="preserve"> w</w:t>
      </w:r>
      <w:r>
        <w:rPr>
          <w:noProof/>
        </w:rPr>
        <w:t> </w:t>
      </w:r>
      <w:r w:rsidRPr="00B10036">
        <w:rPr>
          <w:noProof/>
        </w:rPr>
        <w:t>tym w</w:t>
      </w:r>
      <w:r>
        <w:rPr>
          <w:noProof/>
        </w:rPr>
        <w:t> </w:t>
      </w:r>
      <w:r w:rsidRPr="00B10036">
        <w:rPr>
          <w:noProof/>
        </w:rPr>
        <w:t>sek</w:t>
      </w:r>
      <w:r w:rsidR="006504B1" w:rsidRPr="00B10036">
        <w:rPr>
          <w:noProof/>
        </w:rPr>
        <w:t>torach</w:t>
      </w:r>
      <w:r w:rsidRPr="00B10036">
        <w:rPr>
          <w:noProof/>
        </w:rPr>
        <w:t xml:space="preserve"> i</w:t>
      </w:r>
      <w:r>
        <w:rPr>
          <w:noProof/>
        </w:rPr>
        <w:t> </w:t>
      </w:r>
      <w:r w:rsidRPr="00B10036">
        <w:rPr>
          <w:noProof/>
        </w:rPr>
        <w:t>eko</w:t>
      </w:r>
      <w:r w:rsidR="006504B1" w:rsidRPr="00B10036">
        <w:rPr>
          <w:noProof/>
        </w:rPr>
        <w:t>systemach</w:t>
      </w:r>
      <w:r w:rsidRPr="00B10036">
        <w:rPr>
          <w:noProof/>
        </w:rPr>
        <w:t xml:space="preserve"> o</w:t>
      </w:r>
      <w:r>
        <w:rPr>
          <w:noProof/>
        </w:rPr>
        <w:t> </w:t>
      </w:r>
      <w:r w:rsidRPr="00B10036">
        <w:rPr>
          <w:noProof/>
        </w:rPr>
        <w:t>str</w:t>
      </w:r>
      <w:r w:rsidR="006504B1" w:rsidRPr="00B10036">
        <w:rPr>
          <w:noProof/>
        </w:rPr>
        <w:t>ategicznym znaczeniu</w:t>
      </w:r>
      <w:r w:rsidRPr="00B10036">
        <w:rPr>
          <w:noProof/>
        </w:rPr>
        <w:t xml:space="preserve"> w</w:t>
      </w:r>
      <w:r>
        <w:rPr>
          <w:noProof/>
        </w:rPr>
        <w:t> </w:t>
      </w:r>
      <w:r w:rsidRPr="00B10036">
        <w:rPr>
          <w:noProof/>
        </w:rPr>
        <w:t>kon</w:t>
      </w:r>
      <w:r w:rsidR="006504B1" w:rsidRPr="00B10036">
        <w:rPr>
          <w:noProof/>
        </w:rPr>
        <w:t>tekście krajowym</w:t>
      </w:r>
      <w:r w:rsidRPr="00B10036">
        <w:rPr>
          <w:noProof/>
        </w:rPr>
        <w:t xml:space="preserve"> i</w:t>
      </w:r>
      <w:r>
        <w:rPr>
          <w:noProof/>
        </w:rPr>
        <w:t> </w:t>
      </w:r>
      <w:r w:rsidRPr="00B10036">
        <w:rPr>
          <w:noProof/>
        </w:rPr>
        <w:t>lok</w:t>
      </w:r>
      <w:r w:rsidR="006504B1" w:rsidRPr="00B10036">
        <w:rPr>
          <w:noProof/>
        </w:rPr>
        <w:t>alnym.</w:t>
      </w:r>
    </w:p>
    <w:p w14:paraId="0303D71B" w14:textId="44AC6404" w:rsidR="00E56CCA" w:rsidRPr="00B10036" w:rsidRDefault="00B10036" w:rsidP="00B10036">
      <w:pPr>
        <w:pStyle w:val="Point1"/>
        <w:rPr>
          <w:noProof/>
        </w:rPr>
      </w:pPr>
      <w:r w:rsidRPr="00B10036">
        <w:rPr>
          <w:noProof/>
        </w:rPr>
        <w:t>e)</w:t>
      </w:r>
      <w:r w:rsidRPr="00B10036">
        <w:rPr>
          <w:noProof/>
        </w:rPr>
        <w:tab/>
      </w:r>
      <w:r w:rsidR="007E7C14" w:rsidRPr="00B10036">
        <w:rPr>
          <w:noProof/>
        </w:rPr>
        <w:t>Zapewnienie skutecznego wdrożenia</w:t>
      </w:r>
      <w:r w:rsidRPr="00B10036">
        <w:rPr>
          <w:noProof/>
        </w:rPr>
        <w:t xml:space="preserve"> i</w:t>
      </w:r>
      <w:r>
        <w:rPr>
          <w:noProof/>
        </w:rPr>
        <w:t> </w:t>
      </w:r>
      <w:r w:rsidRPr="00B10036">
        <w:rPr>
          <w:noProof/>
        </w:rPr>
        <w:t>egz</w:t>
      </w:r>
      <w:r w:rsidR="007E7C14" w:rsidRPr="00B10036">
        <w:rPr>
          <w:noProof/>
        </w:rPr>
        <w:t>ekwowania istniejących przepisów dotyczących warunków pracy,</w:t>
      </w:r>
      <w:r w:rsidRPr="00B10036">
        <w:rPr>
          <w:noProof/>
        </w:rPr>
        <w:t xml:space="preserve"> w</w:t>
      </w:r>
      <w:r>
        <w:rPr>
          <w:noProof/>
        </w:rPr>
        <w:t> </w:t>
      </w:r>
      <w:r w:rsidRPr="00B10036">
        <w:rPr>
          <w:noProof/>
        </w:rPr>
        <w:t>szc</w:t>
      </w:r>
      <w:r w:rsidR="007E7C14" w:rsidRPr="00B10036">
        <w:rPr>
          <w:noProof/>
        </w:rPr>
        <w:t>zególności</w:t>
      </w:r>
      <w:r w:rsidRPr="00B10036">
        <w:rPr>
          <w:noProof/>
        </w:rPr>
        <w:t xml:space="preserve"> w</w:t>
      </w:r>
      <w:r>
        <w:rPr>
          <w:noProof/>
        </w:rPr>
        <w:t> </w:t>
      </w:r>
      <w:r w:rsidRPr="00B10036">
        <w:rPr>
          <w:noProof/>
        </w:rPr>
        <w:t>zak</w:t>
      </w:r>
      <w:r w:rsidR="007E7C14" w:rsidRPr="00B10036">
        <w:rPr>
          <w:noProof/>
        </w:rPr>
        <w:t>resie bezpieczeństwa</w:t>
      </w:r>
      <w:r w:rsidRPr="00B10036">
        <w:rPr>
          <w:noProof/>
        </w:rPr>
        <w:t xml:space="preserve"> i</w:t>
      </w:r>
      <w:r>
        <w:rPr>
          <w:noProof/>
        </w:rPr>
        <w:t> </w:t>
      </w:r>
      <w:r w:rsidRPr="00B10036">
        <w:rPr>
          <w:noProof/>
        </w:rPr>
        <w:t>hig</w:t>
      </w:r>
      <w:r w:rsidR="007E7C14" w:rsidRPr="00B10036">
        <w:rPr>
          <w:noProof/>
        </w:rPr>
        <w:t>ieny pracy, organizacji pracy</w:t>
      </w:r>
      <w:r w:rsidRPr="00B10036">
        <w:rPr>
          <w:noProof/>
        </w:rPr>
        <w:t xml:space="preserve"> i</w:t>
      </w:r>
      <w:r>
        <w:rPr>
          <w:noProof/>
        </w:rPr>
        <w:t> </w:t>
      </w:r>
      <w:r w:rsidRPr="00B10036">
        <w:rPr>
          <w:noProof/>
        </w:rPr>
        <w:t>zaa</w:t>
      </w:r>
      <w:r w:rsidR="007E7C14" w:rsidRPr="00B10036">
        <w:rPr>
          <w:noProof/>
        </w:rPr>
        <w:t>ngażowania pracowników,</w:t>
      </w:r>
      <w:r w:rsidRPr="00B10036">
        <w:rPr>
          <w:noProof/>
        </w:rPr>
        <w:t xml:space="preserve"> w</w:t>
      </w:r>
      <w:r>
        <w:rPr>
          <w:noProof/>
        </w:rPr>
        <w:t> </w:t>
      </w:r>
      <w:r w:rsidRPr="00B10036">
        <w:rPr>
          <w:noProof/>
        </w:rPr>
        <w:t>cel</w:t>
      </w:r>
      <w:r w:rsidR="007E7C14" w:rsidRPr="00B10036">
        <w:rPr>
          <w:noProof/>
        </w:rPr>
        <w:t>u ochrony jakości pracy</w:t>
      </w:r>
      <w:r w:rsidRPr="00B10036">
        <w:rPr>
          <w:noProof/>
        </w:rPr>
        <w:t xml:space="preserve"> w</w:t>
      </w:r>
      <w:r>
        <w:rPr>
          <w:noProof/>
        </w:rPr>
        <w:t> </w:t>
      </w:r>
      <w:r w:rsidRPr="00B10036">
        <w:rPr>
          <w:noProof/>
        </w:rPr>
        <w:t>pro</w:t>
      </w:r>
      <w:r w:rsidR="007E7C14" w:rsidRPr="00B10036">
        <w:rPr>
          <w:noProof/>
        </w:rPr>
        <w:t>cesie transformacji,</w:t>
      </w:r>
      <w:r w:rsidRPr="00B10036">
        <w:rPr>
          <w:noProof/>
        </w:rPr>
        <w:t xml:space="preserve"> w</w:t>
      </w:r>
      <w:r>
        <w:rPr>
          <w:noProof/>
        </w:rPr>
        <w:t> </w:t>
      </w:r>
      <w:r w:rsidRPr="00B10036">
        <w:rPr>
          <w:noProof/>
        </w:rPr>
        <w:t>tym w</w:t>
      </w:r>
      <w:r>
        <w:rPr>
          <w:noProof/>
        </w:rPr>
        <w:t> </w:t>
      </w:r>
      <w:r w:rsidRPr="00B10036">
        <w:rPr>
          <w:noProof/>
        </w:rPr>
        <w:t>ram</w:t>
      </w:r>
      <w:r w:rsidR="007E7C14" w:rsidRPr="00B10036">
        <w:rPr>
          <w:noProof/>
        </w:rPr>
        <w:t>ach działalności gospodarczej przyczyniającej się do realizacji celów klimatycznych</w:t>
      </w:r>
      <w:r w:rsidRPr="00B10036">
        <w:rPr>
          <w:noProof/>
        </w:rPr>
        <w:t xml:space="preserve"> i</w:t>
      </w:r>
      <w:r>
        <w:rPr>
          <w:noProof/>
        </w:rPr>
        <w:t> </w:t>
      </w:r>
      <w:r w:rsidRPr="00B10036">
        <w:rPr>
          <w:noProof/>
        </w:rPr>
        <w:t>śro</w:t>
      </w:r>
      <w:r w:rsidR="007E7C14" w:rsidRPr="00B10036">
        <w:rPr>
          <w:noProof/>
        </w:rPr>
        <w:t xml:space="preserve">dowiskowych. </w:t>
      </w:r>
    </w:p>
    <w:p w14:paraId="455FDD5B" w14:textId="5040186A" w:rsidR="00002649" w:rsidRPr="00B10036" w:rsidRDefault="00B10036" w:rsidP="00B10036">
      <w:pPr>
        <w:pStyle w:val="Point1"/>
        <w:rPr>
          <w:noProof/>
        </w:rPr>
      </w:pPr>
      <w:r w:rsidRPr="00B10036">
        <w:rPr>
          <w:noProof/>
        </w:rPr>
        <w:t>f)</w:t>
      </w:r>
      <w:r w:rsidRPr="00B10036">
        <w:rPr>
          <w:noProof/>
        </w:rPr>
        <w:tab/>
      </w:r>
      <w:r w:rsidR="000A6481" w:rsidRPr="00B10036">
        <w:rPr>
          <w:noProof/>
        </w:rPr>
        <w:t>Wspieranie stosowania standardów społecznie odpowiedzialnych zamówień publicznych</w:t>
      </w:r>
      <w:r w:rsidR="000A6481" w:rsidRPr="00B10036">
        <w:rPr>
          <w:rStyle w:val="FootnoteReference"/>
          <w:noProof/>
        </w:rPr>
        <w:footnoteReference w:id="106"/>
      </w:r>
      <w:r w:rsidR="000A6481" w:rsidRPr="00B10036">
        <w:rPr>
          <w:noProof/>
        </w:rPr>
        <w:t>, między innymi za pośrednictwem społecznych kryteriów udzielania zamówienia stwarzających możliwości dla osób najbardziej obciążonych skutkami zielonej transformacji, przy jednoczesnym promowaniu ekologicznych kryteriów udzielania zamówienia.</w:t>
      </w:r>
    </w:p>
    <w:p w14:paraId="09BBCEE5" w14:textId="6285EEC7" w:rsidR="00002649" w:rsidRPr="00B10036" w:rsidRDefault="00B10036" w:rsidP="00B10036">
      <w:pPr>
        <w:pStyle w:val="Point1"/>
        <w:rPr>
          <w:noProof/>
        </w:rPr>
      </w:pPr>
      <w:r w:rsidRPr="00B10036">
        <w:rPr>
          <w:noProof/>
        </w:rPr>
        <w:t>g)</w:t>
      </w:r>
      <w:r w:rsidRPr="00B10036">
        <w:rPr>
          <w:noProof/>
        </w:rPr>
        <w:tab/>
      </w:r>
      <w:r w:rsidR="00002649" w:rsidRPr="00B10036">
        <w:rPr>
          <w:noProof/>
        </w:rPr>
        <w:t>Zapewnienie pełnego</w:t>
      </w:r>
      <w:r w:rsidRPr="00B10036">
        <w:rPr>
          <w:noProof/>
        </w:rPr>
        <w:t xml:space="preserve"> i</w:t>
      </w:r>
      <w:r>
        <w:rPr>
          <w:noProof/>
        </w:rPr>
        <w:t> </w:t>
      </w:r>
      <w:r w:rsidRPr="00B10036">
        <w:rPr>
          <w:noProof/>
        </w:rPr>
        <w:t>zna</w:t>
      </w:r>
      <w:r w:rsidR="00002649" w:rsidRPr="00B10036">
        <w:rPr>
          <w:noProof/>
        </w:rPr>
        <w:t>czącego zaangażowania pracowników</w:t>
      </w:r>
      <w:r w:rsidRPr="00B10036">
        <w:rPr>
          <w:noProof/>
        </w:rPr>
        <w:t xml:space="preserve"> i</w:t>
      </w:r>
      <w:r>
        <w:rPr>
          <w:noProof/>
        </w:rPr>
        <w:t> </w:t>
      </w:r>
      <w:r w:rsidRPr="00B10036">
        <w:rPr>
          <w:noProof/>
        </w:rPr>
        <w:t>ich</w:t>
      </w:r>
      <w:r w:rsidR="00002649" w:rsidRPr="00B10036">
        <w:rPr>
          <w:noProof/>
        </w:rPr>
        <w:t xml:space="preserve"> przedstawicieli</w:t>
      </w:r>
      <w:r w:rsidRPr="00B10036">
        <w:rPr>
          <w:noProof/>
        </w:rPr>
        <w:t xml:space="preserve"> w</w:t>
      </w:r>
      <w:r>
        <w:rPr>
          <w:noProof/>
        </w:rPr>
        <w:t> </w:t>
      </w:r>
      <w:r w:rsidRPr="00B10036">
        <w:rPr>
          <w:noProof/>
        </w:rPr>
        <w:t>dzi</w:t>
      </w:r>
      <w:r w:rsidR="00002649" w:rsidRPr="00B10036">
        <w:rPr>
          <w:noProof/>
        </w:rPr>
        <w:t>ałania związane</w:t>
      </w:r>
      <w:r w:rsidRPr="00B10036">
        <w:rPr>
          <w:noProof/>
        </w:rPr>
        <w:t xml:space="preserve"> z</w:t>
      </w:r>
      <w:r>
        <w:rPr>
          <w:noProof/>
        </w:rPr>
        <w:t> </w:t>
      </w:r>
      <w:r w:rsidRPr="00B10036">
        <w:rPr>
          <w:noProof/>
        </w:rPr>
        <w:t>prz</w:t>
      </w:r>
      <w:r w:rsidR="00002649" w:rsidRPr="00B10036">
        <w:rPr>
          <w:noProof/>
        </w:rPr>
        <w:t>ewidywaniem zmian</w:t>
      </w:r>
      <w:r w:rsidRPr="00B10036">
        <w:rPr>
          <w:noProof/>
        </w:rPr>
        <w:t xml:space="preserve"> i</w:t>
      </w:r>
      <w:r>
        <w:rPr>
          <w:noProof/>
        </w:rPr>
        <w:t> </w:t>
      </w:r>
      <w:r w:rsidRPr="00B10036">
        <w:rPr>
          <w:noProof/>
        </w:rPr>
        <w:t>zar</w:t>
      </w:r>
      <w:r w:rsidR="00002649" w:rsidRPr="00B10036">
        <w:rPr>
          <w:noProof/>
        </w:rPr>
        <w:t>ządzaniem procesami restrukturyzacji,</w:t>
      </w:r>
      <w:r w:rsidRPr="00B10036">
        <w:rPr>
          <w:noProof/>
        </w:rPr>
        <w:t xml:space="preserve"> w</w:t>
      </w:r>
      <w:r>
        <w:rPr>
          <w:noProof/>
        </w:rPr>
        <w:t> </w:t>
      </w:r>
      <w:r w:rsidRPr="00B10036">
        <w:rPr>
          <w:noProof/>
        </w:rPr>
        <w:t>tym</w:t>
      </w:r>
      <w:r w:rsidR="00002649" w:rsidRPr="00B10036">
        <w:rPr>
          <w:noProof/>
        </w:rPr>
        <w:t xml:space="preserve"> związanymi</w:t>
      </w:r>
      <w:r w:rsidRPr="00B10036">
        <w:rPr>
          <w:noProof/>
        </w:rPr>
        <w:t xml:space="preserve"> z</w:t>
      </w:r>
      <w:r>
        <w:rPr>
          <w:noProof/>
        </w:rPr>
        <w:t> </w:t>
      </w:r>
      <w:r w:rsidRPr="00B10036">
        <w:rPr>
          <w:noProof/>
        </w:rPr>
        <w:t>zie</w:t>
      </w:r>
      <w:r w:rsidR="00002649" w:rsidRPr="00B10036">
        <w:rPr>
          <w:noProof/>
        </w:rPr>
        <w:t>loną transformacją, zgodnie</w:t>
      </w:r>
      <w:r w:rsidRPr="00B10036">
        <w:rPr>
          <w:noProof/>
        </w:rPr>
        <w:t xml:space="preserve"> z</w:t>
      </w:r>
      <w:r>
        <w:rPr>
          <w:noProof/>
        </w:rPr>
        <w:t> </w:t>
      </w:r>
      <w:r w:rsidRPr="00B10036">
        <w:rPr>
          <w:noProof/>
        </w:rPr>
        <w:t>uni</w:t>
      </w:r>
      <w:r w:rsidR="00002649" w:rsidRPr="00B10036">
        <w:rPr>
          <w:noProof/>
        </w:rPr>
        <w:t>jnymi ramami jakości na rzecz przewidywania zmian</w:t>
      </w:r>
      <w:r w:rsidRPr="00B10036">
        <w:rPr>
          <w:noProof/>
        </w:rPr>
        <w:t xml:space="preserve"> i</w:t>
      </w:r>
      <w:r>
        <w:rPr>
          <w:noProof/>
        </w:rPr>
        <w:t> </w:t>
      </w:r>
      <w:r w:rsidRPr="00B10036">
        <w:rPr>
          <w:noProof/>
        </w:rPr>
        <w:t>res</w:t>
      </w:r>
      <w:r w:rsidR="00002649" w:rsidRPr="00B10036">
        <w:rPr>
          <w:noProof/>
        </w:rPr>
        <w:t>trukturyzacji</w:t>
      </w:r>
      <w:r w:rsidR="00002649" w:rsidRPr="00B10036">
        <w:rPr>
          <w:rStyle w:val="FootnoteReference"/>
          <w:noProof/>
        </w:rPr>
        <w:footnoteReference w:id="107"/>
      </w:r>
      <w:r w:rsidR="00002649" w:rsidRPr="00B10036">
        <w:rPr>
          <w:noProof/>
        </w:rPr>
        <w:t>.</w:t>
      </w:r>
    </w:p>
    <w:p w14:paraId="04FCE1B7" w14:textId="423145A8" w:rsidR="00CA5722" w:rsidRPr="00B10036" w:rsidRDefault="00B10036" w:rsidP="00B10036">
      <w:pPr>
        <w:pStyle w:val="Point0"/>
        <w:rPr>
          <w:noProof/>
        </w:rPr>
      </w:pPr>
      <w:r>
        <w:rPr>
          <w:noProof/>
        </w:rPr>
        <w:t>5)</w:t>
      </w:r>
      <w:r>
        <w:rPr>
          <w:noProof/>
        </w:rPr>
        <w:tab/>
      </w:r>
      <w:r w:rsidR="00DA4622" w:rsidRPr="00B10036">
        <w:rPr>
          <w:noProof/>
        </w:rPr>
        <w:t>W celu zapewnienia równego dostępu do charakteryzującego się wysoką jakością, włączającego kształcenia, szkolenia</w:t>
      </w:r>
      <w:r w:rsidRPr="00B10036">
        <w:rPr>
          <w:noProof/>
        </w:rPr>
        <w:t xml:space="preserve"> i</w:t>
      </w:r>
      <w:r>
        <w:rPr>
          <w:noProof/>
        </w:rPr>
        <w:t> </w:t>
      </w:r>
      <w:r w:rsidRPr="00B10036">
        <w:rPr>
          <w:noProof/>
        </w:rPr>
        <w:t>ucz</w:t>
      </w:r>
      <w:r w:rsidR="00DA4622" w:rsidRPr="00B10036">
        <w:rPr>
          <w:noProof/>
        </w:rPr>
        <w:t>enia się przez całe życie oraz równych możliwości zachęca się państwa członkowskie, aby rozważyły wprowadzenie</w:t>
      </w:r>
      <w:r w:rsidRPr="00B10036">
        <w:rPr>
          <w:noProof/>
        </w:rPr>
        <w:t xml:space="preserve"> w</w:t>
      </w:r>
      <w:r>
        <w:rPr>
          <w:noProof/>
        </w:rPr>
        <w:t> </w:t>
      </w:r>
      <w:r w:rsidRPr="00B10036">
        <w:rPr>
          <w:noProof/>
        </w:rPr>
        <w:t>ści</w:t>
      </w:r>
      <w:r w:rsidR="00DA4622" w:rsidRPr="00B10036">
        <w:rPr>
          <w:noProof/>
        </w:rPr>
        <w:t>słej współpracy</w:t>
      </w:r>
      <w:r w:rsidRPr="00B10036">
        <w:rPr>
          <w:noProof/>
        </w:rPr>
        <w:t xml:space="preserve"> z</w:t>
      </w:r>
      <w:r>
        <w:rPr>
          <w:noProof/>
        </w:rPr>
        <w:t> </w:t>
      </w:r>
      <w:r w:rsidRPr="00B10036">
        <w:rPr>
          <w:noProof/>
        </w:rPr>
        <w:t>par</w:t>
      </w:r>
      <w:r w:rsidR="00DA4622" w:rsidRPr="00B10036">
        <w:rPr>
          <w:noProof/>
        </w:rPr>
        <w:t>tnerami społecznymi następujących środków,</w:t>
      </w:r>
      <w:r w:rsidRPr="00B10036">
        <w:rPr>
          <w:noProof/>
        </w:rPr>
        <w:t xml:space="preserve"> w</w:t>
      </w:r>
      <w:r>
        <w:rPr>
          <w:noProof/>
        </w:rPr>
        <w:t> </w:t>
      </w:r>
      <w:r w:rsidRPr="00B10036">
        <w:rPr>
          <w:noProof/>
        </w:rPr>
        <w:t>szc</w:t>
      </w:r>
      <w:r w:rsidR="00DA4622" w:rsidRPr="00B10036">
        <w:rPr>
          <w:noProof/>
        </w:rPr>
        <w:t>zególności wspierających osoby</w:t>
      </w:r>
      <w:r w:rsidRPr="00B10036">
        <w:rPr>
          <w:noProof/>
        </w:rPr>
        <w:t xml:space="preserve"> i</w:t>
      </w:r>
      <w:r>
        <w:rPr>
          <w:noProof/>
        </w:rPr>
        <w:t> </w:t>
      </w:r>
      <w:r w:rsidRPr="00B10036">
        <w:rPr>
          <w:noProof/>
        </w:rPr>
        <w:t>gos</w:t>
      </w:r>
      <w:r w:rsidR="00DA4622" w:rsidRPr="00B10036">
        <w:rPr>
          <w:noProof/>
        </w:rPr>
        <w:t>podarstwa domowe najbardziej obciążone skutkami zielonej transformacji, zwłaszcza te będące</w:t>
      </w:r>
      <w:r w:rsidRPr="00B10036">
        <w:rPr>
          <w:noProof/>
        </w:rPr>
        <w:t xml:space="preserve"> w</w:t>
      </w:r>
      <w:r>
        <w:rPr>
          <w:noProof/>
        </w:rPr>
        <w:t> </w:t>
      </w:r>
      <w:r w:rsidRPr="00B10036">
        <w:rPr>
          <w:noProof/>
        </w:rPr>
        <w:t>tru</w:t>
      </w:r>
      <w:r w:rsidR="00DA4622" w:rsidRPr="00B10036">
        <w:rPr>
          <w:noProof/>
        </w:rPr>
        <w:t xml:space="preserve">dnej sytuacji. </w:t>
      </w:r>
    </w:p>
    <w:p w14:paraId="746BD7A2" w14:textId="58927E55" w:rsidR="00002649" w:rsidRPr="00B10036" w:rsidRDefault="00B10036" w:rsidP="00B10036">
      <w:pPr>
        <w:pStyle w:val="Point1"/>
        <w:rPr>
          <w:noProof/>
        </w:rPr>
      </w:pPr>
      <w:r w:rsidRPr="00B10036">
        <w:rPr>
          <w:noProof/>
        </w:rPr>
        <w:t>a)</w:t>
      </w:r>
      <w:r w:rsidRPr="00B10036">
        <w:rPr>
          <w:noProof/>
        </w:rPr>
        <w:tab/>
      </w:r>
      <w:r w:rsidR="00002649" w:rsidRPr="00B10036">
        <w:rPr>
          <w:noProof/>
        </w:rPr>
        <w:t>Włączenie aspektów związanych</w:t>
      </w:r>
      <w:r w:rsidRPr="00B10036">
        <w:rPr>
          <w:noProof/>
        </w:rPr>
        <w:t xml:space="preserve"> z</w:t>
      </w:r>
      <w:r>
        <w:rPr>
          <w:noProof/>
        </w:rPr>
        <w:t> </w:t>
      </w:r>
      <w:r w:rsidRPr="00B10036">
        <w:rPr>
          <w:noProof/>
        </w:rPr>
        <w:t>zat</w:t>
      </w:r>
      <w:r w:rsidR="00002649" w:rsidRPr="00B10036">
        <w:rPr>
          <w:noProof/>
        </w:rPr>
        <w:t>rudnieniem</w:t>
      </w:r>
      <w:r w:rsidRPr="00B10036">
        <w:rPr>
          <w:noProof/>
        </w:rPr>
        <w:t xml:space="preserve"> i</w:t>
      </w:r>
      <w:r>
        <w:rPr>
          <w:noProof/>
        </w:rPr>
        <w:t> </w:t>
      </w:r>
      <w:r w:rsidRPr="00B10036">
        <w:rPr>
          <w:noProof/>
        </w:rPr>
        <w:t>asp</w:t>
      </w:r>
      <w:r w:rsidR="00002649" w:rsidRPr="00B10036">
        <w:rPr>
          <w:noProof/>
        </w:rPr>
        <w:t>ektów społecznych zielonej transformacji do opracowywania</w:t>
      </w:r>
      <w:r w:rsidRPr="00B10036">
        <w:rPr>
          <w:noProof/>
        </w:rPr>
        <w:t xml:space="preserve"> i</w:t>
      </w:r>
      <w:r>
        <w:rPr>
          <w:noProof/>
        </w:rPr>
        <w:t> </w:t>
      </w:r>
      <w:r w:rsidRPr="00B10036">
        <w:rPr>
          <w:noProof/>
        </w:rPr>
        <w:t>wdr</w:t>
      </w:r>
      <w:r w:rsidR="00002649" w:rsidRPr="00B10036">
        <w:rPr>
          <w:noProof/>
        </w:rPr>
        <w:t>ażania krajowych strategii na rzecz umiejętności na podstawie europejskiego programu na rzecz umiejętności oraz ustanowienie partnerstw zainteresowanych stron</w:t>
      </w:r>
      <w:r w:rsidRPr="00B10036">
        <w:rPr>
          <w:noProof/>
        </w:rPr>
        <w:t xml:space="preserve"> w</w:t>
      </w:r>
      <w:r>
        <w:rPr>
          <w:noProof/>
        </w:rPr>
        <w:t> </w:t>
      </w:r>
      <w:r w:rsidRPr="00B10036">
        <w:rPr>
          <w:noProof/>
        </w:rPr>
        <w:t>ram</w:t>
      </w:r>
      <w:r w:rsidR="00002649" w:rsidRPr="00B10036">
        <w:rPr>
          <w:noProof/>
        </w:rPr>
        <w:t>ach paktu na rzecz umiejętności</w:t>
      </w:r>
      <w:r w:rsidRPr="00B10036">
        <w:rPr>
          <w:noProof/>
        </w:rPr>
        <w:t xml:space="preserve"> i</w:t>
      </w:r>
      <w:r>
        <w:rPr>
          <w:noProof/>
        </w:rPr>
        <w:t> </w:t>
      </w:r>
      <w:r w:rsidRPr="00B10036">
        <w:rPr>
          <w:noProof/>
        </w:rPr>
        <w:t>akt</w:t>
      </w:r>
      <w:r w:rsidR="00002649" w:rsidRPr="00B10036">
        <w:rPr>
          <w:noProof/>
        </w:rPr>
        <w:t>ywne kierowanie nimi, przy jednoczesnym zapewnieniu,</w:t>
      </w:r>
      <w:r w:rsidRPr="00B10036">
        <w:rPr>
          <w:noProof/>
        </w:rPr>
        <w:t xml:space="preserve"> w</w:t>
      </w:r>
      <w:r>
        <w:rPr>
          <w:noProof/>
        </w:rPr>
        <w:t> </w:t>
      </w:r>
      <w:r w:rsidRPr="00B10036">
        <w:rPr>
          <w:noProof/>
        </w:rPr>
        <w:t>szc</w:t>
      </w:r>
      <w:r w:rsidR="00002649" w:rsidRPr="00B10036">
        <w:rPr>
          <w:noProof/>
        </w:rPr>
        <w:t>zególności, aby współtworzone ścieżki transformacji odpowiednich ekosystemów przemysłowych przyczyniających się do realizacji celów klimatycznych</w:t>
      </w:r>
      <w:r w:rsidRPr="00B10036">
        <w:rPr>
          <w:noProof/>
        </w:rPr>
        <w:t xml:space="preserve"> i</w:t>
      </w:r>
      <w:r>
        <w:rPr>
          <w:noProof/>
        </w:rPr>
        <w:t> </w:t>
      </w:r>
      <w:r w:rsidRPr="00B10036">
        <w:rPr>
          <w:noProof/>
        </w:rPr>
        <w:t>śro</w:t>
      </w:r>
      <w:r w:rsidR="00002649" w:rsidRPr="00B10036">
        <w:rPr>
          <w:noProof/>
        </w:rPr>
        <w:t>dowiskowych były skoncentrowane wokół umiejętności.</w:t>
      </w:r>
    </w:p>
    <w:p w14:paraId="683C5DDB" w14:textId="624BBE4A" w:rsidR="00585F92" w:rsidRPr="00B10036" w:rsidRDefault="00B10036" w:rsidP="00B10036">
      <w:pPr>
        <w:pStyle w:val="Point1"/>
        <w:rPr>
          <w:noProof/>
        </w:rPr>
      </w:pPr>
      <w:r w:rsidRPr="00B10036">
        <w:rPr>
          <w:noProof/>
        </w:rPr>
        <w:t>b)</w:t>
      </w:r>
      <w:r w:rsidRPr="00B10036">
        <w:rPr>
          <w:noProof/>
        </w:rPr>
        <w:tab/>
      </w:r>
      <w:r w:rsidR="00002649" w:rsidRPr="00B10036">
        <w:rPr>
          <w:noProof/>
        </w:rPr>
        <w:t>Opracowanie aktualnych informacji</w:t>
      </w:r>
      <w:r w:rsidRPr="00B10036">
        <w:rPr>
          <w:noProof/>
        </w:rPr>
        <w:t xml:space="preserve"> i</w:t>
      </w:r>
      <w:r>
        <w:rPr>
          <w:noProof/>
        </w:rPr>
        <w:t> </w:t>
      </w:r>
      <w:r w:rsidRPr="00B10036">
        <w:rPr>
          <w:noProof/>
        </w:rPr>
        <w:t>pro</w:t>
      </w:r>
      <w:r w:rsidR="00002649" w:rsidRPr="00B10036">
        <w:rPr>
          <w:noProof/>
        </w:rPr>
        <w:t>gnoz dotyczących rynku pracy</w:t>
      </w:r>
      <w:r w:rsidRPr="00B10036">
        <w:rPr>
          <w:noProof/>
        </w:rPr>
        <w:t xml:space="preserve"> i</w:t>
      </w:r>
      <w:r>
        <w:rPr>
          <w:noProof/>
        </w:rPr>
        <w:t> </w:t>
      </w:r>
      <w:r w:rsidRPr="00B10036">
        <w:rPr>
          <w:noProof/>
        </w:rPr>
        <w:t>umi</w:t>
      </w:r>
      <w:r w:rsidR="00002649" w:rsidRPr="00B10036">
        <w:rPr>
          <w:noProof/>
        </w:rPr>
        <w:t>ejętności, które umożliwią identyfikację</w:t>
      </w:r>
      <w:r w:rsidRPr="00B10036">
        <w:rPr>
          <w:noProof/>
        </w:rPr>
        <w:t xml:space="preserve"> i</w:t>
      </w:r>
      <w:r>
        <w:rPr>
          <w:noProof/>
        </w:rPr>
        <w:t> </w:t>
      </w:r>
      <w:r w:rsidRPr="00B10036">
        <w:rPr>
          <w:noProof/>
        </w:rPr>
        <w:t>pro</w:t>
      </w:r>
      <w:r w:rsidR="00002649" w:rsidRPr="00B10036">
        <w:rPr>
          <w:noProof/>
        </w:rPr>
        <w:t>gnozowanie potrzeb</w:t>
      </w:r>
      <w:r w:rsidRPr="00B10036">
        <w:rPr>
          <w:noProof/>
        </w:rPr>
        <w:t xml:space="preserve"> w</w:t>
      </w:r>
      <w:r>
        <w:rPr>
          <w:noProof/>
        </w:rPr>
        <w:t> </w:t>
      </w:r>
      <w:r w:rsidRPr="00B10036">
        <w:rPr>
          <w:noProof/>
        </w:rPr>
        <w:t>zak</w:t>
      </w:r>
      <w:r w:rsidR="00002649" w:rsidRPr="00B10036">
        <w:rPr>
          <w:noProof/>
        </w:rPr>
        <w:t>resie umiejętności przekrojowych</w:t>
      </w:r>
      <w:r w:rsidRPr="00B10036">
        <w:rPr>
          <w:noProof/>
        </w:rPr>
        <w:t xml:space="preserve"> i</w:t>
      </w:r>
      <w:r>
        <w:rPr>
          <w:noProof/>
        </w:rPr>
        <w:t> </w:t>
      </w:r>
      <w:r w:rsidRPr="00B10036">
        <w:rPr>
          <w:noProof/>
        </w:rPr>
        <w:t>spe</w:t>
      </w:r>
      <w:r w:rsidR="00002649" w:rsidRPr="00B10036">
        <w:rPr>
          <w:noProof/>
        </w:rPr>
        <w:t>cyficznych dla danego zawodu. Korzystanie</w:t>
      </w:r>
      <w:r w:rsidRPr="00B10036">
        <w:rPr>
          <w:noProof/>
        </w:rPr>
        <w:t xml:space="preserve"> z</w:t>
      </w:r>
      <w:r>
        <w:rPr>
          <w:noProof/>
        </w:rPr>
        <w:t> </w:t>
      </w:r>
      <w:r w:rsidRPr="00B10036">
        <w:rPr>
          <w:noProof/>
        </w:rPr>
        <w:t>ist</w:t>
      </w:r>
      <w:r w:rsidR="00002649" w:rsidRPr="00B10036">
        <w:rPr>
          <w:noProof/>
        </w:rPr>
        <w:t>niejących narzędzi</w:t>
      </w:r>
      <w:r w:rsidRPr="00B10036">
        <w:rPr>
          <w:noProof/>
        </w:rPr>
        <w:t xml:space="preserve"> i</w:t>
      </w:r>
      <w:r>
        <w:rPr>
          <w:noProof/>
        </w:rPr>
        <w:t> </w:t>
      </w:r>
      <w:r w:rsidRPr="00B10036">
        <w:rPr>
          <w:noProof/>
        </w:rPr>
        <w:t>ini</w:t>
      </w:r>
      <w:r w:rsidR="00002649" w:rsidRPr="00B10036">
        <w:rPr>
          <w:noProof/>
        </w:rPr>
        <w:t>cjatyw,</w:t>
      </w:r>
      <w:r w:rsidRPr="00B10036">
        <w:rPr>
          <w:noProof/>
        </w:rPr>
        <w:t xml:space="preserve"> w</w:t>
      </w:r>
      <w:r>
        <w:rPr>
          <w:noProof/>
        </w:rPr>
        <w:t> </w:t>
      </w:r>
      <w:r w:rsidRPr="00B10036">
        <w:rPr>
          <w:noProof/>
        </w:rPr>
        <w:t>tym</w:t>
      </w:r>
      <w:r w:rsidR="00002649" w:rsidRPr="00B10036">
        <w:rPr>
          <w:noProof/>
        </w:rPr>
        <w:t xml:space="preserve"> wiedzy eksperckiej partnerów społecznych</w:t>
      </w:r>
      <w:r w:rsidRPr="00B10036">
        <w:rPr>
          <w:noProof/>
        </w:rPr>
        <w:t xml:space="preserve"> i</w:t>
      </w:r>
      <w:r>
        <w:rPr>
          <w:noProof/>
        </w:rPr>
        <w:t> </w:t>
      </w:r>
      <w:r w:rsidRPr="00B10036">
        <w:rPr>
          <w:noProof/>
        </w:rPr>
        <w:t>odp</w:t>
      </w:r>
      <w:r w:rsidR="00002649" w:rsidRPr="00B10036">
        <w:rPr>
          <w:noProof/>
        </w:rPr>
        <w:t>owiednich zainteresowanych stron oraz współpraca</w:t>
      </w:r>
      <w:r w:rsidRPr="00B10036">
        <w:rPr>
          <w:noProof/>
        </w:rPr>
        <w:t xml:space="preserve"> z</w:t>
      </w:r>
      <w:r>
        <w:rPr>
          <w:noProof/>
        </w:rPr>
        <w:t> </w:t>
      </w:r>
      <w:r w:rsidRPr="00B10036">
        <w:rPr>
          <w:noProof/>
        </w:rPr>
        <w:t>nim</w:t>
      </w:r>
      <w:r w:rsidR="00002649" w:rsidRPr="00B10036">
        <w:rPr>
          <w:noProof/>
        </w:rPr>
        <w:t>i. Odpowiednie dostosowanie programów kształcenia</w:t>
      </w:r>
      <w:r w:rsidRPr="00B10036">
        <w:rPr>
          <w:noProof/>
        </w:rPr>
        <w:t xml:space="preserve"> i</w:t>
      </w:r>
      <w:r>
        <w:rPr>
          <w:noProof/>
        </w:rPr>
        <w:t> </w:t>
      </w:r>
      <w:r w:rsidRPr="00B10036">
        <w:rPr>
          <w:noProof/>
        </w:rPr>
        <w:t>szk</w:t>
      </w:r>
      <w:r w:rsidR="00002649" w:rsidRPr="00B10036">
        <w:rPr>
          <w:noProof/>
        </w:rPr>
        <w:t>olenia.</w:t>
      </w:r>
    </w:p>
    <w:p w14:paraId="6EE98C13" w14:textId="6A242939" w:rsidR="00AE4B7E" w:rsidRPr="00B10036" w:rsidRDefault="00B10036" w:rsidP="00B10036">
      <w:pPr>
        <w:pStyle w:val="Point1"/>
        <w:rPr>
          <w:noProof/>
        </w:rPr>
      </w:pPr>
      <w:r w:rsidRPr="00B10036">
        <w:rPr>
          <w:noProof/>
        </w:rPr>
        <w:t>c)</w:t>
      </w:r>
      <w:r w:rsidRPr="00B10036">
        <w:rPr>
          <w:noProof/>
        </w:rPr>
        <w:tab/>
      </w:r>
      <w:r w:rsidR="00002649" w:rsidRPr="00B10036">
        <w:rPr>
          <w:noProof/>
        </w:rPr>
        <w:t>Zapewnienie charakteryzującego się wysoką jakością, włączającego kształcenia</w:t>
      </w:r>
      <w:r w:rsidRPr="00B10036">
        <w:rPr>
          <w:noProof/>
        </w:rPr>
        <w:t xml:space="preserve"> i</w:t>
      </w:r>
      <w:r>
        <w:rPr>
          <w:noProof/>
        </w:rPr>
        <w:t> </w:t>
      </w:r>
      <w:r w:rsidRPr="00B10036">
        <w:rPr>
          <w:noProof/>
        </w:rPr>
        <w:t>szk</w:t>
      </w:r>
      <w:r w:rsidR="00002649" w:rsidRPr="00B10036">
        <w:rPr>
          <w:noProof/>
        </w:rPr>
        <w:t>olenia wstępnego,</w:t>
      </w:r>
      <w:r w:rsidRPr="00B10036">
        <w:rPr>
          <w:noProof/>
        </w:rPr>
        <w:t xml:space="preserve"> w</w:t>
      </w:r>
      <w:r>
        <w:rPr>
          <w:noProof/>
        </w:rPr>
        <w:t> </w:t>
      </w:r>
      <w:r w:rsidRPr="00B10036">
        <w:rPr>
          <w:noProof/>
        </w:rPr>
        <w:t>tym</w:t>
      </w:r>
      <w:r w:rsidR="00002649" w:rsidRPr="00B10036">
        <w:rPr>
          <w:noProof/>
        </w:rPr>
        <w:t xml:space="preserve"> kształcenia</w:t>
      </w:r>
      <w:r w:rsidRPr="00B10036">
        <w:rPr>
          <w:noProof/>
        </w:rPr>
        <w:t xml:space="preserve"> i</w:t>
      </w:r>
      <w:r>
        <w:rPr>
          <w:noProof/>
        </w:rPr>
        <w:t> </w:t>
      </w:r>
      <w:r w:rsidRPr="00B10036">
        <w:rPr>
          <w:noProof/>
        </w:rPr>
        <w:t>szk</w:t>
      </w:r>
      <w:r w:rsidR="00002649" w:rsidRPr="00B10036">
        <w:rPr>
          <w:noProof/>
        </w:rPr>
        <w:t>olenia zawodowego, które oferuje osobom uczącym się umiejętności</w:t>
      </w:r>
      <w:r w:rsidRPr="00B10036">
        <w:rPr>
          <w:noProof/>
        </w:rPr>
        <w:t xml:space="preserve"> i</w:t>
      </w:r>
      <w:r>
        <w:rPr>
          <w:noProof/>
        </w:rPr>
        <w:t> </w:t>
      </w:r>
      <w:r w:rsidRPr="00B10036">
        <w:rPr>
          <w:noProof/>
        </w:rPr>
        <w:t>kom</w:t>
      </w:r>
      <w:r w:rsidR="00002649" w:rsidRPr="00B10036">
        <w:rPr>
          <w:noProof/>
        </w:rPr>
        <w:t>petencje istotne</w:t>
      </w:r>
      <w:r w:rsidRPr="00B10036">
        <w:rPr>
          <w:noProof/>
        </w:rPr>
        <w:t xml:space="preserve"> z</w:t>
      </w:r>
      <w:r>
        <w:rPr>
          <w:noProof/>
        </w:rPr>
        <w:t> </w:t>
      </w:r>
      <w:r w:rsidRPr="00B10036">
        <w:rPr>
          <w:noProof/>
        </w:rPr>
        <w:t>pun</w:t>
      </w:r>
      <w:r w:rsidR="00002649" w:rsidRPr="00B10036">
        <w:rPr>
          <w:noProof/>
        </w:rPr>
        <w:t>ktu widzenia zielonej transformacji. Integralną częścią tych programów powinno być uczenie się na rzecz zrównoważonego rozwoju, obejmujące nauki przyrodnicze, technologię, inżynierię</w:t>
      </w:r>
      <w:r w:rsidRPr="00B10036">
        <w:rPr>
          <w:noProof/>
        </w:rPr>
        <w:t xml:space="preserve"> i</w:t>
      </w:r>
      <w:r>
        <w:rPr>
          <w:noProof/>
        </w:rPr>
        <w:t> </w:t>
      </w:r>
      <w:r w:rsidRPr="00B10036">
        <w:rPr>
          <w:noProof/>
        </w:rPr>
        <w:t>mat</w:t>
      </w:r>
      <w:r w:rsidR="00002649" w:rsidRPr="00B10036">
        <w:rPr>
          <w:noProof/>
        </w:rPr>
        <w:t>ematykę (STEM), podejście interdyscyplinarne</w:t>
      </w:r>
      <w:r w:rsidRPr="00B10036">
        <w:rPr>
          <w:noProof/>
        </w:rPr>
        <w:t xml:space="preserve"> i</w:t>
      </w:r>
      <w:r>
        <w:rPr>
          <w:noProof/>
        </w:rPr>
        <w:t> </w:t>
      </w:r>
      <w:r w:rsidRPr="00B10036">
        <w:rPr>
          <w:noProof/>
        </w:rPr>
        <w:t>umi</w:t>
      </w:r>
      <w:r w:rsidR="00002649" w:rsidRPr="00B10036">
        <w:rPr>
          <w:noProof/>
        </w:rPr>
        <w:t>ejętności cyfrowe. Podjęcie konkretnych działań mających na celu przyciągnięcie kobiet</w:t>
      </w:r>
      <w:r w:rsidRPr="00B10036">
        <w:rPr>
          <w:noProof/>
        </w:rPr>
        <w:t xml:space="preserve"> i</w:t>
      </w:r>
      <w:r>
        <w:rPr>
          <w:noProof/>
        </w:rPr>
        <w:t> </w:t>
      </w:r>
      <w:r w:rsidRPr="00B10036">
        <w:rPr>
          <w:noProof/>
        </w:rPr>
        <w:t>inn</w:t>
      </w:r>
      <w:r w:rsidR="00002649" w:rsidRPr="00B10036">
        <w:rPr>
          <w:noProof/>
        </w:rPr>
        <w:t>ych grup obecnie niedostatecznie reprezentowanych</w:t>
      </w:r>
      <w:r w:rsidRPr="00B10036">
        <w:rPr>
          <w:noProof/>
        </w:rPr>
        <w:t xml:space="preserve"> w</w:t>
      </w:r>
      <w:r>
        <w:rPr>
          <w:noProof/>
        </w:rPr>
        <w:t> </w:t>
      </w:r>
      <w:r w:rsidRPr="00B10036">
        <w:rPr>
          <w:noProof/>
        </w:rPr>
        <w:t>dan</w:t>
      </w:r>
      <w:r w:rsidR="00002649" w:rsidRPr="00B10036">
        <w:rPr>
          <w:noProof/>
        </w:rPr>
        <w:t>ych obszarach zawodowych.</w:t>
      </w:r>
    </w:p>
    <w:p w14:paraId="10AF95DD" w14:textId="562262DB" w:rsidR="00AE4B7E" w:rsidRPr="00B10036" w:rsidRDefault="00B10036" w:rsidP="00B10036">
      <w:pPr>
        <w:pStyle w:val="Point1"/>
        <w:rPr>
          <w:noProof/>
        </w:rPr>
      </w:pPr>
      <w:r w:rsidRPr="00B10036">
        <w:rPr>
          <w:noProof/>
        </w:rPr>
        <w:t>d)</w:t>
      </w:r>
      <w:r w:rsidRPr="00B10036">
        <w:rPr>
          <w:noProof/>
        </w:rPr>
        <w:tab/>
      </w:r>
      <w:r w:rsidR="00AE4B7E" w:rsidRPr="00B10036">
        <w:rPr>
          <w:noProof/>
        </w:rPr>
        <w:t>Wprowadzenie lub wzmocnienie systemów wsparcia na rzecz przygotowania zawodowego</w:t>
      </w:r>
      <w:r w:rsidRPr="00B10036">
        <w:rPr>
          <w:noProof/>
        </w:rPr>
        <w:t xml:space="preserve"> i</w:t>
      </w:r>
      <w:r>
        <w:rPr>
          <w:noProof/>
        </w:rPr>
        <w:t> </w:t>
      </w:r>
      <w:r w:rsidRPr="00B10036">
        <w:rPr>
          <w:noProof/>
        </w:rPr>
        <w:t>pła</w:t>
      </w:r>
      <w:r w:rsidR="00AE4B7E" w:rsidRPr="00B10036">
        <w:rPr>
          <w:noProof/>
        </w:rPr>
        <w:t>tnych staży,</w:t>
      </w:r>
      <w:r w:rsidRPr="00B10036">
        <w:rPr>
          <w:noProof/>
        </w:rPr>
        <w:t xml:space="preserve"> w</w:t>
      </w:r>
      <w:r>
        <w:rPr>
          <w:noProof/>
        </w:rPr>
        <w:t> </w:t>
      </w:r>
      <w:r w:rsidRPr="00B10036">
        <w:rPr>
          <w:noProof/>
        </w:rPr>
        <w:t>któ</w:t>
      </w:r>
      <w:r w:rsidR="00AE4B7E" w:rsidRPr="00B10036">
        <w:rPr>
          <w:noProof/>
        </w:rPr>
        <w:t>rych stawia się zdecydowany nacisk na elementy szkoleniowe,</w:t>
      </w:r>
      <w:r w:rsidRPr="00B10036">
        <w:rPr>
          <w:noProof/>
        </w:rPr>
        <w:t xml:space="preserve"> w</w:t>
      </w:r>
      <w:r>
        <w:rPr>
          <w:noProof/>
        </w:rPr>
        <w:t> </w:t>
      </w:r>
      <w:r w:rsidRPr="00B10036">
        <w:rPr>
          <w:noProof/>
        </w:rPr>
        <w:t>szc</w:t>
      </w:r>
      <w:r w:rsidR="00AE4B7E" w:rsidRPr="00B10036">
        <w:rPr>
          <w:noProof/>
        </w:rPr>
        <w:t>zególności</w:t>
      </w:r>
      <w:r w:rsidRPr="00B10036">
        <w:rPr>
          <w:noProof/>
        </w:rPr>
        <w:t xml:space="preserve"> w</w:t>
      </w:r>
      <w:r>
        <w:rPr>
          <w:noProof/>
        </w:rPr>
        <w:t> </w:t>
      </w:r>
      <w:r w:rsidRPr="00B10036">
        <w:rPr>
          <w:noProof/>
        </w:rPr>
        <w:t>mik</w:t>
      </w:r>
      <w:r w:rsidR="00AE4B7E" w:rsidRPr="00B10036">
        <w:rPr>
          <w:noProof/>
        </w:rPr>
        <w:t>roprzedsiębiorstwach oraz małych</w:t>
      </w:r>
      <w:r w:rsidRPr="00B10036">
        <w:rPr>
          <w:noProof/>
        </w:rPr>
        <w:t xml:space="preserve"> i</w:t>
      </w:r>
      <w:r>
        <w:rPr>
          <w:noProof/>
        </w:rPr>
        <w:t> </w:t>
      </w:r>
      <w:r w:rsidRPr="00B10036">
        <w:rPr>
          <w:noProof/>
        </w:rPr>
        <w:t>śre</w:t>
      </w:r>
      <w:r w:rsidR="00AE4B7E" w:rsidRPr="00B10036">
        <w:rPr>
          <w:noProof/>
        </w:rPr>
        <w:t>dnich przedsiębiorstwach,</w:t>
      </w:r>
      <w:r w:rsidRPr="00B10036">
        <w:rPr>
          <w:noProof/>
        </w:rPr>
        <w:t xml:space="preserve"> w</w:t>
      </w:r>
      <w:r>
        <w:rPr>
          <w:noProof/>
        </w:rPr>
        <w:t> </w:t>
      </w:r>
      <w:r w:rsidRPr="00B10036">
        <w:rPr>
          <w:noProof/>
        </w:rPr>
        <w:t>tym</w:t>
      </w:r>
      <w:r w:rsidR="00AE4B7E" w:rsidRPr="00B10036">
        <w:rPr>
          <w:noProof/>
        </w:rPr>
        <w:t xml:space="preserve"> przedsiębiorstwach przyczyniających się do realizacji celów klimatycznych</w:t>
      </w:r>
      <w:r w:rsidRPr="00B10036">
        <w:rPr>
          <w:noProof/>
        </w:rPr>
        <w:t xml:space="preserve"> i</w:t>
      </w:r>
      <w:r>
        <w:rPr>
          <w:noProof/>
        </w:rPr>
        <w:t> </w:t>
      </w:r>
      <w:r w:rsidRPr="00B10036">
        <w:rPr>
          <w:noProof/>
        </w:rPr>
        <w:t>śro</w:t>
      </w:r>
      <w:r w:rsidR="00AE4B7E" w:rsidRPr="00B10036">
        <w:rPr>
          <w:noProof/>
        </w:rPr>
        <w:t>dowiskowych oraz</w:t>
      </w:r>
      <w:r w:rsidRPr="00B10036">
        <w:rPr>
          <w:noProof/>
        </w:rPr>
        <w:t xml:space="preserve"> w</w:t>
      </w:r>
      <w:r>
        <w:rPr>
          <w:noProof/>
        </w:rPr>
        <w:t> </w:t>
      </w:r>
      <w:r w:rsidRPr="00B10036">
        <w:rPr>
          <w:noProof/>
        </w:rPr>
        <w:t>sek</w:t>
      </w:r>
      <w:r w:rsidR="00AE4B7E" w:rsidRPr="00B10036">
        <w:rPr>
          <w:noProof/>
        </w:rPr>
        <w:t>torach,</w:t>
      </w:r>
      <w:r w:rsidRPr="00B10036">
        <w:rPr>
          <w:noProof/>
        </w:rPr>
        <w:t xml:space="preserve"> w</w:t>
      </w:r>
      <w:r>
        <w:rPr>
          <w:noProof/>
        </w:rPr>
        <w:t> </w:t>
      </w:r>
      <w:r w:rsidRPr="00B10036">
        <w:rPr>
          <w:noProof/>
        </w:rPr>
        <w:t>któ</w:t>
      </w:r>
      <w:r w:rsidR="00AE4B7E" w:rsidRPr="00B10036">
        <w:rPr>
          <w:noProof/>
        </w:rPr>
        <w:t>rych występują szczególne niedobory kwalifikacji, takich jak budownictwo i ICT. Takie systemy powinny podlegać monitorowaniu</w:t>
      </w:r>
      <w:r w:rsidRPr="00B10036">
        <w:rPr>
          <w:noProof/>
        </w:rPr>
        <w:t xml:space="preserve"> i</w:t>
      </w:r>
      <w:r>
        <w:rPr>
          <w:noProof/>
        </w:rPr>
        <w:t> </w:t>
      </w:r>
      <w:r w:rsidRPr="00B10036">
        <w:rPr>
          <w:noProof/>
        </w:rPr>
        <w:t>oce</w:t>
      </w:r>
      <w:r w:rsidR="00AE4B7E" w:rsidRPr="00B10036">
        <w:rPr>
          <w:noProof/>
        </w:rPr>
        <w:t>nie oraz zapewniać jakość pracy zgodnie</w:t>
      </w:r>
      <w:r w:rsidRPr="00B10036">
        <w:rPr>
          <w:noProof/>
        </w:rPr>
        <w:t xml:space="preserve"> z</w:t>
      </w:r>
      <w:r>
        <w:rPr>
          <w:noProof/>
        </w:rPr>
        <w:t> </w:t>
      </w:r>
      <w:r w:rsidRPr="00B10036">
        <w:rPr>
          <w:noProof/>
        </w:rPr>
        <w:t>eur</w:t>
      </w:r>
      <w:r w:rsidR="00AE4B7E" w:rsidRPr="00B10036">
        <w:rPr>
          <w:noProof/>
        </w:rPr>
        <w:t>opejskimi ramami jakości</w:t>
      </w:r>
      <w:r w:rsidRPr="00B10036">
        <w:rPr>
          <w:noProof/>
        </w:rPr>
        <w:t xml:space="preserve"> i</w:t>
      </w:r>
      <w:r>
        <w:rPr>
          <w:noProof/>
        </w:rPr>
        <w:t> </w:t>
      </w:r>
      <w:r w:rsidRPr="00B10036">
        <w:rPr>
          <w:noProof/>
        </w:rPr>
        <w:t>sku</w:t>
      </w:r>
      <w:r w:rsidR="00AE4B7E" w:rsidRPr="00B10036">
        <w:rPr>
          <w:noProof/>
        </w:rPr>
        <w:t>teczności programów przygotowania zawodowego</w:t>
      </w:r>
      <w:r w:rsidR="00AE4B7E" w:rsidRPr="00B10036">
        <w:rPr>
          <w:rStyle w:val="FootnoteReference"/>
          <w:noProof/>
        </w:rPr>
        <w:footnoteReference w:id="108"/>
      </w:r>
      <w:r w:rsidR="00AE4B7E" w:rsidRPr="00B10036">
        <w:rPr>
          <w:noProof/>
        </w:rPr>
        <w:t xml:space="preserve"> oraz ramami jakości staży</w:t>
      </w:r>
      <w:r w:rsidR="00AE4B7E" w:rsidRPr="00B10036">
        <w:rPr>
          <w:rStyle w:val="FootnoteReference"/>
          <w:noProof/>
        </w:rPr>
        <w:footnoteReference w:id="109"/>
      </w:r>
      <w:r w:rsidR="00AE4B7E" w:rsidRPr="00B10036">
        <w:rPr>
          <w:noProof/>
        </w:rPr>
        <w:t>.</w:t>
      </w:r>
    </w:p>
    <w:p w14:paraId="3B14F48F" w14:textId="6628D35B" w:rsidR="00002649" w:rsidRPr="00B10036" w:rsidRDefault="00B10036" w:rsidP="00B10036">
      <w:pPr>
        <w:pStyle w:val="Point1"/>
        <w:rPr>
          <w:noProof/>
        </w:rPr>
      </w:pPr>
      <w:r w:rsidRPr="00B10036">
        <w:rPr>
          <w:noProof/>
        </w:rPr>
        <w:t>e)</w:t>
      </w:r>
      <w:r w:rsidRPr="00B10036">
        <w:rPr>
          <w:noProof/>
        </w:rPr>
        <w:tab/>
      </w:r>
      <w:r w:rsidR="00002649" w:rsidRPr="00B10036">
        <w:rPr>
          <w:noProof/>
        </w:rPr>
        <w:t>Zwiększenie udziału osób dorosłych</w:t>
      </w:r>
      <w:r w:rsidRPr="00B10036">
        <w:rPr>
          <w:noProof/>
        </w:rPr>
        <w:t xml:space="preserve"> w</w:t>
      </w:r>
      <w:r>
        <w:rPr>
          <w:noProof/>
        </w:rPr>
        <w:t> </w:t>
      </w:r>
      <w:r w:rsidRPr="00B10036">
        <w:rPr>
          <w:noProof/>
        </w:rPr>
        <w:t>szk</w:t>
      </w:r>
      <w:r w:rsidR="00002649" w:rsidRPr="00B10036">
        <w:rPr>
          <w:noProof/>
        </w:rPr>
        <w:t>oleniu przez całe życie zawodowe zgodnie</w:t>
      </w:r>
      <w:r w:rsidRPr="00B10036">
        <w:rPr>
          <w:noProof/>
        </w:rPr>
        <w:t xml:space="preserve"> z</w:t>
      </w:r>
      <w:r>
        <w:rPr>
          <w:noProof/>
        </w:rPr>
        <w:t> </w:t>
      </w:r>
      <w:r w:rsidRPr="00B10036">
        <w:rPr>
          <w:noProof/>
        </w:rPr>
        <w:t>pot</w:t>
      </w:r>
      <w:r w:rsidR="00002649" w:rsidRPr="00B10036">
        <w:rPr>
          <w:noProof/>
        </w:rPr>
        <w:t>rzebami</w:t>
      </w:r>
      <w:r w:rsidRPr="00B10036">
        <w:rPr>
          <w:noProof/>
        </w:rPr>
        <w:t xml:space="preserve"> w</w:t>
      </w:r>
      <w:r>
        <w:rPr>
          <w:noProof/>
        </w:rPr>
        <w:t> </w:t>
      </w:r>
      <w:r w:rsidRPr="00B10036">
        <w:rPr>
          <w:noProof/>
        </w:rPr>
        <w:t>zak</w:t>
      </w:r>
      <w:r w:rsidR="00002649" w:rsidRPr="00B10036">
        <w:rPr>
          <w:noProof/>
        </w:rPr>
        <w:t>resie podnoszenia kwalifikacji</w:t>
      </w:r>
      <w:r w:rsidRPr="00B10036">
        <w:rPr>
          <w:noProof/>
        </w:rPr>
        <w:t xml:space="preserve"> i</w:t>
      </w:r>
      <w:r>
        <w:rPr>
          <w:noProof/>
        </w:rPr>
        <w:t> </w:t>
      </w:r>
      <w:r w:rsidRPr="00B10036">
        <w:rPr>
          <w:noProof/>
        </w:rPr>
        <w:t>prz</w:t>
      </w:r>
      <w:r w:rsidR="00002649" w:rsidRPr="00B10036">
        <w:rPr>
          <w:noProof/>
        </w:rPr>
        <w:t>ekwalifikowania</w:t>
      </w:r>
      <w:r w:rsidRPr="00B10036">
        <w:rPr>
          <w:noProof/>
        </w:rPr>
        <w:t xml:space="preserve"> w</w:t>
      </w:r>
      <w:r>
        <w:rPr>
          <w:noProof/>
        </w:rPr>
        <w:t> </w:t>
      </w:r>
      <w:r w:rsidRPr="00B10036">
        <w:rPr>
          <w:noProof/>
        </w:rPr>
        <w:t>zwi</w:t>
      </w:r>
      <w:r w:rsidR="00002649" w:rsidRPr="00B10036">
        <w:rPr>
          <w:noProof/>
        </w:rPr>
        <w:t>ązku</w:t>
      </w:r>
      <w:r w:rsidRPr="00B10036">
        <w:rPr>
          <w:noProof/>
        </w:rPr>
        <w:t xml:space="preserve"> z</w:t>
      </w:r>
      <w:r>
        <w:rPr>
          <w:noProof/>
        </w:rPr>
        <w:t> </w:t>
      </w:r>
      <w:r w:rsidRPr="00B10036">
        <w:rPr>
          <w:noProof/>
        </w:rPr>
        <w:t>zie</w:t>
      </w:r>
      <w:r w:rsidR="00002649" w:rsidRPr="00B10036">
        <w:rPr>
          <w:noProof/>
        </w:rPr>
        <w:t>loną transformacją, przez zapewnienie wsparcia na rzecz szkoleń dla osób pozostających</w:t>
      </w:r>
      <w:r w:rsidRPr="00B10036">
        <w:rPr>
          <w:noProof/>
        </w:rPr>
        <w:t xml:space="preserve"> w</w:t>
      </w:r>
      <w:r>
        <w:rPr>
          <w:noProof/>
        </w:rPr>
        <w:t> </w:t>
      </w:r>
      <w:r w:rsidRPr="00B10036">
        <w:rPr>
          <w:noProof/>
        </w:rPr>
        <w:t>zaw</w:t>
      </w:r>
      <w:r w:rsidR="00002649" w:rsidRPr="00B10036">
        <w:rPr>
          <w:noProof/>
        </w:rPr>
        <w:t>odzie, zmieniających zawód</w:t>
      </w:r>
      <w:r w:rsidRPr="00B10036">
        <w:rPr>
          <w:noProof/>
        </w:rPr>
        <w:t xml:space="preserve"> i</w:t>
      </w:r>
      <w:r>
        <w:rPr>
          <w:noProof/>
        </w:rPr>
        <w:t> </w:t>
      </w:r>
      <w:r w:rsidRPr="00B10036">
        <w:rPr>
          <w:noProof/>
        </w:rPr>
        <w:t>chc</w:t>
      </w:r>
      <w:r w:rsidR="00002649" w:rsidRPr="00B10036">
        <w:rPr>
          <w:noProof/>
        </w:rPr>
        <w:t>ących zdobyć umiejętności przekrojowe,</w:t>
      </w:r>
      <w:r w:rsidRPr="00B10036">
        <w:rPr>
          <w:noProof/>
        </w:rPr>
        <w:t xml:space="preserve"> w</w:t>
      </w:r>
      <w:r>
        <w:rPr>
          <w:noProof/>
        </w:rPr>
        <w:t> </w:t>
      </w:r>
      <w:r w:rsidRPr="00B10036">
        <w:rPr>
          <w:noProof/>
        </w:rPr>
        <w:t>szc</w:t>
      </w:r>
      <w:r w:rsidR="00002649" w:rsidRPr="00B10036">
        <w:rPr>
          <w:noProof/>
        </w:rPr>
        <w:t>zególności</w:t>
      </w:r>
      <w:r w:rsidRPr="00B10036">
        <w:rPr>
          <w:noProof/>
        </w:rPr>
        <w:t xml:space="preserve"> w</w:t>
      </w:r>
      <w:r>
        <w:rPr>
          <w:noProof/>
        </w:rPr>
        <w:t> </w:t>
      </w:r>
      <w:r w:rsidRPr="00B10036">
        <w:rPr>
          <w:noProof/>
        </w:rPr>
        <w:t>cel</w:t>
      </w:r>
      <w:r w:rsidR="00002649" w:rsidRPr="00B10036">
        <w:rPr>
          <w:noProof/>
        </w:rPr>
        <w:t>u ułatwienia im przekwalifikowania się</w:t>
      </w:r>
      <w:r w:rsidRPr="00B10036">
        <w:rPr>
          <w:noProof/>
        </w:rPr>
        <w:t xml:space="preserve"> w</w:t>
      </w:r>
      <w:r>
        <w:rPr>
          <w:noProof/>
        </w:rPr>
        <w:t> </w:t>
      </w:r>
      <w:r w:rsidRPr="00B10036">
        <w:rPr>
          <w:noProof/>
        </w:rPr>
        <w:t>kie</w:t>
      </w:r>
      <w:r w:rsidR="00002649" w:rsidRPr="00B10036">
        <w:rPr>
          <w:noProof/>
        </w:rPr>
        <w:t>runku sektorów</w:t>
      </w:r>
      <w:r w:rsidRPr="00B10036">
        <w:rPr>
          <w:noProof/>
        </w:rPr>
        <w:t xml:space="preserve"> i</w:t>
      </w:r>
      <w:r>
        <w:rPr>
          <w:noProof/>
        </w:rPr>
        <w:t> </w:t>
      </w:r>
      <w:r w:rsidRPr="00B10036">
        <w:rPr>
          <w:noProof/>
        </w:rPr>
        <w:t>rod</w:t>
      </w:r>
      <w:r w:rsidR="00002649" w:rsidRPr="00B10036">
        <w:rPr>
          <w:noProof/>
        </w:rPr>
        <w:t>zajów działalności gospodarczej, które zgodnie</w:t>
      </w:r>
      <w:r w:rsidRPr="00B10036">
        <w:rPr>
          <w:noProof/>
        </w:rPr>
        <w:t xml:space="preserve"> z</w:t>
      </w:r>
      <w:r>
        <w:rPr>
          <w:noProof/>
        </w:rPr>
        <w:t> </w:t>
      </w:r>
      <w:r w:rsidRPr="00B10036">
        <w:rPr>
          <w:noProof/>
        </w:rPr>
        <w:t>ocz</w:t>
      </w:r>
      <w:r w:rsidR="00002649" w:rsidRPr="00B10036">
        <w:rPr>
          <w:noProof/>
        </w:rPr>
        <w:t>ekiwaniami mają się rozwijać</w:t>
      </w:r>
      <w:r w:rsidRPr="00B10036">
        <w:rPr>
          <w:noProof/>
        </w:rPr>
        <w:t>. W</w:t>
      </w:r>
      <w:r>
        <w:rPr>
          <w:noProof/>
        </w:rPr>
        <w:t> </w:t>
      </w:r>
      <w:r w:rsidRPr="00B10036">
        <w:rPr>
          <w:noProof/>
        </w:rPr>
        <w:t>tym</w:t>
      </w:r>
      <w:r w:rsidR="00002649" w:rsidRPr="00B10036">
        <w:rPr>
          <w:noProof/>
        </w:rPr>
        <w:t xml:space="preserve"> celu należy zapewnić uprawnienia do szkoleń zgodnie</w:t>
      </w:r>
      <w:r w:rsidRPr="00B10036">
        <w:rPr>
          <w:noProof/>
        </w:rPr>
        <w:t xml:space="preserve"> z</w:t>
      </w:r>
      <w:r>
        <w:rPr>
          <w:noProof/>
        </w:rPr>
        <w:t> </w:t>
      </w:r>
      <w:r w:rsidRPr="00B10036">
        <w:rPr>
          <w:noProof/>
        </w:rPr>
        <w:t>pro</w:t>
      </w:r>
      <w:r w:rsidR="00002649" w:rsidRPr="00B10036">
        <w:rPr>
          <w:noProof/>
        </w:rPr>
        <w:t>ponowanym zaleceniem Rady</w:t>
      </w:r>
      <w:r w:rsidRPr="00B10036">
        <w:rPr>
          <w:noProof/>
        </w:rPr>
        <w:t xml:space="preserve"> w</w:t>
      </w:r>
      <w:r>
        <w:rPr>
          <w:noProof/>
        </w:rPr>
        <w:t> </w:t>
      </w:r>
      <w:r w:rsidRPr="00B10036">
        <w:rPr>
          <w:noProof/>
        </w:rPr>
        <w:t>spr</w:t>
      </w:r>
      <w:r w:rsidR="00002649" w:rsidRPr="00B10036">
        <w:rPr>
          <w:noProof/>
        </w:rPr>
        <w:t>awie indywidualnych rachunków szkoleniowych</w:t>
      </w:r>
      <w:r w:rsidR="00002649" w:rsidRPr="00B10036">
        <w:rPr>
          <w:rStyle w:val="FootnoteReference"/>
          <w:noProof/>
        </w:rPr>
        <w:footnoteReference w:id="110"/>
      </w:r>
      <w:r w:rsidR="00002649" w:rsidRPr="00B10036">
        <w:rPr>
          <w:noProof/>
        </w:rPr>
        <w:t xml:space="preserve"> oraz</w:t>
      </w:r>
      <w:r w:rsidRPr="00B10036">
        <w:rPr>
          <w:noProof/>
        </w:rPr>
        <w:t xml:space="preserve"> w</w:t>
      </w:r>
      <w:r>
        <w:rPr>
          <w:noProof/>
        </w:rPr>
        <w:t> </w:t>
      </w:r>
      <w:r w:rsidRPr="00B10036">
        <w:rPr>
          <w:noProof/>
        </w:rPr>
        <w:t>for</w:t>
      </w:r>
      <w:r w:rsidR="00002649" w:rsidRPr="00B10036">
        <w:rPr>
          <w:noProof/>
        </w:rPr>
        <w:t>mie płatnego urlopu szkoleniowego</w:t>
      </w:r>
      <w:r w:rsidRPr="00B10036">
        <w:rPr>
          <w:noProof/>
        </w:rPr>
        <w:t xml:space="preserve"> i</w:t>
      </w:r>
      <w:r>
        <w:rPr>
          <w:noProof/>
        </w:rPr>
        <w:t> </w:t>
      </w:r>
      <w:r w:rsidRPr="00B10036">
        <w:rPr>
          <w:noProof/>
        </w:rPr>
        <w:t>por</w:t>
      </w:r>
      <w:r w:rsidR="00002649" w:rsidRPr="00B10036">
        <w:rPr>
          <w:noProof/>
        </w:rPr>
        <w:t>adnictwa zawodowego. Wsparcie rozwoju krótkich kursów, których jakość będzie gwarantowana</w:t>
      </w:r>
      <w:r w:rsidRPr="00B10036">
        <w:rPr>
          <w:noProof/>
        </w:rPr>
        <w:t xml:space="preserve"> i</w:t>
      </w:r>
      <w:r>
        <w:rPr>
          <w:noProof/>
        </w:rPr>
        <w:t> </w:t>
      </w:r>
      <w:r w:rsidRPr="00B10036">
        <w:rPr>
          <w:noProof/>
        </w:rPr>
        <w:t>któ</w:t>
      </w:r>
      <w:r w:rsidR="00002649" w:rsidRPr="00B10036">
        <w:rPr>
          <w:noProof/>
        </w:rPr>
        <w:t>re będą powszechnie uznawane,</w:t>
      </w:r>
      <w:r w:rsidRPr="00B10036">
        <w:rPr>
          <w:noProof/>
        </w:rPr>
        <w:t xml:space="preserve"> z</w:t>
      </w:r>
      <w:r>
        <w:rPr>
          <w:noProof/>
        </w:rPr>
        <w:t> </w:t>
      </w:r>
      <w:r w:rsidRPr="00B10036">
        <w:rPr>
          <w:noProof/>
        </w:rPr>
        <w:t>zas</w:t>
      </w:r>
      <w:r w:rsidR="00002649" w:rsidRPr="00B10036">
        <w:rPr>
          <w:noProof/>
        </w:rPr>
        <w:t>tosowaniem europejskiego podejścia do mikropoświadczeń</w:t>
      </w:r>
      <w:r w:rsidR="00002649" w:rsidRPr="00B10036">
        <w:rPr>
          <w:rStyle w:val="FootnoteReference"/>
          <w:noProof/>
        </w:rPr>
        <w:footnoteReference w:id="111"/>
      </w:r>
      <w:r w:rsidR="00002649" w:rsidRPr="00B10036">
        <w:rPr>
          <w:noProof/>
        </w:rPr>
        <w:t>.</w:t>
      </w:r>
    </w:p>
    <w:p w14:paraId="2DF6F169" w14:textId="484AAEB5" w:rsidR="00002649" w:rsidRPr="00B10036" w:rsidRDefault="00B10036" w:rsidP="00B10036">
      <w:pPr>
        <w:pStyle w:val="Point0"/>
        <w:rPr>
          <w:noProof/>
        </w:rPr>
      </w:pPr>
      <w:r>
        <w:rPr>
          <w:noProof/>
        </w:rPr>
        <w:t>6)</w:t>
      </w:r>
      <w:r>
        <w:rPr>
          <w:noProof/>
        </w:rPr>
        <w:tab/>
      </w:r>
      <w:r w:rsidR="00364813" w:rsidRPr="00B10036">
        <w:rPr>
          <w:noProof/>
        </w:rPr>
        <w:t>Aby zapewnić stałą sprawiedliwość systemów ulg podatkowych</w:t>
      </w:r>
      <w:r w:rsidRPr="00B10036">
        <w:rPr>
          <w:noProof/>
        </w:rPr>
        <w:t xml:space="preserve"> i</w:t>
      </w:r>
      <w:r>
        <w:rPr>
          <w:noProof/>
        </w:rPr>
        <w:t> </w:t>
      </w:r>
      <w:r w:rsidRPr="00B10036">
        <w:rPr>
          <w:noProof/>
        </w:rPr>
        <w:t>sys</w:t>
      </w:r>
      <w:r w:rsidR="00364813" w:rsidRPr="00B10036">
        <w:rPr>
          <w:noProof/>
        </w:rPr>
        <w:t>temów ochrony socjalnej</w:t>
      </w:r>
      <w:r w:rsidRPr="00B10036">
        <w:rPr>
          <w:noProof/>
        </w:rPr>
        <w:t xml:space="preserve"> w</w:t>
      </w:r>
      <w:r>
        <w:rPr>
          <w:noProof/>
        </w:rPr>
        <w:t> </w:t>
      </w:r>
      <w:r w:rsidRPr="00B10036">
        <w:rPr>
          <w:noProof/>
        </w:rPr>
        <w:t>kon</w:t>
      </w:r>
      <w:r w:rsidR="00364813" w:rsidRPr="00B10036">
        <w:rPr>
          <w:noProof/>
        </w:rPr>
        <w:t>tekście zielonej transformacji oraz opierając się na zaleceniu</w:t>
      </w:r>
      <w:r w:rsidRPr="00B10036">
        <w:rPr>
          <w:noProof/>
        </w:rPr>
        <w:t xml:space="preserve"> w</w:t>
      </w:r>
      <w:r>
        <w:rPr>
          <w:noProof/>
        </w:rPr>
        <w:t> </w:t>
      </w:r>
      <w:r w:rsidRPr="00B10036">
        <w:rPr>
          <w:noProof/>
        </w:rPr>
        <w:t>spr</w:t>
      </w:r>
      <w:r w:rsidR="00364813" w:rsidRPr="00B10036">
        <w:rPr>
          <w:noProof/>
        </w:rPr>
        <w:t>awie dostępu pracowników oraz osób samozatrudnionych do ochrony socjalnej</w:t>
      </w:r>
      <w:r w:rsidR="00364813" w:rsidRPr="00B10036">
        <w:rPr>
          <w:rStyle w:val="FootnoteReference"/>
          <w:noProof/>
        </w:rPr>
        <w:footnoteReference w:id="112"/>
      </w:r>
      <w:r w:rsidR="00364813" w:rsidRPr="00B10036">
        <w:rPr>
          <w:noProof/>
        </w:rPr>
        <w:t>, zachęca się państwa członkowskie do rozważenia następujących środków wspierających osoby</w:t>
      </w:r>
      <w:r w:rsidRPr="00B10036">
        <w:rPr>
          <w:noProof/>
        </w:rPr>
        <w:t xml:space="preserve"> i</w:t>
      </w:r>
      <w:r>
        <w:rPr>
          <w:noProof/>
        </w:rPr>
        <w:t> </w:t>
      </w:r>
      <w:r w:rsidRPr="00B10036">
        <w:rPr>
          <w:noProof/>
        </w:rPr>
        <w:t>gos</w:t>
      </w:r>
      <w:r w:rsidR="00364813" w:rsidRPr="00B10036">
        <w:rPr>
          <w:noProof/>
        </w:rPr>
        <w:t>podarstwa domowe najbardziej obciążone skutkami zielonej transformacji,</w:t>
      </w:r>
      <w:r w:rsidRPr="00B10036">
        <w:rPr>
          <w:noProof/>
        </w:rPr>
        <w:t xml:space="preserve"> w</w:t>
      </w:r>
      <w:r>
        <w:rPr>
          <w:noProof/>
        </w:rPr>
        <w:t> </w:t>
      </w:r>
      <w:r w:rsidRPr="00B10036">
        <w:rPr>
          <w:noProof/>
        </w:rPr>
        <w:t>szc</w:t>
      </w:r>
      <w:r w:rsidR="00364813" w:rsidRPr="00B10036">
        <w:rPr>
          <w:noProof/>
        </w:rPr>
        <w:t>zególności te będące</w:t>
      </w:r>
      <w:r w:rsidRPr="00B10036">
        <w:rPr>
          <w:noProof/>
        </w:rPr>
        <w:t xml:space="preserve"> w</w:t>
      </w:r>
      <w:r>
        <w:rPr>
          <w:noProof/>
        </w:rPr>
        <w:t> </w:t>
      </w:r>
      <w:r w:rsidRPr="00B10036">
        <w:rPr>
          <w:noProof/>
        </w:rPr>
        <w:t>tru</w:t>
      </w:r>
      <w:r w:rsidR="00364813" w:rsidRPr="00B10036">
        <w:rPr>
          <w:noProof/>
        </w:rPr>
        <w:t>dnej sytuacji,</w:t>
      </w:r>
      <w:r w:rsidRPr="00B10036">
        <w:rPr>
          <w:noProof/>
        </w:rPr>
        <w:t xml:space="preserve"> w</w:t>
      </w:r>
      <w:r>
        <w:rPr>
          <w:noProof/>
        </w:rPr>
        <w:t> </w:t>
      </w:r>
      <w:r w:rsidRPr="00B10036">
        <w:rPr>
          <w:noProof/>
        </w:rPr>
        <w:t>cel</w:t>
      </w:r>
      <w:r w:rsidR="00364813" w:rsidRPr="00B10036">
        <w:rPr>
          <w:noProof/>
        </w:rPr>
        <w:t>u wspierania przepływów na rynku pracy,</w:t>
      </w:r>
      <w:r w:rsidRPr="00B10036">
        <w:rPr>
          <w:noProof/>
        </w:rPr>
        <w:t xml:space="preserve"> w</w:t>
      </w:r>
      <w:r>
        <w:rPr>
          <w:noProof/>
        </w:rPr>
        <w:t> </w:t>
      </w:r>
      <w:r w:rsidRPr="00B10036">
        <w:rPr>
          <w:noProof/>
        </w:rPr>
        <w:t>tym</w:t>
      </w:r>
      <w:r w:rsidR="00364813" w:rsidRPr="00B10036">
        <w:rPr>
          <w:noProof/>
        </w:rPr>
        <w:t xml:space="preserve"> przepływów</w:t>
      </w:r>
      <w:r w:rsidRPr="00B10036">
        <w:rPr>
          <w:noProof/>
        </w:rPr>
        <w:t xml:space="preserve"> w</w:t>
      </w:r>
      <w:r>
        <w:rPr>
          <w:noProof/>
        </w:rPr>
        <w:t> </w:t>
      </w:r>
      <w:r w:rsidRPr="00B10036">
        <w:rPr>
          <w:noProof/>
        </w:rPr>
        <w:t>kie</w:t>
      </w:r>
      <w:r w:rsidR="00364813" w:rsidRPr="00B10036">
        <w:rPr>
          <w:noProof/>
        </w:rPr>
        <w:t>runku działalności gospodarczej przyczyniającej się do realizacji celów klimatycznych</w:t>
      </w:r>
      <w:r w:rsidRPr="00B10036">
        <w:rPr>
          <w:noProof/>
        </w:rPr>
        <w:t xml:space="preserve"> i</w:t>
      </w:r>
      <w:r>
        <w:rPr>
          <w:noProof/>
        </w:rPr>
        <w:t> </w:t>
      </w:r>
      <w:r w:rsidRPr="00B10036">
        <w:rPr>
          <w:noProof/>
        </w:rPr>
        <w:t>śro</w:t>
      </w:r>
      <w:r w:rsidR="00364813" w:rsidRPr="00B10036">
        <w:rPr>
          <w:noProof/>
        </w:rPr>
        <w:t>dowiskowych, zapobiegania ubóstwu energetycznemu</w:t>
      </w:r>
      <w:r w:rsidRPr="00B10036">
        <w:rPr>
          <w:noProof/>
        </w:rPr>
        <w:t xml:space="preserve"> i</w:t>
      </w:r>
      <w:r>
        <w:rPr>
          <w:noProof/>
        </w:rPr>
        <w:t> </w:t>
      </w:r>
      <w:r w:rsidRPr="00B10036">
        <w:rPr>
          <w:noProof/>
        </w:rPr>
        <w:t>tra</w:t>
      </w:r>
      <w:r w:rsidR="00364813" w:rsidRPr="00B10036">
        <w:rPr>
          <w:noProof/>
        </w:rPr>
        <w:t>nsportowemu</w:t>
      </w:r>
      <w:r w:rsidRPr="00B10036">
        <w:rPr>
          <w:noProof/>
        </w:rPr>
        <w:t xml:space="preserve"> i</w:t>
      </w:r>
      <w:r>
        <w:rPr>
          <w:noProof/>
        </w:rPr>
        <w:t> </w:t>
      </w:r>
      <w:r w:rsidRPr="00B10036">
        <w:rPr>
          <w:noProof/>
        </w:rPr>
        <w:t>ogr</w:t>
      </w:r>
      <w:r w:rsidR="00364813" w:rsidRPr="00B10036">
        <w:rPr>
          <w:noProof/>
        </w:rPr>
        <w:t>aniczania takiego ubóstwa oraz łagodzenia regresywnych skutków środków</w:t>
      </w:r>
      <w:r w:rsidRPr="00B10036">
        <w:rPr>
          <w:noProof/>
        </w:rPr>
        <w:t xml:space="preserve"> z</w:t>
      </w:r>
      <w:r>
        <w:rPr>
          <w:noProof/>
        </w:rPr>
        <w:t> </w:t>
      </w:r>
      <w:r w:rsidRPr="00B10036">
        <w:rPr>
          <w:noProof/>
        </w:rPr>
        <w:t>zak</w:t>
      </w:r>
      <w:r w:rsidR="00364813" w:rsidRPr="00B10036">
        <w:rPr>
          <w:noProof/>
        </w:rPr>
        <w:t>resu polityki:</w:t>
      </w:r>
    </w:p>
    <w:p w14:paraId="75980C5A" w14:textId="6DC0D067" w:rsidR="00EA3FC0" w:rsidRPr="00B10036" w:rsidRDefault="00B10036" w:rsidP="00B10036">
      <w:pPr>
        <w:pStyle w:val="Point1"/>
        <w:rPr>
          <w:noProof/>
        </w:rPr>
      </w:pPr>
      <w:r w:rsidRPr="00B10036">
        <w:rPr>
          <w:noProof/>
        </w:rPr>
        <w:t>a)</w:t>
      </w:r>
      <w:r w:rsidRPr="00B10036">
        <w:rPr>
          <w:noProof/>
        </w:rPr>
        <w:tab/>
      </w:r>
      <w:r w:rsidR="005C1C3E" w:rsidRPr="00B10036">
        <w:rPr>
          <w:noProof/>
        </w:rPr>
        <w:t>Ocena i –</w:t>
      </w:r>
      <w:r w:rsidRPr="00B10036">
        <w:rPr>
          <w:noProof/>
        </w:rPr>
        <w:t xml:space="preserve"> w</w:t>
      </w:r>
      <w:r>
        <w:rPr>
          <w:noProof/>
        </w:rPr>
        <w:t> </w:t>
      </w:r>
      <w:r w:rsidRPr="00B10036">
        <w:rPr>
          <w:noProof/>
        </w:rPr>
        <w:t>raz</w:t>
      </w:r>
      <w:r w:rsidR="005C1C3E" w:rsidRPr="00B10036">
        <w:rPr>
          <w:noProof/>
        </w:rPr>
        <w:t>ie potrzeby – dostosowanie systemów podatkowych pod kątem wyzwań wynikających</w:t>
      </w:r>
      <w:r w:rsidRPr="00B10036">
        <w:rPr>
          <w:noProof/>
        </w:rPr>
        <w:t xml:space="preserve"> z</w:t>
      </w:r>
      <w:r>
        <w:rPr>
          <w:noProof/>
        </w:rPr>
        <w:t> </w:t>
      </w:r>
      <w:r w:rsidRPr="00B10036">
        <w:rPr>
          <w:noProof/>
        </w:rPr>
        <w:t>tra</w:t>
      </w:r>
      <w:r w:rsidR="005C1C3E" w:rsidRPr="00B10036">
        <w:rPr>
          <w:noProof/>
        </w:rPr>
        <w:t>nsformacji</w:t>
      </w:r>
      <w:r w:rsidRPr="00B10036">
        <w:rPr>
          <w:noProof/>
        </w:rPr>
        <w:t xml:space="preserve"> w</w:t>
      </w:r>
      <w:r>
        <w:rPr>
          <w:noProof/>
        </w:rPr>
        <w:t> </w:t>
      </w:r>
      <w:r w:rsidRPr="00B10036">
        <w:rPr>
          <w:noProof/>
        </w:rPr>
        <w:t>kie</w:t>
      </w:r>
      <w:r w:rsidR="005C1C3E" w:rsidRPr="00B10036">
        <w:rPr>
          <w:noProof/>
        </w:rPr>
        <w:t>runku neutralności klimatycznej,</w:t>
      </w:r>
      <w:r w:rsidRPr="00B10036">
        <w:rPr>
          <w:noProof/>
        </w:rPr>
        <w:t xml:space="preserve"> w</w:t>
      </w:r>
      <w:r>
        <w:rPr>
          <w:noProof/>
        </w:rPr>
        <w:t> </w:t>
      </w:r>
      <w:r w:rsidRPr="00B10036">
        <w:rPr>
          <w:noProof/>
        </w:rPr>
        <w:t>szc</w:t>
      </w:r>
      <w:r w:rsidR="005C1C3E" w:rsidRPr="00B10036">
        <w:rPr>
          <w:noProof/>
        </w:rPr>
        <w:t>zególności przez zmniejszenie klina podatkowego dla grup</w:t>
      </w:r>
      <w:r w:rsidRPr="00B10036">
        <w:rPr>
          <w:noProof/>
        </w:rPr>
        <w:t xml:space="preserve"> o</w:t>
      </w:r>
      <w:r>
        <w:rPr>
          <w:noProof/>
        </w:rPr>
        <w:t> </w:t>
      </w:r>
      <w:r w:rsidRPr="00B10036">
        <w:rPr>
          <w:noProof/>
        </w:rPr>
        <w:t>nis</w:t>
      </w:r>
      <w:r w:rsidR="005C1C3E" w:rsidRPr="00B10036">
        <w:rPr>
          <w:noProof/>
        </w:rPr>
        <w:t>kich</w:t>
      </w:r>
      <w:r w:rsidRPr="00B10036">
        <w:rPr>
          <w:noProof/>
        </w:rPr>
        <w:t xml:space="preserve"> i</w:t>
      </w:r>
      <w:r>
        <w:rPr>
          <w:noProof/>
        </w:rPr>
        <w:t> </w:t>
      </w:r>
      <w:r w:rsidRPr="00B10036">
        <w:rPr>
          <w:noProof/>
        </w:rPr>
        <w:t>śre</w:t>
      </w:r>
      <w:r w:rsidR="005C1C3E" w:rsidRPr="00B10036">
        <w:rPr>
          <w:noProof/>
        </w:rPr>
        <w:t>dnich dochodach</w:t>
      </w:r>
      <w:r w:rsidRPr="00B10036">
        <w:rPr>
          <w:noProof/>
        </w:rPr>
        <w:t xml:space="preserve"> i</w:t>
      </w:r>
      <w:r>
        <w:rPr>
          <w:noProof/>
        </w:rPr>
        <w:t> </w:t>
      </w:r>
      <w:r w:rsidRPr="00B10036">
        <w:rPr>
          <w:noProof/>
        </w:rPr>
        <w:t>prz</w:t>
      </w:r>
      <w:r w:rsidR="005C1C3E" w:rsidRPr="00B10036">
        <w:rPr>
          <w:noProof/>
        </w:rPr>
        <w:t>esunięcie obciążeń podatkowych</w:t>
      </w:r>
      <w:r w:rsidRPr="00B10036">
        <w:rPr>
          <w:noProof/>
        </w:rPr>
        <w:t xml:space="preserve"> z</w:t>
      </w:r>
      <w:r>
        <w:rPr>
          <w:noProof/>
        </w:rPr>
        <w:t> </w:t>
      </w:r>
      <w:r w:rsidRPr="00B10036">
        <w:rPr>
          <w:noProof/>
        </w:rPr>
        <w:t>opo</w:t>
      </w:r>
      <w:r w:rsidR="005C1C3E" w:rsidRPr="00B10036">
        <w:rPr>
          <w:noProof/>
        </w:rPr>
        <w:t>datkowania pracy na inne źródła przyczyniające się do realizacji celów klimatycznych</w:t>
      </w:r>
      <w:r w:rsidRPr="00B10036">
        <w:rPr>
          <w:noProof/>
        </w:rPr>
        <w:t xml:space="preserve"> i</w:t>
      </w:r>
      <w:r>
        <w:rPr>
          <w:noProof/>
        </w:rPr>
        <w:t> </w:t>
      </w:r>
      <w:r w:rsidRPr="00B10036">
        <w:rPr>
          <w:noProof/>
        </w:rPr>
        <w:t>śro</w:t>
      </w:r>
      <w:r w:rsidR="005C1C3E" w:rsidRPr="00B10036">
        <w:rPr>
          <w:noProof/>
        </w:rPr>
        <w:t>dowiskowych, zapobieganie regresywnym skutkom</w:t>
      </w:r>
      <w:r w:rsidRPr="00B10036">
        <w:rPr>
          <w:noProof/>
        </w:rPr>
        <w:t xml:space="preserve"> i</w:t>
      </w:r>
      <w:r>
        <w:rPr>
          <w:noProof/>
        </w:rPr>
        <w:t> </w:t>
      </w:r>
      <w:r w:rsidRPr="00B10036">
        <w:rPr>
          <w:noProof/>
        </w:rPr>
        <w:t>ich</w:t>
      </w:r>
      <w:r w:rsidR="005C1C3E" w:rsidRPr="00B10036">
        <w:rPr>
          <w:noProof/>
        </w:rPr>
        <w:t xml:space="preserve"> łagodzenie, zachowanie progresywnego charakteru podatków bezpośrednich oraz zagwarantowanie finansowania odpowiedniej ochrony socjalnej</w:t>
      </w:r>
      <w:r w:rsidRPr="00B10036">
        <w:rPr>
          <w:noProof/>
        </w:rPr>
        <w:t xml:space="preserve"> i</w:t>
      </w:r>
      <w:r>
        <w:rPr>
          <w:noProof/>
        </w:rPr>
        <w:t> </w:t>
      </w:r>
      <w:r w:rsidRPr="00B10036">
        <w:rPr>
          <w:noProof/>
        </w:rPr>
        <w:t>śro</w:t>
      </w:r>
      <w:r w:rsidR="005C1C3E" w:rsidRPr="00B10036">
        <w:rPr>
          <w:noProof/>
        </w:rPr>
        <w:t>dków inwestycyjnych, zwłaszcza tych ukierunkowanych na zieloną transformację.</w:t>
      </w:r>
    </w:p>
    <w:p w14:paraId="651ED646" w14:textId="761B419A" w:rsidR="00EA3FC0" w:rsidRPr="00B10036" w:rsidRDefault="00B10036" w:rsidP="00B10036">
      <w:pPr>
        <w:pStyle w:val="Point1"/>
        <w:rPr>
          <w:noProof/>
        </w:rPr>
      </w:pPr>
      <w:r w:rsidRPr="00B10036">
        <w:rPr>
          <w:noProof/>
        </w:rPr>
        <w:t>b)</w:t>
      </w:r>
      <w:r w:rsidRPr="00B10036">
        <w:rPr>
          <w:noProof/>
        </w:rPr>
        <w:tab/>
      </w:r>
      <w:r w:rsidR="00F40CB5" w:rsidRPr="00B10036">
        <w:rPr>
          <w:noProof/>
        </w:rPr>
        <w:t>Ocena i –</w:t>
      </w:r>
      <w:r w:rsidRPr="00B10036">
        <w:rPr>
          <w:noProof/>
        </w:rPr>
        <w:t xml:space="preserve"> w</w:t>
      </w:r>
      <w:r>
        <w:rPr>
          <w:noProof/>
        </w:rPr>
        <w:t> </w:t>
      </w:r>
      <w:r w:rsidRPr="00B10036">
        <w:rPr>
          <w:noProof/>
        </w:rPr>
        <w:t>sto</w:t>
      </w:r>
      <w:r w:rsidR="00F40CB5" w:rsidRPr="00B10036">
        <w:rPr>
          <w:noProof/>
        </w:rPr>
        <w:t>sownych przypadkach – dostosowanie systemów ochrony socjalnej</w:t>
      </w:r>
      <w:r w:rsidRPr="00B10036">
        <w:rPr>
          <w:noProof/>
        </w:rPr>
        <w:t xml:space="preserve"> i</w:t>
      </w:r>
      <w:r>
        <w:rPr>
          <w:noProof/>
        </w:rPr>
        <w:t> </w:t>
      </w:r>
      <w:r w:rsidRPr="00B10036">
        <w:rPr>
          <w:noProof/>
        </w:rPr>
        <w:t>pol</w:t>
      </w:r>
      <w:r w:rsidR="00F40CB5" w:rsidRPr="00B10036">
        <w:rPr>
          <w:noProof/>
        </w:rPr>
        <w:t>ityki</w:t>
      </w:r>
      <w:r w:rsidRPr="00B10036">
        <w:rPr>
          <w:noProof/>
        </w:rPr>
        <w:t xml:space="preserve"> w</w:t>
      </w:r>
      <w:r>
        <w:rPr>
          <w:noProof/>
        </w:rPr>
        <w:t> </w:t>
      </w:r>
      <w:r w:rsidRPr="00B10036">
        <w:rPr>
          <w:noProof/>
        </w:rPr>
        <w:t>dzi</w:t>
      </w:r>
      <w:r w:rsidR="00F40CB5" w:rsidRPr="00B10036">
        <w:rPr>
          <w:noProof/>
        </w:rPr>
        <w:t>edzinie włączenia społecznego</w:t>
      </w:r>
      <w:r w:rsidRPr="00B10036">
        <w:rPr>
          <w:noProof/>
        </w:rPr>
        <w:t xml:space="preserve"> w</w:t>
      </w:r>
      <w:r>
        <w:rPr>
          <w:noProof/>
        </w:rPr>
        <w:t> </w:t>
      </w:r>
      <w:r w:rsidRPr="00B10036">
        <w:rPr>
          <w:noProof/>
        </w:rPr>
        <w:t>świ</w:t>
      </w:r>
      <w:r w:rsidR="00F40CB5" w:rsidRPr="00B10036">
        <w:rPr>
          <w:noProof/>
        </w:rPr>
        <w:t>etle wyzwań związanych</w:t>
      </w:r>
      <w:r w:rsidRPr="00B10036">
        <w:rPr>
          <w:noProof/>
        </w:rPr>
        <w:t xml:space="preserve"> z</w:t>
      </w:r>
      <w:r>
        <w:rPr>
          <w:noProof/>
        </w:rPr>
        <w:t> </w:t>
      </w:r>
      <w:r w:rsidRPr="00B10036">
        <w:rPr>
          <w:noProof/>
        </w:rPr>
        <w:t>zat</w:t>
      </w:r>
      <w:r w:rsidR="00F40CB5" w:rsidRPr="00B10036">
        <w:rPr>
          <w:noProof/>
        </w:rPr>
        <w:t>rudnieniem oraz wyzwań społecznych</w:t>
      </w:r>
      <w:r w:rsidRPr="00B10036">
        <w:rPr>
          <w:noProof/>
        </w:rPr>
        <w:t xml:space="preserve"> i</w:t>
      </w:r>
      <w:r>
        <w:rPr>
          <w:noProof/>
        </w:rPr>
        <w:t> </w:t>
      </w:r>
      <w:r w:rsidRPr="00B10036">
        <w:rPr>
          <w:noProof/>
        </w:rPr>
        <w:t>zdr</w:t>
      </w:r>
      <w:r w:rsidR="00F40CB5" w:rsidRPr="00B10036">
        <w:rPr>
          <w:noProof/>
        </w:rPr>
        <w:t>owotnych wynikających</w:t>
      </w:r>
      <w:r w:rsidRPr="00B10036">
        <w:rPr>
          <w:noProof/>
        </w:rPr>
        <w:t xml:space="preserve"> z</w:t>
      </w:r>
      <w:r>
        <w:rPr>
          <w:noProof/>
        </w:rPr>
        <w:t> </w:t>
      </w:r>
      <w:r w:rsidRPr="00B10036">
        <w:rPr>
          <w:noProof/>
        </w:rPr>
        <w:t>zie</w:t>
      </w:r>
      <w:r w:rsidR="00F40CB5" w:rsidRPr="00B10036">
        <w:rPr>
          <w:noProof/>
        </w:rPr>
        <w:t>lonej transformacji</w:t>
      </w:r>
      <w:r w:rsidRPr="00B10036">
        <w:rPr>
          <w:noProof/>
        </w:rPr>
        <w:t xml:space="preserve"> w</w:t>
      </w:r>
      <w:r>
        <w:rPr>
          <w:noProof/>
        </w:rPr>
        <w:t> </w:t>
      </w:r>
      <w:r w:rsidRPr="00B10036">
        <w:rPr>
          <w:noProof/>
        </w:rPr>
        <w:t>cel</w:t>
      </w:r>
      <w:r w:rsidR="00F40CB5" w:rsidRPr="00B10036">
        <w:rPr>
          <w:noProof/>
        </w:rPr>
        <w:t>u zapewnienia dalszej adekwatności</w:t>
      </w:r>
      <w:r w:rsidRPr="00B10036">
        <w:rPr>
          <w:noProof/>
        </w:rPr>
        <w:t xml:space="preserve"> i</w:t>
      </w:r>
      <w:r>
        <w:rPr>
          <w:noProof/>
        </w:rPr>
        <w:t> </w:t>
      </w:r>
      <w:r w:rsidRPr="00B10036">
        <w:rPr>
          <w:noProof/>
        </w:rPr>
        <w:t>trw</w:t>
      </w:r>
      <w:r w:rsidR="00F40CB5" w:rsidRPr="00B10036">
        <w:rPr>
          <w:noProof/>
        </w:rPr>
        <w:t>ałości tych polityk</w:t>
      </w:r>
      <w:r w:rsidRPr="00B10036">
        <w:rPr>
          <w:noProof/>
        </w:rPr>
        <w:t>. W</w:t>
      </w:r>
      <w:r>
        <w:rPr>
          <w:noProof/>
        </w:rPr>
        <w:t> </w:t>
      </w:r>
      <w:r w:rsidRPr="00B10036">
        <w:rPr>
          <w:noProof/>
        </w:rPr>
        <w:t>tym</w:t>
      </w:r>
      <w:r w:rsidR="00F40CB5" w:rsidRPr="00B10036">
        <w:rPr>
          <w:noProof/>
        </w:rPr>
        <w:t xml:space="preserve"> celu należy rozważyć,</w:t>
      </w:r>
      <w:r w:rsidRPr="00B10036">
        <w:rPr>
          <w:noProof/>
        </w:rPr>
        <w:t xml:space="preserve"> w</w:t>
      </w:r>
      <w:r>
        <w:rPr>
          <w:noProof/>
        </w:rPr>
        <w:t> </w:t>
      </w:r>
      <w:r w:rsidRPr="00B10036">
        <w:rPr>
          <w:noProof/>
        </w:rPr>
        <w:t>jak</w:t>
      </w:r>
      <w:r w:rsidR="00F40CB5" w:rsidRPr="00B10036">
        <w:rPr>
          <w:noProof/>
        </w:rPr>
        <w:t>i sposób można najlepiej zapewnić</w:t>
      </w:r>
      <w:r w:rsidRPr="00B10036">
        <w:rPr>
          <w:noProof/>
        </w:rPr>
        <w:t xml:space="preserve"> i</w:t>
      </w:r>
      <w:r>
        <w:rPr>
          <w:noProof/>
        </w:rPr>
        <w:t> </w:t>
      </w:r>
      <w:r w:rsidRPr="00B10036">
        <w:rPr>
          <w:noProof/>
        </w:rPr>
        <w:t>dos</w:t>
      </w:r>
      <w:r w:rsidR="00F40CB5" w:rsidRPr="00B10036">
        <w:rPr>
          <w:noProof/>
        </w:rPr>
        <w:t>tosować do potrzeb wynikających</w:t>
      </w:r>
      <w:r w:rsidRPr="00B10036">
        <w:rPr>
          <w:noProof/>
        </w:rPr>
        <w:t xml:space="preserve"> z</w:t>
      </w:r>
      <w:r>
        <w:rPr>
          <w:noProof/>
        </w:rPr>
        <w:t> </w:t>
      </w:r>
      <w:r w:rsidRPr="00B10036">
        <w:rPr>
          <w:noProof/>
        </w:rPr>
        <w:t>zie</w:t>
      </w:r>
      <w:r w:rsidR="00F40CB5" w:rsidRPr="00B10036">
        <w:rPr>
          <w:noProof/>
        </w:rPr>
        <w:t>lonej transformacji odpowiednie bezpieczeństwo dochodów,</w:t>
      </w:r>
      <w:r w:rsidRPr="00B10036">
        <w:rPr>
          <w:noProof/>
        </w:rPr>
        <w:t xml:space="preserve"> w</w:t>
      </w:r>
      <w:r>
        <w:rPr>
          <w:noProof/>
        </w:rPr>
        <w:t> </w:t>
      </w:r>
      <w:r w:rsidRPr="00B10036">
        <w:rPr>
          <w:noProof/>
        </w:rPr>
        <w:t>tym</w:t>
      </w:r>
      <w:r w:rsidR="00F40CB5" w:rsidRPr="00B10036">
        <w:rPr>
          <w:noProof/>
        </w:rPr>
        <w:t xml:space="preserve"> za pomocą innowacyjnych programów zmiany pracy, zasiłków dla bezrobotnych</w:t>
      </w:r>
      <w:r w:rsidRPr="00B10036">
        <w:rPr>
          <w:noProof/>
        </w:rPr>
        <w:t xml:space="preserve"> i</w:t>
      </w:r>
      <w:r>
        <w:rPr>
          <w:noProof/>
        </w:rPr>
        <w:t> </w:t>
      </w:r>
      <w:r w:rsidRPr="00B10036">
        <w:rPr>
          <w:noProof/>
        </w:rPr>
        <w:t>sys</w:t>
      </w:r>
      <w:r w:rsidR="00F40CB5" w:rsidRPr="00B10036">
        <w:rPr>
          <w:noProof/>
        </w:rPr>
        <w:t>temów dochodów minimalnych. Ponadto zapewnienie świadczenia</w:t>
      </w:r>
      <w:r w:rsidRPr="00B10036">
        <w:rPr>
          <w:noProof/>
        </w:rPr>
        <w:t xml:space="preserve"> i</w:t>
      </w:r>
      <w:r>
        <w:rPr>
          <w:noProof/>
        </w:rPr>
        <w:t> </w:t>
      </w:r>
      <w:r w:rsidRPr="00B10036">
        <w:rPr>
          <w:noProof/>
        </w:rPr>
        <w:t>zró</w:t>
      </w:r>
      <w:r w:rsidR="00F40CB5" w:rsidRPr="00B10036">
        <w:rPr>
          <w:noProof/>
        </w:rPr>
        <w:t>wnoważonego finansowania wysokiej jakości, przystępnych cenowo</w:t>
      </w:r>
      <w:r w:rsidRPr="00B10036">
        <w:rPr>
          <w:noProof/>
        </w:rPr>
        <w:t xml:space="preserve"> i</w:t>
      </w:r>
      <w:r>
        <w:rPr>
          <w:noProof/>
        </w:rPr>
        <w:t> </w:t>
      </w:r>
      <w:r w:rsidRPr="00B10036">
        <w:rPr>
          <w:noProof/>
        </w:rPr>
        <w:t>dos</w:t>
      </w:r>
      <w:r w:rsidR="00F40CB5" w:rsidRPr="00B10036">
        <w:rPr>
          <w:noProof/>
        </w:rPr>
        <w:t>tępnych usług społecznych, zdrowotnych</w:t>
      </w:r>
      <w:r w:rsidRPr="00B10036">
        <w:rPr>
          <w:noProof/>
        </w:rPr>
        <w:t xml:space="preserve"> i</w:t>
      </w:r>
      <w:r>
        <w:rPr>
          <w:noProof/>
        </w:rPr>
        <w:t> </w:t>
      </w:r>
      <w:r w:rsidRPr="00B10036">
        <w:rPr>
          <w:noProof/>
        </w:rPr>
        <w:t>usł</w:t>
      </w:r>
      <w:r w:rsidR="00F40CB5" w:rsidRPr="00B10036">
        <w:rPr>
          <w:noProof/>
        </w:rPr>
        <w:t>ug</w:t>
      </w:r>
      <w:r w:rsidRPr="00B10036">
        <w:rPr>
          <w:noProof/>
        </w:rPr>
        <w:t xml:space="preserve"> w</w:t>
      </w:r>
      <w:r>
        <w:rPr>
          <w:noProof/>
        </w:rPr>
        <w:t> </w:t>
      </w:r>
      <w:r w:rsidRPr="00B10036">
        <w:rPr>
          <w:noProof/>
        </w:rPr>
        <w:t>zak</w:t>
      </w:r>
      <w:r w:rsidR="00F40CB5" w:rsidRPr="00B10036">
        <w:rPr>
          <w:noProof/>
        </w:rPr>
        <w:t>resie opieki długoterminowej, zwłaszcza dla osób</w:t>
      </w:r>
      <w:r w:rsidRPr="00B10036">
        <w:rPr>
          <w:noProof/>
        </w:rPr>
        <w:t xml:space="preserve"> i</w:t>
      </w:r>
      <w:r>
        <w:rPr>
          <w:noProof/>
        </w:rPr>
        <w:t> </w:t>
      </w:r>
      <w:r w:rsidRPr="00B10036">
        <w:rPr>
          <w:noProof/>
        </w:rPr>
        <w:t>gos</w:t>
      </w:r>
      <w:r w:rsidR="00F40CB5" w:rsidRPr="00B10036">
        <w:rPr>
          <w:noProof/>
        </w:rPr>
        <w:t>podarstw domowych najbardziej obciążonych skutkami zielonej transformacji,</w:t>
      </w:r>
      <w:r w:rsidRPr="00B10036">
        <w:rPr>
          <w:noProof/>
        </w:rPr>
        <w:t xml:space="preserve"> w</w:t>
      </w:r>
      <w:r>
        <w:rPr>
          <w:noProof/>
        </w:rPr>
        <w:t> </w:t>
      </w:r>
      <w:r w:rsidRPr="00B10036">
        <w:rPr>
          <w:noProof/>
        </w:rPr>
        <w:t>szc</w:t>
      </w:r>
      <w:r w:rsidR="00F40CB5" w:rsidRPr="00B10036">
        <w:rPr>
          <w:noProof/>
        </w:rPr>
        <w:t>zególności przez inwestowanie</w:t>
      </w:r>
      <w:r w:rsidRPr="00B10036">
        <w:rPr>
          <w:noProof/>
        </w:rPr>
        <w:t xml:space="preserve"> w</w:t>
      </w:r>
      <w:r>
        <w:rPr>
          <w:noProof/>
        </w:rPr>
        <w:t> </w:t>
      </w:r>
      <w:r w:rsidRPr="00B10036">
        <w:rPr>
          <w:noProof/>
        </w:rPr>
        <w:t>inf</w:t>
      </w:r>
      <w:r w:rsidR="00F40CB5" w:rsidRPr="00B10036">
        <w:rPr>
          <w:noProof/>
        </w:rPr>
        <w:t>rastrukturę społeczną</w:t>
      </w:r>
      <w:r w:rsidRPr="00B10036">
        <w:rPr>
          <w:noProof/>
        </w:rPr>
        <w:t xml:space="preserve"> w</w:t>
      </w:r>
      <w:r>
        <w:rPr>
          <w:noProof/>
        </w:rPr>
        <w:t> </w:t>
      </w:r>
      <w:r w:rsidRPr="00B10036">
        <w:rPr>
          <w:noProof/>
        </w:rPr>
        <w:t>zak</w:t>
      </w:r>
      <w:r w:rsidR="00F40CB5" w:rsidRPr="00B10036">
        <w:rPr>
          <w:noProof/>
        </w:rPr>
        <w:t>resie opieki nad dziećmi, opieki długoterminowej</w:t>
      </w:r>
      <w:r w:rsidRPr="00B10036">
        <w:rPr>
          <w:noProof/>
        </w:rPr>
        <w:t xml:space="preserve"> i</w:t>
      </w:r>
      <w:r>
        <w:rPr>
          <w:noProof/>
        </w:rPr>
        <w:t> </w:t>
      </w:r>
      <w:r w:rsidRPr="00B10036">
        <w:rPr>
          <w:noProof/>
        </w:rPr>
        <w:t>opi</w:t>
      </w:r>
      <w:r w:rsidR="00F40CB5" w:rsidRPr="00B10036">
        <w:rPr>
          <w:noProof/>
        </w:rPr>
        <w:t>eki zdrowotnej.</w:t>
      </w:r>
      <w:r w:rsidRPr="00B10036">
        <w:rPr>
          <w:noProof/>
        </w:rPr>
        <w:t xml:space="preserve"> </w:t>
      </w:r>
    </w:p>
    <w:p w14:paraId="6B0F25C0" w14:textId="22189A61" w:rsidR="00BE05E1" w:rsidRPr="00B10036" w:rsidRDefault="00B10036" w:rsidP="00B10036">
      <w:pPr>
        <w:pStyle w:val="Point1"/>
        <w:rPr>
          <w:noProof/>
        </w:rPr>
      </w:pPr>
      <w:r w:rsidRPr="00B10036">
        <w:rPr>
          <w:noProof/>
        </w:rPr>
        <w:t>c)</w:t>
      </w:r>
      <w:r w:rsidRPr="00B10036">
        <w:rPr>
          <w:noProof/>
        </w:rPr>
        <w:tab/>
      </w:r>
      <w:r w:rsidR="00BE05E1" w:rsidRPr="00B10036">
        <w:rPr>
          <w:noProof/>
        </w:rPr>
        <w:t>Zapewnienie –</w:t>
      </w:r>
      <w:r w:rsidRPr="00B10036">
        <w:rPr>
          <w:noProof/>
        </w:rPr>
        <w:t xml:space="preserve"> w</w:t>
      </w:r>
      <w:r>
        <w:rPr>
          <w:noProof/>
        </w:rPr>
        <w:t> </w:t>
      </w:r>
      <w:r w:rsidRPr="00B10036">
        <w:rPr>
          <w:noProof/>
        </w:rPr>
        <w:t>sto</w:t>
      </w:r>
      <w:r w:rsidR="00BE05E1" w:rsidRPr="00B10036">
        <w:rPr>
          <w:noProof/>
        </w:rPr>
        <w:t>sownych przypadkach</w:t>
      </w:r>
      <w:r w:rsidRPr="00B10036">
        <w:rPr>
          <w:noProof/>
        </w:rPr>
        <w:t xml:space="preserve"> i</w:t>
      </w:r>
      <w:r>
        <w:rPr>
          <w:noProof/>
        </w:rPr>
        <w:t> </w:t>
      </w:r>
      <w:r w:rsidRPr="00B10036">
        <w:rPr>
          <w:noProof/>
        </w:rPr>
        <w:t>w</w:t>
      </w:r>
      <w:r>
        <w:rPr>
          <w:noProof/>
        </w:rPr>
        <w:t> </w:t>
      </w:r>
      <w:r w:rsidRPr="00B10036">
        <w:rPr>
          <w:noProof/>
        </w:rPr>
        <w:t>uzu</w:t>
      </w:r>
      <w:r w:rsidR="00BE05E1" w:rsidRPr="00B10036">
        <w:rPr>
          <w:noProof/>
        </w:rPr>
        <w:t>pełnieniu środków określonych</w:t>
      </w:r>
      <w:r w:rsidRPr="00B10036">
        <w:rPr>
          <w:noProof/>
        </w:rPr>
        <w:t xml:space="preserve"> w</w:t>
      </w:r>
      <w:r>
        <w:rPr>
          <w:noProof/>
        </w:rPr>
        <w:t> </w:t>
      </w:r>
      <w:r w:rsidRPr="00B10036">
        <w:rPr>
          <w:noProof/>
        </w:rPr>
        <w:t>pkt </w:t>
      </w:r>
      <w:r w:rsidR="00BE05E1" w:rsidRPr="00B10036">
        <w:rPr>
          <w:noProof/>
        </w:rPr>
        <w:t>7 lit.</w:t>
      </w:r>
      <w:r w:rsidRPr="00B10036">
        <w:rPr>
          <w:noProof/>
        </w:rPr>
        <w:t> </w:t>
      </w:r>
      <w:r w:rsidR="00BE05E1" w:rsidRPr="00B10036">
        <w:rPr>
          <w:noProof/>
        </w:rPr>
        <w:t>a)</w:t>
      </w:r>
      <w:r w:rsidRPr="00B10036">
        <w:rPr>
          <w:noProof/>
        </w:rPr>
        <w:t xml:space="preserve"> w</w:t>
      </w:r>
      <w:r>
        <w:rPr>
          <w:noProof/>
        </w:rPr>
        <w:t> </w:t>
      </w:r>
      <w:r w:rsidRPr="00B10036">
        <w:rPr>
          <w:noProof/>
        </w:rPr>
        <w:t>tra</w:t>
      </w:r>
      <w:r w:rsidR="00BE05E1" w:rsidRPr="00B10036">
        <w:rPr>
          <w:noProof/>
        </w:rPr>
        <w:t>kcie ich wdrażania – ukierunkowanego</w:t>
      </w:r>
      <w:r w:rsidRPr="00B10036">
        <w:rPr>
          <w:noProof/>
        </w:rPr>
        <w:t xml:space="preserve"> i</w:t>
      </w:r>
      <w:r>
        <w:rPr>
          <w:noProof/>
        </w:rPr>
        <w:t> </w:t>
      </w:r>
      <w:r w:rsidRPr="00B10036">
        <w:rPr>
          <w:noProof/>
        </w:rPr>
        <w:t>tym</w:t>
      </w:r>
      <w:r w:rsidR="00BE05E1" w:rsidRPr="00B10036">
        <w:rPr>
          <w:noProof/>
        </w:rPr>
        <w:t>czasowego bezpośredniego wsparcia dochodu,</w:t>
      </w:r>
      <w:r w:rsidRPr="00B10036">
        <w:rPr>
          <w:noProof/>
        </w:rPr>
        <w:t xml:space="preserve"> w</w:t>
      </w:r>
      <w:r>
        <w:rPr>
          <w:noProof/>
        </w:rPr>
        <w:t> </w:t>
      </w:r>
      <w:r w:rsidRPr="00B10036">
        <w:rPr>
          <w:noProof/>
        </w:rPr>
        <w:t>szc</w:t>
      </w:r>
      <w:r w:rsidR="00BE05E1" w:rsidRPr="00B10036">
        <w:rPr>
          <w:noProof/>
        </w:rPr>
        <w:t>zególności dla osób</w:t>
      </w:r>
      <w:r w:rsidRPr="00B10036">
        <w:rPr>
          <w:noProof/>
        </w:rPr>
        <w:t xml:space="preserve"> i</w:t>
      </w:r>
      <w:r>
        <w:rPr>
          <w:noProof/>
        </w:rPr>
        <w:t> </w:t>
      </w:r>
      <w:r w:rsidRPr="00B10036">
        <w:rPr>
          <w:noProof/>
        </w:rPr>
        <w:t>gos</w:t>
      </w:r>
      <w:r w:rsidR="00BE05E1" w:rsidRPr="00B10036">
        <w:rPr>
          <w:noProof/>
        </w:rPr>
        <w:t>podarstw domowych będących</w:t>
      </w:r>
      <w:r w:rsidRPr="00B10036">
        <w:rPr>
          <w:noProof/>
        </w:rPr>
        <w:t xml:space="preserve"> w</w:t>
      </w:r>
      <w:r>
        <w:rPr>
          <w:noProof/>
        </w:rPr>
        <w:t> </w:t>
      </w:r>
      <w:r w:rsidRPr="00B10036">
        <w:rPr>
          <w:noProof/>
        </w:rPr>
        <w:t>tru</w:t>
      </w:r>
      <w:r w:rsidR="00BE05E1" w:rsidRPr="00B10036">
        <w:rPr>
          <w:noProof/>
        </w:rPr>
        <w:t>dnej sytuacji,</w:t>
      </w:r>
      <w:r w:rsidRPr="00B10036">
        <w:rPr>
          <w:noProof/>
        </w:rPr>
        <w:t xml:space="preserve"> w</w:t>
      </w:r>
      <w:r>
        <w:rPr>
          <w:noProof/>
        </w:rPr>
        <w:t> </w:t>
      </w:r>
      <w:r w:rsidRPr="00B10036">
        <w:rPr>
          <w:noProof/>
        </w:rPr>
        <w:t>cel</w:t>
      </w:r>
      <w:r w:rsidR="00BE05E1" w:rsidRPr="00B10036">
        <w:rPr>
          <w:noProof/>
        </w:rPr>
        <w:t>u złagodzenia niekorzystnych zmian pod względem dochodów</w:t>
      </w:r>
      <w:r w:rsidRPr="00B10036">
        <w:rPr>
          <w:noProof/>
        </w:rPr>
        <w:t xml:space="preserve"> i</w:t>
      </w:r>
      <w:r>
        <w:rPr>
          <w:noProof/>
        </w:rPr>
        <w:t> </w:t>
      </w:r>
      <w:r w:rsidRPr="00B10036">
        <w:rPr>
          <w:noProof/>
        </w:rPr>
        <w:t>cen</w:t>
      </w:r>
      <w:r w:rsidR="00BE05E1" w:rsidRPr="00B10036">
        <w:rPr>
          <w:noProof/>
        </w:rPr>
        <w:t>, powiązanego również</w:t>
      </w:r>
      <w:r w:rsidRPr="00B10036">
        <w:rPr>
          <w:noProof/>
        </w:rPr>
        <w:t xml:space="preserve"> z</w:t>
      </w:r>
      <w:r>
        <w:rPr>
          <w:noProof/>
        </w:rPr>
        <w:t> </w:t>
      </w:r>
      <w:r w:rsidRPr="00B10036">
        <w:rPr>
          <w:noProof/>
        </w:rPr>
        <w:t>lep</w:t>
      </w:r>
      <w:r w:rsidR="00BE05E1" w:rsidRPr="00B10036">
        <w:rPr>
          <w:noProof/>
        </w:rPr>
        <w:t>szymi zachętami do pilnego osiągnięcia niezbędnych celów klimatycznych</w:t>
      </w:r>
      <w:r w:rsidRPr="00B10036">
        <w:rPr>
          <w:noProof/>
        </w:rPr>
        <w:t xml:space="preserve"> i</w:t>
      </w:r>
      <w:r>
        <w:rPr>
          <w:noProof/>
        </w:rPr>
        <w:t> </w:t>
      </w:r>
      <w:r w:rsidRPr="00B10036">
        <w:rPr>
          <w:noProof/>
        </w:rPr>
        <w:t>śro</w:t>
      </w:r>
      <w:r w:rsidR="00BE05E1" w:rsidRPr="00B10036">
        <w:rPr>
          <w:noProof/>
        </w:rPr>
        <w:t>dowiskowych, przy jednoczesnym zachowaniu sygnałów cenowych wspierających zieloną transformację</w:t>
      </w:r>
      <w:r w:rsidRPr="00B10036">
        <w:rPr>
          <w:noProof/>
        </w:rPr>
        <w:t>. W</w:t>
      </w:r>
      <w:r>
        <w:rPr>
          <w:noProof/>
        </w:rPr>
        <w:t> </w:t>
      </w:r>
      <w:r w:rsidRPr="00B10036">
        <w:rPr>
          <w:noProof/>
        </w:rPr>
        <w:t>tym</w:t>
      </w:r>
      <w:r w:rsidR="00BE05E1" w:rsidRPr="00B10036">
        <w:rPr>
          <w:noProof/>
        </w:rPr>
        <w:t xml:space="preserve"> celu należy zapewnić dostępność odpowiedniego finansowania tych środków,</w:t>
      </w:r>
      <w:r w:rsidRPr="00B10036">
        <w:rPr>
          <w:noProof/>
        </w:rPr>
        <w:t xml:space="preserve"> w</w:t>
      </w:r>
      <w:r>
        <w:rPr>
          <w:noProof/>
        </w:rPr>
        <w:t> </w:t>
      </w:r>
      <w:r w:rsidRPr="00B10036">
        <w:rPr>
          <w:noProof/>
        </w:rPr>
        <w:t>tym</w:t>
      </w:r>
      <w:r w:rsidR="00BE05E1" w:rsidRPr="00B10036">
        <w:rPr>
          <w:noProof/>
        </w:rPr>
        <w:t xml:space="preserve"> przez poprawę jakości wydatków publicznych, optymalne wykorzystanie Społecznego Funduszu Klimatycznego oraz korzystanie</w:t>
      </w:r>
      <w:r w:rsidRPr="00B10036">
        <w:rPr>
          <w:noProof/>
        </w:rPr>
        <w:t xml:space="preserve"> z</w:t>
      </w:r>
      <w:r>
        <w:rPr>
          <w:noProof/>
        </w:rPr>
        <w:t> </w:t>
      </w:r>
      <w:r w:rsidRPr="00B10036">
        <w:rPr>
          <w:noProof/>
        </w:rPr>
        <w:t>zas</w:t>
      </w:r>
      <w:r w:rsidR="00BE05E1" w:rsidRPr="00B10036">
        <w:rPr>
          <w:noProof/>
        </w:rPr>
        <w:t>obów budżetowych pochodzących</w:t>
      </w:r>
      <w:r w:rsidRPr="00B10036">
        <w:rPr>
          <w:noProof/>
        </w:rPr>
        <w:t xml:space="preserve"> z</w:t>
      </w:r>
      <w:r>
        <w:rPr>
          <w:noProof/>
        </w:rPr>
        <w:t> </w:t>
      </w:r>
      <w:r w:rsidRPr="00B10036">
        <w:rPr>
          <w:noProof/>
        </w:rPr>
        <w:t>opo</w:t>
      </w:r>
      <w:r w:rsidR="00BE05E1" w:rsidRPr="00B10036">
        <w:rPr>
          <w:noProof/>
        </w:rPr>
        <w:t>datkowania energii</w:t>
      </w:r>
      <w:r w:rsidRPr="00B10036">
        <w:rPr>
          <w:noProof/>
        </w:rPr>
        <w:t xml:space="preserve"> i</w:t>
      </w:r>
      <w:r>
        <w:rPr>
          <w:noProof/>
        </w:rPr>
        <w:t> </w:t>
      </w:r>
      <w:r w:rsidRPr="00B10036">
        <w:rPr>
          <w:noProof/>
        </w:rPr>
        <w:t>pod</w:t>
      </w:r>
      <w:r w:rsidR="00BE05E1" w:rsidRPr="00B10036">
        <w:rPr>
          <w:noProof/>
        </w:rPr>
        <w:t>atków na ochronę środowiska oraz unijnego systemu handlu uprawnieniami do emisji.</w:t>
      </w:r>
    </w:p>
    <w:p w14:paraId="3F282D49" w14:textId="2A0422E9" w:rsidR="00002649" w:rsidRPr="00B10036" w:rsidRDefault="00B10036" w:rsidP="00B10036">
      <w:pPr>
        <w:pStyle w:val="Point1"/>
        <w:rPr>
          <w:noProof/>
        </w:rPr>
      </w:pPr>
      <w:r w:rsidRPr="00B10036">
        <w:rPr>
          <w:noProof/>
        </w:rPr>
        <w:t>d)</w:t>
      </w:r>
      <w:r w:rsidRPr="00B10036">
        <w:rPr>
          <w:noProof/>
        </w:rPr>
        <w:tab/>
      </w:r>
      <w:r w:rsidR="001D75E0" w:rsidRPr="00B10036">
        <w:rPr>
          <w:noProof/>
        </w:rPr>
        <w:t>Usprawnienie rozwiązań</w:t>
      </w:r>
      <w:r w:rsidRPr="00B10036">
        <w:rPr>
          <w:noProof/>
        </w:rPr>
        <w:t xml:space="preserve"> w</w:t>
      </w:r>
      <w:r>
        <w:rPr>
          <w:noProof/>
        </w:rPr>
        <w:t> </w:t>
      </w:r>
      <w:r w:rsidRPr="00B10036">
        <w:rPr>
          <w:noProof/>
        </w:rPr>
        <w:t>zak</w:t>
      </w:r>
      <w:r w:rsidR="001D75E0" w:rsidRPr="00B10036">
        <w:rPr>
          <w:noProof/>
        </w:rPr>
        <w:t>resie świadomości ryzyka, ograniczania ryzyka</w:t>
      </w:r>
      <w:r w:rsidRPr="00B10036">
        <w:rPr>
          <w:noProof/>
        </w:rPr>
        <w:t xml:space="preserve"> i</w:t>
      </w:r>
      <w:r>
        <w:rPr>
          <w:noProof/>
        </w:rPr>
        <w:t> </w:t>
      </w:r>
      <w:r w:rsidRPr="00B10036">
        <w:rPr>
          <w:noProof/>
        </w:rPr>
        <w:t>prz</w:t>
      </w:r>
      <w:r w:rsidR="001D75E0" w:rsidRPr="00B10036">
        <w:rPr>
          <w:noProof/>
        </w:rPr>
        <w:t>eniesienia ryzyka</w:t>
      </w:r>
      <w:r w:rsidRPr="00B10036">
        <w:rPr>
          <w:noProof/>
        </w:rPr>
        <w:t xml:space="preserve"> w</w:t>
      </w:r>
      <w:r>
        <w:rPr>
          <w:noProof/>
        </w:rPr>
        <w:t> </w:t>
      </w:r>
      <w:r w:rsidRPr="00B10036">
        <w:rPr>
          <w:noProof/>
        </w:rPr>
        <w:t>odn</w:t>
      </w:r>
      <w:r w:rsidR="001D75E0" w:rsidRPr="00B10036">
        <w:rPr>
          <w:noProof/>
        </w:rPr>
        <w:t>iesieniu do gospodarstw domowych</w:t>
      </w:r>
      <w:r w:rsidRPr="00B10036">
        <w:rPr>
          <w:noProof/>
        </w:rPr>
        <w:t xml:space="preserve"> i</w:t>
      </w:r>
      <w:r>
        <w:rPr>
          <w:noProof/>
        </w:rPr>
        <w:t> </w:t>
      </w:r>
      <w:r w:rsidRPr="00B10036">
        <w:rPr>
          <w:noProof/>
        </w:rPr>
        <w:t>prz</w:t>
      </w:r>
      <w:r w:rsidR="001D75E0" w:rsidRPr="00B10036">
        <w:rPr>
          <w:noProof/>
        </w:rPr>
        <w:t>edsiębiorstw,</w:t>
      </w:r>
      <w:r w:rsidRPr="00B10036">
        <w:rPr>
          <w:noProof/>
        </w:rPr>
        <w:t xml:space="preserve"> w</w:t>
      </w:r>
      <w:r>
        <w:rPr>
          <w:noProof/>
        </w:rPr>
        <w:t> </w:t>
      </w:r>
      <w:r w:rsidRPr="00B10036">
        <w:rPr>
          <w:noProof/>
        </w:rPr>
        <w:t>szc</w:t>
      </w:r>
      <w:r w:rsidR="001D75E0" w:rsidRPr="00B10036">
        <w:rPr>
          <w:noProof/>
        </w:rPr>
        <w:t>zególności mikroprzedsiębiorstw oraz małych</w:t>
      </w:r>
      <w:r w:rsidRPr="00B10036">
        <w:rPr>
          <w:noProof/>
        </w:rPr>
        <w:t xml:space="preserve"> i</w:t>
      </w:r>
      <w:r>
        <w:rPr>
          <w:noProof/>
        </w:rPr>
        <w:t> </w:t>
      </w:r>
      <w:r w:rsidRPr="00B10036">
        <w:rPr>
          <w:noProof/>
        </w:rPr>
        <w:t>śre</w:t>
      </w:r>
      <w:r w:rsidR="001D75E0" w:rsidRPr="00B10036">
        <w:rPr>
          <w:noProof/>
        </w:rPr>
        <w:t>dnich przedsiębiorstw, zwłaszcza przez zapewnienie dostępności</w:t>
      </w:r>
      <w:r w:rsidRPr="00B10036">
        <w:rPr>
          <w:noProof/>
        </w:rPr>
        <w:t xml:space="preserve"> i</w:t>
      </w:r>
      <w:r>
        <w:rPr>
          <w:noProof/>
        </w:rPr>
        <w:t> </w:t>
      </w:r>
      <w:r w:rsidRPr="00B10036">
        <w:rPr>
          <w:noProof/>
        </w:rPr>
        <w:t>prz</w:t>
      </w:r>
      <w:r w:rsidR="001D75E0" w:rsidRPr="00B10036">
        <w:rPr>
          <w:noProof/>
        </w:rPr>
        <w:t>ystępności cenowej rozwiązań ubezpieczeniowych,</w:t>
      </w:r>
      <w:r w:rsidRPr="00B10036">
        <w:rPr>
          <w:noProof/>
        </w:rPr>
        <w:t xml:space="preserve"> w</w:t>
      </w:r>
      <w:r>
        <w:rPr>
          <w:noProof/>
        </w:rPr>
        <w:t> </w:t>
      </w:r>
      <w:r w:rsidRPr="00B10036">
        <w:rPr>
          <w:noProof/>
        </w:rPr>
        <w:t>szc</w:t>
      </w:r>
      <w:r w:rsidR="001D75E0" w:rsidRPr="00B10036">
        <w:rPr>
          <w:noProof/>
        </w:rPr>
        <w:t>zególności dla osób</w:t>
      </w:r>
      <w:r w:rsidRPr="00B10036">
        <w:rPr>
          <w:noProof/>
        </w:rPr>
        <w:t xml:space="preserve"> i</w:t>
      </w:r>
      <w:r>
        <w:rPr>
          <w:noProof/>
        </w:rPr>
        <w:t> </w:t>
      </w:r>
      <w:r w:rsidRPr="00B10036">
        <w:rPr>
          <w:noProof/>
        </w:rPr>
        <w:t>gos</w:t>
      </w:r>
      <w:r w:rsidR="001D75E0" w:rsidRPr="00B10036">
        <w:rPr>
          <w:noProof/>
        </w:rPr>
        <w:t>podarstw domowych będących</w:t>
      </w:r>
      <w:r w:rsidRPr="00B10036">
        <w:rPr>
          <w:noProof/>
        </w:rPr>
        <w:t xml:space="preserve"> w</w:t>
      </w:r>
      <w:r>
        <w:rPr>
          <w:noProof/>
        </w:rPr>
        <w:t> </w:t>
      </w:r>
      <w:r w:rsidRPr="00B10036">
        <w:rPr>
          <w:noProof/>
        </w:rPr>
        <w:t>tru</w:t>
      </w:r>
      <w:r w:rsidR="001D75E0" w:rsidRPr="00B10036">
        <w:rPr>
          <w:noProof/>
        </w:rPr>
        <w:t xml:space="preserve">dnej sytuacji. </w:t>
      </w:r>
    </w:p>
    <w:p w14:paraId="035E3126" w14:textId="55AAA98A" w:rsidR="00537C0F" w:rsidRPr="00B10036" w:rsidRDefault="00B10036" w:rsidP="00B10036">
      <w:pPr>
        <w:pStyle w:val="Point0"/>
        <w:rPr>
          <w:noProof/>
        </w:rPr>
      </w:pPr>
      <w:r>
        <w:rPr>
          <w:noProof/>
        </w:rPr>
        <w:t>7)</w:t>
      </w:r>
      <w:r>
        <w:rPr>
          <w:noProof/>
        </w:rPr>
        <w:tab/>
      </w:r>
      <w:r w:rsidR="00364813" w:rsidRPr="00B10036">
        <w:rPr>
          <w:noProof/>
        </w:rPr>
        <w:t>Aby zapewnić dostęp do podstawowych usług</w:t>
      </w:r>
      <w:r w:rsidRPr="00B10036">
        <w:rPr>
          <w:noProof/>
        </w:rPr>
        <w:t xml:space="preserve"> i</w:t>
      </w:r>
      <w:r>
        <w:rPr>
          <w:noProof/>
        </w:rPr>
        <w:t> </w:t>
      </w:r>
      <w:r w:rsidRPr="00B10036">
        <w:rPr>
          <w:noProof/>
        </w:rPr>
        <w:t>mie</w:t>
      </w:r>
      <w:r w:rsidR="00364813" w:rsidRPr="00B10036">
        <w:rPr>
          <w:noProof/>
        </w:rPr>
        <w:t>szkań po przystępnych cenach osobom</w:t>
      </w:r>
      <w:r w:rsidRPr="00B10036">
        <w:rPr>
          <w:noProof/>
        </w:rPr>
        <w:t xml:space="preserve"> i</w:t>
      </w:r>
      <w:r>
        <w:rPr>
          <w:noProof/>
        </w:rPr>
        <w:t> </w:t>
      </w:r>
      <w:r w:rsidRPr="00B10036">
        <w:rPr>
          <w:noProof/>
        </w:rPr>
        <w:t>gos</w:t>
      </w:r>
      <w:r w:rsidR="00364813" w:rsidRPr="00B10036">
        <w:rPr>
          <w:noProof/>
        </w:rPr>
        <w:t>podarstwom domowym najbardziej obciążonym skutkami zielonej transformacji,</w:t>
      </w:r>
      <w:r w:rsidRPr="00B10036">
        <w:rPr>
          <w:noProof/>
        </w:rPr>
        <w:t xml:space="preserve"> w</w:t>
      </w:r>
      <w:r>
        <w:rPr>
          <w:noProof/>
        </w:rPr>
        <w:t> </w:t>
      </w:r>
      <w:r w:rsidRPr="00B10036">
        <w:rPr>
          <w:noProof/>
        </w:rPr>
        <w:t>szc</w:t>
      </w:r>
      <w:r w:rsidR="00364813" w:rsidRPr="00B10036">
        <w:rPr>
          <w:noProof/>
        </w:rPr>
        <w:t>zególności tym będącym</w:t>
      </w:r>
      <w:r w:rsidRPr="00B10036">
        <w:rPr>
          <w:noProof/>
        </w:rPr>
        <w:t xml:space="preserve"> w</w:t>
      </w:r>
      <w:r>
        <w:rPr>
          <w:noProof/>
        </w:rPr>
        <w:t> </w:t>
      </w:r>
      <w:r w:rsidRPr="00B10036">
        <w:rPr>
          <w:noProof/>
        </w:rPr>
        <w:t>tru</w:t>
      </w:r>
      <w:r w:rsidR="00364813" w:rsidRPr="00B10036">
        <w:rPr>
          <w:noProof/>
        </w:rPr>
        <w:t>dnej sytuacji, zachęca się państwa członkowskie do rozważenia następujących środków:</w:t>
      </w:r>
    </w:p>
    <w:p w14:paraId="4F903A4C" w14:textId="4E6DF3DA" w:rsidR="00537C0F" w:rsidRPr="00B10036" w:rsidRDefault="00B10036" w:rsidP="00B10036">
      <w:pPr>
        <w:pStyle w:val="Point1"/>
        <w:rPr>
          <w:noProof/>
        </w:rPr>
      </w:pPr>
      <w:r w:rsidRPr="00B10036">
        <w:rPr>
          <w:noProof/>
        </w:rPr>
        <w:t>a)</w:t>
      </w:r>
      <w:r w:rsidRPr="00B10036">
        <w:rPr>
          <w:noProof/>
        </w:rPr>
        <w:tab/>
      </w:r>
      <w:r w:rsidR="00537C0F" w:rsidRPr="00B10036">
        <w:rPr>
          <w:noProof/>
        </w:rPr>
        <w:t>Uruchomienie publicznego</w:t>
      </w:r>
      <w:r w:rsidRPr="00B10036">
        <w:rPr>
          <w:noProof/>
        </w:rPr>
        <w:t xml:space="preserve"> i</w:t>
      </w:r>
      <w:r>
        <w:rPr>
          <w:noProof/>
        </w:rPr>
        <w:t> </w:t>
      </w:r>
      <w:r w:rsidRPr="00B10036">
        <w:rPr>
          <w:noProof/>
        </w:rPr>
        <w:t>pry</w:t>
      </w:r>
      <w:r w:rsidR="00537C0F" w:rsidRPr="00B10036">
        <w:rPr>
          <w:noProof/>
        </w:rPr>
        <w:t>watnego wsparcia finansowego oraz zapewnienie zachęt dla inwestycji prywatnych</w:t>
      </w:r>
      <w:r w:rsidRPr="00B10036">
        <w:rPr>
          <w:noProof/>
        </w:rPr>
        <w:t xml:space="preserve"> w</w:t>
      </w:r>
      <w:r>
        <w:rPr>
          <w:noProof/>
        </w:rPr>
        <w:t> </w:t>
      </w:r>
      <w:r w:rsidRPr="00B10036">
        <w:rPr>
          <w:noProof/>
        </w:rPr>
        <w:t>odn</w:t>
      </w:r>
      <w:r w:rsidR="00537C0F" w:rsidRPr="00B10036">
        <w:rPr>
          <w:noProof/>
        </w:rPr>
        <w:t>awialne źródła energii</w:t>
      </w:r>
      <w:r w:rsidRPr="00B10036">
        <w:rPr>
          <w:noProof/>
        </w:rPr>
        <w:t xml:space="preserve"> i</w:t>
      </w:r>
      <w:r>
        <w:rPr>
          <w:noProof/>
        </w:rPr>
        <w:t> </w:t>
      </w:r>
      <w:r w:rsidRPr="00B10036">
        <w:rPr>
          <w:noProof/>
        </w:rPr>
        <w:t>efe</w:t>
      </w:r>
      <w:r w:rsidR="00537C0F" w:rsidRPr="00B10036">
        <w:rPr>
          <w:noProof/>
        </w:rPr>
        <w:t>ktywność energetyczną, uzupełnionych doradztwem dla konsumentów</w:t>
      </w:r>
      <w:r w:rsidRPr="00B10036">
        <w:rPr>
          <w:noProof/>
        </w:rPr>
        <w:t xml:space="preserve"> w</w:t>
      </w:r>
      <w:r>
        <w:rPr>
          <w:noProof/>
        </w:rPr>
        <w:t> </w:t>
      </w:r>
      <w:r w:rsidRPr="00B10036">
        <w:rPr>
          <w:noProof/>
        </w:rPr>
        <w:t>zak</w:t>
      </w:r>
      <w:r w:rsidR="00537C0F" w:rsidRPr="00B10036">
        <w:rPr>
          <w:noProof/>
        </w:rPr>
        <w:t>resie lepszego zarządzania zużyciem energii</w:t>
      </w:r>
      <w:r w:rsidRPr="00B10036">
        <w:rPr>
          <w:noProof/>
        </w:rPr>
        <w:t xml:space="preserve"> i</w:t>
      </w:r>
      <w:r>
        <w:rPr>
          <w:noProof/>
        </w:rPr>
        <w:t> </w:t>
      </w:r>
      <w:r w:rsidRPr="00B10036">
        <w:rPr>
          <w:noProof/>
        </w:rPr>
        <w:t>pod</w:t>
      </w:r>
      <w:r w:rsidR="00537C0F" w:rsidRPr="00B10036">
        <w:rPr>
          <w:noProof/>
        </w:rPr>
        <w:t>ejmowania świadomych decyzji dotyczących oszczędzania energii, aby obniżyć ich rachunki za energię, ze szczególnym uwzględnieniem gospodarstw domowych</w:t>
      </w:r>
      <w:r w:rsidRPr="00B10036">
        <w:rPr>
          <w:noProof/>
        </w:rPr>
        <w:t xml:space="preserve"> i</w:t>
      </w:r>
      <w:r>
        <w:rPr>
          <w:noProof/>
        </w:rPr>
        <w:t> </w:t>
      </w:r>
      <w:r w:rsidRPr="00B10036">
        <w:rPr>
          <w:noProof/>
        </w:rPr>
        <w:t>spo</w:t>
      </w:r>
      <w:r w:rsidR="00537C0F" w:rsidRPr="00B10036">
        <w:rPr>
          <w:noProof/>
        </w:rPr>
        <w:t>łeczności znajdujących się</w:t>
      </w:r>
      <w:r w:rsidRPr="00B10036">
        <w:rPr>
          <w:noProof/>
        </w:rPr>
        <w:t xml:space="preserve"> w</w:t>
      </w:r>
      <w:r>
        <w:rPr>
          <w:noProof/>
        </w:rPr>
        <w:t> </w:t>
      </w:r>
      <w:r w:rsidRPr="00B10036">
        <w:rPr>
          <w:noProof/>
        </w:rPr>
        <w:t>tru</w:t>
      </w:r>
      <w:r w:rsidR="00537C0F" w:rsidRPr="00B10036">
        <w:rPr>
          <w:noProof/>
        </w:rPr>
        <w:t>dnej sytuacji</w:t>
      </w:r>
      <w:r w:rsidRPr="00B10036">
        <w:rPr>
          <w:noProof/>
        </w:rPr>
        <w:t>. W</w:t>
      </w:r>
      <w:r>
        <w:rPr>
          <w:noProof/>
        </w:rPr>
        <w:t> </w:t>
      </w:r>
      <w:r w:rsidRPr="00B10036">
        <w:rPr>
          <w:noProof/>
        </w:rPr>
        <w:t>tym</w:t>
      </w:r>
      <w:r w:rsidR="00537C0F" w:rsidRPr="00B10036">
        <w:rPr>
          <w:noProof/>
        </w:rPr>
        <w:t xml:space="preserve"> celu należy zapewnić dostępność odpowiedniego finansowania tych środków,</w:t>
      </w:r>
      <w:r w:rsidRPr="00B10036">
        <w:rPr>
          <w:noProof/>
        </w:rPr>
        <w:t xml:space="preserve"> w</w:t>
      </w:r>
      <w:r>
        <w:rPr>
          <w:noProof/>
        </w:rPr>
        <w:t> </w:t>
      </w:r>
      <w:r w:rsidRPr="00B10036">
        <w:rPr>
          <w:noProof/>
        </w:rPr>
        <w:t>tym</w:t>
      </w:r>
      <w:r w:rsidR="00537C0F" w:rsidRPr="00B10036">
        <w:rPr>
          <w:noProof/>
        </w:rPr>
        <w:t xml:space="preserve"> przez poprawę jakości wydatków publicznych, optymalne wykorzystanie Społecznego Funduszu Klimatycznego oraz korzystanie</w:t>
      </w:r>
      <w:r w:rsidRPr="00B10036">
        <w:rPr>
          <w:noProof/>
        </w:rPr>
        <w:t xml:space="preserve"> z</w:t>
      </w:r>
      <w:r>
        <w:rPr>
          <w:noProof/>
        </w:rPr>
        <w:t> </w:t>
      </w:r>
      <w:r w:rsidRPr="00B10036">
        <w:rPr>
          <w:noProof/>
        </w:rPr>
        <w:t>zas</w:t>
      </w:r>
      <w:r w:rsidR="00537C0F" w:rsidRPr="00B10036">
        <w:rPr>
          <w:noProof/>
        </w:rPr>
        <w:t>obów budżetowych pochodzących</w:t>
      </w:r>
      <w:r w:rsidRPr="00B10036">
        <w:rPr>
          <w:noProof/>
        </w:rPr>
        <w:t xml:space="preserve"> z</w:t>
      </w:r>
      <w:r>
        <w:rPr>
          <w:noProof/>
        </w:rPr>
        <w:t> </w:t>
      </w:r>
      <w:r w:rsidRPr="00B10036">
        <w:rPr>
          <w:noProof/>
        </w:rPr>
        <w:t>opo</w:t>
      </w:r>
      <w:r w:rsidR="00537C0F" w:rsidRPr="00B10036">
        <w:rPr>
          <w:noProof/>
        </w:rPr>
        <w:t>datkowania energii</w:t>
      </w:r>
      <w:r w:rsidRPr="00B10036">
        <w:rPr>
          <w:noProof/>
        </w:rPr>
        <w:t xml:space="preserve"> i</w:t>
      </w:r>
      <w:r>
        <w:rPr>
          <w:noProof/>
        </w:rPr>
        <w:t> </w:t>
      </w:r>
      <w:r w:rsidRPr="00B10036">
        <w:rPr>
          <w:noProof/>
        </w:rPr>
        <w:t>pod</w:t>
      </w:r>
      <w:r w:rsidR="00537C0F" w:rsidRPr="00B10036">
        <w:rPr>
          <w:noProof/>
        </w:rPr>
        <w:t>atków na ochronę środowiska oraz unijnego systemu handlu uprawnieniami do emisji.</w:t>
      </w:r>
    </w:p>
    <w:p w14:paraId="6B1957FD" w14:textId="3CA9A91B" w:rsidR="00EB0D27" w:rsidRPr="00B10036" w:rsidRDefault="00B10036" w:rsidP="00B10036">
      <w:pPr>
        <w:pStyle w:val="Point1"/>
        <w:rPr>
          <w:noProof/>
        </w:rPr>
      </w:pPr>
      <w:r w:rsidRPr="00B10036">
        <w:rPr>
          <w:noProof/>
        </w:rPr>
        <w:t>b)</w:t>
      </w:r>
      <w:r w:rsidRPr="00B10036">
        <w:rPr>
          <w:noProof/>
        </w:rPr>
        <w:tab/>
      </w:r>
      <w:r w:rsidR="000303B0" w:rsidRPr="00B10036">
        <w:rPr>
          <w:noProof/>
        </w:rPr>
        <w:t>Zapobieganie ubóstwu energetycznemu</w:t>
      </w:r>
      <w:r w:rsidRPr="00B10036">
        <w:rPr>
          <w:noProof/>
        </w:rPr>
        <w:t xml:space="preserve"> i</w:t>
      </w:r>
      <w:r>
        <w:rPr>
          <w:noProof/>
        </w:rPr>
        <w:t> </w:t>
      </w:r>
      <w:r w:rsidRPr="00B10036">
        <w:rPr>
          <w:noProof/>
        </w:rPr>
        <w:t>ogr</w:t>
      </w:r>
      <w:r w:rsidR="000303B0" w:rsidRPr="00B10036">
        <w:rPr>
          <w:noProof/>
        </w:rPr>
        <w:t>aniczanie go przez promowanie</w:t>
      </w:r>
      <w:r w:rsidRPr="00B10036">
        <w:rPr>
          <w:noProof/>
        </w:rPr>
        <w:t xml:space="preserve"> i</w:t>
      </w:r>
      <w:r>
        <w:rPr>
          <w:noProof/>
        </w:rPr>
        <w:t> </w:t>
      </w:r>
      <w:r w:rsidRPr="00B10036">
        <w:rPr>
          <w:noProof/>
        </w:rPr>
        <w:t>wdr</w:t>
      </w:r>
      <w:r w:rsidR="000303B0" w:rsidRPr="00B10036">
        <w:rPr>
          <w:noProof/>
        </w:rPr>
        <w:t>ażanie środków na rzecz poprawy efektywności energetycznej,</w:t>
      </w:r>
      <w:r w:rsidRPr="00B10036">
        <w:rPr>
          <w:noProof/>
        </w:rPr>
        <w:t xml:space="preserve"> w</w:t>
      </w:r>
      <w:r>
        <w:rPr>
          <w:noProof/>
        </w:rPr>
        <w:t> </w:t>
      </w:r>
      <w:r w:rsidRPr="00B10036">
        <w:rPr>
          <w:noProof/>
        </w:rPr>
        <w:t>tym</w:t>
      </w:r>
      <w:r w:rsidR="000303B0" w:rsidRPr="00B10036">
        <w:rPr>
          <w:noProof/>
        </w:rPr>
        <w:t xml:space="preserve"> inwestycji publicznych</w:t>
      </w:r>
      <w:r w:rsidRPr="00B10036">
        <w:rPr>
          <w:noProof/>
        </w:rPr>
        <w:t xml:space="preserve"> i</w:t>
      </w:r>
      <w:r>
        <w:rPr>
          <w:noProof/>
        </w:rPr>
        <w:t> </w:t>
      </w:r>
      <w:r w:rsidRPr="00B10036">
        <w:rPr>
          <w:noProof/>
        </w:rPr>
        <w:t>pry</w:t>
      </w:r>
      <w:r w:rsidR="000303B0" w:rsidRPr="00B10036">
        <w:rPr>
          <w:noProof/>
        </w:rPr>
        <w:t>watnych</w:t>
      </w:r>
      <w:r w:rsidRPr="00B10036">
        <w:rPr>
          <w:noProof/>
        </w:rPr>
        <w:t xml:space="preserve"> w</w:t>
      </w:r>
      <w:r>
        <w:rPr>
          <w:noProof/>
        </w:rPr>
        <w:t> </w:t>
      </w:r>
      <w:r w:rsidRPr="00B10036">
        <w:rPr>
          <w:noProof/>
        </w:rPr>
        <w:t>mie</w:t>
      </w:r>
      <w:r w:rsidR="000303B0" w:rsidRPr="00B10036">
        <w:rPr>
          <w:noProof/>
        </w:rPr>
        <w:t>szkania</w:t>
      </w:r>
      <w:r w:rsidRPr="00B10036">
        <w:rPr>
          <w:noProof/>
        </w:rPr>
        <w:t xml:space="preserve"> w</w:t>
      </w:r>
      <w:r>
        <w:rPr>
          <w:noProof/>
        </w:rPr>
        <w:t> </w:t>
      </w:r>
      <w:r w:rsidRPr="00B10036">
        <w:rPr>
          <w:noProof/>
        </w:rPr>
        <w:t>cel</w:t>
      </w:r>
      <w:r w:rsidR="000303B0" w:rsidRPr="00B10036">
        <w:rPr>
          <w:noProof/>
        </w:rPr>
        <w:t>u zachęcenia do renowacji, również</w:t>
      </w:r>
      <w:r w:rsidRPr="00B10036">
        <w:rPr>
          <w:noProof/>
        </w:rPr>
        <w:t xml:space="preserve"> w</w:t>
      </w:r>
      <w:r>
        <w:rPr>
          <w:noProof/>
        </w:rPr>
        <w:t> </w:t>
      </w:r>
      <w:r w:rsidRPr="00B10036">
        <w:rPr>
          <w:noProof/>
        </w:rPr>
        <w:t>sek</w:t>
      </w:r>
      <w:r w:rsidR="000303B0" w:rsidRPr="00B10036">
        <w:rPr>
          <w:noProof/>
        </w:rPr>
        <w:t>torze mieszkalnictwa socjalnego</w:t>
      </w:r>
      <w:r w:rsidR="000303B0" w:rsidRPr="00B10036">
        <w:rPr>
          <w:rStyle w:val="FootnoteReference"/>
          <w:noProof/>
        </w:rPr>
        <w:footnoteReference w:id="113"/>
      </w:r>
      <w:r w:rsidRPr="00B10036">
        <w:rPr>
          <w:noProof/>
        </w:rPr>
        <w:t>. W</w:t>
      </w:r>
      <w:r>
        <w:rPr>
          <w:noProof/>
        </w:rPr>
        <w:t> </w:t>
      </w:r>
      <w:r w:rsidRPr="00B10036">
        <w:rPr>
          <w:noProof/>
        </w:rPr>
        <w:t>tym</w:t>
      </w:r>
      <w:r w:rsidR="000303B0" w:rsidRPr="00B10036">
        <w:rPr>
          <w:noProof/>
        </w:rPr>
        <w:t xml:space="preserve"> celu należy zapewnić dobrze opracowane bodźce podatkowe, dotacje</w:t>
      </w:r>
      <w:r w:rsidRPr="00B10036">
        <w:rPr>
          <w:noProof/>
        </w:rPr>
        <w:t xml:space="preserve"> i</w:t>
      </w:r>
      <w:r>
        <w:rPr>
          <w:noProof/>
        </w:rPr>
        <w:t> </w:t>
      </w:r>
      <w:r w:rsidRPr="00B10036">
        <w:rPr>
          <w:noProof/>
        </w:rPr>
        <w:t>poż</w:t>
      </w:r>
      <w:r w:rsidR="000303B0" w:rsidRPr="00B10036">
        <w:rPr>
          <w:noProof/>
        </w:rPr>
        <w:t>yczki, wraz</w:t>
      </w:r>
      <w:r w:rsidRPr="00B10036">
        <w:rPr>
          <w:noProof/>
        </w:rPr>
        <w:t xml:space="preserve"> z</w:t>
      </w:r>
      <w:r>
        <w:rPr>
          <w:noProof/>
        </w:rPr>
        <w:t> </w:t>
      </w:r>
      <w:r w:rsidRPr="00B10036">
        <w:rPr>
          <w:noProof/>
        </w:rPr>
        <w:t>odp</w:t>
      </w:r>
      <w:r w:rsidR="000303B0" w:rsidRPr="00B10036">
        <w:rPr>
          <w:noProof/>
        </w:rPr>
        <w:t>owiednim doradztwem, również dla mikroprzedsiębiorstw oraz małych</w:t>
      </w:r>
      <w:r w:rsidRPr="00B10036">
        <w:rPr>
          <w:noProof/>
        </w:rPr>
        <w:t xml:space="preserve"> i</w:t>
      </w:r>
      <w:r>
        <w:rPr>
          <w:noProof/>
        </w:rPr>
        <w:t> </w:t>
      </w:r>
      <w:r w:rsidRPr="00B10036">
        <w:rPr>
          <w:noProof/>
        </w:rPr>
        <w:t>śre</w:t>
      </w:r>
      <w:r w:rsidR="000303B0" w:rsidRPr="00B10036">
        <w:rPr>
          <w:noProof/>
        </w:rPr>
        <w:t>dnich przedsiębiorstw, zwracając jednocześnie należytą uwagę na zachęty,</w:t>
      </w:r>
      <w:r w:rsidRPr="00B10036">
        <w:rPr>
          <w:noProof/>
        </w:rPr>
        <w:t xml:space="preserve"> w</w:t>
      </w:r>
      <w:r>
        <w:rPr>
          <w:noProof/>
        </w:rPr>
        <w:t> </w:t>
      </w:r>
      <w:r w:rsidRPr="00B10036">
        <w:rPr>
          <w:noProof/>
        </w:rPr>
        <w:t>szc</w:t>
      </w:r>
      <w:r w:rsidR="000303B0" w:rsidRPr="00B10036">
        <w:rPr>
          <w:noProof/>
        </w:rPr>
        <w:t>zególności wśród właścicieli</w:t>
      </w:r>
      <w:r w:rsidRPr="00B10036">
        <w:rPr>
          <w:noProof/>
        </w:rPr>
        <w:t xml:space="preserve"> i</w:t>
      </w:r>
      <w:r>
        <w:rPr>
          <w:noProof/>
        </w:rPr>
        <w:t> </w:t>
      </w:r>
      <w:r w:rsidRPr="00B10036">
        <w:rPr>
          <w:noProof/>
        </w:rPr>
        <w:t>naj</w:t>
      </w:r>
      <w:r w:rsidR="000303B0" w:rsidRPr="00B10036">
        <w:rPr>
          <w:noProof/>
        </w:rPr>
        <w:t>emców, oraz na zmiany kosztów mieszkaniowych, zwłaszcza</w:t>
      </w:r>
      <w:r w:rsidRPr="00B10036">
        <w:rPr>
          <w:noProof/>
        </w:rPr>
        <w:t xml:space="preserve"> w</w:t>
      </w:r>
      <w:r>
        <w:rPr>
          <w:noProof/>
        </w:rPr>
        <w:t> </w:t>
      </w:r>
      <w:r w:rsidRPr="00B10036">
        <w:rPr>
          <w:noProof/>
        </w:rPr>
        <w:t>prz</w:t>
      </w:r>
      <w:r w:rsidR="000303B0" w:rsidRPr="00B10036">
        <w:rPr>
          <w:noProof/>
        </w:rPr>
        <w:t>ypadku gospodarstw domowych będących</w:t>
      </w:r>
      <w:r w:rsidRPr="00B10036">
        <w:rPr>
          <w:noProof/>
        </w:rPr>
        <w:t xml:space="preserve"> w</w:t>
      </w:r>
      <w:r>
        <w:rPr>
          <w:noProof/>
        </w:rPr>
        <w:t> </w:t>
      </w:r>
      <w:r w:rsidRPr="00B10036">
        <w:rPr>
          <w:noProof/>
        </w:rPr>
        <w:t>tru</w:t>
      </w:r>
      <w:r w:rsidR="000303B0" w:rsidRPr="00B10036">
        <w:rPr>
          <w:noProof/>
        </w:rPr>
        <w:t>dnej sytuacji.</w:t>
      </w:r>
    </w:p>
    <w:p w14:paraId="465171B5" w14:textId="2638C39C" w:rsidR="00002649" w:rsidRPr="00B10036" w:rsidRDefault="00B10036" w:rsidP="00B10036">
      <w:pPr>
        <w:pStyle w:val="Point1"/>
        <w:rPr>
          <w:noProof/>
        </w:rPr>
      </w:pPr>
      <w:r w:rsidRPr="00B10036">
        <w:rPr>
          <w:noProof/>
        </w:rPr>
        <w:t>c)</w:t>
      </w:r>
      <w:r w:rsidRPr="00B10036">
        <w:rPr>
          <w:noProof/>
        </w:rPr>
        <w:tab/>
      </w:r>
      <w:r w:rsidR="00002649" w:rsidRPr="00B10036">
        <w:rPr>
          <w:noProof/>
        </w:rPr>
        <w:t>Wzmocnienie pozycji konsumentów energii,</w:t>
      </w:r>
      <w:r w:rsidRPr="00B10036">
        <w:rPr>
          <w:noProof/>
        </w:rPr>
        <w:t xml:space="preserve"> w</w:t>
      </w:r>
      <w:r>
        <w:rPr>
          <w:noProof/>
        </w:rPr>
        <w:t> </w:t>
      </w:r>
      <w:r w:rsidRPr="00B10036">
        <w:rPr>
          <w:noProof/>
        </w:rPr>
        <w:t>tym</w:t>
      </w:r>
      <w:r w:rsidR="00002649" w:rsidRPr="00B10036">
        <w:rPr>
          <w:noProof/>
        </w:rPr>
        <w:t xml:space="preserve"> gospodarstw domowych będących</w:t>
      </w:r>
      <w:r w:rsidRPr="00B10036">
        <w:rPr>
          <w:noProof/>
        </w:rPr>
        <w:t xml:space="preserve"> w</w:t>
      </w:r>
      <w:r>
        <w:rPr>
          <w:noProof/>
        </w:rPr>
        <w:t> </w:t>
      </w:r>
      <w:r w:rsidRPr="00B10036">
        <w:rPr>
          <w:noProof/>
        </w:rPr>
        <w:t>tru</w:t>
      </w:r>
      <w:r w:rsidR="00002649" w:rsidRPr="00B10036">
        <w:rPr>
          <w:noProof/>
        </w:rPr>
        <w:t>dnej sytuacji, dzięki dalszemu rozwojowi samozaopatrzenia za pośrednictwem indywidualnych rozwiązań</w:t>
      </w:r>
      <w:r w:rsidRPr="00B10036">
        <w:rPr>
          <w:noProof/>
        </w:rPr>
        <w:t xml:space="preserve"> w</w:t>
      </w:r>
      <w:r>
        <w:rPr>
          <w:noProof/>
        </w:rPr>
        <w:t> </w:t>
      </w:r>
      <w:r w:rsidRPr="00B10036">
        <w:rPr>
          <w:noProof/>
        </w:rPr>
        <w:t>zak</w:t>
      </w:r>
      <w:r w:rsidR="00002649" w:rsidRPr="00B10036">
        <w:rPr>
          <w:noProof/>
        </w:rPr>
        <w:t>resie energii odnawialnej,</w:t>
      </w:r>
      <w:r w:rsidRPr="00B10036">
        <w:rPr>
          <w:noProof/>
        </w:rPr>
        <w:t xml:space="preserve"> a</w:t>
      </w:r>
      <w:r>
        <w:rPr>
          <w:noProof/>
        </w:rPr>
        <w:t> </w:t>
      </w:r>
      <w:r w:rsidRPr="00B10036">
        <w:rPr>
          <w:noProof/>
        </w:rPr>
        <w:t>tak</w:t>
      </w:r>
      <w:r w:rsidR="00002649" w:rsidRPr="00B10036">
        <w:rPr>
          <w:noProof/>
        </w:rPr>
        <w:t>że innych usług świadczonych przez obywatelskie społeczności energetyczne</w:t>
      </w:r>
      <w:r w:rsidR="00002649" w:rsidRPr="00B10036">
        <w:rPr>
          <w:rStyle w:val="FootnoteReference"/>
          <w:noProof/>
        </w:rPr>
        <w:footnoteReference w:id="114"/>
      </w:r>
      <w:r w:rsidR="00002649" w:rsidRPr="00B10036">
        <w:rPr>
          <w:noProof/>
        </w:rPr>
        <w:t>, czemu towarzyszyć będą środki</w:t>
      </w:r>
      <w:r w:rsidRPr="00B10036">
        <w:rPr>
          <w:noProof/>
        </w:rPr>
        <w:t xml:space="preserve"> i</w:t>
      </w:r>
      <w:r>
        <w:rPr>
          <w:noProof/>
        </w:rPr>
        <w:t> </w:t>
      </w:r>
      <w:r w:rsidRPr="00B10036">
        <w:rPr>
          <w:noProof/>
        </w:rPr>
        <w:t>kam</w:t>
      </w:r>
      <w:r w:rsidR="00002649" w:rsidRPr="00B10036">
        <w:rPr>
          <w:noProof/>
        </w:rPr>
        <w:t>panie edukacyjne, ze szczególnym uwzględnieniem osób będących</w:t>
      </w:r>
      <w:r w:rsidRPr="00B10036">
        <w:rPr>
          <w:noProof/>
        </w:rPr>
        <w:t xml:space="preserve"> w</w:t>
      </w:r>
      <w:r>
        <w:rPr>
          <w:noProof/>
        </w:rPr>
        <w:t> </w:t>
      </w:r>
      <w:r w:rsidRPr="00B10036">
        <w:rPr>
          <w:noProof/>
        </w:rPr>
        <w:t>tru</w:t>
      </w:r>
      <w:r w:rsidR="00002649" w:rsidRPr="00B10036">
        <w:rPr>
          <w:noProof/>
        </w:rPr>
        <w:t>dnej sytuacji oraz konsumentów mieszkających na obszarach wiejskich.</w:t>
      </w:r>
    </w:p>
    <w:p w14:paraId="3D83FCB4" w14:textId="33FE883F" w:rsidR="00002649" w:rsidRPr="00B10036" w:rsidRDefault="00B10036" w:rsidP="00B10036">
      <w:pPr>
        <w:pStyle w:val="Point1"/>
        <w:rPr>
          <w:noProof/>
        </w:rPr>
      </w:pPr>
      <w:r w:rsidRPr="00B10036">
        <w:rPr>
          <w:noProof/>
        </w:rPr>
        <w:t>d)</w:t>
      </w:r>
      <w:r w:rsidRPr="00B10036">
        <w:rPr>
          <w:noProof/>
        </w:rPr>
        <w:tab/>
      </w:r>
      <w:r w:rsidR="00002649" w:rsidRPr="00B10036">
        <w:rPr>
          <w:noProof/>
        </w:rPr>
        <w:t>Zapobieganie występowaniu oraz rozwiązywanie problemów</w:t>
      </w:r>
      <w:r w:rsidRPr="00B10036">
        <w:rPr>
          <w:noProof/>
        </w:rPr>
        <w:t xml:space="preserve"> i</w:t>
      </w:r>
      <w:r>
        <w:rPr>
          <w:noProof/>
        </w:rPr>
        <w:t> </w:t>
      </w:r>
      <w:r w:rsidRPr="00B10036">
        <w:rPr>
          <w:noProof/>
        </w:rPr>
        <w:t>prz</w:t>
      </w:r>
      <w:r w:rsidR="00002649" w:rsidRPr="00B10036">
        <w:rPr>
          <w:noProof/>
        </w:rPr>
        <w:t>eszkód związanych</w:t>
      </w:r>
      <w:r w:rsidRPr="00B10036">
        <w:rPr>
          <w:noProof/>
        </w:rPr>
        <w:t xml:space="preserve"> z</w:t>
      </w:r>
      <w:r>
        <w:rPr>
          <w:noProof/>
        </w:rPr>
        <w:t> </w:t>
      </w:r>
      <w:r w:rsidRPr="00B10036">
        <w:rPr>
          <w:noProof/>
        </w:rPr>
        <w:t>mob</w:t>
      </w:r>
      <w:r w:rsidR="00002649" w:rsidRPr="00B10036">
        <w:rPr>
          <w:noProof/>
        </w:rPr>
        <w:t>ilnością</w:t>
      </w:r>
      <w:r w:rsidRPr="00B10036">
        <w:rPr>
          <w:noProof/>
        </w:rPr>
        <w:t xml:space="preserve"> i</w:t>
      </w:r>
      <w:r>
        <w:rPr>
          <w:noProof/>
        </w:rPr>
        <w:t> </w:t>
      </w:r>
      <w:r w:rsidRPr="00B10036">
        <w:rPr>
          <w:noProof/>
        </w:rPr>
        <w:t>tra</w:t>
      </w:r>
      <w:r w:rsidR="00002649" w:rsidRPr="00B10036">
        <w:rPr>
          <w:noProof/>
        </w:rPr>
        <w:t>nsportem dla gospodarstw domowych będących</w:t>
      </w:r>
      <w:r w:rsidRPr="00B10036">
        <w:rPr>
          <w:noProof/>
        </w:rPr>
        <w:t xml:space="preserve"> w</w:t>
      </w:r>
      <w:r>
        <w:rPr>
          <w:noProof/>
        </w:rPr>
        <w:t> </w:t>
      </w:r>
      <w:r w:rsidRPr="00B10036">
        <w:rPr>
          <w:noProof/>
        </w:rPr>
        <w:t>tru</w:t>
      </w:r>
      <w:r w:rsidR="00002649" w:rsidRPr="00B10036">
        <w:rPr>
          <w:noProof/>
        </w:rPr>
        <w:t>dnej sytuacji, zwłaszcza</w:t>
      </w:r>
      <w:r w:rsidRPr="00B10036">
        <w:rPr>
          <w:noProof/>
        </w:rPr>
        <w:t xml:space="preserve"> w</w:t>
      </w:r>
      <w:r>
        <w:rPr>
          <w:noProof/>
        </w:rPr>
        <w:t> </w:t>
      </w:r>
      <w:r w:rsidRPr="00B10036">
        <w:rPr>
          <w:noProof/>
        </w:rPr>
        <w:t>reg</w:t>
      </w:r>
      <w:r w:rsidR="00002649" w:rsidRPr="00B10036">
        <w:rPr>
          <w:noProof/>
        </w:rPr>
        <w:t>ionach</w:t>
      </w:r>
      <w:r w:rsidRPr="00B10036">
        <w:rPr>
          <w:noProof/>
        </w:rPr>
        <w:t xml:space="preserve"> i</w:t>
      </w:r>
      <w:r>
        <w:rPr>
          <w:noProof/>
        </w:rPr>
        <w:t> </w:t>
      </w:r>
      <w:r w:rsidRPr="00B10036">
        <w:rPr>
          <w:noProof/>
        </w:rPr>
        <w:t>mia</w:t>
      </w:r>
      <w:r w:rsidR="00002649" w:rsidRPr="00B10036">
        <w:rPr>
          <w:noProof/>
        </w:rPr>
        <w:t>stach oddalonych, położonych na obszarach wiejskich</w:t>
      </w:r>
      <w:r w:rsidRPr="00B10036">
        <w:rPr>
          <w:noProof/>
        </w:rPr>
        <w:t xml:space="preserve"> i</w:t>
      </w:r>
      <w:r>
        <w:rPr>
          <w:noProof/>
        </w:rPr>
        <w:t> </w:t>
      </w:r>
      <w:r w:rsidRPr="00B10036">
        <w:rPr>
          <w:noProof/>
        </w:rPr>
        <w:t>o</w:t>
      </w:r>
      <w:r>
        <w:rPr>
          <w:noProof/>
        </w:rPr>
        <w:t> </w:t>
      </w:r>
      <w:r w:rsidRPr="00B10036">
        <w:rPr>
          <w:noProof/>
        </w:rPr>
        <w:t>nis</w:t>
      </w:r>
      <w:r w:rsidR="00002649" w:rsidRPr="00B10036">
        <w:rPr>
          <w:noProof/>
        </w:rPr>
        <w:t>kich dochodach, za sprawą odpowiednich środków</w:t>
      </w:r>
      <w:r w:rsidRPr="00B10036">
        <w:rPr>
          <w:noProof/>
        </w:rPr>
        <w:t xml:space="preserve"> z</w:t>
      </w:r>
      <w:r>
        <w:rPr>
          <w:noProof/>
        </w:rPr>
        <w:t> </w:t>
      </w:r>
      <w:r w:rsidRPr="00B10036">
        <w:rPr>
          <w:noProof/>
        </w:rPr>
        <w:t>zak</w:t>
      </w:r>
      <w:r w:rsidR="00002649" w:rsidRPr="00B10036">
        <w:rPr>
          <w:noProof/>
        </w:rPr>
        <w:t>resu polityki</w:t>
      </w:r>
      <w:r w:rsidRPr="00B10036">
        <w:rPr>
          <w:noProof/>
        </w:rPr>
        <w:t xml:space="preserve"> i</w:t>
      </w:r>
      <w:r>
        <w:rPr>
          <w:noProof/>
        </w:rPr>
        <w:t> </w:t>
      </w:r>
      <w:r w:rsidRPr="00B10036">
        <w:rPr>
          <w:noProof/>
        </w:rPr>
        <w:t>śro</w:t>
      </w:r>
      <w:r w:rsidR="00002649" w:rsidRPr="00B10036">
        <w:rPr>
          <w:noProof/>
        </w:rPr>
        <w:t>dków wsparcia oraz dzięki rozwojowi niezbędnej infrastruktury</w:t>
      </w:r>
      <w:r w:rsidRPr="00B10036">
        <w:rPr>
          <w:noProof/>
        </w:rPr>
        <w:t xml:space="preserve"> w</w:t>
      </w:r>
      <w:r>
        <w:rPr>
          <w:noProof/>
        </w:rPr>
        <w:t> </w:t>
      </w:r>
      <w:r w:rsidRPr="00B10036">
        <w:rPr>
          <w:noProof/>
        </w:rPr>
        <w:t>cel</w:t>
      </w:r>
      <w:r w:rsidR="00002649" w:rsidRPr="00B10036">
        <w:rPr>
          <w:noProof/>
        </w:rPr>
        <w:t>u poprawy podstawowej łączności, umożliwiającej dostęp do kształcenia, opieki zdrowotnej, zatrudnienia</w:t>
      </w:r>
      <w:r w:rsidRPr="00B10036">
        <w:rPr>
          <w:noProof/>
        </w:rPr>
        <w:t xml:space="preserve"> i</w:t>
      </w:r>
      <w:r>
        <w:rPr>
          <w:noProof/>
        </w:rPr>
        <w:t> </w:t>
      </w:r>
      <w:r w:rsidRPr="00B10036">
        <w:rPr>
          <w:noProof/>
        </w:rPr>
        <w:t>ucz</w:t>
      </w:r>
      <w:r w:rsidR="00002649" w:rsidRPr="00B10036">
        <w:rPr>
          <w:noProof/>
        </w:rPr>
        <w:t>estnictwa</w:t>
      </w:r>
      <w:r w:rsidRPr="00B10036">
        <w:rPr>
          <w:noProof/>
        </w:rPr>
        <w:t xml:space="preserve"> w</w:t>
      </w:r>
      <w:r>
        <w:rPr>
          <w:noProof/>
        </w:rPr>
        <w:t> </w:t>
      </w:r>
      <w:r w:rsidRPr="00B10036">
        <w:rPr>
          <w:noProof/>
        </w:rPr>
        <w:t>życ</w:t>
      </w:r>
      <w:r w:rsidR="00002649" w:rsidRPr="00B10036">
        <w:rPr>
          <w:noProof/>
        </w:rPr>
        <w:t>iu społecznym. Zapewnienie</w:t>
      </w:r>
      <w:r w:rsidRPr="00B10036">
        <w:rPr>
          <w:noProof/>
        </w:rPr>
        <w:t xml:space="preserve"> w</w:t>
      </w:r>
      <w:r>
        <w:rPr>
          <w:noProof/>
        </w:rPr>
        <w:t> </w:t>
      </w:r>
      <w:r w:rsidRPr="00B10036">
        <w:rPr>
          <w:noProof/>
        </w:rPr>
        <w:t>szc</w:t>
      </w:r>
      <w:r w:rsidR="00002649" w:rsidRPr="00B10036">
        <w:rPr>
          <w:noProof/>
        </w:rPr>
        <w:t>zególności dostępności,</w:t>
      </w:r>
      <w:r w:rsidRPr="00B10036">
        <w:rPr>
          <w:noProof/>
        </w:rPr>
        <w:t xml:space="preserve"> w</w:t>
      </w:r>
      <w:r>
        <w:rPr>
          <w:noProof/>
        </w:rPr>
        <w:t> </w:t>
      </w:r>
      <w:r w:rsidRPr="00B10036">
        <w:rPr>
          <w:noProof/>
        </w:rPr>
        <w:t>tym</w:t>
      </w:r>
      <w:r w:rsidR="00002649" w:rsidRPr="00B10036">
        <w:rPr>
          <w:noProof/>
        </w:rPr>
        <w:t xml:space="preserve"> odpowiedniej częstotliwości, niskoemisyjnego transportu publicznego oraz,</w:t>
      </w:r>
      <w:r w:rsidRPr="00B10036">
        <w:rPr>
          <w:noProof/>
        </w:rPr>
        <w:t xml:space="preserve"> w</w:t>
      </w:r>
      <w:r>
        <w:rPr>
          <w:noProof/>
        </w:rPr>
        <w:t> </w:t>
      </w:r>
      <w:r w:rsidRPr="00B10036">
        <w:rPr>
          <w:noProof/>
        </w:rPr>
        <w:t>sto</w:t>
      </w:r>
      <w:r w:rsidR="00002649" w:rsidRPr="00B10036">
        <w:rPr>
          <w:noProof/>
        </w:rPr>
        <w:t>sownych przypadkach, promowanie korzystania ze zrównoważonych rodzajów transportu prywatnego</w:t>
      </w:r>
      <w:r w:rsidR="00002649" w:rsidRPr="00B10036">
        <w:rPr>
          <w:rStyle w:val="FootnoteReference"/>
          <w:noProof/>
        </w:rPr>
        <w:footnoteReference w:id="115"/>
      </w:r>
      <w:r w:rsidR="00002649" w:rsidRPr="00B10036">
        <w:rPr>
          <w:noProof/>
        </w:rPr>
        <w:t>, ze szczególnym uwzględnieniem przystępności cenowej, dostępności</w:t>
      </w:r>
      <w:r w:rsidRPr="00B10036">
        <w:rPr>
          <w:noProof/>
        </w:rPr>
        <w:t xml:space="preserve"> i</w:t>
      </w:r>
      <w:r>
        <w:rPr>
          <w:noProof/>
        </w:rPr>
        <w:t> </w:t>
      </w:r>
      <w:r w:rsidRPr="00B10036">
        <w:rPr>
          <w:noProof/>
        </w:rPr>
        <w:t>bez</w:t>
      </w:r>
      <w:r w:rsidR="00002649" w:rsidRPr="00B10036">
        <w:rPr>
          <w:noProof/>
        </w:rPr>
        <w:t>pieczeństwa.</w:t>
      </w:r>
    </w:p>
    <w:p w14:paraId="0B8257F7" w14:textId="757D219A" w:rsidR="002157A9" w:rsidRPr="00B10036" w:rsidRDefault="00B10036" w:rsidP="00B10036">
      <w:pPr>
        <w:pStyle w:val="Point1"/>
        <w:rPr>
          <w:noProof/>
        </w:rPr>
      </w:pPr>
      <w:bookmarkStart w:id="1" w:name="_Hlk89858443"/>
      <w:r w:rsidRPr="00B10036">
        <w:rPr>
          <w:noProof/>
        </w:rPr>
        <w:t>e)</w:t>
      </w:r>
      <w:r w:rsidRPr="00B10036">
        <w:rPr>
          <w:noProof/>
        </w:rPr>
        <w:tab/>
      </w:r>
      <w:r w:rsidR="005E4DF1" w:rsidRPr="00B10036">
        <w:rPr>
          <w:noProof/>
        </w:rPr>
        <w:t>Ułatwienie dostępu do zrównoważonej konsumpcji,</w:t>
      </w:r>
      <w:r w:rsidRPr="00B10036">
        <w:rPr>
          <w:noProof/>
        </w:rPr>
        <w:t xml:space="preserve"> w</w:t>
      </w:r>
      <w:r>
        <w:rPr>
          <w:noProof/>
        </w:rPr>
        <w:t> </w:t>
      </w:r>
      <w:r w:rsidRPr="00B10036">
        <w:rPr>
          <w:noProof/>
        </w:rPr>
        <w:t>tym</w:t>
      </w:r>
      <w:r w:rsidR="005E4DF1" w:rsidRPr="00B10036">
        <w:rPr>
          <w:noProof/>
        </w:rPr>
        <w:t xml:space="preserve"> żywienia, zwłaszcza osobom</w:t>
      </w:r>
      <w:r w:rsidRPr="00B10036">
        <w:rPr>
          <w:noProof/>
        </w:rPr>
        <w:t xml:space="preserve"> i</w:t>
      </w:r>
      <w:r>
        <w:rPr>
          <w:noProof/>
        </w:rPr>
        <w:t> </w:t>
      </w:r>
      <w:r w:rsidRPr="00B10036">
        <w:rPr>
          <w:noProof/>
        </w:rPr>
        <w:t>gos</w:t>
      </w:r>
      <w:r w:rsidR="005E4DF1" w:rsidRPr="00B10036">
        <w:rPr>
          <w:noProof/>
        </w:rPr>
        <w:t>podarstwom domowym będącym</w:t>
      </w:r>
      <w:r w:rsidRPr="00B10036">
        <w:rPr>
          <w:noProof/>
        </w:rPr>
        <w:t xml:space="preserve"> w</w:t>
      </w:r>
      <w:r>
        <w:rPr>
          <w:noProof/>
        </w:rPr>
        <w:t> </w:t>
      </w:r>
      <w:r w:rsidRPr="00B10036">
        <w:rPr>
          <w:noProof/>
        </w:rPr>
        <w:t>tru</w:t>
      </w:r>
      <w:r w:rsidR="005E4DF1" w:rsidRPr="00B10036">
        <w:rPr>
          <w:noProof/>
        </w:rPr>
        <w:t>dnej sytuacji,</w:t>
      </w:r>
      <w:r w:rsidRPr="00B10036">
        <w:rPr>
          <w:noProof/>
        </w:rPr>
        <w:t xml:space="preserve"> a</w:t>
      </w:r>
      <w:r>
        <w:rPr>
          <w:noProof/>
        </w:rPr>
        <w:t> </w:t>
      </w:r>
      <w:r w:rsidRPr="00B10036">
        <w:rPr>
          <w:noProof/>
        </w:rPr>
        <w:t>w</w:t>
      </w:r>
      <w:r>
        <w:rPr>
          <w:noProof/>
        </w:rPr>
        <w:t> </w:t>
      </w:r>
      <w:r w:rsidRPr="00B10036">
        <w:rPr>
          <w:noProof/>
        </w:rPr>
        <w:t>szc</w:t>
      </w:r>
      <w:r w:rsidR="005E4DF1" w:rsidRPr="00B10036">
        <w:rPr>
          <w:noProof/>
        </w:rPr>
        <w:t>zególności dzieciom, oraz promowanie możliwości pod względem oszczędności kosztów powiązanych</w:t>
      </w:r>
      <w:r w:rsidRPr="00B10036">
        <w:rPr>
          <w:noProof/>
        </w:rPr>
        <w:t xml:space="preserve"> z</w:t>
      </w:r>
      <w:r>
        <w:rPr>
          <w:noProof/>
        </w:rPr>
        <w:t> </w:t>
      </w:r>
      <w:r w:rsidRPr="00B10036">
        <w:rPr>
          <w:noProof/>
        </w:rPr>
        <w:t>gos</w:t>
      </w:r>
      <w:r w:rsidR="005E4DF1" w:rsidRPr="00B10036">
        <w:rPr>
          <w:noProof/>
        </w:rPr>
        <w:t>podarką</w:t>
      </w:r>
      <w:r w:rsidRPr="00B10036">
        <w:rPr>
          <w:noProof/>
        </w:rPr>
        <w:t xml:space="preserve"> o</w:t>
      </w:r>
      <w:r>
        <w:rPr>
          <w:noProof/>
        </w:rPr>
        <w:t> </w:t>
      </w:r>
      <w:r w:rsidRPr="00B10036">
        <w:rPr>
          <w:noProof/>
        </w:rPr>
        <w:t>obi</w:t>
      </w:r>
      <w:r w:rsidR="005E4DF1" w:rsidRPr="00B10036">
        <w:rPr>
          <w:noProof/>
        </w:rPr>
        <w:t>egu zamkniętym</w:t>
      </w:r>
      <w:bookmarkEnd w:id="1"/>
      <w:r w:rsidRPr="00B10036">
        <w:rPr>
          <w:noProof/>
        </w:rPr>
        <w:t>. W</w:t>
      </w:r>
      <w:r>
        <w:rPr>
          <w:noProof/>
        </w:rPr>
        <w:t> </w:t>
      </w:r>
      <w:r w:rsidRPr="00B10036">
        <w:rPr>
          <w:noProof/>
        </w:rPr>
        <w:t>tym</w:t>
      </w:r>
      <w:r w:rsidR="005E4DF1" w:rsidRPr="00B10036">
        <w:rPr>
          <w:noProof/>
        </w:rPr>
        <w:t xml:space="preserve"> celu należy zapewnić skuteczne zachęty</w:t>
      </w:r>
      <w:r w:rsidRPr="00B10036">
        <w:rPr>
          <w:noProof/>
        </w:rPr>
        <w:t xml:space="preserve"> i</w:t>
      </w:r>
      <w:r>
        <w:rPr>
          <w:noProof/>
        </w:rPr>
        <w:t> </w:t>
      </w:r>
      <w:r w:rsidRPr="00B10036">
        <w:rPr>
          <w:noProof/>
        </w:rPr>
        <w:t>nar</w:t>
      </w:r>
      <w:r w:rsidR="005E4DF1" w:rsidRPr="00B10036">
        <w:rPr>
          <w:noProof/>
        </w:rPr>
        <w:t>zędzia, takie jak działania</w:t>
      </w:r>
      <w:r w:rsidRPr="00B10036">
        <w:rPr>
          <w:noProof/>
        </w:rPr>
        <w:t xml:space="preserve"> w</w:t>
      </w:r>
      <w:r>
        <w:rPr>
          <w:noProof/>
        </w:rPr>
        <w:t> </w:t>
      </w:r>
      <w:r w:rsidRPr="00B10036">
        <w:rPr>
          <w:noProof/>
        </w:rPr>
        <w:t>zak</w:t>
      </w:r>
      <w:r w:rsidR="005E4DF1" w:rsidRPr="00B10036">
        <w:rPr>
          <w:noProof/>
        </w:rPr>
        <w:t>resie innowacji społecznych</w:t>
      </w:r>
      <w:r w:rsidRPr="00B10036">
        <w:rPr>
          <w:noProof/>
        </w:rPr>
        <w:t xml:space="preserve"> i</w:t>
      </w:r>
      <w:r>
        <w:rPr>
          <w:noProof/>
        </w:rPr>
        <w:t> </w:t>
      </w:r>
      <w:r w:rsidRPr="00B10036">
        <w:rPr>
          <w:noProof/>
        </w:rPr>
        <w:t>ini</w:t>
      </w:r>
      <w:r w:rsidR="005E4DF1" w:rsidRPr="00B10036">
        <w:rPr>
          <w:noProof/>
        </w:rPr>
        <w:t>cjatywy lokalne, wspierać programy ponownego użycia, napraw, darowizn</w:t>
      </w:r>
      <w:r w:rsidRPr="00B10036">
        <w:rPr>
          <w:noProof/>
        </w:rPr>
        <w:t xml:space="preserve"> i</w:t>
      </w:r>
      <w:r>
        <w:rPr>
          <w:noProof/>
        </w:rPr>
        <w:t> </w:t>
      </w:r>
      <w:r w:rsidRPr="00B10036">
        <w:rPr>
          <w:noProof/>
        </w:rPr>
        <w:t>wsp</w:t>
      </w:r>
      <w:r w:rsidR="005E4DF1" w:rsidRPr="00B10036">
        <w:rPr>
          <w:noProof/>
        </w:rPr>
        <w:t>ółdzielenia,</w:t>
      </w:r>
      <w:r w:rsidRPr="00B10036">
        <w:rPr>
          <w:noProof/>
        </w:rPr>
        <w:t xml:space="preserve"> w</w:t>
      </w:r>
      <w:r>
        <w:rPr>
          <w:noProof/>
        </w:rPr>
        <w:t> </w:t>
      </w:r>
      <w:r w:rsidRPr="00B10036">
        <w:rPr>
          <w:noProof/>
        </w:rPr>
        <w:t>tym</w:t>
      </w:r>
      <w:r w:rsidR="005E4DF1" w:rsidRPr="00B10036">
        <w:rPr>
          <w:noProof/>
        </w:rPr>
        <w:t xml:space="preserve"> za pośrednictwem przedsiębiorstw społecznych, oraz promować edukację na rzecz zrównoważenia środowiskowego</w:t>
      </w:r>
      <w:r w:rsidRPr="00B10036">
        <w:rPr>
          <w:noProof/>
        </w:rPr>
        <w:t xml:space="preserve"> i</w:t>
      </w:r>
      <w:r>
        <w:rPr>
          <w:noProof/>
        </w:rPr>
        <w:t> </w:t>
      </w:r>
      <w:r w:rsidRPr="00B10036">
        <w:rPr>
          <w:noProof/>
        </w:rPr>
        <w:t>pod</w:t>
      </w:r>
      <w:r w:rsidR="005E4DF1" w:rsidRPr="00B10036">
        <w:rPr>
          <w:noProof/>
        </w:rPr>
        <w:t>noszenie świadomości</w:t>
      </w:r>
      <w:r w:rsidRPr="00B10036">
        <w:rPr>
          <w:noProof/>
        </w:rPr>
        <w:t xml:space="preserve"> w</w:t>
      </w:r>
      <w:r>
        <w:rPr>
          <w:noProof/>
        </w:rPr>
        <w:t> </w:t>
      </w:r>
      <w:r w:rsidRPr="00B10036">
        <w:rPr>
          <w:noProof/>
        </w:rPr>
        <w:t>tym</w:t>
      </w:r>
      <w:r w:rsidR="005E4DF1" w:rsidRPr="00B10036">
        <w:rPr>
          <w:noProof/>
        </w:rPr>
        <w:t xml:space="preserve"> zakresie wśród osób uczących się</w:t>
      </w:r>
      <w:r w:rsidRPr="00B10036">
        <w:rPr>
          <w:noProof/>
        </w:rPr>
        <w:t xml:space="preserve"> w</w:t>
      </w:r>
      <w:r>
        <w:rPr>
          <w:noProof/>
        </w:rPr>
        <w:t> </w:t>
      </w:r>
      <w:r w:rsidRPr="00B10036">
        <w:rPr>
          <w:noProof/>
        </w:rPr>
        <w:t>każ</w:t>
      </w:r>
      <w:r w:rsidR="005E4DF1" w:rsidRPr="00B10036">
        <w:rPr>
          <w:noProof/>
        </w:rPr>
        <w:t>dym wieku i na wszystkich poziomach kształcenia</w:t>
      </w:r>
      <w:r w:rsidR="005E4DF1" w:rsidRPr="00B10036">
        <w:rPr>
          <w:rStyle w:val="FootnoteReference"/>
          <w:noProof/>
        </w:rPr>
        <w:footnoteReference w:id="116"/>
      </w:r>
      <w:r w:rsidR="005E4DF1" w:rsidRPr="00B10036">
        <w:rPr>
          <w:noProof/>
        </w:rPr>
        <w:t xml:space="preserve">. </w:t>
      </w:r>
    </w:p>
    <w:p w14:paraId="06FFA1D0" w14:textId="3FBF55DF" w:rsidR="0010430B" w:rsidRPr="00B10036" w:rsidRDefault="0010430B" w:rsidP="00AE5D56">
      <w:pPr>
        <w:rPr>
          <w:noProof/>
        </w:rPr>
      </w:pPr>
    </w:p>
    <w:p w14:paraId="227558A7" w14:textId="77777777" w:rsidR="00002649" w:rsidRPr="00B10036" w:rsidRDefault="00002649" w:rsidP="001220D5">
      <w:pPr>
        <w:rPr>
          <w:noProof/>
        </w:rPr>
      </w:pPr>
      <w:r w:rsidRPr="00B10036">
        <w:rPr>
          <w:noProof/>
        </w:rPr>
        <w:t>ELEMENTY PRZEKROJOWE ŚRODKÓW Z ZAKRESU POLITYKI WSPIERAJĄCYCH SPRAWIEDLIWĄ ZIELONĄ TRANSFORMACJĘ</w:t>
      </w:r>
    </w:p>
    <w:p w14:paraId="0AD6C1CF" w14:textId="47287DD2" w:rsidR="006835D8" w:rsidRPr="00B10036" w:rsidRDefault="00B10036" w:rsidP="00B10036">
      <w:pPr>
        <w:pStyle w:val="Point0"/>
        <w:rPr>
          <w:noProof/>
        </w:rPr>
      </w:pPr>
      <w:r>
        <w:rPr>
          <w:noProof/>
        </w:rPr>
        <w:t>8)</w:t>
      </w:r>
      <w:r>
        <w:rPr>
          <w:noProof/>
        </w:rPr>
        <w:tab/>
      </w:r>
      <w:r w:rsidR="00364813" w:rsidRPr="00B10036">
        <w:rPr>
          <w:noProof/>
        </w:rPr>
        <w:t>Aby umożliwić przeprowadzenie zielonej transformacji</w:t>
      </w:r>
      <w:r w:rsidRPr="00B10036">
        <w:rPr>
          <w:noProof/>
        </w:rPr>
        <w:t xml:space="preserve"> w</w:t>
      </w:r>
      <w:r>
        <w:rPr>
          <w:noProof/>
        </w:rPr>
        <w:t> </w:t>
      </w:r>
      <w:r w:rsidRPr="00B10036">
        <w:rPr>
          <w:noProof/>
        </w:rPr>
        <w:t>spo</w:t>
      </w:r>
      <w:r w:rsidR="00364813" w:rsidRPr="00B10036">
        <w:rPr>
          <w:noProof/>
        </w:rPr>
        <w:t>sób sprzyjający włączeniu społecznemu</w:t>
      </w:r>
      <w:r w:rsidRPr="00B10036">
        <w:rPr>
          <w:noProof/>
        </w:rPr>
        <w:t xml:space="preserve"> i</w:t>
      </w:r>
      <w:r>
        <w:rPr>
          <w:noProof/>
        </w:rPr>
        <w:t> </w:t>
      </w:r>
      <w:r w:rsidRPr="00B10036">
        <w:rPr>
          <w:noProof/>
        </w:rPr>
        <w:t>dem</w:t>
      </w:r>
      <w:r w:rsidR="00364813" w:rsidRPr="00B10036">
        <w:rPr>
          <w:noProof/>
        </w:rPr>
        <w:t>okratyczny, od samego początku uwzględniając cele sprawiedliwej transformacji</w:t>
      </w:r>
      <w:r w:rsidRPr="00B10036">
        <w:rPr>
          <w:noProof/>
        </w:rPr>
        <w:t xml:space="preserve"> w</w:t>
      </w:r>
      <w:r>
        <w:rPr>
          <w:noProof/>
        </w:rPr>
        <w:t> </w:t>
      </w:r>
      <w:r w:rsidRPr="00B10036">
        <w:rPr>
          <w:noProof/>
        </w:rPr>
        <w:t>pro</w:t>
      </w:r>
      <w:r w:rsidR="00364813" w:rsidRPr="00B10036">
        <w:rPr>
          <w:noProof/>
        </w:rPr>
        <w:t>cesie kształtowania polityki na wszystkich szczeblach</w:t>
      </w:r>
      <w:r w:rsidRPr="00B10036">
        <w:rPr>
          <w:noProof/>
        </w:rPr>
        <w:t xml:space="preserve"> i</w:t>
      </w:r>
      <w:r>
        <w:rPr>
          <w:noProof/>
        </w:rPr>
        <w:t> </w:t>
      </w:r>
      <w:r w:rsidRPr="00B10036">
        <w:rPr>
          <w:noProof/>
        </w:rPr>
        <w:t>zap</w:t>
      </w:r>
      <w:r w:rsidR="00364813" w:rsidRPr="00B10036">
        <w:rPr>
          <w:noProof/>
        </w:rPr>
        <w:t>ewniając skuteczne podejście do polityki</w:t>
      </w:r>
      <w:r w:rsidRPr="00B10036">
        <w:rPr>
          <w:noProof/>
        </w:rPr>
        <w:t xml:space="preserve"> w</w:t>
      </w:r>
      <w:r>
        <w:rPr>
          <w:noProof/>
        </w:rPr>
        <w:t> </w:t>
      </w:r>
      <w:r w:rsidRPr="00B10036">
        <w:rPr>
          <w:noProof/>
        </w:rPr>
        <w:t>zak</w:t>
      </w:r>
      <w:r w:rsidR="00364813" w:rsidRPr="00B10036">
        <w:rPr>
          <w:noProof/>
        </w:rPr>
        <w:t>resie sprawiedliwej transformacji obejmujące całą gospodarkę, zachęca się państwa członkowskie do:</w:t>
      </w:r>
    </w:p>
    <w:p w14:paraId="6BD5CC15" w14:textId="40EFD6ED" w:rsidR="00F33505" w:rsidRPr="00B10036" w:rsidRDefault="00B10036" w:rsidP="00B10036">
      <w:pPr>
        <w:pStyle w:val="Point1"/>
        <w:rPr>
          <w:noProof/>
        </w:rPr>
      </w:pPr>
      <w:r w:rsidRPr="00B10036">
        <w:rPr>
          <w:noProof/>
        </w:rPr>
        <w:t>a)</w:t>
      </w:r>
      <w:r w:rsidRPr="00B10036">
        <w:rPr>
          <w:noProof/>
        </w:rPr>
        <w:tab/>
      </w:r>
      <w:r w:rsidR="00002649" w:rsidRPr="00B10036">
        <w:rPr>
          <w:noProof/>
        </w:rPr>
        <w:t>Koordynacji procesu kształtowania polityki na wszystkich szczeblach i we wszystkich odpowiednich obszarach polityki, szczególnie</w:t>
      </w:r>
      <w:r w:rsidRPr="00B10036">
        <w:rPr>
          <w:noProof/>
        </w:rPr>
        <w:t xml:space="preserve"> w</w:t>
      </w:r>
      <w:r>
        <w:rPr>
          <w:noProof/>
        </w:rPr>
        <w:t> </w:t>
      </w:r>
      <w:r w:rsidRPr="00B10036">
        <w:rPr>
          <w:noProof/>
        </w:rPr>
        <w:t>kon</w:t>
      </w:r>
      <w:r w:rsidR="00002649" w:rsidRPr="00B10036">
        <w:rPr>
          <w:noProof/>
        </w:rPr>
        <w:t>tekście europejskiego semestru,</w:t>
      </w:r>
      <w:r w:rsidRPr="00B10036">
        <w:rPr>
          <w:noProof/>
        </w:rPr>
        <w:t xml:space="preserve"> w</w:t>
      </w:r>
      <w:r>
        <w:rPr>
          <w:noProof/>
        </w:rPr>
        <w:t> </w:t>
      </w:r>
      <w:r w:rsidRPr="00B10036">
        <w:rPr>
          <w:noProof/>
        </w:rPr>
        <w:t>tym w</w:t>
      </w:r>
      <w:r>
        <w:rPr>
          <w:noProof/>
        </w:rPr>
        <w:t> </w:t>
      </w:r>
      <w:r w:rsidRPr="00B10036">
        <w:rPr>
          <w:noProof/>
        </w:rPr>
        <w:t>zak</w:t>
      </w:r>
      <w:r w:rsidR="00002649" w:rsidRPr="00B10036">
        <w:rPr>
          <w:noProof/>
        </w:rPr>
        <w:t>resie badań naukowych</w:t>
      </w:r>
      <w:r w:rsidRPr="00B10036">
        <w:rPr>
          <w:noProof/>
        </w:rPr>
        <w:t xml:space="preserve"> i</w:t>
      </w:r>
      <w:r>
        <w:rPr>
          <w:noProof/>
        </w:rPr>
        <w:t> </w:t>
      </w:r>
      <w:r w:rsidRPr="00B10036">
        <w:rPr>
          <w:noProof/>
        </w:rPr>
        <w:t>inn</w:t>
      </w:r>
      <w:r w:rsidR="00002649" w:rsidRPr="00B10036">
        <w:rPr>
          <w:noProof/>
        </w:rPr>
        <w:t>owacji,</w:t>
      </w:r>
      <w:r w:rsidRPr="00B10036">
        <w:rPr>
          <w:noProof/>
        </w:rPr>
        <w:t xml:space="preserve"> w</w:t>
      </w:r>
      <w:r>
        <w:rPr>
          <w:noProof/>
        </w:rPr>
        <w:t> </w:t>
      </w:r>
      <w:r w:rsidRPr="00B10036">
        <w:rPr>
          <w:noProof/>
        </w:rPr>
        <w:t>cel</w:t>
      </w:r>
      <w:r w:rsidR="00002649" w:rsidRPr="00B10036">
        <w:rPr>
          <w:noProof/>
        </w:rPr>
        <w:t>u utworzenia zintegrowanych</w:t>
      </w:r>
      <w:r w:rsidRPr="00B10036">
        <w:rPr>
          <w:noProof/>
        </w:rPr>
        <w:t xml:space="preserve"> i</w:t>
      </w:r>
      <w:r>
        <w:rPr>
          <w:noProof/>
        </w:rPr>
        <w:t> </w:t>
      </w:r>
      <w:r w:rsidRPr="00B10036">
        <w:rPr>
          <w:noProof/>
        </w:rPr>
        <w:t>wsp</w:t>
      </w:r>
      <w:r w:rsidR="00002649" w:rsidRPr="00B10036">
        <w:rPr>
          <w:noProof/>
        </w:rPr>
        <w:t>omagających ram polityki,</w:t>
      </w:r>
      <w:r w:rsidRPr="00B10036">
        <w:rPr>
          <w:noProof/>
        </w:rPr>
        <w:t xml:space="preserve"> w</w:t>
      </w:r>
      <w:r>
        <w:rPr>
          <w:noProof/>
        </w:rPr>
        <w:t> </w:t>
      </w:r>
      <w:r w:rsidRPr="00B10036">
        <w:rPr>
          <w:noProof/>
        </w:rPr>
        <w:t>któ</w:t>
      </w:r>
      <w:r w:rsidR="00002649" w:rsidRPr="00B10036">
        <w:rPr>
          <w:noProof/>
        </w:rPr>
        <w:t>rych zwraca się należytą uwagę na skutki dystrybucyjne oraz pozytywne</w:t>
      </w:r>
      <w:r w:rsidRPr="00B10036">
        <w:rPr>
          <w:noProof/>
        </w:rPr>
        <w:t xml:space="preserve"> i</w:t>
      </w:r>
      <w:r>
        <w:rPr>
          <w:noProof/>
        </w:rPr>
        <w:t> </w:t>
      </w:r>
      <w:r w:rsidRPr="00B10036">
        <w:rPr>
          <w:noProof/>
        </w:rPr>
        <w:t>neg</w:t>
      </w:r>
      <w:r w:rsidR="00002649" w:rsidRPr="00B10036">
        <w:rPr>
          <w:noProof/>
        </w:rPr>
        <w:t>atywne efekty zewnętrzne,</w:t>
      </w:r>
      <w:r w:rsidRPr="00B10036">
        <w:rPr>
          <w:noProof/>
        </w:rPr>
        <w:t xml:space="preserve"> w</w:t>
      </w:r>
      <w:r>
        <w:rPr>
          <w:noProof/>
        </w:rPr>
        <w:t> </w:t>
      </w:r>
      <w:r w:rsidRPr="00B10036">
        <w:rPr>
          <w:noProof/>
        </w:rPr>
        <w:t>tym w</w:t>
      </w:r>
      <w:r>
        <w:rPr>
          <w:noProof/>
        </w:rPr>
        <w:t> </w:t>
      </w:r>
      <w:r w:rsidRPr="00B10036">
        <w:rPr>
          <w:noProof/>
        </w:rPr>
        <w:t>reg</w:t>
      </w:r>
      <w:r w:rsidR="00002649" w:rsidRPr="00B10036">
        <w:rPr>
          <w:noProof/>
        </w:rPr>
        <w:t>ionach transgranicznych,</w:t>
      </w:r>
      <w:r w:rsidRPr="00B10036">
        <w:rPr>
          <w:noProof/>
        </w:rPr>
        <w:t xml:space="preserve"> a</w:t>
      </w:r>
      <w:r>
        <w:rPr>
          <w:noProof/>
        </w:rPr>
        <w:t> </w:t>
      </w:r>
      <w:r w:rsidRPr="00B10036">
        <w:rPr>
          <w:noProof/>
        </w:rPr>
        <w:t>tak</w:t>
      </w:r>
      <w:r w:rsidR="00002649" w:rsidRPr="00B10036">
        <w:rPr>
          <w:noProof/>
        </w:rPr>
        <w:t>że uwzględnia się odpowiednie</w:t>
      </w:r>
      <w:r w:rsidRPr="00B10036">
        <w:rPr>
          <w:noProof/>
        </w:rPr>
        <w:t xml:space="preserve"> i</w:t>
      </w:r>
      <w:r>
        <w:rPr>
          <w:noProof/>
        </w:rPr>
        <w:t> </w:t>
      </w:r>
      <w:r w:rsidRPr="00B10036">
        <w:rPr>
          <w:noProof/>
        </w:rPr>
        <w:t>sys</w:t>
      </w:r>
      <w:r w:rsidR="00002649" w:rsidRPr="00B10036">
        <w:rPr>
          <w:noProof/>
        </w:rPr>
        <w:t>tematyczne strategie oceny,</w:t>
      </w:r>
      <w:r w:rsidRPr="00B10036">
        <w:rPr>
          <w:noProof/>
        </w:rPr>
        <w:t xml:space="preserve"> w</w:t>
      </w:r>
      <w:r>
        <w:rPr>
          <w:noProof/>
        </w:rPr>
        <w:t> </w:t>
      </w:r>
      <w:r w:rsidRPr="00B10036">
        <w:rPr>
          <w:noProof/>
        </w:rPr>
        <w:t>tym</w:t>
      </w:r>
      <w:r w:rsidR="00002649" w:rsidRPr="00B10036">
        <w:rPr>
          <w:noProof/>
        </w:rPr>
        <w:t xml:space="preserve"> oceny </w:t>
      </w:r>
      <w:r w:rsidR="00002649" w:rsidRPr="00B10036">
        <w:rPr>
          <w:i/>
          <w:iCs/>
          <w:noProof/>
        </w:rPr>
        <w:t>ex ante</w:t>
      </w:r>
      <w:r w:rsidR="00002649" w:rsidRPr="00B10036">
        <w:rPr>
          <w:noProof/>
        </w:rPr>
        <w:t xml:space="preserve"> i </w:t>
      </w:r>
      <w:r w:rsidR="00002649" w:rsidRPr="00B10036">
        <w:rPr>
          <w:i/>
          <w:iCs/>
          <w:noProof/>
        </w:rPr>
        <w:t>ex post</w:t>
      </w:r>
      <w:r w:rsidR="00002649" w:rsidRPr="00B10036">
        <w:rPr>
          <w:noProof/>
        </w:rPr>
        <w:t xml:space="preserve">. </w:t>
      </w:r>
    </w:p>
    <w:p w14:paraId="04033014" w14:textId="341DA88B" w:rsidR="00002649" w:rsidRPr="00B10036" w:rsidRDefault="00B10036" w:rsidP="00B10036">
      <w:pPr>
        <w:pStyle w:val="Point1"/>
        <w:rPr>
          <w:noProof/>
        </w:rPr>
      </w:pPr>
      <w:r w:rsidRPr="00B10036">
        <w:rPr>
          <w:noProof/>
        </w:rPr>
        <w:t>b)</w:t>
      </w:r>
      <w:r w:rsidRPr="00B10036">
        <w:rPr>
          <w:noProof/>
        </w:rPr>
        <w:tab/>
      </w:r>
      <w:r w:rsidR="00F33505" w:rsidRPr="00B10036">
        <w:rPr>
          <w:noProof/>
        </w:rPr>
        <w:t>Powierzenia aktywnej roli władzom regionalnym</w:t>
      </w:r>
      <w:r w:rsidRPr="00B10036">
        <w:rPr>
          <w:noProof/>
        </w:rPr>
        <w:t xml:space="preserve"> i</w:t>
      </w:r>
      <w:r>
        <w:rPr>
          <w:noProof/>
        </w:rPr>
        <w:t> </w:t>
      </w:r>
      <w:r w:rsidRPr="00B10036">
        <w:rPr>
          <w:noProof/>
        </w:rPr>
        <w:t>lok</w:t>
      </w:r>
      <w:r w:rsidR="00F33505" w:rsidRPr="00B10036">
        <w:rPr>
          <w:noProof/>
        </w:rPr>
        <w:t>alnym we wdrażaniu</w:t>
      </w:r>
      <w:r w:rsidRPr="00B10036">
        <w:rPr>
          <w:noProof/>
        </w:rPr>
        <w:t xml:space="preserve"> i</w:t>
      </w:r>
      <w:r>
        <w:rPr>
          <w:noProof/>
        </w:rPr>
        <w:t> </w:t>
      </w:r>
      <w:r w:rsidRPr="00B10036">
        <w:rPr>
          <w:noProof/>
        </w:rPr>
        <w:t>mon</w:t>
      </w:r>
      <w:r w:rsidR="00F33505" w:rsidRPr="00B10036">
        <w:rPr>
          <w:noProof/>
        </w:rPr>
        <w:t>itorowaniu polityki</w:t>
      </w:r>
      <w:r w:rsidRPr="00B10036">
        <w:rPr>
          <w:noProof/>
        </w:rPr>
        <w:t xml:space="preserve"> w</w:t>
      </w:r>
      <w:r>
        <w:rPr>
          <w:noProof/>
        </w:rPr>
        <w:t> </w:t>
      </w:r>
      <w:r w:rsidRPr="00B10036">
        <w:rPr>
          <w:noProof/>
        </w:rPr>
        <w:t>zak</w:t>
      </w:r>
      <w:r w:rsidR="00F33505" w:rsidRPr="00B10036">
        <w:rPr>
          <w:noProof/>
        </w:rPr>
        <w:t>resie sprawiedliwej transformacji, ze względu na ich bliski kontakt</w:t>
      </w:r>
      <w:r w:rsidRPr="00B10036">
        <w:rPr>
          <w:noProof/>
        </w:rPr>
        <w:t xml:space="preserve"> z</w:t>
      </w:r>
      <w:r>
        <w:rPr>
          <w:noProof/>
        </w:rPr>
        <w:t> </w:t>
      </w:r>
      <w:r w:rsidRPr="00B10036">
        <w:rPr>
          <w:noProof/>
        </w:rPr>
        <w:t>oby</w:t>
      </w:r>
      <w:r w:rsidR="00F33505" w:rsidRPr="00B10036">
        <w:rPr>
          <w:noProof/>
        </w:rPr>
        <w:t>watelami</w:t>
      </w:r>
      <w:r w:rsidRPr="00B10036">
        <w:rPr>
          <w:noProof/>
        </w:rPr>
        <w:t xml:space="preserve"> i</w:t>
      </w:r>
      <w:r>
        <w:rPr>
          <w:noProof/>
        </w:rPr>
        <w:t> </w:t>
      </w:r>
      <w:r w:rsidRPr="00B10036">
        <w:rPr>
          <w:noProof/>
        </w:rPr>
        <w:t>lok</w:t>
      </w:r>
      <w:r w:rsidR="00F33505" w:rsidRPr="00B10036">
        <w:rPr>
          <w:noProof/>
        </w:rPr>
        <w:t>alnymi przedsiębiorstwami.</w:t>
      </w:r>
    </w:p>
    <w:p w14:paraId="095818DB" w14:textId="195B0F3A" w:rsidR="00002649" w:rsidRPr="00B10036" w:rsidRDefault="00B10036" w:rsidP="00B10036">
      <w:pPr>
        <w:pStyle w:val="Point1"/>
        <w:rPr>
          <w:noProof/>
        </w:rPr>
      </w:pPr>
      <w:r w:rsidRPr="00B10036">
        <w:rPr>
          <w:noProof/>
        </w:rPr>
        <w:t>c)</w:t>
      </w:r>
      <w:r w:rsidRPr="00B10036">
        <w:rPr>
          <w:noProof/>
        </w:rPr>
        <w:tab/>
      </w:r>
      <w:r w:rsidR="00002649" w:rsidRPr="00B10036">
        <w:rPr>
          <w:noProof/>
        </w:rPr>
        <w:t>Zaangażowania partnerów społecznych na szczeblu krajowym, regionalnym</w:t>
      </w:r>
      <w:r w:rsidRPr="00B10036">
        <w:rPr>
          <w:noProof/>
        </w:rPr>
        <w:t xml:space="preserve"> i</w:t>
      </w:r>
      <w:r>
        <w:rPr>
          <w:noProof/>
        </w:rPr>
        <w:t> </w:t>
      </w:r>
      <w:r w:rsidRPr="00B10036">
        <w:rPr>
          <w:noProof/>
        </w:rPr>
        <w:t>lok</w:t>
      </w:r>
      <w:r w:rsidR="00002649" w:rsidRPr="00B10036">
        <w:rPr>
          <w:noProof/>
        </w:rPr>
        <w:t>alnym we wszystkie etapy kształtowania polityki przewidziane</w:t>
      </w:r>
      <w:r w:rsidRPr="00B10036">
        <w:rPr>
          <w:noProof/>
        </w:rPr>
        <w:t xml:space="preserve"> w</w:t>
      </w:r>
      <w:r>
        <w:rPr>
          <w:noProof/>
        </w:rPr>
        <w:t> </w:t>
      </w:r>
      <w:r w:rsidRPr="00B10036">
        <w:rPr>
          <w:noProof/>
        </w:rPr>
        <w:t>nin</w:t>
      </w:r>
      <w:r w:rsidR="00002649" w:rsidRPr="00B10036">
        <w:rPr>
          <w:noProof/>
        </w:rPr>
        <w:t>iejszym zaleceniu,</w:t>
      </w:r>
      <w:r w:rsidRPr="00B10036">
        <w:rPr>
          <w:noProof/>
        </w:rPr>
        <w:t xml:space="preserve"> w</w:t>
      </w:r>
      <w:r>
        <w:rPr>
          <w:noProof/>
        </w:rPr>
        <w:t> </w:t>
      </w:r>
      <w:r w:rsidRPr="00B10036">
        <w:rPr>
          <w:noProof/>
        </w:rPr>
        <w:t>tym</w:t>
      </w:r>
      <w:r w:rsidR="00002649" w:rsidRPr="00B10036">
        <w:rPr>
          <w:noProof/>
        </w:rPr>
        <w:t xml:space="preserve"> –</w:t>
      </w:r>
      <w:r w:rsidRPr="00B10036">
        <w:rPr>
          <w:noProof/>
        </w:rPr>
        <w:t xml:space="preserve"> w</w:t>
      </w:r>
      <w:r>
        <w:rPr>
          <w:noProof/>
        </w:rPr>
        <w:t> </w:t>
      </w:r>
      <w:r w:rsidRPr="00B10036">
        <w:rPr>
          <w:noProof/>
        </w:rPr>
        <w:t>sto</w:t>
      </w:r>
      <w:r w:rsidR="00002649" w:rsidRPr="00B10036">
        <w:rPr>
          <w:noProof/>
        </w:rPr>
        <w:t>sownych przypadkach –</w:t>
      </w:r>
      <w:r w:rsidRPr="00B10036">
        <w:rPr>
          <w:noProof/>
        </w:rPr>
        <w:t xml:space="preserve"> w</w:t>
      </w:r>
      <w:r>
        <w:rPr>
          <w:noProof/>
        </w:rPr>
        <w:t> </w:t>
      </w:r>
      <w:r w:rsidRPr="00B10036">
        <w:rPr>
          <w:noProof/>
        </w:rPr>
        <w:t>ram</w:t>
      </w:r>
      <w:r w:rsidR="00002649" w:rsidRPr="00B10036">
        <w:rPr>
          <w:noProof/>
        </w:rPr>
        <w:t>ach dialogu społecznego</w:t>
      </w:r>
      <w:r w:rsidRPr="00B10036">
        <w:rPr>
          <w:noProof/>
        </w:rPr>
        <w:t xml:space="preserve"> i</w:t>
      </w:r>
      <w:r>
        <w:rPr>
          <w:noProof/>
        </w:rPr>
        <w:t> </w:t>
      </w:r>
      <w:r w:rsidRPr="00B10036">
        <w:rPr>
          <w:noProof/>
        </w:rPr>
        <w:t>rok</w:t>
      </w:r>
      <w:r w:rsidR="00002649" w:rsidRPr="00B10036">
        <w:rPr>
          <w:noProof/>
        </w:rPr>
        <w:t>owań zbiorowych. Ponadto zachęca się do dalszego promowania pełnego zaangażowania partnerów społecznych</w:t>
      </w:r>
      <w:r w:rsidRPr="00B10036">
        <w:rPr>
          <w:noProof/>
        </w:rPr>
        <w:t xml:space="preserve"> w</w:t>
      </w:r>
      <w:r>
        <w:rPr>
          <w:noProof/>
        </w:rPr>
        <w:t> </w:t>
      </w:r>
      <w:r w:rsidRPr="00B10036">
        <w:rPr>
          <w:noProof/>
        </w:rPr>
        <w:t>opr</w:t>
      </w:r>
      <w:r w:rsidR="00002649" w:rsidRPr="00B10036">
        <w:rPr>
          <w:noProof/>
        </w:rPr>
        <w:t>acowywanie</w:t>
      </w:r>
      <w:r w:rsidRPr="00B10036">
        <w:rPr>
          <w:noProof/>
        </w:rPr>
        <w:t xml:space="preserve"> i</w:t>
      </w:r>
      <w:r>
        <w:rPr>
          <w:noProof/>
        </w:rPr>
        <w:t> </w:t>
      </w:r>
      <w:r w:rsidRPr="00B10036">
        <w:rPr>
          <w:noProof/>
        </w:rPr>
        <w:t>wdr</w:t>
      </w:r>
      <w:r w:rsidR="00002649" w:rsidRPr="00B10036">
        <w:rPr>
          <w:noProof/>
        </w:rPr>
        <w:t>ażanie ścieżek transformacji dla ekosystemów przemysłowych</w:t>
      </w:r>
      <w:r w:rsidRPr="00B10036">
        <w:rPr>
          <w:noProof/>
        </w:rPr>
        <w:t xml:space="preserve"> w</w:t>
      </w:r>
      <w:r>
        <w:rPr>
          <w:noProof/>
        </w:rPr>
        <w:t> </w:t>
      </w:r>
      <w:r w:rsidRPr="00B10036">
        <w:rPr>
          <w:noProof/>
        </w:rPr>
        <w:t>ram</w:t>
      </w:r>
      <w:r w:rsidR="00002649" w:rsidRPr="00B10036">
        <w:rPr>
          <w:noProof/>
        </w:rPr>
        <w:t>ach zaktualizowanej nowej strategii przemysłowej UE.</w:t>
      </w:r>
    </w:p>
    <w:p w14:paraId="13BE35C5" w14:textId="59794AF5" w:rsidR="00002649" w:rsidRPr="00B10036" w:rsidRDefault="00B10036" w:rsidP="00B10036">
      <w:pPr>
        <w:pStyle w:val="Point1"/>
        <w:rPr>
          <w:noProof/>
        </w:rPr>
      </w:pPr>
      <w:r w:rsidRPr="00B10036">
        <w:rPr>
          <w:noProof/>
        </w:rPr>
        <w:t>d)</w:t>
      </w:r>
      <w:r w:rsidRPr="00B10036">
        <w:rPr>
          <w:noProof/>
        </w:rPr>
        <w:tab/>
      </w:r>
      <w:r w:rsidR="00002649" w:rsidRPr="00B10036">
        <w:rPr>
          <w:noProof/>
        </w:rPr>
        <w:t>Wzmocnienia pozycji obywateli, społeczeństwa obywatelskiego</w:t>
      </w:r>
      <w:r w:rsidRPr="00B10036">
        <w:rPr>
          <w:noProof/>
        </w:rPr>
        <w:t xml:space="preserve"> i</w:t>
      </w:r>
      <w:r>
        <w:rPr>
          <w:noProof/>
        </w:rPr>
        <w:t> </w:t>
      </w:r>
      <w:r w:rsidRPr="00B10036">
        <w:rPr>
          <w:noProof/>
        </w:rPr>
        <w:t>zai</w:t>
      </w:r>
      <w:r w:rsidR="00002649" w:rsidRPr="00B10036">
        <w:rPr>
          <w:noProof/>
        </w:rPr>
        <w:t>nteresowanych stron,</w:t>
      </w:r>
      <w:r w:rsidRPr="00B10036">
        <w:rPr>
          <w:noProof/>
        </w:rPr>
        <w:t xml:space="preserve"> w</w:t>
      </w:r>
      <w:r>
        <w:rPr>
          <w:noProof/>
        </w:rPr>
        <w:t> </w:t>
      </w:r>
      <w:r w:rsidRPr="00B10036">
        <w:rPr>
          <w:noProof/>
        </w:rPr>
        <w:t>tym</w:t>
      </w:r>
      <w:r w:rsidR="00002649" w:rsidRPr="00B10036">
        <w:rPr>
          <w:noProof/>
        </w:rPr>
        <w:t xml:space="preserve"> organizacji reprezentujących osoby będące</w:t>
      </w:r>
      <w:r w:rsidRPr="00B10036">
        <w:rPr>
          <w:noProof/>
        </w:rPr>
        <w:t xml:space="preserve"> w</w:t>
      </w:r>
      <w:r>
        <w:rPr>
          <w:noProof/>
        </w:rPr>
        <w:t> </w:t>
      </w:r>
      <w:r w:rsidRPr="00B10036">
        <w:rPr>
          <w:noProof/>
        </w:rPr>
        <w:t>tru</w:t>
      </w:r>
      <w:r w:rsidR="00002649" w:rsidRPr="00B10036">
        <w:rPr>
          <w:noProof/>
        </w:rPr>
        <w:t>dnej sytuacji,</w:t>
      </w:r>
      <w:r w:rsidRPr="00B10036">
        <w:rPr>
          <w:noProof/>
        </w:rPr>
        <w:t xml:space="preserve"> w</w:t>
      </w:r>
      <w:r>
        <w:rPr>
          <w:noProof/>
        </w:rPr>
        <w:t> </w:t>
      </w:r>
      <w:r w:rsidRPr="00B10036">
        <w:rPr>
          <w:noProof/>
        </w:rPr>
        <w:t>tym</w:t>
      </w:r>
      <w:r w:rsidR="00002649" w:rsidRPr="00B10036">
        <w:rPr>
          <w:noProof/>
        </w:rPr>
        <w:t xml:space="preserve"> kobiety, osoby niepełnosprawne, młodzież</w:t>
      </w:r>
      <w:r w:rsidRPr="00B10036">
        <w:rPr>
          <w:noProof/>
        </w:rPr>
        <w:t xml:space="preserve"> i</w:t>
      </w:r>
      <w:r>
        <w:rPr>
          <w:noProof/>
        </w:rPr>
        <w:t> </w:t>
      </w:r>
      <w:r w:rsidRPr="00B10036">
        <w:rPr>
          <w:noProof/>
        </w:rPr>
        <w:t>dzi</w:t>
      </w:r>
      <w:r w:rsidR="00002649" w:rsidRPr="00B10036">
        <w:rPr>
          <w:noProof/>
        </w:rPr>
        <w:t>eci, wzywających do podjęcia pilnych działań</w:t>
      </w:r>
      <w:r w:rsidRPr="00B10036">
        <w:rPr>
          <w:noProof/>
        </w:rPr>
        <w:t xml:space="preserve"> w</w:t>
      </w:r>
      <w:r>
        <w:rPr>
          <w:noProof/>
        </w:rPr>
        <w:t> </w:t>
      </w:r>
      <w:r w:rsidRPr="00B10036">
        <w:rPr>
          <w:noProof/>
        </w:rPr>
        <w:t>dzi</w:t>
      </w:r>
      <w:r w:rsidR="00002649" w:rsidRPr="00B10036">
        <w:rPr>
          <w:noProof/>
        </w:rPr>
        <w:t>edzinie klimatu,</w:t>
      </w:r>
      <w:r w:rsidRPr="00B10036">
        <w:rPr>
          <w:noProof/>
        </w:rPr>
        <w:t xml:space="preserve"> a</w:t>
      </w:r>
      <w:r>
        <w:rPr>
          <w:noProof/>
        </w:rPr>
        <w:t> </w:t>
      </w:r>
      <w:r w:rsidRPr="00B10036">
        <w:rPr>
          <w:noProof/>
        </w:rPr>
        <w:t>tak</w:t>
      </w:r>
      <w:r w:rsidR="00002649" w:rsidRPr="00B10036">
        <w:rPr>
          <w:noProof/>
        </w:rPr>
        <w:t>że podmiotów gospodarki społecznej,</w:t>
      </w:r>
      <w:r w:rsidRPr="00B10036">
        <w:rPr>
          <w:noProof/>
        </w:rPr>
        <w:t xml:space="preserve"> w</w:t>
      </w:r>
      <w:r>
        <w:rPr>
          <w:noProof/>
        </w:rPr>
        <w:t> </w:t>
      </w:r>
      <w:r w:rsidRPr="00B10036">
        <w:rPr>
          <w:noProof/>
        </w:rPr>
        <w:t>tym</w:t>
      </w:r>
      <w:r w:rsidR="00002649" w:rsidRPr="00B10036">
        <w:rPr>
          <w:noProof/>
        </w:rPr>
        <w:t xml:space="preserve"> za pośrednictwem Europejskiego Paktu na rzecz Klimatu</w:t>
      </w:r>
      <w:r w:rsidR="00002649" w:rsidRPr="00B10036">
        <w:rPr>
          <w:rStyle w:val="FootnoteReference"/>
          <w:noProof/>
        </w:rPr>
        <w:footnoteReference w:id="117"/>
      </w:r>
      <w:r w:rsidR="00002649" w:rsidRPr="00B10036">
        <w:rPr>
          <w:noProof/>
        </w:rPr>
        <w:t>,</w:t>
      </w:r>
      <w:r w:rsidRPr="00B10036">
        <w:rPr>
          <w:noProof/>
        </w:rPr>
        <w:t xml:space="preserve"> w</w:t>
      </w:r>
      <w:r>
        <w:rPr>
          <w:noProof/>
        </w:rPr>
        <w:t> </w:t>
      </w:r>
      <w:r w:rsidRPr="00B10036">
        <w:rPr>
          <w:noProof/>
        </w:rPr>
        <w:t>cel</w:t>
      </w:r>
      <w:r w:rsidR="00002649" w:rsidRPr="00B10036">
        <w:rPr>
          <w:noProof/>
        </w:rPr>
        <w:t>u zapewnienia ich udziału</w:t>
      </w:r>
      <w:r w:rsidRPr="00B10036">
        <w:rPr>
          <w:noProof/>
        </w:rPr>
        <w:t xml:space="preserve"> w</w:t>
      </w:r>
      <w:r>
        <w:rPr>
          <w:noProof/>
        </w:rPr>
        <w:t> </w:t>
      </w:r>
      <w:r w:rsidRPr="00B10036">
        <w:rPr>
          <w:noProof/>
        </w:rPr>
        <w:t>opr</w:t>
      </w:r>
      <w:r w:rsidR="00002649" w:rsidRPr="00B10036">
        <w:rPr>
          <w:noProof/>
        </w:rPr>
        <w:t>acowywaniu</w:t>
      </w:r>
      <w:r w:rsidRPr="00B10036">
        <w:rPr>
          <w:noProof/>
        </w:rPr>
        <w:t xml:space="preserve"> i</w:t>
      </w:r>
      <w:r>
        <w:rPr>
          <w:noProof/>
        </w:rPr>
        <w:t> </w:t>
      </w:r>
      <w:r w:rsidRPr="00B10036">
        <w:rPr>
          <w:noProof/>
        </w:rPr>
        <w:t>wdr</w:t>
      </w:r>
      <w:r w:rsidR="00002649" w:rsidRPr="00B10036">
        <w:rPr>
          <w:noProof/>
        </w:rPr>
        <w:t>ażaniu polityki, między innymi przez wykorzystanie nowych modeli uczestnictwa</w:t>
      </w:r>
      <w:r w:rsidRPr="00B10036">
        <w:rPr>
          <w:noProof/>
        </w:rPr>
        <w:t xml:space="preserve"> z</w:t>
      </w:r>
      <w:r>
        <w:rPr>
          <w:noProof/>
        </w:rPr>
        <w:t> </w:t>
      </w:r>
      <w:r w:rsidRPr="00B10036">
        <w:rPr>
          <w:noProof/>
        </w:rPr>
        <w:t>udz</w:t>
      </w:r>
      <w:r w:rsidR="00002649" w:rsidRPr="00B10036">
        <w:rPr>
          <w:noProof/>
        </w:rPr>
        <w:t>iałem osób będących</w:t>
      </w:r>
      <w:r w:rsidRPr="00B10036">
        <w:rPr>
          <w:noProof/>
        </w:rPr>
        <w:t xml:space="preserve"> w</w:t>
      </w:r>
      <w:r>
        <w:rPr>
          <w:noProof/>
        </w:rPr>
        <w:t> </w:t>
      </w:r>
      <w:r w:rsidRPr="00B10036">
        <w:rPr>
          <w:noProof/>
        </w:rPr>
        <w:t>tru</w:t>
      </w:r>
      <w:r w:rsidR="00002649" w:rsidRPr="00B10036">
        <w:rPr>
          <w:noProof/>
        </w:rPr>
        <w:t xml:space="preserve">dnej sytuacji. </w:t>
      </w:r>
    </w:p>
    <w:p w14:paraId="0321807D" w14:textId="584953C6" w:rsidR="00002649" w:rsidRPr="00B10036" w:rsidRDefault="00B10036" w:rsidP="00B10036">
      <w:pPr>
        <w:pStyle w:val="Point1"/>
        <w:rPr>
          <w:noProof/>
        </w:rPr>
      </w:pPr>
      <w:r w:rsidRPr="00B10036">
        <w:rPr>
          <w:noProof/>
        </w:rPr>
        <w:t>e)</w:t>
      </w:r>
      <w:r w:rsidRPr="00B10036">
        <w:rPr>
          <w:noProof/>
        </w:rPr>
        <w:tab/>
      </w:r>
      <w:r w:rsidR="00327BD8" w:rsidRPr="00B10036">
        <w:rPr>
          <w:noProof/>
        </w:rPr>
        <w:t>Wzmocnienia zdolności operacyjnych odpowiednich służb publicznych</w:t>
      </w:r>
      <w:r w:rsidRPr="00B10036">
        <w:rPr>
          <w:noProof/>
        </w:rPr>
        <w:t xml:space="preserve"> w</w:t>
      </w:r>
      <w:r>
        <w:rPr>
          <w:noProof/>
        </w:rPr>
        <w:t> </w:t>
      </w:r>
      <w:r w:rsidRPr="00B10036">
        <w:rPr>
          <w:noProof/>
        </w:rPr>
        <w:t>cel</w:t>
      </w:r>
      <w:r w:rsidR="00327BD8" w:rsidRPr="00B10036">
        <w:rPr>
          <w:noProof/>
        </w:rPr>
        <w:t>u zapewnienia skutecznych wytycznych</w:t>
      </w:r>
      <w:r w:rsidRPr="00B10036">
        <w:rPr>
          <w:noProof/>
        </w:rPr>
        <w:t xml:space="preserve"> i</w:t>
      </w:r>
      <w:r>
        <w:rPr>
          <w:noProof/>
        </w:rPr>
        <w:t> </w:t>
      </w:r>
      <w:r w:rsidRPr="00B10036">
        <w:rPr>
          <w:noProof/>
        </w:rPr>
        <w:t>wsp</w:t>
      </w:r>
      <w:r w:rsidR="00327BD8" w:rsidRPr="00B10036">
        <w:rPr>
          <w:noProof/>
        </w:rPr>
        <w:t>arcia</w:t>
      </w:r>
      <w:r w:rsidRPr="00B10036">
        <w:rPr>
          <w:noProof/>
        </w:rPr>
        <w:t xml:space="preserve"> w</w:t>
      </w:r>
      <w:r>
        <w:rPr>
          <w:noProof/>
        </w:rPr>
        <w:t> </w:t>
      </w:r>
      <w:r w:rsidRPr="00B10036">
        <w:rPr>
          <w:noProof/>
        </w:rPr>
        <w:t>odn</w:t>
      </w:r>
      <w:r w:rsidR="00327BD8" w:rsidRPr="00B10036">
        <w:rPr>
          <w:noProof/>
        </w:rPr>
        <w:t>iesieniu do wdrażania polityki</w:t>
      </w:r>
      <w:r w:rsidRPr="00B10036">
        <w:rPr>
          <w:noProof/>
        </w:rPr>
        <w:t xml:space="preserve"> w</w:t>
      </w:r>
      <w:r>
        <w:rPr>
          <w:noProof/>
        </w:rPr>
        <w:t> </w:t>
      </w:r>
      <w:r w:rsidRPr="00B10036">
        <w:rPr>
          <w:noProof/>
        </w:rPr>
        <w:t>zak</w:t>
      </w:r>
      <w:r w:rsidR="00327BD8" w:rsidRPr="00B10036">
        <w:rPr>
          <w:noProof/>
        </w:rPr>
        <w:t>resie sprawiedliwej transformacji</w:t>
      </w:r>
      <w:r w:rsidRPr="00B10036">
        <w:rPr>
          <w:noProof/>
        </w:rPr>
        <w:t>. W</w:t>
      </w:r>
      <w:r>
        <w:rPr>
          <w:noProof/>
        </w:rPr>
        <w:t> </w:t>
      </w:r>
      <w:r w:rsidRPr="00B10036">
        <w:rPr>
          <w:noProof/>
        </w:rPr>
        <w:t>szc</w:t>
      </w:r>
      <w:r w:rsidR="00327BD8" w:rsidRPr="00B10036">
        <w:rPr>
          <w:noProof/>
        </w:rPr>
        <w:t>zególności zachęca się do wzmocnienia publicznych służb zatrudnienia</w:t>
      </w:r>
      <w:r w:rsidRPr="00B10036">
        <w:rPr>
          <w:noProof/>
        </w:rPr>
        <w:t xml:space="preserve"> w</w:t>
      </w:r>
      <w:r>
        <w:rPr>
          <w:noProof/>
        </w:rPr>
        <w:t> </w:t>
      </w:r>
      <w:r w:rsidRPr="00B10036">
        <w:rPr>
          <w:noProof/>
        </w:rPr>
        <w:t>cel</w:t>
      </w:r>
      <w:r w:rsidR="00327BD8" w:rsidRPr="00B10036">
        <w:rPr>
          <w:noProof/>
        </w:rPr>
        <w:t>u wspierania przepływów na rynku pracy</w:t>
      </w:r>
      <w:r w:rsidRPr="00B10036">
        <w:rPr>
          <w:noProof/>
        </w:rPr>
        <w:t xml:space="preserve"> i</w:t>
      </w:r>
      <w:r>
        <w:rPr>
          <w:noProof/>
        </w:rPr>
        <w:t> </w:t>
      </w:r>
      <w:r w:rsidRPr="00B10036">
        <w:rPr>
          <w:noProof/>
        </w:rPr>
        <w:t>zdo</w:t>
      </w:r>
      <w:r w:rsidR="00327BD8" w:rsidRPr="00B10036">
        <w:rPr>
          <w:noProof/>
        </w:rPr>
        <w:t>bywania informacji na temat umiejętności,</w:t>
      </w:r>
      <w:r w:rsidRPr="00B10036">
        <w:rPr>
          <w:noProof/>
        </w:rPr>
        <w:t xml:space="preserve"> a</w:t>
      </w:r>
      <w:r>
        <w:rPr>
          <w:noProof/>
        </w:rPr>
        <w:t> </w:t>
      </w:r>
      <w:r w:rsidRPr="00B10036">
        <w:rPr>
          <w:noProof/>
        </w:rPr>
        <w:t>tak</w:t>
      </w:r>
      <w:r w:rsidR="00327BD8" w:rsidRPr="00B10036">
        <w:rPr>
          <w:noProof/>
        </w:rPr>
        <w:t>że inspektoratów pracy</w:t>
      </w:r>
      <w:r w:rsidRPr="00B10036">
        <w:rPr>
          <w:noProof/>
        </w:rPr>
        <w:t xml:space="preserve"> w</w:t>
      </w:r>
      <w:r>
        <w:rPr>
          <w:noProof/>
        </w:rPr>
        <w:t> </w:t>
      </w:r>
      <w:r w:rsidRPr="00B10036">
        <w:rPr>
          <w:noProof/>
        </w:rPr>
        <w:t>cel</w:t>
      </w:r>
      <w:r w:rsidR="00327BD8" w:rsidRPr="00B10036">
        <w:rPr>
          <w:noProof/>
        </w:rPr>
        <w:t>u ochrony warunków pracy. Ponadto,</w:t>
      </w:r>
      <w:r w:rsidRPr="00B10036">
        <w:rPr>
          <w:noProof/>
        </w:rPr>
        <w:t xml:space="preserve"> w</w:t>
      </w:r>
      <w:r>
        <w:rPr>
          <w:noProof/>
        </w:rPr>
        <w:t> </w:t>
      </w:r>
      <w:r w:rsidRPr="00B10036">
        <w:rPr>
          <w:noProof/>
        </w:rPr>
        <w:t>sto</w:t>
      </w:r>
      <w:r w:rsidR="00327BD8" w:rsidRPr="00B10036">
        <w:rPr>
          <w:noProof/>
        </w:rPr>
        <w:t>sownych przypadkach, zachęca się do uruchomienia usług społecznych</w:t>
      </w:r>
      <w:r w:rsidRPr="00B10036">
        <w:rPr>
          <w:noProof/>
        </w:rPr>
        <w:t xml:space="preserve"> i</w:t>
      </w:r>
      <w:r>
        <w:rPr>
          <w:noProof/>
        </w:rPr>
        <w:t> </w:t>
      </w:r>
      <w:r w:rsidRPr="00B10036">
        <w:rPr>
          <w:noProof/>
        </w:rPr>
        <w:t>zdr</w:t>
      </w:r>
      <w:r w:rsidR="00327BD8" w:rsidRPr="00B10036">
        <w:rPr>
          <w:noProof/>
        </w:rPr>
        <w:t>owotnych,</w:t>
      </w:r>
      <w:r w:rsidRPr="00B10036">
        <w:rPr>
          <w:noProof/>
        </w:rPr>
        <w:t xml:space="preserve"> w</w:t>
      </w:r>
      <w:r>
        <w:rPr>
          <w:noProof/>
        </w:rPr>
        <w:t> </w:t>
      </w:r>
      <w:r w:rsidRPr="00B10036">
        <w:rPr>
          <w:noProof/>
        </w:rPr>
        <w:t>szc</w:t>
      </w:r>
      <w:r w:rsidR="00327BD8" w:rsidRPr="00B10036">
        <w:rPr>
          <w:noProof/>
        </w:rPr>
        <w:t>zególności</w:t>
      </w:r>
      <w:r w:rsidRPr="00B10036">
        <w:rPr>
          <w:noProof/>
        </w:rPr>
        <w:t xml:space="preserve"> w</w:t>
      </w:r>
      <w:r>
        <w:rPr>
          <w:noProof/>
        </w:rPr>
        <w:t> </w:t>
      </w:r>
      <w:r w:rsidRPr="00B10036">
        <w:rPr>
          <w:noProof/>
        </w:rPr>
        <w:t>cel</w:t>
      </w:r>
      <w:r w:rsidR="00327BD8" w:rsidRPr="00B10036">
        <w:rPr>
          <w:noProof/>
        </w:rPr>
        <w:t>u wsparcia przepływów na rynku pracy</w:t>
      </w:r>
      <w:r w:rsidRPr="00B10036">
        <w:rPr>
          <w:noProof/>
        </w:rPr>
        <w:t xml:space="preserve"> i</w:t>
      </w:r>
      <w:r>
        <w:rPr>
          <w:noProof/>
        </w:rPr>
        <w:t> </w:t>
      </w:r>
      <w:r w:rsidRPr="00B10036">
        <w:rPr>
          <w:noProof/>
        </w:rPr>
        <w:t>roz</w:t>
      </w:r>
      <w:r w:rsidR="00327BD8" w:rsidRPr="00B10036">
        <w:rPr>
          <w:noProof/>
        </w:rPr>
        <w:t>wiązania problemu ubóstwa energetycznego.</w:t>
      </w:r>
    </w:p>
    <w:p w14:paraId="374AFE8C" w14:textId="2A0DDD53" w:rsidR="00003E7D" w:rsidRPr="00B10036" w:rsidRDefault="00B10036" w:rsidP="00B10036">
      <w:pPr>
        <w:pStyle w:val="Point0"/>
        <w:rPr>
          <w:noProof/>
        </w:rPr>
      </w:pPr>
      <w:r>
        <w:rPr>
          <w:noProof/>
        </w:rPr>
        <w:t>9)</w:t>
      </w:r>
      <w:r>
        <w:rPr>
          <w:noProof/>
        </w:rPr>
        <w:tab/>
      </w:r>
      <w:r w:rsidR="00364813" w:rsidRPr="00B10036">
        <w:rPr>
          <w:noProof/>
        </w:rPr>
        <w:t>Aby zapewnić dostępność</w:t>
      </w:r>
      <w:r w:rsidRPr="00B10036">
        <w:rPr>
          <w:noProof/>
        </w:rPr>
        <w:t xml:space="preserve"> i</w:t>
      </w:r>
      <w:r>
        <w:rPr>
          <w:noProof/>
        </w:rPr>
        <w:t> </w:t>
      </w:r>
      <w:r w:rsidRPr="00B10036">
        <w:rPr>
          <w:noProof/>
        </w:rPr>
        <w:t>jak</w:t>
      </w:r>
      <w:r w:rsidR="00364813" w:rsidRPr="00B10036">
        <w:rPr>
          <w:noProof/>
        </w:rPr>
        <w:t>ość danych</w:t>
      </w:r>
      <w:r w:rsidRPr="00B10036">
        <w:rPr>
          <w:noProof/>
        </w:rPr>
        <w:t xml:space="preserve"> i</w:t>
      </w:r>
      <w:r>
        <w:rPr>
          <w:noProof/>
        </w:rPr>
        <w:t> </w:t>
      </w:r>
      <w:r w:rsidRPr="00B10036">
        <w:rPr>
          <w:noProof/>
        </w:rPr>
        <w:t>dow</w:t>
      </w:r>
      <w:r w:rsidR="00364813" w:rsidRPr="00B10036">
        <w:rPr>
          <w:noProof/>
        </w:rPr>
        <w:t>odów niezbędnych do tego, by wprowadzić rozsądną politykę społeczną</w:t>
      </w:r>
      <w:r w:rsidRPr="00B10036">
        <w:rPr>
          <w:noProof/>
        </w:rPr>
        <w:t xml:space="preserve"> i</w:t>
      </w:r>
      <w:r>
        <w:rPr>
          <w:noProof/>
        </w:rPr>
        <w:t> </w:t>
      </w:r>
      <w:r w:rsidRPr="00B10036">
        <w:rPr>
          <w:noProof/>
        </w:rPr>
        <w:t>pol</w:t>
      </w:r>
      <w:r w:rsidR="00364813" w:rsidRPr="00B10036">
        <w:rPr>
          <w:noProof/>
        </w:rPr>
        <w:t>itykę rynku pracy sprzyjającą sprawiedliwej transformacji</w:t>
      </w:r>
      <w:r w:rsidRPr="00B10036">
        <w:rPr>
          <w:noProof/>
        </w:rPr>
        <w:t xml:space="preserve"> w</w:t>
      </w:r>
      <w:r>
        <w:rPr>
          <w:noProof/>
        </w:rPr>
        <w:t> </w:t>
      </w:r>
      <w:r w:rsidRPr="00B10036">
        <w:rPr>
          <w:noProof/>
        </w:rPr>
        <w:t>kie</w:t>
      </w:r>
      <w:r w:rsidR="00364813" w:rsidRPr="00B10036">
        <w:rPr>
          <w:noProof/>
        </w:rPr>
        <w:t>runku neutralności klimatycznej, zachęca się państwa członkowskie do:</w:t>
      </w:r>
    </w:p>
    <w:p w14:paraId="5314111C" w14:textId="57D3CB46" w:rsidR="00002649" w:rsidRPr="00B10036" w:rsidRDefault="00B10036" w:rsidP="00B10036">
      <w:pPr>
        <w:pStyle w:val="Point1"/>
        <w:rPr>
          <w:noProof/>
        </w:rPr>
      </w:pPr>
      <w:r w:rsidRPr="00B10036">
        <w:rPr>
          <w:noProof/>
        </w:rPr>
        <w:t>a)</w:t>
      </w:r>
      <w:r w:rsidRPr="00B10036">
        <w:rPr>
          <w:noProof/>
        </w:rPr>
        <w:tab/>
      </w:r>
      <w:r w:rsidR="00002649" w:rsidRPr="00B10036">
        <w:rPr>
          <w:noProof/>
        </w:rPr>
        <w:t>Wzmocnienia bazy dowodowej</w:t>
      </w:r>
      <w:r w:rsidRPr="00B10036">
        <w:rPr>
          <w:noProof/>
        </w:rPr>
        <w:t xml:space="preserve"> w</w:t>
      </w:r>
      <w:r>
        <w:rPr>
          <w:noProof/>
        </w:rPr>
        <w:t> </w:t>
      </w:r>
      <w:r w:rsidRPr="00B10036">
        <w:rPr>
          <w:noProof/>
        </w:rPr>
        <w:t>odn</w:t>
      </w:r>
      <w:r w:rsidR="00002649" w:rsidRPr="00B10036">
        <w:rPr>
          <w:noProof/>
        </w:rPr>
        <w:t>iesieniu do polityki</w:t>
      </w:r>
      <w:r w:rsidRPr="00B10036">
        <w:rPr>
          <w:noProof/>
        </w:rPr>
        <w:t xml:space="preserve"> w</w:t>
      </w:r>
      <w:r>
        <w:rPr>
          <w:noProof/>
        </w:rPr>
        <w:t> </w:t>
      </w:r>
      <w:r w:rsidRPr="00B10036">
        <w:rPr>
          <w:noProof/>
        </w:rPr>
        <w:t>zak</w:t>
      </w:r>
      <w:r w:rsidR="00002649" w:rsidRPr="00B10036">
        <w:rPr>
          <w:noProof/>
        </w:rPr>
        <w:t>resie sprawiedliwej transformacji między innymi przez dążenie do stopniowego zwiększania harmonizacji</w:t>
      </w:r>
      <w:r w:rsidRPr="00B10036">
        <w:rPr>
          <w:noProof/>
        </w:rPr>
        <w:t xml:space="preserve"> i</w:t>
      </w:r>
      <w:r>
        <w:rPr>
          <w:noProof/>
        </w:rPr>
        <w:t> </w:t>
      </w:r>
      <w:r w:rsidRPr="00B10036">
        <w:rPr>
          <w:noProof/>
        </w:rPr>
        <w:t>spó</w:t>
      </w:r>
      <w:r w:rsidR="00002649" w:rsidRPr="00B10036">
        <w:rPr>
          <w:noProof/>
        </w:rPr>
        <w:t>jności definicji, pojęć</w:t>
      </w:r>
      <w:r w:rsidRPr="00B10036">
        <w:rPr>
          <w:noProof/>
        </w:rPr>
        <w:t xml:space="preserve"> i</w:t>
      </w:r>
      <w:r>
        <w:rPr>
          <w:noProof/>
        </w:rPr>
        <w:t> </w:t>
      </w:r>
      <w:r w:rsidRPr="00B10036">
        <w:rPr>
          <w:noProof/>
        </w:rPr>
        <w:t>met</w:t>
      </w:r>
      <w:r w:rsidR="00002649" w:rsidRPr="00B10036">
        <w:rPr>
          <w:noProof/>
        </w:rPr>
        <w:t>od,</w:t>
      </w:r>
      <w:r w:rsidRPr="00B10036">
        <w:rPr>
          <w:noProof/>
        </w:rPr>
        <w:t xml:space="preserve"> w</w:t>
      </w:r>
      <w:r>
        <w:rPr>
          <w:noProof/>
        </w:rPr>
        <w:t> </w:t>
      </w:r>
      <w:r w:rsidRPr="00B10036">
        <w:rPr>
          <w:noProof/>
        </w:rPr>
        <w:t>tym</w:t>
      </w:r>
      <w:r w:rsidR="00002649" w:rsidRPr="00B10036">
        <w:rPr>
          <w:noProof/>
        </w:rPr>
        <w:t xml:space="preserve"> na podstawie zalecenia Komisji (UE) 2020/1563 dotyczącego ubóstwa energetycznego</w:t>
      </w:r>
      <w:r w:rsidRPr="00B10036">
        <w:rPr>
          <w:noProof/>
        </w:rPr>
        <w:t xml:space="preserve"> i</w:t>
      </w:r>
      <w:r>
        <w:rPr>
          <w:noProof/>
        </w:rPr>
        <w:t> </w:t>
      </w:r>
      <w:r w:rsidRPr="00B10036">
        <w:rPr>
          <w:noProof/>
        </w:rPr>
        <w:t>dzi</w:t>
      </w:r>
      <w:r w:rsidR="00002649" w:rsidRPr="00B10036">
        <w:rPr>
          <w:noProof/>
        </w:rPr>
        <w:t>ałań następczych</w:t>
      </w:r>
      <w:r w:rsidRPr="00B10036">
        <w:rPr>
          <w:noProof/>
        </w:rPr>
        <w:t xml:space="preserve"> w</w:t>
      </w:r>
      <w:r>
        <w:rPr>
          <w:noProof/>
        </w:rPr>
        <w:t> </w:t>
      </w:r>
      <w:r w:rsidRPr="00B10036">
        <w:rPr>
          <w:noProof/>
        </w:rPr>
        <w:t>ram</w:t>
      </w:r>
      <w:r w:rsidR="00002649" w:rsidRPr="00B10036">
        <w:rPr>
          <w:noProof/>
        </w:rPr>
        <w:t>ach grupy koordynacyjnej ds. ubóstwa energetycznego</w:t>
      </w:r>
      <w:r w:rsidRPr="00B10036">
        <w:rPr>
          <w:noProof/>
        </w:rPr>
        <w:t xml:space="preserve"> i</w:t>
      </w:r>
      <w:r>
        <w:rPr>
          <w:noProof/>
        </w:rPr>
        <w:t> </w:t>
      </w:r>
      <w:r w:rsidRPr="00B10036">
        <w:rPr>
          <w:noProof/>
        </w:rPr>
        <w:t>wra</w:t>
      </w:r>
      <w:r w:rsidR="00002649" w:rsidRPr="00B10036">
        <w:rPr>
          <w:noProof/>
        </w:rPr>
        <w:t>żliwych odbiorców energii, oraz wykorzystanie dostępnych metod ewaluacji wpływu polityki. Zachęca się także do uwzględnienia strategii</w:t>
      </w:r>
      <w:r w:rsidRPr="00B10036">
        <w:rPr>
          <w:noProof/>
        </w:rPr>
        <w:t xml:space="preserve"> w</w:t>
      </w:r>
      <w:r>
        <w:rPr>
          <w:noProof/>
        </w:rPr>
        <w:t> </w:t>
      </w:r>
      <w:r w:rsidRPr="00B10036">
        <w:rPr>
          <w:noProof/>
        </w:rPr>
        <w:t>zak</w:t>
      </w:r>
      <w:r w:rsidR="00002649" w:rsidRPr="00B10036">
        <w:rPr>
          <w:noProof/>
        </w:rPr>
        <w:t>resie ewaluacji</w:t>
      </w:r>
      <w:r w:rsidRPr="00B10036">
        <w:rPr>
          <w:noProof/>
        </w:rPr>
        <w:t xml:space="preserve"> i</w:t>
      </w:r>
      <w:r>
        <w:rPr>
          <w:noProof/>
        </w:rPr>
        <w:t> </w:t>
      </w:r>
      <w:r w:rsidRPr="00B10036">
        <w:rPr>
          <w:noProof/>
        </w:rPr>
        <w:t>gro</w:t>
      </w:r>
      <w:r w:rsidR="00002649" w:rsidRPr="00B10036">
        <w:rPr>
          <w:noProof/>
        </w:rPr>
        <w:t>madzenia danych</w:t>
      </w:r>
      <w:r w:rsidRPr="00B10036">
        <w:rPr>
          <w:noProof/>
        </w:rPr>
        <w:t xml:space="preserve"> w</w:t>
      </w:r>
      <w:r>
        <w:rPr>
          <w:noProof/>
        </w:rPr>
        <w:t> </w:t>
      </w:r>
      <w:r w:rsidRPr="00B10036">
        <w:rPr>
          <w:noProof/>
        </w:rPr>
        <w:t>pro</w:t>
      </w:r>
      <w:r w:rsidR="00002649" w:rsidRPr="00B10036">
        <w:rPr>
          <w:noProof/>
        </w:rPr>
        <w:t>cesie przygotowania</w:t>
      </w:r>
      <w:r w:rsidRPr="00B10036">
        <w:rPr>
          <w:noProof/>
        </w:rPr>
        <w:t xml:space="preserve"> i</w:t>
      </w:r>
      <w:r>
        <w:rPr>
          <w:noProof/>
        </w:rPr>
        <w:t> </w:t>
      </w:r>
      <w:r w:rsidRPr="00B10036">
        <w:rPr>
          <w:noProof/>
        </w:rPr>
        <w:t>ksz</w:t>
      </w:r>
      <w:r w:rsidR="00002649" w:rsidRPr="00B10036">
        <w:rPr>
          <w:noProof/>
        </w:rPr>
        <w:t>tałtowania odpowiednich środków</w:t>
      </w:r>
      <w:r w:rsidRPr="00B10036">
        <w:rPr>
          <w:noProof/>
        </w:rPr>
        <w:t xml:space="preserve"> z</w:t>
      </w:r>
      <w:r>
        <w:rPr>
          <w:noProof/>
        </w:rPr>
        <w:t> </w:t>
      </w:r>
      <w:r w:rsidRPr="00B10036">
        <w:rPr>
          <w:noProof/>
        </w:rPr>
        <w:t>zak</w:t>
      </w:r>
      <w:r w:rsidR="00002649" w:rsidRPr="00B10036">
        <w:rPr>
          <w:noProof/>
        </w:rPr>
        <w:t>resu polityki</w:t>
      </w:r>
      <w:r w:rsidRPr="00B10036">
        <w:rPr>
          <w:noProof/>
        </w:rPr>
        <w:t xml:space="preserve"> i</w:t>
      </w:r>
      <w:r>
        <w:rPr>
          <w:noProof/>
        </w:rPr>
        <w:t> </w:t>
      </w:r>
      <w:r w:rsidRPr="00B10036">
        <w:rPr>
          <w:noProof/>
        </w:rPr>
        <w:t>ini</w:t>
      </w:r>
      <w:r w:rsidR="00002649" w:rsidRPr="00B10036">
        <w:rPr>
          <w:noProof/>
        </w:rPr>
        <w:t xml:space="preserve">cjatyw ustawodawczych. </w:t>
      </w:r>
    </w:p>
    <w:p w14:paraId="43E13E42" w14:textId="03BF6A70" w:rsidR="00002649" w:rsidRPr="00B10036" w:rsidRDefault="00B10036" w:rsidP="00B10036">
      <w:pPr>
        <w:pStyle w:val="Point1"/>
        <w:rPr>
          <w:noProof/>
        </w:rPr>
      </w:pPr>
      <w:r w:rsidRPr="00B10036">
        <w:rPr>
          <w:noProof/>
        </w:rPr>
        <w:t>b)</w:t>
      </w:r>
      <w:r w:rsidRPr="00B10036">
        <w:rPr>
          <w:noProof/>
        </w:rPr>
        <w:tab/>
      </w:r>
      <w:r w:rsidR="00F41181" w:rsidRPr="00B10036">
        <w:rPr>
          <w:noProof/>
        </w:rPr>
        <w:t>Opracowania</w:t>
      </w:r>
      <w:r w:rsidRPr="00B10036">
        <w:rPr>
          <w:noProof/>
        </w:rPr>
        <w:t xml:space="preserve"> i</w:t>
      </w:r>
      <w:r>
        <w:rPr>
          <w:noProof/>
        </w:rPr>
        <w:t> </w:t>
      </w:r>
      <w:r w:rsidRPr="00B10036">
        <w:rPr>
          <w:noProof/>
        </w:rPr>
        <w:t>uwz</w:t>
      </w:r>
      <w:r w:rsidR="00F41181" w:rsidRPr="00B10036">
        <w:rPr>
          <w:noProof/>
        </w:rPr>
        <w:t>ględniania –</w:t>
      </w:r>
      <w:r w:rsidRPr="00B10036">
        <w:rPr>
          <w:noProof/>
        </w:rPr>
        <w:t xml:space="preserve"> w</w:t>
      </w:r>
      <w:r>
        <w:rPr>
          <w:noProof/>
        </w:rPr>
        <w:t> </w:t>
      </w:r>
      <w:r w:rsidRPr="00B10036">
        <w:rPr>
          <w:noProof/>
        </w:rPr>
        <w:t>ram</w:t>
      </w:r>
      <w:r w:rsidR="00F41181" w:rsidRPr="00B10036">
        <w:rPr>
          <w:noProof/>
        </w:rPr>
        <w:t>ach krajowych reform</w:t>
      </w:r>
      <w:r w:rsidRPr="00B10036">
        <w:rPr>
          <w:noProof/>
        </w:rPr>
        <w:t xml:space="preserve"> i</w:t>
      </w:r>
      <w:r>
        <w:rPr>
          <w:noProof/>
        </w:rPr>
        <w:t> </w:t>
      </w:r>
      <w:r w:rsidRPr="00B10036">
        <w:rPr>
          <w:noProof/>
        </w:rPr>
        <w:t>śro</w:t>
      </w:r>
      <w:r w:rsidR="00F41181" w:rsidRPr="00B10036">
        <w:rPr>
          <w:noProof/>
        </w:rPr>
        <w:t>dków dotyczących klimatu, energii</w:t>
      </w:r>
      <w:r w:rsidRPr="00B10036">
        <w:rPr>
          <w:noProof/>
        </w:rPr>
        <w:t xml:space="preserve"> i</w:t>
      </w:r>
      <w:r>
        <w:rPr>
          <w:noProof/>
        </w:rPr>
        <w:t> </w:t>
      </w:r>
      <w:r w:rsidRPr="00B10036">
        <w:rPr>
          <w:noProof/>
        </w:rPr>
        <w:t>och</w:t>
      </w:r>
      <w:r w:rsidR="00F41181" w:rsidRPr="00B10036">
        <w:rPr>
          <w:noProof/>
        </w:rPr>
        <w:t>rony środowiska – solidnych</w:t>
      </w:r>
      <w:r w:rsidRPr="00B10036">
        <w:rPr>
          <w:noProof/>
        </w:rPr>
        <w:t xml:space="preserve"> i</w:t>
      </w:r>
      <w:r>
        <w:rPr>
          <w:noProof/>
        </w:rPr>
        <w:t> </w:t>
      </w:r>
      <w:r w:rsidRPr="00B10036">
        <w:rPr>
          <w:noProof/>
        </w:rPr>
        <w:t>prz</w:t>
      </w:r>
      <w:r w:rsidR="00F41181" w:rsidRPr="00B10036">
        <w:rPr>
          <w:noProof/>
        </w:rPr>
        <w:t>ejrzystych ocen skutków (</w:t>
      </w:r>
      <w:r w:rsidR="00F41181" w:rsidRPr="00B10036">
        <w:rPr>
          <w:i/>
          <w:iCs/>
          <w:noProof/>
        </w:rPr>
        <w:t>ex ante</w:t>
      </w:r>
      <w:r w:rsidR="00F41181" w:rsidRPr="00B10036">
        <w:rPr>
          <w:noProof/>
        </w:rPr>
        <w:t>)</w:t>
      </w:r>
      <w:r w:rsidRPr="00B10036">
        <w:rPr>
          <w:noProof/>
        </w:rPr>
        <w:t xml:space="preserve"> w</w:t>
      </w:r>
      <w:r>
        <w:rPr>
          <w:noProof/>
        </w:rPr>
        <w:t> </w:t>
      </w:r>
      <w:r w:rsidRPr="00B10036">
        <w:rPr>
          <w:noProof/>
        </w:rPr>
        <w:t>zak</w:t>
      </w:r>
      <w:r w:rsidR="00F41181" w:rsidRPr="00B10036">
        <w:rPr>
          <w:noProof/>
        </w:rPr>
        <w:t>resie zatrudnienia, skutków społecznych</w:t>
      </w:r>
      <w:r w:rsidRPr="00B10036">
        <w:rPr>
          <w:noProof/>
        </w:rPr>
        <w:t xml:space="preserve"> i</w:t>
      </w:r>
      <w:r>
        <w:rPr>
          <w:noProof/>
        </w:rPr>
        <w:t> </w:t>
      </w:r>
      <w:r w:rsidRPr="00B10036">
        <w:rPr>
          <w:noProof/>
        </w:rPr>
        <w:t>dys</w:t>
      </w:r>
      <w:r w:rsidR="00F41181" w:rsidRPr="00B10036">
        <w:rPr>
          <w:noProof/>
        </w:rPr>
        <w:t>trybucyjnych.</w:t>
      </w:r>
    </w:p>
    <w:p w14:paraId="331E30B6" w14:textId="2830ED4C" w:rsidR="00002649" w:rsidRPr="00B10036" w:rsidRDefault="00B10036" w:rsidP="00B10036">
      <w:pPr>
        <w:pStyle w:val="Point1"/>
        <w:rPr>
          <w:noProof/>
        </w:rPr>
      </w:pPr>
      <w:r w:rsidRPr="00B10036">
        <w:rPr>
          <w:noProof/>
        </w:rPr>
        <w:t>c)</w:t>
      </w:r>
      <w:r w:rsidRPr="00B10036">
        <w:rPr>
          <w:noProof/>
        </w:rPr>
        <w:tab/>
      </w:r>
      <w:r w:rsidR="00002649" w:rsidRPr="00B10036">
        <w:rPr>
          <w:noProof/>
        </w:rPr>
        <w:t>Zapewnienia skutecznego</w:t>
      </w:r>
      <w:r w:rsidRPr="00B10036">
        <w:rPr>
          <w:noProof/>
        </w:rPr>
        <w:t xml:space="preserve"> i</w:t>
      </w:r>
      <w:r>
        <w:rPr>
          <w:noProof/>
        </w:rPr>
        <w:t> </w:t>
      </w:r>
      <w:r w:rsidRPr="00B10036">
        <w:rPr>
          <w:noProof/>
        </w:rPr>
        <w:t>prz</w:t>
      </w:r>
      <w:r w:rsidR="00002649" w:rsidRPr="00B10036">
        <w:rPr>
          <w:noProof/>
        </w:rPr>
        <w:t>ejrzystego monitorowania</w:t>
      </w:r>
      <w:r w:rsidRPr="00B10036">
        <w:rPr>
          <w:noProof/>
        </w:rPr>
        <w:t xml:space="preserve"> i</w:t>
      </w:r>
      <w:r>
        <w:rPr>
          <w:noProof/>
        </w:rPr>
        <w:t> </w:t>
      </w:r>
      <w:r w:rsidRPr="00B10036">
        <w:rPr>
          <w:noProof/>
        </w:rPr>
        <w:t>nie</w:t>
      </w:r>
      <w:r w:rsidR="00002649" w:rsidRPr="00B10036">
        <w:rPr>
          <w:noProof/>
        </w:rPr>
        <w:t>zależnej oceny skutków (</w:t>
      </w:r>
      <w:r w:rsidR="00002649" w:rsidRPr="00B10036">
        <w:rPr>
          <w:i/>
          <w:iCs/>
          <w:noProof/>
        </w:rPr>
        <w:t>ex post</w:t>
      </w:r>
      <w:r w:rsidR="00002649" w:rsidRPr="00B10036">
        <w:rPr>
          <w:noProof/>
        </w:rPr>
        <w:t>)</w:t>
      </w:r>
      <w:r w:rsidRPr="00B10036">
        <w:rPr>
          <w:noProof/>
        </w:rPr>
        <w:t xml:space="preserve"> w</w:t>
      </w:r>
      <w:r>
        <w:rPr>
          <w:noProof/>
        </w:rPr>
        <w:t> </w:t>
      </w:r>
      <w:r w:rsidRPr="00B10036">
        <w:rPr>
          <w:noProof/>
        </w:rPr>
        <w:t>zak</w:t>
      </w:r>
      <w:r w:rsidR="00002649" w:rsidRPr="00B10036">
        <w:rPr>
          <w:noProof/>
        </w:rPr>
        <w:t>resie zatrudnienia, skutków społecznych</w:t>
      </w:r>
      <w:r w:rsidRPr="00B10036">
        <w:rPr>
          <w:noProof/>
        </w:rPr>
        <w:t xml:space="preserve"> i</w:t>
      </w:r>
      <w:r>
        <w:rPr>
          <w:noProof/>
        </w:rPr>
        <w:t> </w:t>
      </w:r>
      <w:r w:rsidRPr="00B10036">
        <w:rPr>
          <w:noProof/>
        </w:rPr>
        <w:t>dys</w:t>
      </w:r>
      <w:r w:rsidR="00002649" w:rsidRPr="00B10036">
        <w:rPr>
          <w:noProof/>
        </w:rPr>
        <w:t>trybucyjnych krajowych reform</w:t>
      </w:r>
      <w:r w:rsidRPr="00B10036">
        <w:rPr>
          <w:noProof/>
        </w:rPr>
        <w:t xml:space="preserve"> i</w:t>
      </w:r>
      <w:r>
        <w:rPr>
          <w:noProof/>
        </w:rPr>
        <w:t> </w:t>
      </w:r>
      <w:r w:rsidRPr="00B10036">
        <w:rPr>
          <w:noProof/>
        </w:rPr>
        <w:t>śro</w:t>
      </w:r>
      <w:r w:rsidR="00002649" w:rsidRPr="00B10036">
        <w:rPr>
          <w:noProof/>
        </w:rPr>
        <w:t>dków przyczyniających się do realizacji celów klimatycznych</w:t>
      </w:r>
      <w:r w:rsidRPr="00B10036">
        <w:rPr>
          <w:noProof/>
        </w:rPr>
        <w:t xml:space="preserve"> i</w:t>
      </w:r>
      <w:r>
        <w:rPr>
          <w:noProof/>
        </w:rPr>
        <w:t> </w:t>
      </w:r>
      <w:r w:rsidRPr="00B10036">
        <w:rPr>
          <w:noProof/>
        </w:rPr>
        <w:t>śro</w:t>
      </w:r>
      <w:r w:rsidR="00002649" w:rsidRPr="00B10036">
        <w:rPr>
          <w:noProof/>
        </w:rPr>
        <w:t>dowiskowych, przy jednoczesnym angażowaniu partnerów społecznych</w:t>
      </w:r>
      <w:r w:rsidRPr="00B10036">
        <w:rPr>
          <w:noProof/>
        </w:rPr>
        <w:t xml:space="preserve"> i</w:t>
      </w:r>
      <w:r>
        <w:rPr>
          <w:noProof/>
        </w:rPr>
        <w:t> </w:t>
      </w:r>
      <w:r w:rsidRPr="00B10036">
        <w:rPr>
          <w:noProof/>
        </w:rPr>
        <w:t>inn</w:t>
      </w:r>
      <w:r w:rsidR="00002649" w:rsidRPr="00B10036">
        <w:rPr>
          <w:noProof/>
        </w:rPr>
        <w:t>ych zainteresowanych stron</w:t>
      </w:r>
      <w:r w:rsidRPr="00B10036">
        <w:rPr>
          <w:noProof/>
        </w:rPr>
        <w:t xml:space="preserve"> w</w:t>
      </w:r>
      <w:r>
        <w:rPr>
          <w:noProof/>
        </w:rPr>
        <w:t> </w:t>
      </w:r>
      <w:r w:rsidRPr="00B10036">
        <w:rPr>
          <w:noProof/>
        </w:rPr>
        <w:t>okr</w:t>
      </w:r>
      <w:r w:rsidR="00002649" w:rsidRPr="00B10036">
        <w:rPr>
          <w:noProof/>
        </w:rPr>
        <w:t>eślanie kwestii, które należy objąć oceną, oraz –</w:t>
      </w:r>
      <w:r w:rsidRPr="00B10036">
        <w:rPr>
          <w:noProof/>
        </w:rPr>
        <w:t xml:space="preserve"> w</w:t>
      </w:r>
      <w:r>
        <w:rPr>
          <w:noProof/>
        </w:rPr>
        <w:t> </w:t>
      </w:r>
      <w:r w:rsidRPr="00B10036">
        <w:rPr>
          <w:noProof/>
        </w:rPr>
        <w:t>sto</w:t>
      </w:r>
      <w:r w:rsidR="00002649" w:rsidRPr="00B10036">
        <w:rPr>
          <w:noProof/>
        </w:rPr>
        <w:t>sownych przypadkach –</w:t>
      </w:r>
      <w:r w:rsidRPr="00B10036">
        <w:rPr>
          <w:noProof/>
        </w:rPr>
        <w:t xml:space="preserve"> w</w:t>
      </w:r>
      <w:r>
        <w:rPr>
          <w:noProof/>
        </w:rPr>
        <w:t> </w:t>
      </w:r>
      <w:r w:rsidRPr="00B10036">
        <w:rPr>
          <w:noProof/>
        </w:rPr>
        <w:t>opr</w:t>
      </w:r>
      <w:r w:rsidR="00002649" w:rsidRPr="00B10036">
        <w:rPr>
          <w:noProof/>
        </w:rPr>
        <w:t>acowywanie</w:t>
      </w:r>
      <w:r w:rsidRPr="00B10036">
        <w:rPr>
          <w:noProof/>
        </w:rPr>
        <w:t xml:space="preserve"> i</w:t>
      </w:r>
      <w:r>
        <w:rPr>
          <w:noProof/>
        </w:rPr>
        <w:t> </w:t>
      </w:r>
      <w:r w:rsidRPr="00B10036">
        <w:rPr>
          <w:noProof/>
        </w:rPr>
        <w:t>wdr</w:t>
      </w:r>
      <w:r w:rsidR="00002649" w:rsidRPr="00B10036">
        <w:rPr>
          <w:noProof/>
        </w:rPr>
        <w:t>ażanie strategii oceny</w:t>
      </w:r>
      <w:r w:rsidRPr="00B10036">
        <w:rPr>
          <w:noProof/>
        </w:rPr>
        <w:t xml:space="preserve"> i</w:t>
      </w:r>
      <w:r>
        <w:rPr>
          <w:noProof/>
        </w:rPr>
        <w:t> </w:t>
      </w:r>
      <w:r w:rsidRPr="00B10036">
        <w:rPr>
          <w:noProof/>
        </w:rPr>
        <w:t>kon</w:t>
      </w:r>
      <w:r w:rsidR="00002649" w:rsidRPr="00B10036">
        <w:rPr>
          <w:noProof/>
        </w:rPr>
        <w:t>sultacji.</w:t>
      </w:r>
    </w:p>
    <w:p w14:paraId="283F7B94" w14:textId="67116325" w:rsidR="00827F8D" w:rsidRPr="00B10036" w:rsidRDefault="00B10036" w:rsidP="00B10036">
      <w:pPr>
        <w:pStyle w:val="Point1"/>
        <w:rPr>
          <w:noProof/>
        </w:rPr>
      </w:pPr>
      <w:r w:rsidRPr="00B10036">
        <w:rPr>
          <w:noProof/>
        </w:rPr>
        <w:t>d)</w:t>
      </w:r>
      <w:r w:rsidRPr="00B10036">
        <w:rPr>
          <w:noProof/>
        </w:rPr>
        <w:tab/>
      </w:r>
      <w:r w:rsidR="00827F8D" w:rsidRPr="00B10036">
        <w:rPr>
          <w:noProof/>
        </w:rPr>
        <w:t>Wzmocnienia działań</w:t>
      </w:r>
      <w:r w:rsidRPr="00B10036">
        <w:rPr>
          <w:noProof/>
        </w:rPr>
        <w:t xml:space="preserve"> w</w:t>
      </w:r>
      <w:r>
        <w:rPr>
          <w:noProof/>
        </w:rPr>
        <w:t> </w:t>
      </w:r>
      <w:r w:rsidRPr="00B10036">
        <w:rPr>
          <w:noProof/>
        </w:rPr>
        <w:t>zak</w:t>
      </w:r>
      <w:r w:rsidR="00827F8D" w:rsidRPr="00B10036">
        <w:rPr>
          <w:noProof/>
        </w:rPr>
        <w:t>resie badań naukowych</w:t>
      </w:r>
      <w:r w:rsidRPr="00B10036">
        <w:rPr>
          <w:noProof/>
        </w:rPr>
        <w:t xml:space="preserve"> i</w:t>
      </w:r>
      <w:r>
        <w:rPr>
          <w:noProof/>
        </w:rPr>
        <w:t> </w:t>
      </w:r>
      <w:r w:rsidRPr="00B10036">
        <w:rPr>
          <w:noProof/>
        </w:rPr>
        <w:t>inn</w:t>
      </w:r>
      <w:r w:rsidR="00827F8D" w:rsidRPr="00B10036">
        <w:rPr>
          <w:noProof/>
        </w:rPr>
        <w:t>owacji na poziomie krajowym</w:t>
      </w:r>
      <w:r w:rsidRPr="00B10036">
        <w:rPr>
          <w:noProof/>
        </w:rPr>
        <w:t xml:space="preserve"> i</w:t>
      </w:r>
      <w:r>
        <w:rPr>
          <w:noProof/>
        </w:rPr>
        <w:t> </w:t>
      </w:r>
      <w:r w:rsidRPr="00B10036">
        <w:rPr>
          <w:noProof/>
        </w:rPr>
        <w:t>uni</w:t>
      </w:r>
      <w:r w:rsidR="00827F8D" w:rsidRPr="00B10036">
        <w:rPr>
          <w:noProof/>
        </w:rPr>
        <w:t>jnym,</w:t>
      </w:r>
      <w:r w:rsidRPr="00B10036">
        <w:rPr>
          <w:noProof/>
        </w:rPr>
        <w:t xml:space="preserve"> w</w:t>
      </w:r>
      <w:r>
        <w:rPr>
          <w:noProof/>
        </w:rPr>
        <w:t> </w:t>
      </w:r>
      <w:r w:rsidRPr="00B10036">
        <w:rPr>
          <w:noProof/>
        </w:rPr>
        <w:t>tym</w:t>
      </w:r>
      <w:r w:rsidR="00827F8D" w:rsidRPr="00B10036">
        <w:rPr>
          <w:noProof/>
        </w:rPr>
        <w:t xml:space="preserve"> dzięki finansowaniu</w:t>
      </w:r>
      <w:r w:rsidRPr="00B10036">
        <w:rPr>
          <w:noProof/>
        </w:rPr>
        <w:t xml:space="preserve"> z</w:t>
      </w:r>
      <w:r>
        <w:rPr>
          <w:noProof/>
        </w:rPr>
        <w:t> </w:t>
      </w:r>
      <w:r w:rsidRPr="00B10036">
        <w:rPr>
          <w:noProof/>
        </w:rPr>
        <w:t>pro</w:t>
      </w:r>
      <w:r w:rsidR="00827F8D" w:rsidRPr="00B10036">
        <w:rPr>
          <w:noProof/>
        </w:rPr>
        <w:t>gramu „Horyzont Europa”,</w:t>
      </w:r>
      <w:r w:rsidRPr="00B10036">
        <w:rPr>
          <w:noProof/>
        </w:rPr>
        <w:t xml:space="preserve"> w</w:t>
      </w:r>
      <w:r>
        <w:rPr>
          <w:noProof/>
        </w:rPr>
        <w:t> </w:t>
      </w:r>
      <w:r w:rsidRPr="00B10036">
        <w:rPr>
          <w:noProof/>
        </w:rPr>
        <w:t>cel</w:t>
      </w:r>
      <w:r w:rsidR="00827F8D" w:rsidRPr="00B10036">
        <w:rPr>
          <w:noProof/>
        </w:rPr>
        <w:t>u poprawy modelowania</w:t>
      </w:r>
      <w:r w:rsidRPr="00B10036">
        <w:rPr>
          <w:noProof/>
        </w:rPr>
        <w:t xml:space="preserve"> i</w:t>
      </w:r>
      <w:r>
        <w:rPr>
          <w:noProof/>
        </w:rPr>
        <w:t> </w:t>
      </w:r>
      <w:r w:rsidRPr="00B10036">
        <w:rPr>
          <w:noProof/>
        </w:rPr>
        <w:t>oce</w:t>
      </w:r>
      <w:r w:rsidR="00827F8D" w:rsidRPr="00B10036">
        <w:rPr>
          <w:noProof/>
        </w:rPr>
        <w:t>ny makroekonomicznego, społecznego</w:t>
      </w:r>
      <w:r w:rsidRPr="00B10036">
        <w:rPr>
          <w:noProof/>
        </w:rPr>
        <w:t xml:space="preserve"> i</w:t>
      </w:r>
      <w:r>
        <w:rPr>
          <w:noProof/>
        </w:rPr>
        <w:t> </w:t>
      </w:r>
      <w:r w:rsidRPr="00B10036">
        <w:rPr>
          <w:noProof/>
        </w:rPr>
        <w:t>zwi</w:t>
      </w:r>
      <w:r w:rsidR="00827F8D" w:rsidRPr="00B10036">
        <w:rPr>
          <w:noProof/>
        </w:rPr>
        <w:t>ązanego</w:t>
      </w:r>
      <w:r w:rsidRPr="00B10036">
        <w:rPr>
          <w:noProof/>
        </w:rPr>
        <w:t xml:space="preserve"> z</w:t>
      </w:r>
      <w:r>
        <w:rPr>
          <w:noProof/>
        </w:rPr>
        <w:t> </w:t>
      </w:r>
      <w:r w:rsidRPr="00B10036">
        <w:rPr>
          <w:noProof/>
        </w:rPr>
        <w:t>zat</w:t>
      </w:r>
      <w:r w:rsidR="00827F8D" w:rsidRPr="00B10036">
        <w:rPr>
          <w:noProof/>
        </w:rPr>
        <w:t>rudnieniem wymiaru polityki klimatycznej. Promowania zaangażowania partnerów społecznych</w:t>
      </w:r>
      <w:r w:rsidRPr="00B10036">
        <w:rPr>
          <w:noProof/>
        </w:rPr>
        <w:t xml:space="preserve"> w</w:t>
      </w:r>
      <w:r>
        <w:rPr>
          <w:noProof/>
        </w:rPr>
        <w:t> </w:t>
      </w:r>
      <w:r w:rsidRPr="00B10036">
        <w:rPr>
          <w:noProof/>
        </w:rPr>
        <w:t>rea</w:t>
      </w:r>
      <w:r w:rsidR="00827F8D" w:rsidRPr="00B10036">
        <w:rPr>
          <w:noProof/>
        </w:rPr>
        <w:t>lizację odpowiednich działań</w:t>
      </w:r>
      <w:r w:rsidRPr="00B10036">
        <w:rPr>
          <w:noProof/>
        </w:rPr>
        <w:t xml:space="preserve"> w</w:t>
      </w:r>
      <w:r>
        <w:rPr>
          <w:noProof/>
        </w:rPr>
        <w:t> </w:t>
      </w:r>
      <w:r w:rsidRPr="00B10036">
        <w:rPr>
          <w:noProof/>
        </w:rPr>
        <w:t>zak</w:t>
      </w:r>
      <w:r w:rsidR="00827F8D" w:rsidRPr="00B10036">
        <w:rPr>
          <w:noProof/>
        </w:rPr>
        <w:t>resie badań naukowych</w:t>
      </w:r>
      <w:r w:rsidRPr="00B10036">
        <w:rPr>
          <w:noProof/>
        </w:rPr>
        <w:t xml:space="preserve"> i</w:t>
      </w:r>
      <w:r>
        <w:rPr>
          <w:noProof/>
        </w:rPr>
        <w:t> </w:t>
      </w:r>
      <w:r w:rsidRPr="00B10036">
        <w:rPr>
          <w:noProof/>
        </w:rPr>
        <w:t>inn</w:t>
      </w:r>
      <w:r w:rsidR="00827F8D" w:rsidRPr="00B10036">
        <w:rPr>
          <w:noProof/>
        </w:rPr>
        <w:t>owacji,</w:t>
      </w:r>
      <w:r w:rsidRPr="00B10036">
        <w:rPr>
          <w:noProof/>
        </w:rPr>
        <w:t xml:space="preserve"> w</w:t>
      </w:r>
      <w:r>
        <w:rPr>
          <w:noProof/>
        </w:rPr>
        <w:t> </w:t>
      </w:r>
      <w:r w:rsidRPr="00B10036">
        <w:rPr>
          <w:noProof/>
        </w:rPr>
        <w:t>szc</w:t>
      </w:r>
      <w:r w:rsidR="00827F8D" w:rsidRPr="00B10036">
        <w:rPr>
          <w:noProof/>
        </w:rPr>
        <w:t>zególności misji programu „Horyzont Europa”</w:t>
      </w:r>
      <w:r w:rsidRPr="00B10036">
        <w:rPr>
          <w:noProof/>
        </w:rPr>
        <w:t xml:space="preserve"> w</w:t>
      </w:r>
      <w:r>
        <w:rPr>
          <w:noProof/>
        </w:rPr>
        <w:t> </w:t>
      </w:r>
      <w:r w:rsidRPr="00B10036">
        <w:rPr>
          <w:noProof/>
        </w:rPr>
        <w:t>zak</w:t>
      </w:r>
      <w:r w:rsidR="00827F8D" w:rsidRPr="00B10036">
        <w:rPr>
          <w:noProof/>
        </w:rPr>
        <w:t>resie „Przystosowania się do zmiany klimatu</w:t>
      </w:r>
      <w:r w:rsidRPr="00B10036">
        <w:rPr>
          <w:noProof/>
        </w:rPr>
        <w:t xml:space="preserve"> z</w:t>
      </w:r>
      <w:r>
        <w:rPr>
          <w:noProof/>
        </w:rPr>
        <w:t> </w:t>
      </w:r>
      <w:r w:rsidRPr="00B10036">
        <w:rPr>
          <w:noProof/>
        </w:rPr>
        <w:t>uwz</w:t>
      </w:r>
      <w:r w:rsidR="00827F8D" w:rsidRPr="00B10036">
        <w:rPr>
          <w:noProof/>
        </w:rPr>
        <w:t>ględnieniem transformacji społecznej” oraz „Neutralnych dla klimatu</w:t>
      </w:r>
      <w:r w:rsidRPr="00B10036">
        <w:rPr>
          <w:noProof/>
        </w:rPr>
        <w:t xml:space="preserve"> i</w:t>
      </w:r>
      <w:r>
        <w:rPr>
          <w:noProof/>
        </w:rPr>
        <w:t> </w:t>
      </w:r>
      <w:r w:rsidRPr="00B10036">
        <w:rPr>
          <w:noProof/>
        </w:rPr>
        <w:t>int</w:t>
      </w:r>
      <w:r w:rsidR="00827F8D" w:rsidRPr="00B10036">
        <w:rPr>
          <w:noProof/>
        </w:rPr>
        <w:t>eligentnych miast”, które mogą pomóc</w:t>
      </w:r>
      <w:r w:rsidRPr="00B10036">
        <w:rPr>
          <w:noProof/>
        </w:rPr>
        <w:t xml:space="preserve"> w</w:t>
      </w:r>
      <w:r>
        <w:rPr>
          <w:noProof/>
        </w:rPr>
        <w:t> </w:t>
      </w:r>
      <w:r w:rsidRPr="00B10036">
        <w:rPr>
          <w:noProof/>
        </w:rPr>
        <w:t>opr</w:t>
      </w:r>
      <w:r w:rsidR="00827F8D" w:rsidRPr="00B10036">
        <w:rPr>
          <w:noProof/>
        </w:rPr>
        <w:t>acowaniu praktycznych rozwiązań wspierających zieloną transformację na szczeblu regionalnym</w:t>
      </w:r>
      <w:r w:rsidRPr="00B10036">
        <w:rPr>
          <w:noProof/>
        </w:rPr>
        <w:t xml:space="preserve"> i</w:t>
      </w:r>
      <w:r>
        <w:rPr>
          <w:noProof/>
        </w:rPr>
        <w:t> </w:t>
      </w:r>
      <w:r w:rsidRPr="00B10036">
        <w:rPr>
          <w:noProof/>
        </w:rPr>
        <w:t>lok</w:t>
      </w:r>
      <w:r w:rsidR="00827F8D" w:rsidRPr="00B10036">
        <w:rPr>
          <w:noProof/>
        </w:rPr>
        <w:t>alnym.</w:t>
      </w:r>
    </w:p>
    <w:p w14:paraId="26749EDB" w14:textId="4D2133F5" w:rsidR="00002649" w:rsidRPr="00B10036" w:rsidRDefault="00B10036" w:rsidP="00B10036">
      <w:pPr>
        <w:pStyle w:val="Point1"/>
        <w:rPr>
          <w:noProof/>
        </w:rPr>
      </w:pPr>
      <w:r w:rsidRPr="00B10036">
        <w:rPr>
          <w:noProof/>
        </w:rPr>
        <w:t>e)</w:t>
      </w:r>
      <w:r w:rsidRPr="00B10036">
        <w:rPr>
          <w:noProof/>
        </w:rPr>
        <w:tab/>
      </w:r>
      <w:r w:rsidR="00002649" w:rsidRPr="00B10036">
        <w:rPr>
          <w:noProof/>
        </w:rPr>
        <w:t>Regularnego przedstawiania opinii publicznej wyników ocen, prognozowania</w:t>
      </w:r>
      <w:r w:rsidRPr="00B10036">
        <w:rPr>
          <w:noProof/>
        </w:rPr>
        <w:t xml:space="preserve"> i</w:t>
      </w:r>
      <w:r>
        <w:rPr>
          <w:noProof/>
        </w:rPr>
        <w:t> </w:t>
      </w:r>
      <w:r w:rsidRPr="00B10036">
        <w:rPr>
          <w:noProof/>
        </w:rPr>
        <w:t>mon</w:t>
      </w:r>
      <w:r w:rsidR="00002649" w:rsidRPr="00B10036">
        <w:rPr>
          <w:noProof/>
        </w:rPr>
        <w:t>itorowania oraz organizowania wymiany informacji</w:t>
      </w:r>
      <w:r w:rsidRPr="00B10036">
        <w:rPr>
          <w:noProof/>
        </w:rPr>
        <w:t xml:space="preserve"> z</w:t>
      </w:r>
      <w:r>
        <w:rPr>
          <w:noProof/>
        </w:rPr>
        <w:t> </w:t>
      </w:r>
      <w:r w:rsidRPr="00B10036">
        <w:rPr>
          <w:noProof/>
        </w:rPr>
        <w:t>par</w:t>
      </w:r>
      <w:r w:rsidR="00002649" w:rsidRPr="00B10036">
        <w:rPr>
          <w:noProof/>
        </w:rPr>
        <w:t>tnerami społecznymi, społeczeństwem obywatelskim</w:t>
      </w:r>
      <w:r w:rsidRPr="00B10036">
        <w:rPr>
          <w:noProof/>
        </w:rPr>
        <w:t xml:space="preserve"> i</w:t>
      </w:r>
      <w:r>
        <w:rPr>
          <w:noProof/>
        </w:rPr>
        <w:t> </w:t>
      </w:r>
      <w:r w:rsidRPr="00B10036">
        <w:rPr>
          <w:noProof/>
        </w:rPr>
        <w:t>inn</w:t>
      </w:r>
      <w:r w:rsidR="00002649" w:rsidRPr="00B10036">
        <w:rPr>
          <w:noProof/>
        </w:rPr>
        <w:t>ymi zainteresowanymi stronami na temat głównych wyników</w:t>
      </w:r>
      <w:r w:rsidRPr="00B10036">
        <w:rPr>
          <w:noProof/>
        </w:rPr>
        <w:t xml:space="preserve"> i</w:t>
      </w:r>
      <w:r>
        <w:rPr>
          <w:noProof/>
        </w:rPr>
        <w:t> </w:t>
      </w:r>
      <w:r w:rsidRPr="00B10036">
        <w:rPr>
          <w:noProof/>
        </w:rPr>
        <w:t>moż</w:t>
      </w:r>
      <w:r w:rsidR="00002649" w:rsidRPr="00B10036">
        <w:rPr>
          <w:noProof/>
        </w:rPr>
        <w:t xml:space="preserve">liwych dostosowań. </w:t>
      </w:r>
    </w:p>
    <w:p w14:paraId="111DA6A6" w14:textId="77777777" w:rsidR="00EE5BEF" w:rsidRPr="00B10036" w:rsidRDefault="00EE5BEF" w:rsidP="00002649">
      <w:pPr>
        <w:ind w:left="567" w:hanging="567"/>
        <w:rPr>
          <w:rFonts w:eastAsia="Calibri"/>
          <w:b/>
          <w:noProof/>
        </w:rPr>
      </w:pPr>
    </w:p>
    <w:p w14:paraId="62FEF2FA" w14:textId="34E0049C" w:rsidR="00002649" w:rsidRPr="00B10036" w:rsidRDefault="00002649" w:rsidP="00002649">
      <w:pPr>
        <w:ind w:left="567" w:hanging="567"/>
        <w:rPr>
          <w:rFonts w:eastAsia="Calibri"/>
          <w:noProof/>
        </w:rPr>
      </w:pPr>
      <w:r w:rsidRPr="00B10036">
        <w:rPr>
          <w:noProof/>
        </w:rPr>
        <w:t>OPTYMALNE WYKORZYSTANIE FINANSOWANIA PUBLICZNEGO I PRYWATNEGO</w:t>
      </w:r>
    </w:p>
    <w:p w14:paraId="69BC3C3B" w14:textId="617A35E9" w:rsidR="00002649" w:rsidRPr="00B10036" w:rsidRDefault="00B10036" w:rsidP="00B10036">
      <w:pPr>
        <w:pStyle w:val="Point0"/>
        <w:rPr>
          <w:noProof/>
        </w:rPr>
      </w:pPr>
      <w:r>
        <w:rPr>
          <w:noProof/>
        </w:rPr>
        <w:t>10)</w:t>
      </w:r>
      <w:r>
        <w:rPr>
          <w:noProof/>
        </w:rPr>
        <w:tab/>
      </w:r>
      <w:r w:rsidR="00364813" w:rsidRPr="00B10036">
        <w:rPr>
          <w:noProof/>
        </w:rPr>
        <w:t>Aby zapewnić opłacalne wsparcie inwestycyjne</w:t>
      </w:r>
      <w:r w:rsidRPr="00B10036">
        <w:rPr>
          <w:noProof/>
        </w:rPr>
        <w:t xml:space="preserve"> i</w:t>
      </w:r>
      <w:r>
        <w:rPr>
          <w:noProof/>
        </w:rPr>
        <w:t> </w:t>
      </w:r>
      <w:r w:rsidRPr="00B10036">
        <w:rPr>
          <w:noProof/>
        </w:rPr>
        <w:t>fin</w:t>
      </w:r>
      <w:r w:rsidR="00364813" w:rsidRPr="00B10036">
        <w:rPr>
          <w:noProof/>
        </w:rPr>
        <w:t>ansowe zgodnie</w:t>
      </w:r>
      <w:r w:rsidRPr="00B10036">
        <w:rPr>
          <w:noProof/>
        </w:rPr>
        <w:t xml:space="preserve"> z</w:t>
      </w:r>
      <w:r>
        <w:rPr>
          <w:noProof/>
        </w:rPr>
        <w:t> </w:t>
      </w:r>
      <w:r w:rsidRPr="00B10036">
        <w:rPr>
          <w:noProof/>
        </w:rPr>
        <w:t>ram</w:t>
      </w:r>
      <w:r w:rsidR="00364813" w:rsidRPr="00B10036">
        <w:rPr>
          <w:noProof/>
        </w:rPr>
        <w:t>ami pomocy państwa</w:t>
      </w:r>
      <w:r w:rsidRPr="00B10036">
        <w:rPr>
          <w:noProof/>
        </w:rPr>
        <w:t xml:space="preserve"> w</w:t>
      </w:r>
      <w:r>
        <w:rPr>
          <w:noProof/>
        </w:rPr>
        <w:t> </w:t>
      </w:r>
      <w:r w:rsidRPr="00B10036">
        <w:rPr>
          <w:noProof/>
        </w:rPr>
        <w:t>cel</w:t>
      </w:r>
      <w:r w:rsidR="00364813" w:rsidRPr="00B10036">
        <w:rPr>
          <w:noProof/>
        </w:rPr>
        <w:t>u uwzględnienia społecznych</w:t>
      </w:r>
      <w:r w:rsidRPr="00B10036">
        <w:rPr>
          <w:noProof/>
        </w:rPr>
        <w:t xml:space="preserve"> i</w:t>
      </w:r>
      <w:r>
        <w:rPr>
          <w:noProof/>
        </w:rPr>
        <w:t> </w:t>
      </w:r>
      <w:r w:rsidRPr="00B10036">
        <w:rPr>
          <w:noProof/>
        </w:rPr>
        <w:t>zwi</w:t>
      </w:r>
      <w:r w:rsidR="00364813" w:rsidRPr="00B10036">
        <w:rPr>
          <w:noProof/>
        </w:rPr>
        <w:t>ązanych</w:t>
      </w:r>
      <w:r w:rsidRPr="00B10036">
        <w:rPr>
          <w:noProof/>
        </w:rPr>
        <w:t xml:space="preserve"> z</w:t>
      </w:r>
      <w:r>
        <w:rPr>
          <w:noProof/>
        </w:rPr>
        <w:t> </w:t>
      </w:r>
      <w:r w:rsidRPr="00B10036">
        <w:rPr>
          <w:noProof/>
        </w:rPr>
        <w:t>ryn</w:t>
      </w:r>
      <w:r w:rsidR="00364813" w:rsidRPr="00B10036">
        <w:rPr>
          <w:noProof/>
        </w:rPr>
        <w:t>kiem pracy aspektów sprawiedliwej zielonej transformacji, przy jednoczesnym wykorzystaniu synergii między dostępnymi programami</w:t>
      </w:r>
      <w:r w:rsidRPr="00B10036">
        <w:rPr>
          <w:noProof/>
        </w:rPr>
        <w:t xml:space="preserve"> i</w:t>
      </w:r>
      <w:r>
        <w:rPr>
          <w:noProof/>
        </w:rPr>
        <w:t> </w:t>
      </w:r>
      <w:r w:rsidRPr="00B10036">
        <w:rPr>
          <w:noProof/>
        </w:rPr>
        <w:t>ins</w:t>
      </w:r>
      <w:r w:rsidR="00364813" w:rsidRPr="00B10036">
        <w:rPr>
          <w:noProof/>
        </w:rPr>
        <w:t>trumentami oraz skupieniu się na regionach</w:t>
      </w:r>
      <w:r w:rsidRPr="00B10036">
        <w:rPr>
          <w:noProof/>
        </w:rPr>
        <w:t xml:space="preserve"> i</w:t>
      </w:r>
      <w:r>
        <w:rPr>
          <w:noProof/>
        </w:rPr>
        <w:t> </w:t>
      </w:r>
      <w:r w:rsidRPr="00B10036">
        <w:rPr>
          <w:noProof/>
        </w:rPr>
        <w:t>eko</w:t>
      </w:r>
      <w:r w:rsidR="00364813" w:rsidRPr="00B10036">
        <w:rPr>
          <w:noProof/>
        </w:rPr>
        <w:t>systemach przemysłowych najbardziej obciążonych skutkami transformacji, zachęca się państwa członkowskie do:</w:t>
      </w:r>
    </w:p>
    <w:p w14:paraId="755F9459" w14:textId="58FB1FCE" w:rsidR="0008456C" w:rsidRPr="00B10036" w:rsidRDefault="00B10036" w:rsidP="00B10036">
      <w:pPr>
        <w:pStyle w:val="Point1"/>
        <w:rPr>
          <w:noProof/>
        </w:rPr>
      </w:pPr>
      <w:r w:rsidRPr="00B10036">
        <w:rPr>
          <w:noProof/>
        </w:rPr>
        <w:t>a)</w:t>
      </w:r>
      <w:r w:rsidRPr="00B10036">
        <w:rPr>
          <w:noProof/>
        </w:rPr>
        <w:tab/>
      </w:r>
      <w:r w:rsidR="0008456C" w:rsidRPr="00B10036">
        <w:rPr>
          <w:noProof/>
        </w:rPr>
        <w:t>Pełnego wdrożenia odpowiednich reform</w:t>
      </w:r>
      <w:r w:rsidRPr="00B10036">
        <w:rPr>
          <w:noProof/>
        </w:rPr>
        <w:t xml:space="preserve"> i</w:t>
      </w:r>
      <w:r>
        <w:rPr>
          <w:noProof/>
        </w:rPr>
        <w:t> </w:t>
      </w:r>
      <w:r w:rsidRPr="00B10036">
        <w:rPr>
          <w:noProof/>
        </w:rPr>
        <w:t>inw</w:t>
      </w:r>
      <w:r w:rsidR="0008456C" w:rsidRPr="00B10036">
        <w:rPr>
          <w:noProof/>
        </w:rPr>
        <w:t>estycji</w:t>
      </w:r>
      <w:r w:rsidRPr="00B10036">
        <w:rPr>
          <w:noProof/>
        </w:rPr>
        <w:t xml:space="preserve"> w</w:t>
      </w:r>
      <w:r>
        <w:rPr>
          <w:noProof/>
        </w:rPr>
        <w:t> </w:t>
      </w:r>
      <w:r w:rsidRPr="00B10036">
        <w:rPr>
          <w:noProof/>
        </w:rPr>
        <w:t>ram</w:t>
      </w:r>
      <w:r w:rsidR="0008456C" w:rsidRPr="00B10036">
        <w:rPr>
          <w:noProof/>
        </w:rPr>
        <w:t>ach planów odbudowy</w:t>
      </w:r>
      <w:r w:rsidRPr="00B10036">
        <w:rPr>
          <w:noProof/>
        </w:rPr>
        <w:t xml:space="preserve"> i</w:t>
      </w:r>
      <w:r>
        <w:rPr>
          <w:noProof/>
        </w:rPr>
        <w:t> </w:t>
      </w:r>
      <w:r w:rsidRPr="00B10036">
        <w:rPr>
          <w:noProof/>
        </w:rPr>
        <w:t>zwi</w:t>
      </w:r>
      <w:r w:rsidR="0008456C" w:rsidRPr="00B10036">
        <w:rPr>
          <w:noProof/>
        </w:rPr>
        <w:t>ększania odporności, przy jednoczesnym zapewnieniu komplementarności</w:t>
      </w:r>
      <w:r w:rsidRPr="00B10036">
        <w:rPr>
          <w:noProof/>
        </w:rPr>
        <w:t xml:space="preserve"> z</w:t>
      </w:r>
      <w:r>
        <w:rPr>
          <w:noProof/>
        </w:rPr>
        <w:t> </w:t>
      </w:r>
      <w:r w:rsidRPr="00B10036">
        <w:rPr>
          <w:noProof/>
        </w:rPr>
        <w:t>inn</w:t>
      </w:r>
      <w:r w:rsidR="0008456C" w:rsidRPr="00B10036">
        <w:rPr>
          <w:noProof/>
        </w:rPr>
        <w:t>ymi funduszami.</w:t>
      </w:r>
    </w:p>
    <w:p w14:paraId="6ECB1044" w14:textId="68A3BDCB" w:rsidR="0008456C" w:rsidRPr="00B10036" w:rsidRDefault="00B10036" w:rsidP="00B10036">
      <w:pPr>
        <w:pStyle w:val="Point1"/>
        <w:rPr>
          <w:noProof/>
        </w:rPr>
      </w:pPr>
      <w:r w:rsidRPr="00B10036">
        <w:rPr>
          <w:noProof/>
        </w:rPr>
        <w:t>b)</w:t>
      </w:r>
      <w:r w:rsidRPr="00B10036">
        <w:rPr>
          <w:noProof/>
        </w:rPr>
        <w:tab/>
      </w:r>
      <w:r w:rsidR="0008456C" w:rsidRPr="00B10036">
        <w:rPr>
          <w:noProof/>
        </w:rPr>
        <w:t>Uruchomienia oraz zapewnienia spójnego</w:t>
      </w:r>
      <w:r w:rsidRPr="00B10036">
        <w:rPr>
          <w:noProof/>
        </w:rPr>
        <w:t xml:space="preserve"> i</w:t>
      </w:r>
      <w:r>
        <w:rPr>
          <w:noProof/>
        </w:rPr>
        <w:t> </w:t>
      </w:r>
      <w:r w:rsidRPr="00B10036">
        <w:rPr>
          <w:noProof/>
        </w:rPr>
        <w:t>opt</w:t>
      </w:r>
      <w:r w:rsidR="0008456C" w:rsidRPr="00B10036">
        <w:rPr>
          <w:noProof/>
        </w:rPr>
        <w:t>ymalnego wykorzystania istniejących instrumentów</w:t>
      </w:r>
      <w:r w:rsidRPr="00B10036">
        <w:rPr>
          <w:noProof/>
        </w:rPr>
        <w:t xml:space="preserve"> i</w:t>
      </w:r>
      <w:r>
        <w:rPr>
          <w:noProof/>
        </w:rPr>
        <w:t> </w:t>
      </w:r>
      <w:r w:rsidRPr="00B10036">
        <w:rPr>
          <w:noProof/>
        </w:rPr>
        <w:t>moż</w:t>
      </w:r>
      <w:r w:rsidR="0008456C" w:rsidRPr="00B10036">
        <w:rPr>
          <w:noProof/>
        </w:rPr>
        <w:t>liwości finansowania,</w:t>
      </w:r>
      <w:r w:rsidRPr="00B10036">
        <w:rPr>
          <w:noProof/>
        </w:rPr>
        <w:t xml:space="preserve"> w</w:t>
      </w:r>
      <w:r>
        <w:rPr>
          <w:noProof/>
        </w:rPr>
        <w:t> </w:t>
      </w:r>
      <w:r w:rsidRPr="00B10036">
        <w:rPr>
          <w:noProof/>
        </w:rPr>
        <w:t>tym</w:t>
      </w:r>
      <w:r w:rsidR="0008456C" w:rsidRPr="00B10036">
        <w:rPr>
          <w:noProof/>
        </w:rPr>
        <w:t xml:space="preserve"> pomocy technicznej, na poziomie państw członkowskich i UE,</w:t>
      </w:r>
      <w:r w:rsidRPr="00B10036">
        <w:rPr>
          <w:noProof/>
        </w:rPr>
        <w:t xml:space="preserve"> w</w:t>
      </w:r>
      <w:r>
        <w:rPr>
          <w:noProof/>
        </w:rPr>
        <w:t> </w:t>
      </w:r>
      <w:r w:rsidRPr="00B10036">
        <w:rPr>
          <w:noProof/>
        </w:rPr>
        <w:t>cel</w:t>
      </w:r>
      <w:r w:rsidR="0008456C" w:rsidRPr="00B10036">
        <w:rPr>
          <w:noProof/>
        </w:rPr>
        <w:t>u wsparcia odpowiednich działań</w:t>
      </w:r>
      <w:r w:rsidRPr="00B10036">
        <w:rPr>
          <w:noProof/>
        </w:rPr>
        <w:t xml:space="preserve"> i</w:t>
      </w:r>
      <w:r>
        <w:rPr>
          <w:noProof/>
        </w:rPr>
        <w:t> </w:t>
      </w:r>
      <w:r w:rsidRPr="00B10036">
        <w:rPr>
          <w:noProof/>
        </w:rPr>
        <w:t>inw</w:t>
      </w:r>
      <w:r w:rsidR="0008456C" w:rsidRPr="00B10036">
        <w:rPr>
          <w:noProof/>
        </w:rPr>
        <w:t>estycji. Instrumenty finansowania unijnego obejmują</w:t>
      </w:r>
      <w:r w:rsidRPr="00B10036">
        <w:rPr>
          <w:noProof/>
        </w:rPr>
        <w:t xml:space="preserve"> w</w:t>
      </w:r>
      <w:r>
        <w:rPr>
          <w:noProof/>
        </w:rPr>
        <w:t> </w:t>
      </w:r>
      <w:r w:rsidRPr="00B10036">
        <w:rPr>
          <w:noProof/>
        </w:rPr>
        <w:t>szc</w:t>
      </w:r>
      <w:r w:rsidR="0008456C" w:rsidRPr="00B10036">
        <w:rPr>
          <w:noProof/>
        </w:rPr>
        <w:t>zególności fundusze</w:t>
      </w:r>
      <w:r w:rsidRPr="00B10036">
        <w:rPr>
          <w:noProof/>
        </w:rPr>
        <w:t xml:space="preserve"> w</w:t>
      </w:r>
      <w:r>
        <w:rPr>
          <w:noProof/>
        </w:rPr>
        <w:t> </w:t>
      </w:r>
      <w:r w:rsidRPr="00B10036">
        <w:rPr>
          <w:noProof/>
        </w:rPr>
        <w:t>ram</w:t>
      </w:r>
      <w:r w:rsidR="0008456C" w:rsidRPr="00B10036">
        <w:rPr>
          <w:noProof/>
        </w:rPr>
        <w:t xml:space="preserve">ach polityki spójności, mechanizm sprawiedliwej transformacji, Program InvestEU, Instrument Wsparcia Technicznego, Erasmus+, Europejski Fundusz Dostosowania do Globalizacji dla Zwalnianych Pracowników (EFG), Program LIFE oraz fundusz modernizacyjny. </w:t>
      </w:r>
    </w:p>
    <w:p w14:paraId="7F3BFD4E" w14:textId="1BE0E5AD" w:rsidR="00002649" w:rsidRPr="00B10036" w:rsidRDefault="00B10036" w:rsidP="00B10036">
      <w:pPr>
        <w:pStyle w:val="Point1"/>
        <w:rPr>
          <w:rFonts w:eastAsia="Calibri"/>
          <w:noProof/>
        </w:rPr>
      </w:pPr>
      <w:r w:rsidRPr="00B10036">
        <w:rPr>
          <w:noProof/>
        </w:rPr>
        <w:t>c)</w:t>
      </w:r>
      <w:r w:rsidRPr="00B10036">
        <w:rPr>
          <w:noProof/>
        </w:rPr>
        <w:tab/>
      </w:r>
      <w:r w:rsidR="00002649" w:rsidRPr="00B10036">
        <w:rPr>
          <w:noProof/>
        </w:rPr>
        <w:t>Zaangażowania</w:t>
      </w:r>
      <w:r w:rsidRPr="00B10036">
        <w:rPr>
          <w:noProof/>
        </w:rPr>
        <w:t xml:space="preserve"> i</w:t>
      </w:r>
      <w:r>
        <w:rPr>
          <w:noProof/>
        </w:rPr>
        <w:t> </w:t>
      </w:r>
      <w:r w:rsidRPr="00B10036">
        <w:rPr>
          <w:noProof/>
        </w:rPr>
        <w:t>uru</w:t>
      </w:r>
      <w:r w:rsidR="00002649" w:rsidRPr="00B10036">
        <w:rPr>
          <w:noProof/>
        </w:rPr>
        <w:t>chomienia odpowiednich zasobów krajowych</w:t>
      </w:r>
      <w:r w:rsidRPr="00B10036">
        <w:rPr>
          <w:noProof/>
        </w:rPr>
        <w:t xml:space="preserve"> w</w:t>
      </w:r>
      <w:r>
        <w:rPr>
          <w:noProof/>
        </w:rPr>
        <w:t> </w:t>
      </w:r>
      <w:r w:rsidRPr="00B10036">
        <w:rPr>
          <w:noProof/>
        </w:rPr>
        <w:t>cel</w:t>
      </w:r>
      <w:r w:rsidR="00002649" w:rsidRPr="00B10036">
        <w:rPr>
          <w:noProof/>
        </w:rPr>
        <w:t>u wsparcia wdrożenia kompleksowych zestawów środków umożliwiających przeprowadzenie sprawiedliwej zielonej transformacji. Środki te powinny być odpowiednio finansowane,</w:t>
      </w:r>
      <w:r w:rsidRPr="00B10036">
        <w:rPr>
          <w:noProof/>
        </w:rPr>
        <w:t xml:space="preserve"> w</w:t>
      </w:r>
      <w:r>
        <w:rPr>
          <w:noProof/>
        </w:rPr>
        <w:t> </w:t>
      </w:r>
      <w:r w:rsidRPr="00B10036">
        <w:rPr>
          <w:noProof/>
        </w:rPr>
        <w:t>tym</w:t>
      </w:r>
      <w:r w:rsidR="00002649" w:rsidRPr="00B10036">
        <w:rPr>
          <w:noProof/>
        </w:rPr>
        <w:t xml:space="preserve"> przez poprawę jakości wydatków publicznych, uruchomienie dalszego finansowania prywatnego lub wykorzystanie dodatkowych dochodów publicznych, również</w:t>
      </w:r>
      <w:r w:rsidRPr="00B10036">
        <w:rPr>
          <w:noProof/>
        </w:rPr>
        <w:t xml:space="preserve"> w</w:t>
      </w:r>
      <w:r>
        <w:rPr>
          <w:noProof/>
        </w:rPr>
        <w:t> </w:t>
      </w:r>
      <w:r w:rsidRPr="00B10036">
        <w:rPr>
          <w:noProof/>
        </w:rPr>
        <w:t>opa</w:t>
      </w:r>
      <w:r w:rsidR="00002649" w:rsidRPr="00B10036">
        <w:rPr>
          <w:noProof/>
        </w:rPr>
        <w:t>rciu</w:t>
      </w:r>
      <w:r w:rsidRPr="00B10036">
        <w:rPr>
          <w:noProof/>
        </w:rPr>
        <w:t xml:space="preserve"> o</w:t>
      </w:r>
      <w:r>
        <w:rPr>
          <w:noProof/>
        </w:rPr>
        <w:t> </w:t>
      </w:r>
      <w:r w:rsidRPr="00B10036">
        <w:rPr>
          <w:noProof/>
        </w:rPr>
        <w:t>ros</w:t>
      </w:r>
      <w:r w:rsidR="00002649" w:rsidRPr="00B10036">
        <w:rPr>
          <w:noProof/>
        </w:rPr>
        <w:t>nące przychody</w:t>
      </w:r>
      <w:r w:rsidRPr="00B10036">
        <w:rPr>
          <w:noProof/>
        </w:rPr>
        <w:t xml:space="preserve"> z</w:t>
      </w:r>
      <w:r>
        <w:rPr>
          <w:noProof/>
        </w:rPr>
        <w:t> </w:t>
      </w:r>
      <w:r w:rsidRPr="00B10036">
        <w:rPr>
          <w:noProof/>
        </w:rPr>
        <w:t>han</w:t>
      </w:r>
      <w:r w:rsidR="00002649" w:rsidRPr="00B10036">
        <w:rPr>
          <w:noProof/>
        </w:rPr>
        <w:t>dlu uprawnieniami do emisji. Uwzględniania aspektów związanych</w:t>
      </w:r>
      <w:r w:rsidRPr="00B10036">
        <w:rPr>
          <w:noProof/>
        </w:rPr>
        <w:t xml:space="preserve"> z</w:t>
      </w:r>
      <w:r>
        <w:rPr>
          <w:noProof/>
        </w:rPr>
        <w:t> </w:t>
      </w:r>
      <w:r w:rsidRPr="00B10036">
        <w:rPr>
          <w:noProof/>
        </w:rPr>
        <w:t>zat</w:t>
      </w:r>
      <w:r w:rsidR="00002649" w:rsidRPr="00B10036">
        <w:rPr>
          <w:noProof/>
        </w:rPr>
        <w:t>rudnieniem oraz aspektów społecznych</w:t>
      </w:r>
      <w:r w:rsidRPr="00B10036">
        <w:rPr>
          <w:noProof/>
        </w:rPr>
        <w:t xml:space="preserve"> i</w:t>
      </w:r>
      <w:r>
        <w:rPr>
          <w:noProof/>
        </w:rPr>
        <w:t> </w:t>
      </w:r>
      <w:r w:rsidRPr="00B10036">
        <w:rPr>
          <w:noProof/>
        </w:rPr>
        <w:t>dys</w:t>
      </w:r>
      <w:r w:rsidR="00002649" w:rsidRPr="00B10036">
        <w:rPr>
          <w:noProof/>
        </w:rPr>
        <w:t>trybucyjnych przy opracowywaniu praktyk</w:t>
      </w:r>
      <w:r w:rsidRPr="00B10036">
        <w:rPr>
          <w:noProof/>
        </w:rPr>
        <w:t xml:space="preserve"> w</w:t>
      </w:r>
      <w:r>
        <w:rPr>
          <w:noProof/>
        </w:rPr>
        <w:t> </w:t>
      </w:r>
      <w:r w:rsidRPr="00B10036">
        <w:rPr>
          <w:noProof/>
        </w:rPr>
        <w:t>zak</w:t>
      </w:r>
      <w:r w:rsidR="00002649" w:rsidRPr="00B10036">
        <w:rPr>
          <w:noProof/>
        </w:rPr>
        <w:t>resie ekologicznego planowania budżetu.</w:t>
      </w:r>
    </w:p>
    <w:p w14:paraId="2240C029" w14:textId="6A26A8BF" w:rsidR="004D5495" w:rsidRPr="00B10036" w:rsidRDefault="00B10036" w:rsidP="00B10036">
      <w:pPr>
        <w:pStyle w:val="Point1"/>
        <w:rPr>
          <w:noProof/>
        </w:rPr>
      </w:pPr>
      <w:r w:rsidRPr="00B10036">
        <w:rPr>
          <w:noProof/>
        </w:rPr>
        <w:t>d)</w:t>
      </w:r>
      <w:r w:rsidRPr="00B10036">
        <w:rPr>
          <w:noProof/>
        </w:rPr>
        <w:tab/>
      </w:r>
      <w:r w:rsidR="004D5495" w:rsidRPr="00B10036">
        <w:rPr>
          <w:noProof/>
        </w:rPr>
        <w:t>Opracowania wyważonego zestawu środków</w:t>
      </w:r>
      <w:r w:rsidRPr="00B10036">
        <w:rPr>
          <w:noProof/>
        </w:rPr>
        <w:t xml:space="preserve"> w</w:t>
      </w:r>
      <w:r>
        <w:rPr>
          <w:noProof/>
        </w:rPr>
        <w:t> </w:t>
      </w:r>
      <w:r w:rsidRPr="00B10036">
        <w:rPr>
          <w:noProof/>
        </w:rPr>
        <w:t>kra</w:t>
      </w:r>
      <w:r w:rsidR="004D5495" w:rsidRPr="00B10036">
        <w:rPr>
          <w:noProof/>
        </w:rPr>
        <w:t>jowych planach społeczno-klimatycznych</w:t>
      </w:r>
      <w:r w:rsidRPr="00B10036">
        <w:rPr>
          <w:noProof/>
        </w:rPr>
        <w:t xml:space="preserve"> w</w:t>
      </w:r>
      <w:r>
        <w:rPr>
          <w:noProof/>
        </w:rPr>
        <w:t> </w:t>
      </w:r>
      <w:r w:rsidRPr="00B10036">
        <w:rPr>
          <w:noProof/>
        </w:rPr>
        <w:t>ram</w:t>
      </w:r>
      <w:r w:rsidR="004D5495" w:rsidRPr="00B10036">
        <w:rPr>
          <w:noProof/>
        </w:rPr>
        <w:t>ach proponowanego Społecznego Funduszu Klimatycznego,</w:t>
      </w:r>
      <w:r w:rsidRPr="00B10036">
        <w:rPr>
          <w:noProof/>
        </w:rPr>
        <w:t xml:space="preserve"> w</w:t>
      </w:r>
      <w:r>
        <w:rPr>
          <w:noProof/>
        </w:rPr>
        <w:t> </w:t>
      </w:r>
      <w:r w:rsidRPr="00B10036">
        <w:rPr>
          <w:noProof/>
        </w:rPr>
        <w:t>tym</w:t>
      </w:r>
      <w:r w:rsidR="004D5495" w:rsidRPr="00B10036">
        <w:rPr>
          <w:noProof/>
        </w:rPr>
        <w:t xml:space="preserve"> poprzez uzupełnienie zielonych inwestycji,</w:t>
      </w:r>
      <w:r w:rsidRPr="00B10036">
        <w:rPr>
          <w:noProof/>
        </w:rPr>
        <w:t xml:space="preserve"> w</w:t>
      </w:r>
      <w:r>
        <w:rPr>
          <w:noProof/>
        </w:rPr>
        <w:t> </w:t>
      </w:r>
      <w:r w:rsidRPr="00B10036">
        <w:rPr>
          <w:noProof/>
        </w:rPr>
        <w:t>raz</w:t>
      </w:r>
      <w:r w:rsidR="004D5495" w:rsidRPr="00B10036">
        <w:rPr>
          <w:noProof/>
        </w:rPr>
        <w:t>ie potrzeby</w:t>
      </w:r>
      <w:r w:rsidRPr="00B10036">
        <w:rPr>
          <w:noProof/>
        </w:rPr>
        <w:t xml:space="preserve"> w</w:t>
      </w:r>
      <w:r>
        <w:rPr>
          <w:noProof/>
        </w:rPr>
        <w:t> </w:t>
      </w:r>
      <w:r w:rsidRPr="00B10036">
        <w:rPr>
          <w:noProof/>
        </w:rPr>
        <w:t>ocz</w:t>
      </w:r>
      <w:r w:rsidR="004D5495" w:rsidRPr="00B10036">
        <w:rPr>
          <w:noProof/>
        </w:rPr>
        <w:t>ekiwaniu na efekty inwestycji</w:t>
      </w:r>
      <w:r w:rsidRPr="00B10036">
        <w:rPr>
          <w:noProof/>
        </w:rPr>
        <w:t xml:space="preserve"> w</w:t>
      </w:r>
      <w:r>
        <w:rPr>
          <w:noProof/>
        </w:rPr>
        <w:t> </w:t>
      </w:r>
      <w:r w:rsidRPr="00B10036">
        <w:rPr>
          <w:noProof/>
        </w:rPr>
        <w:t>pos</w:t>
      </w:r>
      <w:r w:rsidR="004D5495" w:rsidRPr="00B10036">
        <w:rPr>
          <w:noProof/>
        </w:rPr>
        <w:t>taci zmniejszenia emisji</w:t>
      </w:r>
      <w:r w:rsidRPr="00B10036">
        <w:rPr>
          <w:noProof/>
        </w:rPr>
        <w:t xml:space="preserve"> i</w:t>
      </w:r>
      <w:r>
        <w:rPr>
          <w:noProof/>
        </w:rPr>
        <w:t> </w:t>
      </w:r>
      <w:r w:rsidRPr="00B10036">
        <w:rPr>
          <w:noProof/>
        </w:rPr>
        <w:t>obn</w:t>
      </w:r>
      <w:r w:rsidR="004D5495" w:rsidRPr="00B10036">
        <w:rPr>
          <w:noProof/>
        </w:rPr>
        <w:t>iżenia rachunków za energię,</w:t>
      </w:r>
      <w:r w:rsidRPr="00B10036">
        <w:rPr>
          <w:noProof/>
        </w:rPr>
        <w:t xml:space="preserve"> z</w:t>
      </w:r>
      <w:r>
        <w:rPr>
          <w:noProof/>
        </w:rPr>
        <w:t> </w:t>
      </w:r>
      <w:r w:rsidRPr="00B10036">
        <w:rPr>
          <w:noProof/>
        </w:rPr>
        <w:t>wyk</w:t>
      </w:r>
      <w:r w:rsidR="004D5495" w:rsidRPr="00B10036">
        <w:rPr>
          <w:noProof/>
        </w:rPr>
        <w:t>orzystaniem tymczasowych</w:t>
      </w:r>
      <w:r w:rsidRPr="00B10036">
        <w:rPr>
          <w:noProof/>
        </w:rPr>
        <w:t xml:space="preserve"> i</w:t>
      </w:r>
      <w:r>
        <w:rPr>
          <w:noProof/>
        </w:rPr>
        <w:t> </w:t>
      </w:r>
      <w:r w:rsidRPr="00B10036">
        <w:rPr>
          <w:noProof/>
        </w:rPr>
        <w:t>uki</w:t>
      </w:r>
      <w:r w:rsidR="004D5495" w:rsidRPr="00B10036">
        <w:rPr>
          <w:noProof/>
        </w:rPr>
        <w:t>erunkowanych środków wsparcia dochodu służących zrekompensowaniu gospodarstwom domowym znajdującym się</w:t>
      </w:r>
      <w:r w:rsidRPr="00B10036">
        <w:rPr>
          <w:noProof/>
        </w:rPr>
        <w:t xml:space="preserve"> w</w:t>
      </w:r>
      <w:r>
        <w:rPr>
          <w:noProof/>
        </w:rPr>
        <w:t> </w:t>
      </w:r>
      <w:r w:rsidRPr="00B10036">
        <w:rPr>
          <w:noProof/>
        </w:rPr>
        <w:t>tru</w:t>
      </w:r>
      <w:r w:rsidR="004D5495" w:rsidRPr="00B10036">
        <w:rPr>
          <w:noProof/>
        </w:rPr>
        <w:t>dnej sytuacji</w:t>
      </w:r>
      <w:r w:rsidRPr="00B10036">
        <w:rPr>
          <w:noProof/>
        </w:rPr>
        <w:t xml:space="preserve"> i</w:t>
      </w:r>
      <w:r>
        <w:rPr>
          <w:noProof/>
        </w:rPr>
        <w:t> </w:t>
      </w:r>
      <w:r w:rsidRPr="00B10036">
        <w:rPr>
          <w:noProof/>
        </w:rPr>
        <w:t>gos</w:t>
      </w:r>
      <w:r w:rsidR="004D5495" w:rsidRPr="00B10036">
        <w:rPr>
          <w:noProof/>
        </w:rPr>
        <w:t>podarstwom domowym, których mieszkańcy są użytkownikami transportu, jak również uwzględniając</w:t>
      </w:r>
      <w:r w:rsidRPr="00B10036">
        <w:rPr>
          <w:noProof/>
        </w:rPr>
        <w:t xml:space="preserve"> w</w:t>
      </w:r>
      <w:r>
        <w:rPr>
          <w:noProof/>
        </w:rPr>
        <w:t> </w:t>
      </w:r>
      <w:r w:rsidRPr="00B10036">
        <w:rPr>
          <w:noProof/>
        </w:rPr>
        <w:t>sto</w:t>
      </w:r>
      <w:r w:rsidR="004D5495" w:rsidRPr="00B10036">
        <w:rPr>
          <w:noProof/>
        </w:rPr>
        <w:t>sownych przypadkach odpowiednie zidentyfikowane wyzwania specyficzne dla danego kraju</w:t>
      </w:r>
      <w:r w:rsidRPr="00B10036">
        <w:rPr>
          <w:noProof/>
        </w:rPr>
        <w:t xml:space="preserve"> i</w:t>
      </w:r>
      <w:r>
        <w:rPr>
          <w:noProof/>
        </w:rPr>
        <w:t> </w:t>
      </w:r>
      <w:r w:rsidRPr="00B10036">
        <w:rPr>
          <w:noProof/>
        </w:rPr>
        <w:t>zal</w:t>
      </w:r>
      <w:r w:rsidR="004D5495" w:rsidRPr="00B10036">
        <w:rPr>
          <w:noProof/>
        </w:rPr>
        <w:t>ecenia wydane</w:t>
      </w:r>
      <w:r w:rsidRPr="00B10036">
        <w:rPr>
          <w:noProof/>
        </w:rPr>
        <w:t xml:space="preserve"> w</w:t>
      </w:r>
      <w:r>
        <w:rPr>
          <w:noProof/>
        </w:rPr>
        <w:t> </w:t>
      </w:r>
      <w:r w:rsidRPr="00B10036">
        <w:rPr>
          <w:noProof/>
        </w:rPr>
        <w:t>kon</w:t>
      </w:r>
      <w:r w:rsidR="004D5495" w:rsidRPr="00B10036">
        <w:rPr>
          <w:noProof/>
        </w:rPr>
        <w:t>tekście europejskiego semestru.</w:t>
      </w:r>
    </w:p>
    <w:p w14:paraId="60FDF135" w14:textId="2F7D4048" w:rsidR="001220D5" w:rsidRPr="00B10036" w:rsidRDefault="001220D5" w:rsidP="00AE5D56">
      <w:pPr>
        <w:rPr>
          <w:noProof/>
        </w:rPr>
      </w:pPr>
    </w:p>
    <w:p w14:paraId="2918BC7D" w14:textId="77777777" w:rsidR="00EC0681" w:rsidRPr="00B10036" w:rsidRDefault="00847202" w:rsidP="009C2412">
      <w:pPr>
        <w:rPr>
          <w:noProof/>
        </w:rPr>
      </w:pPr>
      <w:r w:rsidRPr="00B10036">
        <w:rPr>
          <w:noProof/>
        </w:rPr>
        <w:t>PRZYSZŁE DZIAŁANIA NA RZECZ SPRAWIEDLIWEJ ZIELONEJ TRANSFORMACJI</w:t>
      </w:r>
    </w:p>
    <w:p w14:paraId="3503C7D9" w14:textId="76A556E8" w:rsidR="00002649" w:rsidRPr="00B10036" w:rsidRDefault="00B10036" w:rsidP="00B10036">
      <w:pPr>
        <w:pStyle w:val="Point0"/>
        <w:rPr>
          <w:noProof/>
        </w:rPr>
      </w:pPr>
      <w:r>
        <w:rPr>
          <w:noProof/>
        </w:rPr>
        <w:t>11)</w:t>
      </w:r>
      <w:r>
        <w:rPr>
          <w:noProof/>
        </w:rPr>
        <w:tab/>
      </w:r>
      <w:r w:rsidR="00364813" w:rsidRPr="00B10036">
        <w:rPr>
          <w:noProof/>
        </w:rPr>
        <w:t>Z myślą</w:t>
      </w:r>
      <w:r w:rsidRPr="00B10036">
        <w:rPr>
          <w:noProof/>
        </w:rPr>
        <w:t xml:space="preserve"> o</w:t>
      </w:r>
      <w:r>
        <w:rPr>
          <w:noProof/>
        </w:rPr>
        <w:t> </w:t>
      </w:r>
      <w:r w:rsidRPr="00B10036">
        <w:rPr>
          <w:noProof/>
        </w:rPr>
        <w:t>rea</w:t>
      </w:r>
      <w:r w:rsidR="00364813" w:rsidRPr="00B10036">
        <w:rPr>
          <w:noProof/>
        </w:rPr>
        <w:t>lizacji użytecznych działań następczych związanych</w:t>
      </w:r>
      <w:r w:rsidRPr="00B10036">
        <w:rPr>
          <w:noProof/>
        </w:rPr>
        <w:t xml:space="preserve"> z</w:t>
      </w:r>
      <w:r>
        <w:rPr>
          <w:noProof/>
        </w:rPr>
        <w:t> </w:t>
      </w:r>
      <w:r w:rsidRPr="00B10036">
        <w:rPr>
          <w:noProof/>
        </w:rPr>
        <w:t>nin</w:t>
      </w:r>
      <w:r w:rsidR="00364813" w:rsidRPr="00B10036">
        <w:rPr>
          <w:noProof/>
        </w:rPr>
        <w:t>iejszym zaleceniem Rady Rada Unii Europejskiej</w:t>
      </w:r>
      <w:r w:rsidRPr="00B10036">
        <w:rPr>
          <w:noProof/>
        </w:rPr>
        <w:t xml:space="preserve"> z</w:t>
      </w:r>
      <w:r>
        <w:rPr>
          <w:noProof/>
        </w:rPr>
        <w:t> </w:t>
      </w:r>
      <w:r w:rsidRPr="00B10036">
        <w:rPr>
          <w:noProof/>
        </w:rPr>
        <w:t>zad</w:t>
      </w:r>
      <w:r w:rsidR="00364813" w:rsidRPr="00B10036">
        <w:rPr>
          <w:noProof/>
        </w:rPr>
        <w:t>owoleniem przyjmuje zamierzenia Komisji</w:t>
      </w:r>
      <w:r w:rsidRPr="00B10036">
        <w:rPr>
          <w:noProof/>
        </w:rPr>
        <w:t xml:space="preserve"> w</w:t>
      </w:r>
      <w:r>
        <w:rPr>
          <w:noProof/>
        </w:rPr>
        <w:t> </w:t>
      </w:r>
      <w:r w:rsidRPr="00B10036">
        <w:rPr>
          <w:noProof/>
        </w:rPr>
        <w:t>zak</w:t>
      </w:r>
      <w:r w:rsidR="00364813" w:rsidRPr="00B10036">
        <w:rPr>
          <w:noProof/>
        </w:rPr>
        <w:t>resie:</w:t>
      </w:r>
    </w:p>
    <w:p w14:paraId="1F4BF94C" w14:textId="1EC2D846" w:rsidR="000F5D99" w:rsidRPr="00B10036" w:rsidRDefault="00B10036" w:rsidP="00B10036">
      <w:pPr>
        <w:pStyle w:val="Point1"/>
        <w:rPr>
          <w:noProof/>
        </w:rPr>
      </w:pPr>
      <w:r w:rsidRPr="00B10036">
        <w:rPr>
          <w:noProof/>
        </w:rPr>
        <w:t>a)</w:t>
      </w:r>
      <w:r w:rsidRPr="00B10036">
        <w:rPr>
          <w:noProof/>
        </w:rPr>
        <w:tab/>
      </w:r>
      <w:r w:rsidR="000F5D99" w:rsidRPr="00B10036">
        <w:rPr>
          <w:noProof/>
        </w:rPr>
        <w:t>Dalszego zintensyfikowania wymiany</w:t>
      </w:r>
      <w:r w:rsidRPr="00B10036">
        <w:rPr>
          <w:noProof/>
        </w:rPr>
        <w:t xml:space="preserve"> z</w:t>
      </w:r>
      <w:r>
        <w:rPr>
          <w:noProof/>
        </w:rPr>
        <w:t> </w:t>
      </w:r>
      <w:r w:rsidRPr="00B10036">
        <w:rPr>
          <w:noProof/>
        </w:rPr>
        <w:t>klu</w:t>
      </w:r>
      <w:r w:rsidR="000F5D99" w:rsidRPr="00B10036">
        <w:rPr>
          <w:noProof/>
        </w:rPr>
        <w:t>czowymi zainteresowanymi stronami, osobami</w:t>
      </w:r>
      <w:r w:rsidRPr="00B10036">
        <w:rPr>
          <w:noProof/>
        </w:rPr>
        <w:t xml:space="preserve"> i</w:t>
      </w:r>
      <w:r>
        <w:rPr>
          <w:noProof/>
        </w:rPr>
        <w:t> </w:t>
      </w:r>
      <w:r w:rsidRPr="00B10036">
        <w:rPr>
          <w:noProof/>
        </w:rPr>
        <w:t>spo</w:t>
      </w:r>
      <w:r w:rsidR="000F5D99" w:rsidRPr="00B10036">
        <w:rPr>
          <w:noProof/>
        </w:rPr>
        <w:t>łecznościami,</w:t>
      </w:r>
      <w:r w:rsidRPr="00B10036">
        <w:rPr>
          <w:noProof/>
        </w:rPr>
        <w:t xml:space="preserve"> a</w:t>
      </w:r>
      <w:r>
        <w:rPr>
          <w:noProof/>
        </w:rPr>
        <w:t> </w:t>
      </w:r>
      <w:r w:rsidRPr="00B10036">
        <w:rPr>
          <w:noProof/>
        </w:rPr>
        <w:t>tak</w:t>
      </w:r>
      <w:r w:rsidR="000F5D99" w:rsidRPr="00B10036">
        <w:rPr>
          <w:noProof/>
        </w:rPr>
        <w:t>że wymiany najlepszych praktyk,</w:t>
      </w:r>
      <w:r w:rsidRPr="00B10036">
        <w:rPr>
          <w:noProof/>
        </w:rPr>
        <w:t xml:space="preserve"> w</w:t>
      </w:r>
      <w:r>
        <w:rPr>
          <w:noProof/>
        </w:rPr>
        <w:t> </w:t>
      </w:r>
      <w:r w:rsidRPr="00B10036">
        <w:rPr>
          <w:noProof/>
        </w:rPr>
        <w:t>tym w</w:t>
      </w:r>
      <w:r>
        <w:rPr>
          <w:noProof/>
        </w:rPr>
        <w:t> </w:t>
      </w:r>
      <w:r w:rsidRPr="00B10036">
        <w:rPr>
          <w:noProof/>
        </w:rPr>
        <w:t>kon</w:t>
      </w:r>
      <w:r w:rsidR="000F5D99" w:rsidRPr="00B10036">
        <w:rPr>
          <w:noProof/>
        </w:rPr>
        <w:t>tekście ścieżek transformacji dla ekosystemów przemysłowych</w:t>
      </w:r>
      <w:r w:rsidR="000F5D99" w:rsidRPr="00B10036">
        <w:rPr>
          <w:rStyle w:val="FootnoteReference"/>
          <w:noProof/>
        </w:rPr>
        <w:footnoteReference w:id="118"/>
      </w:r>
      <w:r w:rsidR="000F5D99" w:rsidRPr="00B10036">
        <w:rPr>
          <w:noProof/>
        </w:rPr>
        <w:t>, szczególnie</w:t>
      </w:r>
      <w:r w:rsidRPr="00B10036">
        <w:rPr>
          <w:noProof/>
        </w:rPr>
        <w:t xml:space="preserve"> w</w:t>
      </w:r>
      <w:r>
        <w:rPr>
          <w:noProof/>
        </w:rPr>
        <w:t> </w:t>
      </w:r>
      <w:r w:rsidRPr="00B10036">
        <w:rPr>
          <w:noProof/>
        </w:rPr>
        <w:t>kon</w:t>
      </w:r>
      <w:r w:rsidR="000F5D99" w:rsidRPr="00B10036">
        <w:rPr>
          <w:noProof/>
        </w:rPr>
        <w:t>tekście transgranicznym i ze szczególnym uwzględnieniem regionów</w:t>
      </w:r>
      <w:r w:rsidRPr="00B10036">
        <w:rPr>
          <w:noProof/>
        </w:rPr>
        <w:t xml:space="preserve"> i</w:t>
      </w:r>
      <w:r>
        <w:rPr>
          <w:noProof/>
        </w:rPr>
        <w:t> </w:t>
      </w:r>
      <w:r w:rsidRPr="00B10036">
        <w:rPr>
          <w:noProof/>
        </w:rPr>
        <w:t>sek</w:t>
      </w:r>
      <w:r w:rsidR="000F5D99" w:rsidRPr="00B10036">
        <w:rPr>
          <w:noProof/>
        </w:rPr>
        <w:t xml:space="preserve">torów najbardziej obciążonych skutkami transformacji. </w:t>
      </w:r>
    </w:p>
    <w:p w14:paraId="6028D694" w14:textId="26B9EE4F" w:rsidR="00A57EDA" w:rsidRPr="00B10036" w:rsidRDefault="00B10036" w:rsidP="00B10036">
      <w:pPr>
        <w:pStyle w:val="Point1"/>
        <w:rPr>
          <w:noProof/>
        </w:rPr>
      </w:pPr>
      <w:r w:rsidRPr="00B10036">
        <w:rPr>
          <w:noProof/>
        </w:rPr>
        <w:t>b)</w:t>
      </w:r>
      <w:r w:rsidRPr="00B10036">
        <w:rPr>
          <w:noProof/>
        </w:rPr>
        <w:tab/>
      </w:r>
      <w:r w:rsidR="00A57EDA" w:rsidRPr="00B10036">
        <w:rPr>
          <w:noProof/>
        </w:rPr>
        <w:t>Wspierania zwiększania adekwatności, spójności</w:t>
      </w:r>
      <w:r w:rsidRPr="00B10036">
        <w:rPr>
          <w:noProof/>
        </w:rPr>
        <w:t xml:space="preserve"> i</w:t>
      </w:r>
      <w:r>
        <w:rPr>
          <w:noProof/>
        </w:rPr>
        <w:t> </w:t>
      </w:r>
      <w:r w:rsidRPr="00B10036">
        <w:rPr>
          <w:noProof/>
        </w:rPr>
        <w:t>sku</w:t>
      </w:r>
      <w:r w:rsidR="00A57EDA" w:rsidRPr="00B10036">
        <w:rPr>
          <w:noProof/>
        </w:rPr>
        <w:t>teczności polityki państw członkowskich</w:t>
      </w:r>
      <w:r w:rsidRPr="00B10036">
        <w:rPr>
          <w:noProof/>
        </w:rPr>
        <w:t xml:space="preserve"> w</w:t>
      </w:r>
      <w:r>
        <w:rPr>
          <w:noProof/>
        </w:rPr>
        <w:t> </w:t>
      </w:r>
      <w:r w:rsidRPr="00B10036">
        <w:rPr>
          <w:noProof/>
        </w:rPr>
        <w:t>zak</w:t>
      </w:r>
      <w:r w:rsidR="00A57EDA" w:rsidRPr="00B10036">
        <w:rPr>
          <w:noProof/>
        </w:rPr>
        <w:t>resie sprawiedliwej transformacji,</w:t>
      </w:r>
      <w:r w:rsidRPr="00B10036">
        <w:rPr>
          <w:noProof/>
        </w:rPr>
        <w:t xml:space="preserve"> w</w:t>
      </w:r>
      <w:r>
        <w:rPr>
          <w:noProof/>
        </w:rPr>
        <w:t> </w:t>
      </w:r>
      <w:r w:rsidRPr="00B10036">
        <w:rPr>
          <w:noProof/>
        </w:rPr>
        <w:t>tym</w:t>
      </w:r>
      <w:r w:rsidR="00A57EDA" w:rsidRPr="00B10036">
        <w:rPr>
          <w:noProof/>
        </w:rPr>
        <w:t xml:space="preserve"> uwzględniania aspektów związanych</w:t>
      </w:r>
      <w:r w:rsidRPr="00B10036">
        <w:rPr>
          <w:noProof/>
        </w:rPr>
        <w:t xml:space="preserve"> z</w:t>
      </w:r>
      <w:r>
        <w:rPr>
          <w:noProof/>
        </w:rPr>
        <w:t> </w:t>
      </w:r>
      <w:r w:rsidRPr="00B10036">
        <w:rPr>
          <w:noProof/>
        </w:rPr>
        <w:t>zat</w:t>
      </w:r>
      <w:r w:rsidR="00A57EDA" w:rsidRPr="00B10036">
        <w:rPr>
          <w:noProof/>
        </w:rPr>
        <w:t>rudnieniem oraz aspektów społecznych</w:t>
      </w:r>
      <w:r w:rsidRPr="00B10036">
        <w:rPr>
          <w:noProof/>
        </w:rPr>
        <w:t xml:space="preserve"> i</w:t>
      </w:r>
      <w:r>
        <w:rPr>
          <w:noProof/>
        </w:rPr>
        <w:t> </w:t>
      </w:r>
      <w:r w:rsidRPr="00B10036">
        <w:rPr>
          <w:noProof/>
        </w:rPr>
        <w:t>dys</w:t>
      </w:r>
      <w:r w:rsidR="00A57EDA" w:rsidRPr="00B10036">
        <w:rPr>
          <w:noProof/>
        </w:rPr>
        <w:t>trybucyjnych przy opracowywaniu, wdrażaniu, monitorowaniu</w:t>
      </w:r>
      <w:r w:rsidRPr="00B10036">
        <w:rPr>
          <w:noProof/>
        </w:rPr>
        <w:t xml:space="preserve"> i</w:t>
      </w:r>
      <w:r>
        <w:rPr>
          <w:noProof/>
        </w:rPr>
        <w:t> </w:t>
      </w:r>
      <w:r w:rsidRPr="00B10036">
        <w:rPr>
          <w:noProof/>
        </w:rPr>
        <w:t>oce</w:t>
      </w:r>
      <w:r w:rsidR="00A57EDA" w:rsidRPr="00B10036">
        <w:rPr>
          <w:noProof/>
        </w:rPr>
        <w:t>nie planów krajowych</w:t>
      </w:r>
      <w:r w:rsidRPr="00B10036">
        <w:rPr>
          <w:noProof/>
        </w:rPr>
        <w:t xml:space="preserve"> i</w:t>
      </w:r>
      <w:r>
        <w:rPr>
          <w:noProof/>
        </w:rPr>
        <w:t> </w:t>
      </w:r>
      <w:r w:rsidRPr="00B10036">
        <w:rPr>
          <w:noProof/>
        </w:rPr>
        <w:t>str</w:t>
      </w:r>
      <w:r w:rsidR="00A57EDA" w:rsidRPr="00B10036">
        <w:rPr>
          <w:noProof/>
        </w:rPr>
        <w:t>ategii długoterminowych,</w:t>
      </w:r>
      <w:r w:rsidRPr="00B10036">
        <w:rPr>
          <w:noProof/>
        </w:rPr>
        <w:t xml:space="preserve"> w</w:t>
      </w:r>
      <w:r>
        <w:rPr>
          <w:noProof/>
        </w:rPr>
        <w:t> </w:t>
      </w:r>
      <w:r w:rsidRPr="00B10036">
        <w:rPr>
          <w:noProof/>
        </w:rPr>
        <w:t>sto</w:t>
      </w:r>
      <w:r w:rsidR="00A57EDA" w:rsidRPr="00B10036">
        <w:rPr>
          <w:noProof/>
        </w:rPr>
        <w:t>sownych przypadkach także</w:t>
      </w:r>
      <w:r w:rsidRPr="00B10036">
        <w:rPr>
          <w:noProof/>
        </w:rPr>
        <w:t xml:space="preserve"> w</w:t>
      </w:r>
      <w:r>
        <w:rPr>
          <w:noProof/>
        </w:rPr>
        <w:t> </w:t>
      </w:r>
      <w:r w:rsidRPr="00B10036">
        <w:rPr>
          <w:noProof/>
        </w:rPr>
        <w:t>kon</w:t>
      </w:r>
      <w:r w:rsidR="00A57EDA" w:rsidRPr="00B10036">
        <w:rPr>
          <w:noProof/>
        </w:rPr>
        <w:t>tekście przyszłego przeglądu rozporządzenia</w:t>
      </w:r>
      <w:r w:rsidRPr="00B10036">
        <w:rPr>
          <w:noProof/>
        </w:rPr>
        <w:t xml:space="preserve"> w</w:t>
      </w:r>
      <w:r>
        <w:rPr>
          <w:noProof/>
        </w:rPr>
        <w:t> </w:t>
      </w:r>
      <w:r w:rsidRPr="00B10036">
        <w:rPr>
          <w:noProof/>
        </w:rPr>
        <w:t>spr</w:t>
      </w:r>
      <w:r w:rsidR="00A57EDA" w:rsidRPr="00B10036">
        <w:rPr>
          <w:noProof/>
        </w:rPr>
        <w:t>awie zarządzania unią energetyczną.</w:t>
      </w:r>
    </w:p>
    <w:p w14:paraId="1AAE6F31" w14:textId="4ABEB4C1" w:rsidR="00002649" w:rsidRPr="00B10036" w:rsidRDefault="00B10036" w:rsidP="00B10036">
      <w:pPr>
        <w:pStyle w:val="Point1"/>
        <w:rPr>
          <w:noProof/>
        </w:rPr>
      </w:pPr>
      <w:r w:rsidRPr="00B10036">
        <w:rPr>
          <w:noProof/>
        </w:rPr>
        <w:t>c)</w:t>
      </w:r>
      <w:r w:rsidRPr="00B10036">
        <w:rPr>
          <w:noProof/>
        </w:rPr>
        <w:tab/>
      </w:r>
      <w:r w:rsidR="00002649" w:rsidRPr="00B10036">
        <w:rPr>
          <w:noProof/>
        </w:rPr>
        <w:t>Wzmocnienia bazy danych,</w:t>
      </w:r>
      <w:r w:rsidRPr="00B10036">
        <w:rPr>
          <w:noProof/>
        </w:rPr>
        <w:t xml:space="preserve"> w</w:t>
      </w:r>
      <w:r>
        <w:rPr>
          <w:noProof/>
        </w:rPr>
        <w:t> </w:t>
      </w:r>
      <w:r w:rsidRPr="00B10036">
        <w:rPr>
          <w:noProof/>
        </w:rPr>
        <w:t>szc</w:t>
      </w:r>
      <w:r w:rsidR="00002649" w:rsidRPr="00B10036">
        <w:rPr>
          <w:noProof/>
        </w:rPr>
        <w:t>zególności przez dostęp do źródeł danych administracyjnych oraz,</w:t>
      </w:r>
      <w:r w:rsidRPr="00B10036">
        <w:rPr>
          <w:noProof/>
        </w:rPr>
        <w:t xml:space="preserve"> w</w:t>
      </w:r>
      <w:r>
        <w:rPr>
          <w:noProof/>
        </w:rPr>
        <w:t> </w:t>
      </w:r>
      <w:r w:rsidRPr="00B10036">
        <w:rPr>
          <w:noProof/>
        </w:rPr>
        <w:t>sto</w:t>
      </w:r>
      <w:r w:rsidR="00002649" w:rsidRPr="00B10036">
        <w:rPr>
          <w:noProof/>
        </w:rPr>
        <w:t>sownych przypadkach, danych pochodzących od partnerów społecznych, przemysłu, społeczeństwa obywatelskiego</w:t>
      </w:r>
      <w:r w:rsidRPr="00B10036">
        <w:rPr>
          <w:noProof/>
        </w:rPr>
        <w:t xml:space="preserve"> i</w:t>
      </w:r>
      <w:r>
        <w:rPr>
          <w:noProof/>
        </w:rPr>
        <w:t> </w:t>
      </w:r>
      <w:r w:rsidRPr="00B10036">
        <w:rPr>
          <w:noProof/>
        </w:rPr>
        <w:t>poz</w:t>
      </w:r>
      <w:r w:rsidR="00002649" w:rsidRPr="00B10036">
        <w:rPr>
          <w:noProof/>
        </w:rPr>
        <w:t>yskanych</w:t>
      </w:r>
      <w:r w:rsidRPr="00B10036">
        <w:rPr>
          <w:noProof/>
        </w:rPr>
        <w:t xml:space="preserve"> w</w:t>
      </w:r>
      <w:r>
        <w:rPr>
          <w:noProof/>
        </w:rPr>
        <w:t> </w:t>
      </w:r>
      <w:r w:rsidRPr="00B10036">
        <w:rPr>
          <w:noProof/>
        </w:rPr>
        <w:t>ram</w:t>
      </w:r>
      <w:r w:rsidR="00002649" w:rsidRPr="00B10036">
        <w:rPr>
          <w:noProof/>
        </w:rPr>
        <w:t>ach badań opinii publicznej,</w:t>
      </w:r>
      <w:r w:rsidRPr="00B10036">
        <w:rPr>
          <w:noProof/>
        </w:rPr>
        <w:t xml:space="preserve"> a</w:t>
      </w:r>
      <w:r>
        <w:rPr>
          <w:noProof/>
        </w:rPr>
        <w:t> </w:t>
      </w:r>
      <w:r w:rsidRPr="00B10036">
        <w:rPr>
          <w:noProof/>
        </w:rPr>
        <w:t>tak</w:t>
      </w:r>
      <w:r w:rsidR="00002649" w:rsidRPr="00B10036">
        <w:rPr>
          <w:noProof/>
        </w:rPr>
        <w:t>że uaktualnienia wytycznych metodologicznych dotyczących oceny skutków</w:t>
      </w:r>
      <w:r w:rsidRPr="00B10036">
        <w:rPr>
          <w:noProof/>
        </w:rPr>
        <w:t xml:space="preserve"> w</w:t>
      </w:r>
      <w:r>
        <w:rPr>
          <w:noProof/>
        </w:rPr>
        <w:t> </w:t>
      </w:r>
      <w:r w:rsidRPr="00B10036">
        <w:rPr>
          <w:noProof/>
        </w:rPr>
        <w:t>zak</w:t>
      </w:r>
      <w:r w:rsidR="00002649" w:rsidRPr="00B10036">
        <w:rPr>
          <w:noProof/>
        </w:rPr>
        <w:t>resie zatrudnienia oraz skutków społecznych</w:t>
      </w:r>
      <w:r w:rsidRPr="00B10036">
        <w:rPr>
          <w:noProof/>
        </w:rPr>
        <w:t xml:space="preserve"> i</w:t>
      </w:r>
      <w:r>
        <w:rPr>
          <w:noProof/>
        </w:rPr>
        <w:t> </w:t>
      </w:r>
      <w:r w:rsidRPr="00B10036">
        <w:rPr>
          <w:noProof/>
        </w:rPr>
        <w:t>dys</w:t>
      </w:r>
      <w:r w:rsidR="00002649" w:rsidRPr="00B10036">
        <w:rPr>
          <w:noProof/>
        </w:rPr>
        <w:t>trybucyjnych sprawiedliwej transformacji oraz polityki klimatycznej</w:t>
      </w:r>
      <w:r w:rsidRPr="00B10036">
        <w:rPr>
          <w:noProof/>
        </w:rPr>
        <w:t xml:space="preserve"> i</w:t>
      </w:r>
      <w:r>
        <w:rPr>
          <w:noProof/>
        </w:rPr>
        <w:t> </w:t>
      </w:r>
      <w:r w:rsidRPr="00B10036">
        <w:rPr>
          <w:noProof/>
        </w:rPr>
        <w:t>ene</w:t>
      </w:r>
      <w:r w:rsidR="00002649" w:rsidRPr="00B10036">
        <w:rPr>
          <w:noProof/>
        </w:rPr>
        <w:t>rgetycznej,</w:t>
      </w:r>
      <w:r w:rsidRPr="00B10036">
        <w:rPr>
          <w:noProof/>
        </w:rPr>
        <w:t xml:space="preserve"> w</w:t>
      </w:r>
      <w:r>
        <w:rPr>
          <w:noProof/>
        </w:rPr>
        <w:t> </w:t>
      </w:r>
      <w:r w:rsidRPr="00B10036">
        <w:rPr>
          <w:noProof/>
        </w:rPr>
        <w:t>tym</w:t>
      </w:r>
      <w:r w:rsidR="00002649" w:rsidRPr="00B10036">
        <w:rPr>
          <w:noProof/>
        </w:rPr>
        <w:t xml:space="preserve"> –</w:t>
      </w:r>
      <w:r w:rsidRPr="00B10036">
        <w:rPr>
          <w:noProof/>
        </w:rPr>
        <w:t xml:space="preserve"> w</w:t>
      </w:r>
      <w:r>
        <w:rPr>
          <w:noProof/>
        </w:rPr>
        <w:t> </w:t>
      </w:r>
      <w:r w:rsidRPr="00B10036">
        <w:rPr>
          <w:noProof/>
        </w:rPr>
        <w:t>sto</w:t>
      </w:r>
      <w:r w:rsidR="00002649" w:rsidRPr="00B10036">
        <w:rPr>
          <w:noProof/>
        </w:rPr>
        <w:t>sownych przypadkach –</w:t>
      </w:r>
      <w:r w:rsidRPr="00B10036">
        <w:rPr>
          <w:noProof/>
        </w:rPr>
        <w:t xml:space="preserve"> w</w:t>
      </w:r>
      <w:r>
        <w:rPr>
          <w:noProof/>
        </w:rPr>
        <w:t> </w:t>
      </w:r>
      <w:r w:rsidRPr="00B10036">
        <w:rPr>
          <w:noProof/>
        </w:rPr>
        <w:t>kon</w:t>
      </w:r>
      <w:r w:rsidR="00002649" w:rsidRPr="00B10036">
        <w:rPr>
          <w:noProof/>
        </w:rPr>
        <w:t>tekście europejskiego semestru.</w:t>
      </w:r>
    </w:p>
    <w:p w14:paraId="30EC6D43" w14:textId="608B84FF" w:rsidR="00002649" w:rsidRPr="00B10036" w:rsidRDefault="00B10036" w:rsidP="00B10036">
      <w:pPr>
        <w:pStyle w:val="Point1"/>
        <w:rPr>
          <w:noProof/>
        </w:rPr>
      </w:pPr>
      <w:r w:rsidRPr="00B10036">
        <w:rPr>
          <w:noProof/>
        </w:rPr>
        <w:t>d)</w:t>
      </w:r>
      <w:r w:rsidRPr="00B10036">
        <w:rPr>
          <w:noProof/>
        </w:rPr>
        <w:tab/>
      </w:r>
      <w:r w:rsidR="00002649" w:rsidRPr="00B10036">
        <w:rPr>
          <w:noProof/>
        </w:rPr>
        <w:t>Wzmocnienia regularnego monitorowania</w:t>
      </w:r>
      <w:r w:rsidRPr="00B10036">
        <w:rPr>
          <w:noProof/>
        </w:rPr>
        <w:t xml:space="preserve"> i</w:t>
      </w:r>
      <w:r>
        <w:rPr>
          <w:noProof/>
        </w:rPr>
        <w:t> </w:t>
      </w:r>
      <w:r w:rsidRPr="00B10036">
        <w:rPr>
          <w:noProof/>
        </w:rPr>
        <w:t>ana</w:t>
      </w:r>
      <w:r w:rsidR="00002649" w:rsidRPr="00B10036">
        <w:rPr>
          <w:noProof/>
        </w:rPr>
        <w:t>liz prognostycznych dotyczących rozwoju sytuacji</w:t>
      </w:r>
      <w:r w:rsidRPr="00B10036">
        <w:rPr>
          <w:noProof/>
        </w:rPr>
        <w:t xml:space="preserve"> i</w:t>
      </w:r>
      <w:r>
        <w:rPr>
          <w:noProof/>
        </w:rPr>
        <w:t> </w:t>
      </w:r>
      <w:r w:rsidRPr="00B10036">
        <w:rPr>
          <w:noProof/>
        </w:rPr>
        <w:t>zag</w:t>
      </w:r>
      <w:r w:rsidR="00002649" w:rsidRPr="00B10036">
        <w:rPr>
          <w:noProof/>
        </w:rPr>
        <w:t>rożeń związanych</w:t>
      </w:r>
      <w:r w:rsidRPr="00B10036">
        <w:rPr>
          <w:noProof/>
        </w:rPr>
        <w:t xml:space="preserve"> z</w:t>
      </w:r>
      <w:r>
        <w:rPr>
          <w:noProof/>
        </w:rPr>
        <w:t> </w:t>
      </w:r>
      <w:r w:rsidRPr="00B10036">
        <w:rPr>
          <w:noProof/>
        </w:rPr>
        <w:t>ubó</w:t>
      </w:r>
      <w:r w:rsidR="00002649" w:rsidRPr="00B10036">
        <w:rPr>
          <w:noProof/>
        </w:rPr>
        <w:t>stwem energetycznym w UE,</w:t>
      </w:r>
      <w:r w:rsidRPr="00B10036">
        <w:rPr>
          <w:noProof/>
        </w:rPr>
        <w:t xml:space="preserve"> w</w:t>
      </w:r>
      <w:r>
        <w:rPr>
          <w:noProof/>
        </w:rPr>
        <w:t> </w:t>
      </w:r>
      <w:r w:rsidRPr="00B10036">
        <w:rPr>
          <w:noProof/>
        </w:rPr>
        <w:t>tym</w:t>
      </w:r>
      <w:r w:rsidR="00002649" w:rsidRPr="00B10036">
        <w:rPr>
          <w:noProof/>
        </w:rPr>
        <w:t xml:space="preserve"> aspektów społecznych</w:t>
      </w:r>
      <w:r w:rsidRPr="00B10036">
        <w:rPr>
          <w:noProof/>
        </w:rPr>
        <w:t xml:space="preserve"> i</w:t>
      </w:r>
      <w:r>
        <w:rPr>
          <w:noProof/>
        </w:rPr>
        <w:t> </w:t>
      </w:r>
      <w:r w:rsidRPr="00B10036">
        <w:rPr>
          <w:noProof/>
        </w:rPr>
        <w:t>dys</w:t>
      </w:r>
      <w:r w:rsidR="00002649" w:rsidRPr="00B10036">
        <w:rPr>
          <w:noProof/>
        </w:rPr>
        <w:t>trybucyjnych, również na potrzeby prac grupy koordynacyjnej ds. ubóstwa energetycznego</w:t>
      </w:r>
      <w:r w:rsidRPr="00B10036">
        <w:rPr>
          <w:noProof/>
        </w:rPr>
        <w:t xml:space="preserve"> i</w:t>
      </w:r>
      <w:r>
        <w:rPr>
          <w:noProof/>
        </w:rPr>
        <w:t> </w:t>
      </w:r>
      <w:r w:rsidRPr="00B10036">
        <w:rPr>
          <w:noProof/>
        </w:rPr>
        <w:t>wra</w:t>
      </w:r>
      <w:r w:rsidR="00002649" w:rsidRPr="00B10036">
        <w:rPr>
          <w:noProof/>
        </w:rPr>
        <w:t xml:space="preserve">żliwych odbiorców energii oraz innych odpowiednich grup ekspertów. </w:t>
      </w:r>
    </w:p>
    <w:p w14:paraId="1096339E" w14:textId="61AAD6B8" w:rsidR="00826CA8" w:rsidRPr="00B10036" w:rsidRDefault="00B10036" w:rsidP="00B10036">
      <w:pPr>
        <w:pStyle w:val="Point1"/>
        <w:rPr>
          <w:noProof/>
        </w:rPr>
      </w:pPr>
      <w:r w:rsidRPr="00B10036">
        <w:rPr>
          <w:noProof/>
        </w:rPr>
        <w:t>e)</w:t>
      </w:r>
      <w:r w:rsidRPr="00B10036">
        <w:rPr>
          <w:noProof/>
        </w:rPr>
        <w:tab/>
      </w:r>
      <w:r w:rsidR="00826CA8" w:rsidRPr="00B10036">
        <w:rPr>
          <w:noProof/>
        </w:rPr>
        <w:t>Rozwoju dalszych badań</w:t>
      </w:r>
      <w:r w:rsidRPr="00B10036">
        <w:rPr>
          <w:noProof/>
        </w:rPr>
        <w:t xml:space="preserve"> i</w:t>
      </w:r>
      <w:r>
        <w:rPr>
          <w:noProof/>
        </w:rPr>
        <w:t> </w:t>
      </w:r>
      <w:r w:rsidRPr="00B10036">
        <w:rPr>
          <w:noProof/>
        </w:rPr>
        <w:t>wzm</w:t>
      </w:r>
      <w:r w:rsidR="00826CA8" w:rsidRPr="00B10036">
        <w:rPr>
          <w:noProof/>
        </w:rPr>
        <w:t>ocnienia bazy dowodowej dotyczącej definicji, monitorowania</w:t>
      </w:r>
      <w:r w:rsidRPr="00B10036">
        <w:rPr>
          <w:noProof/>
        </w:rPr>
        <w:t xml:space="preserve"> i</w:t>
      </w:r>
      <w:r>
        <w:rPr>
          <w:noProof/>
        </w:rPr>
        <w:t> </w:t>
      </w:r>
      <w:r w:rsidRPr="00B10036">
        <w:rPr>
          <w:noProof/>
        </w:rPr>
        <w:t>oce</w:t>
      </w:r>
      <w:r w:rsidR="00826CA8" w:rsidRPr="00B10036">
        <w:rPr>
          <w:noProof/>
        </w:rPr>
        <w:t>ny postępów</w:t>
      </w:r>
      <w:r w:rsidRPr="00B10036">
        <w:rPr>
          <w:noProof/>
        </w:rPr>
        <w:t xml:space="preserve"> w</w:t>
      </w:r>
      <w:r>
        <w:rPr>
          <w:noProof/>
        </w:rPr>
        <w:t> </w:t>
      </w:r>
      <w:r w:rsidRPr="00B10036">
        <w:rPr>
          <w:noProof/>
        </w:rPr>
        <w:t>zap</w:t>
      </w:r>
      <w:r w:rsidR="00826CA8" w:rsidRPr="00B10036">
        <w:rPr>
          <w:noProof/>
        </w:rPr>
        <w:t>ewnianiu odpowiedniego dostępu do podstawowych usług, także poprzez rozwijanie koncepcji „ubóstwa transportowego”,</w:t>
      </w:r>
      <w:r w:rsidRPr="00B10036">
        <w:rPr>
          <w:noProof/>
        </w:rPr>
        <w:t xml:space="preserve"> w</w:t>
      </w:r>
      <w:r>
        <w:rPr>
          <w:noProof/>
        </w:rPr>
        <w:t> </w:t>
      </w:r>
      <w:r w:rsidRPr="00B10036">
        <w:rPr>
          <w:noProof/>
        </w:rPr>
        <w:t>sto</w:t>
      </w:r>
      <w:r w:rsidR="00826CA8" w:rsidRPr="00B10036">
        <w:rPr>
          <w:noProof/>
        </w:rPr>
        <w:t>sownych przypadkach,</w:t>
      </w:r>
      <w:r w:rsidRPr="00B10036">
        <w:rPr>
          <w:noProof/>
        </w:rPr>
        <w:t xml:space="preserve"> w</w:t>
      </w:r>
      <w:r>
        <w:rPr>
          <w:noProof/>
        </w:rPr>
        <w:t> </w:t>
      </w:r>
      <w:r w:rsidRPr="00B10036">
        <w:rPr>
          <w:noProof/>
        </w:rPr>
        <w:t>szc</w:t>
      </w:r>
      <w:r w:rsidR="00826CA8" w:rsidRPr="00B10036">
        <w:rPr>
          <w:noProof/>
        </w:rPr>
        <w:t>zególności</w:t>
      </w:r>
      <w:r w:rsidRPr="00B10036">
        <w:rPr>
          <w:noProof/>
        </w:rPr>
        <w:t xml:space="preserve"> w</w:t>
      </w:r>
      <w:r>
        <w:rPr>
          <w:noProof/>
        </w:rPr>
        <w:t> </w:t>
      </w:r>
      <w:r w:rsidRPr="00B10036">
        <w:rPr>
          <w:noProof/>
        </w:rPr>
        <w:t>kon</w:t>
      </w:r>
      <w:r w:rsidR="00826CA8" w:rsidRPr="00B10036">
        <w:rPr>
          <w:noProof/>
        </w:rPr>
        <w:t>tekście zielonej transformacji</w:t>
      </w:r>
      <w:r w:rsidRPr="00B10036">
        <w:rPr>
          <w:noProof/>
        </w:rPr>
        <w:t xml:space="preserve"> w</w:t>
      </w:r>
      <w:r>
        <w:rPr>
          <w:noProof/>
        </w:rPr>
        <w:t> </w:t>
      </w:r>
      <w:r w:rsidRPr="00B10036">
        <w:rPr>
          <w:noProof/>
        </w:rPr>
        <w:t>kie</w:t>
      </w:r>
      <w:r w:rsidR="00826CA8" w:rsidRPr="00B10036">
        <w:rPr>
          <w:noProof/>
        </w:rPr>
        <w:t>runku zrównoważonej gospodarki dobrobytu.</w:t>
      </w:r>
    </w:p>
    <w:p w14:paraId="6D46F954" w14:textId="57190E4A" w:rsidR="005B01BC" w:rsidRPr="00B10036" w:rsidRDefault="00B10036" w:rsidP="00B10036">
      <w:pPr>
        <w:pStyle w:val="Point1"/>
        <w:rPr>
          <w:noProof/>
        </w:rPr>
      </w:pPr>
      <w:r w:rsidRPr="00B10036">
        <w:rPr>
          <w:noProof/>
        </w:rPr>
        <w:t>f)</w:t>
      </w:r>
      <w:r w:rsidRPr="00B10036">
        <w:rPr>
          <w:noProof/>
        </w:rPr>
        <w:tab/>
      </w:r>
      <w:r w:rsidR="00002649" w:rsidRPr="00B10036">
        <w:rPr>
          <w:noProof/>
        </w:rPr>
        <w:t>Przeglądu postępów we wdrażaniu niniejszego zalecenia</w:t>
      </w:r>
      <w:r w:rsidRPr="00B10036">
        <w:rPr>
          <w:noProof/>
        </w:rPr>
        <w:t xml:space="preserve"> w</w:t>
      </w:r>
      <w:r>
        <w:rPr>
          <w:noProof/>
        </w:rPr>
        <w:t> </w:t>
      </w:r>
      <w:r w:rsidRPr="00B10036">
        <w:rPr>
          <w:noProof/>
        </w:rPr>
        <w:t>kon</w:t>
      </w:r>
      <w:r w:rsidR="00002649" w:rsidRPr="00B10036">
        <w:rPr>
          <w:noProof/>
        </w:rPr>
        <w:t>tekście wielostronnego nadzoru</w:t>
      </w:r>
      <w:r w:rsidRPr="00B10036">
        <w:rPr>
          <w:noProof/>
        </w:rPr>
        <w:t xml:space="preserve"> w</w:t>
      </w:r>
      <w:r>
        <w:rPr>
          <w:noProof/>
        </w:rPr>
        <w:t> </w:t>
      </w:r>
      <w:r w:rsidRPr="00B10036">
        <w:rPr>
          <w:noProof/>
        </w:rPr>
        <w:t>ram</w:t>
      </w:r>
      <w:r w:rsidR="00002649" w:rsidRPr="00B10036">
        <w:rPr>
          <w:noProof/>
        </w:rPr>
        <w:t>ach europejskiego semestru,</w:t>
      </w:r>
      <w:r w:rsidRPr="00B10036">
        <w:rPr>
          <w:noProof/>
        </w:rPr>
        <w:t xml:space="preserve"> w</w:t>
      </w:r>
      <w:r>
        <w:rPr>
          <w:noProof/>
        </w:rPr>
        <w:t> </w:t>
      </w:r>
      <w:r w:rsidRPr="00B10036">
        <w:rPr>
          <w:noProof/>
        </w:rPr>
        <w:t>opa</w:t>
      </w:r>
      <w:r w:rsidR="00002649" w:rsidRPr="00B10036">
        <w:rPr>
          <w:noProof/>
        </w:rPr>
        <w:t>rciu</w:t>
      </w:r>
      <w:r w:rsidRPr="00B10036">
        <w:rPr>
          <w:noProof/>
        </w:rPr>
        <w:t xml:space="preserve"> o</w:t>
      </w:r>
      <w:r>
        <w:rPr>
          <w:noProof/>
        </w:rPr>
        <w:t> </w:t>
      </w:r>
      <w:r w:rsidRPr="00B10036">
        <w:rPr>
          <w:noProof/>
        </w:rPr>
        <w:t>ist</w:t>
      </w:r>
      <w:r w:rsidR="00002649" w:rsidRPr="00B10036">
        <w:rPr>
          <w:noProof/>
        </w:rPr>
        <w:t>niejące tablice wskaźników</w:t>
      </w:r>
      <w:r w:rsidRPr="00B10036">
        <w:rPr>
          <w:noProof/>
        </w:rPr>
        <w:t xml:space="preserve"> i</w:t>
      </w:r>
      <w:r>
        <w:rPr>
          <w:noProof/>
        </w:rPr>
        <w:t> </w:t>
      </w:r>
      <w:r w:rsidRPr="00B10036">
        <w:rPr>
          <w:noProof/>
        </w:rPr>
        <w:t>ram</w:t>
      </w:r>
      <w:r w:rsidR="00002649" w:rsidRPr="00B10036">
        <w:rPr>
          <w:noProof/>
        </w:rPr>
        <w:t>y monitorowania,</w:t>
      </w:r>
      <w:r w:rsidRPr="00B10036">
        <w:rPr>
          <w:noProof/>
        </w:rPr>
        <w:t xml:space="preserve"> w</w:t>
      </w:r>
      <w:r>
        <w:rPr>
          <w:noProof/>
        </w:rPr>
        <w:t> </w:t>
      </w:r>
      <w:r w:rsidRPr="00B10036">
        <w:rPr>
          <w:noProof/>
        </w:rPr>
        <w:t>raz</w:t>
      </w:r>
      <w:r w:rsidR="00002649" w:rsidRPr="00B10036">
        <w:rPr>
          <w:noProof/>
        </w:rPr>
        <w:t>ie potrzeby rozszerzone</w:t>
      </w:r>
      <w:r w:rsidRPr="00B10036">
        <w:rPr>
          <w:noProof/>
        </w:rPr>
        <w:t xml:space="preserve"> o</w:t>
      </w:r>
      <w:r>
        <w:rPr>
          <w:noProof/>
        </w:rPr>
        <w:t> </w:t>
      </w:r>
      <w:r w:rsidRPr="00B10036">
        <w:rPr>
          <w:noProof/>
        </w:rPr>
        <w:t>dod</w:t>
      </w:r>
      <w:r w:rsidR="00002649" w:rsidRPr="00B10036">
        <w:rPr>
          <w:noProof/>
        </w:rPr>
        <w:t>atkowe wskaźniki. Rozważenia wytycznych zawartych</w:t>
      </w:r>
      <w:r w:rsidRPr="00B10036">
        <w:rPr>
          <w:noProof/>
        </w:rPr>
        <w:t xml:space="preserve"> w</w:t>
      </w:r>
      <w:r>
        <w:rPr>
          <w:noProof/>
        </w:rPr>
        <w:t> </w:t>
      </w:r>
      <w:r w:rsidRPr="00B10036">
        <w:rPr>
          <w:noProof/>
        </w:rPr>
        <w:t>nin</w:t>
      </w:r>
      <w:r w:rsidR="00002649" w:rsidRPr="00B10036">
        <w:rPr>
          <w:noProof/>
        </w:rPr>
        <w:t>iejszym zaleceniu</w:t>
      </w:r>
      <w:r w:rsidRPr="00B10036">
        <w:rPr>
          <w:noProof/>
        </w:rPr>
        <w:t xml:space="preserve"> w</w:t>
      </w:r>
      <w:r>
        <w:rPr>
          <w:noProof/>
        </w:rPr>
        <w:t> </w:t>
      </w:r>
      <w:r w:rsidRPr="00B10036">
        <w:rPr>
          <w:noProof/>
        </w:rPr>
        <w:t>kon</w:t>
      </w:r>
      <w:r w:rsidR="00002649" w:rsidRPr="00B10036">
        <w:rPr>
          <w:noProof/>
        </w:rPr>
        <w:t>tekście rozporządzenia</w:t>
      </w:r>
      <w:r w:rsidRPr="00B10036">
        <w:rPr>
          <w:noProof/>
        </w:rPr>
        <w:t xml:space="preserve"> w</w:t>
      </w:r>
      <w:r>
        <w:rPr>
          <w:noProof/>
        </w:rPr>
        <w:t> </w:t>
      </w:r>
      <w:r w:rsidRPr="00B10036">
        <w:rPr>
          <w:noProof/>
        </w:rPr>
        <w:t>spr</w:t>
      </w:r>
      <w:r w:rsidR="00002649" w:rsidRPr="00B10036">
        <w:rPr>
          <w:noProof/>
        </w:rPr>
        <w:t>awie zarządzania unią energetyczną</w:t>
      </w:r>
      <w:r w:rsidRPr="00B10036">
        <w:rPr>
          <w:noProof/>
        </w:rPr>
        <w:t xml:space="preserve"> i</w:t>
      </w:r>
      <w:r>
        <w:rPr>
          <w:noProof/>
        </w:rPr>
        <w:t> </w:t>
      </w:r>
      <w:r w:rsidRPr="00B10036">
        <w:rPr>
          <w:noProof/>
        </w:rPr>
        <w:t>dzi</w:t>
      </w:r>
      <w:r w:rsidR="00002649" w:rsidRPr="00B10036">
        <w:rPr>
          <w:noProof/>
        </w:rPr>
        <w:t>ałaniami</w:t>
      </w:r>
      <w:r w:rsidRPr="00B10036">
        <w:rPr>
          <w:noProof/>
        </w:rPr>
        <w:t xml:space="preserve"> w</w:t>
      </w:r>
      <w:r>
        <w:rPr>
          <w:noProof/>
        </w:rPr>
        <w:t> </w:t>
      </w:r>
      <w:r w:rsidRPr="00B10036">
        <w:rPr>
          <w:noProof/>
        </w:rPr>
        <w:t>dzi</w:t>
      </w:r>
      <w:r w:rsidR="00002649" w:rsidRPr="00B10036">
        <w:rPr>
          <w:noProof/>
        </w:rPr>
        <w:t>edzinie klimatu,</w:t>
      </w:r>
      <w:r w:rsidRPr="00B10036">
        <w:rPr>
          <w:noProof/>
        </w:rPr>
        <w:t xml:space="preserve"> w</w:t>
      </w:r>
      <w:r>
        <w:rPr>
          <w:noProof/>
        </w:rPr>
        <w:t> </w:t>
      </w:r>
      <w:r w:rsidRPr="00B10036">
        <w:rPr>
          <w:noProof/>
        </w:rPr>
        <w:t>szc</w:t>
      </w:r>
      <w:r w:rsidR="00002649" w:rsidRPr="00B10036">
        <w:rPr>
          <w:noProof/>
        </w:rPr>
        <w:t>zególności</w:t>
      </w:r>
      <w:r w:rsidRPr="00B10036">
        <w:rPr>
          <w:noProof/>
        </w:rPr>
        <w:t xml:space="preserve"> w</w:t>
      </w:r>
      <w:r>
        <w:rPr>
          <w:noProof/>
        </w:rPr>
        <w:t> </w:t>
      </w:r>
      <w:r w:rsidRPr="00B10036">
        <w:rPr>
          <w:noProof/>
        </w:rPr>
        <w:t>ram</w:t>
      </w:r>
      <w:r w:rsidR="00002649" w:rsidRPr="00B10036">
        <w:rPr>
          <w:noProof/>
        </w:rPr>
        <w:t>ach ocen Komisji podczas zbliżającej się aktualizacji zintegrowanych krajowych planów</w:t>
      </w:r>
      <w:r w:rsidRPr="00B10036">
        <w:rPr>
          <w:noProof/>
        </w:rPr>
        <w:t xml:space="preserve"> w</w:t>
      </w:r>
      <w:r>
        <w:rPr>
          <w:noProof/>
        </w:rPr>
        <w:t> </w:t>
      </w:r>
      <w:r w:rsidRPr="00B10036">
        <w:rPr>
          <w:noProof/>
        </w:rPr>
        <w:t>dzi</w:t>
      </w:r>
      <w:r w:rsidR="00002649" w:rsidRPr="00B10036">
        <w:rPr>
          <w:noProof/>
        </w:rPr>
        <w:t>edzinie energii</w:t>
      </w:r>
      <w:r w:rsidRPr="00B10036">
        <w:rPr>
          <w:noProof/>
        </w:rPr>
        <w:t xml:space="preserve"> i</w:t>
      </w:r>
      <w:r>
        <w:rPr>
          <w:noProof/>
        </w:rPr>
        <w:t> </w:t>
      </w:r>
      <w:r w:rsidRPr="00B10036">
        <w:rPr>
          <w:noProof/>
        </w:rPr>
        <w:t>kli</w:t>
      </w:r>
      <w:r w:rsidR="00002649" w:rsidRPr="00B10036">
        <w:rPr>
          <w:noProof/>
        </w:rPr>
        <w:t>matu</w:t>
      </w:r>
      <w:r w:rsidRPr="00B10036">
        <w:rPr>
          <w:noProof/>
        </w:rPr>
        <w:t xml:space="preserve"> w</w:t>
      </w:r>
      <w:r>
        <w:rPr>
          <w:noProof/>
        </w:rPr>
        <w:t> </w:t>
      </w:r>
      <w:r w:rsidRPr="00B10036">
        <w:rPr>
          <w:noProof/>
        </w:rPr>
        <w:t>lat</w:t>
      </w:r>
      <w:r w:rsidR="00002649" w:rsidRPr="00B10036">
        <w:rPr>
          <w:noProof/>
        </w:rPr>
        <w:t xml:space="preserve">ach 2023–2024. </w:t>
      </w:r>
    </w:p>
    <w:p w14:paraId="45ED4F0D" w14:textId="3D73BB77" w:rsidR="0010430B" w:rsidRPr="00B10036" w:rsidRDefault="0010430B" w:rsidP="00AE5D56">
      <w:pPr>
        <w:rPr>
          <w:noProof/>
        </w:rPr>
      </w:pPr>
    </w:p>
    <w:p w14:paraId="7BCEA216" w14:textId="4E127CDA" w:rsidR="00002649" w:rsidRPr="00B10036" w:rsidRDefault="00BF59A5" w:rsidP="00C45A27">
      <w:pPr>
        <w:pStyle w:val="Fait"/>
        <w:rPr>
          <w:noProof/>
        </w:rPr>
      </w:pPr>
      <w:r w:rsidRPr="00BF59A5">
        <w:t>Sporządzono w Strasburgu dnia  r.</w:t>
      </w:r>
    </w:p>
    <w:p w14:paraId="412D2B71" w14:textId="77777777" w:rsidR="00002649" w:rsidRPr="00B10036" w:rsidRDefault="00002649" w:rsidP="00C45A27">
      <w:pPr>
        <w:pStyle w:val="Institutionquisigne"/>
        <w:rPr>
          <w:noProof/>
        </w:rPr>
      </w:pPr>
      <w:r w:rsidRPr="00B10036">
        <w:rPr>
          <w:noProof/>
        </w:rPr>
        <w:tab/>
        <w:t>W imieniu Rady</w:t>
      </w:r>
    </w:p>
    <w:p w14:paraId="7CE854DB" w14:textId="77777777" w:rsidR="00A17AEC" w:rsidRPr="00B10036" w:rsidRDefault="00002649" w:rsidP="002B5976">
      <w:pPr>
        <w:pStyle w:val="Personnequisigne"/>
        <w:rPr>
          <w:noProof/>
        </w:rPr>
      </w:pPr>
      <w:r w:rsidRPr="00B10036">
        <w:rPr>
          <w:noProof/>
        </w:rPr>
        <w:tab/>
        <w:t>Przewodniczący</w:t>
      </w:r>
    </w:p>
    <w:sectPr w:rsidR="00A17AEC" w:rsidRPr="00B10036" w:rsidSect="00CE7A11">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7F80" w16cex:dateUtc="2021-12-08T18:01:00Z"/>
  <w16cex:commentExtensible w16cex:durableId="255B25A7" w16cex:dateUtc="2021-12-0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15910" w16cid:durableId="255B7F80"/>
  <w16cid:commentId w16cid:paraId="6E530A5C" w16cid:durableId="255B25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0AAA" w14:textId="77777777" w:rsidR="005A6A52" w:rsidRPr="00B10036" w:rsidRDefault="005A6A52" w:rsidP="00A17AEC">
      <w:pPr>
        <w:spacing w:before="0" w:after="0"/>
      </w:pPr>
      <w:r w:rsidRPr="00B10036">
        <w:separator/>
      </w:r>
    </w:p>
  </w:endnote>
  <w:endnote w:type="continuationSeparator" w:id="0">
    <w:p w14:paraId="7E56E696" w14:textId="77777777" w:rsidR="005A6A52" w:rsidRPr="00B10036" w:rsidRDefault="005A6A52" w:rsidP="00A17AEC">
      <w:pPr>
        <w:spacing w:before="0" w:after="0"/>
      </w:pPr>
      <w:r w:rsidRPr="00B10036">
        <w:continuationSeparator/>
      </w:r>
    </w:p>
  </w:endnote>
  <w:endnote w:type="continuationNotice" w:id="1">
    <w:p w14:paraId="30A235A7" w14:textId="77777777" w:rsidR="005A6A52" w:rsidRPr="00B10036" w:rsidRDefault="005A6A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29D6" w14:textId="3AD2BD18" w:rsidR="00FE2A2A" w:rsidRPr="00CE7A11" w:rsidRDefault="00CE7A11" w:rsidP="00CE7A11">
    <w:pPr>
      <w:pStyle w:val="Footer"/>
      <w:rPr>
        <w:rFonts w:ascii="Arial" w:hAnsi="Arial" w:cs="Arial"/>
        <w:b/>
        <w:sz w:val="48"/>
      </w:rPr>
    </w:pPr>
    <w:r w:rsidRPr="00CE7A11">
      <w:rPr>
        <w:rFonts w:ascii="Arial" w:hAnsi="Arial" w:cs="Arial"/>
        <w:b/>
        <w:sz w:val="48"/>
      </w:rPr>
      <w:t>PL</w:t>
    </w:r>
    <w:r w:rsidRPr="00CE7A11">
      <w:rPr>
        <w:rFonts w:ascii="Arial" w:hAnsi="Arial" w:cs="Arial"/>
        <w:b/>
        <w:sz w:val="48"/>
      </w:rPr>
      <w:tab/>
    </w:r>
    <w:r w:rsidRPr="00CE7A11">
      <w:rPr>
        <w:rFonts w:ascii="Arial" w:hAnsi="Arial" w:cs="Arial"/>
        <w:b/>
        <w:sz w:val="48"/>
      </w:rPr>
      <w:tab/>
    </w:r>
    <w:r w:rsidRPr="00CE7A11">
      <w:tab/>
    </w:r>
    <w:r w:rsidRPr="00CE7A11">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000E" w14:textId="7A601DC5" w:rsidR="00CE7A11" w:rsidRPr="00CE7A11" w:rsidRDefault="00CE7A11" w:rsidP="00CE7A11">
    <w:pPr>
      <w:pStyle w:val="Footer"/>
      <w:rPr>
        <w:rFonts w:ascii="Arial" w:hAnsi="Arial" w:cs="Arial"/>
        <w:b/>
        <w:sz w:val="48"/>
      </w:rPr>
    </w:pPr>
    <w:r w:rsidRPr="00CE7A11">
      <w:rPr>
        <w:rFonts w:ascii="Arial" w:hAnsi="Arial" w:cs="Arial"/>
        <w:b/>
        <w:sz w:val="48"/>
      </w:rPr>
      <w:t>PL</w:t>
    </w:r>
    <w:r w:rsidRPr="00CE7A11">
      <w:rPr>
        <w:rFonts w:ascii="Arial" w:hAnsi="Arial" w:cs="Arial"/>
        <w:b/>
        <w:sz w:val="48"/>
      </w:rPr>
      <w:tab/>
    </w:r>
    <w:r>
      <w:fldChar w:fldCharType="begin"/>
    </w:r>
    <w:r>
      <w:instrText xml:space="preserve"> PAGE  \* MERGEFORMAT </w:instrText>
    </w:r>
    <w:r>
      <w:fldChar w:fldCharType="separate"/>
    </w:r>
    <w:r w:rsidR="00C45A27">
      <w:rPr>
        <w:noProof/>
      </w:rPr>
      <w:t>39</w:t>
    </w:r>
    <w:r>
      <w:fldChar w:fldCharType="end"/>
    </w:r>
    <w:r>
      <w:tab/>
    </w:r>
    <w:r w:rsidRPr="00CE7A11">
      <w:tab/>
    </w:r>
    <w:r w:rsidRPr="00CE7A11">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4E050" w14:textId="77777777" w:rsidR="00CE7A11" w:rsidRPr="00CE7A11" w:rsidRDefault="00CE7A11" w:rsidP="00CE7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4839" w14:textId="77777777" w:rsidR="005A6A52" w:rsidRPr="00B10036" w:rsidRDefault="005A6A52" w:rsidP="00A17AEC">
      <w:pPr>
        <w:spacing w:before="0" w:after="0"/>
      </w:pPr>
      <w:r w:rsidRPr="00B10036">
        <w:separator/>
      </w:r>
    </w:p>
  </w:footnote>
  <w:footnote w:type="continuationSeparator" w:id="0">
    <w:p w14:paraId="5A5A02D7" w14:textId="77777777" w:rsidR="005A6A52" w:rsidRPr="00B10036" w:rsidRDefault="005A6A52" w:rsidP="00A17AEC">
      <w:pPr>
        <w:spacing w:before="0" w:after="0"/>
      </w:pPr>
      <w:r w:rsidRPr="00B10036">
        <w:continuationSeparator/>
      </w:r>
    </w:p>
  </w:footnote>
  <w:footnote w:type="continuationNotice" w:id="1">
    <w:p w14:paraId="11D93F70" w14:textId="77777777" w:rsidR="005A6A52" w:rsidRPr="00B10036" w:rsidRDefault="005A6A52">
      <w:pPr>
        <w:spacing w:before="0" w:after="0"/>
      </w:pPr>
    </w:p>
  </w:footnote>
  <w:footnote w:id="2">
    <w:p w14:paraId="4B1C9D7D" w14:textId="0D78C5BF" w:rsidR="005A6A52" w:rsidRPr="00B10036" w:rsidRDefault="005A6A52" w:rsidP="0050609F">
      <w:pPr>
        <w:pStyle w:val="FootnoteText"/>
        <w:ind w:left="284" w:hanging="284"/>
      </w:pPr>
      <w:r w:rsidRPr="00B10036">
        <w:rPr>
          <w:rStyle w:val="FootnoteReference"/>
        </w:rPr>
        <w:footnoteRef/>
      </w:r>
      <w:r w:rsidRPr="00B10036">
        <w:tab/>
        <w:t>Komunikat Komisji „Europejski Zielony Ład”, COM(2019) 640 final.</w:t>
      </w:r>
    </w:p>
  </w:footnote>
  <w:footnote w:id="3">
    <w:p w14:paraId="23D2A3A5" w14:textId="35A43DA2"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2021/1119</w:t>
      </w:r>
      <w:r w:rsidR="00B10036" w:rsidRPr="00B10036">
        <w:t xml:space="preserve"> z</w:t>
      </w:r>
      <w:r w:rsidR="00B10036">
        <w:t> </w:t>
      </w:r>
      <w:r w:rsidR="00B10036" w:rsidRPr="00B10036">
        <w:t>dni</w:t>
      </w:r>
      <w:r w:rsidRPr="00B10036">
        <w:t>a 30 czerwca 2021</w:t>
      </w:r>
      <w:r w:rsidR="00B10036" w:rsidRPr="00B10036">
        <w:t> </w:t>
      </w:r>
      <w:r w:rsidRPr="00B10036">
        <w:t>r.</w:t>
      </w:r>
      <w:r w:rsidR="00B10036" w:rsidRPr="00B10036">
        <w:t xml:space="preserve"> w</w:t>
      </w:r>
      <w:r w:rsidR="00B10036">
        <w:t> </w:t>
      </w:r>
      <w:r w:rsidR="00B10036" w:rsidRPr="00B10036">
        <w:t>spr</w:t>
      </w:r>
      <w:r w:rsidRPr="00B10036">
        <w:t>awie ustanowienia ram na potrzeby osiągnięcia neutralności klimatycznej</w:t>
      </w:r>
      <w:r w:rsidR="00B10036" w:rsidRPr="00B10036">
        <w:t xml:space="preserve"> i</w:t>
      </w:r>
      <w:r w:rsidR="00B10036">
        <w:t> </w:t>
      </w:r>
      <w:r w:rsidR="00B10036" w:rsidRPr="00B10036">
        <w:t>zmi</w:t>
      </w:r>
      <w:r w:rsidRPr="00B10036">
        <w:t>any rozporządzeń (WE) nr</w:t>
      </w:r>
      <w:r w:rsidR="00B10036" w:rsidRPr="00B10036">
        <w:t> </w:t>
      </w:r>
      <w:r w:rsidRPr="00B10036">
        <w:t>401/2009 i (UE) 2018/1999 (Europejskie prawo</w:t>
      </w:r>
      <w:r w:rsidR="00B10036" w:rsidRPr="00B10036">
        <w:t xml:space="preserve"> o</w:t>
      </w:r>
      <w:r w:rsidR="00B10036">
        <w:t> </w:t>
      </w:r>
      <w:r w:rsidR="00B10036" w:rsidRPr="00B10036">
        <w:t>kli</w:t>
      </w:r>
      <w:r w:rsidRPr="00B10036">
        <w:t>macie) (Dz.U. L 243</w:t>
      </w:r>
      <w:r w:rsidR="00B10036" w:rsidRPr="00B10036">
        <w:t xml:space="preserve"> z</w:t>
      </w:r>
      <w:r w:rsidR="00B10036">
        <w:t> </w:t>
      </w:r>
      <w:r w:rsidR="00B10036" w:rsidRPr="00B10036">
        <w:t>9</w:t>
      </w:r>
      <w:r w:rsidRPr="00B10036">
        <w:t>.7.2021, s. 1).</w:t>
      </w:r>
    </w:p>
  </w:footnote>
  <w:footnote w:id="4">
    <w:p w14:paraId="62DCC59C" w14:textId="5676C1C2" w:rsidR="005A6A52" w:rsidRPr="00B10036" w:rsidRDefault="005A6A52" w:rsidP="0050609F">
      <w:pPr>
        <w:pStyle w:val="FootnoteText"/>
        <w:ind w:left="284" w:hanging="284"/>
        <w:contextualSpacing/>
      </w:pPr>
      <w:r w:rsidRPr="00B10036">
        <w:rPr>
          <w:rStyle w:val="FootnoteReference"/>
        </w:rPr>
        <w:footnoteRef/>
      </w:r>
      <w:r w:rsidRPr="00B10036">
        <w:tab/>
        <w:t>Aby osiągnąć długoterminowy cel dotyczący temperatury, określony</w:t>
      </w:r>
      <w:r w:rsidR="00B10036" w:rsidRPr="00B10036">
        <w:t xml:space="preserve"> w</w:t>
      </w:r>
      <w:r w:rsidR="00B10036">
        <w:t> </w:t>
      </w:r>
      <w:r w:rsidR="00B10036" w:rsidRPr="00B10036">
        <w:t>art</w:t>
      </w:r>
      <w:r w:rsidRPr="00B10036">
        <w:t>.</w:t>
      </w:r>
      <w:r w:rsidR="00B10036" w:rsidRPr="00B10036">
        <w:t> </w:t>
      </w:r>
      <w:r w:rsidRPr="00B10036">
        <w:t>2 ust.</w:t>
      </w:r>
      <w:r w:rsidR="00B10036" w:rsidRPr="00B10036">
        <w:t> </w:t>
      </w:r>
      <w:r w:rsidRPr="00B10036">
        <w:t>1 lit.</w:t>
      </w:r>
      <w:r w:rsidR="00B10036" w:rsidRPr="00B10036">
        <w:t> </w:t>
      </w:r>
      <w:r w:rsidRPr="00B10036">
        <w:t>a) porozumienia paryskiego.</w:t>
      </w:r>
    </w:p>
  </w:footnote>
  <w:footnote w:id="5">
    <w:p w14:paraId="26BABB6D" w14:textId="666C660C" w:rsidR="005A6A52" w:rsidRPr="00B10036" w:rsidRDefault="005A6A52" w:rsidP="0050609F">
      <w:pPr>
        <w:pStyle w:val="FootnoteText"/>
        <w:ind w:left="284" w:hanging="284"/>
      </w:pPr>
      <w:r w:rsidRPr="00B10036">
        <w:rPr>
          <w:rStyle w:val="FootnoteReference"/>
        </w:rPr>
        <w:footnoteRef/>
      </w:r>
      <w:r w:rsidRPr="00B10036">
        <w:tab/>
        <w:t>Wniosek dotyczący rozporządzenia Parlamentu Europejskiego</w:t>
      </w:r>
      <w:r w:rsidR="00B10036" w:rsidRPr="00B10036">
        <w:t xml:space="preserve"> i</w:t>
      </w:r>
      <w:r w:rsidR="00B10036">
        <w:t> </w:t>
      </w:r>
      <w:r w:rsidR="00B10036" w:rsidRPr="00B10036">
        <w:t>Rad</w:t>
      </w:r>
      <w:r w:rsidRPr="00B10036">
        <w:t>y ustanawiającego Społeczny Fundusz Klimatyczny, COM(2021) 568 final.</w:t>
      </w:r>
    </w:p>
  </w:footnote>
  <w:footnote w:id="6">
    <w:p w14:paraId="7122E172" w14:textId="58BB1E8F" w:rsidR="005A6A52" w:rsidRPr="00B10036" w:rsidRDefault="005A6A52" w:rsidP="0050609F">
      <w:pPr>
        <w:pStyle w:val="FootnoteText"/>
        <w:ind w:left="284" w:hanging="284"/>
      </w:pPr>
      <w:r w:rsidRPr="00B10036">
        <w:rPr>
          <w:rStyle w:val="FootnoteReference"/>
        </w:rPr>
        <w:footnoteRef/>
      </w:r>
      <w:r w:rsidRPr="00B10036">
        <w:tab/>
        <w:t>Komunikat Komisji „Plan działania na rzecz Europejskiego filaru praw socjalnych”, COM(2021) 102 final, 4 marca 2021</w:t>
      </w:r>
      <w:r w:rsidR="00B10036" w:rsidRPr="00B10036">
        <w:t> </w:t>
      </w:r>
      <w:r w:rsidRPr="00B10036">
        <w:t>r.</w:t>
      </w:r>
    </w:p>
  </w:footnote>
  <w:footnote w:id="7">
    <w:p w14:paraId="0AD811DC" w14:textId="339C3D83" w:rsidR="005A6A52" w:rsidRPr="00B10036" w:rsidRDefault="005A6A52" w:rsidP="0050609F">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oce</w:t>
      </w:r>
      <w:r w:rsidRPr="00B10036">
        <w:t>ną skutków towarzyszącą Planowi</w:t>
      </w:r>
      <w:r w:rsidR="00B10036" w:rsidRPr="00B10036">
        <w:t xml:space="preserve"> w</w:t>
      </w:r>
      <w:r w:rsidR="00B10036">
        <w:t> </w:t>
      </w:r>
      <w:r w:rsidR="00B10036" w:rsidRPr="00B10036">
        <w:t>zak</w:t>
      </w:r>
      <w:r w:rsidRPr="00B10036">
        <w:t>resie celów klimatycznych na</w:t>
      </w:r>
      <w:r w:rsidR="00B10036" w:rsidRPr="00B10036">
        <w:t> </w:t>
      </w:r>
      <w:r w:rsidRPr="00B10036">
        <w:t>2030</w:t>
      </w:r>
      <w:r w:rsidR="00B10036" w:rsidRPr="00B10036">
        <w:t> </w:t>
      </w:r>
      <w:r w:rsidRPr="00B10036">
        <w:t>r. (SWD(2020) 176 final).</w:t>
      </w:r>
    </w:p>
  </w:footnote>
  <w:footnote w:id="8">
    <w:p w14:paraId="4C4FB9B8" w14:textId="58DE4F75" w:rsidR="005A6A52" w:rsidRPr="00B10036" w:rsidRDefault="005A6A52" w:rsidP="0050609F">
      <w:pPr>
        <w:pStyle w:val="FootnoteText"/>
        <w:ind w:left="284" w:hanging="284"/>
      </w:pPr>
      <w:r w:rsidRPr="00B10036">
        <w:rPr>
          <w:rStyle w:val="FootnoteReference"/>
        </w:rPr>
        <w:footnoteRef/>
      </w:r>
      <w:r w:rsidRPr="00B10036">
        <w:tab/>
        <w:t>Komisja Europejska (2019), „</w:t>
      </w:r>
      <w:hyperlink r:id="rId1" w:history="1">
        <w:r w:rsidRPr="00B10036">
          <w:rPr>
            <w:rStyle w:val="Hyperlink"/>
            <w:color w:val="auto"/>
            <w:u w:val="none"/>
          </w:rPr>
          <w:t>Zrównoważony wzrost gospodarczy dla wszystkich:</w:t>
        </w:r>
      </w:hyperlink>
      <w:hyperlink r:id="rId2" w:history="1">
        <w:r w:rsidRPr="00B10036">
          <w:rPr>
            <w:rStyle w:val="Hyperlink"/>
            <w:color w:val="auto"/>
            <w:u w:val="none"/>
          </w:rPr>
          <w:t xml:space="preserve"> wybory dotyczące przyszłości Europy</w:t>
        </w:r>
        <w:r w:rsidR="00B10036" w:rsidRPr="00B10036">
          <w:rPr>
            <w:rStyle w:val="Hyperlink"/>
            <w:color w:val="auto"/>
            <w:u w:val="none"/>
          </w:rPr>
          <w:t xml:space="preserve"> o</w:t>
        </w:r>
        <w:r w:rsidR="00B10036">
          <w:rPr>
            <w:rStyle w:val="Hyperlink"/>
            <w:color w:val="auto"/>
            <w:u w:val="none"/>
          </w:rPr>
          <w:t> </w:t>
        </w:r>
        <w:r w:rsidR="00B10036" w:rsidRPr="00B10036">
          <w:rPr>
            <w:rStyle w:val="Hyperlink"/>
            <w:color w:val="auto"/>
            <w:u w:val="none"/>
          </w:rPr>
          <w:t>wym</w:t>
        </w:r>
        <w:r w:rsidRPr="00B10036">
          <w:rPr>
            <w:rStyle w:val="Hyperlink"/>
            <w:color w:val="auto"/>
            <w:u w:val="none"/>
          </w:rPr>
          <w:t>iarze społecznym, Zatrudnienie</w:t>
        </w:r>
        <w:r w:rsidR="00B10036" w:rsidRPr="00B10036">
          <w:rPr>
            <w:rStyle w:val="Hyperlink"/>
            <w:color w:val="auto"/>
            <w:u w:val="none"/>
          </w:rPr>
          <w:t xml:space="preserve"> i</w:t>
        </w:r>
        <w:r w:rsidR="00B10036">
          <w:rPr>
            <w:rStyle w:val="Hyperlink"/>
            <w:color w:val="auto"/>
            <w:u w:val="none"/>
          </w:rPr>
          <w:t> </w:t>
        </w:r>
        <w:r w:rsidR="00B10036" w:rsidRPr="00B10036">
          <w:rPr>
            <w:rStyle w:val="Hyperlink"/>
            <w:color w:val="auto"/>
            <w:u w:val="none"/>
          </w:rPr>
          <w:t>kwe</w:t>
        </w:r>
        <w:r w:rsidRPr="00B10036">
          <w:rPr>
            <w:rStyle w:val="Hyperlink"/>
            <w:color w:val="auto"/>
            <w:u w:val="none"/>
          </w:rPr>
          <w:t>stie społeczne</w:t>
        </w:r>
        <w:r w:rsidR="00B10036" w:rsidRPr="00B10036">
          <w:rPr>
            <w:rStyle w:val="Hyperlink"/>
            <w:color w:val="auto"/>
            <w:u w:val="none"/>
          </w:rPr>
          <w:t xml:space="preserve"> w</w:t>
        </w:r>
        <w:r w:rsidR="00B10036">
          <w:rPr>
            <w:rStyle w:val="Hyperlink"/>
            <w:color w:val="auto"/>
            <w:u w:val="none"/>
          </w:rPr>
          <w:t> </w:t>
        </w:r>
        <w:r w:rsidR="00B10036" w:rsidRPr="00B10036">
          <w:rPr>
            <w:rStyle w:val="Hyperlink"/>
            <w:color w:val="auto"/>
            <w:u w:val="none"/>
          </w:rPr>
          <w:t>Eur</w:t>
        </w:r>
        <w:r w:rsidRPr="00B10036">
          <w:rPr>
            <w:rStyle w:val="Hyperlink"/>
            <w:color w:val="auto"/>
            <w:u w:val="none"/>
          </w:rPr>
          <w:t>opie</w:t>
        </w:r>
        <w:r w:rsidR="00B10036" w:rsidRPr="00B10036">
          <w:rPr>
            <w:rStyle w:val="Hyperlink"/>
            <w:color w:val="auto"/>
            <w:u w:val="none"/>
          </w:rPr>
          <w:t xml:space="preserve"> w</w:t>
        </w:r>
        <w:r w:rsidR="00B10036">
          <w:rPr>
            <w:rStyle w:val="Hyperlink"/>
            <w:color w:val="auto"/>
            <w:u w:val="none"/>
          </w:rPr>
          <w:t> </w:t>
        </w:r>
        <w:r w:rsidR="00B10036" w:rsidRPr="00B10036">
          <w:rPr>
            <w:rStyle w:val="Hyperlink"/>
            <w:color w:val="auto"/>
            <w:u w:val="none"/>
          </w:rPr>
          <w:t>rok</w:t>
        </w:r>
        <w:r w:rsidRPr="00B10036">
          <w:rPr>
            <w:rStyle w:val="Hyperlink"/>
            <w:color w:val="auto"/>
            <w:u w:val="none"/>
          </w:rPr>
          <w:t>u 2019</w:t>
        </w:r>
      </w:hyperlink>
      <w:r w:rsidRPr="00B10036">
        <w:rPr>
          <w:rStyle w:val="Hyperlink"/>
          <w:color w:val="auto"/>
          <w:u w:val="none"/>
        </w:rPr>
        <w:t>”</w:t>
      </w:r>
      <w:r w:rsidRPr="00B10036">
        <w:t>, 4 lipca 2019</w:t>
      </w:r>
      <w:r w:rsidR="00B10036" w:rsidRPr="00B10036">
        <w:t> </w:t>
      </w:r>
      <w:r w:rsidRPr="00B10036">
        <w:t>r. Na podstawie szczegółowej analizy towarzyszącej komunikatowi Komisji COM(2018) 773.</w:t>
      </w:r>
    </w:p>
  </w:footnote>
  <w:footnote w:id="9">
    <w:p w14:paraId="5FD24797" w14:textId="73DB6B97" w:rsidR="005A6A52" w:rsidRPr="00B10036" w:rsidRDefault="005A6A52" w:rsidP="0050609F">
      <w:pPr>
        <w:pStyle w:val="FootnoteText"/>
        <w:ind w:left="284" w:hanging="284"/>
      </w:pPr>
      <w:r w:rsidRPr="00B10036">
        <w:rPr>
          <w:rStyle w:val="FootnoteReference"/>
        </w:rPr>
        <w:footnoteRef/>
      </w:r>
      <w:r w:rsidRPr="00B10036">
        <w:tab/>
        <w:t>Eurofound (2019), „Energy scenario: Employment implications of the Paris Climate Agreement” [„Scenariusz energetyczny: Skutki dla zatrudnienia wynikające</w:t>
      </w:r>
      <w:r w:rsidR="00B10036" w:rsidRPr="00B10036">
        <w:t xml:space="preserve"> z</w:t>
      </w:r>
      <w:r w:rsidR="00B10036">
        <w:t> </w:t>
      </w:r>
      <w:r w:rsidR="00B10036" w:rsidRPr="00B10036">
        <w:t>por</w:t>
      </w:r>
      <w:r w:rsidRPr="00B10036">
        <w:t>ozumienia paryskiego”], Urząd Publikacji Unii Europejskiej, Luksemburg.</w:t>
      </w:r>
    </w:p>
  </w:footnote>
  <w:footnote w:id="10">
    <w:p w14:paraId="2111677D" w14:textId="7C3F976E" w:rsidR="005A6A52" w:rsidRPr="00B10036" w:rsidRDefault="005A6A52" w:rsidP="0050609F">
      <w:pPr>
        <w:pStyle w:val="FootnoteText"/>
        <w:ind w:left="284" w:hanging="284"/>
      </w:pPr>
      <w:r w:rsidRPr="00B10036">
        <w:rPr>
          <w:rStyle w:val="FootnoteReference"/>
        </w:rPr>
        <w:footnoteRef/>
      </w:r>
      <w:r w:rsidRPr="00B10036">
        <w:tab/>
        <w:t>Komisja Europejska (2019), „Zrównoważony wzrost gospodarczy dla wszystkich: wybory dotyczące przyszłości Europy</w:t>
      </w:r>
      <w:r w:rsidR="00B10036" w:rsidRPr="00B10036">
        <w:t xml:space="preserve"> o</w:t>
      </w:r>
      <w:r w:rsidR="00B10036">
        <w:t> </w:t>
      </w:r>
      <w:r w:rsidR="00B10036" w:rsidRPr="00B10036">
        <w:t>wym</w:t>
      </w:r>
      <w:r w:rsidRPr="00B10036">
        <w:t>iarze społecznym, Zatrudnienie</w:t>
      </w:r>
      <w:r w:rsidR="00B10036" w:rsidRPr="00B10036">
        <w:t xml:space="preserve"> i</w:t>
      </w:r>
      <w:r w:rsidR="00B10036">
        <w:t> </w:t>
      </w:r>
      <w:r w:rsidR="00B10036" w:rsidRPr="00B10036">
        <w:t>kwe</w:t>
      </w:r>
      <w:r w:rsidRPr="00B10036">
        <w:t>stie społeczne</w:t>
      </w:r>
      <w:r w:rsidR="00B10036" w:rsidRPr="00B10036">
        <w:t xml:space="preserve"> w</w:t>
      </w:r>
      <w:r w:rsidR="00B10036">
        <w:t> </w:t>
      </w:r>
      <w:r w:rsidR="00B10036" w:rsidRPr="00B10036">
        <w:t>Eur</w:t>
      </w:r>
      <w:r w:rsidRPr="00B10036">
        <w:t>opie</w:t>
      </w:r>
      <w:r w:rsidR="00B10036" w:rsidRPr="00B10036">
        <w:t xml:space="preserve"> w</w:t>
      </w:r>
      <w:r w:rsidR="00B10036">
        <w:t> </w:t>
      </w:r>
      <w:r w:rsidR="00B10036" w:rsidRPr="00B10036">
        <w:t>rok</w:t>
      </w:r>
      <w:r w:rsidRPr="00B10036">
        <w:t>u 2019”, rozdział 5 „W kierunku bardziej ekologicznej przyszłości: zatrudnienie</w:t>
      </w:r>
      <w:r w:rsidR="00B10036" w:rsidRPr="00B10036">
        <w:t xml:space="preserve"> i</w:t>
      </w:r>
      <w:r w:rsidR="00B10036">
        <w:t> </w:t>
      </w:r>
      <w:r w:rsidR="00B10036" w:rsidRPr="00B10036">
        <w:t>sku</w:t>
      </w:r>
      <w:r w:rsidRPr="00B10036">
        <w:t>tki społeczne zmiany klimatu”, 4 lipca 2019</w:t>
      </w:r>
      <w:r w:rsidR="00B10036" w:rsidRPr="00B10036">
        <w:t> </w:t>
      </w:r>
      <w:r w:rsidRPr="00B10036">
        <w:t>r.</w:t>
      </w:r>
    </w:p>
  </w:footnote>
  <w:footnote w:id="11">
    <w:p w14:paraId="33BBF503" w14:textId="718D446B" w:rsidR="005A6A52" w:rsidRPr="00B10036" w:rsidRDefault="005A6A52" w:rsidP="0050609F">
      <w:pPr>
        <w:pStyle w:val="FootnoteText"/>
        <w:ind w:left="284" w:hanging="284"/>
      </w:pPr>
      <w:r w:rsidRPr="00B10036">
        <w:rPr>
          <w:rStyle w:val="FootnoteReference"/>
        </w:rPr>
        <w:footnoteRef/>
      </w:r>
      <w:r w:rsidRPr="00B10036">
        <w:tab/>
        <w:t>Komunikat Komisji Europejskiej: Fala renowacji na potrzeby Europy – ekologizacja budynków, tworzenie miejsc pracy, poprawa jakości życia, SWD(2020) 550 final, 14 października 2021</w:t>
      </w:r>
      <w:r w:rsidR="00B10036" w:rsidRPr="00B10036">
        <w:t> </w:t>
      </w:r>
      <w:r w:rsidRPr="00B10036">
        <w:t>r.</w:t>
      </w:r>
      <w:r w:rsidR="00B10036" w:rsidRPr="00B10036">
        <w:rPr>
          <w:i/>
        </w:rPr>
        <w:t xml:space="preserve"> </w:t>
      </w:r>
      <w:r w:rsidRPr="00B10036">
        <w:t>Biorąc pod uwagę potrzeby inwestycyjne</w:t>
      </w:r>
      <w:r w:rsidR="00B10036" w:rsidRPr="00B10036">
        <w:t xml:space="preserve"> w</w:t>
      </w:r>
      <w:r w:rsidR="00B10036">
        <w:t> </w:t>
      </w:r>
      <w:r w:rsidR="00B10036" w:rsidRPr="00B10036">
        <w:t>zak</w:t>
      </w:r>
      <w:r w:rsidRPr="00B10036">
        <w:t>resie renowacji na poziomie 275 mld EUR rocznie,</w:t>
      </w:r>
      <w:r w:rsidR="00B10036" w:rsidRPr="00B10036">
        <w:t xml:space="preserve"> o</w:t>
      </w:r>
      <w:r w:rsidR="00B10036">
        <w:t> </w:t>
      </w:r>
      <w:r w:rsidR="00B10036" w:rsidRPr="00B10036">
        <w:t>któ</w:t>
      </w:r>
      <w:r w:rsidRPr="00B10036">
        <w:t>rych mowa</w:t>
      </w:r>
      <w:r w:rsidR="00B10036" w:rsidRPr="00B10036">
        <w:t xml:space="preserve"> w</w:t>
      </w:r>
      <w:r w:rsidR="00B10036">
        <w:t> </w:t>
      </w:r>
      <w:r w:rsidR="00B10036" w:rsidRPr="00B10036">
        <w:t>kom</w:t>
      </w:r>
      <w:r w:rsidRPr="00B10036">
        <w:t>unikacie, oraz zdolność modernizacji</w:t>
      </w:r>
      <w:r w:rsidR="00B10036" w:rsidRPr="00B10036">
        <w:t xml:space="preserve"> i</w:t>
      </w:r>
      <w:r w:rsidR="00B10036">
        <w:t> </w:t>
      </w:r>
      <w:r w:rsidR="00B10036" w:rsidRPr="00B10036">
        <w:t>inw</w:t>
      </w:r>
      <w:r w:rsidRPr="00B10036">
        <w:t>estycji</w:t>
      </w:r>
      <w:r w:rsidR="00B10036" w:rsidRPr="00B10036">
        <w:t xml:space="preserve"> w</w:t>
      </w:r>
      <w:r w:rsidR="00B10036">
        <w:t> </w:t>
      </w:r>
      <w:r w:rsidR="00B10036" w:rsidRPr="00B10036">
        <w:t>efe</w:t>
      </w:r>
      <w:r w:rsidRPr="00B10036">
        <w:t>ktywność energetyczną do tworzenia od</w:t>
      </w:r>
      <w:r w:rsidR="00B10036" w:rsidRPr="00B10036">
        <w:t> </w:t>
      </w:r>
      <w:r w:rsidRPr="00B10036">
        <w:t>9 do</w:t>
      </w:r>
      <w:r w:rsidR="00B10036" w:rsidRPr="00B10036">
        <w:t> </w:t>
      </w:r>
      <w:r w:rsidRPr="00B10036">
        <w:t xml:space="preserve">20 miejsc pracy na każdy zainwestowany milion dolarów (SWD(2021) 623 final), liczba ta może być znacznie wyższa. </w:t>
      </w:r>
    </w:p>
  </w:footnote>
  <w:footnote w:id="12">
    <w:p w14:paraId="2048AD34" w14:textId="77777777" w:rsidR="005A6A52" w:rsidRPr="00B10036" w:rsidRDefault="005A6A52" w:rsidP="0050609F">
      <w:pPr>
        <w:pStyle w:val="FootnoteText"/>
        <w:ind w:left="284" w:hanging="284"/>
      </w:pPr>
      <w:r w:rsidRPr="00B10036">
        <w:rPr>
          <w:rStyle w:val="FootnoteReference"/>
        </w:rPr>
        <w:footnoteRef/>
      </w:r>
      <w:r w:rsidRPr="00B10036">
        <w:tab/>
        <w:t>COM(2021) 660 final.</w:t>
      </w:r>
    </w:p>
  </w:footnote>
  <w:footnote w:id="13">
    <w:p w14:paraId="07D9DDD7" w14:textId="048B6148" w:rsidR="005A6A52" w:rsidRPr="00B10036" w:rsidRDefault="005A6A52" w:rsidP="0050609F">
      <w:pPr>
        <w:pStyle w:val="FootnoteText"/>
        <w:ind w:left="284" w:hanging="284"/>
      </w:pPr>
      <w:r w:rsidRPr="00B10036">
        <w:rPr>
          <w:rStyle w:val="FootnoteReference"/>
        </w:rPr>
        <w:footnoteRef/>
      </w:r>
      <w:r w:rsidRPr="00B10036">
        <w:tab/>
        <w:t>„Unia, która mierzy wyżej: Mój program dla Europy” – wytyczne polityczne na następną kadencję Komisji Europejskiej (2019–2024), 16.07.2019</w:t>
      </w:r>
      <w:r w:rsidR="00B10036" w:rsidRPr="00B10036">
        <w:t> </w:t>
      </w:r>
      <w:r w:rsidRPr="00B10036">
        <w:t>r., przewodnicząca von der Leyen.</w:t>
      </w:r>
    </w:p>
  </w:footnote>
  <w:footnote w:id="14">
    <w:p w14:paraId="522BFC5D" w14:textId="15B399DF" w:rsidR="005A6A52" w:rsidRPr="00B10036" w:rsidRDefault="005A6A52" w:rsidP="0050609F">
      <w:pPr>
        <w:pStyle w:val="FootnoteText"/>
        <w:ind w:left="284" w:hanging="284"/>
      </w:pPr>
      <w:r w:rsidRPr="00B10036">
        <w:rPr>
          <w:rStyle w:val="FootnoteReference"/>
        </w:rPr>
        <w:footnoteRef/>
      </w:r>
      <w:r w:rsidRPr="00B10036">
        <w:tab/>
        <w:t>Zalecenie Komisji (UE) 2021/402</w:t>
      </w:r>
      <w:r w:rsidR="00B10036" w:rsidRPr="00B10036">
        <w:t xml:space="preserve"> z</w:t>
      </w:r>
      <w:r w:rsidR="00B10036">
        <w:t> </w:t>
      </w:r>
      <w:r w:rsidR="00B10036" w:rsidRPr="00B10036">
        <w:t>dni</w:t>
      </w:r>
      <w:r w:rsidRPr="00B10036">
        <w:t>a 4 marca 2021</w:t>
      </w:r>
      <w:r w:rsidR="00B10036" w:rsidRPr="00B10036">
        <w:t> </w:t>
      </w:r>
      <w:r w:rsidRPr="00B10036">
        <w:t>r.</w:t>
      </w:r>
      <w:r w:rsidR="00B10036" w:rsidRPr="00B10036">
        <w:t xml:space="preserve"> w</w:t>
      </w:r>
      <w:r w:rsidR="00B10036">
        <w:t> </w:t>
      </w:r>
      <w:r w:rsidR="00B10036" w:rsidRPr="00B10036">
        <w:t>spr</w:t>
      </w:r>
      <w:r w:rsidRPr="00B10036">
        <w:t>awie skutecznego aktywnego wspierania zatrudnienia</w:t>
      </w:r>
      <w:r w:rsidR="00B10036" w:rsidRPr="00B10036">
        <w:t xml:space="preserve"> w</w:t>
      </w:r>
      <w:r w:rsidR="00B10036">
        <w:t> </w:t>
      </w:r>
      <w:r w:rsidR="00B10036" w:rsidRPr="00B10036">
        <w:t>nas</w:t>
      </w:r>
      <w:r w:rsidRPr="00B10036">
        <w:t>tępstwie kryzysu związanego z COVID-19 (EASE) (Dz.U. L 80</w:t>
      </w:r>
      <w:r w:rsidR="00B10036" w:rsidRPr="00B10036">
        <w:t xml:space="preserve"> z</w:t>
      </w:r>
      <w:r w:rsidR="00B10036">
        <w:t> </w:t>
      </w:r>
      <w:r w:rsidR="00B10036" w:rsidRPr="00B10036">
        <w:t>8</w:t>
      </w:r>
      <w:r w:rsidRPr="00B10036">
        <w:t>.3.2021, s. 1).</w:t>
      </w:r>
    </w:p>
  </w:footnote>
  <w:footnote w:id="15">
    <w:p w14:paraId="7C7D5732" w14:textId="64E60ED7" w:rsidR="005A6A52" w:rsidRPr="00B10036" w:rsidRDefault="005A6A52" w:rsidP="0050609F">
      <w:pPr>
        <w:pStyle w:val="FootnoteText"/>
        <w:ind w:left="284" w:hanging="284"/>
        <w:mirrorIndents/>
        <w:jc w:val="left"/>
      </w:pPr>
      <w:r w:rsidRPr="00B10036">
        <w:rPr>
          <w:rStyle w:val="FootnoteReference"/>
        </w:rPr>
        <w:footnoteRef/>
      </w:r>
      <w:r w:rsidRPr="00B10036">
        <w:tab/>
        <w:t>Decyzja Rady (UE) 2020/1512</w:t>
      </w:r>
      <w:r w:rsidR="00B10036" w:rsidRPr="00B10036">
        <w:t xml:space="preserve"> z</w:t>
      </w:r>
      <w:r w:rsidR="00B10036">
        <w:t> </w:t>
      </w:r>
      <w:r w:rsidR="00B10036" w:rsidRPr="00B10036">
        <w:t>dni</w:t>
      </w:r>
      <w:r w:rsidRPr="00B10036">
        <w:t>a 13 października 2020</w:t>
      </w:r>
      <w:r w:rsidR="00B10036" w:rsidRPr="00B10036">
        <w:t> </w:t>
      </w:r>
      <w:r w:rsidRPr="00B10036">
        <w:t>r. (Dz.U. L 344</w:t>
      </w:r>
      <w:r w:rsidR="00B10036" w:rsidRPr="00B10036">
        <w:t xml:space="preserve"> z</w:t>
      </w:r>
      <w:r w:rsidR="00B10036">
        <w:t> </w:t>
      </w:r>
      <w:r w:rsidR="00B10036" w:rsidRPr="00B10036">
        <w:t>1</w:t>
      </w:r>
      <w:r w:rsidRPr="00B10036">
        <w:t>9.10.2020, s. 22).</w:t>
      </w:r>
    </w:p>
  </w:footnote>
  <w:footnote w:id="16">
    <w:p w14:paraId="6F870A14" w14:textId="7C031B22" w:rsidR="005A6A52" w:rsidRPr="00B10036" w:rsidRDefault="005A6A52" w:rsidP="0050609F">
      <w:pPr>
        <w:pStyle w:val="FootnoteText"/>
        <w:ind w:left="284" w:hanging="284"/>
        <w:mirrorIndents/>
        <w:jc w:val="left"/>
      </w:pPr>
      <w:r w:rsidRPr="00B10036">
        <w:rPr>
          <w:rStyle w:val="FootnoteReference"/>
        </w:rPr>
        <w:footnoteRef/>
      </w:r>
      <w:r w:rsidRPr="00B10036">
        <w:tab/>
        <w:t>COM (2021) 743 final, wniosek</w:t>
      </w:r>
      <w:r w:rsidR="00B10036" w:rsidRPr="00B10036">
        <w:t xml:space="preserve"> w</w:t>
      </w:r>
      <w:r w:rsidR="00B10036">
        <w:t> </w:t>
      </w:r>
      <w:r w:rsidR="00B10036" w:rsidRPr="00B10036">
        <w:t>spr</w:t>
      </w:r>
      <w:r w:rsidRPr="00B10036">
        <w:t>awie wspólnego sprawozdania</w:t>
      </w:r>
      <w:r w:rsidR="00B10036" w:rsidRPr="00B10036">
        <w:t xml:space="preserve"> o</w:t>
      </w:r>
      <w:r w:rsidR="00B10036">
        <w:t> </w:t>
      </w:r>
      <w:r w:rsidR="00B10036" w:rsidRPr="00B10036">
        <w:t>zat</w:t>
      </w:r>
      <w:r w:rsidRPr="00B10036">
        <w:t>rudnieniu za</w:t>
      </w:r>
      <w:r w:rsidR="00B10036" w:rsidRPr="00B10036">
        <w:t> </w:t>
      </w:r>
      <w:r w:rsidRPr="00B10036">
        <w:t>2022</w:t>
      </w:r>
      <w:r w:rsidR="00B10036" w:rsidRPr="00B10036">
        <w:t> </w:t>
      </w:r>
      <w:r w:rsidRPr="00B10036">
        <w:t>r.</w:t>
      </w:r>
    </w:p>
  </w:footnote>
  <w:footnote w:id="17">
    <w:p w14:paraId="2A9A9748" w14:textId="465E5395" w:rsidR="005A6A52" w:rsidRPr="00B10036" w:rsidRDefault="005A6A52" w:rsidP="0050609F">
      <w:pPr>
        <w:pStyle w:val="FootnoteText"/>
        <w:ind w:left="284" w:hanging="284"/>
        <w:mirrorIndents/>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30 października 2020</w:t>
      </w:r>
      <w:r w:rsidR="00B10036" w:rsidRPr="00B10036">
        <w:t> </w:t>
      </w:r>
      <w:r w:rsidRPr="00B10036">
        <w:t>r.</w:t>
      </w:r>
      <w:r w:rsidR="00B10036" w:rsidRPr="00B10036">
        <w:t xml:space="preserve"> w</w:t>
      </w:r>
      <w:r w:rsidR="00B10036">
        <w:t> </w:t>
      </w:r>
      <w:r w:rsidR="00B10036" w:rsidRPr="00B10036">
        <w:t>spr</w:t>
      </w:r>
      <w:r w:rsidRPr="00B10036">
        <w:t>awie pomostu do zatrudnienia – wzmocnienia gwarancji dla młodzieży oraz zastępujące zalecenie Rady</w:t>
      </w:r>
      <w:r w:rsidR="00B10036" w:rsidRPr="00B10036">
        <w:t xml:space="preserve"> z</w:t>
      </w:r>
      <w:r w:rsidR="00B10036">
        <w:t> </w:t>
      </w:r>
      <w:r w:rsidR="00B10036" w:rsidRPr="00B10036">
        <w:t>dni</w:t>
      </w:r>
      <w:r w:rsidRPr="00B10036">
        <w:t>a 22 kwietnia 2013</w:t>
      </w:r>
      <w:r w:rsidR="00B10036" w:rsidRPr="00B10036">
        <w:t> </w:t>
      </w:r>
      <w:r w:rsidRPr="00B10036">
        <w:t>r.</w:t>
      </w:r>
      <w:r w:rsidR="00B10036" w:rsidRPr="00B10036">
        <w:t xml:space="preserve"> w</w:t>
      </w:r>
      <w:r w:rsidR="00B10036">
        <w:t> </w:t>
      </w:r>
      <w:r w:rsidR="00B10036" w:rsidRPr="00B10036">
        <w:t>spr</w:t>
      </w:r>
      <w:r w:rsidRPr="00B10036">
        <w:t>awie ustanowienia gwarancji dla młodzieży (Dz.U. C 372</w:t>
      </w:r>
      <w:r w:rsidR="00B10036" w:rsidRPr="00B10036">
        <w:t xml:space="preserve"> z</w:t>
      </w:r>
      <w:r w:rsidR="00B10036">
        <w:t> </w:t>
      </w:r>
      <w:r w:rsidR="00B10036" w:rsidRPr="00B10036">
        <w:t>4</w:t>
      </w:r>
      <w:r w:rsidRPr="00B10036">
        <w:t>.11.2020, s. 1).</w:t>
      </w:r>
    </w:p>
  </w:footnote>
  <w:footnote w:id="18">
    <w:p w14:paraId="07AA5BEF" w14:textId="40E67011" w:rsidR="005A6A52" w:rsidRPr="00B10036" w:rsidRDefault="005A6A52" w:rsidP="0050609F">
      <w:pPr>
        <w:pStyle w:val="FootnoteText"/>
        <w:ind w:left="284" w:hanging="284"/>
        <w:mirrorIndents/>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24 listopada 2020</w:t>
      </w:r>
      <w:r w:rsidR="00B10036" w:rsidRPr="00B10036">
        <w:t> </w:t>
      </w:r>
      <w:r w:rsidRPr="00B10036">
        <w:t>r.</w:t>
      </w:r>
      <w:r w:rsidR="00B10036" w:rsidRPr="00B10036">
        <w:t xml:space="preserve"> w</w:t>
      </w:r>
      <w:r w:rsidR="00B10036">
        <w:t> </w:t>
      </w:r>
      <w:r w:rsidR="00B10036" w:rsidRPr="00B10036">
        <w:t>spr</w:t>
      </w:r>
      <w:r w:rsidRPr="00B10036">
        <w:t>awie kształcenia</w:t>
      </w:r>
      <w:r w:rsidR="00B10036" w:rsidRPr="00B10036">
        <w:t xml:space="preserve"> i</w:t>
      </w:r>
      <w:r w:rsidR="00B10036">
        <w:t> </w:t>
      </w:r>
      <w:r w:rsidR="00B10036" w:rsidRPr="00B10036">
        <w:t>szk</w:t>
      </w:r>
      <w:r w:rsidRPr="00B10036">
        <w:t>olenia zawodowego na rzecz zrównoważonej konkurencyjności, sprawiedliwości społecznej</w:t>
      </w:r>
      <w:r w:rsidR="00B10036" w:rsidRPr="00B10036">
        <w:t xml:space="preserve"> i</w:t>
      </w:r>
      <w:r w:rsidR="00B10036">
        <w:t> </w:t>
      </w:r>
      <w:r w:rsidR="00B10036" w:rsidRPr="00B10036">
        <w:t>odp</w:t>
      </w:r>
      <w:r w:rsidRPr="00B10036">
        <w:t xml:space="preserve">orności </w:t>
      </w:r>
      <w:r w:rsidRPr="00B10036">
        <w:rPr>
          <w:rStyle w:val="Emphasis"/>
          <w:i w:val="0"/>
          <w:shd w:val="clear" w:color="auto" w:fill="FFFFFF"/>
        </w:rPr>
        <w:t>(Dz.U. C 417</w:t>
      </w:r>
      <w:r w:rsidR="00B10036" w:rsidRPr="00B10036">
        <w:rPr>
          <w:rStyle w:val="Emphasis"/>
          <w:i w:val="0"/>
          <w:shd w:val="clear" w:color="auto" w:fill="FFFFFF"/>
        </w:rPr>
        <w:t xml:space="preserve"> z</w:t>
      </w:r>
      <w:r w:rsidR="00B10036">
        <w:rPr>
          <w:rStyle w:val="Emphasis"/>
          <w:i w:val="0"/>
          <w:shd w:val="clear" w:color="auto" w:fill="FFFFFF"/>
        </w:rPr>
        <w:t> </w:t>
      </w:r>
      <w:r w:rsidR="00B10036" w:rsidRPr="00B10036">
        <w:rPr>
          <w:rStyle w:val="Emphasis"/>
          <w:i w:val="0"/>
          <w:shd w:val="clear" w:color="auto" w:fill="FFFFFF"/>
        </w:rPr>
        <w:t>2</w:t>
      </w:r>
      <w:r w:rsidRPr="00B10036">
        <w:rPr>
          <w:rStyle w:val="Emphasis"/>
          <w:i w:val="0"/>
          <w:shd w:val="clear" w:color="auto" w:fill="FFFFFF"/>
        </w:rPr>
        <w:t>.12.2020, s. 1).</w:t>
      </w:r>
    </w:p>
  </w:footnote>
  <w:footnote w:id="19">
    <w:p w14:paraId="2D958AD6" w14:textId="115F2C9C" w:rsidR="005A6A52" w:rsidRPr="00B10036" w:rsidRDefault="005A6A52" w:rsidP="0050609F">
      <w:pPr>
        <w:pStyle w:val="FootnoteText"/>
        <w:ind w:left="284" w:hanging="284"/>
        <w:mirrorIndents/>
        <w:jc w:val="left"/>
      </w:pPr>
      <w:r w:rsidRPr="00B10036">
        <w:rPr>
          <w:rStyle w:val="FootnoteReference"/>
        </w:rPr>
        <w:footnoteRef/>
      </w:r>
      <w:r w:rsidRPr="00B10036">
        <w:tab/>
      </w:r>
      <w:r w:rsidRPr="00B10036">
        <w:rPr>
          <w:rStyle w:val="Emphasis"/>
          <w:i w:val="0"/>
          <w:shd w:val="clear" w:color="auto" w:fill="FFFFFF"/>
        </w:rPr>
        <w:t>Dz.U. L 328</w:t>
      </w:r>
      <w:r w:rsidR="00B10036" w:rsidRPr="00B10036">
        <w:rPr>
          <w:rStyle w:val="Emphasis"/>
          <w:i w:val="0"/>
          <w:shd w:val="clear" w:color="auto" w:fill="FFFFFF"/>
        </w:rPr>
        <w:t xml:space="preserve"> z</w:t>
      </w:r>
      <w:r w:rsidR="00B10036">
        <w:rPr>
          <w:rStyle w:val="Emphasis"/>
          <w:i w:val="0"/>
          <w:shd w:val="clear" w:color="auto" w:fill="FFFFFF"/>
        </w:rPr>
        <w:t> </w:t>
      </w:r>
      <w:r w:rsidR="00B10036" w:rsidRPr="00B10036">
        <w:rPr>
          <w:rStyle w:val="Emphasis"/>
          <w:i w:val="0"/>
          <w:shd w:val="clear" w:color="auto" w:fill="FFFFFF"/>
        </w:rPr>
        <w:t>2</w:t>
      </w:r>
      <w:r w:rsidRPr="00B10036">
        <w:rPr>
          <w:rStyle w:val="Emphasis"/>
          <w:i w:val="0"/>
          <w:shd w:val="clear" w:color="auto" w:fill="FFFFFF"/>
        </w:rPr>
        <w:t>1.12.2018, s. 1</w:t>
      </w:r>
      <w:r w:rsidRPr="00B10036">
        <w:t>.</w:t>
      </w:r>
    </w:p>
  </w:footnote>
  <w:footnote w:id="20">
    <w:p w14:paraId="5CFBF142" w14:textId="54F83C91" w:rsidR="005A6A52" w:rsidRPr="00B10036" w:rsidRDefault="005A6A52" w:rsidP="0050609F">
      <w:pPr>
        <w:pStyle w:val="FootnoteText"/>
        <w:ind w:left="284" w:hanging="284"/>
      </w:pPr>
      <w:r w:rsidRPr="00B10036">
        <w:rPr>
          <w:rStyle w:val="FootnoteReference"/>
        </w:rPr>
        <w:footnoteRef/>
      </w:r>
      <w:r w:rsidRPr="00B10036">
        <w:tab/>
        <w:t>We wniosku</w:t>
      </w:r>
      <w:r w:rsidR="00B10036" w:rsidRPr="00B10036">
        <w:t xml:space="preserve"> o</w:t>
      </w:r>
      <w:r w:rsidR="00B10036">
        <w:t> </w:t>
      </w:r>
      <w:r w:rsidR="00B10036" w:rsidRPr="00B10036">
        <w:t>prz</w:t>
      </w:r>
      <w:r w:rsidRPr="00B10036">
        <w:t>ekształcenie dyrektywy</w:t>
      </w:r>
      <w:r w:rsidR="00B10036" w:rsidRPr="00B10036">
        <w:t xml:space="preserve"> w</w:t>
      </w:r>
      <w:r w:rsidR="00B10036">
        <w:t> </w:t>
      </w:r>
      <w:r w:rsidR="00B10036" w:rsidRPr="00B10036">
        <w:t>spr</w:t>
      </w:r>
      <w:r w:rsidRPr="00B10036">
        <w:t>awie efektywności energetycznej</w:t>
      </w:r>
      <w:r w:rsidR="00B10036" w:rsidRPr="00B10036">
        <w:t xml:space="preserve"> w</w:t>
      </w:r>
      <w:r w:rsidR="00B10036">
        <w:t> </w:t>
      </w:r>
      <w:r w:rsidR="00B10036" w:rsidRPr="00B10036">
        <w:t>art</w:t>
      </w:r>
      <w:r w:rsidRPr="00B10036">
        <w:t>.</w:t>
      </w:r>
      <w:r w:rsidR="00B10036" w:rsidRPr="00B10036">
        <w:t> </w:t>
      </w:r>
      <w:r w:rsidRPr="00B10036">
        <w:t>8 ust.</w:t>
      </w:r>
      <w:r w:rsidR="00B10036" w:rsidRPr="00B10036">
        <w:t> </w:t>
      </w:r>
      <w:r w:rsidRPr="00B10036">
        <w:t>4 zwrócono się również do państw członkowskich</w:t>
      </w:r>
      <w:r w:rsidR="00B10036" w:rsidRPr="00B10036">
        <w:t xml:space="preserve"> o</w:t>
      </w:r>
      <w:r w:rsidR="00B10036">
        <w:t> </w:t>
      </w:r>
      <w:r w:rsidR="00B10036" w:rsidRPr="00B10036">
        <w:t>uwz</w:t>
      </w:r>
      <w:r w:rsidRPr="00B10036">
        <w:t>ględnienie informacji na temat środków</w:t>
      </w:r>
      <w:r w:rsidR="00B10036" w:rsidRPr="00B10036">
        <w:t xml:space="preserve"> w</w:t>
      </w:r>
      <w:r w:rsidR="00B10036">
        <w:t> </w:t>
      </w:r>
      <w:r w:rsidR="00B10036" w:rsidRPr="00B10036">
        <w:t>zak</w:t>
      </w:r>
      <w:r w:rsidRPr="00B10036">
        <w:t>resie efektywności energetycznej</w:t>
      </w:r>
      <w:r w:rsidR="00B10036" w:rsidRPr="00B10036">
        <w:t xml:space="preserve"> i</w:t>
      </w:r>
      <w:r w:rsidR="00B10036">
        <w:t> </w:t>
      </w:r>
      <w:r w:rsidR="00B10036" w:rsidRPr="00B10036">
        <w:t>osz</w:t>
      </w:r>
      <w:r w:rsidRPr="00B10036">
        <w:t>czędności końcowego zużycia energii uzyskanych wśród osób dotkniętych ubóstwem energetycznym, odbiorców wrażliwych oraz,</w:t>
      </w:r>
      <w:r w:rsidR="00B10036" w:rsidRPr="00B10036">
        <w:t xml:space="preserve"> w</w:t>
      </w:r>
      <w:r w:rsidR="00B10036">
        <w:t> </w:t>
      </w:r>
      <w:r w:rsidR="00B10036" w:rsidRPr="00B10036">
        <w:t>sto</w:t>
      </w:r>
      <w:r w:rsidRPr="00B10036">
        <w:t>sownych przypadkach, osób zajmujących mieszkania socjalne.</w:t>
      </w:r>
    </w:p>
  </w:footnote>
  <w:footnote w:id="21">
    <w:p w14:paraId="48634FB0" w14:textId="7675B9E4" w:rsidR="005A6A52" w:rsidRPr="00B10036" w:rsidRDefault="005A6A52" w:rsidP="0050609F">
      <w:pPr>
        <w:pStyle w:val="FootnoteText"/>
        <w:ind w:left="284" w:hanging="284"/>
        <w:mirrorIndents/>
      </w:pPr>
      <w:r w:rsidRPr="00B10036">
        <w:rPr>
          <w:rStyle w:val="FootnoteReference"/>
        </w:rPr>
        <w:footnoteRef/>
      </w:r>
      <w:r w:rsidRPr="00B10036">
        <w:tab/>
        <w:t>Eurofound (2021), „Distributional impacts of climate policies in Europe” [„Skutki dystrybucyjne polityk klimatycznych</w:t>
      </w:r>
      <w:r w:rsidR="00B10036" w:rsidRPr="00B10036">
        <w:t xml:space="preserve"> w</w:t>
      </w:r>
      <w:r w:rsidR="00B10036">
        <w:t> </w:t>
      </w:r>
      <w:r w:rsidR="00B10036" w:rsidRPr="00B10036">
        <w:t>Eur</w:t>
      </w:r>
      <w:r w:rsidRPr="00B10036">
        <w:t>opie”], Urząd Publikacji Unii Europejskiej, Luksemburg.</w:t>
      </w:r>
    </w:p>
  </w:footnote>
  <w:footnote w:id="22">
    <w:p w14:paraId="24F4DD32" w14:textId="57594CF8" w:rsidR="005A6A52" w:rsidRPr="00B10036" w:rsidRDefault="005A6A52" w:rsidP="0050609F">
      <w:pPr>
        <w:pStyle w:val="FootnoteText"/>
        <w:ind w:left="284" w:hanging="284"/>
        <w:mirrorIndents/>
        <w:jc w:val="left"/>
      </w:pPr>
      <w:r w:rsidRPr="00B10036">
        <w:rPr>
          <w:rStyle w:val="FootnoteReference"/>
        </w:rPr>
        <w:footnoteRef/>
      </w:r>
      <w:r w:rsidRPr="00B10036">
        <w:tab/>
        <w:t>COM(2020) 564 final.</w:t>
      </w:r>
    </w:p>
  </w:footnote>
  <w:footnote w:id="23">
    <w:p w14:paraId="60D67ADD" w14:textId="37717518" w:rsidR="005A6A52" w:rsidRPr="00B10036" w:rsidRDefault="005A6A52" w:rsidP="0050609F">
      <w:pPr>
        <w:pStyle w:val="FootnoteText"/>
        <w:ind w:left="284" w:hanging="284"/>
        <w:mirrorIndents/>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2021/1060</w:t>
      </w:r>
      <w:r w:rsidR="00B10036" w:rsidRPr="00B10036">
        <w:t xml:space="preserve"> z</w:t>
      </w:r>
      <w:r w:rsidR="00B10036">
        <w:t> </w:t>
      </w:r>
      <w:r w:rsidR="00B10036" w:rsidRPr="00B10036">
        <w:t>dni</w:t>
      </w:r>
      <w:r w:rsidRPr="00B10036">
        <w:t>a 24 czerwca 2021</w:t>
      </w:r>
      <w:r w:rsidR="00B10036" w:rsidRPr="00B10036">
        <w:t> </w:t>
      </w:r>
      <w:r w:rsidRPr="00B10036">
        <w:t>r. ustanawiające wspólne przepisy dotyczące Europejskiego Funduszu Rozwoju Regionalnego, Europejskiego Funduszu Społecznego Plus, Funduszu Spójności, Funduszu na rzecz Sprawiedliwej Transformacji</w:t>
      </w:r>
      <w:r w:rsidR="00B10036" w:rsidRPr="00B10036">
        <w:t xml:space="preserve"> i</w:t>
      </w:r>
      <w:r w:rsidR="00B10036">
        <w:t> </w:t>
      </w:r>
      <w:r w:rsidR="00B10036" w:rsidRPr="00B10036">
        <w:t>Eur</w:t>
      </w:r>
      <w:r w:rsidRPr="00B10036">
        <w:t>opejskiego Funduszu Morskiego, Rybackiego</w:t>
      </w:r>
      <w:r w:rsidR="00B10036" w:rsidRPr="00B10036">
        <w:t xml:space="preserve"> i</w:t>
      </w:r>
      <w:r w:rsidR="00B10036">
        <w:t> </w:t>
      </w:r>
      <w:r w:rsidR="00B10036" w:rsidRPr="00B10036">
        <w:t>Akw</w:t>
      </w:r>
      <w:r w:rsidRPr="00B10036">
        <w:t>akultury,</w:t>
      </w:r>
      <w:r w:rsidR="00B10036" w:rsidRPr="00B10036">
        <w:t xml:space="preserve"> a</w:t>
      </w:r>
      <w:r w:rsidR="00B10036">
        <w:t> </w:t>
      </w:r>
      <w:r w:rsidR="00B10036" w:rsidRPr="00B10036">
        <w:t>tak</w:t>
      </w:r>
      <w:r w:rsidRPr="00B10036">
        <w:t>że przepisy finansowe na potrzeby tych funduszy oraz na potrzeby Funduszu Azylu, Migracji</w:t>
      </w:r>
      <w:r w:rsidR="00B10036" w:rsidRPr="00B10036">
        <w:t xml:space="preserve"> i</w:t>
      </w:r>
      <w:r w:rsidR="00B10036">
        <w:t> </w:t>
      </w:r>
      <w:r w:rsidR="00B10036" w:rsidRPr="00B10036">
        <w:t>Int</w:t>
      </w:r>
      <w:r w:rsidRPr="00B10036">
        <w:t>egracji, Funduszu Bezpieczeństwa Wewnętrznego</w:t>
      </w:r>
      <w:r w:rsidR="00B10036" w:rsidRPr="00B10036">
        <w:t xml:space="preserve"> i</w:t>
      </w:r>
      <w:r w:rsidR="00B10036">
        <w:t> </w:t>
      </w:r>
      <w:r w:rsidR="00B10036" w:rsidRPr="00B10036">
        <w:t>Ins</w:t>
      </w:r>
      <w:r w:rsidRPr="00B10036">
        <w:t>trumentu Wsparcia Finansowego na rzecz Zarządzania Granicami</w:t>
      </w:r>
      <w:r w:rsidR="00B10036" w:rsidRPr="00B10036">
        <w:t xml:space="preserve"> i</w:t>
      </w:r>
      <w:r w:rsidR="00B10036">
        <w:t> </w:t>
      </w:r>
      <w:r w:rsidR="00B10036" w:rsidRPr="00B10036">
        <w:t>Pol</w:t>
      </w:r>
      <w:r w:rsidRPr="00B10036">
        <w:t>ityki Wizowej (Dz.U. L 231</w:t>
      </w:r>
      <w:r w:rsidR="00B10036" w:rsidRPr="00B10036">
        <w:t xml:space="preserve"> z</w:t>
      </w:r>
      <w:r w:rsidR="00B10036">
        <w:t> </w:t>
      </w:r>
      <w:r w:rsidR="00B10036" w:rsidRPr="00B10036">
        <w:t>3</w:t>
      </w:r>
      <w:r w:rsidRPr="00B10036">
        <w:t>0.6.2021, s. 159).</w:t>
      </w:r>
    </w:p>
  </w:footnote>
  <w:footnote w:id="24">
    <w:p w14:paraId="1F3456DD" w14:textId="049F229A"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2021/1057</w:t>
      </w:r>
      <w:r w:rsidR="00B10036" w:rsidRPr="00B10036">
        <w:t xml:space="preserve"> z</w:t>
      </w:r>
      <w:r w:rsidR="00B10036">
        <w:t> </w:t>
      </w:r>
      <w:r w:rsidR="00B10036" w:rsidRPr="00B10036">
        <w:t>dni</w:t>
      </w:r>
      <w:r w:rsidRPr="00B10036">
        <w:t>a 24 czerwca 2021</w:t>
      </w:r>
      <w:r w:rsidR="00B10036" w:rsidRPr="00B10036">
        <w:t> </w:t>
      </w:r>
      <w:r w:rsidRPr="00B10036">
        <w:t>r. ustanawiające Europejski Fundusz Społeczny Plus (EFS+) oraz uchylające rozporządzenie (UE) nr</w:t>
      </w:r>
      <w:r w:rsidR="00B10036" w:rsidRPr="00B10036">
        <w:t> </w:t>
      </w:r>
      <w:r w:rsidRPr="00B10036">
        <w:t>1296/2013 (Dz.U. L 231</w:t>
      </w:r>
      <w:r w:rsidR="00B10036" w:rsidRPr="00B10036">
        <w:t xml:space="preserve"> z</w:t>
      </w:r>
      <w:r w:rsidR="00B10036">
        <w:t> </w:t>
      </w:r>
      <w:r w:rsidR="00B10036" w:rsidRPr="00B10036">
        <w:t>3</w:t>
      </w:r>
      <w:r w:rsidRPr="00B10036">
        <w:t>0.6.2021, s. 21).</w:t>
      </w:r>
    </w:p>
  </w:footnote>
  <w:footnote w:id="25">
    <w:p w14:paraId="35F52950" w14:textId="7B80690A" w:rsidR="005A6A52" w:rsidRPr="00B10036" w:rsidRDefault="005A6A52" w:rsidP="0050609F">
      <w:pPr>
        <w:pStyle w:val="FootnoteText"/>
        <w:ind w:left="284" w:hanging="284"/>
      </w:pPr>
      <w:r w:rsidRPr="00B10036">
        <w:rPr>
          <w:rStyle w:val="FootnoteReference"/>
        </w:rPr>
        <w:footnoteRef/>
      </w:r>
      <w:r w:rsidRPr="00B10036">
        <w:tab/>
        <w:t>Komunikat Komisji „Europejski program na rzecz umiejętności służący zrównoważonej konkurencyjności, sprawiedliwości społecznej</w:t>
      </w:r>
      <w:r w:rsidR="00B10036" w:rsidRPr="00B10036">
        <w:t xml:space="preserve"> i</w:t>
      </w:r>
      <w:r w:rsidR="00B10036">
        <w:t> </w:t>
      </w:r>
      <w:r w:rsidR="00B10036" w:rsidRPr="00B10036">
        <w:t>odp</w:t>
      </w:r>
      <w:r w:rsidRPr="00B10036">
        <w:t>orności”, COM(2020) 274 final, 1 lipca 2020</w:t>
      </w:r>
      <w:r w:rsidR="00B10036" w:rsidRPr="00B10036">
        <w:t> </w:t>
      </w:r>
      <w:r w:rsidRPr="00B10036">
        <w:t>r.</w:t>
      </w:r>
    </w:p>
  </w:footnote>
  <w:footnote w:id="26">
    <w:p w14:paraId="193EB16A" w14:textId="59E8FABA" w:rsidR="005A6A52" w:rsidRPr="00B10036" w:rsidRDefault="005A6A52" w:rsidP="0050609F">
      <w:pPr>
        <w:pStyle w:val="FootnoteText"/>
        <w:ind w:left="284" w:hanging="284"/>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indywidualnych rachunków szkoleniowych, COM(2021) 773 final, 8 grudnia 2021</w:t>
      </w:r>
      <w:r w:rsidR="00B10036" w:rsidRPr="00B10036">
        <w:t> </w:t>
      </w:r>
      <w:r w:rsidRPr="00B10036">
        <w:t>r.</w:t>
      </w:r>
    </w:p>
  </w:footnote>
  <w:footnote w:id="27">
    <w:p w14:paraId="1528F0B3" w14:textId="787F036B" w:rsidR="005A6A52" w:rsidRPr="00B10036" w:rsidRDefault="005A6A52" w:rsidP="0050609F">
      <w:pPr>
        <w:pStyle w:val="FootnoteText"/>
        <w:ind w:left="284" w:hanging="284"/>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europejskiego podejścia do mikropoświadczeń na potrzeby uczenia się przez całe życie</w:t>
      </w:r>
      <w:r w:rsidR="00B10036" w:rsidRPr="00B10036">
        <w:t xml:space="preserve"> i</w:t>
      </w:r>
      <w:r w:rsidR="00B10036">
        <w:t> </w:t>
      </w:r>
      <w:r w:rsidR="00B10036" w:rsidRPr="00B10036">
        <w:t>zdo</w:t>
      </w:r>
      <w:r w:rsidRPr="00B10036">
        <w:t>lności do zatrudnienia, COM(2021) 770 final, 8 grudnia 2021</w:t>
      </w:r>
      <w:r w:rsidR="00B10036" w:rsidRPr="00B10036">
        <w:t> </w:t>
      </w:r>
      <w:r w:rsidRPr="00B10036">
        <w:t>r.</w:t>
      </w:r>
    </w:p>
  </w:footnote>
  <w:footnote w:id="28">
    <w:p w14:paraId="5EA6B78D" w14:textId="61099575" w:rsidR="005A6A52" w:rsidRPr="00B10036" w:rsidRDefault="005A6A52" w:rsidP="0050609F">
      <w:pPr>
        <w:pStyle w:val="FootnoteText"/>
        <w:ind w:left="284" w:hanging="284"/>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uczenia się na rzecz zrównoważenia środowiskowego, COM(2021) 557 final, 8 grudnia 2021</w:t>
      </w:r>
      <w:r w:rsidR="00B10036" w:rsidRPr="00B10036">
        <w:t> </w:t>
      </w:r>
      <w:r w:rsidRPr="00B10036">
        <w:t>r.</w:t>
      </w:r>
    </w:p>
  </w:footnote>
  <w:footnote w:id="29">
    <w:p w14:paraId="212D66AA" w14:textId="5B542C32" w:rsidR="005A6A52" w:rsidRPr="00B10036" w:rsidRDefault="005A6A52" w:rsidP="0050609F">
      <w:pPr>
        <w:pStyle w:val="FootnoteText"/>
        <w:ind w:left="284" w:hanging="284"/>
      </w:pPr>
      <w:r w:rsidRPr="00B10036">
        <w:rPr>
          <w:rStyle w:val="FootnoteReference"/>
        </w:rPr>
        <w:footnoteRef/>
      </w:r>
      <w:r w:rsidRPr="00B10036">
        <w:tab/>
      </w:r>
      <w:hyperlink r:id="rId3" w:history="1">
        <w:r w:rsidRPr="00B10036">
          <w:rPr>
            <w:rStyle w:val="Hyperlink"/>
            <w:color w:val="auto"/>
          </w:rPr>
          <w:t>https://ec.europa.eu/social/main.jsp?catId=1517&amp;langId=en</w:t>
        </w:r>
      </w:hyperlink>
    </w:p>
  </w:footnote>
  <w:footnote w:id="30">
    <w:p w14:paraId="5F7FCD62" w14:textId="0C9FEDA1" w:rsidR="005A6A52" w:rsidRPr="00B10036" w:rsidRDefault="005A6A52" w:rsidP="0050609F">
      <w:pPr>
        <w:pStyle w:val="FootnoteText"/>
        <w:ind w:left="284" w:hanging="284"/>
      </w:pPr>
      <w:r w:rsidRPr="00B10036">
        <w:rPr>
          <w:rStyle w:val="FootnoteReference"/>
        </w:rPr>
        <w:footnoteRef/>
      </w:r>
      <w:r w:rsidRPr="00B10036">
        <w:tab/>
        <w:t>Obejmują one następujące ekosystemy przemysłowe: motoryzację; mikroelektronikę; sektor aeronautyczny</w:t>
      </w:r>
      <w:r w:rsidR="00B10036" w:rsidRPr="00B10036">
        <w:t xml:space="preserve"> i</w:t>
      </w:r>
      <w:r w:rsidR="00B10036">
        <w:t> </w:t>
      </w:r>
      <w:r w:rsidR="00B10036" w:rsidRPr="00B10036">
        <w:t>obr</w:t>
      </w:r>
      <w:r w:rsidRPr="00B10036">
        <w:t>onny; przemysł stoczniowy; energię</w:t>
      </w:r>
      <w:r w:rsidR="00B10036" w:rsidRPr="00B10036">
        <w:t xml:space="preserve"> z</w:t>
      </w:r>
      <w:r w:rsidR="00B10036">
        <w:t> </w:t>
      </w:r>
      <w:r w:rsidR="00B10036" w:rsidRPr="00B10036">
        <w:t>mor</w:t>
      </w:r>
      <w:r w:rsidRPr="00B10036">
        <w:t>skich źródeł odnawialnych.</w:t>
      </w:r>
    </w:p>
  </w:footnote>
  <w:footnote w:id="31">
    <w:p w14:paraId="3CDC82BA" w14:textId="0C1EDD21" w:rsidR="005A6A52" w:rsidRPr="00B10036" w:rsidRDefault="005A6A52" w:rsidP="0050609F">
      <w:pPr>
        <w:pStyle w:val="FootnoteText"/>
        <w:ind w:left="284" w:hanging="284"/>
      </w:pPr>
      <w:r w:rsidRPr="00B10036">
        <w:rPr>
          <w:rStyle w:val="FootnoteReference"/>
        </w:rPr>
        <w:footnoteRef/>
      </w:r>
      <w:r w:rsidRPr="00B10036">
        <w:tab/>
        <w:t>Komunikat Komisji „Nowy program na rzecz konsumentów Poprawa odporności konsumentów na potrzeby trwałej odbudowy”, COM(2020) 696 final.</w:t>
      </w:r>
    </w:p>
  </w:footnote>
  <w:footnote w:id="32">
    <w:p w14:paraId="0D62C8CA" w14:textId="4A4F83A6" w:rsidR="005A6A52" w:rsidRPr="00B10036" w:rsidRDefault="005A6A52" w:rsidP="00705830">
      <w:pPr>
        <w:spacing w:before="0" w:after="0"/>
        <w:ind w:left="284" w:hanging="284"/>
      </w:pPr>
      <w:r w:rsidRPr="00B10036">
        <w:rPr>
          <w:rStyle w:val="FootnoteReference"/>
        </w:rPr>
        <w:footnoteRef/>
      </w:r>
      <w:r w:rsidRPr="00B10036">
        <w:tab/>
      </w:r>
      <w:r w:rsidRPr="00B10036">
        <w:rPr>
          <w:sz w:val="20"/>
          <w:szCs w:val="20"/>
        </w:rPr>
        <w:t>Zgodnie</w:t>
      </w:r>
      <w:r w:rsidR="00B10036" w:rsidRPr="00B10036">
        <w:rPr>
          <w:sz w:val="20"/>
          <w:szCs w:val="20"/>
        </w:rPr>
        <w:t xml:space="preserve"> z</w:t>
      </w:r>
      <w:r w:rsidR="00B10036">
        <w:rPr>
          <w:sz w:val="20"/>
          <w:szCs w:val="20"/>
        </w:rPr>
        <w:t> </w:t>
      </w:r>
      <w:r w:rsidR="00B10036" w:rsidRPr="00B10036">
        <w:rPr>
          <w:sz w:val="20"/>
          <w:szCs w:val="20"/>
        </w:rPr>
        <w:t>zap</w:t>
      </w:r>
      <w:r w:rsidRPr="00B10036">
        <w:rPr>
          <w:sz w:val="20"/>
          <w:szCs w:val="20"/>
        </w:rPr>
        <w:t>owiedzią zawartą</w:t>
      </w:r>
      <w:r w:rsidR="00B10036" w:rsidRPr="00B10036">
        <w:rPr>
          <w:sz w:val="20"/>
          <w:szCs w:val="20"/>
        </w:rPr>
        <w:t xml:space="preserve"> w</w:t>
      </w:r>
      <w:r w:rsidR="00B10036">
        <w:rPr>
          <w:sz w:val="20"/>
          <w:szCs w:val="20"/>
        </w:rPr>
        <w:t> </w:t>
      </w:r>
      <w:r w:rsidR="00B10036" w:rsidRPr="00B10036">
        <w:rPr>
          <w:sz w:val="20"/>
          <w:szCs w:val="20"/>
        </w:rPr>
        <w:t>Now</w:t>
      </w:r>
      <w:r w:rsidRPr="00B10036">
        <w:rPr>
          <w:sz w:val="20"/>
          <w:szCs w:val="20"/>
        </w:rPr>
        <w:t>ym programie na rzecz konsumentów Komisja przedstawi wniosek ustawodawczy służący wzmocnieniu roli konsumentów</w:t>
      </w:r>
      <w:r w:rsidR="00B10036" w:rsidRPr="00B10036">
        <w:rPr>
          <w:sz w:val="20"/>
          <w:szCs w:val="20"/>
        </w:rPr>
        <w:t xml:space="preserve"> w</w:t>
      </w:r>
      <w:r w:rsidR="00B10036">
        <w:rPr>
          <w:sz w:val="20"/>
          <w:szCs w:val="20"/>
        </w:rPr>
        <w:t> </w:t>
      </w:r>
      <w:r w:rsidR="00B10036" w:rsidRPr="00B10036">
        <w:rPr>
          <w:sz w:val="20"/>
          <w:szCs w:val="20"/>
        </w:rPr>
        <w:t>pro</w:t>
      </w:r>
      <w:r w:rsidRPr="00B10036">
        <w:rPr>
          <w:sz w:val="20"/>
          <w:szCs w:val="20"/>
        </w:rPr>
        <w:t>cesie przechodzenia na zieloną (ekologiczną) gospodarkę.</w:t>
      </w:r>
    </w:p>
  </w:footnote>
  <w:footnote w:id="33">
    <w:p w14:paraId="728FDFA0" w14:textId="5F1AF612" w:rsidR="005A6A52" w:rsidRPr="00B10036" w:rsidRDefault="005A6A52" w:rsidP="00B55747">
      <w:pPr>
        <w:pStyle w:val="FootnoteText"/>
        <w:ind w:left="284" w:hanging="284"/>
      </w:pPr>
      <w:r w:rsidRPr="00B10036">
        <w:rPr>
          <w:rStyle w:val="FootnoteReference"/>
        </w:rPr>
        <w:footnoteRef/>
      </w:r>
      <w:r w:rsidRPr="00B10036">
        <w:tab/>
        <w:t>Komunikat Komisji „Długoterminowa wizja dla obszarów wiejskich UE – W kierunku silniejszych, lepiej skomunikowanych, odpornych</w:t>
      </w:r>
      <w:r w:rsidR="00B10036" w:rsidRPr="00B10036">
        <w:t xml:space="preserve"> i</w:t>
      </w:r>
      <w:r w:rsidR="00B10036">
        <w:t> </w:t>
      </w:r>
      <w:r w:rsidR="00B10036" w:rsidRPr="00B10036">
        <w:t>zam</w:t>
      </w:r>
      <w:r w:rsidRPr="00B10036">
        <w:t>ożnych obszarów wiejskich do</w:t>
      </w:r>
      <w:r w:rsidR="00B10036" w:rsidRPr="00B10036">
        <w:t> </w:t>
      </w:r>
      <w:r w:rsidRPr="00B10036">
        <w:t>2040</w:t>
      </w:r>
      <w:r w:rsidR="00B10036" w:rsidRPr="00B10036">
        <w:t> </w:t>
      </w:r>
      <w:r w:rsidRPr="00B10036">
        <w:t>r.”, COM(2021) 345 final.</w:t>
      </w:r>
    </w:p>
  </w:footnote>
  <w:footnote w:id="34">
    <w:p w14:paraId="6C0504E4" w14:textId="35BE8F0B" w:rsidR="005A6A52" w:rsidRPr="00B10036" w:rsidRDefault="005A6A52" w:rsidP="00B55747">
      <w:pPr>
        <w:pStyle w:val="FootnoteText"/>
        <w:ind w:left="284" w:hanging="284"/>
      </w:pPr>
      <w:r w:rsidRPr="00B10036">
        <w:rPr>
          <w:rStyle w:val="FootnoteReference"/>
        </w:rPr>
        <w:footnoteRef/>
      </w:r>
      <w:r w:rsidRPr="00B10036">
        <w:tab/>
        <w:t>Komunikat Komisji „Unia równości: unijne ramy strategiczne na rzecz równouprawnienia, włączenia społecznego</w:t>
      </w:r>
      <w:r w:rsidR="00B10036" w:rsidRPr="00B10036">
        <w:t xml:space="preserve"> i</w:t>
      </w:r>
      <w:r w:rsidR="00B10036">
        <w:t> </w:t>
      </w:r>
      <w:r w:rsidR="00B10036" w:rsidRPr="00B10036">
        <w:t>udz</w:t>
      </w:r>
      <w:r w:rsidRPr="00B10036">
        <w:t>iału Romów” na lata 2020–2030, COM(2020) 620 final.</w:t>
      </w:r>
    </w:p>
  </w:footnote>
  <w:footnote w:id="35">
    <w:p w14:paraId="1482F6F6" w14:textId="20FD9706" w:rsidR="005A6A52" w:rsidRPr="00B10036" w:rsidRDefault="005A6A52" w:rsidP="00B55747">
      <w:pPr>
        <w:pStyle w:val="FootnoteText"/>
        <w:ind w:left="284" w:hanging="284"/>
      </w:pPr>
      <w:r w:rsidRPr="00B10036">
        <w:rPr>
          <w:rStyle w:val="FootnoteReference"/>
        </w:rPr>
        <w:footnoteRef/>
      </w:r>
      <w:r w:rsidRPr="00B10036">
        <w:tab/>
        <w:t>Wniosek dotyczący dyrektywy Rady</w:t>
      </w:r>
      <w:r w:rsidR="00B10036" w:rsidRPr="00B10036">
        <w:t xml:space="preserve"> w</w:t>
      </w:r>
      <w:r w:rsidR="00B10036">
        <w:t> </w:t>
      </w:r>
      <w:r w:rsidR="00B10036" w:rsidRPr="00B10036">
        <w:t>spr</w:t>
      </w:r>
      <w:r w:rsidRPr="00B10036">
        <w:t>awie restrukturyzacji unijnych przepisów ramowych dotyczących opodatkowania produktów energetycznych</w:t>
      </w:r>
      <w:r w:rsidR="00B10036" w:rsidRPr="00B10036">
        <w:t xml:space="preserve"> i</w:t>
      </w:r>
      <w:r w:rsidR="00B10036">
        <w:t> </w:t>
      </w:r>
      <w:r w:rsidR="00B10036" w:rsidRPr="00B10036">
        <w:t>ene</w:t>
      </w:r>
      <w:r w:rsidRPr="00B10036">
        <w:t>rgii elektrycznej (wersja przekształcona), COM(2021) 563 final.</w:t>
      </w:r>
    </w:p>
  </w:footnote>
  <w:footnote w:id="36">
    <w:p w14:paraId="7F48FC54" w14:textId="03663206" w:rsidR="005A6A52" w:rsidRPr="00B10036" w:rsidRDefault="005A6A52" w:rsidP="00B55747">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spr</w:t>
      </w:r>
      <w:r w:rsidRPr="00B10036">
        <w:t>awie efektywności energetycznej (wersja przekształcona), COM(2021) 558 final.</w:t>
      </w:r>
    </w:p>
  </w:footnote>
  <w:footnote w:id="37">
    <w:p w14:paraId="2E050EDD" w14:textId="4FBB1D67" w:rsidR="005A6A52" w:rsidRPr="00B10036" w:rsidRDefault="005A6A52" w:rsidP="00B55747">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 zmieniającej dyrektywę Parlamentu Europejskiego</w:t>
      </w:r>
      <w:r w:rsidR="00B10036" w:rsidRPr="00B10036">
        <w:t xml:space="preserve"> i</w:t>
      </w:r>
      <w:r w:rsidR="00B10036">
        <w:t> </w:t>
      </w:r>
      <w:r w:rsidR="00B10036" w:rsidRPr="00B10036">
        <w:t>Rad</w:t>
      </w:r>
      <w:r w:rsidRPr="00B10036">
        <w:t>y 2010/31/UE</w:t>
      </w:r>
      <w:r w:rsidR="00B10036" w:rsidRPr="00B10036">
        <w:t xml:space="preserve"> z</w:t>
      </w:r>
      <w:r w:rsidR="00B10036">
        <w:t> </w:t>
      </w:r>
      <w:r w:rsidR="00B10036" w:rsidRPr="00B10036">
        <w:t>dni</w:t>
      </w:r>
      <w:r w:rsidRPr="00B10036">
        <w:t>a 19 maja 2010</w:t>
      </w:r>
      <w:r w:rsidR="00B10036" w:rsidRPr="00B10036">
        <w:t> </w:t>
      </w:r>
      <w:r w:rsidRPr="00B10036">
        <w:t>r.</w:t>
      </w:r>
      <w:r w:rsidR="00B10036" w:rsidRPr="00B10036">
        <w:t xml:space="preserve"> w</w:t>
      </w:r>
      <w:r w:rsidR="00B10036">
        <w:t> </w:t>
      </w:r>
      <w:r w:rsidR="00B10036" w:rsidRPr="00B10036">
        <w:t>spr</w:t>
      </w:r>
      <w:r w:rsidRPr="00B10036">
        <w:t>awie charakterystyki energetycznej budynków (zmienioną dyrektywą (UE) 2018/844</w:t>
      </w:r>
      <w:r w:rsidR="00B10036" w:rsidRPr="00B10036">
        <w:t xml:space="preserve"> z</w:t>
      </w:r>
      <w:r w:rsidR="00B10036">
        <w:t> </w:t>
      </w:r>
      <w:r w:rsidR="00B10036" w:rsidRPr="00B10036">
        <w:t>dni</w:t>
      </w:r>
      <w:r w:rsidRPr="00B10036">
        <w:t>a 30 maja 2018</w:t>
      </w:r>
      <w:r w:rsidR="00B10036" w:rsidRPr="00B10036">
        <w:t> </w:t>
      </w:r>
      <w:r w:rsidRPr="00B10036">
        <w:t>r.), COM(2021) 802 final.</w:t>
      </w:r>
    </w:p>
  </w:footnote>
  <w:footnote w:id="38">
    <w:p w14:paraId="131800F1" w14:textId="02214DB8" w:rsidR="005A6A52" w:rsidRPr="00B10036" w:rsidRDefault="005A6A52" w:rsidP="00B55747">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 zmieniającej dyrektywę Parlamentu Europejskiego</w:t>
      </w:r>
      <w:r w:rsidR="00B10036" w:rsidRPr="00B10036">
        <w:t xml:space="preserve"> i</w:t>
      </w:r>
      <w:r w:rsidR="00B10036">
        <w:t> </w:t>
      </w:r>
      <w:r w:rsidR="00B10036" w:rsidRPr="00B10036">
        <w:t>Rad</w:t>
      </w:r>
      <w:r w:rsidRPr="00B10036">
        <w:t>y (UE) 2018/2001, rozporządzenie Parlamentu Europejskiego</w:t>
      </w:r>
      <w:r w:rsidR="00B10036" w:rsidRPr="00B10036">
        <w:t xml:space="preserve"> i</w:t>
      </w:r>
      <w:r w:rsidR="00B10036">
        <w:t> </w:t>
      </w:r>
      <w:r w:rsidR="00B10036" w:rsidRPr="00B10036">
        <w:t>Rad</w:t>
      </w:r>
      <w:r w:rsidRPr="00B10036">
        <w:t>y (UE) 2018/1999</w:t>
      </w:r>
      <w:r w:rsidR="00B10036" w:rsidRPr="00B10036">
        <w:t xml:space="preserve"> i</w:t>
      </w:r>
      <w:r w:rsidR="00B10036">
        <w:t> </w:t>
      </w:r>
      <w:r w:rsidR="00B10036" w:rsidRPr="00B10036">
        <w:t>dyr</w:t>
      </w:r>
      <w:r w:rsidRPr="00B10036">
        <w:t>ektywę 98/70/WE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odn</w:t>
      </w:r>
      <w:r w:rsidRPr="00B10036">
        <w:t>iesieniu do promowania energii ze źródeł odnawialnych oraz uchylającej dyrektywę Rady (UE) 2015/652, COM(2021) 557 final.</w:t>
      </w:r>
    </w:p>
  </w:footnote>
  <w:footnote w:id="39">
    <w:p w14:paraId="75561FE2" w14:textId="158E60F4" w:rsidR="005A6A52" w:rsidRPr="00B10036" w:rsidRDefault="005A6A52" w:rsidP="00B55747">
      <w:pPr>
        <w:pStyle w:val="FootnoteText"/>
        <w:ind w:left="284" w:hanging="284"/>
      </w:pPr>
      <w:r w:rsidRPr="00B10036">
        <w:rPr>
          <w:rStyle w:val="FootnoteReference"/>
        </w:rPr>
        <w:footnoteRef/>
      </w:r>
      <w:r w:rsidRPr="00B10036">
        <w:tab/>
        <w:t>Wniosek dotyczący rozporządzenia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spr</w:t>
      </w:r>
      <w:r w:rsidRPr="00B10036">
        <w:t>awie rozwoju infrastruktury paliw alternatywnych</w:t>
      </w:r>
      <w:r w:rsidR="00B10036" w:rsidRPr="00B10036">
        <w:t xml:space="preserve"> i</w:t>
      </w:r>
      <w:r w:rsidR="00B10036">
        <w:t> </w:t>
      </w:r>
      <w:r w:rsidR="00B10036" w:rsidRPr="00B10036">
        <w:t>uch</w:t>
      </w:r>
      <w:r w:rsidRPr="00B10036">
        <w:t>ylającego dyrektywę Parlamentu Europejskiego</w:t>
      </w:r>
      <w:r w:rsidR="00B10036" w:rsidRPr="00B10036">
        <w:t xml:space="preserve"> i</w:t>
      </w:r>
      <w:r w:rsidR="00B10036">
        <w:t> </w:t>
      </w:r>
      <w:r w:rsidR="00B10036" w:rsidRPr="00B10036">
        <w:t>Rad</w:t>
      </w:r>
      <w:r w:rsidRPr="00B10036">
        <w:t>y 2014/94/UE, COM(2021) 559 final.</w:t>
      </w:r>
    </w:p>
  </w:footnote>
  <w:footnote w:id="40">
    <w:p w14:paraId="6F9C773D" w14:textId="0D1583B4" w:rsidR="005A6A52" w:rsidRPr="00B10036" w:rsidRDefault="005A6A52" w:rsidP="00B55747">
      <w:pPr>
        <w:pStyle w:val="FootnoteText"/>
        <w:ind w:left="284" w:hanging="284"/>
      </w:pPr>
      <w:r w:rsidRPr="00B10036">
        <w:rPr>
          <w:rStyle w:val="FootnoteReference"/>
        </w:rPr>
        <w:footnoteRef/>
      </w:r>
      <w:r w:rsidRPr="00B10036">
        <w:tab/>
        <w:t>Wniosek dotyczący rozporządzenia Parlamentu Europejskiego</w:t>
      </w:r>
      <w:r w:rsidR="00B10036" w:rsidRPr="00B10036">
        <w:t xml:space="preserve"> i</w:t>
      </w:r>
      <w:r w:rsidR="00B10036">
        <w:t> </w:t>
      </w:r>
      <w:r w:rsidR="00B10036" w:rsidRPr="00B10036">
        <w:t>Rad</w:t>
      </w:r>
      <w:r w:rsidRPr="00B10036">
        <w:t>y zmieniającego rozporządzenie (UE) 2018/842</w:t>
      </w:r>
      <w:r w:rsidR="00B10036" w:rsidRPr="00B10036">
        <w:t xml:space="preserve"> w</w:t>
      </w:r>
      <w:r w:rsidR="00B10036">
        <w:t> </w:t>
      </w:r>
      <w:r w:rsidR="00B10036" w:rsidRPr="00B10036">
        <w:t>spr</w:t>
      </w:r>
      <w:r w:rsidRPr="00B10036">
        <w:t>awie wiążących rocznych redukcji emisji gazów cieplarnianych przez państwa członkowskie od</w:t>
      </w:r>
      <w:r w:rsidR="00B10036" w:rsidRPr="00B10036">
        <w:t> </w:t>
      </w:r>
      <w:r w:rsidRPr="00B10036">
        <w:t>2021</w:t>
      </w:r>
      <w:r w:rsidR="00B10036" w:rsidRPr="00B10036">
        <w:t> </w:t>
      </w:r>
      <w:r w:rsidRPr="00B10036">
        <w:t>r. do</w:t>
      </w:r>
      <w:r w:rsidR="00B10036" w:rsidRPr="00B10036">
        <w:t> </w:t>
      </w:r>
      <w:r w:rsidRPr="00B10036">
        <w:t>2030</w:t>
      </w:r>
      <w:r w:rsidR="00B10036" w:rsidRPr="00B10036">
        <w:t> </w:t>
      </w:r>
      <w:r w:rsidRPr="00B10036">
        <w:t>r. przyczyniających się do działań na rzecz klimatu</w:t>
      </w:r>
      <w:r w:rsidR="00B10036" w:rsidRPr="00B10036">
        <w:t xml:space="preserve"> w</w:t>
      </w:r>
      <w:r w:rsidR="00B10036">
        <w:t> </w:t>
      </w:r>
      <w:r w:rsidR="00B10036" w:rsidRPr="00B10036">
        <w:t>cel</w:t>
      </w:r>
      <w:r w:rsidRPr="00B10036">
        <w:t>u wywiązania się</w:t>
      </w:r>
      <w:r w:rsidR="00B10036" w:rsidRPr="00B10036">
        <w:t xml:space="preserve"> z</w:t>
      </w:r>
      <w:r w:rsidR="00B10036">
        <w:t> </w:t>
      </w:r>
      <w:r w:rsidR="00B10036" w:rsidRPr="00B10036">
        <w:t>zob</w:t>
      </w:r>
      <w:r w:rsidRPr="00B10036">
        <w:t>owiązań wynikających</w:t>
      </w:r>
      <w:r w:rsidR="00B10036" w:rsidRPr="00B10036">
        <w:t xml:space="preserve"> z</w:t>
      </w:r>
      <w:r w:rsidR="00B10036">
        <w:t> </w:t>
      </w:r>
      <w:r w:rsidR="00B10036" w:rsidRPr="00B10036">
        <w:t>por</w:t>
      </w:r>
      <w:r w:rsidRPr="00B10036">
        <w:t>ozumienia paryskiego, COM(2021) 555 final.</w:t>
      </w:r>
    </w:p>
  </w:footnote>
  <w:footnote w:id="41">
    <w:p w14:paraId="60975E89" w14:textId="7F5B01B0" w:rsidR="005A6A52" w:rsidRPr="00B10036" w:rsidRDefault="005A6A52" w:rsidP="0050609F">
      <w:pPr>
        <w:pStyle w:val="FootnoteText"/>
        <w:ind w:left="284" w:hanging="284"/>
        <w:rPr>
          <w:i/>
        </w:rPr>
      </w:pPr>
      <w:r w:rsidRPr="00B10036">
        <w:rPr>
          <w:rStyle w:val="FootnoteReference"/>
        </w:rPr>
        <w:footnoteRef/>
      </w:r>
      <w:r w:rsidRPr="00B10036">
        <w:tab/>
        <w:t>Dyrektywa Parlamentu Europejskiego</w:t>
      </w:r>
      <w:r w:rsidR="00B10036" w:rsidRPr="00B10036">
        <w:t xml:space="preserve"> i</w:t>
      </w:r>
      <w:r w:rsidR="00B10036">
        <w:t> </w:t>
      </w:r>
      <w:r w:rsidR="00B10036" w:rsidRPr="00B10036">
        <w:t>Rad</w:t>
      </w:r>
      <w:r w:rsidRPr="00B10036">
        <w:t>y (UE) 2018/410</w:t>
      </w:r>
      <w:r w:rsidR="00B10036" w:rsidRPr="00B10036">
        <w:t xml:space="preserve"> z</w:t>
      </w:r>
      <w:r w:rsidR="00B10036">
        <w:t> </w:t>
      </w:r>
      <w:r w:rsidR="00B10036" w:rsidRPr="00B10036">
        <w:t>dni</w:t>
      </w:r>
      <w:r w:rsidRPr="00B10036">
        <w:t>a 14 marca 2018</w:t>
      </w:r>
      <w:r w:rsidR="00B10036" w:rsidRPr="00B10036">
        <w:t> </w:t>
      </w:r>
      <w:r w:rsidRPr="00B10036">
        <w:t>r. zmieniająca dyrektywę 2003/87/WE</w:t>
      </w:r>
      <w:r w:rsidR="00B10036" w:rsidRPr="00B10036">
        <w:t xml:space="preserve"> w</w:t>
      </w:r>
      <w:r w:rsidR="00B10036">
        <w:t> </w:t>
      </w:r>
      <w:r w:rsidR="00B10036" w:rsidRPr="00B10036">
        <w:t>cel</w:t>
      </w:r>
      <w:r w:rsidRPr="00B10036">
        <w:t>u wzmocnienia efektywnych pod względem kosztów redukcji emisji oraz inwestycji niskoemisyjnych oraz decyzję (UE) 2015/1814 (Tekst mający znaczenie dla EOG.) (Dz.U. L 76</w:t>
      </w:r>
      <w:r w:rsidR="00B10036" w:rsidRPr="00B10036">
        <w:t xml:space="preserve"> z</w:t>
      </w:r>
      <w:r w:rsidR="00B10036">
        <w:t> </w:t>
      </w:r>
      <w:r w:rsidR="00B10036" w:rsidRPr="00B10036">
        <w:t>1</w:t>
      </w:r>
      <w:r w:rsidRPr="00B10036">
        <w:t>9.3.2018, s. 3).</w:t>
      </w:r>
    </w:p>
  </w:footnote>
  <w:footnote w:id="42">
    <w:p w14:paraId="2A12A5E2" w14:textId="2059003E" w:rsidR="005A6A52" w:rsidRPr="00B10036" w:rsidRDefault="005A6A52" w:rsidP="0031654A">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2021/1056</w:t>
      </w:r>
      <w:r w:rsidR="00B10036" w:rsidRPr="00B10036">
        <w:t xml:space="preserve"> z</w:t>
      </w:r>
      <w:r w:rsidR="00B10036">
        <w:t> </w:t>
      </w:r>
      <w:r w:rsidR="00B10036" w:rsidRPr="00B10036">
        <w:t>dni</w:t>
      </w:r>
      <w:r w:rsidRPr="00B10036">
        <w:t>a 24 czerwca 2021</w:t>
      </w:r>
      <w:r w:rsidR="00B10036" w:rsidRPr="00B10036">
        <w:t> </w:t>
      </w:r>
      <w:r w:rsidRPr="00B10036">
        <w:t>r. ustanawiające Fundusz na rzecz Sprawiedliwej Transformacji (Dz.U. L 231</w:t>
      </w:r>
      <w:r w:rsidR="00B10036" w:rsidRPr="00B10036">
        <w:t xml:space="preserve"> z</w:t>
      </w:r>
      <w:r w:rsidR="00B10036">
        <w:t> </w:t>
      </w:r>
      <w:r w:rsidR="00B10036" w:rsidRPr="00B10036">
        <w:t>3</w:t>
      </w:r>
      <w:r w:rsidRPr="00B10036">
        <w:t>0.6.2021, s. 1).</w:t>
      </w:r>
    </w:p>
  </w:footnote>
  <w:footnote w:id="43">
    <w:p w14:paraId="3BC679AD" w14:textId="3043071E" w:rsidR="005A6A52" w:rsidRPr="00B10036" w:rsidRDefault="005A6A52" w:rsidP="0031654A">
      <w:pPr>
        <w:pStyle w:val="FootnoteText"/>
        <w:ind w:left="284" w:hanging="284"/>
      </w:pPr>
      <w:r w:rsidRPr="00B10036">
        <w:rPr>
          <w:rStyle w:val="FootnoteReference"/>
        </w:rPr>
        <w:footnoteRef/>
      </w:r>
      <w:r w:rsidRPr="00B10036">
        <w:tab/>
        <w:t>Rezolucja Parlamentu Europejskiego</w:t>
      </w:r>
      <w:r w:rsidR="00B10036" w:rsidRPr="00B10036">
        <w:t xml:space="preserve"> z</w:t>
      </w:r>
      <w:r w:rsidR="00B10036">
        <w:t> </w:t>
      </w:r>
      <w:r w:rsidR="00B10036" w:rsidRPr="00B10036">
        <w:t>dni</w:t>
      </w:r>
      <w:r w:rsidRPr="00B10036">
        <w:t>a 17 grudnia 2020</w:t>
      </w:r>
      <w:r w:rsidR="00B10036" w:rsidRPr="00B10036">
        <w:t> </w:t>
      </w:r>
      <w:r w:rsidRPr="00B10036">
        <w:t>r.</w:t>
      </w:r>
      <w:r w:rsidR="00B10036" w:rsidRPr="00B10036">
        <w:t xml:space="preserve"> w</w:t>
      </w:r>
      <w:r w:rsidR="00B10036">
        <w:t> </w:t>
      </w:r>
      <w:r w:rsidR="00B10036" w:rsidRPr="00B10036">
        <w:t>spr</w:t>
      </w:r>
      <w:r w:rsidRPr="00B10036">
        <w:t>awie silnej Europy socjalnej na rzecz sprawiedliwej transformacji (2020/2084(INI)).</w:t>
      </w:r>
    </w:p>
  </w:footnote>
  <w:footnote w:id="44">
    <w:p w14:paraId="433E535E" w14:textId="701E858D" w:rsidR="005A6A52" w:rsidRPr="00B10036" w:rsidRDefault="005A6A52" w:rsidP="0031654A">
      <w:pPr>
        <w:pStyle w:val="NormalWeb"/>
        <w:shd w:val="clear" w:color="auto" w:fill="FFFFFF"/>
        <w:spacing w:before="0" w:beforeAutospacing="0" w:after="0" w:afterAutospacing="0"/>
        <w:ind w:left="284" w:hanging="284"/>
        <w:rPr>
          <w:sz w:val="20"/>
          <w:szCs w:val="20"/>
        </w:rPr>
      </w:pPr>
      <w:r w:rsidRPr="00B10036">
        <w:rPr>
          <w:rStyle w:val="FootnoteReference"/>
        </w:rPr>
        <w:footnoteRef/>
      </w:r>
      <w:r w:rsidRPr="00B10036">
        <w:tab/>
      </w:r>
      <w:r w:rsidRPr="00B10036">
        <w:rPr>
          <w:sz w:val="20"/>
          <w:szCs w:val="20"/>
        </w:rPr>
        <w:t>Opinia Europejskiego Komitetu Ekonomiczno-Społecznego „Żadnego Zielonego Ładu bez ładu społecznego” (opinia</w:t>
      </w:r>
      <w:r w:rsidR="00B10036" w:rsidRPr="00B10036">
        <w:rPr>
          <w:sz w:val="20"/>
          <w:szCs w:val="20"/>
        </w:rPr>
        <w:t xml:space="preserve"> z</w:t>
      </w:r>
      <w:r w:rsidR="00B10036">
        <w:rPr>
          <w:sz w:val="20"/>
          <w:szCs w:val="20"/>
        </w:rPr>
        <w:t> </w:t>
      </w:r>
      <w:r w:rsidR="00B10036" w:rsidRPr="00B10036">
        <w:rPr>
          <w:sz w:val="20"/>
          <w:szCs w:val="20"/>
        </w:rPr>
        <w:t>ini</w:t>
      </w:r>
      <w:r w:rsidRPr="00B10036">
        <w:rPr>
          <w:sz w:val="20"/>
          <w:szCs w:val="20"/>
        </w:rPr>
        <w:t>cjatywy własnej), EESC 2020/01591 (</w:t>
      </w:r>
      <w:r w:rsidRPr="00B10036">
        <w:rPr>
          <w:rStyle w:val="Emphasis"/>
          <w:i w:val="0"/>
          <w:iCs w:val="0"/>
          <w:sz w:val="20"/>
          <w:szCs w:val="20"/>
        </w:rPr>
        <w:t>Dz.U. C 341</w:t>
      </w:r>
      <w:r w:rsidR="00B10036" w:rsidRPr="00B10036">
        <w:rPr>
          <w:rStyle w:val="Emphasis"/>
          <w:i w:val="0"/>
          <w:iCs w:val="0"/>
          <w:sz w:val="20"/>
          <w:szCs w:val="20"/>
        </w:rPr>
        <w:t xml:space="preserve"> z</w:t>
      </w:r>
      <w:r w:rsidR="00B10036">
        <w:rPr>
          <w:rStyle w:val="Emphasis"/>
          <w:i w:val="0"/>
          <w:iCs w:val="0"/>
          <w:sz w:val="20"/>
          <w:szCs w:val="20"/>
        </w:rPr>
        <w:t> </w:t>
      </w:r>
      <w:r w:rsidR="00B10036" w:rsidRPr="00B10036">
        <w:rPr>
          <w:rStyle w:val="Emphasis"/>
          <w:i w:val="0"/>
          <w:iCs w:val="0"/>
          <w:sz w:val="20"/>
          <w:szCs w:val="20"/>
        </w:rPr>
        <w:t>2</w:t>
      </w:r>
      <w:r w:rsidRPr="00B10036">
        <w:rPr>
          <w:rStyle w:val="Emphasis"/>
          <w:i w:val="0"/>
          <w:iCs w:val="0"/>
          <w:sz w:val="20"/>
          <w:szCs w:val="20"/>
        </w:rPr>
        <w:t>4.8.2021, s. 23).</w:t>
      </w:r>
    </w:p>
  </w:footnote>
  <w:footnote w:id="45">
    <w:p w14:paraId="21421A92" w14:textId="78A3D6BF" w:rsidR="005A6A52" w:rsidRPr="00B10036" w:rsidRDefault="005A6A52" w:rsidP="00CB2E17">
      <w:pPr>
        <w:spacing w:before="0" w:after="0"/>
        <w:ind w:left="284" w:hanging="284"/>
      </w:pPr>
      <w:r w:rsidRPr="00B10036">
        <w:rPr>
          <w:rStyle w:val="FootnoteReference"/>
        </w:rPr>
        <w:footnoteRef/>
      </w:r>
      <w:r w:rsidRPr="00B10036">
        <w:tab/>
      </w:r>
      <w:r w:rsidRPr="00B10036">
        <w:rPr>
          <w:sz w:val="20"/>
          <w:szCs w:val="20"/>
          <w:shd w:val="clear" w:color="auto" w:fill="FFFFFF"/>
        </w:rPr>
        <w:t>Opinia Europejskiego Komitetu Regionów – Silna Europa socjalna na rzecz sprawiedliwej transformacji, COR 2020/02167 (</w:t>
      </w:r>
      <w:r w:rsidRPr="00B10036">
        <w:rPr>
          <w:rStyle w:val="Emphasis"/>
          <w:i w:val="0"/>
          <w:iCs w:val="0"/>
          <w:sz w:val="20"/>
          <w:szCs w:val="20"/>
          <w:shd w:val="clear" w:color="auto" w:fill="FFFFFF"/>
        </w:rPr>
        <w:t>Dz.U. C 440</w:t>
      </w:r>
      <w:r w:rsidR="00B10036" w:rsidRPr="00B10036">
        <w:rPr>
          <w:rStyle w:val="Emphasis"/>
          <w:i w:val="0"/>
          <w:iCs w:val="0"/>
          <w:sz w:val="20"/>
          <w:szCs w:val="20"/>
          <w:shd w:val="clear" w:color="auto" w:fill="FFFFFF"/>
        </w:rPr>
        <w:t xml:space="preserve"> z</w:t>
      </w:r>
      <w:r w:rsidR="00B10036">
        <w:rPr>
          <w:rStyle w:val="Emphasis"/>
          <w:i w:val="0"/>
          <w:iCs w:val="0"/>
          <w:sz w:val="20"/>
          <w:szCs w:val="20"/>
          <w:shd w:val="clear" w:color="auto" w:fill="FFFFFF"/>
        </w:rPr>
        <w:t> </w:t>
      </w:r>
      <w:r w:rsidR="00B10036" w:rsidRPr="00B10036">
        <w:rPr>
          <w:rStyle w:val="Emphasis"/>
          <w:i w:val="0"/>
          <w:iCs w:val="0"/>
          <w:sz w:val="20"/>
          <w:szCs w:val="20"/>
          <w:shd w:val="clear" w:color="auto" w:fill="FFFFFF"/>
        </w:rPr>
        <w:t>1</w:t>
      </w:r>
      <w:r w:rsidRPr="00B10036">
        <w:rPr>
          <w:rStyle w:val="Emphasis"/>
          <w:i w:val="0"/>
          <w:iCs w:val="0"/>
          <w:sz w:val="20"/>
          <w:szCs w:val="20"/>
          <w:shd w:val="clear" w:color="auto" w:fill="FFFFFF"/>
        </w:rPr>
        <w:t>8.12.2020, s. 42)</w:t>
      </w:r>
      <w:r w:rsidRPr="00B10036">
        <w:rPr>
          <w:rStyle w:val="Emphasis"/>
          <w:i w:val="0"/>
          <w:iCs w:val="0"/>
          <w:color w:val="1F497D"/>
          <w:sz w:val="20"/>
          <w:szCs w:val="20"/>
          <w:shd w:val="clear" w:color="auto" w:fill="FFFFFF"/>
        </w:rPr>
        <w:t>.</w:t>
      </w:r>
    </w:p>
  </w:footnote>
  <w:footnote w:id="46">
    <w:p w14:paraId="28728919" w14:textId="6D88D86A" w:rsidR="005A6A52" w:rsidRPr="00B10036" w:rsidRDefault="005A6A52" w:rsidP="0050609F">
      <w:pPr>
        <w:pStyle w:val="FootnoteText"/>
        <w:ind w:left="284" w:hanging="284"/>
      </w:pPr>
      <w:r w:rsidRPr="00B10036">
        <w:rPr>
          <w:rStyle w:val="FootnoteReference"/>
        </w:rPr>
        <w:footnoteRef/>
      </w:r>
      <w:r w:rsidRPr="00B10036">
        <w:tab/>
        <w:t>COM(2020) 564 final.</w:t>
      </w:r>
    </w:p>
  </w:footnote>
  <w:footnote w:id="47">
    <w:p w14:paraId="4D024E30" w14:textId="2EDF7B9F" w:rsidR="005A6A52" w:rsidRPr="00B10036" w:rsidRDefault="005A6A52" w:rsidP="0050609F">
      <w:pPr>
        <w:pStyle w:val="FootnoteText"/>
        <w:ind w:left="284" w:hanging="284"/>
      </w:pPr>
      <w:r w:rsidRPr="00B10036">
        <w:rPr>
          <w:rStyle w:val="FootnoteReference"/>
        </w:rPr>
        <w:footnoteRef/>
      </w:r>
      <w:r w:rsidRPr="00B10036">
        <w:tab/>
      </w:r>
      <w:hyperlink r:id="rId4" w:history="1">
        <w:r w:rsidRPr="00B10036">
          <w:rPr>
            <w:rStyle w:val="Hyperlink"/>
            <w:color w:val="auto"/>
          </w:rPr>
          <w:t>https://ec.europa.eu/social/main.jsp?langId=en&amp;catId=1049</w:t>
        </w:r>
      </w:hyperlink>
      <w:r w:rsidRPr="00B10036">
        <w:t xml:space="preserve"> </w:t>
      </w:r>
    </w:p>
  </w:footnote>
  <w:footnote w:id="48">
    <w:p w14:paraId="6C7E5390" w14:textId="1770C5A2" w:rsidR="005A6A52" w:rsidRPr="00B10036" w:rsidRDefault="005A6A52" w:rsidP="0050609F">
      <w:pPr>
        <w:pStyle w:val="FootnoteText"/>
        <w:ind w:left="284" w:hanging="284"/>
      </w:pPr>
      <w:r w:rsidRPr="00B10036">
        <w:rPr>
          <w:rStyle w:val="FootnoteReference"/>
        </w:rPr>
        <w:footnoteRef/>
      </w:r>
      <w:r w:rsidRPr="00B10036">
        <w:tab/>
        <w:t>Przegląd odpowiednich instrumentów finansowania</w:t>
      </w:r>
      <w:r w:rsidR="00B10036" w:rsidRPr="00B10036">
        <w:t xml:space="preserve"> i</w:t>
      </w:r>
      <w:r w:rsidR="00B10036">
        <w:t> </w:t>
      </w:r>
      <w:r w:rsidR="00B10036" w:rsidRPr="00B10036">
        <w:t>ich</w:t>
      </w:r>
      <w:r w:rsidRPr="00B10036">
        <w:t xml:space="preserve"> wzajemnych powiązań, jak również ich rolę</w:t>
      </w:r>
      <w:r w:rsidR="00B10036" w:rsidRPr="00B10036">
        <w:t xml:space="preserve"> w</w:t>
      </w:r>
      <w:r w:rsidR="00B10036">
        <w:t> </w:t>
      </w:r>
      <w:r w:rsidR="00B10036" w:rsidRPr="00B10036">
        <w:t>rea</w:t>
      </w:r>
      <w:r w:rsidRPr="00B10036">
        <w:t>lizacji zaleceń przedstawionych</w:t>
      </w:r>
      <w:r w:rsidR="00B10036" w:rsidRPr="00B10036">
        <w:t xml:space="preserve"> w</w:t>
      </w:r>
      <w:r w:rsidR="00B10036">
        <w:t> </w:t>
      </w:r>
      <w:r w:rsidR="00B10036" w:rsidRPr="00B10036">
        <w:t>nin</w:t>
      </w:r>
      <w:r w:rsidRPr="00B10036">
        <w:t>iejszym wniosku, opisano bardziej szczegółowo</w:t>
      </w:r>
      <w:r w:rsidR="00B10036" w:rsidRPr="00B10036">
        <w:t xml:space="preserve"> w</w:t>
      </w:r>
      <w:r w:rsidR="00B10036">
        <w:t> </w:t>
      </w:r>
      <w:r w:rsidR="00B10036" w:rsidRPr="00B10036">
        <w:t>tow</w:t>
      </w:r>
      <w:r w:rsidRPr="00B10036">
        <w:t>arzyszącym dokumencie roboczym służb Komisji (SWD(2021) 452).</w:t>
      </w:r>
    </w:p>
  </w:footnote>
  <w:footnote w:id="49">
    <w:p w14:paraId="4558AA22" w14:textId="6F8F9DFA" w:rsidR="005A6A52" w:rsidRPr="00B10036" w:rsidRDefault="005A6A52" w:rsidP="0050609F">
      <w:pPr>
        <w:pStyle w:val="FootnoteText"/>
        <w:ind w:left="284" w:hanging="284"/>
      </w:pPr>
      <w:r w:rsidRPr="00B10036">
        <w:rPr>
          <w:rStyle w:val="FootnoteReference"/>
        </w:rPr>
        <w:footnoteRef/>
      </w:r>
      <w:r w:rsidRPr="00B10036">
        <w:tab/>
        <w:t>IPCC, 2021: Climate change 2021: The Physical Science Basis. Contribution of Working Group I to the Sixth Assessment Report of the Intergovernmental Panel on Climate Change [„Zmiana klimatu</w:t>
      </w:r>
      <w:r w:rsidR="00B10036" w:rsidRPr="00B10036">
        <w:t xml:space="preserve"> w</w:t>
      </w:r>
      <w:r w:rsidR="00B10036">
        <w:t> </w:t>
      </w:r>
      <w:r w:rsidR="00B10036" w:rsidRPr="00B10036">
        <w:t>2</w:t>
      </w:r>
      <w:r w:rsidRPr="00B10036">
        <w:t>021</w:t>
      </w:r>
      <w:r w:rsidR="00B10036" w:rsidRPr="00B10036">
        <w:t> </w:t>
      </w:r>
      <w:r w:rsidRPr="00B10036">
        <w:t>r.: podstawy nauk fizycznych. Wkład grupy roboczej I</w:t>
      </w:r>
      <w:r w:rsidR="00B10036" w:rsidRPr="00B10036">
        <w:t xml:space="preserve"> w</w:t>
      </w:r>
      <w:r w:rsidR="00B10036">
        <w:t> </w:t>
      </w:r>
      <w:r w:rsidR="00B10036" w:rsidRPr="00B10036">
        <w:t>szó</w:t>
      </w:r>
      <w:r w:rsidRPr="00B10036">
        <w:t>ste sprawozdanie oceniające Międzyrządowego Zespołu ds. Zmian Klimatu”].</w:t>
      </w:r>
    </w:p>
  </w:footnote>
  <w:footnote w:id="50">
    <w:p w14:paraId="7583A6B3" w14:textId="77777777" w:rsidR="005A6A52" w:rsidRPr="00B10036" w:rsidRDefault="005A6A52" w:rsidP="0050609F">
      <w:pPr>
        <w:pStyle w:val="FootnoteText"/>
        <w:ind w:left="284" w:hanging="284"/>
      </w:pPr>
      <w:r w:rsidRPr="00B10036">
        <w:rPr>
          <w:rStyle w:val="FootnoteReference"/>
        </w:rPr>
        <w:footnoteRef/>
      </w:r>
      <w:r w:rsidRPr="00B10036">
        <w:tab/>
        <w:t xml:space="preserve">JRC, PESETA IV, </w:t>
      </w:r>
      <w:hyperlink r:id="rId5" w:history="1">
        <w:r w:rsidRPr="00B10036">
          <w:rPr>
            <w:rStyle w:val="Hyperlink"/>
            <w:color w:val="auto"/>
          </w:rPr>
          <w:t>https://ec.europa.eu/jrc/en/peseta-iv/economic-impacts</w:t>
        </w:r>
      </w:hyperlink>
    </w:p>
  </w:footnote>
  <w:footnote w:id="51">
    <w:p w14:paraId="569F24C0" w14:textId="16DB0434" w:rsidR="005A6A52" w:rsidRPr="00B10036" w:rsidRDefault="005A6A52" w:rsidP="0050609F">
      <w:pPr>
        <w:pStyle w:val="FootnoteText"/>
        <w:ind w:left="284" w:hanging="284"/>
      </w:pPr>
      <w:r w:rsidRPr="00B10036">
        <w:rPr>
          <w:rStyle w:val="FootnoteReference"/>
        </w:rPr>
        <w:footnoteRef/>
      </w:r>
      <w:r w:rsidRPr="00B10036">
        <w:tab/>
        <w:t>Porozumienie paryskie (Dz.U. L 282</w:t>
      </w:r>
      <w:r w:rsidR="00B10036" w:rsidRPr="00B10036">
        <w:t xml:space="preserve"> z</w:t>
      </w:r>
      <w:r w:rsidR="00B10036">
        <w:t> </w:t>
      </w:r>
      <w:r w:rsidR="00B10036" w:rsidRPr="00B10036">
        <w:t>1</w:t>
      </w:r>
      <w:r w:rsidRPr="00B10036">
        <w:t>9.10.2016, s. 4).</w:t>
      </w:r>
    </w:p>
  </w:footnote>
  <w:footnote w:id="52">
    <w:p w14:paraId="3251C02E" w14:textId="19C0D422" w:rsidR="005A6A52" w:rsidRPr="00B10036" w:rsidRDefault="005A6A52" w:rsidP="0050609F">
      <w:pPr>
        <w:pStyle w:val="FootnoteText"/>
        <w:ind w:left="284" w:hanging="284"/>
      </w:pPr>
      <w:r w:rsidRPr="00B10036">
        <w:rPr>
          <w:rStyle w:val="FootnoteReference"/>
        </w:rPr>
        <w:footnoteRef/>
      </w:r>
      <w:r w:rsidRPr="00B10036">
        <w:tab/>
        <w:t>Komisja Europejska (2021), badanie PESETA IV „Climate change impacts and adaptation in Europe” [Skutki zmiany klimatu</w:t>
      </w:r>
      <w:r w:rsidR="00B10036" w:rsidRPr="00B10036">
        <w:t xml:space="preserve"> i</w:t>
      </w:r>
      <w:r w:rsidR="00B10036">
        <w:t> </w:t>
      </w:r>
      <w:r w:rsidR="00B10036" w:rsidRPr="00B10036">
        <w:t>prz</w:t>
      </w:r>
      <w:r w:rsidRPr="00B10036">
        <w:t>ystosowanie się do niej</w:t>
      </w:r>
      <w:r w:rsidR="00B10036" w:rsidRPr="00B10036">
        <w:t xml:space="preserve"> w</w:t>
      </w:r>
      <w:r w:rsidR="00B10036">
        <w:t> </w:t>
      </w:r>
      <w:r w:rsidR="00B10036" w:rsidRPr="00B10036">
        <w:t>Eur</w:t>
      </w:r>
      <w:r w:rsidRPr="00B10036">
        <w:t xml:space="preserve">opie], Wspólne Centrum Badawcze, Sewilla, </w:t>
      </w:r>
      <w:hyperlink r:id="rId6" w:history="1">
        <w:r w:rsidRPr="00B10036">
          <w:rPr>
            <w:rStyle w:val="Hyperlink"/>
            <w:color w:val="auto"/>
          </w:rPr>
          <w:t>http://ec.europa.eu/jrc/en/peseta-iv</w:t>
        </w:r>
      </w:hyperlink>
    </w:p>
  </w:footnote>
  <w:footnote w:id="53">
    <w:p w14:paraId="054663CE" w14:textId="0A069954" w:rsidR="005A6A52" w:rsidRPr="00B10036" w:rsidRDefault="005A6A52" w:rsidP="0050609F">
      <w:pPr>
        <w:pStyle w:val="FootnoteText"/>
        <w:ind w:left="284" w:hanging="284"/>
      </w:pPr>
      <w:r w:rsidRPr="00B10036">
        <w:rPr>
          <w:rStyle w:val="FootnoteReference"/>
        </w:rPr>
        <w:footnoteRef/>
      </w:r>
      <w:r w:rsidRPr="00B10036">
        <w:tab/>
        <w:t xml:space="preserve">Komunikat Komisji „Europejski Zielony Ład”, COM(2019) 640 final. </w:t>
      </w:r>
    </w:p>
  </w:footnote>
  <w:footnote w:id="54">
    <w:p w14:paraId="786F8710" w14:textId="2C7E6307"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2021/1119</w:t>
      </w:r>
      <w:r w:rsidR="00B10036" w:rsidRPr="00B10036">
        <w:t xml:space="preserve"> z</w:t>
      </w:r>
      <w:r w:rsidR="00B10036">
        <w:t> </w:t>
      </w:r>
      <w:r w:rsidR="00B10036" w:rsidRPr="00B10036">
        <w:t>dni</w:t>
      </w:r>
      <w:r w:rsidRPr="00B10036">
        <w:t>a 30 czerwca 2021</w:t>
      </w:r>
      <w:r w:rsidR="00B10036" w:rsidRPr="00B10036">
        <w:t> </w:t>
      </w:r>
      <w:r w:rsidRPr="00B10036">
        <w:t>r.</w:t>
      </w:r>
      <w:r w:rsidR="00B10036" w:rsidRPr="00B10036">
        <w:t xml:space="preserve"> w</w:t>
      </w:r>
      <w:r w:rsidR="00B10036">
        <w:t> </w:t>
      </w:r>
      <w:r w:rsidR="00B10036" w:rsidRPr="00B10036">
        <w:t>spr</w:t>
      </w:r>
      <w:r w:rsidRPr="00B10036">
        <w:t>awie ustanowienia ram na potrzeby osiągnięcia neutralności klimatycznej</w:t>
      </w:r>
      <w:r w:rsidR="00B10036" w:rsidRPr="00B10036">
        <w:t xml:space="preserve"> i</w:t>
      </w:r>
      <w:r w:rsidR="00B10036">
        <w:t> </w:t>
      </w:r>
      <w:r w:rsidR="00B10036" w:rsidRPr="00B10036">
        <w:t>zmi</w:t>
      </w:r>
      <w:r w:rsidRPr="00B10036">
        <w:t>any rozporządzeń (WE) nr</w:t>
      </w:r>
      <w:r w:rsidR="00B10036" w:rsidRPr="00B10036">
        <w:t> </w:t>
      </w:r>
      <w:r w:rsidRPr="00B10036">
        <w:t>401/2009 i (UE) 2018/1999 (Europejskie prawo</w:t>
      </w:r>
      <w:r w:rsidR="00B10036" w:rsidRPr="00B10036">
        <w:t xml:space="preserve"> o</w:t>
      </w:r>
      <w:r w:rsidR="00B10036">
        <w:t> </w:t>
      </w:r>
      <w:r w:rsidR="00B10036" w:rsidRPr="00B10036">
        <w:t>kli</w:t>
      </w:r>
      <w:r w:rsidRPr="00B10036">
        <w:t>macie) (Dz.U. L 243</w:t>
      </w:r>
      <w:r w:rsidR="00B10036" w:rsidRPr="00B10036">
        <w:t xml:space="preserve"> z</w:t>
      </w:r>
      <w:r w:rsidR="00B10036">
        <w:t> </w:t>
      </w:r>
      <w:r w:rsidR="00B10036" w:rsidRPr="00B10036">
        <w:t>9</w:t>
      </w:r>
      <w:r w:rsidRPr="00B10036">
        <w:t>.7.2021, s. 1).</w:t>
      </w:r>
    </w:p>
  </w:footnote>
  <w:footnote w:id="55">
    <w:p w14:paraId="699D579D" w14:textId="346B808D" w:rsidR="005A6A52" w:rsidRPr="00B10036" w:rsidRDefault="005A6A52" w:rsidP="0050609F">
      <w:pPr>
        <w:pStyle w:val="FootnoteText"/>
        <w:ind w:left="284" w:hanging="284"/>
      </w:pPr>
      <w:r w:rsidRPr="00B10036">
        <w:rPr>
          <w:rStyle w:val="FootnoteReference"/>
        </w:rPr>
        <w:footnoteRef/>
      </w:r>
      <w:r w:rsidRPr="00B10036">
        <w:tab/>
        <w:t>Wniosek dotyczący decyzji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spr</w:t>
      </w:r>
      <w:r w:rsidRPr="00B10036">
        <w:t>awie ogólnego unijnego programu działań</w:t>
      </w:r>
      <w:r w:rsidR="00B10036" w:rsidRPr="00B10036">
        <w:t xml:space="preserve"> w</w:t>
      </w:r>
      <w:r w:rsidR="00B10036">
        <w:t> </w:t>
      </w:r>
      <w:r w:rsidR="00B10036" w:rsidRPr="00B10036">
        <w:t>zak</w:t>
      </w:r>
      <w:r w:rsidRPr="00B10036">
        <w:t>resie środowiska do</w:t>
      </w:r>
      <w:r w:rsidR="00B10036" w:rsidRPr="00B10036">
        <w:t> </w:t>
      </w:r>
      <w:r w:rsidRPr="00B10036">
        <w:t>2030</w:t>
      </w:r>
      <w:r w:rsidR="00B10036" w:rsidRPr="00B10036">
        <w:t> </w:t>
      </w:r>
      <w:r w:rsidRPr="00B10036">
        <w:t>r., COM(2020) 652 final.</w:t>
      </w:r>
    </w:p>
  </w:footnote>
  <w:footnote w:id="56">
    <w:p w14:paraId="543703F7" w14:textId="3BCA292E" w:rsidR="005A6A52" w:rsidRPr="00B10036" w:rsidRDefault="005A6A52" w:rsidP="0050609F">
      <w:pPr>
        <w:pStyle w:val="FootnoteText"/>
        <w:ind w:left="284" w:hanging="284"/>
      </w:pPr>
      <w:r w:rsidRPr="00B10036">
        <w:rPr>
          <w:rStyle w:val="FootnoteReference"/>
        </w:rPr>
        <w:footnoteRef/>
      </w:r>
      <w:r w:rsidRPr="00B10036">
        <w:tab/>
        <w:t>Na przykład jeżeli chodzi</w:t>
      </w:r>
      <w:r w:rsidR="00B10036" w:rsidRPr="00B10036">
        <w:t xml:space="preserve"> o</w:t>
      </w:r>
      <w:r w:rsidR="00B10036">
        <w:t> </w:t>
      </w:r>
      <w:r w:rsidR="00B10036" w:rsidRPr="00B10036">
        <w:t>inf</w:t>
      </w:r>
      <w:r w:rsidRPr="00B10036">
        <w:t>rastrukturę, szacuje się, że</w:t>
      </w:r>
      <w:r w:rsidR="00B10036" w:rsidRPr="00B10036">
        <w:t xml:space="preserve"> w</w:t>
      </w:r>
      <w:r w:rsidR="00B10036">
        <w:t> </w:t>
      </w:r>
      <w:r w:rsidR="00B10036" w:rsidRPr="00B10036">
        <w:t>tym</w:t>
      </w:r>
      <w:r w:rsidRPr="00B10036">
        <w:t xml:space="preserve"> dziesięcioleciu Europa będzie potrzebować dodatkowych inwestycji</w:t>
      </w:r>
      <w:r w:rsidR="00B10036" w:rsidRPr="00B10036">
        <w:t xml:space="preserve"> w</w:t>
      </w:r>
      <w:r w:rsidR="00B10036">
        <w:t> </w:t>
      </w:r>
      <w:r w:rsidR="00B10036" w:rsidRPr="00B10036">
        <w:t>wys</w:t>
      </w:r>
      <w:r w:rsidRPr="00B10036">
        <w:t>okości 350 mld EUR rocznie na realizację celu redukcji emisji do</w:t>
      </w:r>
      <w:r w:rsidR="00B10036" w:rsidRPr="00B10036">
        <w:t> </w:t>
      </w:r>
      <w:r w:rsidRPr="00B10036">
        <w:t>2030</w:t>
      </w:r>
      <w:r w:rsidR="00B10036" w:rsidRPr="00B10036">
        <w:t> </w:t>
      </w:r>
      <w:r w:rsidRPr="00B10036">
        <w:t>r. tylko</w:t>
      </w:r>
      <w:r w:rsidR="00B10036" w:rsidRPr="00B10036">
        <w:t xml:space="preserve"> w</w:t>
      </w:r>
      <w:r w:rsidR="00B10036">
        <w:t> </w:t>
      </w:r>
      <w:r w:rsidR="00B10036" w:rsidRPr="00B10036">
        <w:t>odn</w:t>
      </w:r>
      <w:r w:rsidRPr="00B10036">
        <w:t>iesieniu do systemów energetycznych,</w:t>
      </w:r>
      <w:r w:rsidR="00B10036" w:rsidRPr="00B10036">
        <w:t xml:space="preserve"> a</w:t>
      </w:r>
      <w:r w:rsidR="00B10036">
        <w:t> </w:t>
      </w:r>
      <w:r w:rsidR="00B10036" w:rsidRPr="00B10036">
        <w:t>pon</w:t>
      </w:r>
      <w:r w:rsidRPr="00B10036">
        <w:t>adto będzie potrzebować 130 mld EUR na osiągnięcie innych celów środowiskowych.</w:t>
      </w:r>
    </w:p>
  </w:footnote>
  <w:footnote w:id="57">
    <w:p w14:paraId="5DA00414" w14:textId="414FEAC6" w:rsidR="005A6A52" w:rsidRPr="00B10036" w:rsidRDefault="005A6A52" w:rsidP="0050609F">
      <w:pPr>
        <w:pStyle w:val="FootnoteText"/>
        <w:ind w:left="284" w:hanging="284"/>
      </w:pPr>
      <w:r w:rsidRPr="00B10036">
        <w:rPr>
          <w:rStyle w:val="FootnoteReference"/>
        </w:rPr>
        <w:footnoteRef/>
      </w:r>
      <w:r w:rsidRPr="00B10036">
        <w:tab/>
        <w:t>Komunikat Komisji „»Gotowi na</w:t>
      </w:r>
      <w:r w:rsidR="00B10036" w:rsidRPr="00B10036">
        <w:t> </w:t>
      </w:r>
      <w:r w:rsidRPr="00B10036">
        <w:t>55«: osiągnięcie unijnego celu klimatycznego na</w:t>
      </w:r>
      <w:r w:rsidR="00B10036" w:rsidRPr="00B10036">
        <w:t> </w:t>
      </w:r>
      <w:r w:rsidRPr="00B10036">
        <w:t>2030</w:t>
      </w:r>
      <w:r w:rsidR="00B10036" w:rsidRPr="00B10036">
        <w:t> </w:t>
      </w:r>
      <w:r w:rsidRPr="00B10036">
        <w:t>r.</w:t>
      </w:r>
      <w:r w:rsidR="00B10036" w:rsidRPr="00B10036">
        <w:t xml:space="preserve"> w</w:t>
      </w:r>
      <w:r w:rsidR="00B10036">
        <w:t> </w:t>
      </w:r>
      <w:r w:rsidR="00B10036" w:rsidRPr="00B10036">
        <w:t>dro</w:t>
      </w:r>
      <w:r w:rsidRPr="00B10036">
        <w:t>dze do neutralności klimatycznej”, COM(2021) 550 final.</w:t>
      </w:r>
      <w:r w:rsidR="00B10036" w:rsidRPr="00B10036">
        <w:t xml:space="preserve"> </w:t>
      </w:r>
    </w:p>
  </w:footnote>
  <w:footnote w:id="58">
    <w:p w14:paraId="5EC95BF0" w14:textId="085A2AE2" w:rsidR="005A6A52" w:rsidRPr="00B10036" w:rsidRDefault="005A6A52" w:rsidP="0050609F">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 zmieniającej dyrektywę 2003/87/WE ustanawiającą system handlu przydziałami emisji gazów cieplarnianych</w:t>
      </w:r>
      <w:r w:rsidR="00B10036" w:rsidRPr="00B10036">
        <w:t xml:space="preserve"> w</w:t>
      </w:r>
      <w:r w:rsidR="00B10036">
        <w:t> </w:t>
      </w:r>
      <w:r w:rsidR="00B10036" w:rsidRPr="00B10036">
        <w:t>Uni</w:t>
      </w:r>
      <w:r w:rsidRPr="00B10036">
        <w:t>i, decyzję (UE) 2015/1814</w:t>
      </w:r>
      <w:r w:rsidR="00B10036" w:rsidRPr="00B10036">
        <w:t xml:space="preserve"> w</w:t>
      </w:r>
      <w:r w:rsidR="00B10036">
        <w:t> </w:t>
      </w:r>
      <w:r w:rsidR="00B10036" w:rsidRPr="00B10036">
        <w:t>spr</w:t>
      </w:r>
      <w:r w:rsidRPr="00B10036">
        <w:t>awie ustanowienia</w:t>
      </w:r>
      <w:r w:rsidR="00B10036" w:rsidRPr="00B10036">
        <w:t xml:space="preserve"> i</w:t>
      </w:r>
      <w:r w:rsidR="00B10036">
        <w:t> </w:t>
      </w:r>
      <w:r w:rsidR="00B10036" w:rsidRPr="00B10036">
        <w:t>fun</w:t>
      </w:r>
      <w:r w:rsidRPr="00B10036">
        <w:t>kcjonowania rezerwy stabilności rynkowej dla unijnego systemu handlu uprawnieniami do emisji gazów cieplarnianych</w:t>
      </w:r>
      <w:r w:rsidR="00B10036" w:rsidRPr="00B10036">
        <w:t xml:space="preserve"> i</w:t>
      </w:r>
      <w:r w:rsidR="00B10036">
        <w:t> </w:t>
      </w:r>
      <w:r w:rsidR="00B10036" w:rsidRPr="00B10036">
        <w:t>roz</w:t>
      </w:r>
      <w:r w:rsidRPr="00B10036">
        <w:t>porządzenie (UE) 2015/757, COM(2021) 551 final.</w:t>
      </w:r>
    </w:p>
  </w:footnote>
  <w:footnote w:id="59">
    <w:p w14:paraId="6DD8FCDF" w14:textId="5E39BC89" w:rsidR="005A6A52" w:rsidRPr="00B10036" w:rsidRDefault="005A6A52" w:rsidP="0050609F">
      <w:pPr>
        <w:pStyle w:val="FootnoteText"/>
        <w:ind w:left="284" w:hanging="284"/>
      </w:pPr>
      <w:r w:rsidRPr="00B10036">
        <w:rPr>
          <w:rStyle w:val="FootnoteReference"/>
        </w:rPr>
        <w:footnoteRef/>
      </w:r>
      <w:r w:rsidRPr="00B10036">
        <w:tab/>
        <w:t>W wytycznych określono koncepcję sprawiedliwej transformacji</w:t>
      </w:r>
      <w:r w:rsidR="00B10036" w:rsidRPr="00B10036">
        <w:t xml:space="preserve"> i</w:t>
      </w:r>
      <w:r w:rsidR="00B10036">
        <w:t> </w:t>
      </w:r>
      <w:r w:rsidR="00B10036" w:rsidRPr="00B10036">
        <w:t>wez</w:t>
      </w:r>
      <w:r w:rsidRPr="00B10036">
        <w:t>wano decydentów oraz partnerów społecznych do promowania sprawiedliwej transformacji na poziomie globalnym.</w:t>
      </w:r>
    </w:p>
  </w:footnote>
  <w:footnote w:id="60">
    <w:p w14:paraId="3869EC6D" w14:textId="4D2D6926" w:rsidR="005A6A52" w:rsidRPr="00B10036" w:rsidRDefault="005A6A52" w:rsidP="0050609F">
      <w:pPr>
        <w:pStyle w:val="FootnoteText"/>
        <w:ind w:left="284" w:hanging="284"/>
      </w:pPr>
      <w:r w:rsidRPr="00B10036">
        <w:rPr>
          <w:rStyle w:val="FootnoteReference"/>
        </w:rPr>
        <w:footnoteRef/>
      </w:r>
      <w:r w:rsidRPr="00B10036">
        <w:tab/>
        <w:t>Sekretariat Generalny Rady, 14545/1/18 REV1</w:t>
      </w:r>
      <w:r w:rsidR="00B10036" w:rsidRPr="00B10036">
        <w:t xml:space="preserve"> z</w:t>
      </w:r>
      <w:r w:rsidR="00B10036">
        <w:t> </w:t>
      </w:r>
      <w:r w:rsidR="00B10036" w:rsidRPr="00B10036">
        <w:t>dni</w:t>
      </w:r>
      <w:r w:rsidRPr="00B10036">
        <w:t>a 26 listopada 2018</w:t>
      </w:r>
      <w:r w:rsidR="00B10036" w:rsidRPr="00B10036">
        <w:t> </w:t>
      </w:r>
      <w:r w:rsidRPr="00B10036">
        <w:t>r.</w:t>
      </w:r>
    </w:p>
  </w:footnote>
  <w:footnote w:id="61">
    <w:p w14:paraId="529FDD59" w14:textId="14F7955C" w:rsidR="005A6A52" w:rsidRPr="00B10036" w:rsidRDefault="005A6A52" w:rsidP="0050609F">
      <w:pPr>
        <w:pStyle w:val="FootnoteText"/>
        <w:ind w:left="284" w:hanging="284"/>
      </w:pPr>
      <w:r w:rsidRPr="00B10036">
        <w:rPr>
          <w:rStyle w:val="FootnoteReference"/>
        </w:rPr>
        <w:footnoteRef/>
      </w:r>
      <w:r w:rsidRPr="00B10036">
        <w:tab/>
        <w:t>Komunikat Komisji „Silna Europa socjalna na rzecz sprawiedliwej transformacji”, COM(2020) 14 final, na podstawie którego rozpoczęto konsultacje publiczne</w:t>
      </w:r>
      <w:r w:rsidR="00B10036" w:rsidRPr="00B10036">
        <w:t xml:space="preserve"> w</w:t>
      </w:r>
      <w:r w:rsidR="00B10036">
        <w:t> </w:t>
      </w:r>
      <w:r w:rsidR="00B10036" w:rsidRPr="00B10036">
        <w:t>spr</w:t>
      </w:r>
      <w:r w:rsidRPr="00B10036">
        <w:t>awie planu działania na rzecz Europejskiego filaru praw socjalnych.</w:t>
      </w:r>
    </w:p>
  </w:footnote>
  <w:footnote w:id="62">
    <w:p w14:paraId="59FB91AC" w14:textId="223C2D7A" w:rsidR="005A6A52" w:rsidRPr="00B10036" w:rsidRDefault="005A6A52" w:rsidP="005C7938">
      <w:pPr>
        <w:pStyle w:val="FootnoteText"/>
        <w:ind w:left="284" w:hanging="284"/>
      </w:pPr>
      <w:r w:rsidRPr="00B10036">
        <w:rPr>
          <w:rStyle w:val="FootnoteReference"/>
        </w:rPr>
        <w:footnoteRef/>
      </w:r>
      <w:r w:rsidRPr="00B10036">
        <w:tab/>
        <w:t>Komunikat Komisji „Plan działania na rzecz Europejskiego filaru praw socjalnych”, COM(2021) 102 final. Europejski filar praw socjalnych, ogłoszony</w:t>
      </w:r>
      <w:r w:rsidR="00B10036" w:rsidRPr="00B10036">
        <w:t xml:space="preserve"> i</w:t>
      </w:r>
      <w:r w:rsidR="00B10036">
        <w:t> </w:t>
      </w:r>
      <w:r w:rsidR="00B10036" w:rsidRPr="00B10036">
        <w:t>pod</w:t>
      </w:r>
      <w:r w:rsidRPr="00B10036">
        <w:t>pisany przez Radę Unii Europejskiej, Parlament Europejski</w:t>
      </w:r>
      <w:r w:rsidR="00B10036" w:rsidRPr="00B10036">
        <w:t xml:space="preserve"> i</w:t>
      </w:r>
      <w:r w:rsidR="00B10036">
        <w:t> </w:t>
      </w:r>
      <w:r w:rsidR="00B10036" w:rsidRPr="00B10036">
        <w:t>Kom</w:t>
      </w:r>
      <w:r w:rsidRPr="00B10036">
        <w:t>isję na szczycie</w:t>
      </w:r>
      <w:r w:rsidR="00B10036" w:rsidRPr="00B10036">
        <w:t xml:space="preserve"> w</w:t>
      </w:r>
      <w:r w:rsidR="00B10036">
        <w:t> </w:t>
      </w:r>
      <w:r w:rsidR="00B10036" w:rsidRPr="00B10036">
        <w:t>Göt</w:t>
      </w:r>
      <w:r w:rsidRPr="00B10036">
        <w:t>eborgu</w:t>
      </w:r>
      <w:r w:rsidR="00B10036" w:rsidRPr="00B10036">
        <w:t xml:space="preserve"> w</w:t>
      </w:r>
      <w:r w:rsidR="00B10036">
        <w:t> </w:t>
      </w:r>
      <w:r w:rsidR="00B10036" w:rsidRPr="00B10036">
        <w:t>lis</w:t>
      </w:r>
      <w:r w:rsidRPr="00B10036">
        <w:t>topadzie 2017</w:t>
      </w:r>
      <w:r w:rsidR="00B10036" w:rsidRPr="00B10036">
        <w:t> </w:t>
      </w:r>
      <w:r w:rsidRPr="00B10036">
        <w:t>r., jest unijnym kompasem na drodze</w:t>
      </w:r>
      <w:r w:rsidR="00B10036" w:rsidRPr="00B10036">
        <w:t xml:space="preserve"> w</w:t>
      </w:r>
      <w:r w:rsidR="00B10036">
        <w:t> </w:t>
      </w:r>
      <w:r w:rsidR="00B10036" w:rsidRPr="00B10036">
        <w:t>kie</w:t>
      </w:r>
      <w:r w:rsidRPr="00B10036">
        <w:t>runku silnej Europy socjalnej.</w:t>
      </w:r>
    </w:p>
  </w:footnote>
  <w:footnote w:id="63">
    <w:p w14:paraId="4D86F1AD" w14:textId="23CAED4B" w:rsidR="005A6A52" w:rsidRPr="00B10036" w:rsidRDefault="005A6A52" w:rsidP="00705830">
      <w:pPr>
        <w:pStyle w:val="FootnoteText"/>
        <w:ind w:left="284" w:hanging="284"/>
      </w:pPr>
      <w:r w:rsidRPr="00B10036">
        <w:rPr>
          <w:rStyle w:val="FootnoteReference"/>
        </w:rPr>
        <w:footnoteRef/>
      </w:r>
      <w:r w:rsidRPr="00B10036">
        <w:tab/>
        <w:t>Aby osiągnąć ten ogólny cel, Europa musi dążyć do zmniejszenia o co najmniej połowę różnicy wskaźnika zatrudnienia kobiet</w:t>
      </w:r>
      <w:r w:rsidR="00B10036" w:rsidRPr="00B10036">
        <w:t xml:space="preserve"> i</w:t>
      </w:r>
      <w:r w:rsidR="00B10036">
        <w:t> </w:t>
      </w:r>
      <w:r w:rsidR="00B10036" w:rsidRPr="00B10036">
        <w:t>męż</w:t>
      </w:r>
      <w:r w:rsidRPr="00B10036">
        <w:t>czyzn</w:t>
      </w:r>
      <w:r w:rsidR="00B10036" w:rsidRPr="00B10036">
        <w:t xml:space="preserve"> w</w:t>
      </w:r>
      <w:r w:rsidR="00B10036">
        <w:t> </w:t>
      </w:r>
      <w:r w:rsidR="00B10036" w:rsidRPr="00B10036">
        <w:t>por</w:t>
      </w:r>
      <w:r w:rsidRPr="00B10036">
        <w:t>ównaniu</w:t>
      </w:r>
      <w:r w:rsidR="00B10036" w:rsidRPr="00B10036">
        <w:t xml:space="preserve"> z</w:t>
      </w:r>
      <w:r w:rsidR="00B10036">
        <w:t> </w:t>
      </w:r>
      <w:r w:rsidR="00B10036" w:rsidRPr="00B10036">
        <w:t>2</w:t>
      </w:r>
      <w:r w:rsidRPr="00B10036">
        <w:t>019</w:t>
      </w:r>
      <w:r w:rsidR="00B10036" w:rsidRPr="00B10036">
        <w:t> </w:t>
      </w:r>
      <w:r w:rsidRPr="00B10036">
        <w:t>r.; do zmniejszenia do</w:t>
      </w:r>
      <w:r w:rsidR="00B10036" w:rsidRPr="00B10036">
        <w:t> </w:t>
      </w:r>
      <w:r w:rsidRPr="00B10036">
        <w:t>9</w:t>
      </w:r>
      <w:r w:rsidR="00B10036" w:rsidRPr="00B10036">
        <w:t> </w:t>
      </w:r>
      <w:r w:rsidRPr="00B10036">
        <w:t>% odsetka młodzieży (15–29 lat) niekształcącej się, niepracującej ani nieszkolącej się (młodzież NEET) oraz do zwiększenia oferty wczesnej formalnej edukacji</w:t>
      </w:r>
      <w:r w:rsidR="00B10036" w:rsidRPr="00B10036">
        <w:t xml:space="preserve"> i</w:t>
      </w:r>
      <w:r w:rsidR="00B10036">
        <w:t> </w:t>
      </w:r>
      <w:r w:rsidR="00B10036" w:rsidRPr="00B10036">
        <w:t>opi</w:t>
      </w:r>
      <w:r w:rsidRPr="00B10036">
        <w:t>eki nad dzieckiem.</w:t>
      </w:r>
    </w:p>
  </w:footnote>
  <w:footnote w:id="64">
    <w:p w14:paraId="4678CFEF" w14:textId="2F117211" w:rsidR="005A6A52" w:rsidRPr="00B10036" w:rsidRDefault="005A6A52" w:rsidP="00705830">
      <w:pPr>
        <w:pStyle w:val="FootnoteText"/>
        <w:ind w:left="284" w:hanging="284"/>
      </w:pPr>
      <w:r w:rsidRPr="00B10036">
        <w:rPr>
          <w:rStyle w:val="FootnoteReference"/>
        </w:rPr>
        <w:footnoteRef/>
      </w:r>
      <w:r w:rsidRPr="00B10036">
        <w:tab/>
        <w:t>W szczególności co najmniej 80</w:t>
      </w:r>
      <w:r w:rsidR="00B10036" w:rsidRPr="00B10036">
        <w:t> </w:t>
      </w:r>
      <w:r w:rsidRPr="00B10036">
        <w:t>% osób</w:t>
      </w:r>
      <w:r w:rsidR="00B10036" w:rsidRPr="00B10036">
        <w:t xml:space="preserve"> w</w:t>
      </w:r>
      <w:r w:rsidR="00B10036">
        <w:t> </w:t>
      </w:r>
      <w:r w:rsidR="00B10036" w:rsidRPr="00B10036">
        <w:t>wie</w:t>
      </w:r>
      <w:r w:rsidRPr="00B10036">
        <w:t>ku 16–74 lat powinno posiadać podstawowe umiejętności cyfrowe,</w:t>
      </w:r>
      <w:r w:rsidR="00B10036" w:rsidRPr="00B10036">
        <w:t xml:space="preserve"> a</w:t>
      </w:r>
      <w:r w:rsidR="00B10036">
        <w:t> </w:t>
      </w:r>
      <w:r w:rsidR="00B10036" w:rsidRPr="00B10036">
        <w:t>tak</w:t>
      </w:r>
      <w:r w:rsidRPr="00B10036">
        <w:t>że należy</w:t>
      </w:r>
      <w:r w:rsidR="00B10036" w:rsidRPr="00B10036">
        <w:t xml:space="preserve"> w</w:t>
      </w:r>
      <w:r w:rsidR="00B10036">
        <w:t> </w:t>
      </w:r>
      <w:r w:rsidR="00B10036" w:rsidRPr="00B10036">
        <w:t>dal</w:t>
      </w:r>
      <w:r w:rsidRPr="00B10036">
        <w:t>szym ciągu ograniczać zjawisko wczesnego kończenia nauki</w:t>
      </w:r>
      <w:r w:rsidR="00B10036" w:rsidRPr="00B10036">
        <w:t xml:space="preserve"> i</w:t>
      </w:r>
      <w:r w:rsidR="00B10036">
        <w:t> </w:t>
      </w:r>
      <w:r w:rsidR="00B10036" w:rsidRPr="00B10036">
        <w:t>zwi</w:t>
      </w:r>
      <w:r w:rsidRPr="00B10036">
        <w:t>ększać uczestnictwo</w:t>
      </w:r>
      <w:r w:rsidR="00B10036" w:rsidRPr="00B10036">
        <w:t xml:space="preserve"> w</w:t>
      </w:r>
      <w:r w:rsidR="00B10036">
        <w:t> </w:t>
      </w:r>
      <w:r w:rsidR="00B10036" w:rsidRPr="00B10036">
        <w:t>ksz</w:t>
      </w:r>
      <w:r w:rsidRPr="00B10036">
        <w:t>tałceniu średnim II stopnia.</w:t>
      </w:r>
    </w:p>
  </w:footnote>
  <w:footnote w:id="65">
    <w:p w14:paraId="5D9E924F" w14:textId="29C1881E" w:rsidR="005A6A52" w:rsidRPr="00B10036" w:rsidRDefault="005A6A52" w:rsidP="00705830">
      <w:pPr>
        <w:pStyle w:val="FootnoteText"/>
        <w:ind w:left="284" w:hanging="284"/>
      </w:pPr>
      <w:r w:rsidRPr="00B10036">
        <w:rPr>
          <w:rStyle w:val="FootnoteReference"/>
        </w:rPr>
        <w:footnoteRef/>
      </w:r>
      <w:r w:rsidRPr="00B10036">
        <w:tab/>
        <w:t>Spośród 15 mln osób, które należy wydobyć</w:t>
      </w:r>
      <w:r w:rsidR="00B10036" w:rsidRPr="00B10036">
        <w:t xml:space="preserve"> z</w:t>
      </w:r>
      <w:r w:rsidR="00B10036">
        <w:t> </w:t>
      </w:r>
      <w:r w:rsidR="00B10036" w:rsidRPr="00B10036">
        <w:t>ubó</w:t>
      </w:r>
      <w:r w:rsidRPr="00B10036">
        <w:t>stwa lub wykluczenia społecznego, co najmniej 5 mln powinny stanowić dzieci.</w:t>
      </w:r>
    </w:p>
  </w:footnote>
  <w:footnote w:id="66">
    <w:p w14:paraId="2310545E" w14:textId="33479B64" w:rsidR="005A6A52" w:rsidRPr="00B10036" w:rsidRDefault="005A6A52" w:rsidP="005C7938">
      <w:pPr>
        <w:pStyle w:val="FootnoteText"/>
        <w:ind w:left="284" w:hanging="284"/>
      </w:pPr>
      <w:r w:rsidRPr="00B10036">
        <w:rPr>
          <w:rStyle w:val="FootnoteReference"/>
        </w:rPr>
        <w:footnoteRef/>
      </w:r>
      <w:r w:rsidRPr="00B10036">
        <w:tab/>
        <w:t>Rada Europejska, deklaracja</w:t>
      </w:r>
      <w:r w:rsidR="00B10036" w:rsidRPr="00B10036">
        <w:t xml:space="preserve"> z</w:t>
      </w:r>
      <w:r w:rsidR="00B10036">
        <w:t> </w:t>
      </w:r>
      <w:r w:rsidR="00B10036" w:rsidRPr="00B10036">
        <w:t>Por</w:t>
      </w:r>
      <w:r w:rsidRPr="00B10036">
        <w:t>to, 8.5.2021.</w:t>
      </w:r>
    </w:p>
  </w:footnote>
  <w:footnote w:id="67">
    <w:p w14:paraId="44816EAB" w14:textId="45E61540" w:rsidR="005A6A52" w:rsidRPr="00B10036" w:rsidRDefault="005A6A52" w:rsidP="005C7938">
      <w:pPr>
        <w:pStyle w:val="FootnoteText"/>
        <w:ind w:left="284" w:hanging="284"/>
      </w:pPr>
      <w:r w:rsidRPr="00B10036">
        <w:rPr>
          <w:rStyle w:val="FootnoteReference"/>
        </w:rPr>
        <w:footnoteRef/>
      </w:r>
      <w:r w:rsidRPr="00B10036">
        <w:tab/>
        <w:t>Komunikat Komisji „»Gotowi na</w:t>
      </w:r>
      <w:r w:rsidR="00B10036" w:rsidRPr="00B10036">
        <w:t> </w:t>
      </w:r>
      <w:r w:rsidRPr="00B10036">
        <w:t>55«: osiągnięcie unijnego celu klimatycznego na</w:t>
      </w:r>
      <w:r w:rsidR="00B10036" w:rsidRPr="00B10036">
        <w:t> </w:t>
      </w:r>
      <w:r w:rsidRPr="00B10036">
        <w:t>2030</w:t>
      </w:r>
      <w:r w:rsidR="00B10036" w:rsidRPr="00B10036">
        <w:t> </w:t>
      </w:r>
      <w:r w:rsidRPr="00B10036">
        <w:t>r.</w:t>
      </w:r>
      <w:r w:rsidR="00B10036" w:rsidRPr="00B10036">
        <w:t xml:space="preserve"> w</w:t>
      </w:r>
      <w:r w:rsidR="00B10036">
        <w:t> </w:t>
      </w:r>
      <w:r w:rsidR="00B10036" w:rsidRPr="00B10036">
        <w:t>dro</w:t>
      </w:r>
      <w:r w:rsidRPr="00B10036">
        <w:t>dze do neutralności klimatycznej”, COM(2021) 550 final.</w:t>
      </w:r>
    </w:p>
  </w:footnote>
  <w:footnote w:id="68">
    <w:p w14:paraId="0BC4BBD6" w14:textId="3D1E319E" w:rsidR="005A6A52" w:rsidRPr="00B10036" w:rsidRDefault="005A6A52" w:rsidP="005C7938">
      <w:pPr>
        <w:pStyle w:val="FootnoteText"/>
        <w:ind w:left="284" w:hanging="284"/>
      </w:pPr>
      <w:r w:rsidRPr="00B10036">
        <w:rPr>
          <w:rStyle w:val="FootnoteReference"/>
        </w:rPr>
        <w:footnoteRef/>
      </w:r>
      <w:r w:rsidRPr="00B10036">
        <w:tab/>
        <w:t>Dokument roboczy służb Komisji, ocena skutków towarzysząca komunikatowi „Ambitniejszy cel klimatyczny Europy do</w:t>
      </w:r>
      <w:r w:rsidR="00B10036" w:rsidRPr="00B10036">
        <w:t> </w:t>
      </w:r>
      <w:r w:rsidRPr="00B10036">
        <w:t>2030</w:t>
      </w:r>
      <w:r w:rsidR="00B10036" w:rsidRPr="00B10036">
        <w:t> </w:t>
      </w:r>
      <w:r w:rsidRPr="00B10036">
        <w:t>r. Inwestowanie</w:t>
      </w:r>
      <w:r w:rsidR="00B10036" w:rsidRPr="00B10036">
        <w:t xml:space="preserve"> w</w:t>
      </w:r>
      <w:r w:rsidR="00B10036">
        <w:t> </w:t>
      </w:r>
      <w:r w:rsidR="00B10036" w:rsidRPr="00B10036">
        <w:t>prz</w:t>
      </w:r>
      <w:r w:rsidRPr="00B10036">
        <w:t>yszłość neutralną dla klimatu</w:t>
      </w:r>
      <w:r w:rsidR="00B10036" w:rsidRPr="00B10036">
        <w:t xml:space="preserve"> z</w:t>
      </w:r>
      <w:r w:rsidR="00B10036">
        <w:t> </w:t>
      </w:r>
      <w:r w:rsidR="00B10036" w:rsidRPr="00B10036">
        <w:t>kor</w:t>
      </w:r>
      <w:r w:rsidRPr="00B10036">
        <w:t>zyścią dla obywateli”, SWD(2020) 176 final. Prognozy na podstawie E-QUEST</w:t>
      </w:r>
      <w:r w:rsidR="00B10036" w:rsidRPr="00B10036">
        <w:t xml:space="preserve"> z</w:t>
      </w:r>
      <w:r w:rsidR="00B10036">
        <w:t> </w:t>
      </w:r>
      <w:r w:rsidR="00B10036" w:rsidRPr="00B10036">
        <w:t>wyk</w:t>
      </w:r>
      <w:r w:rsidRPr="00B10036">
        <w:t>orzystaniem scenariusza „niższego opodatkowania siły roboczej</w:t>
      </w:r>
      <w:r w:rsidR="00B10036" w:rsidRPr="00B10036">
        <w:t xml:space="preserve"> o</w:t>
      </w:r>
      <w:r w:rsidR="00B10036">
        <w:t> </w:t>
      </w:r>
      <w:r w:rsidR="00B10036" w:rsidRPr="00B10036">
        <w:t>nis</w:t>
      </w:r>
      <w:r w:rsidRPr="00B10036">
        <w:t>kich umiejętnościach”.</w:t>
      </w:r>
    </w:p>
  </w:footnote>
  <w:footnote w:id="69">
    <w:p w14:paraId="208F4DD8" w14:textId="6BE7C6DB" w:rsidR="005A6A52" w:rsidRPr="00B10036" w:rsidRDefault="005A6A52" w:rsidP="0050609F">
      <w:pPr>
        <w:pStyle w:val="FootnoteText"/>
        <w:ind w:left="284" w:hanging="284"/>
      </w:pPr>
      <w:r w:rsidRPr="00B10036">
        <w:rPr>
          <w:rStyle w:val="FootnoteReference"/>
        </w:rPr>
        <w:footnoteRef/>
      </w:r>
      <w:r w:rsidRPr="00B10036">
        <w:tab/>
        <w:t>Komisja Europejska (2019), „Zrównoważony wzrost gospodarczy dla wszystkich: wybory dotyczące przyszłości Europy</w:t>
      </w:r>
      <w:r w:rsidR="00B10036" w:rsidRPr="00B10036">
        <w:t xml:space="preserve"> o</w:t>
      </w:r>
      <w:r w:rsidR="00B10036">
        <w:t> </w:t>
      </w:r>
      <w:r w:rsidR="00B10036" w:rsidRPr="00B10036">
        <w:t>wym</w:t>
      </w:r>
      <w:r w:rsidRPr="00B10036">
        <w:t>iarze społecznym, Zatrudnienie</w:t>
      </w:r>
      <w:r w:rsidR="00B10036" w:rsidRPr="00B10036">
        <w:t xml:space="preserve"> i</w:t>
      </w:r>
      <w:r w:rsidR="00B10036">
        <w:t> </w:t>
      </w:r>
      <w:r w:rsidR="00B10036" w:rsidRPr="00B10036">
        <w:t>kwe</w:t>
      </w:r>
      <w:r w:rsidRPr="00B10036">
        <w:t>stie społeczne</w:t>
      </w:r>
      <w:r w:rsidR="00B10036" w:rsidRPr="00B10036">
        <w:t xml:space="preserve"> w</w:t>
      </w:r>
      <w:r w:rsidR="00B10036">
        <w:t> </w:t>
      </w:r>
      <w:r w:rsidR="00B10036" w:rsidRPr="00B10036">
        <w:t>Eur</w:t>
      </w:r>
      <w:r w:rsidRPr="00B10036">
        <w:t>opie</w:t>
      </w:r>
      <w:r w:rsidR="00B10036" w:rsidRPr="00B10036">
        <w:t xml:space="preserve"> w</w:t>
      </w:r>
      <w:r w:rsidR="00B10036">
        <w:t> </w:t>
      </w:r>
      <w:r w:rsidR="00B10036" w:rsidRPr="00B10036">
        <w:t>rok</w:t>
      </w:r>
      <w:r w:rsidRPr="00B10036">
        <w:t>u 2019”, 4 lipca 2019</w:t>
      </w:r>
      <w:r w:rsidR="00B10036" w:rsidRPr="00B10036">
        <w:t> </w:t>
      </w:r>
      <w:r w:rsidRPr="00B10036">
        <w:t>r. Na podstawie szczegółowej analizy towarzyszącej komunikatowi Komisji COM(2018) 773.</w:t>
      </w:r>
    </w:p>
  </w:footnote>
  <w:footnote w:id="70">
    <w:p w14:paraId="17560949" w14:textId="534F5E39" w:rsidR="005A6A52" w:rsidRPr="00B10036" w:rsidRDefault="005A6A52" w:rsidP="0050609F">
      <w:pPr>
        <w:pStyle w:val="FootnoteText"/>
        <w:ind w:left="284" w:hanging="284"/>
      </w:pPr>
      <w:r w:rsidRPr="00B10036">
        <w:rPr>
          <w:rStyle w:val="FootnoteReference"/>
        </w:rPr>
        <w:footnoteRef/>
      </w:r>
      <w:r w:rsidRPr="00B10036">
        <w:tab/>
        <w:t>SWD(2020) 176 final.</w:t>
      </w:r>
    </w:p>
  </w:footnote>
  <w:footnote w:id="71">
    <w:p w14:paraId="5AAEE925" w14:textId="6DA14BC4" w:rsidR="005A6A52" w:rsidRPr="00B10036" w:rsidRDefault="005A6A52" w:rsidP="0050609F">
      <w:pPr>
        <w:pStyle w:val="FootnoteText"/>
        <w:ind w:left="284" w:hanging="284"/>
      </w:pPr>
      <w:r w:rsidRPr="00B10036">
        <w:rPr>
          <w:rStyle w:val="FootnoteReference"/>
        </w:rPr>
        <w:footnoteRef/>
      </w:r>
      <w:r w:rsidRPr="00B10036">
        <w:tab/>
        <w:t>SWD(2020) 176 final.</w:t>
      </w:r>
    </w:p>
  </w:footnote>
  <w:footnote w:id="72">
    <w:p w14:paraId="0333100E" w14:textId="1E296B67" w:rsidR="005A6A52" w:rsidRPr="00B10036" w:rsidRDefault="005A6A52" w:rsidP="0050609F">
      <w:pPr>
        <w:pStyle w:val="FootnoteText"/>
        <w:ind w:left="284" w:hanging="284"/>
      </w:pPr>
      <w:r w:rsidRPr="00B10036">
        <w:rPr>
          <w:rStyle w:val="FootnoteReference"/>
        </w:rPr>
        <w:footnoteRef/>
      </w:r>
      <w:r w:rsidRPr="00B10036">
        <w:tab/>
        <w:t>Komisja Europejska (2019), „Zrównoważony wzrost gospodarczy dla wszystkich: wybory dotyczące przyszłości Europy</w:t>
      </w:r>
      <w:r w:rsidR="00B10036" w:rsidRPr="00B10036">
        <w:t xml:space="preserve"> o</w:t>
      </w:r>
      <w:r w:rsidR="00B10036">
        <w:t> </w:t>
      </w:r>
      <w:r w:rsidR="00B10036" w:rsidRPr="00B10036">
        <w:t>wym</w:t>
      </w:r>
      <w:r w:rsidRPr="00B10036">
        <w:t>iarze społecznym, Zatrudnienie</w:t>
      </w:r>
      <w:r w:rsidR="00B10036" w:rsidRPr="00B10036">
        <w:t xml:space="preserve"> i</w:t>
      </w:r>
      <w:r w:rsidR="00B10036">
        <w:t> </w:t>
      </w:r>
      <w:r w:rsidR="00B10036" w:rsidRPr="00B10036">
        <w:t>kwe</w:t>
      </w:r>
      <w:r w:rsidRPr="00B10036">
        <w:t>stie społeczne</w:t>
      </w:r>
      <w:r w:rsidR="00B10036" w:rsidRPr="00B10036">
        <w:t xml:space="preserve"> w</w:t>
      </w:r>
      <w:r w:rsidR="00B10036">
        <w:t> </w:t>
      </w:r>
      <w:r w:rsidR="00B10036" w:rsidRPr="00B10036">
        <w:t>Eur</w:t>
      </w:r>
      <w:r w:rsidRPr="00B10036">
        <w:t>opie</w:t>
      </w:r>
      <w:r w:rsidR="00B10036" w:rsidRPr="00B10036">
        <w:t xml:space="preserve"> w</w:t>
      </w:r>
      <w:r w:rsidR="00B10036">
        <w:t> </w:t>
      </w:r>
      <w:r w:rsidR="00B10036" w:rsidRPr="00B10036">
        <w:t>rok</w:t>
      </w:r>
      <w:r w:rsidRPr="00B10036">
        <w:t>u 2019”, rozdział 5, 4 lipca 2019</w:t>
      </w:r>
      <w:r w:rsidR="00B10036" w:rsidRPr="00B10036">
        <w:t> </w:t>
      </w:r>
      <w:r w:rsidRPr="00B10036">
        <w:t>r.,</w:t>
      </w:r>
      <w:r w:rsidR="00B10036" w:rsidRPr="00B10036">
        <w:t xml:space="preserve"> i</w:t>
      </w:r>
      <w:r w:rsidR="00B10036">
        <w:t> </w:t>
      </w:r>
      <w:r w:rsidR="00B10036" w:rsidRPr="00B10036">
        <w:t>Kom</w:t>
      </w:r>
      <w:r w:rsidRPr="00B10036">
        <w:t>isja Europejska (2020), „Leaving no one behind and striving for more: fairness and solidarity in the European social market economy”, Employment and Social Developments in Europe 2020 [„Nie zostawiając nikogo</w:t>
      </w:r>
      <w:r w:rsidR="00B10036" w:rsidRPr="00B10036">
        <w:t xml:space="preserve"> w</w:t>
      </w:r>
      <w:r w:rsidR="00B10036">
        <w:t> </w:t>
      </w:r>
      <w:r w:rsidR="00B10036" w:rsidRPr="00B10036">
        <w:t>tyl</w:t>
      </w:r>
      <w:r w:rsidRPr="00B10036">
        <w:t>e</w:t>
      </w:r>
      <w:r w:rsidR="00B10036" w:rsidRPr="00B10036">
        <w:t xml:space="preserve"> i</w:t>
      </w:r>
      <w:r w:rsidR="00B10036">
        <w:t> </w:t>
      </w:r>
      <w:r w:rsidR="00B10036" w:rsidRPr="00B10036">
        <w:t>mie</w:t>
      </w:r>
      <w:r w:rsidRPr="00B10036">
        <w:t>rząc wyżej: sprawiedliwość</w:t>
      </w:r>
      <w:r w:rsidR="00B10036" w:rsidRPr="00B10036">
        <w:t xml:space="preserve"> i</w:t>
      </w:r>
      <w:r w:rsidR="00B10036">
        <w:t> </w:t>
      </w:r>
      <w:r w:rsidR="00B10036" w:rsidRPr="00B10036">
        <w:t>sol</w:t>
      </w:r>
      <w:r w:rsidRPr="00B10036">
        <w:t>idarność</w:t>
      </w:r>
      <w:r w:rsidR="00B10036" w:rsidRPr="00B10036">
        <w:t xml:space="preserve"> w</w:t>
      </w:r>
      <w:r w:rsidR="00B10036">
        <w:t> </w:t>
      </w:r>
      <w:r w:rsidR="00B10036" w:rsidRPr="00B10036">
        <w:t>eur</w:t>
      </w:r>
      <w:r w:rsidRPr="00B10036">
        <w:t>opejskiej społecznej gospodarce rynkowej”, Zatrudnienie</w:t>
      </w:r>
      <w:r w:rsidR="00B10036" w:rsidRPr="00B10036">
        <w:t xml:space="preserve"> i</w:t>
      </w:r>
      <w:r w:rsidR="00B10036">
        <w:t> </w:t>
      </w:r>
      <w:r w:rsidR="00B10036" w:rsidRPr="00B10036">
        <w:t>kwe</w:t>
      </w:r>
      <w:r w:rsidRPr="00B10036">
        <w:t>stie społeczne</w:t>
      </w:r>
      <w:r w:rsidR="00B10036" w:rsidRPr="00B10036">
        <w:t xml:space="preserve"> w</w:t>
      </w:r>
      <w:r w:rsidR="00B10036">
        <w:t> </w:t>
      </w:r>
      <w:r w:rsidR="00B10036" w:rsidRPr="00B10036">
        <w:t>Eur</w:t>
      </w:r>
      <w:r w:rsidRPr="00B10036">
        <w:t>opie</w:t>
      </w:r>
      <w:r w:rsidR="00B10036" w:rsidRPr="00B10036">
        <w:t xml:space="preserve"> w</w:t>
      </w:r>
      <w:r w:rsidR="00B10036">
        <w:t> </w:t>
      </w:r>
      <w:r w:rsidR="00B10036" w:rsidRPr="00B10036">
        <w:t>rok</w:t>
      </w:r>
      <w:r w:rsidRPr="00B10036">
        <w:t>u 2020], rozdział 4.2.2, 15 września 2020</w:t>
      </w:r>
      <w:r w:rsidR="00B10036" w:rsidRPr="00B10036">
        <w:t> </w:t>
      </w:r>
      <w:r w:rsidRPr="00B10036">
        <w:t>r. Ogólne ubóstwo</w:t>
      </w:r>
      <w:r w:rsidR="00B10036" w:rsidRPr="00B10036">
        <w:t xml:space="preserve"> w</w:t>
      </w:r>
      <w:r w:rsidR="00B10036">
        <w:t> </w:t>
      </w:r>
      <w:r w:rsidR="00B10036" w:rsidRPr="00B10036">
        <w:t>tym</w:t>
      </w:r>
      <w:r w:rsidRPr="00B10036">
        <w:t xml:space="preserve"> kontekście mierzy się za pomocą uzgodnionego wskaźnika zagrożenia ubóstwem zgodnie ze wskaźnikami tablicy wskaźników społecznych</w:t>
      </w:r>
      <w:r w:rsidR="00B10036" w:rsidRPr="00B10036">
        <w:t xml:space="preserve"> i</w:t>
      </w:r>
      <w:r w:rsidR="00B10036">
        <w:t> </w:t>
      </w:r>
      <w:r w:rsidR="00B10036" w:rsidRPr="00B10036">
        <w:t>pow</w:t>
      </w:r>
      <w:r w:rsidRPr="00B10036">
        <w:t>iązanym głównym celem na</w:t>
      </w:r>
      <w:r w:rsidR="00B10036" w:rsidRPr="00B10036">
        <w:t> </w:t>
      </w:r>
      <w:r w:rsidRPr="00B10036">
        <w:t>2030</w:t>
      </w:r>
      <w:r w:rsidR="00B10036" w:rsidRPr="00B10036">
        <w:t> </w:t>
      </w:r>
      <w:r w:rsidRPr="00B10036">
        <w:t>r.</w:t>
      </w:r>
      <w:r w:rsidR="00B10036" w:rsidRPr="00B10036">
        <w:t xml:space="preserve"> w</w:t>
      </w:r>
      <w:r w:rsidR="00B10036">
        <w:t> </w:t>
      </w:r>
      <w:r w:rsidR="00B10036" w:rsidRPr="00B10036">
        <w:t>ram</w:t>
      </w:r>
      <w:r w:rsidRPr="00B10036">
        <w:t>ach planu działania na rzecz Europejskiego filaru praw socjalnych.</w:t>
      </w:r>
    </w:p>
  </w:footnote>
  <w:footnote w:id="73">
    <w:p w14:paraId="7D10C645" w14:textId="5FE0EE8F" w:rsidR="005A6A52" w:rsidRPr="00B10036" w:rsidRDefault="005A6A52" w:rsidP="0050609F">
      <w:pPr>
        <w:pStyle w:val="FootnoteText"/>
        <w:ind w:left="284" w:hanging="284"/>
      </w:pPr>
      <w:r w:rsidRPr="00B10036">
        <w:rPr>
          <w:rStyle w:val="FootnoteReference"/>
        </w:rPr>
        <w:footnoteRef/>
      </w:r>
      <w:r w:rsidRPr="00B10036">
        <w:tab/>
        <w:t xml:space="preserve">IEEP (2021), </w:t>
      </w:r>
      <w:hyperlink r:id="rId7" w:history="1">
        <w:r w:rsidRPr="00B10036">
          <w:rPr>
            <w:rStyle w:val="Hyperlink"/>
            <w:color w:val="auto"/>
          </w:rPr>
          <w:t>„Green taxation and other economic instruments:</w:t>
        </w:r>
      </w:hyperlink>
      <w:hyperlink r:id="rId8" w:history="1">
        <w:r w:rsidRPr="00B10036">
          <w:rPr>
            <w:rStyle w:val="Hyperlink"/>
            <w:color w:val="auto"/>
          </w:rPr>
          <w:t xml:space="preserve"> internalising environmental costs to make the polluter pay” [Zielone opodatkowanie</w:t>
        </w:r>
        <w:r w:rsidR="00B10036" w:rsidRPr="00B10036">
          <w:rPr>
            <w:rStyle w:val="Hyperlink"/>
            <w:color w:val="auto"/>
          </w:rPr>
          <w:t xml:space="preserve"> i</w:t>
        </w:r>
        <w:r w:rsidR="00B10036">
          <w:rPr>
            <w:rStyle w:val="Hyperlink"/>
            <w:color w:val="auto"/>
          </w:rPr>
          <w:t> </w:t>
        </w:r>
        <w:r w:rsidR="00B10036" w:rsidRPr="00B10036">
          <w:rPr>
            <w:rStyle w:val="Hyperlink"/>
            <w:color w:val="auto"/>
          </w:rPr>
          <w:t>inn</w:t>
        </w:r>
        <w:r w:rsidRPr="00B10036">
          <w:rPr>
            <w:rStyle w:val="Hyperlink"/>
            <w:color w:val="auto"/>
          </w:rPr>
          <w:t>e instrumenty ekonomiczne: internalizacja kosztów środowiskowych</w:t>
        </w:r>
        <w:r w:rsidR="00B10036" w:rsidRPr="00B10036">
          <w:rPr>
            <w:rStyle w:val="Hyperlink"/>
            <w:color w:val="auto"/>
          </w:rPr>
          <w:t xml:space="preserve"> w</w:t>
        </w:r>
        <w:r w:rsidR="00B10036">
          <w:rPr>
            <w:rStyle w:val="Hyperlink"/>
            <w:color w:val="auto"/>
          </w:rPr>
          <w:t> </w:t>
        </w:r>
        <w:r w:rsidR="00B10036" w:rsidRPr="00B10036">
          <w:rPr>
            <w:rStyle w:val="Hyperlink"/>
            <w:color w:val="auto"/>
          </w:rPr>
          <w:t>cel</w:t>
        </w:r>
        <w:r w:rsidRPr="00B10036">
          <w:rPr>
            <w:rStyle w:val="Hyperlink"/>
            <w:color w:val="auto"/>
          </w:rPr>
          <w:t>u skłonienia zanieczyszczającego do zapłaty]</w:t>
        </w:r>
      </w:hyperlink>
      <w:r w:rsidRPr="00B10036">
        <w:rPr>
          <w:u w:val="single"/>
        </w:rPr>
        <w:t>.</w:t>
      </w:r>
    </w:p>
  </w:footnote>
  <w:footnote w:id="74">
    <w:p w14:paraId="4664A0FD" w14:textId="411D4BC8" w:rsidR="005A6A52" w:rsidRPr="00B10036" w:rsidRDefault="005A6A52" w:rsidP="0050609F">
      <w:pPr>
        <w:pStyle w:val="FootnoteText"/>
        <w:ind w:left="284" w:hanging="284"/>
      </w:pPr>
      <w:r w:rsidRPr="00B10036">
        <w:rPr>
          <w:rStyle w:val="FootnoteReference"/>
        </w:rPr>
        <w:footnoteRef/>
      </w:r>
      <w:r w:rsidRPr="00B10036">
        <w:tab/>
        <w:t>Dane EU-SILC za</w:t>
      </w:r>
      <w:r w:rsidR="00B10036" w:rsidRPr="00B10036">
        <w:t> </w:t>
      </w:r>
      <w:r w:rsidRPr="00B10036">
        <w:t>2019</w:t>
      </w:r>
      <w:r w:rsidR="00B10036" w:rsidRPr="00B10036">
        <w:t> </w:t>
      </w:r>
      <w:r w:rsidRPr="00B10036">
        <w:t>r. dostępne dla wszystkich państw członkowskich; dane za</w:t>
      </w:r>
      <w:r w:rsidR="00B10036" w:rsidRPr="00B10036">
        <w:t> </w:t>
      </w:r>
      <w:r w:rsidRPr="00B10036">
        <w:t>2020</w:t>
      </w:r>
      <w:r w:rsidR="00B10036" w:rsidRPr="00B10036">
        <w:t> </w:t>
      </w:r>
      <w:r w:rsidRPr="00B10036">
        <w:t>r. jeszcze niedostępne dla wszystkich państw członkowskich.</w:t>
      </w:r>
    </w:p>
  </w:footnote>
  <w:footnote w:id="75">
    <w:p w14:paraId="1D80E5A0" w14:textId="6EE9E9DA" w:rsidR="005A6A52" w:rsidRPr="00B10036" w:rsidRDefault="005A6A52" w:rsidP="0050609F">
      <w:pPr>
        <w:pStyle w:val="FootnoteText"/>
        <w:ind w:left="284" w:hanging="284"/>
      </w:pPr>
      <w:r w:rsidRPr="00B10036">
        <w:rPr>
          <w:rStyle w:val="FootnoteReference"/>
        </w:rPr>
        <w:footnoteRef/>
      </w:r>
      <w:r w:rsidRPr="00B10036">
        <w:tab/>
        <w:t>Ponadto aż 6,2</w:t>
      </w:r>
      <w:r w:rsidR="00B10036" w:rsidRPr="00B10036">
        <w:t> </w:t>
      </w:r>
      <w:r w:rsidRPr="00B10036">
        <w:t>% Europejczyków, tj. ponad 27 mln osób, zalega</w:t>
      </w:r>
      <w:r w:rsidR="00B10036" w:rsidRPr="00B10036">
        <w:t xml:space="preserve"> z</w:t>
      </w:r>
      <w:r w:rsidR="00B10036">
        <w:t> </w:t>
      </w:r>
      <w:r w:rsidR="00B10036" w:rsidRPr="00B10036">
        <w:t>zap</w:t>
      </w:r>
      <w:r w:rsidRPr="00B10036">
        <w:t>łatą rachunków za media.</w:t>
      </w:r>
    </w:p>
  </w:footnote>
  <w:footnote w:id="76">
    <w:p w14:paraId="74F5EB30" w14:textId="6C2D0724" w:rsidR="005A6A52" w:rsidRPr="00B10036" w:rsidRDefault="005A6A52" w:rsidP="0050609F">
      <w:pPr>
        <w:pStyle w:val="FootnoteText"/>
        <w:ind w:left="284" w:hanging="284"/>
      </w:pPr>
      <w:r w:rsidRPr="00B10036">
        <w:rPr>
          <w:rStyle w:val="FootnoteReference"/>
        </w:rPr>
        <w:footnoteRef/>
      </w:r>
      <w:r w:rsidRPr="00B10036">
        <w:tab/>
        <w:t>SWD(2019) 579 final.</w:t>
      </w:r>
    </w:p>
  </w:footnote>
  <w:footnote w:id="77">
    <w:p w14:paraId="194C75E5" w14:textId="63139C41" w:rsidR="005A6A52" w:rsidRPr="00B10036" w:rsidRDefault="005A6A52" w:rsidP="0050609F">
      <w:pPr>
        <w:pStyle w:val="FootnoteText"/>
        <w:ind w:left="284" w:hanging="284"/>
      </w:pPr>
      <w:r w:rsidRPr="00B10036">
        <w:rPr>
          <w:rStyle w:val="FootnoteReference"/>
        </w:rPr>
        <w:footnoteRef/>
      </w:r>
      <w:r w:rsidRPr="00B10036">
        <w:tab/>
        <w:t xml:space="preserve">Zob. </w:t>
      </w:r>
      <w:hyperlink r:id="rId9" w:history="1">
        <w:r w:rsidRPr="00B10036">
          <w:rPr>
            <w:rStyle w:val="Hyperlink"/>
            <w:color w:val="auto"/>
          </w:rPr>
          <w:t>sprawozdanie</w:t>
        </w:r>
      </w:hyperlink>
      <w:r w:rsidR="00B10036" w:rsidRPr="00B10036">
        <w:t xml:space="preserve"> z</w:t>
      </w:r>
      <w:r w:rsidR="00B10036">
        <w:t> </w:t>
      </w:r>
      <w:r w:rsidR="00B10036" w:rsidRPr="00B10036">
        <w:t>war</w:t>
      </w:r>
      <w:r w:rsidRPr="00B10036">
        <w:t>sztatu na temat ubóstwa energetycznego, zorganizowanego</w:t>
      </w:r>
      <w:r w:rsidR="00B10036" w:rsidRPr="00B10036">
        <w:t xml:space="preserve"> w</w:t>
      </w:r>
      <w:r w:rsidR="00B10036">
        <w:t> </w:t>
      </w:r>
      <w:r w:rsidR="00B10036" w:rsidRPr="00B10036">
        <w:t>dni</w:t>
      </w:r>
      <w:r w:rsidRPr="00B10036">
        <w:t>u 9 listopada 2016</w:t>
      </w:r>
      <w:r w:rsidR="00B10036" w:rsidRPr="00B10036">
        <w:t> </w:t>
      </w:r>
      <w:r w:rsidRPr="00B10036">
        <w:t>r. dla Komisji Przemysłu, Badań Naukowych</w:t>
      </w:r>
      <w:r w:rsidR="00B10036" w:rsidRPr="00B10036">
        <w:t xml:space="preserve"> i</w:t>
      </w:r>
      <w:r w:rsidR="00B10036">
        <w:t> </w:t>
      </w:r>
      <w:r w:rsidR="00B10036" w:rsidRPr="00B10036">
        <w:t>Ene</w:t>
      </w:r>
      <w:r w:rsidRPr="00B10036">
        <w:t>rgii (ITRE) Parlamentu Europejskiego.</w:t>
      </w:r>
    </w:p>
  </w:footnote>
  <w:footnote w:id="78">
    <w:p w14:paraId="25538392" w14:textId="05DB0524" w:rsidR="005A6A52" w:rsidRPr="00B10036" w:rsidRDefault="005A6A52" w:rsidP="0050609F">
      <w:pPr>
        <w:pStyle w:val="FootnoteText"/>
        <w:ind w:left="284" w:hanging="284"/>
      </w:pPr>
      <w:r w:rsidRPr="00B10036">
        <w:rPr>
          <w:rStyle w:val="FootnoteReference"/>
        </w:rPr>
        <w:footnoteRef/>
      </w:r>
      <w:r w:rsidRPr="00B10036">
        <w:tab/>
        <w:t xml:space="preserve">Zob. </w:t>
      </w:r>
      <w:hyperlink r:id="rId10" w:history="1">
        <w:r w:rsidRPr="00B10036">
          <w:rPr>
            <w:u w:val="single"/>
          </w:rPr>
          <w:t>„Gender perspective on access to energy in the EU” [Perspektywa płci</w:t>
        </w:r>
        <w:r w:rsidR="00B10036" w:rsidRPr="00B10036">
          <w:rPr>
            <w:u w:val="single"/>
          </w:rPr>
          <w:t xml:space="preserve"> w</w:t>
        </w:r>
        <w:r w:rsidR="00B10036">
          <w:rPr>
            <w:u w:val="single"/>
          </w:rPr>
          <w:t> </w:t>
        </w:r>
        <w:r w:rsidR="00B10036" w:rsidRPr="00B10036">
          <w:rPr>
            <w:u w:val="single"/>
          </w:rPr>
          <w:t>dos</w:t>
        </w:r>
        <w:r w:rsidRPr="00B10036">
          <w:rPr>
            <w:u w:val="single"/>
          </w:rPr>
          <w:t>tępie do energii w UE] (europa.eu)</w:t>
        </w:r>
      </w:hyperlink>
      <w:r w:rsidRPr="00B10036">
        <w:t xml:space="preserve">, </w:t>
      </w:r>
      <w:hyperlink r:id="rId11" w:history="1">
        <w:r w:rsidRPr="00B10036">
          <w:rPr>
            <w:u w:val="single"/>
          </w:rPr>
          <w:t>„Gender and energy” [Płeć</w:t>
        </w:r>
        <w:r w:rsidR="00B10036" w:rsidRPr="00B10036">
          <w:rPr>
            <w:u w:val="single"/>
          </w:rPr>
          <w:t xml:space="preserve"> a</w:t>
        </w:r>
        <w:r w:rsidR="00B10036">
          <w:rPr>
            <w:u w:val="single"/>
          </w:rPr>
          <w:t> </w:t>
        </w:r>
        <w:r w:rsidR="00B10036" w:rsidRPr="00B10036">
          <w:rPr>
            <w:u w:val="single"/>
          </w:rPr>
          <w:t>ene</w:t>
        </w:r>
        <w:r w:rsidRPr="00B10036">
          <w:rPr>
            <w:u w:val="single"/>
          </w:rPr>
          <w:t>rgia] |</w:t>
        </w:r>
      </w:hyperlink>
      <w:hyperlink r:id="rId12" w:history="1">
        <w:r w:rsidRPr="00B10036">
          <w:rPr>
            <w:u w:val="single"/>
          </w:rPr>
          <w:t>Europejski Instytut ds. Równości Kobiet</w:t>
        </w:r>
        <w:r w:rsidR="00B10036" w:rsidRPr="00B10036">
          <w:rPr>
            <w:u w:val="single"/>
          </w:rPr>
          <w:t xml:space="preserve"> i</w:t>
        </w:r>
        <w:r w:rsidR="00B10036">
          <w:rPr>
            <w:u w:val="single"/>
          </w:rPr>
          <w:t> </w:t>
        </w:r>
        <w:r w:rsidR="00B10036" w:rsidRPr="00B10036">
          <w:rPr>
            <w:u w:val="single"/>
          </w:rPr>
          <w:t>Męż</w:t>
        </w:r>
        <w:r w:rsidRPr="00B10036">
          <w:rPr>
            <w:u w:val="single"/>
          </w:rPr>
          <w:t>czyzn (europa.eu)</w:t>
        </w:r>
      </w:hyperlink>
      <w:r w:rsidRPr="00B10036">
        <w:t xml:space="preserve">, </w:t>
      </w:r>
      <w:hyperlink r:id="rId13" w:history="1">
        <w:r w:rsidRPr="00B10036">
          <w:rPr>
            <w:u w:val="single"/>
          </w:rPr>
          <w:t>GFE-Gender-Issues-Note-Session-6.2.pdf (oecd.org)</w:t>
        </w:r>
      </w:hyperlink>
      <w:r w:rsidRPr="00B10036">
        <w:rPr>
          <w:sz w:val="22"/>
          <w:szCs w:val="22"/>
        </w:rPr>
        <w:t>.</w:t>
      </w:r>
    </w:p>
  </w:footnote>
  <w:footnote w:id="79">
    <w:p w14:paraId="0FEB466B" w14:textId="1F97A184" w:rsidR="005A6A52" w:rsidRPr="00B10036" w:rsidRDefault="005A6A52" w:rsidP="0050609F">
      <w:pPr>
        <w:pStyle w:val="FootnoteText"/>
        <w:ind w:left="284" w:hanging="284"/>
      </w:pPr>
      <w:r w:rsidRPr="00B10036">
        <w:rPr>
          <w:rStyle w:val="FootnoteReference"/>
        </w:rPr>
        <w:footnoteRef/>
      </w:r>
      <w:r w:rsidRPr="00B10036">
        <w:tab/>
        <w:t>Sprawiedliwość społeczną uwzględniono także podczas opracowywania wniosków Komisji, które stanowią część pakietu „Gotowi na</w:t>
      </w:r>
      <w:r w:rsidR="00B10036" w:rsidRPr="00B10036">
        <w:t> </w:t>
      </w:r>
      <w:r w:rsidRPr="00B10036">
        <w:t>55”,</w:t>
      </w:r>
      <w:r w:rsidR="00B10036" w:rsidRPr="00B10036">
        <w:t xml:space="preserve"> w</w:t>
      </w:r>
      <w:r w:rsidR="00B10036">
        <w:t> </w:t>
      </w:r>
      <w:r w:rsidR="00B10036" w:rsidRPr="00B10036">
        <w:t>tym</w:t>
      </w:r>
      <w:r w:rsidRPr="00B10036">
        <w:t xml:space="preserve"> wniosków dotyczących dyrektywy</w:t>
      </w:r>
      <w:r w:rsidR="00B10036" w:rsidRPr="00B10036">
        <w:t xml:space="preserve"> w</w:t>
      </w:r>
      <w:r w:rsidR="00B10036">
        <w:t> </w:t>
      </w:r>
      <w:r w:rsidR="00B10036" w:rsidRPr="00B10036">
        <w:t>spr</w:t>
      </w:r>
      <w:r w:rsidRPr="00B10036">
        <w:t>awie opodatkowania energii, dyrektywy</w:t>
      </w:r>
      <w:r w:rsidR="00B10036" w:rsidRPr="00B10036">
        <w:t xml:space="preserve"> w</w:t>
      </w:r>
      <w:r w:rsidR="00B10036">
        <w:t> </w:t>
      </w:r>
      <w:r w:rsidR="00B10036" w:rsidRPr="00B10036">
        <w:t>spr</w:t>
      </w:r>
      <w:r w:rsidRPr="00B10036">
        <w:t>awie efektywności energetycznej, dyrektywy</w:t>
      </w:r>
      <w:r w:rsidR="00B10036" w:rsidRPr="00B10036">
        <w:t xml:space="preserve"> w</w:t>
      </w:r>
      <w:r w:rsidR="00B10036">
        <w:t> </w:t>
      </w:r>
      <w:r w:rsidR="00B10036" w:rsidRPr="00B10036">
        <w:t>spr</w:t>
      </w:r>
      <w:r w:rsidRPr="00B10036">
        <w:t>awie energii odnawialnej, dyrektywy</w:t>
      </w:r>
      <w:r w:rsidR="00B10036" w:rsidRPr="00B10036">
        <w:t xml:space="preserve"> w</w:t>
      </w:r>
      <w:r w:rsidR="00B10036">
        <w:t> </w:t>
      </w:r>
      <w:r w:rsidR="00B10036" w:rsidRPr="00B10036">
        <w:t>spr</w:t>
      </w:r>
      <w:r w:rsidRPr="00B10036">
        <w:t>awie infrastruktury paliw alternatywnych, rozporządzenia</w:t>
      </w:r>
      <w:r w:rsidR="00B10036" w:rsidRPr="00B10036">
        <w:t xml:space="preserve"> w</w:t>
      </w:r>
      <w:r w:rsidR="00B10036">
        <w:t> </w:t>
      </w:r>
      <w:r w:rsidR="00B10036" w:rsidRPr="00B10036">
        <w:t>spr</w:t>
      </w:r>
      <w:r w:rsidRPr="00B10036">
        <w:t>awie wspólnego wysiłku redukcyjnego oraz wniosku dotyczącego ustanowienia Społecznego Funduszu Klimatycznego.</w:t>
      </w:r>
    </w:p>
  </w:footnote>
  <w:footnote w:id="80">
    <w:p w14:paraId="4FF92A32" w14:textId="0C616768" w:rsidR="005A6A52" w:rsidRPr="00B10036" w:rsidRDefault="005A6A52" w:rsidP="0050609F">
      <w:pPr>
        <w:pStyle w:val="FootnoteText"/>
        <w:ind w:left="284" w:hanging="284"/>
      </w:pPr>
      <w:r w:rsidRPr="00B10036">
        <w:rPr>
          <w:rStyle w:val="FootnoteReference"/>
        </w:rPr>
        <w:footnoteRef/>
      </w:r>
      <w:r w:rsidRPr="00B10036">
        <w:tab/>
        <w:t>Art. 5 dyrektywy Parlamentu Europejskiego</w:t>
      </w:r>
      <w:r w:rsidR="00B10036" w:rsidRPr="00B10036">
        <w:t xml:space="preserve"> i</w:t>
      </w:r>
      <w:r w:rsidR="00B10036">
        <w:t> </w:t>
      </w:r>
      <w:r w:rsidR="00B10036" w:rsidRPr="00B10036">
        <w:t>Rad</w:t>
      </w:r>
      <w:r w:rsidRPr="00B10036">
        <w:t>y (UE) 2019/944</w:t>
      </w:r>
      <w:r w:rsidR="00B10036" w:rsidRPr="00B10036">
        <w:t xml:space="preserve"> z</w:t>
      </w:r>
      <w:r w:rsidR="00B10036">
        <w:t> </w:t>
      </w:r>
      <w:r w:rsidR="00B10036" w:rsidRPr="00B10036">
        <w:t>dni</w:t>
      </w:r>
      <w:r w:rsidRPr="00B10036">
        <w:t>a 5 czerwca 2019</w:t>
      </w:r>
      <w:r w:rsidR="00B10036" w:rsidRPr="00B10036">
        <w:t> </w:t>
      </w:r>
      <w:r w:rsidRPr="00B10036">
        <w:t>r.</w:t>
      </w:r>
      <w:r w:rsidR="00B10036" w:rsidRPr="00B10036">
        <w:t xml:space="preserve"> w</w:t>
      </w:r>
      <w:r w:rsidR="00B10036">
        <w:t> </w:t>
      </w:r>
      <w:r w:rsidR="00B10036" w:rsidRPr="00B10036">
        <w:t>spr</w:t>
      </w:r>
      <w:r w:rsidRPr="00B10036">
        <w:t>awie wspólnych zasad rynku wewnętrznego energii elektrycznej oraz zmieniającej dyrektywę 2012/27/UE (Tekst mający znaczenie dla EOG.) (Dz.U. L 158</w:t>
      </w:r>
      <w:r w:rsidR="00B10036" w:rsidRPr="00B10036">
        <w:t xml:space="preserve"> z</w:t>
      </w:r>
      <w:r w:rsidR="00B10036">
        <w:t> </w:t>
      </w:r>
      <w:r w:rsidR="00B10036" w:rsidRPr="00B10036">
        <w:t>1</w:t>
      </w:r>
      <w:r w:rsidRPr="00B10036">
        <w:t>4.6.2019, s. 125); art.</w:t>
      </w:r>
      <w:r w:rsidR="00B10036" w:rsidRPr="00B10036">
        <w:t> </w:t>
      </w:r>
      <w:r w:rsidRPr="00B10036">
        <w:t>3 dyrektywy Parlamentu Europejskiego</w:t>
      </w:r>
      <w:r w:rsidR="00B10036" w:rsidRPr="00B10036">
        <w:t xml:space="preserve"> i</w:t>
      </w:r>
      <w:r w:rsidR="00B10036">
        <w:t> </w:t>
      </w:r>
      <w:r w:rsidR="00B10036" w:rsidRPr="00B10036">
        <w:t>Rad</w:t>
      </w:r>
      <w:r w:rsidRPr="00B10036">
        <w:t>y 2009/73/WE</w:t>
      </w:r>
      <w:r w:rsidR="00B10036" w:rsidRPr="00B10036">
        <w:t xml:space="preserve"> z</w:t>
      </w:r>
      <w:r w:rsidR="00B10036">
        <w:t> </w:t>
      </w:r>
      <w:r w:rsidR="00B10036" w:rsidRPr="00B10036">
        <w:t>dni</w:t>
      </w:r>
      <w:r w:rsidRPr="00B10036">
        <w:t>a 13 lipca 2009</w:t>
      </w:r>
      <w:r w:rsidR="00B10036" w:rsidRPr="00B10036">
        <w:t> </w:t>
      </w:r>
      <w:r w:rsidRPr="00B10036">
        <w:t>r. dotyczącej wspólnych zasad rynku wewnętrznego gazu ziemnego</w:t>
      </w:r>
      <w:r w:rsidR="00B10036" w:rsidRPr="00B10036">
        <w:t xml:space="preserve"> i</w:t>
      </w:r>
      <w:r w:rsidR="00B10036">
        <w:t> </w:t>
      </w:r>
      <w:r w:rsidR="00B10036" w:rsidRPr="00B10036">
        <w:t>uch</w:t>
      </w:r>
      <w:r w:rsidRPr="00B10036">
        <w:t>ylającej dyrektywę 2003/55/WE (Tekst mający znaczenie dla EOG) (Dz.U. L 211</w:t>
      </w:r>
      <w:r w:rsidR="00B10036" w:rsidRPr="00B10036">
        <w:t xml:space="preserve"> z</w:t>
      </w:r>
      <w:r w:rsidR="00B10036">
        <w:t> </w:t>
      </w:r>
      <w:r w:rsidR="00B10036" w:rsidRPr="00B10036">
        <w:t>1</w:t>
      </w:r>
      <w:r w:rsidRPr="00B10036">
        <w:t>4.8.2009, s. 94).</w:t>
      </w:r>
    </w:p>
  </w:footnote>
  <w:footnote w:id="81">
    <w:p w14:paraId="19577FF5" w14:textId="3064B2B9" w:rsidR="005A6A52" w:rsidRPr="00B10036" w:rsidRDefault="005A6A52" w:rsidP="0050609F">
      <w:pPr>
        <w:pStyle w:val="FootnoteText"/>
        <w:ind w:left="284" w:hanging="284"/>
      </w:pPr>
      <w:r w:rsidRPr="00B10036">
        <w:rPr>
          <w:rStyle w:val="FootnoteReference"/>
        </w:rPr>
        <w:footnoteRef/>
      </w:r>
      <w:r w:rsidRPr="00B10036">
        <w:tab/>
        <w:t>COM(2021) 660 final, 13 października 2021</w:t>
      </w:r>
      <w:r w:rsidR="00B10036" w:rsidRPr="00B10036">
        <w:t> </w:t>
      </w:r>
      <w:r w:rsidRPr="00B10036">
        <w:t>r.</w:t>
      </w:r>
    </w:p>
  </w:footnote>
  <w:footnote w:id="82">
    <w:p w14:paraId="24D4AA44" w14:textId="25279D34" w:rsidR="005A6A52" w:rsidRPr="00B10036" w:rsidRDefault="005A6A52" w:rsidP="0050609F">
      <w:pPr>
        <w:pStyle w:val="FootnoteText"/>
        <w:ind w:left="284" w:hanging="284"/>
      </w:pPr>
      <w:r w:rsidRPr="00B10036">
        <w:rPr>
          <w:rStyle w:val="FootnoteReference"/>
        </w:rPr>
        <w:footnoteRef/>
      </w:r>
      <w:r w:rsidRPr="00B10036">
        <w:tab/>
        <w:t>Wniosek dotyczący rozporządzenia Parlamentu Europejskiego</w:t>
      </w:r>
      <w:r w:rsidR="00B10036" w:rsidRPr="00B10036">
        <w:t xml:space="preserve"> i</w:t>
      </w:r>
      <w:r w:rsidR="00B10036">
        <w:t> </w:t>
      </w:r>
      <w:r w:rsidR="00B10036" w:rsidRPr="00B10036">
        <w:t>Rad</w:t>
      </w:r>
      <w:r w:rsidRPr="00B10036">
        <w:t>y ustanawiającego Społeczny Fundusz Klimatyczny, COM(2021) 568 final.</w:t>
      </w:r>
    </w:p>
  </w:footnote>
  <w:footnote w:id="83">
    <w:p w14:paraId="0D94ADFA" w14:textId="39B69408"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2018/1999</w:t>
      </w:r>
      <w:r w:rsidR="00B10036" w:rsidRPr="00B10036">
        <w:t xml:space="preserve"> z</w:t>
      </w:r>
      <w:r w:rsidR="00B10036">
        <w:t> </w:t>
      </w:r>
      <w:r w:rsidR="00B10036" w:rsidRPr="00B10036">
        <w:t>dni</w:t>
      </w:r>
      <w:r w:rsidRPr="00B10036">
        <w:t>a 11 grudnia 2018</w:t>
      </w:r>
      <w:r w:rsidR="00B10036" w:rsidRPr="00B10036">
        <w:t> </w:t>
      </w:r>
      <w:r w:rsidRPr="00B10036">
        <w:t>r.</w:t>
      </w:r>
      <w:r w:rsidR="00B10036" w:rsidRPr="00B10036">
        <w:t xml:space="preserve"> w</w:t>
      </w:r>
      <w:r w:rsidR="00B10036">
        <w:t> </w:t>
      </w:r>
      <w:r w:rsidR="00B10036" w:rsidRPr="00B10036">
        <w:t>spr</w:t>
      </w:r>
      <w:r w:rsidRPr="00B10036">
        <w:t>awie zarządzania unią energetyczną</w:t>
      </w:r>
      <w:r w:rsidR="00B10036" w:rsidRPr="00B10036">
        <w:t xml:space="preserve"> i</w:t>
      </w:r>
      <w:r w:rsidR="00B10036">
        <w:t> </w:t>
      </w:r>
      <w:r w:rsidR="00B10036" w:rsidRPr="00B10036">
        <w:t>dzi</w:t>
      </w:r>
      <w:r w:rsidRPr="00B10036">
        <w:t>ałaniami</w:t>
      </w:r>
      <w:r w:rsidR="00B10036" w:rsidRPr="00B10036">
        <w:t xml:space="preserve"> w</w:t>
      </w:r>
      <w:r w:rsidR="00B10036">
        <w:t> </w:t>
      </w:r>
      <w:r w:rsidR="00B10036" w:rsidRPr="00B10036">
        <w:t>dzi</w:t>
      </w:r>
      <w:r w:rsidRPr="00B10036">
        <w:t>edzinie klimatu, zmiany rozporządzeń Parlamentu Europejskiego</w:t>
      </w:r>
      <w:r w:rsidR="00B10036" w:rsidRPr="00B10036">
        <w:t xml:space="preserve"> i</w:t>
      </w:r>
      <w:r w:rsidR="00B10036">
        <w:t> </w:t>
      </w:r>
      <w:r w:rsidR="00B10036" w:rsidRPr="00B10036">
        <w:t>Rad</w:t>
      </w:r>
      <w:r w:rsidRPr="00B10036">
        <w:t>y (WE) nr</w:t>
      </w:r>
      <w:r w:rsidR="00B10036" w:rsidRPr="00B10036">
        <w:t> </w:t>
      </w:r>
      <w:r w:rsidRPr="00B10036">
        <w:t>663/2009 i (WE) nr</w:t>
      </w:r>
      <w:r w:rsidR="00B10036" w:rsidRPr="00B10036">
        <w:t> </w:t>
      </w:r>
      <w:r w:rsidRPr="00B10036">
        <w:t>715/2009, dyrektyw Parlamentu Europejskiego</w:t>
      </w:r>
      <w:r w:rsidR="00B10036" w:rsidRPr="00B10036">
        <w:t xml:space="preserve"> i</w:t>
      </w:r>
      <w:r w:rsidR="00B10036">
        <w:t> </w:t>
      </w:r>
      <w:r w:rsidR="00B10036" w:rsidRPr="00B10036">
        <w:t>Rad</w:t>
      </w:r>
      <w:r w:rsidRPr="00B10036">
        <w:t>y 94/22/WE, 98/70/WE, 2009/31/WE, 2009/73/WE, 2010/31/UE, 2012/27/UE</w:t>
      </w:r>
      <w:r w:rsidR="00B10036" w:rsidRPr="00B10036">
        <w:t xml:space="preserve"> i</w:t>
      </w:r>
      <w:r w:rsidR="00B10036">
        <w:t> </w:t>
      </w:r>
      <w:r w:rsidR="00B10036" w:rsidRPr="00B10036">
        <w:t>2</w:t>
      </w:r>
      <w:r w:rsidRPr="00B10036">
        <w:t>013/30/UE, dyrektyw Rady 2009/119/WE i (EU) 2015/652 oraz uchylenia rozporządzenia Parlamentu Europejskiego</w:t>
      </w:r>
      <w:r w:rsidR="00B10036" w:rsidRPr="00B10036">
        <w:t xml:space="preserve"> i</w:t>
      </w:r>
      <w:r w:rsidR="00B10036">
        <w:t> </w:t>
      </w:r>
      <w:r w:rsidR="00B10036" w:rsidRPr="00B10036">
        <w:t>Rad</w:t>
      </w:r>
      <w:r w:rsidRPr="00B10036">
        <w:t>y (UE) nr</w:t>
      </w:r>
      <w:r w:rsidR="00B10036" w:rsidRPr="00B10036">
        <w:t> </w:t>
      </w:r>
      <w:r w:rsidRPr="00B10036">
        <w:t>525/2013 (Tekst mający znaczenie dla EOG) (Dz.U. L 328</w:t>
      </w:r>
      <w:r w:rsidR="00B10036" w:rsidRPr="00B10036">
        <w:t xml:space="preserve"> z</w:t>
      </w:r>
      <w:r w:rsidR="00B10036">
        <w:t> </w:t>
      </w:r>
      <w:r w:rsidR="00B10036" w:rsidRPr="00B10036">
        <w:t>2</w:t>
      </w:r>
      <w:r w:rsidRPr="00B10036">
        <w:t>1.12.2018, s. 1).</w:t>
      </w:r>
    </w:p>
  </w:footnote>
  <w:footnote w:id="84">
    <w:p w14:paraId="1BE2F6EF" w14:textId="257FB746"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2021/1056</w:t>
      </w:r>
      <w:r w:rsidR="00B10036" w:rsidRPr="00B10036">
        <w:t xml:space="preserve"> z</w:t>
      </w:r>
      <w:r w:rsidR="00B10036">
        <w:t> </w:t>
      </w:r>
      <w:r w:rsidR="00B10036" w:rsidRPr="00B10036">
        <w:t>dni</w:t>
      </w:r>
      <w:r w:rsidRPr="00B10036">
        <w:t>a 24 czerwca 2021</w:t>
      </w:r>
      <w:r w:rsidR="00B10036" w:rsidRPr="00B10036">
        <w:t> </w:t>
      </w:r>
      <w:r w:rsidRPr="00B10036">
        <w:t>r. ustanawiające Fundusz na rzecz Sprawiedliwej Transformacji (Dz.U. L 231</w:t>
      </w:r>
      <w:r w:rsidR="00B10036" w:rsidRPr="00B10036">
        <w:t xml:space="preserve"> z</w:t>
      </w:r>
      <w:r w:rsidR="00B10036">
        <w:t> </w:t>
      </w:r>
      <w:r w:rsidR="00B10036" w:rsidRPr="00B10036">
        <w:t>3</w:t>
      </w:r>
      <w:r w:rsidRPr="00B10036">
        <w:t>0.6.2021, s. 1).</w:t>
      </w:r>
    </w:p>
  </w:footnote>
  <w:footnote w:id="85">
    <w:p w14:paraId="6D28019E" w14:textId="7599BCC2" w:rsidR="005A6A52" w:rsidRPr="00B10036" w:rsidRDefault="005A6A52" w:rsidP="0050609F">
      <w:pPr>
        <w:pStyle w:val="FootnoteText"/>
        <w:ind w:left="284" w:hanging="284"/>
      </w:pPr>
      <w:r w:rsidRPr="00B10036">
        <w:rPr>
          <w:rStyle w:val="FootnoteReference"/>
        </w:rPr>
        <w:footnoteRef/>
      </w:r>
      <w:r w:rsidRPr="00B10036">
        <w:tab/>
        <w:t>Komunikat Komisji „Decydujący moment dla Europy: naprawa</w:t>
      </w:r>
      <w:r w:rsidR="00B10036" w:rsidRPr="00B10036">
        <w:t xml:space="preserve"> i</w:t>
      </w:r>
      <w:r w:rsidR="00B10036">
        <w:t> </w:t>
      </w:r>
      <w:r w:rsidR="00B10036" w:rsidRPr="00B10036">
        <w:t>prz</w:t>
      </w:r>
      <w:r w:rsidRPr="00B10036">
        <w:t>ygotowanie na następną generację”; rozporządzenie Parlamentu Europejskiego</w:t>
      </w:r>
      <w:r w:rsidR="00B10036" w:rsidRPr="00B10036">
        <w:t xml:space="preserve"> i</w:t>
      </w:r>
      <w:r w:rsidR="00B10036">
        <w:t> </w:t>
      </w:r>
      <w:r w:rsidR="00B10036" w:rsidRPr="00B10036">
        <w:t>Rad</w:t>
      </w:r>
      <w:r w:rsidRPr="00B10036">
        <w:t>y (UE) 2021/241</w:t>
      </w:r>
      <w:r w:rsidR="00B10036" w:rsidRPr="00B10036">
        <w:t xml:space="preserve"> z</w:t>
      </w:r>
      <w:r w:rsidR="00B10036">
        <w:t> </w:t>
      </w:r>
      <w:r w:rsidR="00B10036" w:rsidRPr="00B10036">
        <w:t>dni</w:t>
      </w:r>
      <w:r w:rsidRPr="00B10036">
        <w:t>a 12 lutego 2021</w:t>
      </w:r>
      <w:r w:rsidR="00B10036" w:rsidRPr="00B10036">
        <w:t> </w:t>
      </w:r>
      <w:r w:rsidRPr="00B10036">
        <w:t>r. ustanawiające Instrument na rzecz Odbudowy</w:t>
      </w:r>
      <w:r w:rsidR="00B10036" w:rsidRPr="00B10036">
        <w:t xml:space="preserve"> i</w:t>
      </w:r>
      <w:r w:rsidR="00B10036">
        <w:t> </w:t>
      </w:r>
      <w:r w:rsidR="00B10036" w:rsidRPr="00B10036">
        <w:t>Zwi</w:t>
      </w:r>
      <w:r w:rsidRPr="00B10036">
        <w:t>ększania Odporności (Dz.U. L 57</w:t>
      </w:r>
      <w:r w:rsidR="00B10036" w:rsidRPr="00B10036">
        <w:t xml:space="preserve"> z</w:t>
      </w:r>
      <w:r w:rsidR="00B10036">
        <w:t> </w:t>
      </w:r>
      <w:r w:rsidR="00B10036" w:rsidRPr="00B10036">
        <w:t>1</w:t>
      </w:r>
      <w:r w:rsidRPr="00B10036">
        <w:t>8.2.2021, s. 17).</w:t>
      </w:r>
    </w:p>
  </w:footnote>
  <w:footnote w:id="86">
    <w:p w14:paraId="32D2FF96" w14:textId="2D399EEB" w:rsidR="005A6A52" w:rsidRPr="00B10036" w:rsidRDefault="005A6A52" w:rsidP="0050609F">
      <w:pPr>
        <w:pStyle w:val="FootnoteText"/>
        <w:ind w:left="284" w:hanging="284"/>
      </w:pPr>
      <w:r w:rsidRPr="00B10036">
        <w:rPr>
          <w:rStyle w:val="FootnoteReference"/>
        </w:rPr>
        <w:footnoteRef/>
      </w:r>
      <w:r w:rsidRPr="00B10036">
        <w:tab/>
        <w:t>Komunikat Komisji „Ogólnounijna ocena krajowych planów</w:t>
      </w:r>
      <w:r w:rsidR="00B10036" w:rsidRPr="00B10036">
        <w:t xml:space="preserve"> w</w:t>
      </w:r>
      <w:r w:rsidR="00B10036">
        <w:t> </w:t>
      </w:r>
      <w:r w:rsidR="00B10036" w:rsidRPr="00B10036">
        <w:t>dzi</w:t>
      </w:r>
      <w:r w:rsidRPr="00B10036">
        <w:t>edzinie energii</w:t>
      </w:r>
      <w:r w:rsidR="00B10036" w:rsidRPr="00B10036">
        <w:t xml:space="preserve"> i</w:t>
      </w:r>
      <w:r w:rsidR="00B10036">
        <w:t> </w:t>
      </w:r>
      <w:r w:rsidR="00B10036" w:rsidRPr="00B10036">
        <w:t>kli</w:t>
      </w:r>
      <w:r w:rsidRPr="00B10036">
        <w:t>matu. Siła napędowa zielonej transformacji</w:t>
      </w:r>
      <w:r w:rsidR="00B10036" w:rsidRPr="00B10036">
        <w:t xml:space="preserve"> i</w:t>
      </w:r>
      <w:r w:rsidR="00B10036">
        <w:t> </w:t>
      </w:r>
      <w:r w:rsidR="00B10036" w:rsidRPr="00B10036">
        <w:t>wsp</w:t>
      </w:r>
      <w:r w:rsidRPr="00B10036">
        <w:t>arcie odbudowy gospodarki dzięki zintegrowanemu planowaniu</w:t>
      </w:r>
      <w:r w:rsidR="00B10036" w:rsidRPr="00B10036">
        <w:t xml:space="preserve"> w</w:t>
      </w:r>
      <w:r w:rsidR="00B10036">
        <w:t> </w:t>
      </w:r>
      <w:r w:rsidR="00B10036" w:rsidRPr="00B10036">
        <w:t>dzi</w:t>
      </w:r>
      <w:r w:rsidRPr="00B10036">
        <w:t>edzinie energii</w:t>
      </w:r>
      <w:r w:rsidR="00B10036" w:rsidRPr="00B10036">
        <w:t xml:space="preserve"> i</w:t>
      </w:r>
      <w:r w:rsidR="00B10036">
        <w:t> </w:t>
      </w:r>
      <w:r w:rsidR="00B10036" w:rsidRPr="00B10036">
        <w:t>kli</w:t>
      </w:r>
      <w:r w:rsidRPr="00B10036">
        <w:t>matu”, COM(2020) 564 final.</w:t>
      </w:r>
    </w:p>
  </w:footnote>
  <w:footnote w:id="87">
    <w:p w14:paraId="63A3FAA0" w14:textId="1E30798F" w:rsidR="005A6A52" w:rsidRPr="00B10036" w:rsidRDefault="005A6A52" w:rsidP="0050609F">
      <w:pPr>
        <w:pStyle w:val="FootnoteText"/>
        <w:ind w:left="284" w:hanging="284"/>
      </w:pPr>
      <w:r w:rsidRPr="00B10036">
        <w:rPr>
          <w:rStyle w:val="FootnoteReference"/>
        </w:rPr>
        <w:footnoteRef/>
      </w:r>
      <w:r w:rsidRPr="00B10036">
        <w:tab/>
        <w:t>W szczególności roczne strategie zrównoważonego wzrostu gospodarczego na</w:t>
      </w:r>
      <w:r w:rsidR="00B10036" w:rsidRPr="00B10036">
        <w:t> </w:t>
      </w:r>
      <w:r w:rsidRPr="00B10036">
        <w:t>2021</w:t>
      </w:r>
      <w:r w:rsidR="00B10036" w:rsidRPr="00B10036">
        <w:t xml:space="preserve"> i</w:t>
      </w:r>
      <w:r w:rsidR="00B10036">
        <w:t> </w:t>
      </w:r>
      <w:r w:rsidR="00B10036" w:rsidRPr="00B10036">
        <w:t>2</w:t>
      </w:r>
      <w:r w:rsidRPr="00B10036">
        <w:t>022</w:t>
      </w:r>
      <w:r w:rsidR="00B10036" w:rsidRPr="00B10036">
        <w:t> </w:t>
      </w:r>
      <w:r w:rsidRPr="00B10036">
        <w:t>r., zalecenia dla strefy euro</w:t>
      </w:r>
      <w:r w:rsidR="00B10036" w:rsidRPr="00B10036">
        <w:t xml:space="preserve"> z</w:t>
      </w:r>
      <w:r w:rsidR="00B10036">
        <w:t> </w:t>
      </w:r>
      <w:r w:rsidR="00B10036" w:rsidRPr="00B10036">
        <w:t>2</w:t>
      </w:r>
      <w:r w:rsidRPr="00B10036">
        <w:t>021</w:t>
      </w:r>
      <w:r w:rsidR="00B10036" w:rsidRPr="00B10036">
        <w:t> </w:t>
      </w:r>
      <w:r w:rsidRPr="00B10036">
        <w:t>r. oraz zalecenia krajowe.</w:t>
      </w:r>
    </w:p>
  </w:footnote>
  <w:footnote w:id="88">
    <w:p w14:paraId="24D2C3DD" w14:textId="0D019453" w:rsidR="005A6A52" w:rsidRPr="00B10036" w:rsidRDefault="005A6A52" w:rsidP="0050609F">
      <w:pPr>
        <w:pStyle w:val="FootnoteText"/>
        <w:ind w:left="284" w:hanging="284"/>
      </w:pPr>
      <w:r w:rsidRPr="00B10036">
        <w:rPr>
          <w:rStyle w:val="FootnoteReference"/>
        </w:rPr>
        <w:footnoteRef/>
      </w:r>
      <w:r w:rsidRPr="00B10036">
        <w:tab/>
        <w:t>Zalecenie Komisji (UE) 2021/402</w:t>
      </w:r>
      <w:r w:rsidR="00B10036" w:rsidRPr="00B10036">
        <w:t xml:space="preserve"> z</w:t>
      </w:r>
      <w:r w:rsidR="00B10036">
        <w:t> </w:t>
      </w:r>
      <w:r w:rsidR="00B10036" w:rsidRPr="00B10036">
        <w:t>dni</w:t>
      </w:r>
      <w:r w:rsidRPr="00B10036">
        <w:t>a 4 marca 2021</w:t>
      </w:r>
      <w:r w:rsidR="00B10036" w:rsidRPr="00B10036">
        <w:t> </w:t>
      </w:r>
      <w:r w:rsidRPr="00B10036">
        <w:t>r.</w:t>
      </w:r>
      <w:r w:rsidR="00B10036" w:rsidRPr="00B10036">
        <w:t xml:space="preserve"> w</w:t>
      </w:r>
      <w:r w:rsidR="00B10036">
        <w:t> </w:t>
      </w:r>
      <w:r w:rsidR="00B10036" w:rsidRPr="00B10036">
        <w:t>spr</w:t>
      </w:r>
      <w:r w:rsidRPr="00B10036">
        <w:t>awie skutecznego aktywnego wspierania zatrudnienia</w:t>
      </w:r>
      <w:r w:rsidR="00B10036" w:rsidRPr="00B10036">
        <w:t xml:space="preserve"> w</w:t>
      </w:r>
      <w:r w:rsidR="00B10036">
        <w:t> </w:t>
      </w:r>
      <w:r w:rsidR="00B10036" w:rsidRPr="00B10036">
        <w:t>nas</w:t>
      </w:r>
      <w:r w:rsidRPr="00B10036">
        <w:t>tępstwie kryzysu związanego z COVID-19 (EASE) (Dz.U. L 80</w:t>
      </w:r>
      <w:r w:rsidR="00B10036" w:rsidRPr="00B10036">
        <w:t xml:space="preserve"> z</w:t>
      </w:r>
      <w:r w:rsidR="00B10036">
        <w:t> </w:t>
      </w:r>
      <w:r w:rsidR="00B10036" w:rsidRPr="00B10036">
        <w:t>8</w:t>
      </w:r>
      <w:r w:rsidRPr="00B10036">
        <w:t>.3.2021, s. 1).</w:t>
      </w:r>
    </w:p>
  </w:footnote>
  <w:footnote w:id="89">
    <w:p w14:paraId="44B0B2CD" w14:textId="00F614B3" w:rsidR="005A6A52" w:rsidRPr="00B10036" w:rsidRDefault="005A6A52" w:rsidP="0050609F">
      <w:pPr>
        <w:pStyle w:val="FootnoteText"/>
        <w:ind w:left="284" w:hanging="284"/>
      </w:pPr>
      <w:r w:rsidRPr="00B10036">
        <w:rPr>
          <w:rStyle w:val="FootnoteReference"/>
        </w:rPr>
        <w:footnoteRef/>
      </w:r>
      <w:r w:rsidRPr="00B10036">
        <w:tab/>
        <w:t>W szczególności na zaleceniu EASE oraz na wytycznych dotyczących polityki zatrudnienia państw członkowskich przyjętych</w:t>
      </w:r>
      <w:r w:rsidR="00B10036" w:rsidRPr="00B10036">
        <w:t xml:space="preserve"> w</w:t>
      </w:r>
      <w:r w:rsidR="00B10036">
        <w:t> </w:t>
      </w:r>
      <w:r w:rsidR="00B10036" w:rsidRPr="00B10036">
        <w:t>paź</w:t>
      </w:r>
      <w:r w:rsidRPr="00B10036">
        <w:t>dzierniku 2020</w:t>
      </w:r>
      <w:r w:rsidR="00B10036" w:rsidRPr="00B10036">
        <w:t> </w:t>
      </w:r>
      <w:r w:rsidRPr="00B10036">
        <w:t>r.</w:t>
      </w:r>
      <w:r w:rsidR="00B10036" w:rsidRPr="00B10036">
        <w:t xml:space="preserve"> i</w:t>
      </w:r>
      <w:r w:rsidR="00B10036">
        <w:t> </w:t>
      </w:r>
      <w:r w:rsidR="00B10036" w:rsidRPr="00B10036">
        <w:t>pon</w:t>
      </w:r>
      <w:r w:rsidRPr="00B10036">
        <w:t>ownie potwierdzonych</w:t>
      </w:r>
      <w:r w:rsidR="00B10036" w:rsidRPr="00B10036">
        <w:t xml:space="preserve"> w</w:t>
      </w:r>
      <w:r w:rsidR="00B10036">
        <w:t> </w:t>
      </w:r>
      <w:r w:rsidR="00B10036" w:rsidRPr="00B10036">
        <w:t>paź</w:t>
      </w:r>
      <w:r w:rsidRPr="00B10036">
        <w:t>dzierniku 2021</w:t>
      </w:r>
      <w:r w:rsidR="00B10036" w:rsidRPr="00B10036">
        <w:t> </w:t>
      </w:r>
      <w:r w:rsidRPr="00B10036">
        <w:t>r.</w:t>
      </w:r>
    </w:p>
  </w:footnote>
  <w:footnote w:id="90">
    <w:p w14:paraId="49C8412F" w14:textId="599FA6A6" w:rsidR="005A6A52" w:rsidRPr="00B10036" w:rsidRDefault="005A6A52" w:rsidP="0050609F">
      <w:pPr>
        <w:pStyle w:val="FootnoteText"/>
        <w:ind w:left="284" w:hanging="284"/>
      </w:pPr>
      <w:r w:rsidRPr="00B10036">
        <w:rPr>
          <w:rStyle w:val="FootnoteReference"/>
        </w:rPr>
        <w:footnoteRef/>
      </w:r>
      <w:r w:rsidRPr="00B10036">
        <w:tab/>
        <w:t>Komunikat Komisji „Aktualizacja nowej strategii przemysłowej</w:t>
      </w:r>
      <w:r w:rsidR="00B10036" w:rsidRPr="00B10036">
        <w:t xml:space="preserve"> z</w:t>
      </w:r>
      <w:r w:rsidR="00B10036">
        <w:t> </w:t>
      </w:r>
      <w:r w:rsidR="00B10036" w:rsidRPr="00B10036">
        <w:t>2</w:t>
      </w:r>
      <w:r w:rsidRPr="00B10036">
        <w:t>020</w:t>
      </w:r>
      <w:r w:rsidR="00B10036" w:rsidRPr="00B10036">
        <w:t> </w:t>
      </w:r>
      <w:r w:rsidRPr="00B10036">
        <w:t>r. – tworzenie silniejszego jednolitego rynku sprzyjającego odbudowie Europy”, COM(2021) 350 final.</w:t>
      </w:r>
    </w:p>
  </w:footnote>
  <w:footnote w:id="91">
    <w:p w14:paraId="22797255" w14:textId="14FB4177" w:rsidR="005A6A52" w:rsidRPr="00B10036" w:rsidRDefault="005A6A52" w:rsidP="0050609F">
      <w:pPr>
        <w:pStyle w:val="FootnoteText"/>
        <w:ind w:left="284" w:hanging="284"/>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24 listopada 2020</w:t>
      </w:r>
      <w:r w:rsidR="00B10036" w:rsidRPr="00B10036">
        <w:t> </w:t>
      </w:r>
      <w:r w:rsidRPr="00B10036">
        <w:t>r.</w:t>
      </w:r>
      <w:r w:rsidR="00B10036" w:rsidRPr="00B10036">
        <w:t xml:space="preserve"> w</w:t>
      </w:r>
      <w:r w:rsidR="00B10036">
        <w:t> </w:t>
      </w:r>
      <w:r w:rsidR="00B10036" w:rsidRPr="00B10036">
        <w:t>spr</w:t>
      </w:r>
      <w:r w:rsidRPr="00B10036">
        <w:t>awie kształcenia</w:t>
      </w:r>
      <w:r w:rsidR="00B10036" w:rsidRPr="00B10036">
        <w:t xml:space="preserve"> i</w:t>
      </w:r>
      <w:r w:rsidR="00B10036">
        <w:t> </w:t>
      </w:r>
      <w:r w:rsidR="00B10036" w:rsidRPr="00B10036">
        <w:t>szk</w:t>
      </w:r>
      <w:r w:rsidRPr="00B10036">
        <w:t>olenia zawodowego na rzecz zrównoważonej konkurencyjności, sprawiedliwości społecznej</w:t>
      </w:r>
      <w:r w:rsidR="00B10036" w:rsidRPr="00B10036">
        <w:t xml:space="preserve"> i</w:t>
      </w:r>
      <w:r w:rsidR="00B10036">
        <w:t> </w:t>
      </w:r>
      <w:r w:rsidR="00B10036" w:rsidRPr="00B10036">
        <w:t>odp</w:t>
      </w:r>
      <w:r w:rsidRPr="00B10036">
        <w:t>orności (Dz.U. C 417</w:t>
      </w:r>
      <w:r w:rsidR="00B10036" w:rsidRPr="00B10036">
        <w:t xml:space="preserve"> z</w:t>
      </w:r>
      <w:r w:rsidR="00B10036">
        <w:t> </w:t>
      </w:r>
      <w:r w:rsidR="00B10036" w:rsidRPr="00B10036">
        <w:t>2</w:t>
      </w:r>
      <w:r w:rsidRPr="00B10036">
        <w:t>.12.2020, s. 1).</w:t>
      </w:r>
    </w:p>
  </w:footnote>
  <w:footnote w:id="92">
    <w:p w14:paraId="2823DA95" w14:textId="0909B378" w:rsidR="005A6A52" w:rsidRPr="00B10036" w:rsidRDefault="005A6A52" w:rsidP="0050609F">
      <w:pPr>
        <w:pStyle w:val="FootnoteText"/>
        <w:ind w:left="284" w:hanging="284"/>
      </w:pPr>
      <w:r w:rsidRPr="00B10036">
        <w:rPr>
          <w:rStyle w:val="FootnoteReference"/>
        </w:rPr>
        <w:footnoteRef/>
      </w:r>
      <w:r w:rsidRPr="00B10036">
        <w:tab/>
        <w:t>Wniosek dotyczący dyrektywy Rady</w:t>
      </w:r>
      <w:r w:rsidR="00B10036" w:rsidRPr="00B10036">
        <w:t xml:space="preserve"> w</w:t>
      </w:r>
      <w:r w:rsidR="00B10036">
        <w:t> </w:t>
      </w:r>
      <w:r w:rsidR="00B10036" w:rsidRPr="00B10036">
        <w:t>spr</w:t>
      </w:r>
      <w:r w:rsidRPr="00B10036">
        <w:t>awie restrukturyzacji unijnych przepisów ramowych dotyczących opodatkowania produktów energetycznych</w:t>
      </w:r>
      <w:r w:rsidR="00B10036" w:rsidRPr="00B10036">
        <w:t xml:space="preserve"> i</w:t>
      </w:r>
      <w:r w:rsidR="00B10036">
        <w:t> </w:t>
      </w:r>
      <w:r w:rsidR="00B10036" w:rsidRPr="00B10036">
        <w:t>ene</w:t>
      </w:r>
      <w:r w:rsidRPr="00B10036">
        <w:t>rgii elektrycznej (wersja przekształcona), COM(2021) 563 final.</w:t>
      </w:r>
    </w:p>
  </w:footnote>
  <w:footnote w:id="93">
    <w:p w14:paraId="4DE86AFF" w14:textId="09C527ED" w:rsidR="005A6A52" w:rsidRPr="00B10036" w:rsidRDefault="005A6A52" w:rsidP="0050609F">
      <w:pPr>
        <w:pStyle w:val="FootnoteText"/>
        <w:ind w:left="284" w:hanging="284"/>
      </w:pPr>
      <w:r w:rsidRPr="00B10036">
        <w:rPr>
          <w:rStyle w:val="FootnoteReference"/>
        </w:rPr>
        <w:footnoteRef/>
      </w:r>
      <w:r w:rsidRPr="00B10036">
        <w:tab/>
      </w:r>
      <w:hyperlink r:id="rId14" w:history="1">
        <w:r w:rsidRPr="00B10036">
          <w:rPr>
            <w:rStyle w:val="Hyperlink"/>
            <w:color w:val="auto"/>
          </w:rPr>
          <w:t>Europejski filar praw socjalnych</w:t>
        </w:r>
      </w:hyperlink>
      <w:r w:rsidRPr="00B10036">
        <w:t xml:space="preserve"> uroczyście ogłoszony przez Parlament Europejski</w:t>
      </w:r>
      <w:r w:rsidR="00B10036" w:rsidRPr="00B10036">
        <w:t xml:space="preserve"> i</w:t>
      </w:r>
      <w:r w:rsidR="00B10036">
        <w:t> </w:t>
      </w:r>
      <w:r w:rsidR="00B10036" w:rsidRPr="00B10036">
        <w:t>Rad</w:t>
      </w:r>
      <w:r w:rsidRPr="00B10036">
        <w:t>ę oraz Komisję</w:t>
      </w:r>
      <w:r w:rsidR="00B10036" w:rsidRPr="00B10036">
        <w:t xml:space="preserve"> w</w:t>
      </w:r>
      <w:r w:rsidR="00B10036">
        <w:t> </w:t>
      </w:r>
      <w:r w:rsidR="00B10036" w:rsidRPr="00B10036">
        <w:t>dni</w:t>
      </w:r>
      <w:r w:rsidRPr="00B10036">
        <w:t>u 17 listopada 2017</w:t>
      </w:r>
      <w:r w:rsidR="00B10036" w:rsidRPr="00B10036">
        <w:t> </w:t>
      </w:r>
      <w:r w:rsidRPr="00B10036">
        <w:t>r., zasada 20.</w:t>
      </w:r>
    </w:p>
  </w:footnote>
  <w:footnote w:id="94">
    <w:p w14:paraId="685D87FC" w14:textId="74512D52" w:rsidR="005A6A52" w:rsidRPr="00B10036" w:rsidRDefault="005A6A52" w:rsidP="0050609F">
      <w:pPr>
        <w:pStyle w:val="FootnoteText"/>
        <w:ind w:left="284" w:hanging="284"/>
      </w:pPr>
      <w:r w:rsidRPr="00B10036">
        <w:rPr>
          <w:rStyle w:val="FootnoteReference"/>
        </w:rPr>
        <w:footnoteRef/>
      </w:r>
      <w:r w:rsidRPr="00B10036">
        <w:tab/>
      </w:r>
      <w:hyperlink r:id="rId15" w:history="1">
        <w:r w:rsidRPr="00B10036">
          <w:rPr>
            <w:rStyle w:val="Hyperlink"/>
            <w:color w:val="auto"/>
          </w:rPr>
          <w:t>Europejski filar praw socjalnych</w:t>
        </w:r>
      </w:hyperlink>
      <w:r w:rsidRPr="00B10036">
        <w:t xml:space="preserve"> uroczyście ogłoszony przez Parlament Europejski</w:t>
      </w:r>
      <w:r w:rsidR="00B10036" w:rsidRPr="00B10036">
        <w:t xml:space="preserve"> i</w:t>
      </w:r>
      <w:r w:rsidR="00B10036">
        <w:t> </w:t>
      </w:r>
      <w:r w:rsidR="00B10036" w:rsidRPr="00B10036">
        <w:t>Rad</w:t>
      </w:r>
      <w:r w:rsidRPr="00B10036">
        <w:t>ę oraz Komisję</w:t>
      </w:r>
      <w:r w:rsidR="00B10036" w:rsidRPr="00B10036">
        <w:t xml:space="preserve"> w</w:t>
      </w:r>
      <w:r w:rsidR="00B10036">
        <w:t> </w:t>
      </w:r>
      <w:r w:rsidR="00B10036" w:rsidRPr="00B10036">
        <w:t>dni</w:t>
      </w:r>
      <w:r w:rsidRPr="00B10036">
        <w:t>u 17 listopada 2017</w:t>
      </w:r>
      <w:r w:rsidR="00B10036" w:rsidRPr="00B10036">
        <w:t> </w:t>
      </w:r>
      <w:r w:rsidRPr="00B10036">
        <w:t>r., zasada 19 lit.</w:t>
      </w:r>
      <w:r w:rsidR="00B10036" w:rsidRPr="00B10036">
        <w:t> </w:t>
      </w:r>
      <w:r w:rsidRPr="00B10036">
        <w:t>a).</w:t>
      </w:r>
    </w:p>
  </w:footnote>
  <w:footnote w:id="95">
    <w:p w14:paraId="60C926A4" w14:textId="237FC25C" w:rsidR="005A6A52" w:rsidRPr="00B10036" w:rsidRDefault="005A6A52" w:rsidP="0050609F">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spr</w:t>
      </w:r>
      <w:r w:rsidRPr="00B10036">
        <w:t>awie efektywności energetycznej (wersja przekształcona), COM(2021) 558 final.</w:t>
      </w:r>
    </w:p>
  </w:footnote>
  <w:footnote w:id="96">
    <w:p w14:paraId="1FF5A244" w14:textId="65ECFE6E" w:rsidR="005A6A52" w:rsidRPr="00B10036" w:rsidRDefault="005A6A52" w:rsidP="0050609F">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 zmieniającej dyrektywę Parlamentu Europejskiego</w:t>
      </w:r>
      <w:r w:rsidR="00B10036" w:rsidRPr="00B10036">
        <w:t xml:space="preserve"> i</w:t>
      </w:r>
      <w:r w:rsidR="00B10036">
        <w:t> </w:t>
      </w:r>
      <w:r w:rsidR="00B10036" w:rsidRPr="00B10036">
        <w:t>Rad</w:t>
      </w:r>
      <w:r w:rsidRPr="00B10036">
        <w:t>y 2010/31/UE</w:t>
      </w:r>
      <w:r w:rsidR="00B10036" w:rsidRPr="00B10036">
        <w:t xml:space="preserve"> z</w:t>
      </w:r>
      <w:r w:rsidR="00B10036">
        <w:t> </w:t>
      </w:r>
      <w:r w:rsidR="00B10036" w:rsidRPr="00B10036">
        <w:t>dni</w:t>
      </w:r>
      <w:r w:rsidRPr="00B10036">
        <w:t>a 19 maja 2010</w:t>
      </w:r>
      <w:r w:rsidR="00B10036" w:rsidRPr="00B10036">
        <w:t> </w:t>
      </w:r>
      <w:r w:rsidRPr="00B10036">
        <w:t>r.</w:t>
      </w:r>
      <w:r w:rsidR="00B10036" w:rsidRPr="00B10036">
        <w:t xml:space="preserve"> w</w:t>
      </w:r>
      <w:r w:rsidR="00B10036">
        <w:t> </w:t>
      </w:r>
      <w:r w:rsidR="00B10036" w:rsidRPr="00B10036">
        <w:t>spr</w:t>
      </w:r>
      <w:r w:rsidRPr="00B10036">
        <w:t>awie charakterystyki energetycznej budynków (zmienioną dyrektywą (UE) 2018/844</w:t>
      </w:r>
      <w:r w:rsidR="00B10036" w:rsidRPr="00B10036">
        <w:t xml:space="preserve"> z</w:t>
      </w:r>
      <w:r w:rsidR="00B10036">
        <w:t> </w:t>
      </w:r>
      <w:r w:rsidR="00B10036" w:rsidRPr="00B10036">
        <w:t>dni</w:t>
      </w:r>
      <w:r w:rsidRPr="00B10036">
        <w:t>a 30 maja 2018</w:t>
      </w:r>
      <w:r w:rsidR="00B10036" w:rsidRPr="00B10036">
        <w:t> </w:t>
      </w:r>
      <w:r w:rsidRPr="00B10036">
        <w:t>r.), COM(2021) 802 final.</w:t>
      </w:r>
    </w:p>
  </w:footnote>
  <w:footnote w:id="97">
    <w:p w14:paraId="3C673044" w14:textId="09CC9A88" w:rsidR="005A6A52" w:rsidRPr="00B10036" w:rsidRDefault="005A6A52" w:rsidP="0050609F">
      <w:pPr>
        <w:pStyle w:val="FootnoteText"/>
        <w:ind w:left="284" w:hanging="284"/>
      </w:pPr>
      <w:r w:rsidRPr="00B10036">
        <w:rPr>
          <w:rStyle w:val="FootnoteReference"/>
        </w:rPr>
        <w:footnoteRef/>
      </w:r>
      <w:r w:rsidRPr="00B10036">
        <w:tab/>
        <w:t>Komunikat Komisji „Europejskie ramy mobilności</w:t>
      </w:r>
      <w:r w:rsidR="00B10036" w:rsidRPr="00B10036">
        <w:t xml:space="preserve"> w</w:t>
      </w:r>
      <w:r w:rsidR="00B10036">
        <w:t> </w:t>
      </w:r>
      <w:r w:rsidR="00B10036" w:rsidRPr="00B10036">
        <w:t>mia</w:t>
      </w:r>
      <w:r w:rsidRPr="00B10036">
        <w:t>stach”, COM(2021) 811.</w:t>
      </w:r>
    </w:p>
  </w:footnote>
  <w:footnote w:id="98">
    <w:p w14:paraId="5DB38807" w14:textId="274B2DC4" w:rsidR="005A6A52" w:rsidRPr="00B10036" w:rsidRDefault="005A6A52" w:rsidP="0050609F">
      <w:pPr>
        <w:pStyle w:val="FootnoteText"/>
        <w:ind w:left="284" w:hanging="284"/>
      </w:pPr>
      <w:r w:rsidRPr="00B10036">
        <w:rPr>
          <w:rStyle w:val="FootnoteReference"/>
        </w:rPr>
        <w:footnoteRef/>
      </w:r>
      <w:r w:rsidRPr="00B10036">
        <w:tab/>
      </w:r>
      <w:r w:rsidRPr="00B10036">
        <w:rPr>
          <w:shd w:val="clear" w:color="auto" w:fill="FFFFFF"/>
        </w:rPr>
        <w:t>Zalecenie Komisji (UE) 2020/1563</w:t>
      </w:r>
      <w:r w:rsidR="00B10036" w:rsidRPr="00B10036">
        <w:rPr>
          <w:shd w:val="clear" w:color="auto" w:fill="FFFFFF"/>
        </w:rPr>
        <w:t xml:space="preserve"> z</w:t>
      </w:r>
      <w:r w:rsidR="00B10036">
        <w:rPr>
          <w:shd w:val="clear" w:color="auto" w:fill="FFFFFF"/>
        </w:rPr>
        <w:t> </w:t>
      </w:r>
      <w:r w:rsidR="00B10036" w:rsidRPr="00B10036">
        <w:rPr>
          <w:shd w:val="clear" w:color="auto" w:fill="FFFFFF"/>
        </w:rPr>
        <w:t>dni</w:t>
      </w:r>
      <w:r w:rsidRPr="00B10036">
        <w:rPr>
          <w:shd w:val="clear" w:color="auto" w:fill="FFFFFF"/>
        </w:rPr>
        <w:t>a 14 października 2020</w:t>
      </w:r>
      <w:r w:rsidR="00B10036" w:rsidRPr="00B10036">
        <w:rPr>
          <w:shd w:val="clear" w:color="auto" w:fill="FFFFFF"/>
        </w:rPr>
        <w:t> </w:t>
      </w:r>
      <w:r w:rsidRPr="00B10036">
        <w:rPr>
          <w:shd w:val="clear" w:color="auto" w:fill="FFFFFF"/>
        </w:rPr>
        <w:t>r. dotyczące ubóstwa energetycznego</w:t>
      </w:r>
      <w:r w:rsidRPr="00B10036">
        <w:t xml:space="preserve"> (Dz.U. L 357</w:t>
      </w:r>
      <w:r w:rsidR="00B10036" w:rsidRPr="00B10036">
        <w:t xml:space="preserve"> z</w:t>
      </w:r>
      <w:r w:rsidR="00B10036">
        <w:t> </w:t>
      </w:r>
      <w:r w:rsidR="00B10036" w:rsidRPr="00B10036">
        <w:t>2</w:t>
      </w:r>
      <w:r w:rsidRPr="00B10036">
        <w:t>7.10.2020, s. 35).</w:t>
      </w:r>
    </w:p>
  </w:footnote>
  <w:footnote w:id="99">
    <w:p w14:paraId="2BCCD6B4" w14:textId="5589F832" w:rsidR="005A6A52" w:rsidRPr="00B10036" w:rsidRDefault="005A6A52" w:rsidP="0050609F">
      <w:pPr>
        <w:pStyle w:val="FootnoteText"/>
        <w:ind w:left="284" w:hanging="284"/>
      </w:pPr>
      <w:r w:rsidRPr="00B10036">
        <w:rPr>
          <w:rStyle w:val="FootnoteReference"/>
        </w:rPr>
        <w:footnoteRef/>
      </w:r>
      <w:r w:rsidRPr="00B10036">
        <w:tab/>
        <w:t>Fundusz ten nie jest objęty budżetem UE ani NextGenerationEU.</w:t>
      </w:r>
    </w:p>
  </w:footnote>
  <w:footnote w:id="100">
    <w:p w14:paraId="4B7660E4" w14:textId="1372B948" w:rsidR="005A6A52" w:rsidRPr="00B10036" w:rsidRDefault="005A6A52" w:rsidP="0050609F">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art</w:t>
      </w:r>
      <w:r w:rsidRPr="00B10036">
        <w:t>.</w:t>
      </w:r>
      <w:r w:rsidR="00B10036" w:rsidRPr="00B10036">
        <w:t> </w:t>
      </w:r>
      <w:r w:rsidRPr="00B10036">
        <w:t>14 rozporządzenia (UE) 2018/1999</w:t>
      </w:r>
      <w:r w:rsidR="00B10036" w:rsidRPr="00B10036">
        <w:t xml:space="preserve"> w</w:t>
      </w:r>
      <w:r w:rsidR="00B10036">
        <w:t> </w:t>
      </w:r>
      <w:r w:rsidR="00B10036" w:rsidRPr="00B10036">
        <w:t>spr</w:t>
      </w:r>
      <w:r w:rsidRPr="00B10036">
        <w:t>awie zarządzania unią energetyczną.</w:t>
      </w:r>
    </w:p>
  </w:footnote>
  <w:footnote w:id="101">
    <w:p w14:paraId="176FD755" w14:textId="3EEF2EB7" w:rsidR="005A6A52" w:rsidRPr="00B10036" w:rsidRDefault="005A6A52" w:rsidP="0050609F">
      <w:pPr>
        <w:pStyle w:val="FootnoteText"/>
        <w:ind w:left="284" w:hanging="284"/>
      </w:pPr>
      <w:r w:rsidRPr="00B10036">
        <w:rPr>
          <w:rStyle w:val="FootnoteReference"/>
        </w:rPr>
        <w:footnoteRef/>
      </w:r>
      <w:r w:rsidRPr="00B10036">
        <w:tab/>
        <w:t>Rozporządzenie Parlamentu Europejskiego</w:t>
      </w:r>
      <w:r w:rsidR="00B10036" w:rsidRPr="00B10036">
        <w:t xml:space="preserve"> i</w:t>
      </w:r>
      <w:r w:rsidR="00B10036">
        <w:t> </w:t>
      </w:r>
      <w:r w:rsidR="00B10036" w:rsidRPr="00B10036">
        <w:t>Rad</w:t>
      </w:r>
      <w:r w:rsidRPr="00B10036">
        <w:t>y (UE) 2020/852</w:t>
      </w:r>
      <w:r w:rsidR="00B10036" w:rsidRPr="00B10036">
        <w:t xml:space="preserve"> z</w:t>
      </w:r>
      <w:r w:rsidR="00B10036">
        <w:t> </w:t>
      </w:r>
      <w:r w:rsidR="00B10036" w:rsidRPr="00B10036">
        <w:t>dni</w:t>
      </w:r>
      <w:r w:rsidRPr="00B10036">
        <w:t>a 18 czerwca 2020</w:t>
      </w:r>
      <w:r w:rsidR="00B10036" w:rsidRPr="00B10036">
        <w:t> </w:t>
      </w:r>
      <w:r w:rsidRPr="00B10036">
        <w:t>r.</w:t>
      </w:r>
      <w:r w:rsidR="00B10036" w:rsidRPr="00B10036">
        <w:t xml:space="preserve"> w</w:t>
      </w:r>
      <w:r w:rsidR="00B10036">
        <w:t> </w:t>
      </w:r>
      <w:r w:rsidR="00B10036" w:rsidRPr="00B10036">
        <w:t>spr</w:t>
      </w:r>
      <w:r w:rsidRPr="00B10036">
        <w:t>awie ustanowienia ram ułatwiających zrównoważone inwestycje, zmieniające rozporządzenie (UE) 2019/2088, Dz.U. L 198</w:t>
      </w:r>
      <w:r w:rsidR="00B10036" w:rsidRPr="00B10036">
        <w:t xml:space="preserve"> z</w:t>
      </w:r>
      <w:r w:rsidR="00B10036">
        <w:t> </w:t>
      </w:r>
      <w:r w:rsidR="00B10036" w:rsidRPr="00B10036">
        <w:t>2</w:t>
      </w:r>
      <w:r w:rsidRPr="00B10036">
        <w:t>2.6.2020, s. 13 („rozporządzenie</w:t>
      </w:r>
      <w:r w:rsidR="00B10036" w:rsidRPr="00B10036">
        <w:t xml:space="preserve"> w</w:t>
      </w:r>
      <w:r w:rsidR="00B10036">
        <w:t> </w:t>
      </w:r>
      <w:r w:rsidR="00B10036" w:rsidRPr="00B10036">
        <w:t>spr</w:t>
      </w:r>
      <w:r w:rsidRPr="00B10036">
        <w:t>awie systematyki”) zapewnia wspólny system klasyfikacji dotyczący zrównoważonej działalności gospodarczej.</w:t>
      </w:r>
    </w:p>
  </w:footnote>
  <w:footnote w:id="102">
    <w:p w14:paraId="3F5C47DF" w14:textId="51B04094" w:rsidR="005A6A52" w:rsidRPr="00B10036" w:rsidRDefault="005A6A52" w:rsidP="0050609F">
      <w:pPr>
        <w:pStyle w:val="FootnoteText"/>
        <w:ind w:left="284" w:hanging="284"/>
      </w:pPr>
      <w:r w:rsidRPr="00B10036">
        <w:rPr>
          <w:rStyle w:val="FootnoteReference"/>
        </w:rPr>
        <w:footnoteRef/>
      </w:r>
      <w:r w:rsidRPr="00B10036">
        <w:tab/>
        <w:t>Rozporządzenie Komisji (UE) nr</w:t>
      </w:r>
      <w:r w:rsidR="00B10036" w:rsidRPr="00B10036">
        <w:t> </w:t>
      </w:r>
      <w:r w:rsidRPr="00B10036">
        <w:t>651/2014</w:t>
      </w:r>
      <w:r w:rsidR="00B10036" w:rsidRPr="00B10036">
        <w:t xml:space="preserve"> z</w:t>
      </w:r>
      <w:r w:rsidR="00B10036">
        <w:t> </w:t>
      </w:r>
      <w:r w:rsidR="00B10036" w:rsidRPr="00B10036">
        <w:t>dni</w:t>
      </w:r>
      <w:r w:rsidRPr="00B10036">
        <w:t>a 17 czerwca 2014</w:t>
      </w:r>
      <w:r w:rsidR="00B10036" w:rsidRPr="00B10036">
        <w:t> </w:t>
      </w:r>
      <w:r w:rsidRPr="00B10036">
        <w:t>r. uznające niektóre rodzaje pomocy za zgodne</w:t>
      </w:r>
      <w:r w:rsidR="00B10036" w:rsidRPr="00B10036">
        <w:t xml:space="preserve"> z</w:t>
      </w:r>
      <w:r w:rsidR="00B10036">
        <w:t> </w:t>
      </w:r>
      <w:r w:rsidR="00B10036" w:rsidRPr="00B10036">
        <w:t>ryn</w:t>
      </w:r>
      <w:r w:rsidRPr="00B10036">
        <w:t>kiem wewnętrznym</w:t>
      </w:r>
      <w:r w:rsidR="00B10036" w:rsidRPr="00B10036">
        <w:t xml:space="preserve"> w</w:t>
      </w:r>
      <w:r w:rsidR="00B10036">
        <w:t> </w:t>
      </w:r>
      <w:r w:rsidR="00B10036" w:rsidRPr="00B10036">
        <w:t>zas</w:t>
      </w:r>
      <w:r w:rsidRPr="00B10036">
        <w:t>tosowaniu art.</w:t>
      </w:r>
      <w:r w:rsidR="00B10036" w:rsidRPr="00B10036">
        <w:t> </w:t>
      </w:r>
      <w:r w:rsidRPr="00B10036">
        <w:t>107</w:t>
      </w:r>
      <w:r w:rsidR="00B10036" w:rsidRPr="00B10036">
        <w:t xml:space="preserve"> i</w:t>
      </w:r>
      <w:r w:rsidR="00B10036">
        <w:t> </w:t>
      </w:r>
      <w:r w:rsidR="00B10036" w:rsidRPr="00B10036">
        <w:t>1</w:t>
      </w:r>
      <w:r w:rsidRPr="00B10036">
        <w:t>08 Traktatu (Tekst mający znaczenie dla EOG) (Dz.U. L 187</w:t>
      </w:r>
      <w:r w:rsidR="00B10036" w:rsidRPr="00B10036">
        <w:t xml:space="preserve"> z</w:t>
      </w:r>
      <w:r w:rsidR="00B10036">
        <w:t> </w:t>
      </w:r>
      <w:r w:rsidR="00B10036" w:rsidRPr="00B10036">
        <w:t>2</w:t>
      </w:r>
      <w:r w:rsidRPr="00B10036">
        <w:t>6.6.2014, s. 1).</w:t>
      </w:r>
    </w:p>
  </w:footnote>
  <w:footnote w:id="103">
    <w:p w14:paraId="1E20B59A" w14:textId="62108D30" w:rsidR="005A6A52" w:rsidRPr="00B10036" w:rsidRDefault="005A6A52" w:rsidP="0050609F">
      <w:pPr>
        <w:pStyle w:val="FootnoteText"/>
        <w:ind w:left="284" w:hanging="284"/>
      </w:pPr>
      <w:r w:rsidRPr="00B10036">
        <w:rPr>
          <w:rStyle w:val="FootnoteReference"/>
        </w:rPr>
        <w:footnoteRef/>
      </w:r>
      <w:r w:rsidRPr="00B10036">
        <w:tab/>
        <w:t>Wniosek dotyczący dyrektywy Parlamentu Europejskiego</w:t>
      </w:r>
      <w:r w:rsidR="00B10036" w:rsidRPr="00B10036">
        <w:t xml:space="preserve"> i</w:t>
      </w:r>
      <w:r w:rsidR="00B10036">
        <w:t> </w:t>
      </w:r>
      <w:r w:rsidR="00B10036" w:rsidRPr="00B10036">
        <w:t>Rad</w:t>
      </w:r>
      <w:r w:rsidRPr="00B10036">
        <w:t>y</w:t>
      </w:r>
      <w:r w:rsidR="00B10036" w:rsidRPr="00B10036">
        <w:t xml:space="preserve"> w</w:t>
      </w:r>
      <w:r w:rsidR="00B10036">
        <w:t> </w:t>
      </w:r>
      <w:r w:rsidR="00B10036" w:rsidRPr="00B10036">
        <w:t>spr</w:t>
      </w:r>
      <w:r w:rsidRPr="00B10036">
        <w:t>awie efektywności energetycznej (wersja przekształcona), COM(2021) 558 final.</w:t>
      </w:r>
    </w:p>
  </w:footnote>
  <w:footnote w:id="104">
    <w:p w14:paraId="67E386D8" w14:textId="1EE39915" w:rsidR="005A6A52" w:rsidRPr="00B10036" w:rsidRDefault="005A6A52" w:rsidP="0050609F">
      <w:pPr>
        <w:pStyle w:val="FootnoteText"/>
        <w:ind w:left="284" w:hanging="284"/>
      </w:pPr>
      <w:r w:rsidRPr="00B10036">
        <w:rPr>
          <w:rStyle w:val="FootnoteReference"/>
        </w:rPr>
        <w:footnoteRef/>
      </w:r>
      <w:r w:rsidRPr="00B10036">
        <w:tab/>
        <w:t>W przypadku gdy państwom członkowskim pozostawiono swobodę zdefiniowania pojęcia „odbiorców wrażliwych”, obejmuje to gospodarstwa domowe, które nie są</w:t>
      </w:r>
      <w:r w:rsidR="00B10036" w:rsidRPr="00B10036">
        <w:t xml:space="preserve"> w</w:t>
      </w:r>
      <w:r w:rsidR="00B10036">
        <w:t> </w:t>
      </w:r>
      <w:r w:rsidR="00B10036" w:rsidRPr="00B10036">
        <w:t>sta</w:t>
      </w:r>
      <w:r w:rsidRPr="00B10036">
        <w:t>nie odpowiednio ogrzewać lub chłodzić swoich domów bądź które mają zaległości</w:t>
      </w:r>
      <w:r w:rsidR="00B10036" w:rsidRPr="00B10036">
        <w:t xml:space="preserve"> w</w:t>
      </w:r>
      <w:r w:rsidR="00B10036">
        <w:t> </w:t>
      </w:r>
      <w:r w:rsidR="00B10036" w:rsidRPr="00B10036">
        <w:t>opł</w:t>
      </w:r>
      <w:r w:rsidRPr="00B10036">
        <w:t>atach za media zgodnie</w:t>
      </w:r>
      <w:r w:rsidR="00B10036" w:rsidRPr="00B10036">
        <w:t xml:space="preserve"> z</w:t>
      </w:r>
      <w:r w:rsidR="00B10036">
        <w:t> </w:t>
      </w:r>
      <w:r w:rsidR="00B10036" w:rsidRPr="00B10036">
        <w:t>zal</w:t>
      </w:r>
      <w:r w:rsidRPr="00B10036">
        <w:t>eceniem Komisji dotyczącym ubóstwa energetycznego, C/2020/9600 (Dz.U. L 357</w:t>
      </w:r>
      <w:r w:rsidR="00B10036" w:rsidRPr="00B10036">
        <w:t xml:space="preserve"> z</w:t>
      </w:r>
      <w:r w:rsidR="00B10036">
        <w:t> </w:t>
      </w:r>
      <w:r w:rsidR="00B10036" w:rsidRPr="00B10036">
        <w:t>2</w:t>
      </w:r>
      <w:r w:rsidRPr="00B10036">
        <w:t>7.10.2020, s. 35).</w:t>
      </w:r>
    </w:p>
  </w:footnote>
  <w:footnote w:id="105">
    <w:p w14:paraId="0642F353" w14:textId="0DAAE0CC" w:rsidR="005A6A52" w:rsidRPr="00B10036" w:rsidRDefault="005A6A52" w:rsidP="003A6B54">
      <w:pPr>
        <w:pStyle w:val="FootnoteText"/>
        <w:ind w:left="284" w:hanging="284"/>
      </w:pPr>
      <w:r w:rsidRPr="00B10036">
        <w:rPr>
          <w:rStyle w:val="FootnoteReference"/>
        </w:rPr>
        <w:footnoteRef/>
      </w:r>
      <w:r w:rsidRPr="00B10036">
        <w:tab/>
        <w:t>Komunikat Komisji „Budowanie gospodarki służącej ludziom: plan działania na rzecz gospodarki społecznej”, COM(2021) 778 final.</w:t>
      </w:r>
    </w:p>
  </w:footnote>
  <w:footnote w:id="106">
    <w:p w14:paraId="1EB90BA0" w14:textId="2A8F143E" w:rsidR="005A6A52" w:rsidRPr="00B10036" w:rsidRDefault="005A6A52" w:rsidP="0050609F">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dyr</w:t>
      </w:r>
      <w:r w:rsidRPr="00B10036">
        <w:t>ektywą Parlamentu Europejskiego</w:t>
      </w:r>
      <w:r w:rsidR="00B10036" w:rsidRPr="00B10036">
        <w:t xml:space="preserve"> i</w:t>
      </w:r>
      <w:r w:rsidR="00B10036">
        <w:t> </w:t>
      </w:r>
      <w:r w:rsidR="00B10036" w:rsidRPr="00B10036">
        <w:t>Rad</w:t>
      </w:r>
      <w:r w:rsidRPr="00B10036">
        <w:t>y (UE) 2019/882</w:t>
      </w:r>
      <w:r w:rsidR="00B10036" w:rsidRPr="00B10036">
        <w:t xml:space="preserve"> z</w:t>
      </w:r>
      <w:r w:rsidR="00B10036">
        <w:t> </w:t>
      </w:r>
      <w:r w:rsidR="00B10036" w:rsidRPr="00B10036">
        <w:t>dni</w:t>
      </w:r>
      <w:r w:rsidRPr="00B10036">
        <w:t>a 17 kwietnia 2019</w:t>
      </w:r>
      <w:r w:rsidR="00B10036" w:rsidRPr="00B10036">
        <w:t> </w:t>
      </w:r>
      <w:r w:rsidRPr="00B10036">
        <w:t>r.</w:t>
      </w:r>
      <w:r w:rsidR="00B10036" w:rsidRPr="00B10036">
        <w:t xml:space="preserve"> w</w:t>
      </w:r>
      <w:r w:rsidR="00B10036">
        <w:t> </w:t>
      </w:r>
      <w:r w:rsidR="00B10036" w:rsidRPr="00B10036">
        <w:t>spr</w:t>
      </w:r>
      <w:r w:rsidRPr="00B10036">
        <w:t>awie wymogów dostępności produktów</w:t>
      </w:r>
      <w:r w:rsidR="00B10036" w:rsidRPr="00B10036">
        <w:t xml:space="preserve"> i</w:t>
      </w:r>
      <w:r w:rsidR="00B10036">
        <w:t> </w:t>
      </w:r>
      <w:r w:rsidR="00B10036" w:rsidRPr="00B10036">
        <w:t>usł</w:t>
      </w:r>
      <w:r w:rsidRPr="00B10036">
        <w:t>ug (tekst mający znaczenie dla EOG) (Dz.U. L 151</w:t>
      </w:r>
      <w:r w:rsidR="00B10036" w:rsidRPr="00B10036">
        <w:t xml:space="preserve"> z</w:t>
      </w:r>
      <w:r w:rsidR="00B10036">
        <w:t> </w:t>
      </w:r>
      <w:r w:rsidR="00B10036" w:rsidRPr="00B10036">
        <w:t>7</w:t>
      </w:r>
      <w:r w:rsidRPr="00B10036">
        <w:t>.6.2019, s. 70) oraz zawiadomieniem Komisji „Kwestie społeczne</w:t>
      </w:r>
      <w:r w:rsidR="00B10036" w:rsidRPr="00B10036">
        <w:t xml:space="preserve"> w</w:t>
      </w:r>
      <w:r w:rsidR="00B10036">
        <w:t> </w:t>
      </w:r>
      <w:r w:rsidR="00B10036" w:rsidRPr="00B10036">
        <w:t>zak</w:t>
      </w:r>
      <w:r w:rsidRPr="00B10036">
        <w:t>upach – przewodnik dotyczący uwzględniania kwestii społecznych</w:t>
      </w:r>
      <w:r w:rsidR="00B10036" w:rsidRPr="00B10036">
        <w:t xml:space="preserve"> w</w:t>
      </w:r>
      <w:r w:rsidR="00B10036">
        <w:t> </w:t>
      </w:r>
      <w:r w:rsidR="00B10036" w:rsidRPr="00B10036">
        <w:t>zam</w:t>
      </w:r>
      <w:r w:rsidRPr="00B10036">
        <w:t>ówieniach publicznych (wydanie drugie)” (Dz.U. C 237</w:t>
      </w:r>
      <w:r w:rsidR="00B10036" w:rsidRPr="00B10036">
        <w:t xml:space="preserve"> z</w:t>
      </w:r>
      <w:r w:rsidR="00B10036">
        <w:t> </w:t>
      </w:r>
      <w:r w:rsidR="00B10036" w:rsidRPr="00B10036">
        <w:t>1</w:t>
      </w:r>
      <w:r w:rsidRPr="00B10036">
        <w:t>8.6.2021, s. 1).</w:t>
      </w:r>
    </w:p>
  </w:footnote>
  <w:footnote w:id="107">
    <w:p w14:paraId="3BFFB5F8" w14:textId="37D5DD8C" w:rsidR="005A6A52" w:rsidRPr="00B10036" w:rsidRDefault="005A6A52" w:rsidP="0050609F">
      <w:pPr>
        <w:pStyle w:val="FootnoteText"/>
        <w:ind w:left="284" w:hanging="284"/>
      </w:pPr>
      <w:r w:rsidRPr="00B10036">
        <w:rPr>
          <w:rStyle w:val="FootnoteReference"/>
        </w:rPr>
        <w:footnoteRef/>
      </w:r>
      <w:r w:rsidRPr="00B10036">
        <w:tab/>
        <w:t>Komunikat Komisji „Unijne ramy jakości na rzecz przewidywania zmian</w:t>
      </w:r>
      <w:r w:rsidR="00B10036" w:rsidRPr="00B10036">
        <w:t xml:space="preserve"> i</w:t>
      </w:r>
      <w:r w:rsidR="00B10036">
        <w:t> </w:t>
      </w:r>
      <w:r w:rsidR="00B10036" w:rsidRPr="00B10036">
        <w:t>res</w:t>
      </w:r>
      <w:r w:rsidRPr="00B10036">
        <w:t>trukturyzacji”, COM(2013) 882 final.</w:t>
      </w:r>
    </w:p>
  </w:footnote>
  <w:footnote w:id="108">
    <w:p w14:paraId="5BF4B173" w14:textId="0964F471" w:rsidR="005A6A52" w:rsidRPr="00B10036" w:rsidRDefault="005A6A52" w:rsidP="0050609F">
      <w:pPr>
        <w:pStyle w:val="FootnoteText"/>
        <w:ind w:left="284" w:hanging="284"/>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15 marca 2018 r.</w:t>
      </w:r>
      <w:r w:rsidR="00B10036" w:rsidRPr="00B10036">
        <w:t xml:space="preserve"> w</w:t>
      </w:r>
      <w:r w:rsidR="00B10036">
        <w:t> </w:t>
      </w:r>
      <w:r w:rsidR="00B10036" w:rsidRPr="00B10036">
        <w:t>spr</w:t>
      </w:r>
      <w:r w:rsidRPr="00B10036">
        <w:t>awie europejskich ram jakości</w:t>
      </w:r>
      <w:r w:rsidR="00B10036" w:rsidRPr="00B10036">
        <w:t xml:space="preserve"> i</w:t>
      </w:r>
      <w:r w:rsidR="00B10036">
        <w:t> </w:t>
      </w:r>
      <w:r w:rsidR="00B10036" w:rsidRPr="00B10036">
        <w:t>sku</w:t>
      </w:r>
      <w:r w:rsidRPr="00B10036">
        <w:t>teczności przygotowania zawodowego (Dz.U. C 153</w:t>
      </w:r>
      <w:r w:rsidR="00B10036" w:rsidRPr="00B10036">
        <w:t xml:space="preserve"> z</w:t>
      </w:r>
      <w:r w:rsidR="00B10036">
        <w:t> </w:t>
      </w:r>
      <w:r w:rsidR="00B10036" w:rsidRPr="00B10036">
        <w:t>2</w:t>
      </w:r>
      <w:r w:rsidRPr="00B10036">
        <w:t>.5.2018, s. 1).</w:t>
      </w:r>
    </w:p>
  </w:footnote>
  <w:footnote w:id="109">
    <w:p w14:paraId="5548781F" w14:textId="4506F5A0" w:rsidR="005A6A52" w:rsidRPr="00B10036" w:rsidRDefault="005A6A52" w:rsidP="0050609F">
      <w:pPr>
        <w:pStyle w:val="FootnoteText"/>
        <w:ind w:left="284" w:hanging="284"/>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10 marca 2014 r.</w:t>
      </w:r>
      <w:r w:rsidR="00B10036" w:rsidRPr="00B10036">
        <w:t xml:space="preserve"> w</w:t>
      </w:r>
      <w:r w:rsidR="00B10036">
        <w:t> </w:t>
      </w:r>
      <w:r w:rsidR="00B10036" w:rsidRPr="00B10036">
        <w:t>spr</w:t>
      </w:r>
      <w:r w:rsidRPr="00B10036">
        <w:t>awie ram jakości staży (Dz.U. C 88</w:t>
      </w:r>
      <w:r w:rsidR="00B10036" w:rsidRPr="00B10036">
        <w:t xml:space="preserve"> z</w:t>
      </w:r>
      <w:r w:rsidR="00B10036">
        <w:t> </w:t>
      </w:r>
      <w:r w:rsidR="00B10036" w:rsidRPr="00B10036">
        <w:t>2</w:t>
      </w:r>
      <w:r w:rsidRPr="00B10036">
        <w:t>7.3.2014, s. 1).</w:t>
      </w:r>
    </w:p>
  </w:footnote>
  <w:footnote w:id="110">
    <w:p w14:paraId="583513F4" w14:textId="716076AB" w:rsidR="005A6A52" w:rsidRPr="00B10036" w:rsidRDefault="005A6A52" w:rsidP="0050609F">
      <w:pPr>
        <w:pStyle w:val="FootnoteText"/>
        <w:ind w:left="284" w:hanging="284"/>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indywidualnych rachunków szkoleniowych, COM(2021) 773 final.</w:t>
      </w:r>
    </w:p>
  </w:footnote>
  <w:footnote w:id="111">
    <w:p w14:paraId="074B578D" w14:textId="5C740C25" w:rsidR="005A6A52" w:rsidRPr="00B10036" w:rsidRDefault="005A6A52" w:rsidP="0050609F">
      <w:pPr>
        <w:pStyle w:val="FootnoteText"/>
        <w:ind w:left="284" w:hanging="284"/>
        <w:contextualSpacing/>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europejskiego podejścia do mikropoświadczeń na potrzeby uczenia się przez całe życie</w:t>
      </w:r>
      <w:r w:rsidR="00B10036" w:rsidRPr="00B10036">
        <w:t xml:space="preserve"> i</w:t>
      </w:r>
      <w:r w:rsidR="00B10036">
        <w:t> </w:t>
      </w:r>
      <w:r w:rsidR="00B10036" w:rsidRPr="00B10036">
        <w:t>zdo</w:t>
      </w:r>
      <w:r w:rsidRPr="00B10036">
        <w:t>lności do zatrudnienia, COM(2021) 770 final.</w:t>
      </w:r>
    </w:p>
  </w:footnote>
  <w:footnote w:id="112">
    <w:p w14:paraId="706A82E1" w14:textId="07E35295" w:rsidR="005A6A52" w:rsidRPr="00B10036" w:rsidRDefault="005A6A52" w:rsidP="0050609F">
      <w:pPr>
        <w:pStyle w:val="FootnoteText"/>
        <w:ind w:left="284" w:hanging="284"/>
        <w:contextualSpacing/>
      </w:pPr>
      <w:r w:rsidRPr="00B10036">
        <w:rPr>
          <w:rStyle w:val="FootnoteReference"/>
        </w:rPr>
        <w:footnoteRef/>
      </w:r>
      <w:r w:rsidRPr="00B10036">
        <w:tab/>
        <w:t>Zalecenie Rady</w:t>
      </w:r>
      <w:r w:rsidR="00B10036" w:rsidRPr="00B10036">
        <w:t xml:space="preserve"> z</w:t>
      </w:r>
      <w:r w:rsidR="00B10036">
        <w:t> </w:t>
      </w:r>
      <w:r w:rsidR="00B10036" w:rsidRPr="00B10036">
        <w:t>dni</w:t>
      </w:r>
      <w:r w:rsidRPr="00B10036">
        <w:t>a 8 listopada 2019 r.</w:t>
      </w:r>
      <w:r w:rsidR="00B10036" w:rsidRPr="00B10036">
        <w:t xml:space="preserve"> w</w:t>
      </w:r>
      <w:r w:rsidR="00B10036">
        <w:t> </w:t>
      </w:r>
      <w:r w:rsidR="00B10036" w:rsidRPr="00B10036">
        <w:t>spr</w:t>
      </w:r>
      <w:r w:rsidRPr="00B10036">
        <w:t>awie dostępu pracowników oraz osób samozatrudnionych do ochrony socjalnej (Dz.U. C 387</w:t>
      </w:r>
      <w:r w:rsidR="00B10036" w:rsidRPr="00B10036">
        <w:t xml:space="preserve"> z</w:t>
      </w:r>
      <w:r w:rsidR="00B10036">
        <w:t> </w:t>
      </w:r>
      <w:r w:rsidR="00B10036" w:rsidRPr="00B10036">
        <w:t>1</w:t>
      </w:r>
      <w:r w:rsidRPr="00B10036">
        <w:t>5.11.2019, s. 1).</w:t>
      </w:r>
    </w:p>
  </w:footnote>
  <w:footnote w:id="113">
    <w:p w14:paraId="412BD698" w14:textId="2DAA67D5" w:rsidR="005A6A52" w:rsidRPr="00B10036" w:rsidRDefault="005A6A52" w:rsidP="0050609F">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prz</w:t>
      </w:r>
      <w:r w:rsidRPr="00B10036">
        <w:t>yszłymi zmienionymi wytycznymi</w:t>
      </w:r>
      <w:r w:rsidR="00B10036" w:rsidRPr="00B10036">
        <w:t xml:space="preserve"> w</w:t>
      </w:r>
      <w:r w:rsidR="00B10036">
        <w:t> </w:t>
      </w:r>
      <w:r w:rsidR="00B10036" w:rsidRPr="00B10036">
        <w:t>spr</w:t>
      </w:r>
      <w:r w:rsidRPr="00B10036">
        <w:t>awie pomocy państwa na ochronę klimatu</w:t>
      </w:r>
      <w:r w:rsidR="00B10036" w:rsidRPr="00B10036">
        <w:t xml:space="preserve"> i</w:t>
      </w:r>
      <w:r w:rsidR="00B10036">
        <w:t> </w:t>
      </w:r>
      <w:r w:rsidR="00B10036" w:rsidRPr="00B10036">
        <w:t>śro</w:t>
      </w:r>
      <w:r w:rsidRPr="00B10036">
        <w:t>dowiska oraz cele związane</w:t>
      </w:r>
      <w:r w:rsidR="00B10036" w:rsidRPr="00B10036">
        <w:t xml:space="preserve"> z</w:t>
      </w:r>
      <w:r w:rsidR="00B10036">
        <w:t> </w:t>
      </w:r>
      <w:r w:rsidR="00B10036" w:rsidRPr="00B10036">
        <w:t>ene</w:t>
      </w:r>
      <w:r w:rsidRPr="00B10036">
        <w:t>rgią, które zgodnie</w:t>
      </w:r>
      <w:r w:rsidR="00B10036" w:rsidRPr="00B10036">
        <w:t xml:space="preserve"> z</w:t>
      </w:r>
      <w:r w:rsidR="00B10036">
        <w:t> </w:t>
      </w:r>
      <w:r w:rsidR="00B10036" w:rsidRPr="00B10036">
        <w:t>prz</w:t>
      </w:r>
      <w:r w:rsidRPr="00B10036">
        <w:t>ewidywaniami zaczną obowiązywać od</w:t>
      </w:r>
      <w:r w:rsidR="00B10036" w:rsidRPr="00B10036">
        <w:t> </w:t>
      </w:r>
      <w:r w:rsidRPr="00B10036">
        <w:t>2022</w:t>
      </w:r>
      <w:r w:rsidR="00B10036" w:rsidRPr="00B10036">
        <w:t> </w:t>
      </w:r>
      <w:r w:rsidRPr="00B10036">
        <w:t>r.</w:t>
      </w:r>
    </w:p>
  </w:footnote>
  <w:footnote w:id="114">
    <w:p w14:paraId="49D44B93" w14:textId="2FCACFB5" w:rsidR="005A6A52" w:rsidRPr="00B10036" w:rsidRDefault="005A6A52" w:rsidP="0050609F">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def</w:t>
      </w:r>
      <w:r w:rsidRPr="00B10036">
        <w:t>inicją zawartą</w:t>
      </w:r>
      <w:r w:rsidR="00B10036" w:rsidRPr="00B10036">
        <w:t xml:space="preserve"> w</w:t>
      </w:r>
      <w:r w:rsidR="00B10036">
        <w:t> </w:t>
      </w:r>
      <w:r w:rsidR="00B10036" w:rsidRPr="00B10036">
        <w:t>art</w:t>
      </w:r>
      <w:r w:rsidRPr="00B10036">
        <w:t>.</w:t>
      </w:r>
      <w:r w:rsidR="00B10036" w:rsidRPr="00B10036">
        <w:t> </w:t>
      </w:r>
      <w:r w:rsidRPr="00B10036">
        <w:t>2 pkt</w:t>
      </w:r>
      <w:r w:rsidR="00B10036" w:rsidRPr="00B10036">
        <w:t> </w:t>
      </w:r>
      <w:r w:rsidRPr="00B10036">
        <w:t>11 dyrektywy Parlamentu Europejskiego</w:t>
      </w:r>
      <w:r w:rsidR="00B10036" w:rsidRPr="00B10036">
        <w:t xml:space="preserve"> i</w:t>
      </w:r>
      <w:r w:rsidR="00B10036">
        <w:t> </w:t>
      </w:r>
      <w:r w:rsidR="00B10036" w:rsidRPr="00B10036">
        <w:t>Rad</w:t>
      </w:r>
      <w:r w:rsidRPr="00B10036">
        <w:t>y (UE) 2019/944</w:t>
      </w:r>
      <w:r w:rsidR="00B10036" w:rsidRPr="00B10036">
        <w:t xml:space="preserve"> z</w:t>
      </w:r>
      <w:r w:rsidR="00B10036">
        <w:t> </w:t>
      </w:r>
      <w:r w:rsidR="00B10036" w:rsidRPr="00B10036">
        <w:t>dni</w:t>
      </w:r>
      <w:r w:rsidRPr="00B10036">
        <w:t>a 5 czerwca 2019</w:t>
      </w:r>
      <w:r w:rsidR="00B10036" w:rsidRPr="00B10036">
        <w:t> </w:t>
      </w:r>
      <w:r w:rsidRPr="00B10036">
        <w:t>r.</w:t>
      </w:r>
      <w:r w:rsidR="00B10036" w:rsidRPr="00B10036">
        <w:t xml:space="preserve"> w</w:t>
      </w:r>
      <w:r w:rsidR="00B10036">
        <w:t> </w:t>
      </w:r>
      <w:r w:rsidR="00B10036" w:rsidRPr="00B10036">
        <w:t>spr</w:t>
      </w:r>
      <w:r w:rsidRPr="00B10036">
        <w:t>awie wspólnych zasad rynku wewnętrznego energii elektrycznej oraz zmieniającej dyrektywę 2012/27/UE (Dz.U. L 158</w:t>
      </w:r>
      <w:r w:rsidR="00B10036" w:rsidRPr="00B10036">
        <w:t xml:space="preserve"> z</w:t>
      </w:r>
      <w:r w:rsidR="00B10036">
        <w:t> </w:t>
      </w:r>
      <w:r w:rsidR="00B10036" w:rsidRPr="00B10036">
        <w:t>1</w:t>
      </w:r>
      <w:r w:rsidRPr="00B10036">
        <w:t>4.6.2019, s. 125).</w:t>
      </w:r>
    </w:p>
  </w:footnote>
  <w:footnote w:id="115">
    <w:p w14:paraId="683FEC50" w14:textId="34B90D16" w:rsidR="005A6A52" w:rsidRPr="00B10036" w:rsidRDefault="005A6A52" w:rsidP="00CB1C2B">
      <w:pPr>
        <w:pStyle w:val="FootnoteText"/>
        <w:ind w:left="284" w:hanging="284"/>
      </w:pPr>
      <w:r w:rsidRPr="00B10036">
        <w:rPr>
          <w:rStyle w:val="FootnoteReference"/>
        </w:rPr>
        <w:footnoteRef/>
      </w:r>
      <w:r w:rsidRPr="00B10036">
        <w:tab/>
        <w:t>Zgodnie</w:t>
      </w:r>
      <w:r w:rsidR="00B10036" w:rsidRPr="00B10036">
        <w:t xml:space="preserve"> z</w:t>
      </w:r>
      <w:r w:rsidR="00B10036">
        <w:t> </w:t>
      </w:r>
      <w:r w:rsidR="00B10036" w:rsidRPr="00B10036">
        <w:t>kom</w:t>
      </w:r>
      <w:r w:rsidRPr="00B10036">
        <w:t>unikatem Komisji „Strategia na rzecz zrównoważonej</w:t>
      </w:r>
      <w:r w:rsidR="00B10036" w:rsidRPr="00B10036">
        <w:t xml:space="preserve"> i</w:t>
      </w:r>
      <w:r w:rsidR="00B10036">
        <w:t> </w:t>
      </w:r>
      <w:r w:rsidR="00B10036" w:rsidRPr="00B10036">
        <w:t>int</w:t>
      </w:r>
      <w:r w:rsidRPr="00B10036">
        <w:t>eligentnej mobilności – europejski transport na drodze ku przyszłości”, COM(2020) 789 final.</w:t>
      </w:r>
    </w:p>
  </w:footnote>
  <w:footnote w:id="116">
    <w:p w14:paraId="4F6EB714" w14:textId="450F872C" w:rsidR="005A6A52" w:rsidRPr="00B10036" w:rsidRDefault="005A6A52" w:rsidP="0050609F">
      <w:pPr>
        <w:pStyle w:val="FootnoteText"/>
        <w:ind w:left="284" w:hanging="284"/>
      </w:pPr>
      <w:r w:rsidRPr="00B10036">
        <w:rPr>
          <w:rStyle w:val="FootnoteReference"/>
        </w:rPr>
        <w:footnoteRef/>
      </w:r>
      <w:r w:rsidRPr="00B10036">
        <w:tab/>
        <w:t>Wniosek dotyczący zalecenia Rady</w:t>
      </w:r>
      <w:r w:rsidR="00B10036" w:rsidRPr="00B10036">
        <w:t xml:space="preserve"> w</w:t>
      </w:r>
      <w:r w:rsidR="00B10036">
        <w:t> </w:t>
      </w:r>
      <w:r w:rsidR="00B10036" w:rsidRPr="00B10036">
        <w:t>spr</w:t>
      </w:r>
      <w:r w:rsidRPr="00B10036">
        <w:t>awie uczenia się na rzecz zrównoważenia środowiskowego, COM(2021) 557 final.</w:t>
      </w:r>
    </w:p>
  </w:footnote>
  <w:footnote w:id="117">
    <w:p w14:paraId="203B2EFA" w14:textId="43653269" w:rsidR="005A6A52" w:rsidRPr="00B10036" w:rsidRDefault="005A6A52" w:rsidP="0050609F">
      <w:pPr>
        <w:pStyle w:val="FootnoteText"/>
        <w:ind w:left="284" w:hanging="284"/>
      </w:pPr>
      <w:r w:rsidRPr="00B10036">
        <w:rPr>
          <w:rStyle w:val="FootnoteReference"/>
        </w:rPr>
        <w:footnoteRef/>
      </w:r>
      <w:r w:rsidRPr="00B10036">
        <w:tab/>
        <w:t xml:space="preserve">Komunikat Komisji „Europejski Pakt na rzecz Klimatu”, </w:t>
      </w:r>
      <w:r w:rsidRPr="00B10036">
        <w:rPr>
          <w:shd w:val="clear" w:color="auto" w:fill="FFFFFF"/>
        </w:rPr>
        <w:t>COM(2020) 788 final.</w:t>
      </w:r>
    </w:p>
  </w:footnote>
  <w:footnote w:id="118">
    <w:p w14:paraId="0785D5D8" w14:textId="6BC81D79" w:rsidR="000F5D99" w:rsidRPr="00B10036" w:rsidRDefault="000F5D99" w:rsidP="000F5D99">
      <w:pPr>
        <w:pStyle w:val="FootnoteText"/>
      </w:pPr>
      <w:r w:rsidRPr="00B10036">
        <w:rPr>
          <w:rStyle w:val="FootnoteReference"/>
        </w:rPr>
        <w:footnoteRef/>
      </w:r>
      <w:r w:rsidRPr="00B10036">
        <w:tab/>
        <w:t>Jak zapowiedziano</w:t>
      </w:r>
      <w:r w:rsidR="00B10036" w:rsidRPr="00B10036">
        <w:t xml:space="preserve"> w</w:t>
      </w:r>
      <w:r w:rsidR="00B10036">
        <w:t> </w:t>
      </w:r>
      <w:r w:rsidR="00B10036" w:rsidRPr="00B10036">
        <w:t>zak</w:t>
      </w:r>
      <w:r w:rsidRPr="00B10036">
        <w:t xml:space="preserve">tualizowanej strategii przemysłowej, takich jak sektor budownictwa, sektory energochłonne lub sektor mobilności.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044A20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080E51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568E99A"/>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684A455E"/>
    <w:lvl w:ilvl="0">
      <w:start w:val="1"/>
      <w:numFmt w:val="decimal"/>
      <w:pStyle w:val="ListNumber"/>
      <w:lvlText w:val="%1."/>
      <w:lvlJc w:val="left"/>
      <w:pPr>
        <w:tabs>
          <w:tab w:val="num" w:pos="360"/>
        </w:tabs>
        <w:ind w:left="360" w:hanging="360"/>
      </w:p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3"/>
  </w:num>
  <w:num w:numId="3">
    <w:abstractNumId w:val="2"/>
  </w:num>
  <w:num w:numId="4">
    <w:abstractNumId w:val="1"/>
  </w:num>
  <w:num w:numId="5">
    <w:abstractNumId w:val="0"/>
  </w:num>
  <w:num w:numId="6">
    <w:abstractNumId w:val="13"/>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4"/>
  </w:num>
  <w:num w:numId="13">
    <w:abstractNumId w:val="11"/>
  </w:num>
  <w:num w:numId="14">
    <w:abstractNumId w:val="13"/>
  </w:num>
  <w:num w:numId="15">
    <w:abstractNumId w:val="14"/>
  </w:num>
  <w:num w:numId="16">
    <w:abstractNumId w:val="6"/>
  </w:num>
  <w:num w:numId="17">
    <w:abstractNumId w:val="12"/>
  </w:num>
  <w:num w:numId="18">
    <w:abstractNumId w:val="18"/>
  </w:num>
  <w:num w:numId="19">
    <w:abstractNumId w:val="16"/>
  </w:num>
  <w:num w:numId="20">
    <w:abstractNumId w:val="10"/>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de-AT"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1-18 14:01: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3"/>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8231EC15-94D8-4F7B-ADFE-29D93BA98F99"/>
    <w:docVar w:name="LW_COVERPAGE_TYPE" w:val="1"/>
    <w:docVar w:name="LW_CROSSREFERENCE" w:val="{SWD(2021) 452 final}"/>
    <w:docVar w:name="LW_DocType" w:val="COM"/>
    <w:docVar w:name="LW_EMISSION" w:val="14.12.2021"/>
    <w:docVar w:name="LW_EMISSION_ISODATE" w:val="2021-12-14"/>
    <w:docVar w:name="LW_EMISSION_LOCATION" w:val="STR"/>
    <w:docVar w:name="LW_EMISSION_PREFIX" w:val="Strasburg, dnia "/>
    <w:docVar w:name="LW_EMISSION_SUFFIX" w:val=" r."/>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NLE"/>
    <w:docVar w:name="LW_REF.II.NEW.CP_NUMBER" w:val="0421"/>
    <w:docVar w:name="LW_REF.II.NEW.CP_YEAR" w:val="2021"/>
    <w:docVar w:name="LW_REF.INST.NEW" w:val="COM"/>
    <w:docVar w:name="LW_REF.INST.NEW_ADOPTED" w:val="final"/>
    <w:docVar w:name="LW_REF.INST.NEW_TEXT" w:val="(2021)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zapewnienia sprawiedliwej transformacji w kierunku neutralności klimatycznej _x000b_ _x000b_"/>
    <w:docVar w:name="LW_TYPE.DOC.CP" w:val="ZALECENIE RADY"/>
    <w:docVar w:name="LwApiVersions" w:val="LW4CoDe 1.23.2.0; LW 8.0, Build 20211117"/>
  </w:docVars>
  <w:rsids>
    <w:rsidRoot w:val="00A17AEC"/>
    <w:rsid w:val="00000100"/>
    <w:rsid w:val="000002A9"/>
    <w:rsid w:val="00001200"/>
    <w:rsid w:val="00002649"/>
    <w:rsid w:val="00002F5D"/>
    <w:rsid w:val="0000365E"/>
    <w:rsid w:val="00003E7D"/>
    <w:rsid w:val="00004873"/>
    <w:rsid w:val="0000530B"/>
    <w:rsid w:val="00005746"/>
    <w:rsid w:val="000058C7"/>
    <w:rsid w:val="00005EBD"/>
    <w:rsid w:val="00010271"/>
    <w:rsid w:val="0001148C"/>
    <w:rsid w:val="00011AE3"/>
    <w:rsid w:val="00011E22"/>
    <w:rsid w:val="0001255B"/>
    <w:rsid w:val="00012D5F"/>
    <w:rsid w:val="000136CB"/>
    <w:rsid w:val="00014623"/>
    <w:rsid w:val="00014691"/>
    <w:rsid w:val="00014992"/>
    <w:rsid w:val="00014E1E"/>
    <w:rsid w:val="00015739"/>
    <w:rsid w:val="00015CF4"/>
    <w:rsid w:val="00016397"/>
    <w:rsid w:val="0001645D"/>
    <w:rsid w:val="00016E65"/>
    <w:rsid w:val="00017BBB"/>
    <w:rsid w:val="00017DFD"/>
    <w:rsid w:val="000208FD"/>
    <w:rsid w:val="000213F3"/>
    <w:rsid w:val="000216CC"/>
    <w:rsid w:val="00021D90"/>
    <w:rsid w:val="0002345E"/>
    <w:rsid w:val="00023B13"/>
    <w:rsid w:val="00024035"/>
    <w:rsid w:val="0002405F"/>
    <w:rsid w:val="00024D91"/>
    <w:rsid w:val="000256D4"/>
    <w:rsid w:val="00025D57"/>
    <w:rsid w:val="00026B0E"/>
    <w:rsid w:val="0003026F"/>
    <w:rsid w:val="000303B0"/>
    <w:rsid w:val="000304CD"/>
    <w:rsid w:val="0003121D"/>
    <w:rsid w:val="000323D1"/>
    <w:rsid w:val="0003241C"/>
    <w:rsid w:val="00032740"/>
    <w:rsid w:val="000327EA"/>
    <w:rsid w:val="00033745"/>
    <w:rsid w:val="00034133"/>
    <w:rsid w:val="00034BEF"/>
    <w:rsid w:val="00035283"/>
    <w:rsid w:val="000360A1"/>
    <w:rsid w:val="0003655B"/>
    <w:rsid w:val="000367AB"/>
    <w:rsid w:val="00036AAA"/>
    <w:rsid w:val="00036E53"/>
    <w:rsid w:val="00036E8C"/>
    <w:rsid w:val="0003756C"/>
    <w:rsid w:val="00037C4E"/>
    <w:rsid w:val="0004009A"/>
    <w:rsid w:val="0004018A"/>
    <w:rsid w:val="000402F2"/>
    <w:rsid w:val="00040775"/>
    <w:rsid w:val="0004150F"/>
    <w:rsid w:val="00041DA4"/>
    <w:rsid w:val="00042013"/>
    <w:rsid w:val="00042306"/>
    <w:rsid w:val="00042484"/>
    <w:rsid w:val="00043AE3"/>
    <w:rsid w:val="00044549"/>
    <w:rsid w:val="00044ACD"/>
    <w:rsid w:val="00045175"/>
    <w:rsid w:val="00045A5E"/>
    <w:rsid w:val="00045D2F"/>
    <w:rsid w:val="0004658F"/>
    <w:rsid w:val="00046B57"/>
    <w:rsid w:val="00046D5D"/>
    <w:rsid w:val="00046FBF"/>
    <w:rsid w:val="000476F3"/>
    <w:rsid w:val="000478CD"/>
    <w:rsid w:val="00047B6B"/>
    <w:rsid w:val="000504CB"/>
    <w:rsid w:val="00051A6E"/>
    <w:rsid w:val="00051AF0"/>
    <w:rsid w:val="00051F8E"/>
    <w:rsid w:val="00052710"/>
    <w:rsid w:val="00052747"/>
    <w:rsid w:val="00052F54"/>
    <w:rsid w:val="00054102"/>
    <w:rsid w:val="00054211"/>
    <w:rsid w:val="000543ED"/>
    <w:rsid w:val="000546B2"/>
    <w:rsid w:val="0005492B"/>
    <w:rsid w:val="00055135"/>
    <w:rsid w:val="000557FB"/>
    <w:rsid w:val="00055D97"/>
    <w:rsid w:val="00055F39"/>
    <w:rsid w:val="000564C3"/>
    <w:rsid w:val="00056510"/>
    <w:rsid w:val="00056B37"/>
    <w:rsid w:val="00057031"/>
    <w:rsid w:val="00057634"/>
    <w:rsid w:val="00057B14"/>
    <w:rsid w:val="00057C8F"/>
    <w:rsid w:val="00060743"/>
    <w:rsid w:val="00061347"/>
    <w:rsid w:val="00063034"/>
    <w:rsid w:val="00064A98"/>
    <w:rsid w:val="00064F9E"/>
    <w:rsid w:val="000651C1"/>
    <w:rsid w:val="00065360"/>
    <w:rsid w:val="000653A2"/>
    <w:rsid w:val="000657BC"/>
    <w:rsid w:val="0006695F"/>
    <w:rsid w:val="00066D47"/>
    <w:rsid w:val="000671DC"/>
    <w:rsid w:val="000673BF"/>
    <w:rsid w:val="000703B1"/>
    <w:rsid w:val="00071578"/>
    <w:rsid w:val="00071F47"/>
    <w:rsid w:val="00072946"/>
    <w:rsid w:val="00072ABF"/>
    <w:rsid w:val="000733F8"/>
    <w:rsid w:val="00073C84"/>
    <w:rsid w:val="00074965"/>
    <w:rsid w:val="00074C30"/>
    <w:rsid w:val="00074DF2"/>
    <w:rsid w:val="00075BB1"/>
    <w:rsid w:val="000762AD"/>
    <w:rsid w:val="000769BB"/>
    <w:rsid w:val="00076A41"/>
    <w:rsid w:val="00076B77"/>
    <w:rsid w:val="000774E8"/>
    <w:rsid w:val="0007788F"/>
    <w:rsid w:val="000779C4"/>
    <w:rsid w:val="00077C37"/>
    <w:rsid w:val="00080DD3"/>
    <w:rsid w:val="00080FF6"/>
    <w:rsid w:val="000815CF"/>
    <w:rsid w:val="00081CFB"/>
    <w:rsid w:val="00081FEB"/>
    <w:rsid w:val="00083707"/>
    <w:rsid w:val="00083E78"/>
    <w:rsid w:val="000843AF"/>
    <w:rsid w:val="00084454"/>
    <w:rsid w:val="00084550"/>
    <w:rsid w:val="0008456C"/>
    <w:rsid w:val="000848C4"/>
    <w:rsid w:val="0008512A"/>
    <w:rsid w:val="00085E91"/>
    <w:rsid w:val="0008687E"/>
    <w:rsid w:val="000874EC"/>
    <w:rsid w:val="000875A4"/>
    <w:rsid w:val="00090283"/>
    <w:rsid w:val="00090FEF"/>
    <w:rsid w:val="00091405"/>
    <w:rsid w:val="000916B5"/>
    <w:rsid w:val="00091D44"/>
    <w:rsid w:val="00091F73"/>
    <w:rsid w:val="00092477"/>
    <w:rsid w:val="000932E0"/>
    <w:rsid w:val="000941D2"/>
    <w:rsid w:val="0009489F"/>
    <w:rsid w:val="00094FB7"/>
    <w:rsid w:val="00096B72"/>
    <w:rsid w:val="00096D2B"/>
    <w:rsid w:val="00096E45"/>
    <w:rsid w:val="0009704A"/>
    <w:rsid w:val="000971DF"/>
    <w:rsid w:val="00097226"/>
    <w:rsid w:val="00097392"/>
    <w:rsid w:val="000977AD"/>
    <w:rsid w:val="000978E1"/>
    <w:rsid w:val="000A00D2"/>
    <w:rsid w:val="000A05DE"/>
    <w:rsid w:val="000A0FCB"/>
    <w:rsid w:val="000A122F"/>
    <w:rsid w:val="000A16B8"/>
    <w:rsid w:val="000A1C19"/>
    <w:rsid w:val="000A2F8F"/>
    <w:rsid w:val="000A31A6"/>
    <w:rsid w:val="000A374D"/>
    <w:rsid w:val="000A3A5E"/>
    <w:rsid w:val="000A3D9A"/>
    <w:rsid w:val="000A4ED0"/>
    <w:rsid w:val="000A4F66"/>
    <w:rsid w:val="000A58D7"/>
    <w:rsid w:val="000A6481"/>
    <w:rsid w:val="000A6EBA"/>
    <w:rsid w:val="000A74BC"/>
    <w:rsid w:val="000A7517"/>
    <w:rsid w:val="000A7B1C"/>
    <w:rsid w:val="000A7D82"/>
    <w:rsid w:val="000B0268"/>
    <w:rsid w:val="000B08B3"/>
    <w:rsid w:val="000B0EFD"/>
    <w:rsid w:val="000B126D"/>
    <w:rsid w:val="000B24C7"/>
    <w:rsid w:val="000B269A"/>
    <w:rsid w:val="000B2D8E"/>
    <w:rsid w:val="000B3AAE"/>
    <w:rsid w:val="000B3DC4"/>
    <w:rsid w:val="000B42C5"/>
    <w:rsid w:val="000B5DDD"/>
    <w:rsid w:val="000B63C8"/>
    <w:rsid w:val="000B6E80"/>
    <w:rsid w:val="000B7003"/>
    <w:rsid w:val="000B71F1"/>
    <w:rsid w:val="000B7545"/>
    <w:rsid w:val="000B779E"/>
    <w:rsid w:val="000C0002"/>
    <w:rsid w:val="000C0189"/>
    <w:rsid w:val="000C074D"/>
    <w:rsid w:val="000C0CD2"/>
    <w:rsid w:val="000C131E"/>
    <w:rsid w:val="000C1BA4"/>
    <w:rsid w:val="000C26C2"/>
    <w:rsid w:val="000C3174"/>
    <w:rsid w:val="000C32FB"/>
    <w:rsid w:val="000C355E"/>
    <w:rsid w:val="000C3B50"/>
    <w:rsid w:val="000C3B88"/>
    <w:rsid w:val="000C405B"/>
    <w:rsid w:val="000C467C"/>
    <w:rsid w:val="000C495F"/>
    <w:rsid w:val="000C5859"/>
    <w:rsid w:val="000C58FD"/>
    <w:rsid w:val="000C622D"/>
    <w:rsid w:val="000C735C"/>
    <w:rsid w:val="000D02AF"/>
    <w:rsid w:val="000D0A63"/>
    <w:rsid w:val="000D0BF2"/>
    <w:rsid w:val="000D109C"/>
    <w:rsid w:val="000D139E"/>
    <w:rsid w:val="000D18A6"/>
    <w:rsid w:val="000D1E08"/>
    <w:rsid w:val="000D2465"/>
    <w:rsid w:val="000D2628"/>
    <w:rsid w:val="000D27FC"/>
    <w:rsid w:val="000D31E6"/>
    <w:rsid w:val="000D31E9"/>
    <w:rsid w:val="000D3619"/>
    <w:rsid w:val="000D379F"/>
    <w:rsid w:val="000D37AC"/>
    <w:rsid w:val="000D3869"/>
    <w:rsid w:val="000D39EA"/>
    <w:rsid w:val="000D3ADC"/>
    <w:rsid w:val="000D407D"/>
    <w:rsid w:val="000D45CB"/>
    <w:rsid w:val="000D4B6D"/>
    <w:rsid w:val="000D4E18"/>
    <w:rsid w:val="000D52F5"/>
    <w:rsid w:val="000D630C"/>
    <w:rsid w:val="000D6754"/>
    <w:rsid w:val="000D6995"/>
    <w:rsid w:val="000D6FBE"/>
    <w:rsid w:val="000D7385"/>
    <w:rsid w:val="000E0358"/>
    <w:rsid w:val="000E14CA"/>
    <w:rsid w:val="000E18EF"/>
    <w:rsid w:val="000E1983"/>
    <w:rsid w:val="000E198E"/>
    <w:rsid w:val="000E1FDA"/>
    <w:rsid w:val="000E2249"/>
    <w:rsid w:val="000E2700"/>
    <w:rsid w:val="000E3596"/>
    <w:rsid w:val="000E3B15"/>
    <w:rsid w:val="000E4090"/>
    <w:rsid w:val="000E495B"/>
    <w:rsid w:val="000E51D6"/>
    <w:rsid w:val="000E6B2C"/>
    <w:rsid w:val="000E6BAF"/>
    <w:rsid w:val="000E6C2E"/>
    <w:rsid w:val="000E7F13"/>
    <w:rsid w:val="000F0592"/>
    <w:rsid w:val="000F05C8"/>
    <w:rsid w:val="000F085E"/>
    <w:rsid w:val="000F18D6"/>
    <w:rsid w:val="000F214A"/>
    <w:rsid w:val="000F2279"/>
    <w:rsid w:val="000F3962"/>
    <w:rsid w:val="000F3BF4"/>
    <w:rsid w:val="000F4E66"/>
    <w:rsid w:val="000F526D"/>
    <w:rsid w:val="000F5944"/>
    <w:rsid w:val="000F5D99"/>
    <w:rsid w:val="000F6C7F"/>
    <w:rsid w:val="000F7610"/>
    <w:rsid w:val="000F79D4"/>
    <w:rsid w:val="001003F8"/>
    <w:rsid w:val="00101B20"/>
    <w:rsid w:val="00101F50"/>
    <w:rsid w:val="00102500"/>
    <w:rsid w:val="0010269B"/>
    <w:rsid w:val="00102BBE"/>
    <w:rsid w:val="00102CC1"/>
    <w:rsid w:val="00102D85"/>
    <w:rsid w:val="00103EA8"/>
    <w:rsid w:val="0010430B"/>
    <w:rsid w:val="001047A5"/>
    <w:rsid w:val="00104DD3"/>
    <w:rsid w:val="00105231"/>
    <w:rsid w:val="001057DE"/>
    <w:rsid w:val="00105CD0"/>
    <w:rsid w:val="00105ECE"/>
    <w:rsid w:val="001065BC"/>
    <w:rsid w:val="0010704D"/>
    <w:rsid w:val="00107566"/>
    <w:rsid w:val="00107691"/>
    <w:rsid w:val="00110250"/>
    <w:rsid w:val="00110D61"/>
    <w:rsid w:val="0011136A"/>
    <w:rsid w:val="001118D5"/>
    <w:rsid w:val="00111F4E"/>
    <w:rsid w:val="001127A6"/>
    <w:rsid w:val="00112AF4"/>
    <w:rsid w:val="00113268"/>
    <w:rsid w:val="001133D8"/>
    <w:rsid w:val="00113563"/>
    <w:rsid w:val="001135DE"/>
    <w:rsid w:val="00113CA6"/>
    <w:rsid w:val="00113E47"/>
    <w:rsid w:val="001154A9"/>
    <w:rsid w:val="00115AF9"/>
    <w:rsid w:val="00116030"/>
    <w:rsid w:val="00116334"/>
    <w:rsid w:val="00116858"/>
    <w:rsid w:val="0011689B"/>
    <w:rsid w:val="00116F35"/>
    <w:rsid w:val="0011713D"/>
    <w:rsid w:val="0011718C"/>
    <w:rsid w:val="001175EB"/>
    <w:rsid w:val="001177D3"/>
    <w:rsid w:val="0011792E"/>
    <w:rsid w:val="00117BFB"/>
    <w:rsid w:val="00117CDE"/>
    <w:rsid w:val="001202EC"/>
    <w:rsid w:val="0012064D"/>
    <w:rsid w:val="00120801"/>
    <w:rsid w:val="00121C7D"/>
    <w:rsid w:val="00121E25"/>
    <w:rsid w:val="00121E3A"/>
    <w:rsid w:val="001220D5"/>
    <w:rsid w:val="0012257F"/>
    <w:rsid w:val="00122F5C"/>
    <w:rsid w:val="00123F29"/>
    <w:rsid w:val="001242CD"/>
    <w:rsid w:val="00125C75"/>
    <w:rsid w:val="00125D0E"/>
    <w:rsid w:val="00125D10"/>
    <w:rsid w:val="00125ED9"/>
    <w:rsid w:val="001279A0"/>
    <w:rsid w:val="0013075F"/>
    <w:rsid w:val="00130804"/>
    <w:rsid w:val="00130E76"/>
    <w:rsid w:val="00130ED7"/>
    <w:rsid w:val="001313F2"/>
    <w:rsid w:val="00131C19"/>
    <w:rsid w:val="00131C7A"/>
    <w:rsid w:val="0013211C"/>
    <w:rsid w:val="00132A64"/>
    <w:rsid w:val="00134171"/>
    <w:rsid w:val="00136213"/>
    <w:rsid w:val="00136B4C"/>
    <w:rsid w:val="001370C8"/>
    <w:rsid w:val="001401E1"/>
    <w:rsid w:val="00140495"/>
    <w:rsid w:val="00140E61"/>
    <w:rsid w:val="00142339"/>
    <w:rsid w:val="001433AB"/>
    <w:rsid w:val="00143679"/>
    <w:rsid w:val="00143B0C"/>
    <w:rsid w:val="0014462A"/>
    <w:rsid w:val="001449BF"/>
    <w:rsid w:val="0014521E"/>
    <w:rsid w:val="00145766"/>
    <w:rsid w:val="00145F9E"/>
    <w:rsid w:val="001461E7"/>
    <w:rsid w:val="0014632F"/>
    <w:rsid w:val="001463C5"/>
    <w:rsid w:val="0014683D"/>
    <w:rsid w:val="001510DC"/>
    <w:rsid w:val="001513D4"/>
    <w:rsid w:val="00151AF8"/>
    <w:rsid w:val="00151ED8"/>
    <w:rsid w:val="0015252D"/>
    <w:rsid w:val="0015373A"/>
    <w:rsid w:val="00153E3A"/>
    <w:rsid w:val="001545DA"/>
    <w:rsid w:val="00154FA6"/>
    <w:rsid w:val="0015513E"/>
    <w:rsid w:val="0015636A"/>
    <w:rsid w:val="00156CAC"/>
    <w:rsid w:val="001575C0"/>
    <w:rsid w:val="00157636"/>
    <w:rsid w:val="00160368"/>
    <w:rsid w:val="00162166"/>
    <w:rsid w:val="0016227C"/>
    <w:rsid w:val="001622C2"/>
    <w:rsid w:val="001637E8"/>
    <w:rsid w:val="00163BA7"/>
    <w:rsid w:val="0016415B"/>
    <w:rsid w:val="00164210"/>
    <w:rsid w:val="00164730"/>
    <w:rsid w:val="001649D7"/>
    <w:rsid w:val="001658A1"/>
    <w:rsid w:val="001659E5"/>
    <w:rsid w:val="00166119"/>
    <w:rsid w:val="00166353"/>
    <w:rsid w:val="00167464"/>
    <w:rsid w:val="001678F1"/>
    <w:rsid w:val="001702B7"/>
    <w:rsid w:val="00171C0A"/>
    <w:rsid w:val="0017209E"/>
    <w:rsid w:val="00172550"/>
    <w:rsid w:val="00172A3C"/>
    <w:rsid w:val="00172BCE"/>
    <w:rsid w:val="00173278"/>
    <w:rsid w:val="00173757"/>
    <w:rsid w:val="00174594"/>
    <w:rsid w:val="0017470A"/>
    <w:rsid w:val="00174A14"/>
    <w:rsid w:val="00174DC3"/>
    <w:rsid w:val="00174EAD"/>
    <w:rsid w:val="00175A61"/>
    <w:rsid w:val="00175BEC"/>
    <w:rsid w:val="00176793"/>
    <w:rsid w:val="001768CB"/>
    <w:rsid w:val="001770AA"/>
    <w:rsid w:val="001770B9"/>
    <w:rsid w:val="00177ACE"/>
    <w:rsid w:val="0018031A"/>
    <w:rsid w:val="001817F2"/>
    <w:rsid w:val="001825AE"/>
    <w:rsid w:val="00183554"/>
    <w:rsid w:val="00183BEA"/>
    <w:rsid w:val="00183F69"/>
    <w:rsid w:val="00186297"/>
    <w:rsid w:val="0018646F"/>
    <w:rsid w:val="001866FD"/>
    <w:rsid w:val="00186B5C"/>
    <w:rsid w:val="00187862"/>
    <w:rsid w:val="0019037B"/>
    <w:rsid w:val="00191419"/>
    <w:rsid w:val="0019167A"/>
    <w:rsid w:val="00191936"/>
    <w:rsid w:val="00191FED"/>
    <w:rsid w:val="001921D0"/>
    <w:rsid w:val="00192616"/>
    <w:rsid w:val="00192766"/>
    <w:rsid w:val="00192917"/>
    <w:rsid w:val="00193497"/>
    <w:rsid w:val="001951C2"/>
    <w:rsid w:val="00195830"/>
    <w:rsid w:val="001969A8"/>
    <w:rsid w:val="00196A72"/>
    <w:rsid w:val="0019737F"/>
    <w:rsid w:val="00197D09"/>
    <w:rsid w:val="001A2151"/>
    <w:rsid w:val="001A3725"/>
    <w:rsid w:val="001A4130"/>
    <w:rsid w:val="001A4667"/>
    <w:rsid w:val="001A4E38"/>
    <w:rsid w:val="001A538B"/>
    <w:rsid w:val="001A6062"/>
    <w:rsid w:val="001A650B"/>
    <w:rsid w:val="001A654C"/>
    <w:rsid w:val="001A7AC9"/>
    <w:rsid w:val="001B0105"/>
    <w:rsid w:val="001B0292"/>
    <w:rsid w:val="001B0A37"/>
    <w:rsid w:val="001B0AC7"/>
    <w:rsid w:val="001B113A"/>
    <w:rsid w:val="001B24E3"/>
    <w:rsid w:val="001B442B"/>
    <w:rsid w:val="001B51F1"/>
    <w:rsid w:val="001B5465"/>
    <w:rsid w:val="001B56A3"/>
    <w:rsid w:val="001B5B69"/>
    <w:rsid w:val="001B6149"/>
    <w:rsid w:val="001B6600"/>
    <w:rsid w:val="001B6C0C"/>
    <w:rsid w:val="001C00DA"/>
    <w:rsid w:val="001C12A8"/>
    <w:rsid w:val="001C1A01"/>
    <w:rsid w:val="001C236B"/>
    <w:rsid w:val="001C26DB"/>
    <w:rsid w:val="001C274F"/>
    <w:rsid w:val="001C2816"/>
    <w:rsid w:val="001C354D"/>
    <w:rsid w:val="001C4540"/>
    <w:rsid w:val="001C470A"/>
    <w:rsid w:val="001C4996"/>
    <w:rsid w:val="001C4FAC"/>
    <w:rsid w:val="001C529F"/>
    <w:rsid w:val="001C5A05"/>
    <w:rsid w:val="001C5D8E"/>
    <w:rsid w:val="001C6312"/>
    <w:rsid w:val="001C6DE0"/>
    <w:rsid w:val="001C74D5"/>
    <w:rsid w:val="001D0D54"/>
    <w:rsid w:val="001D1087"/>
    <w:rsid w:val="001D130B"/>
    <w:rsid w:val="001D17EC"/>
    <w:rsid w:val="001D1CA3"/>
    <w:rsid w:val="001D3449"/>
    <w:rsid w:val="001D373A"/>
    <w:rsid w:val="001D39F6"/>
    <w:rsid w:val="001D3B75"/>
    <w:rsid w:val="001D4893"/>
    <w:rsid w:val="001D4D00"/>
    <w:rsid w:val="001D5277"/>
    <w:rsid w:val="001D5405"/>
    <w:rsid w:val="001D6BEC"/>
    <w:rsid w:val="001D6BF3"/>
    <w:rsid w:val="001D71A1"/>
    <w:rsid w:val="001D7453"/>
    <w:rsid w:val="001D75E0"/>
    <w:rsid w:val="001E087C"/>
    <w:rsid w:val="001E146D"/>
    <w:rsid w:val="001E1C5D"/>
    <w:rsid w:val="001E345F"/>
    <w:rsid w:val="001E38EE"/>
    <w:rsid w:val="001E4678"/>
    <w:rsid w:val="001E4D45"/>
    <w:rsid w:val="001E4FF5"/>
    <w:rsid w:val="001E5280"/>
    <w:rsid w:val="001E52CB"/>
    <w:rsid w:val="001E5473"/>
    <w:rsid w:val="001E565D"/>
    <w:rsid w:val="001E589C"/>
    <w:rsid w:val="001E5B7E"/>
    <w:rsid w:val="001E5ED3"/>
    <w:rsid w:val="001E6C21"/>
    <w:rsid w:val="001E72F4"/>
    <w:rsid w:val="001E7694"/>
    <w:rsid w:val="001E7EEB"/>
    <w:rsid w:val="001F0599"/>
    <w:rsid w:val="001F1C8F"/>
    <w:rsid w:val="001F21EE"/>
    <w:rsid w:val="001F2A7D"/>
    <w:rsid w:val="001F2F5D"/>
    <w:rsid w:val="001F4241"/>
    <w:rsid w:val="001F4B6D"/>
    <w:rsid w:val="001F4BBA"/>
    <w:rsid w:val="001F5247"/>
    <w:rsid w:val="001F550D"/>
    <w:rsid w:val="001F559D"/>
    <w:rsid w:val="001F595D"/>
    <w:rsid w:val="001F5D8B"/>
    <w:rsid w:val="001F6752"/>
    <w:rsid w:val="001F6A30"/>
    <w:rsid w:val="001F755C"/>
    <w:rsid w:val="001F783F"/>
    <w:rsid w:val="00200BDB"/>
    <w:rsid w:val="00200E3C"/>
    <w:rsid w:val="00200FAF"/>
    <w:rsid w:val="002011DF"/>
    <w:rsid w:val="00201D72"/>
    <w:rsid w:val="00201E61"/>
    <w:rsid w:val="00202615"/>
    <w:rsid w:val="002027DA"/>
    <w:rsid w:val="00204FD9"/>
    <w:rsid w:val="0020509B"/>
    <w:rsid w:val="00207438"/>
    <w:rsid w:val="00207B7D"/>
    <w:rsid w:val="00207E1B"/>
    <w:rsid w:val="002101D0"/>
    <w:rsid w:val="00210321"/>
    <w:rsid w:val="00210435"/>
    <w:rsid w:val="00210640"/>
    <w:rsid w:val="002120DD"/>
    <w:rsid w:val="002125FD"/>
    <w:rsid w:val="00212A44"/>
    <w:rsid w:val="00212AFD"/>
    <w:rsid w:val="002150FE"/>
    <w:rsid w:val="002157A9"/>
    <w:rsid w:val="002157CD"/>
    <w:rsid w:val="00216855"/>
    <w:rsid w:val="00216EB6"/>
    <w:rsid w:val="002178FB"/>
    <w:rsid w:val="00217C35"/>
    <w:rsid w:val="00217DBF"/>
    <w:rsid w:val="00220F8A"/>
    <w:rsid w:val="002211D8"/>
    <w:rsid w:val="0022248B"/>
    <w:rsid w:val="00222558"/>
    <w:rsid w:val="002227A1"/>
    <w:rsid w:val="00222B0B"/>
    <w:rsid w:val="002231EF"/>
    <w:rsid w:val="0022459B"/>
    <w:rsid w:val="00225149"/>
    <w:rsid w:val="00226466"/>
    <w:rsid w:val="00227BCD"/>
    <w:rsid w:val="00227D48"/>
    <w:rsid w:val="002303C8"/>
    <w:rsid w:val="002313D4"/>
    <w:rsid w:val="00231770"/>
    <w:rsid w:val="00231C1E"/>
    <w:rsid w:val="0023280E"/>
    <w:rsid w:val="00232E98"/>
    <w:rsid w:val="00233296"/>
    <w:rsid w:val="00233C49"/>
    <w:rsid w:val="00234D12"/>
    <w:rsid w:val="002350CC"/>
    <w:rsid w:val="002355FD"/>
    <w:rsid w:val="00236415"/>
    <w:rsid w:val="002364A6"/>
    <w:rsid w:val="0023688A"/>
    <w:rsid w:val="002370FE"/>
    <w:rsid w:val="0023722F"/>
    <w:rsid w:val="00237709"/>
    <w:rsid w:val="00237EA8"/>
    <w:rsid w:val="0024027C"/>
    <w:rsid w:val="00240546"/>
    <w:rsid w:val="00240ECF"/>
    <w:rsid w:val="002412E0"/>
    <w:rsid w:val="002414A7"/>
    <w:rsid w:val="002436FD"/>
    <w:rsid w:val="00243994"/>
    <w:rsid w:val="002447E5"/>
    <w:rsid w:val="00244859"/>
    <w:rsid w:val="0024769F"/>
    <w:rsid w:val="00250B03"/>
    <w:rsid w:val="00250BB0"/>
    <w:rsid w:val="0025202A"/>
    <w:rsid w:val="00252AD9"/>
    <w:rsid w:val="00252BA2"/>
    <w:rsid w:val="00252E8A"/>
    <w:rsid w:val="00253ABA"/>
    <w:rsid w:val="0025456D"/>
    <w:rsid w:val="00254CA5"/>
    <w:rsid w:val="002552F8"/>
    <w:rsid w:val="00256050"/>
    <w:rsid w:val="00256925"/>
    <w:rsid w:val="00256AD9"/>
    <w:rsid w:val="00256BB1"/>
    <w:rsid w:val="00256C4A"/>
    <w:rsid w:val="00256C88"/>
    <w:rsid w:val="00256CD0"/>
    <w:rsid w:val="00256FB8"/>
    <w:rsid w:val="00257BC6"/>
    <w:rsid w:val="00257D1A"/>
    <w:rsid w:val="0026001E"/>
    <w:rsid w:val="0026009D"/>
    <w:rsid w:val="002606B6"/>
    <w:rsid w:val="00260F67"/>
    <w:rsid w:val="00261088"/>
    <w:rsid w:val="00261C08"/>
    <w:rsid w:val="00261E36"/>
    <w:rsid w:val="0026225A"/>
    <w:rsid w:val="00262E1F"/>
    <w:rsid w:val="00263A8E"/>
    <w:rsid w:val="00263E83"/>
    <w:rsid w:val="00264218"/>
    <w:rsid w:val="002644B9"/>
    <w:rsid w:val="002646BA"/>
    <w:rsid w:val="00264962"/>
    <w:rsid w:val="002651EF"/>
    <w:rsid w:val="002665D5"/>
    <w:rsid w:val="00266A6D"/>
    <w:rsid w:val="00266B62"/>
    <w:rsid w:val="00266FC6"/>
    <w:rsid w:val="00267740"/>
    <w:rsid w:val="0027021A"/>
    <w:rsid w:val="00270ECD"/>
    <w:rsid w:val="0027160C"/>
    <w:rsid w:val="00272008"/>
    <w:rsid w:val="002721C2"/>
    <w:rsid w:val="002723A1"/>
    <w:rsid w:val="002727B9"/>
    <w:rsid w:val="00272D40"/>
    <w:rsid w:val="002732A1"/>
    <w:rsid w:val="002740D0"/>
    <w:rsid w:val="0027492C"/>
    <w:rsid w:val="00274E46"/>
    <w:rsid w:val="002756BA"/>
    <w:rsid w:val="00275C81"/>
    <w:rsid w:val="00276CA6"/>
    <w:rsid w:val="0027763C"/>
    <w:rsid w:val="00277C69"/>
    <w:rsid w:val="002811D3"/>
    <w:rsid w:val="002812D1"/>
    <w:rsid w:val="00281912"/>
    <w:rsid w:val="00281B00"/>
    <w:rsid w:val="00281EF3"/>
    <w:rsid w:val="002830BE"/>
    <w:rsid w:val="0028376C"/>
    <w:rsid w:val="002839AA"/>
    <w:rsid w:val="002839CC"/>
    <w:rsid w:val="00283C15"/>
    <w:rsid w:val="002842E7"/>
    <w:rsid w:val="002859C6"/>
    <w:rsid w:val="0028638B"/>
    <w:rsid w:val="002864FC"/>
    <w:rsid w:val="002876F7"/>
    <w:rsid w:val="00291D15"/>
    <w:rsid w:val="00292FC1"/>
    <w:rsid w:val="002931A9"/>
    <w:rsid w:val="0029407A"/>
    <w:rsid w:val="00295462"/>
    <w:rsid w:val="00295E42"/>
    <w:rsid w:val="0029676B"/>
    <w:rsid w:val="002967DA"/>
    <w:rsid w:val="002968CA"/>
    <w:rsid w:val="002969EF"/>
    <w:rsid w:val="002978F2"/>
    <w:rsid w:val="00297BC0"/>
    <w:rsid w:val="00297BD4"/>
    <w:rsid w:val="00297DD2"/>
    <w:rsid w:val="00297FD8"/>
    <w:rsid w:val="002A0EC1"/>
    <w:rsid w:val="002A1E84"/>
    <w:rsid w:val="002A203D"/>
    <w:rsid w:val="002A32CC"/>
    <w:rsid w:val="002A335E"/>
    <w:rsid w:val="002A37C4"/>
    <w:rsid w:val="002A4747"/>
    <w:rsid w:val="002A4791"/>
    <w:rsid w:val="002A5A62"/>
    <w:rsid w:val="002A5F9F"/>
    <w:rsid w:val="002A63B3"/>
    <w:rsid w:val="002A730F"/>
    <w:rsid w:val="002B0CC4"/>
    <w:rsid w:val="002B0E05"/>
    <w:rsid w:val="002B1045"/>
    <w:rsid w:val="002B1BCF"/>
    <w:rsid w:val="002B271D"/>
    <w:rsid w:val="002B2F41"/>
    <w:rsid w:val="002B367D"/>
    <w:rsid w:val="002B39CD"/>
    <w:rsid w:val="002B4DE1"/>
    <w:rsid w:val="002B5024"/>
    <w:rsid w:val="002B5976"/>
    <w:rsid w:val="002B5BB6"/>
    <w:rsid w:val="002B5E89"/>
    <w:rsid w:val="002B6082"/>
    <w:rsid w:val="002B6684"/>
    <w:rsid w:val="002C02EE"/>
    <w:rsid w:val="002C05B6"/>
    <w:rsid w:val="002C0875"/>
    <w:rsid w:val="002C1E39"/>
    <w:rsid w:val="002C21F8"/>
    <w:rsid w:val="002C225D"/>
    <w:rsid w:val="002C36F5"/>
    <w:rsid w:val="002C4191"/>
    <w:rsid w:val="002C50EF"/>
    <w:rsid w:val="002C516F"/>
    <w:rsid w:val="002C52DC"/>
    <w:rsid w:val="002C5DAD"/>
    <w:rsid w:val="002C5DE1"/>
    <w:rsid w:val="002C5FF7"/>
    <w:rsid w:val="002C62E1"/>
    <w:rsid w:val="002C6C59"/>
    <w:rsid w:val="002D0361"/>
    <w:rsid w:val="002D0A58"/>
    <w:rsid w:val="002D0AEB"/>
    <w:rsid w:val="002D1ABC"/>
    <w:rsid w:val="002D2319"/>
    <w:rsid w:val="002D2F2D"/>
    <w:rsid w:val="002D35AB"/>
    <w:rsid w:val="002D362E"/>
    <w:rsid w:val="002D42AA"/>
    <w:rsid w:val="002D5288"/>
    <w:rsid w:val="002D5A34"/>
    <w:rsid w:val="002D5A53"/>
    <w:rsid w:val="002D5E27"/>
    <w:rsid w:val="002D5F18"/>
    <w:rsid w:val="002D6008"/>
    <w:rsid w:val="002D6DB8"/>
    <w:rsid w:val="002D6E76"/>
    <w:rsid w:val="002D6F32"/>
    <w:rsid w:val="002D73B7"/>
    <w:rsid w:val="002D75CA"/>
    <w:rsid w:val="002E1921"/>
    <w:rsid w:val="002E1A9D"/>
    <w:rsid w:val="002E1FB7"/>
    <w:rsid w:val="002E21D3"/>
    <w:rsid w:val="002E24D1"/>
    <w:rsid w:val="002E2505"/>
    <w:rsid w:val="002E27DC"/>
    <w:rsid w:val="002E3858"/>
    <w:rsid w:val="002E4189"/>
    <w:rsid w:val="002E42E7"/>
    <w:rsid w:val="002E456A"/>
    <w:rsid w:val="002E4ED7"/>
    <w:rsid w:val="002E523E"/>
    <w:rsid w:val="002E52E0"/>
    <w:rsid w:val="002E5499"/>
    <w:rsid w:val="002E6AD8"/>
    <w:rsid w:val="002E6FBA"/>
    <w:rsid w:val="002E7F22"/>
    <w:rsid w:val="002F0121"/>
    <w:rsid w:val="002F03EA"/>
    <w:rsid w:val="002F04B9"/>
    <w:rsid w:val="002F085D"/>
    <w:rsid w:val="002F0AAE"/>
    <w:rsid w:val="002F0CD5"/>
    <w:rsid w:val="002F13D8"/>
    <w:rsid w:val="002F1AD5"/>
    <w:rsid w:val="002F2309"/>
    <w:rsid w:val="002F2820"/>
    <w:rsid w:val="002F2950"/>
    <w:rsid w:val="002F2B5F"/>
    <w:rsid w:val="002F3173"/>
    <w:rsid w:val="002F34E2"/>
    <w:rsid w:val="002F3FA5"/>
    <w:rsid w:val="002F47DB"/>
    <w:rsid w:val="002F4BDC"/>
    <w:rsid w:val="002F52F1"/>
    <w:rsid w:val="002F550B"/>
    <w:rsid w:val="002F5C79"/>
    <w:rsid w:val="002F7336"/>
    <w:rsid w:val="002F7626"/>
    <w:rsid w:val="002F78BB"/>
    <w:rsid w:val="00300EC3"/>
    <w:rsid w:val="00300FC3"/>
    <w:rsid w:val="003023EF"/>
    <w:rsid w:val="00302900"/>
    <w:rsid w:val="00302E42"/>
    <w:rsid w:val="00303629"/>
    <w:rsid w:val="00303AE4"/>
    <w:rsid w:val="00303D0E"/>
    <w:rsid w:val="00303DFF"/>
    <w:rsid w:val="00304B4E"/>
    <w:rsid w:val="00304C65"/>
    <w:rsid w:val="00304D48"/>
    <w:rsid w:val="00305274"/>
    <w:rsid w:val="0030600C"/>
    <w:rsid w:val="00306BAF"/>
    <w:rsid w:val="0030714B"/>
    <w:rsid w:val="003073BE"/>
    <w:rsid w:val="00307625"/>
    <w:rsid w:val="00307C3D"/>
    <w:rsid w:val="00307E1C"/>
    <w:rsid w:val="003100ED"/>
    <w:rsid w:val="00310FC1"/>
    <w:rsid w:val="003114B5"/>
    <w:rsid w:val="00311940"/>
    <w:rsid w:val="003119C8"/>
    <w:rsid w:val="00311DF6"/>
    <w:rsid w:val="00311EE1"/>
    <w:rsid w:val="003121AF"/>
    <w:rsid w:val="003121F8"/>
    <w:rsid w:val="0031220B"/>
    <w:rsid w:val="003122B2"/>
    <w:rsid w:val="003124BD"/>
    <w:rsid w:val="0031263F"/>
    <w:rsid w:val="00312828"/>
    <w:rsid w:val="00312C7F"/>
    <w:rsid w:val="00312E67"/>
    <w:rsid w:val="0031395C"/>
    <w:rsid w:val="00313ACB"/>
    <w:rsid w:val="00313F4B"/>
    <w:rsid w:val="00314A33"/>
    <w:rsid w:val="00314A8B"/>
    <w:rsid w:val="00314B6B"/>
    <w:rsid w:val="00314B97"/>
    <w:rsid w:val="00315372"/>
    <w:rsid w:val="00315437"/>
    <w:rsid w:val="00315861"/>
    <w:rsid w:val="0031654A"/>
    <w:rsid w:val="00316632"/>
    <w:rsid w:val="00316E81"/>
    <w:rsid w:val="00317AF5"/>
    <w:rsid w:val="00317BD5"/>
    <w:rsid w:val="00317F63"/>
    <w:rsid w:val="00320045"/>
    <w:rsid w:val="00320F5E"/>
    <w:rsid w:val="00321D7D"/>
    <w:rsid w:val="0032227B"/>
    <w:rsid w:val="00322B82"/>
    <w:rsid w:val="00323328"/>
    <w:rsid w:val="00323F32"/>
    <w:rsid w:val="00324089"/>
    <w:rsid w:val="00324652"/>
    <w:rsid w:val="003249E3"/>
    <w:rsid w:val="00324BB9"/>
    <w:rsid w:val="00324BE7"/>
    <w:rsid w:val="00324F5A"/>
    <w:rsid w:val="00325ADD"/>
    <w:rsid w:val="00325B70"/>
    <w:rsid w:val="00325BBF"/>
    <w:rsid w:val="003260EE"/>
    <w:rsid w:val="00326357"/>
    <w:rsid w:val="003273FE"/>
    <w:rsid w:val="00327BD8"/>
    <w:rsid w:val="00327E33"/>
    <w:rsid w:val="003305BC"/>
    <w:rsid w:val="00330C2D"/>
    <w:rsid w:val="00330E6C"/>
    <w:rsid w:val="00331188"/>
    <w:rsid w:val="00331642"/>
    <w:rsid w:val="003317BC"/>
    <w:rsid w:val="00332104"/>
    <w:rsid w:val="003326F0"/>
    <w:rsid w:val="0033271F"/>
    <w:rsid w:val="0033316F"/>
    <w:rsid w:val="00333286"/>
    <w:rsid w:val="00334754"/>
    <w:rsid w:val="003356B9"/>
    <w:rsid w:val="003359FB"/>
    <w:rsid w:val="00335C81"/>
    <w:rsid w:val="00336CCC"/>
    <w:rsid w:val="00337386"/>
    <w:rsid w:val="0033794C"/>
    <w:rsid w:val="00337E09"/>
    <w:rsid w:val="00340CFC"/>
    <w:rsid w:val="00340DA9"/>
    <w:rsid w:val="003415C3"/>
    <w:rsid w:val="00342490"/>
    <w:rsid w:val="003427D8"/>
    <w:rsid w:val="003439A2"/>
    <w:rsid w:val="00344686"/>
    <w:rsid w:val="00344703"/>
    <w:rsid w:val="00345BD1"/>
    <w:rsid w:val="00345D7C"/>
    <w:rsid w:val="003462A8"/>
    <w:rsid w:val="003468D9"/>
    <w:rsid w:val="00346FB8"/>
    <w:rsid w:val="003471CB"/>
    <w:rsid w:val="003476ED"/>
    <w:rsid w:val="00350348"/>
    <w:rsid w:val="0035175F"/>
    <w:rsid w:val="00351EA8"/>
    <w:rsid w:val="0035200C"/>
    <w:rsid w:val="00352DA2"/>
    <w:rsid w:val="0035357C"/>
    <w:rsid w:val="00353E98"/>
    <w:rsid w:val="003540E3"/>
    <w:rsid w:val="0035413F"/>
    <w:rsid w:val="0035457E"/>
    <w:rsid w:val="00354B4F"/>
    <w:rsid w:val="003551B2"/>
    <w:rsid w:val="0035597E"/>
    <w:rsid w:val="00355D38"/>
    <w:rsid w:val="003565B5"/>
    <w:rsid w:val="003565FB"/>
    <w:rsid w:val="00356A9F"/>
    <w:rsid w:val="003578CA"/>
    <w:rsid w:val="003579DA"/>
    <w:rsid w:val="00357A0C"/>
    <w:rsid w:val="00360669"/>
    <w:rsid w:val="0036072A"/>
    <w:rsid w:val="00360854"/>
    <w:rsid w:val="00361444"/>
    <w:rsid w:val="00361E2B"/>
    <w:rsid w:val="00361FA9"/>
    <w:rsid w:val="00362D88"/>
    <w:rsid w:val="00362E83"/>
    <w:rsid w:val="0036327A"/>
    <w:rsid w:val="0036333E"/>
    <w:rsid w:val="00363418"/>
    <w:rsid w:val="003639D1"/>
    <w:rsid w:val="00363B81"/>
    <w:rsid w:val="003642DA"/>
    <w:rsid w:val="00364813"/>
    <w:rsid w:val="00364A2A"/>
    <w:rsid w:val="00365338"/>
    <w:rsid w:val="003656E2"/>
    <w:rsid w:val="00365A29"/>
    <w:rsid w:val="00365A41"/>
    <w:rsid w:val="00366D7C"/>
    <w:rsid w:val="00367140"/>
    <w:rsid w:val="003675C8"/>
    <w:rsid w:val="0037093F"/>
    <w:rsid w:val="00370B1B"/>
    <w:rsid w:val="00371024"/>
    <w:rsid w:val="00374828"/>
    <w:rsid w:val="00375979"/>
    <w:rsid w:val="00375EA0"/>
    <w:rsid w:val="00375F16"/>
    <w:rsid w:val="00377091"/>
    <w:rsid w:val="00377F7A"/>
    <w:rsid w:val="003804FA"/>
    <w:rsid w:val="003807CF"/>
    <w:rsid w:val="0038209A"/>
    <w:rsid w:val="00382A50"/>
    <w:rsid w:val="00383541"/>
    <w:rsid w:val="00383E85"/>
    <w:rsid w:val="003845B6"/>
    <w:rsid w:val="0038506C"/>
    <w:rsid w:val="00385515"/>
    <w:rsid w:val="00385D21"/>
    <w:rsid w:val="00385FC2"/>
    <w:rsid w:val="003861EE"/>
    <w:rsid w:val="00386374"/>
    <w:rsid w:val="00386DD2"/>
    <w:rsid w:val="0038745B"/>
    <w:rsid w:val="00387AA6"/>
    <w:rsid w:val="00390117"/>
    <w:rsid w:val="003902FA"/>
    <w:rsid w:val="0039064B"/>
    <w:rsid w:val="00390DFC"/>
    <w:rsid w:val="00391094"/>
    <w:rsid w:val="00391113"/>
    <w:rsid w:val="003913FB"/>
    <w:rsid w:val="00391D24"/>
    <w:rsid w:val="00391E24"/>
    <w:rsid w:val="00391E7F"/>
    <w:rsid w:val="00391E80"/>
    <w:rsid w:val="003926C3"/>
    <w:rsid w:val="00392BC1"/>
    <w:rsid w:val="0039448D"/>
    <w:rsid w:val="00394896"/>
    <w:rsid w:val="0039492C"/>
    <w:rsid w:val="00394D27"/>
    <w:rsid w:val="00395E8D"/>
    <w:rsid w:val="0039664D"/>
    <w:rsid w:val="003967D9"/>
    <w:rsid w:val="0039689A"/>
    <w:rsid w:val="00397DA9"/>
    <w:rsid w:val="003A0227"/>
    <w:rsid w:val="003A02FF"/>
    <w:rsid w:val="003A0539"/>
    <w:rsid w:val="003A2391"/>
    <w:rsid w:val="003A2866"/>
    <w:rsid w:val="003A43D3"/>
    <w:rsid w:val="003A4C80"/>
    <w:rsid w:val="003A530B"/>
    <w:rsid w:val="003A6426"/>
    <w:rsid w:val="003A6611"/>
    <w:rsid w:val="003A67CB"/>
    <w:rsid w:val="003A6B54"/>
    <w:rsid w:val="003A7245"/>
    <w:rsid w:val="003A74B6"/>
    <w:rsid w:val="003A7D0C"/>
    <w:rsid w:val="003A7DD1"/>
    <w:rsid w:val="003B07D2"/>
    <w:rsid w:val="003B09EA"/>
    <w:rsid w:val="003B13C3"/>
    <w:rsid w:val="003B169E"/>
    <w:rsid w:val="003B17DA"/>
    <w:rsid w:val="003B188F"/>
    <w:rsid w:val="003B19C9"/>
    <w:rsid w:val="003B1F34"/>
    <w:rsid w:val="003B2971"/>
    <w:rsid w:val="003B3514"/>
    <w:rsid w:val="003B3699"/>
    <w:rsid w:val="003B3AEC"/>
    <w:rsid w:val="003B3F63"/>
    <w:rsid w:val="003B50ED"/>
    <w:rsid w:val="003B5615"/>
    <w:rsid w:val="003B5CB2"/>
    <w:rsid w:val="003B61A0"/>
    <w:rsid w:val="003B65C1"/>
    <w:rsid w:val="003B6BAE"/>
    <w:rsid w:val="003B73E4"/>
    <w:rsid w:val="003C064E"/>
    <w:rsid w:val="003C06BC"/>
    <w:rsid w:val="003C0F5B"/>
    <w:rsid w:val="003C14F9"/>
    <w:rsid w:val="003C1FB5"/>
    <w:rsid w:val="003C22A1"/>
    <w:rsid w:val="003C2553"/>
    <w:rsid w:val="003C25CA"/>
    <w:rsid w:val="003C26AF"/>
    <w:rsid w:val="003C27DA"/>
    <w:rsid w:val="003C3139"/>
    <w:rsid w:val="003C3145"/>
    <w:rsid w:val="003C39BE"/>
    <w:rsid w:val="003C45F4"/>
    <w:rsid w:val="003C7438"/>
    <w:rsid w:val="003C796C"/>
    <w:rsid w:val="003D03E8"/>
    <w:rsid w:val="003D0CFC"/>
    <w:rsid w:val="003D12B8"/>
    <w:rsid w:val="003D181D"/>
    <w:rsid w:val="003D24EB"/>
    <w:rsid w:val="003D2B95"/>
    <w:rsid w:val="003D3289"/>
    <w:rsid w:val="003D4840"/>
    <w:rsid w:val="003D560B"/>
    <w:rsid w:val="003D692D"/>
    <w:rsid w:val="003D6D02"/>
    <w:rsid w:val="003D7192"/>
    <w:rsid w:val="003D722E"/>
    <w:rsid w:val="003D7CD2"/>
    <w:rsid w:val="003E02A1"/>
    <w:rsid w:val="003E0442"/>
    <w:rsid w:val="003E1707"/>
    <w:rsid w:val="003E173C"/>
    <w:rsid w:val="003E2225"/>
    <w:rsid w:val="003E2425"/>
    <w:rsid w:val="003E263C"/>
    <w:rsid w:val="003E2A90"/>
    <w:rsid w:val="003E2FB6"/>
    <w:rsid w:val="003E34B2"/>
    <w:rsid w:val="003E410E"/>
    <w:rsid w:val="003E4203"/>
    <w:rsid w:val="003E5077"/>
    <w:rsid w:val="003E5424"/>
    <w:rsid w:val="003E547D"/>
    <w:rsid w:val="003E5FB3"/>
    <w:rsid w:val="003E6B0E"/>
    <w:rsid w:val="003E77BF"/>
    <w:rsid w:val="003E7BC7"/>
    <w:rsid w:val="003E7FFE"/>
    <w:rsid w:val="003F071C"/>
    <w:rsid w:val="003F07E0"/>
    <w:rsid w:val="003F11BF"/>
    <w:rsid w:val="003F1487"/>
    <w:rsid w:val="003F14A0"/>
    <w:rsid w:val="003F1DC4"/>
    <w:rsid w:val="003F3522"/>
    <w:rsid w:val="003F39EB"/>
    <w:rsid w:val="003F403A"/>
    <w:rsid w:val="003F428F"/>
    <w:rsid w:val="003F4335"/>
    <w:rsid w:val="003F462D"/>
    <w:rsid w:val="003F592F"/>
    <w:rsid w:val="003F5C80"/>
    <w:rsid w:val="003F5D99"/>
    <w:rsid w:val="003F6211"/>
    <w:rsid w:val="003F651A"/>
    <w:rsid w:val="003F6B83"/>
    <w:rsid w:val="003F6E24"/>
    <w:rsid w:val="003F797E"/>
    <w:rsid w:val="003F7BD1"/>
    <w:rsid w:val="003F7CFA"/>
    <w:rsid w:val="003F7D80"/>
    <w:rsid w:val="003F7EDA"/>
    <w:rsid w:val="004008CE"/>
    <w:rsid w:val="00401020"/>
    <w:rsid w:val="00401942"/>
    <w:rsid w:val="00401E70"/>
    <w:rsid w:val="004027B7"/>
    <w:rsid w:val="00404230"/>
    <w:rsid w:val="004047D9"/>
    <w:rsid w:val="0040504E"/>
    <w:rsid w:val="00405452"/>
    <w:rsid w:val="00406A90"/>
    <w:rsid w:val="00406D8C"/>
    <w:rsid w:val="0040744A"/>
    <w:rsid w:val="00407C17"/>
    <w:rsid w:val="004100AA"/>
    <w:rsid w:val="00411C7E"/>
    <w:rsid w:val="00411F69"/>
    <w:rsid w:val="00412227"/>
    <w:rsid w:val="00412499"/>
    <w:rsid w:val="00414221"/>
    <w:rsid w:val="004143E1"/>
    <w:rsid w:val="00414E5A"/>
    <w:rsid w:val="00415B09"/>
    <w:rsid w:val="00415F6D"/>
    <w:rsid w:val="00416449"/>
    <w:rsid w:val="0041716A"/>
    <w:rsid w:val="004173CC"/>
    <w:rsid w:val="00417C42"/>
    <w:rsid w:val="00420567"/>
    <w:rsid w:val="00420B7B"/>
    <w:rsid w:val="004217E9"/>
    <w:rsid w:val="004218F6"/>
    <w:rsid w:val="00421A93"/>
    <w:rsid w:val="00421B5F"/>
    <w:rsid w:val="00422B65"/>
    <w:rsid w:val="00422E27"/>
    <w:rsid w:val="004236C3"/>
    <w:rsid w:val="00423CD8"/>
    <w:rsid w:val="00424BB4"/>
    <w:rsid w:val="0042508C"/>
    <w:rsid w:val="004259CB"/>
    <w:rsid w:val="00425A7C"/>
    <w:rsid w:val="00425ECB"/>
    <w:rsid w:val="004268E9"/>
    <w:rsid w:val="0042782C"/>
    <w:rsid w:val="00427BD1"/>
    <w:rsid w:val="00427CE1"/>
    <w:rsid w:val="0043054F"/>
    <w:rsid w:val="00430702"/>
    <w:rsid w:val="00431656"/>
    <w:rsid w:val="004328E6"/>
    <w:rsid w:val="004334FC"/>
    <w:rsid w:val="004338A6"/>
    <w:rsid w:val="004338C3"/>
    <w:rsid w:val="00433C29"/>
    <w:rsid w:val="004348BE"/>
    <w:rsid w:val="00435022"/>
    <w:rsid w:val="0043542F"/>
    <w:rsid w:val="004357AA"/>
    <w:rsid w:val="00435806"/>
    <w:rsid w:val="00435B4C"/>
    <w:rsid w:val="00435B95"/>
    <w:rsid w:val="004369E8"/>
    <w:rsid w:val="004377DF"/>
    <w:rsid w:val="00437996"/>
    <w:rsid w:val="0044002E"/>
    <w:rsid w:val="0044053B"/>
    <w:rsid w:val="00440CAD"/>
    <w:rsid w:val="00441F03"/>
    <w:rsid w:val="0044216B"/>
    <w:rsid w:val="004432E6"/>
    <w:rsid w:val="00443AE7"/>
    <w:rsid w:val="00443B26"/>
    <w:rsid w:val="0044443E"/>
    <w:rsid w:val="00444BF4"/>
    <w:rsid w:val="004457D2"/>
    <w:rsid w:val="0044586A"/>
    <w:rsid w:val="00445A97"/>
    <w:rsid w:val="00445CC2"/>
    <w:rsid w:val="0044611F"/>
    <w:rsid w:val="00447737"/>
    <w:rsid w:val="00450004"/>
    <w:rsid w:val="00450080"/>
    <w:rsid w:val="00450087"/>
    <w:rsid w:val="00450132"/>
    <w:rsid w:val="0045085C"/>
    <w:rsid w:val="00450E42"/>
    <w:rsid w:val="00450F19"/>
    <w:rsid w:val="00452424"/>
    <w:rsid w:val="0045304C"/>
    <w:rsid w:val="0045397B"/>
    <w:rsid w:val="00454049"/>
    <w:rsid w:val="00454764"/>
    <w:rsid w:val="00454F31"/>
    <w:rsid w:val="00455033"/>
    <w:rsid w:val="0045504D"/>
    <w:rsid w:val="004579E9"/>
    <w:rsid w:val="00457AE2"/>
    <w:rsid w:val="004602A0"/>
    <w:rsid w:val="004607EA"/>
    <w:rsid w:val="004615FA"/>
    <w:rsid w:val="00461F84"/>
    <w:rsid w:val="00463293"/>
    <w:rsid w:val="00463635"/>
    <w:rsid w:val="00463638"/>
    <w:rsid w:val="00463B8C"/>
    <w:rsid w:val="00465DCF"/>
    <w:rsid w:val="00465F62"/>
    <w:rsid w:val="00467027"/>
    <w:rsid w:val="0046790F"/>
    <w:rsid w:val="00467A5D"/>
    <w:rsid w:val="00467A7C"/>
    <w:rsid w:val="00467B6D"/>
    <w:rsid w:val="004700AB"/>
    <w:rsid w:val="00471420"/>
    <w:rsid w:val="0047188D"/>
    <w:rsid w:val="00471AC2"/>
    <w:rsid w:val="0047286D"/>
    <w:rsid w:val="0047324D"/>
    <w:rsid w:val="00473626"/>
    <w:rsid w:val="004740D4"/>
    <w:rsid w:val="00474553"/>
    <w:rsid w:val="00475345"/>
    <w:rsid w:val="004758B7"/>
    <w:rsid w:val="00476689"/>
    <w:rsid w:val="00477690"/>
    <w:rsid w:val="0048063C"/>
    <w:rsid w:val="004812FA"/>
    <w:rsid w:val="00481CB0"/>
    <w:rsid w:val="00481FD3"/>
    <w:rsid w:val="00483A0A"/>
    <w:rsid w:val="00485106"/>
    <w:rsid w:val="004873FD"/>
    <w:rsid w:val="00487C0B"/>
    <w:rsid w:val="00487CD6"/>
    <w:rsid w:val="004907DD"/>
    <w:rsid w:val="00490B6F"/>
    <w:rsid w:val="004913CF"/>
    <w:rsid w:val="00491CCC"/>
    <w:rsid w:val="00491EDC"/>
    <w:rsid w:val="0049204C"/>
    <w:rsid w:val="00492DD0"/>
    <w:rsid w:val="004937FB"/>
    <w:rsid w:val="0049450F"/>
    <w:rsid w:val="004958CC"/>
    <w:rsid w:val="00495D14"/>
    <w:rsid w:val="004962AB"/>
    <w:rsid w:val="00496D81"/>
    <w:rsid w:val="0049772B"/>
    <w:rsid w:val="00497D6C"/>
    <w:rsid w:val="004A0038"/>
    <w:rsid w:val="004A016F"/>
    <w:rsid w:val="004A1170"/>
    <w:rsid w:val="004A1E2A"/>
    <w:rsid w:val="004A261A"/>
    <w:rsid w:val="004A3CAE"/>
    <w:rsid w:val="004A4800"/>
    <w:rsid w:val="004A4A3F"/>
    <w:rsid w:val="004A4FC6"/>
    <w:rsid w:val="004A55A8"/>
    <w:rsid w:val="004A55C2"/>
    <w:rsid w:val="004A59AB"/>
    <w:rsid w:val="004A621F"/>
    <w:rsid w:val="004A6274"/>
    <w:rsid w:val="004A7ABA"/>
    <w:rsid w:val="004B02D9"/>
    <w:rsid w:val="004B039A"/>
    <w:rsid w:val="004B0F9A"/>
    <w:rsid w:val="004B0FB4"/>
    <w:rsid w:val="004B1E77"/>
    <w:rsid w:val="004B28B2"/>
    <w:rsid w:val="004B2A65"/>
    <w:rsid w:val="004B2B35"/>
    <w:rsid w:val="004B2D47"/>
    <w:rsid w:val="004B2E60"/>
    <w:rsid w:val="004B2F20"/>
    <w:rsid w:val="004B3715"/>
    <w:rsid w:val="004B3743"/>
    <w:rsid w:val="004B3CB4"/>
    <w:rsid w:val="004B458A"/>
    <w:rsid w:val="004B4DFD"/>
    <w:rsid w:val="004B54FA"/>
    <w:rsid w:val="004B63EA"/>
    <w:rsid w:val="004B6C0C"/>
    <w:rsid w:val="004B7D16"/>
    <w:rsid w:val="004C14AB"/>
    <w:rsid w:val="004C18CF"/>
    <w:rsid w:val="004C1CCD"/>
    <w:rsid w:val="004C29CC"/>
    <w:rsid w:val="004C3917"/>
    <w:rsid w:val="004C3E37"/>
    <w:rsid w:val="004C4B84"/>
    <w:rsid w:val="004C4D00"/>
    <w:rsid w:val="004C52A2"/>
    <w:rsid w:val="004C5CC2"/>
    <w:rsid w:val="004C6956"/>
    <w:rsid w:val="004C6AE4"/>
    <w:rsid w:val="004C6FCE"/>
    <w:rsid w:val="004C756C"/>
    <w:rsid w:val="004C7719"/>
    <w:rsid w:val="004D038E"/>
    <w:rsid w:val="004D0627"/>
    <w:rsid w:val="004D12CF"/>
    <w:rsid w:val="004D1A73"/>
    <w:rsid w:val="004D212F"/>
    <w:rsid w:val="004D21DA"/>
    <w:rsid w:val="004D24A5"/>
    <w:rsid w:val="004D261C"/>
    <w:rsid w:val="004D2851"/>
    <w:rsid w:val="004D2BEB"/>
    <w:rsid w:val="004D2CB8"/>
    <w:rsid w:val="004D371E"/>
    <w:rsid w:val="004D3DA0"/>
    <w:rsid w:val="004D4341"/>
    <w:rsid w:val="004D4760"/>
    <w:rsid w:val="004D5495"/>
    <w:rsid w:val="004D55E0"/>
    <w:rsid w:val="004D6B28"/>
    <w:rsid w:val="004D6B30"/>
    <w:rsid w:val="004D6C21"/>
    <w:rsid w:val="004D6F52"/>
    <w:rsid w:val="004E1467"/>
    <w:rsid w:val="004E2220"/>
    <w:rsid w:val="004E23D6"/>
    <w:rsid w:val="004E331D"/>
    <w:rsid w:val="004E5009"/>
    <w:rsid w:val="004E51D6"/>
    <w:rsid w:val="004E556A"/>
    <w:rsid w:val="004E593C"/>
    <w:rsid w:val="004E5DAE"/>
    <w:rsid w:val="004E5DF2"/>
    <w:rsid w:val="004E6022"/>
    <w:rsid w:val="004E6231"/>
    <w:rsid w:val="004E7252"/>
    <w:rsid w:val="004F0186"/>
    <w:rsid w:val="004F048B"/>
    <w:rsid w:val="004F0711"/>
    <w:rsid w:val="004F09F8"/>
    <w:rsid w:val="004F0E0C"/>
    <w:rsid w:val="004F164C"/>
    <w:rsid w:val="004F2342"/>
    <w:rsid w:val="004F28DB"/>
    <w:rsid w:val="004F29FE"/>
    <w:rsid w:val="004F2DF9"/>
    <w:rsid w:val="004F2E52"/>
    <w:rsid w:val="004F39C4"/>
    <w:rsid w:val="004F3AE8"/>
    <w:rsid w:val="004F3F78"/>
    <w:rsid w:val="004F49D4"/>
    <w:rsid w:val="004F502A"/>
    <w:rsid w:val="004F507B"/>
    <w:rsid w:val="004F54C8"/>
    <w:rsid w:val="004F54DC"/>
    <w:rsid w:val="004F55C9"/>
    <w:rsid w:val="004F627A"/>
    <w:rsid w:val="004F7012"/>
    <w:rsid w:val="004F7F57"/>
    <w:rsid w:val="00500050"/>
    <w:rsid w:val="0050078B"/>
    <w:rsid w:val="005007DF"/>
    <w:rsid w:val="00500820"/>
    <w:rsid w:val="00501014"/>
    <w:rsid w:val="00503084"/>
    <w:rsid w:val="005030A1"/>
    <w:rsid w:val="00503479"/>
    <w:rsid w:val="00503751"/>
    <w:rsid w:val="00503E9E"/>
    <w:rsid w:val="00503F2F"/>
    <w:rsid w:val="005042C8"/>
    <w:rsid w:val="005048EE"/>
    <w:rsid w:val="005055D8"/>
    <w:rsid w:val="00505784"/>
    <w:rsid w:val="005057F7"/>
    <w:rsid w:val="005058D0"/>
    <w:rsid w:val="0050609F"/>
    <w:rsid w:val="00506148"/>
    <w:rsid w:val="005062CE"/>
    <w:rsid w:val="005062DB"/>
    <w:rsid w:val="005066EB"/>
    <w:rsid w:val="0050682F"/>
    <w:rsid w:val="00506E69"/>
    <w:rsid w:val="00507538"/>
    <w:rsid w:val="0051013B"/>
    <w:rsid w:val="0051074B"/>
    <w:rsid w:val="00511BDD"/>
    <w:rsid w:val="00511CF3"/>
    <w:rsid w:val="00511D68"/>
    <w:rsid w:val="00511FBF"/>
    <w:rsid w:val="0051302C"/>
    <w:rsid w:val="00513653"/>
    <w:rsid w:val="00513FB4"/>
    <w:rsid w:val="0051437D"/>
    <w:rsid w:val="005145BE"/>
    <w:rsid w:val="005148DD"/>
    <w:rsid w:val="005159F9"/>
    <w:rsid w:val="005164B7"/>
    <w:rsid w:val="00520B80"/>
    <w:rsid w:val="00520EBA"/>
    <w:rsid w:val="00521179"/>
    <w:rsid w:val="00521FB5"/>
    <w:rsid w:val="0052283E"/>
    <w:rsid w:val="00522BF8"/>
    <w:rsid w:val="00523A40"/>
    <w:rsid w:val="00523A90"/>
    <w:rsid w:val="00524132"/>
    <w:rsid w:val="00524447"/>
    <w:rsid w:val="005248F2"/>
    <w:rsid w:val="00524DA6"/>
    <w:rsid w:val="0052618A"/>
    <w:rsid w:val="0052627D"/>
    <w:rsid w:val="005263E3"/>
    <w:rsid w:val="005267A1"/>
    <w:rsid w:val="00527A56"/>
    <w:rsid w:val="00530182"/>
    <w:rsid w:val="005314C9"/>
    <w:rsid w:val="00531517"/>
    <w:rsid w:val="00532297"/>
    <w:rsid w:val="005324AD"/>
    <w:rsid w:val="00532889"/>
    <w:rsid w:val="00532E27"/>
    <w:rsid w:val="00533127"/>
    <w:rsid w:val="005336EA"/>
    <w:rsid w:val="00534625"/>
    <w:rsid w:val="005347E4"/>
    <w:rsid w:val="00534996"/>
    <w:rsid w:val="005349FC"/>
    <w:rsid w:val="005351FE"/>
    <w:rsid w:val="00535EC9"/>
    <w:rsid w:val="00536200"/>
    <w:rsid w:val="00536AF8"/>
    <w:rsid w:val="00536BA5"/>
    <w:rsid w:val="00537C0F"/>
    <w:rsid w:val="0054074F"/>
    <w:rsid w:val="00540CF0"/>
    <w:rsid w:val="00540D52"/>
    <w:rsid w:val="005413F9"/>
    <w:rsid w:val="00541B21"/>
    <w:rsid w:val="00541DE5"/>
    <w:rsid w:val="00542733"/>
    <w:rsid w:val="00542B63"/>
    <w:rsid w:val="00542D1C"/>
    <w:rsid w:val="005432D0"/>
    <w:rsid w:val="005439B2"/>
    <w:rsid w:val="00543E2F"/>
    <w:rsid w:val="00544537"/>
    <w:rsid w:val="0054505B"/>
    <w:rsid w:val="00545068"/>
    <w:rsid w:val="00546822"/>
    <w:rsid w:val="00546CEA"/>
    <w:rsid w:val="0054731F"/>
    <w:rsid w:val="00547434"/>
    <w:rsid w:val="00547907"/>
    <w:rsid w:val="005502D3"/>
    <w:rsid w:val="005504A1"/>
    <w:rsid w:val="0055072B"/>
    <w:rsid w:val="00550776"/>
    <w:rsid w:val="005507E1"/>
    <w:rsid w:val="005507FF"/>
    <w:rsid w:val="00550D33"/>
    <w:rsid w:val="00551763"/>
    <w:rsid w:val="005527F3"/>
    <w:rsid w:val="0055281D"/>
    <w:rsid w:val="00552AE1"/>
    <w:rsid w:val="0055319A"/>
    <w:rsid w:val="0055549B"/>
    <w:rsid w:val="0055549F"/>
    <w:rsid w:val="00555B51"/>
    <w:rsid w:val="00555D47"/>
    <w:rsid w:val="0055665F"/>
    <w:rsid w:val="005568AC"/>
    <w:rsid w:val="00557364"/>
    <w:rsid w:val="00557451"/>
    <w:rsid w:val="00557A25"/>
    <w:rsid w:val="00557C71"/>
    <w:rsid w:val="00557CA6"/>
    <w:rsid w:val="00560159"/>
    <w:rsid w:val="00560226"/>
    <w:rsid w:val="005605A5"/>
    <w:rsid w:val="0056086A"/>
    <w:rsid w:val="005610F6"/>
    <w:rsid w:val="005614E7"/>
    <w:rsid w:val="00562C5D"/>
    <w:rsid w:val="00562CE2"/>
    <w:rsid w:val="00564D66"/>
    <w:rsid w:val="00565901"/>
    <w:rsid w:val="00565CAD"/>
    <w:rsid w:val="0056741E"/>
    <w:rsid w:val="00567CFF"/>
    <w:rsid w:val="00570469"/>
    <w:rsid w:val="00570761"/>
    <w:rsid w:val="00570BB0"/>
    <w:rsid w:val="00571322"/>
    <w:rsid w:val="00571B49"/>
    <w:rsid w:val="00571CCA"/>
    <w:rsid w:val="0057227A"/>
    <w:rsid w:val="00572394"/>
    <w:rsid w:val="005723D3"/>
    <w:rsid w:val="00572439"/>
    <w:rsid w:val="00572DC6"/>
    <w:rsid w:val="00573247"/>
    <w:rsid w:val="00573338"/>
    <w:rsid w:val="00573B0F"/>
    <w:rsid w:val="005742FC"/>
    <w:rsid w:val="005746C8"/>
    <w:rsid w:val="00575696"/>
    <w:rsid w:val="00575AB4"/>
    <w:rsid w:val="00576A96"/>
    <w:rsid w:val="005778B1"/>
    <w:rsid w:val="00580259"/>
    <w:rsid w:val="005805EB"/>
    <w:rsid w:val="0058076B"/>
    <w:rsid w:val="00580BA9"/>
    <w:rsid w:val="00580E4F"/>
    <w:rsid w:val="005815A4"/>
    <w:rsid w:val="00582116"/>
    <w:rsid w:val="00582613"/>
    <w:rsid w:val="00583770"/>
    <w:rsid w:val="005839E2"/>
    <w:rsid w:val="00584DF2"/>
    <w:rsid w:val="00584F4D"/>
    <w:rsid w:val="005850D9"/>
    <w:rsid w:val="005853DF"/>
    <w:rsid w:val="005855D0"/>
    <w:rsid w:val="00585F92"/>
    <w:rsid w:val="005861D4"/>
    <w:rsid w:val="00586F87"/>
    <w:rsid w:val="00586FDB"/>
    <w:rsid w:val="0058712A"/>
    <w:rsid w:val="00587AC0"/>
    <w:rsid w:val="00587CAF"/>
    <w:rsid w:val="00590397"/>
    <w:rsid w:val="00590B75"/>
    <w:rsid w:val="00590F4C"/>
    <w:rsid w:val="00591317"/>
    <w:rsid w:val="00591515"/>
    <w:rsid w:val="00591E00"/>
    <w:rsid w:val="00594A4F"/>
    <w:rsid w:val="00595299"/>
    <w:rsid w:val="005952CB"/>
    <w:rsid w:val="00595D31"/>
    <w:rsid w:val="00596B11"/>
    <w:rsid w:val="00597DF1"/>
    <w:rsid w:val="005A0196"/>
    <w:rsid w:val="005A02C2"/>
    <w:rsid w:val="005A02D0"/>
    <w:rsid w:val="005A05CC"/>
    <w:rsid w:val="005A132E"/>
    <w:rsid w:val="005A1343"/>
    <w:rsid w:val="005A1610"/>
    <w:rsid w:val="005A1B4C"/>
    <w:rsid w:val="005A1C83"/>
    <w:rsid w:val="005A2C08"/>
    <w:rsid w:val="005A32F0"/>
    <w:rsid w:val="005A36C6"/>
    <w:rsid w:val="005A3795"/>
    <w:rsid w:val="005A43FD"/>
    <w:rsid w:val="005A4F15"/>
    <w:rsid w:val="005A5C8C"/>
    <w:rsid w:val="005A5FFB"/>
    <w:rsid w:val="005A6A52"/>
    <w:rsid w:val="005A7BC7"/>
    <w:rsid w:val="005A7E16"/>
    <w:rsid w:val="005B00DB"/>
    <w:rsid w:val="005B01BC"/>
    <w:rsid w:val="005B0C8C"/>
    <w:rsid w:val="005B0E3B"/>
    <w:rsid w:val="005B121B"/>
    <w:rsid w:val="005B1B17"/>
    <w:rsid w:val="005B1C0F"/>
    <w:rsid w:val="005B24D9"/>
    <w:rsid w:val="005B26DD"/>
    <w:rsid w:val="005B2847"/>
    <w:rsid w:val="005B2CD9"/>
    <w:rsid w:val="005B34E8"/>
    <w:rsid w:val="005B3C6B"/>
    <w:rsid w:val="005B3F73"/>
    <w:rsid w:val="005B4345"/>
    <w:rsid w:val="005B4BAC"/>
    <w:rsid w:val="005B5481"/>
    <w:rsid w:val="005B5535"/>
    <w:rsid w:val="005B56B6"/>
    <w:rsid w:val="005B780A"/>
    <w:rsid w:val="005C0629"/>
    <w:rsid w:val="005C093B"/>
    <w:rsid w:val="005C0F00"/>
    <w:rsid w:val="005C0FB6"/>
    <w:rsid w:val="005C10D4"/>
    <w:rsid w:val="005C1C3E"/>
    <w:rsid w:val="005C1F40"/>
    <w:rsid w:val="005C27EB"/>
    <w:rsid w:val="005C3116"/>
    <w:rsid w:val="005C37B3"/>
    <w:rsid w:val="005C3C01"/>
    <w:rsid w:val="005C3EAD"/>
    <w:rsid w:val="005C46D0"/>
    <w:rsid w:val="005C4FCB"/>
    <w:rsid w:val="005C5634"/>
    <w:rsid w:val="005C571C"/>
    <w:rsid w:val="005C6804"/>
    <w:rsid w:val="005C6DF3"/>
    <w:rsid w:val="005C7095"/>
    <w:rsid w:val="005C7938"/>
    <w:rsid w:val="005C7F01"/>
    <w:rsid w:val="005D0474"/>
    <w:rsid w:val="005D0823"/>
    <w:rsid w:val="005D099A"/>
    <w:rsid w:val="005D1E27"/>
    <w:rsid w:val="005D1FD7"/>
    <w:rsid w:val="005D2183"/>
    <w:rsid w:val="005D324B"/>
    <w:rsid w:val="005D335F"/>
    <w:rsid w:val="005D3759"/>
    <w:rsid w:val="005D4907"/>
    <w:rsid w:val="005D52DA"/>
    <w:rsid w:val="005D5355"/>
    <w:rsid w:val="005D55BA"/>
    <w:rsid w:val="005D5F78"/>
    <w:rsid w:val="005D6200"/>
    <w:rsid w:val="005D6924"/>
    <w:rsid w:val="005D7779"/>
    <w:rsid w:val="005E024E"/>
    <w:rsid w:val="005E076F"/>
    <w:rsid w:val="005E0B48"/>
    <w:rsid w:val="005E26F4"/>
    <w:rsid w:val="005E305E"/>
    <w:rsid w:val="005E44D9"/>
    <w:rsid w:val="005E462B"/>
    <w:rsid w:val="005E4DF1"/>
    <w:rsid w:val="005E51AD"/>
    <w:rsid w:val="005E5939"/>
    <w:rsid w:val="005E5E9D"/>
    <w:rsid w:val="005E60E0"/>
    <w:rsid w:val="005E7051"/>
    <w:rsid w:val="005E71C2"/>
    <w:rsid w:val="005E7632"/>
    <w:rsid w:val="005E7E82"/>
    <w:rsid w:val="005E7FE4"/>
    <w:rsid w:val="005F1C1B"/>
    <w:rsid w:val="005F29B7"/>
    <w:rsid w:val="005F2C3B"/>
    <w:rsid w:val="005F396D"/>
    <w:rsid w:val="005F397D"/>
    <w:rsid w:val="005F4E82"/>
    <w:rsid w:val="005F5287"/>
    <w:rsid w:val="005F61AE"/>
    <w:rsid w:val="005F676F"/>
    <w:rsid w:val="005F6988"/>
    <w:rsid w:val="005F7855"/>
    <w:rsid w:val="00600EE7"/>
    <w:rsid w:val="00600F40"/>
    <w:rsid w:val="00600FF7"/>
    <w:rsid w:val="0060198B"/>
    <w:rsid w:val="00601C39"/>
    <w:rsid w:val="00602146"/>
    <w:rsid w:val="006025DB"/>
    <w:rsid w:val="00602C61"/>
    <w:rsid w:val="006042E8"/>
    <w:rsid w:val="006056CE"/>
    <w:rsid w:val="00605EB8"/>
    <w:rsid w:val="0060647A"/>
    <w:rsid w:val="006071C1"/>
    <w:rsid w:val="00607531"/>
    <w:rsid w:val="006079B5"/>
    <w:rsid w:val="00607FC6"/>
    <w:rsid w:val="00610DB2"/>
    <w:rsid w:val="006119E2"/>
    <w:rsid w:val="00612D6A"/>
    <w:rsid w:val="00612DB5"/>
    <w:rsid w:val="00613753"/>
    <w:rsid w:val="006138A6"/>
    <w:rsid w:val="006139B0"/>
    <w:rsid w:val="00613A2E"/>
    <w:rsid w:val="00613FBF"/>
    <w:rsid w:val="006143F3"/>
    <w:rsid w:val="00614B24"/>
    <w:rsid w:val="006156F8"/>
    <w:rsid w:val="0061616E"/>
    <w:rsid w:val="00616BAB"/>
    <w:rsid w:val="00616CBD"/>
    <w:rsid w:val="00616F03"/>
    <w:rsid w:val="006175FA"/>
    <w:rsid w:val="006178F4"/>
    <w:rsid w:val="00617CA7"/>
    <w:rsid w:val="00617FF7"/>
    <w:rsid w:val="00620571"/>
    <w:rsid w:val="006216DC"/>
    <w:rsid w:val="00624285"/>
    <w:rsid w:val="00624EEA"/>
    <w:rsid w:val="00625127"/>
    <w:rsid w:val="006253B7"/>
    <w:rsid w:val="00625E0A"/>
    <w:rsid w:val="00625EBA"/>
    <w:rsid w:val="00626444"/>
    <w:rsid w:val="00626814"/>
    <w:rsid w:val="00626BC8"/>
    <w:rsid w:val="0062718F"/>
    <w:rsid w:val="00627AA2"/>
    <w:rsid w:val="00627D9D"/>
    <w:rsid w:val="00627DFF"/>
    <w:rsid w:val="00630283"/>
    <w:rsid w:val="0063145A"/>
    <w:rsid w:val="006314AF"/>
    <w:rsid w:val="00631993"/>
    <w:rsid w:val="00631BEC"/>
    <w:rsid w:val="00631DC4"/>
    <w:rsid w:val="00631F58"/>
    <w:rsid w:val="00632429"/>
    <w:rsid w:val="006332DF"/>
    <w:rsid w:val="006334A3"/>
    <w:rsid w:val="00633C50"/>
    <w:rsid w:val="00633F53"/>
    <w:rsid w:val="00633FFF"/>
    <w:rsid w:val="00635D8A"/>
    <w:rsid w:val="00635EB3"/>
    <w:rsid w:val="00636E79"/>
    <w:rsid w:val="0063709C"/>
    <w:rsid w:val="00640FDE"/>
    <w:rsid w:val="00641770"/>
    <w:rsid w:val="00641ED2"/>
    <w:rsid w:val="006438E3"/>
    <w:rsid w:val="00643B74"/>
    <w:rsid w:val="00643C6B"/>
    <w:rsid w:val="00644567"/>
    <w:rsid w:val="00645595"/>
    <w:rsid w:val="00645AD3"/>
    <w:rsid w:val="00645C94"/>
    <w:rsid w:val="006462B0"/>
    <w:rsid w:val="006462BE"/>
    <w:rsid w:val="00646E84"/>
    <w:rsid w:val="0064741E"/>
    <w:rsid w:val="00647FEB"/>
    <w:rsid w:val="006504B1"/>
    <w:rsid w:val="00650726"/>
    <w:rsid w:val="006519B8"/>
    <w:rsid w:val="00651D6F"/>
    <w:rsid w:val="00652C5D"/>
    <w:rsid w:val="00653460"/>
    <w:rsid w:val="00653611"/>
    <w:rsid w:val="006539D6"/>
    <w:rsid w:val="00653D80"/>
    <w:rsid w:val="00655C01"/>
    <w:rsid w:val="00655D16"/>
    <w:rsid w:val="0065620A"/>
    <w:rsid w:val="0065624A"/>
    <w:rsid w:val="00657798"/>
    <w:rsid w:val="006579CF"/>
    <w:rsid w:val="006600E6"/>
    <w:rsid w:val="0066010F"/>
    <w:rsid w:val="0066049B"/>
    <w:rsid w:val="00660508"/>
    <w:rsid w:val="00661284"/>
    <w:rsid w:val="006614E3"/>
    <w:rsid w:val="006617A3"/>
    <w:rsid w:val="006617DE"/>
    <w:rsid w:val="00662079"/>
    <w:rsid w:val="00662AFD"/>
    <w:rsid w:val="0066372A"/>
    <w:rsid w:val="00663E54"/>
    <w:rsid w:val="006648A9"/>
    <w:rsid w:val="006648E4"/>
    <w:rsid w:val="00664CC9"/>
    <w:rsid w:val="00664E7F"/>
    <w:rsid w:val="0066589E"/>
    <w:rsid w:val="006664A9"/>
    <w:rsid w:val="00666C6F"/>
    <w:rsid w:val="006672E4"/>
    <w:rsid w:val="006673C3"/>
    <w:rsid w:val="00670ACF"/>
    <w:rsid w:val="0067155E"/>
    <w:rsid w:val="0067164C"/>
    <w:rsid w:val="00671C3A"/>
    <w:rsid w:val="00672297"/>
    <w:rsid w:val="00672ABE"/>
    <w:rsid w:val="00672AF2"/>
    <w:rsid w:val="00673517"/>
    <w:rsid w:val="006740DA"/>
    <w:rsid w:val="006744B1"/>
    <w:rsid w:val="00674854"/>
    <w:rsid w:val="00674BAD"/>
    <w:rsid w:val="00674D86"/>
    <w:rsid w:val="006750A8"/>
    <w:rsid w:val="00675DE3"/>
    <w:rsid w:val="00676875"/>
    <w:rsid w:val="00676C21"/>
    <w:rsid w:val="00676E11"/>
    <w:rsid w:val="00677307"/>
    <w:rsid w:val="0067740F"/>
    <w:rsid w:val="00680102"/>
    <w:rsid w:val="00680451"/>
    <w:rsid w:val="00680C0A"/>
    <w:rsid w:val="00680D66"/>
    <w:rsid w:val="00681FB3"/>
    <w:rsid w:val="006820F6"/>
    <w:rsid w:val="006821EE"/>
    <w:rsid w:val="006824BA"/>
    <w:rsid w:val="006835D8"/>
    <w:rsid w:val="006835DB"/>
    <w:rsid w:val="00683937"/>
    <w:rsid w:val="00683D6C"/>
    <w:rsid w:val="00683DCF"/>
    <w:rsid w:val="00683F6B"/>
    <w:rsid w:val="00684015"/>
    <w:rsid w:val="006840DB"/>
    <w:rsid w:val="0068459C"/>
    <w:rsid w:val="0068481A"/>
    <w:rsid w:val="0068504B"/>
    <w:rsid w:val="006852E4"/>
    <w:rsid w:val="00685BE7"/>
    <w:rsid w:val="00685FF4"/>
    <w:rsid w:val="0068699E"/>
    <w:rsid w:val="00686F42"/>
    <w:rsid w:val="006876F1"/>
    <w:rsid w:val="00687DFE"/>
    <w:rsid w:val="00690043"/>
    <w:rsid w:val="00690310"/>
    <w:rsid w:val="00691087"/>
    <w:rsid w:val="00691F25"/>
    <w:rsid w:val="00692068"/>
    <w:rsid w:val="006923A3"/>
    <w:rsid w:val="00692431"/>
    <w:rsid w:val="00692560"/>
    <w:rsid w:val="00693730"/>
    <w:rsid w:val="006938EC"/>
    <w:rsid w:val="00693F4E"/>
    <w:rsid w:val="0069425F"/>
    <w:rsid w:val="006945D4"/>
    <w:rsid w:val="00694AE4"/>
    <w:rsid w:val="006950C5"/>
    <w:rsid w:val="00695517"/>
    <w:rsid w:val="0069551F"/>
    <w:rsid w:val="00695737"/>
    <w:rsid w:val="00695A06"/>
    <w:rsid w:val="00695B36"/>
    <w:rsid w:val="00695CC3"/>
    <w:rsid w:val="00695E5A"/>
    <w:rsid w:val="006A0962"/>
    <w:rsid w:val="006A0C58"/>
    <w:rsid w:val="006A1161"/>
    <w:rsid w:val="006A1805"/>
    <w:rsid w:val="006A3EBC"/>
    <w:rsid w:val="006A42F1"/>
    <w:rsid w:val="006A465C"/>
    <w:rsid w:val="006A48FA"/>
    <w:rsid w:val="006A49F7"/>
    <w:rsid w:val="006A7305"/>
    <w:rsid w:val="006B010A"/>
    <w:rsid w:val="006B01EA"/>
    <w:rsid w:val="006B0AAA"/>
    <w:rsid w:val="006B1118"/>
    <w:rsid w:val="006B11BD"/>
    <w:rsid w:val="006B12F6"/>
    <w:rsid w:val="006B3130"/>
    <w:rsid w:val="006B4472"/>
    <w:rsid w:val="006B459D"/>
    <w:rsid w:val="006B49F5"/>
    <w:rsid w:val="006B4A5C"/>
    <w:rsid w:val="006B58EB"/>
    <w:rsid w:val="006B5A72"/>
    <w:rsid w:val="006B5F6C"/>
    <w:rsid w:val="006B6437"/>
    <w:rsid w:val="006B6C54"/>
    <w:rsid w:val="006B6E34"/>
    <w:rsid w:val="006B751F"/>
    <w:rsid w:val="006B7548"/>
    <w:rsid w:val="006B782C"/>
    <w:rsid w:val="006C0692"/>
    <w:rsid w:val="006C0FC4"/>
    <w:rsid w:val="006C14BF"/>
    <w:rsid w:val="006C16C4"/>
    <w:rsid w:val="006C2A6C"/>
    <w:rsid w:val="006C32A8"/>
    <w:rsid w:val="006C336D"/>
    <w:rsid w:val="006C3573"/>
    <w:rsid w:val="006C362D"/>
    <w:rsid w:val="006C3DCA"/>
    <w:rsid w:val="006C454F"/>
    <w:rsid w:val="006C4B6C"/>
    <w:rsid w:val="006C5738"/>
    <w:rsid w:val="006C594D"/>
    <w:rsid w:val="006C60F4"/>
    <w:rsid w:val="006C61B2"/>
    <w:rsid w:val="006C6B03"/>
    <w:rsid w:val="006C6CBF"/>
    <w:rsid w:val="006CB7EC"/>
    <w:rsid w:val="006D09E3"/>
    <w:rsid w:val="006D0BA7"/>
    <w:rsid w:val="006D0BF6"/>
    <w:rsid w:val="006D120C"/>
    <w:rsid w:val="006D1BA0"/>
    <w:rsid w:val="006D2A61"/>
    <w:rsid w:val="006D2F82"/>
    <w:rsid w:val="006D2FC8"/>
    <w:rsid w:val="006D313A"/>
    <w:rsid w:val="006D3201"/>
    <w:rsid w:val="006D379C"/>
    <w:rsid w:val="006D4058"/>
    <w:rsid w:val="006D4D16"/>
    <w:rsid w:val="006D5000"/>
    <w:rsid w:val="006D51CC"/>
    <w:rsid w:val="006D54EE"/>
    <w:rsid w:val="006D59D5"/>
    <w:rsid w:val="006D5E31"/>
    <w:rsid w:val="006D62AC"/>
    <w:rsid w:val="006D6502"/>
    <w:rsid w:val="006D6E89"/>
    <w:rsid w:val="006D7BDD"/>
    <w:rsid w:val="006D7C68"/>
    <w:rsid w:val="006E036A"/>
    <w:rsid w:val="006E06AD"/>
    <w:rsid w:val="006E08DB"/>
    <w:rsid w:val="006E0F8E"/>
    <w:rsid w:val="006E19CA"/>
    <w:rsid w:val="006E1C0E"/>
    <w:rsid w:val="006E2409"/>
    <w:rsid w:val="006E2A51"/>
    <w:rsid w:val="006E317F"/>
    <w:rsid w:val="006E3365"/>
    <w:rsid w:val="006E3392"/>
    <w:rsid w:val="006E3A38"/>
    <w:rsid w:val="006E3E6F"/>
    <w:rsid w:val="006E4DDC"/>
    <w:rsid w:val="006E5FD9"/>
    <w:rsid w:val="006E61FA"/>
    <w:rsid w:val="006E67BF"/>
    <w:rsid w:val="006E69E7"/>
    <w:rsid w:val="006E7993"/>
    <w:rsid w:val="006F1ADE"/>
    <w:rsid w:val="006F22D0"/>
    <w:rsid w:val="006F31EB"/>
    <w:rsid w:val="006F331C"/>
    <w:rsid w:val="006F4A42"/>
    <w:rsid w:val="006F5107"/>
    <w:rsid w:val="006F522F"/>
    <w:rsid w:val="006F7EE5"/>
    <w:rsid w:val="00700092"/>
    <w:rsid w:val="0070128F"/>
    <w:rsid w:val="00701FAA"/>
    <w:rsid w:val="00702C86"/>
    <w:rsid w:val="00702E06"/>
    <w:rsid w:val="00703545"/>
    <w:rsid w:val="00703657"/>
    <w:rsid w:val="00703D8A"/>
    <w:rsid w:val="00703E42"/>
    <w:rsid w:val="00704027"/>
    <w:rsid w:val="00704683"/>
    <w:rsid w:val="0070482D"/>
    <w:rsid w:val="007048C4"/>
    <w:rsid w:val="00704FC1"/>
    <w:rsid w:val="00705830"/>
    <w:rsid w:val="00705BFA"/>
    <w:rsid w:val="00706F3D"/>
    <w:rsid w:val="007071DF"/>
    <w:rsid w:val="007077F6"/>
    <w:rsid w:val="00710003"/>
    <w:rsid w:val="0071053D"/>
    <w:rsid w:val="00710B23"/>
    <w:rsid w:val="00710C65"/>
    <w:rsid w:val="00710DE1"/>
    <w:rsid w:val="00711C87"/>
    <w:rsid w:val="0071227E"/>
    <w:rsid w:val="0071267F"/>
    <w:rsid w:val="00712B43"/>
    <w:rsid w:val="00713631"/>
    <w:rsid w:val="00713DE0"/>
    <w:rsid w:val="00715512"/>
    <w:rsid w:val="007157A8"/>
    <w:rsid w:val="007162CE"/>
    <w:rsid w:val="007165AB"/>
    <w:rsid w:val="007171D9"/>
    <w:rsid w:val="00717D05"/>
    <w:rsid w:val="0071E6C1"/>
    <w:rsid w:val="00721463"/>
    <w:rsid w:val="00721DC2"/>
    <w:rsid w:val="00721EA0"/>
    <w:rsid w:val="00721F20"/>
    <w:rsid w:val="007234EF"/>
    <w:rsid w:val="00723823"/>
    <w:rsid w:val="00724638"/>
    <w:rsid w:val="00726684"/>
    <w:rsid w:val="007278D1"/>
    <w:rsid w:val="0073016F"/>
    <w:rsid w:val="00730500"/>
    <w:rsid w:val="0073156F"/>
    <w:rsid w:val="00731976"/>
    <w:rsid w:val="00731D44"/>
    <w:rsid w:val="00732121"/>
    <w:rsid w:val="0073234D"/>
    <w:rsid w:val="00732546"/>
    <w:rsid w:val="00733C1D"/>
    <w:rsid w:val="0073435D"/>
    <w:rsid w:val="00735170"/>
    <w:rsid w:val="00735974"/>
    <w:rsid w:val="00735EAE"/>
    <w:rsid w:val="0073631E"/>
    <w:rsid w:val="00736616"/>
    <w:rsid w:val="0073738C"/>
    <w:rsid w:val="007377C8"/>
    <w:rsid w:val="00740665"/>
    <w:rsid w:val="00740A0C"/>
    <w:rsid w:val="00741DB1"/>
    <w:rsid w:val="00742152"/>
    <w:rsid w:val="007421D2"/>
    <w:rsid w:val="00743210"/>
    <w:rsid w:val="0074322A"/>
    <w:rsid w:val="007432D4"/>
    <w:rsid w:val="0074333B"/>
    <w:rsid w:val="00743504"/>
    <w:rsid w:val="0074365F"/>
    <w:rsid w:val="00743B20"/>
    <w:rsid w:val="00743B67"/>
    <w:rsid w:val="00743C57"/>
    <w:rsid w:val="0074401D"/>
    <w:rsid w:val="0074461E"/>
    <w:rsid w:val="00744974"/>
    <w:rsid w:val="007450E9"/>
    <w:rsid w:val="0074610B"/>
    <w:rsid w:val="00746756"/>
    <w:rsid w:val="0074676A"/>
    <w:rsid w:val="00747EF6"/>
    <w:rsid w:val="0075043D"/>
    <w:rsid w:val="00750488"/>
    <w:rsid w:val="007506D0"/>
    <w:rsid w:val="00750C3F"/>
    <w:rsid w:val="007510F1"/>
    <w:rsid w:val="00753196"/>
    <w:rsid w:val="007534FE"/>
    <w:rsid w:val="0075355D"/>
    <w:rsid w:val="007537D0"/>
    <w:rsid w:val="00753C49"/>
    <w:rsid w:val="00753FCC"/>
    <w:rsid w:val="007550B5"/>
    <w:rsid w:val="00755909"/>
    <w:rsid w:val="0075600B"/>
    <w:rsid w:val="00756D76"/>
    <w:rsid w:val="00757506"/>
    <w:rsid w:val="00757E82"/>
    <w:rsid w:val="007600C6"/>
    <w:rsid w:val="00760C73"/>
    <w:rsid w:val="00760E31"/>
    <w:rsid w:val="00760F74"/>
    <w:rsid w:val="00761CCF"/>
    <w:rsid w:val="00761D50"/>
    <w:rsid w:val="00762277"/>
    <w:rsid w:val="007626DF"/>
    <w:rsid w:val="00762CB7"/>
    <w:rsid w:val="0076316D"/>
    <w:rsid w:val="007635D9"/>
    <w:rsid w:val="00763F57"/>
    <w:rsid w:val="0076440A"/>
    <w:rsid w:val="0076520C"/>
    <w:rsid w:val="007655DD"/>
    <w:rsid w:val="00766CDF"/>
    <w:rsid w:val="00766CE5"/>
    <w:rsid w:val="0076734D"/>
    <w:rsid w:val="00767C02"/>
    <w:rsid w:val="00770F1A"/>
    <w:rsid w:val="0077183A"/>
    <w:rsid w:val="00771BE9"/>
    <w:rsid w:val="007723F6"/>
    <w:rsid w:val="00772513"/>
    <w:rsid w:val="00772C0E"/>
    <w:rsid w:val="00772FF3"/>
    <w:rsid w:val="00773268"/>
    <w:rsid w:val="007738E9"/>
    <w:rsid w:val="00773DE8"/>
    <w:rsid w:val="00774706"/>
    <w:rsid w:val="00774B0D"/>
    <w:rsid w:val="00774EEF"/>
    <w:rsid w:val="0077503A"/>
    <w:rsid w:val="00775973"/>
    <w:rsid w:val="0077609F"/>
    <w:rsid w:val="007767F9"/>
    <w:rsid w:val="00777A5A"/>
    <w:rsid w:val="0078092C"/>
    <w:rsid w:val="00780A0B"/>
    <w:rsid w:val="0078239F"/>
    <w:rsid w:val="00783054"/>
    <w:rsid w:val="0078349B"/>
    <w:rsid w:val="007837F8"/>
    <w:rsid w:val="007844AD"/>
    <w:rsid w:val="00784646"/>
    <w:rsid w:val="00784664"/>
    <w:rsid w:val="00785C23"/>
    <w:rsid w:val="00785F15"/>
    <w:rsid w:val="007862AA"/>
    <w:rsid w:val="0078649E"/>
    <w:rsid w:val="00786624"/>
    <w:rsid w:val="00786AB4"/>
    <w:rsid w:val="00786AC4"/>
    <w:rsid w:val="00787DDC"/>
    <w:rsid w:val="007905E1"/>
    <w:rsid w:val="00791274"/>
    <w:rsid w:val="007924F8"/>
    <w:rsid w:val="00792F34"/>
    <w:rsid w:val="00794670"/>
    <w:rsid w:val="0079539C"/>
    <w:rsid w:val="00796CB1"/>
    <w:rsid w:val="00796E7E"/>
    <w:rsid w:val="007970EC"/>
    <w:rsid w:val="007976CA"/>
    <w:rsid w:val="00797E4F"/>
    <w:rsid w:val="007A0693"/>
    <w:rsid w:val="007A0E47"/>
    <w:rsid w:val="007A1162"/>
    <w:rsid w:val="007A1794"/>
    <w:rsid w:val="007A18A6"/>
    <w:rsid w:val="007A2BB0"/>
    <w:rsid w:val="007A459A"/>
    <w:rsid w:val="007A47EE"/>
    <w:rsid w:val="007A57C7"/>
    <w:rsid w:val="007A5E0E"/>
    <w:rsid w:val="007A6135"/>
    <w:rsid w:val="007A6F07"/>
    <w:rsid w:val="007A7953"/>
    <w:rsid w:val="007B0035"/>
    <w:rsid w:val="007B1713"/>
    <w:rsid w:val="007B190F"/>
    <w:rsid w:val="007B1B95"/>
    <w:rsid w:val="007B1DBA"/>
    <w:rsid w:val="007B1F26"/>
    <w:rsid w:val="007B2027"/>
    <w:rsid w:val="007B42EE"/>
    <w:rsid w:val="007B4733"/>
    <w:rsid w:val="007B4E82"/>
    <w:rsid w:val="007B556D"/>
    <w:rsid w:val="007B5F12"/>
    <w:rsid w:val="007B70D6"/>
    <w:rsid w:val="007B714C"/>
    <w:rsid w:val="007B78F7"/>
    <w:rsid w:val="007C0087"/>
    <w:rsid w:val="007C06F6"/>
    <w:rsid w:val="007C0DEE"/>
    <w:rsid w:val="007C4A6B"/>
    <w:rsid w:val="007C4DCE"/>
    <w:rsid w:val="007C4E2C"/>
    <w:rsid w:val="007C7A02"/>
    <w:rsid w:val="007C7F14"/>
    <w:rsid w:val="007D006D"/>
    <w:rsid w:val="007D0955"/>
    <w:rsid w:val="007D1402"/>
    <w:rsid w:val="007D1BFF"/>
    <w:rsid w:val="007D1D17"/>
    <w:rsid w:val="007D1EEA"/>
    <w:rsid w:val="007D24DA"/>
    <w:rsid w:val="007D3CA4"/>
    <w:rsid w:val="007D3D7E"/>
    <w:rsid w:val="007D4739"/>
    <w:rsid w:val="007D492D"/>
    <w:rsid w:val="007D4B35"/>
    <w:rsid w:val="007D4EC2"/>
    <w:rsid w:val="007D6267"/>
    <w:rsid w:val="007D654F"/>
    <w:rsid w:val="007D68B1"/>
    <w:rsid w:val="007D69CC"/>
    <w:rsid w:val="007D70CE"/>
    <w:rsid w:val="007D73ED"/>
    <w:rsid w:val="007D7471"/>
    <w:rsid w:val="007D77E2"/>
    <w:rsid w:val="007D7B79"/>
    <w:rsid w:val="007E0094"/>
    <w:rsid w:val="007E0711"/>
    <w:rsid w:val="007E219C"/>
    <w:rsid w:val="007E2A03"/>
    <w:rsid w:val="007E2EAA"/>
    <w:rsid w:val="007E34F5"/>
    <w:rsid w:val="007E3E61"/>
    <w:rsid w:val="007E4054"/>
    <w:rsid w:val="007E406B"/>
    <w:rsid w:val="007E4F6D"/>
    <w:rsid w:val="007E4FCA"/>
    <w:rsid w:val="007E617F"/>
    <w:rsid w:val="007E75E3"/>
    <w:rsid w:val="007E7C14"/>
    <w:rsid w:val="007F0C88"/>
    <w:rsid w:val="007F11B4"/>
    <w:rsid w:val="007F11F3"/>
    <w:rsid w:val="007F1401"/>
    <w:rsid w:val="007F1BDB"/>
    <w:rsid w:val="007F3DD8"/>
    <w:rsid w:val="007F4A86"/>
    <w:rsid w:val="007F5402"/>
    <w:rsid w:val="007F59C4"/>
    <w:rsid w:val="007F5E15"/>
    <w:rsid w:val="007F5E5C"/>
    <w:rsid w:val="007F5F1C"/>
    <w:rsid w:val="007F65CE"/>
    <w:rsid w:val="007F6942"/>
    <w:rsid w:val="007F6D88"/>
    <w:rsid w:val="007F7B1B"/>
    <w:rsid w:val="0080073A"/>
    <w:rsid w:val="0080093B"/>
    <w:rsid w:val="00800D2D"/>
    <w:rsid w:val="00800E7E"/>
    <w:rsid w:val="00801255"/>
    <w:rsid w:val="008016C1"/>
    <w:rsid w:val="008020AE"/>
    <w:rsid w:val="00802356"/>
    <w:rsid w:val="008032EA"/>
    <w:rsid w:val="00804059"/>
    <w:rsid w:val="00804443"/>
    <w:rsid w:val="00804581"/>
    <w:rsid w:val="008048BF"/>
    <w:rsid w:val="0080673E"/>
    <w:rsid w:val="00807133"/>
    <w:rsid w:val="00807210"/>
    <w:rsid w:val="00807A59"/>
    <w:rsid w:val="00807F02"/>
    <w:rsid w:val="008110AB"/>
    <w:rsid w:val="008112B6"/>
    <w:rsid w:val="008116BB"/>
    <w:rsid w:val="00811BE1"/>
    <w:rsid w:val="00812F94"/>
    <w:rsid w:val="0081337E"/>
    <w:rsid w:val="008133EC"/>
    <w:rsid w:val="00815849"/>
    <w:rsid w:val="00816105"/>
    <w:rsid w:val="00816C1C"/>
    <w:rsid w:val="00817906"/>
    <w:rsid w:val="00817F52"/>
    <w:rsid w:val="00820748"/>
    <w:rsid w:val="00820952"/>
    <w:rsid w:val="008209DA"/>
    <w:rsid w:val="0082183D"/>
    <w:rsid w:val="00822346"/>
    <w:rsid w:val="0082240A"/>
    <w:rsid w:val="008227EB"/>
    <w:rsid w:val="0082409D"/>
    <w:rsid w:val="0082426F"/>
    <w:rsid w:val="00824316"/>
    <w:rsid w:val="008245F1"/>
    <w:rsid w:val="00824F06"/>
    <w:rsid w:val="008252DD"/>
    <w:rsid w:val="00826B3A"/>
    <w:rsid w:val="00826BD9"/>
    <w:rsid w:val="00826CA8"/>
    <w:rsid w:val="00827125"/>
    <w:rsid w:val="00827F8D"/>
    <w:rsid w:val="00830DE8"/>
    <w:rsid w:val="0083194F"/>
    <w:rsid w:val="008327B5"/>
    <w:rsid w:val="00832D29"/>
    <w:rsid w:val="00832F20"/>
    <w:rsid w:val="00833A1A"/>
    <w:rsid w:val="00833B51"/>
    <w:rsid w:val="0083415B"/>
    <w:rsid w:val="00834FEF"/>
    <w:rsid w:val="0083553D"/>
    <w:rsid w:val="008358AB"/>
    <w:rsid w:val="00836223"/>
    <w:rsid w:val="00836689"/>
    <w:rsid w:val="00836A16"/>
    <w:rsid w:val="00836E16"/>
    <w:rsid w:val="00837F19"/>
    <w:rsid w:val="00840574"/>
    <w:rsid w:val="00840F2A"/>
    <w:rsid w:val="008411E6"/>
    <w:rsid w:val="008424FA"/>
    <w:rsid w:val="008425EA"/>
    <w:rsid w:val="00842A14"/>
    <w:rsid w:val="00842AD0"/>
    <w:rsid w:val="00842AFD"/>
    <w:rsid w:val="00843553"/>
    <w:rsid w:val="0084378F"/>
    <w:rsid w:val="00843A54"/>
    <w:rsid w:val="00843E80"/>
    <w:rsid w:val="0084455D"/>
    <w:rsid w:val="008448C9"/>
    <w:rsid w:val="00845BE1"/>
    <w:rsid w:val="0084692C"/>
    <w:rsid w:val="00847202"/>
    <w:rsid w:val="008475D0"/>
    <w:rsid w:val="00847694"/>
    <w:rsid w:val="00847F6D"/>
    <w:rsid w:val="00850DDE"/>
    <w:rsid w:val="00851394"/>
    <w:rsid w:val="0085232B"/>
    <w:rsid w:val="008525C5"/>
    <w:rsid w:val="00853A75"/>
    <w:rsid w:val="0085416F"/>
    <w:rsid w:val="00854D62"/>
    <w:rsid w:val="008559D7"/>
    <w:rsid w:val="00856618"/>
    <w:rsid w:val="00856D32"/>
    <w:rsid w:val="00856E40"/>
    <w:rsid w:val="0085724F"/>
    <w:rsid w:val="00857F70"/>
    <w:rsid w:val="00860736"/>
    <w:rsid w:val="00860C7A"/>
    <w:rsid w:val="00861177"/>
    <w:rsid w:val="008617BA"/>
    <w:rsid w:val="00861D33"/>
    <w:rsid w:val="00862B26"/>
    <w:rsid w:val="008630C3"/>
    <w:rsid w:val="008634B8"/>
    <w:rsid w:val="00863A87"/>
    <w:rsid w:val="00863B3B"/>
    <w:rsid w:val="00863C66"/>
    <w:rsid w:val="00865076"/>
    <w:rsid w:val="008650E5"/>
    <w:rsid w:val="00865E39"/>
    <w:rsid w:val="00866400"/>
    <w:rsid w:val="00871A0F"/>
    <w:rsid w:val="00873012"/>
    <w:rsid w:val="0087306D"/>
    <w:rsid w:val="0087337C"/>
    <w:rsid w:val="008740EF"/>
    <w:rsid w:val="008742B3"/>
    <w:rsid w:val="00874DC9"/>
    <w:rsid w:val="00875022"/>
    <w:rsid w:val="00875884"/>
    <w:rsid w:val="00875D41"/>
    <w:rsid w:val="0087699E"/>
    <w:rsid w:val="00876BB0"/>
    <w:rsid w:val="00876D12"/>
    <w:rsid w:val="008772DA"/>
    <w:rsid w:val="00877D93"/>
    <w:rsid w:val="008803CB"/>
    <w:rsid w:val="00880839"/>
    <w:rsid w:val="008818FE"/>
    <w:rsid w:val="00881EA5"/>
    <w:rsid w:val="00881F22"/>
    <w:rsid w:val="008830A7"/>
    <w:rsid w:val="008832CF"/>
    <w:rsid w:val="00883B86"/>
    <w:rsid w:val="00883E1F"/>
    <w:rsid w:val="00884DA4"/>
    <w:rsid w:val="00885956"/>
    <w:rsid w:val="00886465"/>
    <w:rsid w:val="00886F10"/>
    <w:rsid w:val="00887F0E"/>
    <w:rsid w:val="0089070C"/>
    <w:rsid w:val="00890E28"/>
    <w:rsid w:val="008916EC"/>
    <w:rsid w:val="00891CC5"/>
    <w:rsid w:val="008925AC"/>
    <w:rsid w:val="008926F2"/>
    <w:rsid w:val="008935C9"/>
    <w:rsid w:val="00893793"/>
    <w:rsid w:val="0089396E"/>
    <w:rsid w:val="00893ACD"/>
    <w:rsid w:val="00893B07"/>
    <w:rsid w:val="00894762"/>
    <w:rsid w:val="00894A3B"/>
    <w:rsid w:val="00894BC7"/>
    <w:rsid w:val="008958AD"/>
    <w:rsid w:val="00895B51"/>
    <w:rsid w:val="00896520"/>
    <w:rsid w:val="00896C2E"/>
    <w:rsid w:val="008A01A6"/>
    <w:rsid w:val="008A1099"/>
    <w:rsid w:val="008A13FD"/>
    <w:rsid w:val="008A18E3"/>
    <w:rsid w:val="008A1F2C"/>
    <w:rsid w:val="008A2338"/>
    <w:rsid w:val="008A2365"/>
    <w:rsid w:val="008A2992"/>
    <w:rsid w:val="008A2C72"/>
    <w:rsid w:val="008A3F5B"/>
    <w:rsid w:val="008A42E0"/>
    <w:rsid w:val="008A44D5"/>
    <w:rsid w:val="008A497A"/>
    <w:rsid w:val="008A4986"/>
    <w:rsid w:val="008A4F17"/>
    <w:rsid w:val="008A5625"/>
    <w:rsid w:val="008A5AA8"/>
    <w:rsid w:val="008A5EE7"/>
    <w:rsid w:val="008A703C"/>
    <w:rsid w:val="008A7209"/>
    <w:rsid w:val="008A761A"/>
    <w:rsid w:val="008A7AA3"/>
    <w:rsid w:val="008A7BD4"/>
    <w:rsid w:val="008B0686"/>
    <w:rsid w:val="008B0834"/>
    <w:rsid w:val="008B095B"/>
    <w:rsid w:val="008B16FD"/>
    <w:rsid w:val="008B32F5"/>
    <w:rsid w:val="008B3E5A"/>
    <w:rsid w:val="008B4FDA"/>
    <w:rsid w:val="008B51EF"/>
    <w:rsid w:val="008B5F21"/>
    <w:rsid w:val="008B63A1"/>
    <w:rsid w:val="008B7423"/>
    <w:rsid w:val="008B780C"/>
    <w:rsid w:val="008C0400"/>
    <w:rsid w:val="008C0C2F"/>
    <w:rsid w:val="008C180B"/>
    <w:rsid w:val="008C1CB7"/>
    <w:rsid w:val="008C30AE"/>
    <w:rsid w:val="008C32E0"/>
    <w:rsid w:val="008C37C3"/>
    <w:rsid w:val="008C3E10"/>
    <w:rsid w:val="008C452D"/>
    <w:rsid w:val="008C4B39"/>
    <w:rsid w:val="008C4D49"/>
    <w:rsid w:val="008C5045"/>
    <w:rsid w:val="008C6391"/>
    <w:rsid w:val="008C7670"/>
    <w:rsid w:val="008C78EA"/>
    <w:rsid w:val="008D0300"/>
    <w:rsid w:val="008D045F"/>
    <w:rsid w:val="008D05F9"/>
    <w:rsid w:val="008D0622"/>
    <w:rsid w:val="008D097F"/>
    <w:rsid w:val="008D0A3B"/>
    <w:rsid w:val="008D1178"/>
    <w:rsid w:val="008D1E90"/>
    <w:rsid w:val="008D200B"/>
    <w:rsid w:val="008D2041"/>
    <w:rsid w:val="008D273A"/>
    <w:rsid w:val="008D2744"/>
    <w:rsid w:val="008D2B91"/>
    <w:rsid w:val="008D34DF"/>
    <w:rsid w:val="008D4110"/>
    <w:rsid w:val="008D56D2"/>
    <w:rsid w:val="008D64D4"/>
    <w:rsid w:val="008D64FA"/>
    <w:rsid w:val="008D7763"/>
    <w:rsid w:val="008E08B1"/>
    <w:rsid w:val="008E10DE"/>
    <w:rsid w:val="008E2763"/>
    <w:rsid w:val="008E31D7"/>
    <w:rsid w:val="008E3586"/>
    <w:rsid w:val="008E3B23"/>
    <w:rsid w:val="008E4296"/>
    <w:rsid w:val="008E4641"/>
    <w:rsid w:val="008E48C3"/>
    <w:rsid w:val="008E51B7"/>
    <w:rsid w:val="008E528F"/>
    <w:rsid w:val="008E5593"/>
    <w:rsid w:val="008E55E5"/>
    <w:rsid w:val="008E5895"/>
    <w:rsid w:val="008E6150"/>
    <w:rsid w:val="008E618E"/>
    <w:rsid w:val="008E6509"/>
    <w:rsid w:val="008E70C6"/>
    <w:rsid w:val="008E7A6D"/>
    <w:rsid w:val="008E7DF7"/>
    <w:rsid w:val="008E7E8C"/>
    <w:rsid w:val="008F0AEB"/>
    <w:rsid w:val="008F0CD8"/>
    <w:rsid w:val="008F10D3"/>
    <w:rsid w:val="008F2A83"/>
    <w:rsid w:val="008F2B1D"/>
    <w:rsid w:val="008F3082"/>
    <w:rsid w:val="008F35E8"/>
    <w:rsid w:val="008F38AB"/>
    <w:rsid w:val="008F38FF"/>
    <w:rsid w:val="008F3AF1"/>
    <w:rsid w:val="008F3DED"/>
    <w:rsid w:val="008F459B"/>
    <w:rsid w:val="008F45D2"/>
    <w:rsid w:val="008F51E7"/>
    <w:rsid w:val="008F5375"/>
    <w:rsid w:val="008F577E"/>
    <w:rsid w:val="008F5DD4"/>
    <w:rsid w:val="008F691A"/>
    <w:rsid w:val="008F6925"/>
    <w:rsid w:val="008F6F54"/>
    <w:rsid w:val="009003BE"/>
    <w:rsid w:val="009003DA"/>
    <w:rsid w:val="0090145C"/>
    <w:rsid w:val="009014AA"/>
    <w:rsid w:val="009016DD"/>
    <w:rsid w:val="009026AD"/>
    <w:rsid w:val="00902747"/>
    <w:rsid w:val="00902D20"/>
    <w:rsid w:val="00902FB3"/>
    <w:rsid w:val="00903378"/>
    <w:rsid w:val="009037AA"/>
    <w:rsid w:val="00903AE3"/>
    <w:rsid w:val="00903C00"/>
    <w:rsid w:val="00905F74"/>
    <w:rsid w:val="00906838"/>
    <w:rsid w:val="0090697E"/>
    <w:rsid w:val="0090703E"/>
    <w:rsid w:val="009071C7"/>
    <w:rsid w:val="009072CF"/>
    <w:rsid w:val="009076D3"/>
    <w:rsid w:val="00907E19"/>
    <w:rsid w:val="00907F4D"/>
    <w:rsid w:val="00910B44"/>
    <w:rsid w:val="00911C2E"/>
    <w:rsid w:val="00912168"/>
    <w:rsid w:val="00912D06"/>
    <w:rsid w:val="00912E9D"/>
    <w:rsid w:val="00912FB3"/>
    <w:rsid w:val="0091328F"/>
    <w:rsid w:val="00913298"/>
    <w:rsid w:val="009139E5"/>
    <w:rsid w:val="00913A58"/>
    <w:rsid w:val="00914016"/>
    <w:rsid w:val="0091445D"/>
    <w:rsid w:val="009144D1"/>
    <w:rsid w:val="0091459C"/>
    <w:rsid w:val="0091469C"/>
    <w:rsid w:val="00914742"/>
    <w:rsid w:val="0091489E"/>
    <w:rsid w:val="00915205"/>
    <w:rsid w:val="00915273"/>
    <w:rsid w:val="0091539E"/>
    <w:rsid w:val="00915830"/>
    <w:rsid w:val="00915C2B"/>
    <w:rsid w:val="009160D4"/>
    <w:rsid w:val="00916176"/>
    <w:rsid w:val="00916210"/>
    <w:rsid w:val="00916430"/>
    <w:rsid w:val="00916BFA"/>
    <w:rsid w:val="009171D8"/>
    <w:rsid w:val="009179FD"/>
    <w:rsid w:val="00917A9B"/>
    <w:rsid w:val="00917AC8"/>
    <w:rsid w:val="00917BE9"/>
    <w:rsid w:val="009222B0"/>
    <w:rsid w:val="00922C0C"/>
    <w:rsid w:val="00922EC2"/>
    <w:rsid w:val="009241DA"/>
    <w:rsid w:val="00924580"/>
    <w:rsid w:val="009246E5"/>
    <w:rsid w:val="0092478C"/>
    <w:rsid w:val="0092479A"/>
    <w:rsid w:val="009247CA"/>
    <w:rsid w:val="00924CF9"/>
    <w:rsid w:val="0092508F"/>
    <w:rsid w:val="00925337"/>
    <w:rsid w:val="0092537C"/>
    <w:rsid w:val="00925779"/>
    <w:rsid w:val="00925A9E"/>
    <w:rsid w:val="00926169"/>
    <w:rsid w:val="009261EA"/>
    <w:rsid w:val="009262C5"/>
    <w:rsid w:val="00926300"/>
    <w:rsid w:val="00926E85"/>
    <w:rsid w:val="00927E23"/>
    <w:rsid w:val="00930C17"/>
    <w:rsid w:val="009311D0"/>
    <w:rsid w:val="00932FE8"/>
    <w:rsid w:val="00934062"/>
    <w:rsid w:val="00934338"/>
    <w:rsid w:val="00934843"/>
    <w:rsid w:val="00934E54"/>
    <w:rsid w:val="0093552D"/>
    <w:rsid w:val="0093565C"/>
    <w:rsid w:val="0093572B"/>
    <w:rsid w:val="009400E0"/>
    <w:rsid w:val="0094108D"/>
    <w:rsid w:val="00941570"/>
    <w:rsid w:val="009417DF"/>
    <w:rsid w:val="00942306"/>
    <w:rsid w:val="00943132"/>
    <w:rsid w:val="0094377A"/>
    <w:rsid w:val="0094428E"/>
    <w:rsid w:val="00944B30"/>
    <w:rsid w:val="00945792"/>
    <w:rsid w:val="0094717B"/>
    <w:rsid w:val="00947373"/>
    <w:rsid w:val="00947407"/>
    <w:rsid w:val="009479D9"/>
    <w:rsid w:val="00947A7B"/>
    <w:rsid w:val="00950A0A"/>
    <w:rsid w:val="0095275B"/>
    <w:rsid w:val="00952792"/>
    <w:rsid w:val="00953BD7"/>
    <w:rsid w:val="009542A3"/>
    <w:rsid w:val="00954C65"/>
    <w:rsid w:val="0095566C"/>
    <w:rsid w:val="009557CD"/>
    <w:rsid w:val="00956372"/>
    <w:rsid w:val="00956D4D"/>
    <w:rsid w:val="00957185"/>
    <w:rsid w:val="00957C69"/>
    <w:rsid w:val="00957E15"/>
    <w:rsid w:val="009600CB"/>
    <w:rsid w:val="0096168B"/>
    <w:rsid w:val="009616B5"/>
    <w:rsid w:val="009616F3"/>
    <w:rsid w:val="00961A6B"/>
    <w:rsid w:val="0096259D"/>
    <w:rsid w:val="00962A58"/>
    <w:rsid w:val="00963304"/>
    <w:rsid w:val="00965012"/>
    <w:rsid w:val="00965128"/>
    <w:rsid w:val="009658DD"/>
    <w:rsid w:val="009659B5"/>
    <w:rsid w:val="00965B16"/>
    <w:rsid w:val="0096710E"/>
    <w:rsid w:val="0096740E"/>
    <w:rsid w:val="00970611"/>
    <w:rsid w:val="009707F2"/>
    <w:rsid w:val="00970CB3"/>
    <w:rsid w:val="0097153B"/>
    <w:rsid w:val="009715F7"/>
    <w:rsid w:val="00971766"/>
    <w:rsid w:val="00971911"/>
    <w:rsid w:val="00971F28"/>
    <w:rsid w:val="00972E37"/>
    <w:rsid w:val="00973076"/>
    <w:rsid w:val="0097329A"/>
    <w:rsid w:val="0097341D"/>
    <w:rsid w:val="00974388"/>
    <w:rsid w:val="0097499A"/>
    <w:rsid w:val="00974E53"/>
    <w:rsid w:val="009752CB"/>
    <w:rsid w:val="009758C7"/>
    <w:rsid w:val="00975AE8"/>
    <w:rsid w:val="00975DAD"/>
    <w:rsid w:val="009766D5"/>
    <w:rsid w:val="00977763"/>
    <w:rsid w:val="00977808"/>
    <w:rsid w:val="00977A03"/>
    <w:rsid w:val="00977DB0"/>
    <w:rsid w:val="00980056"/>
    <w:rsid w:val="009808B7"/>
    <w:rsid w:val="009811F7"/>
    <w:rsid w:val="009812AE"/>
    <w:rsid w:val="00982721"/>
    <w:rsid w:val="00982B85"/>
    <w:rsid w:val="00982F03"/>
    <w:rsid w:val="009843DB"/>
    <w:rsid w:val="0098460C"/>
    <w:rsid w:val="009848C4"/>
    <w:rsid w:val="00984EC2"/>
    <w:rsid w:val="00985031"/>
    <w:rsid w:val="0098536F"/>
    <w:rsid w:val="00985DC8"/>
    <w:rsid w:val="0098631A"/>
    <w:rsid w:val="00986B33"/>
    <w:rsid w:val="009874B7"/>
    <w:rsid w:val="00987AD5"/>
    <w:rsid w:val="00990149"/>
    <w:rsid w:val="009908AE"/>
    <w:rsid w:val="00990D2E"/>
    <w:rsid w:val="00991052"/>
    <w:rsid w:val="009911FD"/>
    <w:rsid w:val="00991342"/>
    <w:rsid w:val="00991B30"/>
    <w:rsid w:val="00991D67"/>
    <w:rsid w:val="00991DC7"/>
    <w:rsid w:val="00992163"/>
    <w:rsid w:val="00993027"/>
    <w:rsid w:val="0099320C"/>
    <w:rsid w:val="009934D2"/>
    <w:rsid w:val="00993C04"/>
    <w:rsid w:val="00993C84"/>
    <w:rsid w:val="00994193"/>
    <w:rsid w:val="00994593"/>
    <w:rsid w:val="00994715"/>
    <w:rsid w:val="00994F22"/>
    <w:rsid w:val="009956C7"/>
    <w:rsid w:val="009959FB"/>
    <w:rsid w:val="009968E8"/>
    <w:rsid w:val="009970DA"/>
    <w:rsid w:val="009A01A8"/>
    <w:rsid w:val="009A0629"/>
    <w:rsid w:val="009A0B59"/>
    <w:rsid w:val="009A0C9A"/>
    <w:rsid w:val="009A0EFB"/>
    <w:rsid w:val="009A1119"/>
    <w:rsid w:val="009A1443"/>
    <w:rsid w:val="009A1479"/>
    <w:rsid w:val="009A1504"/>
    <w:rsid w:val="009A3C46"/>
    <w:rsid w:val="009A4486"/>
    <w:rsid w:val="009A5C3C"/>
    <w:rsid w:val="009A6659"/>
    <w:rsid w:val="009A71AC"/>
    <w:rsid w:val="009A72A4"/>
    <w:rsid w:val="009A77E3"/>
    <w:rsid w:val="009B0A5B"/>
    <w:rsid w:val="009B0AD6"/>
    <w:rsid w:val="009B0F97"/>
    <w:rsid w:val="009B100E"/>
    <w:rsid w:val="009B1105"/>
    <w:rsid w:val="009B111F"/>
    <w:rsid w:val="009B317C"/>
    <w:rsid w:val="009B37E5"/>
    <w:rsid w:val="009B3874"/>
    <w:rsid w:val="009B3C19"/>
    <w:rsid w:val="009B4B86"/>
    <w:rsid w:val="009B54D8"/>
    <w:rsid w:val="009B591D"/>
    <w:rsid w:val="009B592F"/>
    <w:rsid w:val="009B5FBC"/>
    <w:rsid w:val="009B66C6"/>
    <w:rsid w:val="009B6898"/>
    <w:rsid w:val="009B7138"/>
    <w:rsid w:val="009C021C"/>
    <w:rsid w:val="009C19B7"/>
    <w:rsid w:val="009C2412"/>
    <w:rsid w:val="009C2B21"/>
    <w:rsid w:val="009C2BBD"/>
    <w:rsid w:val="009C42FE"/>
    <w:rsid w:val="009C4B3C"/>
    <w:rsid w:val="009C4CB7"/>
    <w:rsid w:val="009C5496"/>
    <w:rsid w:val="009C5929"/>
    <w:rsid w:val="009C5A9F"/>
    <w:rsid w:val="009C623F"/>
    <w:rsid w:val="009C6392"/>
    <w:rsid w:val="009C6932"/>
    <w:rsid w:val="009C72A4"/>
    <w:rsid w:val="009C7DC1"/>
    <w:rsid w:val="009D01BB"/>
    <w:rsid w:val="009D03B6"/>
    <w:rsid w:val="009D06B9"/>
    <w:rsid w:val="009D1267"/>
    <w:rsid w:val="009D1651"/>
    <w:rsid w:val="009D3018"/>
    <w:rsid w:val="009D3049"/>
    <w:rsid w:val="009D36BD"/>
    <w:rsid w:val="009D3DE7"/>
    <w:rsid w:val="009D451E"/>
    <w:rsid w:val="009D549A"/>
    <w:rsid w:val="009D5519"/>
    <w:rsid w:val="009D5A34"/>
    <w:rsid w:val="009D5A6F"/>
    <w:rsid w:val="009D6D36"/>
    <w:rsid w:val="009D6D4C"/>
    <w:rsid w:val="009D70E9"/>
    <w:rsid w:val="009D70EA"/>
    <w:rsid w:val="009D7A0C"/>
    <w:rsid w:val="009D7CB9"/>
    <w:rsid w:val="009D7FB4"/>
    <w:rsid w:val="009E0607"/>
    <w:rsid w:val="009E08DA"/>
    <w:rsid w:val="009E16A0"/>
    <w:rsid w:val="009E1B1F"/>
    <w:rsid w:val="009E20F4"/>
    <w:rsid w:val="009E225C"/>
    <w:rsid w:val="009E24E5"/>
    <w:rsid w:val="009E2666"/>
    <w:rsid w:val="009E3D51"/>
    <w:rsid w:val="009E44BD"/>
    <w:rsid w:val="009E5251"/>
    <w:rsid w:val="009E544F"/>
    <w:rsid w:val="009E616D"/>
    <w:rsid w:val="009E68C7"/>
    <w:rsid w:val="009E6FE4"/>
    <w:rsid w:val="009F0772"/>
    <w:rsid w:val="009F11D0"/>
    <w:rsid w:val="009F2CE5"/>
    <w:rsid w:val="009F3AB3"/>
    <w:rsid w:val="009F41E2"/>
    <w:rsid w:val="009F420B"/>
    <w:rsid w:val="009F4544"/>
    <w:rsid w:val="009F495F"/>
    <w:rsid w:val="009F51DA"/>
    <w:rsid w:val="009F5B87"/>
    <w:rsid w:val="009F5CC0"/>
    <w:rsid w:val="009F5ED0"/>
    <w:rsid w:val="009F6068"/>
    <w:rsid w:val="009F6B51"/>
    <w:rsid w:val="009F6C83"/>
    <w:rsid w:val="009F6E9A"/>
    <w:rsid w:val="00A00635"/>
    <w:rsid w:val="00A0067E"/>
    <w:rsid w:val="00A00AA8"/>
    <w:rsid w:val="00A00FA5"/>
    <w:rsid w:val="00A0124A"/>
    <w:rsid w:val="00A0124B"/>
    <w:rsid w:val="00A01345"/>
    <w:rsid w:val="00A02736"/>
    <w:rsid w:val="00A0286D"/>
    <w:rsid w:val="00A028C7"/>
    <w:rsid w:val="00A03EB0"/>
    <w:rsid w:val="00A05D72"/>
    <w:rsid w:val="00A0648B"/>
    <w:rsid w:val="00A0770A"/>
    <w:rsid w:val="00A07B61"/>
    <w:rsid w:val="00A103CD"/>
    <w:rsid w:val="00A10403"/>
    <w:rsid w:val="00A10F06"/>
    <w:rsid w:val="00A11261"/>
    <w:rsid w:val="00A11F19"/>
    <w:rsid w:val="00A123D8"/>
    <w:rsid w:val="00A12E9F"/>
    <w:rsid w:val="00A12FA7"/>
    <w:rsid w:val="00A13134"/>
    <w:rsid w:val="00A1336C"/>
    <w:rsid w:val="00A14B83"/>
    <w:rsid w:val="00A14D07"/>
    <w:rsid w:val="00A15434"/>
    <w:rsid w:val="00A16D96"/>
    <w:rsid w:val="00A16E93"/>
    <w:rsid w:val="00A17AEC"/>
    <w:rsid w:val="00A21132"/>
    <w:rsid w:val="00A2130A"/>
    <w:rsid w:val="00A21489"/>
    <w:rsid w:val="00A21CCD"/>
    <w:rsid w:val="00A223D6"/>
    <w:rsid w:val="00A228F8"/>
    <w:rsid w:val="00A22A91"/>
    <w:rsid w:val="00A22ADF"/>
    <w:rsid w:val="00A240D0"/>
    <w:rsid w:val="00A24482"/>
    <w:rsid w:val="00A245B0"/>
    <w:rsid w:val="00A25900"/>
    <w:rsid w:val="00A25960"/>
    <w:rsid w:val="00A26FC0"/>
    <w:rsid w:val="00A27E59"/>
    <w:rsid w:val="00A3006F"/>
    <w:rsid w:val="00A300AE"/>
    <w:rsid w:val="00A30414"/>
    <w:rsid w:val="00A3146F"/>
    <w:rsid w:val="00A31AEB"/>
    <w:rsid w:val="00A32BA0"/>
    <w:rsid w:val="00A332C2"/>
    <w:rsid w:val="00A33603"/>
    <w:rsid w:val="00A35E05"/>
    <w:rsid w:val="00A36D2C"/>
    <w:rsid w:val="00A37F29"/>
    <w:rsid w:val="00A4037F"/>
    <w:rsid w:val="00A40DDE"/>
    <w:rsid w:val="00A40E87"/>
    <w:rsid w:val="00A40EEA"/>
    <w:rsid w:val="00A40F98"/>
    <w:rsid w:val="00A41089"/>
    <w:rsid w:val="00A41884"/>
    <w:rsid w:val="00A41C8E"/>
    <w:rsid w:val="00A41FE6"/>
    <w:rsid w:val="00A420EC"/>
    <w:rsid w:val="00A4275F"/>
    <w:rsid w:val="00A42B22"/>
    <w:rsid w:val="00A4322A"/>
    <w:rsid w:val="00A43992"/>
    <w:rsid w:val="00A439A2"/>
    <w:rsid w:val="00A43ECE"/>
    <w:rsid w:val="00A44616"/>
    <w:rsid w:val="00A44805"/>
    <w:rsid w:val="00A451D1"/>
    <w:rsid w:val="00A45340"/>
    <w:rsid w:val="00A4648A"/>
    <w:rsid w:val="00A466F2"/>
    <w:rsid w:val="00A47209"/>
    <w:rsid w:val="00A47217"/>
    <w:rsid w:val="00A477B3"/>
    <w:rsid w:val="00A47EDD"/>
    <w:rsid w:val="00A51618"/>
    <w:rsid w:val="00A517D0"/>
    <w:rsid w:val="00A51C08"/>
    <w:rsid w:val="00A520DE"/>
    <w:rsid w:val="00A52E13"/>
    <w:rsid w:val="00A5435F"/>
    <w:rsid w:val="00A549F5"/>
    <w:rsid w:val="00A557F8"/>
    <w:rsid w:val="00A558E0"/>
    <w:rsid w:val="00A55DC0"/>
    <w:rsid w:val="00A56083"/>
    <w:rsid w:val="00A5651F"/>
    <w:rsid w:val="00A56DDD"/>
    <w:rsid w:val="00A57942"/>
    <w:rsid w:val="00A57EDA"/>
    <w:rsid w:val="00A60A71"/>
    <w:rsid w:val="00A60B2C"/>
    <w:rsid w:val="00A60E9E"/>
    <w:rsid w:val="00A6125E"/>
    <w:rsid w:val="00A61352"/>
    <w:rsid w:val="00A61F62"/>
    <w:rsid w:val="00A638B6"/>
    <w:rsid w:val="00A63A62"/>
    <w:rsid w:val="00A63B1C"/>
    <w:rsid w:val="00A64789"/>
    <w:rsid w:val="00A649D0"/>
    <w:rsid w:val="00A65C21"/>
    <w:rsid w:val="00A65E4C"/>
    <w:rsid w:val="00A65F65"/>
    <w:rsid w:val="00A66124"/>
    <w:rsid w:val="00A668AA"/>
    <w:rsid w:val="00A66B90"/>
    <w:rsid w:val="00A674FF"/>
    <w:rsid w:val="00A67C51"/>
    <w:rsid w:val="00A67E18"/>
    <w:rsid w:val="00A70E07"/>
    <w:rsid w:val="00A7151A"/>
    <w:rsid w:val="00A71ECE"/>
    <w:rsid w:val="00A722A6"/>
    <w:rsid w:val="00A73015"/>
    <w:rsid w:val="00A731B0"/>
    <w:rsid w:val="00A73820"/>
    <w:rsid w:val="00A75995"/>
    <w:rsid w:val="00A75B6A"/>
    <w:rsid w:val="00A75EB6"/>
    <w:rsid w:val="00A76B03"/>
    <w:rsid w:val="00A77399"/>
    <w:rsid w:val="00A773C3"/>
    <w:rsid w:val="00A774C1"/>
    <w:rsid w:val="00A776DA"/>
    <w:rsid w:val="00A77F5F"/>
    <w:rsid w:val="00A77FDF"/>
    <w:rsid w:val="00A80107"/>
    <w:rsid w:val="00A80A25"/>
    <w:rsid w:val="00A828F8"/>
    <w:rsid w:val="00A83041"/>
    <w:rsid w:val="00A8400B"/>
    <w:rsid w:val="00A844F9"/>
    <w:rsid w:val="00A846D1"/>
    <w:rsid w:val="00A84A9A"/>
    <w:rsid w:val="00A84B3F"/>
    <w:rsid w:val="00A84ED0"/>
    <w:rsid w:val="00A852FA"/>
    <w:rsid w:val="00A859EA"/>
    <w:rsid w:val="00A85DE9"/>
    <w:rsid w:val="00A85E3C"/>
    <w:rsid w:val="00A8763D"/>
    <w:rsid w:val="00A87647"/>
    <w:rsid w:val="00A877DA"/>
    <w:rsid w:val="00A87DCB"/>
    <w:rsid w:val="00A87F16"/>
    <w:rsid w:val="00A90880"/>
    <w:rsid w:val="00A90A14"/>
    <w:rsid w:val="00A90BD4"/>
    <w:rsid w:val="00A90D37"/>
    <w:rsid w:val="00A90FC2"/>
    <w:rsid w:val="00A91AF2"/>
    <w:rsid w:val="00A92440"/>
    <w:rsid w:val="00A926DE"/>
    <w:rsid w:val="00A92DA0"/>
    <w:rsid w:val="00A93467"/>
    <w:rsid w:val="00A93912"/>
    <w:rsid w:val="00A93F0A"/>
    <w:rsid w:val="00A940CD"/>
    <w:rsid w:val="00A9419A"/>
    <w:rsid w:val="00A950C1"/>
    <w:rsid w:val="00A95993"/>
    <w:rsid w:val="00A9639F"/>
    <w:rsid w:val="00A9790D"/>
    <w:rsid w:val="00A9798A"/>
    <w:rsid w:val="00AA01BE"/>
    <w:rsid w:val="00AA10DA"/>
    <w:rsid w:val="00AA134A"/>
    <w:rsid w:val="00AA13B7"/>
    <w:rsid w:val="00AA17F1"/>
    <w:rsid w:val="00AA1E1A"/>
    <w:rsid w:val="00AA1F74"/>
    <w:rsid w:val="00AA2CF1"/>
    <w:rsid w:val="00AA2F2F"/>
    <w:rsid w:val="00AA32FD"/>
    <w:rsid w:val="00AA37F6"/>
    <w:rsid w:val="00AA3F71"/>
    <w:rsid w:val="00AA4540"/>
    <w:rsid w:val="00AA461A"/>
    <w:rsid w:val="00AA484F"/>
    <w:rsid w:val="00AA4D55"/>
    <w:rsid w:val="00AA57F8"/>
    <w:rsid w:val="00AA5C74"/>
    <w:rsid w:val="00AA5CBC"/>
    <w:rsid w:val="00AA741F"/>
    <w:rsid w:val="00AA7518"/>
    <w:rsid w:val="00AB03C7"/>
    <w:rsid w:val="00AB0DC5"/>
    <w:rsid w:val="00AB0FA7"/>
    <w:rsid w:val="00AB104A"/>
    <w:rsid w:val="00AB10C3"/>
    <w:rsid w:val="00AB116F"/>
    <w:rsid w:val="00AB1BBC"/>
    <w:rsid w:val="00AB1EFA"/>
    <w:rsid w:val="00AB21A0"/>
    <w:rsid w:val="00AB227B"/>
    <w:rsid w:val="00AB2716"/>
    <w:rsid w:val="00AB36E7"/>
    <w:rsid w:val="00AB39DE"/>
    <w:rsid w:val="00AB4193"/>
    <w:rsid w:val="00AB50BB"/>
    <w:rsid w:val="00AB54C0"/>
    <w:rsid w:val="00AB5F4B"/>
    <w:rsid w:val="00AB63CB"/>
    <w:rsid w:val="00AB664C"/>
    <w:rsid w:val="00AB692B"/>
    <w:rsid w:val="00AB695B"/>
    <w:rsid w:val="00AB6B55"/>
    <w:rsid w:val="00AB6F57"/>
    <w:rsid w:val="00AB75C6"/>
    <w:rsid w:val="00AB7A25"/>
    <w:rsid w:val="00AB7D96"/>
    <w:rsid w:val="00AB7E28"/>
    <w:rsid w:val="00AB7F5A"/>
    <w:rsid w:val="00AC0291"/>
    <w:rsid w:val="00AC08A2"/>
    <w:rsid w:val="00AC13E8"/>
    <w:rsid w:val="00AC1AA2"/>
    <w:rsid w:val="00AC2A9B"/>
    <w:rsid w:val="00AC3344"/>
    <w:rsid w:val="00AC33DE"/>
    <w:rsid w:val="00AC33E5"/>
    <w:rsid w:val="00AC3527"/>
    <w:rsid w:val="00AC37FB"/>
    <w:rsid w:val="00AC48C7"/>
    <w:rsid w:val="00AC49FE"/>
    <w:rsid w:val="00AC52D9"/>
    <w:rsid w:val="00AC5383"/>
    <w:rsid w:val="00AC58F6"/>
    <w:rsid w:val="00AC5B52"/>
    <w:rsid w:val="00AC5BA8"/>
    <w:rsid w:val="00AC5EEC"/>
    <w:rsid w:val="00AC6778"/>
    <w:rsid w:val="00AC6A4F"/>
    <w:rsid w:val="00AC6DA5"/>
    <w:rsid w:val="00AC71A3"/>
    <w:rsid w:val="00AC72B0"/>
    <w:rsid w:val="00AC7501"/>
    <w:rsid w:val="00AC7B6D"/>
    <w:rsid w:val="00AD02F1"/>
    <w:rsid w:val="00AD0CD5"/>
    <w:rsid w:val="00AD1052"/>
    <w:rsid w:val="00AD201F"/>
    <w:rsid w:val="00AD2A03"/>
    <w:rsid w:val="00AD3093"/>
    <w:rsid w:val="00AD3836"/>
    <w:rsid w:val="00AD3F3C"/>
    <w:rsid w:val="00AD4F2B"/>
    <w:rsid w:val="00AD50A1"/>
    <w:rsid w:val="00AD526F"/>
    <w:rsid w:val="00AD52AE"/>
    <w:rsid w:val="00AD55DA"/>
    <w:rsid w:val="00AD5670"/>
    <w:rsid w:val="00AD6078"/>
    <w:rsid w:val="00AD62FA"/>
    <w:rsid w:val="00AD66C8"/>
    <w:rsid w:val="00AD707F"/>
    <w:rsid w:val="00AD75D6"/>
    <w:rsid w:val="00AE0569"/>
    <w:rsid w:val="00AE1998"/>
    <w:rsid w:val="00AE24DA"/>
    <w:rsid w:val="00AE2906"/>
    <w:rsid w:val="00AE2A79"/>
    <w:rsid w:val="00AE3A9F"/>
    <w:rsid w:val="00AE400B"/>
    <w:rsid w:val="00AE48F5"/>
    <w:rsid w:val="00AE4930"/>
    <w:rsid w:val="00AE497B"/>
    <w:rsid w:val="00AE4B7E"/>
    <w:rsid w:val="00AE4C74"/>
    <w:rsid w:val="00AE5067"/>
    <w:rsid w:val="00AE5D56"/>
    <w:rsid w:val="00AE66B1"/>
    <w:rsid w:val="00AE6C91"/>
    <w:rsid w:val="00AE6E5D"/>
    <w:rsid w:val="00AE7011"/>
    <w:rsid w:val="00AE7913"/>
    <w:rsid w:val="00AE794E"/>
    <w:rsid w:val="00AF1E4E"/>
    <w:rsid w:val="00AF1F1B"/>
    <w:rsid w:val="00AF26DB"/>
    <w:rsid w:val="00AF42ED"/>
    <w:rsid w:val="00AF43A8"/>
    <w:rsid w:val="00AF4619"/>
    <w:rsid w:val="00AF565A"/>
    <w:rsid w:val="00AF5BA0"/>
    <w:rsid w:val="00AF6154"/>
    <w:rsid w:val="00AF69A0"/>
    <w:rsid w:val="00AF6A38"/>
    <w:rsid w:val="00AF7B09"/>
    <w:rsid w:val="00AF7E1B"/>
    <w:rsid w:val="00B00028"/>
    <w:rsid w:val="00B003AB"/>
    <w:rsid w:val="00B00D56"/>
    <w:rsid w:val="00B012F3"/>
    <w:rsid w:val="00B01486"/>
    <w:rsid w:val="00B015B5"/>
    <w:rsid w:val="00B02856"/>
    <w:rsid w:val="00B02A2A"/>
    <w:rsid w:val="00B0344B"/>
    <w:rsid w:val="00B03530"/>
    <w:rsid w:val="00B03B91"/>
    <w:rsid w:val="00B04003"/>
    <w:rsid w:val="00B044BA"/>
    <w:rsid w:val="00B04A8B"/>
    <w:rsid w:val="00B05853"/>
    <w:rsid w:val="00B05953"/>
    <w:rsid w:val="00B0678E"/>
    <w:rsid w:val="00B06B23"/>
    <w:rsid w:val="00B07390"/>
    <w:rsid w:val="00B10036"/>
    <w:rsid w:val="00B10269"/>
    <w:rsid w:val="00B10519"/>
    <w:rsid w:val="00B106FE"/>
    <w:rsid w:val="00B10F32"/>
    <w:rsid w:val="00B117F1"/>
    <w:rsid w:val="00B11BD3"/>
    <w:rsid w:val="00B11CE9"/>
    <w:rsid w:val="00B12761"/>
    <w:rsid w:val="00B12901"/>
    <w:rsid w:val="00B12D74"/>
    <w:rsid w:val="00B12EA6"/>
    <w:rsid w:val="00B13A9B"/>
    <w:rsid w:val="00B13E36"/>
    <w:rsid w:val="00B1408E"/>
    <w:rsid w:val="00B14AC2"/>
    <w:rsid w:val="00B14D73"/>
    <w:rsid w:val="00B15045"/>
    <w:rsid w:val="00B164AD"/>
    <w:rsid w:val="00B16DD7"/>
    <w:rsid w:val="00B17F99"/>
    <w:rsid w:val="00B17FEC"/>
    <w:rsid w:val="00B202DD"/>
    <w:rsid w:val="00B20A3E"/>
    <w:rsid w:val="00B21175"/>
    <w:rsid w:val="00B2118E"/>
    <w:rsid w:val="00B211BB"/>
    <w:rsid w:val="00B2147A"/>
    <w:rsid w:val="00B2186D"/>
    <w:rsid w:val="00B220F6"/>
    <w:rsid w:val="00B233D9"/>
    <w:rsid w:val="00B23706"/>
    <w:rsid w:val="00B23BD5"/>
    <w:rsid w:val="00B23E4F"/>
    <w:rsid w:val="00B251A6"/>
    <w:rsid w:val="00B256F7"/>
    <w:rsid w:val="00B259B4"/>
    <w:rsid w:val="00B26188"/>
    <w:rsid w:val="00B26363"/>
    <w:rsid w:val="00B3049C"/>
    <w:rsid w:val="00B30775"/>
    <w:rsid w:val="00B321F5"/>
    <w:rsid w:val="00B33184"/>
    <w:rsid w:val="00B3371A"/>
    <w:rsid w:val="00B33E02"/>
    <w:rsid w:val="00B34699"/>
    <w:rsid w:val="00B34B0B"/>
    <w:rsid w:val="00B34C08"/>
    <w:rsid w:val="00B35A03"/>
    <w:rsid w:val="00B35D4E"/>
    <w:rsid w:val="00B364B3"/>
    <w:rsid w:val="00B36707"/>
    <w:rsid w:val="00B36D3B"/>
    <w:rsid w:val="00B378C8"/>
    <w:rsid w:val="00B37F82"/>
    <w:rsid w:val="00B406D4"/>
    <w:rsid w:val="00B4087F"/>
    <w:rsid w:val="00B41909"/>
    <w:rsid w:val="00B421C2"/>
    <w:rsid w:val="00B42213"/>
    <w:rsid w:val="00B428E4"/>
    <w:rsid w:val="00B43884"/>
    <w:rsid w:val="00B44DA8"/>
    <w:rsid w:val="00B44E26"/>
    <w:rsid w:val="00B45638"/>
    <w:rsid w:val="00B459A2"/>
    <w:rsid w:val="00B46A9E"/>
    <w:rsid w:val="00B46DD8"/>
    <w:rsid w:val="00B479FC"/>
    <w:rsid w:val="00B50CCE"/>
    <w:rsid w:val="00B51168"/>
    <w:rsid w:val="00B511B9"/>
    <w:rsid w:val="00B519CE"/>
    <w:rsid w:val="00B52630"/>
    <w:rsid w:val="00B53B14"/>
    <w:rsid w:val="00B54832"/>
    <w:rsid w:val="00B55342"/>
    <w:rsid w:val="00B55747"/>
    <w:rsid w:val="00B55CFB"/>
    <w:rsid w:val="00B568C6"/>
    <w:rsid w:val="00B57D5E"/>
    <w:rsid w:val="00B57DB1"/>
    <w:rsid w:val="00B57EF7"/>
    <w:rsid w:val="00B616E7"/>
    <w:rsid w:val="00B61B72"/>
    <w:rsid w:val="00B625CA"/>
    <w:rsid w:val="00B627E5"/>
    <w:rsid w:val="00B62C35"/>
    <w:rsid w:val="00B63480"/>
    <w:rsid w:val="00B63689"/>
    <w:rsid w:val="00B64031"/>
    <w:rsid w:val="00B64C2D"/>
    <w:rsid w:val="00B654B4"/>
    <w:rsid w:val="00B660A8"/>
    <w:rsid w:val="00B6671A"/>
    <w:rsid w:val="00B667F9"/>
    <w:rsid w:val="00B66816"/>
    <w:rsid w:val="00B66AC3"/>
    <w:rsid w:val="00B6718E"/>
    <w:rsid w:val="00B67DCC"/>
    <w:rsid w:val="00B70174"/>
    <w:rsid w:val="00B70248"/>
    <w:rsid w:val="00B71099"/>
    <w:rsid w:val="00B712D9"/>
    <w:rsid w:val="00B71546"/>
    <w:rsid w:val="00B71E07"/>
    <w:rsid w:val="00B72535"/>
    <w:rsid w:val="00B72CF3"/>
    <w:rsid w:val="00B73224"/>
    <w:rsid w:val="00B73386"/>
    <w:rsid w:val="00B73421"/>
    <w:rsid w:val="00B8039E"/>
    <w:rsid w:val="00B81845"/>
    <w:rsid w:val="00B8284B"/>
    <w:rsid w:val="00B82D29"/>
    <w:rsid w:val="00B82DDE"/>
    <w:rsid w:val="00B82E6C"/>
    <w:rsid w:val="00B82F9B"/>
    <w:rsid w:val="00B831E0"/>
    <w:rsid w:val="00B843C9"/>
    <w:rsid w:val="00B84C19"/>
    <w:rsid w:val="00B84FBE"/>
    <w:rsid w:val="00B85CA3"/>
    <w:rsid w:val="00B875F3"/>
    <w:rsid w:val="00B9010D"/>
    <w:rsid w:val="00B904C5"/>
    <w:rsid w:val="00B90C06"/>
    <w:rsid w:val="00B90CC1"/>
    <w:rsid w:val="00B91215"/>
    <w:rsid w:val="00B91B27"/>
    <w:rsid w:val="00B91BB0"/>
    <w:rsid w:val="00B9215B"/>
    <w:rsid w:val="00B939D3"/>
    <w:rsid w:val="00B93C26"/>
    <w:rsid w:val="00B94159"/>
    <w:rsid w:val="00B94163"/>
    <w:rsid w:val="00B94609"/>
    <w:rsid w:val="00B953CC"/>
    <w:rsid w:val="00B96767"/>
    <w:rsid w:val="00B968B2"/>
    <w:rsid w:val="00B96BBA"/>
    <w:rsid w:val="00B96E10"/>
    <w:rsid w:val="00B97A10"/>
    <w:rsid w:val="00B97C6F"/>
    <w:rsid w:val="00B97FB2"/>
    <w:rsid w:val="00BA0470"/>
    <w:rsid w:val="00BA0DF7"/>
    <w:rsid w:val="00BA12B1"/>
    <w:rsid w:val="00BA2413"/>
    <w:rsid w:val="00BA39E2"/>
    <w:rsid w:val="00BA3BA9"/>
    <w:rsid w:val="00BA3E9C"/>
    <w:rsid w:val="00BA4B2D"/>
    <w:rsid w:val="00BA6295"/>
    <w:rsid w:val="00BA776E"/>
    <w:rsid w:val="00BB02B5"/>
    <w:rsid w:val="00BB1725"/>
    <w:rsid w:val="00BB24B2"/>
    <w:rsid w:val="00BB2A23"/>
    <w:rsid w:val="00BB2AE7"/>
    <w:rsid w:val="00BB2B08"/>
    <w:rsid w:val="00BB2B1B"/>
    <w:rsid w:val="00BB2DDD"/>
    <w:rsid w:val="00BB30FE"/>
    <w:rsid w:val="00BB3494"/>
    <w:rsid w:val="00BB3A60"/>
    <w:rsid w:val="00BB4BCA"/>
    <w:rsid w:val="00BB4F85"/>
    <w:rsid w:val="00BB50F4"/>
    <w:rsid w:val="00BB5256"/>
    <w:rsid w:val="00BB6458"/>
    <w:rsid w:val="00BB67A9"/>
    <w:rsid w:val="00BB6864"/>
    <w:rsid w:val="00BB6B86"/>
    <w:rsid w:val="00BB7BB6"/>
    <w:rsid w:val="00BC001B"/>
    <w:rsid w:val="00BC0C4A"/>
    <w:rsid w:val="00BC1A43"/>
    <w:rsid w:val="00BC1DF3"/>
    <w:rsid w:val="00BC1F2C"/>
    <w:rsid w:val="00BC214F"/>
    <w:rsid w:val="00BC4D5C"/>
    <w:rsid w:val="00BC4DE0"/>
    <w:rsid w:val="00BC4ED8"/>
    <w:rsid w:val="00BC4EF9"/>
    <w:rsid w:val="00BC501F"/>
    <w:rsid w:val="00BC5879"/>
    <w:rsid w:val="00BC5F32"/>
    <w:rsid w:val="00BC615B"/>
    <w:rsid w:val="00BC6EE8"/>
    <w:rsid w:val="00BC760B"/>
    <w:rsid w:val="00BD097C"/>
    <w:rsid w:val="00BD122F"/>
    <w:rsid w:val="00BD1298"/>
    <w:rsid w:val="00BD1668"/>
    <w:rsid w:val="00BD176B"/>
    <w:rsid w:val="00BD2336"/>
    <w:rsid w:val="00BD2640"/>
    <w:rsid w:val="00BD26B1"/>
    <w:rsid w:val="00BD4337"/>
    <w:rsid w:val="00BD4930"/>
    <w:rsid w:val="00BD53D3"/>
    <w:rsid w:val="00BD5F73"/>
    <w:rsid w:val="00BD7219"/>
    <w:rsid w:val="00BD7883"/>
    <w:rsid w:val="00BE02E7"/>
    <w:rsid w:val="00BE0300"/>
    <w:rsid w:val="00BE05E1"/>
    <w:rsid w:val="00BE0695"/>
    <w:rsid w:val="00BE09E4"/>
    <w:rsid w:val="00BE0E0A"/>
    <w:rsid w:val="00BE1C52"/>
    <w:rsid w:val="00BE246D"/>
    <w:rsid w:val="00BE2701"/>
    <w:rsid w:val="00BE2E79"/>
    <w:rsid w:val="00BE30D0"/>
    <w:rsid w:val="00BE360A"/>
    <w:rsid w:val="00BE3CE4"/>
    <w:rsid w:val="00BE4391"/>
    <w:rsid w:val="00BE4451"/>
    <w:rsid w:val="00BE4F4A"/>
    <w:rsid w:val="00BE5219"/>
    <w:rsid w:val="00BE5B2A"/>
    <w:rsid w:val="00BE5BFB"/>
    <w:rsid w:val="00BE6B7B"/>
    <w:rsid w:val="00BE70B4"/>
    <w:rsid w:val="00BE717B"/>
    <w:rsid w:val="00BE7E31"/>
    <w:rsid w:val="00BF0DC6"/>
    <w:rsid w:val="00BF1329"/>
    <w:rsid w:val="00BF17AA"/>
    <w:rsid w:val="00BF1D21"/>
    <w:rsid w:val="00BF2665"/>
    <w:rsid w:val="00BF27A8"/>
    <w:rsid w:val="00BF2A61"/>
    <w:rsid w:val="00BF357A"/>
    <w:rsid w:val="00BF3C23"/>
    <w:rsid w:val="00BF492D"/>
    <w:rsid w:val="00BF49AA"/>
    <w:rsid w:val="00BF53DB"/>
    <w:rsid w:val="00BF59A5"/>
    <w:rsid w:val="00BF5B32"/>
    <w:rsid w:val="00BF65C5"/>
    <w:rsid w:val="00BF6C2E"/>
    <w:rsid w:val="00BF74FE"/>
    <w:rsid w:val="00C00012"/>
    <w:rsid w:val="00C00BA6"/>
    <w:rsid w:val="00C0320C"/>
    <w:rsid w:val="00C0417D"/>
    <w:rsid w:val="00C04208"/>
    <w:rsid w:val="00C04247"/>
    <w:rsid w:val="00C04578"/>
    <w:rsid w:val="00C04C5F"/>
    <w:rsid w:val="00C04D9D"/>
    <w:rsid w:val="00C04FB1"/>
    <w:rsid w:val="00C053C6"/>
    <w:rsid w:val="00C05872"/>
    <w:rsid w:val="00C05CB4"/>
    <w:rsid w:val="00C06931"/>
    <w:rsid w:val="00C06F36"/>
    <w:rsid w:val="00C079FC"/>
    <w:rsid w:val="00C07FFD"/>
    <w:rsid w:val="00C1047F"/>
    <w:rsid w:val="00C118BE"/>
    <w:rsid w:val="00C11F12"/>
    <w:rsid w:val="00C12028"/>
    <w:rsid w:val="00C12454"/>
    <w:rsid w:val="00C131E2"/>
    <w:rsid w:val="00C1375D"/>
    <w:rsid w:val="00C13E3B"/>
    <w:rsid w:val="00C148DC"/>
    <w:rsid w:val="00C14BE7"/>
    <w:rsid w:val="00C15844"/>
    <w:rsid w:val="00C15BE1"/>
    <w:rsid w:val="00C15D2E"/>
    <w:rsid w:val="00C16CD9"/>
    <w:rsid w:val="00C20C4E"/>
    <w:rsid w:val="00C22412"/>
    <w:rsid w:val="00C232AE"/>
    <w:rsid w:val="00C234D1"/>
    <w:rsid w:val="00C23C35"/>
    <w:rsid w:val="00C23CD4"/>
    <w:rsid w:val="00C24232"/>
    <w:rsid w:val="00C24463"/>
    <w:rsid w:val="00C24556"/>
    <w:rsid w:val="00C24A4F"/>
    <w:rsid w:val="00C24AF5"/>
    <w:rsid w:val="00C24E19"/>
    <w:rsid w:val="00C26253"/>
    <w:rsid w:val="00C26447"/>
    <w:rsid w:val="00C27070"/>
    <w:rsid w:val="00C27122"/>
    <w:rsid w:val="00C275CA"/>
    <w:rsid w:val="00C27716"/>
    <w:rsid w:val="00C277C6"/>
    <w:rsid w:val="00C27F5F"/>
    <w:rsid w:val="00C31AE1"/>
    <w:rsid w:val="00C31E97"/>
    <w:rsid w:val="00C323C5"/>
    <w:rsid w:val="00C32AF0"/>
    <w:rsid w:val="00C334A7"/>
    <w:rsid w:val="00C3370B"/>
    <w:rsid w:val="00C33844"/>
    <w:rsid w:val="00C338B3"/>
    <w:rsid w:val="00C33A14"/>
    <w:rsid w:val="00C3468E"/>
    <w:rsid w:val="00C34A67"/>
    <w:rsid w:val="00C34D6D"/>
    <w:rsid w:val="00C3521B"/>
    <w:rsid w:val="00C355A1"/>
    <w:rsid w:val="00C35E56"/>
    <w:rsid w:val="00C368FE"/>
    <w:rsid w:val="00C372AB"/>
    <w:rsid w:val="00C3786E"/>
    <w:rsid w:val="00C37908"/>
    <w:rsid w:val="00C37EAB"/>
    <w:rsid w:val="00C4043A"/>
    <w:rsid w:val="00C40480"/>
    <w:rsid w:val="00C40536"/>
    <w:rsid w:val="00C40F0F"/>
    <w:rsid w:val="00C4136C"/>
    <w:rsid w:val="00C414AC"/>
    <w:rsid w:val="00C42416"/>
    <w:rsid w:val="00C425CA"/>
    <w:rsid w:val="00C42E4A"/>
    <w:rsid w:val="00C4309A"/>
    <w:rsid w:val="00C436A1"/>
    <w:rsid w:val="00C44F3C"/>
    <w:rsid w:val="00C4503D"/>
    <w:rsid w:val="00C455B0"/>
    <w:rsid w:val="00C45A27"/>
    <w:rsid w:val="00C45CF2"/>
    <w:rsid w:val="00C47809"/>
    <w:rsid w:val="00C47FBB"/>
    <w:rsid w:val="00C50B8F"/>
    <w:rsid w:val="00C50CA2"/>
    <w:rsid w:val="00C51290"/>
    <w:rsid w:val="00C5159C"/>
    <w:rsid w:val="00C51660"/>
    <w:rsid w:val="00C51EB0"/>
    <w:rsid w:val="00C52462"/>
    <w:rsid w:val="00C5250C"/>
    <w:rsid w:val="00C530D8"/>
    <w:rsid w:val="00C53513"/>
    <w:rsid w:val="00C546A6"/>
    <w:rsid w:val="00C54B75"/>
    <w:rsid w:val="00C550A3"/>
    <w:rsid w:val="00C553C7"/>
    <w:rsid w:val="00C55B06"/>
    <w:rsid w:val="00C55DDF"/>
    <w:rsid w:val="00C56329"/>
    <w:rsid w:val="00C56952"/>
    <w:rsid w:val="00C57060"/>
    <w:rsid w:val="00C57F05"/>
    <w:rsid w:val="00C60CEC"/>
    <w:rsid w:val="00C61022"/>
    <w:rsid w:val="00C611C4"/>
    <w:rsid w:val="00C6241A"/>
    <w:rsid w:val="00C62712"/>
    <w:rsid w:val="00C6334E"/>
    <w:rsid w:val="00C63518"/>
    <w:rsid w:val="00C639BA"/>
    <w:rsid w:val="00C63C05"/>
    <w:rsid w:val="00C64DBD"/>
    <w:rsid w:val="00C64E3D"/>
    <w:rsid w:val="00C659A3"/>
    <w:rsid w:val="00C6664B"/>
    <w:rsid w:val="00C6733F"/>
    <w:rsid w:val="00C67E2C"/>
    <w:rsid w:val="00C705C8"/>
    <w:rsid w:val="00C70A70"/>
    <w:rsid w:val="00C70E74"/>
    <w:rsid w:val="00C720F9"/>
    <w:rsid w:val="00C72466"/>
    <w:rsid w:val="00C72B17"/>
    <w:rsid w:val="00C72E3A"/>
    <w:rsid w:val="00C72F09"/>
    <w:rsid w:val="00C7301F"/>
    <w:rsid w:val="00C74B15"/>
    <w:rsid w:val="00C75809"/>
    <w:rsid w:val="00C75ABF"/>
    <w:rsid w:val="00C75B1C"/>
    <w:rsid w:val="00C75BE5"/>
    <w:rsid w:val="00C76725"/>
    <w:rsid w:val="00C76866"/>
    <w:rsid w:val="00C76B17"/>
    <w:rsid w:val="00C775C0"/>
    <w:rsid w:val="00C777BB"/>
    <w:rsid w:val="00C77C5D"/>
    <w:rsid w:val="00C77CBD"/>
    <w:rsid w:val="00C80439"/>
    <w:rsid w:val="00C8145A"/>
    <w:rsid w:val="00C81662"/>
    <w:rsid w:val="00C817C7"/>
    <w:rsid w:val="00C821CD"/>
    <w:rsid w:val="00C824D9"/>
    <w:rsid w:val="00C82626"/>
    <w:rsid w:val="00C827C4"/>
    <w:rsid w:val="00C8317E"/>
    <w:rsid w:val="00C8333F"/>
    <w:rsid w:val="00C841AE"/>
    <w:rsid w:val="00C84CB5"/>
    <w:rsid w:val="00C84E40"/>
    <w:rsid w:val="00C84FBF"/>
    <w:rsid w:val="00C853C4"/>
    <w:rsid w:val="00C85A4C"/>
    <w:rsid w:val="00C85BC3"/>
    <w:rsid w:val="00C85E3F"/>
    <w:rsid w:val="00C85F3A"/>
    <w:rsid w:val="00C86185"/>
    <w:rsid w:val="00C869C7"/>
    <w:rsid w:val="00C87722"/>
    <w:rsid w:val="00C87976"/>
    <w:rsid w:val="00C87BA3"/>
    <w:rsid w:val="00C901D5"/>
    <w:rsid w:val="00C9035A"/>
    <w:rsid w:val="00C907D8"/>
    <w:rsid w:val="00C9115E"/>
    <w:rsid w:val="00C9116C"/>
    <w:rsid w:val="00C91DB5"/>
    <w:rsid w:val="00C92019"/>
    <w:rsid w:val="00C924F8"/>
    <w:rsid w:val="00C92F60"/>
    <w:rsid w:val="00C93CF0"/>
    <w:rsid w:val="00C94849"/>
    <w:rsid w:val="00C94ED6"/>
    <w:rsid w:val="00C95CAD"/>
    <w:rsid w:val="00C95E37"/>
    <w:rsid w:val="00C971F1"/>
    <w:rsid w:val="00CA04DE"/>
    <w:rsid w:val="00CA10E4"/>
    <w:rsid w:val="00CA121D"/>
    <w:rsid w:val="00CA195B"/>
    <w:rsid w:val="00CA1972"/>
    <w:rsid w:val="00CA3CEC"/>
    <w:rsid w:val="00CA45CA"/>
    <w:rsid w:val="00CA4B1C"/>
    <w:rsid w:val="00CA5372"/>
    <w:rsid w:val="00CA56A9"/>
    <w:rsid w:val="00CA5722"/>
    <w:rsid w:val="00CA5817"/>
    <w:rsid w:val="00CA5E9E"/>
    <w:rsid w:val="00CA641D"/>
    <w:rsid w:val="00CA7590"/>
    <w:rsid w:val="00CB0199"/>
    <w:rsid w:val="00CB02FC"/>
    <w:rsid w:val="00CB03E5"/>
    <w:rsid w:val="00CB0FC5"/>
    <w:rsid w:val="00CB11FC"/>
    <w:rsid w:val="00CB156A"/>
    <w:rsid w:val="00CB180D"/>
    <w:rsid w:val="00CB1C2B"/>
    <w:rsid w:val="00CB2521"/>
    <w:rsid w:val="00CB2CC7"/>
    <w:rsid w:val="00CB2E17"/>
    <w:rsid w:val="00CB3EF6"/>
    <w:rsid w:val="00CB3F89"/>
    <w:rsid w:val="00CB41E0"/>
    <w:rsid w:val="00CB5E44"/>
    <w:rsid w:val="00CB66F9"/>
    <w:rsid w:val="00CB7757"/>
    <w:rsid w:val="00CB7CB7"/>
    <w:rsid w:val="00CC0FAE"/>
    <w:rsid w:val="00CC11AC"/>
    <w:rsid w:val="00CC2098"/>
    <w:rsid w:val="00CC2159"/>
    <w:rsid w:val="00CC2FBE"/>
    <w:rsid w:val="00CC3563"/>
    <w:rsid w:val="00CC38F5"/>
    <w:rsid w:val="00CC3CB3"/>
    <w:rsid w:val="00CC3E40"/>
    <w:rsid w:val="00CC3F1D"/>
    <w:rsid w:val="00CC4144"/>
    <w:rsid w:val="00CC48DB"/>
    <w:rsid w:val="00CC5E11"/>
    <w:rsid w:val="00CC5E56"/>
    <w:rsid w:val="00CC64A8"/>
    <w:rsid w:val="00CD013F"/>
    <w:rsid w:val="00CD0874"/>
    <w:rsid w:val="00CD0BE2"/>
    <w:rsid w:val="00CD0C9A"/>
    <w:rsid w:val="00CD0E21"/>
    <w:rsid w:val="00CD114B"/>
    <w:rsid w:val="00CD17F6"/>
    <w:rsid w:val="00CD1D1C"/>
    <w:rsid w:val="00CD1E66"/>
    <w:rsid w:val="00CD20B5"/>
    <w:rsid w:val="00CD2611"/>
    <w:rsid w:val="00CD2FE3"/>
    <w:rsid w:val="00CD45E0"/>
    <w:rsid w:val="00CD4AEA"/>
    <w:rsid w:val="00CD4F08"/>
    <w:rsid w:val="00CD4FD7"/>
    <w:rsid w:val="00CD5C4C"/>
    <w:rsid w:val="00CD5D80"/>
    <w:rsid w:val="00CD6715"/>
    <w:rsid w:val="00CD7055"/>
    <w:rsid w:val="00CD7444"/>
    <w:rsid w:val="00CE1FD1"/>
    <w:rsid w:val="00CE2C2F"/>
    <w:rsid w:val="00CE2D47"/>
    <w:rsid w:val="00CE3AC2"/>
    <w:rsid w:val="00CE5309"/>
    <w:rsid w:val="00CE5889"/>
    <w:rsid w:val="00CE5C64"/>
    <w:rsid w:val="00CE64BA"/>
    <w:rsid w:val="00CE6F78"/>
    <w:rsid w:val="00CE7A11"/>
    <w:rsid w:val="00CE7B3B"/>
    <w:rsid w:val="00CF0516"/>
    <w:rsid w:val="00CF0ED2"/>
    <w:rsid w:val="00CF1E1F"/>
    <w:rsid w:val="00CF3860"/>
    <w:rsid w:val="00CF4258"/>
    <w:rsid w:val="00CF431A"/>
    <w:rsid w:val="00CF4DC9"/>
    <w:rsid w:val="00CF529B"/>
    <w:rsid w:val="00CF61D2"/>
    <w:rsid w:val="00CF686E"/>
    <w:rsid w:val="00CF7058"/>
    <w:rsid w:val="00D007BE"/>
    <w:rsid w:val="00D00EE6"/>
    <w:rsid w:val="00D0111C"/>
    <w:rsid w:val="00D0258B"/>
    <w:rsid w:val="00D027BC"/>
    <w:rsid w:val="00D0372F"/>
    <w:rsid w:val="00D04153"/>
    <w:rsid w:val="00D044AF"/>
    <w:rsid w:val="00D06A42"/>
    <w:rsid w:val="00D07336"/>
    <w:rsid w:val="00D07472"/>
    <w:rsid w:val="00D07573"/>
    <w:rsid w:val="00D076AB"/>
    <w:rsid w:val="00D07A48"/>
    <w:rsid w:val="00D07E7B"/>
    <w:rsid w:val="00D11B8A"/>
    <w:rsid w:val="00D1261C"/>
    <w:rsid w:val="00D1265A"/>
    <w:rsid w:val="00D129D3"/>
    <w:rsid w:val="00D13621"/>
    <w:rsid w:val="00D1393B"/>
    <w:rsid w:val="00D14A9F"/>
    <w:rsid w:val="00D15768"/>
    <w:rsid w:val="00D15969"/>
    <w:rsid w:val="00D16213"/>
    <w:rsid w:val="00D16564"/>
    <w:rsid w:val="00D1659F"/>
    <w:rsid w:val="00D16EB3"/>
    <w:rsid w:val="00D172AB"/>
    <w:rsid w:val="00D20C85"/>
    <w:rsid w:val="00D21F82"/>
    <w:rsid w:val="00D22085"/>
    <w:rsid w:val="00D22ECF"/>
    <w:rsid w:val="00D231A2"/>
    <w:rsid w:val="00D232C6"/>
    <w:rsid w:val="00D23542"/>
    <w:rsid w:val="00D238B5"/>
    <w:rsid w:val="00D23CF3"/>
    <w:rsid w:val="00D2419D"/>
    <w:rsid w:val="00D2474D"/>
    <w:rsid w:val="00D25ECB"/>
    <w:rsid w:val="00D26880"/>
    <w:rsid w:val="00D27B62"/>
    <w:rsid w:val="00D27E46"/>
    <w:rsid w:val="00D30022"/>
    <w:rsid w:val="00D30560"/>
    <w:rsid w:val="00D316CF"/>
    <w:rsid w:val="00D317D9"/>
    <w:rsid w:val="00D331AF"/>
    <w:rsid w:val="00D3362C"/>
    <w:rsid w:val="00D33F87"/>
    <w:rsid w:val="00D34F27"/>
    <w:rsid w:val="00D350C4"/>
    <w:rsid w:val="00D350FB"/>
    <w:rsid w:val="00D358EE"/>
    <w:rsid w:val="00D40D44"/>
    <w:rsid w:val="00D40D71"/>
    <w:rsid w:val="00D41435"/>
    <w:rsid w:val="00D417AD"/>
    <w:rsid w:val="00D41A13"/>
    <w:rsid w:val="00D421C1"/>
    <w:rsid w:val="00D4322C"/>
    <w:rsid w:val="00D43759"/>
    <w:rsid w:val="00D43BD1"/>
    <w:rsid w:val="00D43CD9"/>
    <w:rsid w:val="00D43E70"/>
    <w:rsid w:val="00D448AB"/>
    <w:rsid w:val="00D44FC8"/>
    <w:rsid w:val="00D450F3"/>
    <w:rsid w:val="00D458E0"/>
    <w:rsid w:val="00D45B5A"/>
    <w:rsid w:val="00D461D2"/>
    <w:rsid w:val="00D46393"/>
    <w:rsid w:val="00D46DFC"/>
    <w:rsid w:val="00D46E25"/>
    <w:rsid w:val="00D47B59"/>
    <w:rsid w:val="00D500FF"/>
    <w:rsid w:val="00D50508"/>
    <w:rsid w:val="00D512FD"/>
    <w:rsid w:val="00D52082"/>
    <w:rsid w:val="00D522D9"/>
    <w:rsid w:val="00D52D0B"/>
    <w:rsid w:val="00D52DCE"/>
    <w:rsid w:val="00D53AA4"/>
    <w:rsid w:val="00D53BC5"/>
    <w:rsid w:val="00D542DB"/>
    <w:rsid w:val="00D5557E"/>
    <w:rsid w:val="00D55C98"/>
    <w:rsid w:val="00D56AA3"/>
    <w:rsid w:val="00D57246"/>
    <w:rsid w:val="00D57D8F"/>
    <w:rsid w:val="00D602D3"/>
    <w:rsid w:val="00D60458"/>
    <w:rsid w:val="00D607ED"/>
    <w:rsid w:val="00D60DBD"/>
    <w:rsid w:val="00D61790"/>
    <w:rsid w:val="00D62B68"/>
    <w:rsid w:val="00D62DC2"/>
    <w:rsid w:val="00D6351D"/>
    <w:rsid w:val="00D636E4"/>
    <w:rsid w:val="00D642B2"/>
    <w:rsid w:val="00D64DC4"/>
    <w:rsid w:val="00D64DD9"/>
    <w:rsid w:val="00D65378"/>
    <w:rsid w:val="00D6543B"/>
    <w:rsid w:val="00D65E31"/>
    <w:rsid w:val="00D66B10"/>
    <w:rsid w:val="00D6792C"/>
    <w:rsid w:val="00D67CB2"/>
    <w:rsid w:val="00D67E53"/>
    <w:rsid w:val="00D70400"/>
    <w:rsid w:val="00D70BA3"/>
    <w:rsid w:val="00D71124"/>
    <w:rsid w:val="00D72896"/>
    <w:rsid w:val="00D7335E"/>
    <w:rsid w:val="00D73E7F"/>
    <w:rsid w:val="00D74B0B"/>
    <w:rsid w:val="00D74FBC"/>
    <w:rsid w:val="00D753A5"/>
    <w:rsid w:val="00D76042"/>
    <w:rsid w:val="00D760A8"/>
    <w:rsid w:val="00D761A1"/>
    <w:rsid w:val="00D761F5"/>
    <w:rsid w:val="00D77FED"/>
    <w:rsid w:val="00D784AA"/>
    <w:rsid w:val="00D812B0"/>
    <w:rsid w:val="00D81620"/>
    <w:rsid w:val="00D81CA7"/>
    <w:rsid w:val="00D8213E"/>
    <w:rsid w:val="00D8288A"/>
    <w:rsid w:val="00D82B42"/>
    <w:rsid w:val="00D82C7B"/>
    <w:rsid w:val="00D83CAE"/>
    <w:rsid w:val="00D83F1B"/>
    <w:rsid w:val="00D84173"/>
    <w:rsid w:val="00D84382"/>
    <w:rsid w:val="00D85856"/>
    <w:rsid w:val="00D85A3B"/>
    <w:rsid w:val="00D85DAB"/>
    <w:rsid w:val="00D86245"/>
    <w:rsid w:val="00D866F0"/>
    <w:rsid w:val="00D8778C"/>
    <w:rsid w:val="00D90195"/>
    <w:rsid w:val="00D902CC"/>
    <w:rsid w:val="00D90F31"/>
    <w:rsid w:val="00D91341"/>
    <w:rsid w:val="00D915D5"/>
    <w:rsid w:val="00D916DB"/>
    <w:rsid w:val="00D91AA7"/>
    <w:rsid w:val="00D93402"/>
    <w:rsid w:val="00D936EE"/>
    <w:rsid w:val="00D94700"/>
    <w:rsid w:val="00D94925"/>
    <w:rsid w:val="00D95A00"/>
    <w:rsid w:val="00D95A8F"/>
    <w:rsid w:val="00D95B36"/>
    <w:rsid w:val="00D9630A"/>
    <w:rsid w:val="00D97031"/>
    <w:rsid w:val="00D97076"/>
    <w:rsid w:val="00DA0113"/>
    <w:rsid w:val="00DA0400"/>
    <w:rsid w:val="00DA0900"/>
    <w:rsid w:val="00DA0AAD"/>
    <w:rsid w:val="00DA0DF1"/>
    <w:rsid w:val="00DA1351"/>
    <w:rsid w:val="00DA1792"/>
    <w:rsid w:val="00DA200C"/>
    <w:rsid w:val="00DA2323"/>
    <w:rsid w:val="00DA256B"/>
    <w:rsid w:val="00DA3C0C"/>
    <w:rsid w:val="00DA4622"/>
    <w:rsid w:val="00DA4FF5"/>
    <w:rsid w:val="00DA5233"/>
    <w:rsid w:val="00DA6021"/>
    <w:rsid w:val="00DA609B"/>
    <w:rsid w:val="00DA60D5"/>
    <w:rsid w:val="00DA610B"/>
    <w:rsid w:val="00DA61A5"/>
    <w:rsid w:val="00DA6B91"/>
    <w:rsid w:val="00DB1849"/>
    <w:rsid w:val="00DB1FBF"/>
    <w:rsid w:val="00DB23D9"/>
    <w:rsid w:val="00DB2EF9"/>
    <w:rsid w:val="00DB2FDC"/>
    <w:rsid w:val="00DB3036"/>
    <w:rsid w:val="00DB32B4"/>
    <w:rsid w:val="00DB333D"/>
    <w:rsid w:val="00DB4274"/>
    <w:rsid w:val="00DB4323"/>
    <w:rsid w:val="00DB4A72"/>
    <w:rsid w:val="00DB57B6"/>
    <w:rsid w:val="00DB5B6F"/>
    <w:rsid w:val="00DB6028"/>
    <w:rsid w:val="00DB647E"/>
    <w:rsid w:val="00DB6763"/>
    <w:rsid w:val="00DB6B6B"/>
    <w:rsid w:val="00DB763C"/>
    <w:rsid w:val="00DB7AE1"/>
    <w:rsid w:val="00DC29E6"/>
    <w:rsid w:val="00DC328C"/>
    <w:rsid w:val="00DC366F"/>
    <w:rsid w:val="00DC3A8F"/>
    <w:rsid w:val="00DC3E17"/>
    <w:rsid w:val="00DC3ED0"/>
    <w:rsid w:val="00DC3F87"/>
    <w:rsid w:val="00DC48BD"/>
    <w:rsid w:val="00DC6742"/>
    <w:rsid w:val="00DC6BFD"/>
    <w:rsid w:val="00DC7CAF"/>
    <w:rsid w:val="00DD04F1"/>
    <w:rsid w:val="00DD097E"/>
    <w:rsid w:val="00DD0EE5"/>
    <w:rsid w:val="00DD1C68"/>
    <w:rsid w:val="00DD2E04"/>
    <w:rsid w:val="00DD3501"/>
    <w:rsid w:val="00DD3512"/>
    <w:rsid w:val="00DD3BC6"/>
    <w:rsid w:val="00DD451B"/>
    <w:rsid w:val="00DD4F00"/>
    <w:rsid w:val="00DD57CC"/>
    <w:rsid w:val="00DD5829"/>
    <w:rsid w:val="00DD5B54"/>
    <w:rsid w:val="00DD69E3"/>
    <w:rsid w:val="00DD7127"/>
    <w:rsid w:val="00DD7419"/>
    <w:rsid w:val="00DD75BF"/>
    <w:rsid w:val="00DE0C11"/>
    <w:rsid w:val="00DE0EC4"/>
    <w:rsid w:val="00DE18CC"/>
    <w:rsid w:val="00DE1CC8"/>
    <w:rsid w:val="00DE2179"/>
    <w:rsid w:val="00DE2433"/>
    <w:rsid w:val="00DE294A"/>
    <w:rsid w:val="00DE2DF7"/>
    <w:rsid w:val="00DE2F2E"/>
    <w:rsid w:val="00DE3078"/>
    <w:rsid w:val="00DE323A"/>
    <w:rsid w:val="00DE3792"/>
    <w:rsid w:val="00DE3C30"/>
    <w:rsid w:val="00DE6921"/>
    <w:rsid w:val="00DE78DC"/>
    <w:rsid w:val="00DE7D0F"/>
    <w:rsid w:val="00DF139C"/>
    <w:rsid w:val="00DF1817"/>
    <w:rsid w:val="00DF2247"/>
    <w:rsid w:val="00DF2461"/>
    <w:rsid w:val="00DF26D1"/>
    <w:rsid w:val="00DF34F5"/>
    <w:rsid w:val="00DF3764"/>
    <w:rsid w:val="00DF4112"/>
    <w:rsid w:val="00DF492A"/>
    <w:rsid w:val="00DF65BD"/>
    <w:rsid w:val="00DF6A7F"/>
    <w:rsid w:val="00DF7342"/>
    <w:rsid w:val="00E002A3"/>
    <w:rsid w:val="00E010E8"/>
    <w:rsid w:val="00E0111B"/>
    <w:rsid w:val="00E0157D"/>
    <w:rsid w:val="00E04C9C"/>
    <w:rsid w:val="00E04F27"/>
    <w:rsid w:val="00E04FB0"/>
    <w:rsid w:val="00E05732"/>
    <w:rsid w:val="00E05823"/>
    <w:rsid w:val="00E05C7A"/>
    <w:rsid w:val="00E05CD1"/>
    <w:rsid w:val="00E05E3C"/>
    <w:rsid w:val="00E0618A"/>
    <w:rsid w:val="00E0643E"/>
    <w:rsid w:val="00E06C12"/>
    <w:rsid w:val="00E06F84"/>
    <w:rsid w:val="00E0760A"/>
    <w:rsid w:val="00E078F3"/>
    <w:rsid w:val="00E07A45"/>
    <w:rsid w:val="00E125F7"/>
    <w:rsid w:val="00E1269E"/>
    <w:rsid w:val="00E13C7B"/>
    <w:rsid w:val="00E15A02"/>
    <w:rsid w:val="00E15D87"/>
    <w:rsid w:val="00E1725B"/>
    <w:rsid w:val="00E17E02"/>
    <w:rsid w:val="00E20306"/>
    <w:rsid w:val="00E20463"/>
    <w:rsid w:val="00E21042"/>
    <w:rsid w:val="00E22AD4"/>
    <w:rsid w:val="00E22B19"/>
    <w:rsid w:val="00E23BF7"/>
    <w:rsid w:val="00E23D6D"/>
    <w:rsid w:val="00E242B7"/>
    <w:rsid w:val="00E24C37"/>
    <w:rsid w:val="00E24CF6"/>
    <w:rsid w:val="00E24CF8"/>
    <w:rsid w:val="00E2520B"/>
    <w:rsid w:val="00E25279"/>
    <w:rsid w:val="00E2541D"/>
    <w:rsid w:val="00E26BB8"/>
    <w:rsid w:val="00E30086"/>
    <w:rsid w:val="00E30097"/>
    <w:rsid w:val="00E3111D"/>
    <w:rsid w:val="00E31841"/>
    <w:rsid w:val="00E319D7"/>
    <w:rsid w:val="00E31BBC"/>
    <w:rsid w:val="00E32472"/>
    <w:rsid w:val="00E326FB"/>
    <w:rsid w:val="00E32A40"/>
    <w:rsid w:val="00E32C5E"/>
    <w:rsid w:val="00E33E2B"/>
    <w:rsid w:val="00E33F50"/>
    <w:rsid w:val="00E340EF"/>
    <w:rsid w:val="00E34D09"/>
    <w:rsid w:val="00E355B9"/>
    <w:rsid w:val="00E367E4"/>
    <w:rsid w:val="00E36A0E"/>
    <w:rsid w:val="00E36CA2"/>
    <w:rsid w:val="00E36D7C"/>
    <w:rsid w:val="00E3703C"/>
    <w:rsid w:val="00E372FB"/>
    <w:rsid w:val="00E378DE"/>
    <w:rsid w:val="00E37DF3"/>
    <w:rsid w:val="00E37F4A"/>
    <w:rsid w:val="00E40F23"/>
    <w:rsid w:val="00E421FA"/>
    <w:rsid w:val="00E424A7"/>
    <w:rsid w:val="00E43B49"/>
    <w:rsid w:val="00E4501E"/>
    <w:rsid w:val="00E45122"/>
    <w:rsid w:val="00E4562C"/>
    <w:rsid w:val="00E46189"/>
    <w:rsid w:val="00E469BC"/>
    <w:rsid w:val="00E46BD2"/>
    <w:rsid w:val="00E47724"/>
    <w:rsid w:val="00E50018"/>
    <w:rsid w:val="00E504CE"/>
    <w:rsid w:val="00E505AB"/>
    <w:rsid w:val="00E50ADF"/>
    <w:rsid w:val="00E50DE9"/>
    <w:rsid w:val="00E51DB5"/>
    <w:rsid w:val="00E51FB9"/>
    <w:rsid w:val="00E51FF2"/>
    <w:rsid w:val="00E52486"/>
    <w:rsid w:val="00E52BC7"/>
    <w:rsid w:val="00E52F41"/>
    <w:rsid w:val="00E5326B"/>
    <w:rsid w:val="00E5341D"/>
    <w:rsid w:val="00E5357E"/>
    <w:rsid w:val="00E535F0"/>
    <w:rsid w:val="00E5381A"/>
    <w:rsid w:val="00E53E32"/>
    <w:rsid w:val="00E5402F"/>
    <w:rsid w:val="00E54A21"/>
    <w:rsid w:val="00E54C6F"/>
    <w:rsid w:val="00E5506F"/>
    <w:rsid w:val="00E5545B"/>
    <w:rsid w:val="00E55E07"/>
    <w:rsid w:val="00E56181"/>
    <w:rsid w:val="00E56352"/>
    <w:rsid w:val="00E563A7"/>
    <w:rsid w:val="00E56653"/>
    <w:rsid w:val="00E56CCA"/>
    <w:rsid w:val="00E56EAA"/>
    <w:rsid w:val="00E57C90"/>
    <w:rsid w:val="00E603CC"/>
    <w:rsid w:val="00E60E56"/>
    <w:rsid w:val="00E6118B"/>
    <w:rsid w:val="00E61886"/>
    <w:rsid w:val="00E620B6"/>
    <w:rsid w:val="00E62DA3"/>
    <w:rsid w:val="00E62DCB"/>
    <w:rsid w:val="00E635FC"/>
    <w:rsid w:val="00E637C1"/>
    <w:rsid w:val="00E639C4"/>
    <w:rsid w:val="00E63BC2"/>
    <w:rsid w:val="00E63E61"/>
    <w:rsid w:val="00E643E7"/>
    <w:rsid w:val="00E645A3"/>
    <w:rsid w:val="00E6472B"/>
    <w:rsid w:val="00E64C6C"/>
    <w:rsid w:val="00E653B0"/>
    <w:rsid w:val="00E653FC"/>
    <w:rsid w:val="00E65D2F"/>
    <w:rsid w:val="00E65F54"/>
    <w:rsid w:val="00E677B3"/>
    <w:rsid w:val="00E67A81"/>
    <w:rsid w:val="00E71448"/>
    <w:rsid w:val="00E720F4"/>
    <w:rsid w:val="00E733D1"/>
    <w:rsid w:val="00E74C4D"/>
    <w:rsid w:val="00E74E0C"/>
    <w:rsid w:val="00E75135"/>
    <w:rsid w:val="00E751F3"/>
    <w:rsid w:val="00E752B0"/>
    <w:rsid w:val="00E75C13"/>
    <w:rsid w:val="00E75C3C"/>
    <w:rsid w:val="00E76606"/>
    <w:rsid w:val="00E76A77"/>
    <w:rsid w:val="00E76B72"/>
    <w:rsid w:val="00E777C0"/>
    <w:rsid w:val="00E80DF9"/>
    <w:rsid w:val="00E8125E"/>
    <w:rsid w:val="00E8276D"/>
    <w:rsid w:val="00E83AE9"/>
    <w:rsid w:val="00E84400"/>
    <w:rsid w:val="00E84601"/>
    <w:rsid w:val="00E84752"/>
    <w:rsid w:val="00E84FB1"/>
    <w:rsid w:val="00E8519C"/>
    <w:rsid w:val="00E86A5D"/>
    <w:rsid w:val="00E8721C"/>
    <w:rsid w:val="00E87256"/>
    <w:rsid w:val="00E87757"/>
    <w:rsid w:val="00E87B5D"/>
    <w:rsid w:val="00E9025F"/>
    <w:rsid w:val="00E918E4"/>
    <w:rsid w:val="00E91DE0"/>
    <w:rsid w:val="00E92ABD"/>
    <w:rsid w:val="00E930C1"/>
    <w:rsid w:val="00E943D9"/>
    <w:rsid w:val="00E9445B"/>
    <w:rsid w:val="00E95CFB"/>
    <w:rsid w:val="00E97023"/>
    <w:rsid w:val="00E9790F"/>
    <w:rsid w:val="00E97A8D"/>
    <w:rsid w:val="00EA0BA7"/>
    <w:rsid w:val="00EA0CC5"/>
    <w:rsid w:val="00EA0F80"/>
    <w:rsid w:val="00EA0FD5"/>
    <w:rsid w:val="00EA1908"/>
    <w:rsid w:val="00EA1B5A"/>
    <w:rsid w:val="00EA1B69"/>
    <w:rsid w:val="00EA223A"/>
    <w:rsid w:val="00EA2920"/>
    <w:rsid w:val="00EA2C4F"/>
    <w:rsid w:val="00EA3ADF"/>
    <w:rsid w:val="00EA3FC0"/>
    <w:rsid w:val="00EA4CCF"/>
    <w:rsid w:val="00EA4FA1"/>
    <w:rsid w:val="00EA72F6"/>
    <w:rsid w:val="00EA7426"/>
    <w:rsid w:val="00EA7FAE"/>
    <w:rsid w:val="00EB0A48"/>
    <w:rsid w:val="00EB0D27"/>
    <w:rsid w:val="00EB14E1"/>
    <w:rsid w:val="00EB1A93"/>
    <w:rsid w:val="00EB1DEF"/>
    <w:rsid w:val="00EB2260"/>
    <w:rsid w:val="00EB2706"/>
    <w:rsid w:val="00EB361F"/>
    <w:rsid w:val="00EB4842"/>
    <w:rsid w:val="00EB51B4"/>
    <w:rsid w:val="00EB5E19"/>
    <w:rsid w:val="00EB6566"/>
    <w:rsid w:val="00EB66B9"/>
    <w:rsid w:val="00EB6DDC"/>
    <w:rsid w:val="00EC0324"/>
    <w:rsid w:val="00EC0681"/>
    <w:rsid w:val="00EC0A0D"/>
    <w:rsid w:val="00EC13F0"/>
    <w:rsid w:val="00EC1407"/>
    <w:rsid w:val="00EC1BBF"/>
    <w:rsid w:val="00EC1D12"/>
    <w:rsid w:val="00EC22B3"/>
    <w:rsid w:val="00EC2A09"/>
    <w:rsid w:val="00EC2F99"/>
    <w:rsid w:val="00EC34DC"/>
    <w:rsid w:val="00EC37D0"/>
    <w:rsid w:val="00EC3835"/>
    <w:rsid w:val="00EC388B"/>
    <w:rsid w:val="00EC3ACF"/>
    <w:rsid w:val="00EC3AD7"/>
    <w:rsid w:val="00EC4613"/>
    <w:rsid w:val="00EC5138"/>
    <w:rsid w:val="00EC6D2A"/>
    <w:rsid w:val="00EC78B6"/>
    <w:rsid w:val="00ED02C5"/>
    <w:rsid w:val="00ED0416"/>
    <w:rsid w:val="00ED047B"/>
    <w:rsid w:val="00ED0500"/>
    <w:rsid w:val="00ED09A5"/>
    <w:rsid w:val="00ED2700"/>
    <w:rsid w:val="00ED366B"/>
    <w:rsid w:val="00ED3BCA"/>
    <w:rsid w:val="00ED3F6A"/>
    <w:rsid w:val="00ED406D"/>
    <w:rsid w:val="00ED55C7"/>
    <w:rsid w:val="00ED626F"/>
    <w:rsid w:val="00ED657A"/>
    <w:rsid w:val="00ED68A6"/>
    <w:rsid w:val="00ED7C23"/>
    <w:rsid w:val="00ED7CA6"/>
    <w:rsid w:val="00EE0078"/>
    <w:rsid w:val="00EE0AB0"/>
    <w:rsid w:val="00EE0B8E"/>
    <w:rsid w:val="00EE0CE1"/>
    <w:rsid w:val="00EE0F24"/>
    <w:rsid w:val="00EE19D3"/>
    <w:rsid w:val="00EE1A48"/>
    <w:rsid w:val="00EE1CD4"/>
    <w:rsid w:val="00EE2514"/>
    <w:rsid w:val="00EE38F3"/>
    <w:rsid w:val="00EE410D"/>
    <w:rsid w:val="00EE43CE"/>
    <w:rsid w:val="00EE4613"/>
    <w:rsid w:val="00EE4FE7"/>
    <w:rsid w:val="00EE5BEF"/>
    <w:rsid w:val="00EE5E48"/>
    <w:rsid w:val="00EE62ED"/>
    <w:rsid w:val="00EE6520"/>
    <w:rsid w:val="00EE6A00"/>
    <w:rsid w:val="00EE6BDD"/>
    <w:rsid w:val="00EE71AB"/>
    <w:rsid w:val="00EE77FA"/>
    <w:rsid w:val="00EE7895"/>
    <w:rsid w:val="00EF070D"/>
    <w:rsid w:val="00EF0905"/>
    <w:rsid w:val="00EF11FC"/>
    <w:rsid w:val="00EF18B7"/>
    <w:rsid w:val="00EF1924"/>
    <w:rsid w:val="00EF1D1B"/>
    <w:rsid w:val="00EF33DF"/>
    <w:rsid w:val="00EF390E"/>
    <w:rsid w:val="00EF4251"/>
    <w:rsid w:val="00EF434B"/>
    <w:rsid w:val="00EF6808"/>
    <w:rsid w:val="00EF6893"/>
    <w:rsid w:val="00EF6B8C"/>
    <w:rsid w:val="00F001FB"/>
    <w:rsid w:val="00F00386"/>
    <w:rsid w:val="00F017D3"/>
    <w:rsid w:val="00F02511"/>
    <w:rsid w:val="00F02B3E"/>
    <w:rsid w:val="00F02E00"/>
    <w:rsid w:val="00F0427D"/>
    <w:rsid w:val="00F044F8"/>
    <w:rsid w:val="00F04533"/>
    <w:rsid w:val="00F04651"/>
    <w:rsid w:val="00F047EF"/>
    <w:rsid w:val="00F04B08"/>
    <w:rsid w:val="00F04FF0"/>
    <w:rsid w:val="00F06A5B"/>
    <w:rsid w:val="00F06E19"/>
    <w:rsid w:val="00F0701D"/>
    <w:rsid w:val="00F0725B"/>
    <w:rsid w:val="00F07CF0"/>
    <w:rsid w:val="00F109ED"/>
    <w:rsid w:val="00F10A9A"/>
    <w:rsid w:val="00F115F2"/>
    <w:rsid w:val="00F11A41"/>
    <w:rsid w:val="00F1265B"/>
    <w:rsid w:val="00F126FA"/>
    <w:rsid w:val="00F13B15"/>
    <w:rsid w:val="00F13CA4"/>
    <w:rsid w:val="00F148FE"/>
    <w:rsid w:val="00F14A7A"/>
    <w:rsid w:val="00F160A9"/>
    <w:rsid w:val="00F16376"/>
    <w:rsid w:val="00F164C0"/>
    <w:rsid w:val="00F165E0"/>
    <w:rsid w:val="00F170A1"/>
    <w:rsid w:val="00F17832"/>
    <w:rsid w:val="00F17ABF"/>
    <w:rsid w:val="00F20062"/>
    <w:rsid w:val="00F200F8"/>
    <w:rsid w:val="00F20AD8"/>
    <w:rsid w:val="00F20B69"/>
    <w:rsid w:val="00F20C7D"/>
    <w:rsid w:val="00F21400"/>
    <w:rsid w:val="00F21D77"/>
    <w:rsid w:val="00F236FA"/>
    <w:rsid w:val="00F2469B"/>
    <w:rsid w:val="00F24D20"/>
    <w:rsid w:val="00F250B0"/>
    <w:rsid w:val="00F25372"/>
    <w:rsid w:val="00F253B0"/>
    <w:rsid w:val="00F25A17"/>
    <w:rsid w:val="00F25A99"/>
    <w:rsid w:val="00F25B43"/>
    <w:rsid w:val="00F25CA0"/>
    <w:rsid w:val="00F25FE2"/>
    <w:rsid w:val="00F26308"/>
    <w:rsid w:val="00F26A68"/>
    <w:rsid w:val="00F26D56"/>
    <w:rsid w:val="00F276D3"/>
    <w:rsid w:val="00F2791C"/>
    <w:rsid w:val="00F27C7A"/>
    <w:rsid w:val="00F27E76"/>
    <w:rsid w:val="00F3050C"/>
    <w:rsid w:val="00F3204E"/>
    <w:rsid w:val="00F32E5D"/>
    <w:rsid w:val="00F33505"/>
    <w:rsid w:val="00F3366D"/>
    <w:rsid w:val="00F33A00"/>
    <w:rsid w:val="00F33B57"/>
    <w:rsid w:val="00F35125"/>
    <w:rsid w:val="00F358EC"/>
    <w:rsid w:val="00F36026"/>
    <w:rsid w:val="00F36414"/>
    <w:rsid w:val="00F371EC"/>
    <w:rsid w:val="00F3724E"/>
    <w:rsid w:val="00F37327"/>
    <w:rsid w:val="00F3768A"/>
    <w:rsid w:val="00F37AF3"/>
    <w:rsid w:val="00F40163"/>
    <w:rsid w:val="00F40256"/>
    <w:rsid w:val="00F404D5"/>
    <w:rsid w:val="00F4060E"/>
    <w:rsid w:val="00F40CB5"/>
    <w:rsid w:val="00F41181"/>
    <w:rsid w:val="00F41944"/>
    <w:rsid w:val="00F41A47"/>
    <w:rsid w:val="00F4276F"/>
    <w:rsid w:val="00F42898"/>
    <w:rsid w:val="00F42BB2"/>
    <w:rsid w:val="00F430A7"/>
    <w:rsid w:val="00F4362B"/>
    <w:rsid w:val="00F43E97"/>
    <w:rsid w:val="00F43EE7"/>
    <w:rsid w:val="00F4401E"/>
    <w:rsid w:val="00F442CC"/>
    <w:rsid w:val="00F44A62"/>
    <w:rsid w:val="00F44C4F"/>
    <w:rsid w:val="00F4596F"/>
    <w:rsid w:val="00F45E64"/>
    <w:rsid w:val="00F46F43"/>
    <w:rsid w:val="00F47F52"/>
    <w:rsid w:val="00F47F56"/>
    <w:rsid w:val="00F50291"/>
    <w:rsid w:val="00F507F6"/>
    <w:rsid w:val="00F50C27"/>
    <w:rsid w:val="00F50D38"/>
    <w:rsid w:val="00F50F13"/>
    <w:rsid w:val="00F51318"/>
    <w:rsid w:val="00F5221E"/>
    <w:rsid w:val="00F5326B"/>
    <w:rsid w:val="00F5347B"/>
    <w:rsid w:val="00F538D8"/>
    <w:rsid w:val="00F546DB"/>
    <w:rsid w:val="00F549AE"/>
    <w:rsid w:val="00F552AE"/>
    <w:rsid w:val="00F552B5"/>
    <w:rsid w:val="00F557F5"/>
    <w:rsid w:val="00F56B25"/>
    <w:rsid w:val="00F56E4A"/>
    <w:rsid w:val="00F570F6"/>
    <w:rsid w:val="00F57CAB"/>
    <w:rsid w:val="00F57D6F"/>
    <w:rsid w:val="00F60208"/>
    <w:rsid w:val="00F609A1"/>
    <w:rsid w:val="00F60D95"/>
    <w:rsid w:val="00F60E3A"/>
    <w:rsid w:val="00F61B97"/>
    <w:rsid w:val="00F61F3A"/>
    <w:rsid w:val="00F629BE"/>
    <w:rsid w:val="00F6322F"/>
    <w:rsid w:val="00F6353A"/>
    <w:rsid w:val="00F63565"/>
    <w:rsid w:val="00F64155"/>
    <w:rsid w:val="00F6497A"/>
    <w:rsid w:val="00F64B86"/>
    <w:rsid w:val="00F64CAA"/>
    <w:rsid w:val="00F6518B"/>
    <w:rsid w:val="00F654E8"/>
    <w:rsid w:val="00F6580D"/>
    <w:rsid w:val="00F658B6"/>
    <w:rsid w:val="00F65A43"/>
    <w:rsid w:val="00F65FD6"/>
    <w:rsid w:val="00F665F3"/>
    <w:rsid w:val="00F66A3E"/>
    <w:rsid w:val="00F67576"/>
    <w:rsid w:val="00F676DA"/>
    <w:rsid w:val="00F67820"/>
    <w:rsid w:val="00F678C0"/>
    <w:rsid w:val="00F6797D"/>
    <w:rsid w:val="00F713BC"/>
    <w:rsid w:val="00F71415"/>
    <w:rsid w:val="00F71E7F"/>
    <w:rsid w:val="00F71EDC"/>
    <w:rsid w:val="00F72447"/>
    <w:rsid w:val="00F72482"/>
    <w:rsid w:val="00F7261A"/>
    <w:rsid w:val="00F72EC2"/>
    <w:rsid w:val="00F73008"/>
    <w:rsid w:val="00F751F7"/>
    <w:rsid w:val="00F755F1"/>
    <w:rsid w:val="00F75633"/>
    <w:rsid w:val="00F75865"/>
    <w:rsid w:val="00F75F77"/>
    <w:rsid w:val="00F7615F"/>
    <w:rsid w:val="00F767C9"/>
    <w:rsid w:val="00F7703B"/>
    <w:rsid w:val="00F77072"/>
    <w:rsid w:val="00F774C9"/>
    <w:rsid w:val="00F80351"/>
    <w:rsid w:val="00F807B8"/>
    <w:rsid w:val="00F808DD"/>
    <w:rsid w:val="00F80E00"/>
    <w:rsid w:val="00F81784"/>
    <w:rsid w:val="00F81F52"/>
    <w:rsid w:val="00F8223F"/>
    <w:rsid w:val="00F8296E"/>
    <w:rsid w:val="00F82AB6"/>
    <w:rsid w:val="00F835D3"/>
    <w:rsid w:val="00F83962"/>
    <w:rsid w:val="00F83EE7"/>
    <w:rsid w:val="00F83F45"/>
    <w:rsid w:val="00F83F80"/>
    <w:rsid w:val="00F84928"/>
    <w:rsid w:val="00F849B9"/>
    <w:rsid w:val="00F85591"/>
    <w:rsid w:val="00F86221"/>
    <w:rsid w:val="00F86B30"/>
    <w:rsid w:val="00F87396"/>
    <w:rsid w:val="00F876ED"/>
    <w:rsid w:val="00F87E63"/>
    <w:rsid w:val="00F90843"/>
    <w:rsid w:val="00F91277"/>
    <w:rsid w:val="00F915EC"/>
    <w:rsid w:val="00F9272E"/>
    <w:rsid w:val="00F93DAD"/>
    <w:rsid w:val="00F95332"/>
    <w:rsid w:val="00F9558F"/>
    <w:rsid w:val="00F9562E"/>
    <w:rsid w:val="00F95964"/>
    <w:rsid w:val="00F96537"/>
    <w:rsid w:val="00F96CFD"/>
    <w:rsid w:val="00F96FE3"/>
    <w:rsid w:val="00F975F6"/>
    <w:rsid w:val="00F97931"/>
    <w:rsid w:val="00F97CA9"/>
    <w:rsid w:val="00FA1426"/>
    <w:rsid w:val="00FA1494"/>
    <w:rsid w:val="00FA14BB"/>
    <w:rsid w:val="00FA16C9"/>
    <w:rsid w:val="00FA1ACD"/>
    <w:rsid w:val="00FA27E5"/>
    <w:rsid w:val="00FA323F"/>
    <w:rsid w:val="00FA3370"/>
    <w:rsid w:val="00FA3886"/>
    <w:rsid w:val="00FA3A55"/>
    <w:rsid w:val="00FA3E69"/>
    <w:rsid w:val="00FA406B"/>
    <w:rsid w:val="00FA4BA2"/>
    <w:rsid w:val="00FA4E76"/>
    <w:rsid w:val="00FA595B"/>
    <w:rsid w:val="00FA5AB6"/>
    <w:rsid w:val="00FA6194"/>
    <w:rsid w:val="00FA6710"/>
    <w:rsid w:val="00FA6C3C"/>
    <w:rsid w:val="00FA6C56"/>
    <w:rsid w:val="00FA7240"/>
    <w:rsid w:val="00FA756F"/>
    <w:rsid w:val="00FA7595"/>
    <w:rsid w:val="00FA76A5"/>
    <w:rsid w:val="00FA77C7"/>
    <w:rsid w:val="00FA7821"/>
    <w:rsid w:val="00FA7B3E"/>
    <w:rsid w:val="00FA7FAB"/>
    <w:rsid w:val="00FB0B28"/>
    <w:rsid w:val="00FB0E56"/>
    <w:rsid w:val="00FB0E8E"/>
    <w:rsid w:val="00FB1887"/>
    <w:rsid w:val="00FB1DDE"/>
    <w:rsid w:val="00FB1F6F"/>
    <w:rsid w:val="00FB20F4"/>
    <w:rsid w:val="00FB22A8"/>
    <w:rsid w:val="00FB2C57"/>
    <w:rsid w:val="00FB37B9"/>
    <w:rsid w:val="00FB3F7E"/>
    <w:rsid w:val="00FB4FB6"/>
    <w:rsid w:val="00FB5CE0"/>
    <w:rsid w:val="00FB5D6A"/>
    <w:rsid w:val="00FB7692"/>
    <w:rsid w:val="00FC06FF"/>
    <w:rsid w:val="00FC135C"/>
    <w:rsid w:val="00FC18CB"/>
    <w:rsid w:val="00FC1E52"/>
    <w:rsid w:val="00FC2879"/>
    <w:rsid w:val="00FC2F05"/>
    <w:rsid w:val="00FC368E"/>
    <w:rsid w:val="00FC3890"/>
    <w:rsid w:val="00FC3C02"/>
    <w:rsid w:val="00FC5C1B"/>
    <w:rsid w:val="00FC6070"/>
    <w:rsid w:val="00FC7704"/>
    <w:rsid w:val="00FC7F39"/>
    <w:rsid w:val="00FD0031"/>
    <w:rsid w:val="00FD005A"/>
    <w:rsid w:val="00FD0090"/>
    <w:rsid w:val="00FD01EA"/>
    <w:rsid w:val="00FD0E0C"/>
    <w:rsid w:val="00FD0E3E"/>
    <w:rsid w:val="00FD0FC2"/>
    <w:rsid w:val="00FD1D27"/>
    <w:rsid w:val="00FD1D79"/>
    <w:rsid w:val="00FD27BD"/>
    <w:rsid w:val="00FD4A44"/>
    <w:rsid w:val="00FD4CDE"/>
    <w:rsid w:val="00FD63EA"/>
    <w:rsid w:val="00FD6569"/>
    <w:rsid w:val="00FD6927"/>
    <w:rsid w:val="00FD6D1B"/>
    <w:rsid w:val="00FD6EA0"/>
    <w:rsid w:val="00FD7EA4"/>
    <w:rsid w:val="00FE0263"/>
    <w:rsid w:val="00FE091A"/>
    <w:rsid w:val="00FE0EE4"/>
    <w:rsid w:val="00FE0F36"/>
    <w:rsid w:val="00FE1029"/>
    <w:rsid w:val="00FE1818"/>
    <w:rsid w:val="00FE1AA3"/>
    <w:rsid w:val="00FE26C2"/>
    <w:rsid w:val="00FE2A2A"/>
    <w:rsid w:val="00FE2E40"/>
    <w:rsid w:val="00FE302D"/>
    <w:rsid w:val="00FE44F6"/>
    <w:rsid w:val="00FE5058"/>
    <w:rsid w:val="00FE5837"/>
    <w:rsid w:val="00FE64B7"/>
    <w:rsid w:val="00FE6CFC"/>
    <w:rsid w:val="00FE7ED5"/>
    <w:rsid w:val="00FF01C7"/>
    <w:rsid w:val="00FF06BE"/>
    <w:rsid w:val="00FF081C"/>
    <w:rsid w:val="00FF1098"/>
    <w:rsid w:val="00FF1321"/>
    <w:rsid w:val="00FF15A4"/>
    <w:rsid w:val="00FF26FD"/>
    <w:rsid w:val="00FF302E"/>
    <w:rsid w:val="00FF31D3"/>
    <w:rsid w:val="00FF37B5"/>
    <w:rsid w:val="00FF55D8"/>
    <w:rsid w:val="00FF5BE7"/>
    <w:rsid w:val="00FF6032"/>
    <w:rsid w:val="00FF61A8"/>
    <w:rsid w:val="00FF6535"/>
    <w:rsid w:val="00FF683C"/>
    <w:rsid w:val="00FF6B40"/>
    <w:rsid w:val="00FF728D"/>
    <w:rsid w:val="00FF789C"/>
    <w:rsid w:val="00FF7D12"/>
    <w:rsid w:val="012043DB"/>
    <w:rsid w:val="013E7638"/>
    <w:rsid w:val="0161CCB2"/>
    <w:rsid w:val="01AA7D98"/>
    <w:rsid w:val="01B62BC2"/>
    <w:rsid w:val="01B76470"/>
    <w:rsid w:val="01DC0FEC"/>
    <w:rsid w:val="0226F64D"/>
    <w:rsid w:val="023475C9"/>
    <w:rsid w:val="02450547"/>
    <w:rsid w:val="028204CD"/>
    <w:rsid w:val="02AABF72"/>
    <w:rsid w:val="02D1CC2C"/>
    <w:rsid w:val="0305DF6F"/>
    <w:rsid w:val="03356110"/>
    <w:rsid w:val="0344B4E8"/>
    <w:rsid w:val="0371EFF2"/>
    <w:rsid w:val="038B184F"/>
    <w:rsid w:val="03C4C650"/>
    <w:rsid w:val="03E14FBB"/>
    <w:rsid w:val="03E466D8"/>
    <w:rsid w:val="0418FB09"/>
    <w:rsid w:val="04204E12"/>
    <w:rsid w:val="0421D1B9"/>
    <w:rsid w:val="043D1DCE"/>
    <w:rsid w:val="04619D2D"/>
    <w:rsid w:val="04653B84"/>
    <w:rsid w:val="04AEA922"/>
    <w:rsid w:val="04B3C397"/>
    <w:rsid w:val="0500DF4D"/>
    <w:rsid w:val="052BD4DC"/>
    <w:rsid w:val="0537ADD9"/>
    <w:rsid w:val="05877D4A"/>
    <w:rsid w:val="05917D60"/>
    <w:rsid w:val="05956EF2"/>
    <w:rsid w:val="05960BCC"/>
    <w:rsid w:val="05A7013C"/>
    <w:rsid w:val="05B5403B"/>
    <w:rsid w:val="0611BE91"/>
    <w:rsid w:val="0641776F"/>
    <w:rsid w:val="0642E0F8"/>
    <w:rsid w:val="0654D5CE"/>
    <w:rsid w:val="06563B64"/>
    <w:rsid w:val="065AD804"/>
    <w:rsid w:val="06BED9A1"/>
    <w:rsid w:val="06FFDD05"/>
    <w:rsid w:val="07143256"/>
    <w:rsid w:val="07194DDC"/>
    <w:rsid w:val="072854AE"/>
    <w:rsid w:val="0744F9A5"/>
    <w:rsid w:val="0775F063"/>
    <w:rsid w:val="07908E8C"/>
    <w:rsid w:val="079FEA40"/>
    <w:rsid w:val="07B0F7C1"/>
    <w:rsid w:val="07C26C69"/>
    <w:rsid w:val="07CFB11C"/>
    <w:rsid w:val="07D84FA2"/>
    <w:rsid w:val="07F6A865"/>
    <w:rsid w:val="07F6F1A1"/>
    <w:rsid w:val="0831D490"/>
    <w:rsid w:val="0840D67F"/>
    <w:rsid w:val="084A5AA0"/>
    <w:rsid w:val="0868FA84"/>
    <w:rsid w:val="086AD7F3"/>
    <w:rsid w:val="0979FE52"/>
    <w:rsid w:val="09950045"/>
    <w:rsid w:val="09B2B096"/>
    <w:rsid w:val="09C13630"/>
    <w:rsid w:val="09D2AA58"/>
    <w:rsid w:val="09EF12B3"/>
    <w:rsid w:val="0A06CF9A"/>
    <w:rsid w:val="0A1FB771"/>
    <w:rsid w:val="0A2DD5E4"/>
    <w:rsid w:val="0A3AA84F"/>
    <w:rsid w:val="0A5AB7EE"/>
    <w:rsid w:val="0A6C262D"/>
    <w:rsid w:val="0A9B6033"/>
    <w:rsid w:val="0A9D3670"/>
    <w:rsid w:val="0AA45AB2"/>
    <w:rsid w:val="0AD391DC"/>
    <w:rsid w:val="0AE86719"/>
    <w:rsid w:val="0B0F332D"/>
    <w:rsid w:val="0B0F4B29"/>
    <w:rsid w:val="0B3F5CC0"/>
    <w:rsid w:val="0B7194F1"/>
    <w:rsid w:val="0B91576F"/>
    <w:rsid w:val="0BA0ED5B"/>
    <w:rsid w:val="0BC9A645"/>
    <w:rsid w:val="0BE82592"/>
    <w:rsid w:val="0BFBC5D1"/>
    <w:rsid w:val="0C0D2BF2"/>
    <w:rsid w:val="0C1AB73A"/>
    <w:rsid w:val="0C382534"/>
    <w:rsid w:val="0C848CB9"/>
    <w:rsid w:val="0C994EB9"/>
    <w:rsid w:val="0CACE48F"/>
    <w:rsid w:val="0CD67F93"/>
    <w:rsid w:val="0CEE9D69"/>
    <w:rsid w:val="0D886F01"/>
    <w:rsid w:val="0D91A9DF"/>
    <w:rsid w:val="0D957280"/>
    <w:rsid w:val="0DA10BE9"/>
    <w:rsid w:val="0DAB0375"/>
    <w:rsid w:val="0DB2AAF2"/>
    <w:rsid w:val="0DC6DA14"/>
    <w:rsid w:val="0DEF5124"/>
    <w:rsid w:val="0DFE8972"/>
    <w:rsid w:val="0E006324"/>
    <w:rsid w:val="0E1DEB74"/>
    <w:rsid w:val="0E27D9AF"/>
    <w:rsid w:val="0E50F557"/>
    <w:rsid w:val="0E619427"/>
    <w:rsid w:val="0E628523"/>
    <w:rsid w:val="0E6D13E1"/>
    <w:rsid w:val="0EBE5B10"/>
    <w:rsid w:val="0F13DDBB"/>
    <w:rsid w:val="0F2A10C0"/>
    <w:rsid w:val="0F3B7E68"/>
    <w:rsid w:val="0F7DC5EA"/>
    <w:rsid w:val="0FBA344A"/>
    <w:rsid w:val="0FC761A0"/>
    <w:rsid w:val="0FDAB115"/>
    <w:rsid w:val="0FFB4FDD"/>
    <w:rsid w:val="1028C37F"/>
    <w:rsid w:val="1038C830"/>
    <w:rsid w:val="10BBF4BA"/>
    <w:rsid w:val="10CD1342"/>
    <w:rsid w:val="10E3F807"/>
    <w:rsid w:val="11439E3E"/>
    <w:rsid w:val="116A3E08"/>
    <w:rsid w:val="116DA65D"/>
    <w:rsid w:val="11900D40"/>
    <w:rsid w:val="119A67B3"/>
    <w:rsid w:val="11B2C833"/>
    <w:rsid w:val="11C51B22"/>
    <w:rsid w:val="11F3F4CC"/>
    <w:rsid w:val="120A0BD9"/>
    <w:rsid w:val="12203192"/>
    <w:rsid w:val="123045F6"/>
    <w:rsid w:val="12427521"/>
    <w:rsid w:val="1257E5E7"/>
    <w:rsid w:val="126C5570"/>
    <w:rsid w:val="12834A9D"/>
    <w:rsid w:val="128D77E5"/>
    <w:rsid w:val="128E483B"/>
    <w:rsid w:val="1294149B"/>
    <w:rsid w:val="1385DCAE"/>
    <w:rsid w:val="138BC043"/>
    <w:rsid w:val="13BF0497"/>
    <w:rsid w:val="13C10273"/>
    <w:rsid w:val="13D9BE80"/>
    <w:rsid w:val="13DDBA79"/>
    <w:rsid w:val="13F7F693"/>
    <w:rsid w:val="13FC434B"/>
    <w:rsid w:val="1407134A"/>
    <w:rsid w:val="140D9418"/>
    <w:rsid w:val="147BD6AF"/>
    <w:rsid w:val="14E0C8BD"/>
    <w:rsid w:val="14E96DAF"/>
    <w:rsid w:val="1538D771"/>
    <w:rsid w:val="1546FA20"/>
    <w:rsid w:val="155CBE68"/>
    <w:rsid w:val="15660180"/>
    <w:rsid w:val="15820369"/>
    <w:rsid w:val="158E7A91"/>
    <w:rsid w:val="15ADAAE7"/>
    <w:rsid w:val="15C5CB68"/>
    <w:rsid w:val="15E2533B"/>
    <w:rsid w:val="161AF57C"/>
    <w:rsid w:val="16225666"/>
    <w:rsid w:val="1673DB08"/>
    <w:rsid w:val="16821703"/>
    <w:rsid w:val="16B063D4"/>
    <w:rsid w:val="16D635C1"/>
    <w:rsid w:val="16E176BB"/>
    <w:rsid w:val="16E99D9C"/>
    <w:rsid w:val="16F1497A"/>
    <w:rsid w:val="172080BE"/>
    <w:rsid w:val="17283B18"/>
    <w:rsid w:val="177F10E4"/>
    <w:rsid w:val="179B1FAC"/>
    <w:rsid w:val="17BBCB58"/>
    <w:rsid w:val="17ED1CB1"/>
    <w:rsid w:val="17F3AA71"/>
    <w:rsid w:val="17FCBCD7"/>
    <w:rsid w:val="183AC913"/>
    <w:rsid w:val="1865AAED"/>
    <w:rsid w:val="1869DE2B"/>
    <w:rsid w:val="1877D5A1"/>
    <w:rsid w:val="187FD720"/>
    <w:rsid w:val="188101B4"/>
    <w:rsid w:val="188CAE21"/>
    <w:rsid w:val="188E1207"/>
    <w:rsid w:val="18B847CE"/>
    <w:rsid w:val="18CFBC8C"/>
    <w:rsid w:val="190CD524"/>
    <w:rsid w:val="190EA4C7"/>
    <w:rsid w:val="19447085"/>
    <w:rsid w:val="19575DF6"/>
    <w:rsid w:val="1964471E"/>
    <w:rsid w:val="199FB5FD"/>
    <w:rsid w:val="19A12B94"/>
    <w:rsid w:val="19AF7A1A"/>
    <w:rsid w:val="19D2E44C"/>
    <w:rsid w:val="19FBF06A"/>
    <w:rsid w:val="1A26AA8A"/>
    <w:rsid w:val="1A4A98F0"/>
    <w:rsid w:val="1ACBA275"/>
    <w:rsid w:val="1AEA4410"/>
    <w:rsid w:val="1AF5929D"/>
    <w:rsid w:val="1B17989D"/>
    <w:rsid w:val="1B1BEDCA"/>
    <w:rsid w:val="1B82F650"/>
    <w:rsid w:val="1B907E87"/>
    <w:rsid w:val="1B9EA169"/>
    <w:rsid w:val="1BAB15E7"/>
    <w:rsid w:val="1BB821AB"/>
    <w:rsid w:val="1BCF0790"/>
    <w:rsid w:val="1BDC9CAA"/>
    <w:rsid w:val="1C59D228"/>
    <w:rsid w:val="1C65E46E"/>
    <w:rsid w:val="1C75ADBD"/>
    <w:rsid w:val="1C8964F0"/>
    <w:rsid w:val="1CAD4E8E"/>
    <w:rsid w:val="1CAEDBF2"/>
    <w:rsid w:val="1CEBC57B"/>
    <w:rsid w:val="1D1C4FCD"/>
    <w:rsid w:val="1D29A6C2"/>
    <w:rsid w:val="1D5CD5FA"/>
    <w:rsid w:val="1D749874"/>
    <w:rsid w:val="1DA2439D"/>
    <w:rsid w:val="1DB79555"/>
    <w:rsid w:val="1DC2F8DC"/>
    <w:rsid w:val="1DF63087"/>
    <w:rsid w:val="1E164AC7"/>
    <w:rsid w:val="1E6EB8D7"/>
    <w:rsid w:val="1EA88009"/>
    <w:rsid w:val="1EC57723"/>
    <w:rsid w:val="1EE8F1AD"/>
    <w:rsid w:val="1F0CE0BC"/>
    <w:rsid w:val="1F3C7B96"/>
    <w:rsid w:val="1F6096A3"/>
    <w:rsid w:val="1F6637EC"/>
    <w:rsid w:val="1F7FC2B8"/>
    <w:rsid w:val="1F84160D"/>
    <w:rsid w:val="1FA2EB18"/>
    <w:rsid w:val="1FA95B0F"/>
    <w:rsid w:val="1FBE8956"/>
    <w:rsid w:val="1FE929F3"/>
    <w:rsid w:val="1FF8F5AC"/>
    <w:rsid w:val="20032636"/>
    <w:rsid w:val="201E4169"/>
    <w:rsid w:val="2026E6A8"/>
    <w:rsid w:val="204F368E"/>
    <w:rsid w:val="205C6BA4"/>
    <w:rsid w:val="206CA8DF"/>
    <w:rsid w:val="20955016"/>
    <w:rsid w:val="20A81217"/>
    <w:rsid w:val="20EEA796"/>
    <w:rsid w:val="20EEAEC0"/>
    <w:rsid w:val="21424945"/>
    <w:rsid w:val="21623B95"/>
    <w:rsid w:val="21CE11F2"/>
    <w:rsid w:val="226165EA"/>
    <w:rsid w:val="22619F0D"/>
    <w:rsid w:val="2287EA1F"/>
    <w:rsid w:val="22CC5610"/>
    <w:rsid w:val="22E3A714"/>
    <w:rsid w:val="235913D7"/>
    <w:rsid w:val="23BD5A11"/>
    <w:rsid w:val="23BDEBC1"/>
    <w:rsid w:val="23C0A5DA"/>
    <w:rsid w:val="23E22A8D"/>
    <w:rsid w:val="24283EDC"/>
    <w:rsid w:val="242CD79E"/>
    <w:rsid w:val="2431F80E"/>
    <w:rsid w:val="2439E8E8"/>
    <w:rsid w:val="2477DD24"/>
    <w:rsid w:val="24C7AECF"/>
    <w:rsid w:val="24D74A4A"/>
    <w:rsid w:val="2513A687"/>
    <w:rsid w:val="25289E3C"/>
    <w:rsid w:val="252C134C"/>
    <w:rsid w:val="25390590"/>
    <w:rsid w:val="256FCF8B"/>
    <w:rsid w:val="258887CF"/>
    <w:rsid w:val="258E7368"/>
    <w:rsid w:val="259B45A3"/>
    <w:rsid w:val="25A3C7AB"/>
    <w:rsid w:val="25B5DAC0"/>
    <w:rsid w:val="25C542A5"/>
    <w:rsid w:val="25F8E4E6"/>
    <w:rsid w:val="25FD3DCB"/>
    <w:rsid w:val="2606615E"/>
    <w:rsid w:val="266B35EA"/>
    <w:rsid w:val="26D055DE"/>
    <w:rsid w:val="270655CE"/>
    <w:rsid w:val="2712CFD2"/>
    <w:rsid w:val="273E0BBD"/>
    <w:rsid w:val="27B44AAC"/>
    <w:rsid w:val="27BD45BE"/>
    <w:rsid w:val="27FA0AE9"/>
    <w:rsid w:val="2819FEB9"/>
    <w:rsid w:val="281F7ED9"/>
    <w:rsid w:val="2820273D"/>
    <w:rsid w:val="285F6B7B"/>
    <w:rsid w:val="2889F49E"/>
    <w:rsid w:val="2896135A"/>
    <w:rsid w:val="289BC3DC"/>
    <w:rsid w:val="28A869A0"/>
    <w:rsid w:val="28D89EC8"/>
    <w:rsid w:val="290AA81A"/>
    <w:rsid w:val="2933CF3A"/>
    <w:rsid w:val="29459827"/>
    <w:rsid w:val="29476402"/>
    <w:rsid w:val="294B5398"/>
    <w:rsid w:val="296FDD45"/>
    <w:rsid w:val="297305B0"/>
    <w:rsid w:val="2976E3DC"/>
    <w:rsid w:val="29C1BC58"/>
    <w:rsid w:val="29E0DED4"/>
    <w:rsid w:val="29E923A7"/>
    <w:rsid w:val="29EC7A9A"/>
    <w:rsid w:val="29EE8148"/>
    <w:rsid w:val="2A17514A"/>
    <w:rsid w:val="2A378BA5"/>
    <w:rsid w:val="2A3C87F2"/>
    <w:rsid w:val="2A736CCD"/>
    <w:rsid w:val="2A83CF2C"/>
    <w:rsid w:val="2A9DDAAD"/>
    <w:rsid w:val="2ADF67FC"/>
    <w:rsid w:val="2AFC0F5B"/>
    <w:rsid w:val="2B4ADB92"/>
    <w:rsid w:val="2B64B3E8"/>
    <w:rsid w:val="2BDC39E7"/>
    <w:rsid w:val="2BE2CFC4"/>
    <w:rsid w:val="2C08E746"/>
    <w:rsid w:val="2C4F71C5"/>
    <w:rsid w:val="2C4F8E9C"/>
    <w:rsid w:val="2C64DA60"/>
    <w:rsid w:val="2C8494BE"/>
    <w:rsid w:val="2CBCBE4C"/>
    <w:rsid w:val="2CE76DF5"/>
    <w:rsid w:val="2CEA8F9D"/>
    <w:rsid w:val="2D4C5C3C"/>
    <w:rsid w:val="2D69847D"/>
    <w:rsid w:val="2D9A60C9"/>
    <w:rsid w:val="2E082C2A"/>
    <w:rsid w:val="2E0A63D3"/>
    <w:rsid w:val="2E1A54EF"/>
    <w:rsid w:val="2E548232"/>
    <w:rsid w:val="2EABDAE4"/>
    <w:rsid w:val="2EE23AA3"/>
    <w:rsid w:val="2F073CE3"/>
    <w:rsid w:val="2F33EC5E"/>
    <w:rsid w:val="2F354AF3"/>
    <w:rsid w:val="2F521320"/>
    <w:rsid w:val="2F69A91B"/>
    <w:rsid w:val="2F7736A1"/>
    <w:rsid w:val="2FA90E8F"/>
    <w:rsid w:val="2FF0651A"/>
    <w:rsid w:val="30251891"/>
    <w:rsid w:val="306B3395"/>
    <w:rsid w:val="30879206"/>
    <w:rsid w:val="308C1A73"/>
    <w:rsid w:val="308FD1F8"/>
    <w:rsid w:val="30D48ED7"/>
    <w:rsid w:val="30FF03A2"/>
    <w:rsid w:val="31019B39"/>
    <w:rsid w:val="311126F3"/>
    <w:rsid w:val="314D5338"/>
    <w:rsid w:val="314FCB21"/>
    <w:rsid w:val="31899392"/>
    <w:rsid w:val="3197AC1F"/>
    <w:rsid w:val="31A34B3D"/>
    <w:rsid w:val="31CE8632"/>
    <w:rsid w:val="31DFA09D"/>
    <w:rsid w:val="31E533C0"/>
    <w:rsid w:val="31EE32F3"/>
    <w:rsid w:val="3215E3D5"/>
    <w:rsid w:val="3253059D"/>
    <w:rsid w:val="328DEE35"/>
    <w:rsid w:val="32AD73D2"/>
    <w:rsid w:val="331B3D5C"/>
    <w:rsid w:val="333BFCF1"/>
    <w:rsid w:val="335F841F"/>
    <w:rsid w:val="33684EB9"/>
    <w:rsid w:val="337D360C"/>
    <w:rsid w:val="3384219D"/>
    <w:rsid w:val="339F0F36"/>
    <w:rsid w:val="3400A2D7"/>
    <w:rsid w:val="342AB172"/>
    <w:rsid w:val="344372F6"/>
    <w:rsid w:val="3455D2E8"/>
    <w:rsid w:val="34564B9F"/>
    <w:rsid w:val="3464DECA"/>
    <w:rsid w:val="346A7DB4"/>
    <w:rsid w:val="348DF38F"/>
    <w:rsid w:val="3491E503"/>
    <w:rsid w:val="34EF58D9"/>
    <w:rsid w:val="354B588A"/>
    <w:rsid w:val="355182B7"/>
    <w:rsid w:val="355F3EEF"/>
    <w:rsid w:val="35627B8B"/>
    <w:rsid w:val="35920E59"/>
    <w:rsid w:val="35D56C5F"/>
    <w:rsid w:val="35FB9080"/>
    <w:rsid w:val="362440CA"/>
    <w:rsid w:val="363FE82A"/>
    <w:rsid w:val="36597F99"/>
    <w:rsid w:val="36CCAD92"/>
    <w:rsid w:val="36F38281"/>
    <w:rsid w:val="370D4E63"/>
    <w:rsid w:val="372887C1"/>
    <w:rsid w:val="3730869B"/>
    <w:rsid w:val="373107E2"/>
    <w:rsid w:val="374B3C1A"/>
    <w:rsid w:val="378A9CFE"/>
    <w:rsid w:val="37A28835"/>
    <w:rsid w:val="37BCD2EE"/>
    <w:rsid w:val="37CDCC50"/>
    <w:rsid w:val="37FBE8EB"/>
    <w:rsid w:val="3887695F"/>
    <w:rsid w:val="38A4537C"/>
    <w:rsid w:val="38C24721"/>
    <w:rsid w:val="38E7DA26"/>
    <w:rsid w:val="39096B31"/>
    <w:rsid w:val="3925619C"/>
    <w:rsid w:val="392F9902"/>
    <w:rsid w:val="3964B6D4"/>
    <w:rsid w:val="39ED1F30"/>
    <w:rsid w:val="3A0F6C14"/>
    <w:rsid w:val="3A25D738"/>
    <w:rsid w:val="3A36B43E"/>
    <w:rsid w:val="3A4D3F58"/>
    <w:rsid w:val="3A6BCA36"/>
    <w:rsid w:val="3A7D71D6"/>
    <w:rsid w:val="3A95448C"/>
    <w:rsid w:val="3AA03D1C"/>
    <w:rsid w:val="3B57A37E"/>
    <w:rsid w:val="3B853C7F"/>
    <w:rsid w:val="3B95C21F"/>
    <w:rsid w:val="3C0DE9E9"/>
    <w:rsid w:val="3C0EF78B"/>
    <w:rsid w:val="3C319477"/>
    <w:rsid w:val="3C64DE35"/>
    <w:rsid w:val="3C7D8EF7"/>
    <w:rsid w:val="3C9760B1"/>
    <w:rsid w:val="3CE49CF6"/>
    <w:rsid w:val="3CFFB8FD"/>
    <w:rsid w:val="3D1BD2C9"/>
    <w:rsid w:val="3D43EDDC"/>
    <w:rsid w:val="3DA98033"/>
    <w:rsid w:val="3DC16D73"/>
    <w:rsid w:val="3DDD6966"/>
    <w:rsid w:val="3DE83345"/>
    <w:rsid w:val="3E29F48E"/>
    <w:rsid w:val="3E68E5C7"/>
    <w:rsid w:val="3E85A340"/>
    <w:rsid w:val="3E93F778"/>
    <w:rsid w:val="3EA13D9D"/>
    <w:rsid w:val="3EF85487"/>
    <w:rsid w:val="3EFD7A21"/>
    <w:rsid w:val="3F2F1649"/>
    <w:rsid w:val="3F5DA4A5"/>
    <w:rsid w:val="4012705E"/>
    <w:rsid w:val="401FAE84"/>
    <w:rsid w:val="408A7907"/>
    <w:rsid w:val="408F7138"/>
    <w:rsid w:val="40B984D5"/>
    <w:rsid w:val="40BAA384"/>
    <w:rsid w:val="40DAE7BD"/>
    <w:rsid w:val="4128C651"/>
    <w:rsid w:val="4171682F"/>
    <w:rsid w:val="417F6BEF"/>
    <w:rsid w:val="4183C5F7"/>
    <w:rsid w:val="41C3661A"/>
    <w:rsid w:val="41E7BC51"/>
    <w:rsid w:val="41F3216E"/>
    <w:rsid w:val="41F919BC"/>
    <w:rsid w:val="422E1842"/>
    <w:rsid w:val="423D25D0"/>
    <w:rsid w:val="4250010A"/>
    <w:rsid w:val="4265F3F1"/>
    <w:rsid w:val="4299222B"/>
    <w:rsid w:val="429ECEEF"/>
    <w:rsid w:val="42A8ABB6"/>
    <w:rsid w:val="42ACF166"/>
    <w:rsid w:val="42AE7033"/>
    <w:rsid w:val="42C1020D"/>
    <w:rsid w:val="431BA87E"/>
    <w:rsid w:val="4332BE72"/>
    <w:rsid w:val="434DF9F7"/>
    <w:rsid w:val="43A87CF6"/>
    <w:rsid w:val="43C9B792"/>
    <w:rsid w:val="43CA8D15"/>
    <w:rsid w:val="43CC767E"/>
    <w:rsid w:val="440D40C3"/>
    <w:rsid w:val="44186C63"/>
    <w:rsid w:val="4436761F"/>
    <w:rsid w:val="4473892A"/>
    <w:rsid w:val="449A1757"/>
    <w:rsid w:val="44F0A3DA"/>
    <w:rsid w:val="45069126"/>
    <w:rsid w:val="4557A1BC"/>
    <w:rsid w:val="45648770"/>
    <w:rsid w:val="4584BC2B"/>
    <w:rsid w:val="45A843A8"/>
    <w:rsid w:val="45AE2F4E"/>
    <w:rsid w:val="45B3405B"/>
    <w:rsid w:val="45C32EA5"/>
    <w:rsid w:val="46012591"/>
    <w:rsid w:val="4615729D"/>
    <w:rsid w:val="4622B296"/>
    <w:rsid w:val="463281E7"/>
    <w:rsid w:val="465473FD"/>
    <w:rsid w:val="466B91B6"/>
    <w:rsid w:val="467FF3FA"/>
    <w:rsid w:val="46A90590"/>
    <w:rsid w:val="46C10CF5"/>
    <w:rsid w:val="46CC4F05"/>
    <w:rsid w:val="46FC0EE9"/>
    <w:rsid w:val="470AE57C"/>
    <w:rsid w:val="4730C941"/>
    <w:rsid w:val="47764D32"/>
    <w:rsid w:val="4799E092"/>
    <w:rsid w:val="47C128C3"/>
    <w:rsid w:val="47C8CDED"/>
    <w:rsid w:val="47DB0BD0"/>
    <w:rsid w:val="47E200DE"/>
    <w:rsid w:val="4805A39C"/>
    <w:rsid w:val="482EF786"/>
    <w:rsid w:val="48355C53"/>
    <w:rsid w:val="48A6EA47"/>
    <w:rsid w:val="491247FF"/>
    <w:rsid w:val="491A7139"/>
    <w:rsid w:val="49256483"/>
    <w:rsid w:val="492F7F3F"/>
    <w:rsid w:val="493BE2D6"/>
    <w:rsid w:val="4991331B"/>
    <w:rsid w:val="49AE3E5A"/>
    <w:rsid w:val="49D006AA"/>
    <w:rsid w:val="4A2B7864"/>
    <w:rsid w:val="4A91F021"/>
    <w:rsid w:val="4AA25CB0"/>
    <w:rsid w:val="4AADC675"/>
    <w:rsid w:val="4B0605C0"/>
    <w:rsid w:val="4B1B4663"/>
    <w:rsid w:val="4B409AFB"/>
    <w:rsid w:val="4B50A495"/>
    <w:rsid w:val="4B5E6A20"/>
    <w:rsid w:val="4B9BA618"/>
    <w:rsid w:val="4BAEDFE0"/>
    <w:rsid w:val="4BB861F1"/>
    <w:rsid w:val="4BBD34E8"/>
    <w:rsid w:val="4BBEE212"/>
    <w:rsid w:val="4BCB19C9"/>
    <w:rsid w:val="4BDA0ECB"/>
    <w:rsid w:val="4C36937C"/>
    <w:rsid w:val="4C414995"/>
    <w:rsid w:val="4C7A07A5"/>
    <w:rsid w:val="4C7A9F78"/>
    <w:rsid w:val="4CA704AC"/>
    <w:rsid w:val="4CDE63B7"/>
    <w:rsid w:val="4CF2B721"/>
    <w:rsid w:val="4D0404E2"/>
    <w:rsid w:val="4D0ECF3C"/>
    <w:rsid w:val="4D0F9F3A"/>
    <w:rsid w:val="4D162D01"/>
    <w:rsid w:val="4D2F5D2B"/>
    <w:rsid w:val="4D56258F"/>
    <w:rsid w:val="4D5BD1EF"/>
    <w:rsid w:val="4D628251"/>
    <w:rsid w:val="4D8A8953"/>
    <w:rsid w:val="4D94428D"/>
    <w:rsid w:val="4E164CD4"/>
    <w:rsid w:val="4E5D4156"/>
    <w:rsid w:val="4E654591"/>
    <w:rsid w:val="4E811C02"/>
    <w:rsid w:val="4E99433D"/>
    <w:rsid w:val="4EDFE5F7"/>
    <w:rsid w:val="4EF65577"/>
    <w:rsid w:val="4F28695E"/>
    <w:rsid w:val="4F5015C1"/>
    <w:rsid w:val="4FE5EEFB"/>
    <w:rsid w:val="4FECB869"/>
    <w:rsid w:val="5011036C"/>
    <w:rsid w:val="501E6AA6"/>
    <w:rsid w:val="502E6A12"/>
    <w:rsid w:val="506D2344"/>
    <w:rsid w:val="5082DB47"/>
    <w:rsid w:val="512948A0"/>
    <w:rsid w:val="5138A50F"/>
    <w:rsid w:val="51673648"/>
    <w:rsid w:val="517DEB52"/>
    <w:rsid w:val="518A87E7"/>
    <w:rsid w:val="51B1B223"/>
    <w:rsid w:val="51B601DD"/>
    <w:rsid w:val="51EEF4A5"/>
    <w:rsid w:val="52206E62"/>
    <w:rsid w:val="52372549"/>
    <w:rsid w:val="524C0F60"/>
    <w:rsid w:val="5277E220"/>
    <w:rsid w:val="52F59F96"/>
    <w:rsid w:val="534E3E99"/>
    <w:rsid w:val="53548D63"/>
    <w:rsid w:val="535FB021"/>
    <w:rsid w:val="53AADFFF"/>
    <w:rsid w:val="53BD6587"/>
    <w:rsid w:val="53D11F42"/>
    <w:rsid w:val="53EFC7D5"/>
    <w:rsid w:val="53F088FA"/>
    <w:rsid w:val="5403B5FE"/>
    <w:rsid w:val="5403CBE4"/>
    <w:rsid w:val="54391176"/>
    <w:rsid w:val="544CBB35"/>
    <w:rsid w:val="54510DAB"/>
    <w:rsid w:val="54625F56"/>
    <w:rsid w:val="5482E46B"/>
    <w:rsid w:val="54F9C427"/>
    <w:rsid w:val="54FBD98D"/>
    <w:rsid w:val="5510F63B"/>
    <w:rsid w:val="55486BAE"/>
    <w:rsid w:val="554930CD"/>
    <w:rsid w:val="554FBE84"/>
    <w:rsid w:val="5554AE57"/>
    <w:rsid w:val="5559E0EF"/>
    <w:rsid w:val="55978975"/>
    <w:rsid w:val="55AD3D78"/>
    <w:rsid w:val="55B3BFF2"/>
    <w:rsid w:val="55C615A7"/>
    <w:rsid w:val="55E88B96"/>
    <w:rsid w:val="55EDAFC3"/>
    <w:rsid w:val="55F20AED"/>
    <w:rsid w:val="55F3F75C"/>
    <w:rsid w:val="55F76E2E"/>
    <w:rsid w:val="564ABC65"/>
    <w:rsid w:val="56F33A0C"/>
    <w:rsid w:val="576E6513"/>
    <w:rsid w:val="5778DC43"/>
    <w:rsid w:val="57A469EE"/>
    <w:rsid w:val="57B6E91F"/>
    <w:rsid w:val="58781EEA"/>
    <w:rsid w:val="58A49B62"/>
    <w:rsid w:val="58B5A463"/>
    <w:rsid w:val="58C9E4A8"/>
    <w:rsid w:val="58DADCB3"/>
    <w:rsid w:val="58E339FA"/>
    <w:rsid w:val="58FAA142"/>
    <w:rsid w:val="5922B19D"/>
    <w:rsid w:val="593385A4"/>
    <w:rsid w:val="593699DC"/>
    <w:rsid w:val="596DDD4D"/>
    <w:rsid w:val="5995CE9F"/>
    <w:rsid w:val="59A486F3"/>
    <w:rsid w:val="59BC7493"/>
    <w:rsid w:val="59C9FA21"/>
    <w:rsid w:val="59CDA718"/>
    <w:rsid w:val="59E6CBDF"/>
    <w:rsid w:val="59E85830"/>
    <w:rsid w:val="59EFF517"/>
    <w:rsid w:val="5A0A4799"/>
    <w:rsid w:val="5A79243F"/>
    <w:rsid w:val="5A9ECEF6"/>
    <w:rsid w:val="5AA6DCFB"/>
    <w:rsid w:val="5AAE7776"/>
    <w:rsid w:val="5AAE9C83"/>
    <w:rsid w:val="5AE94AF1"/>
    <w:rsid w:val="5B3F88FE"/>
    <w:rsid w:val="5B5FE365"/>
    <w:rsid w:val="5B6B813B"/>
    <w:rsid w:val="5B77483A"/>
    <w:rsid w:val="5BB465B1"/>
    <w:rsid w:val="5BD73C56"/>
    <w:rsid w:val="5C0908B0"/>
    <w:rsid w:val="5C5715EF"/>
    <w:rsid w:val="5C80A8C7"/>
    <w:rsid w:val="5CA7BC8C"/>
    <w:rsid w:val="5CA7F6EE"/>
    <w:rsid w:val="5CED84C3"/>
    <w:rsid w:val="5D0A56D4"/>
    <w:rsid w:val="5D2B2AE1"/>
    <w:rsid w:val="5D5A0073"/>
    <w:rsid w:val="5D6CDB61"/>
    <w:rsid w:val="5D9787A1"/>
    <w:rsid w:val="5D997928"/>
    <w:rsid w:val="5DC78868"/>
    <w:rsid w:val="5DCA9AFA"/>
    <w:rsid w:val="5DD37818"/>
    <w:rsid w:val="5E29455C"/>
    <w:rsid w:val="5E2D77B4"/>
    <w:rsid w:val="5E3A518A"/>
    <w:rsid w:val="5E468DF4"/>
    <w:rsid w:val="5E57D018"/>
    <w:rsid w:val="5EAC1006"/>
    <w:rsid w:val="5EC504E6"/>
    <w:rsid w:val="5EE5AEA2"/>
    <w:rsid w:val="5EF56E25"/>
    <w:rsid w:val="5F05BEBC"/>
    <w:rsid w:val="5F287AEB"/>
    <w:rsid w:val="5F46556B"/>
    <w:rsid w:val="5F8512E0"/>
    <w:rsid w:val="5F8AD420"/>
    <w:rsid w:val="5FD48E1B"/>
    <w:rsid w:val="5FFF2BEB"/>
    <w:rsid w:val="6018F511"/>
    <w:rsid w:val="60272FF8"/>
    <w:rsid w:val="6040A4FC"/>
    <w:rsid w:val="604A84E8"/>
    <w:rsid w:val="60BA6308"/>
    <w:rsid w:val="60DA9CE7"/>
    <w:rsid w:val="60DBDB2D"/>
    <w:rsid w:val="60FBE7B2"/>
    <w:rsid w:val="610086C1"/>
    <w:rsid w:val="6109E7FD"/>
    <w:rsid w:val="61253753"/>
    <w:rsid w:val="6174DE1D"/>
    <w:rsid w:val="617C95C2"/>
    <w:rsid w:val="619B9D15"/>
    <w:rsid w:val="619D4CA8"/>
    <w:rsid w:val="61AD343A"/>
    <w:rsid w:val="61B0C182"/>
    <w:rsid w:val="61C5CEA9"/>
    <w:rsid w:val="61D5DE0B"/>
    <w:rsid w:val="61E31E04"/>
    <w:rsid w:val="61F085A3"/>
    <w:rsid w:val="61F6B4F1"/>
    <w:rsid w:val="61FB06FC"/>
    <w:rsid w:val="621BBC44"/>
    <w:rsid w:val="621D3838"/>
    <w:rsid w:val="6255C95C"/>
    <w:rsid w:val="62AB01F0"/>
    <w:rsid w:val="62BF0E46"/>
    <w:rsid w:val="62C33BC0"/>
    <w:rsid w:val="631218DE"/>
    <w:rsid w:val="6333C8D8"/>
    <w:rsid w:val="633D49DF"/>
    <w:rsid w:val="6348958A"/>
    <w:rsid w:val="6348C0BD"/>
    <w:rsid w:val="636D5343"/>
    <w:rsid w:val="639B5D4A"/>
    <w:rsid w:val="63CD996A"/>
    <w:rsid w:val="63D316D1"/>
    <w:rsid w:val="63E22D52"/>
    <w:rsid w:val="63FEBA96"/>
    <w:rsid w:val="640CB566"/>
    <w:rsid w:val="641CBC21"/>
    <w:rsid w:val="643F9491"/>
    <w:rsid w:val="6440199D"/>
    <w:rsid w:val="64680EBC"/>
    <w:rsid w:val="64730CEB"/>
    <w:rsid w:val="6477DE1D"/>
    <w:rsid w:val="64D5B149"/>
    <w:rsid w:val="64EB2EE9"/>
    <w:rsid w:val="64F53BC9"/>
    <w:rsid w:val="6508887D"/>
    <w:rsid w:val="6546BC4C"/>
    <w:rsid w:val="6563A446"/>
    <w:rsid w:val="657E244D"/>
    <w:rsid w:val="65A8404D"/>
    <w:rsid w:val="65ABB7F8"/>
    <w:rsid w:val="65D68E4B"/>
    <w:rsid w:val="66191662"/>
    <w:rsid w:val="663CA84E"/>
    <w:rsid w:val="664EBC2B"/>
    <w:rsid w:val="666F0E38"/>
    <w:rsid w:val="668F5D6A"/>
    <w:rsid w:val="66ABB9A0"/>
    <w:rsid w:val="66B3524C"/>
    <w:rsid w:val="66B8B0EA"/>
    <w:rsid w:val="66E6C1ED"/>
    <w:rsid w:val="66F970F6"/>
    <w:rsid w:val="67103DFE"/>
    <w:rsid w:val="6736E5CF"/>
    <w:rsid w:val="677A2E08"/>
    <w:rsid w:val="677F242A"/>
    <w:rsid w:val="678D4CCF"/>
    <w:rsid w:val="678E551E"/>
    <w:rsid w:val="67ADD90D"/>
    <w:rsid w:val="67D04DA6"/>
    <w:rsid w:val="67DDDD27"/>
    <w:rsid w:val="680ADE99"/>
    <w:rsid w:val="6810B09F"/>
    <w:rsid w:val="682844B5"/>
    <w:rsid w:val="6830F98A"/>
    <w:rsid w:val="683241DD"/>
    <w:rsid w:val="684664F9"/>
    <w:rsid w:val="6854F4F4"/>
    <w:rsid w:val="68632CA0"/>
    <w:rsid w:val="68A76BBE"/>
    <w:rsid w:val="68A91F3A"/>
    <w:rsid w:val="68EE8AF8"/>
    <w:rsid w:val="69056224"/>
    <w:rsid w:val="69591345"/>
    <w:rsid w:val="696DD4B8"/>
    <w:rsid w:val="698E2BF0"/>
    <w:rsid w:val="69C40706"/>
    <w:rsid w:val="6A392DD1"/>
    <w:rsid w:val="6ADB24C0"/>
    <w:rsid w:val="6AE57569"/>
    <w:rsid w:val="6B13933F"/>
    <w:rsid w:val="6B21E829"/>
    <w:rsid w:val="6B2455E1"/>
    <w:rsid w:val="6B5CA5D9"/>
    <w:rsid w:val="6B7BB585"/>
    <w:rsid w:val="6B7ED360"/>
    <w:rsid w:val="6BD15CD1"/>
    <w:rsid w:val="6BF01F70"/>
    <w:rsid w:val="6BF938E6"/>
    <w:rsid w:val="6C30C4E3"/>
    <w:rsid w:val="6C4ADE47"/>
    <w:rsid w:val="6C6821D3"/>
    <w:rsid w:val="6C729D3A"/>
    <w:rsid w:val="6C890CD6"/>
    <w:rsid w:val="6C9F8E55"/>
    <w:rsid w:val="6CA76E9F"/>
    <w:rsid w:val="6CCBF5CF"/>
    <w:rsid w:val="6CDFC60B"/>
    <w:rsid w:val="6CE58D40"/>
    <w:rsid w:val="6D346EDA"/>
    <w:rsid w:val="6D740047"/>
    <w:rsid w:val="6DBDF8EE"/>
    <w:rsid w:val="6DED709A"/>
    <w:rsid w:val="6E0BF5C2"/>
    <w:rsid w:val="6E23868A"/>
    <w:rsid w:val="6E36C2D4"/>
    <w:rsid w:val="6E7AF62B"/>
    <w:rsid w:val="6E7FD177"/>
    <w:rsid w:val="6EB622CF"/>
    <w:rsid w:val="6F0E2ED0"/>
    <w:rsid w:val="6F79123F"/>
    <w:rsid w:val="6F966F4B"/>
    <w:rsid w:val="6FA6C00A"/>
    <w:rsid w:val="6FE00C54"/>
    <w:rsid w:val="7001C90B"/>
    <w:rsid w:val="700567F0"/>
    <w:rsid w:val="7015F07E"/>
    <w:rsid w:val="70353794"/>
    <w:rsid w:val="7046CA77"/>
    <w:rsid w:val="707B320C"/>
    <w:rsid w:val="708321B9"/>
    <w:rsid w:val="7087810A"/>
    <w:rsid w:val="709E0402"/>
    <w:rsid w:val="70A3EB63"/>
    <w:rsid w:val="70B323AC"/>
    <w:rsid w:val="70B4AC0E"/>
    <w:rsid w:val="70F1B8C8"/>
    <w:rsid w:val="71487575"/>
    <w:rsid w:val="714CA553"/>
    <w:rsid w:val="71BE44C9"/>
    <w:rsid w:val="71C28184"/>
    <w:rsid w:val="721E1289"/>
    <w:rsid w:val="72796C55"/>
    <w:rsid w:val="728F3AA7"/>
    <w:rsid w:val="729C14F0"/>
    <w:rsid w:val="72C9F687"/>
    <w:rsid w:val="72CA59FD"/>
    <w:rsid w:val="72D4699E"/>
    <w:rsid w:val="72F9F50D"/>
    <w:rsid w:val="730AC762"/>
    <w:rsid w:val="73126823"/>
    <w:rsid w:val="73721763"/>
    <w:rsid w:val="7397A79B"/>
    <w:rsid w:val="73A93FA7"/>
    <w:rsid w:val="73CA0AB9"/>
    <w:rsid w:val="741EDC01"/>
    <w:rsid w:val="742639C8"/>
    <w:rsid w:val="74668947"/>
    <w:rsid w:val="746A7077"/>
    <w:rsid w:val="7471F856"/>
    <w:rsid w:val="749191A8"/>
    <w:rsid w:val="7499FAE2"/>
    <w:rsid w:val="74AFB9D9"/>
    <w:rsid w:val="74B9FF2F"/>
    <w:rsid w:val="74E21BCC"/>
    <w:rsid w:val="74F1C93F"/>
    <w:rsid w:val="74F6ECD7"/>
    <w:rsid w:val="75176B1C"/>
    <w:rsid w:val="7545D85F"/>
    <w:rsid w:val="75498E02"/>
    <w:rsid w:val="75573EA3"/>
    <w:rsid w:val="755B09E0"/>
    <w:rsid w:val="75603EBC"/>
    <w:rsid w:val="75B4D849"/>
    <w:rsid w:val="75B7B91E"/>
    <w:rsid w:val="75C4632B"/>
    <w:rsid w:val="75FE9E23"/>
    <w:rsid w:val="7607AF06"/>
    <w:rsid w:val="7625DD79"/>
    <w:rsid w:val="7644B69A"/>
    <w:rsid w:val="7653A1A0"/>
    <w:rsid w:val="766D0D86"/>
    <w:rsid w:val="767C6965"/>
    <w:rsid w:val="76908009"/>
    <w:rsid w:val="76AEBAED"/>
    <w:rsid w:val="76CE61D8"/>
    <w:rsid w:val="773ECFE9"/>
    <w:rsid w:val="7754A2B4"/>
    <w:rsid w:val="77770242"/>
    <w:rsid w:val="77788CD2"/>
    <w:rsid w:val="7782C8A5"/>
    <w:rsid w:val="77DAC6C6"/>
    <w:rsid w:val="77E3D864"/>
    <w:rsid w:val="7808381E"/>
    <w:rsid w:val="78251B64"/>
    <w:rsid w:val="782F3D4A"/>
    <w:rsid w:val="7842715A"/>
    <w:rsid w:val="785C2D96"/>
    <w:rsid w:val="7860A146"/>
    <w:rsid w:val="786D70C9"/>
    <w:rsid w:val="788643F1"/>
    <w:rsid w:val="78B7B30A"/>
    <w:rsid w:val="78C8EACF"/>
    <w:rsid w:val="78FE4B5C"/>
    <w:rsid w:val="79013EFB"/>
    <w:rsid w:val="7912A0C2"/>
    <w:rsid w:val="79150967"/>
    <w:rsid w:val="793D4BFF"/>
    <w:rsid w:val="79472026"/>
    <w:rsid w:val="795C6AF9"/>
    <w:rsid w:val="795F79AB"/>
    <w:rsid w:val="799F6BB2"/>
    <w:rsid w:val="79B958B2"/>
    <w:rsid w:val="79C2BE3C"/>
    <w:rsid w:val="79CB0DAB"/>
    <w:rsid w:val="79D7879C"/>
    <w:rsid w:val="79D9ED75"/>
    <w:rsid w:val="7A1CB693"/>
    <w:rsid w:val="7A6493FB"/>
    <w:rsid w:val="7A71E06C"/>
    <w:rsid w:val="7AA1E692"/>
    <w:rsid w:val="7AD4996C"/>
    <w:rsid w:val="7AE8554F"/>
    <w:rsid w:val="7B08E3BE"/>
    <w:rsid w:val="7B1484C0"/>
    <w:rsid w:val="7B263D3B"/>
    <w:rsid w:val="7B289946"/>
    <w:rsid w:val="7B4ECF3A"/>
    <w:rsid w:val="7B9B3CB1"/>
    <w:rsid w:val="7BEB6F4D"/>
    <w:rsid w:val="7BF45E1A"/>
    <w:rsid w:val="7C2214F2"/>
    <w:rsid w:val="7C471881"/>
    <w:rsid w:val="7C8CDE4D"/>
    <w:rsid w:val="7C8DAF74"/>
    <w:rsid w:val="7C94C42A"/>
    <w:rsid w:val="7C96DFD2"/>
    <w:rsid w:val="7CE86BEF"/>
    <w:rsid w:val="7CF4915C"/>
    <w:rsid w:val="7D6A8336"/>
    <w:rsid w:val="7DCF0E1C"/>
    <w:rsid w:val="7DED02DA"/>
    <w:rsid w:val="7DFF0022"/>
    <w:rsid w:val="7E4EF768"/>
    <w:rsid w:val="7E5A653D"/>
    <w:rsid w:val="7EAEB74E"/>
    <w:rsid w:val="7ECC4FE8"/>
    <w:rsid w:val="7EE247C8"/>
    <w:rsid w:val="7F03DC92"/>
    <w:rsid w:val="7F3F4D4E"/>
    <w:rsid w:val="7F5725DF"/>
    <w:rsid w:val="7F5C51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F9A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rsid w:val="009B7138"/>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AC6A4F"/>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rsid w:val="00AC6A4F"/>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rsid w:val="00AC6A4F"/>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36"/>
    <w:pPr>
      <w:ind w:left="720"/>
      <w:contextualSpacing/>
    </w:pPr>
  </w:style>
  <w:style w:type="character" w:styleId="Hyperlink">
    <w:name w:val="Hyperlink"/>
    <w:uiPriority w:val="99"/>
    <w:unhideWhenUsed/>
    <w:rsid w:val="00BE0300"/>
    <w:rPr>
      <w:color w:val="0000FF"/>
      <w:u w:val="single"/>
    </w:rPr>
  </w:style>
  <w:style w:type="character" w:styleId="CommentReference">
    <w:name w:val="annotation reference"/>
    <w:basedOn w:val="DefaultParagraphFont"/>
    <w:uiPriority w:val="99"/>
    <w:unhideWhenUsed/>
    <w:rsid w:val="00F570F6"/>
    <w:rPr>
      <w:sz w:val="16"/>
      <w:szCs w:val="16"/>
    </w:rPr>
  </w:style>
  <w:style w:type="paragraph" w:styleId="CommentText">
    <w:name w:val="annotation text"/>
    <w:aliases w:val="IT Kommentartext"/>
    <w:basedOn w:val="Normal"/>
    <w:link w:val="CommentTextChar"/>
    <w:uiPriority w:val="99"/>
    <w:unhideWhenUsed/>
    <w:qFormat/>
    <w:rsid w:val="00F570F6"/>
    <w:rPr>
      <w:sz w:val="20"/>
      <w:szCs w:val="20"/>
    </w:rPr>
  </w:style>
  <w:style w:type="character" w:customStyle="1" w:styleId="CommentTextChar">
    <w:name w:val="Comment Text Char"/>
    <w:aliases w:val="IT Kommentartext Char"/>
    <w:basedOn w:val="DefaultParagraphFont"/>
    <w:link w:val="CommentText"/>
    <w:uiPriority w:val="99"/>
    <w:qFormat/>
    <w:rsid w:val="00F570F6"/>
    <w:rPr>
      <w:rFonts w:ascii="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F570F6"/>
    <w:rPr>
      <w:b/>
      <w:bCs/>
    </w:rPr>
  </w:style>
  <w:style w:type="character" w:customStyle="1" w:styleId="CommentSubjectChar">
    <w:name w:val="Comment Subject Char"/>
    <w:basedOn w:val="CommentTextChar"/>
    <w:link w:val="CommentSubject"/>
    <w:uiPriority w:val="99"/>
    <w:semiHidden/>
    <w:rsid w:val="00F570F6"/>
    <w:rPr>
      <w:rFonts w:ascii="Times New Roman" w:hAnsi="Times New Roman" w:cs="Times New Roman"/>
      <w:b/>
      <w:bCs/>
      <w:sz w:val="20"/>
      <w:szCs w:val="20"/>
      <w:lang w:val="pl-PL"/>
    </w:rPr>
  </w:style>
  <w:style w:type="paragraph" w:styleId="BalloonText">
    <w:name w:val="Balloon Text"/>
    <w:basedOn w:val="Normal"/>
    <w:link w:val="BalloonTextChar"/>
    <w:uiPriority w:val="99"/>
    <w:semiHidden/>
    <w:unhideWhenUsed/>
    <w:rsid w:val="00F570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0F6"/>
    <w:rPr>
      <w:rFonts w:ascii="Segoe UI" w:hAnsi="Segoe UI" w:cs="Segoe UI"/>
      <w:sz w:val="18"/>
      <w:szCs w:val="18"/>
      <w:lang w:val="pl-PL"/>
    </w:rPr>
  </w:style>
  <w:style w:type="character" w:styleId="FollowedHyperlink">
    <w:name w:val="FollowedHyperlink"/>
    <w:basedOn w:val="DefaultParagraphFont"/>
    <w:uiPriority w:val="99"/>
    <w:semiHidden/>
    <w:unhideWhenUsed/>
    <w:rsid w:val="00571322"/>
    <w:rPr>
      <w:color w:val="800080" w:themeColor="followedHyperlink"/>
      <w:u w:val="single"/>
    </w:rPr>
  </w:style>
  <w:style w:type="character" w:styleId="Strong">
    <w:name w:val="Strong"/>
    <w:basedOn w:val="DefaultParagraphFont"/>
    <w:uiPriority w:val="22"/>
    <w:qFormat/>
    <w:rsid w:val="000E495B"/>
    <w:rPr>
      <w:b/>
      <w:bCs/>
    </w:rPr>
  </w:style>
  <w:style w:type="paragraph" w:styleId="NormalWeb">
    <w:name w:val="Normal (Web)"/>
    <w:basedOn w:val="Normal"/>
    <w:uiPriority w:val="99"/>
    <w:unhideWhenUsed/>
    <w:rsid w:val="000E495B"/>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9C5A9F"/>
    <w:pPr>
      <w:spacing w:after="0" w:line="240" w:lineRule="auto"/>
    </w:pPr>
    <w:rPr>
      <w:rFonts w:ascii="Times New Roman" w:hAnsi="Times New Roman" w:cs="Times New Roman"/>
      <w:sz w:val="24"/>
    </w:rPr>
  </w:style>
  <w:style w:type="paragraph" w:customStyle="1" w:styleId="Default">
    <w:name w:val="Default"/>
    <w:rsid w:val="006A096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1">
    <w:name w:val="Mention non résolue1"/>
    <w:basedOn w:val="DefaultParagraphFont"/>
    <w:uiPriority w:val="99"/>
    <w:semiHidden/>
    <w:unhideWhenUsed/>
    <w:rsid w:val="000C58FD"/>
    <w:rPr>
      <w:color w:val="605E5C"/>
      <w:shd w:val="clear" w:color="auto" w:fill="E1DFDD"/>
    </w:rPr>
  </w:style>
  <w:style w:type="character" w:customStyle="1" w:styleId="Mentionnonrsolue2">
    <w:name w:val="Mention non résolue2"/>
    <w:basedOn w:val="DefaultParagraphFont"/>
    <w:uiPriority w:val="99"/>
    <w:semiHidden/>
    <w:unhideWhenUsed/>
    <w:rsid w:val="007A5E0E"/>
    <w:rPr>
      <w:color w:val="605E5C"/>
      <w:shd w:val="clear" w:color="auto" w:fill="E1DFDD"/>
    </w:rPr>
  </w:style>
  <w:style w:type="paragraph" w:styleId="Signature">
    <w:name w:val="Signature"/>
    <w:basedOn w:val="Normal"/>
    <w:link w:val="SignatureChar"/>
    <w:uiPriority w:val="2"/>
    <w:semiHidden/>
    <w:unhideWhenUsed/>
    <w:rsid w:val="00E3703C"/>
    <w:pPr>
      <w:spacing w:before="1200" w:after="0"/>
      <w:ind w:left="5102"/>
      <w:jc w:val="center"/>
    </w:pPr>
    <w:rPr>
      <w:szCs w:val="24"/>
      <w:lang w:eastAsia="en-GB"/>
    </w:rPr>
  </w:style>
  <w:style w:type="character" w:customStyle="1" w:styleId="SignatureChar">
    <w:name w:val="Signature Char"/>
    <w:basedOn w:val="DefaultParagraphFont"/>
    <w:link w:val="Signature"/>
    <w:uiPriority w:val="2"/>
    <w:semiHidden/>
    <w:rsid w:val="00E3703C"/>
    <w:rPr>
      <w:rFonts w:ascii="Times New Roman" w:hAnsi="Times New Roman" w:cs="Times New Roman"/>
      <w:sz w:val="24"/>
      <w:szCs w:val="24"/>
      <w:lang w:val="pl-PL" w:eastAsia="en-GB"/>
    </w:rPr>
  </w:style>
  <w:style w:type="paragraph" w:styleId="ListBullet">
    <w:name w:val="List Bullet"/>
    <w:basedOn w:val="Normal"/>
    <w:uiPriority w:val="99"/>
    <w:semiHidden/>
    <w:unhideWhenUsed/>
    <w:rsid w:val="00766CDF"/>
    <w:pPr>
      <w:tabs>
        <w:tab w:val="num" w:pos="360"/>
      </w:tabs>
      <w:ind w:left="360" w:hanging="360"/>
      <w:contextualSpacing/>
    </w:pPr>
  </w:style>
  <w:style w:type="paragraph" w:styleId="ListBullet2">
    <w:name w:val="List Bullet 2"/>
    <w:basedOn w:val="Normal"/>
    <w:uiPriority w:val="99"/>
    <w:semiHidden/>
    <w:unhideWhenUsed/>
    <w:rsid w:val="00766CDF"/>
    <w:pPr>
      <w:tabs>
        <w:tab w:val="num" w:pos="643"/>
      </w:tabs>
      <w:ind w:left="643" w:hanging="360"/>
      <w:contextualSpacing/>
    </w:pPr>
  </w:style>
  <w:style w:type="paragraph" w:styleId="ListBullet3">
    <w:name w:val="List Bullet 3"/>
    <w:basedOn w:val="Normal"/>
    <w:uiPriority w:val="99"/>
    <w:semiHidden/>
    <w:unhideWhenUsed/>
    <w:rsid w:val="00766CDF"/>
    <w:pPr>
      <w:tabs>
        <w:tab w:val="num" w:pos="926"/>
      </w:tabs>
      <w:ind w:left="926" w:hanging="360"/>
      <w:contextualSpacing/>
    </w:pPr>
  </w:style>
  <w:style w:type="paragraph" w:styleId="ListBullet4">
    <w:name w:val="List Bullet 4"/>
    <w:basedOn w:val="Normal"/>
    <w:uiPriority w:val="99"/>
    <w:semiHidden/>
    <w:unhideWhenUsed/>
    <w:rsid w:val="00766CDF"/>
    <w:pPr>
      <w:tabs>
        <w:tab w:val="num" w:pos="1209"/>
      </w:tabs>
      <w:ind w:left="1209" w:hanging="360"/>
      <w:contextualSpacing/>
    </w:pPr>
  </w:style>
  <w:style w:type="paragraph" w:customStyle="1" w:styleId="Normal1">
    <w:name w:val="Normal1"/>
    <w:basedOn w:val="Normal"/>
    <w:rsid w:val="00A520DE"/>
    <w:pPr>
      <w:spacing w:before="100" w:beforeAutospacing="1" w:after="100" w:afterAutospacing="1"/>
      <w:jc w:val="left"/>
    </w:pPr>
    <w:rPr>
      <w:rFonts w:eastAsia="Times New Roman"/>
      <w:szCs w:val="24"/>
      <w:lang w:eastAsia="en-GB"/>
    </w:rPr>
  </w:style>
  <w:style w:type="character" w:customStyle="1" w:styleId="normaltextrun">
    <w:name w:val="normaltextrun"/>
    <w:basedOn w:val="DefaultParagraphFont"/>
    <w:rsid w:val="00BF492D"/>
  </w:style>
  <w:style w:type="paragraph" w:customStyle="1" w:styleId="paragraph">
    <w:name w:val="paragraph"/>
    <w:basedOn w:val="Normal"/>
    <w:rsid w:val="00BF492D"/>
    <w:pPr>
      <w:spacing w:before="100" w:beforeAutospacing="1" w:after="100" w:afterAutospacing="1"/>
      <w:jc w:val="left"/>
    </w:pPr>
    <w:rPr>
      <w:rFonts w:eastAsia="Times New Roman"/>
      <w:szCs w:val="24"/>
      <w:lang w:eastAsia="en-GB"/>
    </w:rPr>
  </w:style>
  <w:style w:type="character" w:customStyle="1" w:styleId="eop">
    <w:name w:val="eop"/>
    <w:basedOn w:val="DefaultParagraphFont"/>
    <w:rsid w:val="00BF492D"/>
  </w:style>
  <w:style w:type="character" w:styleId="Emphasis">
    <w:name w:val="Emphasis"/>
    <w:basedOn w:val="DefaultParagraphFont"/>
    <w:uiPriority w:val="20"/>
    <w:qFormat/>
    <w:rsid w:val="00107691"/>
    <w:rPr>
      <w:i/>
      <w:iCs/>
    </w:rPr>
  </w:style>
  <w:style w:type="paragraph" w:styleId="Caption">
    <w:name w:val="caption"/>
    <w:basedOn w:val="Normal"/>
    <w:next w:val="Normal"/>
    <w:uiPriority w:val="35"/>
    <w:semiHidden/>
    <w:unhideWhenUsed/>
    <w:qFormat/>
    <w:rsid w:val="0089652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96520"/>
    <w:pPr>
      <w:spacing w:after="0"/>
    </w:pPr>
  </w:style>
  <w:style w:type="paragraph" w:styleId="ListNumber">
    <w:name w:val="List Number"/>
    <w:basedOn w:val="Normal"/>
    <w:uiPriority w:val="99"/>
    <w:semiHidden/>
    <w:unhideWhenUsed/>
    <w:rsid w:val="00896520"/>
    <w:pPr>
      <w:numPr>
        <w:numId w:val="2"/>
      </w:numPr>
      <w:contextualSpacing/>
    </w:pPr>
  </w:style>
  <w:style w:type="paragraph" w:styleId="ListNumber2">
    <w:name w:val="List Number 2"/>
    <w:basedOn w:val="Normal"/>
    <w:uiPriority w:val="99"/>
    <w:semiHidden/>
    <w:unhideWhenUsed/>
    <w:rsid w:val="00896520"/>
    <w:pPr>
      <w:numPr>
        <w:numId w:val="3"/>
      </w:numPr>
      <w:contextualSpacing/>
    </w:pPr>
  </w:style>
  <w:style w:type="paragraph" w:styleId="ListNumber3">
    <w:name w:val="List Number 3"/>
    <w:basedOn w:val="Normal"/>
    <w:uiPriority w:val="99"/>
    <w:semiHidden/>
    <w:unhideWhenUsed/>
    <w:rsid w:val="00896520"/>
    <w:pPr>
      <w:numPr>
        <w:numId w:val="4"/>
      </w:numPr>
      <w:contextualSpacing/>
    </w:pPr>
  </w:style>
  <w:style w:type="paragraph" w:styleId="ListNumber4">
    <w:name w:val="List Number 4"/>
    <w:basedOn w:val="Normal"/>
    <w:uiPriority w:val="99"/>
    <w:semiHidden/>
    <w:unhideWhenUsed/>
    <w:rsid w:val="00896520"/>
    <w:pPr>
      <w:numPr>
        <w:numId w:val="5"/>
      </w:numPr>
      <w:contextualSpacing/>
    </w:pPr>
  </w:style>
  <w:style w:type="paragraph" w:customStyle="1" w:styleId="Point1lettter">
    <w:name w:val="Point 1 lettter"/>
    <w:basedOn w:val="Point0letter"/>
    <w:rsid w:val="003439A2"/>
    <w:pPr>
      <w:ind w:left="1418" w:hanging="567"/>
    </w:pPr>
  </w:style>
  <w:style w:type="paragraph" w:customStyle="1" w:styleId="Point1letter0">
    <w:name w:val="Point 1 letter"/>
    <w:basedOn w:val="Point1lettter"/>
    <w:rsid w:val="003439A2"/>
  </w:style>
  <w:style w:type="paragraph" w:customStyle="1" w:styleId="oj-normal">
    <w:name w:val="oj-normal"/>
    <w:basedOn w:val="Normal"/>
    <w:rsid w:val="007837F8"/>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CE7A11"/>
    <w:pPr>
      <w:tabs>
        <w:tab w:val="center" w:pos="4535"/>
        <w:tab w:val="right" w:pos="9071"/>
      </w:tabs>
      <w:spacing w:before="0"/>
    </w:pPr>
  </w:style>
  <w:style w:type="character" w:customStyle="1" w:styleId="HeaderChar">
    <w:name w:val="Header Char"/>
    <w:basedOn w:val="DefaultParagraphFont"/>
    <w:link w:val="Header"/>
    <w:uiPriority w:val="99"/>
    <w:rsid w:val="00CE7A11"/>
    <w:rPr>
      <w:rFonts w:ascii="Times New Roman" w:hAnsi="Times New Roman" w:cs="Times New Roman"/>
      <w:sz w:val="24"/>
      <w:lang w:val="pl-PL"/>
    </w:rPr>
  </w:style>
  <w:style w:type="paragraph" w:styleId="Footer">
    <w:name w:val="footer"/>
    <w:basedOn w:val="Normal"/>
    <w:link w:val="FooterChar"/>
    <w:uiPriority w:val="99"/>
    <w:unhideWhenUsed/>
    <w:rsid w:val="00CE7A1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E7A11"/>
    <w:rPr>
      <w:rFonts w:ascii="Times New Roman" w:hAnsi="Times New Roman" w:cs="Times New Roman"/>
      <w:sz w:val="24"/>
      <w:lang w:val="pl-PL"/>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pl-PL"/>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E7A11"/>
    <w:pPr>
      <w:tabs>
        <w:tab w:val="center" w:pos="7285"/>
        <w:tab w:val="right" w:pos="14003"/>
      </w:tabs>
      <w:spacing w:before="0"/>
    </w:pPr>
  </w:style>
  <w:style w:type="paragraph" w:customStyle="1" w:styleId="FooterLandscape">
    <w:name w:val="FooterLandscape"/>
    <w:basedOn w:val="Normal"/>
    <w:rsid w:val="00CE7A1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E7A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E7A11"/>
    <w:pPr>
      <w:spacing w:before="0"/>
      <w:jc w:val="right"/>
    </w:pPr>
    <w:rPr>
      <w:sz w:val="28"/>
    </w:rPr>
  </w:style>
  <w:style w:type="paragraph" w:customStyle="1" w:styleId="FooterSensitivity">
    <w:name w:val="Footer Sensitivity"/>
    <w:basedOn w:val="Normal"/>
    <w:rsid w:val="00CE7A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7"/>
      </w:numPr>
    </w:pPr>
  </w:style>
  <w:style w:type="paragraph" w:customStyle="1" w:styleId="Tiret1">
    <w:name w:val="Tiret 1"/>
    <w:basedOn w:val="Point1"/>
    <w:rsid w:val="009B7138"/>
    <w:pPr>
      <w:numPr>
        <w:numId w:val="8"/>
      </w:numPr>
    </w:pPr>
  </w:style>
  <w:style w:type="paragraph" w:customStyle="1" w:styleId="Tiret2">
    <w:name w:val="Tiret 2"/>
    <w:basedOn w:val="Point2"/>
    <w:rsid w:val="009B7138"/>
    <w:pPr>
      <w:numPr>
        <w:numId w:val="9"/>
      </w:numPr>
    </w:pPr>
  </w:style>
  <w:style w:type="paragraph" w:customStyle="1" w:styleId="Tiret3">
    <w:name w:val="Tiret 3"/>
    <w:basedOn w:val="Point3"/>
    <w:rsid w:val="009B7138"/>
    <w:pPr>
      <w:numPr>
        <w:numId w:val="10"/>
      </w:numPr>
    </w:pPr>
  </w:style>
  <w:style w:type="paragraph" w:customStyle="1" w:styleId="Tiret4">
    <w:name w:val="Tiret 4"/>
    <w:basedOn w:val="Point4"/>
    <w:rsid w:val="009B7138"/>
    <w:pPr>
      <w:numPr>
        <w:numId w:val="11"/>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1"/>
      </w:numPr>
    </w:pPr>
  </w:style>
  <w:style w:type="paragraph" w:customStyle="1" w:styleId="NumPar2">
    <w:name w:val="NumPar 2"/>
    <w:basedOn w:val="Normal"/>
    <w:next w:val="Text1"/>
    <w:rsid w:val="009B7138"/>
    <w:pPr>
      <w:numPr>
        <w:ilvl w:val="1"/>
        <w:numId w:val="21"/>
      </w:numPr>
    </w:pPr>
  </w:style>
  <w:style w:type="paragraph" w:customStyle="1" w:styleId="NumPar3">
    <w:name w:val="NumPar 3"/>
    <w:basedOn w:val="Normal"/>
    <w:next w:val="Text1"/>
    <w:rsid w:val="009B7138"/>
    <w:pPr>
      <w:numPr>
        <w:ilvl w:val="2"/>
        <w:numId w:val="21"/>
      </w:numPr>
    </w:pPr>
  </w:style>
  <w:style w:type="paragraph" w:customStyle="1" w:styleId="NumPar4">
    <w:name w:val="NumPar 4"/>
    <w:basedOn w:val="Normal"/>
    <w:next w:val="Text1"/>
    <w:rsid w:val="009B7138"/>
    <w:pPr>
      <w:numPr>
        <w:ilvl w:val="3"/>
        <w:numId w:val="2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A66124"/>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2"/>
      </w:numPr>
    </w:pPr>
  </w:style>
  <w:style w:type="paragraph" w:customStyle="1" w:styleId="Point1number">
    <w:name w:val="Point 1 (number)"/>
    <w:basedOn w:val="Normal"/>
    <w:rsid w:val="009B7138"/>
    <w:pPr>
      <w:numPr>
        <w:ilvl w:val="2"/>
        <w:numId w:val="12"/>
      </w:numPr>
    </w:pPr>
  </w:style>
  <w:style w:type="paragraph" w:customStyle="1" w:styleId="Point2number">
    <w:name w:val="Point 2 (number)"/>
    <w:basedOn w:val="Normal"/>
    <w:rsid w:val="009B7138"/>
    <w:pPr>
      <w:numPr>
        <w:ilvl w:val="4"/>
        <w:numId w:val="12"/>
      </w:numPr>
    </w:pPr>
  </w:style>
  <w:style w:type="paragraph" w:customStyle="1" w:styleId="Point3number">
    <w:name w:val="Point 3 (number)"/>
    <w:basedOn w:val="Normal"/>
    <w:rsid w:val="009B7138"/>
    <w:pPr>
      <w:numPr>
        <w:ilvl w:val="6"/>
        <w:numId w:val="12"/>
      </w:numPr>
    </w:pPr>
  </w:style>
  <w:style w:type="paragraph" w:customStyle="1" w:styleId="Point0letter">
    <w:name w:val="Point 0 (letter)"/>
    <w:basedOn w:val="Normal"/>
    <w:rsid w:val="009B7138"/>
    <w:pPr>
      <w:numPr>
        <w:ilvl w:val="1"/>
        <w:numId w:val="12"/>
      </w:numPr>
    </w:pPr>
  </w:style>
  <w:style w:type="paragraph" w:customStyle="1" w:styleId="Point1letter">
    <w:name w:val="Point 1 (letter)"/>
    <w:basedOn w:val="Normal"/>
    <w:rsid w:val="009B7138"/>
    <w:pPr>
      <w:numPr>
        <w:ilvl w:val="3"/>
        <w:numId w:val="12"/>
      </w:numPr>
    </w:pPr>
  </w:style>
  <w:style w:type="paragraph" w:customStyle="1" w:styleId="Point2letter">
    <w:name w:val="Point 2 (letter)"/>
    <w:basedOn w:val="Normal"/>
    <w:rsid w:val="009B7138"/>
    <w:pPr>
      <w:numPr>
        <w:ilvl w:val="5"/>
        <w:numId w:val="12"/>
      </w:numPr>
    </w:pPr>
  </w:style>
  <w:style w:type="paragraph" w:customStyle="1" w:styleId="Point3letter">
    <w:name w:val="Point 3 (letter)"/>
    <w:basedOn w:val="Normal"/>
    <w:rsid w:val="009B7138"/>
    <w:pPr>
      <w:numPr>
        <w:ilvl w:val="7"/>
        <w:numId w:val="12"/>
      </w:numPr>
    </w:pPr>
  </w:style>
  <w:style w:type="paragraph" w:customStyle="1" w:styleId="Point4letter">
    <w:name w:val="Point 4 (letter)"/>
    <w:basedOn w:val="Normal"/>
    <w:rsid w:val="009B7138"/>
    <w:pPr>
      <w:numPr>
        <w:ilvl w:val="8"/>
        <w:numId w:val="12"/>
      </w:numPr>
    </w:pPr>
  </w:style>
  <w:style w:type="paragraph" w:customStyle="1" w:styleId="Bullet0">
    <w:name w:val="Bullet 0"/>
    <w:basedOn w:val="Normal"/>
    <w:rsid w:val="009B7138"/>
    <w:pPr>
      <w:numPr>
        <w:numId w:val="13"/>
      </w:numPr>
    </w:pPr>
  </w:style>
  <w:style w:type="paragraph" w:customStyle="1" w:styleId="Bullet1">
    <w:name w:val="Bullet 1"/>
    <w:basedOn w:val="Normal"/>
    <w:rsid w:val="009B7138"/>
    <w:pPr>
      <w:numPr>
        <w:numId w:val="14"/>
      </w:numPr>
    </w:pPr>
  </w:style>
  <w:style w:type="paragraph" w:customStyle="1" w:styleId="Bullet2">
    <w:name w:val="Bullet 2"/>
    <w:basedOn w:val="Normal"/>
    <w:rsid w:val="009B7138"/>
    <w:pPr>
      <w:numPr>
        <w:numId w:val="15"/>
      </w:numPr>
    </w:pPr>
  </w:style>
  <w:style w:type="paragraph" w:customStyle="1" w:styleId="Bullet3">
    <w:name w:val="Bullet 3"/>
    <w:basedOn w:val="Normal"/>
    <w:rsid w:val="009B7138"/>
    <w:pPr>
      <w:numPr>
        <w:numId w:val="16"/>
      </w:numPr>
    </w:pPr>
  </w:style>
  <w:style w:type="paragraph" w:customStyle="1" w:styleId="Bullet4">
    <w:name w:val="Bullet 4"/>
    <w:basedOn w:val="Normal"/>
    <w:rsid w:val="009B7138"/>
    <w:pPr>
      <w:numPr>
        <w:numId w:val="1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1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AC6A4F"/>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sid w:val="00AC6A4F"/>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sid w:val="00AC6A4F"/>
    <w:rPr>
      <w:rFonts w:ascii="Times New Roman" w:eastAsiaTheme="majorEastAsia" w:hAnsi="Times New Roman" w:cs="Times New Roman"/>
      <w:iCs/>
      <w:sz w:val="24"/>
      <w:lang w:val="pl-PL"/>
    </w:rPr>
  </w:style>
  <w:style w:type="paragraph" w:customStyle="1" w:styleId="ManualHeading5">
    <w:name w:val="Manual Heading 5"/>
    <w:basedOn w:val="Normal"/>
    <w:next w:val="Text2"/>
    <w:rsid w:val="00AC6A4F"/>
    <w:pPr>
      <w:keepNext/>
      <w:tabs>
        <w:tab w:val="left" w:pos="1417"/>
      </w:tabs>
      <w:ind w:left="1417" w:hanging="1417"/>
      <w:outlineLvl w:val="4"/>
    </w:pPr>
  </w:style>
  <w:style w:type="paragraph" w:customStyle="1" w:styleId="ManualHeading6">
    <w:name w:val="Manual Heading 6"/>
    <w:basedOn w:val="Normal"/>
    <w:next w:val="Text2"/>
    <w:rsid w:val="00AC6A4F"/>
    <w:pPr>
      <w:keepNext/>
      <w:tabs>
        <w:tab w:val="left" w:pos="1417"/>
      </w:tabs>
      <w:ind w:left="1417" w:hanging="1417"/>
      <w:outlineLvl w:val="5"/>
    </w:pPr>
  </w:style>
  <w:style w:type="paragraph" w:customStyle="1" w:styleId="ManualHeading7">
    <w:name w:val="Manual Heading 7"/>
    <w:basedOn w:val="Normal"/>
    <w:next w:val="Text2"/>
    <w:rsid w:val="00AC6A4F"/>
    <w:pPr>
      <w:keepNext/>
      <w:tabs>
        <w:tab w:val="left" w:pos="1417"/>
      </w:tabs>
      <w:ind w:left="1417" w:hanging="1417"/>
      <w:outlineLvl w:val="6"/>
    </w:pPr>
  </w:style>
  <w:style w:type="paragraph" w:customStyle="1" w:styleId="Text5">
    <w:name w:val="Text 5"/>
    <w:basedOn w:val="Normal"/>
    <w:rsid w:val="00AC6A4F"/>
    <w:pPr>
      <w:ind w:left="3118"/>
    </w:pPr>
  </w:style>
  <w:style w:type="paragraph" w:customStyle="1" w:styleId="Text6">
    <w:name w:val="Text 6"/>
    <w:basedOn w:val="Normal"/>
    <w:rsid w:val="00AC6A4F"/>
    <w:pPr>
      <w:ind w:left="3685"/>
    </w:pPr>
  </w:style>
  <w:style w:type="paragraph" w:customStyle="1" w:styleId="Point5">
    <w:name w:val="Point 5"/>
    <w:basedOn w:val="Normal"/>
    <w:rsid w:val="00AC6A4F"/>
    <w:pPr>
      <w:ind w:left="3685" w:hanging="567"/>
    </w:pPr>
  </w:style>
  <w:style w:type="paragraph" w:customStyle="1" w:styleId="Tiret5">
    <w:name w:val="Tiret 5"/>
    <w:basedOn w:val="Point5"/>
    <w:rsid w:val="00AC6A4F"/>
    <w:pPr>
      <w:numPr>
        <w:numId w:val="20"/>
      </w:numPr>
    </w:pPr>
  </w:style>
  <w:style w:type="paragraph" w:customStyle="1" w:styleId="NumPar5">
    <w:name w:val="NumPar 5"/>
    <w:basedOn w:val="Normal"/>
    <w:next w:val="Text2"/>
    <w:rsid w:val="00AC6A4F"/>
    <w:pPr>
      <w:numPr>
        <w:ilvl w:val="4"/>
        <w:numId w:val="21"/>
      </w:numPr>
    </w:pPr>
  </w:style>
  <w:style w:type="paragraph" w:customStyle="1" w:styleId="NumPar6">
    <w:name w:val="NumPar 6"/>
    <w:basedOn w:val="Normal"/>
    <w:next w:val="Text2"/>
    <w:rsid w:val="00AC6A4F"/>
    <w:pPr>
      <w:numPr>
        <w:ilvl w:val="5"/>
        <w:numId w:val="21"/>
      </w:numPr>
    </w:pPr>
  </w:style>
  <w:style w:type="paragraph" w:customStyle="1" w:styleId="NumPar7">
    <w:name w:val="NumPar 7"/>
    <w:basedOn w:val="Normal"/>
    <w:next w:val="Text2"/>
    <w:rsid w:val="00AC6A4F"/>
    <w:pPr>
      <w:numPr>
        <w:ilvl w:val="6"/>
        <w:numId w:val="21"/>
      </w:numPr>
    </w:pPr>
  </w:style>
  <w:style w:type="paragraph" w:customStyle="1" w:styleId="ManualNumPar5">
    <w:name w:val="Manual NumPar 5"/>
    <w:basedOn w:val="Normal"/>
    <w:next w:val="Text2"/>
    <w:rsid w:val="00AC6A4F"/>
    <w:pPr>
      <w:ind w:left="1417" w:hanging="1417"/>
    </w:pPr>
  </w:style>
  <w:style w:type="paragraph" w:customStyle="1" w:styleId="ManualNumPar6">
    <w:name w:val="Manual NumPar 6"/>
    <w:basedOn w:val="Normal"/>
    <w:next w:val="Text2"/>
    <w:rsid w:val="00AC6A4F"/>
    <w:pPr>
      <w:ind w:left="1417" w:hanging="1417"/>
    </w:pPr>
  </w:style>
  <w:style w:type="paragraph" w:customStyle="1" w:styleId="ManualNumPar7">
    <w:name w:val="Manual NumPar 7"/>
    <w:basedOn w:val="Normal"/>
    <w:next w:val="Text2"/>
    <w:rsid w:val="00AC6A4F"/>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73">
      <w:bodyDiv w:val="1"/>
      <w:marLeft w:val="0"/>
      <w:marRight w:val="0"/>
      <w:marTop w:val="0"/>
      <w:marBottom w:val="0"/>
      <w:divBdr>
        <w:top w:val="none" w:sz="0" w:space="0" w:color="auto"/>
        <w:left w:val="none" w:sz="0" w:space="0" w:color="auto"/>
        <w:bottom w:val="none" w:sz="0" w:space="0" w:color="auto"/>
        <w:right w:val="none" w:sz="0" w:space="0" w:color="auto"/>
      </w:divBdr>
    </w:div>
    <w:div w:id="3099396">
      <w:bodyDiv w:val="1"/>
      <w:marLeft w:val="0"/>
      <w:marRight w:val="0"/>
      <w:marTop w:val="0"/>
      <w:marBottom w:val="0"/>
      <w:divBdr>
        <w:top w:val="none" w:sz="0" w:space="0" w:color="auto"/>
        <w:left w:val="none" w:sz="0" w:space="0" w:color="auto"/>
        <w:bottom w:val="none" w:sz="0" w:space="0" w:color="auto"/>
        <w:right w:val="none" w:sz="0" w:space="0" w:color="auto"/>
      </w:divBdr>
    </w:div>
    <w:div w:id="15008294">
      <w:bodyDiv w:val="1"/>
      <w:marLeft w:val="0"/>
      <w:marRight w:val="0"/>
      <w:marTop w:val="0"/>
      <w:marBottom w:val="0"/>
      <w:divBdr>
        <w:top w:val="none" w:sz="0" w:space="0" w:color="auto"/>
        <w:left w:val="none" w:sz="0" w:space="0" w:color="auto"/>
        <w:bottom w:val="none" w:sz="0" w:space="0" w:color="auto"/>
        <w:right w:val="none" w:sz="0" w:space="0" w:color="auto"/>
      </w:divBdr>
    </w:div>
    <w:div w:id="36319302">
      <w:bodyDiv w:val="1"/>
      <w:marLeft w:val="0"/>
      <w:marRight w:val="0"/>
      <w:marTop w:val="0"/>
      <w:marBottom w:val="0"/>
      <w:divBdr>
        <w:top w:val="none" w:sz="0" w:space="0" w:color="auto"/>
        <w:left w:val="none" w:sz="0" w:space="0" w:color="auto"/>
        <w:bottom w:val="none" w:sz="0" w:space="0" w:color="auto"/>
        <w:right w:val="none" w:sz="0" w:space="0" w:color="auto"/>
      </w:divBdr>
    </w:div>
    <w:div w:id="44985758">
      <w:bodyDiv w:val="1"/>
      <w:marLeft w:val="0"/>
      <w:marRight w:val="0"/>
      <w:marTop w:val="0"/>
      <w:marBottom w:val="0"/>
      <w:divBdr>
        <w:top w:val="none" w:sz="0" w:space="0" w:color="auto"/>
        <w:left w:val="none" w:sz="0" w:space="0" w:color="auto"/>
        <w:bottom w:val="none" w:sz="0" w:space="0" w:color="auto"/>
        <w:right w:val="none" w:sz="0" w:space="0" w:color="auto"/>
      </w:divBdr>
    </w:div>
    <w:div w:id="49967750">
      <w:bodyDiv w:val="1"/>
      <w:marLeft w:val="0"/>
      <w:marRight w:val="0"/>
      <w:marTop w:val="0"/>
      <w:marBottom w:val="0"/>
      <w:divBdr>
        <w:top w:val="none" w:sz="0" w:space="0" w:color="auto"/>
        <w:left w:val="none" w:sz="0" w:space="0" w:color="auto"/>
        <w:bottom w:val="none" w:sz="0" w:space="0" w:color="auto"/>
        <w:right w:val="none" w:sz="0" w:space="0" w:color="auto"/>
      </w:divBdr>
    </w:div>
    <w:div w:id="84882590">
      <w:bodyDiv w:val="1"/>
      <w:marLeft w:val="0"/>
      <w:marRight w:val="0"/>
      <w:marTop w:val="0"/>
      <w:marBottom w:val="0"/>
      <w:divBdr>
        <w:top w:val="none" w:sz="0" w:space="0" w:color="auto"/>
        <w:left w:val="none" w:sz="0" w:space="0" w:color="auto"/>
        <w:bottom w:val="none" w:sz="0" w:space="0" w:color="auto"/>
        <w:right w:val="none" w:sz="0" w:space="0" w:color="auto"/>
      </w:divBdr>
    </w:div>
    <w:div w:id="94255623">
      <w:bodyDiv w:val="1"/>
      <w:marLeft w:val="0"/>
      <w:marRight w:val="0"/>
      <w:marTop w:val="0"/>
      <w:marBottom w:val="0"/>
      <w:divBdr>
        <w:top w:val="none" w:sz="0" w:space="0" w:color="auto"/>
        <w:left w:val="none" w:sz="0" w:space="0" w:color="auto"/>
        <w:bottom w:val="none" w:sz="0" w:space="0" w:color="auto"/>
        <w:right w:val="none" w:sz="0" w:space="0" w:color="auto"/>
      </w:divBdr>
    </w:div>
    <w:div w:id="124592021">
      <w:bodyDiv w:val="1"/>
      <w:marLeft w:val="0"/>
      <w:marRight w:val="0"/>
      <w:marTop w:val="0"/>
      <w:marBottom w:val="0"/>
      <w:divBdr>
        <w:top w:val="none" w:sz="0" w:space="0" w:color="auto"/>
        <w:left w:val="none" w:sz="0" w:space="0" w:color="auto"/>
        <w:bottom w:val="none" w:sz="0" w:space="0" w:color="auto"/>
        <w:right w:val="none" w:sz="0" w:space="0" w:color="auto"/>
      </w:divBdr>
    </w:div>
    <w:div w:id="136843796">
      <w:bodyDiv w:val="1"/>
      <w:marLeft w:val="0"/>
      <w:marRight w:val="0"/>
      <w:marTop w:val="0"/>
      <w:marBottom w:val="0"/>
      <w:divBdr>
        <w:top w:val="none" w:sz="0" w:space="0" w:color="auto"/>
        <w:left w:val="none" w:sz="0" w:space="0" w:color="auto"/>
        <w:bottom w:val="none" w:sz="0" w:space="0" w:color="auto"/>
        <w:right w:val="none" w:sz="0" w:space="0" w:color="auto"/>
      </w:divBdr>
    </w:div>
    <w:div w:id="161091955">
      <w:bodyDiv w:val="1"/>
      <w:marLeft w:val="0"/>
      <w:marRight w:val="0"/>
      <w:marTop w:val="0"/>
      <w:marBottom w:val="0"/>
      <w:divBdr>
        <w:top w:val="none" w:sz="0" w:space="0" w:color="auto"/>
        <w:left w:val="none" w:sz="0" w:space="0" w:color="auto"/>
        <w:bottom w:val="none" w:sz="0" w:space="0" w:color="auto"/>
        <w:right w:val="none" w:sz="0" w:space="0" w:color="auto"/>
      </w:divBdr>
    </w:div>
    <w:div w:id="161822833">
      <w:bodyDiv w:val="1"/>
      <w:marLeft w:val="0"/>
      <w:marRight w:val="0"/>
      <w:marTop w:val="0"/>
      <w:marBottom w:val="0"/>
      <w:divBdr>
        <w:top w:val="none" w:sz="0" w:space="0" w:color="auto"/>
        <w:left w:val="none" w:sz="0" w:space="0" w:color="auto"/>
        <w:bottom w:val="none" w:sz="0" w:space="0" w:color="auto"/>
        <w:right w:val="none" w:sz="0" w:space="0" w:color="auto"/>
      </w:divBdr>
    </w:div>
    <w:div w:id="199442511">
      <w:bodyDiv w:val="1"/>
      <w:marLeft w:val="0"/>
      <w:marRight w:val="0"/>
      <w:marTop w:val="0"/>
      <w:marBottom w:val="0"/>
      <w:divBdr>
        <w:top w:val="none" w:sz="0" w:space="0" w:color="auto"/>
        <w:left w:val="none" w:sz="0" w:space="0" w:color="auto"/>
        <w:bottom w:val="none" w:sz="0" w:space="0" w:color="auto"/>
        <w:right w:val="none" w:sz="0" w:space="0" w:color="auto"/>
      </w:divBdr>
    </w:div>
    <w:div w:id="222985859">
      <w:bodyDiv w:val="1"/>
      <w:marLeft w:val="0"/>
      <w:marRight w:val="0"/>
      <w:marTop w:val="0"/>
      <w:marBottom w:val="0"/>
      <w:divBdr>
        <w:top w:val="none" w:sz="0" w:space="0" w:color="auto"/>
        <w:left w:val="none" w:sz="0" w:space="0" w:color="auto"/>
        <w:bottom w:val="none" w:sz="0" w:space="0" w:color="auto"/>
        <w:right w:val="none" w:sz="0" w:space="0" w:color="auto"/>
      </w:divBdr>
    </w:div>
    <w:div w:id="224606153">
      <w:bodyDiv w:val="1"/>
      <w:marLeft w:val="0"/>
      <w:marRight w:val="0"/>
      <w:marTop w:val="0"/>
      <w:marBottom w:val="0"/>
      <w:divBdr>
        <w:top w:val="none" w:sz="0" w:space="0" w:color="auto"/>
        <w:left w:val="none" w:sz="0" w:space="0" w:color="auto"/>
        <w:bottom w:val="none" w:sz="0" w:space="0" w:color="auto"/>
        <w:right w:val="none" w:sz="0" w:space="0" w:color="auto"/>
      </w:divBdr>
    </w:div>
    <w:div w:id="247496039">
      <w:bodyDiv w:val="1"/>
      <w:marLeft w:val="0"/>
      <w:marRight w:val="0"/>
      <w:marTop w:val="0"/>
      <w:marBottom w:val="0"/>
      <w:divBdr>
        <w:top w:val="none" w:sz="0" w:space="0" w:color="auto"/>
        <w:left w:val="none" w:sz="0" w:space="0" w:color="auto"/>
        <w:bottom w:val="none" w:sz="0" w:space="0" w:color="auto"/>
        <w:right w:val="none" w:sz="0" w:space="0" w:color="auto"/>
      </w:divBdr>
    </w:div>
    <w:div w:id="255789118">
      <w:bodyDiv w:val="1"/>
      <w:marLeft w:val="0"/>
      <w:marRight w:val="0"/>
      <w:marTop w:val="0"/>
      <w:marBottom w:val="0"/>
      <w:divBdr>
        <w:top w:val="none" w:sz="0" w:space="0" w:color="auto"/>
        <w:left w:val="none" w:sz="0" w:space="0" w:color="auto"/>
        <w:bottom w:val="none" w:sz="0" w:space="0" w:color="auto"/>
        <w:right w:val="none" w:sz="0" w:space="0" w:color="auto"/>
      </w:divBdr>
    </w:div>
    <w:div w:id="277839603">
      <w:bodyDiv w:val="1"/>
      <w:marLeft w:val="0"/>
      <w:marRight w:val="0"/>
      <w:marTop w:val="0"/>
      <w:marBottom w:val="0"/>
      <w:divBdr>
        <w:top w:val="none" w:sz="0" w:space="0" w:color="auto"/>
        <w:left w:val="none" w:sz="0" w:space="0" w:color="auto"/>
        <w:bottom w:val="none" w:sz="0" w:space="0" w:color="auto"/>
        <w:right w:val="none" w:sz="0" w:space="0" w:color="auto"/>
      </w:divBdr>
    </w:div>
    <w:div w:id="282077379">
      <w:bodyDiv w:val="1"/>
      <w:marLeft w:val="0"/>
      <w:marRight w:val="0"/>
      <w:marTop w:val="0"/>
      <w:marBottom w:val="0"/>
      <w:divBdr>
        <w:top w:val="none" w:sz="0" w:space="0" w:color="auto"/>
        <w:left w:val="none" w:sz="0" w:space="0" w:color="auto"/>
        <w:bottom w:val="none" w:sz="0" w:space="0" w:color="auto"/>
        <w:right w:val="none" w:sz="0" w:space="0" w:color="auto"/>
      </w:divBdr>
    </w:div>
    <w:div w:id="285428951">
      <w:bodyDiv w:val="1"/>
      <w:marLeft w:val="0"/>
      <w:marRight w:val="0"/>
      <w:marTop w:val="0"/>
      <w:marBottom w:val="0"/>
      <w:divBdr>
        <w:top w:val="none" w:sz="0" w:space="0" w:color="auto"/>
        <w:left w:val="none" w:sz="0" w:space="0" w:color="auto"/>
        <w:bottom w:val="none" w:sz="0" w:space="0" w:color="auto"/>
        <w:right w:val="none" w:sz="0" w:space="0" w:color="auto"/>
      </w:divBdr>
    </w:div>
    <w:div w:id="356077541">
      <w:bodyDiv w:val="1"/>
      <w:marLeft w:val="0"/>
      <w:marRight w:val="0"/>
      <w:marTop w:val="0"/>
      <w:marBottom w:val="0"/>
      <w:divBdr>
        <w:top w:val="none" w:sz="0" w:space="0" w:color="auto"/>
        <w:left w:val="none" w:sz="0" w:space="0" w:color="auto"/>
        <w:bottom w:val="none" w:sz="0" w:space="0" w:color="auto"/>
        <w:right w:val="none" w:sz="0" w:space="0" w:color="auto"/>
      </w:divBdr>
    </w:div>
    <w:div w:id="376127771">
      <w:bodyDiv w:val="1"/>
      <w:marLeft w:val="0"/>
      <w:marRight w:val="0"/>
      <w:marTop w:val="0"/>
      <w:marBottom w:val="0"/>
      <w:divBdr>
        <w:top w:val="none" w:sz="0" w:space="0" w:color="auto"/>
        <w:left w:val="none" w:sz="0" w:space="0" w:color="auto"/>
        <w:bottom w:val="none" w:sz="0" w:space="0" w:color="auto"/>
        <w:right w:val="none" w:sz="0" w:space="0" w:color="auto"/>
      </w:divBdr>
    </w:div>
    <w:div w:id="391002167">
      <w:bodyDiv w:val="1"/>
      <w:marLeft w:val="0"/>
      <w:marRight w:val="0"/>
      <w:marTop w:val="0"/>
      <w:marBottom w:val="0"/>
      <w:divBdr>
        <w:top w:val="none" w:sz="0" w:space="0" w:color="auto"/>
        <w:left w:val="none" w:sz="0" w:space="0" w:color="auto"/>
        <w:bottom w:val="none" w:sz="0" w:space="0" w:color="auto"/>
        <w:right w:val="none" w:sz="0" w:space="0" w:color="auto"/>
      </w:divBdr>
    </w:div>
    <w:div w:id="393624094">
      <w:bodyDiv w:val="1"/>
      <w:marLeft w:val="0"/>
      <w:marRight w:val="0"/>
      <w:marTop w:val="0"/>
      <w:marBottom w:val="0"/>
      <w:divBdr>
        <w:top w:val="none" w:sz="0" w:space="0" w:color="auto"/>
        <w:left w:val="none" w:sz="0" w:space="0" w:color="auto"/>
        <w:bottom w:val="none" w:sz="0" w:space="0" w:color="auto"/>
        <w:right w:val="none" w:sz="0" w:space="0" w:color="auto"/>
      </w:divBdr>
    </w:div>
    <w:div w:id="417606006">
      <w:bodyDiv w:val="1"/>
      <w:marLeft w:val="0"/>
      <w:marRight w:val="0"/>
      <w:marTop w:val="0"/>
      <w:marBottom w:val="0"/>
      <w:divBdr>
        <w:top w:val="none" w:sz="0" w:space="0" w:color="auto"/>
        <w:left w:val="none" w:sz="0" w:space="0" w:color="auto"/>
        <w:bottom w:val="none" w:sz="0" w:space="0" w:color="auto"/>
        <w:right w:val="none" w:sz="0" w:space="0" w:color="auto"/>
      </w:divBdr>
    </w:div>
    <w:div w:id="426586539">
      <w:bodyDiv w:val="1"/>
      <w:marLeft w:val="0"/>
      <w:marRight w:val="0"/>
      <w:marTop w:val="0"/>
      <w:marBottom w:val="0"/>
      <w:divBdr>
        <w:top w:val="none" w:sz="0" w:space="0" w:color="auto"/>
        <w:left w:val="none" w:sz="0" w:space="0" w:color="auto"/>
        <w:bottom w:val="none" w:sz="0" w:space="0" w:color="auto"/>
        <w:right w:val="none" w:sz="0" w:space="0" w:color="auto"/>
      </w:divBdr>
    </w:div>
    <w:div w:id="431122604">
      <w:bodyDiv w:val="1"/>
      <w:marLeft w:val="0"/>
      <w:marRight w:val="0"/>
      <w:marTop w:val="0"/>
      <w:marBottom w:val="0"/>
      <w:divBdr>
        <w:top w:val="none" w:sz="0" w:space="0" w:color="auto"/>
        <w:left w:val="none" w:sz="0" w:space="0" w:color="auto"/>
        <w:bottom w:val="none" w:sz="0" w:space="0" w:color="auto"/>
        <w:right w:val="none" w:sz="0" w:space="0" w:color="auto"/>
      </w:divBdr>
    </w:div>
    <w:div w:id="460003272">
      <w:bodyDiv w:val="1"/>
      <w:marLeft w:val="0"/>
      <w:marRight w:val="0"/>
      <w:marTop w:val="0"/>
      <w:marBottom w:val="0"/>
      <w:divBdr>
        <w:top w:val="none" w:sz="0" w:space="0" w:color="auto"/>
        <w:left w:val="none" w:sz="0" w:space="0" w:color="auto"/>
        <w:bottom w:val="none" w:sz="0" w:space="0" w:color="auto"/>
        <w:right w:val="none" w:sz="0" w:space="0" w:color="auto"/>
      </w:divBdr>
    </w:div>
    <w:div w:id="471094788">
      <w:bodyDiv w:val="1"/>
      <w:marLeft w:val="0"/>
      <w:marRight w:val="0"/>
      <w:marTop w:val="0"/>
      <w:marBottom w:val="0"/>
      <w:divBdr>
        <w:top w:val="none" w:sz="0" w:space="0" w:color="auto"/>
        <w:left w:val="none" w:sz="0" w:space="0" w:color="auto"/>
        <w:bottom w:val="none" w:sz="0" w:space="0" w:color="auto"/>
        <w:right w:val="none" w:sz="0" w:space="0" w:color="auto"/>
      </w:divBdr>
    </w:div>
    <w:div w:id="474219635">
      <w:bodyDiv w:val="1"/>
      <w:marLeft w:val="0"/>
      <w:marRight w:val="0"/>
      <w:marTop w:val="0"/>
      <w:marBottom w:val="0"/>
      <w:divBdr>
        <w:top w:val="none" w:sz="0" w:space="0" w:color="auto"/>
        <w:left w:val="none" w:sz="0" w:space="0" w:color="auto"/>
        <w:bottom w:val="none" w:sz="0" w:space="0" w:color="auto"/>
        <w:right w:val="none" w:sz="0" w:space="0" w:color="auto"/>
      </w:divBdr>
    </w:div>
    <w:div w:id="481893843">
      <w:bodyDiv w:val="1"/>
      <w:marLeft w:val="0"/>
      <w:marRight w:val="0"/>
      <w:marTop w:val="0"/>
      <w:marBottom w:val="0"/>
      <w:divBdr>
        <w:top w:val="none" w:sz="0" w:space="0" w:color="auto"/>
        <w:left w:val="none" w:sz="0" w:space="0" w:color="auto"/>
        <w:bottom w:val="none" w:sz="0" w:space="0" w:color="auto"/>
        <w:right w:val="none" w:sz="0" w:space="0" w:color="auto"/>
      </w:divBdr>
    </w:div>
    <w:div w:id="486626192">
      <w:bodyDiv w:val="1"/>
      <w:marLeft w:val="0"/>
      <w:marRight w:val="0"/>
      <w:marTop w:val="0"/>
      <w:marBottom w:val="0"/>
      <w:divBdr>
        <w:top w:val="none" w:sz="0" w:space="0" w:color="auto"/>
        <w:left w:val="none" w:sz="0" w:space="0" w:color="auto"/>
        <w:bottom w:val="none" w:sz="0" w:space="0" w:color="auto"/>
        <w:right w:val="none" w:sz="0" w:space="0" w:color="auto"/>
      </w:divBdr>
    </w:div>
    <w:div w:id="489709364">
      <w:bodyDiv w:val="1"/>
      <w:marLeft w:val="0"/>
      <w:marRight w:val="0"/>
      <w:marTop w:val="0"/>
      <w:marBottom w:val="0"/>
      <w:divBdr>
        <w:top w:val="none" w:sz="0" w:space="0" w:color="auto"/>
        <w:left w:val="none" w:sz="0" w:space="0" w:color="auto"/>
        <w:bottom w:val="none" w:sz="0" w:space="0" w:color="auto"/>
        <w:right w:val="none" w:sz="0" w:space="0" w:color="auto"/>
      </w:divBdr>
    </w:div>
    <w:div w:id="526723430">
      <w:bodyDiv w:val="1"/>
      <w:marLeft w:val="0"/>
      <w:marRight w:val="0"/>
      <w:marTop w:val="0"/>
      <w:marBottom w:val="0"/>
      <w:divBdr>
        <w:top w:val="none" w:sz="0" w:space="0" w:color="auto"/>
        <w:left w:val="none" w:sz="0" w:space="0" w:color="auto"/>
        <w:bottom w:val="none" w:sz="0" w:space="0" w:color="auto"/>
        <w:right w:val="none" w:sz="0" w:space="0" w:color="auto"/>
      </w:divBdr>
    </w:div>
    <w:div w:id="529031624">
      <w:bodyDiv w:val="1"/>
      <w:marLeft w:val="0"/>
      <w:marRight w:val="0"/>
      <w:marTop w:val="0"/>
      <w:marBottom w:val="0"/>
      <w:divBdr>
        <w:top w:val="none" w:sz="0" w:space="0" w:color="auto"/>
        <w:left w:val="none" w:sz="0" w:space="0" w:color="auto"/>
        <w:bottom w:val="none" w:sz="0" w:space="0" w:color="auto"/>
        <w:right w:val="none" w:sz="0" w:space="0" w:color="auto"/>
      </w:divBdr>
    </w:div>
    <w:div w:id="531115028">
      <w:bodyDiv w:val="1"/>
      <w:marLeft w:val="0"/>
      <w:marRight w:val="0"/>
      <w:marTop w:val="0"/>
      <w:marBottom w:val="0"/>
      <w:divBdr>
        <w:top w:val="none" w:sz="0" w:space="0" w:color="auto"/>
        <w:left w:val="none" w:sz="0" w:space="0" w:color="auto"/>
        <w:bottom w:val="none" w:sz="0" w:space="0" w:color="auto"/>
        <w:right w:val="none" w:sz="0" w:space="0" w:color="auto"/>
      </w:divBdr>
    </w:div>
    <w:div w:id="546994736">
      <w:bodyDiv w:val="1"/>
      <w:marLeft w:val="0"/>
      <w:marRight w:val="0"/>
      <w:marTop w:val="0"/>
      <w:marBottom w:val="0"/>
      <w:divBdr>
        <w:top w:val="none" w:sz="0" w:space="0" w:color="auto"/>
        <w:left w:val="none" w:sz="0" w:space="0" w:color="auto"/>
        <w:bottom w:val="none" w:sz="0" w:space="0" w:color="auto"/>
        <w:right w:val="none" w:sz="0" w:space="0" w:color="auto"/>
      </w:divBdr>
    </w:div>
    <w:div w:id="554464549">
      <w:bodyDiv w:val="1"/>
      <w:marLeft w:val="0"/>
      <w:marRight w:val="0"/>
      <w:marTop w:val="0"/>
      <w:marBottom w:val="0"/>
      <w:divBdr>
        <w:top w:val="none" w:sz="0" w:space="0" w:color="auto"/>
        <w:left w:val="none" w:sz="0" w:space="0" w:color="auto"/>
        <w:bottom w:val="none" w:sz="0" w:space="0" w:color="auto"/>
        <w:right w:val="none" w:sz="0" w:space="0" w:color="auto"/>
      </w:divBdr>
    </w:div>
    <w:div w:id="559681998">
      <w:bodyDiv w:val="1"/>
      <w:marLeft w:val="0"/>
      <w:marRight w:val="0"/>
      <w:marTop w:val="0"/>
      <w:marBottom w:val="0"/>
      <w:divBdr>
        <w:top w:val="none" w:sz="0" w:space="0" w:color="auto"/>
        <w:left w:val="none" w:sz="0" w:space="0" w:color="auto"/>
        <w:bottom w:val="none" w:sz="0" w:space="0" w:color="auto"/>
        <w:right w:val="none" w:sz="0" w:space="0" w:color="auto"/>
      </w:divBdr>
    </w:div>
    <w:div w:id="566571325">
      <w:bodyDiv w:val="1"/>
      <w:marLeft w:val="0"/>
      <w:marRight w:val="0"/>
      <w:marTop w:val="0"/>
      <w:marBottom w:val="0"/>
      <w:divBdr>
        <w:top w:val="none" w:sz="0" w:space="0" w:color="auto"/>
        <w:left w:val="none" w:sz="0" w:space="0" w:color="auto"/>
        <w:bottom w:val="none" w:sz="0" w:space="0" w:color="auto"/>
        <w:right w:val="none" w:sz="0" w:space="0" w:color="auto"/>
      </w:divBdr>
    </w:div>
    <w:div w:id="587036071">
      <w:bodyDiv w:val="1"/>
      <w:marLeft w:val="0"/>
      <w:marRight w:val="0"/>
      <w:marTop w:val="0"/>
      <w:marBottom w:val="0"/>
      <w:divBdr>
        <w:top w:val="none" w:sz="0" w:space="0" w:color="auto"/>
        <w:left w:val="none" w:sz="0" w:space="0" w:color="auto"/>
        <w:bottom w:val="none" w:sz="0" w:space="0" w:color="auto"/>
        <w:right w:val="none" w:sz="0" w:space="0" w:color="auto"/>
      </w:divBdr>
    </w:div>
    <w:div w:id="595939215">
      <w:bodyDiv w:val="1"/>
      <w:marLeft w:val="0"/>
      <w:marRight w:val="0"/>
      <w:marTop w:val="0"/>
      <w:marBottom w:val="0"/>
      <w:divBdr>
        <w:top w:val="none" w:sz="0" w:space="0" w:color="auto"/>
        <w:left w:val="none" w:sz="0" w:space="0" w:color="auto"/>
        <w:bottom w:val="none" w:sz="0" w:space="0" w:color="auto"/>
        <w:right w:val="none" w:sz="0" w:space="0" w:color="auto"/>
      </w:divBdr>
    </w:div>
    <w:div w:id="598634976">
      <w:bodyDiv w:val="1"/>
      <w:marLeft w:val="0"/>
      <w:marRight w:val="0"/>
      <w:marTop w:val="0"/>
      <w:marBottom w:val="0"/>
      <w:divBdr>
        <w:top w:val="none" w:sz="0" w:space="0" w:color="auto"/>
        <w:left w:val="none" w:sz="0" w:space="0" w:color="auto"/>
        <w:bottom w:val="none" w:sz="0" w:space="0" w:color="auto"/>
        <w:right w:val="none" w:sz="0" w:space="0" w:color="auto"/>
      </w:divBdr>
    </w:div>
    <w:div w:id="601691156">
      <w:bodyDiv w:val="1"/>
      <w:marLeft w:val="0"/>
      <w:marRight w:val="0"/>
      <w:marTop w:val="0"/>
      <w:marBottom w:val="0"/>
      <w:divBdr>
        <w:top w:val="none" w:sz="0" w:space="0" w:color="auto"/>
        <w:left w:val="none" w:sz="0" w:space="0" w:color="auto"/>
        <w:bottom w:val="none" w:sz="0" w:space="0" w:color="auto"/>
        <w:right w:val="none" w:sz="0" w:space="0" w:color="auto"/>
      </w:divBdr>
    </w:div>
    <w:div w:id="619653331">
      <w:bodyDiv w:val="1"/>
      <w:marLeft w:val="0"/>
      <w:marRight w:val="0"/>
      <w:marTop w:val="0"/>
      <w:marBottom w:val="0"/>
      <w:divBdr>
        <w:top w:val="none" w:sz="0" w:space="0" w:color="auto"/>
        <w:left w:val="none" w:sz="0" w:space="0" w:color="auto"/>
        <w:bottom w:val="none" w:sz="0" w:space="0" w:color="auto"/>
        <w:right w:val="none" w:sz="0" w:space="0" w:color="auto"/>
      </w:divBdr>
    </w:div>
    <w:div w:id="624701842">
      <w:bodyDiv w:val="1"/>
      <w:marLeft w:val="0"/>
      <w:marRight w:val="0"/>
      <w:marTop w:val="0"/>
      <w:marBottom w:val="0"/>
      <w:divBdr>
        <w:top w:val="none" w:sz="0" w:space="0" w:color="auto"/>
        <w:left w:val="none" w:sz="0" w:space="0" w:color="auto"/>
        <w:bottom w:val="none" w:sz="0" w:space="0" w:color="auto"/>
        <w:right w:val="none" w:sz="0" w:space="0" w:color="auto"/>
      </w:divBdr>
    </w:div>
    <w:div w:id="630331307">
      <w:bodyDiv w:val="1"/>
      <w:marLeft w:val="0"/>
      <w:marRight w:val="0"/>
      <w:marTop w:val="0"/>
      <w:marBottom w:val="0"/>
      <w:divBdr>
        <w:top w:val="none" w:sz="0" w:space="0" w:color="auto"/>
        <w:left w:val="none" w:sz="0" w:space="0" w:color="auto"/>
        <w:bottom w:val="none" w:sz="0" w:space="0" w:color="auto"/>
        <w:right w:val="none" w:sz="0" w:space="0" w:color="auto"/>
      </w:divBdr>
    </w:div>
    <w:div w:id="638269052">
      <w:bodyDiv w:val="1"/>
      <w:marLeft w:val="0"/>
      <w:marRight w:val="0"/>
      <w:marTop w:val="0"/>
      <w:marBottom w:val="0"/>
      <w:divBdr>
        <w:top w:val="none" w:sz="0" w:space="0" w:color="auto"/>
        <w:left w:val="none" w:sz="0" w:space="0" w:color="auto"/>
        <w:bottom w:val="none" w:sz="0" w:space="0" w:color="auto"/>
        <w:right w:val="none" w:sz="0" w:space="0" w:color="auto"/>
      </w:divBdr>
    </w:div>
    <w:div w:id="641735272">
      <w:bodyDiv w:val="1"/>
      <w:marLeft w:val="0"/>
      <w:marRight w:val="0"/>
      <w:marTop w:val="0"/>
      <w:marBottom w:val="0"/>
      <w:divBdr>
        <w:top w:val="none" w:sz="0" w:space="0" w:color="auto"/>
        <w:left w:val="none" w:sz="0" w:space="0" w:color="auto"/>
        <w:bottom w:val="none" w:sz="0" w:space="0" w:color="auto"/>
        <w:right w:val="none" w:sz="0" w:space="0" w:color="auto"/>
      </w:divBdr>
    </w:div>
    <w:div w:id="642780117">
      <w:bodyDiv w:val="1"/>
      <w:marLeft w:val="0"/>
      <w:marRight w:val="0"/>
      <w:marTop w:val="0"/>
      <w:marBottom w:val="0"/>
      <w:divBdr>
        <w:top w:val="none" w:sz="0" w:space="0" w:color="auto"/>
        <w:left w:val="none" w:sz="0" w:space="0" w:color="auto"/>
        <w:bottom w:val="none" w:sz="0" w:space="0" w:color="auto"/>
        <w:right w:val="none" w:sz="0" w:space="0" w:color="auto"/>
      </w:divBdr>
    </w:div>
    <w:div w:id="696003655">
      <w:bodyDiv w:val="1"/>
      <w:marLeft w:val="0"/>
      <w:marRight w:val="0"/>
      <w:marTop w:val="0"/>
      <w:marBottom w:val="0"/>
      <w:divBdr>
        <w:top w:val="none" w:sz="0" w:space="0" w:color="auto"/>
        <w:left w:val="none" w:sz="0" w:space="0" w:color="auto"/>
        <w:bottom w:val="none" w:sz="0" w:space="0" w:color="auto"/>
        <w:right w:val="none" w:sz="0" w:space="0" w:color="auto"/>
      </w:divBdr>
    </w:div>
    <w:div w:id="700326881">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5082538">
      <w:bodyDiv w:val="1"/>
      <w:marLeft w:val="0"/>
      <w:marRight w:val="0"/>
      <w:marTop w:val="0"/>
      <w:marBottom w:val="0"/>
      <w:divBdr>
        <w:top w:val="none" w:sz="0" w:space="0" w:color="auto"/>
        <w:left w:val="none" w:sz="0" w:space="0" w:color="auto"/>
        <w:bottom w:val="none" w:sz="0" w:space="0" w:color="auto"/>
        <w:right w:val="none" w:sz="0" w:space="0" w:color="auto"/>
      </w:divBdr>
    </w:div>
    <w:div w:id="735011624">
      <w:bodyDiv w:val="1"/>
      <w:marLeft w:val="0"/>
      <w:marRight w:val="0"/>
      <w:marTop w:val="0"/>
      <w:marBottom w:val="0"/>
      <w:divBdr>
        <w:top w:val="none" w:sz="0" w:space="0" w:color="auto"/>
        <w:left w:val="none" w:sz="0" w:space="0" w:color="auto"/>
        <w:bottom w:val="none" w:sz="0" w:space="0" w:color="auto"/>
        <w:right w:val="none" w:sz="0" w:space="0" w:color="auto"/>
      </w:divBdr>
    </w:div>
    <w:div w:id="741148572">
      <w:bodyDiv w:val="1"/>
      <w:marLeft w:val="0"/>
      <w:marRight w:val="0"/>
      <w:marTop w:val="0"/>
      <w:marBottom w:val="0"/>
      <w:divBdr>
        <w:top w:val="none" w:sz="0" w:space="0" w:color="auto"/>
        <w:left w:val="none" w:sz="0" w:space="0" w:color="auto"/>
        <w:bottom w:val="none" w:sz="0" w:space="0" w:color="auto"/>
        <w:right w:val="none" w:sz="0" w:space="0" w:color="auto"/>
      </w:divBdr>
    </w:div>
    <w:div w:id="796484793">
      <w:bodyDiv w:val="1"/>
      <w:marLeft w:val="0"/>
      <w:marRight w:val="0"/>
      <w:marTop w:val="0"/>
      <w:marBottom w:val="0"/>
      <w:divBdr>
        <w:top w:val="none" w:sz="0" w:space="0" w:color="auto"/>
        <w:left w:val="none" w:sz="0" w:space="0" w:color="auto"/>
        <w:bottom w:val="none" w:sz="0" w:space="0" w:color="auto"/>
        <w:right w:val="none" w:sz="0" w:space="0" w:color="auto"/>
      </w:divBdr>
    </w:div>
    <w:div w:id="820779281">
      <w:bodyDiv w:val="1"/>
      <w:marLeft w:val="0"/>
      <w:marRight w:val="0"/>
      <w:marTop w:val="0"/>
      <w:marBottom w:val="0"/>
      <w:divBdr>
        <w:top w:val="none" w:sz="0" w:space="0" w:color="auto"/>
        <w:left w:val="none" w:sz="0" w:space="0" w:color="auto"/>
        <w:bottom w:val="none" w:sz="0" w:space="0" w:color="auto"/>
        <w:right w:val="none" w:sz="0" w:space="0" w:color="auto"/>
      </w:divBdr>
      <w:divsChild>
        <w:div w:id="1158615282">
          <w:marLeft w:val="0"/>
          <w:marRight w:val="0"/>
          <w:marTop w:val="0"/>
          <w:marBottom w:val="0"/>
          <w:divBdr>
            <w:top w:val="none" w:sz="0" w:space="0" w:color="auto"/>
            <w:left w:val="none" w:sz="0" w:space="0" w:color="auto"/>
            <w:bottom w:val="none" w:sz="0" w:space="0" w:color="auto"/>
            <w:right w:val="none" w:sz="0" w:space="0" w:color="auto"/>
          </w:divBdr>
        </w:div>
        <w:div w:id="2087991949">
          <w:marLeft w:val="0"/>
          <w:marRight w:val="0"/>
          <w:marTop w:val="0"/>
          <w:marBottom w:val="0"/>
          <w:divBdr>
            <w:top w:val="none" w:sz="0" w:space="0" w:color="auto"/>
            <w:left w:val="none" w:sz="0" w:space="0" w:color="auto"/>
            <w:bottom w:val="none" w:sz="0" w:space="0" w:color="auto"/>
            <w:right w:val="none" w:sz="0" w:space="0" w:color="auto"/>
          </w:divBdr>
        </w:div>
      </w:divsChild>
    </w:div>
    <w:div w:id="823198804">
      <w:bodyDiv w:val="1"/>
      <w:marLeft w:val="0"/>
      <w:marRight w:val="0"/>
      <w:marTop w:val="0"/>
      <w:marBottom w:val="0"/>
      <w:divBdr>
        <w:top w:val="none" w:sz="0" w:space="0" w:color="auto"/>
        <w:left w:val="none" w:sz="0" w:space="0" w:color="auto"/>
        <w:bottom w:val="none" w:sz="0" w:space="0" w:color="auto"/>
        <w:right w:val="none" w:sz="0" w:space="0" w:color="auto"/>
      </w:divBdr>
    </w:div>
    <w:div w:id="827476940">
      <w:bodyDiv w:val="1"/>
      <w:marLeft w:val="0"/>
      <w:marRight w:val="0"/>
      <w:marTop w:val="0"/>
      <w:marBottom w:val="0"/>
      <w:divBdr>
        <w:top w:val="none" w:sz="0" w:space="0" w:color="auto"/>
        <w:left w:val="none" w:sz="0" w:space="0" w:color="auto"/>
        <w:bottom w:val="none" w:sz="0" w:space="0" w:color="auto"/>
        <w:right w:val="none" w:sz="0" w:space="0" w:color="auto"/>
      </w:divBdr>
    </w:div>
    <w:div w:id="833758334">
      <w:bodyDiv w:val="1"/>
      <w:marLeft w:val="0"/>
      <w:marRight w:val="0"/>
      <w:marTop w:val="0"/>
      <w:marBottom w:val="0"/>
      <w:divBdr>
        <w:top w:val="none" w:sz="0" w:space="0" w:color="auto"/>
        <w:left w:val="none" w:sz="0" w:space="0" w:color="auto"/>
        <w:bottom w:val="none" w:sz="0" w:space="0" w:color="auto"/>
        <w:right w:val="none" w:sz="0" w:space="0" w:color="auto"/>
      </w:divBdr>
    </w:div>
    <w:div w:id="838472670">
      <w:bodyDiv w:val="1"/>
      <w:marLeft w:val="0"/>
      <w:marRight w:val="0"/>
      <w:marTop w:val="0"/>
      <w:marBottom w:val="0"/>
      <w:divBdr>
        <w:top w:val="none" w:sz="0" w:space="0" w:color="auto"/>
        <w:left w:val="none" w:sz="0" w:space="0" w:color="auto"/>
        <w:bottom w:val="none" w:sz="0" w:space="0" w:color="auto"/>
        <w:right w:val="none" w:sz="0" w:space="0" w:color="auto"/>
      </w:divBdr>
    </w:div>
    <w:div w:id="841092671">
      <w:bodyDiv w:val="1"/>
      <w:marLeft w:val="0"/>
      <w:marRight w:val="0"/>
      <w:marTop w:val="0"/>
      <w:marBottom w:val="0"/>
      <w:divBdr>
        <w:top w:val="none" w:sz="0" w:space="0" w:color="auto"/>
        <w:left w:val="none" w:sz="0" w:space="0" w:color="auto"/>
        <w:bottom w:val="none" w:sz="0" w:space="0" w:color="auto"/>
        <w:right w:val="none" w:sz="0" w:space="0" w:color="auto"/>
      </w:divBdr>
    </w:div>
    <w:div w:id="850804252">
      <w:bodyDiv w:val="1"/>
      <w:marLeft w:val="0"/>
      <w:marRight w:val="0"/>
      <w:marTop w:val="0"/>
      <w:marBottom w:val="0"/>
      <w:divBdr>
        <w:top w:val="none" w:sz="0" w:space="0" w:color="auto"/>
        <w:left w:val="none" w:sz="0" w:space="0" w:color="auto"/>
        <w:bottom w:val="none" w:sz="0" w:space="0" w:color="auto"/>
        <w:right w:val="none" w:sz="0" w:space="0" w:color="auto"/>
      </w:divBdr>
    </w:div>
    <w:div w:id="874580098">
      <w:bodyDiv w:val="1"/>
      <w:marLeft w:val="0"/>
      <w:marRight w:val="0"/>
      <w:marTop w:val="0"/>
      <w:marBottom w:val="0"/>
      <w:divBdr>
        <w:top w:val="none" w:sz="0" w:space="0" w:color="auto"/>
        <w:left w:val="none" w:sz="0" w:space="0" w:color="auto"/>
        <w:bottom w:val="none" w:sz="0" w:space="0" w:color="auto"/>
        <w:right w:val="none" w:sz="0" w:space="0" w:color="auto"/>
      </w:divBdr>
    </w:div>
    <w:div w:id="882864310">
      <w:bodyDiv w:val="1"/>
      <w:marLeft w:val="0"/>
      <w:marRight w:val="0"/>
      <w:marTop w:val="0"/>
      <w:marBottom w:val="0"/>
      <w:divBdr>
        <w:top w:val="none" w:sz="0" w:space="0" w:color="auto"/>
        <w:left w:val="none" w:sz="0" w:space="0" w:color="auto"/>
        <w:bottom w:val="none" w:sz="0" w:space="0" w:color="auto"/>
        <w:right w:val="none" w:sz="0" w:space="0" w:color="auto"/>
      </w:divBdr>
      <w:divsChild>
        <w:div w:id="21050917">
          <w:marLeft w:val="0"/>
          <w:marRight w:val="0"/>
          <w:marTop w:val="0"/>
          <w:marBottom w:val="0"/>
          <w:divBdr>
            <w:top w:val="none" w:sz="0" w:space="0" w:color="auto"/>
            <w:left w:val="none" w:sz="0" w:space="0" w:color="auto"/>
            <w:bottom w:val="none" w:sz="0" w:space="0" w:color="auto"/>
            <w:right w:val="none" w:sz="0" w:space="0" w:color="auto"/>
          </w:divBdr>
          <w:divsChild>
            <w:div w:id="1156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1372">
      <w:bodyDiv w:val="1"/>
      <w:marLeft w:val="0"/>
      <w:marRight w:val="0"/>
      <w:marTop w:val="0"/>
      <w:marBottom w:val="0"/>
      <w:divBdr>
        <w:top w:val="none" w:sz="0" w:space="0" w:color="auto"/>
        <w:left w:val="none" w:sz="0" w:space="0" w:color="auto"/>
        <w:bottom w:val="none" w:sz="0" w:space="0" w:color="auto"/>
        <w:right w:val="none" w:sz="0" w:space="0" w:color="auto"/>
      </w:divBdr>
    </w:div>
    <w:div w:id="925260301">
      <w:bodyDiv w:val="1"/>
      <w:marLeft w:val="0"/>
      <w:marRight w:val="0"/>
      <w:marTop w:val="0"/>
      <w:marBottom w:val="0"/>
      <w:divBdr>
        <w:top w:val="none" w:sz="0" w:space="0" w:color="auto"/>
        <w:left w:val="none" w:sz="0" w:space="0" w:color="auto"/>
        <w:bottom w:val="none" w:sz="0" w:space="0" w:color="auto"/>
        <w:right w:val="none" w:sz="0" w:space="0" w:color="auto"/>
      </w:divBdr>
    </w:div>
    <w:div w:id="926230823">
      <w:bodyDiv w:val="1"/>
      <w:marLeft w:val="0"/>
      <w:marRight w:val="0"/>
      <w:marTop w:val="0"/>
      <w:marBottom w:val="0"/>
      <w:divBdr>
        <w:top w:val="none" w:sz="0" w:space="0" w:color="auto"/>
        <w:left w:val="none" w:sz="0" w:space="0" w:color="auto"/>
        <w:bottom w:val="none" w:sz="0" w:space="0" w:color="auto"/>
        <w:right w:val="none" w:sz="0" w:space="0" w:color="auto"/>
      </w:divBdr>
    </w:div>
    <w:div w:id="927469064">
      <w:bodyDiv w:val="1"/>
      <w:marLeft w:val="0"/>
      <w:marRight w:val="0"/>
      <w:marTop w:val="0"/>
      <w:marBottom w:val="0"/>
      <w:divBdr>
        <w:top w:val="none" w:sz="0" w:space="0" w:color="auto"/>
        <w:left w:val="none" w:sz="0" w:space="0" w:color="auto"/>
        <w:bottom w:val="none" w:sz="0" w:space="0" w:color="auto"/>
        <w:right w:val="none" w:sz="0" w:space="0" w:color="auto"/>
      </w:divBdr>
    </w:div>
    <w:div w:id="956105207">
      <w:bodyDiv w:val="1"/>
      <w:marLeft w:val="0"/>
      <w:marRight w:val="0"/>
      <w:marTop w:val="0"/>
      <w:marBottom w:val="0"/>
      <w:divBdr>
        <w:top w:val="none" w:sz="0" w:space="0" w:color="auto"/>
        <w:left w:val="none" w:sz="0" w:space="0" w:color="auto"/>
        <w:bottom w:val="none" w:sz="0" w:space="0" w:color="auto"/>
        <w:right w:val="none" w:sz="0" w:space="0" w:color="auto"/>
      </w:divBdr>
    </w:div>
    <w:div w:id="968317849">
      <w:bodyDiv w:val="1"/>
      <w:marLeft w:val="0"/>
      <w:marRight w:val="0"/>
      <w:marTop w:val="0"/>
      <w:marBottom w:val="0"/>
      <w:divBdr>
        <w:top w:val="none" w:sz="0" w:space="0" w:color="auto"/>
        <w:left w:val="none" w:sz="0" w:space="0" w:color="auto"/>
        <w:bottom w:val="none" w:sz="0" w:space="0" w:color="auto"/>
        <w:right w:val="none" w:sz="0" w:space="0" w:color="auto"/>
      </w:divBdr>
    </w:div>
    <w:div w:id="979311398">
      <w:bodyDiv w:val="1"/>
      <w:marLeft w:val="0"/>
      <w:marRight w:val="0"/>
      <w:marTop w:val="0"/>
      <w:marBottom w:val="0"/>
      <w:divBdr>
        <w:top w:val="none" w:sz="0" w:space="0" w:color="auto"/>
        <w:left w:val="none" w:sz="0" w:space="0" w:color="auto"/>
        <w:bottom w:val="none" w:sz="0" w:space="0" w:color="auto"/>
        <w:right w:val="none" w:sz="0" w:space="0" w:color="auto"/>
      </w:divBdr>
    </w:div>
    <w:div w:id="984579371">
      <w:bodyDiv w:val="1"/>
      <w:marLeft w:val="0"/>
      <w:marRight w:val="0"/>
      <w:marTop w:val="0"/>
      <w:marBottom w:val="0"/>
      <w:divBdr>
        <w:top w:val="none" w:sz="0" w:space="0" w:color="auto"/>
        <w:left w:val="none" w:sz="0" w:space="0" w:color="auto"/>
        <w:bottom w:val="none" w:sz="0" w:space="0" w:color="auto"/>
        <w:right w:val="none" w:sz="0" w:space="0" w:color="auto"/>
      </w:divBdr>
    </w:div>
    <w:div w:id="989093679">
      <w:bodyDiv w:val="1"/>
      <w:marLeft w:val="0"/>
      <w:marRight w:val="0"/>
      <w:marTop w:val="0"/>
      <w:marBottom w:val="0"/>
      <w:divBdr>
        <w:top w:val="none" w:sz="0" w:space="0" w:color="auto"/>
        <w:left w:val="none" w:sz="0" w:space="0" w:color="auto"/>
        <w:bottom w:val="none" w:sz="0" w:space="0" w:color="auto"/>
        <w:right w:val="none" w:sz="0" w:space="0" w:color="auto"/>
      </w:divBdr>
    </w:div>
    <w:div w:id="990911325">
      <w:bodyDiv w:val="1"/>
      <w:marLeft w:val="0"/>
      <w:marRight w:val="0"/>
      <w:marTop w:val="0"/>
      <w:marBottom w:val="0"/>
      <w:divBdr>
        <w:top w:val="none" w:sz="0" w:space="0" w:color="auto"/>
        <w:left w:val="none" w:sz="0" w:space="0" w:color="auto"/>
        <w:bottom w:val="none" w:sz="0" w:space="0" w:color="auto"/>
        <w:right w:val="none" w:sz="0" w:space="0" w:color="auto"/>
      </w:divBdr>
    </w:div>
    <w:div w:id="999693059">
      <w:bodyDiv w:val="1"/>
      <w:marLeft w:val="0"/>
      <w:marRight w:val="0"/>
      <w:marTop w:val="0"/>
      <w:marBottom w:val="0"/>
      <w:divBdr>
        <w:top w:val="none" w:sz="0" w:space="0" w:color="auto"/>
        <w:left w:val="none" w:sz="0" w:space="0" w:color="auto"/>
        <w:bottom w:val="none" w:sz="0" w:space="0" w:color="auto"/>
        <w:right w:val="none" w:sz="0" w:space="0" w:color="auto"/>
      </w:divBdr>
    </w:div>
    <w:div w:id="1002246533">
      <w:bodyDiv w:val="1"/>
      <w:marLeft w:val="0"/>
      <w:marRight w:val="0"/>
      <w:marTop w:val="0"/>
      <w:marBottom w:val="0"/>
      <w:divBdr>
        <w:top w:val="none" w:sz="0" w:space="0" w:color="auto"/>
        <w:left w:val="none" w:sz="0" w:space="0" w:color="auto"/>
        <w:bottom w:val="none" w:sz="0" w:space="0" w:color="auto"/>
        <w:right w:val="none" w:sz="0" w:space="0" w:color="auto"/>
      </w:divBdr>
    </w:div>
    <w:div w:id="1003894151">
      <w:bodyDiv w:val="1"/>
      <w:marLeft w:val="0"/>
      <w:marRight w:val="0"/>
      <w:marTop w:val="0"/>
      <w:marBottom w:val="0"/>
      <w:divBdr>
        <w:top w:val="none" w:sz="0" w:space="0" w:color="auto"/>
        <w:left w:val="none" w:sz="0" w:space="0" w:color="auto"/>
        <w:bottom w:val="none" w:sz="0" w:space="0" w:color="auto"/>
        <w:right w:val="none" w:sz="0" w:space="0" w:color="auto"/>
      </w:divBdr>
    </w:div>
    <w:div w:id="1013651939">
      <w:bodyDiv w:val="1"/>
      <w:marLeft w:val="0"/>
      <w:marRight w:val="0"/>
      <w:marTop w:val="0"/>
      <w:marBottom w:val="0"/>
      <w:divBdr>
        <w:top w:val="none" w:sz="0" w:space="0" w:color="auto"/>
        <w:left w:val="none" w:sz="0" w:space="0" w:color="auto"/>
        <w:bottom w:val="none" w:sz="0" w:space="0" w:color="auto"/>
        <w:right w:val="none" w:sz="0" w:space="0" w:color="auto"/>
      </w:divBdr>
    </w:div>
    <w:div w:id="1030497121">
      <w:bodyDiv w:val="1"/>
      <w:marLeft w:val="0"/>
      <w:marRight w:val="0"/>
      <w:marTop w:val="0"/>
      <w:marBottom w:val="0"/>
      <w:divBdr>
        <w:top w:val="none" w:sz="0" w:space="0" w:color="auto"/>
        <w:left w:val="none" w:sz="0" w:space="0" w:color="auto"/>
        <w:bottom w:val="none" w:sz="0" w:space="0" w:color="auto"/>
        <w:right w:val="none" w:sz="0" w:space="0" w:color="auto"/>
      </w:divBdr>
    </w:div>
    <w:div w:id="1048914758">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77361050">
      <w:bodyDiv w:val="1"/>
      <w:marLeft w:val="0"/>
      <w:marRight w:val="0"/>
      <w:marTop w:val="0"/>
      <w:marBottom w:val="0"/>
      <w:divBdr>
        <w:top w:val="none" w:sz="0" w:space="0" w:color="auto"/>
        <w:left w:val="none" w:sz="0" w:space="0" w:color="auto"/>
        <w:bottom w:val="none" w:sz="0" w:space="0" w:color="auto"/>
        <w:right w:val="none" w:sz="0" w:space="0" w:color="auto"/>
      </w:divBdr>
    </w:div>
    <w:div w:id="1079867968">
      <w:bodyDiv w:val="1"/>
      <w:marLeft w:val="0"/>
      <w:marRight w:val="0"/>
      <w:marTop w:val="0"/>
      <w:marBottom w:val="0"/>
      <w:divBdr>
        <w:top w:val="none" w:sz="0" w:space="0" w:color="auto"/>
        <w:left w:val="none" w:sz="0" w:space="0" w:color="auto"/>
        <w:bottom w:val="none" w:sz="0" w:space="0" w:color="auto"/>
        <w:right w:val="none" w:sz="0" w:space="0" w:color="auto"/>
      </w:divBdr>
    </w:div>
    <w:div w:id="1096442481">
      <w:bodyDiv w:val="1"/>
      <w:marLeft w:val="0"/>
      <w:marRight w:val="0"/>
      <w:marTop w:val="0"/>
      <w:marBottom w:val="0"/>
      <w:divBdr>
        <w:top w:val="none" w:sz="0" w:space="0" w:color="auto"/>
        <w:left w:val="none" w:sz="0" w:space="0" w:color="auto"/>
        <w:bottom w:val="none" w:sz="0" w:space="0" w:color="auto"/>
        <w:right w:val="none" w:sz="0" w:space="0" w:color="auto"/>
      </w:divBdr>
    </w:div>
    <w:div w:id="1111583517">
      <w:bodyDiv w:val="1"/>
      <w:marLeft w:val="0"/>
      <w:marRight w:val="0"/>
      <w:marTop w:val="0"/>
      <w:marBottom w:val="0"/>
      <w:divBdr>
        <w:top w:val="none" w:sz="0" w:space="0" w:color="auto"/>
        <w:left w:val="none" w:sz="0" w:space="0" w:color="auto"/>
        <w:bottom w:val="none" w:sz="0" w:space="0" w:color="auto"/>
        <w:right w:val="none" w:sz="0" w:space="0" w:color="auto"/>
      </w:divBdr>
    </w:div>
    <w:div w:id="1122698354">
      <w:bodyDiv w:val="1"/>
      <w:marLeft w:val="0"/>
      <w:marRight w:val="0"/>
      <w:marTop w:val="0"/>
      <w:marBottom w:val="0"/>
      <w:divBdr>
        <w:top w:val="none" w:sz="0" w:space="0" w:color="auto"/>
        <w:left w:val="none" w:sz="0" w:space="0" w:color="auto"/>
        <w:bottom w:val="none" w:sz="0" w:space="0" w:color="auto"/>
        <w:right w:val="none" w:sz="0" w:space="0" w:color="auto"/>
      </w:divBdr>
    </w:div>
    <w:div w:id="1140725518">
      <w:bodyDiv w:val="1"/>
      <w:marLeft w:val="0"/>
      <w:marRight w:val="0"/>
      <w:marTop w:val="0"/>
      <w:marBottom w:val="0"/>
      <w:divBdr>
        <w:top w:val="none" w:sz="0" w:space="0" w:color="auto"/>
        <w:left w:val="none" w:sz="0" w:space="0" w:color="auto"/>
        <w:bottom w:val="none" w:sz="0" w:space="0" w:color="auto"/>
        <w:right w:val="none" w:sz="0" w:space="0" w:color="auto"/>
      </w:divBdr>
    </w:div>
    <w:div w:id="1156914283">
      <w:bodyDiv w:val="1"/>
      <w:marLeft w:val="0"/>
      <w:marRight w:val="0"/>
      <w:marTop w:val="0"/>
      <w:marBottom w:val="0"/>
      <w:divBdr>
        <w:top w:val="none" w:sz="0" w:space="0" w:color="auto"/>
        <w:left w:val="none" w:sz="0" w:space="0" w:color="auto"/>
        <w:bottom w:val="none" w:sz="0" w:space="0" w:color="auto"/>
        <w:right w:val="none" w:sz="0" w:space="0" w:color="auto"/>
      </w:divBdr>
    </w:div>
    <w:div w:id="1192259562">
      <w:bodyDiv w:val="1"/>
      <w:marLeft w:val="0"/>
      <w:marRight w:val="0"/>
      <w:marTop w:val="0"/>
      <w:marBottom w:val="0"/>
      <w:divBdr>
        <w:top w:val="none" w:sz="0" w:space="0" w:color="auto"/>
        <w:left w:val="none" w:sz="0" w:space="0" w:color="auto"/>
        <w:bottom w:val="none" w:sz="0" w:space="0" w:color="auto"/>
        <w:right w:val="none" w:sz="0" w:space="0" w:color="auto"/>
      </w:divBdr>
    </w:div>
    <w:div w:id="1194420901">
      <w:bodyDiv w:val="1"/>
      <w:marLeft w:val="0"/>
      <w:marRight w:val="0"/>
      <w:marTop w:val="0"/>
      <w:marBottom w:val="0"/>
      <w:divBdr>
        <w:top w:val="none" w:sz="0" w:space="0" w:color="auto"/>
        <w:left w:val="none" w:sz="0" w:space="0" w:color="auto"/>
        <w:bottom w:val="none" w:sz="0" w:space="0" w:color="auto"/>
        <w:right w:val="none" w:sz="0" w:space="0" w:color="auto"/>
      </w:divBdr>
    </w:div>
    <w:div w:id="1228153205">
      <w:bodyDiv w:val="1"/>
      <w:marLeft w:val="0"/>
      <w:marRight w:val="0"/>
      <w:marTop w:val="0"/>
      <w:marBottom w:val="0"/>
      <w:divBdr>
        <w:top w:val="none" w:sz="0" w:space="0" w:color="auto"/>
        <w:left w:val="none" w:sz="0" w:space="0" w:color="auto"/>
        <w:bottom w:val="none" w:sz="0" w:space="0" w:color="auto"/>
        <w:right w:val="none" w:sz="0" w:space="0" w:color="auto"/>
      </w:divBdr>
    </w:div>
    <w:div w:id="1236207454">
      <w:bodyDiv w:val="1"/>
      <w:marLeft w:val="0"/>
      <w:marRight w:val="0"/>
      <w:marTop w:val="0"/>
      <w:marBottom w:val="0"/>
      <w:divBdr>
        <w:top w:val="none" w:sz="0" w:space="0" w:color="auto"/>
        <w:left w:val="none" w:sz="0" w:space="0" w:color="auto"/>
        <w:bottom w:val="none" w:sz="0" w:space="0" w:color="auto"/>
        <w:right w:val="none" w:sz="0" w:space="0" w:color="auto"/>
      </w:divBdr>
    </w:div>
    <w:div w:id="1236815849">
      <w:bodyDiv w:val="1"/>
      <w:marLeft w:val="0"/>
      <w:marRight w:val="0"/>
      <w:marTop w:val="0"/>
      <w:marBottom w:val="0"/>
      <w:divBdr>
        <w:top w:val="none" w:sz="0" w:space="0" w:color="auto"/>
        <w:left w:val="none" w:sz="0" w:space="0" w:color="auto"/>
        <w:bottom w:val="none" w:sz="0" w:space="0" w:color="auto"/>
        <w:right w:val="none" w:sz="0" w:space="0" w:color="auto"/>
      </w:divBdr>
    </w:div>
    <w:div w:id="1243763111">
      <w:bodyDiv w:val="1"/>
      <w:marLeft w:val="0"/>
      <w:marRight w:val="0"/>
      <w:marTop w:val="0"/>
      <w:marBottom w:val="0"/>
      <w:divBdr>
        <w:top w:val="none" w:sz="0" w:space="0" w:color="auto"/>
        <w:left w:val="none" w:sz="0" w:space="0" w:color="auto"/>
        <w:bottom w:val="none" w:sz="0" w:space="0" w:color="auto"/>
        <w:right w:val="none" w:sz="0" w:space="0" w:color="auto"/>
      </w:divBdr>
    </w:div>
    <w:div w:id="1250850720">
      <w:bodyDiv w:val="1"/>
      <w:marLeft w:val="0"/>
      <w:marRight w:val="0"/>
      <w:marTop w:val="0"/>
      <w:marBottom w:val="0"/>
      <w:divBdr>
        <w:top w:val="none" w:sz="0" w:space="0" w:color="auto"/>
        <w:left w:val="none" w:sz="0" w:space="0" w:color="auto"/>
        <w:bottom w:val="none" w:sz="0" w:space="0" w:color="auto"/>
        <w:right w:val="none" w:sz="0" w:space="0" w:color="auto"/>
      </w:divBdr>
    </w:div>
    <w:div w:id="1291743507">
      <w:bodyDiv w:val="1"/>
      <w:marLeft w:val="0"/>
      <w:marRight w:val="0"/>
      <w:marTop w:val="0"/>
      <w:marBottom w:val="0"/>
      <w:divBdr>
        <w:top w:val="none" w:sz="0" w:space="0" w:color="auto"/>
        <w:left w:val="none" w:sz="0" w:space="0" w:color="auto"/>
        <w:bottom w:val="none" w:sz="0" w:space="0" w:color="auto"/>
        <w:right w:val="none" w:sz="0" w:space="0" w:color="auto"/>
      </w:divBdr>
    </w:div>
    <w:div w:id="1297226364">
      <w:bodyDiv w:val="1"/>
      <w:marLeft w:val="0"/>
      <w:marRight w:val="0"/>
      <w:marTop w:val="0"/>
      <w:marBottom w:val="0"/>
      <w:divBdr>
        <w:top w:val="none" w:sz="0" w:space="0" w:color="auto"/>
        <w:left w:val="none" w:sz="0" w:space="0" w:color="auto"/>
        <w:bottom w:val="none" w:sz="0" w:space="0" w:color="auto"/>
        <w:right w:val="none" w:sz="0" w:space="0" w:color="auto"/>
      </w:divBdr>
    </w:div>
    <w:div w:id="1307272998">
      <w:bodyDiv w:val="1"/>
      <w:marLeft w:val="0"/>
      <w:marRight w:val="0"/>
      <w:marTop w:val="0"/>
      <w:marBottom w:val="0"/>
      <w:divBdr>
        <w:top w:val="none" w:sz="0" w:space="0" w:color="auto"/>
        <w:left w:val="none" w:sz="0" w:space="0" w:color="auto"/>
        <w:bottom w:val="none" w:sz="0" w:space="0" w:color="auto"/>
        <w:right w:val="none" w:sz="0" w:space="0" w:color="auto"/>
      </w:divBdr>
    </w:div>
    <w:div w:id="1313876557">
      <w:bodyDiv w:val="1"/>
      <w:marLeft w:val="0"/>
      <w:marRight w:val="0"/>
      <w:marTop w:val="0"/>
      <w:marBottom w:val="0"/>
      <w:divBdr>
        <w:top w:val="none" w:sz="0" w:space="0" w:color="auto"/>
        <w:left w:val="none" w:sz="0" w:space="0" w:color="auto"/>
        <w:bottom w:val="none" w:sz="0" w:space="0" w:color="auto"/>
        <w:right w:val="none" w:sz="0" w:space="0" w:color="auto"/>
      </w:divBdr>
    </w:div>
    <w:div w:id="1319847586">
      <w:bodyDiv w:val="1"/>
      <w:marLeft w:val="0"/>
      <w:marRight w:val="0"/>
      <w:marTop w:val="0"/>
      <w:marBottom w:val="0"/>
      <w:divBdr>
        <w:top w:val="none" w:sz="0" w:space="0" w:color="auto"/>
        <w:left w:val="none" w:sz="0" w:space="0" w:color="auto"/>
        <w:bottom w:val="none" w:sz="0" w:space="0" w:color="auto"/>
        <w:right w:val="none" w:sz="0" w:space="0" w:color="auto"/>
      </w:divBdr>
    </w:div>
    <w:div w:id="1336035268">
      <w:bodyDiv w:val="1"/>
      <w:marLeft w:val="0"/>
      <w:marRight w:val="0"/>
      <w:marTop w:val="0"/>
      <w:marBottom w:val="0"/>
      <w:divBdr>
        <w:top w:val="none" w:sz="0" w:space="0" w:color="auto"/>
        <w:left w:val="none" w:sz="0" w:space="0" w:color="auto"/>
        <w:bottom w:val="none" w:sz="0" w:space="0" w:color="auto"/>
        <w:right w:val="none" w:sz="0" w:space="0" w:color="auto"/>
      </w:divBdr>
    </w:div>
    <w:div w:id="1341279795">
      <w:bodyDiv w:val="1"/>
      <w:marLeft w:val="0"/>
      <w:marRight w:val="0"/>
      <w:marTop w:val="0"/>
      <w:marBottom w:val="0"/>
      <w:divBdr>
        <w:top w:val="none" w:sz="0" w:space="0" w:color="auto"/>
        <w:left w:val="none" w:sz="0" w:space="0" w:color="auto"/>
        <w:bottom w:val="none" w:sz="0" w:space="0" w:color="auto"/>
        <w:right w:val="none" w:sz="0" w:space="0" w:color="auto"/>
      </w:divBdr>
    </w:div>
    <w:div w:id="1348289942">
      <w:bodyDiv w:val="1"/>
      <w:marLeft w:val="0"/>
      <w:marRight w:val="0"/>
      <w:marTop w:val="0"/>
      <w:marBottom w:val="0"/>
      <w:divBdr>
        <w:top w:val="none" w:sz="0" w:space="0" w:color="auto"/>
        <w:left w:val="none" w:sz="0" w:space="0" w:color="auto"/>
        <w:bottom w:val="none" w:sz="0" w:space="0" w:color="auto"/>
        <w:right w:val="none" w:sz="0" w:space="0" w:color="auto"/>
      </w:divBdr>
    </w:div>
    <w:div w:id="1355570632">
      <w:bodyDiv w:val="1"/>
      <w:marLeft w:val="0"/>
      <w:marRight w:val="0"/>
      <w:marTop w:val="0"/>
      <w:marBottom w:val="0"/>
      <w:divBdr>
        <w:top w:val="none" w:sz="0" w:space="0" w:color="auto"/>
        <w:left w:val="none" w:sz="0" w:space="0" w:color="auto"/>
        <w:bottom w:val="none" w:sz="0" w:space="0" w:color="auto"/>
        <w:right w:val="none" w:sz="0" w:space="0" w:color="auto"/>
      </w:divBdr>
    </w:div>
    <w:div w:id="1362821804">
      <w:bodyDiv w:val="1"/>
      <w:marLeft w:val="0"/>
      <w:marRight w:val="0"/>
      <w:marTop w:val="0"/>
      <w:marBottom w:val="0"/>
      <w:divBdr>
        <w:top w:val="none" w:sz="0" w:space="0" w:color="auto"/>
        <w:left w:val="none" w:sz="0" w:space="0" w:color="auto"/>
        <w:bottom w:val="none" w:sz="0" w:space="0" w:color="auto"/>
        <w:right w:val="none" w:sz="0" w:space="0" w:color="auto"/>
      </w:divBdr>
    </w:div>
    <w:div w:id="1379167956">
      <w:bodyDiv w:val="1"/>
      <w:marLeft w:val="0"/>
      <w:marRight w:val="0"/>
      <w:marTop w:val="0"/>
      <w:marBottom w:val="0"/>
      <w:divBdr>
        <w:top w:val="none" w:sz="0" w:space="0" w:color="auto"/>
        <w:left w:val="none" w:sz="0" w:space="0" w:color="auto"/>
        <w:bottom w:val="none" w:sz="0" w:space="0" w:color="auto"/>
        <w:right w:val="none" w:sz="0" w:space="0" w:color="auto"/>
      </w:divBdr>
    </w:div>
    <w:div w:id="1395347816">
      <w:bodyDiv w:val="1"/>
      <w:marLeft w:val="0"/>
      <w:marRight w:val="0"/>
      <w:marTop w:val="0"/>
      <w:marBottom w:val="0"/>
      <w:divBdr>
        <w:top w:val="none" w:sz="0" w:space="0" w:color="auto"/>
        <w:left w:val="none" w:sz="0" w:space="0" w:color="auto"/>
        <w:bottom w:val="none" w:sz="0" w:space="0" w:color="auto"/>
        <w:right w:val="none" w:sz="0" w:space="0" w:color="auto"/>
      </w:divBdr>
    </w:div>
    <w:div w:id="1396247478">
      <w:bodyDiv w:val="1"/>
      <w:marLeft w:val="0"/>
      <w:marRight w:val="0"/>
      <w:marTop w:val="0"/>
      <w:marBottom w:val="0"/>
      <w:divBdr>
        <w:top w:val="none" w:sz="0" w:space="0" w:color="auto"/>
        <w:left w:val="none" w:sz="0" w:space="0" w:color="auto"/>
        <w:bottom w:val="none" w:sz="0" w:space="0" w:color="auto"/>
        <w:right w:val="none" w:sz="0" w:space="0" w:color="auto"/>
      </w:divBdr>
    </w:div>
    <w:div w:id="1401250341">
      <w:bodyDiv w:val="1"/>
      <w:marLeft w:val="0"/>
      <w:marRight w:val="0"/>
      <w:marTop w:val="0"/>
      <w:marBottom w:val="0"/>
      <w:divBdr>
        <w:top w:val="none" w:sz="0" w:space="0" w:color="auto"/>
        <w:left w:val="none" w:sz="0" w:space="0" w:color="auto"/>
        <w:bottom w:val="none" w:sz="0" w:space="0" w:color="auto"/>
        <w:right w:val="none" w:sz="0" w:space="0" w:color="auto"/>
      </w:divBdr>
    </w:div>
    <w:div w:id="1436562151">
      <w:bodyDiv w:val="1"/>
      <w:marLeft w:val="0"/>
      <w:marRight w:val="0"/>
      <w:marTop w:val="0"/>
      <w:marBottom w:val="0"/>
      <w:divBdr>
        <w:top w:val="none" w:sz="0" w:space="0" w:color="auto"/>
        <w:left w:val="none" w:sz="0" w:space="0" w:color="auto"/>
        <w:bottom w:val="none" w:sz="0" w:space="0" w:color="auto"/>
        <w:right w:val="none" w:sz="0" w:space="0" w:color="auto"/>
      </w:divBdr>
    </w:div>
    <w:div w:id="1453862655">
      <w:bodyDiv w:val="1"/>
      <w:marLeft w:val="0"/>
      <w:marRight w:val="0"/>
      <w:marTop w:val="0"/>
      <w:marBottom w:val="0"/>
      <w:divBdr>
        <w:top w:val="none" w:sz="0" w:space="0" w:color="auto"/>
        <w:left w:val="none" w:sz="0" w:space="0" w:color="auto"/>
        <w:bottom w:val="none" w:sz="0" w:space="0" w:color="auto"/>
        <w:right w:val="none" w:sz="0" w:space="0" w:color="auto"/>
      </w:divBdr>
    </w:div>
    <w:div w:id="1460341075">
      <w:bodyDiv w:val="1"/>
      <w:marLeft w:val="0"/>
      <w:marRight w:val="0"/>
      <w:marTop w:val="0"/>
      <w:marBottom w:val="0"/>
      <w:divBdr>
        <w:top w:val="none" w:sz="0" w:space="0" w:color="auto"/>
        <w:left w:val="none" w:sz="0" w:space="0" w:color="auto"/>
        <w:bottom w:val="none" w:sz="0" w:space="0" w:color="auto"/>
        <w:right w:val="none" w:sz="0" w:space="0" w:color="auto"/>
      </w:divBdr>
    </w:div>
    <w:div w:id="1461920427">
      <w:bodyDiv w:val="1"/>
      <w:marLeft w:val="0"/>
      <w:marRight w:val="0"/>
      <w:marTop w:val="0"/>
      <w:marBottom w:val="0"/>
      <w:divBdr>
        <w:top w:val="none" w:sz="0" w:space="0" w:color="auto"/>
        <w:left w:val="none" w:sz="0" w:space="0" w:color="auto"/>
        <w:bottom w:val="none" w:sz="0" w:space="0" w:color="auto"/>
        <w:right w:val="none" w:sz="0" w:space="0" w:color="auto"/>
      </w:divBdr>
    </w:div>
    <w:div w:id="1463647671">
      <w:bodyDiv w:val="1"/>
      <w:marLeft w:val="0"/>
      <w:marRight w:val="0"/>
      <w:marTop w:val="0"/>
      <w:marBottom w:val="0"/>
      <w:divBdr>
        <w:top w:val="none" w:sz="0" w:space="0" w:color="auto"/>
        <w:left w:val="none" w:sz="0" w:space="0" w:color="auto"/>
        <w:bottom w:val="none" w:sz="0" w:space="0" w:color="auto"/>
        <w:right w:val="none" w:sz="0" w:space="0" w:color="auto"/>
      </w:divBdr>
    </w:div>
    <w:div w:id="1477918254">
      <w:bodyDiv w:val="1"/>
      <w:marLeft w:val="0"/>
      <w:marRight w:val="0"/>
      <w:marTop w:val="0"/>
      <w:marBottom w:val="0"/>
      <w:divBdr>
        <w:top w:val="none" w:sz="0" w:space="0" w:color="auto"/>
        <w:left w:val="none" w:sz="0" w:space="0" w:color="auto"/>
        <w:bottom w:val="none" w:sz="0" w:space="0" w:color="auto"/>
        <w:right w:val="none" w:sz="0" w:space="0" w:color="auto"/>
      </w:divBdr>
    </w:div>
    <w:div w:id="1483766453">
      <w:bodyDiv w:val="1"/>
      <w:marLeft w:val="0"/>
      <w:marRight w:val="0"/>
      <w:marTop w:val="0"/>
      <w:marBottom w:val="0"/>
      <w:divBdr>
        <w:top w:val="none" w:sz="0" w:space="0" w:color="auto"/>
        <w:left w:val="none" w:sz="0" w:space="0" w:color="auto"/>
        <w:bottom w:val="none" w:sz="0" w:space="0" w:color="auto"/>
        <w:right w:val="none" w:sz="0" w:space="0" w:color="auto"/>
      </w:divBdr>
    </w:div>
    <w:div w:id="1510678784">
      <w:bodyDiv w:val="1"/>
      <w:marLeft w:val="0"/>
      <w:marRight w:val="0"/>
      <w:marTop w:val="0"/>
      <w:marBottom w:val="0"/>
      <w:divBdr>
        <w:top w:val="none" w:sz="0" w:space="0" w:color="auto"/>
        <w:left w:val="none" w:sz="0" w:space="0" w:color="auto"/>
        <w:bottom w:val="none" w:sz="0" w:space="0" w:color="auto"/>
        <w:right w:val="none" w:sz="0" w:space="0" w:color="auto"/>
      </w:divBdr>
    </w:div>
    <w:div w:id="1526552243">
      <w:bodyDiv w:val="1"/>
      <w:marLeft w:val="0"/>
      <w:marRight w:val="0"/>
      <w:marTop w:val="0"/>
      <w:marBottom w:val="0"/>
      <w:divBdr>
        <w:top w:val="none" w:sz="0" w:space="0" w:color="auto"/>
        <w:left w:val="none" w:sz="0" w:space="0" w:color="auto"/>
        <w:bottom w:val="none" w:sz="0" w:space="0" w:color="auto"/>
        <w:right w:val="none" w:sz="0" w:space="0" w:color="auto"/>
      </w:divBdr>
    </w:div>
    <w:div w:id="1550261957">
      <w:bodyDiv w:val="1"/>
      <w:marLeft w:val="0"/>
      <w:marRight w:val="0"/>
      <w:marTop w:val="0"/>
      <w:marBottom w:val="0"/>
      <w:divBdr>
        <w:top w:val="none" w:sz="0" w:space="0" w:color="auto"/>
        <w:left w:val="none" w:sz="0" w:space="0" w:color="auto"/>
        <w:bottom w:val="none" w:sz="0" w:space="0" w:color="auto"/>
        <w:right w:val="none" w:sz="0" w:space="0" w:color="auto"/>
      </w:divBdr>
    </w:div>
    <w:div w:id="1553998746">
      <w:bodyDiv w:val="1"/>
      <w:marLeft w:val="0"/>
      <w:marRight w:val="0"/>
      <w:marTop w:val="0"/>
      <w:marBottom w:val="0"/>
      <w:divBdr>
        <w:top w:val="none" w:sz="0" w:space="0" w:color="auto"/>
        <w:left w:val="none" w:sz="0" w:space="0" w:color="auto"/>
        <w:bottom w:val="none" w:sz="0" w:space="0" w:color="auto"/>
        <w:right w:val="none" w:sz="0" w:space="0" w:color="auto"/>
      </w:divBdr>
    </w:div>
    <w:div w:id="1565330946">
      <w:bodyDiv w:val="1"/>
      <w:marLeft w:val="0"/>
      <w:marRight w:val="0"/>
      <w:marTop w:val="0"/>
      <w:marBottom w:val="0"/>
      <w:divBdr>
        <w:top w:val="none" w:sz="0" w:space="0" w:color="auto"/>
        <w:left w:val="none" w:sz="0" w:space="0" w:color="auto"/>
        <w:bottom w:val="none" w:sz="0" w:space="0" w:color="auto"/>
        <w:right w:val="none" w:sz="0" w:space="0" w:color="auto"/>
      </w:divBdr>
    </w:div>
    <w:div w:id="1565917215">
      <w:bodyDiv w:val="1"/>
      <w:marLeft w:val="0"/>
      <w:marRight w:val="0"/>
      <w:marTop w:val="0"/>
      <w:marBottom w:val="0"/>
      <w:divBdr>
        <w:top w:val="none" w:sz="0" w:space="0" w:color="auto"/>
        <w:left w:val="none" w:sz="0" w:space="0" w:color="auto"/>
        <w:bottom w:val="none" w:sz="0" w:space="0" w:color="auto"/>
        <w:right w:val="none" w:sz="0" w:space="0" w:color="auto"/>
      </w:divBdr>
    </w:div>
    <w:div w:id="1606689411">
      <w:bodyDiv w:val="1"/>
      <w:marLeft w:val="0"/>
      <w:marRight w:val="0"/>
      <w:marTop w:val="0"/>
      <w:marBottom w:val="0"/>
      <w:divBdr>
        <w:top w:val="none" w:sz="0" w:space="0" w:color="auto"/>
        <w:left w:val="none" w:sz="0" w:space="0" w:color="auto"/>
        <w:bottom w:val="none" w:sz="0" w:space="0" w:color="auto"/>
        <w:right w:val="none" w:sz="0" w:space="0" w:color="auto"/>
      </w:divBdr>
    </w:div>
    <w:div w:id="1610165010">
      <w:bodyDiv w:val="1"/>
      <w:marLeft w:val="0"/>
      <w:marRight w:val="0"/>
      <w:marTop w:val="0"/>
      <w:marBottom w:val="0"/>
      <w:divBdr>
        <w:top w:val="none" w:sz="0" w:space="0" w:color="auto"/>
        <w:left w:val="none" w:sz="0" w:space="0" w:color="auto"/>
        <w:bottom w:val="none" w:sz="0" w:space="0" w:color="auto"/>
        <w:right w:val="none" w:sz="0" w:space="0" w:color="auto"/>
      </w:divBdr>
    </w:div>
    <w:div w:id="1625572496">
      <w:bodyDiv w:val="1"/>
      <w:marLeft w:val="0"/>
      <w:marRight w:val="0"/>
      <w:marTop w:val="0"/>
      <w:marBottom w:val="0"/>
      <w:divBdr>
        <w:top w:val="none" w:sz="0" w:space="0" w:color="auto"/>
        <w:left w:val="none" w:sz="0" w:space="0" w:color="auto"/>
        <w:bottom w:val="none" w:sz="0" w:space="0" w:color="auto"/>
        <w:right w:val="none" w:sz="0" w:space="0" w:color="auto"/>
      </w:divBdr>
    </w:div>
    <w:div w:id="1632634464">
      <w:bodyDiv w:val="1"/>
      <w:marLeft w:val="0"/>
      <w:marRight w:val="0"/>
      <w:marTop w:val="0"/>
      <w:marBottom w:val="0"/>
      <w:divBdr>
        <w:top w:val="none" w:sz="0" w:space="0" w:color="auto"/>
        <w:left w:val="none" w:sz="0" w:space="0" w:color="auto"/>
        <w:bottom w:val="none" w:sz="0" w:space="0" w:color="auto"/>
        <w:right w:val="none" w:sz="0" w:space="0" w:color="auto"/>
      </w:divBdr>
    </w:div>
    <w:div w:id="1633362337">
      <w:bodyDiv w:val="1"/>
      <w:marLeft w:val="0"/>
      <w:marRight w:val="0"/>
      <w:marTop w:val="0"/>
      <w:marBottom w:val="0"/>
      <w:divBdr>
        <w:top w:val="none" w:sz="0" w:space="0" w:color="auto"/>
        <w:left w:val="none" w:sz="0" w:space="0" w:color="auto"/>
        <w:bottom w:val="none" w:sz="0" w:space="0" w:color="auto"/>
        <w:right w:val="none" w:sz="0" w:space="0" w:color="auto"/>
      </w:divBdr>
    </w:div>
    <w:div w:id="1646622413">
      <w:bodyDiv w:val="1"/>
      <w:marLeft w:val="0"/>
      <w:marRight w:val="0"/>
      <w:marTop w:val="0"/>
      <w:marBottom w:val="0"/>
      <w:divBdr>
        <w:top w:val="none" w:sz="0" w:space="0" w:color="auto"/>
        <w:left w:val="none" w:sz="0" w:space="0" w:color="auto"/>
        <w:bottom w:val="none" w:sz="0" w:space="0" w:color="auto"/>
        <w:right w:val="none" w:sz="0" w:space="0" w:color="auto"/>
      </w:divBdr>
    </w:div>
    <w:div w:id="1654600673">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76805981">
      <w:bodyDiv w:val="1"/>
      <w:marLeft w:val="0"/>
      <w:marRight w:val="0"/>
      <w:marTop w:val="0"/>
      <w:marBottom w:val="0"/>
      <w:divBdr>
        <w:top w:val="none" w:sz="0" w:space="0" w:color="auto"/>
        <w:left w:val="none" w:sz="0" w:space="0" w:color="auto"/>
        <w:bottom w:val="none" w:sz="0" w:space="0" w:color="auto"/>
        <w:right w:val="none" w:sz="0" w:space="0" w:color="auto"/>
      </w:divBdr>
    </w:div>
    <w:div w:id="1687125810">
      <w:bodyDiv w:val="1"/>
      <w:marLeft w:val="0"/>
      <w:marRight w:val="0"/>
      <w:marTop w:val="0"/>
      <w:marBottom w:val="0"/>
      <w:divBdr>
        <w:top w:val="none" w:sz="0" w:space="0" w:color="auto"/>
        <w:left w:val="none" w:sz="0" w:space="0" w:color="auto"/>
        <w:bottom w:val="none" w:sz="0" w:space="0" w:color="auto"/>
        <w:right w:val="none" w:sz="0" w:space="0" w:color="auto"/>
      </w:divBdr>
    </w:div>
    <w:div w:id="1698308538">
      <w:bodyDiv w:val="1"/>
      <w:marLeft w:val="0"/>
      <w:marRight w:val="0"/>
      <w:marTop w:val="0"/>
      <w:marBottom w:val="0"/>
      <w:divBdr>
        <w:top w:val="none" w:sz="0" w:space="0" w:color="auto"/>
        <w:left w:val="none" w:sz="0" w:space="0" w:color="auto"/>
        <w:bottom w:val="none" w:sz="0" w:space="0" w:color="auto"/>
        <w:right w:val="none" w:sz="0" w:space="0" w:color="auto"/>
      </w:divBdr>
    </w:div>
    <w:div w:id="1698391871">
      <w:bodyDiv w:val="1"/>
      <w:marLeft w:val="0"/>
      <w:marRight w:val="0"/>
      <w:marTop w:val="0"/>
      <w:marBottom w:val="0"/>
      <w:divBdr>
        <w:top w:val="none" w:sz="0" w:space="0" w:color="auto"/>
        <w:left w:val="none" w:sz="0" w:space="0" w:color="auto"/>
        <w:bottom w:val="none" w:sz="0" w:space="0" w:color="auto"/>
        <w:right w:val="none" w:sz="0" w:space="0" w:color="auto"/>
      </w:divBdr>
    </w:div>
    <w:div w:id="1705013508">
      <w:bodyDiv w:val="1"/>
      <w:marLeft w:val="0"/>
      <w:marRight w:val="0"/>
      <w:marTop w:val="0"/>
      <w:marBottom w:val="0"/>
      <w:divBdr>
        <w:top w:val="none" w:sz="0" w:space="0" w:color="auto"/>
        <w:left w:val="none" w:sz="0" w:space="0" w:color="auto"/>
        <w:bottom w:val="none" w:sz="0" w:space="0" w:color="auto"/>
        <w:right w:val="none" w:sz="0" w:space="0" w:color="auto"/>
      </w:divBdr>
    </w:div>
    <w:div w:id="1706563935">
      <w:bodyDiv w:val="1"/>
      <w:marLeft w:val="0"/>
      <w:marRight w:val="0"/>
      <w:marTop w:val="0"/>
      <w:marBottom w:val="0"/>
      <w:divBdr>
        <w:top w:val="none" w:sz="0" w:space="0" w:color="auto"/>
        <w:left w:val="none" w:sz="0" w:space="0" w:color="auto"/>
        <w:bottom w:val="none" w:sz="0" w:space="0" w:color="auto"/>
        <w:right w:val="none" w:sz="0" w:space="0" w:color="auto"/>
      </w:divBdr>
    </w:div>
    <w:div w:id="1721782520">
      <w:bodyDiv w:val="1"/>
      <w:marLeft w:val="0"/>
      <w:marRight w:val="0"/>
      <w:marTop w:val="0"/>
      <w:marBottom w:val="0"/>
      <w:divBdr>
        <w:top w:val="none" w:sz="0" w:space="0" w:color="auto"/>
        <w:left w:val="none" w:sz="0" w:space="0" w:color="auto"/>
        <w:bottom w:val="none" w:sz="0" w:space="0" w:color="auto"/>
        <w:right w:val="none" w:sz="0" w:space="0" w:color="auto"/>
      </w:divBdr>
    </w:div>
    <w:div w:id="1749813516">
      <w:bodyDiv w:val="1"/>
      <w:marLeft w:val="0"/>
      <w:marRight w:val="0"/>
      <w:marTop w:val="0"/>
      <w:marBottom w:val="0"/>
      <w:divBdr>
        <w:top w:val="none" w:sz="0" w:space="0" w:color="auto"/>
        <w:left w:val="none" w:sz="0" w:space="0" w:color="auto"/>
        <w:bottom w:val="none" w:sz="0" w:space="0" w:color="auto"/>
        <w:right w:val="none" w:sz="0" w:space="0" w:color="auto"/>
      </w:divBdr>
    </w:div>
    <w:div w:id="1759256716">
      <w:bodyDiv w:val="1"/>
      <w:marLeft w:val="0"/>
      <w:marRight w:val="0"/>
      <w:marTop w:val="0"/>
      <w:marBottom w:val="0"/>
      <w:divBdr>
        <w:top w:val="none" w:sz="0" w:space="0" w:color="auto"/>
        <w:left w:val="none" w:sz="0" w:space="0" w:color="auto"/>
        <w:bottom w:val="none" w:sz="0" w:space="0" w:color="auto"/>
        <w:right w:val="none" w:sz="0" w:space="0" w:color="auto"/>
      </w:divBdr>
    </w:div>
    <w:div w:id="1787502359">
      <w:bodyDiv w:val="1"/>
      <w:marLeft w:val="0"/>
      <w:marRight w:val="0"/>
      <w:marTop w:val="0"/>
      <w:marBottom w:val="0"/>
      <w:divBdr>
        <w:top w:val="none" w:sz="0" w:space="0" w:color="auto"/>
        <w:left w:val="none" w:sz="0" w:space="0" w:color="auto"/>
        <w:bottom w:val="none" w:sz="0" w:space="0" w:color="auto"/>
        <w:right w:val="none" w:sz="0" w:space="0" w:color="auto"/>
      </w:divBdr>
    </w:div>
    <w:div w:id="1803579147">
      <w:bodyDiv w:val="1"/>
      <w:marLeft w:val="0"/>
      <w:marRight w:val="0"/>
      <w:marTop w:val="0"/>
      <w:marBottom w:val="0"/>
      <w:divBdr>
        <w:top w:val="none" w:sz="0" w:space="0" w:color="auto"/>
        <w:left w:val="none" w:sz="0" w:space="0" w:color="auto"/>
        <w:bottom w:val="none" w:sz="0" w:space="0" w:color="auto"/>
        <w:right w:val="none" w:sz="0" w:space="0" w:color="auto"/>
      </w:divBdr>
    </w:div>
    <w:div w:id="1815557552">
      <w:bodyDiv w:val="1"/>
      <w:marLeft w:val="0"/>
      <w:marRight w:val="0"/>
      <w:marTop w:val="0"/>
      <w:marBottom w:val="0"/>
      <w:divBdr>
        <w:top w:val="none" w:sz="0" w:space="0" w:color="auto"/>
        <w:left w:val="none" w:sz="0" w:space="0" w:color="auto"/>
        <w:bottom w:val="none" w:sz="0" w:space="0" w:color="auto"/>
        <w:right w:val="none" w:sz="0" w:space="0" w:color="auto"/>
      </w:divBdr>
    </w:div>
    <w:div w:id="1816945856">
      <w:bodyDiv w:val="1"/>
      <w:marLeft w:val="0"/>
      <w:marRight w:val="0"/>
      <w:marTop w:val="0"/>
      <w:marBottom w:val="0"/>
      <w:divBdr>
        <w:top w:val="none" w:sz="0" w:space="0" w:color="auto"/>
        <w:left w:val="none" w:sz="0" w:space="0" w:color="auto"/>
        <w:bottom w:val="none" w:sz="0" w:space="0" w:color="auto"/>
        <w:right w:val="none" w:sz="0" w:space="0" w:color="auto"/>
      </w:divBdr>
    </w:div>
    <w:div w:id="1822427098">
      <w:bodyDiv w:val="1"/>
      <w:marLeft w:val="0"/>
      <w:marRight w:val="0"/>
      <w:marTop w:val="0"/>
      <w:marBottom w:val="0"/>
      <w:divBdr>
        <w:top w:val="none" w:sz="0" w:space="0" w:color="auto"/>
        <w:left w:val="none" w:sz="0" w:space="0" w:color="auto"/>
        <w:bottom w:val="none" w:sz="0" w:space="0" w:color="auto"/>
        <w:right w:val="none" w:sz="0" w:space="0" w:color="auto"/>
      </w:divBdr>
    </w:div>
    <w:div w:id="1908949841">
      <w:bodyDiv w:val="1"/>
      <w:marLeft w:val="0"/>
      <w:marRight w:val="0"/>
      <w:marTop w:val="0"/>
      <w:marBottom w:val="0"/>
      <w:divBdr>
        <w:top w:val="none" w:sz="0" w:space="0" w:color="auto"/>
        <w:left w:val="none" w:sz="0" w:space="0" w:color="auto"/>
        <w:bottom w:val="none" w:sz="0" w:space="0" w:color="auto"/>
        <w:right w:val="none" w:sz="0" w:space="0" w:color="auto"/>
      </w:divBdr>
    </w:div>
    <w:div w:id="1909072108">
      <w:bodyDiv w:val="1"/>
      <w:marLeft w:val="0"/>
      <w:marRight w:val="0"/>
      <w:marTop w:val="0"/>
      <w:marBottom w:val="0"/>
      <w:divBdr>
        <w:top w:val="none" w:sz="0" w:space="0" w:color="auto"/>
        <w:left w:val="none" w:sz="0" w:space="0" w:color="auto"/>
        <w:bottom w:val="none" w:sz="0" w:space="0" w:color="auto"/>
        <w:right w:val="none" w:sz="0" w:space="0" w:color="auto"/>
      </w:divBdr>
    </w:div>
    <w:div w:id="1949894389">
      <w:bodyDiv w:val="1"/>
      <w:marLeft w:val="0"/>
      <w:marRight w:val="0"/>
      <w:marTop w:val="0"/>
      <w:marBottom w:val="0"/>
      <w:divBdr>
        <w:top w:val="none" w:sz="0" w:space="0" w:color="auto"/>
        <w:left w:val="none" w:sz="0" w:space="0" w:color="auto"/>
        <w:bottom w:val="none" w:sz="0" w:space="0" w:color="auto"/>
        <w:right w:val="none" w:sz="0" w:space="0" w:color="auto"/>
      </w:divBdr>
    </w:div>
    <w:div w:id="1965193712">
      <w:bodyDiv w:val="1"/>
      <w:marLeft w:val="0"/>
      <w:marRight w:val="0"/>
      <w:marTop w:val="0"/>
      <w:marBottom w:val="0"/>
      <w:divBdr>
        <w:top w:val="none" w:sz="0" w:space="0" w:color="auto"/>
        <w:left w:val="none" w:sz="0" w:space="0" w:color="auto"/>
        <w:bottom w:val="none" w:sz="0" w:space="0" w:color="auto"/>
        <w:right w:val="none" w:sz="0" w:space="0" w:color="auto"/>
      </w:divBdr>
    </w:div>
    <w:div w:id="1971277545">
      <w:bodyDiv w:val="1"/>
      <w:marLeft w:val="0"/>
      <w:marRight w:val="0"/>
      <w:marTop w:val="0"/>
      <w:marBottom w:val="0"/>
      <w:divBdr>
        <w:top w:val="none" w:sz="0" w:space="0" w:color="auto"/>
        <w:left w:val="none" w:sz="0" w:space="0" w:color="auto"/>
        <w:bottom w:val="none" w:sz="0" w:space="0" w:color="auto"/>
        <w:right w:val="none" w:sz="0" w:space="0" w:color="auto"/>
      </w:divBdr>
      <w:divsChild>
        <w:div w:id="84035264">
          <w:marLeft w:val="0"/>
          <w:marRight w:val="0"/>
          <w:marTop w:val="0"/>
          <w:marBottom w:val="0"/>
          <w:divBdr>
            <w:top w:val="none" w:sz="0" w:space="0" w:color="auto"/>
            <w:left w:val="none" w:sz="0" w:space="0" w:color="auto"/>
            <w:bottom w:val="none" w:sz="0" w:space="0" w:color="auto"/>
            <w:right w:val="none" w:sz="0" w:space="0" w:color="auto"/>
          </w:divBdr>
        </w:div>
        <w:div w:id="560022416">
          <w:marLeft w:val="0"/>
          <w:marRight w:val="0"/>
          <w:marTop w:val="0"/>
          <w:marBottom w:val="0"/>
          <w:divBdr>
            <w:top w:val="none" w:sz="0" w:space="0" w:color="auto"/>
            <w:left w:val="none" w:sz="0" w:space="0" w:color="auto"/>
            <w:bottom w:val="none" w:sz="0" w:space="0" w:color="auto"/>
            <w:right w:val="none" w:sz="0" w:space="0" w:color="auto"/>
          </w:divBdr>
        </w:div>
        <w:div w:id="1087309293">
          <w:marLeft w:val="0"/>
          <w:marRight w:val="0"/>
          <w:marTop w:val="0"/>
          <w:marBottom w:val="0"/>
          <w:divBdr>
            <w:top w:val="none" w:sz="0" w:space="0" w:color="auto"/>
            <w:left w:val="none" w:sz="0" w:space="0" w:color="auto"/>
            <w:bottom w:val="none" w:sz="0" w:space="0" w:color="auto"/>
            <w:right w:val="none" w:sz="0" w:space="0" w:color="auto"/>
          </w:divBdr>
        </w:div>
        <w:div w:id="1263344366">
          <w:marLeft w:val="0"/>
          <w:marRight w:val="0"/>
          <w:marTop w:val="0"/>
          <w:marBottom w:val="0"/>
          <w:divBdr>
            <w:top w:val="none" w:sz="0" w:space="0" w:color="auto"/>
            <w:left w:val="none" w:sz="0" w:space="0" w:color="auto"/>
            <w:bottom w:val="none" w:sz="0" w:space="0" w:color="auto"/>
            <w:right w:val="none" w:sz="0" w:space="0" w:color="auto"/>
          </w:divBdr>
        </w:div>
        <w:div w:id="1355767103">
          <w:marLeft w:val="0"/>
          <w:marRight w:val="0"/>
          <w:marTop w:val="0"/>
          <w:marBottom w:val="0"/>
          <w:divBdr>
            <w:top w:val="none" w:sz="0" w:space="0" w:color="auto"/>
            <w:left w:val="none" w:sz="0" w:space="0" w:color="auto"/>
            <w:bottom w:val="none" w:sz="0" w:space="0" w:color="auto"/>
            <w:right w:val="none" w:sz="0" w:space="0" w:color="auto"/>
          </w:divBdr>
        </w:div>
      </w:divsChild>
    </w:div>
    <w:div w:id="1982923100">
      <w:bodyDiv w:val="1"/>
      <w:marLeft w:val="0"/>
      <w:marRight w:val="0"/>
      <w:marTop w:val="0"/>
      <w:marBottom w:val="0"/>
      <w:divBdr>
        <w:top w:val="none" w:sz="0" w:space="0" w:color="auto"/>
        <w:left w:val="none" w:sz="0" w:space="0" w:color="auto"/>
        <w:bottom w:val="none" w:sz="0" w:space="0" w:color="auto"/>
        <w:right w:val="none" w:sz="0" w:space="0" w:color="auto"/>
      </w:divBdr>
    </w:div>
    <w:div w:id="2001303574">
      <w:bodyDiv w:val="1"/>
      <w:marLeft w:val="0"/>
      <w:marRight w:val="0"/>
      <w:marTop w:val="0"/>
      <w:marBottom w:val="0"/>
      <w:divBdr>
        <w:top w:val="none" w:sz="0" w:space="0" w:color="auto"/>
        <w:left w:val="none" w:sz="0" w:space="0" w:color="auto"/>
        <w:bottom w:val="none" w:sz="0" w:space="0" w:color="auto"/>
        <w:right w:val="none" w:sz="0" w:space="0" w:color="auto"/>
      </w:divBdr>
    </w:div>
    <w:div w:id="2003462803">
      <w:bodyDiv w:val="1"/>
      <w:marLeft w:val="0"/>
      <w:marRight w:val="0"/>
      <w:marTop w:val="0"/>
      <w:marBottom w:val="0"/>
      <w:divBdr>
        <w:top w:val="none" w:sz="0" w:space="0" w:color="auto"/>
        <w:left w:val="none" w:sz="0" w:space="0" w:color="auto"/>
        <w:bottom w:val="none" w:sz="0" w:space="0" w:color="auto"/>
        <w:right w:val="none" w:sz="0" w:space="0" w:color="auto"/>
      </w:divBdr>
    </w:div>
    <w:div w:id="2047365420">
      <w:bodyDiv w:val="1"/>
      <w:marLeft w:val="0"/>
      <w:marRight w:val="0"/>
      <w:marTop w:val="0"/>
      <w:marBottom w:val="0"/>
      <w:divBdr>
        <w:top w:val="none" w:sz="0" w:space="0" w:color="auto"/>
        <w:left w:val="none" w:sz="0" w:space="0" w:color="auto"/>
        <w:bottom w:val="none" w:sz="0" w:space="0" w:color="auto"/>
        <w:right w:val="none" w:sz="0" w:space="0" w:color="auto"/>
      </w:divBdr>
    </w:div>
    <w:div w:id="2063869865">
      <w:bodyDiv w:val="1"/>
      <w:marLeft w:val="0"/>
      <w:marRight w:val="0"/>
      <w:marTop w:val="0"/>
      <w:marBottom w:val="0"/>
      <w:divBdr>
        <w:top w:val="none" w:sz="0" w:space="0" w:color="auto"/>
        <w:left w:val="none" w:sz="0" w:space="0" w:color="auto"/>
        <w:bottom w:val="none" w:sz="0" w:space="0" w:color="auto"/>
        <w:right w:val="none" w:sz="0" w:space="0" w:color="auto"/>
      </w:divBdr>
    </w:div>
    <w:div w:id="2084333681">
      <w:bodyDiv w:val="1"/>
      <w:marLeft w:val="0"/>
      <w:marRight w:val="0"/>
      <w:marTop w:val="0"/>
      <w:marBottom w:val="0"/>
      <w:divBdr>
        <w:top w:val="none" w:sz="0" w:space="0" w:color="auto"/>
        <w:left w:val="none" w:sz="0" w:space="0" w:color="auto"/>
        <w:bottom w:val="none" w:sz="0" w:space="0" w:color="auto"/>
        <w:right w:val="none" w:sz="0" w:space="0" w:color="auto"/>
      </w:divBdr>
    </w:div>
    <w:div w:id="2091996781">
      <w:bodyDiv w:val="1"/>
      <w:marLeft w:val="0"/>
      <w:marRight w:val="0"/>
      <w:marTop w:val="0"/>
      <w:marBottom w:val="0"/>
      <w:divBdr>
        <w:top w:val="none" w:sz="0" w:space="0" w:color="auto"/>
        <w:left w:val="none" w:sz="0" w:space="0" w:color="auto"/>
        <w:bottom w:val="none" w:sz="0" w:space="0" w:color="auto"/>
        <w:right w:val="none" w:sz="0" w:space="0" w:color="auto"/>
      </w:divBdr>
    </w:div>
    <w:div w:id="21453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publications/green-taxation-and-other-economic-instruments-internalising-environmental-costs-make-polluter-pay_en" TargetMode="External"/><Relationship Id="rId13" Type="http://schemas.openxmlformats.org/officeDocument/2006/relationships/hyperlink" Target="https://search.oecd.org/env/GFE-Gender-Issues-Note-Session-6.2.pdf" TargetMode="External"/><Relationship Id="rId3" Type="http://schemas.openxmlformats.org/officeDocument/2006/relationships/hyperlink" Target="https://ec.europa.eu/social/main.jsp?catId=1517&amp;langId=en" TargetMode="External"/><Relationship Id="rId7" Type="http://schemas.openxmlformats.org/officeDocument/2006/relationships/hyperlink" Target="https://ec.europa.eu/environment/publications/green-taxation-and-other-economic-instruments-internalising-environmental-costs-make-polluter-pay_en" TargetMode="External"/><Relationship Id="rId12" Type="http://schemas.openxmlformats.org/officeDocument/2006/relationships/hyperlink" Target="https://eige.europa.eu/publications/gender-and-energy" TargetMode="External"/><Relationship Id="rId2" Type="http://schemas.openxmlformats.org/officeDocument/2006/relationships/hyperlink" Target="https://ec.europa.eu/social/main.jsp?catId=738&amp;langId=pl&amp;pubId=8219" TargetMode="External"/><Relationship Id="rId1" Type="http://schemas.openxmlformats.org/officeDocument/2006/relationships/hyperlink" Target="https://ec.europa.eu/social/main.jsp?catId=738&amp;langId=pl&amp;pubId=8219" TargetMode="External"/><Relationship Id="rId6" Type="http://schemas.openxmlformats.org/officeDocument/2006/relationships/hyperlink" Target="http://ec.europa.eu/jrc/en/peseta-iv" TargetMode="External"/><Relationship Id="rId11" Type="http://schemas.openxmlformats.org/officeDocument/2006/relationships/hyperlink" Target="https://eige.europa.eu/publications/gender-and-energy" TargetMode="External"/><Relationship Id="rId5" Type="http://schemas.openxmlformats.org/officeDocument/2006/relationships/hyperlink" Target="https://ec.europa.eu/jrc/en/peseta-iv/economic-impacts" TargetMode="External"/><Relationship Id="rId15" Type="http://schemas.openxmlformats.org/officeDocument/2006/relationships/hyperlink" Target="http://ec.europa.eu/info/sites/default/files/social-summit-european-pillar-social-rights-booklet_pl.pdf" TargetMode="External"/><Relationship Id="rId10" Type="http://schemas.openxmlformats.org/officeDocument/2006/relationships/hyperlink" Target="https://www.europarl.europa.eu/RegData/etudes/STUD/2017/596816/IPOL_STU(2017)596816_EN.pdf" TargetMode="External"/><Relationship Id="rId4" Type="http://schemas.openxmlformats.org/officeDocument/2006/relationships/hyperlink" Target="https://ec.europa.eu/social/main.jsp?langId=en&amp;catId=1049" TargetMode="External"/><Relationship Id="rId9" Type="http://schemas.openxmlformats.org/officeDocument/2006/relationships/hyperlink" Target="https://www.europarl.europa.eu/RegData/etudes/STUD/2017/607350/IPOL_STU(2017)607350_EN.pdf" TargetMode="External"/><Relationship Id="rId14" Type="http://schemas.openxmlformats.org/officeDocument/2006/relationships/hyperlink" Target="http://ec.europa.eu/info/sites/default/files/social-summit-european-pillar-social-rights-booklet_p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31E2-3154-4E19-AAAF-8125855B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40</Pages>
  <Words>13723</Words>
  <Characters>95104</Characters>
  <Application>Microsoft Office Word</Application>
  <DocSecurity>0</DocSecurity>
  <Lines>1509</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2022-01-17T08:59:00Z</dcterms:created>
  <dcterms:modified xsi:type="dcterms:W3CDTF">2022-01-18T13:01:00Z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SJ-022</vt:lpwstr>
  </property>
  <property fmtid="{D5CDD505-2E9C-101B-9397-08002B2CF9AE}" pid="8" name="DQCStatus">
    <vt:lpwstr>Green (DQC version 03)</vt:lpwstr>
  </property>
</Properties>
</file>