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6B28D" w14:textId="54C98B42" w:rsidR="00411A8C" w:rsidRPr="00427C08" w:rsidRDefault="0003436D" w:rsidP="0003436D">
      <w:pPr>
        <w:pStyle w:val="Pagedecouverture"/>
        <w:rPr>
          <w:noProof/>
          <w:lang w:val="bg-BG"/>
        </w:rPr>
      </w:pPr>
      <w:bookmarkStart w:id="0" w:name="LW_BM_COVERPAGE"/>
      <w:r>
        <w:rPr>
          <w:noProof/>
          <w:lang w:val="bg-BG"/>
        </w:rPr>
        <w:pict w14:anchorId="63FFD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6F4DF69-8BDB-4787-892F-E4E9DF91D9BD" style="width:455.25pt;height:324pt">
            <v:imagedata r:id="rId11" o:title=""/>
          </v:shape>
        </w:pict>
      </w:r>
    </w:p>
    <w:bookmarkEnd w:id="0"/>
    <w:p w14:paraId="36B49D44" w14:textId="77777777" w:rsidR="00411A8C" w:rsidRPr="00427C08" w:rsidRDefault="00411A8C" w:rsidP="00411A8C">
      <w:pPr>
        <w:rPr>
          <w:noProof/>
          <w:lang w:val="bg-BG"/>
        </w:rPr>
        <w:sectPr w:rsidR="00411A8C" w:rsidRPr="00427C08" w:rsidSect="0003436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26EBFFA" w14:textId="77777777" w:rsidR="00427C08" w:rsidRPr="00427C08" w:rsidRDefault="00427C08" w:rsidP="00427C08">
      <w:pPr>
        <w:pStyle w:val="Heading1"/>
        <w:spacing w:before="0" w:after="120" w:line="240" w:lineRule="auto"/>
        <w:jc w:val="both"/>
        <w:rPr>
          <w:rFonts w:ascii="Times New Roman" w:hAnsi="Times New Roman" w:cs="Times New Roman"/>
          <w:b/>
          <w:noProof/>
          <w:sz w:val="24"/>
          <w:szCs w:val="24"/>
          <w:lang w:val="bg-BG"/>
        </w:rPr>
      </w:pPr>
      <w:bookmarkStart w:id="1" w:name="_Toc76598354"/>
      <w:bookmarkStart w:id="2" w:name="_GoBack"/>
      <w:bookmarkEnd w:id="2"/>
      <w:r w:rsidRPr="00427C08">
        <w:rPr>
          <w:rFonts w:ascii="Times New Roman" w:hAnsi="Times New Roman"/>
          <w:b/>
          <w:noProof/>
          <w:sz w:val="24"/>
          <w:szCs w:val="24"/>
          <w:lang w:val="bg-BG"/>
        </w:rPr>
        <w:lastRenderedPageBreak/>
        <w:t>1. Въведение</w:t>
      </w:r>
      <w:bookmarkEnd w:id="1"/>
      <w:r w:rsidRPr="00427C08">
        <w:rPr>
          <w:rFonts w:ascii="Times New Roman" w:hAnsi="Times New Roman"/>
          <w:b/>
          <w:noProof/>
          <w:sz w:val="24"/>
          <w:szCs w:val="24"/>
          <w:lang w:val="bg-BG"/>
        </w:rPr>
        <w:t xml:space="preserve"> </w:t>
      </w:r>
    </w:p>
    <w:p w14:paraId="4DC7CAA9"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Променящият се характер на конфликтите, разпространението на въоръжените групировки и нарастващото насилие причиняват огромна болка и страдание и засягат дълбоко живота на мъже, жени, момчета и момичета по целия свят. Когато мирът отстъпва място на въоръжените конфликти, които водят до дестабилизацията на държави и на цели региони, Европейският съюз (ЕС) често е изправен пред преки или непреки последици и нови предизвикателства пред сигурността. Ето защо сега повече от всякога ЕС трябва да прецизира своята реакция като глобален фактор за мир, който действа по отношение на нестабилността и конфликтите извън своите граници. </w:t>
      </w:r>
    </w:p>
    <w:p w14:paraId="04B6A45E"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В ЕС съществува дългогодишна традиция да се предоставя подкрепа за подобряване на сигурността и насърчаване на човешкото развитие на хора и общности, които търсят изход от конфликтни ситуации. При прехода от конфликт към мир от съществено значение е да се улеснят възможностите за отговорно излизане от конфликтите, политическите процеси и алтернативите за поминъка на всички участници. Оказването на подкрепа за мирните процеси в Колумбия или в провинцията Аче в Индонезия, търсенето на възможности за напускане на зоните на конфликт в Североизточна Нигерия или укрепването на реинтеграцията на ветерани от конфликта в Източна Украйна са примери за начините, по които ЕС може да се адаптира и да подпомогне тези инициативи. </w:t>
      </w:r>
    </w:p>
    <w:p w14:paraId="6DCC5DFF"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Разоръжаването, демобилизацията и реинтеграцията на бивши бойци играят съществена роля за стабилизацията и изграждането на траен мир. С тяхна помощ може да се предотврати по-нататъшното експлоатиране на недоволството и нестабилността, подклаждани от въоръжени групировки, някои от които могат да бъдат определени като терористични организации. Следователно разоръжаването, демобилизацията и реинтеграцията представляват неразделна част от приноса на ЕС за неповтаряне на насилието и за по-широкообхватна стабилизация, тъй като са насочени към преодоляването на рисковете, породени от въоръжените групировки, и способстват за прехода от въоръжена конфронтация към политическа ангажираност и приобщаващо управление. </w:t>
      </w:r>
    </w:p>
    <w:p w14:paraId="543EF426"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При инициативите за разоръжаване, демобилизация и реинтеграция понякога възникват специфични препятствия, включително </w:t>
      </w:r>
      <w:r w:rsidRPr="00427C08">
        <w:rPr>
          <w:rFonts w:ascii="Times New Roman" w:hAnsi="Times New Roman"/>
          <w:i/>
          <w:noProof/>
          <w:sz w:val="24"/>
          <w:szCs w:val="24"/>
          <w:lang w:val="bg-BG"/>
        </w:rPr>
        <w:t>inter alia</w:t>
      </w:r>
      <w:r w:rsidRPr="00427C08">
        <w:rPr>
          <w:rFonts w:ascii="Times New Roman" w:hAnsi="Times New Roman"/>
          <w:noProof/>
          <w:sz w:val="24"/>
          <w:szCs w:val="24"/>
          <w:lang w:val="bg-BG"/>
        </w:rPr>
        <w:t xml:space="preserve">: слаба местна и национална ангажираност; фрагментиран подход към изграждането на мир; свързани с примирия или мирни споразумения разпоредби или очаквания, които са нереалистични или за които няма достатъчна подкрепа; краткосрочни подходи към реинтеграцията; неефективно управление в областта на сигурността и правосъдието. Опитът на ЕС показва необходимостта от ранно ангажиране с дългосрочна перспектива, гъвкавост и способност за бърза реакция, при което се комбинират усилията в областта на дипломацията, развитието, мира, сигурността и отбраната в ситуации с повишен риск. </w:t>
      </w:r>
    </w:p>
    <w:p w14:paraId="0E294108"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За да посрещне предизвикателствата, породени от въоръжените групировки, и да увеличи максимално въздействието от своите действия, ЕС реши да актуализира политиката си за разоръжаване, демобилизация и реинтеграция</w:t>
      </w:r>
      <w:r w:rsidRPr="00427C08">
        <w:rPr>
          <w:rFonts w:ascii="Times New Roman" w:hAnsi="Times New Roman" w:cs="Times New Roman"/>
          <w:noProof/>
          <w:sz w:val="24"/>
          <w:szCs w:val="24"/>
          <w:vertAlign w:val="superscript"/>
          <w:lang w:val="bg-BG"/>
        </w:rPr>
        <w:footnoteReference w:id="2"/>
      </w:r>
      <w:r w:rsidRPr="00427C08">
        <w:rPr>
          <w:rFonts w:ascii="Times New Roman" w:hAnsi="Times New Roman"/>
          <w:noProof/>
          <w:sz w:val="24"/>
          <w:szCs w:val="24"/>
          <w:lang w:val="bg-BG"/>
        </w:rPr>
        <w:t>, като взе предвид Глобалната си стратегия и интегрирания подход на ЕС към външните конфликти и кризи</w:t>
      </w:r>
      <w:r w:rsidRPr="00427C08">
        <w:rPr>
          <w:rFonts w:ascii="Times New Roman" w:hAnsi="Times New Roman" w:cs="Times New Roman"/>
          <w:noProof/>
          <w:sz w:val="24"/>
          <w:szCs w:val="24"/>
          <w:vertAlign w:val="superscript"/>
          <w:lang w:val="bg-BG"/>
        </w:rPr>
        <w:footnoteReference w:id="3"/>
      </w:r>
      <w:r w:rsidRPr="00427C08">
        <w:rPr>
          <w:rFonts w:ascii="Times New Roman" w:hAnsi="Times New Roman"/>
          <w:noProof/>
          <w:sz w:val="24"/>
          <w:szCs w:val="24"/>
          <w:lang w:val="bg-BG"/>
        </w:rPr>
        <w:t xml:space="preserve"> (наричан по-нататък: „интегрираният подход“). Актуализираната политика на ЕС за разоръжаване, демобилизация и реинтеграция ще бъде в съответствие с амбицията за „по-силна Европа на световната сцена“, като се основава на ангажимента на Съюза към програмата на ООН за поддържане на мира</w:t>
      </w:r>
      <w:r w:rsidRPr="00427C08">
        <w:rPr>
          <w:rStyle w:val="FootnoteReference"/>
          <w:rFonts w:ascii="Times New Roman" w:hAnsi="Times New Roman" w:cs="Times New Roman"/>
          <w:noProof/>
          <w:sz w:val="24"/>
          <w:szCs w:val="24"/>
          <w:lang w:val="bg-BG"/>
        </w:rPr>
        <w:footnoteReference w:id="4"/>
      </w:r>
      <w:r w:rsidRPr="00427C08">
        <w:rPr>
          <w:rFonts w:ascii="Times New Roman" w:hAnsi="Times New Roman"/>
          <w:noProof/>
          <w:sz w:val="24"/>
          <w:szCs w:val="24"/>
          <w:lang w:val="bg-BG"/>
        </w:rPr>
        <w:t>, която е съсредоточена върху предотвратяването на конфликтите и проактивните пътища към мир и развитие. По този начин ЕС допринася за предотвратяването на външни ефекти от съседни и околни региони, които биха могли да засегнат вътрешната сигурност на Съюза</w:t>
      </w:r>
      <w:r w:rsidRPr="00427C08">
        <w:rPr>
          <w:rStyle w:val="FootnoteReference"/>
          <w:rFonts w:ascii="Times New Roman" w:hAnsi="Times New Roman" w:cs="Times New Roman"/>
          <w:noProof/>
          <w:sz w:val="24"/>
          <w:szCs w:val="24"/>
          <w:lang w:val="bg-BG"/>
        </w:rPr>
        <w:footnoteReference w:id="5"/>
      </w:r>
      <w:r w:rsidRPr="00427C08">
        <w:rPr>
          <w:rFonts w:ascii="Times New Roman" w:hAnsi="Times New Roman"/>
          <w:noProof/>
          <w:sz w:val="24"/>
          <w:szCs w:val="24"/>
          <w:lang w:val="bg-BG"/>
        </w:rPr>
        <w:t xml:space="preserve">. </w:t>
      </w:r>
    </w:p>
    <w:p w14:paraId="5FB0809C" w14:textId="77777777" w:rsidR="00427C08" w:rsidRPr="00427C08" w:rsidRDefault="00427C08" w:rsidP="00427C08">
      <w:pPr>
        <w:keepNext/>
        <w:keepLines/>
        <w:spacing w:after="120" w:line="240" w:lineRule="auto"/>
        <w:jc w:val="both"/>
        <w:rPr>
          <w:rFonts w:ascii="Times New Roman" w:hAnsi="Times New Roman" w:cs="Times New Roman"/>
          <w:b/>
          <w:i/>
          <w:noProof/>
          <w:sz w:val="24"/>
          <w:szCs w:val="24"/>
          <w:lang w:val="bg-BG"/>
        </w:rPr>
      </w:pPr>
      <w:r w:rsidRPr="00427C08">
        <w:rPr>
          <w:rFonts w:ascii="Times New Roman" w:hAnsi="Times New Roman"/>
          <w:b/>
          <w:i/>
          <w:noProof/>
          <w:color w:val="2E74B5" w:themeColor="accent1" w:themeShade="BF"/>
          <w:sz w:val="24"/>
          <w:szCs w:val="24"/>
          <w:lang w:val="bg-BG"/>
        </w:rPr>
        <w:t>Определение и цел</w:t>
      </w:r>
    </w:p>
    <w:p w14:paraId="1142BD10"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Под разоръжаване, демобилизация и реинтеграция се разбира доброволното участие на мъже и жени членове и сътрудници на въоръжени сили и групировки в процеси, при които оставят оръжията, напускат структурите за командване и контрол и преминават към цивилен живот. Основната цел на тези процеси е устойчивата (ре)интеграция. Като резултат възникват множество съображения, свързани със сигурността и социалните и психологическите нужди, както и бъдещите социално-икономически, образователни, здравни, правни и политически перспективи, не само за бившите бойци и техните сътрудници, но и за семействата и общностите, в които те се интегрират (отново). Всъщност </w:t>
      </w:r>
      <w:r w:rsidRPr="00427C08">
        <w:rPr>
          <w:rFonts w:ascii="Times New Roman" w:hAnsi="Times New Roman"/>
          <w:b/>
          <w:noProof/>
          <w:sz w:val="24"/>
          <w:szCs w:val="24"/>
          <w:lang w:val="bg-BG"/>
        </w:rPr>
        <w:t>разоръжаването, демобилизацията и реинтеграцията представляват пресечна точка на усилията в областта на хуманитарните действия, развитието и мира</w:t>
      </w:r>
      <w:r w:rsidRPr="00427C08">
        <w:rPr>
          <w:rStyle w:val="FootnoteReference"/>
          <w:rFonts w:ascii="Times New Roman" w:hAnsi="Times New Roman" w:cs="Times New Roman"/>
          <w:noProof/>
          <w:sz w:val="24"/>
          <w:szCs w:val="24"/>
          <w:lang w:val="bg-BG"/>
        </w:rPr>
        <w:footnoteReference w:id="6"/>
      </w:r>
      <w:r w:rsidRPr="00427C08">
        <w:rPr>
          <w:rFonts w:ascii="Times New Roman" w:hAnsi="Times New Roman"/>
          <w:noProof/>
          <w:sz w:val="24"/>
          <w:szCs w:val="24"/>
          <w:lang w:val="bg-BG"/>
        </w:rPr>
        <w:t xml:space="preserve">. </w:t>
      </w:r>
    </w:p>
    <w:p w14:paraId="485BC0DD"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С настоящото съвместно съобщение </w:t>
      </w:r>
      <w:r w:rsidRPr="00427C08">
        <w:rPr>
          <w:rFonts w:ascii="Times New Roman" w:hAnsi="Times New Roman"/>
          <w:b/>
          <w:noProof/>
          <w:sz w:val="24"/>
          <w:szCs w:val="24"/>
          <w:lang w:val="bg-BG"/>
        </w:rPr>
        <w:t>се определя всеобхватна политика на равнище ЕС</w:t>
      </w:r>
      <w:r w:rsidRPr="00427C08">
        <w:rPr>
          <w:rFonts w:ascii="Times New Roman" w:hAnsi="Times New Roman"/>
          <w:noProof/>
          <w:sz w:val="24"/>
          <w:szCs w:val="24"/>
          <w:lang w:val="bg-BG"/>
        </w:rPr>
        <w:t xml:space="preserve"> за </w:t>
      </w:r>
      <w:r w:rsidRPr="00427C08">
        <w:rPr>
          <w:rFonts w:ascii="Times New Roman" w:hAnsi="Times New Roman"/>
          <w:b/>
          <w:noProof/>
          <w:sz w:val="24"/>
          <w:szCs w:val="24"/>
          <w:lang w:val="bg-BG"/>
        </w:rPr>
        <w:t>оценка и участие</w:t>
      </w:r>
      <w:r w:rsidRPr="00427C08">
        <w:rPr>
          <w:rFonts w:ascii="Times New Roman" w:hAnsi="Times New Roman"/>
          <w:noProof/>
          <w:sz w:val="24"/>
          <w:szCs w:val="24"/>
          <w:lang w:val="bg-BG"/>
        </w:rPr>
        <w:t xml:space="preserve"> в процесите на разоръжаване, демобилизация и реинтеграция и се предлагат начини за </w:t>
      </w:r>
      <w:r w:rsidRPr="00427C08">
        <w:rPr>
          <w:rFonts w:ascii="Times New Roman" w:hAnsi="Times New Roman"/>
          <w:b/>
          <w:noProof/>
          <w:sz w:val="24"/>
          <w:szCs w:val="24"/>
          <w:lang w:val="bg-BG"/>
        </w:rPr>
        <w:t>оформяне и предоставяне на подкрепа</w:t>
      </w:r>
      <w:r w:rsidRPr="00427C08">
        <w:rPr>
          <w:rFonts w:ascii="Times New Roman" w:hAnsi="Times New Roman"/>
          <w:noProof/>
          <w:sz w:val="24"/>
          <w:szCs w:val="24"/>
          <w:lang w:val="bg-BG"/>
        </w:rPr>
        <w:t>, пряко и в сътрудничество с партньори, включително ООН</w:t>
      </w:r>
      <w:r w:rsidRPr="00427C08">
        <w:rPr>
          <w:rStyle w:val="FootnoteReference"/>
          <w:rFonts w:ascii="Times New Roman" w:hAnsi="Times New Roman" w:cs="Times New Roman"/>
          <w:noProof/>
          <w:sz w:val="24"/>
          <w:szCs w:val="24"/>
          <w:lang w:val="bg-BG"/>
        </w:rPr>
        <w:footnoteReference w:id="7"/>
      </w:r>
      <w:r w:rsidRPr="00427C08">
        <w:rPr>
          <w:rFonts w:ascii="Times New Roman" w:hAnsi="Times New Roman"/>
          <w:noProof/>
          <w:sz w:val="24"/>
          <w:szCs w:val="24"/>
          <w:lang w:val="bg-BG"/>
        </w:rPr>
        <w:t xml:space="preserve">, Световната банка, регионални организации и трети държави, за тези процеси в засегнатите страни и региони по </w:t>
      </w:r>
      <w:r w:rsidRPr="00427C08">
        <w:rPr>
          <w:rFonts w:ascii="Times New Roman" w:hAnsi="Times New Roman"/>
          <w:b/>
          <w:noProof/>
          <w:sz w:val="24"/>
          <w:szCs w:val="24"/>
          <w:lang w:val="bg-BG"/>
        </w:rPr>
        <w:t>координиран</w:t>
      </w:r>
      <w:r w:rsidRPr="00427C08">
        <w:rPr>
          <w:rFonts w:ascii="Times New Roman" w:hAnsi="Times New Roman"/>
          <w:noProof/>
          <w:sz w:val="24"/>
          <w:szCs w:val="24"/>
          <w:lang w:val="bg-BG"/>
        </w:rPr>
        <w:t xml:space="preserve"> и </w:t>
      </w:r>
      <w:r w:rsidRPr="00427C08">
        <w:rPr>
          <w:rFonts w:ascii="Times New Roman" w:hAnsi="Times New Roman"/>
          <w:b/>
          <w:noProof/>
          <w:sz w:val="24"/>
          <w:szCs w:val="24"/>
          <w:lang w:val="bg-BG"/>
        </w:rPr>
        <w:t>чувствителен към конфликтите</w:t>
      </w:r>
      <w:r w:rsidRPr="00427C08">
        <w:rPr>
          <w:rFonts w:ascii="Times New Roman" w:hAnsi="Times New Roman"/>
          <w:noProof/>
          <w:sz w:val="24"/>
          <w:szCs w:val="24"/>
          <w:lang w:val="bg-BG"/>
        </w:rPr>
        <w:t xml:space="preserve"> начин</w:t>
      </w:r>
      <w:r w:rsidRPr="00427C08">
        <w:rPr>
          <w:rStyle w:val="FootnoteReference"/>
          <w:rFonts w:ascii="Times New Roman" w:hAnsi="Times New Roman" w:cs="Times New Roman"/>
          <w:noProof/>
          <w:sz w:val="24"/>
          <w:szCs w:val="24"/>
          <w:lang w:val="bg-BG"/>
        </w:rPr>
        <w:footnoteReference w:id="8"/>
      </w:r>
      <w:r w:rsidRPr="00427C08">
        <w:rPr>
          <w:rFonts w:ascii="Times New Roman" w:hAnsi="Times New Roman"/>
          <w:noProof/>
          <w:sz w:val="24"/>
          <w:szCs w:val="24"/>
          <w:lang w:val="bg-BG"/>
        </w:rPr>
        <w:t xml:space="preserve"> и </w:t>
      </w:r>
      <w:r w:rsidRPr="00427C08">
        <w:rPr>
          <w:rFonts w:ascii="Times New Roman" w:hAnsi="Times New Roman"/>
          <w:b/>
          <w:noProof/>
          <w:sz w:val="24"/>
          <w:szCs w:val="24"/>
          <w:lang w:val="bg-BG"/>
        </w:rPr>
        <w:t>в съответствие с международното право</w:t>
      </w:r>
      <w:r w:rsidRPr="00427C08">
        <w:rPr>
          <w:rFonts w:ascii="Times New Roman" w:hAnsi="Times New Roman"/>
          <w:noProof/>
          <w:sz w:val="24"/>
          <w:szCs w:val="24"/>
          <w:lang w:val="bg-BG"/>
        </w:rPr>
        <w:t>.</w:t>
      </w:r>
      <w:r w:rsidRPr="00427C08">
        <w:rPr>
          <w:rFonts w:ascii="Times New Roman" w:hAnsi="Times New Roman"/>
          <w:b/>
          <w:noProof/>
          <w:sz w:val="24"/>
          <w:szCs w:val="24"/>
          <w:lang w:val="bg-BG"/>
        </w:rPr>
        <w:t xml:space="preserve"> </w:t>
      </w:r>
    </w:p>
    <w:p w14:paraId="0302C504"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Поради това с настоящото съобщение:</w:t>
      </w:r>
    </w:p>
    <w:p w14:paraId="1C4CDF0E" w14:textId="61818DBE" w:rsidR="00427C08" w:rsidRPr="00427C08" w:rsidRDefault="00427C08" w:rsidP="00427C08">
      <w:pPr>
        <w:pStyle w:val="ListParagraph"/>
        <w:numPr>
          <w:ilvl w:val="0"/>
          <w:numId w:val="10"/>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се представя </w:t>
      </w:r>
      <w:r w:rsidRPr="00427C08">
        <w:rPr>
          <w:rFonts w:ascii="Times New Roman" w:hAnsi="Times New Roman"/>
          <w:b/>
          <w:noProof/>
          <w:color w:val="000000"/>
          <w:sz w:val="24"/>
          <w:szCs w:val="24"/>
          <w:lang w:val="bg-BG"/>
        </w:rPr>
        <w:t>подходът на ЕС към разоръжаването, демобилизацията и реинтеграцията</w:t>
      </w:r>
      <w:r w:rsidRPr="00427C08">
        <w:rPr>
          <w:rFonts w:ascii="Times New Roman" w:hAnsi="Times New Roman"/>
          <w:bCs/>
          <w:noProof/>
          <w:color w:val="000000"/>
          <w:sz w:val="24"/>
          <w:szCs w:val="24"/>
          <w:lang w:val="bg-BG"/>
        </w:rPr>
        <w:t>, като се обръща специално внимание на</w:t>
      </w:r>
      <w:r w:rsidR="00B70B10">
        <w:rPr>
          <w:rFonts w:ascii="Times New Roman" w:hAnsi="Times New Roman"/>
          <w:bCs/>
          <w:noProof/>
          <w:color w:val="000000"/>
          <w:sz w:val="24"/>
          <w:szCs w:val="24"/>
          <w:lang w:val="bg-BG"/>
        </w:rPr>
        <w:t xml:space="preserve"> </w:t>
      </w:r>
      <w:r w:rsidRPr="00427C08">
        <w:rPr>
          <w:rFonts w:ascii="Times New Roman" w:hAnsi="Times New Roman"/>
          <w:b/>
          <w:bCs/>
          <w:noProof/>
          <w:color w:val="000000"/>
          <w:sz w:val="24"/>
          <w:szCs w:val="24"/>
          <w:lang w:val="bg-BG"/>
        </w:rPr>
        <w:t>различните начини</w:t>
      </w:r>
      <w:r w:rsidRPr="00427C08">
        <w:rPr>
          <w:rFonts w:ascii="Times New Roman" w:hAnsi="Times New Roman"/>
          <w:bCs/>
          <w:noProof/>
          <w:color w:val="000000"/>
          <w:sz w:val="24"/>
          <w:szCs w:val="24"/>
          <w:lang w:val="bg-BG"/>
        </w:rPr>
        <w:t>, по които ЕС и държавите членки могат да допринесат за тях</w:t>
      </w:r>
      <w:r w:rsidRPr="00427C08">
        <w:rPr>
          <w:rFonts w:ascii="Times New Roman" w:hAnsi="Times New Roman"/>
          <w:noProof/>
          <w:color w:val="000000"/>
          <w:sz w:val="24"/>
          <w:szCs w:val="24"/>
          <w:lang w:val="bg-BG"/>
        </w:rPr>
        <w:t>;</w:t>
      </w:r>
    </w:p>
    <w:p w14:paraId="4C15E332" w14:textId="77777777" w:rsidR="00427C08" w:rsidRPr="00427C08" w:rsidRDefault="00427C08" w:rsidP="00427C08">
      <w:pPr>
        <w:pStyle w:val="ListParagraph"/>
        <w:numPr>
          <w:ilvl w:val="0"/>
          <w:numId w:val="10"/>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се укрепват </w:t>
      </w:r>
      <w:r w:rsidRPr="00427C08">
        <w:rPr>
          <w:rFonts w:ascii="Times New Roman" w:hAnsi="Times New Roman"/>
          <w:b/>
          <w:bCs/>
          <w:noProof/>
          <w:color w:val="000000"/>
          <w:sz w:val="24"/>
          <w:szCs w:val="24"/>
          <w:lang w:val="bg-BG"/>
        </w:rPr>
        <w:t xml:space="preserve">връзките </w:t>
      </w:r>
      <w:r w:rsidRPr="00427C08">
        <w:rPr>
          <w:rFonts w:ascii="Times New Roman" w:hAnsi="Times New Roman"/>
          <w:bCs/>
          <w:noProof/>
          <w:color w:val="000000"/>
          <w:sz w:val="24"/>
          <w:szCs w:val="24"/>
          <w:lang w:val="bg-BG"/>
        </w:rPr>
        <w:t>с</w:t>
      </w:r>
      <w:r w:rsidRPr="00427C08">
        <w:rPr>
          <w:rFonts w:ascii="Times New Roman" w:hAnsi="Times New Roman"/>
          <w:b/>
          <w:bCs/>
          <w:noProof/>
          <w:color w:val="000000"/>
          <w:sz w:val="24"/>
          <w:szCs w:val="24"/>
          <w:lang w:val="bg-BG"/>
        </w:rPr>
        <w:t xml:space="preserve"> </w:t>
      </w:r>
      <w:r w:rsidRPr="00427C08">
        <w:rPr>
          <w:rFonts w:ascii="Times New Roman" w:hAnsi="Times New Roman"/>
          <w:bCs/>
          <w:noProof/>
          <w:color w:val="000000"/>
          <w:sz w:val="24"/>
          <w:szCs w:val="24"/>
          <w:lang w:val="bg-BG"/>
        </w:rPr>
        <w:t xml:space="preserve">други </w:t>
      </w:r>
      <w:r w:rsidRPr="00427C08">
        <w:rPr>
          <w:rFonts w:ascii="Times New Roman" w:hAnsi="Times New Roman"/>
          <w:b/>
          <w:bCs/>
          <w:noProof/>
          <w:color w:val="000000"/>
          <w:sz w:val="24"/>
          <w:szCs w:val="24"/>
          <w:lang w:val="bg-BG"/>
        </w:rPr>
        <w:t xml:space="preserve">ключови </w:t>
      </w:r>
      <w:r w:rsidRPr="00427C08">
        <w:rPr>
          <w:rFonts w:ascii="Times New Roman" w:hAnsi="Times New Roman"/>
          <w:b/>
          <w:noProof/>
          <w:sz w:val="24"/>
          <w:szCs w:val="24"/>
          <w:lang w:val="bg-BG"/>
        </w:rPr>
        <w:t xml:space="preserve">политики и инструменти, </w:t>
      </w:r>
      <w:r w:rsidRPr="00427C08">
        <w:rPr>
          <w:rFonts w:ascii="Times New Roman" w:hAnsi="Times New Roman"/>
          <w:noProof/>
          <w:sz w:val="24"/>
          <w:szCs w:val="24"/>
          <w:lang w:val="bg-BG"/>
        </w:rPr>
        <w:t>използвани през целия цикъл на конфликтите;</w:t>
      </w:r>
    </w:p>
    <w:p w14:paraId="7EB9CE1A" w14:textId="77777777" w:rsidR="00427C08" w:rsidRPr="00427C08" w:rsidRDefault="00427C08" w:rsidP="00427C08">
      <w:pPr>
        <w:pStyle w:val="ListParagraph"/>
        <w:numPr>
          <w:ilvl w:val="0"/>
          <w:numId w:val="10"/>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се очертават </w:t>
      </w:r>
      <w:r w:rsidRPr="00427C08">
        <w:rPr>
          <w:rFonts w:ascii="Times New Roman" w:hAnsi="Times New Roman"/>
          <w:b/>
          <w:noProof/>
          <w:sz w:val="24"/>
          <w:szCs w:val="24"/>
          <w:lang w:val="bg-BG"/>
        </w:rPr>
        <w:t xml:space="preserve">водещите </w:t>
      </w:r>
      <w:r w:rsidRPr="00427C08">
        <w:rPr>
          <w:rFonts w:ascii="Times New Roman" w:hAnsi="Times New Roman"/>
          <w:b/>
          <w:noProof/>
          <w:color w:val="000000"/>
          <w:sz w:val="24"/>
          <w:szCs w:val="24"/>
          <w:lang w:val="bg-BG"/>
        </w:rPr>
        <w:t xml:space="preserve">принципи </w:t>
      </w:r>
      <w:r w:rsidRPr="00427C08">
        <w:rPr>
          <w:rFonts w:ascii="Times New Roman" w:hAnsi="Times New Roman"/>
          <w:noProof/>
          <w:color w:val="000000"/>
          <w:sz w:val="24"/>
          <w:szCs w:val="24"/>
          <w:lang w:val="bg-BG"/>
        </w:rPr>
        <w:t xml:space="preserve">за участниците от ЕС; </w:t>
      </w:r>
    </w:p>
    <w:p w14:paraId="3924AC96" w14:textId="77777777" w:rsidR="00427C08" w:rsidRPr="00427C08" w:rsidRDefault="00427C08" w:rsidP="00427C08">
      <w:pPr>
        <w:pStyle w:val="ListParagraph"/>
        <w:numPr>
          <w:ilvl w:val="0"/>
          <w:numId w:val="10"/>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color w:val="000000"/>
          <w:sz w:val="24"/>
          <w:szCs w:val="24"/>
          <w:lang w:val="bg-BG"/>
        </w:rPr>
        <w:t xml:space="preserve">се предлагат специални </w:t>
      </w:r>
      <w:r w:rsidRPr="00427C08">
        <w:rPr>
          <w:rFonts w:ascii="Times New Roman" w:hAnsi="Times New Roman"/>
          <w:b/>
          <w:noProof/>
          <w:color w:val="000000"/>
          <w:sz w:val="24"/>
          <w:szCs w:val="24"/>
          <w:lang w:val="bg-BG"/>
        </w:rPr>
        <w:t>инструменти и действия.</w:t>
      </w:r>
      <w:r w:rsidRPr="00427C08">
        <w:rPr>
          <w:rFonts w:ascii="Times New Roman" w:hAnsi="Times New Roman"/>
          <w:noProof/>
          <w:color w:val="000000"/>
          <w:sz w:val="24"/>
          <w:szCs w:val="24"/>
          <w:lang w:val="bg-BG"/>
        </w:rPr>
        <w:t xml:space="preserve"> </w:t>
      </w:r>
    </w:p>
    <w:p w14:paraId="4EFDDB1F"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p>
    <w:p w14:paraId="7BCC0BED" w14:textId="77777777" w:rsidR="00427C08" w:rsidRPr="00427C08" w:rsidRDefault="00427C08" w:rsidP="00427C08">
      <w:pPr>
        <w:pStyle w:val="Heading1"/>
        <w:spacing w:before="0" w:after="120" w:line="240" w:lineRule="auto"/>
        <w:jc w:val="both"/>
        <w:rPr>
          <w:rFonts w:ascii="Times New Roman" w:hAnsi="Times New Roman" w:cs="Times New Roman"/>
          <w:b/>
          <w:noProof/>
          <w:sz w:val="24"/>
          <w:szCs w:val="24"/>
          <w:lang w:val="bg-BG"/>
        </w:rPr>
      </w:pPr>
      <w:bookmarkStart w:id="3" w:name="_Toc76598355"/>
      <w:r w:rsidRPr="00427C08">
        <w:rPr>
          <w:rFonts w:ascii="Times New Roman" w:hAnsi="Times New Roman"/>
          <w:b/>
          <w:noProof/>
          <w:sz w:val="24"/>
          <w:szCs w:val="24"/>
          <w:lang w:val="bg-BG"/>
        </w:rPr>
        <w:t>2. Адаптиране на подхода на ЕС спрямо разоръжаването, демобилизацията и реинтеграцията към променящия се контекст</w:t>
      </w:r>
      <w:bookmarkEnd w:id="3"/>
    </w:p>
    <w:p w14:paraId="5DF270DE"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В съвременните конфликти се наблюдават все по-фрагментирани въоръжени групировки с гъвкави командни структури, транснационални измерения и връзки с организирани престъпни и терористични групи. Динамиката, която води до радикализация, се основава на социални, етнически, културни, икономически, политически и религиозни проблеми и такива, свързани със сигурността, които са подсилени от слабите върховенство на закона, държавни структури и публична администрация, неравноправния достъп до земята и природните ресурси, изменението на климата и нестабилността на околната среда. </w:t>
      </w:r>
    </w:p>
    <w:p w14:paraId="38E0D289"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В този контекст процесите на разоръжаване, демобилизация и реинтеграция често не са съпроводени от традиционно необходимите рамки — трайни примирия и надеждни мирни споразумения. Освен това е възможно да бъдат подкопани други ключови условия за  разоръжаването, демобилизацията и реинтеграцията — взаимното доверие в мирния процес на страните в конфликта, тяхното желание да се ангажират и  минималните нива на сигурност. Поради това е възможно лицата и групите, които излизат от въоръжен конфликт, да се нуждаят от помощ и подкрепа, както при наличието на мирно споразумение, така и когато конфликтът все още продължава.</w:t>
      </w:r>
    </w:p>
    <w:p w14:paraId="23F99C1A" w14:textId="77777777" w:rsidR="00427C08" w:rsidRPr="00427C08" w:rsidRDefault="00427C08" w:rsidP="00427C08">
      <w:pPr>
        <w:pStyle w:val="Heading2"/>
        <w:spacing w:before="0" w:after="120" w:line="240" w:lineRule="auto"/>
        <w:jc w:val="both"/>
        <w:rPr>
          <w:rFonts w:ascii="Times New Roman" w:hAnsi="Times New Roman" w:cs="Times New Roman"/>
          <w:b/>
          <w:noProof/>
          <w:sz w:val="24"/>
          <w:szCs w:val="24"/>
          <w:lang w:val="bg-BG"/>
        </w:rPr>
      </w:pPr>
      <w:r w:rsidRPr="00427C08">
        <w:rPr>
          <w:rFonts w:ascii="Times New Roman" w:hAnsi="Times New Roman"/>
          <w:b/>
          <w:noProof/>
          <w:sz w:val="24"/>
          <w:szCs w:val="24"/>
          <w:lang w:val="bg-BG"/>
        </w:rPr>
        <w:t>Участие в процесите на разоръжаване, демобилизация и реинтеграция</w:t>
      </w:r>
    </w:p>
    <w:p w14:paraId="39E64C1D"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За да се управляват очакванията и да се засили доверието в мирния процес, участието на мъжете, жените, момчетата и момичетата в даден процес на разоръжаване, демобилизация и реинтеграция следва да се основава на специфични за конкретния контекст, ясни и стабилни </w:t>
      </w:r>
      <w:r w:rsidRPr="00427C08">
        <w:rPr>
          <w:rFonts w:ascii="Times New Roman" w:hAnsi="Times New Roman"/>
          <w:b/>
          <w:noProof/>
          <w:sz w:val="24"/>
          <w:szCs w:val="24"/>
          <w:lang w:val="bg-BG"/>
        </w:rPr>
        <w:t>критерии за допустимост</w:t>
      </w:r>
      <w:r w:rsidRPr="00427C08">
        <w:rPr>
          <w:rFonts w:ascii="Times New Roman" w:hAnsi="Times New Roman"/>
          <w:noProof/>
          <w:sz w:val="24"/>
          <w:szCs w:val="24"/>
          <w:lang w:val="bg-BG"/>
        </w:rPr>
        <w:t xml:space="preserve">, съобразени с възрастта, пола и разнообразието. Въпреки че е възможно ролите да се припокриват, групите, попадащи в обхвата на разоръжаването, демобилизацията и реинтеграцията, включват: </w:t>
      </w:r>
    </w:p>
    <w:p w14:paraId="5302D6FD" w14:textId="77777777" w:rsidR="00427C08" w:rsidRPr="00427C08" w:rsidRDefault="00427C08" w:rsidP="00427C08">
      <w:pPr>
        <w:pStyle w:val="ListParagraph"/>
        <w:numPr>
          <w:ilvl w:val="0"/>
          <w:numId w:val="4"/>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бойци членове на въоръжени сили и/или въоръжени групировки и лица, изпълняващи помощни функции, често наричани сътрудници;</w:t>
      </w:r>
    </w:p>
    <w:p w14:paraId="2EFE9BAD" w14:textId="77777777" w:rsidR="00427C08" w:rsidRPr="00427C08" w:rsidRDefault="00427C08" w:rsidP="00427C08">
      <w:pPr>
        <w:pStyle w:val="ListParagraph"/>
        <w:numPr>
          <w:ilvl w:val="0"/>
          <w:numId w:val="4"/>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завърнали се граждански лица и самодемобилизирани лица;</w:t>
      </w:r>
    </w:p>
    <w:p w14:paraId="78A707AC" w14:textId="77777777" w:rsidR="00427C08" w:rsidRPr="00427C08" w:rsidRDefault="00427C08" w:rsidP="00427C08">
      <w:pPr>
        <w:pStyle w:val="ListParagraph"/>
        <w:numPr>
          <w:ilvl w:val="0"/>
          <w:numId w:val="4"/>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семейства и други зависими лица, свързани с членове на въоръжени групировки;</w:t>
      </w:r>
    </w:p>
    <w:p w14:paraId="3ADE4ACB" w14:textId="77777777" w:rsidR="00427C08" w:rsidRPr="00427C08" w:rsidRDefault="00427C08" w:rsidP="00427C08">
      <w:pPr>
        <w:pStyle w:val="ListParagraph"/>
        <w:numPr>
          <w:ilvl w:val="0"/>
          <w:numId w:val="4"/>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отвлечени лица, деца, оцелели и други жертви;</w:t>
      </w:r>
    </w:p>
    <w:p w14:paraId="7CE82A94" w14:textId="77777777" w:rsidR="00427C08" w:rsidRPr="00427C08" w:rsidRDefault="00427C08" w:rsidP="00427C08">
      <w:pPr>
        <w:pStyle w:val="ListParagraph"/>
        <w:numPr>
          <w:ilvl w:val="0"/>
          <w:numId w:val="4"/>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общности, в които се интегрират (отново) бивши бойци и техните сътрудници.</w:t>
      </w:r>
    </w:p>
    <w:p w14:paraId="71B671FD"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Международното право в областта на правата на човека, международното хуманитарно право (МХП) и </w:t>
      </w:r>
      <w:r w:rsidRPr="00427C08">
        <w:rPr>
          <w:rFonts w:ascii="Times New Roman" w:hAnsi="Times New Roman"/>
          <w:iCs/>
          <w:noProof/>
          <w:sz w:val="24"/>
          <w:szCs w:val="24"/>
          <w:lang w:val="bg-BG"/>
        </w:rPr>
        <w:t xml:space="preserve">международното наказателно право </w:t>
      </w:r>
      <w:r w:rsidRPr="00427C08">
        <w:rPr>
          <w:rFonts w:ascii="Times New Roman" w:hAnsi="Times New Roman"/>
          <w:noProof/>
          <w:sz w:val="24"/>
          <w:szCs w:val="24"/>
          <w:lang w:val="bg-BG"/>
        </w:rPr>
        <w:t>налагат ограничения относно допустимостта за участие в процесите на разоръжаване, демобилизация и реинтеграция на извършители на военни престъпления, геноцид, престъпления против човечеството и тежки нарушения на правата на човека. Така лице, за което първоначално се е смятало, че отговаря на условията за участие в процес на разоръжаване, демобилизация и реинтеграция, може да бъде изключено от процеса и да бъде обект на наказателно преследване при наличието на резултати от разследване. Освен това групи, определени от Съвета за сигурност на ООН или ЕС като терористични организации</w:t>
      </w:r>
      <w:r w:rsidRPr="00427C08">
        <w:rPr>
          <w:rStyle w:val="FootnoteReference"/>
          <w:rFonts w:ascii="Times New Roman" w:hAnsi="Times New Roman" w:cs="Times New Roman"/>
          <w:noProof/>
          <w:sz w:val="24"/>
          <w:szCs w:val="24"/>
          <w:lang w:val="bg-BG"/>
        </w:rPr>
        <w:footnoteReference w:id="9"/>
      </w:r>
      <w:r w:rsidRPr="00427C08">
        <w:rPr>
          <w:rFonts w:ascii="Times New Roman" w:hAnsi="Times New Roman"/>
          <w:noProof/>
          <w:sz w:val="24"/>
          <w:szCs w:val="24"/>
          <w:lang w:val="bg-BG"/>
        </w:rPr>
        <w:t xml:space="preserve">, или завръщащи се чуждестранни бойци терористи и техните семейства остават извън обхвата на процесите на разоръжаване, демобилизация и реинтеграция. </w:t>
      </w:r>
    </w:p>
    <w:p w14:paraId="7F3FEB6C"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Съгласно международното право в областта на правата на човека и международното хуманитарно право при всички положения следва да се планира и да се дава предимство на безусловната и незабавна закрила, освобождаване и (ре)интеграция на децата, свързани с въоръжени сили и групировки</w:t>
      </w:r>
      <w:r w:rsidRPr="00427C08">
        <w:rPr>
          <w:rStyle w:val="FootnoteReference"/>
          <w:rFonts w:ascii="Times New Roman" w:hAnsi="Times New Roman" w:cs="Times New Roman"/>
          <w:noProof/>
          <w:sz w:val="24"/>
          <w:szCs w:val="24"/>
          <w:lang w:val="bg-BG"/>
        </w:rPr>
        <w:footnoteReference w:id="10"/>
      </w:r>
      <w:r w:rsidRPr="00427C08">
        <w:rPr>
          <w:rFonts w:ascii="Times New Roman" w:hAnsi="Times New Roman"/>
          <w:noProof/>
          <w:sz w:val="24"/>
          <w:szCs w:val="24"/>
          <w:lang w:val="bg-BG"/>
        </w:rPr>
        <w:t xml:space="preserve">, в рамките на семейството и общността им, </w:t>
      </w:r>
      <w:r w:rsidRPr="00427C08">
        <w:rPr>
          <w:rFonts w:ascii="Times New Roman" w:hAnsi="Times New Roman"/>
          <w:iCs/>
          <w:noProof/>
          <w:sz w:val="24"/>
          <w:szCs w:val="24"/>
          <w:lang w:val="bg-BG"/>
        </w:rPr>
        <w:t>независимо от това като каква е определена въоръжената групировка.</w:t>
      </w:r>
      <w:r w:rsidRPr="00427C08">
        <w:rPr>
          <w:rFonts w:ascii="Times New Roman" w:hAnsi="Times New Roman"/>
          <w:noProof/>
          <w:sz w:val="24"/>
          <w:szCs w:val="24"/>
          <w:lang w:val="bg-BG"/>
        </w:rPr>
        <w:t xml:space="preserve"> Деца, които са достигнали възраст за носене на наказателна отговорност и които са заподозрени в извършване на тежки престъпления, се предават на граждански участници и правораздаването следва да се осъществява в рамките на правната уредба за непълнолетни лица.</w:t>
      </w:r>
    </w:p>
    <w:p w14:paraId="52377975" w14:textId="77777777" w:rsidR="00427C08" w:rsidRPr="00427C08" w:rsidRDefault="00427C08" w:rsidP="00427C08">
      <w:pPr>
        <w:pStyle w:val="Heading2"/>
        <w:spacing w:before="0" w:after="120" w:line="240" w:lineRule="auto"/>
        <w:jc w:val="both"/>
        <w:rPr>
          <w:rFonts w:ascii="Times New Roman" w:hAnsi="Times New Roman" w:cs="Times New Roman"/>
          <w:b/>
          <w:noProof/>
          <w:sz w:val="24"/>
          <w:szCs w:val="24"/>
          <w:lang w:val="bg-BG"/>
        </w:rPr>
      </w:pPr>
      <w:bookmarkStart w:id="4" w:name="_Toc76598357"/>
      <w:r w:rsidRPr="00427C08">
        <w:rPr>
          <w:rFonts w:ascii="Times New Roman" w:hAnsi="Times New Roman"/>
          <w:b/>
          <w:noProof/>
          <w:sz w:val="24"/>
          <w:szCs w:val="24"/>
          <w:lang w:val="bg-BG"/>
        </w:rPr>
        <w:t>Основни компоненти на разоръжаването, демобилизацията и реинтеграцията</w:t>
      </w:r>
      <w:bookmarkEnd w:id="4"/>
    </w:p>
    <w:p w14:paraId="353B54A6" w14:textId="77777777" w:rsidR="00427C08" w:rsidRPr="00427C08" w:rsidRDefault="00427C08" w:rsidP="00427C08">
      <w:pPr>
        <w:pStyle w:val="Default"/>
        <w:spacing w:after="120"/>
        <w:jc w:val="both"/>
        <w:rPr>
          <w:noProof/>
          <w:lang w:val="bg-BG"/>
        </w:rPr>
      </w:pPr>
      <w:r w:rsidRPr="00427C08">
        <w:rPr>
          <w:noProof/>
          <w:lang w:val="bg-BG"/>
        </w:rPr>
        <w:t xml:space="preserve">ЕС разглежда разоръжаването, демобилизацията и реинтеграцията като политически, невоенни и трансформиращи процеси, които до голяма степен се основават на националната и местната ангажираност, на усилията за постигане на мир и развитие, както и на изграждането на устойчивост. Ангажиментът на ЕС в подкрепа на разоръжаването, демобилизацията и реинтеграцията, както и акцентът върху специфични компоненти и тяхната последователност и съчлененост трябва да бъдат съобразени с всеки конкретен контекст. </w:t>
      </w:r>
    </w:p>
    <w:p w14:paraId="402B214C" w14:textId="77777777" w:rsidR="00427C08" w:rsidRPr="00427C08" w:rsidRDefault="00427C08" w:rsidP="00427C08">
      <w:pPr>
        <w:pStyle w:val="Default"/>
        <w:spacing w:after="120"/>
        <w:jc w:val="both"/>
        <w:rPr>
          <w:noProof/>
          <w:lang w:val="bg-BG"/>
        </w:rPr>
      </w:pPr>
      <w:r w:rsidRPr="00427C08">
        <w:rPr>
          <w:noProof/>
          <w:lang w:val="bg-BG"/>
        </w:rPr>
        <w:t>ЕС може да подкрепи инициативи, които не са изрично определени като процеси на разоръжаване, демобилизация и реинтеграция</w:t>
      </w:r>
      <w:r w:rsidRPr="00427C08">
        <w:rPr>
          <w:noProof/>
          <w:vertAlign w:val="superscript"/>
          <w:lang w:val="bg-BG"/>
        </w:rPr>
        <w:footnoteReference w:id="11"/>
      </w:r>
      <w:r w:rsidRPr="00427C08">
        <w:rPr>
          <w:noProof/>
          <w:lang w:val="bg-BG"/>
        </w:rPr>
        <w:t xml:space="preserve">, но все пак целят да се намали насилието или да се насърчи устойчивостта на общностно равнище, както и да се повиши капацитета на отделните лица да се противопоставят на набирането (повторното набиране) от въоръжени групировки. Създаването на възможности за отговорно излизане — спонтанно или структурирано — от въоръжените групировки и завръщане към цивилния живот може да допринесе за по-благоприятна среда за разоръжаване, демобилизация и реинтеграция. </w:t>
      </w:r>
    </w:p>
    <w:p w14:paraId="51A934E7" w14:textId="26091BF9"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b/>
          <w:i/>
          <w:noProof/>
          <w:sz w:val="24"/>
          <w:szCs w:val="24"/>
          <w:lang w:val="bg-BG"/>
        </w:rPr>
        <w:t>Разоръжаването</w:t>
      </w:r>
      <w:r w:rsidRPr="00427C08">
        <w:rPr>
          <w:rFonts w:ascii="Times New Roman" w:hAnsi="Times New Roman"/>
          <w:noProof/>
          <w:sz w:val="24"/>
          <w:szCs w:val="24"/>
          <w:lang w:val="bg-BG"/>
        </w:rPr>
        <w:t xml:space="preserve"> се отнася до безопасното оценяване, събиране, документиране, контрол и обезвреждане на оръжия, боеприпаси и експлозиви, използвани от бойци и техните сътрудници, а понякога и от цивилното население, с цел да се ограничи незаконното разпространение предимно на малки оръжия и леки въоръжения (МОЛВ) и на свързани с тях артикули. Разоръжаването може да се осъществи на всички етапи на разоръжаване, демобилизация и реинтеграция, да има преходен характер</w:t>
      </w:r>
      <w:r w:rsidRPr="00427C08">
        <w:rPr>
          <w:rStyle w:val="FootnoteReference"/>
          <w:rFonts w:ascii="Times New Roman" w:hAnsi="Times New Roman" w:cs="Times New Roman"/>
          <w:noProof/>
          <w:sz w:val="24"/>
          <w:szCs w:val="24"/>
          <w:lang w:val="bg-BG"/>
        </w:rPr>
        <w:footnoteReference w:id="12"/>
      </w:r>
      <w:r w:rsidRPr="00427C08">
        <w:rPr>
          <w:rFonts w:ascii="Times New Roman" w:hAnsi="Times New Roman"/>
          <w:noProof/>
          <w:sz w:val="24"/>
          <w:szCs w:val="24"/>
          <w:lang w:val="bg-BG"/>
        </w:rPr>
        <w:t xml:space="preserve"> или да е обусловено от по-общо политическо развитие или от текущ мирен процес.</w:t>
      </w:r>
    </w:p>
    <w:p w14:paraId="635F6904" w14:textId="77777777" w:rsidR="00427C08" w:rsidRPr="00427C08" w:rsidRDefault="00427C08" w:rsidP="00427C08">
      <w:pPr>
        <w:pBdr>
          <w:top w:val="single" w:sz="4" w:space="1" w:color="auto"/>
          <w:left w:val="single" w:sz="4" w:space="1" w:color="auto"/>
          <w:bottom w:val="single" w:sz="4" w:space="1" w:color="auto"/>
          <w:right w:val="single" w:sz="4" w:space="1" w:color="auto"/>
        </w:pBdr>
        <w:spacing w:after="120" w:line="240" w:lineRule="auto"/>
        <w:jc w:val="both"/>
        <w:rPr>
          <w:rFonts w:ascii="Times New Roman" w:hAnsi="Times New Roman" w:cs="Times New Roman"/>
          <w:i/>
          <w:noProof/>
          <w:sz w:val="24"/>
          <w:szCs w:val="24"/>
          <w:lang w:val="bg-BG"/>
        </w:rPr>
      </w:pPr>
      <w:r w:rsidRPr="00427C08">
        <w:rPr>
          <w:rFonts w:ascii="Times New Roman" w:hAnsi="Times New Roman"/>
          <w:i/>
          <w:noProof/>
          <w:sz w:val="24"/>
          <w:szCs w:val="24"/>
          <w:lang w:val="bg-BG"/>
        </w:rPr>
        <w:t xml:space="preserve">ЕС може да подкрепи </w:t>
      </w:r>
      <w:r w:rsidRPr="00427C08">
        <w:rPr>
          <w:rFonts w:ascii="Times New Roman" w:hAnsi="Times New Roman"/>
          <w:b/>
          <w:i/>
          <w:noProof/>
          <w:sz w:val="24"/>
          <w:szCs w:val="24"/>
          <w:lang w:val="bg-BG"/>
        </w:rPr>
        <w:t>разоръжаването</w:t>
      </w:r>
      <w:r w:rsidRPr="00427C08">
        <w:rPr>
          <w:rFonts w:ascii="Times New Roman" w:hAnsi="Times New Roman"/>
          <w:i/>
          <w:noProof/>
          <w:sz w:val="24"/>
          <w:szCs w:val="24"/>
          <w:lang w:val="bg-BG"/>
        </w:rPr>
        <w:t xml:space="preserve"> и/или управлението на оръжия и боеприпаси чрез политики</w:t>
      </w:r>
      <w:r w:rsidRPr="00427C08">
        <w:rPr>
          <w:rFonts w:ascii="Times New Roman" w:hAnsi="Times New Roman"/>
          <w:noProof/>
          <w:sz w:val="24"/>
          <w:szCs w:val="24"/>
          <w:lang w:val="bg-BG"/>
        </w:rPr>
        <w:t xml:space="preserve"> и</w:t>
      </w:r>
      <w:r w:rsidRPr="00427C08">
        <w:rPr>
          <w:rFonts w:ascii="Times New Roman" w:hAnsi="Times New Roman"/>
          <w:i/>
          <w:noProof/>
          <w:sz w:val="24"/>
          <w:szCs w:val="24"/>
          <w:lang w:val="bg-BG"/>
        </w:rPr>
        <w:t xml:space="preserve"> политически диалог или чрез осигуряване на мерки за помощ и експертни съвети на националните или местните органи. Освен да се допринася за инициативи, възложени от ООН или ръководени на регионално и национално равнище</w:t>
      </w:r>
      <w:r w:rsidRPr="00427C08">
        <w:rPr>
          <w:rFonts w:ascii="Times New Roman" w:hAnsi="Times New Roman"/>
          <w:noProof/>
          <w:sz w:val="24"/>
          <w:szCs w:val="24"/>
          <w:lang w:val="bg-BG"/>
        </w:rPr>
        <w:t xml:space="preserve">, </w:t>
      </w:r>
      <w:r w:rsidRPr="00427C08">
        <w:rPr>
          <w:rFonts w:ascii="Times New Roman" w:hAnsi="Times New Roman"/>
          <w:i/>
          <w:noProof/>
          <w:sz w:val="24"/>
          <w:szCs w:val="24"/>
          <w:lang w:val="bg-BG"/>
        </w:rPr>
        <w:t>биха могли да се предвидят и съвместни дейности по разоръжаване в рамките на мисии и/или операции по линия на Общата политика за сигурност и отбрана (ОПСО) в съответствие с член 43 от Договора за Европейския съюз, в случай че такова решение бъде взето от Съвета</w:t>
      </w:r>
      <w:r w:rsidRPr="00427C08">
        <w:rPr>
          <w:rFonts w:ascii="Times New Roman" w:hAnsi="Times New Roman"/>
          <w:noProof/>
          <w:sz w:val="24"/>
          <w:szCs w:val="24"/>
          <w:lang w:val="bg-BG"/>
        </w:rPr>
        <w:t>.</w:t>
      </w:r>
      <w:r w:rsidRPr="00427C08">
        <w:rPr>
          <w:rFonts w:ascii="Times New Roman" w:hAnsi="Times New Roman"/>
          <w:i/>
          <w:noProof/>
          <w:sz w:val="24"/>
          <w:szCs w:val="24"/>
          <w:lang w:val="bg-BG"/>
        </w:rPr>
        <w:t xml:space="preserve"> Също така следва да продължи да се осъществява оперативно сътрудничество между правоприлагащите органи на ЕС и тези извън ЕС в рамките на приоритета за огнестрелните оръжия на Европейската мултидисциплинарна платформа за борба с криминални заплахи (EMPACT)</w:t>
      </w:r>
      <w:r w:rsidRPr="00427C08">
        <w:rPr>
          <w:rStyle w:val="FootnoteReference"/>
          <w:rFonts w:ascii="Times New Roman" w:hAnsi="Times New Roman" w:cs="Times New Roman"/>
          <w:i/>
          <w:noProof/>
          <w:sz w:val="24"/>
          <w:szCs w:val="24"/>
          <w:lang w:val="bg-BG"/>
        </w:rPr>
        <w:footnoteReference w:id="13"/>
      </w:r>
      <w:r w:rsidRPr="00427C08">
        <w:rPr>
          <w:rFonts w:ascii="Times New Roman" w:hAnsi="Times New Roman"/>
          <w:i/>
          <w:noProof/>
          <w:sz w:val="24"/>
          <w:szCs w:val="24"/>
          <w:lang w:val="bg-BG"/>
        </w:rPr>
        <w:t>.</w:t>
      </w:r>
    </w:p>
    <w:p w14:paraId="5E4CBC42"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b/>
          <w:i/>
          <w:noProof/>
          <w:sz w:val="24"/>
          <w:szCs w:val="24"/>
          <w:lang w:val="bg-BG"/>
        </w:rPr>
        <w:t>Демобилизацията</w:t>
      </w:r>
      <w:r w:rsidRPr="00427C08">
        <w:rPr>
          <w:rFonts w:ascii="Times New Roman" w:hAnsi="Times New Roman"/>
          <w:noProof/>
          <w:sz w:val="24"/>
          <w:szCs w:val="24"/>
          <w:lang w:val="bg-BG"/>
        </w:rPr>
        <w:t xml:space="preserve"> се отнася до отделянето и/или прекратяването на връзките на пълнолетни членове</w:t>
      </w:r>
      <w:r w:rsidRPr="00427C08">
        <w:rPr>
          <w:rFonts w:ascii="Times New Roman" w:hAnsi="Times New Roman" w:cs="Times New Roman"/>
          <w:noProof/>
          <w:sz w:val="24"/>
          <w:szCs w:val="24"/>
          <w:vertAlign w:val="superscript"/>
          <w:lang w:val="bg-BG"/>
        </w:rPr>
        <w:footnoteReference w:id="14"/>
      </w:r>
      <w:r w:rsidRPr="00427C08">
        <w:rPr>
          <w:rFonts w:ascii="Times New Roman" w:hAnsi="Times New Roman"/>
          <w:noProof/>
          <w:sz w:val="24"/>
          <w:szCs w:val="24"/>
          <w:lang w:val="bg-BG"/>
        </w:rPr>
        <w:t xml:space="preserve"> на въоръжени сили и въоръжени групировки от командните структури и преминаването им към цивилен статут. Това води до промени в правния статус на лицата, като може да е необходимо да им се предостави психосоциално консултиране и здравна помощ. Демобилизацията може да се осъществи спонтанно или да бъде организирана чрез законодателни инициативи или политически споразумения</w:t>
      </w:r>
      <w:r w:rsidRPr="00427C08">
        <w:rPr>
          <w:rStyle w:val="FootnoteReference"/>
          <w:rFonts w:ascii="Times New Roman" w:hAnsi="Times New Roman" w:cs="Times New Roman"/>
          <w:noProof/>
          <w:sz w:val="24"/>
          <w:szCs w:val="24"/>
          <w:lang w:val="bg-BG"/>
        </w:rPr>
        <w:footnoteReference w:id="15"/>
      </w:r>
      <w:r w:rsidRPr="00427C08">
        <w:rPr>
          <w:rFonts w:ascii="Times New Roman" w:hAnsi="Times New Roman"/>
          <w:noProof/>
          <w:sz w:val="24"/>
          <w:szCs w:val="24"/>
          <w:lang w:val="bg-BG"/>
        </w:rPr>
        <w:t>. Обработването и освобождаването на отговарящите на условията бойци и техните сътрудници включва преходна, краткосрочна и целенасочена помощ, наричана подкрепа за повторно включване, за лицата, които участват в даден процес на демобилизация. Тук следва да се вземат предвид жертвите на трафик, които са били експлоатирани за целите на въоръжени конфликти и войни.</w:t>
      </w:r>
    </w:p>
    <w:p w14:paraId="40DF08D7" w14:textId="77777777" w:rsidR="00427C08" w:rsidRPr="00427C08" w:rsidRDefault="00427C08" w:rsidP="00427C0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bg-BG"/>
        </w:rPr>
      </w:pPr>
      <w:r w:rsidRPr="00427C08">
        <w:rPr>
          <w:rFonts w:ascii="Times New Roman" w:hAnsi="Times New Roman"/>
          <w:i/>
          <w:noProof/>
          <w:sz w:val="24"/>
          <w:szCs w:val="24"/>
          <w:lang w:val="bg-BG"/>
        </w:rPr>
        <w:t xml:space="preserve">ЕС може да подкрепи </w:t>
      </w:r>
      <w:r w:rsidRPr="00427C08">
        <w:rPr>
          <w:rFonts w:ascii="Times New Roman" w:hAnsi="Times New Roman"/>
          <w:b/>
          <w:i/>
          <w:noProof/>
          <w:sz w:val="24"/>
          <w:szCs w:val="24"/>
          <w:lang w:val="bg-BG"/>
        </w:rPr>
        <w:t xml:space="preserve">демобилизацията </w:t>
      </w:r>
      <w:r w:rsidRPr="00427C08">
        <w:rPr>
          <w:rFonts w:ascii="Times New Roman" w:hAnsi="Times New Roman"/>
          <w:i/>
          <w:noProof/>
          <w:sz w:val="24"/>
          <w:szCs w:val="24"/>
          <w:lang w:val="bg-BG"/>
        </w:rPr>
        <w:t xml:space="preserve">чрез помощ, която може да бъде бързо разгърната, и специфични разпоредби в рамките на програмите за финансиране на външна дейност на Съюза, действия по член 28 от Договора за Европейския съюз, принос по линия на ОПСО и други ангажименти, засилващи капацитета на органите в области като проверката, логистиката и цифровизацията. Мерките за подкрепа за повторно включване биха могли да включват обучение за подготовка за бъдещи социални и професионални житейски предизвикателства, успоредно със специфични разпоредби за свързване на повторното включване и реинтеграцията, например чрез участие в икономически проекти и проекти за развитие, свързани с инфраструктура, здравни услуги, екологична енергия и др. </w:t>
      </w:r>
    </w:p>
    <w:p w14:paraId="47630A47"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b/>
          <w:i/>
          <w:noProof/>
          <w:sz w:val="24"/>
          <w:szCs w:val="24"/>
          <w:lang w:val="bg-BG"/>
        </w:rPr>
        <w:t>Реинтеграцията</w:t>
      </w:r>
      <w:r w:rsidRPr="00427C08">
        <w:rPr>
          <w:rFonts w:ascii="Times New Roman" w:hAnsi="Times New Roman"/>
          <w:i/>
          <w:noProof/>
          <w:sz w:val="24"/>
          <w:szCs w:val="24"/>
          <w:lang w:val="bg-BG"/>
        </w:rPr>
        <w:t xml:space="preserve"> </w:t>
      </w:r>
      <w:r w:rsidRPr="00427C08">
        <w:rPr>
          <w:rFonts w:ascii="Times New Roman" w:hAnsi="Times New Roman"/>
          <w:noProof/>
          <w:sz w:val="24"/>
          <w:szCs w:val="24"/>
          <w:lang w:val="bg-BG"/>
        </w:rPr>
        <w:t>е процесът, чрез който бившите бойци и техните сътрудници преминават към живот като членове на цивилна общност. Този отворен процес има психологически, социални, здравни, културни, религиозни, икономически, политически и правни измерения, както и такива, свързани със сигурността, и се осъществява на индивидуално, семейно и общностно равнище като част от по-общите процеси на възстановяване, мир и развитие.</w:t>
      </w:r>
    </w:p>
    <w:p w14:paraId="3D8E2E65"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При определени обстоятелства бивши бойци, които отговарят на условията и са преминали проверка, могат да бъдат интегрирани в сектора на националната сигурност. При този процес следва да има национална ангажираност, да се насърчава по-голямо приобщаване и справедливо представителство и да се отговаря на нуждите на населението в областта на сигурността, като също така се вземат предвид отчетността, преструктурирането и капацитета за усвояване на сектора на сигурността.</w:t>
      </w:r>
    </w:p>
    <w:p w14:paraId="1296A20D" w14:textId="77777777" w:rsidR="00427C08" w:rsidRPr="00427C08" w:rsidRDefault="00427C08" w:rsidP="00427C0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76"/>
        <w:jc w:val="both"/>
        <w:rPr>
          <w:rFonts w:ascii="Times New Roman" w:hAnsi="Times New Roman" w:cs="Times New Roman"/>
          <w:noProof/>
          <w:sz w:val="24"/>
          <w:szCs w:val="24"/>
          <w:lang w:val="bg-BG"/>
        </w:rPr>
      </w:pPr>
      <w:r w:rsidRPr="00427C08">
        <w:rPr>
          <w:rFonts w:ascii="Times New Roman" w:hAnsi="Times New Roman"/>
          <w:i/>
          <w:noProof/>
          <w:sz w:val="24"/>
          <w:szCs w:val="24"/>
          <w:lang w:val="bg-BG"/>
        </w:rPr>
        <w:t xml:space="preserve">Действията на ЕС за </w:t>
      </w:r>
      <w:r w:rsidRPr="00427C08">
        <w:rPr>
          <w:rFonts w:ascii="Times New Roman" w:hAnsi="Times New Roman"/>
          <w:b/>
          <w:i/>
          <w:noProof/>
          <w:sz w:val="24"/>
          <w:szCs w:val="24"/>
          <w:lang w:val="bg-BG"/>
        </w:rPr>
        <w:t>реинтеграция</w:t>
      </w:r>
      <w:r w:rsidRPr="00427C08">
        <w:rPr>
          <w:rFonts w:ascii="Times New Roman" w:hAnsi="Times New Roman"/>
          <w:i/>
          <w:noProof/>
          <w:sz w:val="24"/>
          <w:szCs w:val="24"/>
          <w:lang w:val="bg-BG"/>
        </w:rPr>
        <w:t xml:space="preserve"> ще бъдат съчетани с по-общи усилия за развитие и изграждане на мир с цел да се подкрепят бившите бойци и техните сътрудници в прехода им към цивилен живот и да се увеличи капацитетът за усвояване на приемните общности и органи, включително чрез укрепване на структурите, капацитета и процесите на местното управление.</w:t>
      </w:r>
      <w:r w:rsidRPr="00427C08">
        <w:rPr>
          <w:rFonts w:ascii="Times New Roman" w:hAnsi="Times New Roman"/>
          <w:noProof/>
          <w:sz w:val="24"/>
          <w:szCs w:val="24"/>
          <w:lang w:val="bg-BG"/>
        </w:rPr>
        <w:t xml:space="preserve"> </w:t>
      </w:r>
    </w:p>
    <w:p w14:paraId="37D37988" w14:textId="77777777" w:rsidR="00427C08" w:rsidRPr="00427C08" w:rsidRDefault="00427C08" w:rsidP="00427C0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76"/>
        <w:jc w:val="both"/>
        <w:rPr>
          <w:rFonts w:ascii="Times New Roman" w:hAnsi="Times New Roman" w:cs="Times New Roman"/>
          <w:i/>
          <w:noProof/>
          <w:sz w:val="24"/>
          <w:szCs w:val="24"/>
          <w:lang w:val="bg-BG"/>
        </w:rPr>
      </w:pPr>
      <w:r w:rsidRPr="00427C08">
        <w:rPr>
          <w:rFonts w:ascii="Times New Roman" w:hAnsi="Times New Roman"/>
          <w:i/>
          <w:noProof/>
          <w:sz w:val="24"/>
          <w:szCs w:val="24"/>
          <w:lang w:val="bg-BG"/>
        </w:rPr>
        <w:t>Тъй като по-общите недостатъци на политическите системи, държавните институции, образователните и здравните системи и публичната администрация допълнително намаляват перспективите за успешна реинтеграция, подходите на ЕС ще бъдат структурни. Като се оказва подкрепа на други групи от населението, засегнати от конфликта, и се гарантира справедливото споделяне на дивидентите от мира (например чрез обезщетения на жертвите и оцелелите, включително на жертвите на трафик), се подобрява участието на местните общности и националните участници в процеса и се допринася за помирението.</w:t>
      </w:r>
    </w:p>
    <w:p w14:paraId="46EA21B6" w14:textId="77777777" w:rsidR="00427C08" w:rsidRPr="00661642" w:rsidRDefault="00427C08" w:rsidP="00427C08">
      <w:pPr>
        <w:spacing w:after="120" w:line="240" w:lineRule="auto"/>
        <w:jc w:val="both"/>
        <w:rPr>
          <w:rFonts w:ascii="Times New Roman" w:hAnsi="Times New Roman" w:cs="Times New Roman"/>
          <w:noProof/>
          <w:spacing w:val="-4"/>
          <w:sz w:val="24"/>
          <w:szCs w:val="24"/>
          <w:lang w:val="bg-BG"/>
        </w:rPr>
      </w:pPr>
      <w:r w:rsidRPr="00661642">
        <w:rPr>
          <w:rFonts w:ascii="Times New Roman" w:hAnsi="Times New Roman"/>
          <w:noProof/>
          <w:spacing w:val="-4"/>
          <w:sz w:val="24"/>
          <w:szCs w:val="24"/>
          <w:lang w:val="bg-BG"/>
        </w:rPr>
        <w:t xml:space="preserve">За да подкрепи социално-икономическата реинтеграция, ЕС се ангажира да насочи усилията си към многосекторния характер на тези процеси, като обхване много разнообразни аспекти — от преодоляването на несигурното земевладение и осигуряването на достъп до здравеопазване до подпомагането на достъпа до финансови и банкови услуги. Поради това ще трябва да се разгледат и преодолеят някои ключови фактори на социално-икономическата уязвимост — например структурните макроикономически дефицити и пречки пред постигането на устойчиво развитие, благосъстояние и достойни работни места, пропуските в образованието и неефективните или недостъпните системи за социална и здравна защита — наред с други значими измерения, като ролята на организираната престъпност, незаконните икономики, риска от повторно набиране и др. </w:t>
      </w:r>
    </w:p>
    <w:p w14:paraId="1F1C0BA6"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Чрез сътрудничеството в областта на развитието, хуманитарната помощ и търговията ЕС подкрепя насърчаването на достойни работни места, устойчиви форми на поминък и икономики с цел да подпомогне възстановяването на държавите от извънредни ситуации и тяхното „по-добро повторно изграждане“. Този подход следва да се прилага по-систематично към процесите на реинтеграция, включително реинтеграцията на вътрешно разселени лица, бежанци и завърнали се лица.</w:t>
      </w:r>
    </w:p>
    <w:p w14:paraId="11F7B28E"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В усилията си да насърчи културата на мир, която способства за политическата реинтеграция, ЕС подпомага хората и общностите да придобият уменията, от които се нуждаят, за да участват в политически дейности посредством политическа партия, социално движение или като независими активисти, което дава възможност за плуралистичен дебат, както и за перспективи за по-общо помирение и изграждане на мир без страх от насилствени репресии.</w:t>
      </w:r>
    </w:p>
    <w:p w14:paraId="66899D7E"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p>
    <w:p w14:paraId="486BD58C" w14:textId="77777777" w:rsidR="00427C08" w:rsidRPr="00427C08" w:rsidRDefault="00427C08" w:rsidP="00427C08">
      <w:pPr>
        <w:pStyle w:val="Heading1"/>
        <w:spacing w:before="0" w:after="120" w:line="240" w:lineRule="auto"/>
        <w:jc w:val="both"/>
        <w:rPr>
          <w:rFonts w:ascii="Times New Roman" w:hAnsi="Times New Roman" w:cs="Times New Roman"/>
          <w:b/>
          <w:noProof/>
          <w:sz w:val="24"/>
          <w:szCs w:val="24"/>
          <w:lang w:val="bg-BG"/>
        </w:rPr>
      </w:pPr>
      <w:bookmarkStart w:id="5" w:name="_Toc76598364"/>
      <w:bookmarkStart w:id="6" w:name="_Toc76598359"/>
      <w:r w:rsidRPr="00427C08">
        <w:rPr>
          <w:rFonts w:ascii="Times New Roman" w:hAnsi="Times New Roman"/>
          <w:b/>
          <w:noProof/>
          <w:sz w:val="24"/>
          <w:szCs w:val="24"/>
          <w:lang w:val="bg-BG"/>
        </w:rPr>
        <w:t>3.</w:t>
      </w:r>
      <w:bookmarkEnd w:id="5"/>
      <w:r w:rsidRPr="00427C08">
        <w:rPr>
          <w:rFonts w:ascii="Times New Roman" w:hAnsi="Times New Roman"/>
          <w:b/>
          <w:noProof/>
          <w:sz w:val="24"/>
          <w:szCs w:val="24"/>
          <w:lang w:val="bg-BG"/>
        </w:rPr>
        <w:t xml:space="preserve"> Цялостен ангажимент на ЕС, отговарящ на предизвикателствата на разоръжаването, демобилизацията и реинтеграцията</w:t>
      </w:r>
      <w:bookmarkEnd w:id="6"/>
      <w:r w:rsidRPr="00427C08">
        <w:rPr>
          <w:rFonts w:ascii="Times New Roman" w:hAnsi="Times New Roman"/>
          <w:b/>
          <w:noProof/>
          <w:sz w:val="24"/>
          <w:szCs w:val="24"/>
          <w:lang w:val="bg-BG"/>
        </w:rPr>
        <w:t xml:space="preserve"> </w:t>
      </w:r>
    </w:p>
    <w:p w14:paraId="6BEC2F7A" w14:textId="77777777" w:rsidR="00427C08" w:rsidRPr="00427C08" w:rsidRDefault="00427C08" w:rsidP="00427C08">
      <w:pPr>
        <w:pStyle w:val="Default"/>
        <w:spacing w:after="120"/>
        <w:jc w:val="both"/>
        <w:rPr>
          <w:b/>
          <w:i/>
          <w:noProof/>
          <w:color w:val="2E74B5" w:themeColor="accent1" w:themeShade="BF"/>
          <w:lang w:val="bg-BG"/>
        </w:rPr>
      </w:pPr>
      <w:r w:rsidRPr="00427C08">
        <w:rPr>
          <w:b/>
          <w:i/>
          <w:noProof/>
          <w:color w:val="2E74B5" w:themeColor="accent1" w:themeShade="BF"/>
          <w:lang w:val="bg-BG"/>
        </w:rPr>
        <w:t xml:space="preserve">Широк обхват </w:t>
      </w:r>
    </w:p>
    <w:p w14:paraId="5EE6506F" w14:textId="77777777" w:rsidR="00427C08" w:rsidRPr="00427C08" w:rsidRDefault="00427C08" w:rsidP="00427C08">
      <w:pPr>
        <w:pStyle w:val="Default"/>
        <w:spacing w:after="120"/>
        <w:jc w:val="both"/>
        <w:rPr>
          <w:noProof/>
          <w:lang w:val="bg-BG"/>
        </w:rPr>
      </w:pPr>
      <w:r w:rsidRPr="00427C08">
        <w:rPr>
          <w:noProof/>
          <w:lang w:val="bg-BG"/>
        </w:rPr>
        <w:t>За да отговори на предизвикателствата на разоръжаването, демобилизацията и реинтеграцията, ЕС ще мобилизира многостранния си принос към мира, сигурността и развитието:</w:t>
      </w:r>
    </w:p>
    <w:p w14:paraId="44A88891" w14:textId="77777777" w:rsidR="00427C08" w:rsidRPr="00427C08" w:rsidRDefault="00427C08" w:rsidP="00427C08">
      <w:pPr>
        <w:pStyle w:val="ListParagraph"/>
        <w:numPr>
          <w:ilvl w:val="0"/>
          <w:numId w:val="19"/>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color w:val="000000"/>
          <w:sz w:val="24"/>
          <w:szCs w:val="24"/>
          <w:lang w:val="bg-BG"/>
        </w:rPr>
        <w:t xml:space="preserve">Като глобален участник със значителен опит в посредничеството за мир, ЕС играе важна обединяваща роля в мирните процеси и предотвратяването на конфликти, като в центъра на действията му стои човешката сигурност. Поради това ЕС е в добра позиция да предоставя ефективна и гъвкава подкрепа за процесите на разоръжаване, демобилизация и реинтеграция чрез национални или регионални стратегии. </w:t>
      </w:r>
      <w:r w:rsidRPr="00427C08">
        <w:rPr>
          <w:rFonts w:ascii="Times New Roman" w:hAnsi="Times New Roman"/>
          <w:noProof/>
          <w:sz w:val="24"/>
          <w:szCs w:val="24"/>
          <w:lang w:val="bg-BG"/>
        </w:rPr>
        <w:t>Реалистичният подход</w:t>
      </w:r>
      <w:r w:rsidRPr="00427C08">
        <w:rPr>
          <w:rFonts w:ascii="Times New Roman" w:hAnsi="Times New Roman"/>
          <w:noProof/>
          <w:color w:val="000000"/>
          <w:sz w:val="24"/>
          <w:szCs w:val="24"/>
          <w:lang w:val="bg-BG"/>
        </w:rPr>
        <w:t>, основан на политики и политически диалог, който е насочен и към</w:t>
      </w:r>
      <w:r w:rsidRPr="00427C08">
        <w:rPr>
          <w:rFonts w:ascii="Times New Roman" w:hAnsi="Times New Roman"/>
          <w:noProof/>
          <w:sz w:val="24"/>
          <w:szCs w:val="24"/>
          <w:lang w:val="bg-BG"/>
        </w:rPr>
        <w:t xml:space="preserve"> участниците в сектора на държавната сигурност, може да намали вероятността от възобновяване на напрежението </w:t>
      </w:r>
      <w:r w:rsidRPr="00427C08">
        <w:rPr>
          <w:rFonts w:ascii="Times New Roman" w:hAnsi="Times New Roman"/>
          <w:noProof/>
          <w:color w:val="000000"/>
          <w:sz w:val="24"/>
          <w:szCs w:val="24"/>
          <w:lang w:val="bg-BG"/>
        </w:rPr>
        <w:t xml:space="preserve">и </w:t>
      </w:r>
      <w:r w:rsidRPr="00427C08">
        <w:rPr>
          <w:rFonts w:ascii="Times New Roman" w:hAnsi="Times New Roman"/>
          <w:noProof/>
          <w:sz w:val="24"/>
          <w:szCs w:val="24"/>
          <w:lang w:val="bg-BG"/>
        </w:rPr>
        <w:t>да подобри стабилността и устойчивостта на съседните на ЕС партньорски държави и отвъд тях.</w:t>
      </w:r>
    </w:p>
    <w:p w14:paraId="108BFF24" w14:textId="77777777" w:rsidR="00427C08" w:rsidRPr="00427C08" w:rsidRDefault="00427C08" w:rsidP="00427C08">
      <w:pPr>
        <w:pStyle w:val="FootnoteText"/>
        <w:numPr>
          <w:ilvl w:val="0"/>
          <w:numId w:val="19"/>
        </w:numPr>
        <w:spacing w:after="120"/>
        <w:jc w:val="both"/>
        <w:rPr>
          <w:rFonts w:ascii="Times New Roman" w:hAnsi="Times New Roman" w:cs="Times New Roman"/>
          <w:noProof/>
          <w:sz w:val="24"/>
          <w:szCs w:val="24"/>
          <w:lang w:val="bg-BG"/>
        </w:rPr>
      </w:pPr>
      <w:r w:rsidRPr="00427C08">
        <w:rPr>
          <w:rFonts w:ascii="Times New Roman" w:hAnsi="Times New Roman"/>
          <w:noProof/>
          <w:color w:val="000000"/>
          <w:sz w:val="24"/>
          <w:szCs w:val="24"/>
          <w:lang w:val="bg-BG"/>
        </w:rPr>
        <w:t>Като поддържа многостранния, основан на правила международен ред, ЕС остава силно ангажиран с двустранни, регионални и международни партньорски организации, за да гарантира и насърчава зачитането на международното право, по-специално</w:t>
      </w:r>
      <w:r w:rsidRPr="00427C08">
        <w:rPr>
          <w:rFonts w:ascii="Times New Roman" w:hAnsi="Times New Roman"/>
          <w:noProof/>
          <w:sz w:val="24"/>
          <w:szCs w:val="24"/>
          <w:lang w:val="bg-BG"/>
        </w:rPr>
        <w:t xml:space="preserve"> пълното зачитане на международното право в областта на правата на човека и международното хуманитарно право. Чрез насърчаване на върховенството на закона, включително посредством конкретни инициативи за защита на цивилните лица и подкрепа на </w:t>
      </w:r>
      <w:r w:rsidRPr="00427C08">
        <w:rPr>
          <w:rFonts w:ascii="Times New Roman" w:hAnsi="Times New Roman"/>
          <w:noProof/>
          <w:color w:val="000000"/>
          <w:sz w:val="24"/>
          <w:szCs w:val="24"/>
          <w:lang w:val="bg-BG"/>
        </w:rPr>
        <w:t>организациите на гражданското общество и защитниците на правата на човека, ще се насърчи приобщаването и ще се даде възможност за по-ефективно прилагане на стратегическия подход на ЕС по</w:t>
      </w:r>
      <w:r w:rsidRPr="00427C08">
        <w:rPr>
          <w:rFonts w:ascii="Times New Roman" w:hAnsi="Times New Roman"/>
          <w:noProof/>
          <w:sz w:val="24"/>
          <w:szCs w:val="24"/>
          <w:lang w:val="bg-BG"/>
        </w:rPr>
        <w:t xml:space="preserve"> </w:t>
      </w:r>
      <w:r w:rsidRPr="00427C08">
        <w:rPr>
          <w:rFonts w:ascii="Times New Roman" w:hAnsi="Times New Roman"/>
          <w:noProof/>
          <w:color w:val="000000"/>
          <w:sz w:val="24"/>
          <w:szCs w:val="24"/>
          <w:lang w:val="bg-BG"/>
        </w:rPr>
        <w:t>въпросите на жените, мира и сигурността</w:t>
      </w:r>
      <w:r w:rsidRPr="00427C08">
        <w:rPr>
          <w:rStyle w:val="FootnoteReference"/>
          <w:rFonts w:ascii="Times New Roman" w:hAnsi="Times New Roman" w:cs="Times New Roman"/>
          <w:noProof/>
          <w:color w:val="000000"/>
          <w:sz w:val="24"/>
          <w:szCs w:val="24"/>
          <w:lang w:val="bg-BG"/>
        </w:rPr>
        <w:footnoteReference w:id="16"/>
      </w:r>
      <w:r w:rsidRPr="00427C08">
        <w:rPr>
          <w:rFonts w:ascii="Times New Roman" w:hAnsi="Times New Roman"/>
          <w:noProof/>
          <w:color w:val="000000"/>
          <w:sz w:val="24"/>
          <w:szCs w:val="24"/>
          <w:lang w:val="bg-BG"/>
        </w:rPr>
        <w:t xml:space="preserve"> и програмата за младежта, мира и сигурността</w:t>
      </w:r>
      <w:r w:rsidRPr="00427C08">
        <w:rPr>
          <w:rStyle w:val="FootnoteReference"/>
          <w:rFonts w:ascii="Times New Roman" w:hAnsi="Times New Roman" w:cs="Times New Roman"/>
          <w:noProof/>
          <w:color w:val="000000"/>
          <w:sz w:val="24"/>
          <w:szCs w:val="24"/>
          <w:lang w:val="bg-BG"/>
        </w:rPr>
        <w:footnoteReference w:id="17"/>
      </w:r>
      <w:r w:rsidRPr="00427C08">
        <w:rPr>
          <w:rFonts w:ascii="Times New Roman" w:hAnsi="Times New Roman"/>
          <w:noProof/>
          <w:color w:val="000000"/>
          <w:sz w:val="24"/>
          <w:szCs w:val="24"/>
          <w:lang w:val="bg-BG"/>
        </w:rPr>
        <w:t>.</w:t>
      </w:r>
    </w:p>
    <w:p w14:paraId="65C7C119" w14:textId="77777777" w:rsidR="00427C08" w:rsidRPr="00427C08" w:rsidRDefault="00427C08" w:rsidP="00427C08">
      <w:pPr>
        <w:pStyle w:val="FootnoteText"/>
        <w:numPr>
          <w:ilvl w:val="0"/>
          <w:numId w:val="19"/>
        </w:numPr>
        <w:spacing w:after="120"/>
        <w:jc w:val="both"/>
        <w:rPr>
          <w:rFonts w:ascii="Times New Roman" w:hAnsi="Times New Roman" w:cs="Times New Roman"/>
          <w:noProof/>
          <w:color w:val="000000"/>
          <w:sz w:val="24"/>
          <w:szCs w:val="24"/>
          <w:lang w:val="bg-BG"/>
        </w:rPr>
      </w:pPr>
      <w:r w:rsidRPr="00427C08">
        <w:rPr>
          <w:rFonts w:ascii="Times New Roman" w:hAnsi="Times New Roman"/>
          <w:noProof/>
          <w:color w:val="000000"/>
          <w:sz w:val="24"/>
          <w:szCs w:val="24"/>
          <w:lang w:val="bg-BG"/>
        </w:rPr>
        <w:t>Като основен участник в областта на хуманитарната помощ</w:t>
      </w:r>
      <w:r w:rsidRPr="00427C08">
        <w:rPr>
          <w:rStyle w:val="FootnoteReference"/>
          <w:rFonts w:ascii="Times New Roman" w:hAnsi="Times New Roman" w:cs="Times New Roman"/>
          <w:noProof/>
          <w:color w:val="000000"/>
          <w:sz w:val="24"/>
          <w:szCs w:val="24"/>
          <w:lang w:val="bg-BG"/>
        </w:rPr>
        <w:footnoteReference w:id="18"/>
      </w:r>
      <w:r w:rsidRPr="00427C08">
        <w:rPr>
          <w:rFonts w:ascii="Times New Roman" w:hAnsi="Times New Roman"/>
          <w:noProof/>
          <w:color w:val="000000"/>
          <w:sz w:val="24"/>
          <w:szCs w:val="24"/>
          <w:lang w:val="bg-BG"/>
        </w:rPr>
        <w:t>,</w:t>
      </w:r>
      <w:r w:rsidRPr="00427C08">
        <w:rPr>
          <w:rStyle w:val="FootnoteReference"/>
          <w:rFonts w:ascii="Times New Roman" w:hAnsi="Times New Roman"/>
          <w:noProof/>
          <w:sz w:val="24"/>
          <w:szCs w:val="24"/>
          <w:vertAlign w:val="baseline"/>
          <w:lang w:val="bg-BG"/>
        </w:rPr>
        <w:t xml:space="preserve"> </w:t>
      </w:r>
      <w:r w:rsidRPr="00427C08">
        <w:rPr>
          <w:rFonts w:ascii="Times New Roman" w:hAnsi="Times New Roman"/>
          <w:noProof/>
          <w:color w:val="000000"/>
          <w:sz w:val="24"/>
          <w:szCs w:val="24"/>
          <w:lang w:val="bg-BG"/>
        </w:rPr>
        <w:t xml:space="preserve">развитието и мира ЕС подкрепя националните институции и организации, работещи за облекчаване на човешкото страдание и насърчаване на устойчивото развитие, повишаване на сигурността на хората и улесняване на дългосрочната реинтеграция на различни засегнати от конфликти групи отвъд  разоръжаването, демобилизацията и реинтеграцията. </w:t>
      </w:r>
    </w:p>
    <w:p w14:paraId="3B47BEB0" w14:textId="77777777" w:rsidR="00427C08" w:rsidRPr="00427C08" w:rsidRDefault="00427C08" w:rsidP="00427C08">
      <w:pPr>
        <w:pStyle w:val="FootnoteText"/>
        <w:numPr>
          <w:ilvl w:val="0"/>
          <w:numId w:val="19"/>
        </w:numPr>
        <w:spacing w:after="120"/>
        <w:jc w:val="both"/>
        <w:rPr>
          <w:rFonts w:ascii="Times New Roman" w:hAnsi="Times New Roman" w:cs="Times New Roman"/>
          <w:noProof/>
          <w:sz w:val="24"/>
          <w:szCs w:val="24"/>
          <w:lang w:val="bg-BG"/>
        </w:rPr>
      </w:pPr>
      <w:r w:rsidRPr="00427C08">
        <w:rPr>
          <w:rFonts w:ascii="Times New Roman" w:hAnsi="Times New Roman"/>
          <w:noProof/>
          <w:color w:val="000000"/>
          <w:sz w:val="24"/>
          <w:szCs w:val="24"/>
          <w:lang w:val="bg-BG"/>
        </w:rPr>
        <w:t>ЕС и</w:t>
      </w:r>
      <w:r w:rsidRPr="00427C08">
        <w:rPr>
          <w:rFonts w:ascii="Times New Roman" w:hAnsi="Times New Roman"/>
          <w:noProof/>
          <w:sz w:val="24"/>
          <w:szCs w:val="24"/>
          <w:lang w:val="bg-BG"/>
        </w:rPr>
        <w:t xml:space="preserve"> неговите държави членки имат важен принос към мира и сигурността. Освен това те създават по-добри перспективи за цялостното управление на рисковете, свързани с въоръжените групировки, чрез уникалната роля на гражданските и военните мисии и операции по линия на ОПСО и мрежите от съветници по отбраната, сигурността и борбата с тероризма в делегациите на ЕС. </w:t>
      </w:r>
    </w:p>
    <w:p w14:paraId="4A6B4146" w14:textId="77777777" w:rsidR="00427C08" w:rsidRPr="00427C08" w:rsidRDefault="00427C08" w:rsidP="00427C08">
      <w:pPr>
        <w:pStyle w:val="Default"/>
        <w:numPr>
          <w:ilvl w:val="0"/>
          <w:numId w:val="19"/>
        </w:numPr>
        <w:spacing w:after="120"/>
        <w:jc w:val="both"/>
        <w:rPr>
          <w:noProof/>
          <w:lang w:val="bg-BG"/>
        </w:rPr>
      </w:pPr>
      <w:r w:rsidRPr="00427C08">
        <w:rPr>
          <w:noProof/>
          <w:lang w:val="bg-BG"/>
        </w:rPr>
        <w:t>Използването на научни изследвания и иновации при разработването на политики, основаващи се на доказателства, води до подобряване на подкрепата за процесите на разоръжаване, демобилизация и реинтеграция, като за тази цел е необходимо управление на знанията, извлечените поуки и опита.</w:t>
      </w:r>
    </w:p>
    <w:p w14:paraId="0FB40462" w14:textId="77777777" w:rsidR="00427C08" w:rsidRPr="00427C08" w:rsidRDefault="00427C08" w:rsidP="00427C08">
      <w:pPr>
        <w:pStyle w:val="Default"/>
        <w:keepNext/>
        <w:keepLines/>
        <w:spacing w:after="120"/>
        <w:jc w:val="both"/>
        <w:rPr>
          <w:b/>
          <w:i/>
          <w:noProof/>
          <w:lang w:val="bg-BG"/>
        </w:rPr>
      </w:pPr>
      <w:r w:rsidRPr="00427C08">
        <w:rPr>
          <w:b/>
          <w:i/>
          <w:noProof/>
          <w:color w:val="2E74B5" w:themeColor="accent1" w:themeShade="BF"/>
          <w:lang w:val="bg-BG"/>
        </w:rPr>
        <w:t>Последователно използване на инструментариума на ЕС</w:t>
      </w:r>
      <w:r w:rsidRPr="00427C08">
        <w:rPr>
          <w:noProof/>
          <w:lang w:val="bg-BG"/>
        </w:rPr>
        <w:t xml:space="preserve"> </w:t>
      </w:r>
    </w:p>
    <w:p w14:paraId="0818D0F0" w14:textId="77777777" w:rsidR="00427C08" w:rsidRPr="00427C08" w:rsidRDefault="00427C08" w:rsidP="00427C08">
      <w:pPr>
        <w:pStyle w:val="Default"/>
        <w:spacing w:after="120"/>
        <w:jc w:val="both"/>
        <w:rPr>
          <w:noProof/>
          <w:lang w:val="bg-BG"/>
        </w:rPr>
      </w:pPr>
      <w:r w:rsidRPr="00427C08">
        <w:rPr>
          <w:noProof/>
          <w:lang w:val="bg-BG"/>
        </w:rPr>
        <w:t xml:space="preserve">Инициативите за разоръжаване, демобилизация и реинтеграция са по-ефективни, когато са подкрепени от политики, инструменти и механизми в рамките на интегрирания подход, при условие че те имат съответна последователност, реалистични цели, бюджетиране и срокове за всеки конкретен контекст. </w:t>
      </w:r>
    </w:p>
    <w:p w14:paraId="3B14368B" w14:textId="77777777" w:rsidR="00427C08" w:rsidRPr="00427C08" w:rsidDel="00D83030" w:rsidRDefault="00427C08" w:rsidP="00427C08">
      <w:pPr>
        <w:pStyle w:val="Default"/>
        <w:spacing w:after="120"/>
        <w:jc w:val="both"/>
        <w:rPr>
          <w:noProof/>
          <w:lang w:val="bg-BG"/>
        </w:rPr>
      </w:pPr>
      <w:r w:rsidRPr="00427C08">
        <w:rPr>
          <w:noProof/>
          <w:lang w:val="bg-BG"/>
        </w:rPr>
        <w:t>Необходимо е всички имащи отношение участници от ЕС, които се ангажират съгласно компетенциите си, да се координират и консултират помежду си и да си сътрудничат на политическо, стратегическо и оперативно равнище, за да установят връзки между дългосрочната подкрепа за развитие, насочена към създаването на политики, с краткосрочните действия и другите мерки за подпомагане. Понастоящем ЕС е в по-добра позиция да постигне резултати в тази област благодарение на приемането на Глобална Европа: инструмент за съседство, сътрудничество за развитие и международно сътрудничество</w:t>
      </w:r>
      <w:r w:rsidRPr="00427C08">
        <w:rPr>
          <w:rStyle w:val="FootnoteReference"/>
          <w:noProof/>
          <w:lang w:val="bg-BG"/>
        </w:rPr>
        <w:footnoteReference w:id="19"/>
      </w:r>
      <w:r w:rsidRPr="00427C08">
        <w:rPr>
          <w:noProof/>
          <w:lang w:val="bg-BG"/>
        </w:rPr>
        <w:t xml:space="preserve"> и на Европейския механизъм за подкрепа на мира</w:t>
      </w:r>
      <w:r w:rsidRPr="00427C08">
        <w:rPr>
          <w:rStyle w:val="FootnoteReference"/>
          <w:noProof/>
          <w:lang w:val="bg-BG"/>
        </w:rPr>
        <w:footnoteReference w:id="20"/>
      </w:r>
      <w:r w:rsidRPr="00427C08">
        <w:rPr>
          <w:noProof/>
          <w:lang w:val="bg-BG"/>
        </w:rPr>
        <w:t xml:space="preserve">. </w:t>
      </w:r>
    </w:p>
    <w:p w14:paraId="117D448C" w14:textId="77777777" w:rsidR="00427C08" w:rsidRPr="00427C08" w:rsidRDefault="00427C08" w:rsidP="00427C08">
      <w:pPr>
        <w:pStyle w:val="Heading2"/>
        <w:spacing w:before="0" w:after="120" w:line="240" w:lineRule="auto"/>
        <w:rPr>
          <w:rStyle w:val="Heading3Char"/>
          <w:rFonts w:ascii="Times New Roman" w:hAnsi="Times New Roman" w:cs="Times New Roman"/>
          <w:b/>
          <w:noProof/>
          <w:color w:val="2E74B5" w:themeColor="accent1" w:themeShade="BF"/>
          <w:lang w:val="bg-BG"/>
        </w:rPr>
      </w:pPr>
      <w:bookmarkStart w:id="7" w:name="_Toc76598365"/>
      <w:r w:rsidRPr="00427C08">
        <w:rPr>
          <w:rStyle w:val="Heading3Char"/>
          <w:rFonts w:ascii="Times New Roman" w:hAnsi="Times New Roman"/>
          <w:b/>
          <w:noProof/>
          <w:color w:val="2E74B5" w:themeColor="accent1" w:themeShade="BF"/>
          <w:lang w:val="bg-BG"/>
        </w:rPr>
        <w:t>Сътрудничество за изграждане на мир и развитие</w:t>
      </w:r>
      <w:bookmarkEnd w:id="7"/>
    </w:p>
    <w:p w14:paraId="0DBB5E5E"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ЕС инвестира в инициативи за предотвратяване на конфликти и изграждане на мир в световен мащаб и има за цел да интегрира чувствителността и устойчивостта към конфликти във външната си дейност, включително чрез налагането на специфично изискване</w:t>
      </w:r>
      <w:r w:rsidRPr="00427C08">
        <w:rPr>
          <w:rStyle w:val="FootnoteReference"/>
          <w:rFonts w:ascii="Times New Roman" w:hAnsi="Times New Roman" w:cs="Times New Roman"/>
          <w:noProof/>
          <w:sz w:val="24"/>
          <w:szCs w:val="24"/>
          <w:lang w:val="bg-BG"/>
        </w:rPr>
        <w:footnoteReference w:id="21"/>
      </w:r>
      <w:r w:rsidRPr="00427C08">
        <w:rPr>
          <w:rFonts w:ascii="Times New Roman" w:hAnsi="Times New Roman"/>
          <w:noProof/>
          <w:sz w:val="24"/>
          <w:szCs w:val="24"/>
          <w:lang w:val="bg-BG"/>
        </w:rPr>
        <w:t xml:space="preserve"> към сътрудничеството за развитие и международните партньорства в нестабилни и засегнати от конфликти държави. Това включва систематичното преодоляване на първопричините за конфликтите и кризите чрез дългосрочни подходи за трансформиране на конфликтите и изграждане на мир. В условия на нестабилност усилията за създаване на пространство за политически диалог и зачитане на върховенството на закона и за предотвратяване или намаляване на насилието и екстремизма на общностно равнище имат ключово значение. В този контекст инвестициите, насочени към бившите бойци, техните сътрудници и приемните общности, предотвратяват повтарянето на конфликтите и насилието, като спомагат за изграждането на устойчивост и съпротива срещу повторното набиране от въоръжени групировки. </w:t>
      </w:r>
    </w:p>
    <w:p w14:paraId="681FF5C4" w14:textId="77777777" w:rsidR="00427C08" w:rsidRPr="00427C08" w:rsidRDefault="00427C08" w:rsidP="00427C0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bg-BG"/>
        </w:rPr>
      </w:pPr>
      <w:r w:rsidRPr="00427C08">
        <w:rPr>
          <w:rFonts w:ascii="Times New Roman" w:hAnsi="Times New Roman"/>
          <w:i/>
          <w:noProof/>
          <w:sz w:val="24"/>
          <w:szCs w:val="24"/>
          <w:lang w:val="bg-BG"/>
        </w:rPr>
        <w:t>ЕС играе съществена роля в мирния процес в Колумбия, като стимулира доверието и диалога между представителите на бившата ФАРК и правителството на Колумбия, както и като основен донор за повторното включване (реинтеграция) на бивши бойци в социалната и икономическата сфера чрез проекти и бюджетна подкрепа. Подкрепата на ЕС беше разработена с помощта на основан на правата подход в съответствие с принципа да не се пренебрегва никой и беше подсилена от изявената роля на специалния пратеник на ЕС за мирния процес. Тя е има за цел икономическа реинтеграция на бивши бойци чрез подкрепа за продуктивни проекти и професионално обучение, жилища и достъп до основни обществени услуги, рехабилитация на хора с увреждания, грижи за деца и икономическо овластяване на жените.</w:t>
      </w:r>
    </w:p>
    <w:p w14:paraId="2D245432" w14:textId="77777777" w:rsidR="00427C08" w:rsidRPr="00427C08" w:rsidRDefault="00427C08" w:rsidP="00427C0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bg-BG"/>
        </w:rPr>
      </w:pPr>
      <w:r w:rsidRPr="00427C08">
        <w:rPr>
          <w:rFonts w:ascii="Times New Roman" w:hAnsi="Times New Roman"/>
          <w:i/>
          <w:noProof/>
          <w:sz w:val="24"/>
          <w:szCs w:val="24"/>
          <w:lang w:val="bg-BG"/>
        </w:rPr>
        <w:t>Основните предизвикателства в мирния процес в Колумбия са свързани с проблемите по отношение на сигурността на бившите бойци, преразпределението и достъпа до земя за проекти и жилища, устойчивостта на инициативите за генериране на доходи, включването в бюджета на местно и регионално равнище в местните планове за развитие за нуждите на повторното включване, стигматизацията и достъпа до финансиране от Съюза посредством банковата система.</w:t>
      </w:r>
    </w:p>
    <w:p w14:paraId="65BEBC88" w14:textId="77777777" w:rsidR="00427C08" w:rsidRPr="00427C08" w:rsidRDefault="00427C08" w:rsidP="00427C08">
      <w:pPr>
        <w:pStyle w:val="Heading2"/>
        <w:spacing w:before="0" w:after="120" w:line="240" w:lineRule="auto"/>
        <w:rPr>
          <w:rStyle w:val="Heading3Char"/>
          <w:rFonts w:ascii="Times New Roman" w:hAnsi="Times New Roman" w:cs="Times New Roman"/>
          <w:b/>
          <w:noProof/>
          <w:color w:val="2E74B5" w:themeColor="accent1" w:themeShade="BF"/>
          <w:lang w:val="bg-BG"/>
        </w:rPr>
      </w:pPr>
      <w:bookmarkStart w:id="8" w:name="_Toc74259758"/>
      <w:bookmarkStart w:id="9" w:name="_Toc76598366"/>
      <w:r w:rsidRPr="00427C08">
        <w:rPr>
          <w:rStyle w:val="Heading3Char"/>
          <w:rFonts w:ascii="Times New Roman" w:hAnsi="Times New Roman"/>
          <w:b/>
          <w:noProof/>
          <w:color w:val="2E74B5" w:themeColor="accent1" w:themeShade="BF"/>
          <w:lang w:val="bg-BG"/>
        </w:rPr>
        <w:t>Превантивна дипломация и посредничество</w:t>
      </w:r>
      <w:bookmarkEnd w:id="8"/>
      <w:bookmarkEnd w:id="9"/>
      <w:r w:rsidRPr="00427C08">
        <w:rPr>
          <w:rStyle w:val="Heading3Char"/>
          <w:rFonts w:ascii="Times New Roman" w:hAnsi="Times New Roman"/>
          <w:b/>
          <w:noProof/>
          <w:color w:val="2E74B5" w:themeColor="accent1" w:themeShade="BF"/>
          <w:lang w:val="bg-BG"/>
        </w:rPr>
        <w:t xml:space="preserve"> </w:t>
      </w:r>
    </w:p>
    <w:p w14:paraId="61539A5A"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Както е отбелязано в концепцията за посредничество за мир на ЕС</w:t>
      </w:r>
      <w:r w:rsidRPr="00427C08">
        <w:rPr>
          <w:rStyle w:val="FootnoteReference"/>
          <w:rFonts w:ascii="Times New Roman" w:hAnsi="Times New Roman" w:cs="Times New Roman"/>
          <w:noProof/>
          <w:sz w:val="24"/>
          <w:szCs w:val="24"/>
          <w:lang w:val="bg-BG"/>
        </w:rPr>
        <w:footnoteReference w:id="22"/>
      </w:r>
      <w:r w:rsidRPr="00427C08">
        <w:rPr>
          <w:rFonts w:ascii="Times New Roman" w:hAnsi="Times New Roman"/>
          <w:noProof/>
          <w:sz w:val="24"/>
          <w:szCs w:val="24"/>
          <w:lang w:val="bg-BG"/>
        </w:rPr>
        <w:t>, договореностите, свързани с въоръжените участници, са от основно значение при посредничеството и мирните преговори. Когато е възможно, преговарящите делегации следва да включват представители на въоръжените групировки и на общностите, засегнати от процесите на разоръжаване, демобилизация и реинтеграция. Чрез изпълними и реалистични разпоредби, които са специфични за процесите на разоръжаване, демобилизация и реинтеграция — в това число прекратяване на военните действия, примирия и механизми за споделяне на властта, както и договорености за сигурност — се увеличават шансовете за успешно помирение и стабилизиране. Ето защо е важно на ранен етап от преговорите да бъдат включени експерти в областта на разоръжаването, демобилизацията и реинтеграцията.</w:t>
      </w:r>
    </w:p>
    <w:p w14:paraId="5F554C94" w14:textId="77777777" w:rsidR="00427C08" w:rsidRPr="00427C08" w:rsidRDefault="00427C08" w:rsidP="00427C08">
      <w:pPr>
        <w:pStyle w:val="Heading2"/>
        <w:spacing w:before="0" w:after="120" w:line="240" w:lineRule="auto"/>
        <w:rPr>
          <w:rStyle w:val="Heading3Char"/>
          <w:rFonts w:ascii="Times New Roman" w:hAnsi="Times New Roman" w:cs="Times New Roman"/>
          <w:noProof/>
          <w:color w:val="2E74B5" w:themeColor="accent1" w:themeShade="BF"/>
          <w:lang w:val="bg-BG"/>
        </w:rPr>
      </w:pPr>
      <w:bookmarkStart w:id="10" w:name="_Toc74259759"/>
      <w:bookmarkStart w:id="11" w:name="_Toc76598367"/>
      <w:r w:rsidRPr="00427C08">
        <w:rPr>
          <w:rStyle w:val="Heading3Char"/>
          <w:rFonts w:ascii="Times New Roman" w:hAnsi="Times New Roman"/>
          <w:b/>
          <w:noProof/>
          <w:color w:val="2E74B5" w:themeColor="accent1" w:themeShade="BF"/>
          <w:lang w:val="bg-BG"/>
        </w:rPr>
        <w:t>Реформи в сектора на сигурността и подкрепа за върховенството на закона</w:t>
      </w:r>
      <w:r w:rsidRPr="00427C08">
        <w:rPr>
          <w:rStyle w:val="Heading3Char"/>
          <w:rFonts w:ascii="Times New Roman" w:hAnsi="Times New Roman"/>
          <w:noProof/>
          <w:color w:val="2E74B5" w:themeColor="accent1" w:themeShade="BF"/>
          <w:lang w:val="bg-BG"/>
        </w:rPr>
        <w:t xml:space="preserve"> </w:t>
      </w:r>
    </w:p>
    <w:p w14:paraId="6667BA75" w14:textId="77777777" w:rsidR="00427C08" w:rsidRPr="00427C08" w:rsidRDefault="00427C08" w:rsidP="00427C08">
      <w:pPr>
        <w:widowControl w:val="0"/>
        <w:autoSpaceDE w:val="0"/>
        <w:autoSpaceDN w:val="0"/>
        <w:adjustRightInd w:val="0"/>
        <w:spacing w:after="120" w:line="240" w:lineRule="auto"/>
        <w:ind w:right="76"/>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В съответствие с рамката за реформите в сектора за сигурност (РСС) в целия ЕС</w:t>
      </w:r>
      <w:r w:rsidRPr="00427C08">
        <w:rPr>
          <w:rStyle w:val="FootnoteReference"/>
          <w:rFonts w:ascii="Times New Roman" w:hAnsi="Times New Roman" w:cs="Times New Roman"/>
          <w:noProof/>
          <w:sz w:val="24"/>
          <w:szCs w:val="24"/>
          <w:lang w:val="bg-BG"/>
        </w:rPr>
        <w:footnoteReference w:id="23"/>
      </w:r>
      <w:r w:rsidRPr="00427C08">
        <w:rPr>
          <w:rFonts w:ascii="Times New Roman" w:hAnsi="Times New Roman"/>
          <w:noProof/>
          <w:sz w:val="24"/>
          <w:szCs w:val="24"/>
          <w:lang w:val="bg-BG"/>
        </w:rPr>
        <w:t xml:space="preserve"> РСС и разоръжаването, демобилизацията и реинтеграцията могат да бъдат тясно свързани. Тъй като РСС може да се възприеме като отслабване на униформените сили на дадена държава, а процесите на разоръжаване, демобилизация и реинтеграция като подкопаващи позицията на въоръжените групировки, участниците могат да посочат като условие за участието си в единия от двата процеса надеждния ангажимент на противника си към другия процес. </w:t>
      </w:r>
    </w:p>
    <w:p w14:paraId="3468FB89" w14:textId="77777777" w:rsidR="00427C08" w:rsidRPr="00427C08" w:rsidRDefault="00427C08" w:rsidP="00427C08">
      <w:pPr>
        <w:widowControl w:val="0"/>
        <w:autoSpaceDE w:val="0"/>
        <w:autoSpaceDN w:val="0"/>
        <w:adjustRightInd w:val="0"/>
        <w:spacing w:after="120" w:line="240" w:lineRule="auto"/>
        <w:ind w:right="76"/>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Реформите в сектора на сигурността следва да доведат до подобрения в отчетността и спазването на правата на човека в сектора на сигурността, както и до по-добра подкрепа за върховенството на закона и демократичното управление, като по този начин се работи за преодоляването на основните проблеми, от които се възползват въоръжените участници. </w:t>
      </w:r>
    </w:p>
    <w:p w14:paraId="3A86993A" w14:textId="77777777" w:rsidR="00427C08" w:rsidRPr="00427C08" w:rsidRDefault="00427C08" w:rsidP="00427C0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right="76"/>
        <w:jc w:val="both"/>
        <w:rPr>
          <w:rFonts w:ascii="Times New Roman" w:hAnsi="Times New Roman" w:cs="Times New Roman"/>
          <w:i/>
          <w:noProof/>
          <w:sz w:val="24"/>
          <w:szCs w:val="24"/>
          <w:lang w:val="bg-BG"/>
        </w:rPr>
      </w:pPr>
      <w:r w:rsidRPr="00427C08">
        <w:rPr>
          <w:rFonts w:ascii="Times New Roman" w:hAnsi="Times New Roman"/>
          <w:i/>
          <w:noProof/>
          <w:sz w:val="24"/>
          <w:szCs w:val="24"/>
          <w:lang w:val="bg-BG"/>
        </w:rPr>
        <w:t>В Кот д’Ивоар ЕС имаше основна роля в процеса на разоръжаване, демобилизация и реинтеграция, който започна през 2013 г., особено в областта на реинтеграцията. Правителството се съсредоточи върху разоръжаването и демобилизацията, а ЕС насочи усилията си към повторното включване и реинтеграцията посредством различни проекти. Освен това ЕС предостави допълнителна подкрепа за договора за държавно изграждане с акцент върху проекти в областта на реформите в сектора на правосъдието, националното помирение и предотвратяването на конфликти в подкрепа на организациите на гражданското общество и местните органи.</w:t>
      </w:r>
    </w:p>
    <w:p w14:paraId="58B11378" w14:textId="77777777" w:rsidR="00427C08" w:rsidRPr="00427C08" w:rsidRDefault="00427C08" w:rsidP="00427C08">
      <w:pPr>
        <w:pStyle w:val="Heading2"/>
        <w:spacing w:before="0" w:after="120" w:line="240" w:lineRule="auto"/>
        <w:rPr>
          <w:rStyle w:val="Heading3Char"/>
          <w:rFonts w:ascii="Times New Roman" w:hAnsi="Times New Roman" w:cs="Times New Roman"/>
          <w:b/>
          <w:noProof/>
          <w:color w:val="2E74B5" w:themeColor="accent1" w:themeShade="BF"/>
          <w:lang w:val="bg-BG"/>
        </w:rPr>
      </w:pPr>
      <w:r w:rsidRPr="00427C08">
        <w:rPr>
          <w:rStyle w:val="Heading3Char"/>
          <w:rFonts w:ascii="Times New Roman" w:hAnsi="Times New Roman"/>
          <w:b/>
          <w:noProof/>
          <w:color w:val="2E74B5" w:themeColor="accent1" w:themeShade="BF"/>
          <w:lang w:val="bg-BG"/>
        </w:rPr>
        <w:t>Мисии и операции по линия на ОПСО и мрежи от съветници по сигурността и отбраната</w:t>
      </w:r>
      <w:bookmarkEnd w:id="10"/>
      <w:bookmarkEnd w:id="11"/>
    </w:p>
    <w:p w14:paraId="1C44D4C9"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Усилията за разоръжаване, демобилизация и реинтеграция трябва да са съгласувани с дейността на ЕС в сектора на сигурността и отбраната. В съответствие с мандатите си гражданските и военните мисии и операции по линия на ОПСО следва да допринасят за създаването на благоприятна среда за процесите на разоръжаване, демобилизация и реинтеграция, като оказват подкрепа на националните и местните участници. Освен прекия им принос към специфичните компоненти на разоръжаването, демобилизацията и реинтеграцията мисиите по линия на ОПСО могат да допринесат и за дългосрочната реинтеграция на бивши бойци, преминали през тези процеси, чрез обучителни и наставнически дейности. </w:t>
      </w:r>
    </w:p>
    <w:p w14:paraId="17A3F5F8"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Съответните служби на Комисията, делегациите на ЕС, военните съветници на Европейската служба за външна дейност (ЕСВД) и мрежите от експерти по борбата с тероризма/сигурността, както и аташета по отбраната и съветниците по сигурността на държавите — членки на ЕС, следва да играят основна роля в осъществяването на диалог с националните въоръжени сили и правоприлагащи агенции на партньорските държави, участващи в процесите на разоръжаване, демобилизация и реинтеграция.</w:t>
      </w:r>
    </w:p>
    <w:p w14:paraId="081FE17F" w14:textId="77777777" w:rsidR="00427C08" w:rsidRPr="00427C08" w:rsidRDefault="00427C08" w:rsidP="00427C0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bg-BG"/>
        </w:rPr>
      </w:pPr>
      <w:r w:rsidRPr="00427C08">
        <w:rPr>
          <w:rFonts w:ascii="Times New Roman" w:hAnsi="Times New Roman"/>
          <w:i/>
          <w:noProof/>
          <w:sz w:val="24"/>
          <w:szCs w:val="24"/>
          <w:lang w:val="bg-BG"/>
        </w:rPr>
        <w:t>Водената от ЕС мисия за наблюдение в Аче (НМА) започна през 2005 г. с цел да се наблюдава и подкрепи мирният процес в провинцията Аче в Индонезия. НМА беше гражданска мисия, на която бе възложено извеждането от експлоатация на въоръжението на Движението за свобода на Аче (GAM) и преместването на неорганични военни и полицейски части. След като приключи мандата си за извеждане от експлоатация в началото на 2006 г., НМА продължи да наблюдава ситуацията с правата на човека, процеса на законодателна промяна и реинтеграцията на членовете на GAM до приключването на мисията през 2006 г.</w:t>
      </w:r>
    </w:p>
    <w:p w14:paraId="4A1A73AB" w14:textId="77777777" w:rsidR="00427C08" w:rsidRPr="00427C08" w:rsidRDefault="00427C08" w:rsidP="00427C08">
      <w:pPr>
        <w:pStyle w:val="Heading2"/>
        <w:spacing w:before="0" w:after="120" w:line="240" w:lineRule="auto"/>
        <w:rPr>
          <w:rStyle w:val="Heading3Char"/>
          <w:rFonts w:ascii="Times New Roman" w:hAnsi="Times New Roman" w:cs="Times New Roman"/>
          <w:b/>
          <w:noProof/>
          <w:color w:val="2E74B5" w:themeColor="accent1" w:themeShade="BF"/>
          <w:lang w:val="bg-BG"/>
        </w:rPr>
      </w:pPr>
      <w:bookmarkStart w:id="12" w:name="_Toc76598368"/>
      <w:bookmarkStart w:id="13" w:name="_Toc74259760"/>
      <w:r w:rsidRPr="00427C08">
        <w:rPr>
          <w:rStyle w:val="Heading3Char"/>
          <w:rFonts w:ascii="Times New Roman" w:hAnsi="Times New Roman"/>
          <w:b/>
          <w:noProof/>
          <w:color w:val="2E74B5" w:themeColor="accent1" w:themeShade="BF"/>
          <w:lang w:val="bg-BG"/>
        </w:rPr>
        <w:t xml:space="preserve">Предотвратяване и борба срещу насилническия екстремизъм </w:t>
      </w:r>
    </w:p>
    <w:p w14:paraId="73D4393D"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Много процеси, свързани с  разоръжаване, демобилизация и реинтеграция, протичат в контекст, в който насилническият екстремизъм заема силна позиция в динамиката на конфликта. В такъв контекст, в допълнение към външното измерение на Програмата на ЕС за борба с тероризма</w:t>
      </w:r>
      <w:r w:rsidRPr="00427C08">
        <w:rPr>
          <w:rStyle w:val="FootnoteReference"/>
          <w:rFonts w:ascii="Times New Roman" w:hAnsi="Times New Roman" w:cs="Times New Roman"/>
          <w:noProof/>
          <w:sz w:val="24"/>
          <w:szCs w:val="24"/>
          <w:lang w:val="bg-BG"/>
        </w:rPr>
        <w:footnoteReference w:id="24"/>
      </w:r>
      <w:r w:rsidRPr="00427C08">
        <w:rPr>
          <w:rFonts w:ascii="Times New Roman" w:hAnsi="Times New Roman"/>
          <w:noProof/>
          <w:sz w:val="24"/>
          <w:szCs w:val="24"/>
          <w:lang w:val="bg-BG"/>
        </w:rPr>
        <w:t xml:space="preserve">, инициативите за предотвратяване и борба срещу насилническия екстремизъм допринасят за общото предотвратяване на тероризма и насилническия екстремизъм — в това число набирането (повторното набиране) от въоръжени групировки — като те могат да включват елементи, насочени към дерадикализиране. Когато тези инициативи са в пълно съответствие със стандартите на международното право в областта на правата на човека, целта им е да се предоставят необходимите знания и умения на правителствата, гражданското общество, общностите и местните органи, за да могат те да се справят по-добре с тази динамика и да подобрят устойчивостта на общностите и местния капацитет за предотвратяване на конфликтите и насилническия екстремизъм. Служителите, работещи в тези условия, следва да са добре запознати с инициативите за разоръжаване, демобилизация и реинтеграция и за предотвратяване и борба срещу насилническия екстремизъм, имащи отношение към държавите или регионите, в които работят, за да могат да разбират целите и специфичните методи на работа, както и да търсят полезни взаимодействия между различните ангажименти. </w:t>
      </w:r>
    </w:p>
    <w:p w14:paraId="2FA4DC5C" w14:textId="77777777" w:rsidR="00427C08" w:rsidRPr="00427C08" w:rsidRDefault="00427C08" w:rsidP="00427C08">
      <w:pPr>
        <w:widowControl w:val="0"/>
        <w:autoSpaceDE w:val="0"/>
        <w:autoSpaceDN w:val="0"/>
        <w:adjustRightInd w:val="0"/>
        <w:spacing w:after="120" w:line="240" w:lineRule="auto"/>
        <w:ind w:right="76"/>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Инициативите за предотвратяване и борба срещу насилническия екстремизъм могат да съдържат принудителни елементи, например когато органите прилагат стратегии за рехабилитация и реинтеграция след наказателно преследване. Така инициативите за предотвратяване и борба срещу насилническия екстремизъм се различават от  разоръжаването, демобилизацията и реинтеграцията, тъй като последните при всички положения имат доброволен характер, който трябва да бъде гарантиран. </w:t>
      </w:r>
    </w:p>
    <w:p w14:paraId="62A6915B" w14:textId="77777777" w:rsidR="00427C08" w:rsidRPr="00427C08" w:rsidRDefault="00427C08" w:rsidP="00427C08">
      <w:pPr>
        <w:pStyle w:val="CommentText"/>
        <w:keepNext/>
        <w:keepLines/>
        <w:spacing w:after="120"/>
        <w:jc w:val="both"/>
        <w:rPr>
          <w:rStyle w:val="Heading3Char"/>
          <w:rFonts w:ascii="Times New Roman" w:hAnsi="Times New Roman" w:cs="Times New Roman"/>
          <w:b/>
          <w:noProof/>
          <w:color w:val="2E74B5" w:themeColor="accent1" w:themeShade="BF"/>
          <w:lang w:val="bg-BG"/>
        </w:rPr>
      </w:pPr>
      <w:r w:rsidRPr="00427C08">
        <w:rPr>
          <w:rStyle w:val="Heading3Char"/>
          <w:rFonts w:ascii="Times New Roman" w:hAnsi="Times New Roman"/>
          <w:b/>
          <w:noProof/>
          <w:color w:val="2E74B5" w:themeColor="accent1" w:themeShade="BF"/>
          <w:lang w:val="bg-BG"/>
        </w:rPr>
        <w:t>Правосъдие в условия на преход</w:t>
      </w:r>
    </w:p>
    <w:p w14:paraId="2B234B64" w14:textId="77777777" w:rsidR="00427C08" w:rsidRPr="00427C08" w:rsidRDefault="00427C08" w:rsidP="00427C08">
      <w:pPr>
        <w:pStyle w:val="CommentText"/>
        <w:spacing w:after="12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Понятието „правосъдие в условия на преход“ се отнася до пълния набор от процеси и механизми, свързани с опитите на обществото да се справи с извършени в миналото мащабни злоупотреби, за да се гарантира отчетност, да се раздаде правосъдие и да се постигнат помирение и мир</w:t>
      </w:r>
      <w:r w:rsidRPr="00427C08">
        <w:rPr>
          <w:rStyle w:val="FootnoteReference"/>
          <w:rFonts w:ascii="Times New Roman" w:hAnsi="Times New Roman" w:cs="Times New Roman"/>
          <w:noProof/>
          <w:sz w:val="24"/>
          <w:szCs w:val="24"/>
          <w:lang w:val="bg-BG"/>
        </w:rPr>
        <w:footnoteReference w:id="25"/>
      </w:r>
      <w:r w:rsidRPr="00427C08">
        <w:rPr>
          <w:rFonts w:ascii="Times New Roman" w:hAnsi="Times New Roman"/>
          <w:noProof/>
          <w:sz w:val="24"/>
          <w:szCs w:val="24"/>
          <w:lang w:val="bg-BG"/>
        </w:rPr>
        <w:t xml:space="preserve">. За да се предотврати евентуално повтаряне на насилието, рамките за разоръжаване, демобилизация и реинтеграция често се използват едновременно, като е възможно те да включват процеси и ангажименти, свързани с правосъдието в условия на преход. Всъщност правосъдието в условия на преход и разоръжаването, демобилизацията и реинтеграцията са взаимно подсилващи се процеси, които имат общата дългосрочна цел да допринесат за устойчив мир и зачитане на върховенството на закона. </w:t>
      </w:r>
    </w:p>
    <w:p w14:paraId="0410146C" w14:textId="77777777" w:rsidR="00427C08" w:rsidRPr="00427C08" w:rsidRDefault="00427C08" w:rsidP="00427C0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bg-BG"/>
        </w:rPr>
      </w:pPr>
      <w:r w:rsidRPr="00427C08">
        <w:rPr>
          <w:rFonts w:ascii="Times New Roman" w:hAnsi="Times New Roman"/>
          <w:i/>
          <w:noProof/>
          <w:sz w:val="24"/>
          <w:szCs w:val="24"/>
          <w:lang w:val="bg-BG"/>
        </w:rPr>
        <w:t xml:space="preserve">Подписаното през 2014 г. всеобхватно споразумение за Бангсаморо между правителството на Филипините и Ислямския фронт за освобождение на моро (ИФОМ) включва приложение за нормализиране, отнасящо се до свързаните с процесите на разоръжаване, демобилизация и реинтеграция аспекти на конфликта. Пътят към нормализирането има четири основни компонента, а именно сигурност — чрез официалното сваляне на оръжията (демобилизация) от 40 000 бойци, социално-икономическо развитие, мерки за изграждане на доверие, както и правосъдие в условията на преход и помирение. С цялостния подход на ЕС се установяват връзки между усилията за ранно възстановяване и дългосрочното съпровождане на местните органи, за да се положат основите на устойчиво развитие чрез укрепване на управлението, на върховенството на закона и на местния икономически капацитет. Тези програми бяха съгласувани с други инициативи на ЕС, които също предоставят подкрепа за общностите, институционалното изграждане и развитието на селските райони в Бангсаморо и Минданао. Освен това ЕС подкрепя реконструкцията в град Марауи чрез програма в подкрепа на </w:t>
      </w:r>
      <w:r w:rsidRPr="00427C08">
        <w:rPr>
          <w:rFonts w:ascii="Times New Roman" w:hAnsi="Times New Roman"/>
          <w:i/>
          <w:noProof/>
          <w:color w:val="000000" w:themeColor="text1"/>
          <w:sz w:val="24"/>
          <w:szCs w:val="24"/>
          <w:lang w:val="bg-BG"/>
        </w:rPr>
        <w:t>преходния орган на Бангсаморо</w:t>
      </w:r>
      <w:r w:rsidRPr="00427C08">
        <w:rPr>
          <w:rFonts w:ascii="Times New Roman" w:hAnsi="Times New Roman"/>
          <w:i/>
          <w:noProof/>
          <w:sz w:val="24"/>
          <w:szCs w:val="24"/>
          <w:lang w:val="bg-BG"/>
        </w:rPr>
        <w:t>, която обхваща и въпроси на гражданското общество и правосъдието в условия на преход, програми за развитие на селските райони и програми за селскостопански предприятия.</w:t>
      </w:r>
    </w:p>
    <w:p w14:paraId="77EC2595" w14:textId="77777777" w:rsidR="00427C08" w:rsidRPr="00427C08" w:rsidRDefault="00427C08" w:rsidP="00427C08">
      <w:pPr>
        <w:pStyle w:val="Heading2"/>
        <w:spacing w:before="0" w:after="120" w:line="240" w:lineRule="auto"/>
        <w:rPr>
          <w:rStyle w:val="Heading3Char"/>
          <w:rFonts w:ascii="Times New Roman" w:hAnsi="Times New Roman" w:cs="Times New Roman"/>
          <w:noProof/>
          <w:color w:val="2E74B5" w:themeColor="accent1" w:themeShade="BF"/>
          <w:lang w:val="bg-BG"/>
        </w:rPr>
      </w:pPr>
      <w:bookmarkStart w:id="14" w:name="_Toc73712815"/>
      <w:bookmarkStart w:id="15" w:name="_Toc76598369"/>
      <w:bookmarkStart w:id="16" w:name="_Toc74259761"/>
      <w:bookmarkEnd w:id="12"/>
      <w:bookmarkEnd w:id="13"/>
      <w:r w:rsidRPr="00427C08">
        <w:rPr>
          <w:rStyle w:val="Heading3Char"/>
          <w:rFonts w:ascii="Times New Roman" w:hAnsi="Times New Roman"/>
          <w:b/>
          <w:noProof/>
          <w:color w:val="2E74B5" w:themeColor="accent1" w:themeShade="BF"/>
          <w:lang w:val="bg-BG"/>
        </w:rPr>
        <w:t>Малки оръжия и леки въоръжения, управление на оръжия и боеприпаси</w:t>
      </w:r>
      <w:bookmarkEnd w:id="14"/>
      <w:r w:rsidRPr="00427C08">
        <w:rPr>
          <w:rStyle w:val="Heading3Char"/>
          <w:rFonts w:ascii="Times New Roman" w:hAnsi="Times New Roman"/>
          <w:b/>
          <w:noProof/>
          <w:color w:val="2E74B5" w:themeColor="accent1" w:themeShade="BF"/>
          <w:lang w:val="bg-BG"/>
        </w:rPr>
        <w:t xml:space="preserve"> и противоминни действия</w:t>
      </w:r>
      <w:bookmarkEnd w:id="15"/>
    </w:p>
    <w:p w14:paraId="396AC7BB"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Разпространението и отклоняването на малки оръжия и леки въоръжения (МОЛВ) и боеприпаси за тях в контекста на конфликт улесняват превъоръжаването и мобилизирането на въоръжени групировки и възпрепятстват възможните ефекти, които може да има даден процес на разоръжаване, демобилизация и реинтеграция върху предотвратяването на евентуално повтаряне на конфликта. Освен това те водят до дългосрочен риск за вътрешната сигурност на ЕС, тъй като е възможно запасите да бъдат отклонени към престъпни групи в ЕС или в региона. Следователно разоръжаването в рамките на даден процес на разоръжаване, демобилизация и реинтеграция следва да се основава на по-общи политически процеси на управление на оръжията и боеприпасите. Това ще спомогне за подсилване на стратегиите за следконфликтно възстановяване, на оръжейното ембарго и на съобразените с равенството между половете регулаторни, оперативни и технически усилия за контрол на МОЛВ в съответствие със стратегията на ЕС за МОЛВ</w:t>
      </w:r>
      <w:r w:rsidRPr="00427C08">
        <w:rPr>
          <w:rStyle w:val="FootnoteReference"/>
          <w:rFonts w:ascii="Times New Roman" w:hAnsi="Times New Roman" w:cs="Times New Roman"/>
          <w:noProof/>
          <w:sz w:val="24"/>
          <w:szCs w:val="24"/>
          <w:lang w:val="bg-BG"/>
        </w:rPr>
        <w:footnoteReference w:id="26"/>
      </w:r>
      <w:r w:rsidRPr="00427C08">
        <w:rPr>
          <w:rFonts w:ascii="Times New Roman" w:hAnsi="Times New Roman"/>
          <w:noProof/>
          <w:sz w:val="24"/>
          <w:szCs w:val="24"/>
          <w:lang w:val="bg-BG"/>
        </w:rPr>
        <w:t xml:space="preserve">. Участието на държавите — членки на ЕС, и сътрудничеството с държави извън ЕС са от ключово значение за постигането на тази цел. </w:t>
      </w:r>
    </w:p>
    <w:p w14:paraId="507D1B7D"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Разоръжаването, демобилизацията и реинтеграцията са тясно свързани с инициативите за противоминни дейности, които биха могли да спомогнат за повишаване на цялостното доверие в мирния процес. Те могат да бъдат част от дейностите по повторно включване и реинтеграция, а именно чрез инициативи за запознаване с риска от мини. Освен това благодарение на хуманитарното разминиране се дава възможност за достъп до земя и форми на поминък и се подобрява ситуацията със сигурността на засегнатите общности.</w:t>
      </w:r>
    </w:p>
    <w:p w14:paraId="6A9459FB" w14:textId="77777777" w:rsidR="00427C08" w:rsidRPr="00427C08" w:rsidRDefault="00427C08" w:rsidP="00427C08">
      <w:pPr>
        <w:pStyle w:val="Heading2"/>
        <w:spacing w:before="0" w:after="120" w:line="240" w:lineRule="auto"/>
        <w:rPr>
          <w:rStyle w:val="Heading3Char"/>
          <w:rFonts w:ascii="Times New Roman" w:hAnsi="Times New Roman" w:cs="Times New Roman"/>
          <w:b/>
          <w:noProof/>
          <w:color w:val="2E74B5" w:themeColor="accent1" w:themeShade="BF"/>
          <w:lang w:val="bg-BG"/>
        </w:rPr>
      </w:pPr>
      <w:bookmarkStart w:id="17" w:name="_Toc74259762"/>
      <w:bookmarkStart w:id="18" w:name="_Toc76598370"/>
      <w:bookmarkEnd w:id="16"/>
      <w:r w:rsidRPr="00427C08">
        <w:rPr>
          <w:rStyle w:val="Heading3Char"/>
          <w:rFonts w:ascii="Times New Roman" w:hAnsi="Times New Roman"/>
          <w:b/>
          <w:noProof/>
          <w:color w:val="2E74B5" w:themeColor="accent1" w:themeShade="BF"/>
          <w:lang w:val="bg-BG"/>
        </w:rPr>
        <w:t xml:space="preserve">Борба с организираната престъпност и борба с незаконната експлоатация на природни ресурси </w:t>
      </w:r>
      <w:bookmarkEnd w:id="17"/>
      <w:bookmarkEnd w:id="18"/>
    </w:p>
    <w:p w14:paraId="584CEEA3" w14:textId="77777777" w:rsidR="00427C08" w:rsidRPr="00427C08" w:rsidRDefault="00427C08" w:rsidP="00427C08">
      <w:pPr>
        <w:pStyle w:val="CommentText"/>
        <w:spacing w:after="12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Активното присъствие на престъпни организации, занимаващи се с незаконни и военни икономики, често подклажда конфликтите и може да играе решаваща роля при евентуалното повторно мобилизиране на въоръжени групировки или най-общо да предизвика конфликти. При липсата на действащи държавни институции престъпните структури процъфтяват, като е възможно да установят симбиотични връзки или да намерят общи цели с въоръжените сили и групировки. В този контекст борбата с организираната престъпност и корупцията</w:t>
      </w:r>
      <w:r w:rsidRPr="00427C08">
        <w:rPr>
          <w:rStyle w:val="FootnoteReference"/>
          <w:rFonts w:ascii="Times New Roman" w:hAnsi="Times New Roman" w:cs="Times New Roman"/>
          <w:noProof/>
          <w:sz w:val="24"/>
          <w:szCs w:val="24"/>
          <w:lang w:val="bg-BG"/>
        </w:rPr>
        <w:footnoteReference w:id="27"/>
      </w:r>
      <w:r w:rsidRPr="00427C08">
        <w:rPr>
          <w:rFonts w:ascii="Times New Roman" w:hAnsi="Times New Roman"/>
          <w:noProof/>
          <w:sz w:val="24"/>
          <w:szCs w:val="24"/>
          <w:lang w:val="bg-BG"/>
        </w:rPr>
        <w:t xml:space="preserve"> може да допринесе за по-ефективни процеси на разоръжаване, демобилизация и реинтеграция и за достигане на общата цел за устойчив мир. В тези условия ЕС може да използва въздействието си, като засили сътрудничеството в тази област с трети държави и международни организации.</w:t>
      </w:r>
    </w:p>
    <w:p w14:paraId="1A6BD81B" w14:textId="77777777" w:rsidR="00427C08" w:rsidRPr="00427C08" w:rsidRDefault="00427C08" w:rsidP="00427C08">
      <w:pPr>
        <w:pStyle w:val="CommentText"/>
        <w:spacing w:after="12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Освен това незаконният контрол или нерегламентираните експлоатация и управление на природни ресурси могат да доведат до влошаване на уязвимостта към изменението на климата и природните бедствия, както и до увреждане на околната среда. Въпреки това, когато се управляват по устойчив, чувствителен към конфликтите и приобщаващ начин, включително чрез регулаторни рамки за дължима грижа, природните ресурси могат да допринесат за процесите на социално-икономическа реинтеграция и за по-общото развитие чрез привличане на инвестиции и устойчиви възможности за заетост. Поради това при планирането на социално-икономическата реинтеграция е особено важно да се оценят уязвимостите и рисковете във връзка с увреждането на околната среда и изменението на климата, например по отношение на селскостопанското развитие, рибарството, горското стопанство, земеползването, управлението на водите и др. </w:t>
      </w:r>
    </w:p>
    <w:p w14:paraId="364E4512" w14:textId="77777777" w:rsidR="00427C08" w:rsidRPr="00427C08" w:rsidRDefault="00427C08" w:rsidP="00427C08">
      <w:pPr>
        <w:pStyle w:val="Heading2"/>
        <w:spacing w:before="0" w:after="120" w:line="240" w:lineRule="auto"/>
        <w:rPr>
          <w:rStyle w:val="Heading3Char"/>
          <w:rFonts w:ascii="Times New Roman" w:hAnsi="Times New Roman" w:cs="Times New Roman"/>
          <w:b/>
          <w:noProof/>
          <w:color w:val="2E74B5" w:themeColor="accent1" w:themeShade="BF"/>
          <w:lang w:val="bg-BG"/>
        </w:rPr>
      </w:pPr>
      <w:r w:rsidRPr="00427C08">
        <w:rPr>
          <w:rStyle w:val="Heading3Char"/>
          <w:rFonts w:ascii="Times New Roman" w:hAnsi="Times New Roman"/>
          <w:b/>
          <w:noProof/>
          <w:color w:val="2E74B5" w:themeColor="accent1" w:themeShade="BF"/>
          <w:lang w:val="bg-BG"/>
        </w:rPr>
        <w:t>Борба с трафика на хора</w:t>
      </w:r>
    </w:p>
    <w:p w14:paraId="73BCA565"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Зоните на конфликт създават благоприятни условия за процъфтяването на трафика на хора, което допълнително засяга уязвимите групи. Все по-трудните икономически обстоятелства, отслабването или дори разпадането на върховенството на закона и ограниченото наличие на социални услуги водят до засилване на изолацията на населението въз основа на фактори като неравенството между половете, бедността, социалното изключване и етническата принадлежност. Това от своя страна води до увеличаване на уязвимостта на местното население към трафика на хора, особено на жени и деца. Децата често биват експлоатирани като войници или в други роли на принудително подчинение, напр. като носачи, готвачи, наблюдатели и събирачи на разузнавателни сведения, както и като сексуални роби. Трансграничният характер на трафика на хора е от особено значение, тъй като престъпните организации често действат чрез добре структурирани и професионални мрежи както офлайн, така и онлайн. ЕС ще продължи да съсредоточава усилията си върху разбиването на престъпните бизнес модели на трафикантите и върху защитата и овластяването на жертвите, особено на жените и децата</w:t>
      </w:r>
      <w:r w:rsidRPr="00427C08">
        <w:rPr>
          <w:rStyle w:val="FootnoteReference"/>
          <w:rFonts w:ascii="Times New Roman" w:hAnsi="Times New Roman" w:cs="Times New Roman"/>
          <w:noProof/>
          <w:sz w:val="24"/>
          <w:szCs w:val="24"/>
          <w:lang w:val="bg-BG"/>
        </w:rPr>
        <w:footnoteReference w:id="28"/>
      </w:r>
      <w:r w:rsidRPr="00427C08">
        <w:rPr>
          <w:rFonts w:ascii="Times New Roman" w:hAnsi="Times New Roman"/>
          <w:noProof/>
          <w:sz w:val="24"/>
          <w:szCs w:val="24"/>
          <w:lang w:val="bg-BG"/>
        </w:rPr>
        <w:t>.</w:t>
      </w:r>
      <w:bookmarkStart w:id="19" w:name="_Toc76598372"/>
    </w:p>
    <w:p w14:paraId="2721F613"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p>
    <w:p w14:paraId="5CE9FD69" w14:textId="77777777" w:rsidR="00427C08" w:rsidRPr="00427C08" w:rsidRDefault="00427C08" w:rsidP="00427C08">
      <w:pPr>
        <w:pStyle w:val="Heading1"/>
        <w:spacing w:before="0" w:after="120" w:line="240" w:lineRule="auto"/>
        <w:jc w:val="both"/>
        <w:rPr>
          <w:rFonts w:ascii="Times New Roman" w:hAnsi="Times New Roman" w:cs="Times New Roman"/>
          <w:b/>
          <w:noProof/>
          <w:sz w:val="24"/>
          <w:szCs w:val="24"/>
          <w:lang w:val="bg-BG"/>
        </w:rPr>
      </w:pPr>
      <w:r w:rsidRPr="00427C08">
        <w:rPr>
          <w:rFonts w:ascii="Times New Roman" w:hAnsi="Times New Roman"/>
          <w:b/>
          <w:noProof/>
          <w:sz w:val="24"/>
          <w:szCs w:val="24"/>
          <w:lang w:val="bg-BG"/>
        </w:rPr>
        <w:t xml:space="preserve">4. Ръководни принципи за подкрепата на ЕС за процесите на разоръжаване, демобилизация и реинтеграция </w:t>
      </w:r>
      <w:bookmarkEnd w:id="19"/>
    </w:p>
    <w:p w14:paraId="17AB7C10"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Подходът към оказването на подкрепа за  разоръжаването, демобилизацията и реинтеграцията варира значително в зависимост от фазата на конфликта, неговата динамика, вида на прекратяване на военните действия и степента на участие на международната общност. Подкрепата, предоставена от Съюза в съответствие с международното право, следва да бъде </w:t>
      </w:r>
      <w:r w:rsidRPr="00427C08">
        <w:rPr>
          <w:rFonts w:ascii="Times New Roman" w:hAnsi="Times New Roman"/>
          <w:b/>
          <w:noProof/>
          <w:sz w:val="24"/>
          <w:szCs w:val="24"/>
          <w:lang w:val="bg-BG"/>
        </w:rPr>
        <w:t>реалистична, гъвкава, чувствителна към конфликтите</w:t>
      </w:r>
      <w:r w:rsidRPr="00427C08">
        <w:rPr>
          <w:rFonts w:ascii="Times New Roman" w:hAnsi="Times New Roman"/>
          <w:noProof/>
          <w:sz w:val="24"/>
          <w:szCs w:val="24"/>
          <w:lang w:val="bg-BG"/>
        </w:rPr>
        <w:t xml:space="preserve"> и да се ръководи от </w:t>
      </w:r>
      <w:r w:rsidRPr="00427C08">
        <w:rPr>
          <w:rFonts w:ascii="Times New Roman" w:hAnsi="Times New Roman"/>
          <w:b/>
          <w:noProof/>
          <w:sz w:val="24"/>
          <w:szCs w:val="24"/>
          <w:lang w:val="bg-BG"/>
        </w:rPr>
        <w:t>следните специални принципи</w:t>
      </w:r>
      <w:r w:rsidRPr="00427C08">
        <w:rPr>
          <w:rFonts w:ascii="Times New Roman" w:hAnsi="Times New Roman"/>
          <w:noProof/>
          <w:sz w:val="24"/>
          <w:szCs w:val="24"/>
          <w:lang w:val="bg-BG"/>
        </w:rPr>
        <w:t>:</w:t>
      </w:r>
    </w:p>
    <w:p w14:paraId="28C34044" w14:textId="77777777" w:rsidR="00427C08" w:rsidRPr="00427C08" w:rsidRDefault="00427C08" w:rsidP="00427C08">
      <w:pPr>
        <w:pStyle w:val="Heading2"/>
        <w:numPr>
          <w:ilvl w:val="0"/>
          <w:numId w:val="14"/>
        </w:numPr>
        <w:spacing w:before="0" w:after="120" w:line="240" w:lineRule="auto"/>
        <w:jc w:val="both"/>
        <w:rPr>
          <w:rFonts w:ascii="Times New Roman" w:hAnsi="Times New Roman" w:cs="Times New Roman"/>
          <w:b/>
          <w:noProof/>
          <w:sz w:val="24"/>
          <w:szCs w:val="24"/>
          <w:lang w:val="bg-BG"/>
        </w:rPr>
      </w:pPr>
      <w:bookmarkStart w:id="20" w:name="_Toc76598373"/>
      <w:r w:rsidRPr="00427C08">
        <w:rPr>
          <w:rFonts w:ascii="Times New Roman" w:hAnsi="Times New Roman"/>
          <w:b/>
          <w:noProof/>
          <w:sz w:val="24"/>
          <w:szCs w:val="24"/>
          <w:lang w:val="bg-BG"/>
        </w:rPr>
        <w:t>Основаност на политики</w:t>
      </w:r>
      <w:bookmarkEnd w:id="20"/>
      <w:r w:rsidRPr="00427C08">
        <w:rPr>
          <w:rFonts w:ascii="Times New Roman" w:hAnsi="Times New Roman"/>
          <w:b/>
          <w:noProof/>
          <w:sz w:val="24"/>
          <w:szCs w:val="24"/>
          <w:lang w:val="bg-BG"/>
        </w:rPr>
        <w:t xml:space="preserve"> и добра координация с партньорите</w:t>
      </w:r>
    </w:p>
    <w:p w14:paraId="65852AFF"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Чрез засилен подход въз основа на политики, ЕС ще може ефективно да интегрира и координира усилията си и да смекчи свързаните рискове</w:t>
      </w:r>
      <w:r w:rsidRPr="00427C08">
        <w:rPr>
          <w:rStyle w:val="FootnoteReference"/>
          <w:rFonts w:ascii="Times New Roman" w:hAnsi="Times New Roman" w:cs="Times New Roman"/>
          <w:noProof/>
          <w:sz w:val="24"/>
          <w:szCs w:val="24"/>
          <w:lang w:val="bg-BG"/>
        </w:rPr>
        <w:footnoteReference w:id="29"/>
      </w:r>
      <w:r w:rsidRPr="00427C08">
        <w:rPr>
          <w:rFonts w:ascii="Times New Roman" w:hAnsi="Times New Roman"/>
          <w:noProof/>
          <w:sz w:val="24"/>
          <w:szCs w:val="24"/>
          <w:lang w:val="bg-BG"/>
        </w:rPr>
        <w:t>, като същевременно си взаимодейства с ключови участници в областта на изграждането на мир, дипломацията, развитието и хуманитарната помощ. Делегациите на Съюза, специалните представители на ЕС, мисиите и операциите по линия на ОПСО и представителствата на държавите членки в партньорските държави играят основна роля за полагането на основите за по-силен и взаимосвързан принос от страна на ЕС.</w:t>
      </w:r>
    </w:p>
    <w:p w14:paraId="40CF5E9D"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Като поддръжник на ефективното многостранно сътрудничество ЕС ще се възползва от ценни партньорства с ООН, Световната банка, регионални организации като Африканския съюз и Организацията за сигурност и сътрудничество в Европа, трети държави и национални участници, наред с местни участници, общности, предприятия от частния сектор и участници от гражданското общество. Освен това ЕС ще подкрепя усилията за разоръжаване, демобилизация и реинтеграция, като насърчава присъединяването към многостранни инструменти и тяхното използване.</w:t>
      </w:r>
    </w:p>
    <w:p w14:paraId="6E6D8F0A" w14:textId="77777777" w:rsidR="00427C08" w:rsidRPr="00427C08" w:rsidRDefault="00427C08" w:rsidP="00427C08">
      <w:pPr>
        <w:pStyle w:val="Heading2"/>
        <w:numPr>
          <w:ilvl w:val="0"/>
          <w:numId w:val="14"/>
        </w:numPr>
        <w:spacing w:before="0" w:after="120" w:line="240" w:lineRule="auto"/>
        <w:jc w:val="both"/>
        <w:rPr>
          <w:rFonts w:ascii="Times New Roman" w:hAnsi="Times New Roman" w:cs="Times New Roman"/>
          <w:b/>
          <w:noProof/>
          <w:sz w:val="24"/>
          <w:szCs w:val="24"/>
          <w:lang w:val="bg-BG"/>
        </w:rPr>
      </w:pPr>
      <w:bookmarkStart w:id="21" w:name="_Toc76598374"/>
      <w:r w:rsidRPr="00427C08">
        <w:rPr>
          <w:rFonts w:ascii="Times New Roman" w:hAnsi="Times New Roman"/>
          <w:b/>
          <w:noProof/>
          <w:sz w:val="24"/>
          <w:szCs w:val="24"/>
          <w:lang w:val="bg-BG"/>
        </w:rPr>
        <w:t>Национална и местна ангажираност</w:t>
      </w:r>
      <w:bookmarkEnd w:id="21"/>
    </w:p>
    <w:p w14:paraId="7C1562F2"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Въпреки че външният принос, включително на регионално равнище, може да улесни създаването на благоприятна за разоръжаване, демобилизация и реинтеграция среда, отговорността, ангажиментът и работата на участниците на национално, местно и общностно равнище остават от основно значение. За да постигне устойчиви резултати, ЕС ще координира усилията си чрез национални и регионални стратегии с цел да засили ангажираността, включително в райони с лесни за преминаване граници. Това следва да спомогне за изграждането на върховенството на закона и укрепването на отговорни институции и капацитет, като например агенции и органи, свързани с процесите на разоръжаване, демобилизация и реинтеграция, и съответни инициативи на общността и гражданското общество. </w:t>
      </w:r>
    </w:p>
    <w:p w14:paraId="5B81E8E8" w14:textId="77777777" w:rsidR="00427C08" w:rsidRPr="00427C08" w:rsidRDefault="00427C08" w:rsidP="00427C08">
      <w:pPr>
        <w:pStyle w:val="Heading2"/>
        <w:numPr>
          <w:ilvl w:val="0"/>
          <w:numId w:val="14"/>
        </w:numPr>
        <w:spacing w:before="0" w:after="120" w:line="240" w:lineRule="auto"/>
        <w:jc w:val="both"/>
        <w:rPr>
          <w:rFonts w:ascii="Times New Roman" w:hAnsi="Times New Roman" w:cs="Times New Roman"/>
          <w:b/>
          <w:noProof/>
          <w:sz w:val="24"/>
          <w:szCs w:val="24"/>
          <w:lang w:val="bg-BG"/>
        </w:rPr>
      </w:pPr>
      <w:bookmarkStart w:id="22" w:name="_Toc76598376"/>
      <w:r w:rsidRPr="00427C08">
        <w:rPr>
          <w:rFonts w:ascii="Times New Roman" w:hAnsi="Times New Roman"/>
          <w:b/>
          <w:noProof/>
          <w:sz w:val="24"/>
          <w:szCs w:val="24"/>
          <w:lang w:val="bg-BG"/>
        </w:rPr>
        <w:t>Ориентираност към хората</w:t>
      </w:r>
      <w:bookmarkEnd w:id="22"/>
      <w:r w:rsidRPr="00427C08">
        <w:rPr>
          <w:rFonts w:ascii="Times New Roman" w:hAnsi="Times New Roman"/>
          <w:b/>
          <w:noProof/>
          <w:sz w:val="24"/>
          <w:szCs w:val="24"/>
          <w:lang w:val="bg-BG"/>
        </w:rPr>
        <w:t xml:space="preserve"> и доброволен характер</w:t>
      </w:r>
    </w:p>
    <w:p w14:paraId="21D0E406"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ЕС ще прилага принципите за </w:t>
      </w:r>
      <w:r w:rsidRPr="00427C08">
        <w:rPr>
          <w:rFonts w:ascii="Times New Roman" w:hAnsi="Times New Roman"/>
          <w:i/>
          <w:noProof/>
          <w:sz w:val="24"/>
          <w:szCs w:val="24"/>
          <w:lang w:val="bg-BG"/>
        </w:rPr>
        <w:t>ненанасяне на вреда</w:t>
      </w:r>
      <w:r w:rsidRPr="00427C08">
        <w:rPr>
          <w:rFonts w:ascii="Times New Roman" w:hAnsi="Times New Roman"/>
          <w:noProof/>
          <w:sz w:val="24"/>
          <w:szCs w:val="24"/>
          <w:lang w:val="bg-BG"/>
        </w:rPr>
        <w:t xml:space="preserve"> и </w:t>
      </w:r>
      <w:r w:rsidRPr="00427C08">
        <w:rPr>
          <w:rFonts w:ascii="Times New Roman" w:hAnsi="Times New Roman"/>
          <w:i/>
          <w:noProof/>
          <w:sz w:val="24"/>
          <w:szCs w:val="24"/>
          <w:lang w:val="bg-BG"/>
        </w:rPr>
        <w:t>да не се пренебрегва никой</w:t>
      </w:r>
      <w:r w:rsidRPr="00427C08">
        <w:rPr>
          <w:rFonts w:ascii="Times New Roman" w:hAnsi="Times New Roman"/>
          <w:noProof/>
          <w:sz w:val="24"/>
          <w:szCs w:val="24"/>
          <w:lang w:val="bg-BG"/>
        </w:rPr>
        <w:t xml:space="preserve"> и ще упражнява дължима грижа по отношение на правата на човека, както и чувствителност към конфликти. </w:t>
      </w:r>
    </w:p>
    <w:p w14:paraId="65C8888D"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Решението за напускане на въоръжена групировка е контекстуално и въпреки че може да бъде улеснено или стимулирано, нито отделни лица, нито групи могат да бъдат принуждавани да участват в процес на разоръжаване, демобилизация и реинтеграция; запазването на доброволния характер на тяхното участие е от основно значение. ЕС ще насърчава зачитането на международното право в областта на правата на човека и международното хуманитарно право при всички положения, включително в ситуации като задържания и пленяване на бойното поле, където лицата може да нямат други алтернативи.</w:t>
      </w:r>
    </w:p>
    <w:p w14:paraId="592B8946"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Хората, които се включват и участват в процеси на разоръжаване, демобилизация и реинтеграция, често са изправени пред социално изключване и стигматизация. Възможно е те да имат прекъснати семейни връзки, пропуски в образованието или здравословни проблеми — в това число проблеми с психичното здраве, които могат да включват злоупотреба с наркотични вещества, агресивно поведение и/или индивидуална или колективна травма, включително в резултат на сексуално и основано на пола насилие и трафик на хора. Възможно е да им липсват умения и мрежи, за да могат да се издържат като заети или самостоятелно заети лица и/или да участват конструктивно на политическата сцена, като в същото време се сблъскват със стигматизация, както и с правни и практически пречки пред реинтеграцията. Наред с това е възможно приемните общности да страдат от колективна травма, страх и недоверие и ситуацията със сигурността в тях да се влоши, което може да засили подозрението към бившите бойци и техните сътрудници. </w:t>
      </w:r>
    </w:p>
    <w:p w14:paraId="763E2C86"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Поради тези причини ЕС ще прилага многосекторен подход към процесите на разоръжаване, демобилизация и реинтеграция, като отчита различните специфични и нееднородни нужди, възможности и очаквания на мъжете, жените, момчетата и момичетата от различни възрасти, включително на тези, принадлежащи към национални или етнически, религиозни, езикови и политически малцинства и коренно население. В този си стремеж ЕС ще взема предвид и въпросите, свързани с уврежданията, както и предизвикателствата в здравеопазването в нестабилни условия.</w:t>
      </w:r>
    </w:p>
    <w:p w14:paraId="4A3F18AD" w14:textId="77777777" w:rsidR="00427C08" w:rsidRPr="00427C08" w:rsidRDefault="00427C08" w:rsidP="00427C08">
      <w:pPr>
        <w:pStyle w:val="Heading3"/>
        <w:numPr>
          <w:ilvl w:val="0"/>
          <w:numId w:val="13"/>
        </w:numPr>
        <w:spacing w:before="0" w:after="120" w:line="240" w:lineRule="auto"/>
        <w:ind w:left="360"/>
        <w:rPr>
          <w:rFonts w:ascii="Times New Roman" w:hAnsi="Times New Roman" w:cs="Times New Roman"/>
          <w:b/>
          <w:i/>
          <w:noProof/>
          <w:lang w:val="bg-BG"/>
        </w:rPr>
      </w:pPr>
      <w:bookmarkStart w:id="23" w:name="_Toc76598377"/>
      <w:r w:rsidRPr="00427C08">
        <w:rPr>
          <w:rFonts w:ascii="Times New Roman" w:hAnsi="Times New Roman"/>
          <w:b/>
          <w:i/>
          <w:noProof/>
          <w:lang w:val="bg-BG"/>
        </w:rPr>
        <w:t>Защита на децата и техните права</w:t>
      </w:r>
      <w:bookmarkEnd w:id="23"/>
    </w:p>
    <w:p w14:paraId="71A27265" w14:textId="77777777" w:rsidR="00427C08" w:rsidRPr="00427C08" w:rsidRDefault="00427C08" w:rsidP="00427C08">
      <w:pPr>
        <w:pStyle w:val="CommentText"/>
        <w:spacing w:after="12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Перспективата за децата, основаваща се на техните най-добри интереси, където акцентът е върху защитата на момчетата и момичетата срещу шестте тежки нарушения по време на конфликти</w:t>
      </w:r>
      <w:r w:rsidRPr="00427C08">
        <w:rPr>
          <w:rStyle w:val="FootnoteReference"/>
          <w:rFonts w:ascii="Times New Roman" w:hAnsi="Times New Roman" w:cs="Times New Roman"/>
          <w:noProof/>
          <w:sz w:val="24"/>
          <w:szCs w:val="24"/>
          <w:lang w:val="bg-BG"/>
        </w:rPr>
        <w:footnoteReference w:id="30"/>
      </w:r>
      <w:r w:rsidRPr="00427C08">
        <w:rPr>
          <w:rFonts w:ascii="Times New Roman" w:hAnsi="Times New Roman"/>
          <w:noProof/>
          <w:sz w:val="24"/>
          <w:szCs w:val="24"/>
          <w:lang w:val="bg-BG"/>
        </w:rPr>
        <w:t xml:space="preserve">, заема централно място в процесите на разоръжаване, демобилизация и реинтеграция и остава приоритет на всички етапи от цикъла на конфликта. </w:t>
      </w:r>
    </w:p>
    <w:p w14:paraId="000B8CD3" w14:textId="77777777" w:rsidR="00427C08" w:rsidRPr="00427C08" w:rsidRDefault="00427C08" w:rsidP="00427C08">
      <w:pPr>
        <w:pStyle w:val="CommentText"/>
        <w:spacing w:after="12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Децата, свързани с въоръжени сили или групировки, винаги трябва да се разглеждат на първо място като жертви на тези шест тежки нарушения, независимо от тяхната роля и определението на групировката. Освобождаването на деца от въоръжени групировки и отделянето им от възрастните в процесите на разоръжаване, демобилизация и реинтеграция, тяхната защита, рехабилитация, (ре)интеграция и събирането им с роднините и/или общностите им изискват бърза реакция и дългосрочен ангажимент. Когато не е възможно събирането на детето със семейството му да стане незабавно, следва да се осигурят временни грижи, докато се намери дългосрочно решение. Следва да се обърне специално внимание на предизвикателствата, пред които са изправени децата, родени в рамките на въоръжени групировки, както и тези, които са били набрани като деца и демобилизирани като възрастни.</w:t>
      </w:r>
    </w:p>
    <w:p w14:paraId="56261F24" w14:textId="77777777" w:rsidR="00427C08" w:rsidRPr="00427C08" w:rsidRDefault="00427C08" w:rsidP="00427C08">
      <w:pPr>
        <w:pStyle w:val="CommentText"/>
        <w:spacing w:after="12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Специализираните агенции за закрила на детето следва да бъдат включени в процесите на разоръжаване, демобилизация и реинтеграция на ранен етап, а подкрепата на ЕС следва да бъде част от по-обща интервенция с цел закрила на детето. Семействата и общностите, както и държавните институции и местните органи, трябва да бъдат подготвени за реинтеграцията на децата, включително чрез социални, образователни и здравни институции, които могат да предоставят индивидуализирани специфични за възрастта и пола услуги, когато това е необходимо. Необходимо е да бъдат разгледани специфичните психосоциални и здравни нужди, съображенията за сигурност и рискът от стигматизация, както за децата, така и за общностите, в които те се интегрират (отново), особено в случаите, когато децата са били подложени на процеси на радикализация или военно обучение.</w:t>
      </w:r>
    </w:p>
    <w:p w14:paraId="0F859388" w14:textId="77777777" w:rsidR="00427C08" w:rsidRPr="00427C08" w:rsidRDefault="00427C08" w:rsidP="00427C08">
      <w:pPr>
        <w:pStyle w:val="CommentText"/>
        <w:spacing w:after="12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Освен това децата следва да не биват задържани. ЕС следва да подкрепи национални органи на партньорските държави в договарянето, приемането и прилагането на протоколи за предаване</w:t>
      </w:r>
      <w:r w:rsidRPr="00427C08">
        <w:rPr>
          <w:rStyle w:val="FootnoteReference"/>
          <w:rFonts w:ascii="Times New Roman" w:hAnsi="Times New Roman" w:cs="Times New Roman"/>
          <w:noProof/>
          <w:sz w:val="24"/>
          <w:szCs w:val="24"/>
          <w:lang w:val="bg-BG"/>
        </w:rPr>
        <w:footnoteReference w:id="31"/>
      </w:r>
      <w:r w:rsidRPr="00427C08">
        <w:rPr>
          <w:rFonts w:ascii="Times New Roman" w:hAnsi="Times New Roman"/>
          <w:noProof/>
          <w:sz w:val="24"/>
          <w:szCs w:val="24"/>
          <w:lang w:val="bg-BG"/>
        </w:rPr>
        <w:t xml:space="preserve"> за бързото прехвърляне на деца, за които се твърди, че са свързани с въоръжени групировки, към гражданските агенции за закрила на детето с цел тяхната реинтеграция. </w:t>
      </w:r>
    </w:p>
    <w:p w14:paraId="1279754B" w14:textId="77777777" w:rsidR="00427C08" w:rsidRPr="00427C08" w:rsidRDefault="00427C08" w:rsidP="00427C08">
      <w:pPr>
        <w:pStyle w:val="Heading3"/>
        <w:numPr>
          <w:ilvl w:val="0"/>
          <w:numId w:val="13"/>
        </w:numPr>
        <w:spacing w:before="0" w:after="120" w:line="240" w:lineRule="auto"/>
        <w:ind w:left="360"/>
        <w:rPr>
          <w:rFonts w:ascii="Times New Roman" w:hAnsi="Times New Roman" w:cs="Times New Roman"/>
          <w:b/>
          <w:i/>
          <w:noProof/>
          <w:lang w:val="bg-BG"/>
        </w:rPr>
      </w:pPr>
      <w:r w:rsidRPr="00427C08">
        <w:rPr>
          <w:rFonts w:ascii="Times New Roman" w:hAnsi="Times New Roman"/>
          <w:b/>
          <w:i/>
          <w:noProof/>
          <w:lang w:val="bg-BG"/>
        </w:rPr>
        <w:t>Съобразяване с равенството между половете</w:t>
      </w:r>
    </w:p>
    <w:p w14:paraId="58956A27"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При процесите на разоръжаване, демобилизация и реинтеграция трябва да се отчитат различните нужди, способности и възможности на мъжете, жените, момчетата и момичетата, както и контекстуалните очаквания към тях, за да се гарантира, че участието им във всички етапи на процесите на разоръжаване, демобилизация и реинтеграция е еднакво значимо. Във всички програми за сътрудничество за развитие интегрирането на перспективата за равенство между половете следва да се основава на задълбочен анализ, съобразен с равенството между половете. При инициативите следва да се отчитат разнообразните роли, които групите от определен пол или възраст може да са заемали, докато са били свързани с въоръжени групировки</w:t>
      </w:r>
      <w:r w:rsidRPr="00427C08">
        <w:rPr>
          <w:rStyle w:val="FootnoteReference"/>
          <w:rFonts w:ascii="Times New Roman" w:hAnsi="Times New Roman" w:cs="Times New Roman"/>
          <w:noProof/>
          <w:sz w:val="24"/>
          <w:szCs w:val="24"/>
          <w:lang w:val="bg-BG"/>
        </w:rPr>
        <w:footnoteReference w:id="32"/>
      </w:r>
      <w:r w:rsidRPr="00427C08">
        <w:rPr>
          <w:rFonts w:ascii="Times New Roman" w:hAnsi="Times New Roman"/>
          <w:noProof/>
          <w:sz w:val="24"/>
          <w:szCs w:val="24"/>
          <w:lang w:val="bg-BG"/>
        </w:rPr>
        <w:t>, и следва да се води борба със стереотипните роли на пола, неравенствата и основаната на пола стигматизация.</w:t>
      </w:r>
    </w:p>
    <w:p w14:paraId="771644F0" w14:textId="77777777" w:rsidR="00427C08" w:rsidRPr="00427C08" w:rsidRDefault="00427C08" w:rsidP="00427C08">
      <w:pPr>
        <w:pStyle w:val="Heading3"/>
        <w:numPr>
          <w:ilvl w:val="0"/>
          <w:numId w:val="13"/>
        </w:numPr>
        <w:spacing w:before="0" w:after="120" w:line="240" w:lineRule="auto"/>
        <w:ind w:left="360"/>
        <w:rPr>
          <w:rFonts w:ascii="Times New Roman" w:hAnsi="Times New Roman" w:cs="Times New Roman"/>
          <w:b/>
          <w:i/>
          <w:noProof/>
          <w:lang w:val="bg-BG"/>
        </w:rPr>
      </w:pPr>
      <w:bookmarkStart w:id="24" w:name="_Toc76598379"/>
      <w:r w:rsidRPr="00427C08">
        <w:rPr>
          <w:rFonts w:ascii="Times New Roman" w:hAnsi="Times New Roman"/>
          <w:b/>
          <w:i/>
          <w:noProof/>
          <w:lang w:val="bg-BG"/>
        </w:rPr>
        <w:t>Ангажиране на младежта</w:t>
      </w:r>
      <w:bookmarkEnd w:id="24"/>
    </w:p>
    <w:p w14:paraId="2C5FA52C"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Следва да се отдели специално внимание на ролята на младежите, независимо дали те са оцелели и жертви на конфликта, носители на положителна промяна и/или мишени за радикализация или (повторно) набиране. В рамките на процесите на разоръжаване, демобилизация и реинтеграция следва да вземат предвид специфичните нужди, възможности и очаквания на младежите от мъжки и женски пол в тези условия чрез активни консултации, ангажиране и участие</w:t>
      </w:r>
      <w:r w:rsidRPr="00427C08">
        <w:rPr>
          <w:rStyle w:val="FootnoteReference"/>
          <w:rFonts w:ascii="Times New Roman" w:hAnsi="Times New Roman" w:cs="Times New Roman"/>
          <w:noProof/>
          <w:sz w:val="24"/>
          <w:szCs w:val="24"/>
          <w:lang w:val="bg-BG"/>
        </w:rPr>
        <w:footnoteReference w:id="33"/>
      </w:r>
      <w:r w:rsidRPr="00427C08">
        <w:rPr>
          <w:rFonts w:ascii="Times New Roman" w:hAnsi="Times New Roman"/>
          <w:noProof/>
          <w:sz w:val="24"/>
          <w:szCs w:val="24"/>
          <w:lang w:val="bg-BG"/>
        </w:rPr>
        <w:t>.</w:t>
      </w:r>
    </w:p>
    <w:p w14:paraId="6C5057BB" w14:textId="77777777" w:rsidR="00427C08" w:rsidRPr="00427C08" w:rsidRDefault="00427C08" w:rsidP="00427C08">
      <w:pPr>
        <w:pStyle w:val="Heading2"/>
        <w:numPr>
          <w:ilvl w:val="0"/>
          <w:numId w:val="14"/>
        </w:numPr>
        <w:spacing w:before="0" w:after="120" w:line="240" w:lineRule="auto"/>
        <w:jc w:val="both"/>
        <w:rPr>
          <w:rFonts w:ascii="Times New Roman" w:hAnsi="Times New Roman" w:cs="Times New Roman"/>
          <w:b/>
          <w:noProof/>
          <w:sz w:val="24"/>
          <w:szCs w:val="24"/>
          <w:lang w:val="bg-BG"/>
        </w:rPr>
      </w:pPr>
      <w:bookmarkStart w:id="25" w:name="_Toc76598380"/>
      <w:r w:rsidRPr="00427C08">
        <w:rPr>
          <w:rFonts w:ascii="Times New Roman" w:hAnsi="Times New Roman"/>
          <w:b/>
          <w:noProof/>
          <w:sz w:val="24"/>
          <w:szCs w:val="24"/>
          <w:lang w:val="bg-BG"/>
        </w:rPr>
        <w:t>Добро планиране</w:t>
      </w:r>
      <w:bookmarkEnd w:id="25"/>
    </w:p>
    <w:p w14:paraId="61429D76" w14:textId="77777777" w:rsidR="00427C08" w:rsidRPr="00427C08" w:rsidRDefault="00427C08" w:rsidP="00427C08">
      <w:pPr>
        <w:pStyle w:val="Default"/>
        <w:spacing w:after="120"/>
        <w:jc w:val="both"/>
        <w:rPr>
          <w:noProof/>
          <w:lang w:val="bg-BG"/>
        </w:rPr>
      </w:pPr>
      <w:r w:rsidRPr="00427C08">
        <w:rPr>
          <w:noProof/>
          <w:lang w:val="bg-BG"/>
        </w:rPr>
        <w:t xml:space="preserve">Планирането на подкрепата за даден процес на разоръжаване, демобилизация и реинтеграция следва да започне на възможно най-ранен етап. Въз основа на координираната оценка на процесите на разоръжаване, демобилизация и реинтеграция ангажиментите на ЕС по отношение на хуманитарната помощ, стабилизирането, изграждането на мира, развитието, ОПСО и Общата външна политика и политика на сигурност (ОВППС) следва да бъдат формулирани в съответствие с интегрирания подход. Приносът може да включва действия на ЕС, неговите финансови институции и неговите държави членки. </w:t>
      </w:r>
    </w:p>
    <w:p w14:paraId="539FB3DF"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Когато е необходимо, делегациите на ЕС следва да се възползват от специализиран експертен опит и подкрепа в областта на разоръжаването, демобилизацията и реинтеграцията, както и в свързани области, като например изграждането на мир, посредничеството, закрилата на детето или сигурността. Освен това, когато е уместно, те следва да се възползват и от участието на съветници/аташета в областта на сигурността или военните въпроси и експерти по борбата с тероризма/сигурността на ЕСВД, както и от присъствието по линия на ОПСО в същата държава или регион, или да се възползват от временни подкрепления чрез специални мисии. </w:t>
      </w:r>
    </w:p>
    <w:p w14:paraId="30C46374"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Следва надлежно да се отчетат екологичният и климатичният контекст, в който протичат процесите на разоръжаване, демобилизация и реинтеграция. По-специално за тази цел е необходимо да се извършат оценки на уязвимостта или нестабилността, за да се гарантира, че икономическите и социални възможности, заложени в рамките на процесите на разоръжаване, демобилизация и реинтеграция, са устойчиви и дълготрайни и че рисковете за околната среда или изменението на климата са смекчени, когато е възможно, и не изострят допълнително съществуващите уязвимости или рискове от конфликти.</w:t>
      </w:r>
    </w:p>
    <w:p w14:paraId="79283320"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ЕС следва ясно да информира националните и местните органи, участниците и заинтересованите страни, както и потенциалните участници, които биха могли да дестабилизират процеса, относно подкрепата си. Начинът, по който се предоставя информацията, следва да бъде съобразен с особеностите на възрастта и пола и да е адаптиран към получателите и местните култура и контекст. Политическите, военните, традиционните и религиозните лидери, както и гражданското общество, са важни партньори в тази насока, въпреки че следва да се вземат предвид въпросите, свързани с чувствителността към конфликти, и стандартите за правата на човека.</w:t>
      </w:r>
    </w:p>
    <w:p w14:paraId="163E589A" w14:textId="77777777" w:rsidR="00427C08" w:rsidRPr="00427C08" w:rsidRDefault="00427C08" w:rsidP="00427C08">
      <w:pPr>
        <w:pStyle w:val="Heading2"/>
        <w:numPr>
          <w:ilvl w:val="0"/>
          <w:numId w:val="14"/>
        </w:numPr>
        <w:spacing w:before="0" w:after="120" w:line="240" w:lineRule="auto"/>
        <w:jc w:val="both"/>
        <w:rPr>
          <w:rFonts w:ascii="Times New Roman" w:hAnsi="Times New Roman" w:cs="Times New Roman"/>
          <w:b/>
          <w:noProof/>
          <w:sz w:val="24"/>
          <w:szCs w:val="24"/>
          <w:lang w:val="bg-BG"/>
        </w:rPr>
      </w:pPr>
      <w:bookmarkStart w:id="26" w:name="_Toc76598381"/>
      <w:r w:rsidRPr="00427C08">
        <w:rPr>
          <w:rFonts w:ascii="Times New Roman" w:hAnsi="Times New Roman"/>
          <w:b/>
          <w:noProof/>
          <w:sz w:val="24"/>
          <w:szCs w:val="24"/>
          <w:lang w:val="bg-BG"/>
        </w:rPr>
        <w:t>Приспособимост</w:t>
      </w:r>
      <w:bookmarkEnd w:id="26"/>
    </w:p>
    <w:p w14:paraId="70D9B6BA"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Ангажиментите в подкрепа на  разоръжаването, демобилизацията и реинтеграцията следва да се основават на доказателства и да бъдат гъвкави, като се прилагат механизмите на наблюдение, оценка и учене, и следва да се използват възможностите, предоставени от цифровизацията, и най-добрите практики и извлечените поуки. </w:t>
      </w:r>
    </w:p>
    <w:p w14:paraId="6B43F2E8"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За да се превърнат политиките в действия, е необходимо да се повиши общата осведоменост и изграждане на капацитет по отношение на разоръжаването, демобилизацията и реинтеграция, включително чрез обученията, с които да се установява връзка между практиката, политиките и научните изследвания. По този начин ЕС ще може да постави знания, талант и експертен опит в услуга на изграждането на мира и развитието.</w:t>
      </w:r>
    </w:p>
    <w:p w14:paraId="28CA9981"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p>
    <w:p w14:paraId="7F6FC100" w14:textId="77777777" w:rsidR="00427C08" w:rsidRPr="00427C08" w:rsidRDefault="00427C08" w:rsidP="00427C08">
      <w:pPr>
        <w:pStyle w:val="Heading1"/>
        <w:spacing w:before="0" w:after="120" w:line="240" w:lineRule="auto"/>
        <w:jc w:val="both"/>
        <w:rPr>
          <w:rFonts w:ascii="Times New Roman" w:hAnsi="Times New Roman" w:cs="Times New Roman"/>
          <w:b/>
          <w:noProof/>
          <w:sz w:val="24"/>
          <w:szCs w:val="24"/>
          <w:lang w:val="bg-BG"/>
        </w:rPr>
      </w:pPr>
      <w:r w:rsidRPr="00427C08">
        <w:rPr>
          <w:rFonts w:ascii="Times New Roman" w:hAnsi="Times New Roman"/>
          <w:b/>
          <w:noProof/>
          <w:sz w:val="24"/>
          <w:szCs w:val="24"/>
          <w:lang w:val="bg-BG"/>
        </w:rPr>
        <w:t>5. Действия за оценка, участие, формулиране и изпълняване на ефективен ангажимент на ЕС към разоръжаването, демобилизацията и реинтеграцията</w:t>
      </w:r>
      <w:r w:rsidRPr="00427C08">
        <w:rPr>
          <w:rFonts w:ascii="Times New Roman" w:hAnsi="Times New Roman"/>
          <w:noProof/>
          <w:sz w:val="24"/>
          <w:szCs w:val="24"/>
          <w:lang w:val="bg-BG"/>
        </w:rPr>
        <w:t xml:space="preserve"> </w:t>
      </w:r>
    </w:p>
    <w:p w14:paraId="7D4C26B7"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ЕС ще съчетае последователно бързото реагиране с географски, регионални и тематични дългосрочни ангажименти в подкрепа на разоръжаването, демобилизацията и реинтеграцията. Той ще се стреми да увеличи максимално въздействието си чрез партньорства с трети държави и международни организации въз основа на споделени ценности, общи интереси и взаимни ползи. </w:t>
      </w:r>
    </w:p>
    <w:p w14:paraId="6D763549" w14:textId="77777777" w:rsidR="00427C08" w:rsidRPr="00427C08" w:rsidRDefault="00427C08" w:rsidP="00427C08">
      <w:pPr>
        <w:pStyle w:val="ListParagraph"/>
        <w:numPr>
          <w:ilvl w:val="0"/>
          <w:numId w:val="14"/>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Върховният представител и Комисията ще подобрят координацията си по отношение на подкрепата за разоръжаване, демобилизация и реинтеграция, като насърчават обмена между съответните заинтересовани страни от ЕС. При планирането на ангажимента към подкрепата за разоръжаване, демобилизация и реинтеграция ще бъдат взети предвид</w:t>
      </w:r>
      <w:r w:rsidRPr="00427C08">
        <w:rPr>
          <w:rFonts w:ascii="Times New Roman" w:hAnsi="Times New Roman"/>
          <w:b/>
          <w:noProof/>
          <w:sz w:val="24"/>
          <w:szCs w:val="24"/>
          <w:lang w:val="bg-BG"/>
        </w:rPr>
        <w:t xml:space="preserve"> </w:t>
      </w:r>
      <w:r w:rsidRPr="00427C08">
        <w:rPr>
          <w:rFonts w:ascii="Times New Roman" w:hAnsi="Times New Roman"/>
          <w:noProof/>
          <w:sz w:val="24"/>
          <w:szCs w:val="24"/>
          <w:lang w:val="bg-BG"/>
        </w:rPr>
        <w:t>всички свързани политики, инструменти и механизми</w:t>
      </w:r>
      <w:r w:rsidRPr="00427C08">
        <w:rPr>
          <w:rStyle w:val="FootnoteReference"/>
          <w:rFonts w:ascii="Times New Roman" w:hAnsi="Times New Roman" w:cs="Times New Roman"/>
          <w:noProof/>
          <w:sz w:val="24"/>
          <w:szCs w:val="24"/>
          <w:lang w:val="bg-BG"/>
        </w:rPr>
        <w:footnoteReference w:id="34"/>
      </w:r>
      <w:r w:rsidRPr="00427C08">
        <w:rPr>
          <w:rFonts w:ascii="Times New Roman" w:hAnsi="Times New Roman"/>
          <w:noProof/>
          <w:sz w:val="24"/>
          <w:szCs w:val="24"/>
          <w:lang w:val="bg-BG"/>
        </w:rPr>
        <w:t xml:space="preserve">. Като част от интегрирания подход ще се търси участие и от страна на държавите — членки на ЕС. </w:t>
      </w:r>
    </w:p>
    <w:p w14:paraId="6AE726A1" w14:textId="77777777" w:rsidR="00427C08" w:rsidRPr="00427C08" w:rsidRDefault="00427C08" w:rsidP="00427C08">
      <w:pPr>
        <w:pStyle w:val="ListParagraph"/>
        <w:numPr>
          <w:ilvl w:val="0"/>
          <w:numId w:val="11"/>
        </w:numPr>
        <w:spacing w:after="120" w:line="240" w:lineRule="auto"/>
        <w:ind w:hanging="357"/>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Ще бъде създадена специална постоянна неформална междуведомствена оперативна група с участието на представители на съответните тематични служби на ЕСВД и на Комисията, която ще наблюдава дейността на ЕС в областта на разоръжаването, демобилизацията и реинтеграцията и ще съветва и подпомага делегациите на ЕС, службите на ЕСВД и на Комисията и мисиите по линия на ОПСО. При създаването и функционирането на оперативната група за разоръжаването, демобилизацията и реинтеграцията ще се следват процедури, подобни на тези за постоянната неформална междуведомствена оперативна група за РСС</w:t>
      </w:r>
      <w:r w:rsidRPr="00427C08">
        <w:rPr>
          <w:rStyle w:val="FootnoteReference"/>
          <w:rFonts w:ascii="Times New Roman" w:hAnsi="Times New Roman" w:cs="Times New Roman"/>
          <w:noProof/>
          <w:sz w:val="24"/>
          <w:szCs w:val="24"/>
          <w:lang w:val="bg-BG"/>
        </w:rPr>
        <w:footnoteReference w:id="35"/>
      </w:r>
      <w:r w:rsidRPr="00427C08">
        <w:rPr>
          <w:rFonts w:ascii="Times New Roman" w:hAnsi="Times New Roman"/>
          <w:noProof/>
          <w:sz w:val="24"/>
          <w:szCs w:val="24"/>
          <w:lang w:val="bg-BG"/>
        </w:rPr>
        <w:t>.</w:t>
      </w:r>
    </w:p>
    <w:p w14:paraId="40C1EB18" w14:textId="77777777" w:rsidR="00427C08" w:rsidRPr="00427C08" w:rsidRDefault="00427C08" w:rsidP="00427C08">
      <w:pPr>
        <w:pStyle w:val="ListParagraph"/>
        <w:numPr>
          <w:ilvl w:val="0"/>
          <w:numId w:val="11"/>
        </w:numPr>
        <w:spacing w:after="120" w:line="240" w:lineRule="auto"/>
        <w:ind w:hanging="357"/>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Екипите от посредници на ЕС ще включват експерти по разоръжаването, демобилизацията и реинтеграцията с цел да се гарантира, че споразуменията за мир и примирие съдържат реалистични клаузи, свързани с разоръжаването, демобилизацията и реинтеграцията.</w:t>
      </w:r>
    </w:p>
    <w:p w14:paraId="6A64D441" w14:textId="77777777" w:rsidR="00427C08" w:rsidRPr="00427C08" w:rsidRDefault="00427C08" w:rsidP="00427C08">
      <w:pPr>
        <w:pStyle w:val="ListParagraph"/>
        <w:numPr>
          <w:ilvl w:val="0"/>
          <w:numId w:val="11"/>
        </w:numPr>
        <w:spacing w:after="120" w:line="240" w:lineRule="auto"/>
        <w:ind w:hanging="357"/>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ЕС ще подобри вътрешния си капацитет за осигуряване на подкрепа за процесите на разоръжаване, демобилизация и реинтеграция, напр. чрез обучения в тази област и засилено сътрудничество със съответните обучителни институции, както и с изследователски и експертни мрежи.</w:t>
      </w:r>
    </w:p>
    <w:p w14:paraId="392FA7F7" w14:textId="77777777" w:rsidR="00427C08" w:rsidRPr="00427C08" w:rsidRDefault="00427C08" w:rsidP="00427C08">
      <w:pPr>
        <w:pStyle w:val="ListParagraph"/>
        <w:numPr>
          <w:ilvl w:val="0"/>
          <w:numId w:val="14"/>
        </w:numPr>
        <w:spacing w:after="120" w:line="240" w:lineRule="auto"/>
        <w:ind w:hanging="357"/>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Винаги когато се предвижда подкрепа за разоръжаване, демобилизация и реинтеграция, на възможно най-ранен етап следва да се извърши специфична координирана оценка на ЕС в тази област, за да се даде възможност за основан на политики, чувствителен към конфликти и гъвкав ангажимент.</w:t>
      </w:r>
    </w:p>
    <w:p w14:paraId="744B8D36" w14:textId="77777777" w:rsidR="00427C08" w:rsidRPr="00427C08" w:rsidRDefault="00427C08" w:rsidP="00427C08">
      <w:pPr>
        <w:pStyle w:val="ListParagraph"/>
        <w:numPr>
          <w:ilvl w:val="0"/>
          <w:numId w:val="11"/>
        </w:numPr>
        <w:spacing w:after="120" w:line="240" w:lineRule="auto"/>
        <w:ind w:hanging="357"/>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За да окажат подкрепа в тази насока, ЕСВД и службите на Комисията ще разработят модул за анализ с акцент върху разоръжаването, демобилизацията и реинтеграцията, който се основава на методиката за анализ на конфликти за целите на програмирането на помощта за развитие в нестабилни държави и региони. При необходимост модулът ще спомогне за разработването на специфични опции за разоръжаване, демобилизация и реинтеграция, включително чрез оценка на рисковете и наличните инструменти на ЕС.</w:t>
      </w:r>
    </w:p>
    <w:p w14:paraId="117552B2" w14:textId="77777777" w:rsidR="00427C08" w:rsidRPr="00427C08" w:rsidRDefault="00427C08" w:rsidP="00427C08">
      <w:pPr>
        <w:pStyle w:val="ListParagraph"/>
        <w:numPr>
          <w:ilvl w:val="0"/>
          <w:numId w:val="11"/>
        </w:numPr>
        <w:spacing w:after="120" w:line="240" w:lineRule="auto"/>
        <w:ind w:hanging="357"/>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Разработването и начините за изпълнение на дейностите в подкрепа на процесите на разоръжаване, демобилизация и реинтеграция ще се основават на задълбочен анализ от гледна точка на възрастта и равенството между половете. В рамките на широката подкрепа за партньорските органи и общностите ЕС ще се стреми да защитава децата и техните права и да прилага съобразен с равенството между половете подход и перспектива за младежта. </w:t>
      </w:r>
    </w:p>
    <w:p w14:paraId="5CF236BA" w14:textId="77777777" w:rsidR="00427C08" w:rsidRPr="00427C08" w:rsidRDefault="00427C08" w:rsidP="00427C08">
      <w:pPr>
        <w:pStyle w:val="ListParagraph"/>
        <w:numPr>
          <w:ilvl w:val="0"/>
          <w:numId w:val="11"/>
        </w:numPr>
        <w:spacing w:after="120" w:line="240" w:lineRule="auto"/>
        <w:ind w:hanging="357"/>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Освен това ще бъдат проучени регионалните измерения, както и връзките между разоръжаването, демобилизацията и реинтеграцията ​​и инициативите за предотвратяване и борба срещу насилническия екстремизъм в регионален контекст, като например в Сахел или в Африканския рог.</w:t>
      </w:r>
    </w:p>
    <w:p w14:paraId="532A6306" w14:textId="77777777" w:rsidR="00427C08" w:rsidRPr="00427C08" w:rsidRDefault="00427C08" w:rsidP="00427C08">
      <w:pPr>
        <w:pStyle w:val="ListParagraph"/>
        <w:numPr>
          <w:ilvl w:val="0"/>
          <w:numId w:val="14"/>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Ще се осъществява сътрудничество с ключови партньори в специфични рамки:</w:t>
      </w:r>
    </w:p>
    <w:p w14:paraId="1C25B4C6" w14:textId="77777777" w:rsidR="00427C08" w:rsidRPr="00427C08" w:rsidRDefault="00427C08" w:rsidP="00427C08">
      <w:pPr>
        <w:pStyle w:val="ListParagraph"/>
        <w:numPr>
          <w:ilvl w:val="0"/>
          <w:numId w:val="17"/>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Разоръжаването, демобилизацията и реинтеграцията ще бъдат включени в сътрудничеството с многостранни партньори, ООН и Световната банка, както и с регионални организации и структури. Управителният комитет ЕС—ООН ще бъде предпочитаният форум за ранни консултации относно подходите и действията в областта на разоръжаването, демобилизацията и реинтеграцията, както и за разработване на съвместни оценки, когато е възможно. Освен това ще бъде засилено взаимодействието с междуведомствената работна група на ООН в областта на разоръжаването, демобилизацията и реинтеграцията и други подобни форуми. </w:t>
      </w:r>
    </w:p>
    <w:p w14:paraId="6D94D05E" w14:textId="77777777" w:rsidR="00427C08" w:rsidRPr="00427C08" w:rsidRDefault="00427C08" w:rsidP="00427C08">
      <w:pPr>
        <w:pStyle w:val="ListParagraph"/>
        <w:numPr>
          <w:ilvl w:val="0"/>
          <w:numId w:val="17"/>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Заедно с партньорските държави ЕС и неговите държави членки ще използват по най-добрия възможен начин стратегическия, политическия и техническия диалог, консултациите и изграждането на капацитет, включително на местно и регионално равнище. За тази цел основна роля ще играят делегациите на ЕС, специалните представители на ЕС и мисиите и операциите по линия на ОПСО, както и приоритетът за огнестрелните оръжия на EMPACT, според случая.</w:t>
      </w:r>
    </w:p>
    <w:p w14:paraId="010A8815" w14:textId="77777777" w:rsidR="00427C08" w:rsidRPr="00427C08" w:rsidRDefault="00427C08" w:rsidP="00427C08">
      <w:pPr>
        <w:pStyle w:val="ListParagraph"/>
        <w:numPr>
          <w:ilvl w:val="0"/>
          <w:numId w:val="17"/>
        </w:numPr>
        <w:spacing w:after="120" w:line="240" w:lineRule="auto"/>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ЕС ще засили диалога и сътрудничеството си с гражданското общество, експертите и изследователите в областта на разоръжаването, демобилизацията и реинтеграцията</w:t>
      </w:r>
      <w:r w:rsidRPr="00427C08">
        <w:rPr>
          <w:rFonts w:ascii="Times New Roman" w:hAnsi="Times New Roman"/>
          <w:b/>
          <w:noProof/>
          <w:sz w:val="24"/>
          <w:szCs w:val="24"/>
          <w:lang w:val="bg-BG"/>
        </w:rPr>
        <w:t>,</w:t>
      </w:r>
      <w:r w:rsidRPr="00427C08">
        <w:rPr>
          <w:rFonts w:ascii="Times New Roman" w:hAnsi="Times New Roman"/>
          <w:noProof/>
          <w:sz w:val="24"/>
          <w:szCs w:val="24"/>
          <w:lang w:val="bg-BG"/>
        </w:rPr>
        <w:t xml:space="preserve"> както и с общностите от практикуващи специалисти. </w:t>
      </w:r>
    </w:p>
    <w:p w14:paraId="0C1350B1" w14:textId="77777777" w:rsidR="00427C08" w:rsidRPr="00427C08" w:rsidRDefault="00427C08" w:rsidP="00427C08">
      <w:pPr>
        <w:pStyle w:val="ListParagraph"/>
        <w:numPr>
          <w:ilvl w:val="0"/>
          <w:numId w:val="14"/>
        </w:numPr>
        <w:spacing w:after="120" w:line="240" w:lineRule="auto"/>
        <w:ind w:hanging="357"/>
        <w:contextualSpacing w:val="0"/>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ЕСВД и съответните служби на Комисията ще разработят критерии за наблюдение и оценка и систематично ще провеждат учебни процеси въз основа на гореспоменатите принципи и работни направления. Освен това редовно ще картографират и преразглеждат цялостния ангажимент на ЕС в подкрепа на разоръжаването, демобилизацията и реинтеграцията, по възможност в синхрон със свързаните с него ангажименти. </w:t>
      </w:r>
    </w:p>
    <w:p w14:paraId="5C0B5F95"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p>
    <w:p w14:paraId="3B5EAED5" w14:textId="77777777" w:rsidR="00427C08" w:rsidRPr="00427C08" w:rsidRDefault="00427C08" w:rsidP="00427C08">
      <w:pPr>
        <w:pStyle w:val="Heading1"/>
        <w:spacing w:before="0" w:after="120" w:line="240" w:lineRule="auto"/>
        <w:jc w:val="both"/>
        <w:rPr>
          <w:rFonts w:ascii="Times New Roman" w:hAnsi="Times New Roman" w:cs="Times New Roman"/>
          <w:b/>
          <w:noProof/>
          <w:sz w:val="24"/>
          <w:szCs w:val="24"/>
          <w:lang w:val="bg-BG"/>
        </w:rPr>
      </w:pPr>
      <w:bookmarkStart w:id="27" w:name="_Toc76598382"/>
      <w:r w:rsidRPr="00427C08">
        <w:rPr>
          <w:rFonts w:ascii="Times New Roman" w:hAnsi="Times New Roman"/>
          <w:b/>
          <w:noProof/>
          <w:sz w:val="24"/>
          <w:szCs w:val="24"/>
          <w:lang w:val="bg-BG"/>
        </w:rPr>
        <w:t>6. Заключителни бележки</w:t>
      </w:r>
      <w:bookmarkEnd w:id="27"/>
      <w:r w:rsidRPr="00427C08">
        <w:rPr>
          <w:rFonts w:ascii="Times New Roman" w:hAnsi="Times New Roman"/>
          <w:b/>
          <w:noProof/>
          <w:sz w:val="24"/>
          <w:szCs w:val="24"/>
          <w:lang w:val="bg-BG"/>
        </w:rPr>
        <w:t xml:space="preserve"> </w:t>
      </w:r>
    </w:p>
    <w:p w14:paraId="3A65FF7D"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Европейската комисия и върховният представител ще предприемат всички горепосочени действия, за да отговорят по-добре на предизвикателствата, породени от въоръжени групировки и сложни фактори за конфликт, във всеки конкретен контекст. Винаги когато има възможност за политически действия и изграждане на мир и може да се гарантира чувствително към конфликтите участие, ЕС е готов да се ангажира изцяло в подкрепа на разоръжаването, демобилизацията и реинтеграцията. </w:t>
      </w:r>
    </w:p>
    <w:p w14:paraId="76073DA4"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 xml:space="preserve">Тъй като успехът на разоръжаването, демобилизацията и реинтеграцията често е тясно свързан и зависи от по-общи процеси, ЕС ще увеличи максимално въздействието си върху процесите на разоръжаване, демобилизация и реинтеграция и ще постигне устойчиви резултати, като използва пълноценно наличните политики, инструменти и механизми с помощта на интегриран подход. </w:t>
      </w:r>
    </w:p>
    <w:p w14:paraId="0ED4B79D" w14:textId="77777777" w:rsidR="00427C08"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За постигане на очертаните в настоящото съвместно съобщение цели ЕС може да използва многостранния си принос към мира, сигурността и развитието, за което е необходимо пълноценното участие на държавите — членки на ЕС. Съответният национален опит е източник на полезна информация за тези сложни процеси, а дипломатическите мрежи от експерти в областта на изграждането на мира и сътрудничеството за развитие могат да имат ценен принос.</w:t>
      </w:r>
    </w:p>
    <w:p w14:paraId="6FBBBDC3" w14:textId="1194BF68" w:rsidR="000560D0" w:rsidRPr="00427C08" w:rsidRDefault="00427C08" w:rsidP="00427C08">
      <w:pPr>
        <w:spacing w:after="120" w:line="240" w:lineRule="auto"/>
        <w:jc w:val="both"/>
        <w:rPr>
          <w:rFonts w:ascii="Times New Roman" w:hAnsi="Times New Roman" w:cs="Times New Roman"/>
          <w:noProof/>
          <w:sz w:val="24"/>
          <w:szCs w:val="24"/>
          <w:lang w:val="bg-BG"/>
        </w:rPr>
      </w:pPr>
      <w:r w:rsidRPr="00427C08">
        <w:rPr>
          <w:rFonts w:ascii="Times New Roman" w:hAnsi="Times New Roman"/>
          <w:noProof/>
          <w:sz w:val="24"/>
          <w:szCs w:val="24"/>
          <w:lang w:val="bg-BG"/>
        </w:rPr>
        <w:t>Европейската комисия и върховният представител съвместно призовават Европейския парламент и Съвета да одобрят и подкрепят изложения в настоящото съвместно съобщение подход и да се ангажират пълноценно със стремежа към по-съгласувана и ефективна подкрепа за процесите на разоръжаване, демобилизация и реинтеграция.</w:t>
      </w:r>
    </w:p>
    <w:sectPr w:rsidR="000560D0" w:rsidRPr="00427C08" w:rsidSect="00F40F1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148C6" w14:textId="77777777" w:rsidR="00BD56AB" w:rsidRDefault="00BD56AB" w:rsidP="00E15FC7">
      <w:pPr>
        <w:spacing w:after="0" w:line="240" w:lineRule="auto"/>
      </w:pPr>
      <w:r>
        <w:separator/>
      </w:r>
    </w:p>
  </w:endnote>
  <w:endnote w:type="continuationSeparator" w:id="0">
    <w:p w14:paraId="423A313F" w14:textId="77777777" w:rsidR="00BD56AB" w:rsidRDefault="00BD56AB" w:rsidP="00E15FC7">
      <w:pPr>
        <w:spacing w:after="0" w:line="240" w:lineRule="auto"/>
      </w:pPr>
      <w:r>
        <w:continuationSeparator/>
      </w:r>
    </w:p>
  </w:endnote>
  <w:endnote w:type="continuationNotice" w:id="1">
    <w:p w14:paraId="43E355BF" w14:textId="77777777" w:rsidR="00BD56AB" w:rsidRDefault="00BD5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9B9E" w14:textId="77777777" w:rsidR="0003436D" w:rsidRPr="0003436D" w:rsidRDefault="0003436D" w:rsidP="00034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EC0C" w14:textId="29672C89" w:rsidR="00427C08" w:rsidRPr="0003436D" w:rsidRDefault="0003436D" w:rsidP="0003436D">
    <w:pPr>
      <w:pStyle w:val="FooterCoverPage"/>
      <w:rPr>
        <w:rFonts w:ascii="Arial" w:hAnsi="Arial" w:cs="Arial"/>
        <w:b/>
        <w:sz w:val="48"/>
      </w:rPr>
    </w:pPr>
    <w:r w:rsidRPr="0003436D">
      <w:rPr>
        <w:rFonts w:ascii="Arial" w:hAnsi="Arial" w:cs="Arial"/>
        <w:b/>
        <w:sz w:val="48"/>
      </w:rPr>
      <w:t>BG</w:t>
    </w:r>
    <w:r w:rsidRPr="0003436D">
      <w:rPr>
        <w:rFonts w:ascii="Arial" w:hAnsi="Arial" w:cs="Arial"/>
        <w:b/>
        <w:sz w:val="48"/>
      </w:rPr>
      <w:tab/>
    </w:r>
    <w:r w:rsidRPr="0003436D">
      <w:rPr>
        <w:rFonts w:ascii="Arial" w:hAnsi="Arial" w:cs="Arial"/>
        <w:b/>
        <w:sz w:val="48"/>
      </w:rPr>
      <w:tab/>
    </w:r>
    <w:r w:rsidRPr="0003436D">
      <w:tab/>
    </w:r>
    <w:r w:rsidRPr="0003436D">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8905" w14:textId="77777777" w:rsidR="0003436D" w:rsidRPr="0003436D" w:rsidRDefault="0003436D" w:rsidP="0003436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DCD4" w14:textId="77777777" w:rsidR="001D2150" w:rsidRDefault="001D21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80625334"/>
      <w:docPartObj>
        <w:docPartGallery w:val="Page Numbers (Bottom of Page)"/>
        <w:docPartUnique/>
      </w:docPartObj>
    </w:sdtPr>
    <w:sdtEndPr>
      <w:rPr>
        <w:noProof/>
      </w:rPr>
    </w:sdtEndPr>
    <w:sdtContent>
      <w:p w14:paraId="27D8E013" w14:textId="0CE28CEA" w:rsidR="001D2150" w:rsidRPr="0071495F" w:rsidRDefault="001D2150">
        <w:pPr>
          <w:pStyle w:val="Footer"/>
          <w:jc w:val="center"/>
          <w:rPr>
            <w:rFonts w:ascii="Times New Roman" w:hAnsi="Times New Roman" w:cs="Times New Roman"/>
          </w:rPr>
        </w:pPr>
        <w:r w:rsidRPr="0071495F">
          <w:rPr>
            <w:rFonts w:ascii="Times New Roman" w:hAnsi="Times New Roman" w:cs="Times New Roman"/>
          </w:rPr>
          <w:fldChar w:fldCharType="begin"/>
        </w:r>
        <w:r w:rsidRPr="0071495F">
          <w:rPr>
            <w:rFonts w:ascii="Times New Roman" w:hAnsi="Times New Roman" w:cs="Times New Roman"/>
          </w:rPr>
          <w:instrText xml:space="preserve"> PAGE   \* MERGEFORMAT </w:instrText>
        </w:r>
        <w:r w:rsidRPr="0071495F">
          <w:rPr>
            <w:rFonts w:ascii="Times New Roman" w:hAnsi="Times New Roman" w:cs="Times New Roman"/>
          </w:rPr>
          <w:fldChar w:fldCharType="separate"/>
        </w:r>
        <w:r w:rsidR="0003436D">
          <w:rPr>
            <w:rFonts w:ascii="Times New Roman" w:hAnsi="Times New Roman" w:cs="Times New Roman"/>
            <w:noProof/>
          </w:rPr>
          <w:t>1</w:t>
        </w:r>
        <w:r w:rsidRPr="0071495F">
          <w:rPr>
            <w:rFonts w:ascii="Times New Roman" w:hAnsi="Times New Roman" w:cs="Times New Roman"/>
            <w:noProof/>
          </w:rPr>
          <w:fldChar w:fldCharType="end"/>
        </w:r>
      </w:p>
    </w:sdtContent>
  </w:sdt>
  <w:p w14:paraId="46190D92" w14:textId="77777777" w:rsidR="001D2150" w:rsidRPr="0071495F" w:rsidRDefault="001D2150">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015B" w14:textId="77777777" w:rsidR="001D2150" w:rsidRDefault="001D2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F230A" w14:textId="77777777" w:rsidR="00BD56AB" w:rsidRDefault="00BD56AB" w:rsidP="00E15FC7">
      <w:pPr>
        <w:spacing w:after="0" w:line="240" w:lineRule="auto"/>
      </w:pPr>
      <w:r>
        <w:separator/>
      </w:r>
    </w:p>
  </w:footnote>
  <w:footnote w:type="continuationSeparator" w:id="0">
    <w:p w14:paraId="18F23AC8" w14:textId="77777777" w:rsidR="00BD56AB" w:rsidRDefault="00BD56AB" w:rsidP="00E15FC7">
      <w:pPr>
        <w:spacing w:after="0" w:line="240" w:lineRule="auto"/>
      </w:pPr>
      <w:r>
        <w:continuationSeparator/>
      </w:r>
    </w:p>
  </w:footnote>
  <w:footnote w:type="continuationNotice" w:id="1">
    <w:p w14:paraId="015B01AC" w14:textId="77777777" w:rsidR="00BD56AB" w:rsidRDefault="00BD56AB">
      <w:pPr>
        <w:spacing w:after="0" w:line="240" w:lineRule="auto"/>
      </w:pPr>
    </w:p>
  </w:footnote>
  <w:footnote w:id="2">
    <w:p w14:paraId="127FA332"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Европейската комисия и Съветът на Европейския съюз одобриха концепцията на ЕС в подкрепа на процесите на разоръжаване, демобилизация и реинтеграция (док. 13727/4/06 REV 4) през декември 2006 г.</w:t>
      </w:r>
    </w:p>
  </w:footnote>
  <w:footnote w:id="3">
    <w:p w14:paraId="45A4614C" w14:textId="77777777" w:rsidR="00427C08" w:rsidRPr="00427C08" w:rsidRDefault="00427C08" w:rsidP="00427C08">
      <w:pPr>
        <w:autoSpaceDE w:val="0"/>
        <w:autoSpaceDN w:val="0"/>
        <w:adjustRightInd w:val="0"/>
        <w:spacing w:after="0" w:line="240" w:lineRule="auto"/>
        <w:jc w:val="both"/>
        <w:rPr>
          <w:rFonts w:ascii="Times New Roman" w:hAnsi="Times New Roman" w:cs="Times New Roman"/>
          <w:sz w:val="20"/>
          <w:szCs w:val="20"/>
          <w:lang w:val="bg-BG"/>
        </w:rPr>
      </w:pPr>
      <w:r w:rsidRPr="00427C08">
        <w:rPr>
          <w:rStyle w:val="FootnoteReference"/>
          <w:rFonts w:ascii="Times New Roman" w:hAnsi="Times New Roman" w:cs="Times New Roman"/>
          <w:sz w:val="20"/>
          <w:szCs w:val="20"/>
          <w:lang w:val="bg-BG"/>
        </w:rPr>
        <w:footnoteRef/>
      </w:r>
      <w:r w:rsidRPr="00427C08">
        <w:rPr>
          <w:rFonts w:ascii="Times New Roman" w:hAnsi="Times New Roman"/>
          <w:sz w:val="20"/>
          <w:szCs w:val="20"/>
          <w:lang w:val="bg-BG"/>
        </w:rPr>
        <w:t xml:space="preserve"> Обща визия, общи действия: по-силна Европа — Глобална стратегия за външната политика и политиката на сигурност на Европейския съюз</w:t>
      </w:r>
      <w:r w:rsidRPr="00427C08">
        <w:rPr>
          <w:rFonts w:ascii="Times New Roman" w:hAnsi="Times New Roman"/>
          <w:color w:val="000000"/>
          <w:sz w:val="20"/>
          <w:szCs w:val="20"/>
          <w:lang w:val="bg-BG"/>
        </w:rPr>
        <w:t xml:space="preserve"> </w:t>
      </w:r>
      <w:r w:rsidRPr="00427C08">
        <w:rPr>
          <w:rFonts w:ascii="Times New Roman" w:hAnsi="Times New Roman"/>
          <w:sz w:val="20"/>
          <w:szCs w:val="20"/>
          <w:lang w:val="bg-BG"/>
        </w:rPr>
        <w:t>и Заключения на Съвета относно интегрирания подход към външните конфликти и кризи (док. 5413/18).</w:t>
      </w:r>
    </w:p>
  </w:footnote>
  <w:footnote w:id="4">
    <w:p w14:paraId="4E3579EC"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Вж. съответно Резолюция 70/262 на Общото събрание на ООН и Резолюция 2282 на Съвета за сигурност.</w:t>
      </w:r>
    </w:p>
  </w:footnote>
  <w:footnote w:id="5">
    <w:p w14:paraId="7493405A"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Съобщение на Комисията до Европейския парламент, Европейския съвет, Съвета на Европейския съюз, Европейския икономически и социален комитет и Комитета на регионите относно Стратегията на ЕС за Съюза на сигурност, COM(2020) 605.</w:t>
      </w:r>
    </w:p>
  </w:footnote>
  <w:footnote w:id="6">
    <w:p w14:paraId="5018B2EE" w14:textId="77777777" w:rsidR="00427C08" w:rsidRPr="00427C08" w:rsidRDefault="00427C08" w:rsidP="00427C08">
      <w:pPr>
        <w:pStyle w:val="Default"/>
        <w:jc w:val="both"/>
        <w:rPr>
          <w:sz w:val="20"/>
          <w:szCs w:val="20"/>
          <w:lang w:val="bg-BG"/>
        </w:rPr>
      </w:pPr>
      <w:r w:rsidRPr="00427C08">
        <w:rPr>
          <w:rStyle w:val="FootnoteReference"/>
          <w:sz w:val="20"/>
          <w:szCs w:val="20"/>
          <w:lang w:val="bg-BG"/>
        </w:rPr>
        <w:footnoteRef/>
      </w:r>
      <w:r w:rsidRPr="00427C08">
        <w:rPr>
          <w:sz w:val="20"/>
          <w:szCs w:val="20"/>
          <w:lang w:val="bg-BG"/>
        </w:rPr>
        <w:t xml:space="preserve"> Благодарение на концепцията и практиката на връзката между хуманитарните действия, развитието и мира, наричана понякога „тройната връзка“, различни участници имат възможност да работят и да се ангажират по последователен и интегриран начин, като същевременно зачитат мандатите, инструментите и принципите на останалите участници.</w:t>
      </w:r>
    </w:p>
  </w:footnote>
  <w:footnote w:id="7">
    <w:p w14:paraId="5E954693" w14:textId="77777777" w:rsidR="00427C08" w:rsidRPr="00427C08" w:rsidRDefault="00427C08" w:rsidP="00427C08">
      <w:pPr>
        <w:pStyle w:val="FootnoteText"/>
        <w:jc w:val="both"/>
        <w:rPr>
          <w:rFonts w:ascii="Times New Roman" w:hAnsi="Times New Roman" w:cs="Times New Roman"/>
          <w:color w:val="000000"/>
          <w:lang w:val="bg-BG"/>
        </w:rPr>
      </w:pPr>
      <w:r w:rsidRPr="00427C08">
        <w:rPr>
          <w:rStyle w:val="FootnoteReference"/>
          <w:rFonts w:ascii="Times New Roman" w:hAnsi="Times New Roman" w:cs="Times New Roman"/>
          <w:lang w:val="bg-BG"/>
        </w:rPr>
        <w:footnoteRef/>
      </w:r>
      <w:r w:rsidRPr="00427C08">
        <w:rPr>
          <w:rStyle w:val="FootnoteReference"/>
          <w:rFonts w:ascii="Times New Roman" w:hAnsi="Times New Roman"/>
          <w:lang w:val="bg-BG"/>
        </w:rPr>
        <w:t xml:space="preserve"> </w:t>
      </w:r>
      <w:r w:rsidRPr="00427C08">
        <w:rPr>
          <w:rFonts w:ascii="Times New Roman" w:hAnsi="Times New Roman"/>
          <w:color w:val="000000"/>
          <w:lang w:val="bg-BG"/>
        </w:rPr>
        <w:t>Обновените интегрирани стандарти за процесите на разоръжаване, демобилизация и реинтеграция могат да бъдат от полза и за ЕС.</w:t>
      </w:r>
    </w:p>
  </w:footnote>
  <w:footnote w:id="8">
    <w:p w14:paraId="1FC167BF"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color w:val="000000"/>
          <w:lang w:val="bg-BG"/>
        </w:rPr>
        <w:t xml:space="preserve"> За определение на чувствителност към конфликтите вж. Guidance Note on the Use of Conflict Analysis in Support of External Action („Насоки относно използването на анализ на конфликтите в подкрепа на външната дейност“) от 2020 г.</w:t>
      </w:r>
    </w:p>
  </w:footnote>
  <w:footnote w:id="9">
    <w:p w14:paraId="59B5C4E8"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Съобщение на Комисията до Европейския парламент, Европейския съвет, Съвета, Европейския икономически и социален комитет и Комитета на регионите — Програма за борба с тероризма за ЕС: предвиждане, предотвратяване, защита, ответни действия, COM(2020) 795.</w:t>
      </w:r>
    </w:p>
  </w:footnote>
  <w:footnote w:id="10">
    <w:p w14:paraId="2D4FCCCD"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Насоки на ЕС относно децата и въоръжените конфликти. Децата, свързани с въоръжени сили и групировки, понякога са наричани деца-войници. </w:t>
      </w:r>
    </w:p>
  </w:footnote>
  <w:footnote w:id="11">
    <w:p w14:paraId="6970AA1D"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В зависимост от конкретния контекст разоръжаването, демобилизацията и реинтеграцията могат да включват компоненти от или препратки към извеждането от експлоатация на огнестрелни оръжия, отказа от насилие, прекратяването на връзките с въоръжени сили или групировки, повторното включване или помирението.</w:t>
      </w:r>
    </w:p>
  </w:footnote>
  <w:footnote w:id="12">
    <w:p w14:paraId="223B0BFB"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Управлението на оръжия и боеприпаси с преходен характер може да включва тяхното безопасно съхранение, контролирано съвместно от заинтересованите страни.</w:t>
      </w:r>
    </w:p>
  </w:footnote>
  <w:footnote w:id="13">
    <w:p w14:paraId="4E474FCF"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Заключения на Съвета относно трайното установяване на цикъла на политиката на ЕС за борба с организираната и тежката международна престъпност: EMPACT 2022+ (док. 6481/21) и План за действие на ЕС относно трафика на огнестрелни оръжия за периода 2020—2025 г. (COM/2020/608).</w:t>
      </w:r>
    </w:p>
  </w:footnote>
  <w:footnote w:id="14">
    <w:p w14:paraId="20CD97CF"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Децата под 15-годишна възраст се разглеждат като </w:t>
      </w:r>
      <w:r w:rsidRPr="00427C08">
        <w:rPr>
          <w:rFonts w:ascii="Times New Roman" w:hAnsi="Times New Roman"/>
          <w:i/>
          <w:lang w:val="bg-BG"/>
        </w:rPr>
        <w:t>освободени</w:t>
      </w:r>
      <w:r w:rsidRPr="00427C08">
        <w:rPr>
          <w:rFonts w:ascii="Times New Roman" w:hAnsi="Times New Roman"/>
          <w:lang w:val="bg-BG"/>
        </w:rPr>
        <w:t xml:space="preserve"> от въоръжени групировки, а не като участващи в процес на демобилизация.</w:t>
      </w:r>
    </w:p>
  </w:footnote>
  <w:footnote w:id="15">
    <w:p w14:paraId="0A45B15A"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Официалният процес на демобилизация често попада в рамките на политическо споразумение и бележи промяна в правния статут на лицето от боец/сътрудник към гражданско лице, а самодемобилизираните лица директно получават статут на гражданско лице.</w:t>
      </w:r>
    </w:p>
  </w:footnote>
  <w:footnote w:id="16">
    <w:p w14:paraId="2EB1724F"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Заключения на Съвета относно жените, мира и сигурността (док. 15086/18).</w:t>
      </w:r>
    </w:p>
  </w:footnote>
  <w:footnote w:id="17">
    <w:p w14:paraId="687B0568" w14:textId="77777777" w:rsidR="00427C08" w:rsidRPr="00427C08" w:rsidRDefault="00427C08" w:rsidP="00427C08">
      <w:pPr>
        <w:pStyle w:val="FootnoteText"/>
        <w:jc w:val="both"/>
        <w:rPr>
          <w:rFonts w:ascii="Times New Roman" w:hAnsi="Times New Roman" w:cs="Times New Roman"/>
          <w:lang w:val="bg-BG"/>
        </w:rPr>
      </w:pPr>
      <w:r w:rsidRPr="00427C08">
        <w:rPr>
          <w:rFonts w:ascii="Times New Roman" w:hAnsi="Times New Roman" w:cs="Times New Roman"/>
          <w:vertAlign w:val="superscript"/>
          <w:lang w:val="bg-BG"/>
        </w:rPr>
        <w:footnoteRef/>
      </w:r>
      <w:r w:rsidRPr="00427C08">
        <w:rPr>
          <w:rFonts w:ascii="Times New Roman" w:hAnsi="Times New Roman"/>
          <w:lang w:val="bg-BG"/>
        </w:rPr>
        <w:t xml:space="preserve"> Вж. например Заключенията на Съвета относно младите хора в областта на външната дейност (док. 8629/20) и Резолюция 2250 (2015) на Съвета за сигурност на ООН.</w:t>
      </w:r>
    </w:p>
  </w:footnote>
  <w:footnote w:id="18">
    <w:p w14:paraId="528B5646" w14:textId="77777777" w:rsidR="00427C08" w:rsidRPr="00427C08" w:rsidRDefault="00427C08" w:rsidP="00427C08">
      <w:pPr>
        <w:pStyle w:val="FootnoteText"/>
        <w:jc w:val="both"/>
        <w:rPr>
          <w:rFonts w:ascii="Times New Roman" w:hAnsi="Times New Roman" w:cs="Times New Roman"/>
          <w:lang w:val="bg-BG"/>
        </w:rPr>
      </w:pPr>
      <w:r w:rsidRPr="00427C08">
        <w:rPr>
          <w:rFonts w:ascii="Times New Roman" w:hAnsi="Times New Roman" w:cs="Times New Roman"/>
          <w:vertAlign w:val="superscript"/>
          <w:lang w:val="bg-BG"/>
        </w:rPr>
        <w:footnoteRef/>
      </w:r>
      <w:r w:rsidRPr="00427C08">
        <w:rPr>
          <w:rFonts w:ascii="Times New Roman" w:hAnsi="Times New Roman"/>
          <w:lang w:val="bg-BG"/>
        </w:rPr>
        <w:t xml:space="preserve"> При предоставянето на хуманитарна помощ ЕС се придържа към принципите на хуманност, неутралност, безпристрастност и независимост. Вж. Съобщение на Комисията до Европейския парламент и Съвета относно хуманитарната дейност на ЕС: нови предизвикателства, същите принципи, COM(2021) 110.</w:t>
      </w:r>
    </w:p>
  </w:footnote>
  <w:footnote w:id="19">
    <w:p w14:paraId="4679A00F"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Регламент (ЕС) 2021/947 на Европейския парламент и на Съвета от 9 юни 2021 г. за създаване на Инструмента за съседство, сътрудничество за развитие и международно сътрудничество — Глобална Европа, OВ L 209/1 (2021).</w:t>
      </w:r>
    </w:p>
  </w:footnote>
  <w:footnote w:id="20">
    <w:p w14:paraId="42FE371E"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Решение (ОВППС) 2021/509 на Съвета от 22 март 2021 г. за създаване на Европейски механизъм за подкрепа на мира.</w:t>
      </w:r>
    </w:p>
  </w:footnote>
  <w:footnote w:id="21">
    <w:p w14:paraId="2D95414E"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Съгласно член 12, параграф 2, буква б) от Регламент (ЕС) 2021/947 за създаване на Инструмента за съседство, сътрудничество за развитие и международно сътрудничество — Глобална Европа при изготвянето на програмните документи за държави и региони, намиращи се в кризисни ситуации, както и в ситуации на нестабилност и уязвимост, се извършва анализ на конфликтите, за да се гарантира чувствителността към конфликти, и надлежно се вземат предвид специалните потребности и обстоятелства на съответните държави или региони партньори и тяхното население.</w:t>
      </w:r>
    </w:p>
  </w:footnote>
  <w:footnote w:id="22">
    <w:p w14:paraId="51F72B25"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Концепция за мирното посредничество на ЕС (док. 13951/20).</w:t>
      </w:r>
    </w:p>
  </w:footnote>
  <w:footnote w:id="23">
    <w:p w14:paraId="123F142B"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Съвместно съобщение до Европейския парламент и Съвета „Елементи за стратегическа рамка на ЕС за подкрепа на реформата в сектора на сигурността“, </w:t>
      </w:r>
      <w:hyperlink r:id="rId1" w:history="1">
        <w:r w:rsidRPr="00427C08">
          <w:rPr>
            <w:rFonts w:ascii="Times New Roman" w:hAnsi="Times New Roman"/>
            <w:lang w:val="bg-BG"/>
          </w:rPr>
          <w:t>JOIN(2016) 31</w:t>
        </w:r>
      </w:hyperlink>
      <w:r w:rsidRPr="00427C08">
        <w:rPr>
          <w:rFonts w:ascii="Times New Roman" w:hAnsi="Times New Roman"/>
          <w:lang w:val="bg-BG"/>
        </w:rPr>
        <w:t>.</w:t>
      </w:r>
    </w:p>
  </w:footnote>
  <w:footnote w:id="24">
    <w:p w14:paraId="18F5746A"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Съобщение на Комисията до Европейския парламент, Европейския съвет, Съвета, Европейския икономически и социален комитет и Комитета на регионите — Програма за борба с тероризма за ЕС: предвиждане, предотвратяване, защита, ответни действия, COM(2020) 795.</w:t>
      </w:r>
    </w:p>
  </w:footnote>
  <w:footnote w:id="25">
    <w:p w14:paraId="1B7FC23A"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The rule of law and transitional justice in conflict and post-conflict societies — Report of the UNSG (Върховенство на закона и правосъдие в условия на преход в конфликтни и постконфликтни общества — Доклад на генералния секретар на ООН) (S/2004/616). Вж. също Заключенията на Съвета относно подкрепата на ЕС за правосъдието в условията на преход (док. 13576/15).</w:t>
      </w:r>
    </w:p>
  </w:footnote>
  <w:footnote w:id="26">
    <w:p w14:paraId="0F4AFBFF"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Style w:val="FootnoteReference"/>
          <w:rFonts w:ascii="Times New Roman" w:hAnsi="Times New Roman"/>
          <w:lang w:val="bg-BG"/>
        </w:rPr>
        <w:t xml:space="preserve"> </w:t>
      </w:r>
      <w:r w:rsidRPr="00427C08">
        <w:rPr>
          <w:rFonts w:ascii="Times New Roman" w:hAnsi="Times New Roman"/>
          <w:lang w:val="bg-BG"/>
        </w:rPr>
        <w:t>Съвместно съобщение до Европейския парламент и Съвета — Елементи за стратегия на ЕС срещу незаконните огнестрелни оръжия, малки оръжия и леки въоръжения и боеприпаси за тях „Гарантиране на сигурността на оръжията и защитата на гражданите“, JOIN(2018) 17. Вж. също Плана за действие на ЕС относно трафика на огнестрелни оръжия за периода 2020—2025 г., COM(2020) 608.</w:t>
      </w:r>
    </w:p>
  </w:footnote>
  <w:footnote w:id="27">
    <w:p w14:paraId="4AB21FB5" w14:textId="77777777" w:rsidR="00427C08" w:rsidRPr="00427C08" w:rsidRDefault="00427C08" w:rsidP="00427C08">
      <w:pPr>
        <w:pStyle w:val="FootnoteText"/>
        <w:jc w:val="both"/>
        <w:rPr>
          <w:rFonts w:ascii="Times New Roman" w:hAnsi="Times New Roman" w:cs="Times New Roman"/>
          <w:lang w:val="bg-BG"/>
        </w:rPr>
      </w:pPr>
      <w:r w:rsidRPr="00427C08">
        <w:rPr>
          <w:rFonts w:ascii="Times New Roman" w:hAnsi="Times New Roman" w:cs="Times New Roman"/>
          <w:vertAlign w:val="superscript"/>
          <w:lang w:val="bg-BG"/>
        </w:rPr>
        <w:footnoteRef/>
      </w:r>
      <w:r w:rsidRPr="00427C08">
        <w:rPr>
          <w:rFonts w:ascii="Times New Roman" w:hAnsi="Times New Roman"/>
          <w:lang w:val="bg-BG"/>
        </w:rPr>
        <w:t xml:space="preserve"> Вж. </w:t>
      </w:r>
      <w:r w:rsidRPr="00427C08">
        <w:rPr>
          <w:rStyle w:val="markedcontent"/>
          <w:rFonts w:ascii="Times New Roman" w:hAnsi="Times New Roman"/>
          <w:lang w:val="bg-BG"/>
        </w:rPr>
        <w:t xml:space="preserve">Съобщението на Комисията до Европейския парламент, Европейския съвет, Европейския икономически и социален комитет и Комитета на регионите относно стратегията на ЕС за борба с организираната престъпност за периода 2021—2025 г., COM(2021)2025 и </w:t>
      </w:r>
      <w:r w:rsidRPr="00427C08">
        <w:rPr>
          <w:rFonts w:ascii="Times New Roman" w:hAnsi="Times New Roman"/>
          <w:lang w:val="bg-BG"/>
        </w:rPr>
        <w:t>Заключенията на Съвета относно трайното установяване на цикъла на политиката на ЕС за борба с организираната и тежката международна престъпност: EMPACT 2022+ (док. 6481/21).</w:t>
      </w:r>
    </w:p>
  </w:footnote>
  <w:footnote w:id="28">
    <w:p w14:paraId="2E7733D4"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w:t>
      </w:r>
      <w:r w:rsidRPr="00427C08">
        <w:rPr>
          <w:rStyle w:val="markedcontent"/>
          <w:rFonts w:ascii="Times New Roman" w:hAnsi="Times New Roman"/>
          <w:lang w:val="bg-BG"/>
        </w:rPr>
        <w:t>Вж. Съобщение на Комисията до Европейския парламент, Съвета, Европейския икономически и социален комитет и Комитета на регионите относно Стратегията на ЕС за борба с трафика на хора за периода 2021—2025  г., COM(2021) 171.</w:t>
      </w:r>
    </w:p>
  </w:footnote>
  <w:footnote w:id="29">
    <w:p w14:paraId="2E0C1406"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Възможно е процесите на разоръжаване, демобилизация и реинтеграция да имат непреднамерени отрицателни въздействия или да изострят конфликтите и напрежението. Рисковете, свързани с разоръжаването, демобилизацията и реинтеграцията, могат да бъдат политически, свързани с репутацията и/или със сигурността. Например те биха могли да доведат до прекалено увеличаване на очакванията, да създадат усещане, че въоръжените групировки получават възнаграждение за участието си, да стимулират търговията с оръжия и боеприпаси, да изложат бившите бойци, сътрудниците им и общностите на риск от отмъщение или да бъдат разглеждани като насърчаващи безнаказаността, липсата на прозрачност и несправедливостта. </w:t>
      </w:r>
    </w:p>
  </w:footnote>
  <w:footnote w:id="30">
    <w:p w14:paraId="2068F303"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Вж. Резолюция 1261 (1999) и Резолюция 1612 (2005) на Съвета за сигурност на ООН. Шестте тежки нарушения са: убийство и осакатяване на деца; набиране или използване на деца във въоръжени сили и въоръжени групировки; нападения срещу училища или болници; изнасилване или други тежки форми на сексуално насилие; отвличане на деца; и отказ на достъп до хуманитарна помощ за деца. Принудителното или задължителното набиране на деца под 18-годишна възраст и използването им във военни действия както от въоръжени сили, така и от въоръжени групировки е незаконно и представлява една от най-лошите форми на детски труд. Освен това набирането на деца под 15-годишна възраст представлява военно престъпление.</w:t>
      </w:r>
    </w:p>
  </w:footnote>
  <w:footnote w:id="31">
    <w:p w14:paraId="753F82D8"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w:t>
      </w:r>
      <w:r w:rsidRPr="00427C08">
        <w:rPr>
          <w:rFonts w:ascii="Times New Roman" w:hAnsi="Times New Roman"/>
          <w:color w:val="000000"/>
          <w:lang w:val="bg-BG"/>
        </w:rPr>
        <w:t>Протоколите за предаване са практически инструменти за предотвратяване или ограничаване на задържането на деца в рамките на въоръжен конфликт. Те са споразумения за бързо прехвърляне на деца, за които се твърди, че са свързани с въоръжени групировки, към гражданските агенции за закрила на детето с цел тяхната реинтеграция. Протоколите за предаване не представляват гаранция за имунитет. Вж. напр. </w:t>
      </w:r>
      <w:r w:rsidRPr="00427C08">
        <w:rPr>
          <w:rStyle w:val="selectable"/>
          <w:rFonts w:ascii="Times New Roman" w:hAnsi="Times New Roman"/>
          <w:color w:val="000000"/>
          <w:lang w:val="bg-BG"/>
        </w:rPr>
        <w:t xml:space="preserve">Watchlist on Children and Armed Conflict, 2020 г. </w:t>
      </w:r>
      <w:r w:rsidRPr="00427C08">
        <w:rPr>
          <w:rStyle w:val="selectable"/>
          <w:rFonts w:ascii="Times New Roman" w:hAnsi="Times New Roman"/>
          <w:i/>
          <w:iCs/>
          <w:color w:val="000000"/>
          <w:lang w:val="bg-BG"/>
        </w:rPr>
        <w:t>A Path to Reintegration: The Role of Handover Protocols in Protecting the Rights of Children Formerly Associated with Armed Forces or Armed Groups („Път към реинтеграцията: Ролята на протоколите за предаване в защитата на правата на децата, които са били свързани с въоръжени сили или въоръжени групировки“)</w:t>
      </w:r>
      <w:r w:rsidRPr="00427C08">
        <w:rPr>
          <w:rStyle w:val="selectable"/>
          <w:rFonts w:ascii="Times New Roman" w:hAnsi="Times New Roman"/>
          <w:color w:val="000000"/>
          <w:lang w:val="bg-BG"/>
        </w:rPr>
        <w:t>.</w:t>
      </w:r>
    </w:p>
  </w:footnote>
  <w:footnote w:id="32">
    <w:p w14:paraId="208B809F"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Заключения на Съвета относно жените, мира и сигурността (док. 15086/18) и Съвместно съобщение до Европейския парламент и Съвета — План за действие на ЕС относно равенството между половете (GAP) III — амбициозна програма за равенство между половете и за овластяване на жените във външните дейности на ЕС, JOIN(15086/18) 2020.</w:t>
      </w:r>
    </w:p>
  </w:footnote>
  <w:footnote w:id="33">
    <w:p w14:paraId="22D219D2"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Резолюция 2250 (2015) на Съвета за сигурност на ООН и Заключения на Съвета относно младите хора в областта на външната дейност (док. 8629/20).</w:t>
      </w:r>
    </w:p>
  </w:footnote>
  <w:footnote w:id="34">
    <w:p w14:paraId="713560C2"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Например Механизмът за управление на сектора на сигурността на ЕС, Механизмът за правосъдието в условията на конфликт и преход на ЕС и Европейските ресурси за подкрепа на посредничеството.</w:t>
      </w:r>
    </w:p>
  </w:footnote>
  <w:footnote w:id="35">
    <w:p w14:paraId="27CDD9A8" w14:textId="77777777" w:rsidR="00427C08" w:rsidRPr="00427C08" w:rsidRDefault="00427C08" w:rsidP="00427C08">
      <w:pPr>
        <w:pStyle w:val="FootnoteText"/>
        <w:jc w:val="both"/>
        <w:rPr>
          <w:rFonts w:ascii="Times New Roman" w:hAnsi="Times New Roman" w:cs="Times New Roman"/>
          <w:lang w:val="bg-BG"/>
        </w:rPr>
      </w:pPr>
      <w:r w:rsidRPr="00427C08">
        <w:rPr>
          <w:rStyle w:val="FootnoteReference"/>
          <w:rFonts w:ascii="Times New Roman" w:hAnsi="Times New Roman" w:cs="Times New Roman"/>
          <w:lang w:val="bg-BG"/>
        </w:rPr>
        <w:footnoteRef/>
      </w:r>
      <w:r w:rsidRPr="00427C08">
        <w:rPr>
          <w:rFonts w:ascii="Times New Roman" w:hAnsi="Times New Roman"/>
          <w:lang w:val="bg-BG"/>
        </w:rPr>
        <w:t xml:space="preserve"> Съвместно съобщение до Европейския парламент и Съвета „Елементи за стратегическа рамка на ЕС за подкрепа на реформата в сектора на сигурността“, </w:t>
      </w:r>
      <w:hyperlink r:id="rId2" w:history="1">
        <w:r w:rsidRPr="00427C08">
          <w:rPr>
            <w:rFonts w:ascii="Times New Roman" w:hAnsi="Times New Roman"/>
            <w:lang w:val="bg-BG"/>
          </w:rPr>
          <w:t>JOIN(2016) 31</w:t>
        </w:r>
      </w:hyperlink>
      <w:r w:rsidRPr="00427C08">
        <w:rPr>
          <w:rFonts w:ascii="Times New Roman" w:hAnsi="Times New Roman"/>
          <w:lang w:val="bg-BG"/>
        </w:rPr>
        <w:t>, стр. 12—13.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7126" w14:textId="77777777" w:rsidR="0003436D" w:rsidRPr="0003436D" w:rsidRDefault="0003436D" w:rsidP="00034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F13F" w14:textId="77777777" w:rsidR="0003436D" w:rsidRPr="0003436D" w:rsidRDefault="0003436D" w:rsidP="0003436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8E7A" w14:textId="77777777" w:rsidR="0003436D" w:rsidRPr="0003436D" w:rsidRDefault="0003436D" w:rsidP="0003436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8C49E" w14:textId="77777777" w:rsidR="001D2150" w:rsidRDefault="001D21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02D5" w14:textId="621F13A4" w:rsidR="001D2150" w:rsidRPr="0071495F" w:rsidRDefault="001D2150" w:rsidP="007149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FF99" w14:textId="77777777" w:rsidR="001D2150" w:rsidRDefault="001D2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3DF"/>
    <w:multiLevelType w:val="hybridMultilevel"/>
    <w:tmpl w:val="55C26D5E"/>
    <w:lvl w:ilvl="0" w:tplc="E2C0837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548EC"/>
    <w:multiLevelType w:val="hybridMultilevel"/>
    <w:tmpl w:val="DFFC68DC"/>
    <w:lvl w:ilvl="0" w:tplc="54F22716">
      <w:start w:val="4"/>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FE7C85"/>
    <w:multiLevelType w:val="hybridMultilevel"/>
    <w:tmpl w:val="FF120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2062A"/>
    <w:multiLevelType w:val="hybridMultilevel"/>
    <w:tmpl w:val="DC88E7B2"/>
    <w:lvl w:ilvl="0" w:tplc="337EEC68">
      <w:start w:val="1"/>
      <w:numFmt w:val="lowerRoman"/>
      <w:lvlText w:val="%1."/>
      <w:lvlJc w:val="right"/>
      <w:pPr>
        <w:ind w:left="142" w:hanging="142"/>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0F4956"/>
    <w:multiLevelType w:val="hybridMultilevel"/>
    <w:tmpl w:val="4DDE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45950"/>
    <w:multiLevelType w:val="hybridMultilevel"/>
    <w:tmpl w:val="37AE7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A942B0"/>
    <w:multiLevelType w:val="hybridMultilevel"/>
    <w:tmpl w:val="4CA0E4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C6111"/>
    <w:multiLevelType w:val="hybridMultilevel"/>
    <w:tmpl w:val="5344D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5E4686"/>
    <w:multiLevelType w:val="hybridMultilevel"/>
    <w:tmpl w:val="1B26EB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2F2273"/>
    <w:multiLevelType w:val="hybridMultilevel"/>
    <w:tmpl w:val="2E1685B0"/>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55D8F"/>
    <w:multiLevelType w:val="multilevel"/>
    <w:tmpl w:val="ED321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2C539C1"/>
    <w:multiLevelType w:val="hybridMultilevel"/>
    <w:tmpl w:val="B0183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9024AE"/>
    <w:multiLevelType w:val="hybridMultilevel"/>
    <w:tmpl w:val="829CF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C31521"/>
    <w:multiLevelType w:val="hybridMultilevel"/>
    <w:tmpl w:val="E68E5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222FA6"/>
    <w:multiLevelType w:val="hybridMultilevel"/>
    <w:tmpl w:val="FB4E8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FA4689"/>
    <w:multiLevelType w:val="hybridMultilevel"/>
    <w:tmpl w:val="DB44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CD4EFD"/>
    <w:multiLevelType w:val="hybridMultilevel"/>
    <w:tmpl w:val="E71C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D3184"/>
    <w:multiLevelType w:val="hybridMultilevel"/>
    <w:tmpl w:val="C1B00982"/>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5"/>
  </w:num>
  <w:num w:numId="4">
    <w:abstractNumId w:val="1"/>
  </w:num>
  <w:num w:numId="5">
    <w:abstractNumId w:val="7"/>
  </w:num>
  <w:num w:numId="6">
    <w:abstractNumId w:val="2"/>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0"/>
  </w:num>
  <w:num w:numId="13">
    <w:abstractNumId w:val="3"/>
  </w:num>
  <w:num w:numId="14">
    <w:abstractNumId w:val="9"/>
  </w:num>
  <w:num w:numId="15">
    <w:abstractNumId w:val="16"/>
  </w:num>
  <w:num w:numId="16">
    <w:abstractNumId w:val="17"/>
  </w:num>
  <w:num w:numId="17">
    <w:abstractNumId w:val="6"/>
  </w:num>
  <w:num w:numId="18">
    <w:abstractNumId w:val="12"/>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6F4DF69-8BDB-4787-892F-E4E9DF91D9BD"/>
    <w:docVar w:name="LW_COVERPAGE_TYPE" w:val="1"/>
    <w:docVar w:name="LW_CROSSREFERENCE" w:val="&lt;UNUSED&gt;"/>
    <w:docVar w:name="LW_DocType" w:val="NORMAL"/>
    <w:docVar w:name="LW_EMISSION" w:val="21.12.2021"/>
    <w:docVar w:name="LW_EMISSION_ISODATE" w:val="2021-12-21"/>
    <w:docVar w:name="LW_EMISSION_LOCATION" w:val="BRX"/>
    <w:docVar w:name="LW_EMISSION_PREFIX" w:val="\u1041?\u1088?\u1102?\u1082?\u1089?\u1077?\u1083?, "/>
    <w:docVar w:name="LW_EMISSION_SUFFIX" w:val=" \u1075?."/>
    <w:docVar w:name="LW_ID_DOCTYPE_NONLW" w:val="CP-015"/>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21)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Стратегически подход на ЕС в подкрепа на разоръжаването, демобилизацията и реинтеграцията на бивши бойци_x000d__x000b_"/>
    <w:docVar w:name="LW_TYPE.DOC.CP" w:val="СЪВМЕСТНО СЪОБЩЕНИЕ ДО ЕВРОПЕЙСКИЯ ПАРЛАМЕНТ И СЪВЕТА"/>
    <w:docVar w:name="LW_TYPE.DOC.CP.USERTEXT" w:val="&lt;EMPTY&gt;"/>
    <w:docVar w:name="LwApiVersions" w:val="LW4CoDe 1.23.2.0; LW 8.0, Build 20211117"/>
  </w:docVars>
  <w:rsids>
    <w:rsidRoot w:val="00E15FC7"/>
    <w:rsid w:val="00002C2A"/>
    <w:rsid w:val="000057C3"/>
    <w:rsid w:val="00005803"/>
    <w:rsid w:val="00006990"/>
    <w:rsid w:val="0000782A"/>
    <w:rsid w:val="0000797E"/>
    <w:rsid w:val="000101A4"/>
    <w:rsid w:val="00012056"/>
    <w:rsid w:val="00012429"/>
    <w:rsid w:val="00012C85"/>
    <w:rsid w:val="00012CDC"/>
    <w:rsid w:val="00014829"/>
    <w:rsid w:val="00015136"/>
    <w:rsid w:val="0001764F"/>
    <w:rsid w:val="00017C46"/>
    <w:rsid w:val="0002123A"/>
    <w:rsid w:val="000215AC"/>
    <w:rsid w:val="000215DB"/>
    <w:rsid w:val="00021918"/>
    <w:rsid w:val="00021D0C"/>
    <w:rsid w:val="00026F05"/>
    <w:rsid w:val="00027304"/>
    <w:rsid w:val="000276FD"/>
    <w:rsid w:val="000277DB"/>
    <w:rsid w:val="00030EC9"/>
    <w:rsid w:val="00031031"/>
    <w:rsid w:val="000317D3"/>
    <w:rsid w:val="000337F9"/>
    <w:rsid w:val="0003436D"/>
    <w:rsid w:val="00034462"/>
    <w:rsid w:val="00035F74"/>
    <w:rsid w:val="000363B7"/>
    <w:rsid w:val="00036759"/>
    <w:rsid w:val="00037380"/>
    <w:rsid w:val="00040445"/>
    <w:rsid w:val="00040E88"/>
    <w:rsid w:val="0004115F"/>
    <w:rsid w:val="00041554"/>
    <w:rsid w:val="00041E88"/>
    <w:rsid w:val="00042365"/>
    <w:rsid w:val="00042B60"/>
    <w:rsid w:val="00043748"/>
    <w:rsid w:val="00045A5C"/>
    <w:rsid w:val="000471CD"/>
    <w:rsid w:val="0004748A"/>
    <w:rsid w:val="00051435"/>
    <w:rsid w:val="000518D8"/>
    <w:rsid w:val="00052284"/>
    <w:rsid w:val="000529D7"/>
    <w:rsid w:val="000538AB"/>
    <w:rsid w:val="0005398F"/>
    <w:rsid w:val="00054C27"/>
    <w:rsid w:val="00055860"/>
    <w:rsid w:val="000560D0"/>
    <w:rsid w:val="0005623F"/>
    <w:rsid w:val="00056580"/>
    <w:rsid w:val="00056DC1"/>
    <w:rsid w:val="00060237"/>
    <w:rsid w:val="00060EA4"/>
    <w:rsid w:val="00061172"/>
    <w:rsid w:val="0006138C"/>
    <w:rsid w:val="0006185F"/>
    <w:rsid w:val="00064428"/>
    <w:rsid w:val="00066177"/>
    <w:rsid w:val="00066DC7"/>
    <w:rsid w:val="00067A86"/>
    <w:rsid w:val="00070705"/>
    <w:rsid w:val="00072BDD"/>
    <w:rsid w:val="000739FB"/>
    <w:rsid w:val="000759AB"/>
    <w:rsid w:val="000776A2"/>
    <w:rsid w:val="0008255F"/>
    <w:rsid w:val="00082B2A"/>
    <w:rsid w:val="00082D9D"/>
    <w:rsid w:val="0008372A"/>
    <w:rsid w:val="0008587E"/>
    <w:rsid w:val="00085C26"/>
    <w:rsid w:val="000874F7"/>
    <w:rsid w:val="0009032E"/>
    <w:rsid w:val="00090609"/>
    <w:rsid w:val="000910F0"/>
    <w:rsid w:val="00091192"/>
    <w:rsid w:val="0009239B"/>
    <w:rsid w:val="000924F0"/>
    <w:rsid w:val="000937E3"/>
    <w:rsid w:val="0009405F"/>
    <w:rsid w:val="00094A91"/>
    <w:rsid w:val="0009587D"/>
    <w:rsid w:val="00096FD5"/>
    <w:rsid w:val="000A1351"/>
    <w:rsid w:val="000A451A"/>
    <w:rsid w:val="000A4626"/>
    <w:rsid w:val="000A66FC"/>
    <w:rsid w:val="000A6D43"/>
    <w:rsid w:val="000B072E"/>
    <w:rsid w:val="000B1272"/>
    <w:rsid w:val="000B1A1C"/>
    <w:rsid w:val="000B2309"/>
    <w:rsid w:val="000B4464"/>
    <w:rsid w:val="000B6552"/>
    <w:rsid w:val="000B763E"/>
    <w:rsid w:val="000C00FD"/>
    <w:rsid w:val="000C24E1"/>
    <w:rsid w:val="000C4414"/>
    <w:rsid w:val="000C4416"/>
    <w:rsid w:val="000C5CC4"/>
    <w:rsid w:val="000C5E3D"/>
    <w:rsid w:val="000C6FC9"/>
    <w:rsid w:val="000C7C8F"/>
    <w:rsid w:val="000D1B94"/>
    <w:rsid w:val="000D1BCE"/>
    <w:rsid w:val="000D2C32"/>
    <w:rsid w:val="000D32D3"/>
    <w:rsid w:val="000D3451"/>
    <w:rsid w:val="000D37F1"/>
    <w:rsid w:val="000D398A"/>
    <w:rsid w:val="000D3B90"/>
    <w:rsid w:val="000D479C"/>
    <w:rsid w:val="000D6BB6"/>
    <w:rsid w:val="000D6C97"/>
    <w:rsid w:val="000E0350"/>
    <w:rsid w:val="000E097D"/>
    <w:rsid w:val="000E3B91"/>
    <w:rsid w:val="000E44EA"/>
    <w:rsid w:val="000E6711"/>
    <w:rsid w:val="000E6D11"/>
    <w:rsid w:val="000E6EAE"/>
    <w:rsid w:val="000E7891"/>
    <w:rsid w:val="000E79EA"/>
    <w:rsid w:val="000F0395"/>
    <w:rsid w:val="000F1DB9"/>
    <w:rsid w:val="000F22E7"/>
    <w:rsid w:val="000F2A5A"/>
    <w:rsid w:val="000F3847"/>
    <w:rsid w:val="000F47FB"/>
    <w:rsid w:val="000F4A30"/>
    <w:rsid w:val="000F5364"/>
    <w:rsid w:val="000F5B12"/>
    <w:rsid w:val="000F66BB"/>
    <w:rsid w:val="000F6AA6"/>
    <w:rsid w:val="00101895"/>
    <w:rsid w:val="00102182"/>
    <w:rsid w:val="00102920"/>
    <w:rsid w:val="00103BA6"/>
    <w:rsid w:val="00103F0B"/>
    <w:rsid w:val="00104FF7"/>
    <w:rsid w:val="0010519D"/>
    <w:rsid w:val="00105FC7"/>
    <w:rsid w:val="00106009"/>
    <w:rsid w:val="0011097E"/>
    <w:rsid w:val="00110B10"/>
    <w:rsid w:val="00111196"/>
    <w:rsid w:val="00111877"/>
    <w:rsid w:val="00112F1D"/>
    <w:rsid w:val="00113708"/>
    <w:rsid w:val="00113E19"/>
    <w:rsid w:val="00114540"/>
    <w:rsid w:val="00114C30"/>
    <w:rsid w:val="00114F64"/>
    <w:rsid w:val="00117E76"/>
    <w:rsid w:val="00117E85"/>
    <w:rsid w:val="00121E4D"/>
    <w:rsid w:val="00122553"/>
    <w:rsid w:val="001227E0"/>
    <w:rsid w:val="00123460"/>
    <w:rsid w:val="001238D5"/>
    <w:rsid w:val="00123A98"/>
    <w:rsid w:val="001240C3"/>
    <w:rsid w:val="001247A9"/>
    <w:rsid w:val="001251A1"/>
    <w:rsid w:val="001254BB"/>
    <w:rsid w:val="0012560D"/>
    <w:rsid w:val="001258D9"/>
    <w:rsid w:val="00125CAD"/>
    <w:rsid w:val="00126A99"/>
    <w:rsid w:val="00127290"/>
    <w:rsid w:val="00130597"/>
    <w:rsid w:val="00133BD3"/>
    <w:rsid w:val="00133D61"/>
    <w:rsid w:val="001345DF"/>
    <w:rsid w:val="001346C5"/>
    <w:rsid w:val="00134F82"/>
    <w:rsid w:val="001367D4"/>
    <w:rsid w:val="001369AF"/>
    <w:rsid w:val="00137605"/>
    <w:rsid w:val="0014111C"/>
    <w:rsid w:val="0014272B"/>
    <w:rsid w:val="00143167"/>
    <w:rsid w:val="001432D8"/>
    <w:rsid w:val="001434A8"/>
    <w:rsid w:val="00143F2F"/>
    <w:rsid w:val="0014432A"/>
    <w:rsid w:val="0014761D"/>
    <w:rsid w:val="00151D3C"/>
    <w:rsid w:val="00151DA2"/>
    <w:rsid w:val="00152434"/>
    <w:rsid w:val="001529AC"/>
    <w:rsid w:val="00153824"/>
    <w:rsid w:val="00154133"/>
    <w:rsid w:val="001560DD"/>
    <w:rsid w:val="00156281"/>
    <w:rsid w:val="00156607"/>
    <w:rsid w:val="00156B82"/>
    <w:rsid w:val="0016104A"/>
    <w:rsid w:val="00163F9C"/>
    <w:rsid w:val="0016565E"/>
    <w:rsid w:val="001663A1"/>
    <w:rsid w:val="00170219"/>
    <w:rsid w:val="00174FC1"/>
    <w:rsid w:val="00175114"/>
    <w:rsid w:val="00175826"/>
    <w:rsid w:val="00175C91"/>
    <w:rsid w:val="00176579"/>
    <w:rsid w:val="0017735B"/>
    <w:rsid w:val="001800BA"/>
    <w:rsid w:val="00181CF1"/>
    <w:rsid w:val="00181E66"/>
    <w:rsid w:val="00183238"/>
    <w:rsid w:val="00185390"/>
    <w:rsid w:val="0018591F"/>
    <w:rsid w:val="00185E4A"/>
    <w:rsid w:val="00186D39"/>
    <w:rsid w:val="001874DA"/>
    <w:rsid w:val="00190DA9"/>
    <w:rsid w:val="00190FBF"/>
    <w:rsid w:val="001919B5"/>
    <w:rsid w:val="001923C1"/>
    <w:rsid w:val="00195A2C"/>
    <w:rsid w:val="00195E9A"/>
    <w:rsid w:val="001965E2"/>
    <w:rsid w:val="00196CEC"/>
    <w:rsid w:val="001A2C06"/>
    <w:rsid w:val="001A41A3"/>
    <w:rsid w:val="001A435F"/>
    <w:rsid w:val="001A5F23"/>
    <w:rsid w:val="001A78EB"/>
    <w:rsid w:val="001B084C"/>
    <w:rsid w:val="001B1179"/>
    <w:rsid w:val="001B1958"/>
    <w:rsid w:val="001B2293"/>
    <w:rsid w:val="001B3DC9"/>
    <w:rsid w:val="001B41BB"/>
    <w:rsid w:val="001B58AC"/>
    <w:rsid w:val="001B5CC9"/>
    <w:rsid w:val="001B7888"/>
    <w:rsid w:val="001C0D8C"/>
    <w:rsid w:val="001C1F6D"/>
    <w:rsid w:val="001C519B"/>
    <w:rsid w:val="001C720C"/>
    <w:rsid w:val="001C793B"/>
    <w:rsid w:val="001D0FAF"/>
    <w:rsid w:val="001D114D"/>
    <w:rsid w:val="001D1E4C"/>
    <w:rsid w:val="001D2150"/>
    <w:rsid w:val="001D31A2"/>
    <w:rsid w:val="001D40DF"/>
    <w:rsid w:val="001D4A16"/>
    <w:rsid w:val="001D55FA"/>
    <w:rsid w:val="001D7CF2"/>
    <w:rsid w:val="001D7ED0"/>
    <w:rsid w:val="001E065B"/>
    <w:rsid w:val="001E0B7A"/>
    <w:rsid w:val="001E20F2"/>
    <w:rsid w:val="001E23D6"/>
    <w:rsid w:val="001E2F60"/>
    <w:rsid w:val="001E3B8F"/>
    <w:rsid w:val="001E511A"/>
    <w:rsid w:val="001E5BD9"/>
    <w:rsid w:val="001E6268"/>
    <w:rsid w:val="001E7998"/>
    <w:rsid w:val="001F2449"/>
    <w:rsid w:val="001F2C76"/>
    <w:rsid w:val="001F3B06"/>
    <w:rsid w:val="001F61BF"/>
    <w:rsid w:val="001F6ABD"/>
    <w:rsid w:val="002003FD"/>
    <w:rsid w:val="002017CD"/>
    <w:rsid w:val="00202A4D"/>
    <w:rsid w:val="0020360B"/>
    <w:rsid w:val="002038A4"/>
    <w:rsid w:val="00203DA6"/>
    <w:rsid w:val="0020429D"/>
    <w:rsid w:val="002051B2"/>
    <w:rsid w:val="00205473"/>
    <w:rsid w:val="0020705F"/>
    <w:rsid w:val="00210318"/>
    <w:rsid w:val="002103DD"/>
    <w:rsid w:val="002104D3"/>
    <w:rsid w:val="002106AC"/>
    <w:rsid w:val="00210F3D"/>
    <w:rsid w:val="00211FB9"/>
    <w:rsid w:val="002142C9"/>
    <w:rsid w:val="00215102"/>
    <w:rsid w:val="0021568B"/>
    <w:rsid w:val="00216175"/>
    <w:rsid w:val="0022071A"/>
    <w:rsid w:val="00220FBD"/>
    <w:rsid w:val="00221CC4"/>
    <w:rsid w:val="00222643"/>
    <w:rsid w:val="002235E4"/>
    <w:rsid w:val="0022420D"/>
    <w:rsid w:val="002251FF"/>
    <w:rsid w:val="0022602F"/>
    <w:rsid w:val="00227B28"/>
    <w:rsid w:val="00231084"/>
    <w:rsid w:val="002310E4"/>
    <w:rsid w:val="00236BEC"/>
    <w:rsid w:val="00237E6A"/>
    <w:rsid w:val="00237F81"/>
    <w:rsid w:val="002400E3"/>
    <w:rsid w:val="00240605"/>
    <w:rsid w:val="00240613"/>
    <w:rsid w:val="00240C19"/>
    <w:rsid w:val="0024173C"/>
    <w:rsid w:val="00242EAF"/>
    <w:rsid w:val="00243375"/>
    <w:rsid w:val="0024470E"/>
    <w:rsid w:val="002447A4"/>
    <w:rsid w:val="00244C7D"/>
    <w:rsid w:val="00245476"/>
    <w:rsid w:val="00246352"/>
    <w:rsid w:val="00246A5C"/>
    <w:rsid w:val="002470B6"/>
    <w:rsid w:val="00247278"/>
    <w:rsid w:val="0024732D"/>
    <w:rsid w:val="002477EE"/>
    <w:rsid w:val="00250A08"/>
    <w:rsid w:val="0025130B"/>
    <w:rsid w:val="0025228C"/>
    <w:rsid w:val="002528D9"/>
    <w:rsid w:val="0025301B"/>
    <w:rsid w:val="0025307B"/>
    <w:rsid w:val="002537CC"/>
    <w:rsid w:val="00255C95"/>
    <w:rsid w:val="0025609C"/>
    <w:rsid w:val="00261A29"/>
    <w:rsid w:val="00264146"/>
    <w:rsid w:val="00264896"/>
    <w:rsid w:val="00265F1A"/>
    <w:rsid w:val="00266755"/>
    <w:rsid w:val="00270FDE"/>
    <w:rsid w:val="0027125A"/>
    <w:rsid w:val="00271361"/>
    <w:rsid w:val="0027217C"/>
    <w:rsid w:val="00272BB0"/>
    <w:rsid w:val="0027319B"/>
    <w:rsid w:val="00273493"/>
    <w:rsid w:val="0027434D"/>
    <w:rsid w:val="00274A9F"/>
    <w:rsid w:val="002754AE"/>
    <w:rsid w:val="00275761"/>
    <w:rsid w:val="00276BB5"/>
    <w:rsid w:val="00276FE8"/>
    <w:rsid w:val="00277ACC"/>
    <w:rsid w:val="00281676"/>
    <w:rsid w:val="00283C3B"/>
    <w:rsid w:val="002842BB"/>
    <w:rsid w:val="00284BBF"/>
    <w:rsid w:val="00286BD2"/>
    <w:rsid w:val="00286FB8"/>
    <w:rsid w:val="002874B5"/>
    <w:rsid w:val="0028784C"/>
    <w:rsid w:val="00287F1A"/>
    <w:rsid w:val="0029098F"/>
    <w:rsid w:val="00291324"/>
    <w:rsid w:val="0029133B"/>
    <w:rsid w:val="002916EB"/>
    <w:rsid w:val="00291C53"/>
    <w:rsid w:val="00291ED8"/>
    <w:rsid w:val="002929B6"/>
    <w:rsid w:val="00293C84"/>
    <w:rsid w:val="0029423D"/>
    <w:rsid w:val="00294831"/>
    <w:rsid w:val="00296487"/>
    <w:rsid w:val="0029688B"/>
    <w:rsid w:val="002968B9"/>
    <w:rsid w:val="00296BBB"/>
    <w:rsid w:val="00296FFB"/>
    <w:rsid w:val="002972FC"/>
    <w:rsid w:val="0029734B"/>
    <w:rsid w:val="002973BB"/>
    <w:rsid w:val="002A24A5"/>
    <w:rsid w:val="002A513B"/>
    <w:rsid w:val="002A5400"/>
    <w:rsid w:val="002A56AA"/>
    <w:rsid w:val="002A6BCB"/>
    <w:rsid w:val="002A7C83"/>
    <w:rsid w:val="002A7F48"/>
    <w:rsid w:val="002B2070"/>
    <w:rsid w:val="002B23EB"/>
    <w:rsid w:val="002B25F7"/>
    <w:rsid w:val="002B2996"/>
    <w:rsid w:val="002B2CE7"/>
    <w:rsid w:val="002B37D9"/>
    <w:rsid w:val="002B3863"/>
    <w:rsid w:val="002B484F"/>
    <w:rsid w:val="002B491F"/>
    <w:rsid w:val="002B54FC"/>
    <w:rsid w:val="002B726E"/>
    <w:rsid w:val="002C076A"/>
    <w:rsid w:val="002C1E07"/>
    <w:rsid w:val="002C4084"/>
    <w:rsid w:val="002C5D5B"/>
    <w:rsid w:val="002C6D6C"/>
    <w:rsid w:val="002C6DB5"/>
    <w:rsid w:val="002C6E1E"/>
    <w:rsid w:val="002C6F55"/>
    <w:rsid w:val="002C74C8"/>
    <w:rsid w:val="002D387E"/>
    <w:rsid w:val="002D4C3A"/>
    <w:rsid w:val="002D4EA6"/>
    <w:rsid w:val="002D5500"/>
    <w:rsid w:val="002D5B3C"/>
    <w:rsid w:val="002D5BFB"/>
    <w:rsid w:val="002D5C09"/>
    <w:rsid w:val="002D6025"/>
    <w:rsid w:val="002D641D"/>
    <w:rsid w:val="002D778D"/>
    <w:rsid w:val="002D7FC6"/>
    <w:rsid w:val="002E090A"/>
    <w:rsid w:val="002E15BA"/>
    <w:rsid w:val="002E1D6D"/>
    <w:rsid w:val="002E3205"/>
    <w:rsid w:val="002E429D"/>
    <w:rsid w:val="002E5468"/>
    <w:rsid w:val="002E60AB"/>
    <w:rsid w:val="002E70FE"/>
    <w:rsid w:val="002E7BD2"/>
    <w:rsid w:val="002E7DF9"/>
    <w:rsid w:val="002F02ED"/>
    <w:rsid w:val="002F031F"/>
    <w:rsid w:val="002F1CE7"/>
    <w:rsid w:val="002F326A"/>
    <w:rsid w:val="002F3897"/>
    <w:rsid w:val="002F46BE"/>
    <w:rsid w:val="002F5A30"/>
    <w:rsid w:val="002F7FD0"/>
    <w:rsid w:val="0030322A"/>
    <w:rsid w:val="003032FA"/>
    <w:rsid w:val="00303434"/>
    <w:rsid w:val="00303485"/>
    <w:rsid w:val="00304192"/>
    <w:rsid w:val="00304954"/>
    <w:rsid w:val="00305805"/>
    <w:rsid w:val="00305A25"/>
    <w:rsid w:val="00310239"/>
    <w:rsid w:val="0031099E"/>
    <w:rsid w:val="0031102B"/>
    <w:rsid w:val="00312CC0"/>
    <w:rsid w:val="0031424C"/>
    <w:rsid w:val="00314398"/>
    <w:rsid w:val="00315073"/>
    <w:rsid w:val="00316CDF"/>
    <w:rsid w:val="00317294"/>
    <w:rsid w:val="003221B2"/>
    <w:rsid w:val="00322AD4"/>
    <w:rsid w:val="00324CA8"/>
    <w:rsid w:val="00325004"/>
    <w:rsid w:val="00325A55"/>
    <w:rsid w:val="0032748F"/>
    <w:rsid w:val="003317DF"/>
    <w:rsid w:val="00332954"/>
    <w:rsid w:val="003332AA"/>
    <w:rsid w:val="00334009"/>
    <w:rsid w:val="00334122"/>
    <w:rsid w:val="00334823"/>
    <w:rsid w:val="00334979"/>
    <w:rsid w:val="00334B9E"/>
    <w:rsid w:val="00334EEE"/>
    <w:rsid w:val="00335AB2"/>
    <w:rsid w:val="00336239"/>
    <w:rsid w:val="003373F1"/>
    <w:rsid w:val="003401C0"/>
    <w:rsid w:val="003407CA"/>
    <w:rsid w:val="0034157C"/>
    <w:rsid w:val="00341DD1"/>
    <w:rsid w:val="00343B96"/>
    <w:rsid w:val="00343D01"/>
    <w:rsid w:val="00345B29"/>
    <w:rsid w:val="0034678C"/>
    <w:rsid w:val="00346F59"/>
    <w:rsid w:val="003471D8"/>
    <w:rsid w:val="00347274"/>
    <w:rsid w:val="00350D92"/>
    <w:rsid w:val="00354FFC"/>
    <w:rsid w:val="00355560"/>
    <w:rsid w:val="00356DA0"/>
    <w:rsid w:val="003576E2"/>
    <w:rsid w:val="00360C22"/>
    <w:rsid w:val="00362B92"/>
    <w:rsid w:val="00362DAC"/>
    <w:rsid w:val="003630B8"/>
    <w:rsid w:val="0036508B"/>
    <w:rsid w:val="0036714B"/>
    <w:rsid w:val="00372514"/>
    <w:rsid w:val="00372BA4"/>
    <w:rsid w:val="003730E1"/>
    <w:rsid w:val="003731BD"/>
    <w:rsid w:val="00373B06"/>
    <w:rsid w:val="00374DAD"/>
    <w:rsid w:val="003752BC"/>
    <w:rsid w:val="00376344"/>
    <w:rsid w:val="00377401"/>
    <w:rsid w:val="00377772"/>
    <w:rsid w:val="0038013F"/>
    <w:rsid w:val="0038256B"/>
    <w:rsid w:val="0038465D"/>
    <w:rsid w:val="00384A5C"/>
    <w:rsid w:val="00384ADD"/>
    <w:rsid w:val="00385406"/>
    <w:rsid w:val="00385F7B"/>
    <w:rsid w:val="00386229"/>
    <w:rsid w:val="00386A31"/>
    <w:rsid w:val="00387C98"/>
    <w:rsid w:val="00387DBE"/>
    <w:rsid w:val="00390E13"/>
    <w:rsid w:val="00391ACE"/>
    <w:rsid w:val="003931D7"/>
    <w:rsid w:val="00393D40"/>
    <w:rsid w:val="00393D57"/>
    <w:rsid w:val="00393FA4"/>
    <w:rsid w:val="0039501D"/>
    <w:rsid w:val="00396366"/>
    <w:rsid w:val="00397187"/>
    <w:rsid w:val="00397CBA"/>
    <w:rsid w:val="003A059A"/>
    <w:rsid w:val="003A070F"/>
    <w:rsid w:val="003A0A7B"/>
    <w:rsid w:val="003A1072"/>
    <w:rsid w:val="003A1A41"/>
    <w:rsid w:val="003A3493"/>
    <w:rsid w:val="003A384C"/>
    <w:rsid w:val="003A473A"/>
    <w:rsid w:val="003A4C75"/>
    <w:rsid w:val="003A525A"/>
    <w:rsid w:val="003A528C"/>
    <w:rsid w:val="003A56D9"/>
    <w:rsid w:val="003A616A"/>
    <w:rsid w:val="003A63B1"/>
    <w:rsid w:val="003A652E"/>
    <w:rsid w:val="003A687E"/>
    <w:rsid w:val="003A6F5B"/>
    <w:rsid w:val="003B04FD"/>
    <w:rsid w:val="003B1F36"/>
    <w:rsid w:val="003B2A24"/>
    <w:rsid w:val="003B4146"/>
    <w:rsid w:val="003C0391"/>
    <w:rsid w:val="003C21A7"/>
    <w:rsid w:val="003C3675"/>
    <w:rsid w:val="003C39DD"/>
    <w:rsid w:val="003C6ED3"/>
    <w:rsid w:val="003C6F85"/>
    <w:rsid w:val="003D0301"/>
    <w:rsid w:val="003D1A39"/>
    <w:rsid w:val="003D3AC4"/>
    <w:rsid w:val="003D4214"/>
    <w:rsid w:val="003D51E2"/>
    <w:rsid w:val="003D53D7"/>
    <w:rsid w:val="003D6014"/>
    <w:rsid w:val="003D6B83"/>
    <w:rsid w:val="003D6E17"/>
    <w:rsid w:val="003E12CE"/>
    <w:rsid w:val="003E1BE8"/>
    <w:rsid w:val="003E27B3"/>
    <w:rsid w:val="003E2F96"/>
    <w:rsid w:val="003E3056"/>
    <w:rsid w:val="003E390E"/>
    <w:rsid w:val="003E3C62"/>
    <w:rsid w:val="003E481B"/>
    <w:rsid w:val="003E569E"/>
    <w:rsid w:val="003E5949"/>
    <w:rsid w:val="003E7468"/>
    <w:rsid w:val="003F00B8"/>
    <w:rsid w:val="003F1498"/>
    <w:rsid w:val="003F2D49"/>
    <w:rsid w:val="003F78E9"/>
    <w:rsid w:val="004018A8"/>
    <w:rsid w:val="0040438C"/>
    <w:rsid w:val="004066C5"/>
    <w:rsid w:val="0040705B"/>
    <w:rsid w:val="00410AC1"/>
    <w:rsid w:val="00411A8C"/>
    <w:rsid w:val="004122CC"/>
    <w:rsid w:val="00413AB7"/>
    <w:rsid w:val="00414341"/>
    <w:rsid w:val="004177EC"/>
    <w:rsid w:val="004213D8"/>
    <w:rsid w:val="00421D8E"/>
    <w:rsid w:val="00425759"/>
    <w:rsid w:val="00426C19"/>
    <w:rsid w:val="0042759F"/>
    <w:rsid w:val="00427685"/>
    <w:rsid w:val="00427C08"/>
    <w:rsid w:val="004314DD"/>
    <w:rsid w:val="004316A2"/>
    <w:rsid w:val="004326FB"/>
    <w:rsid w:val="00434035"/>
    <w:rsid w:val="00434A71"/>
    <w:rsid w:val="004375E3"/>
    <w:rsid w:val="004377B6"/>
    <w:rsid w:val="00437D47"/>
    <w:rsid w:val="004414F9"/>
    <w:rsid w:val="00441A2A"/>
    <w:rsid w:val="0044263F"/>
    <w:rsid w:val="004426CA"/>
    <w:rsid w:val="00442B9D"/>
    <w:rsid w:val="00442CC4"/>
    <w:rsid w:val="0044318A"/>
    <w:rsid w:val="00444BB5"/>
    <w:rsid w:val="0045170F"/>
    <w:rsid w:val="00451B17"/>
    <w:rsid w:val="00452333"/>
    <w:rsid w:val="00452D80"/>
    <w:rsid w:val="00452ED0"/>
    <w:rsid w:val="00452F40"/>
    <w:rsid w:val="004532EC"/>
    <w:rsid w:val="00453CD3"/>
    <w:rsid w:val="00453EE2"/>
    <w:rsid w:val="00454472"/>
    <w:rsid w:val="004562F5"/>
    <w:rsid w:val="00456492"/>
    <w:rsid w:val="004568A4"/>
    <w:rsid w:val="00457BBD"/>
    <w:rsid w:val="00460392"/>
    <w:rsid w:val="004603A0"/>
    <w:rsid w:val="004610F8"/>
    <w:rsid w:val="00461407"/>
    <w:rsid w:val="004615CE"/>
    <w:rsid w:val="00461C0D"/>
    <w:rsid w:val="004622E9"/>
    <w:rsid w:val="0046257C"/>
    <w:rsid w:val="00462ADF"/>
    <w:rsid w:val="004632A1"/>
    <w:rsid w:val="00466883"/>
    <w:rsid w:val="00466BB9"/>
    <w:rsid w:val="00471554"/>
    <w:rsid w:val="004718E5"/>
    <w:rsid w:val="00472BDE"/>
    <w:rsid w:val="00472D30"/>
    <w:rsid w:val="00474286"/>
    <w:rsid w:val="004743F7"/>
    <w:rsid w:val="00474B52"/>
    <w:rsid w:val="00476166"/>
    <w:rsid w:val="00476937"/>
    <w:rsid w:val="00477C8B"/>
    <w:rsid w:val="00480224"/>
    <w:rsid w:val="004817BB"/>
    <w:rsid w:val="0048296F"/>
    <w:rsid w:val="0048378C"/>
    <w:rsid w:val="00483D18"/>
    <w:rsid w:val="004847F5"/>
    <w:rsid w:val="00484A67"/>
    <w:rsid w:val="0048535F"/>
    <w:rsid w:val="004867AD"/>
    <w:rsid w:val="00486C0F"/>
    <w:rsid w:val="00486C9B"/>
    <w:rsid w:val="00486EEB"/>
    <w:rsid w:val="004900F7"/>
    <w:rsid w:val="00490EC8"/>
    <w:rsid w:val="00491208"/>
    <w:rsid w:val="004917F5"/>
    <w:rsid w:val="00491A4F"/>
    <w:rsid w:val="00492B43"/>
    <w:rsid w:val="00493DF1"/>
    <w:rsid w:val="0049489A"/>
    <w:rsid w:val="00495C22"/>
    <w:rsid w:val="00496178"/>
    <w:rsid w:val="0049629A"/>
    <w:rsid w:val="004979E7"/>
    <w:rsid w:val="004A2070"/>
    <w:rsid w:val="004A6593"/>
    <w:rsid w:val="004B006F"/>
    <w:rsid w:val="004B00CE"/>
    <w:rsid w:val="004B23CE"/>
    <w:rsid w:val="004B2D59"/>
    <w:rsid w:val="004B2DF2"/>
    <w:rsid w:val="004B5454"/>
    <w:rsid w:val="004B5748"/>
    <w:rsid w:val="004B6822"/>
    <w:rsid w:val="004B6A38"/>
    <w:rsid w:val="004C3200"/>
    <w:rsid w:val="004C46C2"/>
    <w:rsid w:val="004C48DC"/>
    <w:rsid w:val="004C5F7B"/>
    <w:rsid w:val="004D0BE2"/>
    <w:rsid w:val="004D1F77"/>
    <w:rsid w:val="004D23CE"/>
    <w:rsid w:val="004D242E"/>
    <w:rsid w:val="004D25DA"/>
    <w:rsid w:val="004D45E5"/>
    <w:rsid w:val="004D6ECE"/>
    <w:rsid w:val="004E3A9B"/>
    <w:rsid w:val="004E4869"/>
    <w:rsid w:val="004E4EED"/>
    <w:rsid w:val="004E5392"/>
    <w:rsid w:val="004E63F1"/>
    <w:rsid w:val="004E759B"/>
    <w:rsid w:val="004F0F62"/>
    <w:rsid w:val="004F24EE"/>
    <w:rsid w:val="004F5502"/>
    <w:rsid w:val="004F563C"/>
    <w:rsid w:val="004F773E"/>
    <w:rsid w:val="004F7FBC"/>
    <w:rsid w:val="00501F21"/>
    <w:rsid w:val="0050493A"/>
    <w:rsid w:val="005055C1"/>
    <w:rsid w:val="00505DDF"/>
    <w:rsid w:val="00506FB5"/>
    <w:rsid w:val="005077C9"/>
    <w:rsid w:val="0050799E"/>
    <w:rsid w:val="00510725"/>
    <w:rsid w:val="00510B5F"/>
    <w:rsid w:val="00510D79"/>
    <w:rsid w:val="005125FC"/>
    <w:rsid w:val="00512F97"/>
    <w:rsid w:val="005130E0"/>
    <w:rsid w:val="0051469F"/>
    <w:rsid w:val="0051540B"/>
    <w:rsid w:val="00515B1F"/>
    <w:rsid w:val="005171D2"/>
    <w:rsid w:val="005209E5"/>
    <w:rsid w:val="00520FAF"/>
    <w:rsid w:val="00521111"/>
    <w:rsid w:val="00523015"/>
    <w:rsid w:val="00523333"/>
    <w:rsid w:val="0052402F"/>
    <w:rsid w:val="00525166"/>
    <w:rsid w:val="00526036"/>
    <w:rsid w:val="005260FE"/>
    <w:rsid w:val="005279BA"/>
    <w:rsid w:val="0053089A"/>
    <w:rsid w:val="00533A9F"/>
    <w:rsid w:val="00533C67"/>
    <w:rsid w:val="005340F8"/>
    <w:rsid w:val="00534FDD"/>
    <w:rsid w:val="005361D5"/>
    <w:rsid w:val="00536739"/>
    <w:rsid w:val="005374B3"/>
    <w:rsid w:val="005378E8"/>
    <w:rsid w:val="00540D20"/>
    <w:rsid w:val="00541F83"/>
    <w:rsid w:val="00542325"/>
    <w:rsid w:val="005423E7"/>
    <w:rsid w:val="00543117"/>
    <w:rsid w:val="005437DC"/>
    <w:rsid w:val="00544143"/>
    <w:rsid w:val="005459D9"/>
    <w:rsid w:val="00546760"/>
    <w:rsid w:val="00546A1F"/>
    <w:rsid w:val="00547692"/>
    <w:rsid w:val="00550E55"/>
    <w:rsid w:val="0055183C"/>
    <w:rsid w:val="005528B0"/>
    <w:rsid w:val="005528F3"/>
    <w:rsid w:val="00554086"/>
    <w:rsid w:val="00554759"/>
    <w:rsid w:val="00555CDB"/>
    <w:rsid w:val="00555FFA"/>
    <w:rsid w:val="0055672A"/>
    <w:rsid w:val="005569C2"/>
    <w:rsid w:val="00556BFC"/>
    <w:rsid w:val="00557BC8"/>
    <w:rsid w:val="00561BF5"/>
    <w:rsid w:val="005632D2"/>
    <w:rsid w:val="005637E9"/>
    <w:rsid w:val="00566A91"/>
    <w:rsid w:val="0057166D"/>
    <w:rsid w:val="0057186B"/>
    <w:rsid w:val="00573E0F"/>
    <w:rsid w:val="0057434C"/>
    <w:rsid w:val="0057637A"/>
    <w:rsid w:val="00577A15"/>
    <w:rsid w:val="0058006D"/>
    <w:rsid w:val="0058197D"/>
    <w:rsid w:val="00581CC4"/>
    <w:rsid w:val="005844B2"/>
    <w:rsid w:val="00585449"/>
    <w:rsid w:val="005859AC"/>
    <w:rsid w:val="005859ED"/>
    <w:rsid w:val="005863EF"/>
    <w:rsid w:val="00586861"/>
    <w:rsid w:val="00587C91"/>
    <w:rsid w:val="00590109"/>
    <w:rsid w:val="00590963"/>
    <w:rsid w:val="005917EF"/>
    <w:rsid w:val="00591FD6"/>
    <w:rsid w:val="005931A9"/>
    <w:rsid w:val="005934B8"/>
    <w:rsid w:val="0059456E"/>
    <w:rsid w:val="00596465"/>
    <w:rsid w:val="005A05DB"/>
    <w:rsid w:val="005A1F18"/>
    <w:rsid w:val="005A2716"/>
    <w:rsid w:val="005A2C89"/>
    <w:rsid w:val="005A45E6"/>
    <w:rsid w:val="005A487B"/>
    <w:rsid w:val="005A6EAF"/>
    <w:rsid w:val="005B0D8C"/>
    <w:rsid w:val="005B3070"/>
    <w:rsid w:val="005B5096"/>
    <w:rsid w:val="005B762E"/>
    <w:rsid w:val="005C0425"/>
    <w:rsid w:val="005C1339"/>
    <w:rsid w:val="005C2380"/>
    <w:rsid w:val="005C6136"/>
    <w:rsid w:val="005C65DA"/>
    <w:rsid w:val="005C663D"/>
    <w:rsid w:val="005D0B4E"/>
    <w:rsid w:val="005D10F1"/>
    <w:rsid w:val="005D1B8B"/>
    <w:rsid w:val="005D36EF"/>
    <w:rsid w:val="005D39EB"/>
    <w:rsid w:val="005D47EC"/>
    <w:rsid w:val="005D48F4"/>
    <w:rsid w:val="005D4CA6"/>
    <w:rsid w:val="005D4EAD"/>
    <w:rsid w:val="005D65E5"/>
    <w:rsid w:val="005D6B3B"/>
    <w:rsid w:val="005D70E4"/>
    <w:rsid w:val="005D7D81"/>
    <w:rsid w:val="005E04FB"/>
    <w:rsid w:val="005E1C41"/>
    <w:rsid w:val="005E20C2"/>
    <w:rsid w:val="005E2607"/>
    <w:rsid w:val="005E5E4B"/>
    <w:rsid w:val="005E5EAA"/>
    <w:rsid w:val="005E6285"/>
    <w:rsid w:val="005E6C9E"/>
    <w:rsid w:val="005F080B"/>
    <w:rsid w:val="005F21A4"/>
    <w:rsid w:val="005F2989"/>
    <w:rsid w:val="005F48EB"/>
    <w:rsid w:val="005F5359"/>
    <w:rsid w:val="005F7BC2"/>
    <w:rsid w:val="005F7C80"/>
    <w:rsid w:val="00601A00"/>
    <w:rsid w:val="00602AA4"/>
    <w:rsid w:val="00603387"/>
    <w:rsid w:val="00606507"/>
    <w:rsid w:val="00607B64"/>
    <w:rsid w:val="00607CB7"/>
    <w:rsid w:val="0061017A"/>
    <w:rsid w:val="006106BA"/>
    <w:rsid w:val="0061123D"/>
    <w:rsid w:val="0061152D"/>
    <w:rsid w:val="00611ED6"/>
    <w:rsid w:val="00611F03"/>
    <w:rsid w:val="00612C5A"/>
    <w:rsid w:val="0061476A"/>
    <w:rsid w:val="00617747"/>
    <w:rsid w:val="00617D5C"/>
    <w:rsid w:val="0062010D"/>
    <w:rsid w:val="00620113"/>
    <w:rsid w:val="00620504"/>
    <w:rsid w:val="00620547"/>
    <w:rsid w:val="00620E6E"/>
    <w:rsid w:val="00620FA1"/>
    <w:rsid w:val="0062133E"/>
    <w:rsid w:val="00623C51"/>
    <w:rsid w:val="006244A1"/>
    <w:rsid w:val="0062461D"/>
    <w:rsid w:val="006248F8"/>
    <w:rsid w:val="00624FAA"/>
    <w:rsid w:val="0062578D"/>
    <w:rsid w:val="006259A8"/>
    <w:rsid w:val="00625AC3"/>
    <w:rsid w:val="00625B64"/>
    <w:rsid w:val="0063185F"/>
    <w:rsid w:val="006341D6"/>
    <w:rsid w:val="006356DC"/>
    <w:rsid w:val="006365EA"/>
    <w:rsid w:val="00637201"/>
    <w:rsid w:val="006403F8"/>
    <w:rsid w:val="00640511"/>
    <w:rsid w:val="00641059"/>
    <w:rsid w:val="006445D8"/>
    <w:rsid w:val="0064487D"/>
    <w:rsid w:val="006463C6"/>
    <w:rsid w:val="00646560"/>
    <w:rsid w:val="00646BD3"/>
    <w:rsid w:val="0064718D"/>
    <w:rsid w:val="0065107F"/>
    <w:rsid w:val="0065119F"/>
    <w:rsid w:val="00651837"/>
    <w:rsid w:val="0065295D"/>
    <w:rsid w:val="00653005"/>
    <w:rsid w:val="006539F9"/>
    <w:rsid w:val="00653CFE"/>
    <w:rsid w:val="006542F8"/>
    <w:rsid w:val="00654330"/>
    <w:rsid w:val="00654398"/>
    <w:rsid w:val="00655030"/>
    <w:rsid w:val="00655531"/>
    <w:rsid w:val="006561FF"/>
    <w:rsid w:val="0066045A"/>
    <w:rsid w:val="006608A6"/>
    <w:rsid w:val="00660C60"/>
    <w:rsid w:val="00661642"/>
    <w:rsid w:val="00662609"/>
    <w:rsid w:val="00663345"/>
    <w:rsid w:val="00663468"/>
    <w:rsid w:val="006659F7"/>
    <w:rsid w:val="00666B26"/>
    <w:rsid w:val="00671305"/>
    <w:rsid w:val="00672D24"/>
    <w:rsid w:val="00677469"/>
    <w:rsid w:val="00680F4C"/>
    <w:rsid w:val="006814FF"/>
    <w:rsid w:val="00682221"/>
    <w:rsid w:val="00683948"/>
    <w:rsid w:val="00684C0B"/>
    <w:rsid w:val="00684D89"/>
    <w:rsid w:val="00685190"/>
    <w:rsid w:val="006855C8"/>
    <w:rsid w:val="00687C7C"/>
    <w:rsid w:val="00690700"/>
    <w:rsid w:val="00690CC2"/>
    <w:rsid w:val="00692475"/>
    <w:rsid w:val="00692C69"/>
    <w:rsid w:val="006930CD"/>
    <w:rsid w:val="00693AA5"/>
    <w:rsid w:val="00696E32"/>
    <w:rsid w:val="006978A4"/>
    <w:rsid w:val="006A0F56"/>
    <w:rsid w:val="006A1965"/>
    <w:rsid w:val="006A1E65"/>
    <w:rsid w:val="006A228A"/>
    <w:rsid w:val="006A29B6"/>
    <w:rsid w:val="006A4B3C"/>
    <w:rsid w:val="006A5E74"/>
    <w:rsid w:val="006A6512"/>
    <w:rsid w:val="006A7623"/>
    <w:rsid w:val="006B2CF1"/>
    <w:rsid w:val="006B39C9"/>
    <w:rsid w:val="006B3FF4"/>
    <w:rsid w:val="006B7035"/>
    <w:rsid w:val="006C2D5B"/>
    <w:rsid w:val="006C3661"/>
    <w:rsid w:val="006C3873"/>
    <w:rsid w:val="006C38A5"/>
    <w:rsid w:val="006C56C3"/>
    <w:rsid w:val="006C6666"/>
    <w:rsid w:val="006C7E97"/>
    <w:rsid w:val="006C7F04"/>
    <w:rsid w:val="006D2939"/>
    <w:rsid w:val="006D2F7A"/>
    <w:rsid w:val="006D3707"/>
    <w:rsid w:val="006D4B6D"/>
    <w:rsid w:val="006D54D0"/>
    <w:rsid w:val="006D58EA"/>
    <w:rsid w:val="006D6B9A"/>
    <w:rsid w:val="006D6F12"/>
    <w:rsid w:val="006D733C"/>
    <w:rsid w:val="006D77A0"/>
    <w:rsid w:val="006D7D67"/>
    <w:rsid w:val="006E00F1"/>
    <w:rsid w:val="006E11A4"/>
    <w:rsid w:val="006E1AB1"/>
    <w:rsid w:val="006E37E7"/>
    <w:rsid w:val="006E5371"/>
    <w:rsid w:val="006E7994"/>
    <w:rsid w:val="006E7CFE"/>
    <w:rsid w:val="006F33B9"/>
    <w:rsid w:val="006F354F"/>
    <w:rsid w:val="006F3C0B"/>
    <w:rsid w:val="006F4223"/>
    <w:rsid w:val="006F4294"/>
    <w:rsid w:val="006F56D7"/>
    <w:rsid w:val="006F6C5C"/>
    <w:rsid w:val="006F7265"/>
    <w:rsid w:val="006F7BB6"/>
    <w:rsid w:val="0070057A"/>
    <w:rsid w:val="0070122E"/>
    <w:rsid w:val="00702AF6"/>
    <w:rsid w:val="007033A7"/>
    <w:rsid w:val="00703772"/>
    <w:rsid w:val="007037F0"/>
    <w:rsid w:val="0070380D"/>
    <w:rsid w:val="00703D56"/>
    <w:rsid w:val="007050D1"/>
    <w:rsid w:val="00706C05"/>
    <w:rsid w:val="007078E9"/>
    <w:rsid w:val="0071319D"/>
    <w:rsid w:val="00713221"/>
    <w:rsid w:val="0071495F"/>
    <w:rsid w:val="00715BB7"/>
    <w:rsid w:val="00717436"/>
    <w:rsid w:val="0071798D"/>
    <w:rsid w:val="00717BC5"/>
    <w:rsid w:val="00721924"/>
    <w:rsid w:val="00721AE4"/>
    <w:rsid w:val="007233F7"/>
    <w:rsid w:val="00723515"/>
    <w:rsid w:val="00724461"/>
    <w:rsid w:val="0072488D"/>
    <w:rsid w:val="007251C0"/>
    <w:rsid w:val="00725798"/>
    <w:rsid w:val="00726966"/>
    <w:rsid w:val="00726C70"/>
    <w:rsid w:val="007275E9"/>
    <w:rsid w:val="007321CE"/>
    <w:rsid w:val="00732F26"/>
    <w:rsid w:val="0073414D"/>
    <w:rsid w:val="00735254"/>
    <w:rsid w:val="00736A75"/>
    <w:rsid w:val="00737213"/>
    <w:rsid w:val="00737D0F"/>
    <w:rsid w:val="00741CDB"/>
    <w:rsid w:val="0074266B"/>
    <w:rsid w:val="00742F67"/>
    <w:rsid w:val="00743820"/>
    <w:rsid w:val="00743CDF"/>
    <w:rsid w:val="00743F7C"/>
    <w:rsid w:val="00745A05"/>
    <w:rsid w:val="00745B68"/>
    <w:rsid w:val="00745FCD"/>
    <w:rsid w:val="007469BA"/>
    <w:rsid w:val="00750DCB"/>
    <w:rsid w:val="00752224"/>
    <w:rsid w:val="0075356F"/>
    <w:rsid w:val="007536B7"/>
    <w:rsid w:val="0075497F"/>
    <w:rsid w:val="00754B44"/>
    <w:rsid w:val="00754BA0"/>
    <w:rsid w:val="00754C2F"/>
    <w:rsid w:val="007564C4"/>
    <w:rsid w:val="00760C68"/>
    <w:rsid w:val="00762A9C"/>
    <w:rsid w:val="00762E18"/>
    <w:rsid w:val="00762FA6"/>
    <w:rsid w:val="007648A2"/>
    <w:rsid w:val="00764D3E"/>
    <w:rsid w:val="00767DBD"/>
    <w:rsid w:val="00773140"/>
    <w:rsid w:val="0077337A"/>
    <w:rsid w:val="0077344B"/>
    <w:rsid w:val="00773718"/>
    <w:rsid w:val="00773BB7"/>
    <w:rsid w:val="00775A39"/>
    <w:rsid w:val="00777C50"/>
    <w:rsid w:val="00777F56"/>
    <w:rsid w:val="00781AEA"/>
    <w:rsid w:val="00783081"/>
    <w:rsid w:val="00785B4F"/>
    <w:rsid w:val="0078630E"/>
    <w:rsid w:val="00786D95"/>
    <w:rsid w:val="007870B1"/>
    <w:rsid w:val="00787199"/>
    <w:rsid w:val="00787CB1"/>
    <w:rsid w:val="00790915"/>
    <w:rsid w:val="007915F7"/>
    <w:rsid w:val="00791AD3"/>
    <w:rsid w:val="007922F6"/>
    <w:rsid w:val="0079241C"/>
    <w:rsid w:val="00792981"/>
    <w:rsid w:val="00793536"/>
    <w:rsid w:val="00793647"/>
    <w:rsid w:val="00793EED"/>
    <w:rsid w:val="00794118"/>
    <w:rsid w:val="00795CD0"/>
    <w:rsid w:val="0079629A"/>
    <w:rsid w:val="007973C6"/>
    <w:rsid w:val="00797D77"/>
    <w:rsid w:val="007A03A8"/>
    <w:rsid w:val="007A099A"/>
    <w:rsid w:val="007A0EE2"/>
    <w:rsid w:val="007A25B4"/>
    <w:rsid w:val="007A4311"/>
    <w:rsid w:val="007A6A2D"/>
    <w:rsid w:val="007B0A8A"/>
    <w:rsid w:val="007B1512"/>
    <w:rsid w:val="007B3CF0"/>
    <w:rsid w:val="007B3D93"/>
    <w:rsid w:val="007B41FC"/>
    <w:rsid w:val="007B52A7"/>
    <w:rsid w:val="007B7F5F"/>
    <w:rsid w:val="007B7F6A"/>
    <w:rsid w:val="007C0BB8"/>
    <w:rsid w:val="007C0F03"/>
    <w:rsid w:val="007C1354"/>
    <w:rsid w:val="007C1FFA"/>
    <w:rsid w:val="007C3279"/>
    <w:rsid w:val="007C5385"/>
    <w:rsid w:val="007C6D46"/>
    <w:rsid w:val="007C7538"/>
    <w:rsid w:val="007C76E1"/>
    <w:rsid w:val="007C789F"/>
    <w:rsid w:val="007D314D"/>
    <w:rsid w:val="007D36E8"/>
    <w:rsid w:val="007D5C25"/>
    <w:rsid w:val="007D5C57"/>
    <w:rsid w:val="007D6591"/>
    <w:rsid w:val="007D68B5"/>
    <w:rsid w:val="007D73A8"/>
    <w:rsid w:val="007D7492"/>
    <w:rsid w:val="007E09EA"/>
    <w:rsid w:val="007E0D22"/>
    <w:rsid w:val="007E0F48"/>
    <w:rsid w:val="007E1187"/>
    <w:rsid w:val="007E1E78"/>
    <w:rsid w:val="007E1F17"/>
    <w:rsid w:val="007E27E0"/>
    <w:rsid w:val="007E3B4A"/>
    <w:rsid w:val="007E3C86"/>
    <w:rsid w:val="007E41FE"/>
    <w:rsid w:val="007E4801"/>
    <w:rsid w:val="007E7439"/>
    <w:rsid w:val="007E7A94"/>
    <w:rsid w:val="007E7E0A"/>
    <w:rsid w:val="007E7FAB"/>
    <w:rsid w:val="007F199A"/>
    <w:rsid w:val="007F322E"/>
    <w:rsid w:val="007F384E"/>
    <w:rsid w:val="007F39E8"/>
    <w:rsid w:val="007F3D48"/>
    <w:rsid w:val="007F3D6B"/>
    <w:rsid w:val="007F5518"/>
    <w:rsid w:val="007F6BE4"/>
    <w:rsid w:val="007F6F25"/>
    <w:rsid w:val="007F73A9"/>
    <w:rsid w:val="008003DF"/>
    <w:rsid w:val="008016FF"/>
    <w:rsid w:val="00802D8F"/>
    <w:rsid w:val="00804197"/>
    <w:rsid w:val="00804BCC"/>
    <w:rsid w:val="00805FD8"/>
    <w:rsid w:val="00812539"/>
    <w:rsid w:val="0081349B"/>
    <w:rsid w:val="008146E5"/>
    <w:rsid w:val="008147A5"/>
    <w:rsid w:val="00814F64"/>
    <w:rsid w:val="0081596C"/>
    <w:rsid w:val="00816B14"/>
    <w:rsid w:val="00820AC1"/>
    <w:rsid w:val="00821127"/>
    <w:rsid w:val="00821ED3"/>
    <w:rsid w:val="00822372"/>
    <w:rsid w:val="008238DC"/>
    <w:rsid w:val="00824DEB"/>
    <w:rsid w:val="00824ED0"/>
    <w:rsid w:val="0082525C"/>
    <w:rsid w:val="00825906"/>
    <w:rsid w:val="00833EA9"/>
    <w:rsid w:val="00833EE9"/>
    <w:rsid w:val="0083617A"/>
    <w:rsid w:val="00836441"/>
    <w:rsid w:val="00837CCA"/>
    <w:rsid w:val="008419E0"/>
    <w:rsid w:val="00841D15"/>
    <w:rsid w:val="00842F5F"/>
    <w:rsid w:val="00843868"/>
    <w:rsid w:val="00843D05"/>
    <w:rsid w:val="00843F60"/>
    <w:rsid w:val="00844C17"/>
    <w:rsid w:val="00845B38"/>
    <w:rsid w:val="00846799"/>
    <w:rsid w:val="00846FEC"/>
    <w:rsid w:val="00847891"/>
    <w:rsid w:val="008500B4"/>
    <w:rsid w:val="00850BF2"/>
    <w:rsid w:val="0085101D"/>
    <w:rsid w:val="00851861"/>
    <w:rsid w:val="008519FD"/>
    <w:rsid w:val="008554C4"/>
    <w:rsid w:val="0085655B"/>
    <w:rsid w:val="0086060F"/>
    <w:rsid w:val="0086074D"/>
    <w:rsid w:val="00860D13"/>
    <w:rsid w:val="00861914"/>
    <w:rsid w:val="008627BF"/>
    <w:rsid w:val="00863CA6"/>
    <w:rsid w:val="00863F39"/>
    <w:rsid w:val="0086497D"/>
    <w:rsid w:val="0086529D"/>
    <w:rsid w:val="00865D5D"/>
    <w:rsid w:val="00865F91"/>
    <w:rsid w:val="00866B2E"/>
    <w:rsid w:val="0086707E"/>
    <w:rsid w:val="00870E37"/>
    <w:rsid w:val="00873C38"/>
    <w:rsid w:val="0087408C"/>
    <w:rsid w:val="008740E1"/>
    <w:rsid w:val="00874A27"/>
    <w:rsid w:val="00874CA5"/>
    <w:rsid w:val="00875184"/>
    <w:rsid w:val="00876170"/>
    <w:rsid w:val="00877D04"/>
    <w:rsid w:val="008815B1"/>
    <w:rsid w:val="00881C4F"/>
    <w:rsid w:val="008835AB"/>
    <w:rsid w:val="008846C3"/>
    <w:rsid w:val="0088474B"/>
    <w:rsid w:val="0088641E"/>
    <w:rsid w:val="00887680"/>
    <w:rsid w:val="00891426"/>
    <w:rsid w:val="00893229"/>
    <w:rsid w:val="008934E9"/>
    <w:rsid w:val="008937F2"/>
    <w:rsid w:val="00894184"/>
    <w:rsid w:val="00894363"/>
    <w:rsid w:val="00894A13"/>
    <w:rsid w:val="0089540A"/>
    <w:rsid w:val="00896303"/>
    <w:rsid w:val="00896476"/>
    <w:rsid w:val="00896AB7"/>
    <w:rsid w:val="0089788C"/>
    <w:rsid w:val="008A12DE"/>
    <w:rsid w:val="008A1AF7"/>
    <w:rsid w:val="008A1C36"/>
    <w:rsid w:val="008A1D5E"/>
    <w:rsid w:val="008A2A43"/>
    <w:rsid w:val="008A3ACC"/>
    <w:rsid w:val="008A47D9"/>
    <w:rsid w:val="008A4E29"/>
    <w:rsid w:val="008A54D9"/>
    <w:rsid w:val="008A6365"/>
    <w:rsid w:val="008A6C24"/>
    <w:rsid w:val="008B1271"/>
    <w:rsid w:val="008B1F0F"/>
    <w:rsid w:val="008B638A"/>
    <w:rsid w:val="008B6B48"/>
    <w:rsid w:val="008B6C04"/>
    <w:rsid w:val="008B720E"/>
    <w:rsid w:val="008C01D8"/>
    <w:rsid w:val="008C125B"/>
    <w:rsid w:val="008C1335"/>
    <w:rsid w:val="008C202B"/>
    <w:rsid w:val="008C2394"/>
    <w:rsid w:val="008C3BE5"/>
    <w:rsid w:val="008C4738"/>
    <w:rsid w:val="008C5212"/>
    <w:rsid w:val="008C62C0"/>
    <w:rsid w:val="008C6C7B"/>
    <w:rsid w:val="008C779A"/>
    <w:rsid w:val="008C7E08"/>
    <w:rsid w:val="008D22DE"/>
    <w:rsid w:val="008D2442"/>
    <w:rsid w:val="008D2952"/>
    <w:rsid w:val="008D2B76"/>
    <w:rsid w:val="008D4309"/>
    <w:rsid w:val="008D4D8C"/>
    <w:rsid w:val="008E00E4"/>
    <w:rsid w:val="008E0F98"/>
    <w:rsid w:val="008E1B3E"/>
    <w:rsid w:val="008E2DAD"/>
    <w:rsid w:val="008E3360"/>
    <w:rsid w:val="008E58DC"/>
    <w:rsid w:val="008E5948"/>
    <w:rsid w:val="008F41DA"/>
    <w:rsid w:val="008F55D2"/>
    <w:rsid w:val="008F5F56"/>
    <w:rsid w:val="0090069F"/>
    <w:rsid w:val="009017B4"/>
    <w:rsid w:val="00901BE0"/>
    <w:rsid w:val="00902CF3"/>
    <w:rsid w:val="0090360E"/>
    <w:rsid w:val="00903743"/>
    <w:rsid w:val="00904B88"/>
    <w:rsid w:val="00905B07"/>
    <w:rsid w:val="00907809"/>
    <w:rsid w:val="00910002"/>
    <w:rsid w:val="00910806"/>
    <w:rsid w:val="00910A13"/>
    <w:rsid w:val="00911775"/>
    <w:rsid w:val="00911B69"/>
    <w:rsid w:val="009120F0"/>
    <w:rsid w:val="00912205"/>
    <w:rsid w:val="00912709"/>
    <w:rsid w:val="00913130"/>
    <w:rsid w:val="00913A8F"/>
    <w:rsid w:val="00913D26"/>
    <w:rsid w:val="00914D40"/>
    <w:rsid w:val="00916AA4"/>
    <w:rsid w:val="00917960"/>
    <w:rsid w:val="00922D23"/>
    <w:rsid w:val="009230C2"/>
    <w:rsid w:val="0092417B"/>
    <w:rsid w:val="00925DB2"/>
    <w:rsid w:val="009263B8"/>
    <w:rsid w:val="009265FD"/>
    <w:rsid w:val="009267AF"/>
    <w:rsid w:val="00926AC3"/>
    <w:rsid w:val="009272CE"/>
    <w:rsid w:val="00927501"/>
    <w:rsid w:val="00931BB6"/>
    <w:rsid w:val="00932885"/>
    <w:rsid w:val="00935BAC"/>
    <w:rsid w:val="00935F99"/>
    <w:rsid w:val="00937D6D"/>
    <w:rsid w:val="00937E5B"/>
    <w:rsid w:val="00940134"/>
    <w:rsid w:val="00941D26"/>
    <w:rsid w:val="00942ABB"/>
    <w:rsid w:val="00942D2B"/>
    <w:rsid w:val="00944442"/>
    <w:rsid w:val="00944E73"/>
    <w:rsid w:val="00945D74"/>
    <w:rsid w:val="00945F6A"/>
    <w:rsid w:val="009474FA"/>
    <w:rsid w:val="00950502"/>
    <w:rsid w:val="0095147B"/>
    <w:rsid w:val="009517FA"/>
    <w:rsid w:val="00952CB1"/>
    <w:rsid w:val="009546C7"/>
    <w:rsid w:val="0095598E"/>
    <w:rsid w:val="00955E43"/>
    <w:rsid w:val="00956204"/>
    <w:rsid w:val="009579A8"/>
    <w:rsid w:val="009602D0"/>
    <w:rsid w:val="00960520"/>
    <w:rsid w:val="0096062D"/>
    <w:rsid w:val="00960DA3"/>
    <w:rsid w:val="00961E07"/>
    <w:rsid w:val="00961F21"/>
    <w:rsid w:val="00962114"/>
    <w:rsid w:val="00962806"/>
    <w:rsid w:val="0096442D"/>
    <w:rsid w:val="009651BF"/>
    <w:rsid w:val="00965850"/>
    <w:rsid w:val="00965F6E"/>
    <w:rsid w:val="00967CB3"/>
    <w:rsid w:val="00967FAB"/>
    <w:rsid w:val="00971424"/>
    <w:rsid w:val="00971554"/>
    <w:rsid w:val="009723BE"/>
    <w:rsid w:val="0097377C"/>
    <w:rsid w:val="0097468E"/>
    <w:rsid w:val="00975AC5"/>
    <w:rsid w:val="009765AE"/>
    <w:rsid w:val="0097742B"/>
    <w:rsid w:val="0098048E"/>
    <w:rsid w:val="00980537"/>
    <w:rsid w:val="0098245A"/>
    <w:rsid w:val="00983548"/>
    <w:rsid w:val="009837C7"/>
    <w:rsid w:val="009850CA"/>
    <w:rsid w:val="009858F1"/>
    <w:rsid w:val="009873E6"/>
    <w:rsid w:val="00987698"/>
    <w:rsid w:val="009902BF"/>
    <w:rsid w:val="00990633"/>
    <w:rsid w:val="009910F0"/>
    <w:rsid w:val="00991466"/>
    <w:rsid w:val="009917B4"/>
    <w:rsid w:val="00993666"/>
    <w:rsid w:val="00996A07"/>
    <w:rsid w:val="00997A41"/>
    <w:rsid w:val="009A06C9"/>
    <w:rsid w:val="009A0A73"/>
    <w:rsid w:val="009A0ADE"/>
    <w:rsid w:val="009A2B68"/>
    <w:rsid w:val="009A35ED"/>
    <w:rsid w:val="009A3E9C"/>
    <w:rsid w:val="009A613B"/>
    <w:rsid w:val="009A7C88"/>
    <w:rsid w:val="009B0058"/>
    <w:rsid w:val="009B021D"/>
    <w:rsid w:val="009B095C"/>
    <w:rsid w:val="009B184F"/>
    <w:rsid w:val="009B246D"/>
    <w:rsid w:val="009B43BB"/>
    <w:rsid w:val="009B472B"/>
    <w:rsid w:val="009B4D1D"/>
    <w:rsid w:val="009B5C2D"/>
    <w:rsid w:val="009B6E63"/>
    <w:rsid w:val="009B7363"/>
    <w:rsid w:val="009B7406"/>
    <w:rsid w:val="009B76BC"/>
    <w:rsid w:val="009B7AF5"/>
    <w:rsid w:val="009B7D50"/>
    <w:rsid w:val="009B7FDD"/>
    <w:rsid w:val="009C1B53"/>
    <w:rsid w:val="009C1E29"/>
    <w:rsid w:val="009C5017"/>
    <w:rsid w:val="009C57F8"/>
    <w:rsid w:val="009C5FDD"/>
    <w:rsid w:val="009C6E88"/>
    <w:rsid w:val="009D1E21"/>
    <w:rsid w:val="009D2111"/>
    <w:rsid w:val="009D2F92"/>
    <w:rsid w:val="009D2FAA"/>
    <w:rsid w:val="009D46DB"/>
    <w:rsid w:val="009D4F9E"/>
    <w:rsid w:val="009D5756"/>
    <w:rsid w:val="009D5B10"/>
    <w:rsid w:val="009D6614"/>
    <w:rsid w:val="009E14A6"/>
    <w:rsid w:val="009E1BB4"/>
    <w:rsid w:val="009E2501"/>
    <w:rsid w:val="009E4555"/>
    <w:rsid w:val="009E734D"/>
    <w:rsid w:val="009E75F8"/>
    <w:rsid w:val="009F0C4E"/>
    <w:rsid w:val="009F0FE2"/>
    <w:rsid w:val="009F18A3"/>
    <w:rsid w:val="009F1B9D"/>
    <w:rsid w:val="009F2F5F"/>
    <w:rsid w:val="009F3EFF"/>
    <w:rsid w:val="009F4582"/>
    <w:rsid w:val="009F458E"/>
    <w:rsid w:val="009F4C9B"/>
    <w:rsid w:val="009F5EC2"/>
    <w:rsid w:val="009F7D79"/>
    <w:rsid w:val="00A001C3"/>
    <w:rsid w:val="00A028F9"/>
    <w:rsid w:val="00A02C0F"/>
    <w:rsid w:val="00A02FC2"/>
    <w:rsid w:val="00A033B6"/>
    <w:rsid w:val="00A0375D"/>
    <w:rsid w:val="00A10ABD"/>
    <w:rsid w:val="00A10CF9"/>
    <w:rsid w:val="00A11479"/>
    <w:rsid w:val="00A11566"/>
    <w:rsid w:val="00A11D0B"/>
    <w:rsid w:val="00A13A78"/>
    <w:rsid w:val="00A13C5F"/>
    <w:rsid w:val="00A178DD"/>
    <w:rsid w:val="00A2163D"/>
    <w:rsid w:val="00A2216E"/>
    <w:rsid w:val="00A22E78"/>
    <w:rsid w:val="00A25833"/>
    <w:rsid w:val="00A25976"/>
    <w:rsid w:val="00A25A14"/>
    <w:rsid w:val="00A26956"/>
    <w:rsid w:val="00A273B4"/>
    <w:rsid w:val="00A27D34"/>
    <w:rsid w:val="00A30D83"/>
    <w:rsid w:val="00A3151B"/>
    <w:rsid w:val="00A31F87"/>
    <w:rsid w:val="00A33A3E"/>
    <w:rsid w:val="00A34C2A"/>
    <w:rsid w:val="00A35C02"/>
    <w:rsid w:val="00A35FC6"/>
    <w:rsid w:val="00A363D8"/>
    <w:rsid w:val="00A367F4"/>
    <w:rsid w:val="00A374A5"/>
    <w:rsid w:val="00A4046F"/>
    <w:rsid w:val="00A41113"/>
    <w:rsid w:val="00A4152A"/>
    <w:rsid w:val="00A42238"/>
    <w:rsid w:val="00A42729"/>
    <w:rsid w:val="00A434EA"/>
    <w:rsid w:val="00A43907"/>
    <w:rsid w:val="00A44A88"/>
    <w:rsid w:val="00A45FD4"/>
    <w:rsid w:val="00A529D2"/>
    <w:rsid w:val="00A54EBB"/>
    <w:rsid w:val="00A55C18"/>
    <w:rsid w:val="00A5734D"/>
    <w:rsid w:val="00A57363"/>
    <w:rsid w:val="00A57A4E"/>
    <w:rsid w:val="00A57DD8"/>
    <w:rsid w:val="00A57E68"/>
    <w:rsid w:val="00A60BE0"/>
    <w:rsid w:val="00A620AC"/>
    <w:rsid w:val="00A638D0"/>
    <w:rsid w:val="00A65026"/>
    <w:rsid w:val="00A6754D"/>
    <w:rsid w:val="00A67939"/>
    <w:rsid w:val="00A706FA"/>
    <w:rsid w:val="00A7199F"/>
    <w:rsid w:val="00A74CBF"/>
    <w:rsid w:val="00A74E39"/>
    <w:rsid w:val="00A74FBE"/>
    <w:rsid w:val="00A768E4"/>
    <w:rsid w:val="00A7758C"/>
    <w:rsid w:val="00A80549"/>
    <w:rsid w:val="00A80731"/>
    <w:rsid w:val="00A83404"/>
    <w:rsid w:val="00A83C14"/>
    <w:rsid w:val="00A84321"/>
    <w:rsid w:val="00A84F91"/>
    <w:rsid w:val="00A87181"/>
    <w:rsid w:val="00A87204"/>
    <w:rsid w:val="00A901F7"/>
    <w:rsid w:val="00A911A4"/>
    <w:rsid w:val="00A9145F"/>
    <w:rsid w:val="00A9441A"/>
    <w:rsid w:val="00A94D18"/>
    <w:rsid w:val="00A959DD"/>
    <w:rsid w:val="00A95AEA"/>
    <w:rsid w:val="00A96DC2"/>
    <w:rsid w:val="00A97310"/>
    <w:rsid w:val="00A97662"/>
    <w:rsid w:val="00AA0700"/>
    <w:rsid w:val="00AA17EA"/>
    <w:rsid w:val="00AA4B85"/>
    <w:rsid w:val="00AA6672"/>
    <w:rsid w:val="00AA6F87"/>
    <w:rsid w:val="00AA7028"/>
    <w:rsid w:val="00AA7C36"/>
    <w:rsid w:val="00AB0788"/>
    <w:rsid w:val="00AB17FA"/>
    <w:rsid w:val="00AB232D"/>
    <w:rsid w:val="00AB3D8F"/>
    <w:rsid w:val="00AB4FAE"/>
    <w:rsid w:val="00AB52B6"/>
    <w:rsid w:val="00AB5539"/>
    <w:rsid w:val="00AB6A81"/>
    <w:rsid w:val="00AB7145"/>
    <w:rsid w:val="00AB7CB6"/>
    <w:rsid w:val="00AC2D55"/>
    <w:rsid w:val="00AC3EC1"/>
    <w:rsid w:val="00AC438C"/>
    <w:rsid w:val="00AC4D48"/>
    <w:rsid w:val="00AC5D5E"/>
    <w:rsid w:val="00AC6A74"/>
    <w:rsid w:val="00AC6F63"/>
    <w:rsid w:val="00AD00B4"/>
    <w:rsid w:val="00AD05C1"/>
    <w:rsid w:val="00AD0A4C"/>
    <w:rsid w:val="00AD1114"/>
    <w:rsid w:val="00AD1890"/>
    <w:rsid w:val="00AD1C6A"/>
    <w:rsid w:val="00AD2204"/>
    <w:rsid w:val="00AD39EF"/>
    <w:rsid w:val="00AD3B6E"/>
    <w:rsid w:val="00AD3B81"/>
    <w:rsid w:val="00AD44EC"/>
    <w:rsid w:val="00AD67FD"/>
    <w:rsid w:val="00AE06FA"/>
    <w:rsid w:val="00AE0B4E"/>
    <w:rsid w:val="00AE33E8"/>
    <w:rsid w:val="00AE3906"/>
    <w:rsid w:val="00AE5687"/>
    <w:rsid w:val="00AE5DDD"/>
    <w:rsid w:val="00AE6355"/>
    <w:rsid w:val="00AE680F"/>
    <w:rsid w:val="00AE6D0F"/>
    <w:rsid w:val="00AE7575"/>
    <w:rsid w:val="00AE78D8"/>
    <w:rsid w:val="00AE7F34"/>
    <w:rsid w:val="00AF1538"/>
    <w:rsid w:val="00AF30C7"/>
    <w:rsid w:val="00AF31D8"/>
    <w:rsid w:val="00AF45AA"/>
    <w:rsid w:val="00AF6794"/>
    <w:rsid w:val="00AF7B08"/>
    <w:rsid w:val="00B002C8"/>
    <w:rsid w:val="00B01638"/>
    <w:rsid w:val="00B021EC"/>
    <w:rsid w:val="00B02508"/>
    <w:rsid w:val="00B02AEC"/>
    <w:rsid w:val="00B02EEA"/>
    <w:rsid w:val="00B04289"/>
    <w:rsid w:val="00B058AA"/>
    <w:rsid w:val="00B1379D"/>
    <w:rsid w:val="00B14D2A"/>
    <w:rsid w:val="00B1504C"/>
    <w:rsid w:val="00B153D9"/>
    <w:rsid w:val="00B17821"/>
    <w:rsid w:val="00B2009A"/>
    <w:rsid w:val="00B209AE"/>
    <w:rsid w:val="00B216DA"/>
    <w:rsid w:val="00B218A1"/>
    <w:rsid w:val="00B21948"/>
    <w:rsid w:val="00B21FF4"/>
    <w:rsid w:val="00B22A0D"/>
    <w:rsid w:val="00B22CD4"/>
    <w:rsid w:val="00B23211"/>
    <w:rsid w:val="00B238B5"/>
    <w:rsid w:val="00B23BC7"/>
    <w:rsid w:val="00B24345"/>
    <w:rsid w:val="00B26499"/>
    <w:rsid w:val="00B26695"/>
    <w:rsid w:val="00B2683B"/>
    <w:rsid w:val="00B2750F"/>
    <w:rsid w:val="00B27526"/>
    <w:rsid w:val="00B309A3"/>
    <w:rsid w:val="00B32077"/>
    <w:rsid w:val="00B327DF"/>
    <w:rsid w:val="00B3295A"/>
    <w:rsid w:val="00B32ABD"/>
    <w:rsid w:val="00B33A9C"/>
    <w:rsid w:val="00B352B9"/>
    <w:rsid w:val="00B354A4"/>
    <w:rsid w:val="00B37F52"/>
    <w:rsid w:val="00B40B0F"/>
    <w:rsid w:val="00B4157C"/>
    <w:rsid w:val="00B41AEE"/>
    <w:rsid w:val="00B42360"/>
    <w:rsid w:val="00B42A31"/>
    <w:rsid w:val="00B43234"/>
    <w:rsid w:val="00B43453"/>
    <w:rsid w:val="00B43E55"/>
    <w:rsid w:val="00B44DD1"/>
    <w:rsid w:val="00B44F65"/>
    <w:rsid w:val="00B4588E"/>
    <w:rsid w:val="00B4608B"/>
    <w:rsid w:val="00B474CD"/>
    <w:rsid w:val="00B47902"/>
    <w:rsid w:val="00B50CC5"/>
    <w:rsid w:val="00B50FE6"/>
    <w:rsid w:val="00B5298E"/>
    <w:rsid w:val="00B578EE"/>
    <w:rsid w:val="00B60B38"/>
    <w:rsid w:val="00B6190A"/>
    <w:rsid w:val="00B61EFC"/>
    <w:rsid w:val="00B63BB3"/>
    <w:rsid w:val="00B64E47"/>
    <w:rsid w:val="00B70B10"/>
    <w:rsid w:val="00B70B34"/>
    <w:rsid w:val="00B70E14"/>
    <w:rsid w:val="00B71DE3"/>
    <w:rsid w:val="00B73F1B"/>
    <w:rsid w:val="00B74C8A"/>
    <w:rsid w:val="00B74F08"/>
    <w:rsid w:val="00B7621A"/>
    <w:rsid w:val="00B76FD5"/>
    <w:rsid w:val="00B77AFA"/>
    <w:rsid w:val="00B803EF"/>
    <w:rsid w:val="00B81B6D"/>
    <w:rsid w:val="00B81F71"/>
    <w:rsid w:val="00B82EB5"/>
    <w:rsid w:val="00B82FFE"/>
    <w:rsid w:val="00B830DE"/>
    <w:rsid w:val="00B832B3"/>
    <w:rsid w:val="00B83B2D"/>
    <w:rsid w:val="00B865E4"/>
    <w:rsid w:val="00B8704D"/>
    <w:rsid w:val="00B93358"/>
    <w:rsid w:val="00B96594"/>
    <w:rsid w:val="00B965FC"/>
    <w:rsid w:val="00B96CDA"/>
    <w:rsid w:val="00B978D7"/>
    <w:rsid w:val="00B97957"/>
    <w:rsid w:val="00B97B41"/>
    <w:rsid w:val="00BA218D"/>
    <w:rsid w:val="00BA226D"/>
    <w:rsid w:val="00BA2C90"/>
    <w:rsid w:val="00BA3841"/>
    <w:rsid w:val="00BA39EE"/>
    <w:rsid w:val="00BA3F02"/>
    <w:rsid w:val="00BA4E26"/>
    <w:rsid w:val="00BA5303"/>
    <w:rsid w:val="00BA5966"/>
    <w:rsid w:val="00BA740E"/>
    <w:rsid w:val="00BB0C69"/>
    <w:rsid w:val="00BB0D0E"/>
    <w:rsid w:val="00BB157F"/>
    <w:rsid w:val="00BB27F5"/>
    <w:rsid w:val="00BB3FFD"/>
    <w:rsid w:val="00BB4C66"/>
    <w:rsid w:val="00BB4FD2"/>
    <w:rsid w:val="00BB529F"/>
    <w:rsid w:val="00BB70C6"/>
    <w:rsid w:val="00BB73EC"/>
    <w:rsid w:val="00BC0CC5"/>
    <w:rsid w:val="00BC17D3"/>
    <w:rsid w:val="00BC1EFF"/>
    <w:rsid w:val="00BC2497"/>
    <w:rsid w:val="00BC2EF2"/>
    <w:rsid w:val="00BC4396"/>
    <w:rsid w:val="00BC573D"/>
    <w:rsid w:val="00BC6005"/>
    <w:rsid w:val="00BC7171"/>
    <w:rsid w:val="00BC781C"/>
    <w:rsid w:val="00BD05E7"/>
    <w:rsid w:val="00BD0A0E"/>
    <w:rsid w:val="00BD2422"/>
    <w:rsid w:val="00BD2682"/>
    <w:rsid w:val="00BD27C7"/>
    <w:rsid w:val="00BD29D4"/>
    <w:rsid w:val="00BD3EA7"/>
    <w:rsid w:val="00BD4AD2"/>
    <w:rsid w:val="00BD4B0C"/>
    <w:rsid w:val="00BD56AB"/>
    <w:rsid w:val="00BD5868"/>
    <w:rsid w:val="00BD744C"/>
    <w:rsid w:val="00BD78BA"/>
    <w:rsid w:val="00BE0153"/>
    <w:rsid w:val="00BE07C2"/>
    <w:rsid w:val="00BE232F"/>
    <w:rsid w:val="00BE2DD6"/>
    <w:rsid w:val="00BE3A61"/>
    <w:rsid w:val="00BE63F1"/>
    <w:rsid w:val="00BF02CC"/>
    <w:rsid w:val="00BF0E36"/>
    <w:rsid w:val="00BF3C69"/>
    <w:rsid w:val="00BF3D21"/>
    <w:rsid w:val="00BF54ED"/>
    <w:rsid w:val="00BF7152"/>
    <w:rsid w:val="00C0267F"/>
    <w:rsid w:val="00C03067"/>
    <w:rsid w:val="00C031AA"/>
    <w:rsid w:val="00C037F5"/>
    <w:rsid w:val="00C03809"/>
    <w:rsid w:val="00C03A04"/>
    <w:rsid w:val="00C04988"/>
    <w:rsid w:val="00C058C6"/>
    <w:rsid w:val="00C06C20"/>
    <w:rsid w:val="00C07507"/>
    <w:rsid w:val="00C078C2"/>
    <w:rsid w:val="00C07AB1"/>
    <w:rsid w:val="00C102F3"/>
    <w:rsid w:val="00C10306"/>
    <w:rsid w:val="00C11879"/>
    <w:rsid w:val="00C12394"/>
    <w:rsid w:val="00C12A90"/>
    <w:rsid w:val="00C12A99"/>
    <w:rsid w:val="00C14D81"/>
    <w:rsid w:val="00C15ADF"/>
    <w:rsid w:val="00C1649F"/>
    <w:rsid w:val="00C172FF"/>
    <w:rsid w:val="00C20C8D"/>
    <w:rsid w:val="00C20E16"/>
    <w:rsid w:val="00C236AC"/>
    <w:rsid w:val="00C236D4"/>
    <w:rsid w:val="00C2396B"/>
    <w:rsid w:val="00C24821"/>
    <w:rsid w:val="00C2482A"/>
    <w:rsid w:val="00C2662E"/>
    <w:rsid w:val="00C26969"/>
    <w:rsid w:val="00C27E7A"/>
    <w:rsid w:val="00C30174"/>
    <w:rsid w:val="00C3321B"/>
    <w:rsid w:val="00C34CC7"/>
    <w:rsid w:val="00C361BA"/>
    <w:rsid w:val="00C3682D"/>
    <w:rsid w:val="00C3693A"/>
    <w:rsid w:val="00C37A3A"/>
    <w:rsid w:val="00C40421"/>
    <w:rsid w:val="00C4092E"/>
    <w:rsid w:val="00C42306"/>
    <w:rsid w:val="00C43D28"/>
    <w:rsid w:val="00C441FB"/>
    <w:rsid w:val="00C44593"/>
    <w:rsid w:val="00C453AF"/>
    <w:rsid w:val="00C46110"/>
    <w:rsid w:val="00C462D8"/>
    <w:rsid w:val="00C464D9"/>
    <w:rsid w:val="00C50CC4"/>
    <w:rsid w:val="00C50E75"/>
    <w:rsid w:val="00C51322"/>
    <w:rsid w:val="00C5191A"/>
    <w:rsid w:val="00C52533"/>
    <w:rsid w:val="00C5257D"/>
    <w:rsid w:val="00C52632"/>
    <w:rsid w:val="00C52C42"/>
    <w:rsid w:val="00C548D6"/>
    <w:rsid w:val="00C552AD"/>
    <w:rsid w:val="00C55CB4"/>
    <w:rsid w:val="00C562CA"/>
    <w:rsid w:val="00C57157"/>
    <w:rsid w:val="00C57C94"/>
    <w:rsid w:val="00C60680"/>
    <w:rsid w:val="00C61EA2"/>
    <w:rsid w:val="00C62985"/>
    <w:rsid w:val="00C62D40"/>
    <w:rsid w:val="00C63054"/>
    <w:rsid w:val="00C640CA"/>
    <w:rsid w:val="00C643CE"/>
    <w:rsid w:val="00C6483C"/>
    <w:rsid w:val="00C648FF"/>
    <w:rsid w:val="00C6591E"/>
    <w:rsid w:val="00C65DD7"/>
    <w:rsid w:val="00C66284"/>
    <w:rsid w:val="00C66864"/>
    <w:rsid w:val="00C67841"/>
    <w:rsid w:val="00C67FA0"/>
    <w:rsid w:val="00C70393"/>
    <w:rsid w:val="00C70B5B"/>
    <w:rsid w:val="00C7338A"/>
    <w:rsid w:val="00C73B7D"/>
    <w:rsid w:val="00C73CE7"/>
    <w:rsid w:val="00C7465C"/>
    <w:rsid w:val="00C767BA"/>
    <w:rsid w:val="00C80747"/>
    <w:rsid w:val="00C80A12"/>
    <w:rsid w:val="00C80B08"/>
    <w:rsid w:val="00C80F1E"/>
    <w:rsid w:val="00C81A3B"/>
    <w:rsid w:val="00C81E0D"/>
    <w:rsid w:val="00C831E3"/>
    <w:rsid w:val="00C8361C"/>
    <w:rsid w:val="00C8542D"/>
    <w:rsid w:val="00C85736"/>
    <w:rsid w:val="00C864F4"/>
    <w:rsid w:val="00C86F04"/>
    <w:rsid w:val="00C875F9"/>
    <w:rsid w:val="00C87BAE"/>
    <w:rsid w:val="00C90166"/>
    <w:rsid w:val="00C9029D"/>
    <w:rsid w:val="00C9037B"/>
    <w:rsid w:val="00C91906"/>
    <w:rsid w:val="00C927D3"/>
    <w:rsid w:val="00C93187"/>
    <w:rsid w:val="00C93DC6"/>
    <w:rsid w:val="00C941F8"/>
    <w:rsid w:val="00C94D67"/>
    <w:rsid w:val="00C9547A"/>
    <w:rsid w:val="00C959B3"/>
    <w:rsid w:val="00C9609E"/>
    <w:rsid w:val="00CA08F1"/>
    <w:rsid w:val="00CA1414"/>
    <w:rsid w:val="00CA1FDA"/>
    <w:rsid w:val="00CA353B"/>
    <w:rsid w:val="00CA6121"/>
    <w:rsid w:val="00CA6189"/>
    <w:rsid w:val="00CB0FE7"/>
    <w:rsid w:val="00CB19B9"/>
    <w:rsid w:val="00CB1F44"/>
    <w:rsid w:val="00CB2088"/>
    <w:rsid w:val="00CB2247"/>
    <w:rsid w:val="00CB38C8"/>
    <w:rsid w:val="00CB4604"/>
    <w:rsid w:val="00CB53CC"/>
    <w:rsid w:val="00CB5A05"/>
    <w:rsid w:val="00CB5A3A"/>
    <w:rsid w:val="00CC008D"/>
    <w:rsid w:val="00CC10E6"/>
    <w:rsid w:val="00CC1282"/>
    <w:rsid w:val="00CC2A18"/>
    <w:rsid w:val="00CC393E"/>
    <w:rsid w:val="00CC748E"/>
    <w:rsid w:val="00CC78B5"/>
    <w:rsid w:val="00CD02E0"/>
    <w:rsid w:val="00CD0821"/>
    <w:rsid w:val="00CD09F2"/>
    <w:rsid w:val="00CD0DAD"/>
    <w:rsid w:val="00CD169D"/>
    <w:rsid w:val="00CD1B41"/>
    <w:rsid w:val="00CD2636"/>
    <w:rsid w:val="00CD3E20"/>
    <w:rsid w:val="00CD5843"/>
    <w:rsid w:val="00CE0AE1"/>
    <w:rsid w:val="00CE0FD9"/>
    <w:rsid w:val="00CE26B3"/>
    <w:rsid w:val="00CE2799"/>
    <w:rsid w:val="00CE387A"/>
    <w:rsid w:val="00CE3DE0"/>
    <w:rsid w:val="00CE5261"/>
    <w:rsid w:val="00CE5888"/>
    <w:rsid w:val="00CE645F"/>
    <w:rsid w:val="00CE7710"/>
    <w:rsid w:val="00CE7A7B"/>
    <w:rsid w:val="00CF0C17"/>
    <w:rsid w:val="00CF18F7"/>
    <w:rsid w:val="00CF4913"/>
    <w:rsid w:val="00CF709B"/>
    <w:rsid w:val="00CF7D94"/>
    <w:rsid w:val="00CF7E9E"/>
    <w:rsid w:val="00CF7EA1"/>
    <w:rsid w:val="00D00023"/>
    <w:rsid w:val="00D012CC"/>
    <w:rsid w:val="00D012E5"/>
    <w:rsid w:val="00D014EF"/>
    <w:rsid w:val="00D01670"/>
    <w:rsid w:val="00D01D31"/>
    <w:rsid w:val="00D01E87"/>
    <w:rsid w:val="00D020AF"/>
    <w:rsid w:val="00D033C8"/>
    <w:rsid w:val="00D04438"/>
    <w:rsid w:val="00D05B80"/>
    <w:rsid w:val="00D06060"/>
    <w:rsid w:val="00D066FB"/>
    <w:rsid w:val="00D114F3"/>
    <w:rsid w:val="00D123E9"/>
    <w:rsid w:val="00D12FFF"/>
    <w:rsid w:val="00D15F1F"/>
    <w:rsid w:val="00D21D2C"/>
    <w:rsid w:val="00D23C68"/>
    <w:rsid w:val="00D23C76"/>
    <w:rsid w:val="00D2701F"/>
    <w:rsid w:val="00D30794"/>
    <w:rsid w:val="00D31EB4"/>
    <w:rsid w:val="00D33ACD"/>
    <w:rsid w:val="00D37780"/>
    <w:rsid w:val="00D37E68"/>
    <w:rsid w:val="00D4091D"/>
    <w:rsid w:val="00D40F2E"/>
    <w:rsid w:val="00D41308"/>
    <w:rsid w:val="00D4180A"/>
    <w:rsid w:val="00D43118"/>
    <w:rsid w:val="00D44525"/>
    <w:rsid w:val="00D44746"/>
    <w:rsid w:val="00D459BD"/>
    <w:rsid w:val="00D46541"/>
    <w:rsid w:val="00D47120"/>
    <w:rsid w:val="00D478FA"/>
    <w:rsid w:val="00D50338"/>
    <w:rsid w:val="00D50F28"/>
    <w:rsid w:val="00D51710"/>
    <w:rsid w:val="00D53B77"/>
    <w:rsid w:val="00D53CF5"/>
    <w:rsid w:val="00D55C6F"/>
    <w:rsid w:val="00D56BE1"/>
    <w:rsid w:val="00D57756"/>
    <w:rsid w:val="00D57EE8"/>
    <w:rsid w:val="00D57F86"/>
    <w:rsid w:val="00D604BF"/>
    <w:rsid w:val="00D60D20"/>
    <w:rsid w:val="00D63D13"/>
    <w:rsid w:val="00D6466A"/>
    <w:rsid w:val="00D652E6"/>
    <w:rsid w:val="00D67C71"/>
    <w:rsid w:val="00D67D06"/>
    <w:rsid w:val="00D70B6E"/>
    <w:rsid w:val="00D727EC"/>
    <w:rsid w:val="00D72B15"/>
    <w:rsid w:val="00D73CDA"/>
    <w:rsid w:val="00D74E07"/>
    <w:rsid w:val="00D758E7"/>
    <w:rsid w:val="00D77B0F"/>
    <w:rsid w:val="00D83030"/>
    <w:rsid w:val="00D8435F"/>
    <w:rsid w:val="00D848B0"/>
    <w:rsid w:val="00D84BFD"/>
    <w:rsid w:val="00D8570C"/>
    <w:rsid w:val="00D875AF"/>
    <w:rsid w:val="00D90FC8"/>
    <w:rsid w:val="00D919B5"/>
    <w:rsid w:val="00D92150"/>
    <w:rsid w:val="00D92810"/>
    <w:rsid w:val="00D929C9"/>
    <w:rsid w:val="00D930CD"/>
    <w:rsid w:val="00D93303"/>
    <w:rsid w:val="00D95326"/>
    <w:rsid w:val="00D965BB"/>
    <w:rsid w:val="00D979EE"/>
    <w:rsid w:val="00DA1CC4"/>
    <w:rsid w:val="00DA332A"/>
    <w:rsid w:val="00DA35ED"/>
    <w:rsid w:val="00DA37A8"/>
    <w:rsid w:val="00DA5173"/>
    <w:rsid w:val="00DA57B3"/>
    <w:rsid w:val="00DA6A7E"/>
    <w:rsid w:val="00DA7401"/>
    <w:rsid w:val="00DB20CB"/>
    <w:rsid w:val="00DB375C"/>
    <w:rsid w:val="00DB4409"/>
    <w:rsid w:val="00DB4CC6"/>
    <w:rsid w:val="00DB5822"/>
    <w:rsid w:val="00DB5E70"/>
    <w:rsid w:val="00DB6011"/>
    <w:rsid w:val="00DB6589"/>
    <w:rsid w:val="00DC004A"/>
    <w:rsid w:val="00DC1552"/>
    <w:rsid w:val="00DC2154"/>
    <w:rsid w:val="00DC2BF7"/>
    <w:rsid w:val="00DC4A78"/>
    <w:rsid w:val="00DC54A7"/>
    <w:rsid w:val="00DC56CB"/>
    <w:rsid w:val="00DC5AC0"/>
    <w:rsid w:val="00DC6DEB"/>
    <w:rsid w:val="00DD18E3"/>
    <w:rsid w:val="00DD3D8F"/>
    <w:rsid w:val="00DD417E"/>
    <w:rsid w:val="00DD48C6"/>
    <w:rsid w:val="00DD5661"/>
    <w:rsid w:val="00DD5743"/>
    <w:rsid w:val="00DD7233"/>
    <w:rsid w:val="00DE00F0"/>
    <w:rsid w:val="00DE0D93"/>
    <w:rsid w:val="00DE0E72"/>
    <w:rsid w:val="00DE1650"/>
    <w:rsid w:val="00DE2176"/>
    <w:rsid w:val="00DE3E0A"/>
    <w:rsid w:val="00DE44F9"/>
    <w:rsid w:val="00DE5190"/>
    <w:rsid w:val="00DE57D1"/>
    <w:rsid w:val="00DE5FDB"/>
    <w:rsid w:val="00DE60B5"/>
    <w:rsid w:val="00DE66D2"/>
    <w:rsid w:val="00DE7187"/>
    <w:rsid w:val="00DE750C"/>
    <w:rsid w:val="00DE78F3"/>
    <w:rsid w:val="00DF0984"/>
    <w:rsid w:val="00DF09F9"/>
    <w:rsid w:val="00DF0EBF"/>
    <w:rsid w:val="00DF0FBE"/>
    <w:rsid w:val="00DF2632"/>
    <w:rsid w:val="00DF32E6"/>
    <w:rsid w:val="00DF5C9F"/>
    <w:rsid w:val="00E00F2A"/>
    <w:rsid w:val="00E01A9E"/>
    <w:rsid w:val="00E024B3"/>
    <w:rsid w:val="00E0312C"/>
    <w:rsid w:val="00E032E9"/>
    <w:rsid w:val="00E03441"/>
    <w:rsid w:val="00E03B1F"/>
    <w:rsid w:val="00E04E85"/>
    <w:rsid w:val="00E06F6D"/>
    <w:rsid w:val="00E10509"/>
    <w:rsid w:val="00E10A9F"/>
    <w:rsid w:val="00E126BC"/>
    <w:rsid w:val="00E13D47"/>
    <w:rsid w:val="00E13E6F"/>
    <w:rsid w:val="00E140DB"/>
    <w:rsid w:val="00E1500B"/>
    <w:rsid w:val="00E15FC7"/>
    <w:rsid w:val="00E203AC"/>
    <w:rsid w:val="00E20B2C"/>
    <w:rsid w:val="00E20CB1"/>
    <w:rsid w:val="00E21197"/>
    <w:rsid w:val="00E229C2"/>
    <w:rsid w:val="00E23974"/>
    <w:rsid w:val="00E241BE"/>
    <w:rsid w:val="00E24A20"/>
    <w:rsid w:val="00E27476"/>
    <w:rsid w:val="00E2759F"/>
    <w:rsid w:val="00E30565"/>
    <w:rsid w:val="00E3137B"/>
    <w:rsid w:val="00E32832"/>
    <w:rsid w:val="00E32977"/>
    <w:rsid w:val="00E32AB5"/>
    <w:rsid w:val="00E34544"/>
    <w:rsid w:val="00E37072"/>
    <w:rsid w:val="00E371DC"/>
    <w:rsid w:val="00E37CAA"/>
    <w:rsid w:val="00E402E6"/>
    <w:rsid w:val="00E41307"/>
    <w:rsid w:val="00E42FD6"/>
    <w:rsid w:val="00E430F0"/>
    <w:rsid w:val="00E45CFB"/>
    <w:rsid w:val="00E45E7E"/>
    <w:rsid w:val="00E46A9B"/>
    <w:rsid w:val="00E46FF9"/>
    <w:rsid w:val="00E5189A"/>
    <w:rsid w:val="00E52B6C"/>
    <w:rsid w:val="00E53A7D"/>
    <w:rsid w:val="00E54DB5"/>
    <w:rsid w:val="00E556C2"/>
    <w:rsid w:val="00E55BE1"/>
    <w:rsid w:val="00E579A4"/>
    <w:rsid w:val="00E57BA8"/>
    <w:rsid w:val="00E60A44"/>
    <w:rsid w:val="00E60E8E"/>
    <w:rsid w:val="00E60FE2"/>
    <w:rsid w:val="00E6179F"/>
    <w:rsid w:val="00E64CEA"/>
    <w:rsid w:val="00E659A5"/>
    <w:rsid w:val="00E66697"/>
    <w:rsid w:val="00E66817"/>
    <w:rsid w:val="00E66D06"/>
    <w:rsid w:val="00E70E25"/>
    <w:rsid w:val="00E7368D"/>
    <w:rsid w:val="00E73A08"/>
    <w:rsid w:val="00E740F5"/>
    <w:rsid w:val="00E77912"/>
    <w:rsid w:val="00E82624"/>
    <w:rsid w:val="00E827BA"/>
    <w:rsid w:val="00E829AA"/>
    <w:rsid w:val="00E85444"/>
    <w:rsid w:val="00E8564C"/>
    <w:rsid w:val="00E85DBD"/>
    <w:rsid w:val="00E86339"/>
    <w:rsid w:val="00E86B0E"/>
    <w:rsid w:val="00E87B2E"/>
    <w:rsid w:val="00E919BA"/>
    <w:rsid w:val="00E91D6D"/>
    <w:rsid w:val="00E936FD"/>
    <w:rsid w:val="00E949CA"/>
    <w:rsid w:val="00E952D3"/>
    <w:rsid w:val="00E96DE7"/>
    <w:rsid w:val="00E974A5"/>
    <w:rsid w:val="00EA356C"/>
    <w:rsid w:val="00EA3D4A"/>
    <w:rsid w:val="00EA5C4E"/>
    <w:rsid w:val="00EA6875"/>
    <w:rsid w:val="00EB09BE"/>
    <w:rsid w:val="00EB0AAE"/>
    <w:rsid w:val="00EB0B04"/>
    <w:rsid w:val="00EB1D96"/>
    <w:rsid w:val="00EB246D"/>
    <w:rsid w:val="00EB3726"/>
    <w:rsid w:val="00EB3B27"/>
    <w:rsid w:val="00EB4FB4"/>
    <w:rsid w:val="00EB596A"/>
    <w:rsid w:val="00EB60C5"/>
    <w:rsid w:val="00EC15B7"/>
    <w:rsid w:val="00EC1C89"/>
    <w:rsid w:val="00EC21B1"/>
    <w:rsid w:val="00EC3EFF"/>
    <w:rsid w:val="00EC58AA"/>
    <w:rsid w:val="00ED1AA4"/>
    <w:rsid w:val="00ED2279"/>
    <w:rsid w:val="00ED23C4"/>
    <w:rsid w:val="00ED24E2"/>
    <w:rsid w:val="00ED3579"/>
    <w:rsid w:val="00ED4446"/>
    <w:rsid w:val="00ED44F7"/>
    <w:rsid w:val="00ED5E00"/>
    <w:rsid w:val="00ED75B7"/>
    <w:rsid w:val="00ED7EC7"/>
    <w:rsid w:val="00EE32EB"/>
    <w:rsid w:val="00EE3E8C"/>
    <w:rsid w:val="00EE59EB"/>
    <w:rsid w:val="00EE6F4D"/>
    <w:rsid w:val="00EE7655"/>
    <w:rsid w:val="00EF0571"/>
    <w:rsid w:val="00EF348C"/>
    <w:rsid w:val="00EF36DD"/>
    <w:rsid w:val="00EF4019"/>
    <w:rsid w:val="00EF5142"/>
    <w:rsid w:val="00EF748F"/>
    <w:rsid w:val="00EF795A"/>
    <w:rsid w:val="00EF7EEC"/>
    <w:rsid w:val="00F021B8"/>
    <w:rsid w:val="00F03327"/>
    <w:rsid w:val="00F03AA2"/>
    <w:rsid w:val="00F040B4"/>
    <w:rsid w:val="00F046D4"/>
    <w:rsid w:val="00F079FD"/>
    <w:rsid w:val="00F1143C"/>
    <w:rsid w:val="00F14740"/>
    <w:rsid w:val="00F1593F"/>
    <w:rsid w:val="00F15C21"/>
    <w:rsid w:val="00F16118"/>
    <w:rsid w:val="00F16E67"/>
    <w:rsid w:val="00F17647"/>
    <w:rsid w:val="00F218C0"/>
    <w:rsid w:val="00F21E2D"/>
    <w:rsid w:val="00F22362"/>
    <w:rsid w:val="00F22FB4"/>
    <w:rsid w:val="00F245EB"/>
    <w:rsid w:val="00F24C0C"/>
    <w:rsid w:val="00F26DA5"/>
    <w:rsid w:val="00F27C30"/>
    <w:rsid w:val="00F3072E"/>
    <w:rsid w:val="00F30D50"/>
    <w:rsid w:val="00F319BD"/>
    <w:rsid w:val="00F32733"/>
    <w:rsid w:val="00F34965"/>
    <w:rsid w:val="00F350DD"/>
    <w:rsid w:val="00F36885"/>
    <w:rsid w:val="00F370DA"/>
    <w:rsid w:val="00F40993"/>
    <w:rsid w:val="00F40F19"/>
    <w:rsid w:val="00F41E1C"/>
    <w:rsid w:val="00F42B28"/>
    <w:rsid w:val="00F438CD"/>
    <w:rsid w:val="00F44DAC"/>
    <w:rsid w:val="00F45408"/>
    <w:rsid w:val="00F4564B"/>
    <w:rsid w:val="00F4741D"/>
    <w:rsid w:val="00F50368"/>
    <w:rsid w:val="00F50C6F"/>
    <w:rsid w:val="00F52E04"/>
    <w:rsid w:val="00F535D0"/>
    <w:rsid w:val="00F539D5"/>
    <w:rsid w:val="00F53C61"/>
    <w:rsid w:val="00F53F18"/>
    <w:rsid w:val="00F5428F"/>
    <w:rsid w:val="00F54379"/>
    <w:rsid w:val="00F5481B"/>
    <w:rsid w:val="00F54D76"/>
    <w:rsid w:val="00F5574F"/>
    <w:rsid w:val="00F60220"/>
    <w:rsid w:val="00F60819"/>
    <w:rsid w:val="00F610A4"/>
    <w:rsid w:val="00F619EA"/>
    <w:rsid w:val="00F622F9"/>
    <w:rsid w:val="00F632B5"/>
    <w:rsid w:val="00F653A3"/>
    <w:rsid w:val="00F66511"/>
    <w:rsid w:val="00F677DE"/>
    <w:rsid w:val="00F67924"/>
    <w:rsid w:val="00F679D6"/>
    <w:rsid w:val="00F67DD6"/>
    <w:rsid w:val="00F71C7A"/>
    <w:rsid w:val="00F72EA8"/>
    <w:rsid w:val="00F73660"/>
    <w:rsid w:val="00F7372D"/>
    <w:rsid w:val="00F73CE8"/>
    <w:rsid w:val="00F7642A"/>
    <w:rsid w:val="00F76DBA"/>
    <w:rsid w:val="00F76E16"/>
    <w:rsid w:val="00F77BEF"/>
    <w:rsid w:val="00F805FA"/>
    <w:rsid w:val="00F8078E"/>
    <w:rsid w:val="00F80E8A"/>
    <w:rsid w:val="00F81201"/>
    <w:rsid w:val="00F824E7"/>
    <w:rsid w:val="00F82A49"/>
    <w:rsid w:val="00F84406"/>
    <w:rsid w:val="00F862FC"/>
    <w:rsid w:val="00F90FB0"/>
    <w:rsid w:val="00F93D53"/>
    <w:rsid w:val="00F94451"/>
    <w:rsid w:val="00F958DD"/>
    <w:rsid w:val="00F95AA1"/>
    <w:rsid w:val="00F95DB3"/>
    <w:rsid w:val="00F966CC"/>
    <w:rsid w:val="00F97B59"/>
    <w:rsid w:val="00FA0E78"/>
    <w:rsid w:val="00FA135F"/>
    <w:rsid w:val="00FA232D"/>
    <w:rsid w:val="00FA23EC"/>
    <w:rsid w:val="00FA24A6"/>
    <w:rsid w:val="00FA4720"/>
    <w:rsid w:val="00FA5B8D"/>
    <w:rsid w:val="00FA5BD5"/>
    <w:rsid w:val="00FA6826"/>
    <w:rsid w:val="00FB2B3F"/>
    <w:rsid w:val="00FB3347"/>
    <w:rsid w:val="00FB3D99"/>
    <w:rsid w:val="00FB4614"/>
    <w:rsid w:val="00FB4E1F"/>
    <w:rsid w:val="00FB50DE"/>
    <w:rsid w:val="00FB51B8"/>
    <w:rsid w:val="00FB5D5A"/>
    <w:rsid w:val="00FB5EF0"/>
    <w:rsid w:val="00FB63C4"/>
    <w:rsid w:val="00FB6539"/>
    <w:rsid w:val="00FB7ACC"/>
    <w:rsid w:val="00FC0AF2"/>
    <w:rsid w:val="00FC20BB"/>
    <w:rsid w:val="00FC4472"/>
    <w:rsid w:val="00FC49DC"/>
    <w:rsid w:val="00FC4C91"/>
    <w:rsid w:val="00FC5AA5"/>
    <w:rsid w:val="00FC63C7"/>
    <w:rsid w:val="00FC6E02"/>
    <w:rsid w:val="00FD0A7E"/>
    <w:rsid w:val="00FD161A"/>
    <w:rsid w:val="00FD16A8"/>
    <w:rsid w:val="00FD3B4F"/>
    <w:rsid w:val="00FD49FD"/>
    <w:rsid w:val="00FD5353"/>
    <w:rsid w:val="00FD7C66"/>
    <w:rsid w:val="00FD7F10"/>
    <w:rsid w:val="00FE096F"/>
    <w:rsid w:val="00FE09FC"/>
    <w:rsid w:val="00FE1B45"/>
    <w:rsid w:val="00FE2D20"/>
    <w:rsid w:val="00FE355B"/>
    <w:rsid w:val="00FE3800"/>
    <w:rsid w:val="00FE3B63"/>
    <w:rsid w:val="00FE503F"/>
    <w:rsid w:val="00FE53C8"/>
    <w:rsid w:val="00FE613C"/>
    <w:rsid w:val="00FE6600"/>
    <w:rsid w:val="00FE6A46"/>
    <w:rsid w:val="00FF056A"/>
    <w:rsid w:val="00FF0D1E"/>
    <w:rsid w:val="00FF19D5"/>
    <w:rsid w:val="00FF2F96"/>
    <w:rsid w:val="00FF3DE2"/>
    <w:rsid w:val="00FF4C1B"/>
    <w:rsid w:val="00FF502E"/>
    <w:rsid w:val="00FF69E1"/>
    <w:rsid w:val="00FF69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912A35"/>
  <w15:chartTrackingRefBased/>
  <w15:docId w15:val="{1B774978-F4CC-49D5-A661-E8D77A02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7C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7C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7C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D7C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15FC7"/>
    <w:rPr>
      <w:color w:val="0000FF"/>
      <w:shd w:val="clear" w:color="auto" w:fill="auto"/>
    </w:rPr>
  </w:style>
  <w:style w:type="paragraph" w:customStyle="1" w:styleId="Pagedecouverture">
    <w:name w:val="Page de couverture"/>
    <w:basedOn w:val="Normal"/>
    <w:next w:val="Normal"/>
    <w:rsid w:val="00E15FC7"/>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E15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FC7"/>
  </w:style>
  <w:style w:type="paragraph" w:styleId="Footer">
    <w:name w:val="footer"/>
    <w:basedOn w:val="Normal"/>
    <w:link w:val="FooterChar"/>
    <w:uiPriority w:val="99"/>
    <w:unhideWhenUsed/>
    <w:rsid w:val="00E15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FC7"/>
  </w:style>
  <w:style w:type="paragraph" w:customStyle="1" w:styleId="FooterCoverPage">
    <w:name w:val="Footer Cover Page"/>
    <w:basedOn w:val="Normal"/>
    <w:link w:val="FooterCoverPageChar"/>
    <w:rsid w:val="00E15FC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15FC7"/>
    <w:rPr>
      <w:rFonts w:ascii="Times New Roman" w:hAnsi="Times New Roman" w:cs="Times New Roman"/>
      <w:sz w:val="24"/>
    </w:rPr>
  </w:style>
  <w:style w:type="paragraph" w:customStyle="1" w:styleId="FooterSensitivity">
    <w:name w:val="Footer Sensitivity"/>
    <w:basedOn w:val="Normal"/>
    <w:link w:val="FooterSensitivityChar"/>
    <w:rsid w:val="00E15FC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15FC7"/>
    <w:rPr>
      <w:rFonts w:ascii="Times New Roman" w:hAnsi="Times New Roman" w:cs="Times New Roman"/>
      <w:b/>
      <w:sz w:val="32"/>
    </w:rPr>
  </w:style>
  <w:style w:type="paragraph" w:customStyle="1" w:styleId="HeaderCoverPage">
    <w:name w:val="Header Cover Page"/>
    <w:basedOn w:val="Normal"/>
    <w:link w:val="HeaderCoverPageChar"/>
    <w:rsid w:val="00E15FC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15FC7"/>
    <w:rPr>
      <w:rFonts w:ascii="Times New Roman" w:hAnsi="Times New Roman" w:cs="Times New Roman"/>
      <w:sz w:val="24"/>
    </w:rPr>
  </w:style>
  <w:style w:type="paragraph" w:customStyle="1" w:styleId="HeaderSensitivity">
    <w:name w:val="Header Sensitivity"/>
    <w:basedOn w:val="Normal"/>
    <w:link w:val="HeaderSensitivityChar"/>
    <w:rsid w:val="00E15FC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15FC7"/>
    <w:rPr>
      <w:rFonts w:ascii="Times New Roman" w:hAnsi="Times New Roman" w:cs="Times New Roman"/>
      <w:b/>
      <w:sz w:val="32"/>
    </w:rPr>
  </w:style>
  <w:style w:type="paragraph" w:customStyle="1" w:styleId="HeaderSensitivityRight">
    <w:name w:val="Header Sensitivity Right"/>
    <w:basedOn w:val="Normal"/>
    <w:link w:val="HeaderSensitivityRightChar"/>
    <w:rsid w:val="00E15FC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15FC7"/>
    <w:rPr>
      <w:rFonts w:ascii="Times New Roman" w:hAnsi="Times New Roman" w:cs="Times New Roman"/>
      <w:sz w:val="28"/>
    </w:rPr>
  </w:style>
  <w:style w:type="character" w:customStyle="1" w:styleId="Heading1Char">
    <w:name w:val="Heading 1 Char"/>
    <w:basedOn w:val="DefaultParagraphFont"/>
    <w:link w:val="Heading1"/>
    <w:uiPriority w:val="9"/>
    <w:rsid w:val="001D7C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7CF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D7C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D7CF2"/>
    <w:rPr>
      <w:rFonts w:asciiTheme="majorHAnsi" w:eastAsiaTheme="majorEastAsia" w:hAnsiTheme="majorHAnsi" w:cstheme="majorBidi"/>
      <w:i/>
      <w:iCs/>
      <w:color w:val="2E74B5" w:themeColor="accent1" w:themeShade="BF"/>
    </w:rPr>
  </w:style>
  <w:style w:type="paragraph" w:styleId="ListParagraph">
    <w:name w:val="List Paragraph"/>
    <w:aliases w:val="OBC Bullet,Normal 1,Task Body,Viñetas (Inicio Parrafo),3 Txt tabla,Zerrenda-paragrafoa,Fiche List Paragraph,Dot pt,F5 List Paragraph,No Spacing1,List Paragraph Char Char Char,Indicator Text,Numbered Para 1,References,Bullet 1"/>
    <w:basedOn w:val="Normal"/>
    <w:link w:val="ListParagraphChar"/>
    <w:uiPriority w:val="34"/>
    <w:qFormat/>
    <w:rsid w:val="001D7CF2"/>
    <w:pPr>
      <w:ind w:left="720"/>
      <w:contextualSpacing/>
    </w:pPr>
  </w:style>
  <w:style w:type="table" w:styleId="TableGrid">
    <w:name w:val="Table Grid"/>
    <w:basedOn w:val="TableNormal"/>
    <w:uiPriority w:val="39"/>
    <w:rsid w:val="001D7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rsid w:val="001D7CF2"/>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1D7CF2"/>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BVIfnrChar1"/>
    <w:unhideWhenUsed/>
    <w:qFormat/>
    <w:rsid w:val="001D7CF2"/>
    <w:rPr>
      <w:vertAlign w:val="superscript"/>
    </w:rPr>
  </w:style>
  <w:style w:type="paragraph" w:customStyle="1" w:styleId="Default">
    <w:name w:val="Default"/>
    <w:rsid w:val="001D7CF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D7CF2"/>
    <w:rPr>
      <w:sz w:val="16"/>
      <w:szCs w:val="16"/>
    </w:rPr>
  </w:style>
  <w:style w:type="paragraph" w:styleId="CommentText">
    <w:name w:val="annotation text"/>
    <w:basedOn w:val="Normal"/>
    <w:link w:val="CommentTextChar"/>
    <w:uiPriority w:val="99"/>
    <w:unhideWhenUsed/>
    <w:rsid w:val="001D7CF2"/>
    <w:pPr>
      <w:spacing w:line="240" w:lineRule="auto"/>
    </w:pPr>
    <w:rPr>
      <w:sz w:val="20"/>
      <w:szCs w:val="20"/>
    </w:rPr>
  </w:style>
  <w:style w:type="character" w:customStyle="1" w:styleId="CommentTextChar">
    <w:name w:val="Comment Text Char"/>
    <w:basedOn w:val="DefaultParagraphFont"/>
    <w:link w:val="CommentText"/>
    <w:uiPriority w:val="99"/>
    <w:rsid w:val="001D7CF2"/>
    <w:rPr>
      <w:sz w:val="20"/>
      <w:szCs w:val="20"/>
    </w:rPr>
  </w:style>
  <w:style w:type="paragraph" w:styleId="CommentSubject">
    <w:name w:val="annotation subject"/>
    <w:basedOn w:val="CommentText"/>
    <w:next w:val="CommentText"/>
    <w:link w:val="CommentSubjectChar"/>
    <w:uiPriority w:val="99"/>
    <w:semiHidden/>
    <w:unhideWhenUsed/>
    <w:rsid w:val="001D7CF2"/>
    <w:rPr>
      <w:b/>
      <w:bCs/>
    </w:rPr>
  </w:style>
  <w:style w:type="character" w:customStyle="1" w:styleId="CommentSubjectChar">
    <w:name w:val="Comment Subject Char"/>
    <w:basedOn w:val="CommentTextChar"/>
    <w:link w:val="CommentSubject"/>
    <w:uiPriority w:val="99"/>
    <w:semiHidden/>
    <w:rsid w:val="001D7CF2"/>
    <w:rPr>
      <w:b/>
      <w:bCs/>
      <w:sz w:val="20"/>
      <w:szCs w:val="20"/>
    </w:rPr>
  </w:style>
  <w:style w:type="paragraph" w:styleId="BalloonText">
    <w:name w:val="Balloon Text"/>
    <w:basedOn w:val="Normal"/>
    <w:link w:val="BalloonTextChar"/>
    <w:uiPriority w:val="99"/>
    <w:semiHidden/>
    <w:unhideWhenUsed/>
    <w:rsid w:val="001D7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CF2"/>
    <w:rPr>
      <w:rFonts w:ascii="Segoe UI" w:hAnsi="Segoe UI" w:cs="Segoe UI"/>
      <w:sz w:val="18"/>
      <w:szCs w:val="18"/>
    </w:rPr>
  </w:style>
  <w:style w:type="paragraph" w:styleId="Revision">
    <w:name w:val="Revision"/>
    <w:hidden/>
    <w:uiPriority w:val="99"/>
    <w:semiHidden/>
    <w:rsid w:val="001D7CF2"/>
    <w:pPr>
      <w:spacing w:after="0" w:line="240" w:lineRule="auto"/>
    </w:pPr>
  </w:style>
  <w:style w:type="character" w:customStyle="1" w:styleId="highlight">
    <w:name w:val="highlight"/>
    <w:basedOn w:val="DefaultParagraphFont"/>
    <w:rsid w:val="001D7CF2"/>
  </w:style>
  <w:style w:type="character" w:customStyle="1" w:styleId="ListParagraphChar">
    <w:name w:val="List Paragraph Char"/>
    <w:aliases w:val="OBC Bullet Char,Normal 1 Char,Task Body Char,Viñetas (Inicio Parrafo) Char,3 Txt tabla Char,Zerrenda-paragrafoa Char,Fiche List Paragraph Char,Dot pt Char,F5 List Paragraph Char,No Spacing1 Char,List Paragraph Char Char Char Char"/>
    <w:basedOn w:val="DefaultParagraphFont"/>
    <w:link w:val="ListParagraph"/>
    <w:uiPriority w:val="34"/>
    <w:qFormat/>
    <w:locked/>
    <w:rsid w:val="001D7CF2"/>
  </w:style>
  <w:style w:type="character" w:styleId="Hyperlink">
    <w:name w:val="Hyperlink"/>
    <w:basedOn w:val="DefaultParagraphFont"/>
    <w:uiPriority w:val="99"/>
    <w:unhideWhenUsed/>
    <w:rsid w:val="001D7CF2"/>
    <w:rPr>
      <w:color w:val="0563C1"/>
      <w:u w:val="single"/>
    </w:rPr>
  </w:style>
  <w:style w:type="paragraph" w:styleId="TOCHeading">
    <w:name w:val="TOC Heading"/>
    <w:basedOn w:val="Heading1"/>
    <w:next w:val="Normal"/>
    <w:uiPriority w:val="39"/>
    <w:unhideWhenUsed/>
    <w:qFormat/>
    <w:rsid w:val="001D7CF2"/>
    <w:pPr>
      <w:outlineLvl w:val="9"/>
    </w:pPr>
    <w:rPr>
      <w:lang w:val="en-US"/>
    </w:rPr>
  </w:style>
  <w:style w:type="paragraph" w:styleId="TOC1">
    <w:name w:val="toc 1"/>
    <w:basedOn w:val="Normal"/>
    <w:next w:val="Normal"/>
    <w:autoRedefine/>
    <w:uiPriority w:val="39"/>
    <w:unhideWhenUsed/>
    <w:rsid w:val="001D7CF2"/>
    <w:pPr>
      <w:tabs>
        <w:tab w:val="right" w:leader="dot" w:pos="9016"/>
      </w:tabs>
      <w:spacing w:after="100"/>
    </w:pPr>
  </w:style>
  <w:style w:type="paragraph" w:styleId="TOC2">
    <w:name w:val="toc 2"/>
    <w:basedOn w:val="Normal"/>
    <w:next w:val="Normal"/>
    <w:autoRedefine/>
    <w:uiPriority w:val="39"/>
    <w:unhideWhenUsed/>
    <w:rsid w:val="001D7CF2"/>
    <w:pPr>
      <w:spacing w:after="100"/>
      <w:ind w:left="220"/>
    </w:pPr>
  </w:style>
  <w:style w:type="paragraph" w:styleId="TOC3">
    <w:name w:val="toc 3"/>
    <w:basedOn w:val="Normal"/>
    <w:next w:val="Normal"/>
    <w:autoRedefine/>
    <w:uiPriority w:val="39"/>
    <w:unhideWhenUsed/>
    <w:rsid w:val="001D7CF2"/>
    <w:pPr>
      <w:spacing w:after="100"/>
      <w:ind w:left="440"/>
    </w:pPr>
  </w:style>
  <w:style w:type="paragraph" w:customStyle="1" w:styleId="BVIfnrChar1">
    <w:name w:val="BVI fnr Char1"/>
    <w:aliases w:val="Appel note de bas de p..BVI fnr Car Car Car Car, BVI fnr Car Car,BVI fnr Car, BVI fnr Car Car Car Car, BVI fnr Car Car Car Car Char,Appel note de bas de p..BVI fnr Car Car Car Car1, BVI fnr, BVI fnr Char,BVI fnr1,BVI fnr Car Car Car Car"/>
    <w:basedOn w:val="Normal"/>
    <w:link w:val="FootnoteReference"/>
    <w:rsid w:val="001D7CF2"/>
    <w:pPr>
      <w:spacing w:after="0" w:line="240" w:lineRule="exact"/>
      <w:jc w:val="both"/>
    </w:pPr>
    <w:rPr>
      <w:vertAlign w:val="superscript"/>
    </w:rPr>
  </w:style>
  <w:style w:type="paragraph" w:styleId="EndnoteText">
    <w:name w:val="endnote text"/>
    <w:basedOn w:val="Normal"/>
    <w:link w:val="EndnoteTextChar"/>
    <w:uiPriority w:val="99"/>
    <w:semiHidden/>
    <w:unhideWhenUsed/>
    <w:rsid w:val="001D7CF2"/>
    <w:pPr>
      <w:spacing w:after="0" w:line="240" w:lineRule="auto"/>
      <w:jc w:val="both"/>
    </w:pPr>
    <w:rPr>
      <w:sz w:val="20"/>
      <w:szCs w:val="20"/>
    </w:rPr>
  </w:style>
  <w:style w:type="character" w:customStyle="1" w:styleId="EndnoteTextChar">
    <w:name w:val="Endnote Text Char"/>
    <w:basedOn w:val="DefaultParagraphFont"/>
    <w:link w:val="EndnoteText"/>
    <w:uiPriority w:val="99"/>
    <w:semiHidden/>
    <w:rsid w:val="001D7CF2"/>
    <w:rPr>
      <w:sz w:val="20"/>
      <w:szCs w:val="20"/>
    </w:rPr>
  </w:style>
  <w:style w:type="character" w:styleId="EndnoteReference">
    <w:name w:val="endnote reference"/>
    <w:basedOn w:val="DefaultParagraphFont"/>
    <w:uiPriority w:val="99"/>
    <w:semiHidden/>
    <w:unhideWhenUsed/>
    <w:rsid w:val="001D7CF2"/>
    <w:rPr>
      <w:vertAlign w:val="superscript"/>
    </w:rPr>
  </w:style>
  <w:style w:type="character" w:customStyle="1" w:styleId="bold">
    <w:name w:val="bold"/>
    <w:uiPriority w:val="99"/>
    <w:rsid w:val="001D7CF2"/>
    <w:rPr>
      <w:color w:val="D66429"/>
    </w:rPr>
  </w:style>
  <w:style w:type="character" w:styleId="FollowedHyperlink">
    <w:name w:val="FollowedHyperlink"/>
    <w:basedOn w:val="DefaultParagraphFont"/>
    <w:uiPriority w:val="99"/>
    <w:semiHidden/>
    <w:unhideWhenUsed/>
    <w:rsid w:val="001D7CF2"/>
    <w:rPr>
      <w:color w:val="954F72" w:themeColor="followedHyperlink"/>
      <w:u w:val="single"/>
    </w:rPr>
  </w:style>
  <w:style w:type="paragraph" w:customStyle="1" w:styleId="endnote">
    <w:name w:val="endnote"/>
    <w:basedOn w:val="Normal"/>
    <w:uiPriority w:val="99"/>
    <w:rsid w:val="001D7CF2"/>
    <w:pPr>
      <w:autoSpaceDE w:val="0"/>
      <w:autoSpaceDN w:val="0"/>
      <w:adjustRightInd w:val="0"/>
      <w:spacing w:after="227" w:line="288" w:lineRule="auto"/>
      <w:ind w:left="227" w:hanging="227"/>
      <w:jc w:val="both"/>
    </w:pPr>
    <w:rPr>
      <w:rFonts w:ascii="EC Square Sans Pro" w:hAnsi="EC Square Sans Pro" w:cs="EC Square Sans Pro"/>
      <w:color w:val="000000"/>
      <w:sz w:val="18"/>
      <w:szCs w:val="18"/>
    </w:rPr>
  </w:style>
  <w:style w:type="character" w:customStyle="1" w:styleId="comments">
    <w:name w:val="comments"/>
    <w:uiPriority w:val="99"/>
    <w:rsid w:val="001D7CF2"/>
    <w:rPr>
      <w:color w:val="000000"/>
      <w:u w:val="thick" w:color="FFF100"/>
    </w:rPr>
  </w:style>
  <w:style w:type="character" w:customStyle="1" w:styleId="superscript">
    <w:name w:val="superscript"/>
    <w:uiPriority w:val="99"/>
    <w:rsid w:val="001D7CF2"/>
    <w:rPr>
      <w:vertAlign w:val="superscript"/>
    </w:rPr>
  </w:style>
  <w:style w:type="character" w:customStyle="1" w:styleId="selectable">
    <w:name w:val="selectable"/>
    <w:basedOn w:val="DefaultParagraphFont"/>
    <w:rsid w:val="001D7CF2"/>
  </w:style>
  <w:style w:type="character" w:customStyle="1" w:styleId="markedcontent">
    <w:name w:val="markedcontent"/>
    <w:basedOn w:val="DefaultParagraphFont"/>
    <w:rsid w:val="0086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3975">
      <w:bodyDiv w:val="1"/>
      <w:marLeft w:val="0"/>
      <w:marRight w:val="0"/>
      <w:marTop w:val="0"/>
      <w:marBottom w:val="0"/>
      <w:divBdr>
        <w:top w:val="none" w:sz="0" w:space="0" w:color="auto"/>
        <w:left w:val="none" w:sz="0" w:space="0" w:color="auto"/>
        <w:bottom w:val="none" w:sz="0" w:space="0" w:color="auto"/>
        <w:right w:val="none" w:sz="0" w:space="0" w:color="auto"/>
      </w:divBdr>
    </w:div>
    <w:div w:id="185414447">
      <w:bodyDiv w:val="1"/>
      <w:marLeft w:val="0"/>
      <w:marRight w:val="0"/>
      <w:marTop w:val="0"/>
      <w:marBottom w:val="0"/>
      <w:divBdr>
        <w:top w:val="none" w:sz="0" w:space="0" w:color="auto"/>
        <w:left w:val="none" w:sz="0" w:space="0" w:color="auto"/>
        <w:bottom w:val="none" w:sz="0" w:space="0" w:color="auto"/>
        <w:right w:val="none" w:sz="0" w:space="0" w:color="auto"/>
      </w:divBdr>
    </w:div>
    <w:div w:id="1423527943">
      <w:bodyDiv w:val="1"/>
      <w:marLeft w:val="0"/>
      <w:marRight w:val="0"/>
      <w:marTop w:val="0"/>
      <w:marBottom w:val="0"/>
      <w:divBdr>
        <w:top w:val="none" w:sz="0" w:space="0" w:color="auto"/>
        <w:left w:val="none" w:sz="0" w:space="0" w:color="auto"/>
        <w:bottom w:val="none" w:sz="0" w:space="0" w:color="auto"/>
        <w:right w:val="none" w:sz="0" w:space="0" w:color="auto"/>
      </w:divBdr>
    </w:div>
    <w:div w:id="20913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BG/TXT/PDF/?uri=CELEX:52016JC0031&amp;from=EN" TargetMode="External"/><Relationship Id="rId1" Type="http://schemas.openxmlformats.org/officeDocument/2006/relationships/hyperlink" Target="https://eur-lex.europa.eu/legal-content/BG/TXT/PDF/?uri=CELEX:52016JC003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2B7BFCA10A6478CD23823817FE1CD" ma:contentTypeVersion="0" ma:contentTypeDescription="Create a new document." ma:contentTypeScope="" ma:versionID="02a7ae17cf645cb44f24b21d2cc52eeb">
  <xsd:schema xmlns:xsd="http://www.w3.org/2001/XMLSchema" xmlns:xs="http://www.w3.org/2001/XMLSchema" xmlns:p="http://schemas.microsoft.com/office/2006/metadata/properties" targetNamespace="http://schemas.microsoft.com/office/2006/metadata/properties" ma:root="true" ma:fieldsID="1b719f700b4d33d8d33ab6dcd1a824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16D89-54AD-41AB-8E7D-B7ADCB84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763265-3378-4CFB-A47C-FB735DEA2C6C}">
  <ds:schemaRefs>
    <ds:schemaRef ds:uri="http://schemas.microsoft.com/sharepoint/v3/contenttype/forms"/>
  </ds:schemaRefs>
</ds:datastoreItem>
</file>

<file path=customXml/itemProps3.xml><?xml version="1.0" encoding="utf-8"?>
<ds:datastoreItem xmlns:ds="http://schemas.openxmlformats.org/officeDocument/2006/customXml" ds:itemID="{BCAB51C8-F6AB-4342-B876-2634BF005AE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C2E8B91-CFB1-4971-A4D1-61927085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7606</Words>
  <Characters>46477</Characters>
  <Application>Microsoft Office Word</Application>
  <DocSecurity>0</DocSecurity>
  <Lines>761</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cp:lastPrinted>2021-10-05T07:25:00Z</cp:lastPrinted>
  <dcterms:created xsi:type="dcterms:W3CDTF">2022-01-17T11:53:00Z</dcterms:created>
  <dcterms:modified xsi:type="dcterms:W3CDTF">2022-01-17T22:26:00Z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20200226</vt:lpwstr>
  </property>
  <property fmtid="{D5CDD505-2E9C-101B-9397-08002B2CF9AE}" pid="8" name="Created using">
    <vt:lpwstr>LW 7.0, Build 20190717</vt:lpwstr>
  </property>
  <property fmtid="{D5CDD505-2E9C-101B-9397-08002B2CF9AE}" pid="9" name="IsMyDocuments">
    <vt:bool>true</vt:bool>
  </property>
  <property fmtid="{D5CDD505-2E9C-101B-9397-08002B2CF9AE}" pid="10" name="_LW_INVALIDATED__LW_INVALIDATED__LW_INVALIDATED_ContentTypeId">
    <vt:lpwstr>0x0101007442B7BFCA10A6478CD23823817FE1CD</vt:lpwstr>
  </property>
</Properties>
</file>