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0D70" w14:textId="6AE99331" w:rsidR="00C9659B" w:rsidRPr="007468A6" w:rsidRDefault="000A6ADB" w:rsidP="000A6ADB">
      <w:pPr>
        <w:pStyle w:val="Pagedecouverture"/>
        <w:rPr>
          <w:noProof/>
        </w:rPr>
      </w:pPr>
      <w:r>
        <w:rPr>
          <w:noProof/>
        </w:rPr>
        <w:pict w14:anchorId="5A75D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5489DA74-B926-4A8F-925D-BC7C12281581" style="width:455.25pt;height:429pt">
            <v:imagedata r:id="rId10" o:title=""/>
          </v:shape>
        </w:pict>
      </w:r>
    </w:p>
    <w:p w14:paraId="2B080D71" w14:textId="77777777" w:rsidR="00C9659B" w:rsidRPr="007468A6" w:rsidRDefault="00C9659B" w:rsidP="00C9659B">
      <w:pPr>
        <w:rPr>
          <w:noProof/>
        </w:rPr>
        <w:sectPr w:rsidR="00C9659B" w:rsidRPr="007468A6" w:rsidSect="000A6A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2B080D73" w14:textId="543DED6F" w:rsidR="00C9659B" w:rsidRPr="007468A6" w:rsidRDefault="00C9659B" w:rsidP="00AE7DF5">
      <w:pPr>
        <w:pStyle w:val="Annexetitre"/>
        <w:rPr>
          <w:noProof/>
        </w:rPr>
      </w:pPr>
      <w:bookmarkStart w:id="0" w:name="_GoBack"/>
      <w:bookmarkEnd w:id="0"/>
      <w:r w:rsidRPr="007468A6">
        <w:rPr>
          <w:noProof/>
        </w:rPr>
        <w:lastRenderedPageBreak/>
        <w:t>ANEXO 1</w:t>
      </w:r>
      <w:r w:rsidRPr="007468A6">
        <w:rPr>
          <w:noProof/>
        </w:rPr>
        <w:cr/>
      </w:r>
      <w:r w:rsidRPr="007468A6">
        <w:rPr>
          <w:noProof/>
        </w:rPr>
        <w:br/>
        <w:t>Atos jurídicos no domínio da cooperação judiciária em matéria civil e comercial</w:t>
      </w:r>
    </w:p>
    <w:p w14:paraId="2B080D74" w14:textId="77777777" w:rsidR="00904FE1" w:rsidRPr="007468A6" w:rsidRDefault="00904FE1" w:rsidP="00904FE1">
      <w:pPr>
        <w:jc w:val="center"/>
        <w:rPr>
          <w:b/>
          <w:noProof/>
          <w:u w:val="single"/>
        </w:rPr>
      </w:pPr>
    </w:p>
    <w:p w14:paraId="2B080D75" w14:textId="77F566CD" w:rsidR="00C9659B" w:rsidRPr="007468A6" w:rsidRDefault="00541DB6" w:rsidP="0081640F">
      <w:pPr>
        <w:pStyle w:val="ListNumber"/>
        <w:numPr>
          <w:ilvl w:val="0"/>
          <w:numId w:val="2"/>
        </w:numPr>
        <w:tabs>
          <w:tab w:val="left" w:pos="720"/>
        </w:tabs>
        <w:rPr>
          <w:rFonts w:eastAsia="Calibri"/>
          <w:i/>
          <w:strike/>
          <w:noProof/>
        </w:rPr>
      </w:pPr>
      <w:r w:rsidRPr="007468A6">
        <w:rPr>
          <w:noProof/>
        </w:rPr>
        <w:t>Diretiva 2003/8/CE do Conselho, de 27 de janeiro de 2003, relativa à melhoria do acesso à justiça nos litígios transfronteiriços, através do estabelecimento de regras mínimas comuns relativas ao apoio judiciário no âmbito desses litígios.</w:t>
      </w:r>
    </w:p>
    <w:p w14:paraId="2B080D76" w14:textId="77777777" w:rsidR="00C9659B" w:rsidRPr="007468A6" w:rsidRDefault="00C9659B" w:rsidP="00C9659B">
      <w:pPr>
        <w:pStyle w:val="ListNumber"/>
        <w:rPr>
          <w:rFonts w:eastAsia="Calibri"/>
          <w:i/>
          <w:noProof/>
        </w:rPr>
      </w:pPr>
      <w:r w:rsidRPr="007468A6">
        <w:rPr>
          <w:noProof/>
        </w:rPr>
        <w:t>Regulamento (CE) n.º 805/2004 do Parlamento Europeu e do Conselho, de 21 de abril de 2004, que cria o título executivo europeu para créditos não contestados.</w:t>
      </w:r>
    </w:p>
    <w:p w14:paraId="2B080D77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(CE) n.º 1896/2006 do Parlamento Europeu e do Conselho, de 12 de dezembro de 2006, que cria um procedimento europeu de injunção de pagamento.</w:t>
      </w:r>
    </w:p>
    <w:p w14:paraId="2B080D78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(CE) n.º 861/2007 do Parlamento Europeu e do Conselho, de 11 de julho de 2007, que estabelece um processo europeu para ações de pequeno montante.</w:t>
      </w:r>
    </w:p>
    <w:p w14:paraId="2B080D79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(CE) n.º 4/2009 do Conselho, de 18 de dezembro de 2008, relativo à competência, à lei aplicável, ao reconhecimento e à execução das decisões e à cooperação em matéria de obrigações alimentares.</w:t>
      </w:r>
    </w:p>
    <w:p w14:paraId="2B080D7A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n.º 650/2012 do Parlamento Europeu e do Conselho, de 4 de julho de 2012, relativo à competência, à lei aplicável, ao reconhecimento e execução das decisões, e à aceitação e execução dos atos autênticos em matéria de sucessões e à criação de um Certificado Sucessório Europeu.</w:t>
      </w:r>
    </w:p>
    <w:p w14:paraId="2B080D7B" w14:textId="77777777" w:rsidR="00C9659B" w:rsidRPr="007468A6" w:rsidRDefault="00C9659B" w:rsidP="0081640F">
      <w:pPr>
        <w:pStyle w:val="ListNumber"/>
        <w:numPr>
          <w:ilvl w:val="0"/>
          <w:numId w:val="2"/>
        </w:numPr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n.º 1215/2012 do Parlamento Europeu e do Conselho, de 12 de dezembro de 2012, relativo à competência judiciária, ao reconhecimento e à execução de decisões em matéria civil e comercial (reformulação).</w:t>
      </w:r>
    </w:p>
    <w:p w14:paraId="2B080D7C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n.º 655/2014 do Parlamento Europeu e do Conselho, de 15 de maio de 2014, que estabelece um procedimento de decisão europeia de arresto de contas para facilitar a cobrança transfronteiriça de créditos em matéria civil e comercial.</w:t>
      </w:r>
    </w:p>
    <w:p w14:paraId="2B080D7D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2015/848 do Parlamento Europeu e do Conselho, de 20 de maio de 2015, relativo aos processos de insolvência.</w:t>
      </w:r>
    </w:p>
    <w:p w14:paraId="2B080D7E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2016/1103 do Conselho, de 24 de junho de 2016, que implementa a cooperação reforçada no domínio da competência, da lei aplicável, do reconhecimento e da execução de decisões em matéria de regimes matrimoniais.</w:t>
      </w:r>
    </w:p>
    <w:p w14:paraId="2B080D7F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i/>
          <w:noProof/>
        </w:rPr>
      </w:pPr>
      <w:r w:rsidRPr="007468A6">
        <w:rPr>
          <w:noProof/>
        </w:rPr>
        <w:t>Regulamento (UE) 2016/1104 do Conselho, de 24 de junho de 2016, que implementa a cooperação reforçada no domínio da competência, da lei aplicável, do reconhecimento e da execução de decisões em matéria de efeitos patrimoniais das parcerias registadas.</w:t>
      </w:r>
    </w:p>
    <w:p w14:paraId="2B080D80" w14:textId="77777777" w:rsidR="00C9659B" w:rsidRPr="007468A6" w:rsidRDefault="00C9659B" w:rsidP="00C9659B">
      <w:pPr>
        <w:pStyle w:val="ListNumber"/>
        <w:rPr>
          <w:rFonts w:eastAsia="Calibri"/>
          <w:noProof/>
        </w:rPr>
      </w:pPr>
      <w:r w:rsidRPr="007468A6">
        <w:rPr>
          <w:noProof/>
        </w:rPr>
        <w:t>Regulamento (UE) 2019/1111 do Conselho, de 25 de junho de 2019, relativo à competência, ao reconhecimento e à execução de decisões em matéria matrimonial e em matéria de responsabilidade parental e ao rapto internacional de crianças.</w:t>
      </w:r>
    </w:p>
    <w:p w14:paraId="2B080D81" w14:textId="77777777" w:rsidR="00C9659B" w:rsidRPr="007468A6" w:rsidRDefault="00C9659B" w:rsidP="00C9659B">
      <w:pPr>
        <w:rPr>
          <w:noProof/>
        </w:rPr>
        <w:sectPr w:rsidR="00C9659B" w:rsidRPr="007468A6" w:rsidSect="000A6ADB">
          <w:footerReference w:type="default" r:id="rId17"/>
          <w:footerReference w:type="first" r:id="rId18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2B080D83" w14:textId="380C2C6F" w:rsidR="00C9659B" w:rsidRPr="007468A6" w:rsidRDefault="00C9659B" w:rsidP="00AE7DF5">
      <w:pPr>
        <w:pStyle w:val="Annexetitre"/>
        <w:rPr>
          <w:noProof/>
        </w:rPr>
      </w:pPr>
      <w:r w:rsidRPr="007468A6">
        <w:rPr>
          <w:noProof/>
        </w:rPr>
        <w:t>ANEXO 2</w:t>
      </w:r>
      <w:r w:rsidRPr="007468A6">
        <w:rPr>
          <w:noProof/>
        </w:rPr>
        <w:cr/>
      </w:r>
      <w:r w:rsidRPr="007468A6">
        <w:rPr>
          <w:noProof/>
        </w:rPr>
        <w:br/>
        <w:t>Atos jurídicos no domínio da cooperação judiciária em matéria penal</w:t>
      </w:r>
    </w:p>
    <w:p w14:paraId="2B080D84" w14:textId="77777777" w:rsidR="00904FE1" w:rsidRPr="007468A6" w:rsidRDefault="00904FE1" w:rsidP="00904FE1">
      <w:pPr>
        <w:jc w:val="center"/>
        <w:rPr>
          <w:b/>
          <w:noProof/>
          <w:u w:val="single"/>
        </w:rPr>
      </w:pPr>
    </w:p>
    <w:p w14:paraId="2B080D89" w14:textId="5726E623" w:rsidR="00C9659B" w:rsidRPr="007468A6" w:rsidRDefault="00C9659B" w:rsidP="0081640F">
      <w:pPr>
        <w:pStyle w:val="ListNumber"/>
        <w:numPr>
          <w:ilvl w:val="0"/>
          <w:numId w:val="10"/>
        </w:numPr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>Decisão-Quadro 2002/465/JAI do Conselho, de 13 de junho de 2002, relativa às equipas de investigação conjuntas.</w:t>
      </w:r>
    </w:p>
    <w:p w14:paraId="2B080D8A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noProof/>
        </w:rPr>
      </w:pPr>
      <w:r w:rsidRPr="007468A6">
        <w:rPr>
          <w:noProof/>
        </w:rPr>
        <w:t>Decisão-Quadro 2002/584/JAI do Conselho, de 13 de junho de 2002, relativa ao mandado de detenção europeu e aos processos de entrega entra os Estados-Membros.</w:t>
      </w:r>
    </w:p>
    <w:p w14:paraId="2B080D8B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>Decisão-Quadro 2003/577/JAI do Conselho, de 22 de julho de 2003, relativa à execução na União Europeia das decisões de congelamento de bens ou de provas.</w:t>
      </w:r>
    </w:p>
    <w:p w14:paraId="2B080D8D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2005/214/JAI do Conselho, de 24 de fevereiro de 2005, relativa à aplicação do princípio do reconhecimento mútuo às sanções pecuniárias. </w:t>
      </w:r>
    </w:p>
    <w:p w14:paraId="2B080D8E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2006/783/JAI do Conselho, de 6 de outubro de 2006, relativa à aplicação do princípio do reconhecimento mútuo às decisões de perda. </w:t>
      </w:r>
    </w:p>
    <w:p w14:paraId="2B080D8F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2008/909/JAI do Conselho, de 27 de novembro de 2008, relativa à aplicação do princípio do reconhecimento mútuo às sentenças em matéria penal que imponham penas ou outras medidas privativas de liberdade para efeitos da execução dessas sentenças na União Europeia. </w:t>
      </w:r>
    </w:p>
    <w:p w14:paraId="2B080D90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2008/947/JAI, de 27 de novembro de 2008, respeitante à aplicação do princípio do reconhecimento mútuo às sentenças e decisões relativas à liberdade condicional para efeitos da fiscalização das medidas de vigilância e das sanções alternativas.  </w:t>
      </w:r>
    </w:p>
    <w:p w14:paraId="2B080D92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2009/829/JAI do Conselho, de 23 de outubro de 2009, relativa à aplicação, entre os Estados-Membros da União Europeia, do princípio do reconhecimento mútuo às decisões sobre medidas de controlo, em alternativa à prisão preventiva. </w:t>
      </w:r>
    </w:p>
    <w:p w14:paraId="2B080D93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Decisão-Quadro 2009/948/JAI do Conselho, de 30 de novembro de 2009, relativa à prevenção e resolução de conflitos de exercício de competência em processo penal. </w:t>
      </w:r>
    </w:p>
    <w:p w14:paraId="2B080D97" w14:textId="77777777" w:rsidR="00C9659B" w:rsidRPr="007468A6" w:rsidRDefault="00C9659B" w:rsidP="00C9659B">
      <w:pPr>
        <w:pStyle w:val="ListNumber"/>
        <w:tabs>
          <w:tab w:val="left" w:pos="720"/>
        </w:tabs>
        <w:rPr>
          <w:rFonts w:eastAsia="Calibri"/>
          <w:bCs/>
          <w:noProof/>
        </w:rPr>
      </w:pPr>
      <w:r w:rsidRPr="007468A6">
        <w:rPr>
          <w:noProof/>
        </w:rPr>
        <w:t xml:space="preserve">Diretiva 2014/41/UE do Parlamento Europeu e do Conselho, de 3 de abril de 2014, relativa à decisão europeia de investigação em matéria penal. </w:t>
      </w:r>
    </w:p>
    <w:p w14:paraId="2B080D98" w14:textId="77777777" w:rsidR="00C9659B" w:rsidRPr="007468A6" w:rsidRDefault="00C9659B" w:rsidP="00C9659B">
      <w:pPr>
        <w:pStyle w:val="ListNumber"/>
        <w:rPr>
          <w:rFonts w:eastAsia="Calibri"/>
          <w:noProof/>
        </w:rPr>
      </w:pPr>
      <w:r w:rsidRPr="007468A6">
        <w:rPr>
          <w:noProof/>
        </w:rPr>
        <w:t>Regulamento (UE) 2018/1805 do Parlamento Europeu e do Conselho, de 14 de novembro de 2018, relativo ao reconhecimento mútuo das decisões de apreensão e de perda.</w:t>
      </w:r>
    </w:p>
    <w:p w14:paraId="2B080D9A" w14:textId="77777777" w:rsidR="001C2816" w:rsidRPr="007468A6" w:rsidRDefault="001C2816" w:rsidP="00C9659B">
      <w:pPr>
        <w:rPr>
          <w:noProof/>
        </w:rPr>
      </w:pPr>
    </w:p>
    <w:sectPr w:rsidR="001C2816" w:rsidRPr="007468A6" w:rsidSect="000A6ADB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033C" w14:textId="77777777" w:rsidR="00CE1120" w:rsidRDefault="00CE1120" w:rsidP="00C9659B">
      <w:pPr>
        <w:spacing w:before="0" w:after="0"/>
      </w:pPr>
      <w:r>
        <w:separator/>
      </w:r>
    </w:p>
  </w:endnote>
  <w:endnote w:type="continuationSeparator" w:id="0">
    <w:p w14:paraId="6417AB67" w14:textId="77777777" w:rsidR="00CE1120" w:rsidRDefault="00CE1120" w:rsidP="00C965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1938" w14:textId="77777777" w:rsidR="000A6ADB" w:rsidRPr="000A6ADB" w:rsidRDefault="000A6ADB" w:rsidP="000A6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09FD" w14:textId="1D542812" w:rsidR="007468A6" w:rsidRPr="000A6ADB" w:rsidRDefault="000A6ADB" w:rsidP="000A6ADB">
    <w:pPr>
      <w:pStyle w:val="Footer"/>
      <w:rPr>
        <w:rFonts w:ascii="Arial" w:hAnsi="Arial" w:cs="Arial"/>
        <w:b/>
        <w:sz w:val="48"/>
      </w:rPr>
    </w:pPr>
    <w:r w:rsidRPr="000A6ADB">
      <w:rPr>
        <w:rFonts w:ascii="Arial" w:hAnsi="Arial" w:cs="Arial"/>
        <w:b/>
        <w:sz w:val="48"/>
      </w:rPr>
      <w:t>PT</w:t>
    </w:r>
    <w:r w:rsidRPr="000A6ADB">
      <w:rPr>
        <w:rFonts w:ascii="Arial" w:hAnsi="Arial" w:cs="Arial"/>
        <w:b/>
        <w:sz w:val="48"/>
      </w:rPr>
      <w:tab/>
    </w:r>
    <w:r w:rsidRPr="000A6ADB">
      <w:rPr>
        <w:rFonts w:ascii="Arial" w:hAnsi="Arial" w:cs="Arial"/>
        <w:b/>
        <w:sz w:val="48"/>
      </w:rPr>
      <w:tab/>
    </w:r>
    <w:r w:rsidRPr="000A6ADB">
      <w:tab/>
    </w:r>
    <w:r w:rsidRPr="000A6ADB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559F3" w14:textId="77777777" w:rsidR="000A6ADB" w:rsidRPr="000A6ADB" w:rsidRDefault="000A6ADB" w:rsidP="000A6A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DB4F" w14:textId="6268BACE" w:rsidR="000A6ADB" w:rsidRPr="000A6ADB" w:rsidRDefault="000A6ADB" w:rsidP="000A6ADB">
    <w:pPr>
      <w:pStyle w:val="Footer"/>
      <w:rPr>
        <w:rFonts w:ascii="Arial" w:hAnsi="Arial" w:cs="Arial"/>
        <w:b/>
        <w:sz w:val="48"/>
      </w:rPr>
    </w:pPr>
    <w:r w:rsidRPr="000A6ADB">
      <w:rPr>
        <w:rFonts w:ascii="Arial" w:hAnsi="Arial" w:cs="Arial"/>
        <w:b/>
        <w:sz w:val="48"/>
      </w:rPr>
      <w:t>PT</w:t>
    </w:r>
    <w:r w:rsidRPr="000A6AD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0A6ADB">
      <w:tab/>
    </w:r>
    <w:r w:rsidRPr="000A6ADB"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651AE" w14:textId="77777777" w:rsidR="000A6ADB" w:rsidRPr="000A6ADB" w:rsidRDefault="000A6ADB" w:rsidP="000A6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82B4" w14:textId="77777777" w:rsidR="00CE1120" w:rsidRDefault="00CE1120" w:rsidP="00C9659B">
      <w:pPr>
        <w:spacing w:before="0" w:after="0"/>
      </w:pPr>
      <w:r>
        <w:separator/>
      </w:r>
    </w:p>
  </w:footnote>
  <w:footnote w:type="continuationSeparator" w:id="0">
    <w:p w14:paraId="6CBCD838" w14:textId="77777777" w:rsidR="00CE1120" w:rsidRDefault="00CE1120" w:rsidP="00C965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B74A" w14:textId="77777777" w:rsidR="000A6ADB" w:rsidRPr="000A6ADB" w:rsidRDefault="000A6ADB" w:rsidP="000A6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D480" w14:textId="77777777" w:rsidR="000A6ADB" w:rsidRPr="000A6ADB" w:rsidRDefault="000A6ADB" w:rsidP="000A6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BE41" w14:textId="77777777" w:rsidR="000A6ADB" w:rsidRPr="000A6ADB" w:rsidRDefault="000A6ADB" w:rsidP="000A6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D7CC2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3885C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8B686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876F8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4485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C107F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7E62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1F06166"/>
    <w:multiLevelType w:val="multilevel"/>
    <w:tmpl w:val="2668D2D0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1276"/>
        </w:tabs>
        <w:ind w:left="1276" w:hanging="709"/>
      </w:pPr>
      <w:rPr>
        <w:i/>
        <w:strike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20"/>
  </w:num>
  <w:num w:numId="14">
    <w:abstractNumId w:val="10"/>
  </w:num>
  <w:num w:numId="15">
    <w:abstractNumId w:val="12"/>
  </w:num>
  <w:num w:numId="16">
    <w:abstractNumId w:val="8"/>
  </w:num>
  <w:num w:numId="17">
    <w:abstractNumId w:val="19"/>
  </w:num>
  <w:num w:numId="18">
    <w:abstractNumId w:val="7"/>
  </w:num>
  <w:num w:numId="19">
    <w:abstractNumId w:val="14"/>
  </w:num>
  <w:num w:numId="20">
    <w:abstractNumId w:val="16"/>
  </w:num>
  <w:num w:numId="21">
    <w:abstractNumId w:val="17"/>
  </w:num>
  <w:num w:numId="22">
    <w:abstractNumId w:val="9"/>
  </w:num>
  <w:num w:numId="23">
    <w:abstractNumId w:val="15"/>
  </w:num>
  <w:num w:numId="24">
    <w:abstractNumId w:val="22"/>
  </w:num>
  <w:num w:numId="25">
    <w:abstractNumId w:val="18"/>
  </w:num>
  <w:num w:numId="26">
    <w:abstractNumId w:val="11"/>
  </w:num>
  <w:num w:numId="27">
    <w:abstractNumId w:val="20"/>
  </w:num>
  <w:num w:numId="28">
    <w:abstractNumId w:val="10"/>
  </w:num>
  <w:num w:numId="29">
    <w:abstractNumId w:val="12"/>
  </w:num>
  <w:num w:numId="30">
    <w:abstractNumId w:val="8"/>
  </w:num>
  <w:num w:numId="31">
    <w:abstractNumId w:val="19"/>
  </w:num>
  <w:num w:numId="32">
    <w:abstractNumId w:val="7"/>
  </w:num>
  <w:num w:numId="33">
    <w:abstractNumId w:val="14"/>
  </w:num>
  <w:num w:numId="34">
    <w:abstractNumId w:val="16"/>
  </w:num>
  <w:num w:numId="35">
    <w:abstractNumId w:val="17"/>
  </w:num>
  <w:num w:numId="36">
    <w:abstractNumId w:val="9"/>
  </w:num>
  <w:num w:numId="37">
    <w:abstractNumId w:val="15"/>
  </w:num>
  <w:num w:numId="38">
    <w:abstractNumId w:val="22"/>
  </w:num>
  <w:num w:numId="39">
    <w:abstractNumId w:val="19"/>
  </w:num>
  <w:num w:numId="40">
    <w:abstractNumId w:val="19"/>
  </w:num>
  <w:num w:numId="41">
    <w:abstractNumId w:val="19"/>
  </w:num>
  <w:num w:numId="42">
    <w:abstractNumId w:val="13"/>
  </w:num>
  <w:num w:numId="43">
    <w:abstractNumId w:val="8"/>
  </w:num>
  <w:num w:numId="44">
    <w:abstractNumId w:val="8"/>
  </w:num>
  <w:num w:numId="4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1-14 17:08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a"/>
    <w:docVar w:name="LW_ACCOMPAGNANT.CP" w:val="da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5489DA74-B926-4A8F-925D-BC7C12281581"/>
    <w:docVar w:name="LW_COVERPAGE_TYPE" w:val="1"/>
    <w:docVar w:name="LW_CROSSREFERENCE" w:val="{SEC(2021) 580 final} - {SWD(2021) 392 final} - {SWD(2021) 393 final}"/>
    <w:docVar w:name="LW_DocType" w:val="ANNEX"/>
    <w:docVar w:name="LW_EMISSION" w:val="1.12.2021"/>
    <w:docVar w:name="LW_EMISSION_ISODATE" w:val="2021-12-01"/>
    <w:docVar w:name="LW_EMISSION_LOCATION" w:val="BRX"/>
    <w:docVar w:name="LW_EMISSION_PREFIX" w:val="Bruxelas, "/>
    <w:docVar w:name="LW_EMISSION_SUFFIX" w:val=" "/>
    <w:docVar w:name="LW_ID_DOCSTRUCTURE" w:val="COM/ANNEX"/>
    <w:docVar w:name="LW_ID_DOCTYPE" w:val="SG-017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" w:val="&lt;FMT:Bold&gt;relativo à digitalização da cooperação judiciária e do acesso à justiça em matéria civil, comercial e penal com incidência transfronteiriça, e que altera determinados atos no domínio da cooperação judiciária&lt;/FMT&gt;_x000b_"/>
    <w:docVar w:name="LW_OBJETACTEPRINCIPAL.CP" w:val="&lt;FMT:Bold&gt;relativo à digitalização da cooperação judiciária e do acesso à justiça em matéria civil, comercial e penal com incidência transfronteiriça, e que altera determinados atos no domínio da cooperação judiciária&lt;/FMT&gt;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1) 7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EXOS"/>
    <w:docVar w:name="LW_TYPE.DOC.CP" w:val="ANEXOS"/>
    <w:docVar w:name="LW_TYPEACTEPRINCIPAL" w:val="Proposta de REGULAMENTO DO PARLAMENTO EUROPEU E DO CONSELHO"/>
    <w:docVar w:name="LW_TYPEACTEPRINCIPAL.CP" w:val="Proposta de REGULAMENTO DO PARLAMENTO EUROPEU E DO CONSELHO"/>
    <w:docVar w:name="LwApiVersions" w:val="LW4CoDe 1.23.2.0; LW 8.0, Build 20211117"/>
  </w:docVars>
  <w:rsids>
    <w:rsidRoot w:val="00C9659B"/>
    <w:rsid w:val="00010F4F"/>
    <w:rsid w:val="00065266"/>
    <w:rsid w:val="000A6ADB"/>
    <w:rsid w:val="000E198E"/>
    <w:rsid w:val="001C2816"/>
    <w:rsid w:val="001D6F25"/>
    <w:rsid w:val="002140D9"/>
    <w:rsid w:val="002E42CB"/>
    <w:rsid w:val="002F7B21"/>
    <w:rsid w:val="00391977"/>
    <w:rsid w:val="003A2B29"/>
    <w:rsid w:val="003D777F"/>
    <w:rsid w:val="0043503C"/>
    <w:rsid w:val="00437603"/>
    <w:rsid w:val="00451B14"/>
    <w:rsid w:val="004864F4"/>
    <w:rsid w:val="004F5EE9"/>
    <w:rsid w:val="004F78BC"/>
    <w:rsid w:val="00541DB6"/>
    <w:rsid w:val="005F4DA6"/>
    <w:rsid w:val="00656F69"/>
    <w:rsid w:val="006973F7"/>
    <w:rsid w:val="00731592"/>
    <w:rsid w:val="007468A6"/>
    <w:rsid w:val="00761D40"/>
    <w:rsid w:val="00794664"/>
    <w:rsid w:val="007C5A70"/>
    <w:rsid w:val="0081640F"/>
    <w:rsid w:val="00827826"/>
    <w:rsid w:val="008571CE"/>
    <w:rsid w:val="00865350"/>
    <w:rsid w:val="008A48B6"/>
    <w:rsid w:val="00904FE1"/>
    <w:rsid w:val="00957A20"/>
    <w:rsid w:val="00986B33"/>
    <w:rsid w:val="00987AD5"/>
    <w:rsid w:val="00A145EF"/>
    <w:rsid w:val="00A30600"/>
    <w:rsid w:val="00A53E36"/>
    <w:rsid w:val="00A60448"/>
    <w:rsid w:val="00AE7DF5"/>
    <w:rsid w:val="00B216C9"/>
    <w:rsid w:val="00B3297C"/>
    <w:rsid w:val="00B711EC"/>
    <w:rsid w:val="00B856AB"/>
    <w:rsid w:val="00BA12C1"/>
    <w:rsid w:val="00BA33FA"/>
    <w:rsid w:val="00BB0CF3"/>
    <w:rsid w:val="00BF17AA"/>
    <w:rsid w:val="00C24556"/>
    <w:rsid w:val="00C9659B"/>
    <w:rsid w:val="00CE1120"/>
    <w:rsid w:val="00CE5590"/>
    <w:rsid w:val="00D30DF9"/>
    <w:rsid w:val="00D47BF3"/>
    <w:rsid w:val="00D74F75"/>
    <w:rsid w:val="00E23825"/>
    <w:rsid w:val="00E63FCA"/>
    <w:rsid w:val="00E72D49"/>
    <w:rsid w:val="00E871BC"/>
    <w:rsid w:val="00ED71E0"/>
    <w:rsid w:val="00EE0BFE"/>
    <w:rsid w:val="00EF3FF8"/>
    <w:rsid w:val="00F10A90"/>
    <w:rsid w:val="00F1197A"/>
    <w:rsid w:val="00F30B3D"/>
    <w:rsid w:val="00F70279"/>
    <w:rsid w:val="00F95040"/>
    <w:rsid w:val="00FB3040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080D70"/>
  <w15:docId w15:val="{EDD91F1E-D964-45C6-B9B9-B74FEAC5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t-PT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F95040"/>
    <w:pPr>
      <w:keepNext/>
      <w:numPr>
        <w:ilvl w:val="4"/>
        <w:numId w:val="4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F95040"/>
    <w:pPr>
      <w:keepNext/>
      <w:numPr>
        <w:ilvl w:val="5"/>
        <w:numId w:val="4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F95040"/>
    <w:pPr>
      <w:keepNext/>
      <w:numPr>
        <w:ilvl w:val="6"/>
        <w:numId w:val="4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re">
    <w:name w:val="annex titre"/>
    <w:basedOn w:val="Normal"/>
    <w:rsid w:val="00C9659B"/>
    <w:pPr>
      <w:spacing w:before="0" w:after="160" w:line="259" w:lineRule="auto"/>
      <w:jc w:val="center"/>
    </w:pPr>
    <w:rPr>
      <w:rFonts w:asciiTheme="minorHAnsi" w:hAnsiTheme="minorHAnsi" w:cstheme="minorBidi"/>
      <w:b/>
      <w:sz w:val="22"/>
      <w:u w:val="single"/>
    </w:rPr>
  </w:style>
  <w:style w:type="paragraph" w:styleId="ListNumber">
    <w:name w:val="List Number"/>
    <w:basedOn w:val="Normal"/>
    <w:rsid w:val="00C9659B"/>
    <w:pPr>
      <w:numPr>
        <w:numId w:val="1"/>
      </w:numPr>
    </w:pPr>
    <w:rPr>
      <w:rFonts w:eastAsia="Times New Roman"/>
      <w:lang w:eastAsia="de-DE"/>
    </w:rPr>
  </w:style>
  <w:style w:type="paragraph" w:customStyle="1" w:styleId="ListNumberLevel2">
    <w:name w:val="List Number (Level 2)"/>
    <w:basedOn w:val="Normal"/>
    <w:rsid w:val="00C9659B"/>
    <w:pPr>
      <w:numPr>
        <w:ilvl w:val="1"/>
        <w:numId w:val="1"/>
      </w:numPr>
    </w:pPr>
    <w:rPr>
      <w:rFonts w:eastAsia="Times New Roman"/>
      <w:lang w:eastAsia="de-DE"/>
    </w:rPr>
  </w:style>
  <w:style w:type="paragraph" w:customStyle="1" w:styleId="ListNumberLevel3">
    <w:name w:val="List Number (Level 3)"/>
    <w:basedOn w:val="Normal"/>
    <w:rsid w:val="00C9659B"/>
    <w:pPr>
      <w:numPr>
        <w:ilvl w:val="2"/>
        <w:numId w:val="1"/>
      </w:numPr>
    </w:pPr>
    <w:rPr>
      <w:rFonts w:eastAsia="Times New Roman"/>
      <w:lang w:eastAsia="de-DE"/>
    </w:rPr>
  </w:style>
  <w:style w:type="paragraph" w:customStyle="1" w:styleId="ListNumberLevel4">
    <w:name w:val="List Number (Level 4)"/>
    <w:basedOn w:val="Normal"/>
    <w:rsid w:val="00C9659B"/>
    <w:pPr>
      <w:numPr>
        <w:ilvl w:val="3"/>
        <w:numId w:val="1"/>
      </w:numPr>
    </w:pPr>
    <w:rPr>
      <w:rFonts w:eastAsia="Times New Roman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03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3503C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43503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503C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503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50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50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50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503C"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9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77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21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D9"/>
    <w:rPr>
      <w:rFonts w:ascii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D9"/>
    <w:rPr>
      <w:rFonts w:ascii="Times New Roman" w:hAnsi="Times New Roman" w:cs="Times New Roman"/>
      <w:b/>
      <w:bCs/>
      <w:sz w:val="20"/>
      <w:szCs w:val="20"/>
      <w:lang w:val="pt-PT"/>
    </w:rPr>
  </w:style>
  <w:style w:type="paragraph" w:customStyle="1" w:styleId="commentcontentpara">
    <w:name w:val="commentcontentpara"/>
    <w:basedOn w:val="Normal"/>
    <w:rsid w:val="002140D9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6ADB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A6ADB"/>
    <w:rPr>
      <w:rFonts w:ascii="Times New Roman" w:hAnsi="Times New Roman" w:cs="Times New Roman"/>
      <w:sz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0A6AD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A6ADB"/>
    <w:rPr>
      <w:rFonts w:ascii="Times New Roman" w:hAnsi="Times New Roman" w:cs="Times New Roman"/>
      <w:sz w:val="24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A6ADB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0A6AD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A6A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0A6ADB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0A6A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25"/>
      </w:numPr>
    </w:pPr>
  </w:style>
  <w:style w:type="paragraph" w:customStyle="1" w:styleId="Tiret1">
    <w:name w:val="Tiret 1"/>
    <w:basedOn w:val="Point1"/>
    <w:rsid w:val="00BB0CF3"/>
    <w:pPr>
      <w:numPr>
        <w:numId w:val="26"/>
      </w:numPr>
    </w:pPr>
  </w:style>
  <w:style w:type="paragraph" w:customStyle="1" w:styleId="Tiret2">
    <w:name w:val="Tiret 2"/>
    <w:basedOn w:val="Point2"/>
    <w:rsid w:val="00BB0CF3"/>
    <w:pPr>
      <w:numPr>
        <w:numId w:val="27"/>
      </w:numPr>
    </w:pPr>
  </w:style>
  <w:style w:type="paragraph" w:customStyle="1" w:styleId="Tiret3">
    <w:name w:val="Tiret 3"/>
    <w:basedOn w:val="Point3"/>
    <w:rsid w:val="00BB0CF3"/>
    <w:pPr>
      <w:numPr>
        <w:numId w:val="28"/>
      </w:numPr>
    </w:pPr>
  </w:style>
  <w:style w:type="paragraph" w:customStyle="1" w:styleId="Tiret4">
    <w:name w:val="Tiret 4"/>
    <w:basedOn w:val="Point4"/>
    <w:rsid w:val="00BB0CF3"/>
    <w:pPr>
      <w:numPr>
        <w:numId w:val="29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45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45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45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45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32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32"/>
      </w:numPr>
    </w:pPr>
  </w:style>
  <w:style w:type="paragraph" w:customStyle="1" w:styleId="Bullet0">
    <w:name w:val="Bullet 0"/>
    <w:basedOn w:val="Normal"/>
    <w:rsid w:val="00BB0CF3"/>
    <w:pPr>
      <w:numPr>
        <w:numId w:val="33"/>
      </w:numPr>
    </w:pPr>
  </w:style>
  <w:style w:type="paragraph" w:customStyle="1" w:styleId="Bullet1">
    <w:name w:val="Bullet 1"/>
    <w:basedOn w:val="Normal"/>
    <w:rsid w:val="00BB0CF3"/>
    <w:pPr>
      <w:numPr>
        <w:numId w:val="34"/>
      </w:numPr>
    </w:pPr>
  </w:style>
  <w:style w:type="paragraph" w:customStyle="1" w:styleId="Bullet2">
    <w:name w:val="Bullet 2"/>
    <w:basedOn w:val="Normal"/>
    <w:rsid w:val="00BB0CF3"/>
    <w:pPr>
      <w:numPr>
        <w:numId w:val="35"/>
      </w:numPr>
    </w:pPr>
  </w:style>
  <w:style w:type="paragraph" w:customStyle="1" w:styleId="Bullet3">
    <w:name w:val="Bullet 3"/>
    <w:basedOn w:val="Normal"/>
    <w:rsid w:val="00BB0CF3"/>
    <w:pPr>
      <w:numPr>
        <w:numId w:val="36"/>
      </w:numPr>
    </w:pPr>
  </w:style>
  <w:style w:type="paragraph" w:customStyle="1" w:styleId="Bullet4">
    <w:name w:val="Bullet 4"/>
    <w:basedOn w:val="Normal"/>
    <w:rsid w:val="00BB0CF3"/>
    <w:pPr>
      <w:numPr>
        <w:numId w:val="37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95040"/>
    <w:rPr>
      <w:rFonts w:ascii="Times New Roman" w:eastAsiaTheme="majorEastAsia" w:hAnsi="Times New Roman" w:cs="Times New Roman"/>
      <w:sz w:val="24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40"/>
    <w:rPr>
      <w:rFonts w:ascii="Times New Roman" w:eastAsiaTheme="majorEastAsia" w:hAnsi="Times New Roman" w:cs="Times New Roman"/>
      <w:iCs/>
      <w:sz w:val="24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40"/>
    <w:rPr>
      <w:rFonts w:ascii="Times New Roman" w:eastAsiaTheme="majorEastAsia" w:hAnsi="Times New Roman" w:cs="Times New Roman"/>
      <w:iCs/>
      <w:sz w:val="24"/>
      <w:lang w:val="pt-PT"/>
    </w:rPr>
  </w:style>
  <w:style w:type="paragraph" w:customStyle="1" w:styleId="ManualHeading5">
    <w:name w:val="Manual Heading 5"/>
    <w:basedOn w:val="Normal"/>
    <w:next w:val="Text2"/>
    <w:rsid w:val="00F95040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F95040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F95040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F95040"/>
    <w:pPr>
      <w:ind w:left="3118"/>
    </w:pPr>
  </w:style>
  <w:style w:type="paragraph" w:customStyle="1" w:styleId="Text6">
    <w:name w:val="Text 6"/>
    <w:basedOn w:val="Normal"/>
    <w:rsid w:val="00F95040"/>
    <w:pPr>
      <w:ind w:left="3685"/>
    </w:pPr>
  </w:style>
  <w:style w:type="paragraph" w:customStyle="1" w:styleId="Point5">
    <w:name w:val="Point 5"/>
    <w:basedOn w:val="Normal"/>
    <w:rsid w:val="00F95040"/>
    <w:pPr>
      <w:ind w:left="3685" w:hanging="567"/>
    </w:pPr>
  </w:style>
  <w:style w:type="paragraph" w:customStyle="1" w:styleId="Tiret5">
    <w:name w:val="Tiret 5"/>
    <w:basedOn w:val="Point5"/>
    <w:rsid w:val="00F95040"/>
    <w:pPr>
      <w:numPr>
        <w:numId w:val="42"/>
      </w:numPr>
    </w:pPr>
  </w:style>
  <w:style w:type="paragraph" w:customStyle="1" w:styleId="NumPar5">
    <w:name w:val="NumPar 5"/>
    <w:basedOn w:val="Normal"/>
    <w:next w:val="Text2"/>
    <w:rsid w:val="00F95040"/>
    <w:pPr>
      <w:numPr>
        <w:ilvl w:val="4"/>
        <w:numId w:val="45"/>
      </w:numPr>
    </w:pPr>
  </w:style>
  <w:style w:type="paragraph" w:customStyle="1" w:styleId="NumPar6">
    <w:name w:val="NumPar 6"/>
    <w:basedOn w:val="Normal"/>
    <w:next w:val="Text2"/>
    <w:rsid w:val="00F95040"/>
    <w:pPr>
      <w:numPr>
        <w:ilvl w:val="5"/>
        <w:numId w:val="45"/>
      </w:numPr>
    </w:pPr>
  </w:style>
  <w:style w:type="paragraph" w:customStyle="1" w:styleId="NumPar7">
    <w:name w:val="NumPar 7"/>
    <w:basedOn w:val="Normal"/>
    <w:next w:val="Text2"/>
    <w:rsid w:val="00F95040"/>
    <w:pPr>
      <w:numPr>
        <w:ilvl w:val="6"/>
        <w:numId w:val="45"/>
      </w:numPr>
    </w:pPr>
  </w:style>
  <w:style w:type="paragraph" w:customStyle="1" w:styleId="ManualNumPar5">
    <w:name w:val="Manual NumPar 5"/>
    <w:basedOn w:val="Normal"/>
    <w:next w:val="Text2"/>
    <w:rsid w:val="00F95040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F95040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F95040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4864868a-e3f4-49fb-89bc-2140a99fffcd">EN</EC_Collab_DocumentLanguage>
    <IconOverlay xmlns="http://schemas.microsoft.com/sharepoint/v4" xsi:nil="true"/>
    <EC_Collab_Reference xmlns="4864868a-e3f4-49fb-89bc-2140a99fffcd" xsi:nil="true"/>
    <EC_Collab_Status xmlns="4864868a-e3f4-49fb-89bc-2140a99fffcd">Not Started</EC_Collab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487E243C297AB4F87C50AEE7240B5C7" ma:contentTypeVersion="1" ma:contentTypeDescription="Create a new document in this library." ma:contentTypeScope="" ma:versionID="33f03b4ca9e6cf51888504d824ac3183">
  <xsd:schema xmlns:xsd="http://www.w3.org/2001/XMLSchema" xmlns:xs="http://www.w3.org/2001/XMLSchema" xmlns:p="http://schemas.microsoft.com/office/2006/metadata/properties" xmlns:ns2="http://schemas.microsoft.com/sharepoint/v3/fields" xmlns:ns3="4864868a-e3f4-49fb-89bc-2140a99fffcd" xmlns:ns4="http://schemas.microsoft.com/sharepoint/v4" targetNamespace="http://schemas.microsoft.com/office/2006/metadata/properties" ma:root="true" ma:fieldsID="5d7b58ef1124637429748f57a198fb13" ns2:_="" ns3:_="" ns4:_="">
    <xsd:import namespace="http://schemas.microsoft.com/sharepoint/v3/fields"/>
    <xsd:import namespace="4864868a-e3f4-49fb-89bc-2140a99fffc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868a-e3f4-49fb-89bc-2140a99fffc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D7D8D-500D-4E54-A8C0-27E925814EF3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4868a-e3f4-49fb-89bc-2140a99fffcd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5E6381-3B8F-4C91-A7E4-6052AB81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5EFC9-6805-4ECE-AFD2-BD72D5DB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864868a-e3f4-49fb-89bc-2140a99fffc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BONACINI Stefania (JUST)</dc:creator>
  <cp:keywords/>
  <dc:description/>
  <cp:lastModifiedBy>EC CoDe</cp:lastModifiedBy>
  <cp:revision>21</cp:revision>
  <dcterms:created xsi:type="dcterms:W3CDTF">2022-01-14T11:00:00Z</dcterms:created>
  <dcterms:modified xsi:type="dcterms:W3CDTF">2022-01-14T16:08:00Z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7.0.1, Build 20200226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0x010100258AA79CEB83498886A3A08681123250003487E243C297AB4F87C50AEE7240B5C7</vt:lpwstr>
  </property>
  <property fmtid="{D5CDD505-2E9C-101B-9397-08002B2CF9AE}" pid="14" name="DQCStatus">
    <vt:lpwstr>Green (DQC version 03)</vt:lpwstr>
  </property>
</Properties>
</file>