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footer4.xml" ContentType="application/vnd.openxmlformats-officedocument.wordprocessingml.footer+xml"/>
  <Override PartName="/word/header2.xml" ContentType="application/vnd.openxmlformats-officedocument.wordprocessingml.header+xml"/>
  <Override PartName="/word/footer5.xml" ContentType="application/vnd.openxmlformats-officedocument.wordprocessingml.footer+xml"/>
  <Override PartName="/word/header3.xml" ContentType="application/vnd.openxmlformats-officedocument.wordprocessingml.header+xml"/>
  <Override PartName="/word/footer6.xml" ContentType="application/vnd.openxmlformats-officedocument.wordprocessingml.footer+xml"/>
  <Override PartName="/word/header4.xml" ContentType="application/vnd.openxmlformats-officedocument.wordprocessingml.header+xml"/>
  <Override PartName="/word/footer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A97FBB5" w14:textId="148F5841" w:rsidR="00023765" w:rsidRPr="00710B91" w:rsidRDefault="00DA1122" w:rsidP="00DA1122">
      <w:pPr>
        <w:pStyle w:val="Pagedecouverture"/>
        <w:rPr>
          <w:noProof/>
        </w:rPr>
      </w:pPr>
      <w:r>
        <w:rPr>
          <w:noProof/>
        </w:rPr>
        <w:pict w14:anchorId="4751177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61" type="#_x0000_t75" alt="0FB18FE1-5959-4CF3-A018-CDF27D9933E9" style="width:455.25pt;height:396.75pt">
            <v:imagedata r:id="rId11" o:title=""/>
          </v:shape>
        </w:pict>
      </w:r>
    </w:p>
    <w:p w14:paraId="33A0412C" w14:textId="77777777" w:rsidR="00023765" w:rsidRPr="00710B91" w:rsidRDefault="00023765" w:rsidP="00023765">
      <w:pPr>
        <w:rPr>
          <w:noProof/>
        </w:rPr>
        <w:sectPr w:rsidR="00023765" w:rsidRPr="00710B91" w:rsidSect="00DA1122">
          <w:footerReference w:type="default" r:id="rId12"/>
          <w:pgSz w:w="11907" w:h="16839"/>
          <w:pgMar w:top="1134" w:right="1417" w:bottom="1134" w:left="1417" w:header="709" w:footer="709" w:gutter="0"/>
          <w:pgNumType w:start="0"/>
          <w:cols w:space="720"/>
          <w:docGrid w:linePitch="360"/>
        </w:sectPr>
      </w:pPr>
    </w:p>
    <w:p w14:paraId="25F0F68C" w14:textId="77777777" w:rsidR="00023765" w:rsidRPr="00710B91" w:rsidRDefault="00023765" w:rsidP="0062592F">
      <w:pPr>
        <w:pStyle w:val="Exposdesmotifstitre"/>
        <w:rPr>
          <w:noProof/>
        </w:rPr>
      </w:pPr>
      <w:bookmarkStart w:id="0" w:name="_GoBack"/>
      <w:bookmarkEnd w:id="0"/>
      <w:r w:rsidRPr="00710B91">
        <w:rPr>
          <w:noProof/>
        </w:rPr>
        <w:lastRenderedPageBreak/>
        <w:t>UZASADNIENIE</w:t>
      </w:r>
    </w:p>
    <w:p w14:paraId="5534008B" w14:textId="77777777" w:rsidR="00920E47" w:rsidRPr="00710B91" w:rsidRDefault="00920E47" w:rsidP="0005122E">
      <w:pPr>
        <w:pStyle w:val="ManualHeading1"/>
        <w:rPr>
          <w:noProof/>
        </w:rPr>
      </w:pPr>
      <w:bookmarkStart w:id="1" w:name="_Toc92899372"/>
      <w:r w:rsidRPr="00710B91">
        <w:rPr>
          <w:noProof/>
        </w:rPr>
        <w:t>1.</w:t>
      </w:r>
      <w:r w:rsidRPr="00710B91">
        <w:rPr>
          <w:noProof/>
        </w:rPr>
        <w:tab/>
        <w:t>KONTEKST WNIOSKU</w:t>
      </w:r>
      <w:bookmarkEnd w:id="1"/>
    </w:p>
    <w:p w14:paraId="4705B108" w14:textId="7F42D5F4" w:rsidR="00920E47" w:rsidRPr="00710B91" w:rsidRDefault="00920E47" w:rsidP="002C7FD4">
      <w:pPr>
        <w:pStyle w:val="Bullet0"/>
        <w:numPr>
          <w:ilvl w:val="0"/>
          <w:numId w:val="21"/>
        </w:numPr>
        <w:tabs>
          <w:tab w:val="clear" w:pos="850"/>
          <w:tab w:val="num" w:pos="567"/>
        </w:tabs>
        <w:rPr>
          <w:noProof/>
        </w:rPr>
      </w:pPr>
      <w:r w:rsidRPr="00710B91">
        <w:rPr>
          <w:b/>
          <w:noProof/>
        </w:rPr>
        <w:t>Przyczyny</w:t>
      </w:r>
      <w:r w:rsidR="00710B91" w:rsidRPr="00710B91">
        <w:rPr>
          <w:b/>
          <w:noProof/>
        </w:rPr>
        <w:t xml:space="preserve"> i</w:t>
      </w:r>
      <w:r w:rsidR="00710B91">
        <w:rPr>
          <w:b/>
          <w:noProof/>
        </w:rPr>
        <w:t> </w:t>
      </w:r>
      <w:r w:rsidR="00710B91" w:rsidRPr="00710B91">
        <w:rPr>
          <w:b/>
          <w:noProof/>
        </w:rPr>
        <w:t>cel</w:t>
      </w:r>
      <w:r w:rsidRPr="00710B91">
        <w:rPr>
          <w:b/>
          <w:noProof/>
        </w:rPr>
        <w:t>e wniosku</w:t>
      </w:r>
    </w:p>
    <w:p w14:paraId="40656642" w14:textId="77777777" w:rsidR="00920E47" w:rsidRPr="00710B91" w:rsidRDefault="00920E47" w:rsidP="0005122E">
      <w:pPr>
        <w:pBdr>
          <w:top w:val="nil"/>
          <w:left w:val="nil"/>
          <w:bottom w:val="nil"/>
          <w:right w:val="nil"/>
          <w:between w:val="nil"/>
          <w:bar w:val="nil"/>
        </w:pBdr>
        <w:spacing w:after="240"/>
        <w:rPr>
          <w:i/>
          <w:noProof/>
        </w:rPr>
      </w:pPr>
      <w:r w:rsidRPr="00710B91">
        <w:rPr>
          <w:i/>
          <w:noProof/>
        </w:rPr>
        <w:t>Wprowadzenie</w:t>
      </w:r>
    </w:p>
    <w:p w14:paraId="0D10D077" w14:textId="7A8D96DA" w:rsidR="00920E47" w:rsidRPr="00710B91" w:rsidRDefault="00920E47" w:rsidP="004B5A3A">
      <w:pPr>
        <w:rPr>
          <w:noProof/>
        </w:rPr>
      </w:pPr>
      <w:r w:rsidRPr="00710B91">
        <w:rPr>
          <w:noProof/>
        </w:rPr>
        <w:t>Wspólne zespoły dochodzeniowo-śledcze (zespoły JIT) to zespoły tworzone na określony czas</w:t>
      </w:r>
      <w:r w:rsidR="00710B91" w:rsidRPr="00710B91">
        <w:rPr>
          <w:noProof/>
        </w:rPr>
        <w:t xml:space="preserve"> w</w:t>
      </w:r>
      <w:r w:rsidR="00710B91">
        <w:rPr>
          <w:noProof/>
        </w:rPr>
        <w:t> </w:t>
      </w:r>
      <w:r w:rsidR="00710B91" w:rsidRPr="00710B91">
        <w:rPr>
          <w:noProof/>
        </w:rPr>
        <w:t>cel</w:t>
      </w:r>
      <w:r w:rsidRPr="00710B91">
        <w:rPr>
          <w:noProof/>
        </w:rPr>
        <w:t>u prowadzenia konkretnych postępowań przygotowawczych. Powołują je właściwe organy przynajmniej dwóch państw członkowskich</w:t>
      </w:r>
      <w:r w:rsidR="00710B91" w:rsidRPr="00710B91">
        <w:rPr>
          <w:noProof/>
        </w:rPr>
        <w:t xml:space="preserve"> i</w:t>
      </w:r>
      <w:r w:rsidR="00710B91">
        <w:rPr>
          <w:noProof/>
        </w:rPr>
        <w:t> </w:t>
      </w:r>
      <w:r w:rsidR="00710B91" w:rsidRPr="00710B91">
        <w:rPr>
          <w:noProof/>
        </w:rPr>
        <w:t>ewe</w:t>
      </w:r>
      <w:r w:rsidRPr="00710B91">
        <w:rPr>
          <w:noProof/>
        </w:rPr>
        <w:t>ntualnie państw niebędących członkami UE (państw trzecich) dla celów prowadzenia transgranicznych postępowań przygotowawczych. Zespół JIT można utworzyć</w:t>
      </w:r>
      <w:r w:rsidR="00710B91" w:rsidRPr="00710B91">
        <w:rPr>
          <w:noProof/>
        </w:rPr>
        <w:t xml:space="preserve"> w</w:t>
      </w:r>
      <w:r w:rsidR="00710B91">
        <w:rPr>
          <w:noProof/>
        </w:rPr>
        <w:t> </w:t>
      </w:r>
      <w:r w:rsidR="00710B91" w:rsidRPr="00710B91">
        <w:rPr>
          <w:noProof/>
        </w:rPr>
        <w:t>szc</w:t>
      </w:r>
      <w:r w:rsidRPr="00710B91">
        <w:rPr>
          <w:noProof/>
        </w:rPr>
        <w:t>zególności wówczas, gdy postępowania przygotowawcze</w:t>
      </w:r>
      <w:r w:rsidR="00710B91" w:rsidRPr="00710B91">
        <w:rPr>
          <w:noProof/>
        </w:rPr>
        <w:t xml:space="preserve"> w</w:t>
      </w:r>
      <w:r w:rsidR="00710B91">
        <w:rPr>
          <w:noProof/>
        </w:rPr>
        <w:t> </w:t>
      </w:r>
      <w:r w:rsidR="00710B91" w:rsidRPr="00710B91">
        <w:rPr>
          <w:noProof/>
        </w:rPr>
        <w:t>spr</w:t>
      </w:r>
      <w:r w:rsidRPr="00710B91">
        <w:rPr>
          <w:noProof/>
        </w:rPr>
        <w:t>awie przestępstw prowadzone przez państwo członkowskie wymagają trudnych do przeprowadzenia</w:t>
      </w:r>
      <w:r w:rsidR="00710B91" w:rsidRPr="00710B91">
        <w:rPr>
          <w:noProof/>
        </w:rPr>
        <w:t xml:space="preserve"> i</w:t>
      </w:r>
      <w:r w:rsidR="00710B91">
        <w:rPr>
          <w:noProof/>
        </w:rPr>
        <w:t> </w:t>
      </w:r>
      <w:r w:rsidR="00710B91" w:rsidRPr="00710B91">
        <w:rPr>
          <w:noProof/>
        </w:rPr>
        <w:t>wym</w:t>
      </w:r>
      <w:r w:rsidRPr="00710B91">
        <w:rPr>
          <w:noProof/>
        </w:rPr>
        <w:t>agających śledztw wykazujących powiązania</w:t>
      </w:r>
      <w:r w:rsidR="00710B91" w:rsidRPr="00710B91">
        <w:rPr>
          <w:noProof/>
        </w:rPr>
        <w:t xml:space="preserve"> z</w:t>
      </w:r>
      <w:r w:rsidR="00710B91">
        <w:rPr>
          <w:noProof/>
        </w:rPr>
        <w:t> </w:t>
      </w:r>
      <w:r w:rsidR="00710B91" w:rsidRPr="00710B91">
        <w:rPr>
          <w:noProof/>
        </w:rPr>
        <w:t>inn</w:t>
      </w:r>
      <w:r w:rsidRPr="00710B91">
        <w:rPr>
          <w:noProof/>
        </w:rPr>
        <w:t>ymi państwami członkowskimi lub państwami trzecimi. Zespół można również utworzyć, kiedy wiele państw członkowskich prowadzi postępowania przygotowawcze</w:t>
      </w:r>
      <w:r w:rsidR="00710B91" w:rsidRPr="00710B91">
        <w:rPr>
          <w:noProof/>
        </w:rPr>
        <w:t xml:space="preserve"> w</w:t>
      </w:r>
      <w:r w:rsidR="00710B91">
        <w:rPr>
          <w:noProof/>
        </w:rPr>
        <w:t> </w:t>
      </w:r>
      <w:r w:rsidR="00710B91" w:rsidRPr="00710B91">
        <w:rPr>
          <w:noProof/>
        </w:rPr>
        <w:t>spr</w:t>
      </w:r>
      <w:r w:rsidRPr="00710B91">
        <w:rPr>
          <w:noProof/>
        </w:rPr>
        <w:t>awie przestępstw,</w:t>
      </w:r>
      <w:r w:rsidR="00710B91" w:rsidRPr="00710B91">
        <w:rPr>
          <w:noProof/>
        </w:rPr>
        <w:t xml:space="preserve"> w</w:t>
      </w:r>
      <w:r w:rsidR="00710B91">
        <w:rPr>
          <w:noProof/>
        </w:rPr>
        <w:t> </w:t>
      </w:r>
      <w:r w:rsidR="00710B91" w:rsidRPr="00710B91">
        <w:rPr>
          <w:noProof/>
        </w:rPr>
        <w:t>prz</w:t>
      </w:r>
      <w:r w:rsidRPr="00710B91">
        <w:rPr>
          <w:noProof/>
        </w:rPr>
        <w:t>ypadku których okoliczności sprawy wymagają podjęcia skoordynowanych, wspólnych działań</w:t>
      </w:r>
      <w:r w:rsidR="00710B91" w:rsidRPr="00710B91">
        <w:rPr>
          <w:noProof/>
        </w:rPr>
        <w:t xml:space="preserve"> w</w:t>
      </w:r>
      <w:r w:rsidR="00710B91">
        <w:rPr>
          <w:noProof/>
        </w:rPr>
        <w:t> </w:t>
      </w:r>
      <w:r w:rsidR="00710B91" w:rsidRPr="00710B91">
        <w:rPr>
          <w:noProof/>
        </w:rPr>
        <w:t>pań</w:t>
      </w:r>
      <w:r w:rsidRPr="00710B91">
        <w:rPr>
          <w:noProof/>
        </w:rPr>
        <w:t>stwie członkowskim, którego one dotyczą.</w:t>
      </w:r>
    </w:p>
    <w:p w14:paraId="591A1A94" w14:textId="024F1BB3" w:rsidR="00920E47" w:rsidRPr="00710B91" w:rsidRDefault="00920E47" w:rsidP="004B5A3A">
      <w:pPr>
        <w:rPr>
          <w:noProof/>
        </w:rPr>
      </w:pPr>
      <w:r w:rsidRPr="00710B91">
        <w:rPr>
          <w:noProof/>
        </w:rPr>
        <w:t>Podstawa prawna dla powołania zespołów JIT to art.</w:t>
      </w:r>
      <w:r w:rsidR="00710B91" w:rsidRPr="00710B91">
        <w:rPr>
          <w:noProof/>
        </w:rPr>
        <w:t> </w:t>
      </w:r>
      <w:r w:rsidRPr="00710B91">
        <w:rPr>
          <w:noProof/>
        </w:rPr>
        <w:t>13 Konwencji Unii Europejskiej (UE)</w:t>
      </w:r>
      <w:r w:rsidR="00710B91" w:rsidRPr="00710B91">
        <w:rPr>
          <w:noProof/>
        </w:rPr>
        <w:t xml:space="preserve"> o</w:t>
      </w:r>
      <w:r w:rsidR="00710B91">
        <w:rPr>
          <w:noProof/>
        </w:rPr>
        <w:t> </w:t>
      </w:r>
      <w:r w:rsidR="00710B91" w:rsidRPr="00710B91">
        <w:rPr>
          <w:noProof/>
        </w:rPr>
        <w:t>pom</w:t>
      </w:r>
      <w:r w:rsidRPr="00710B91">
        <w:rPr>
          <w:noProof/>
        </w:rPr>
        <w:t>ocy prawnej</w:t>
      </w:r>
      <w:r w:rsidR="00710B91" w:rsidRPr="00710B91">
        <w:rPr>
          <w:noProof/>
        </w:rPr>
        <w:t xml:space="preserve"> w</w:t>
      </w:r>
      <w:r w:rsidR="00710B91">
        <w:rPr>
          <w:noProof/>
        </w:rPr>
        <w:t> </w:t>
      </w:r>
      <w:r w:rsidR="00710B91" w:rsidRPr="00710B91">
        <w:rPr>
          <w:noProof/>
        </w:rPr>
        <w:t>spr</w:t>
      </w:r>
      <w:r w:rsidRPr="00710B91">
        <w:rPr>
          <w:noProof/>
        </w:rPr>
        <w:t>awach karnych</w:t>
      </w:r>
      <w:r w:rsidRPr="00710B91">
        <w:rPr>
          <w:rStyle w:val="FootnoteReference"/>
          <w:noProof/>
        </w:rPr>
        <w:footnoteReference w:id="2"/>
      </w:r>
      <w:r w:rsidRPr="00710B91">
        <w:rPr>
          <w:noProof/>
        </w:rPr>
        <w:t xml:space="preserve"> oraz decyzja ramowa Rady 2002/465/WSiSW</w:t>
      </w:r>
      <w:r w:rsidR="00710B91" w:rsidRPr="00710B91">
        <w:rPr>
          <w:noProof/>
        </w:rPr>
        <w:t xml:space="preserve"> z</w:t>
      </w:r>
      <w:r w:rsidR="00710B91">
        <w:rPr>
          <w:noProof/>
        </w:rPr>
        <w:t> </w:t>
      </w:r>
      <w:r w:rsidR="00710B91" w:rsidRPr="00710B91">
        <w:rPr>
          <w:noProof/>
        </w:rPr>
        <w:t>dni</w:t>
      </w:r>
      <w:r w:rsidRPr="00710B91">
        <w:rPr>
          <w:noProof/>
        </w:rPr>
        <w:t>a 13 czerwca 2002</w:t>
      </w:r>
      <w:r w:rsidR="00710B91" w:rsidRPr="00710B91">
        <w:rPr>
          <w:noProof/>
        </w:rPr>
        <w:t> </w:t>
      </w:r>
      <w:r w:rsidRPr="00710B91">
        <w:rPr>
          <w:noProof/>
        </w:rPr>
        <w:t>r.</w:t>
      </w:r>
      <w:r w:rsidR="00710B91" w:rsidRPr="00710B91">
        <w:rPr>
          <w:noProof/>
        </w:rPr>
        <w:t xml:space="preserve"> w</w:t>
      </w:r>
      <w:r w:rsidR="00710B91">
        <w:rPr>
          <w:noProof/>
        </w:rPr>
        <w:t> </w:t>
      </w:r>
      <w:r w:rsidR="00710B91" w:rsidRPr="00710B91">
        <w:rPr>
          <w:noProof/>
        </w:rPr>
        <w:t>spr</w:t>
      </w:r>
      <w:r w:rsidRPr="00710B91">
        <w:rPr>
          <w:noProof/>
        </w:rPr>
        <w:t>awie wspólnych zespołów dochodzeniowo-śledczych</w:t>
      </w:r>
      <w:r w:rsidRPr="00710B91">
        <w:rPr>
          <w:rStyle w:val="FootnoteReference"/>
          <w:noProof/>
        </w:rPr>
        <w:footnoteReference w:id="3"/>
      </w:r>
      <w:r w:rsidRPr="00710B91">
        <w:rPr>
          <w:noProof/>
        </w:rPr>
        <w:t>. Państwa trzecie mogą być stroną</w:t>
      </w:r>
      <w:r w:rsidR="00710B91" w:rsidRPr="00710B91">
        <w:rPr>
          <w:noProof/>
        </w:rPr>
        <w:t xml:space="preserve"> w</w:t>
      </w:r>
      <w:r w:rsidR="00710B91">
        <w:rPr>
          <w:noProof/>
        </w:rPr>
        <w:t> </w:t>
      </w:r>
      <w:r w:rsidR="00710B91" w:rsidRPr="00710B91">
        <w:rPr>
          <w:noProof/>
        </w:rPr>
        <w:t>zes</w:t>
      </w:r>
      <w:r w:rsidRPr="00710B91">
        <w:rPr>
          <w:noProof/>
        </w:rPr>
        <w:t>połach JIT, jeżeli przewidziano to</w:t>
      </w:r>
      <w:r w:rsidR="00710B91" w:rsidRPr="00710B91">
        <w:rPr>
          <w:noProof/>
        </w:rPr>
        <w:t xml:space="preserve"> w</w:t>
      </w:r>
      <w:r w:rsidR="00710B91">
        <w:rPr>
          <w:noProof/>
        </w:rPr>
        <w:t> </w:t>
      </w:r>
      <w:r w:rsidR="00710B91" w:rsidRPr="00710B91">
        <w:rPr>
          <w:noProof/>
        </w:rPr>
        <w:t>pod</w:t>
      </w:r>
      <w:r w:rsidRPr="00710B91">
        <w:rPr>
          <w:noProof/>
        </w:rPr>
        <w:t>stawie prawnej. Na przykład art.</w:t>
      </w:r>
      <w:r w:rsidR="00710B91" w:rsidRPr="00710B91">
        <w:rPr>
          <w:noProof/>
        </w:rPr>
        <w:t> </w:t>
      </w:r>
      <w:r w:rsidRPr="00710B91">
        <w:rPr>
          <w:noProof/>
        </w:rPr>
        <w:t>20 drugiego protokołu dodatkowego do konwencji Rady Europy</w:t>
      </w:r>
      <w:r w:rsidR="00710B91" w:rsidRPr="00710B91">
        <w:rPr>
          <w:noProof/>
        </w:rPr>
        <w:t xml:space="preserve"> z</w:t>
      </w:r>
      <w:r w:rsidR="00710B91">
        <w:rPr>
          <w:noProof/>
        </w:rPr>
        <w:t> </w:t>
      </w:r>
      <w:r w:rsidR="00710B91" w:rsidRPr="00710B91">
        <w:rPr>
          <w:noProof/>
        </w:rPr>
        <w:t>1</w:t>
      </w:r>
      <w:r w:rsidRPr="00710B91">
        <w:rPr>
          <w:noProof/>
        </w:rPr>
        <w:t>959</w:t>
      </w:r>
      <w:r w:rsidR="00710B91" w:rsidRPr="00710B91">
        <w:rPr>
          <w:noProof/>
        </w:rPr>
        <w:t> </w:t>
      </w:r>
      <w:r w:rsidRPr="00710B91">
        <w:rPr>
          <w:noProof/>
        </w:rPr>
        <w:t>r.</w:t>
      </w:r>
      <w:r w:rsidRPr="00710B91">
        <w:rPr>
          <w:rStyle w:val="FootnoteReference"/>
          <w:noProof/>
        </w:rPr>
        <w:footnoteReference w:id="4"/>
      </w:r>
      <w:r w:rsidRPr="00710B91">
        <w:rPr>
          <w:noProof/>
        </w:rPr>
        <w:t xml:space="preserve"> oraz art.</w:t>
      </w:r>
      <w:r w:rsidR="00710B91" w:rsidRPr="00710B91">
        <w:rPr>
          <w:noProof/>
        </w:rPr>
        <w:t> </w:t>
      </w:r>
      <w:r w:rsidRPr="00710B91">
        <w:rPr>
          <w:noProof/>
        </w:rPr>
        <w:t>5 Porozumienia między Unią Europejską</w:t>
      </w:r>
      <w:r w:rsidR="00710B91" w:rsidRPr="00710B91">
        <w:rPr>
          <w:noProof/>
        </w:rPr>
        <w:t xml:space="preserve"> a</w:t>
      </w:r>
      <w:r w:rsidR="00710B91">
        <w:rPr>
          <w:noProof/>
        </w:rPr>
        <w:t> </w:t>
      </w:r>
      <w:r w:rsidR="00710B91" w:rsidRPr="00710B91">
        <w:rPr>
          <w:noProof/>
        </w:rPr>
        <w:t>Sta</w:t>
      </w:r>
      <w:r w:rsidRPr="00710B91">
        <w:rPr>
          <w:noProof/>
        </w:rPr>
        <w:t>nami Zjednoczonymi Ameryki</w:t>
      </w:r>
      <w:r w:rsidR="00710B91" w:rsidRPr="00710B91">
        <w:rPr>
          <w:noProof/>
        </w:rPr>
        <w:t xml:space="preserve"> o</w:t>
      </w:r>
      <w:r w:rsidR="00710B91">
        <w:rPr>
          <w:noProof/>
        </w:rPr>
        <w:t> </w:t>
      </w:r>
      <w:r w:rsidR="00710B91" w:rsidRPr="00710B91">
        <w:rPr>
          <w:noProof/>
        </w:rPr>
        <w:t>wza</w:t>
      </w:r>
      <w:r w:rsidRPr="00710B91">
        <w:rPr>
          <w:noProof/>
        </w:rPr>
        <w:t>jemnej pomocy prawnej</w:t>
      </w:r>
      <w:r w:rsidRPr="00710B91">
        <w:rPr>
          <w:rStyle w:val="FootnoteReference"/>
          <w:noProof/>
        </w:rPr>
        <w:footnoteReference w:id="5"/>
      </w:r>
      <w:r w:rsidRPr="00710B91">
        <w:rPr>
          <w:noProof/>
        </w:rPr>
        <w:t>.</w:t>
      </w:r>
    </w:p>
    <w:p w14:paraId="597A8631" w14:textId="21230364" w:rsidR="00920E47" w:rsidRPr="00710B91" w:rsidRDefault="00920E47" w:rsidP="004B5A3A">
      <w:pPr>
        <w:pBdr>
          <w:top w:val="nil"/>
          <w:left w:val="nil"/>
          <w:bottom w:val="nil"/>
          <w:right w:val="nil"/>
          <w:between w:val="nil"/>
          <w:bar w:val="nil"/>
        </w:pBdr>
        <w:spacing w:before="0" w:after="240"/>
        <w:rPr>
          <w:noProof/>
        </w:rPr>
      </w:pPr>
      <w:r w:rsidRPr="00710B91">
        <w:rPr>
          <w:noProof/>
        </w:rPr>
        <w:t>Zespoły JIT są jednym</w:t>
      </w:r>
      <w:r w:rsidR="00710B91" w:rsidRPr="00710B91">
        <w:rPr>
          <w:noProof/>
        </w:rPr>
        <w:t xml:space="preserve"> z</w:t>
      </w:r>
      <w:r w:rsidR="00710B91">
        <w:rPr>
          <w:noProof/>
        </w:rPr>
        <w:t> </w:t>
      </w:r>
      <w:r w:rsidR="00710B91" w:rsidRPr="00710B91">
        <w:rPr>
          <w:noProof/>
        </w:rPr>
        <w:t>naj</w:t>
      </w:r>
      <w:r w:rsidRPr="00710B91">
        <w:rPr>
          <w:noProof/>
        </w:rPr>
        <w:t>skuteczniejszych narzędzi wykorzystywanych</w:t>
      </w:r>
      <w:r w:rsidR="00710B91" w:rsidRPr="00710B91">
        <w:rPr>
          <w:noProof/>
        </w:rPr>
        <w:t xml:space="preserve"> w</w:t>
      </w:r>
      <w:r w:rsidR="00710B91">
        <w:rPr>
          <w:noProof/>
        </w:rPr>
        <w:t> </w:t>
      </w:r>
      <w:r w:rsidR="00710B91" w:rsidRPr="00710B91">
        <w:rPr>
          <w:noProof/>
        </w:rPr>
        <w:t>tra</w:t>
      </w:r>
      <w:r w:rsidRPr="00710B91">
        <w:rPr>
          <w:noProof/>
        </w:rPr>
        <w:t>nsgranicznych postępowaniach przygotowawczych</w:t>
      </w:r>
      <w:r w:rsidR="00710B91" w:rsidRPr="00710B91">
        <w:rPr>
          <w:noProof/>
        </w:rPr>
        <w:t xml:space="preserve"> i</w:t>
      </w:r>
      <w:r w:rsidR="00710B91">
        <w:rPr>
          <w:noProof/>
        </w:rPr>
        <w:t> </w:t>
      </w:r>
      <w:r w:rsidR="00710B91" w:rsidRPr="00710B91">
        <w:rPr>
          <w:noProof/>
        </w:rPr>
        <w:t>tra</w:t>
      </w:r>
      <w:r w:rsidRPr="00710B91">
        <w:rPr>
          <w:noProof/>
        </w:rPr>
        <w:t>nsgranicznym ściganiu karnym w UE. Umożliwiają bezpośrednią współpracę</w:t>
      </w:r>
      <w:r w:rsidR="00710B91" w:rsidRPr="00710B91">
        <w:rPr>
          <w:noProof/>
        </w:rPr>
        <w:t xml:space="preserve"> i</w:t>
      </w:r>
      <w:r w:rsidR="00710B91">
        <w:rPr>
          <w:noProof/>
        </w:rPr>
        <w:t> </w:t>
      </w:r>
      <w:r w:rsidR="00710B91" w:rsidRPr="00710B91">
        <w:rPr>
          <w:noProof/>
        </w:rPr>
        <w:t>kom</w:t>
      </w:r>
      <w:r w:rsidRPr="00710B91">
        <w:rPr>
          <w:noProof/>
        </w:rPr>
        <w:t>unikację między organami sądowymi</w:t>
      </w:r>
      <w:r w:rsidR="00710B91" w:rsidRPr="00710B91">
        <w:rPr>
          <w:noProof/>
        </w:rPr>
        <w:t xml:space="preserve"> i</w:t>
      </w:r>
      <w:r w:rsidR="00710B91">
        <w:rPr>
          <w:noProof/>
        </w:rPr>
        <w:t> </w:t>
      </w:r>
      <w:r w:rsidR="00710B91" w:rsidRPr="00710B91">
        <w:rPr>
          <w:noProof/>
        </w:rPr>
        <w:t>org</w:t>
      </w:r>
      <w:r w:rsidRPr="00710B91">
        <w:rPr>
          <w:noProof/>
        </w:rPr>
        <w:t>anami ścigania</w:t>
      </w:r>
      <w:r w:rsidR="00710B91" w:rsidRPr="00710B91">
        <w:rPr>
          <w:noProof/>
        </w:rPr>
        <w:t xml:space="preserve"> w</w:t>
      </w:r>
      <w:r w:rsidR="00710B91">
        <w:rPr>
          <w:noProof/>
        </w:rPr>
        <w:t> </w:t>
      </w:r>
      <w:r w:rsidR="00710B91" w:rsidRPr="00710B91">
        <w:rPr>
          <w:noProof/>
        </w:rPr>
        <w:t>wie</w:t>
      </w:r>
      <w:r w:rsidRPr="00710B91">
        <w:rPr>
          <w:noProof/>
        </w:rPr>
        <w:t>lu państwach tak, aby mogły zorganizować działania</w:t>
      </w:r>
      <w:r w:rsidR="00710B91" w:rsidRPr="00710B91">
        <w:rPr>
          <w:noProof/>
        </w:rPr>
        <w:t xml:space="preserve"> i</w:t>
      </w:r>
      <w:r w:rsidR="00710B91">
        <w:rPr>
          <w:noProof/>
        </w:rPr>
        <w:t> </w:t>
      </w:r>
      <w:r w:rsidR="00710B91" w:rsidRPr="00710B91">
        <w:rPr>
          <w:noProof/>
        </w:rPr>
        <w:t>pos</w:t>
      </w:r>
      <w:r w:rsidRPr="00710B91">
        <w:rPr>
          <w:noProof/>
        </w:rPr>
        <w:t>tępowania przygotowawcze</w:t>
      </w:r>
      <w:r w:rsidR="00710B91" w:rsidRPr="00710B91">
        <w:rPr>
          <w:noProof/>
        </w:rPr>
        <w:t xml:space="preserve"> w</w:t>
      </w:r>
      <w:r w:rsidR="00710B91">
        <w:rPr>
          <w:noProof/>
        </w:rPr>
        <w:t> </w:t>
      </w:r>
      <w:r w:rsidR="00710B91" w:rsidRPr="00710B91">
        <w:rPr>
          <w:noProof/>
        </w:rPr>
        <w:t>cel</w:t>
      </w:r>
      <w:r w:rsidRPr="00710B91">
        <w:rPr>
          <w:noProof/>
        </w:rPr>
        <w:t>u</w:t>
      </w:r>
      <w:r w:rsidR="00710B91" w:rsidRPr="00710B91">
        <w:rPr>
          <w:noProof/>
        </w:rPr>
        <w:t xml:space="preserve"> w</w:t>
      </w:r>
      <w:r w:rsidR="00710B91">
        <w:rPr>
          <w:noProof/>
        </w:rPr>
        <w:t> </w:t>
      </w:r>
      <w:r w:rsidR="00710B91" w:rsidRPr="00710B91">
        <w:rPr>
          <w:noProof/>
        </w:rPr>
        <w:t>sku</w:t>
      </w:r>
      <w:r w:rsidRPr="00710B91">
        <w:rPr>
          <w:noProof/>
        </w:rPr>
        <w:t>tecznego badania spraw transgranicznych.</w:t>
      </w:r>
    </w:p>
    <w:p w14:paraId="4C7AEB41" w14:textId="77777777" w:rsidR="00920E47" w:rsidRPr="00710B91" w:rsidRDefault="00920E47" w:rsidP="004B5A3A">
      <w:pPr>
        <w:pBdr>
          <w:top w:val="nil"/>
          <w:left w:val="nil"/>
          <w:bottom w:val="nil"/>
          <w:right w:val="nil"/>
          <w:between w:val="nil"/>
          <w:bar w:val="nil"/>
        </w:pBdr>
        <w:spacing w:after="240"/>
        <w:rPr>
          <w:noProof/>
        </w:rPr>
      </w:pPr>
      <w:r w:rsidRPr="00710B91">
        <w:rPr>
          <w:i/>
          <w:noProof/>
        </w:rPr>
        <w:t>Problemy, do których odnosi się niniejszy wniosek</w:t>
      </w:r>
    </w:p>
    <w:p w14:paraId="229FF435" w14:textId="3AFD5C9D" w:rsidR="00920E47" w:rsidRPr="00710B91" w:rsidRDefault="00920E47" w:rsidP="0005122E">
      <w:pPr>
        <w:pBdr>
          <w:top w:val="nil"/>
          <w:left w:val="nil"/>
          <w:bottom w:val="nil"/>
          <w:right w:val="nil"/>
          <w:between w:val="nil"/>
          <w:bar w:val="nil"/>
        </w:pBdr>
        <w:spacing w:before="0" w:after="240"/>
        <w:rPr>
          <w:rFonts w:eastAsia="Arial Unicode MS"/>
          <w:noProof/>
        </w:rPr>
      </w:pPr>
      <w:r w:rsidRPr="00710B91">
        <w:rPr>
          <w:noProof/>
        </w:rPr>
        <w:t>Praktyka wskazuje jednak, że zespoły JIT borykają się</w:t>
      </w:r>
      <w:r w:rsidR="00710B91" w:rsidRPr="00710B91">
        <w:rPr>
          <w:noProof/>
        </w:rPr>
        <w:t xml:space="preserve"> z</w:t>
      </w:r>
      <w:r w:rsidR="00710B91">
        <w:rPr>
          <w:noProof/>
        </w:rPr>
        <w:t> </w:t>
      </w:r>
      <w:r w:rsidR="00710B91" w:rsidRPr="00710B91">
        <w:rPr>
          <w:noProof/>
        </w:rPr>
        <w:t>lic</w:t>
      </w:r>
      <w:r w:rsidRPr="00710B91">
        <w:rPr>
          <w:noProof/>
        </w:rPr>
        <w:t>znymi utrudnieniami technicznymi, które uniemożliwiają im skuteczne działanie</w:t>
      </w:r>
      <w:r w:rsidR="00710B91" w:rsidRPr="00710B91">
        <w:rPr>
          <w:noProof/>
        </w:rPr>
        <w:t xml:space="preserve"> w</w:t>
      </w:r>
      <w:r w:rsidR="00710B91">
        <w:rPr>
          <w:noProof/>
        </w:rPr>
        <w:t> </w:t>
      </w:r>
      <w:r w:rsidR="00710B91" w:rsidRPr="00710B91">
        <w:rPr>
          <w:noProof/>
        </w:rPr>
        <w:t>cod</w:t>
      </w:r>
      <w:r w:rsidRPr="00710B91">
        <w:rPr>
          <w:noProof/>
        </w:rPr>
        <w:t>ziennej pracy</w:t>
      </w:r>
      <w:r w:rsidR="00710B91" w:rsidRPr="00710B91">
        <w:rPr>
          <w:noProof/>
        </w:rPr>
        <w:t xml:space="preserve"> i</w:t>
      </w:r>
      <w:r w:rsidR="00710B91">
        <w:rPr>
          <w:noProof/>
        </w:rPr>
        <w:t> </w:t>
      </w:r>
      <w:r w:rsidR="00710B91" w:rsidRPr="00710B91">
        <w:rPr>
          <w:noProof/>
        </w:rPr>
        <w:t>roz</w:t>
      </w:r>
      <w:r w:rsidRPr="00710B91">
        <w:rPr>
          <w:noProof/>
        </w:rPr>
        <w:t>wijanie swoich operacji. Główne trudności dotyczą bezpiecznej elektronicznej wymiany informacji</w:t>
      </w:r>
      <w:r w:rsidR="00710B91" w:rsidRPr="00710B91">
        <w:rPr>
          <w:noProof/>
        </w:rPr>
        <w:t xml:space="preserve"> i</w:t>
      </w:r>
      <w:r w:rsidR="00710B91">
        <w:rPr>
          <w:noProof/>
        </w:rPr>
        <w:t> </w:t>
      </w:r>
      <w:r w:rsidR="00710B91" w:rsidRPr="00710B91">
        <w:rPr>
          <w:noProof/>
        </w:rPr>
        <w:t>dow</w:t>
      </w:r>
      <w:r w:rsidRPr="00710B91">
        <w:rPr>
          <w:noProof/>
        </w:rPr>
        <w:t>odów (w tym dużych plików), bezpiecznej komunikacji elektronicznej</w:t>
      </w:r>
      <w:r w:rsidR="00710B91" w:rsidRPr="00710B91">
        <w:rPr>
          <w:noProof/>
        </w:rPr>
        <w:t xml:space="preserve"> z</w:t>
      </w:r>
      <w:r w:rsidR="00710B91">
        <w:rPr>
          <w:noProof/>
        </w:rPr>
        <w:t> </w:t>
      </w:r>
      <w:r w:rsidR="00710B91" w:rsidRPr="00710B91">
        <w:rPr>
          <w:noProof/>
        </w:rPr>
        <w:t>inn</w:t>
      </w:r>
      <w:r w:rsidRPr="00710B91">
        <w:rPr>
          <w:noProof/>
        </w:rPr>
        <w:t>ymi członkami zespołu JIT, właściwymi organami</w:t>
      </w:r>
      <w:r w:rsidR="00710B91" w:rsidRPr="00710B91">
        <w:rPr>
          <w:noProof/>
        </w:rPr>
        <w:t xml:space="preserve"> i</w:t>
      </w:r>
      <w:r w:rsidR="00710B91">
        <w:rPr>
          <w:noProof/>
        </w:rPr>
        <w:t> </w:t>
      </w:r>
      <w:r w:rsidR="00710B91" w:rsidRPr="00710B91">
        <w:rPr>
          <w:noProof/>
        </w:rPr>
        <w:t>jed</w:t>
      </w:r>
      <w:r w:rsidRPr="00710B91">
        <w:rPr>
          <w:noProof/>
        </w:rPr>
        <w:t>nostkami organizacyjnymi Unii takimi jak Eurojust, Europol oraz Europejski Urząd ds. Zwalczania Nadużyć Finansowych (OLAF), jak również wspólnego codziennego zarządzania zespołem.</w:t>
      </w:r>
    </w:p>
    <w:p w14:paraId="6D6855B1" w14:textId="23898D43" w:rsidR="00920E47" w:rsidRPr="00710B91" w:rsidRDefault="00920E47" w:rsidP="004B5A3A">
      <w:pPr>
        <w:rPr>
          <w:noProof/>
        </w:rPr>
      </w:pPr>
      <w:r w:rsidRPr="00710B91">
        <w:rPr>
          <w:noProof/>
        </w:rPr>
        <w:t>W drugim sprawozdaniu oceniającym</w:t>
      </w:r>
      <w:r w:rsidR="00710B91" w:rsidRPr="00710B91">
        <w:rPr>
          <w:noProof/>
        </w:rPr>
        <w:t xml:space="preserve"> w</w:t>
      </w:r>
      <w:r w:rsidR="00710B91">
        <w:rPr>
          <w:noProof/>
        </w:rPr>
        <w:t> </w:t>
      </w:r>
      <w:r w:rsidR="00710B91" w:rsidRPr="00710B91">
        <w:rPr>
          <w:noProof/>
        </w:rPr>
        <w:t>spr</w:t>
      </w:r>
      <w:r w:rsidRPr="00710B91">
        <w:rPr>
          <w:noProof/>
        </w:rPr>
        <w:t>awie zespołu JIT</w:t>
      </w:r>
      <w:r w:rsidRPr="00710B91">
        <w:rPr>
          <w:rStyle w:val="FootnoteReference"/>
          <w:noProof/>
        </w:rPr>
        <w:footnoteReference w:id="6"/>
      </w:r>
      <w:r w:rsidRPr="00710B91">
        <w:rPr>
          <w:noProof/>
        </w:rPr>
        <w:t xml:space="preserve"> opracowanym</w:t>
      </w:r>
      <w:r w:rsidR="00710B91" w:rsidRPr="00710B91">
        <w:rPr>
          <w:noProof/>
        </w:rPr>
        <w:t xml:space="preserve"> w</w:t>
      </w:r>
      <w:r w:rsidR="00710B91">
        <w:rPr>
          <w:noProof/>
        </w:rPr>
        <w:t> </w:t>
      </w:r>
      <w:r w:rsidR="00710B91" w:rsidRPr="00710B91">
        <w:rPr>
          <w:noProof/>
        </w:rPr>
        <w:t>2</w:t>
      </w:r>
      <w:r w:rsidRPr="00710B91">
        <w:rPr>
          <w:noProof/>
        </w:rPr>
        <w:t>018</w:t>
      </w:r>
      <w:r w:rsidR="00710B91" w:rsidRPr="00710B91">
        <w:rPr>
          <w:noProof/>
        </w:rPr>
        <w:t> </w:t>
      </w:r>
      <w:r w:rsidRPr="00710B91">
        <w:rPr>
          <w:noProof/>
        </w:rPr>
        <w:t>r. przez sieć ekspertów krajowych ds. wspólnych zespołów dochodzeniowo-śledczych (sieć JIT) – organ ustanowiony</w:t>
      </w:r>
      <w:r w:rsidR="00710B91" w:rsidRPr="00710B91">
        <w:rPr>
          <w:noProof/>
        </w:rPr>
        <w:t xml:space="preserve"> w</w:t>
      </w:r>
      <w:r w:rsidR="00710B91">
        <w:rPr>
          <w:noProof/>
        </w:rPr>
        <w:t> </w:t>
      </w:r>
      <w:r w:rsidR="00710B91" w:rsidRPr="00710B91">
        <w:rPr>
          <w:noProof/>
        </w:rPr>
        <w:t>cel</w:t>
      </w:r>
      <w:r w:rsidRPr="00710B91">
        <w:rPr>
          <w:noProof/>
        </w:rPr>
        <w:t>u wspierania państw członkowskich</w:t>
      </w:r>
      <w:r w:rsidR="00710B91" w:rsidRPr="00710B91">
        <w:rPr>
          <w:noProof/>
        </w:rPr>
        <w:t xml:space="preserve"> i</w:t>
      </w:r>
      <w:r w:rsidR="00710B91">
        <w:rPr>
          <w:noProof/>
        </w:rPr>
        <w:t> </w:t>
      </w:r>
      <w:r w:rsidR="00710B91" w:rsidRPr="00710B91">
        <w:rPr>
          <w:noProof/>
        </w:rPr>
        <w:t>udo</w:t>
      </w:r>
      <w:r w:rsidRPr="00710B91">
        <w:rPr>
          <w:noProof/>
        </w:rPr>
        <w:t>stępniania najlepszych praktyk</w:t>
      </w:r>
      <w:r w:rsidR="00710B91" w:rsidRPr="00710B91">
        <w:rPr>
          <w:noProof/>
        </w:rPr>
        <w:t xml:space="preserve"> i</w:t>
      </w:r>
      <w:r w:rsidR="00710B91">
        <w:rPr>
          <w:noProof/>
        </w:rPr>
        <w:t> </w:t>
      </w:r>
      <w:r w:rsidR="00710B91" w:rsidRPr="00710B91">
        <w:rPr>
          <w:noProof/>
        </w:rPr>
        <w:t>doś</w:t>
      </w:r>
      <w:r w:rsidRPr="00710B91">
        <w:rPr>
          <w:noProof/>
        </w:rPr>
        <w:t>wiadczenia</w:t>
      </w:r>
      <w:r w:rsidR="00710B91" w:rsidRPr="00710B91">
        <w:rPr>
          <w:noProof/>
        </w:rPr>
        <w:t xml:space="preserve"> w</w:t>
      </w:r>
      <w:r w:rsidR="00710B91">
        <w:rPr>
          <w:noProof/>
        </w:rPr>
        <w:t> </w:t>
      </w:r>
      <w:r w:rsidR="00710B91" w:rsidRPr="00710B91">
        <w:rPr>
          <w:noProof/>
        </w:rPr>
        <w:t>obs</w:t>
      </w:r>
      <w:r w:rsidRPr="00710B91">
        <w:rPr>
          <w:noProof/>
        </w:rPr>
        <w:t>zarze zespołów JIT – wskazano już, że pracę zespołów JIT można poprawić</w:t>
      </w:r>
      <w:r w:rsidR="00710B91" w:rsidRPr="00710B91">
        <w:rPr>
          <w:noProof/>
        </w:rPr>
        <w:t xml:space="preserve"> i</w:t>
      </w:r>
      <w:r w:rsidR="00710B91">
        <w:rPr>
          <w:noProof/>
        </w:rPr>
        <w:t> </w:t>
      </w:r>
      <w:r w:rsidR="00710B91" w:rsidRPr="00710B91">
        <w:rPr>
          <w:noProof/>
        </w:rPr>
        <w:t>prz</w:t>
      </w:r>
      <w:r w:rsidRPr="00710B91">
        <w:rPr>
          <w:noProof/>
        </w:rPr>
        <w:t>yspieszyć przy pomocy specjalnej platformy informatycznej. Platforma informatyczna umożliwiłaby członkom zespołu bezpieczną komunikację między sobą oraz bezpieczne udostępnianie informacji</w:t>
      </w:r>
      <w:r w:rsidR="00710B91" w:rsidRPr="00710B91">
        <w:rPr>
          <w:noProof/>
        </w:rPr>
        <w:t xml:space="preserve"> i</w:t>
      </w:r>
      <w:r w:rsidR="00710B91">
        <w:rPr>
          <w:noProof/>
        </w:rPr>
        <w:t> </w:t>
      </w:r>
      <w:r w:rsidR="00710B91" w:rsidRPr="00710B91">
        <w:rPr>
          <w:noProof/>
        </w:rPr>
        <w:t>dow</w:t>
      </w:r>
      <w:r w:rsidRPr="00710B91">
        <w:rPr>
          <w:noProof/>
        </w:rPr>
        <w:t>odów. Analiza dotycząca transgranicznego cyfrowego wymiaru sprawiedliwości</w:t>
      </w:r>
      <w:r w:rsidR="00710B91" w:rsidRPr="00710B91">
        <w:rPr>
          <w:noProof/>
        </w:rPr>
        <w:t xml:space="preserve"> w</w:t>
      </w:r>
      <w:r w:rsidR="00710B91">
        <w:rPr>
          <w:noProof/>
        </w:rPr>
        <w:t> </w:t>
      </w:r>
      <w:r w:rsidR="00710B91" w:rsidRPr="00710B91">
        <w:rPr>
          <w:noProof/>
        </w:rPr>
        <w:t>spr</w:t>
      </w:r>
      <w:r w:rsidRPr="00710B91">
        <w:rPr>
          <w:noProof/>
        </w:rPr>
        <w:t>awach karnych</w:t>
      </w:r>
      <w:r w:rsidRPr="00710B91">
        <w:rPr>
          <w:rStyle w:val="FootnoteReference"/>
          <w:noProof/>
        </w:rPr>
        <w:footnoteReference w:id="7"/>
      </w:r>
      <w:r w:rsidRPr="00710B91">
        <w:rPr>
          <w:noProof/>
        </w:rPr>
        <w:t xml:space="preserve"> potwierdziła ustalenia tego sprawozdania; zaleca się</w:t>
      </w:r>
      <w:r w:rsidR="00710B91" w:rsidRPr="00710B91">
        <w:rPr>
          <w:noProof/>
        </w:rPr>
        <w:t xml:space="preserve"> w</w:t>
      </w:r>
      <w:r w:rsidR="00710B91">
        <w:rPr>
          <w:noProof/>
        </w:rPr>
        <w:t> </w:t>
      </w:r>
      <w:r w:rsidR="00710B91" w:rsidRPr="00710B91">
        <w:rPr>
          <w:noProof/>
        </w:rPr>
        <w:t>nie</w:t>
      </w:r>
      <w:r w:rsidRPr="00710B91">
        <w:rPr>
          <w:noProof/>
        </w:rPr>
        <w:t>j ponadto utworzenie platformy informatycznej dla zespołów JIT, aby zapewnić ich skuteczniejsze</w:t>
      </w:r>
      <w:r w:rsidR="00710B91" w:rsidRPr="00710B91">
        <w:rPr>
          <w:noProof/>
        </w:rPr>
        <w:t xml:space="preserve"> i</w:t>
      </w:r>
      <w:r w:rsidR="00710B91">
        <w:rPr>
          <w:noProof/>
        </w:rPr>
        <w:t> </w:t>
      </w:r>
      <w:r w:rsidR="00710B91" w:rsidRPr="00710B91">
        <w:rPr>
          <w:noProof/>
        </w:rPr>
        <w:t>bez</w:t>
      </w:r>
      <w:r w:rsidRPr="00710B91">
        <w:rPr>
          <w:noProof/>
        </w:rPr>
        <w:t xml:space="preserve">pieczniejsze funkcjonowanie. </w:t>
      </w:r>
    </w:p>
    <w:p w14:paraId="56AC493B" w14:textId="3C24D043" w:rsidR="00920E47" w:rsidRPr="00710B91" w:rsidRDefault="00920E47" w:rsidP="004B5A3A">
      <w:pPr>
        <w:pBdr>
          <w:top w:val="nil"/>
          <w:left w:val="nil"/>
          <w:bottom w:val="nil"/>
          <w:right w:val="nil"/>
          <w:between w:val="nil"/>
          <w:bar w:val="nil"/>
        </w:pBdr>
        <w:spacing w:before="0" w:after="240"/>
        <w:rPr>
          <w:rFonts w:eastAsia="Arial Unicode MS"/>
          <w:noProof/>
        </w:rPr>
      </w:pPr>
      <w:r w:rsidRPr="00710B91">
        <w:rPr>
          <w:noProof/>
        </w:rPr>
        <w:t>W następstwie tych ustaleń Komisja ogłosiła plany</w:t>
      </w:r>
      <w:r w:rsidRPr="00710B91">
        <w:rPr>
          <w:rStyle w:val="FootnoteReference"/>
          <w:noProof/>
        </w:rPr>
        <w:footnoteReference w:id="8"/>
      </w:r>
      <w:r w:rsidRPr="00710B91">
        <w:rPr>
          <w:noProof/>
        </w:rPr>
        <w:t xml:space="preserve"> opracowania wniosku</w:t>
      </w:r>
      <w:r w:rsidR="00710B91" w:rsidRPr="00710B91">
        <w:rPr>
          <w:noProof/>
        </w:rPr>
        <w:t xml:space="preserve"> w</w:t>
      </w:r>
      <w:r w:rsidR="00710B91">
        <w:rPr>
          <w:noProof/>
        </w:rPr>
        <w:t> </w:t>
      </w:r>
      <w:r w:rsidR="00710B91" w:rsidRPr="00710B91">
        <w:rPr>
          <w:noProof/>
        </w:rPr>
        <w:t>spr</w:t>
      </w:r>
      <w:r w:rsidRPr="00710B91">
        <w:rPr>
          <w:noProof/>
        </w:rPr>
        <w:t>awie prawodawstwa ustanawiającego specjalną „platformę współpracy mającą na celu wspieranie funkcjonowania wspólnych zespołów dochodzeniowo-śledczych” („platforma”).</w:t>
      </w:r>
    </w:p>
    <w:p w14:paraId="2A8245DC" w14:textId="77777777" w:rsidR="00920E47" w:rsidRPr="00710B91" w:rsidRDefault="00920E47" w:rsidP="0005122E">
      <w:pPr>
        <w:pBdr>
          <w:top w:val="nil"/>
          <w:left w:val="nil"/>
          <w:bottom w:val="nil"/>
          <w:right w:val="nil"/>
          <w:between w:val="nil"/>
          <w:bar w:val="nil"/>
        </w:pBdr>
        <w:spacing w:after="240"/>
        <w:rPr>
          <w:rFonts w:eastAsia="Arial Unicode MS"/>
          <w:i/>
          <w:noProof/>
        </w:rPr>
      </w:pPr>
      <w:r w:rsidRPr="00710B91">
        <w:rPr>
          <w:i/>
          <w:noProof/>
        </w:rPr>
        <w:t>Cele wniosku</w:t>
      </w:r>
    </w:p>
    <w:p w14:paraId="62BED233" w14:textId="01DBFC16" w:rsidR="00920E47" w:rsidRPr="00710B91" w:rsidRDefault="00920E47" w:rsidP="0005122E">
      <w:pPr>
        <w:pBdr>
          <w:top w:val="nil"/>
          <w:left w:val="nil"/>
          <w:bottom w:val="nil"/>
          <w:right w:val="nil"/>
          <w:between w:val="nil"/>
          <w:bar w:val="nil"/>
        </w:pBdr>
        <w:spacing w:before="0" w:after="240"/>
        <w:rPr>
          <w:noProof/>
        </w:rPr>
      </w:pPr>
      <w:r w:rsidRPr="00710B91">
        <w:rPr>
          <w:noProof/>
        </w:rPr>
        <w:t>Ogólnym celem wniosku jest zapewnienie wsparcia technologicznego podmiotom zaangażowanym</w:t>
      </w:r>
      <w:r w:rsidR="00710B91" w:rsidRPr="00710B91">
        <w:rPr>
          <w:noProof/>
        </w:rPr>
        <w:t xml:space="preserve"> w</w:t>
      </w:r>
      <w:r w:rsidR="00710B91">
        <w:rPr>
          <w:noProof/>
        </w:rPr>
        <w:t> </w:t>
      </w:r>
      <w:r w:rsidR="00710B91" w:rsidRPr="00710B91">
        <w:rPr>
          <w:noProof/>
        </w:rPr>
        <w:t>pra</w:t>
      </w:r>
      <w:r w:rsidRPr="00710B91">
        <w:rPr>
          <w:noProof/>
        </w:rPr>
        <w:t>cę zespołów JIT</w:t>
      </w:r>
      <w:r w:rsidR="00710B91" w:rsidRPr="00710B91">
        <w:rPr>
          <w:noProof/>
        </w:rPr>
        <w:t xml:space="preserve"> w</w:t>
      </w:r>
      <w:r w:rsidR="00710B91">
        <w:rPr>
          <w:noProof/>
        </w:rPr>
        <w:t> </w:t>
      </w:r>
      <w:r w:rsidR="00710B91" w:rsidRPr="00710B91">
        <w:rPr>
          <w:noProof/>
        </w:rPr>
        <w:t>cel</w:t>
      </w:r>
      <w:r w:rsidRPr="00710B91">
        <w:rPr>
          <w:noProof/>
        </w:rPr>
        <w:t>u zwiększenia wydajności</w:t>
      </w:r>
      <w:r w:rsidR="00710B91" w:rsidRPr="00710B91">
        <w:rPr>
          <w:noProof/>
        </w:rPr>
        <w:t xml:space="preserve"> i</w:t>
      </w:r>
      <w:r w:rsidR="00710B91">
        <w:rPr>
          <w:noProof/>
        </w:rPr>
        <w:t> </w:t>
      </w:r>
      <w:r w:rsidR="00710B91" w:rsidRPr="00710B91">
        <w:rPr>
          <w:noProof/>
        </w:rPr>
        <w:t>sku</w:t>
      </w:r>
      <w:r w:rsidRPr="00710B91">
        <w:rPr>
          <w:noProof/>
        </w:rPr>
        <w:t>teczności działań podejmowanych przez nie</w:t>
      </w:r>
      <w:r w:rsidR="00710B91" w:rsidRPr="00710B91">
        <w:rPr>
          <w:noProof/>
        </w:rPr>
        <w:t xml:space="preserve"> w</w:t>
      </w:r>
      <w:r w:rsidR="00710B91">
        <w:rPr>
          <w:noProof/>
        </w:rPr>
        <w:t> </w:t>
      </w:r>
      <w:r w:rsidR="00710B91" w:rsidRPr="00710B91">
        <w:rPr>
          <w:noProof/>
        </w:rPr>
        <w:t>ram</w:t>
      </w:r>
      <w:r w:rsidRPr="00710B91">
        <w:rPr>
          <w:noProof/>
        </w:rPr>
        <w:t>ach transgranicznych postępowań przygotowawczych</w:t>
      </w:r>
      <w:r w:rsidR="00710B91" w:rsidRPr="00710B91">
        <w:rPr>
          <w:noProof/>
        </w:rPr>
        <w:t xml:space="preserve"> i</w:t>
      </w:r>
      <w:r w:rsidR="00710B91">
        <w:rPr>
          <w:noProof/>
        </w:rPr>
        <w:t> </w:t>
      </w:r>
      <w:r w:rsidR="00710B91" w:rsidRPr="00710B91">
        <w:rPr>
          <w:noProof/>
        </w:rPr>
        <w:t>tra</w:t>
      </w:r>
      <w:r w:rsidRPr="00710B91">
        <w:rPr>
          <w:noProof/>
        </w:rPr>
        <w:t>nsgranicznego ścigania karnego.</w:t>
      </w:r>
    </w:p>
    <w:p w14:paraId="4D92E118" w14:textId="77777777" w:rsidR="00920E47" w:rsidRPr="00710B91" w:rsidRDefault="00920E47" w:rsidP="0005122E">
      <w:pPr>
        <w:pBdr>
          <w:top w:val="nil"/>
          <w:left w:val="nil"/>
          <w:bottom w:val="nil"/>
          <w:right w:val="nil"/>
          <w:between w:val="nil"/>
          <w:bar w:val="nil"/>
        </w:pBdr>
        <w:spacing w:before="0" w:after="240"/>
        <w:rPr>
          <w:rFonts w:eastAsia="Arial Unicode MS"/>
          <w:noProof/>
        </w:rPr>
      </w:pPr>
      <w:r w:rsidRPr="00710B91">
        <w:rPr>
          <w:noProof/>
        </w:rPr>
        <w:t>Cele szczegółowe niniejszego wniosku są następujące:</w:t>
      </w:r>
    </w:p>
    <w:p w14:paraId="16D22525" w14:textId="6DF2DE71" w:rsidR="00920E47" w:rsidRPr="00710B91" w:rsidRDefault="00710B91" w:rsidP="00710B91">
      <w:pPr>
        <w:pStyle w:val="Point0"/>
        <w:rPr>
          <w:noProof/>
        </w:rPr>
      </w:pPr>
      <w:r w:rsidRPr="00710B91">
        <w:rPr>
          <w:noProof/>
        </w:rPr>
        <w:t>1)</w:t>
      </w:r>
      <w:r w:rsidRPr="00710B91">
        <w:rPr>
          <w:noProof/>
        </w:rPr>
        <w:tab/>
      </w:r>
      <w:r w:rsidR="00920E47" w:rsidRPr="00710B91">
        <w:rPr>
          <w:noProof/>
        </w:rPr>
        <w:t>zapewnienie członkom</w:t>
      </w:r>
      <w:r w:rsidRPr="00710B91">
        <w:rPr>
          <w:noProof/>
        </w:rPr>
        <w:t xml:space="preserve"> i</w:t>
      </w:r>
      <w:r>
        <w:rPr>
          <w:noProof/>
        </w:rPr>
        <w:t> </w:t>
      </w:r>
      <w:r w:rsidRPr="00710B91">
        <w:rPr>
          <w:noProof/>
        </w:rPr>
        <w:t>ucz</w:t>
      </w:r>
      <w:r w:rsidR="00920E47" w:rsidRPr="00710B91">
        <w:rPr>
          <w:noProof/>
        </w:rPr>
        <w:t>estnikom zespołów JIT możliwości łatwiejszej wymiany informacji</w:t>
      </w:r>
      <w:r w:rsidRPr="00710B91">
        <w:rPr>
          <w:noProof/>
        </w:rPr>
        <w:t xml:space="preserve"> i</w:t>
      </w:r>
      <w:r>
        <w:rPr>
          <w:noProof/>
        </w:rPr>
        <w:t> </w:t>
      </w:r>
      <w:r w:rsidRPr="00710B91">
        <w:rPr>
          <w:noProof/>
        </w:rPr>
        <w:t>dow</w:t>
      </w:r>
      <w:r w:rsidR="00920E47" w:rsidRPr="00710B91">
        <w:rPr>
          <w:noProof/>
        </w:rPr>
        <w:t>odów zebranych podczas działań podejmowanych przez zespoły JIT;</w:t>
      </w:r>
    </w:p>
    <w:p w14:paraId="0E1A49CB" w14:textId="6FDF598A" w:rsidR="001E3418" w:rsidRPr="00710B91" w:rsidRDefault="00710B91" w:rsidP="00710B91">
      <w:pPr>
        <w:pStyle w:val="Point0"/>
        <w:rPr>
          <w:noProof/>
        </w:rPr>
      </w:pPr>
      <w:r w:rsidRPr="00710B91">
        <w:rPr>
          <w:noProof/>
        </w:rPr>
        <w:t>2)</w:t>
      </w:r>
      <w:r w:rsidRPr="00710B91">
        <w:rPr>
          <w:noProof/>
        </w:rPr>
        <w:tab/>
      </w:r>
      <w:r w:rsidR="00920E47" w:rsidRPr="00710B91">
        <w:rPr>
          <w:noProof/>
        </w:rPr>
        <w:t>zapewnienie członkom</w:t>
      </w:r>
      <w:r w:rsidRPr="00710B91">
        <w:rPr>
          <w:noProof/>
        </w:rPr>
        <w:t xml:space="preserve"> i</w:t>
      </w:r>
      <w:r>
        <w:rPr>
          <w:noProof/>
        </w:rPr>
        <w:t> </w:t>
      </w:r>
      <w:r w:rsidRPr="00710B91">
        <w:rPr>
          <w:noProof/>
        </w:rPr>
        <w:t>ucz</w:t>
      </w:r>
      <w:r w:rsidR="00920E47" w:rsidRPr="00710B91">
        <w:rPr>
          <w:noProof/>
        </w:rPr>
        <w:t>estnikom zespołów JIT możliwości łatwiejszej</w:t>
      </w:r>
      <w:r w:rsidRPr="00710B91">
        <w:rPr>
          <w:noProof/>
        </w:rPr>
        <w:t xml:space="preserve"> i</w:t>
      </w:r>
      <w:r>
        <w:rPr>
          <w:noProof/>
        </w:rPr>
        <w:t> </w:t>
      </w:r>
      <w:r w:rsidRPr="00710B91">
        <w:rPr>
          <w:noProof/>
        </w:rPr>
        <w:t>bez</w:t>
      </w:r>
      <w:r w:rsidR="00920E47" w:rsidRPr="00710B91">
        <w:rPr>
          <w:noProof/>
        </w:rPr>
        <w:t>pieczniejszej komunikacji między sobą</w:t>
      </w:r>
      <w:r w:rsidRPr="00710B91">
        <w:rPr>
          <w:noProof/>
        </w:rPr>
        <w:t xml:space="preserve"> w</w:t>
      </w:r>
      <w:r>
        <w:rPr>
          <w:noProof/>
        </w:rPr>
        <w:t> </w:t>
      </w:r>
      <w:r w:rsidRPr="00710B91">
        <w:rPr>
          <w:noProof/>
        </w:rPr>
        <w:t>kon</w:t>
      </w:r>
      <w:r w:rsidR="00920E47" w:rsidRPr="00710B91">
        <w:rPr>
          <w:noProof/>
        </w:rPr>
        <w:t>tekście działań podejmowanych przez zespoły JIT;</w:t>
      </w:r>
    </w:p>
    <w:p w14:paraId="7D05552A" w14:textId="32EBF022" w:rsidR="00C66019" w:rsidRPr="00710B91" w:rsidRDefault="00710B91" w:rsidP="00710B91">
      <w:pPr>
        <w:pStyle w:val="Point0"/>
        <w:rPr>
          <w:noProof/>
        </w:rPr>
      </w:pPr>
      <w:r w:rsidRPr="00710B91">
        <w:rPr>
          <w:noProof/>
        </w:rPr>
        <w:t>3)</w:t>
      </w:r>
      <w:r w:rsidRPr="00710B91">
        <w:rPr>
          <w:noProof/>
        </w:rPr>
        <w:tab/>
      </w:r>
      <w:r w:rsidR="00920E47" w:rsidRPr="00710B91">
        <w:rPr>
          <w:noProof/>
        </w:rPr>
        <w:t>ułatwienie procesu codziennego zarządzania zespołami JIT,</w:t>
      </w:r>
      <w:r w:rsidRPr="00710B91">
        <w:rPr>
          <w:noProof/>
        </w:rPr>
        <w:t xml:space="preserve"> w</w:t>
      </w:r>
      <w:r>
        <w:rPr>
          <w:noProof/>
        </w:rPr>
        <w:t> </w:t>
      </w:r>
      <w:r w:rsidRPr="00710B91">
        <w:rPr>
          <w:noProof/>
        </w:rPr>
        <w:t>tym</w:t>
      </w:r>
      <w:r w:rsidR="00920E47" w:rsidRPr="00710B91">
        <w:rPr>
          <w:noProof/>
        </w:rPr>
        <w:t xml:space="preserve"> planowania</w:t>
      </w:r>
      <w:r w:rsidRPr="00710B91">
        <w:rPr>
          <w:noProof/>
        </w:rPr>
        <w:t xml:space="preserve"> i</w:t>
      </w:r>
      <w:r>
        <w:rPr>
          <w:noProof/>
        </w:rPr>
        <w:t> </w:t>
      </w:r>
      <w:r w:rsidRPr="00710B91">
        <w:rPr>
          <w:noProof/>
        </w:rPr>
        <w:t>koo</w:t>
      </w:r>
      <w:r w:rsidR="00920E47" w:rsidRPr="00710B91">
        <w:rPr>
          <w:noProof/>
        </w:rPr>
        <w:t>rdynacji jednoczesnych działań, ulepszonej identyfikowalności udostępnianych dowodów</w:t>
      </w:r>
      <w:r w:rsidRPr="00710B91">
        <w:rPr>
          <w:noProof/>
        </w:rPr>
        <w:t xml:space="preserve"> i</w:t>
      </w:r>
      <w:r>
        <w:rPr>
          <w:noProof/>
        </w:rPr>
        <w:t> </w:t>
      </w:r>
      <w:r w:rsidRPr="00710B91">
        <w:rPr>
          <w:noProof/>
        </w:rPr>
        <w:t>koo</w:t>
      </w:r>
      <w:r w:rsidR="00920E47" w:rsidRPr="00710B91">
        <w:rPr>
          <w:noProof/>
        </w:rPr>
        <w:t>rdynacji</w:t>
      </w:r>
      <w:r w:rsidRPr="00710B91">
        <w:rPr>
          <w:noProof/>
        </w:rPr>
        <w:t xml:space="preserve"> z</w:t>
      </w:r>
      <w:r>
        <w:rPr>
          <w:noProof/>
        </w:rPr>
        <w:t> </w:t>
      </w:r>
      <w:r w:rsidRPr="00710B91">
        <w:rPr>
          <w:noProof/>
        </w:rPr>
        <w:t>pań</w:t>
      </w:r>
      <w:r w:rsidR="00920E47" w:rsidRPr="00710B91">
        <w:rPr>
          <w:noProof/>
        </w:rPr>
        <w:t>stwami trzecimi,</w:t>
      </w:r>
      <w:r w:rsidRPr="00710B91">
        <w:rPr>
          <w:noProof/>
        </w:rPr>
        <w:t xml:space="preserve"> w</w:t>
      </w:r>
      <w:r>
        <w:rPr>
          <w:noProof/>
        </w:rPr>
        <w:t> </w:t>
      </w:r>
      <w:r w:rsidRPr="00710B91">
        <w:rPr>
          <w:noProof/>
        </w:rPr>
        <w:t>szc</w:t>
      </w:r>
      <w:r w:rsidR="00920E47" w:rsidRPr="00710B91">
        <w:rPr>
          <w:noProof/>
        </w:rPr>
        <w:t>zególności</w:t>
      </w:r>
      <w:r w:rsidRPr="00710B91">
        <w:rPr>
          <w:noProof/>
        </w:rPr>
        <w:t xml:space="preserve"> w</w:t>
      </w:r>
      <w:r>
        <w:rPr>
          <w:noProof/>
        </w:rPr>
        <w:t> </w:t>
      </w:r>
      <w:r w:rsidRPr="00710B91">
        <w:rPr>
          <w:noProof/>
        </w:rPr>
        <w:t>syt</w:t>
      </w:r>
      <w:r w:rsidR="00920E47" w:rsidRPr="00710B91">
        <w:rPr>
          <w:noProof/>
        </w:rPr>
        <w:t>uacjach, gdy spotkania osobiste są zbyt kosztowne lub czasochłonne.</w:t>
      </w:r>
    </w:p>
    <w:p w14:paraId="2B8AAC66" w14:textId="77777777" w:rsidR="00920E47" w:rsidRPr="00710B91" w:rsidRDefault="00920E47" w:rsidP="0005122E">
      <w:pPr>
        <w:pBdr>
          <w:top w:val="nil"/>
          <w:left w:val="nil"/>
          <w:bottom w:val="nil"/>
          <w:right w:val="nil"/>
          <w:between w:val="nil"/>
          <w:bar w:val="nil"/>
        </w:pBdr>
        <w:spacing w:after="240"/>
        <w:rPr>
          <w:rFonts w:eastAsia="Arial Unicode MS"/>
          <w:i/>
          <w:noProof/>
        </w:rPr>
      </w:pPr>
      <w:r w:rsidRPr="00710B91">
        <w:rPr>
          <w:i/>
          <w:noProof/>
        </w:rPr>
        <w:t>Proponowane rozwiązanie</w:t>
      </w:r>
    </w:p>
    <w:p w14:paraId="020487BF" w14:textId="147E9362" w:rsidR="00920E47" w:rsidRPr="00710B91" w:rsidRDefault="00920E47" w:rsidP="00E2148B">
      <w:pPr>
        <w:rPr>
          <w:noProof/>
        </w:rPr>
      </w:pPr>
      <w:r w:rsidRPr="00710B91">
        <w:rPr>
          <w:noProof/>
        </w:rPr>
        <w:t>W celu realizacji tych założeń</w:t>
      </w:r>
      <w:r w:rsidR="00710B91" w:rsidRPr="00710B91">
        <w:rPr>
          <w:noProof/>
        </w:rPr>
        <w:t xml:space="preserve"> i</w:t>
      </w:r>
      <w:r w:rsidR="00710B91">
        <w:rPr>
          <w:noProof/>
        </w:rPr>
        <w:t> </w:t>
      </w:r>
      <w:r w:rsidR="00710B91" w:rsidRPr="00710B91">
        <w:rPr>
          <w:noProof/>
        </w:rPr>
        <w:t>roz</w:t>
      </w:r>
      <w:r w:rsidRPr="00710B91">
        <w:rPr>
          <w:noProof/>
        </w:rPr>
        <w:t>wiązania problemów leżących</w:t>
      </w:r>
      <w:r w:rsidR="00710B91" w:rsidRPr="00710B91">
        <w:rPr>
          <w:noProof/>
        </w:rPr>
        <w:t xml:space="preserve"> u</w:t>
      </w:r>
      <w:r w:rsidR="00710B91">
        <w:rPr>
          <w:noProof/>
        </w:rPr>
        <w:t> </w:t>
      </w:r>
      <w:r w:rsidR="00710B91" w:rsidRPr="00710B91">
        <w:rPr>
          <w:noProof/>
        </w:rPr>
        <w:t>ich</w:t>
      </w:r>
      <w:r w:rsidRPr="00710B91">
        <w:rPr>
          <w:noProof/>
        </w:rPr>
        <w:t xml:space="preserve"> podstaw proponuje się utworzenie specjalnej platformy informatycznej, na którą składałyby się zarówno komponenty scentralizowane, jak</w:t>
      </w:r>
      <w:r w:rsidR="00710B91" w:rsidRPr="00710B91">
        <w:rPr>
          <w:noProof/>
        </w:rPr>
        <w:t xml:space="preserve"> i</w:t>
      </w:r>
      <w:r w:rsidR="00710B91">
        <w:rPr>
          <w:noProof/>
        </w:rPr>
        <w:t> </w:t>
      </w:r>
      <w:r w:rsidR="00710B91" w:rsidRPr="00710B91">
        <w:rPr>
          <w:noProof/>
        </w:rPr>
        <w:t>zde</w:t>
      </w:r>
      <w:r w:rsidRPr="00710B91">
        <w:rPr>
          <w:noProof/>
        </w:rPr>
        <w:t>centralizowane – platformy współpracy zespołów JIT. Do platformy miałyby dostęp wszystkie podmioty zaangażowane</w:t>
      </w:r>
      <w:r w:rsidR="00710B91" w:rsidRPr="00710B91">
        <w:rPr>
          <w:noProof/>
        </w:rPr>
        <w:t xml:space="preserve"> w</w:t>
      </w:r>
      <w:r w:rsidR="00710B91">
        <w:rPr>
          <w:noProof/>
        </w:rPr>
        <w:t> </w:t>
      </w:r>
      <w:r w:rsidR="00710B91" w:rsidRPr="00710B91">
        <w:rPr>
          <w:noProof/>
        </w:rPr>
        <w:t>pos</w:t>
      </w:r>
      <w:r w:rsidRPr="00710B91">
        <w:rPr>
          <w:noProof/>
        </w:rPr>
        <w:t>tępowania zespołów JIT, tj. przedstawiciele państw członkowskich pełniący rolę członków danego zespołu JIT, przedstawiciele państw trzecich zaproszeni do współpracy</w:t>
      </w:r>
      <w:r w:rsidR="00710B91" w:rsidRPr="00710B91">
        <w:rPr>
          <w:noProof/>
        </w:rPr>
        <w:t xml:space="preserve"> w</w:t>
      </w:r>
      <w:r w:rsidR="00710B91">
        <w:rPr>
          <w:noProof/>
        </w:rPr>
        <w:t> </w:t>
      </w:r>
      <w:r w:rsidR="00710B91" w:rsidRPr="00710B91">
        <w:rPr>
          <w:noProof/>
        </w:rPr>
        <w:t>kon</w:t>
      </w:r>
      <w:r w:rsidRPr="00710B91">
        <w:rPr>
          <w:noProof/>
        </w:rPr>
        <w:t>tekście danego zespołu JIT oraz właściwe organy</w:t>
      </w:r>
      <w:r w:rsidR="00710B91" w:rsidRPr="00710B91">
        <w:rPr>
          <w:noProof/>
        </w:rPr>
        <w:t xml:space="preserve"> i</w:t>
      </w:r>
      <w:r w:rsidR="00710B91">
        <w:rPr>
          <w:noProof/>
        </w:rPr>
        <w:t> </w:t>
      </w:r>
      <w:r w:rsidR="00710B91" w:rsidRPr="00710B91">
        <w:rPr>
          <w:noProof/>
        </w:rPr>
        <w:t>jed</w:t>
      </w:r>
      <w:r w:rsidRPr="00710B91">
        <w:rPr>
          <w:noProof/>
        </w:rPr>
        <w:t>nostki organizacyjne Unii, jak np. Eurojust, Europol, Prokuratura Europejska i OLAF.</w:t>
      </w:r>
    </w:p>
    <w:p w14:paraId="02D850D4" w14:textId="650C9DE7" w:rsidR="00920E47" w:rsidRPr="00710B91" w:rsidRDefault="00920E47" w:rsidP="00E2148B">
      <w:pPr>
        <w:rPr>
          <w:noProof/>
        </w:rPr>
      </w:pPr>
      <w:r w:rsidRPr="00710B91">
        <w:rPr>
          <w:noProof/>
        </w:rPr>
        <w:t>Kluczowe funkcje, opisane szczegółowo poniżej, ułatwią komunikację elektroniczną, pozwolą na udostępnianie informacji</w:t>
      </w:r>
      <w:r w:rsidR="00710B91" w:rsidRPr="00710B91">
        <w:rPr>
          <w:noProof/>
        </w:rPr>
        <w:t xml:space="preserve"> i</w:t>
      </w:r>
      <w:r w:rsidR="00710B91">
        <w:rPr>
          <w:noProof/>
        </w:rPr>
        <w:t> </w:t>
      </w:r>
      <w:r w:rsidR="00710B91" w:rsidRPr="00710B91">
        <w:rPr>
          <w:noProof/>
        </w:rPr>
        <w:t>dow</w:t>
      </w:r>
      <w:r w:rsidRPr="00710B91">
        <w:rPr>
          <w:noProof/>
        </w:rPr>
        <w:t>odów,</w:t>
      </w:r>
      <w:r w:rsidR="00710B91" w:rsidRPr="00710B91">
        <w:rPr>
          <w:noProof/>
        </w:rPr>
        <w:t xml:space="preserve"> w</w:t>
      </w:r>
      <w:r w:rsidR="00710B91">
        <w:rPr>
          <w:noProof/>
        </w:rPr>
        <w:t> </w:t>
      </w:r>
      <w:r w:rsidR="00710B91" w:rsidRPr="00710B91">
        <w:rPr>
          <w:noProof/>
        </w:rPr>
        <w:t>tym</w:t>
      </w:r>
      <w:r w:rsidRPr="00710B91">
        <w:rPr>
          <w:noProof/>
        </w:rPr>
        <w:t xml:space="preserve"> dużych ilości danych, zapewnią identyfikowalność dowodów oraz planowanie</w:t>
      </w:r>
      <w:r w:rsidR="00710B91" w:rsidRPr="00710B91">
        <w:rPr>
          <w:noProof/>
        </w:rPr>
        <w:t xml:space="preserve"> i</w:t>
      </w:r>
      <w:r w:rsidR="00710B91">
        <w:rPr>
          <w:noProof/>
        </w:rPr>
        <w:t> </w:t>
      </w:r>
      <w:r w:rsidR="00710B91" w:rsidRPr="00710B91">
        <w:rPr>
          <w:noProof/>
        </w:rPr>
        <w:t>koo</w:t>
      </w:r>
      <w:r w:rsidRPr="00710B91">
        <w:rPr>
          <w:noProof/>
        </w:rPr>
        <w:t>rdynację operacji zespołu JIT.</w:t>
      </w:r>
    </w:p>
    <w:p w14:paraId="3FA18F76" w14:textId="6ADD62AB" w:rsidR="00920E47" w:rsidRPr="00710B91" w:rsidRDefault="00920E47" w:rsidP="00E2148B">
      <w:pPr>
        <w:rPr>
          <w:noProof/>
        </w:rPr>
      </w:pPr>
      <w:r w:rsidRPr="00710B91">
        <w:rPr>
          <w:noProof/>
        </w:rPr>
        <w:t>Projekt platformy, jej utworzenie, zarządzanie techniczne platformą oraz utrzymanie jej zostaną powierzone Agencji Unii Europejskiej ds. Zarządzania Operacyjnego Wielkoskalowymi Systemami Informatycznymi</w:t>
      </w:r>
      <w:r w:rsidR="00710B91" w:rsidRPr="00710B91">
        <w:rPr>
          <w:noProof/>
        </w:rPr>
        <w:t xml:space="preserve"> w</w:t>
      </w:r>
      <w:r w:rsidR="00710B91">
        <w:rPr>
          <w:noProof/>
        </w:rPr>
        <w:t> </w:t>
      </w:r>
      <w:r w:rsidR="00710B91" w:rsidRPr="00710B91">
        <w:rPr>
          <w:noProof/>
        </w:rPr>
        <w:t>Prz</w:t>
      </w:r>
      <w:r w:rsidRPr="00710B91">
        <w:rPr>
          <w:noProof/>
        </w:rPr>
        <w:t>estrzeni Wolności, Bezpieczeństwa</w:t>
      </w:r>
      <w:r w:rsidR="00710B91" w:rsidRPr="00710B91">
        <w:rPr>
          <w:noProof/>
        </w:rPr>
        <w:t xml:space="preserve"> i</w:t>
      </w:r>
      <w:r w:rsidR="00710B91">
        <w:rPr>
          <w:noProof/>
        </w:rPr>
        <w:t> </w:t>
      </w:r>
      <w:r w:rsidR="00710B91" w:rsidRPr="00710B91">
        <w:rPr>
          <w:noProof/>
        </w:rPr>
        <w:t>Spr</w:t>
      </w:r>
      <w:r w:rsidRPr="00710B91">
        <w:rPr>
          <w:noProof/>
        </w:rPr>
        <w:t>awiedliwości (eu-LISA), która jest unijną agencją odpowiedzialną za wielkoskalowe systemy informatyczne</w:t>
      </w:r>
      <w:r w:rsidR="00710B91" w:rsidRPr="00710B91">
        <w:rPr>
          <w:noProof/>
        </w:rPr>
        <w:t xml:space="preserve"> w</w:t>
      </w:r>
      <w:r w:rsidR="00710B91">
        <w:rPr>
          <w:noProof/>
        </w:rPr>
        <w:t> </w:t>
      </w:r>
      <w:r w:rsidR="00710B91" w:rsidRPr="00710B91">
        <w:rPr>
          <w:noProof/>
          <w:szCs w:val="24"/>
          <w:shd w:val="clear" w:color="auto" w:fill="FFFFFF"/>
        </w:rPr>
        <w:t>prz</w:t>
      </w:r>
      <w:r w:rsidRPr="00710B91">
        <w:rPr>
          <w:noProof/>
          <w:szCs w:val="24"/>
          <w:shd w:val="clear" w:color="auto" w:fill="FFFFFF"/>
        </w:rPr>
        <w:t>estrzeni wolności, bezpieczeństwa</w:t>
      </w:r>
      <w:r w:rsidR="00710B91" w:rsidRPr="00710B91">
        <w:rPr>
          <w:noProof/>
          <w:szCs w:val="24"/>
          <w:shd w:val="clear" w:color="auto" w:fill="FFFFFF"/>
        </w:rPr>
        <w:t xml:space="preserve"> i</w:t>
      </w:r>
      <w:r w:rsidR="00710B91">
        <w:rPr>
          <w:noProof/>
          <w:szCs w:val="24"/>
          <w:shd w:val="clear" w:color="auto" w:fill="FFFFFF"/>
        </w:rPr>
        <w:t> </w:t>
      </w:r>
      <w:r w:rsidR="00710B91" w:rsidRPr="00710B91">
        <w:rPr>
          <w:noProof/>
          <w:szCs w:val="24"/>
          <w:shd w:val="clear" w:color="auto" w:fill="FFFFFF"/>
        </w:rPr>
        <w:t>spr</w:t>
      </w:r>
      <w:r w:rsidRPr="00710B91">
        <w:rPr>
          <w:noProof/>
          <w:szCs w:val="24"/>
          <w:shd w:val="clear" w:color="auto" w:fill="FFFFFF"/>
        </w:rPr>
        <w:t>awiedliwości</w:t>
      </w:r>
      <w:r w:rsidRPr="00710B91">
        <w:rPr>
          <w:noProof/>
        </w:rPr>
        <w:t xml:space="preserve">. </w:t>
      </w:r>
    </w:p>
    <w:p w14:paraId="3409866B" w14:textId="703FD6A4" w:rsidR="00920E47" w:rsidRPr="00710B91" w:rsidRDefault="00920E47" w:rsidP="00E2148B">
      <w:pPr>
        <w:rPr>
          <w:noProof/>
        </w:rPr>
      </w:pPr>
      <w:r w:rsidRPr="00710B91">
        <w:rPr>
          <w:noProof/>
        </w:rPr>
        <w:t>Platforma miałaby charakter dobrowolny, więc organy uczestniczące w JIT miałyby pełną swobodę odnośnie do decyzji wykorzystania platformy przez konkretny zespół JIT. Ponadto członkowie</w:t>
      </w:r>
      <w:r w:rsidR="00710B91" w:rsidRPr="00710B91">
        <w:rPr>
          <w:noProof/>
        </w:rPr>
        <w:t xml:space="preserve"> i</w:t>
      </w:r>
      <w:r w:rsidR="00710B91">
        <w:rPr>
          <w:noProof/>
        </w:rPr>
        <w:t> </w:t>
      </w:r>
      <w:r w:rsidR="00710B91" w:rsidRPr="00710B91">
        <w:rPr>
          <w:noProof/>
        </w:rPr>
        <w:t>ucz</w:t>
      </w:r>
      <w:r w:rsidRPr="00710B91">
        <w:rPr>
          <w:noProof/>
        </w:rPr>
        <w:t>estnicy zespołów JIT mogliby swobodnie korzystać</w:t>
      </w:r>
      <w:r w:rsidR="00710B91" w:rsidRPr="00710B91">
        <w:rPr>
          <w:noProof/>
        </w:rPr>
        <w:t xml:space="preserve"> z</w:t>
      </w:r>
      <w:r w:rsidR="00710B91">
        <w:rPr>
          <w:noProof/>
        </w:rPr>
        <w:t> </w:t>
      </w:r>
      <w:r w:rsidR="00710B91" w:rsidRPr="00710B91">
        <w:rPr>
          <w:noProof/>
        </w:rPr>
        <w:t>inn</w:t>
      </w:r>
      <w:r w:rsidRPr="00710B91">
        <w:rPr>
          <w:noProof/>
        </w:rPr>
        <w:t xml:space="preserve">ych narzędzi podczas użytkowania platformy. Mogliby na przykład przekazać dowody osobiście podczas spotkania roboczego lub przez aplikację sieci bezpiecznej wymiany informacji (SIENA) obsługiwaną przez Europol. </w:t>
      </w:r>
    </w:p>
    <w:p w14:paraId="6C767FEC" w14:textId="0659290C" w:rsidR="00920E47" w:rsidRPr="00710B91" w:rsidRDefault="00920E47" w:rsidP="00E2148B">
      <w:pPr>
        <w:rPr>
          <w:noProof/>
        </w:rPr>
      </w:pPr>
      <w:r w:rsidRPr="00710B91">
        <w:rPr>
          <w:noProof/>
        </w:rPr>
        <w:t>Architektura platformy umożliwiłaby utworzenie (nieinteroperacyjnych) sesji</w:t>
      </w:r>
      <w:r w:rsidR="00710B91" w:rsidRPr="00710B91">
        <w:rPr>
          <w:noProof/>
        </w:rPr>
        <w:t xml:space="preserve"> w</w:t>
      </w:r>
      <w:r w:rsidR="00710B91">
        <w:rPr>
          <w:noProof/>
        </w:rPr>
        <w:t> </w:t>
      </w:r>
      <w:r w:rsidR="00710B91" w:rsidRPr="00710B91">
        <w:rPr>
          <w:noProof/>
        </w:rPr>
        <w:t>izo</w:t>
      </w:r>
      <w:r w:rsidRPr="00710B91">
        <w:rPr>
          <w:noProof/>
        </w:rPr>
        <w:t>lowanej strefie – „przestrzeni współpracy zespołu JIT” – przypisanej do każdego zespołu JIT</w:t>
      </w:r>
      <w:r w:rsidR="00710B91" w:rsidRPr="00710B91">
        <w:rPr>
          <w:noProof/>
        </w:rPr>
        <w:t xml:space="preserve"> i</w:t>
      </w:r>
      <w:r w:rsidR="00710B91">
        <w:rPr>
          <w:noProof/>
        </w:rPr>
        <w:t> </w:t>
      </w:r>
      <w:r w:rsidR="00710B91" w:rsidRPr="00710B91">
        <w:rPr>
          <w:noProof/>
        </w:rPr>
        <w:t>otw</w:t>
      </w:r>
      <w:r w:rsidRPr="00710B91">
        <w:rPr>
          <w:noProof/>
        </w:rPr>
        <w:t>artej wyłącznie</w:t>
      </w:r>
      <w:r w:rsidR="00710B91" w:rsidRPr="00710B91">
        <w:rPr>
          <w:noProof/>
        </w:rPr>
        <w:t xml:space="preserve"> w</w:t>
      </w:r>
      <w:r w:rsidR="00710B91">
        <w:rPr>
          <w:noProof/>
        </w:rPr>
        <w:t> </w:t>
      </w:r>
      <w:r w:rsidR="00710B91" w:rsidRPr="00710B91">
        <w:rPr>
          <w:noProof/>
        </w:rPr>
        <w:t>okr</w:t>
      </w:r>
      <w:r w:rsidRPr="00710B91">
        <w:rPr>
          <w:noProof/>
        </w:rPr>
        <w:t>esie jego istnienia. Nie istniałyby funkcje przekrojowe ani wszelkie inne interakcje między różnymi zespołami JIT korzystającymi</w:t>
      </w:r>
      <w:r w:rsidR="00710B91" w:rsidRPr="00710B91">
        <w:rPr>
          <w:noProof/>
        </w:rPr>
        <w:t xml:space="preserve"> z</w:t>
      </w:r>
      <w:r w:rsidR="00710B91">
        <w:rPr>
          <w:noProof/>
        </w:rPr>
        <w:t> </w:t>
      </w:r>
      <w:r w:rsidR="00710B91" w:rsidRPr="00710B91">
        <w:rPr>
          <w:noProof/>
        </w:rPr>
        <w:t>pla</w:t>
      </w:r>
      <w:r w:rsidRPr="00710B91">
        <w:rPr>
          <w:noProof/>
        </w:rPr>
        <w:t>tformy.</w:t>
      </w:r>
    </w:p>
    <w:p w14:paraId="191684C3" w14:textId="42D1E69C" w:rsidR="00920E47" w:rsidRPr="00710B91" w:rsidRDefault="00920E47" w:rsidP="00E2148B">
      <w:pPr>
        <w:rPr>
          <w:noProof/>
        </w:rPr>
      </w:pPr>
      <w:r w:rsidRPr="00710B91">
        <w:rPr>
          <w:noProof/>
        </w:rPr>
        <w:t>Platforma obsługiwałaby funkcjonowanie zespołów JIT zarówno na etapie operacyjnym, jak</w:t>
      </w:r>
      <w:r w:rsidR="00710B91" w:rsidRPr="00710B91">
        <w:rPr>
          <w:noProof/>
        </w:rPr>
        <w:t xml:space="preserve"> i</w:t>
      </w:r>
      <w:r w:rsidR="00710B91">
        <w:rPr>
          <w:noProof/>
        </w:rPr>
        <w:t> </w:t>
      </w:r>
      <w:r w:rsidR="00710B91" w:rsidRPr="00710B91">
        <w:rPr>
          <w:noProof/>
        </w:rPr>
        <w:t>poo</w:t>
      </w:r>
      <w:r w:rsidRPr="00710B91">
        <w:rPr>
          <w:noProof/>
        </w:rPr>
        <w:t>peracyjnym</w:t>
      </w:r>
      <w:r w:rsidR="00710B91" w:rsidRPr="00710B91">
        <w:rPr>
          <w:noProof/>
        </w:rPr>
        <w:t>. W</w:t>
      </w:r>
      <w:r w:rsidR="00710B91">
        <w:rPr>
          <w:noProof/>
        </w:rPr>
        <w:t> </w:t>
      </w:r>
      <w:r w:rsidR="00710B91" w:rsidRPr="00710B91">
        <w:rPr>
          <w:noProof/>
        </w:rPr>
        <w:t>pra</w:t>
      </w:r>
      <w:r w:rsidRPr="00710B91">
        <w:rPr>
          <w:noProof/>
        </w:rPr>
        <w:t xml:space="preserve">ktyce przestrzeń współpracy zespołu JIT na platformie można by stworzyć po podpisaniu umowy o JIT przez wszystkie strony ustanawiające. Przestrzeń zostałaby zamknięta po zakończeniu procesu oceny. </w:t>
      </w:r>
    </w:p>
    <w:p w14:paraId="0FEFE26B" w14:textId="19C8D796" w:rsidR="00920E47" w:rsidRPr="00710B91" w:rsidRDefault="00920E47" w:rsidP="00E2148B">
      <w:pPr>
        <w:rPr>
          <w:noProof/>
        </w:rPr>
      </w:pPr>
      <w:r w:rsidRPr="00710B91">
        <w:rPr>
          <w:noProof/>
        </w:rPr>
        <w:t>Dostęp do platformy zostałby nadany na zwykłych komputerach (stacjonarnych, laptopach itp.),</w:t>
      </w:r>
      <w:r w:rsidR="00710B91" w:rsidRPr="00710B91">
        <w:rPr>
          <w:noProof/>
        </w:rPr>
        <w:t xml:space="preserve"> a</w:t>
      </w:r>
      <w:r w:rsidR="00710B91">
        <w:rPr>
          <w:noProof/>
        </w:rPr>
        <w:t> </w:t>
      </w:r>
      <w:r w:rsidR="00710B91" w:rsidRPr="00710B91">
        <w:rPr>
          <w:noProof/>
        </w:rPr>
        <w:t>tak</w:t>
      </w:r>
      <w:r w:rsidRPr="00710B91">
        <w:rPr>
          <w:noProof/>
        </w:rPr>
        <w:t>że na urządzeniach przenośnych. Interfejs platformy byłby dostępny we wszystkich językach UE.</w:t>
      </w:r>
    </w:p>
    <w:p w14:paraId="00CDD17B" w14:textId="1BAB0F7C" w:rsidR="00920E47" w:rsidRPr="00710B91" w:rsidRDefault="00920E47" w:rsidP="00E2148B">
      <w:pPr>
        <w:rPr>
          <w:noProof/>
        </w:rPr>
      </w:pPr>
      <w:r w:rsidRPr="00710B91">
        <w:rPr>
          <w:noProof/>
        </w:rPr>
        <w:t>Pod względem technicznym platforma składałaby się</w:t>
      </w:r>
      <w:r w:rsidR="00710B91" w:rsidRPr="00710B91">
        <w:rPr>
          <w:noProof/>
        </w:rPr>
        <w:t xml:space="preserve"> z</w:t>
      </w:r>
      <w:r w:rsidR="00710B91">
        <w:rPr>
          <w:noProof/>
        </w:rPr>
        <w:t> </w:t>
      </w:r>
      <w:r w:rsidR="00710B91" w:rsidRPr="00710B91">
        <w:rPr>
          <w:noProof/>
        </w:rPr>
        <w:t>dwó</w:t>
      </w:r>
      <w:r w:rsidRPr="00710B91">
        <w:rPr>
          <w:noProof/>
        </w:rPr>
        <w:t>ch różnych elementów: (i) scentralizowanego systemu informacyjnego, który pozwalałby na tymczasowe scentralizowane przechowywanie danych, oraz (ii) oprogramowania komunikacyjnego – aplikacji mobilnej, która umożliwiałaby komunikację</w:t>
      </w:r>
      <w:r w:rsidR="00710B91" w:rsidRPr="00710B91">
        <w:rPr>
          <w:noProof/>
        </w:rPr>
        <w:t xml:space="preserve"> i</w:t>
      </w:r>
      <w:r w:rsidR="00710B91">
        <w:rPr>
          <w:noProof/>
        </w:rPr>
        <w:t> </w:t>
      </w:r>
      <w:r w:rsidR="00710B91" w:rsidRPr="00710B91">
        <w:rPr>
          <w:noProof/>
        </w:rPr>
        <w:t>prz</w:t>
      </w:r>
      <w:r w:rsidRPr="00710B91">
        <w:rPr>
          <w:noProof/>
        </w:rPr>
        <w:t>echowywanie danych komunikacji lokalnej.</w:t>
      </w:r>
    </w:p>
    <w:p w14:paraId="31894513" w14:textId="69F69FAB" w:rsidR="00BD1F32" w:rsidRPr="00710B91" w:rsidRDefault="00920E47" w:rsidP="00BD1F32">
      <w:pPr>
        <w:pBdr>
          <w:top w:val="nil"/>
          <w:left w:val="nil"/>
          <w:bottom w:val="nil"/>
          <w:right w:val="nil"/>
          <w:between w:val="nil"/>
          <w:bar w:val="nil"/>
        </w:pBdr>
        <w:spacing w:before="0" w:after="240"/>
        <w:rPr>
          <w:noProof/>
        </w:rPr>
      </w:pPr>
      <w:r w:rsidRPr="00710B91">
        <w:rPr>
          <w:noProof/>
        </w:rPr>
        <w:t>Z punktu widzenia bezpieczeństwa – mimo że platforma będzie działać przez internet, aby zapewnić do niej elastyczny dostęp – położony zostanie nacisk na zagwarantowanie poufności już</w:t>
      </w:r>
      <w:r w:rsidR="00710B91" w:rsidRPr="00710B91">
        <w:rPr>
          <w:noProof/>
        </w:rPr>
        <w:t xml:space="preserve"> w</w:t>
      </w:r>
      <w:r w:rsidR="00710B91">
        <w:rPr>
          <w:noProof/>
        </w:rPr>
        <w:t> </w:t>
      </w:r>
      <w:r w:rsidR="00710B91" w:rsidRPr="00710B91">
        <w:rPr>
          <w:noProof/>
        </w:rPr>
        <w:t>faz</w:t>
      </w:r>
      <w:r w:rsidRPr="00710B91">
        <w:rPr>
          <w:noProof/>
        </w:rPr>
        <w:t>ie projektowania. Założenie to będzie osiągnięte dzięki wdrożeniu solidnych algorytmów szyfrowania na całej drodze przesyłu mających na celu zaszyfrowanie danych</w:t>
      </w:r>
      <w:r w:rsidR="00710B91" w:rsidRPr="00710B91">
        <w:rPr>
          <w:noProof/>
        </w:rPr>
        <w:t xml:space="preserve"> w</w:t>
      </w:r>
      <w:r w:rsidR="00710B91">
        <w:rPr>
          <w:noProof/>
        </w:rPr>
        <w:t> </w:t>
      </w:r>
      <w:r w:rsidR="00710B91" w:rsidRPr="00710B91">
        <w:rPr>
          <w:noProof/>
        </w:rPr>
        <w:t>tra</w:t>
      </w:r>
      <w:r w:rsidRPr="00710B91">
        <w:rPr>
          <w:noProof/>
        </w:rPr>
        <w:t>kcie przesyłania lub</w:t>
      </w:r>
      <w:r w:rsidR="00710B91" w:rsidRPr="00710B91">
        <w:rPr>
          <w:noProof/>
        </w:rPr>
        <w:t xml:space="preserve"> w</w:t>
      </w:r>
      <w:r w:rsidR="00710B91">
        <w:rPr>
          <w:noProof/>
        </w:rPr>
        <w:t> </w:t>
      </w:r>
      <w:r w:rsidR="00710B91" w:rsidRPr="00710B91">
        <w:rPr>
          <w:noProof/>
        </w:rPr>
        <w:t>sta</w:t>
      </w:r>
      <w:r w:rsidRPr="00710B91">
        <w:rPr>
          <w:noProof/>
        </w:rPr>
        <w:t>nie spoczynku (tj.</w:t>
      </w:r>
      <w:r w:rsidR="00710B91" w:rsidRPr="00710B91">
        <w:rPr>
          <w:noProof/>
        </w:rPr>
        <w:t xml:space="preserve"> w</w:t>
      </w:r>
      <w:r w:rsidR="00710B91">
        <w:rPr>
          <w:noProof/>
        </w:rPr>
        <w:t> </w:t>
      </w:r>
      <w:r w:rsidR="00710B91" w:rsidRPr="00710B91">
        <w:rPr>
          <w:noProof/>
        </w:rPr>
        <w:t>tra</w:t>
      </w:r>
      <w:r w:rsidRPr="00710B91">
        <w:rPr>
          <w:noProof/>
        </w:rPr>
        <w:t>kcie przechowywania na fizycznym nośniku). Funkcja ta jest kluczowa do pozyskania zaufania praktyków JIT, którzy mają dostęp do danych wrażliwych</w:t>
      </w:r>
      <w:r w:rsidR="00710B91" w:rsidRPr="00710B91">
        <w:rPr>
          <w:noProof/>
        </w:rPr>
        <w:t xml:space="preserve"> i</w:t>
      </w:r>
      <w:r w:rsidR="00710B91">
        <w:rPr>
          <w:noProof/>
        </w:rPr>
        <w:t> </w:t>
      </w:r>
      <w:r w:rsidR="00710B91" w:rsidRPr="00710B91">
        <w:rPr>
          <w:noProof/>
        </w:rPr>
        <w:t>mus</w:t>
      </w:r>
      <w:r w:rsidRPr="00710B91">
        <w:rPr>
          <w:noProof/>
        </w:rPr>
        <w:t>zą mieć pewność, że nie istnieje żadne ryzyko ich niekontrolowanego ujawnienia. Ponadto zostaną wdrożone mechanizmy wielostopniowej identyfikacji</w:t>
      </w:r>
      <w:r w:rsidR="00710B91" w:rsidRPr="00710B91">
        <w:rPr>
          <w:noProof/>
        </w:rPr>
        <w:t xml:space="preserve"> i</w:t>
      </w:r>
      <w:r w:rsidR="00710B91">
        <w:rPr>
          <w:noProof/>
        </w:rPr>
        <w:t> </w:t>
      </w:r>
      <w:r w:rsidR="00710B91" w:rsidRPr="00710B91">
        <w:rPr>
          <w:noProof/>
        </w:rPr>
        <w:t>uwi</w:t>
      </w:r>
      <w:r w:rsidRPr="00710B91">
        <w:rPr>
          <w:noProof/>
        </w:rPr>
        <w:t>erzytelniania, aby zagwarantować, że dostęp do platformy będą mieli wyłącznie upoważnieni członkowie</w:t>
      </w:r>
      <w:r w:rsidR="00710B91" w:rsidRPr="00710B91">
        <w:rPr>
          <w:noProof/>
        </w:rPr>
        <w:t xml:space="preserve"> i</w:t>
      </w:r>
      <w:r w:rsidR="00710B91">
        <w:rPr>
          <w:noProof/>
        </w:rPr>
        <w:t> </w:t>
      </w:r>
      <w:r w:rsidR="00710B91" w:rsidRPr="00710B91">
        <w:rPr>
          <w:noProof/>
        </w:rPr>
        <w:t>ucz</w:t>
      </w:r>
      <w:r w:rsidRPr="00710B91">
        <w:rPr>
          <w:noProof/>
        </w:rPr>
        <w:t>estnicy zespołów JIT.</w:t>
      </w:r>
    </w:p>
    <w:p w14:paraId="7CE88B85" w14:textId="4B5339DA" w:rsidR="00E7216E" w:rsidRPr="00710B91" w:rsidRDefault="00BD1F32" w:rsidP="00BD1F32">
      <w:pPr>
        <w:pBdr>
          <w:top w:val="nil"/>
          <w:left w:val="nil"/>
          <w:bottom w:val="nil"/>
          <w:right w:val="nil"/>
          <w:between w:val="nil"/>
          <w:bar w:val="nil"/>
        </w:pBdr>
        <w:spacing w:before="0" w:after="240"/>
        <w:rPr>
          <w:noProof/>
        </w:rPr>
      </w:pPr>
      <w:r w:rsidRPr="00710B91">
        <w:rPr>
          <w:noProof/>
        </w:rPr>
        <w:t>Podczas projektowania platformy współpracy zespołów JIT eu-LISA powinna zapewnić techniczną interoperacyjność</w:t>
      </w:r>
      <w:r w:rsidR="00710B91" w:rsidRPr="00710B91">
        <w:rPr>
          <w:noProof/>
        </w:rPr>
        <w:t xml:space="preserve"> z</w:t>
      </w:r>
      <w:r w:rsidR="00710B91">
        <w:rPr>
          <w:noProof/>
        </w:rPr>
        <w:t> </w:t>
      </w:r>
      <w:r w:rsidR="00710B91" w:rsidRPr="00710B91">
        <w:rPr>
          <w:noProof/>
        </w:rPr>
        <w:t>nar</w:t>
      </w:r>
      <w:r w:rsidRPr="00710B91">
        <w:rPr>
          <w:noProof/>
        </w:rPr>
        <w:t>zędziem SIENA.</w:t>
      </w:r>
    </w:p>
    <w:p w14:paraId="1837AADD" w14:textId="22572583" w:rsidR="00920E47" w:rsidRPr="00710B91" w:rsidRDefault="00920E47" w:rsidP="0005122E">
      <w:pPr>
        <w:pBdr>
          <w:top w:val="nil"/>
          <w:left w:val="nil"/>
          <w:bottom w:val="nil"/>
          <w:right w:val="nil"/>
          <w:between w:val="nil"/>
          <w:bar w:val="nil"/>
        </w:pBdr>
        <w:spacing w:after="240"/>
        <w:rPr>
          <w:rFonts w:eastAsia="Arial Unicode MS"/>
          <w:i/>
          <w:noProof/>
        </w:rPr>
      </w:pPr>
      <w:r w:rsidRPr="00710B91">
        <w:rPr>
          <w:i/>
          <w:noProof/>
        </w:rPr>
        <w:t>Kluczowe funkcje</w:t>
      </w:r>
    </w:p>
    <w:p w14:paraId="2AA2A1B3" w14:textId="6E632A2C" w:rsidR="00920E47" w:rsidRPr="00710B91" w:rsidRDefault="00920E47" w:rsidP="0005122E">
      <w:pPr>
        <w:pBdr>
          <w:top w:val="nil"/>
          <w:left w:val="nil"/>
          <w:bottom w:val="nil"/>
          <w:right w:val="nil"/>
          <w:between w:val="nil"/>
          <w:bar w:val="nil"/>
        </w:pBdr>
        <w:spacing w:before="0" w:after="240"/>
        <w:rPr>
          <w:rFonts w:eastAsia="Arial Unicode MS"/>
          <w:noProof/>
        </w:rPr>
      </w:pPr>
      <w:r w:rsidRPr="00710B91">
        <w:rPr>
          <w:noProof/>
        </w:rPr>
        <w:t>Platforma będzie oferować następujące kluczowe funkcje:</w:t>
      </w:r>
    </w:p>
    <w:p w14:paraId="3C221975" w14:textId="1746B967" w:rsidR="00920E47" w:rsidRPr="00710B91" w:rsidRDefault="00920E47" w:rsidP="009D79B9">
      <w:pPr>
        <w:pStyle w:val="Bullet0"/>
        <w:tabs>
          <w:tab w:val="clear" w:pos="850"/>
          <w:tab w:val="num" w:pos="567"/>
        </w:tabs>
        <w:ind w:left="567" w:hanging="567"/>
        <w:rPr>
          <w:noProof/>
        </w:rPr>
      </w:pPr>
      <w:r w:rsidRPr="00710B91">
        <w:rPr>
          <w:noProof/>
        </w:rPr>
        <w:t>bezpieczną, nieidentyfikowalną komunikację przechowywaną lokalnie na urządzeniach użytkowników,</w:t>
      </w:r>
      <w:r w:rsidR="00710B91" w:rsidRPr="00710B91">
        <w:rPr>
          <w:noProof/>
        </w:rPr>
        <w:t xml:space="preserve"> w</w:t>
      </w:r>
      <w:r w:rsidR="00710B91">
        <w:rPr>
          <w:noProof/>
        </w:rPr>
        <w:t> </w:t>
      </w:r>
      <w:r w:rsidR="00710B91" w:rsidRPr="00710B91">
        <w:rPr>
          <w:noProof/>
        </w:rPr>
        <w:t>tym</w:t>
      </w:r>
      <w:r w:rsidRPr="00710B91">
        <w:rPr>
          <w:noProof/>
        </w:rPr>
        <w:t xml:space="preserve"> narzędzie komunikacyjne oferujące system komunikacji błyskawicznej, funkcję czatu, audiokonferencje</w:t>
      </w:r>
      <w:r w:rsidR="00710B91" w:rsidRPr="00710B91">
        <w:rPr>
          <w:noProof/>
        </w:rPr>
        <w:t xml:space="preserve"> i</w:t>
      </w:r>
      <w:r w:rsidR="00710B91">
        <w:rPr>
          <w:noProof/>
        </w:rPr>
        <w:t> </w:t>
      </w:r>
      <w:r w:rsidR="00710B91" w:rsidRPr="00710B91">
        <w:rPr>
          <w:noProof/>
        </w:rPr>
        <w:t>wid</w:t>
      </w:r>
      <w:r w:rsidRPr="00710B91">
        <w:rPr>
          <w:noProof/>
        </w:rPr>
        <w:t>eokonferencje oraz funkcję zastępującą standardową pocztę elektroniczną;</w:t>
      </w:r>
    </w:p>
    <w:p w14:paraId="033777A6" w14:textId="38C37266" w:rsidR="00920E47" w:rsidRPr="00710B91" w:rsidRDefault="00920E47" w:rsidP="009D79B9">
      <w:pPr>
        <w:pStyle w:val="Bullet0"/>
        <w:tabs>
          <w:tab w:val="clear" w:pos="850"/>
          <w:tab w:val="num" w:pos="567"/>
        </w:tabs>
        <w:ind w:left="567" w:hanging="567"/>
        <w:rPr>
          <w:noProof/>
        </w:rPr>
      </w:pPr>
      <w:r w:rsidRPr="00710B91">
        <w:rPr>
          <w:noProof/>
        </w:rPr>
        <w:t>wymianę informacji</w:t>
      </w:r>
      <w:r w:rsidR="00710B91" w:rsidRPr="00710B91">
        <w:rPr>
          <w:noProof/>
        </w:rPr>
        <w:t xml:space="preserve"> i</w:t>
      </w:r>
      <w:r w:rsidR="00710B91">
        <w:rPr>
          <w:noProof/>
        </w:rPr>
        <w:t> </w:t>
      </w:r>
      <w:r w:rsidR="00710B91" w:rsidRPr="00710B91">
        <w:rPr>
          <w:noProof/>
        </w:rPr>
        <w:t>dow</w:t>
      </w:r>
      <w:r w:rsidRPr="00710B91">
        <w:rPr>
          <w:noProof/>
        </w:rPr>
        <w:t>odów,</w:t>
      </w:r>
      <w:r w:rsidR="00710B91" w:rsidRPr="00710B91">
        <w:rPr>
          <w:noProof/>
        </w:rPr>
        <w:t xml:space="preserve"> w</w:t>
      </w:r>
      <w:r w:rsidR="00710B91">
        <w:rPr>
          <w:noProof/>
        </w:rPr>
        <w:t> </w:t>
      </w:r>
      <w:r w:rsidR="00710B91" w:rsidRPr="00710B91">
        <w:rPr>
          <w:noProof/>
        </w:rPr>
        <w:t>tym</w:t>
      </w:r>
      <w:r w:rsidRPr="00710B91">
        <w:rPr>
          <w:noProof/>
        </w:rPr>
        <w:t xml:space="preserve"> dużych plików, poprzez system zamieszczania/pobierania danych opracowany na potrzeby centralnego przechowywania danych wyłącznie przez ograniczony czas potrzebny do technicznego przekazania danych. Dane byłyby automatycznie usuwane</w:t>
      </w:r>
      <w:r w:rsidR="00710B91" w:rsidRPr="00710B91">
        <w:rPr>
          <w:noProof/>
        </w:rPr>
        <w:t xml:space="preserve"> z</w:t>
      </w:r>
      <w:r w:rsidR="00710B91">
        <w:rPr>
          <w:noProof/>
        </w:rPr>
        <w:t> </w:t>
      </w:r>
      <w:r w:rsidR="00710B91" w:rsidRPr="00710B91">
        <w:rPr>
          <w:noProof/>
        </w:rPr>
        <w:t>pla</w:t>
      </w:r>
      <w:r w:rsidRPr="00710B91">
        <w:rPr>
          <w:noProof/>
        </w:rPr>
        <w:t>tformy po pobraniu przez wszystkich odbiorców;</w:t>
      </w:r>
    </w:p>
    <w:p w14:paraId="01F5BC21" w14:textId="69C357DD" w:rsidR="00920E47" w:rsidRPr="00710B91" w:rsidRDefault="00920E47" w:rsidP="009D79B9">
      <w:pPr>
        <w:pStyle w:val="Bullet0"/>
        <w:tabs>
          <w:tab w:val="clear" w:pos="850"/>
          <w:tab w:val="num" w:pos="567"/>
        </w:tabs>
        <w:ind w:left="567" w:hanging="567"/>
        <w:rPr>
          <w:noProof/>
        </w:rPr>
      </w:pPr>
      <w:r w:rsidRPr="00710B91">
        <w:rPr>
          <w:noProof/>
        </w:rPr>
        <w:t>identyfikowalność dowodów – zaawansowany mechanizm logowania pozostawiający rejestr działań wykonywanych przez różnych użytkowników</w:t>
      </w:r>
      <w:r w:rsidR="00710B91" w:rsidRPr="00710B91">
        <w:rPr>
          <w:noProof/>
        </w:rPr>
        <w:t xml:space="preserve"> i</w:t>
      </w:r>
      <w:r w:rsidR="00710B91">
        <w:rPr>
          <w:noProof/>
        </w:rPr>
        <w:t> </w:t>
      </w:r>
      <w:r w:rsidR="00710B91" w:rsidRPr="00710B91">
        <w:rPr>
          <w:noProof/>
        </w:rPr>
        <w:t>cza</w:t>
      </w:r>
      <w:r w:rsidRPr="00710B91">
        <w:rPr>
          <w:noProof/>
        </w:rPr>
        <w:t>su ich wykonania</w:t>
      </w:r>
      <w:r w:rsidR="00710B91" w:rsidRPr="00710B91">
        <w:rPr>
          <w:noProof/>
        </w:rPr>
        <w:t xml:space="preserve"> w</w:t>
      </w:r>
      <w:r w:rsidR="00710B91">
        <w:rPr>
          <w:noProof/>
        </w:rPr>
        <w:t> </w:t>
      </w:r>
      <w:r w:rsidR="00710B91" w:rsidRPr="00710B91">
        <w:rPr>
          <w:noProof/>
        </w:rPr>
        <w:t>odn</w:t>
      </w:r>
      <w:r w:rsidRPr="00710B91">
        <w:rPr>
          <w:noProof/>
        </w:rPr>
        <w:t>iesieniu do wszystkich dowodów udostępnianych za pośrednictwem platformy, który pomaga zapewnić dopuszczalność dowodów przed sądem.</w:t>
      </w:r>
    </w:p>
    <w:p w14:paraId="4B3EE088" w14:textId="7E660557" w:rsidR="00920E47" w:rsidRPr="00710B91" w:rsidRDefault="00920E47" w:rsidP="0005122E">
      <w:pPr>
        <w:pBdr>
          <w:top w:val="nil"/>
          <w:left w:val="nil"/>
          <w:bottom w:val="nil"/>
          <w:right w:val="nil"/>
          <w:between w:val="nil"/>
          <w:bar w:val="nil"/>
        </w:pBdr>
        <w:spacing w:before="0" w:after="240"/>
        <w:rPr>
          <w:rFonts w:eastAsia="Arial Unicode MS"/>
          <w:i/>
          <w:noProof/>
        </w:rPr>
      </w:pPr>
      <w:r w:rsidRPr="00710B91">
        <w:rPr>
          <w:i/>
          <w:noProof/>
        </w:rPr>
        <w:t>Pozostałe funkcje</w:t>
      </w:r>
    </w:p>
    <w:p w14:paraId="4638A821" w14:textId="26597B0C" w:rsidR="00920E47" w:rsidRPr="00710B91" w:rsidRDefault="00920E47" w:rsidP="0005122E">
      <w:pPr>
        <w:pBdr>
          <w:top w:val="nil"/>
          <w:left w:val="nil"/>
          <w:bottom w:val="nil"/>
          <w:right w:val="nil"/>
          <w:between w:val="nil"/>
          <w:bar w:val="nil"/>
        </w:pBdr>
        <w:spacing w:before="0" w:after="240"/>
        <w:rPr>
          <w:rFonts w:eastAsia="Arial Unicode MS"/>
          <w:noProof/>
        </w:rPr>
      </w:pPr>
      <w:r w:rsidRPr="00710B91">
        <w:rPr>
          <w:noProof/>
        </w:rPr>
        <w:t>Poza wymienionymi kluczowymi funkcjami platforma będzie również oferować następujące funkcje:</w:t>
      </w:r>
    </w:p>
    <w:p w14:paraId="0696CD50" w14:textId="0458DB36" w:rsidR="00920E47" w:rsidRPr="00710B91" w:rsidRDefault="00920E47" w:rsidP="009D79B9">
      <w:pPr>
        <w:pStyle w:val="Bullet0"/>
        <w:tabs>
          <w:tab w:val="clear" w:pos="850"/>
          <w:tab w:val="num" w:pos="567"/>
        </w:tabs>
        <w:ind w:left="567" w:hanging="567"/>
        <w:rPr>
          <w:noProof/>
        </w:rPr>
      </w:pPr>
      <w:r w:rsidRPr="00710B91">
        <w:rPr>
          <w:noProof/>
        </w:rPr>
        <w:t>funkcje związane</w:t>
      </w:r>
      <w:r w:rsidR="00710B91" w:rsidRPr="00710B91">
        <w:rPr>
          <w:noProof/>
        </w:rPr>
        <w:t xml:space="preserve"> z</w:t>
      </w:r>
      <w:r w:rsidR="00710B91">
        <w:rPr>
          <w:noProof/>
        </w:rPr>
        <w:t> </w:t>
      </w:r>
      <w:r w:rsidR="00710B91" w:rsidRPr="00710B91">
        <w:rPr>
          <w:noProof/>
        </w:rPr>
        <w:t>cod</w:t>
      </w:r>
      <w:r w:rsidRPr="00710B91">
        <w:rPr>
          <w:noProof/>
        </w:rPr>
        <w:t>ziennym zarządzaniem zespołem JIT na etapie operacyjnym oraz pooperacyjnym (etap oceny);</w:t>
      </w:r>
    </w:p>
    <w:p w14:paraId="624F28F0" w14:textId="32FDB8BB" w:rsidR="00920E47" w:rsidRPr="00710B91" w:rsidRDefault="00920E47" w:rsidP="009D79B9">
      <w:pPr>
        <w:pStyle w:val="Bullet0"/>
        <w:tabs>
          <w:tab w:val="clear" w:pos="850"/>
          <w:tab w:val="num" w:pos="567"/>
        </w:tabs>
        <w:ind w:left="567" w:hanging="567"/>
        <w:rPr>
          <w:noProof/>
        </w:rPr>
      </w:pPr>
      <w:r w:rsidRPr="00710B91">
        <w:rPr>
          <w:noProof/>
        </w:rPr>
        <w:t>wsparcie procesów administracyjnych</w:t>
      </w:r>
      <w:r w:rsidR="00710B91" w:rsidRPr="00710B91">
        <w:rPr>
          <w:noProof/>
        </w:rPr>
        <w:t xml:space="preserve"> i</w:t>
      </w:r>
      <w:r w:rsidR="00710B91">
        <w:rPr>
          <w:noProof/>
        </w:rPr>
        <w:t> </w:t>
      </w:r>
      <w:r w:rsidR="00710B91" w:rsidRPr="00710B91">
        <w:rPr>
          <w:noProof/>
        </w:rPr>
        <w:t>fin</w:t>
      </w:r>
      <w:r w:rsidRPr="00710B91">
        <w:rPr>
          <w:noProof/>
        </w:rPr>
        <w:t>ansowych;</w:t>
      </w:r>
    </w:p>
    <w:p w14:paraId="11E265D8" w14:textId="757931AB" w:rsidR="00920E47" w:rsidRPr="00710B91" w:rsidRDefault="00920E47" w:rsidP="009D79B9">
      <w:pPr>
        <w:pStyle w:val="Bullet0"/>
        <w:tabs>
          <w:tab w:val="clear" w:pos="850"/>
          <w:tab w:val="num" w:pos="567"/>
        </w:tabs>
        <w:ind w:left="567" w:hanging="567"/>
        <w:rPr>
          <w:noProof/>
        </w:rPr>
      </w:pPr>
      <w:r w:rsidRPr="00710B91">
        <w:rPr>
          <w:noProof/>
        </w:rPr>
        <w:t>wiele technicznych możliwości wspierających procesy operacyjne</w:t>
      </w:r>
      <w:r w:rsidR="00710B91" w:rsidRPr="00710B91">
        <w:rPr>
          <w:noProof/>
        </w:rPr>
        <w:t xml:space="preserve"> i</w:t>
      </w:r>
      <w:r w:rsidR="00710B91">
        <w:rPr>
          <w:noProof/>
        </w:rPr>
        <w:t> </w:t>
      </w:r>
      <w:r w:rsidR="00710B91" w:rsidRPr="00710B91">
        <w:rPr>
          <w:noProof/>
        </w:rPr>
        <w:t>adm</w:t>
      </w:r>
      <w:r w:rsidRPr="00710B91">
        <w:rPr>
          <w:noProof/>
        </w:rPr>
        <w:t>inistracyjne,</w:t>
      </w:r>
      <w:r w:rsidR="00710B91" w:rsidRPr="00710B91">
        <w:rPr>
          <w:noProof/>
        </w:rPr>
        <w:t xml:space="preserve"> w</w:t>
      </w:r>
      <w:r w:rsidR="00710B91">
        <w:rPr>
          <w:noProof/>
        </w:rPr>
        <w:t> </w:t>
      </w:r>
      <w:r w:rsidR="00710B91" w:rsidRPr="00710B91">
        <w:rPr>
          <w:noProof/>
        </w:rPr>
        <w:t>tym</w:t>
      </w:r>
      <w:r w:rsidRPr="00710B91">
        <w:rPr>
          <w:noProof/>
        </w:rPr>
        <w:t xml:space="preserve"> integrację</w:t>
      </w:r>
      <w:r w:rsidR="00710B91" w:rsidRPr="00710B91">
        <w:rPr>
          <w:noProof/>
        </w:rPr>
        <w:t xml:space="preserve"> z</w:t>
      </w:r>
      <w:r w:rsidR="00710B91">
        <w:rPr>
          <w:noProof/>
        </w:rPr>
        <w:t> </w:t>
      </w:r>
      <w:r w:rsidR="00710B91" w:rsidRPr="00710B91">
        <w:rPr>
          <w:noProof/>
        </w:rPr>
        <w:t>usł</w:t>
      </w:r>
      <w:r w:rsidRPr="00710B91">
        <w:rPr>
          <w:noProof/>
        </w:rPr>
        <w:t>ugami elektronicznymi związanymi</w:t>
      </w:r>
      <w:r w:rsidR="00710B91" w:rsidRPr="00710B91">
        <w:rPr>
          <w:noProof/>
        </w:rPr>
        <w:t xml:space="preserve"> z</w:t>
      </w:r>
      <w:r w:rsidR="00710B91">
        <w:rPr>
          <w:noProof/>
        </w:rPr>
        <w:t> </w:t>
      </w:r>
      <w:r w:rsidR="00710B91" w:rsidRPr="00710B91">
        <w:rPr>
          <w:noProof/>
        </w:rPr>
        <w:t>zes</w:t>
      </w:r>
      <w:r w:rsidRPr="00710B91">
        <w:rPr>
          <w:noProof/>
        </w:rPr>
        <w:t>połami JIT obsługiwanymi już przez Eurojust</w:t>
      </w:r>
      <w:r w:rsidR="00710B91" w:rsidRPr="00710B91">
        <w:rPr>
          <w:noProof/>
        </w:rPr>
        <w:t xml:space="preserve"> i</w:t>
      </w:r>
      <w:r w:rsidR="00710B91">
        <w:rPr>
          <w:noProof/>
        </w:rPr>
        <w:t> </w:t>
      </w:r>
      <w:r w:rsidR="00710B91" w:rsidRPr="00710B91">
        <w:rPr>
          <w:noProof/>
        </w:rPr>
        <w:t>zar</w:t>
      </w:r>
      <w:r w:rsidRPr="00710B91">
        <w:rPr>
          <w:noProof/>
        </w:rPr>
        <w:t>ządzanymi przez sekretariat JIT, tj. finansowanie zespołu JIT, ocena zespołu JIT</w:t>
      </w:r>
      <w:r w:rsidR="00710B91" w:rsidRPr="00710B91">
        <w:rPr>
          <w:noProof/>
        </w:rPr>
        <w:t xml:space="preserve"> i</w:t>
      </w:r>
      <w:r w:rsidR="00710B91">
        <w:rPr>
          <w:noProof/>
        </w:rPr>
        <w:t> </w:t>
      </w:r>
      <w:r w:rsidR="00710B91" w:rsidRPr="00710B91">
        <w:rPr>
          <w:noProof/>
        </w:rPr>
        <w:t>str</w:t>
      </w:r>
      <w:r w:rsidRPr="00710B91">
        <w:rPr>
          <w:noProof/>
        </w:rPr>
        <w:t>efa zastrzeżona zespołów JIT, co pozwala na pozyskiwanie odpowiednich informacji</w:t>
      </w:r>
      <w:r w:rsidR="00710B91" w:rsidRPr="00710B91">
        <w:rPr>
          <w:noProof/>
        </w:rPr>
        <w:t xml:space="preserve"> i</w:t>
      </w:r>
      <w:r w:rsidR="00710B91">
        <w:rPr>
          <w:noProof/>
        </w:rPr>
        <w:t> </w:t>
      </w:r>
      <w:r w:rsidR="00710B91" w:rsidRPr="00710B91">
        <w:rPr>
          <w:noProof/>
        </w:rPr>
        <w:t>dok</w:t>
      </w:r>
      <w:r w:rsidRPr="00710B91">
        <w:rPr>
          <w:noProof/>
        </w:rPr>
        <w:t>umentów bez potrzeby oddzielnego łączenia się</w:t>
      </w:r>
      <w:r w:rsidR="00710B91" w:rsidRPr="00710B91">
        <w:rPr>
          <w:noProof/>
        </w:rPr>
        <w:t xml:space="preserve"> z</w:t>
      </w:r>
      <w:r w:rsidR="00710B91">
        <w:rPr>
          <w:noProof/>
        </w:rPr>
        <w:t> </w:t>
      </w:r>
      <w:r w:rsidR="00710B91" w:rsidRPr="00710B91">
        <w:rPr>
          <w:noProof/>
        </w:rPr>
        <w:t>pla</w:t>
      </w:r>
      <w:r w:rsidRPr="00710B91">
        <w:rPr>
          <w:noProof/>
        </w:rPr>
        <w:t>tformą</w:t>
      </w:r>
      <w:r w:rsidR="00710B91" w:rsidRPr="00710B91">
        <w:rPr>
          <w:noProof/>
        </w:rPr>
        <w:t xml:space="preserve"> i</w:t>
      </w:r>
      <w:r w:rsidR="00710B91">
        <w:rPr>
          <w:noProof/>
        </w:rPr>
        <w:t> </w:t>
      </w:r>
      <w:r w:rsidR="00710B91" w:rsidRPr="00710B91">
        <w:rPr>
          <w:noProof/>
        </w:rPr>
        <w:t>usł</w:t>
      </w:r>
      <w:r w:rsidRPr="00710B91">
        <w:rPr>
          <w:noProof/>
        </w:rPr>
        <w:t>ugami oferowanymi przez sekretariat JIT.</w:t>
      </w:r>
    </w:p>
    <w:p w14:paraId="3569BD1A" w14:textId="77777777" w:rsidR="00920E47" w:rsidRPr="00710B91" w:rsidRDefault="00920E47" w:rsidP="0005122E">
      <w:pPr>
        <w:pBdr>
          <w:top w:val="nil"/>
          <w:left w:val="nil"/>
          <w:bottom w:val="nil"/>
          <w:right w:val="nil"/>
          <w:between w:val="nil"/>
          <w:bar w:val="nil"/>
        </w:pBdr>
        <w:spacing w:before="0" w:after="240"/>
        <w:rPr>
          <w:rFonts w:eastAsia="Arial Unicode MS"/>
          <w:i/>
          <w:noProof/>
        </w:rPr>
      </w:pPr>
      <w:r w:rsidRPr="00710B91">
        <w:rPr>
          <w:i/>
          <w:noProof/>
        </w:rPr>
        <w:t>Prawa dostępu</w:t>
      </w:r>
    </w:p>
    <w:p w14:paraId="348859AD" w14:textId="337C5D88" w:rsidR="00920E47" w:rsidRPr="00710B91" w:rsidRDefault="00920E47" w:rsidP="00E2148B">
      <w:pPr>
        <w:rPr>
          <w:noProof/>
        </w:rPr>
      </w:pPr>
      <w:r w:rsidRPr="00710B91">
        <w:rPr>
          <w:noProof/>
        </w:rPr>
        <w:t>Szczególna uwaga zostanie poświęcona prawom dostępu do platformy. Podstawową zasadą funkcjonowania platformy będzie powierzenie zarządzania prawami dostępu administratorowi (administratorom) przestrzeni JIT</w:t>
      </w:r>
      <w:r w:rsidR="00710B91" w:rsidRPr="00710B91">
        <w:rPr>
          <w:noProof/>
        </w:rPr>
        <w:t xml:space="preserve"> z</w:t>
      </w:r>
      <w:r w:rsidR="00710B91">
        <w:rPr>
          <w:noProof/>
        </w:rPr>
        <w:t> </w:t>
      </w:r>
      <w:r w:rsidR="00710B91" w:rsidRPr="00710B91">
        <w:rPr>
          <w:noProof/>
        </w:rPr>
        <w:t>pań</w:t>
      </w:r>
      <w:r w:rsidRPr="00710B91">
        <w:rPr>
          <w:noProof/>
        </w:rPr>
        <w:t>stw członkowskich uczestniczących</w:t>
      </w:r>
      <w:r w:rsidR="00710B91" w:rsidRPr="00710B91">
        <w:rPr>
          <w:noProof/>
        </w:rPr>
        <w:t xml:space="preserve"> w</w:t>
      </w:r>
      <w:r w:rsidR="00710B91">
        <w:rPr>
          <w:noProof/>
        </w:rPr>
        <w:t> </w:t>
      </w:r>
      <w:r w:rsidR="00710B91" w:rsidRPr="00710B91">
        <w:rPr>
          <w:noProof/>
        </w:rPr>
        <w:t>zes</w:t>
      </w:r>
      <w:r w:rsidRPr="00710B91">
        <w:rPr>
          <w:noProof/>
        </w:rPr>
        <w:t xml:space="preserve">połach JIT. Będą oni odpowiedzialni za nadanie dostępu na etapie operacyjnym oraz pooperacyjnym zespołu JIT następującym podmiotom: </w:t>
      </w:r>
    </w:p>
    <w:p w14:paraId="6DE50368" w14:textId="489B3330" w:rsidR="00920E47" w:rsidRPr="00710B91" w:rsidRDefault="00BF1DE1" w:rsidP="00923F69">
      <w:pPr>
        <w:pStyle w:val="Bullet0"/>
        <w:tabs>
          <w:tab w:val="clear" w:pos="850"/>
          <w:tab w:val="num" w:pos="567"/>
        </w:tabs>
        <w:ind w:left="567" w:hanging="567"/>
        <w:rPr>
          <w:noProof/>
        </w:rPr>
      </w:pPr>
      <w:r w:rsidRPr="00710B91">
        <w:rPr>
          <w:noProof/>
        </w:rPr>
        <w:t>przedstawicielom pozostałych państw członkowskich uczestniczących</w:t>
      </w:r>
      <w:r w:rsidR="00710B91" w:rsidRPr="00710B91">
        <w:rPr>
          <w:noProof/>
        </w:rPr>
        <w:t xml:space="preserve"> w</w:t>
      </w:r>
      <w:r w:rsidR="00710B91">
        <w:rPr>
          <w:noProof/>
        </w:rPr>
        <w:t> </w:t>
      </w:r>
      <w:r w:rsidR="00710B91" w:rsidRPr="00710B91">
        <w:rPr>
          <w:noProof/>
        </w:rPr>
        <w:t>zes</w:t>
      </w:r>
      <w:r w:rsidRPr="00710B91">
        <w:rPr>
          <w:noProof/>
        </w:rPr>
        <w:t>pole JIT;</w:t>
      </w:r>
    </w:p>
    <w:p w14:paraId="07D56A7C" w14:textId="77777777" w:rsidR="00923F69" w:rsidRPr="00710B91" w:rsidRDefault="00920E47" w:rsidP="00923F69">
      <w:pPr>
        <w:pStyle w:val="Bullet0"/>
        <w:tabs>
          <w:tab w:val="clear" w:pos="850"/>
          <w:tab w:val="num" w:pos="567"/>
        </w:tabs>
        <w:ind w:left="567" w:hanging="567"/>
        <w:rPr>
          <w:noProof/>
        </w:rPr>
      </w:pPr>
      <w:r w:rsidRPr="00710B91">
        <w:rPr>
          <w:noProof/>
        </w:rPr>
        <w:t>przedstawicielom państw trzecich będących również członkami danego zespołu JIT;</w:t>
      </w:r>
    </w:p>
    <w:p w14:paraId="4B5A35A3" w14:textId="68D93E8B" w:rsidR="00920E47" w:rsidRPr="00710B91" w:rsidRDefault="00BF1DE1" w:rsidP="00923F69">
      <w:pPr>
        <w:pStyle w:val="Bullet0"/>
        <w:tabs>
          <w:tab w:val="clear" w:pos="850"/>
          <w:tab w:val="num" w:pos="567"/>
        </w:tabs>
        <w:ind w:left="567" w:hanging="567"/>
        <w:rPr>
          <w:noProof/>
        </w:rPr>
      </w:pPr>
      <w:r w:rsidRPr="00710B91">
        <w:rPr>
          <w:noProof/>
        </w:rPr>
        <w:t>przedstawicielom Eurojustu, Europolu, Prokuratury Europejskiej, OLAF-u oraz innym właściwym organom</w:t>
      </w:r>
      <w:r w:rsidR="00710B91" w:rsidRPr="00710B91">
        <w:rPr>
          <w:noProof/>
        </w:rPr>
        <w:t xml:space="preserve"> i</w:t>
      </w:r>
      <w:r w:rsidR="00710B91">
        <w:rPr>
          <w:noProof/>
        </w:rPr>
        <w:t> </w:t>
      </w:r>
      <w:r w:rsidR="00710B91" w:rsidRPr="00710B91">
        <w:rPr>
          <w:noProof/>
        </w:rPr>
        <w:t>jed</w:t>
      </w:r>
      <w:r w:rsidRPr="00710B91">
        <w:rPr>
          <w:noProof/>
        </w:rPr>
        <w:t>nostkom organizacyjnym Unii; oraz</w:t>
      </w:r>
    </w:p>
    <w:p w14:paraId="5EC88415" w14:textId="77777777" w:rsidR="00920E47" w:rsidRPr="00710B91" w:rsidRDefault="00920E47" w:rsidP="00923F69">
      <w:pPr>
        <w:pStyle w:val="Bullet0"/>
        <w:tabs>
          <w:tab w:val="clear" w:pos="850"/>
          <w:tab w:val="num" w:pos="567"/>
        </w:tabs>
        <w:ind w:left="567" w:hanging="567"/>
        <w:rPr>
          <w:noProof/>
        </w:rPr>
      </w:pPr>
      <w:r w:rsidRPr="00710B91">
        <w:rPr>
          <w:noProof/>
        </w:rPr>
        <w:t>przedstawicielom sekretariatu JIT.</w:t>
      </w:r>
    </w:p>
    <w:p w14:paraId="4D7FF99D" w14:textId="79987D81" w:rsidR="00920E47" w:rsidRPr="00710B91" w:rsidRDefault="00920E47" w:rsidP="00E2148B">
      <w:pPr>
        <w:rPr>
          <w:noProof/>
        </w:rPr>
      </w:pPr>
      <w:r w:rsidRPr="00710B91">
        <w:rPr>
          <w:noProof/>
        </w:rPr>
        <w:t>Ponadto administrator lub administratorzy przestrzeni JIT będą mieć opcję ograniczenia dostępu do części informacji</w:t>
      </w:r>
      <w:r w:rsidR="00710B91" w:rsidRPr="00710B91">
        <w:rPr>
          <w:noProof/>
        </w:rPr>
        <w:t xml:space="preserve"> i</w:t>
      </w:r>
      <w:r w:rsidR="00710B91">
        <w:rPr>
          <w:noProof/>
        </w:rPr>
        <w:t> </w:t>
      </w:r>
      <w:r w:rsidR="00710B91" w:rsidRPr="00710B91">
        <w:rPr>
          <w:noProof/>
        </w:rPr>
        <w:t>dow</w:t>
      </w:r>
      <w:r w:rsidRPr="00710B91">
        <w:rPr>
          <w:noProof/>
        </w:rPr>
        <w:t>odów wyłącznie do tych podmiotów, których one dotyczą, włącznie</w:t>
      </w:r>
      <w:r w:rsidR="00710B91" w:rsidRPr="00710B91">
        <w:rPr>
          <w:noProof/>
        </w:rPr>
        <w:t xml:space="preserve"> z</w:t>
      </w:r>
      <w:r w:rsidR="00710B91">
        <w:rPr>
          <w:noProof/>
        </w:rPr>
        <w:t> </w:t>
      </w:r>
      <w:r w:rsidR="00710B91" w:rsidRPr="00710B91">
        <w:rPr>
          <w:noProof/>
        </w:rPr>
        <w:t>czę</w:t>
      </w:r>
      <w:r w:rsidRPr="00710B91">
        <w:rPr>
          <w:noProof/>
        </w:rPr>
        <w:t>ściowym dostępem przyznawanym</w:t>
      </w:r>
      <w:r w:rsidR="00710B91" w:rsidRPr="00710B91">
        <w:rPr>
          <w:noProof/>
        </w:rPr>
        <w:t xml:space="preserve"> w</w:t>
      </w:r>
      <w:r w:rsidR="00710B91">
        <w:rPr>
          <w:noProof/>
        </w:rPr>
        <w:t> </w:t>
      </w:r>
      <w:r w:rsidR="00710B91" w:rsidRPr="00710B91">
        <w:rPr>
          <w:noProof/>
        </w:rPr>
        <w:t>pos</w:t>
      </w:r>
      <w:r w:rsidRPr="00710B91">
        <w:rPr>
          <w:noProof/>
        </w:rPr>
        <w:t>zczególnych przypadkach. Takie ograniczenie dotyczyłoby wszystkich użytkowników platformy współpracy zespołów JIT, niezależnie od tego, czy byłyby to państwa członkowskie, państwa trzecie, właściwe organy</w:t>
      </w:r>
      <w:r w:rsidR="00710B91" w:rsidRPr="00710B91">
        <w:rPr>
          <w:noProof/>
        </w:rPr>
        <w:t xml:space="preserve"> i</w:t>
      </w:r>
      <w:r w:rsidR="00710B91">
        <w:rPr>
          <w:noProof/>
        </w:rPr>
        <w:t> </w:t>
      </w:r>
      <w:r w:rsidR="00710B91" w:rsidRPr="00710B91">
        <w:rPr>
          <w:noProof/>
        </w:rPr>
        <w:t>jed</w:t>
      </w:r>
      <w:r w:rsidRPr="00710B91">
        <w:rPr>
          <w:noProof/>
        </w:rPr>
        <w:t>nostki organizacyjne Unii, czy sekretariat JIT.</w:t>
      </w:r>
    </w:p>
    <w:p w14:paraId="4197C9A9" w14:textId="2F74C46A" w:rsidR="00920E47" w:rsidRPr="00710B91" w:rsidRDefault="00920E47" w:rsidP="00E2148B">
      <w:pPr>
        <w:rPr>
          <w:noProof/>
        </w:rPr>
      </w:pPr>
      <w:r w:rsidRPr="00710B91">
        <w:rPr>
          <w:noProof/>
        </w:rPr>
        <w:t>Należy podkreślić, że jako dostawca usług hostingowych eu-LISA nie będzie mieć dostępu do danych przechowywanych na platformie ani za jej pomocą wymienianych. Nie będzie również zaangażowana</w:t>
      </w:r>
      <w:r w:rsidR="00710B91" w:rsidRPr="00710B91">
        <w:rPr>
          <w:noProof/>
        </w:rPr>
        <w:t xml:space="preserve"> w</w:t>
      </w:r>
      <w:r w:rsidR="00710B91">
        <w:rPr>
          <w:noProof/>
        </w:rPr>
        <w:t> </w:t>
      </w:r>
      <w:r w:rsidR="00710B91" w:rsidRPr="00710B91">
        <w:rPr>
          <w:noProof/>
        </w:rPr>
        <w:t>zar</w:t>
      </w:r>
      <w:r w:rsidRPr="00710B91">
        <w:rPr>
          <w:noProof/>
        </w:rPr>
        <w:t>ządzanie prawami dostępu,</w:t>
      </w:r>
      <w:r w:rsidR="00710B91" w:rsidRPr="00710B91">
        <w:rPr>
          <w:noProof/>
        </w:rPr>
        <w:t xml:space="preserve"> z</w:t>
      </w:r>
      <w:r w:rsidR="00710B91">
        <w:rPr>
          <w:noProof/>
        </w:rPr>
        <w:t> </w:t>
      </w:r>
      <w:r w:rsidR="00710B91" w:rsidRPr="00710B91">
        <w:rPr>
          <w:noProof/>
        </w:rPr>
        <w:t>wyj</w:t>
      </w:r>
      <w:r w:rsidRPr="00710B91">
        <w:rPr>
          <w:noProof/>
        </w:rPr>
        <w:t xml:space="preserve">ątkiem początkowego procesu nadawania praw dostępu administratorowi (administratorom) przestrzeni JIT na podstawie podpisanej umowy o JIT. Architektura platformy musi zapewniać wystarczające gwarancje, żeby mogło to nastąpić. </w:t>
      </w:r>
    </w:p>
    <w:p w14:paraId="77203920" w14:textId="7EE93CEA" w:rsidR="00920E47" w:rsidRPr="00710B91" w:rsidRDefault="00920E47" w:rsidP="00E2148B">
      <w:pPr>
        <w:rPr>
          <w:noProof/>
        </w:rPr>
      </w:pPr>
      <w:r w:rsidRPr="00710B91">
        <w:rPr>
          <w:noProof/>
        </w:rPr>
        <w:t>Prawa dostępu właściwych organów</w:t>
      </w:r>
      <w:r w:rsidR="00710B91" w:rsidRPr="00710B91">
        <w:rPr>
          <w:noProof/>
        </w:rPr>
        <w:t xml:space="preserve"> i</w:t>
      </w:r>
      <w:r w:rsidR="00710B91">
        <w:rPr>
          <w:noProof/>
        </w:rPr>
        <w:t> </w:t>
      </w:r>
      <w:r w:rsidR="00710B91" w:rsidRPr="00710B91">
        <w:rPr>
          <w:noProof/>
        </w:rPr>
        <w:t>jed</w:t>
      </w:r>
      <w:r w:rsidRPr="00710B91">
        <w:rPr>
          <w:noProof/>
        </w:rPr>
        <w:t>nostek organizacyjnych Unii powinny być określone</w:t>
      </w:r>
      <w:r w:rsidR="00710B91" w:rsidRPr="00710B91">
        <w:rPr>
          <w:noProof/>
        </w:rPr>
        <w:t xml:space="preserve"> z</w:t>
      </w:r>
      <w:r w:rsidR="00710B91">
        <w:rPr>
          <w:noProof/>
        </w:rPr>
        <w:t> </w:t>
      </w:r>
      <w:r w:rsidR="00710B91" w:rsidRPr="00710B91">
        <w:rPr>
          <w:noProof/>
        </w:rPr>
        <w:t>per</w:t>
      </w:r>
      <w:r w:rsidRPr="00710B91">
        <w:rPr>
          <w:noProof/>
        </w:rPr>
        <w:t>spektywy wsparcia operacyjnego, jakiego udzielają wspólnym zespołom dochodzeniowo-śledczym, obejmującego wszystkie kroki postępowań od momentu podpisania umowy o JIT do zakończenia etapu oceny</w:t>
      </w:r>
      <w:r w:rsidR="00710B91" w:rsidRPr="00710B91">
        <w:rPr>
          <w:noProof/>
        </w:rPr>
        <w:t>. W</w:t>
      </w:r>
      <w:r w:rsidR="00710B91">
        <w:rPr>
          <w:noProof/>
        </w:rPr>
        <w:t> </w:t>
      </w:r>
      <w:r w:rsidR="00710B91" w:rsidRPr="00710B91">
        <w:rPr>
          <w:noProof/>
        </w:rPr>
        <w:t>tej</w:t>
      </w:r>
      <w:r w:rsidRPr="00710B91">
        <w:rPr>
          <w:noProof/>
        </w:rPr>
        <w:t xml:space="preserve"> ostatniej fazie platforma musi zapewniać prawa dostępu dla sekretariatu JIT, który odgrywa ważną rolę</w:t>
      </w:r>
      <w:r w:rsidR="00710B91" w:rsidRPr="00710B91">
        <w:rPr>
          <w:noProof/>
        </w:rPr>
        <w:t xml:space="preserve"> w</w:t>
      </w:r>
      <w:r w:rsidR="00710B91">
        <w:rPr>
          <w:noProof/>
        </w:rPr>
        <w:t> </w:t>
      </w:r>
      <w:r w:rsidR="00710B91" w:rsidRPr="00710B91">
        <w:rPr>
          <w:noProof/>
        </w:rPr>
        <w:t>tym</w:t>
      </w:r>
      <w:r w:rsidRPr="00710B91">
        <w:rPr>
          <w:noProof/>
        </w:rPr>
        <w:t xml:space="preserve"> procesie. Sekretariat JIT mógłby być również odpowiedzialny za administracyjne wsparcie platformy,</w:t>
      </w:r>
      <w:r w:rsidR="00710B91" w:rsidRPr="00710B91">
        <w:rPr>
          <w:noProof/>
        </w:rPr>
        <w:t xml:space="preserve"> w</w:t>
      </w:r>
      <w:r w:rsidR="00710B91">
        <w:rPr>
          <w:noProof/>
        </w:rPr>
        <w:t> </w:t>
      </w:r>
      <w:r w:rsidR="00710B91" w:rsidRPr="00710B91">
        <w:rPr>
          <w:noProof/>
        </w:rPr>
        <w:t>tym</w:t>
      </w:r>
      <w:r w:rsidRPr="00710B91">
        <w:rPr>
          <w:noProof/>
        </w:rPr>
        <w:t xml:space="preserve"> za zarządzanie prawami dostępu,</w:t>
      </w:r>
      <w:r w:rsidR="00710B91" w:rsidRPr="00710B91">
        <w:rPr>
          <w:noProof/>
        </w:rPr>
        <w:t xml:space="preserve"> o</w:t>
      </w:r>
      <w:r w:rsidR="00710B91">
        <w:rPr>
          <w:noProof/>
        </w:rPr>
        <w:t> </w:t>
      </w:r>
      <w:r w:rsidR="00710B91" w:rsidRPr="00710B91">
        <w:rPr>
          <w:noProof/>
        </w:rPr>
        <w:t>ile</w:t>
      </w:r>
      <w:r w:rsidRPr="00710B91">
        <w:rPr>
          <w:noProof/>
        </w:rPr>
        <w:t xml:space="preserve"> administrator lub administratorzy przestrzeni JIT przewidują taką rolę.</w:t>
      </w:r>
    </w:p>
    <w:p w14:paraId="37F3A92B" w14:textId="63267C51" w:rsidR="00920E47" w:rsidRPr="00710B91" w:rsidRDefault="00920E47" w:rsidP="00E2148B">
      <w:pPr>
        <w:rPr>
          <w:noProof/>
        </w:rPr>
      </w:pPr>
      <w:r w:rsidRPr="00710B91">
        <w:rPr>
          <w:noProof/>
        </w:rPr>
        <w:t>Mając na uwadze rosnącą rolę państw trzecich</w:t>
      </w:r>
      <w:r w:rsidR="00710B91" w:rsidRPr="00710B91">
        <w:rPr>
          <w:noProof/>
        </w:rPr>
        <w:t xml:space="preserve"> w</w:t>
      </w:r>
      <w:r w:rsidR="00710B91">
        <w:rPr>
          <w:noProof/>
        </w:rPr>
        <w:t> </w:t>
      </w:r>
      <w:r w:rsidR="00710B91" w:rsidRPr="00710B91">
        <w:rPr>
          <w:noProof/>
        </w:rPr>
        <w:t>sku</w:t>
      </w:r>
      <w:r w:rsidRPr="00710B91">
        <w:rPr>
          <w:noProof/>
        </w:rPr>
        <w:t>tecznym ściganiu poważnej przestępczości zorganizowanej</w:t>
      </w:r>
      <w:r w:rsidR="00710B91" w:rsidRPr="00710B91">
        <w:rPr>
          <w:noProof/>
        </w:rPr>
        <w:t xml:space="preserve"> i</w:t>
      </w:r>
      <w:r w:rsidR="00710B91">
        <w:rPr>
          <w:noProof/>
        </w:rPr>
        <w:t> </w:t>
      </w:r>
      <w:r w:rsidR="00710B91" w:rsidRPr="00710B91">
        <w:rPr>
          <w:noProof/>
        </w:rPr>
        <w:t>ter</w:t>
      </w:r>
      <w:r w:rsidRPr="00710B91">
        <w:rPr>
          <w:noProof/>
        </w:rPr>
        <w:t>roryzmu, platforma będzie również im udostępniona, jeżeli będą stroną umowy o JIT. Konkretne prawa dostępu będą jednak zależeć od ich roli</w:t>
      </w:r>
      <w:r w:rsidR="00710B91" w:rsidRPr="00710B91">
        <w:rPr>
          <w:noProof/>
        </w:rPr>
        <w:t xml:space="preserve"> w</w:t>
      </w:r>
      <w:r w:rsidR="00710B91">
        <w:rPr>
          <w:noProof/>
        </w:rPr>
        <w:t> </w:t>
      </w:r>
      <w:r w:rsidR="00710B91" w:rsidRPr="00710B91">
        <w:rPr>
          <w:noProof/>
        </w:rPr>
        <w:t>dan</w:t>
      </w:r>
      <w:r w:rsidRPr="00710B91">
        <w:rPr>
          <w:noProof/>
        </w:rPr>
        <w:t>ym zespole JIT</w:t>
      </w:r>
      <w:r w:rsidR="00710B91" w:rsidRPr="00710B91">
        <w:rPr>
          <w:noProof/>
        </w:rPr>
        <w:t xml:space="preserve"> i</w:t>
      </w:r>
      <w:r w:rsidR="00710B91">
        <w:rPr>
          <w:noProof/>
        </w:rPr>
        <w:t> </w:t>
      </w:r>
      <w:r w:rsidR="00710B91" w:rsidRPr="00710B91">
        <w:rPr>
          <w:noProof/>
        </w:rPr>
        <w:t>pow</w:t>
      </w:r>
      <w:r w:rsidRPr="00710B91">
        <w:rPr>
          <w:noProof/>
        </w:rPr>
        <w:t>inny być określone przez administratora (administratorów) przestrzeni JIT dla poszczególnych zespołów JIT</w:t>
      </w:r>
      <w:r w:rsidR="00710B91" w:rsidRPr="00710B91">
        <w:rPr>
          <w:noProof/>
        </w:rPr>
        <w:t>. W</w:t>
      </w:r>
      <w:r w:rsidR="00710B91">
        <w:rPr>
          <w:noProof/>
        </w:rPr>
        <w:t> </w:t>
      </w:r>
      <w:r w:rsidR="00710B91" w:rsidRPr="00710B91">
        <w:rPr>
          <w:noProof/>
        </w:rPr>
        <w:t>cel</w:t>
      </w:r>
      <w:r w:rsidRPr="00710B91">
        <w:rPr>
          <w:noProof/>
        </w:rPr>
        <w:t>u zagwarantowania poszanowania praw podstawowych,</w:t>
      </w:r>
      <w:r w:rsidR="00710B91" w:rsidRPr="00710B91">
        <w:rPr>
          <w:noProof/>
        </w:rPr>
        <w:t xml:space="preserve"> w</w:t>
      </w:r>
      <w:r w:rsidR="00710B91">
        <w:rPr>
          <w:noProof/>
        </w:rPr>
        <w:t> </w:t>
      </w:r>
      <w:r w:rsidR="00710B91" w:rsidRPr="00710B91">
        <w:rPr>
          <w:noProof/>
        </w:rPr>
        <w:t>tym</w:t>
      </w:r>
      <w:r w:rsidRPr="00710B91">
        <w:rPr>
          <w:noProof/>
        </w:rPr>
        <w:t xml:space="preserve"> ochrony danych,</w:t>
      </w:r>
      <w:r w:rsidR="00710B91" w:rsidRPr="00710B91">
        <w:rPr>
          <w:noProof/>
        </w:rPr>
        <w:t xml:space="preserve"> i</w:t>
      </w:r>
      <w:r w:rsidR="00710B91">
        <w:rPr>
          <w:noProof/>
        </w:rPr>
        <w:t> </w:t>
      </w:r>
      <w:r w:rsidR="00710B91" w:rsidRPr="00710B91">
        <w:rPr>
          <w:noProof/>
        </w:rPr>
        <w:t>zgo</w:t>
      </w:r>
      <w:r w:rsidRPr="00710B91">
        <w:rPr>
          <w:noProof/>
        </w:rPr>
        <w:t>dnie</w:t>
      </w:r>
      <w:r w:rsidR="00710B91" w:rsidRPr="00710B91">
        <w:rPr>
          <w:noProof/>
        </w:rPr>
        <w:t xml:space="preserve"> z</w:t>
      </w:r>
      <w:r w:rsidR="00710B91">
        <w:rPr>
          <w:noProof/>
        </w:rPr>
        <w:t> </w:t>
      </w:r>
      <w:r w:rsidR="00710B91" w:rsidRPr="00710B91">
        <w:rPr>
          <w:noProof/>
        </w:rPr>
        <w:t>obe</w:t>
      </w:r>
      <w:r w:rsidRPr="00710B91">
        <w:rPr>
          <w:noProof/>
        </w:rPr>
        <w:t>cnie obowiązującymi procedurami, przed nadaniem dostępu konkretnemu państwu trzeciemu administrator lub administratorzy przestrzeni JIT będą musieli poddać dogłębnej ocenie kwestie związane</w:t>
      </w:r>
      <w:r w:rsidR="00710B91" w:rsidRPr="00710B91">
        <w:rPr>
          <w:noProof/>
        </w:rPr>
        <w:t xml:space="preserve"> z</w:t>
      </w:r>
      <w:r w:rsidR="00710B91">
        <w:rPr>
          <w:noProof/>
        </w:rPr>
        <w:t> </w:t>
      </w:r>
      <w:r w:rsidR="00710B91" w:rsidRPr="00710B91">
        <w:rPr>
          <w:noProof/>
        </w:rPr>
        <w:t>och</w:t>
      </w:r>
      <w:r w:rsidRPr="00710B91">
        <w:rPr>
          <w:noProof/>
        </w:rPr>
        <w:t>roną danych pod kątem spełnienia obowiązujących zasad,</w:t>
      </w:r>
      <w:r w:rsidR="00710B91" w:rsidRPr="00710B91">
        <w:rPr>
          <w:noProof/>
        </w:rPr>
        <w:t xml:space="preserve"> w</w:t>
      </w:r>
      <w:r w:rsidR="00710B91">
        <w:rPr>
          <w:noProof/>
        </w:rPr>
        <w:t> </w:t>
      </w:r>
      <w:r w:rsidR="00710B91" w:rsidRPr="00710B91">
        <w:rPr>
          <w:noProof/>
        </w:rPr>
        <w:t>szc</w:t>
      </w:r>
      <w:r w:rsidRPr="00710B91">
        <w:rPr>
          <w:noProof/>
        </w:rPr>
        <w:t>zególności dyrektywy 2016/680</w:t>
      </w:r>
      <w:r w:rsidRPr="00710B91">
        <w:rPr>
          <w:rStyle w:val="FootnoteReference"/>
          <w:noProof/>
        </w:rPr>
        <w:footnoteReference w:id="9"/>
      </w:r>
      <w:r w:rsidRPr="00710B91">
        <w:rPr>
          <w:noProof/>
        </w:rPr>
        <w:t>.</w:t>
      </w:r>
    </w:p>
    <w:p w14:paraId="3734F218" w14:textId="236A982C" w:rsidR="00920E47" w:rsidRPr="00710B91" w:rsidRDefault="00920E47" w:rsidP="009D79B9">
      <w:pPr>
        <w:pStyle w:val="Bullet0"/>
        <w:tabs>
          <w:tab w:val="clear" w:pos="850"/>
          <w:tab w:val="num" w:pos="567"/>
        </w:tabs>
        <w:rPr>
          <w:b/>
          <w:noProof/>
        </w:rPr>
      </w:pPr>
      <w:r w:rsidRPr="00710B91">
        <w:rPr>
          <w:b/>
          <w:noProof/>
        </w:rPr>
        <w:t>Spójność</w:t>
      </w:r>
      <w:r w:rsidR="00710B91" w:rsidRPr="00710B91">
        <w:rPr>
          <w:b/>
          <w:noProof/>
        </w:rPr>
        <w:t xml:space="preserve"> z</w:t>
      </w:r>
      <w:r w:rsidR="00710B91">
        <w:rPr>
          <w:b/>
          <w:noProof/>
        </w:rPr>
        <w:t> </w:t>
      </w:r>
      <w:r w:rsidR="00710B91" w:rsidRPr="00710B91">
        <w:rPr>
          <w:b/>
          <w:noProof/>
        </w:rPr>
        <w:t>prz</w:t>
      </w:r>
      <w:r w:rsidRPr="00710B91">
        <w:rPr>
          <w:b/>
          <w:noProof/>
        </w:rPr>
        <w:t>episami obowiązującymi</w:t>
      </w:r>
      <w:r w:rsidR="00710B91" w:rsidRPr="00710B91">
        <w:rPr>
          <w:b/>
          <w:noProof/>
        </w:rPr>
        <w:t xml:space="preserve"> w</w:t>
      </w:r>
      <w:r w:rsidR="00710B91">
        <w:rPr>
          <w:b/>
          <w:noProof/>
        </w:rPr>
        <w:t> </w:t>
      </w:r>
      <w:r w:rsidR="00710B91" w:rsidRPr="00710B91">
        <w:rPr>
          <w:b/>
          <w:noProof/>
        </w:rPr>
        <w:t>tej</w:t>
      </w:r>
      <w:r w:rsidRPr="00710B91">
        <w:rPr>
          <w:b/>
          <w:noProof/>
        </w:rPr>
        <w:t xml:space="preserve"> dziedzinie polityki</w:t>
      </w:r>
    </w:p>
    <w:p w14:paraId="053840D7" w14:textId="06DD7BCD" w:rsidR="00920E47" w:rsidRPr="00710B91" w:rsidRDefault="00920E47" w:rsidP="0005122E">
      <w:pPr>
        <w:pBdr>
          <w:top w:val="nil"/>
          <w:left w:val="nil"/>
          <w:bottom w:val="nil"/>
          <w:right w:val="nil"/>
          <w:between w:val="nil"/>
          <w:bar w:val="nil"/>
        </w:pBdr>
        <w:spacing w:after="240"/>
        <w:rPr>
          <w:noProof/>
        </w:rPr>
      </w:pPr>
      <w:r w:rsidRPr="00710B91">
        <w:rPr>
          <w:noProof/>
        </w:rPr>
        <w:t>Wzmocnienie procesów transgranicznych postępowań przygotowawczych</w:t>
      </w:r>
      <w:r w:rsidR="00710B91" w:rsidRPr="00710B91">
        <w:rPr>
          <w:noProof/>
        </w:rPr>
        <w:t xml:space="preserve"> i</w:t>
      </w:r>
      <w:r w:rsidR="00710B91">
        <w:rPr>
          <w:noProof/>
        </w:rPr>
        <w:t> </w:t>
      </w:r>
      <w:r w:rsidR="00710B91" w:rsidRPr="00710B91">
        <w:rPr>
          <w:noProof/>
        </w:rPr>
        <w:t>tra</w:t>
      </w:r>
      <w:r w:rsidRPr="00710B91">
        <w:rPr>
          <w:noProof/>
        </w:rPr>
        <w:t>nsgranicznego ścigania karnego prowadzonych przez zespoły JIT stanowi kluczową część</w:t>
      </w:r>
      <w:r w:rsidR="00710B91" w:rsidRPr="00710B91">
        <w:rPr>
          <w:noProof/>
        </w:rPr>
        <w:t xml:space="preserve"> w</w:t>
      </w:r>
      <w:r w:rsidR="00710B91">
        <w:rPr>
          <w:noProof/>
        </w:rPr>
        <w:t> </w:t>
      </w:r>
      <w:r w:rsidR="00710B91" w:rsidRPr="00710B91">
        <w:rPr>
          <w:noProof/>
        </w:rPr>
        <w:t>utw</w:t>
      </w:r>
      <w:r w:rsidRPr="00710B91">
        <w:rPr>
          <w:noProof/>
        </w:rPr>
        <w:t>orzeniu przestrzeni wolności, bezpieczeństwa</w:t>
      </w:r>
      <w:r w:rsidR="00710B91" w:rsidRPr="00710B91">
        <w:rPr>
          <w:noProof/>
        </w:rPr>
        <w:t xml:space="preserve"> i</w:t>
      </w:r>
      <w:r w:rsidR="00710B91">
        <w:rPr>
          <w:noProof/>
        </w:rPr>
        <w:t> </w:t>
      </w:r>
      <w:r w:rsidR="00710B91" w:rsidRPr="00710B91">
        <w:rPr>
          <w:noProof/>
        </w:rPr>
        <w:t>spr</w:t>
      </w:r>
      <w:r w:rsidRPr="00710B91">
        <w:rPr>
          <w:noProof/>
        </w:rPr>
        <w:t xml:space="preserve">awiedliwości. </w:t>
      </w:r>
    </w:p>
    <w:p w14:paraId="5A1C1B78" w14:textId="2919A5C2" w:rsidR="00920E47" w:rsidRPr="00710B91" w:rsidRDefault="00920E47" w:rsidP="0005122E">
      <w:pPr>
        <w:pBdr>
          <w:top w:val="nil"/>
          <w:left w:val="nil"/>
          <w:bottom w:val="nil"/>
          <w:right w:val="nil"/>
          <w:between w:val="nil"/>
          <w:bar w:val="nil"/>
        </w:pBdr>
        <w:spacing w:before="0" w:after="240"/>
        <w:rPr>
          <w:rFonts w:eastAsia="Arial Unicode MS"/>
          <w:noProof/>
        </w:rPr>
      </w:pPr>
      <w:r w:rsidRPr="00710B91">
        <w:rPr>
          <w:noProof/>
        </w:rPr>
        <w:t>Niniejszy wniosek został ogłoszony</w:t>
      </w:r>
      <w:r w:rsidR="00710B91" w:rsidRPr="00710B91">
        <w:rPr>
          <w:noProof/>
        </w:rPr>
        <w:t xml:space="preserve"> w</w:t>
      </w:r>
      <w:r w:rsidR="00710B91">
        <w:rPr>
          <w:noProof/>
        </w:rPr>
        <w:t> </w:t>
      </w:r>
      <w:r w:rsidR="00710B91" w:rsidRPr="00710B91">
        <w:rPr>
          <w:noProof/>
        </w:rPr>
        <w:t>kom</w:t>
      </w:r>
      <w:r w:rsidRPr="00710B91">
        <w:rPr>
          <w:noProof/>
        </w:rPr>
        <w:t>unikacie Komisji „Cyfryzacja wymiaru sprawiedliwości</w:t>
      </w:r>
      <w:r w:rsidR="00710B91" w:rsidRPr="00710B91">
        <w:rPr>
          <w:noProof/>
        </w:rPr>
        <w:t xml:space="preserve"> w</w:t>
      </w:r>
      <w:r w:rsidR="00710B91">
        <w:rPr>
          <w:noProof/>
        </w:rPr>
        <w:t> </w:t>
      </w:r>
      <w:r w:rsidR="00710B91" w:rsidRPr="00710B91">
        <w:rPr>
          <w:noProof/>
        </w:rPr>
        <w:t>Uni</w:t>
      </w:r>
      <w:r w:rsidRPr="00710B91">
        <w:rPr>
          <w:noProof/>
        </w:rPr>
        <w:t>i Europejskiej”</w:t>
      </w:r>
      <w:r w:rsidRPr="00710B91">
        <w:rPr>
          <w:rStyle w:val="FootnoteReference"/>
          <w:noProof/>
        </w:rPr>
        <w:footnoteReference w:id="10"/>
      </w:r>
      <w:r w:rsidRPr="00710B91">
        <w:rPr>
          <w:noProof/>
        </w:rPr>
        <w:t>, jako część szerszej inicjatywy mającej na celu umożliwienie bezpiecznej komunikacji elektronicznej oraz bezpiecznej elektronicznej wymiany informacji</w:t>
      </w:r>
      <w:r w:rsidR="00710B91" w:rsidRPr="00710B91">
        <w:rPr>
          <w:noProof/>
        </w:rPr>
        <w:t xml:space="preserve"> i</w:t>
      </w:r>
      <w:r w:rsidR="00710B91">
        <w:rPr>
          <w:noProof/>
        </w:rPr>
        <w:t> </w:t>
      </w:r>
      <w:r w:rsidR="00710B91" w:rsidRPr="00710B91">
        <w:rPr>
          <w:noProof/>
        </w:rPr>
        <w:t>dok</w:t>
      </w:r>
      <w:r w:rsidRPr="00710B91">
        <w:rPr>
          <w:noProof/>
        </w:rPr>
        <w:t>umentów między sądami, organami krajowymi oraz agencjami wymiaru sprawiedliwości</w:t>
      </w:r>
      <w:r w:rsidR="00710B91" w:rsidRPr="00710B91">
        <w:rPr>
          <w:noProof/>
        </w:rPr>
        <w:t xml:space="preserve"> i</w:t>
      </w:r>
      <w:r w:rsidR="00710B91">
        <w:rPr>
          <w:noProof/>
        </w:rPr>
        <w:t> </w:t>
      </w:r>
      <w:r w:rsidR="00710B91" w:rsidRPr="00710B91">
        <w:rPr>
          <w:noProof/>
        </w:rPr>
        <w:t>spr</w:t>
      </w:r>
      <w:r w:rsidRPr="00710B91">
        <w:rPr>
          <w:noProof/>
        </w:rPr>
        <w:t>aw wewnętrznych. Stanowi on również część pakietu cyfryzacji wymiaru sprawiedliwości zawartego</w:t>
      </w:r>
      <w:r w:rsidR="00710B91" w:rsidRPr="00710B91">
        <w:rPr>
          <w:noProof/>
        </w:rPr>
        <w:t xml:space="preserve"> w</w:t>
      </w:r>
      <w:r w:rsidR="00710B91">
        <w:rPr>
          <w:noProof/>
        </w:rPr>
        <w:t> </w:t>
      </w:r>
      <w:r w:rsidR="00710B91" w:rsidRPr="00710B91">
        <w:rPr>
          <w:noProof/>
        </w:rPr>
        <w:t>pro</w:t>
      </w:r>
      <w:r w:rsidRPr="00710B91">
        <w:rPr>
          <w:noProof/>
        </w:rPr>
        <w:t>gramie prac Komisji na</w:t>
      </w:r>
      <w:r w:rsidR="00710B91" w:rsidRPr="00710B91">
        <w:rPr>
          <w:noProof/>
        </w:rPr>
        <w:t> </w:t>
      </w:r>
      <w:r w:rsidRPr="00710B91">
        <w:rPr>
          <w:noProof/>
        </w:rPr>
        <w:t>2021</w:t>
      </w:r>
      <w:r w:rsidR="00710B91" w:rsidRPr="00710B91">
        <w:rPr>
          <w:noProof/>
        </w:rPr>
        <w:t> </w:t>
      </w:r>
      <w:r w:rsidRPr="00710B91">
        <w:rPr>
          <w:noProof/>
        </w:rPr>
        <w:t>r.</w:t>
      </w:r>
      <w:r w:rsidR="00710B91" w:rsidRPr="00710B91">
        <w:rPr>
          <w:noProof/>
        </w:rPr>
        <w:t xml:space="preserve"> w</w:t>
      </w:r>
      <w:r w:rsidR="00710B91">
        <w:rPr>
          <w:noProof/>
        </w:rPr>
        <w:t> </w:t>
      </w:r>
      <w:r w:rsidR="00710B91" w:rsidRPr="00710B91">
        <w:rPr>
          <w:noProof/>
        </w:rPr>
        <w:t>czę</w:t>
      </w:r>
      <w:r w:rsidRPr="00710B91">
        <w:rPr>
          <w:noProof/>
        </w:rPr>
        <w:t>ści „Nowy impuls dla demokracji europejskiej”</w:t>
      </w:r>
      <w:r w:rsidRPr="00710B91">
        <w:rPr>
          <w:rStyle w:val="FootnoteReference"/>
          <w:noProof/>
        </w:rPr>
        <w:footnoteReference w:id="11"/>
      </w:r>
      <w:r w:rsidRPr="00710B91">
        <w:rPr>
          <w:noProof/>
        </w:rPr>
        <w:t>.</w:t>
      </w:r>
    </w:p>
    <w:p w14:paraId="0356C09C" w14:textId="0F6EBB73" w:rsidR="00920E47" w:rsidRPr="00710B91" w:rsidRDefault="00920E47" w:rsidP="009D79B9">
      <w:pPr>
        <w:pStyle w:val="Bullet0"/>
        <w:tabs>
          <w:tab w:val="clear" w:pos="850"/>
          <w:tab w:val="num" w:pos="567"/>
        </w:tabs>
        <w:rPr>
          <w:b/>
          <w:noProof/>
        </w:rPr>
      </w:pPr>
      <w:r w:rsidRPr="00710B91">
        <w:rPr>
          <w:b/>
          <w:noProof/>
        </w:rPr>
        <w:t>Spójność</w:t>
      </w:r>
      <w:r w:rsidR="00710B91" w:rsidRPr="00710B91">
        <w:rPr>
          <w:b/>
          <w:noProof/>
        </w:rPr>
        <w:t xml:space="preserve"> z</w:t>
      </w:r>
      <w:r w:rsidR="00710B91">
        <w:rPr>
          <w:b/>
          <w:noProof/>
        </w:rPr>
        <w:t> </w:t>
      </w:r>
      <w:r w:rsidR="00710B91" w:rsidRPr="00710B91">
        <w:rPr>
          <w:b/>
          <w:noProof/>
        </w:rPr>
        <w:t>inn</w:t>
      </w:r>
      <w:r w:rsidRPr="00710B91">
        <w:rPr>
          <w:b/>
          <w:noProof/>
        </w:rPr>
        <w:t>ymi politykami Unii</w:t>
      </w:r>
    </w:p>
    <w:p w14:paraId="0413B83B" w14:textId="5BC5C7DD" w:rsidR="009643BD" w:rsidRPr="00710B91" w:rsidRDefault="00920E47" w:rsidP="0005122E">
      <w:pPr>
        <w:pBdr>
          <w:top w:val="nil"/>
          <w:left w:val="nil"/>
          <w:bottom w:val="nil"/>
          <w:right w:val="nil"/>
          <w:between w:val="nil"/>
          <w:bar w:val="nil"/>
        </w:pBdr>
        <w:spacing w:before="0" w:after="240"/>
        <w:rPr>
          <w:noProof/>
        </w:rPr>
      </w:pPr>
      <w:r w:rsidRPr="00710B91">
        <w:rPr>
          <w:noProof/>
        </w:rPr>
        <w:t>Wniosek jest zgodny ze strategią UE</w:t>
      </w:r>
      <w:r w:rsidR="00710B91" w:rsidRPr="00710B91">
        <w:rPr>
          <w:noProof/>
        </w:rPr>
        <w:t xml:space="preserve"> w</w:t>
      </w:r>
      <w:r w:rsidR="00710B91">
        <w:rPr>
          <w:noProof/>
        </w:rPr>
        <w:t> </w:t>
      </w:r>
      <w:r w:rsidR="00710B91" w:rsidRPr="00710B91">
        <w:rPr>
          <w:noProof/>
        </w:rPr>
        <w:t>zak</w:t>
      </w:r>
      <w:r w:rsidRPr="00710B91">
        <w:rPr>
          <w:noProof/>
        </w:rPr>
        <w:t>resie unii bezpieczeństwa</w:t>
      </w:r>
      <w:r w:rsidRPr="00710B91">
        <w:rPr>
          <w:rStyle w:val="FootnoteReference"/>
          <w:rFonts w:eastAsia="Arial Unicode MS"/>
          <w:noProof/>
        </w:rPr>
        <w:footnoteReference w:id="12"/>
      </w:r>
      <w:r w:rsidRPr="00710B91">
        <w:rPr>
          <w:noProof/>
        </w:rPr>
        <w:t>, planem dla UE</w:t>
      </w:r>
      <w:r w:rsidR="00710B91" w:rsidRPr="00710B91">
        <w:rPr>
          <w:noProof/>
        </w:rPr>
        <w:t xml:space="preserve"> w</w:t>
      </w:r>
      <w:r w:rsidR="00710B91">
        <w:rPr>
          <w:noProof/>
        </w:rPr>
        <w:t> </w:t>
      </w:r>
      <w:r w:rsidR="00710B91" w:rsidRPr="00710B91">
        <w:rPr>
          <w:noProof/>
        </w:rPr>
        <w:t>dzi</w:t>
      </w:r>
      <w:r w:rsidRPr="00710B91">
        <w:rPr>
          <w:noProof/>
        </w:rPr>
        <w:t>edzinie zwalczania terroryzmu</w:t>
      </w:r>
      <w:r w:rsidRPr="00710B91">
        <w:rPr>
          <w:rStyle w:val="FootnoteReference"/>
          <w:rFonts w:eastAsia="Arial Unicode MS"/>
          <w:noProof/>
        </w:rPr>
        <w:footnoteReference w:id="13"/>
      </w:r>
      <w:r w:rsidRPr="00710B91">
        <w:rPr>
          <w:noProof/>
        </w:rPr>
        <w:t xml:space="preserve"> oraz unijną strategią zwalczania przestępczości zorganizowanej</w:t>
      </w:r>
      <w:r w:rsidRPr="00710B91">
        <w:rPr>
          <w:rStyle w:val="FootnoteReference"/>
          <w:rFonts w:eastAsia="Arial Unicode MS"/>
          <w:noProof/>
        </w:rPr>
        <w:footnoteReference w:id="14"/>
      </w:r>
      <w:r w:rsidRPr="00710B91">
        <w:rPr>
          <w:noProof/>
        </w:rPr>
        <w:t>.</w:t>
      </w:r>
    </w:p>
    <w:p w14:paraId="3227D75F" w14:textId="73AF322C" w:rsidR="00920E47" w:rsidRPr="00710B91" w:rsidRDefault="009643BD" w:rsidP="0005122E">
      <w:pPr>
        <w:pBdr>
          <w:top w:val="nil"/>
          <w:left w:val="nil"/>
          <w:bottom w:val="nil"/>
          <w:right w:val="nil"/>
          <w:between w:val="nil"/>
          <w:bar w:val="nil"/>
        </w:pBdr>
        <w:spacing w:before="0" w:after="240"/>
        <w:rPr>
          <w:noProof/>
        </w:rPr>
      </w:pPr>
      <w:r w:rsidRPr="00710B91">
        <w:rPr>
          <w:noProof/>
        </w:rPr>
        <w:t>Biorąc pod uwagę wrażliwy charakter wymienianych informacji, kluczowe znaczenie ma, aby wdrożenie podejścia opartego na zestawie narzędzi do cyfryzacji wymiaru sprawiedliwości,</w:t>
      </w:r>
      <w:r w:rsidR="00710B91" w:rsidRPr="00710B91">
        <w:rPr>
          <w:noProof/>
        </w:rPr>
        <w:t xml:space="preserve"> w</w:t>
      </w:r>
      <w:r w:rsidR="00710B91">
        <w:rPr>
          <w:noProof/>
        </w:rPr>
        <w:t> </w:t>
      </w:r>
      <w:r w:rsidR="00710B91" w:rsidRPr="00710B91">
        <w:rPr>
          <w:noProof/>
        </w:rPr>
        <w:t>tym</w:t>
      </w:r>
      <w:r w:rsidRPr="00710B91">
        <w:rPr>
          <w:noProof/>
        </w:rPr>
        <w:t xml:space="preserve"> przez przedmiotowy wniosek, nastąpiło</w:t>
      </w:r>
      <w:r w:rsidR="00710B91" w:rsidRPr="00710B91">
        <w:rPr>
          <w:noProof/>
        </w:rPr>
        <w:t xml:space="preserve"> w</w:t>
      </w:r>
      <w:r w:rsidR="00710B91">
        <w:rPr>
          <w:noProof/>
        </w:rPr>
        <w:t> </w:t>
      </w:r>
      <w:r w:rsidR="00710B91" w:rsidRPr="00710B91">
        <w:rPr>
          <w:noProof/>
        </w:rPr>
        <w:t>spo</w:t>
      </w:r>
      <w:r w:rsidRPr="00710B91">
        <w:rPr>
          <w:noProof/>
        </w:rPr>
        <w:t>sób, który gwarantuje spełnienie wysokich norm cyberbezpieczeństwa. Jest to zgodne</w:t>
      </w:r>
      <w:r w:rsidR="00710B91" w:rsidRPr="00710B91">
        <w:rPr>
          <w:noProof/>
        </w:rPr>
        <w:t xml:space="preserve"> z</w:t>
      </w:r>
      <w:r w:rsidR="00710B91">
        <w:rPr>
          <w:noProof/>
        </w:rPr>
        <w:t> </w:t>
      </w:r>
      <w:r w:rsidR="00710B91" w:rsidRPr="00710B91">
        <w:rPr>
          <w:noProof/>
        </w:rPr>
        <w:t>pod</w:t>
      </w:r>
      <w:r w:rsidRPr="00710B91">
        <w:rPr>
          <w:noProof/>
        </w:rPr>
        <w:t>ejściem określonym</w:t>
      </w:r>
      <w:r w:rsidR="00710B91" w:rsidRPr="00710B91">
        <w:rPr>
          <w:noProof/>
        </w:rPr>
        <w:t xml:space="preserve"> w</w:t>
      </w:r>
      <w:r w:rsidR="00710B91">
        <w:rPr>
          <w:noProof/>
        </w:rPr>
        <w:t> </w:t>
      </w:r>
      <w:r w:rsidR="00710B91" w:rsidRPr="00710B91">
        <w:rPr>
          <w:noProof/>
        </w:rPr>
        <w:t>uni</w:t>
      </w:r>
      <w:r w:rsidRPr="00710B91">
        <w:rPr>
          <w:noProof/>
        </w:rPr>
        <w:t>jnej strategii cyberbezpieczeństwa</w:t>
      </w:r>
      <w:r w:rsidR="00710B91" w:rsidRPr="00710B91">
        <w:rPr>
          <w:noProof/>
        </w:rPr>
        <w:t xml:space="preserve"> i</w:t>
      </w:r>
      <w:r w:rsidR="00710B91">
        <w:rPr>
          <w:noProof/>
        </w:rPr>
        <w:t> </w:t>
      </w:r>
      <w:r w:rsidR="00710B91" w:rsidRPr="00710B91">
        <w:rPr>
          <w:noProof/>
        </w:rPr>
        <w:t>wni</w:t>
      </w:r>
      <w:r w:rsidRPr="00710B91">
        <w:rPr>
          <w:noProof/>
        </w:rPr>
        <w:t>osku Komisji dotyczącym dyrektywy</w:t>
      </w:r>
      <w:r w:rsidR="00710B91" w:rsidRPr="00710B91">
        <w:rPr>
          <w:noProof/>
        </w:rPr>
        <w:t xml:space="preserve"> w</w:t>
      </w:r>
      <w:r w:rsidR="00710B91">
        <w:rPr>
          <w:noProof/>
        </w:rPr>
        <w:t> </w:t>
      </w:r>
      <w:r w:rsidR="00710B91" w:rsidRPr="00710B91">
        <w:rPr>
          <w:noProof/>
        </w:rPr>
        <w:t>spr</w:t>
      </w:r>
      <w:r w:rsidRPr="00710B91">
        <w:rPr>
          <w:noProof/>
        </w:rPr>
        <w:t>awie środków na rzecz wspólnego wysokiego poziomu cyberbezpieczeństwa</w:t>
      </w:r>
      <w:r w:rsidR="00710B91" w:rsidRPr="00710B91">
        <w:rPr>
          <w:noProof/>
        </w:rPr>
        <w:t xml:space="preserve"> w</w:t>
      </w:r>
      <w:r w:rsidR="00710B91">
        <w:rPr>
          <w:noProof/>
        </w:rPr>
        <w:t> </w:t>
      </w:r>
      <w:r w:rsidR="00710B91" w:rsidRPr="00710B91">
        <w:rPr>
          <w:noProof/>
        </w:rPr>
        <w:t>cał</w:t>
      </w:r>
      <w:r w:rsidRPr="00710B91">
        <w:rPr>
          <w:noProof/>
        </w:rPr>
        <w:t>ej Unii (NIS 2) mającej na celu dalsze podniesienie poziomu cyberbezpieczeństwa</w:t>
      </w:r>
      <w:r w:rsidR="00710B91" w:rsidRPr="00710B91">
        <w:rPr>
          <w:noProof/>
        </w:rPr>
        <w:t xml:space="preserve"> w</w:t>
      </w:r>
      <w:r w:rsidR="00710B91">
        <w:rPr>
          <w:noProof/>
        </w:rPr>
        <w:t> </w:t>
      </w:r>
      <w:r w:rsidR="00710B91" w:rsidRPr="00710B91">
        <w:rPr>
          <w:noProof/>
        </w:rPr>
        <w:t>pod</w:t>
      </w:r>
      <w:r w:rsidRPr="00710B91">
        <w:rPr>
          <w:noProof/>
        </w:rPr>
        <w:t>miotach publicznych</w:t>
      </w:r>
      <w:r w:rsidR="00710B91" w:rsidRPr="00710B91">
        <w:rPr>
          <w:noProof/>
        </w:rPr>
        <w:t xml:space="preserve"> i</w:t>
      </w:r>
      <w:r w:rsidR="00710B91">
        <w:rPr>
          <w:noProof/>
        </w:rPr>
        <w:t> </w:t>
      </w:r>
      <w:r w:rsidR="00710B91" w:rsidRPr="00710B91">
        <w:rPr>
          <w:noProof/>
        </w:rPr>
        <w:t>pry</w:t>
      </w:r>
      <w:r w:rsidRPr="00710B91">
        <w:rPr>
          <w:noProof/>
        </w:rPr>
        <w:t>watnych, właściwych organach oraz Unii jako całości</w:t>
      </w:r>
      <w:r w:rsidR="00710B91" w:rsidRPr="00710B91">
        <w:rPr>
          <w:noProof/>
        </w:rPr>
        <w:t xml:space="preserve"> w</w:t>
      </w:r>
      <w:r w:rsidR="00710B91">
        <w:rPr>
          <w:noProof/>
        </w:rPr>
        <w:t> </w:t>
      </w:r>
      <w:r w:rsidR="00710B91" w:rsidRPr="00710B91">
        <w:rPr>
          <w:noProof/>
        </w:rPr>
        <w:t>dzi</w:t>
      </w:r>
      <w:r w:rsidRPr="00710B91">
        <w:rPr>
          <w:noProof/>
        </w:rPr>
        <w:t>edzinach cyberbezpieczeństwa</w:t>
      </w:r>
      <w:r w:rsidR="00710B91" w:rsidRPr="00710B91">
        <w:rPr>
          <w:noProof/>
        </w:rPr>
        <w:t xml:space="preserve"> i</w:t>
      </w:r>
      <w:r w:rsidR="00710B91">
        <w:rPr>
          <w:noProof/>
        </w:rPr>
        <w:t> </w:t>
      </w:r>
      <w:r w:rsidR="00710B91" w:rsidRPr="00710B91">
        <w:rPr>
          <w:noProof/>
        </w:rPr>
        <w:t>och</w:t>
      </w:r>
      <w:r w:rsidRPr="00710B91">
        <w:rPr>
          <w:noProof/>
        </w:rPr>
        <w:t>rony infrastruktury krytycznej</w:t>
      </w:r>
      <w:r w:rsidR="00710B91" w:rsidRPr="00710B91">
        <w:rPr>
          <w:noProof/>
        </w:rPr>
        <w:t>. O</w:t>
      </w:r>
      <w:r w:rsidR="00710B91">
        <w:rPr>
          <w:noProof/>
        </w:rPr>
        <w:t> </w:t>
      </w:r>
      <w:r w:rsidR="00710B91" w:rsidRPr="00710B91">
        <w:rPr>
          <w:noProof/>
        </w:rPr>
        <w:t>ile</w:t>
      </w:r>
      <w:r w:rsidRPr="00710B91">
        <w:rPr>
          <w:noProof/>
        </w:rPr>
        <w:t xml:space="preserve"> sądownictwo</w:t>
      </w:r>
      <w:r w:rsidR="00710B91" w:rsidRPr="00710B91">
        <w:rPr>
          <w:noProof/>
        </w:rPr>
        <w:t xml:space="preserve"> w</w:t>
      </w:r>
      <w:r w:rsidR="00710B91">
        <w:rPr>
          <w:noProof/>
        </w:rPr>
        <w:t> </w:t>
      </w:r>
      <w:r w:rsidR="00710B91" w:rsidRPr="00710B91">
        <w:rPr>
          <w:noProof/>
        </w:rPr>
        <w:t>pań</w:t>
      </w:r>
      <w:r w:rsidRPr="00710B91">
        <w:rPr>
          <w:noProof/>
        </w:rPr>
        <w:t>stwach członkowskich nie jest objęte zakresem dotyczącego wniosku NIS 2, jest istotne, aby państwa członkowskie wdrożyły krajowe środki zapewniające porównywalny poziom cyberbezpieczeństwa.</w:t>
      </w:r>
    </w:p>
    <w:p w14:paraId="3D7E21EA" w14:textId="740DA56B" w:rsidR="00920E47" w:rsidRPr="00710B91" w:rsidRDefault="00920E47" w:rsidP="0005122E">
      <w:pPr>
        <w:pStyle w:val="ManualHeading1"/>
        <w:rPr>
          <w:noProof/>
        </w:rPr>
      </w:pPr>
      <w:bookmarkStart w:id="2" w:name="_Toc92899373"/>
      <w:r w:rsidRPr="00710B91">
        <w:rPr>
          <w:noProof/>
        </w:rPr>
        <w:t>2.</w:t>
      </w:r>
      <w:r w:rsidRPr="00710B91">
        <w:rPr>
          <w:noProof/>
        </w:rPr>
        <w:tab/>
        <w:t>PODSTAWA PRAWNA, POMOCNICZOŚĆ I PROPORCJONALNOŚĆ</w:t>
      </w:r>
      <w:bookmarkEnd w:id="2"/>
    </w:p>
    <w:p w14:paraId="2AE7F603" w14:textId="77777777" w:rsidR="00920E47" w:rsidRPr="00710B91" w:rsidRDefault="00920E47" w:rsidP="009D79B9">
      <w:pPr>
        <w:pStyle w:val="Bullet0"/>
        <w:tabs>
          <w:tab w:val="clear" w:pos="850"/>
          <w:tab w:val="num" w:pos="567"/>
        </w:tabs>
        <w:rPr>
          <w:b/>
          <w:noProof/>
        </w:rPr>
      </w:pPr>
      <w:r w:rsidRPr="00710B91">
        <w:rPr>
          <w:b/>
          <w:noProof/>
        </w:rPr>
        <w:t>Podstawa prawna</w:t>
      </w:r>
    </w:p>
    <w:p w14:paraId="1FD58910" w14:textId="15A6E935" w:rsidR="00920E47" w:rsidRPr="00710B91" w:rsidRDefault="00920E47" w:rsidP="0005122E">
      <w:pPr>
        <w:pBdr>
          <w:top w:val="nil"/>
          <w:left w:val="nil"/>
          <w:bottom w:val="nil"/>
          <w:right w:val="nil"/>
          <w:between w:val="nil"/>
          <w:bar w:val="nil"/>
        </w:pBdr>
        <w:spacing w:before="0" w:after="240"/>
        <w:rPr>
          <w:rFonts w:eastAsia="Arial Unicode MS"/>
          <w:noProof/>
          <w:color w:val="000000" w:themeColor="text1"/>
        </w:rPr>
      </w:pPr>
      <w:r w:rsidRPr="00710B91">
        <w:rPr>
          <w:noProof/>
        </w:rPr>
        <w:t>Podstawę prawną wniosku stanowi art.</w:t>
      </w:r>
      <w:r w:rsidR="00710B91" w:rsidRPr="00710B91">
        <w:rPr>
          <w:noProof/>
        </w:rPr>
        <w:t> </w:t>
      </w:r>
      <w:r w:rsidRPr="00710B91">
        <w:rPr>
          <w:noProof/>
        </w:rPr>
        <w:t>82 ust.</w:t>
      </w:r>
      <w:r w:rsidR="00710B91" w:rsidRPr="00710B91">
        <w:rPr>
          <w:noProof/>
        </w:rPr>
        <w:t> </w:t>
      </w:r>
      <w:r w:rsidRPr="00710B91">
        <w:rPr>
          <w:noProof/>
        </w:rPr>
        <w:t>1 lit.</w:t>
      </w:r>
      <w:r w:rsidR="00710B91" w:rsidRPr="00710B91">
        <w:rPr>
          <w:noProof/>
        </w:rPr>
        <w:t> </w:t>
      </w:r>
      <w:r w:rsidRPr="00710B91">
        <w:rPr>
          <w:noProof/>
        </w:rPr>
        <w:t>d) Traktatu</w:t>
      </w:r>
      <w:r w:rsidR="00710B91" w:rsidRPr="00710B91">
        <w:rPr>
          <w:noProof/>
        </w:rPr>
        <w:t xml:space="preserve"> o</w:t>
      </w:r>
      <w:r w:rsidR="00710B91">
        <w:rPr>
          <w:noProof/>
        </w:rPr>
        <w:t> </w:t>
      </w:r>
      <w:r w:rsidR="00710B91" w:rsidRPr="00710B91">
        <w:rPr>
          <w:noProof/>
        </w:rPr>
        <w:t>fun</w:t>
      </w:r>
      <w:r w:rsidRPr="00710B91">
        <w:rPr>
          <w:noProof/>
        </w:rPr>
        <w:t>kcjonowaniu Unii Europejskiej (TFUE). Zgodnie</w:t>
      </w:r>
      <w:r w:rsidR="00710B91" w:rsidRPr="00710B91">
        <w:rPr>
          <w:noProof/>
        </w:rPr>
        <w:t xml:space="preserve"> z</w:t>
      </w:r>
      <w:r w:rsidR="00710B91">
        <w:rPr>
          <w:noProof/>
        </w:rPr>
        <w:t> </w:t>
      </w:r>
      <w:r w:rsidR="00710B91" w:rsidRPr="00710B91">
        <w:rPr>
          <w:noProof/>
        </w:rPr>
        <w:t>tym</w:t>
      </w:r>
      <w:r w:rsidRPr="00710B91">
        <w:rPr>
          <w:noProof/>
        </w:rPr>
        <w:t xml:space="preserve"> artykułem UE ma prawo do przyjęcia środków mających na celu ułatwianie współpracy między organami sądowymi lub równoważnymi organami państw członkowskich</w:t>
      </w:r>
      <w:r w:rsidR="00710B91" w:rsidRPr="00710B91">
        <w:rPr>
          <w:noProof/>
        </w:rPr>
        <w:t xml:space="preserve"> w</w:t>
      </w:r>
      <w:r w:rsidR="00710B91">
        <w:rPr>
          <w:noProof/>
        </w:rPr>
        <w:t> </w:t>
      </w:r>
      <w:r w:rsidR="00710B91" w:rsidRPr="00710B91">
        <w:rPr>
          <w:noProof/>
        </w:rPr>
        <w:t>ram</w:t>
      </w:r>
      <w:r w:rsidRPr="00710B91">
        <w:rPr>
          <w:noProof/>
        </w:rPr>
        <w:t>ach ścigania karnego.</w:t>
      </w:r>
      <w:r w:rsidRPr="00710B91">
        <w:rPr>
          <w:noProof/>
          <w:color w:val="000000" w:themeColor="text1"/>
        </w:rPr>
        <w:t xml:space="preserve"> </w:t>
      </w:r>
    </w:p>
    <w:p w14:paraId="5DF7F896" w14:textId="1085B899" w:rsidR="00920E47" w:rsidRPr="00710B91" w:rsidRDefault="00920E47" w:rsidP="0005122E">
      <w:pPr>
        <w:pBdr>
          <w:top w:val="nil"/>
          <w:left w:val="nil"/>
          <w:bottom w:val="nil"/>
          <w:right w:val="nil"/>
          <w:between w:val="nil"/>
          <w:bar w:val="nil"/>
        </w:pBdr>
        <w:spacing w:before="0" w:after="240"/>
        <w:rPr>
          <w:rFonts w:eastAsia="Arial Unicode MS"/>
          <w:noProof/>
        </w:rPr>
      </w:pPr>
      <w:r w:rsidRPr="00710B91">
        <w:rPr>
          <w:noProof/>
        </w:rPr>
        <w:t>Zgodnie</w:t>
      </w:r>
      <w:r w:rsidR="00710B91" w:rsidRPr="00710B91">
        <w:rPr>
          <w:noProof/>
        </w:rPr>
        <w:t xml:space="preserve"> z</w:t>
      </w:r>
      <w:r w:rsidR="00710B91">
        <w:rPr>
          <w:noProof/>
        </w:rPr>
        <w:t> </w:t>
      </w:r>
      <w:r w:rsidR="00710B91" w:rsidRPr="00710B91">
        <w:rPr>
          <w:noProof/>
        </w:rPr>
        <w:t>art</w:t>
      </w:r>
      <w:r w:rsidRPr="00710B91">
        <w:rPr>
          <w:noProof/>
        </w:rPr>
        <w:t>.</w:t>
      </w:r>
      <w:r w:rsidR="00710B91" w:rsidRPr="00710B91">
        <w:rPr>
          <w:noProof/>
        </w:rPr>
        <w:t> </w:t>
      </w:r>
      <w:r w:rsidRPr="00710B91">
        <w:rPr>
          <w:noProof/>
        </w:rPr>
        <w:t>1</w:t>
      </w:r>
      <w:r w:rsidR="00710B91" w:rsidRPr="00710B91">
        <w:rPr>
          <w:noProof/>
        </w:rPr>
        <w:t xml:space="preserve"> i</w:t>
      </w:r>
      <w:r w:rsidR="00710B91">
        <w:rPr>
          <w:noProof/>
        </w:rPr>
        <w:t> </w:t>
      </w:r>
      <w:r w:rsidR="00710B91" w:rsidRPr="00710B91">
        <w:rPr>
          <w:noProof/>
        </w:rPr>
        <w:t>2</w:t>
      </w:r>
      <w:r w:rsidRPr="00710B91">
        <w:rPr>
          <w:noProof/>
        </w:rPr>
        <w:t xml:space="preserve"> Protokołu nr</w:t>
      </w:r>
      <w:r w:rsidR="00710B91" w:rsidRPr="00710B91">
        <w:rPr>
          <w:noProof/>
        </w:rPr>
        <w:t> </w:t>
      </w:r>
      <w:r w:rsidRPr="00710B91">
        <w:rPr>
          <w:noProof/>
        </w:rPr>
        <w:t>22</w:t>
      </w:r>
      <w:r w:rsidR="00710B91" w:rsidRPr="00710B91">
        <w:rPr>
          <w:noProof/>
        </w:rPr>
        <w:t xml:space="preserve"> w</w:t>
      </w:r>
      <w:r w:rsidR="00710B91">
        <w:rPr>
          <w:noProof/>
        </w:rPr>
        <w:t> </w:t>
      </w:r>
      <w:r w:rsidR="00710B91" w:rsidRPr="00710B91">
        <w:rPr>
          <w:noProof/>
        </w:rPr>
        <w:t>spr</w:t>
      </w:r>
      <w:r w:rsidRPr="00710B91">
        <w:rPr>
          <w:noProof/>
        </w:rPr>
        <w:t>awie stanowiska Danii, załączonego do Traktatu</w:t>
      </w:r>
      <w:r w:rsidR="00710B91" w:rsidRPr="00710B91">
        <w:rPr>
          <w:noProof/>
        </w:rPr>
        <w:t xml:space="preserve"> o</w:t>
      </w:r>
      <w:r w:rsidR="00710B91">
        <w:rPr>
          <w:noProof/>
        </w:rPr>
        <w:t> </w:t>
      </w:r>
      <w:r w:rsidR="00710B91" w:rsidRPr="00710B91">
        <w:rPr>
          <w:noProof/>
        </w:rPr>
        <w:t>Uni</w:t>
      </w:r>
      <w:r w:rsidRPr="00710B91">
        <w:rPr>
          <w:noProof/>
        </w:rPr>
        <w:t>i Europejskiej (TUE) i do TFUE, Dania nie uczestniczy</w:t>
      </w:r>
      <w:r w:rsidR="00710B91" w:rsidRPr="00710B91">
        <w:rPr>
          <w:noProof/>
        </w:rPr>
        <w:t xml:space="preserve"> w</w:t>
      </w:r>
      <w:r w:rsidR="00710B91">
        <w:rPr>
          <w:noProof/>
        </w:rPr>
        <w:t> </w:t>
      </w:r>
      <w:r w:rsidR="00710B91" w:rsidRPr="00710B91">
        <w:rPr>
          <w:noProof/>
        </w:rPr>
        <w:t>prz</w:t>
      </w:r>
      <w:r w:rsidRPr="00710B91">
        <w:rPr>
          <w:noProof/>
        </w:rPr>
        <w:t>yjęciu niniejszego rozporządzenia</w:t>
      </w:r>
      <w:r w:rsidR="00710B91" w:rsidRPr="00710B91">
        <w:rPr>
          <w:noProof/>
        </w:rPr>
        <w:t xml:space="preserve"> i</w:t>
      </w:r>
      <w:r w:rsidR="00710B91">
        <w:rPr>
          <w:noProof/>
        </w:rPr>
        <w:t> </w:t>
      </w:r>
      <w:r w:rsidR="00710B91" w:rsidRPr="00710B91">
        <w:rPr>
          <w:noProof/>
        </w:rPr>
        <w:t>nie</w:t>
      </w:r>
      <w:r w:rsidRPr="00710B91">
        <w:rPr>
          <w:noProof/>
        </w:rPr>
        <w:t xml:space="preserve"> jest nim związana ani go nie stosuje. </w:t>
      </w:r>
    </w:p>
    <w:p w14:paraId="0D08812A" w14:textId="73BDE6D9" w:rsidR="00920E47" w:rsidRPr="00710B91" w:rsidRDefault="00920E47" w:rsidP="0005122E">
      <w:pPr>
        <w:pBdr>
          <w:top w:val="nil"/>
          <w:left w:val="nil"/>
          <w:bottom w:val="nil"/>
          <w:right w:val="nil"/>
          <w:between w:val="nil"/>
          <w:bar w:val="nil"/>
        </w:pBdr>
        <w:spacing w:before="0" w:after="240"/>
        <w:rPr>
          <w:rFonts w:eastAsia="Arial Unicode MS"/>
          <w:noProof/>
        </w:rPr>
      </w:pPr>
      <w:r w:rsidRPr="00710B91">
        <w:rPr>
          <w:noProof/>
        </w:rPr>
        <w:t>Zgodnie</w:t>
      </w:r>
      <w:r w:rsidR="00710B91" w:rsidRPr="00710B91">
        <w:rPr>
          <w:noProof/>
        </w:rPr>
        <w:t xml:space="preserve"> z</w:t>
      </w:r>
      <w:r w:rsidR="00710B91">
        <w:rPr>
          <w:noProof/>
        </w:rPr>
        <w:t> </w:t>
      </w:r>
      <w:r w:rsidR="00710B91" w:rsidRPr="00710B91">
        <w:rPr>
          <w:noProof/>
        </w:rPr>
        <w:t>art</w:t>
      </w:r>
      <w:r w:rsidRPr="00710B91">
        <w:rPr>
          <w:noProof/>
        </w:rPr>
        <w:t>.</w:t>
      </w:r>
      <w:r w:rsidR="00710B91" w:rsidRPr="00710B91">
        <w:rPr>
          <w:noProof/>
        </w:rPr>
        <w:t> </w:t>
      </w:r>
      <w:r w:rsidRPr="00710B91">
        <w:rPr>
          <w:noProof/>
        </w:rPr>
        <w:t>1–3 Protokołu nr</w:t>
      </w:r>
      <w:r w:rsidR="00710B91" w:rsidRPr="00710B91">
        <w:rPr>
          <w:noProof/>
        </w:rPr>
        <w:t> </w:t>
      </w:r>
      <w:r w:rsidRPr="00710B91">
        <w:rPr>
          <w:noProof/>
        </w:rPr>
        <w:t>21</w:t>
      </w:r>
      <w:r w:rsidR="00710B91" w:rsidRPr="00710B91">
        <w:rPr>
          <w:noProof/>
        </w:rPr>
        <w:t xml:space="preserve"> w</w:t>
      </w:r>
      <w:r w:rsidR="00710B91">
        <w:rPr>
          <w:noProof/>
        </w:rPr>
        <w:t> </w:t>
      </w:r>
      <w:r w:rsidR="00710B91" w:rsidRPr="00710B91">
        <w:rPr>
          <w:noProof/>
        </w:rPr>
        <w:t>spr</w:t>
      </w:r>
      <w:r w:rsidRPr="00710B91">
        <w:rPr>
          <w:noProof/>
        </w:rPr>
        <w:t>awie stanowiska Irlandii, załączonego do TUE i TFUE, Irlandia może pisemnie notyfikować Przewodniczącemu Rady swoje życzenie uczestniczenia</w:t>
      </w:r>
      <w:r w:rsidR="00710B91" w:rsidRPr="00710B91">
        <w:rPr>
          <w:noProof/>
        </w:rPr>
        <w:t xml:space="preserve"> w</w:t>
      </w:r>
      <w:r w:rsidR="00710B91">
        <w:rPr>
          <w:noProof/>
        </w:rPr>
        <w:t> </w:t>
      </w:r>
      <w:r w:rsidR="00710B91" w:rsidRPr="00710B91">
        <w:rPr>
          <w:noProof/>
        </w:rPr>
        <w:t>prz</w:t>
      </w:r>
      <w:r w:rsidRPr="00710B91">
        <w:rPr>
          <w:noProof/>
        </w:rPr>
        <w:t>yjęciu</w:t>
      </w:r>
      <w:r w:rsidR="00710B91" w:rsidRPr="00710B91">
        <w:rPr>
          <w:noProof/>
        </w:rPr>
        <w:t xml:space="preserve"> i</w:t>
      </w:r>
      <w:r w:rsidR="00710B91">
        <w:rPr>
          <w:noProof/>
        </w:rPr>
        <w:t> </w:t>
      </w:r>
      <w:r w:rsidR="00710B91" w:rsidRPr="00710B91">
        <w:rPr>
          <w:noProof/>
        </w:rPr>
        <w:t>sto</w:t>
      </w:r>
      <w:r w:rsidRPr="00710B91">
        <w:rPr>
          <w:noProof/>
        </w:rPr>
        <w:t>sowaniu zaproponowanego środka, na podstawie czego państwo to uzyskuje do tego uprawnienie. Notyfikacji należy dokonać</w:t>
      </w:r>
      <w:r w:rsidR="00710B91" w:rsidRPr="00710B91">
        <w:rPr>
          <w:noProof/>
        </w:rPr>
        <w:t xml:space="preserve"> w</w:t>
      </w:r>
      <w:r w:rsidR="00710B91">
        <w:rPr>
          <w:noProof/>
        </w:rPr>
        <w:t> </w:t>
      </w:r>
      <w:r w:rsidR="00710B91" w:rsidRPr="00710B91">
        <w:rPr>
          <w:noProof/>
        </w:rPr>
        <w:t>ter</w:t>
      </w:r>
      <w:r w:rsidRPr="00710B91">
        <w:rPr>
          <w:noProof/>
        </w:rPr>
        <w:t>minie trzech miesięcy od przedstawienia Radzie propozycji lub inicjatywy</w:t>
      </w:r>
      <w:r w:rsidR="00710B91" w:rsidRPr="00710B91">
        <w:rPr>
          <w:noProof/>
        </w:rPr>
        <w:t xml:space="preserve"> w</w:t>
      </w:r>
      <w:r w:rsidR="00710B91">
        <w:rPr>
          <w:noProof/>
        </w:rPr>
        <w:t> </w:t>
      </w:r>
      <w:r w:rsidR="00710B91" w:rsidRPr="00710B91">
        <w:rPr>
          <w:noProof/>
        </w:rPr>
        <w:t>wyk</w:t>
      </w:r>
      <w:r w:rsidRPr="00710B91">
        <w:rPr>
          <w:noProof/>
        </w:rPr>
        <w:t>onaniu części trzeciej tytuł V Traktatu</w:t>
      </w:r>
      <w:r w:rsidR="00710B91" w:rsidRPr="00710B91">
        <w:rPr>
          <w:noProof/>
        </w:rPr>
        <w:t xml:space="preserve"> o</w:t>
      </w:r>
      <w:r w:rsidR="00710B91">
        <w:rPr>
          <w:noProof/>
        </w:rPr>
        <w:t> </w:t>
      </w:r>
      <w:r w:rsidR="00710B91" w:rsidRPr="00710B91">
        <w:rPr>
          <w:noProof/>
        </w:rPr>
        <w:t>fun</w:t>
      </w:r>
      <w:r w:rsidRPr="00710B91">
        <w:rPr>
          <w:noProof/>
        </w:rPr>
        <w:t>kcjonowaniu Unii Europejskiej.</w:t>
      </w:r>
    </w:p>
    <w:p w14:paraId="1A4FE69A" w14:textId="77777777" w:rsidR="00920E47" w:rsidRPr="00710B91" w:rsidRDefault="00920E47" w:rsidP="009D79B9">
      <w:pPr>
        <w:pStyle w:val="Bullet0"/>
        <w:tabs>
          <w:tab w:val="clear" w:pos="850"/>
          <w:tab w:val="num" w:pos="567"/>
        </w:tabs>
        <w:rPr>
          <w:b/>
          <w:noProof/>
        </w:rPr>
      </w:pPr>
      <w:r w:rsidRPr="00710B91">
        <w:rPr>
          <w:b/>
          <w:noProof/>
        </w:rPr>
        <w:t>Pomocniczość (w przypadku kompetencji niewyłącznych)</w:t>
      </w:r>
    </w:p>
    <w:p w14:paraId="064E5A38" w14:textId="613A13F2" w:rsidR="00920E47" w:rsidRPr="00710B91" w:rsidRDefault="00920E47" w:rsidP="0005122E">
      <w:pPr>
        <w:pBdr>
          <w:top w:val="nil"/>
          <w:left w:val="nil"/>
          <w:bottom w:val="nil"/>
          <w:right w:val="nil"/>
          <w:between w:val="nil"/>
          <w:bar w:val="nil"/>
        </w:pBdr>
        <w:spacing w:before="0" w:after="240"/>
        <w:rPr>
          <w:rFonts w:eastAsia="Arial Unicode MS"/>
          <w:noProof/>
        </w:rPr>
      </w:pPr>
      <w:r w:rsidRPr="00710B91">
        <w:rPr>
          <w:noProof/>
        </w:rPr>
        <w:t>Zgodnie</w:t>
      </w:r>
      <w:r w:rsidR="00710B91" w:rsidRPr="00710B91">
        <w:rPr>
          <w:noProof/>
        </w:rPr>
        <w:t xml:space="preserve"> z</w:t>
      </w:r>
      <w:r w:rsidR="00710B91">
        <w:rPr>
          <w:noProof/>
        </w:rPr>
        <w:t> </w:t>
      </w:r>
      <w:r w:rsidR="00710B91" w:rsidRPr="00710B91">
        <w:rPr>
          <w:noProof/>
        </w:rPr>
        <w:t>zas</w:t>
      </w:r>
      <w:r w:rsidRPr="00710B91">
        <w:rPr>
          <w:noProof/>
        </w:rPr>
        <w:t>adą pomocniczości określoną</w:t>
      </w:r>
      <w:r w:rsidR="00710B91" w:rsidRPr="00710B91">
        <w:rPr>
          <w:noProof/>
        </w:rPr>
        <w:t xml:space="preserve"> w</w:t>
      </w:r>
      <w:r w:rsidR="00710B91">
        <w:rPr>
          <w:noProof/>
        </w:rPr>
        <w:t> </w:t>
      </w:r>
      <w:r w:rsidR="00710B91" w:rsidRPr="00710B91">
        <w:rPr>
          <w:noProof/>
        </w:rPr>
        <w:t>art</w:t>
      </w:r>
      <w:r w:rsidRPr="00710B91">
        <w:rPr>
          <w:noProof/>
        </w:rPr>
        <w:t>.</w:t>
      </w:r>
      <w:r w:rsidR="00710B91" w:rsidRPr="00710B91">
        <w:rPr>
          <w:noProof/>
        </w:rPr>
        <w:t> </w:t>
      </w:r>
      <w:r w:rsidRPr="00710B91">
        <w:rPr>
          <w:noProof/>
        </w:rPr>
        <w:t>5 ust.</w:t>
      </w:r>
      <w:r w:rsidR="00710B91" w:rsidRPr="00710B91">
        <w:rPr>
          <w:noProof/>
        </w:rPr>
        <w:t> </w:t>
      </w:r>
      <w:r w:rsidRPr="00710B91">
        <w:rPr>
          <w:noProof/>
        </w:rPr>
        <w:t>3 TUE Unia powinna podejmować działania tylko wówczas, gdy cele zamierzonego działania nie mogą zostać osiągnięte</w:t>
      </w:r>
      <w:r w:rsidR="00710B91" w:rsidRPr="00710B91">
        <w:rPr>
          <w:noProof/>
        </w:rPr>
        <w:t xml:space="preserve"> w</w:t>
      </w:r>
      <w:r w:rsidR="00710B91">
        <w:rPr>
          <w:noProof/>
        </w:rPr>
        <w:t> </w:t>
      </w:r>
      <w:r w:rsidR="00710B91" w:rsidRPr="00710B91">
        <w:rPr>
          <w:noProof/>
        </w:rPr>
        <w:t>spo</w:t>
      </w:r>
      <w:r w:rsidRPr="00710B91">
        <w:rPr>
          <w:noProof/>
        </w:rPr>
        <w:t>sób wystarczający przez państwa członkowskie</w:t>
      </w:r>
      <w:r w:rsidR="00710B91" w:rsidRPr="00710B91">
        <w:rPr>
          <w:noProof/>
        </w:rPr>
        <w:t xml:space="preserve"> i</w:t>
      </w:r>
      <w:r w:rsidR="00710B91">
        <w:rPr>
          <w:noProof/>
        </w:rPr>
        <w:t> </w:t>
      </w:r>
      <w:r w:rsidR="00710B91" w:rsidRPr="00710B91">
        <w:rPr>
          <w:noProof/>
        </w:rPr>
        <w:t>jeś</w:t>
      </w:r>
      <w:r w:rsidRPr="00710B91">
        <w:rPr>
          <w:noProof/>
        </w:rPr>
        <w:t>li ze względu na rozmiary lub skutki proponowanego działania możliwe jest lepsze ich osiągnięcie na poziomie Unii. Co więcej, konieczne jest dostosowanie charakteru</w:t>
      </w:r>
      <w:r w:rsidR="00710B91" w:rsidRPr="00710B91">
        <w:rPr>
          <w:noProof/>
        </w:rPr>
        <w:t xml:space="preserve"> i</w:t>
      </w:r>
      <w:r w:rsidR="00710B91">
        <w:rPr>
          <w:noProof/>
        </w:rPr>
        <w:t> </w:t>
      </w:r>
      <w:r w:rsidR="00710B91" w:rsidRPr="00710B91">
        <w:rPr>
          <w:noProof/>
        </w:rPr>
        <w:t>int</w:t>
      </w:r>
      <w:r w:rsidRPr="00710B91">
        <w:rPr>
          <w:noProof/>
        </w:rPr>
        <w:t>ensywności danego działania do zidentyfikowanego problemu.</w:t>
      </w:r>
    </w:p>
    <w:p w14:paraId="06E7D9A2" w14:textId="4E3463D5" w:rsidR="00920E47" w:rsidRPr="00710B91" w:rsidRDefault="00920E47" w:rsidP="0005122E">
      <w:pPr>
        <w:pBdr>
          <w:top w:val="nil"/>
          <w:left w:val="nil"/>
          <w:bottom w:val="nil"/>
          <w:right w:val="nil"/>
          <w:between w:val="nil"/>
          <w:bar w:val="nil"/>
        </w:pBdr>
        <w:spacing w:before="0" w:after="240"/>
        <w:rPr>
          <w:rFonts w:eastAsia="Arial Unicode MS"/>
          <w:noProof/>
        </w:rPr>
      </w:pPr>
      <w:r w:rsidRPr="00710B91">
        <w:rPr>
          <w:noProof/>
        </w:rPr>
        <w:t>Utworzenie wspólnej unijnej platformy informatycznej przeznaczonej do obsługi zespołów JIT, pozwalającej państwom członkowskim na wykorzystanie rozwiązania technologicznego niezależnego od krajowej infrastruktury informatycznej, nie może zostać zrealizowane</w:t>
      </w:r>
      <w:r w:rsidR="00710B91" w:rsidRPr="00710B91">
        <w:rPr>
          <w:noProof/>
        </w:rPr>
        <w:t xml:space="preserve"> w</w:t>
      </w:r>
      <w:r w:rsidR="00710B91">
        <w:rPr>
          <w:noProof/>
        </w:rPr>
        <w:t> </w:t>
      </w:r>
      <w:r w:rsidR="00710B91" w:rsidRPr="00710B91">
        <w:rPr>
          <w:noProof/>
        </w:rPr>
        <w:t>spo</w:t>
      </w:r>
      <w:r w:rsidRPr="00710B91">
        <w:rPr>
          <w:noProof/>
        </w:rPr>
        <w:t>sób jednostronny na poziomie państwa członkowskiego ani też dwustronny pomiędzy państwami członkowskimi</w:t>
      </w:r>
      <w:r w:rsidR="00710B91" w:rsidRPr="00710B91">
        <w:rPr>
          <w:noProof/>
        </w:rPr>
        <w:t>. Z</w:t>
      </w:r>
      <w:r w:rsidR="00710B91">
        <w:rPr>
          <w:noProof/>
        </w:rPr>
        <w:t> </w:t>
      </w:r>
      <w:r w:rsidR="00710B91" w:rsidRPr="00710B91">
        <w:rPr>
          <w:noProof/>
        </w:rPr>
        <w:t>sam</w:t>
      </w:r>
      <w:r w:rsidRPr="00710B91">
        <w:rPr>
          <w:noProof/>
        </w:rPr>
        <w:t>ej swej natury jest to zadanie, które należy podjąć na poziomie unijnym</w:t>
      </w:r>
      <w:r w:rsidR="00710B91" w:rsidRPr="00710B91">
        <w:rPr>
          <w:noProof/>
        </w:rPr>
        <w:t>. W</w:t>
      </w:r>
      <w:r w:rsidR="00710B91">
        <w:rPr>
          <w:noProof/>
        </w:rPr>
        <w:t> </w:t>
      </w:r>
      <w:r w:rsidR="00710B91" w:rsidRPr="00710B91">
        <w:rPr>
          <w:noProof/>
        </w:rPr>
        <w:t>zwi</w:t>
      </w:r>
      <w:r w:rsidRPr="00710B91">
        <w:rPr>
          <w:noProof/>
        </w:rPr>
        <w:t>ązku</w:t>
      </w:r>
      <w:r w:rsidR="00710B91" w:rsidRPr="00710B91">
        <w:rPr>
          <w:noProof/>
        </w:rPr>
        <w:t xml:space="preserve"> z</w:t>
      </w:r>
      <w:r w:rsidR="00710B91">
        <w:rPr>
          <w:noProof/>
        </w:rPr>
        <w:t> </w:t>
      </w:r>
      <w:r w:rsidR="00710B91" w:rsidRPr="00710B91">
        <w:rPr>
          <w:noProof/>
        </w:rPr>
        <w:t>tym</w:t>
      </w:r>
      <w:r w:rsidRPr="00710B91">
        <w:rPr>
          <w:noProof/>
        </w:rPr>
        <w:t xml:space="preserve"> również Unia powinna ustanowić prawnie wiążący instrument</w:t>
      </w:r>
      <w:r w:rsidR="00710B91" w:rsidRPr="00710B91">
        <w:rPr>
          <w:noProof/>
        </w:rPr>
        <w:t xml:space="preserve"> w</w:t>
      </w:r>
      <w:r w:rsidR="00710B91">
        <w:rPr>
          <w:noProof/>
        </w:rPr>
        <w:t> </w:t>
      </w:r>
      <w:r w:rsidR="00710B91" w:rsidRPr="00710B91">
        <w:rPr>
          <w:noProof/>
        </w:rPr>
        <w:t>cel</w:t>
      </w:r>
      <w:r w:rsidRPr="00710B91">
        <w:rPr>
          <w:noProof/>
        </w:rPr>
        <w:t>u stworzenia takiego systemu</w:t>
      </w:r>
      <w:r w:rsidR="00710B91" w:rsidRPr="00710B91">
        <w:rPr>
          <w:noProof/>
        </w:rPr>
        <w:t xml:space="preserve"> i</w:t>
      </w:r>
      <w:r w:rsidR="00710B91">
        <w:rPr>
          <w:noProof/>
        </w:rPr>
        <w:t> </w:t>
      </w:r>
      <w:r w:rsidR="00710B91" w:rsidRPr="00710B91">
        <w:rPr>
          <w:noProof/>
        </w:rPr>
        <w:t>okr</w:t>
      </w:r>
      <w:r w:rsidRPr="00710B91">
        <w:rPr>
          <w:noProof/>
        </w:rPr>
        <w:t>eślenia warunków, na jakich ten system będzie funkcjonował.</w:t>
      </w:r>
    </w:p>
    <w:p w14:paraId="0794D3AD" w14:textId="77777777" w:rsidR="00920E47" w:rsidRPr="00710B91" w:rsidRDefault="00920E47" w:rsidP="009D79B9">
      <w:pPr>
        <w:pStyle w:val="Bullet0"/>
        <w:tabs>
          <w:tab w:val="clear" w:pos="850"/>
          <w:tab w:val="num" w:pos="567"/>
        </w:tabs>
        <w:rPr>
          <w:b/>
          <w:noProof/>
        </w:rPr>
      </w:pPr>
      <w:r w:rsidRPr="00710B91">
        <w:rPr>
          <w:b/>
          <w:noProof/>
        </w:rPr>
        <w:t>Proporcjonalność</w:t>
      </w:r>
    </w:p>
    <w:p w14:paraId="738953AF" w14:textId="3E944915" w:rsidR="00920E47" w:rsidRPr="00710B91" w:rsidRDefault="00920E47" w:rsidP="0005122E">
      <w:pPr>
        <w:rPr>
          <w:noProof/>
        </w:rPr>
      </w:pPr>
      <w:r w:rsidRPr="00710B91">
        <w:rPr>
          <w:noProof/>
        </w:rPr>
        <w:t>Zgodnie</w:t>
      </w:r>
      <w:r w:rsidR="00710B91" w:rsidRPr="00710B91">
        <w:rPr>
          <w:noProof/>
        </w:rPr>
        <w:t xml:space="preserve"> z</w:t>
      </w:r>
      <w:r w:rsidR="00710B91">
        <w:rPr>
          <w:noProof/>
        </w:rPr>
        <w:t> </w:t>
      </w:r>
      <w:r w:rsidR="00710B91" w:rsidRPr="00710B91">
        <w:rPr>
          <w:noProof/>
        </w:rPr>
        <w:t>zas</w:t>
      </w:r>
      <w:r w:rsidRPr="00710B91">
        <w:rPr>
          <w:noProof/>
        </w:rPr>
        <w:t>adą proporcjonalności określoną</w:t>
      </w:r>
      <w:r w:rsidR="00710B91" w:rsidRPr="00710B91">
        <w:rPr>
          <w:noProof/>
        </w:rPr>
        <w:t xml:space="preserve"> w</w:t>
      </w:r>
      <w:r w:rsidR="00710B91">
        <w:rPr>
          <w:noProof/>
        </w:rPr>
        <w:t> </w:t>
      </w:r>
      <w:r w:rsidR="00710B91" w:rsidRPr="00710B91">
        <w:rPr>
          <w:noProof/>
        </w:rPr>
        <w:t>art</w:t>
      </w:r>
      <w:r w:rsidRPr="00710B91">
        <w:rPr>
          <w:noProof/>
        </w:rPr>
        <w:t>.</w:t>
      </w:r>
      <w:r w:rsidR="00710B91" w:rsidRPr="00710B91">
        <w:rPr>
          <w:noProof/>
        </w:rPr>
        <w:t> </w:t>
      </w:r>
      <w:r w:rsidRPr="00710B91">
        <w:rPr>
          <w:noProof/>
        </w:rPr>
        <w:t>5 ust.</w:t>
      </w:r>
      <w:r w:rsidR="00710B91" w:rsidRPr="00710B91">
        <w:rPr>
          <w:noProof/>
        </w:rPr>
        <w:t> </w:t>
      </w:r>
      <w:r w:rsidRPr="00710B91">
        <w:rPr>
          <w:noProof/>
        </w:rPr>
        <w:t>4 TUE konieczne jest dostosowanie charakteru</w:t>
      </w:r>
      <w:r w:rsidR="00710B91" w:rsidRPr="00710B91">
        <w:rPr>
          <w:noProof/>
        </w:rPr>
        <w:t xml:space="preserve"> i</w:t>
      </w:r>
      <w:r w:rsidR="00710B91">
        <w:rPr>
          <w:noProof/>
        </w:rPr>
        <w:t> </w:t>
      </w:r>
      <w:r w:rsidR="00710B91" w:rsidRPr="00710B91">
        <w:rPr>
          <w:noProof/>
        </w:rPr>
        <w:t>int</w:t>
      </w:r>
      <w:r w:rsidRPr="00710B91">
        <w:rPr>
          <w:noProof/>
        </w:rPr>
        <w:t xml:space="preserve">ensywności danego działania do zidentyfikowanego problemu. </w:t>
      </w:r>
    </w:p>
    <w:p w14:paraId="765C577C" w14:textId="444C61BF" w:rsidR="00920E47" w:rsidRPr="00710B91" w:rsidRDefault="00920E47" w:rsidP="0005122E">
      <w:pPr>
        <w:rPr>
          <w:noProof/>
        </w:rPr>
      </w:pPr>
      <w:r w:rsidRPr="00710B91">
        <w:rPr>
          <w:noProof/>
        </w:rPr>
        <w:t>Wszystkie problemy opisane</w:t>
      </w:r>
      <w:r w:rsidR="00710B91" w:rsidRPr="00710B91">
        <w:rPr>
          <w:noProof/>
        </w:rPr>
        <w:t xml:space="preserve"> w</w:t>
      </w:r>
      <w:r w:rsidR="00710B91">
        <w:rPr>
          <w:noProof/>
        </w:rPr>
        <w:t> </w:t>
      </w:r>
      <w:r w:rsidR="00710B91" w:rsidRPr="00710B91">
        <w:rPr>
          <w:noProof/>
        </w:rPr>
        <w:t>tym</w:t>
      </w:r>
      <w:r w:rsidRPr="00710B91">
        <w:rPr>
          <w:noProof/>
        </w:rPr>
        <w:t xml:space="preserve"> dokumencie wymagają wsparcia na poziomie unijnym, aby można je było skutecznie rozwiązać. Rozwiązywanie problemów osobno, na przykład przez tworzenie oddzielnych narzędzi</w:t>
      </w:r>
      <w:r w:rsidR="00710B91" w:rsidRPr="00710B91">
        <w:rPr>
          <w:noProof/>
        </w:rPr>
        <w:t xml:space="preserve"> w</w:t>
      </w:r>
      <w:r w:rsidR="00710B91">
        <w:rPr>
          <w:noProof/>
        </w:rPr>
        <w:t> </w:t>
      </w:r>
      <w:r w:rsidR="00710B91" w:rsidRPr="00710B91">
        <w:rPr>
          <w:noProof/>
        </w:rPr>
        <w:t>cel</w:t>
      </w:r>
      <w:r w:rsidRPr="00710B91">
        <w:rPr>
          <w:noProof/>
        </w:rPr>
        <w:t>u rozwiązania problemów</w:t>
      </w:r>
      <w:r w:rsidR="00710B91" w:rsidRPr="00710B91">
        <w:rPr>
          <w:noProof/>
        </w:rPr>
        <w:t xml:space="preserve"> z</w:t>
      </w:r>
      <w:r w:rsidR="00710B91">
        <w:rPr>
          <w:noProof/>
        </w:rPr>
        <w:t> </w:t>
      </w:r>
      <w:r w:rsidR="00710B91" w:rsidRPr="00710B91">
        <w:rPr>
          <w:noProof/>
        </w:rPr>
        <w:t>kom</w:t>
      </w:r>
      <w:r w:rsidRPr="00710B91">
        <w:rPr>
          <w:noProof/>
        </w:rPr>
        <w:t>unikacją, braku mechanizmu wymiany danych itp. byłoby</w:t>
      </w:r>
      <w:r w:rsidR="00710B91" w:rsidRPr="00710B91">
        <w:rPr>
          <w:noProof/>
        </w:rPr>
        <w:t xml:space="preserve"> o</w:t>
      </w:r>
      <w:r w:rsidR="00710B91">
        <w:rPr>
          <w:noProof/>
        </w:rPr>
        <w:t> </w:t>
      </w:r>
      <w:r w:rsidR="00710B91" w:rsidRPr="00710B91">
        <w:rPr>
          <w:noProof/>
        </w:rPr>
        <w:t>wie</w:t>
      </w:r>
      <w:r w:rsidRPr="00710B91">
        <w:rPr>
          <w:noProof/>
        </w:rPr>
        <w:t>le bardziej kosztowne</w:t>
      </w:r>
      <w:r w:rsidR="00710B91" w:rsidRPr="00710B91">
        <w:rPr>
          <w:noProof/>
        </w:rPr>
        <w:t xml:space="preserve"> i</w:t>
      </w:r>
      <w:r w:rsidR="00710B91">
        <w:rPr>
          <w:noProof/>
        </w:rPr>
        <w:t> </w:t>
      </w:r>
      <w:r w:rsidR="00710B91" w:rsidRPr="00710B91">
        <w:rPr>
          <w:noProof/>
        </w:rPr>
        <w:t>sta</w:t>
      </w:r>
      <w:r w:rsidRPr="00710B91">
        <w:rPr>
          <w:noProof/>
        </w:rPr>
        <w:t>nowiłoby obciążenie administracyjne dla zespołów JIT. Unijna platforma informatyczna to jedyny sposób zapewnienia zespołom JIT wspólnego nowoczesnego rozwiązania technicznego, które pozwoli im prowadzić transgraniczne postępowanie przygotowawcze</w:t>
      </w:r>
      <w:r w:rsidR="00710B91" w:rsidRPr="00710B91">
        <w:rPr>
          <w:noProof/>
        </w:rPr>
        <w:t xml:space="preserve"> w</w:t>
      </w:r>
      <w:r w:rsidR="00710B91">
        <w:rPr>
          <w:noProof/>
        </w:rPr>
        <w:t> </w:t>
      </w:r>
      <w:r w:rsidR="00710B91" w:rsidRPr="00710B91">
        <w:rPr>
          <w:noProof/>
        </w:rPr>
        <w:t>spo</w:t>
      </w:r>
      <w:r w:rsidRPr="00710B91">
        <w:rPr>
          <w:noProof/>
        </w:rPr>
        <w:t>sób bardziej efektywny.</w:t>
      </w:r>
    </w:p>
    <w:p w14:paraId="4F951413" w14:textId="7E2D267D" w:rsidR="00920E47" w:rsidRPr="00710B91" w:rsidRDefault="00920E47" w:rsidP="0005122E">
      <w:pPr>
        <w:pBdr>
          <w:top w:val="nil"/>
          <w:left w:val="nil"/>
          <w:bottom w:val="nil"/>
          <w:right w:val="nil"/>
          <w:between w:val="nil"/>
          <w:bar w:val="nil"/>
        </w:pBdr>
        <w:spacing w:before="0" w:after="240"/>
        <w:rPr>
          <w:noProof/>
        </w:rPr>
      </w:pPr>
      <w:r w:rsidRPr="00710B91">
        <w:rPr>
          <w:noProof/>
        </w:rPr>
        <w:t>Można zatem uznać, że działania podjęte na poziomie unijnym mające na celu ustanowienie platformy obsługującej funkcjonowanie JIT jest proporcjonalne do zidentyfikowanych problemów,</w:t>
      </w:r>
      <w:r w:rsidR="00710B91" w:rsidRPr="00710B91">
        <w:rPr>
          <w:noProof/>
        </w:rPr>
        <w:t xml:space="preserve"> z</w:t>
      </w:r>
      <w:r w:rsidR="00710B91">
        <w:rPr>
          <w:noProof/>
        </w:rPr>
        <w:t> </w:t>
      </w:r>
      <w:r w:rsidR="00710B91" w:rsidRPr="00710B91">
        <w:rPr>
          <w:noProof/>
        </w:rPr>
        <w:t>któ</w:t>
      </w:r>
      <w:r w:rsidRPr="00710B91">
        <w:rPr>
          <w:noProof/>
        </w:rPr>
        <w:t>rymi zespoły JIT borykają się</w:t>
      </w:r>
      <w:r w:rsidR="00710B91" w:rsidRPr="00710B91">
        <w:rPr>
          <w:noProof/>
        </w:rPr>
        <w:t xml:space="preserve"> w</w:t>
      </w:r>
      <w:r w:rsidR="00710B91">
        <w:rPr>
          <w:noProof/>
        </w:rPr>
        <w:t> </w:t>
      </w:r>
      <w:r w:rsidR="00710B91" w:rsidRPr="00710B91">
        <w:rPr>
          <w:noProof/>
        </w:rPr>
        <w:t>cod</w:t>
      </w:r>
      <w:r w:rsidRPr="00710B91">
        <w:rPr>
          <w:noProof/>
        </w:rPr>
        <w:t>ziennej pracy.</w:t>
      </w:r>
    </w:p>
    <w:p w14:paraId="253009A0" w14:textId="77777777" w:rsidR="00920E47" w:rsidRPr="00710B91" w:rsidRDefault="00920E47" w:rsidP="009D79B9">
      <w:pPr>
        <w:pStyle w:val="Bullet0"/>
        <w:tabs>
          <w:tab w:val="clear" w:pos="850"/>
          <w:tab w:val="num" w:pos="567"/>
        </w:tabs>
        <w:rPr>
          <w:b/>
          <w:noProof/>
        </w:rPr>
      </w:pPr>
      <w:r w:rsidRPr="00710B91">
        <w:rPr>
          <w:b/>
          <w:noProof/>
        </w:rPr>
        <w:t>Wybór instrumentu</w:t>
      </w:r>
    </w:p>
    <w:p w14:paraId="3EEE081B" w14:textId="72310DBB" w:rsidR="00920E47" w:rsidRPr="00710B91" w:rsidRDefault="00920E47" w:rsidP="0005122E">
      <w:pPr>
        <w:pBdr>
          <w:top w:val="nil"/>
          <w:left w:val="nil"/>
          <w:bottom w:val="nil"/>
          <w:right w:val="nil"/>
          <w:between w:val="nil"/>
          <w:bar w:val="nil"/>
        </w:pBdr>
        <w:spacing w:before="0" w:after="240"/>
        <w:rPr>
          <w:rFonts w:eastAsia="Arial Unicode MS"/>
          <w:noProof/>
        </w:rPr>
      </w:pPr>
      <w:r w:rsidRPr="00710B91">
        <w:rPr>
          <w:noProof/>
        </w:rPr>
        <w:t>Komisja przedkłada wniosek dotyczący rozporządzenia, ponieważ proponowany akt prawny ustanawia centralny system na poziomie unijnym zarządzany przez europejską agencję eu-LISA. Wniosek ten zmienia również rozporządzenie (UE) 2018/1726. Rozporządzenie ma bezpośrednie zastosowanie we wszystkich państwach członkowskich</w:t>
      </w:r>
      <w:r w:rsidR="00710B91" w:rsidRPr="00710B91">
        <w:rPr>
          <w:noProof/>
        </w:rPr>
        <w:t xml:space="preserve"> i</w:t>
      </w:r>
      <w:r w:rsidR="00710B91">
        <w:rPr>
          <w:noProof/>
        </w:rPr>
        <w:t> </w:t>
      </w:r>
      <w:r w:rsidR="00710B91" w:rsidRPr="00710B91">
        <w:rPr>
          <w:noProof/>
        </w:rPr>
        <w:t>jes</w:t>
      </w:r>
      <w:r w:rsidRPr="00710B91">
        <w:rPr>
          <w:noProof/>
        </w:rPr>
        <w:t>t</w:t>
      </w:r>
      <w:r w:rsidR="00710B91" w:rsidRPr="00710B91">
        <w:rPr>
          <w:noProof/>
        </w:rPr>
        <w:t xml:space="preserve"> w</w:t>
      </w:r>
      <w:r w:rsidR="00710B91">
        <w:rPr>
          <w:noProof/>
        </w:rPr>
        <w:t> </w:t>
      </w:r>
      <w:r w:rsidR="00710B91" w:rsidRPr="00710B91">
        <w:rPr>
          <w:noProof/>
        </w:rPr>
        <w:t>peł</w:t>
      </w:r>
      <w:r w:rsidRPr="00710B91">
        <w:rPr>
          <w:noProof/>
        </w:rPr>
        <w:t>ni wiążące. Gwarantuje ono zatem wspólne stosowanie przepisów</w:t>
      </w:r>
      <w:r w:rsidR="00710B91" w:rsidRPr="00710B91">
        <w:rPr>
          <w:noProof/>
        </w:rPr>
        <w:t xml:space="preserve"> w</w:t>
      </w:r>
      <w:r w:rsidR="00710B91">
        <w:rPr>
          <w:noProof/>
        </w:rPr>
        <w:t> </w:t>
      </w:r>
      <w:r w:rsidR="00710B91" w:rsidRPr="00710B91">
        <w:rPr>
          <w:noProof/>
        </w:rPr>
        <w:t>cał</w:t>
      </w:r>
      <w:r w:rsidRPr="00710B91">
        <w:rPr>
          <w:noProof/>
        </w:rPr>
        <w:t>ej Unii</w:t>
      </w:r>
      <w:r w:rsidR="00710B91" w:rsidRPr="00710B91">
        <w:rPr>
          <w:noProof/>
        </w:rPr>
        <w:t xml:space="preserve"> i</w:t>
      </w:r>
      <w:r w:rsidR="00710B91">
        <w:rPr>
          <w:noProof/>
        </w:rPr>
        <w:t> </w:t>
      </w:r>
      <w:r w:rsidR="00710B91" w:rsidRPr="00710B91">
        <w:rPr>
          <w:noProof/>
        </w:rPr>
        <w:t>ich</w:t>
      </w:r>
      <w:r w:rsidRPr="00710B91">
        <w:rPr>
          <w:noProof/>
        </w:rPr>
        <w:t xml:space="preserve"> jednoczesne wejście</w:t>
      </w:r>
      <w:r w:rsidR="00710B91" w:rsidRPr="00710B91">
        <w:rPr>
          <w:noProof/>
        </w:rPr>
        <w:t xml:space="preserve"> w</w:t>
      </w:r>
      <w:r w:rsidR="00710B91">
        <w:rPr>
          <w:noProof/>
        </w:rPr>
        <w:t> </w:t>
      </w:r>
      <w:r w:rsidR="00710B91" w:rsidRPr="00710B91">
        <w:rPr>
          <w:noProof/>
        </w:rPr>
        <w:t>życ</w:t>
      </w:r>
      <w:r w:rsidRPr="00710B91">
        <w:rPr>
          <w:noProof/>
        </w:rPr>
        <w:t>ie. Zapewnia ono pewność prawa poprzez unikanie rozbieżnych interpretacji</w:t>
      </w:r>
      <w:r w:rsidR="00710B91" w:rsidRPr="00710B91">
        <w:rPr>
          <w:noProof/>
        </w:rPr>
        <w:t xml:space="preserve"> w</w:t>
      </w:r>
      <w:r w:rsidR="00710B91">
        <w:rPr>
          <w:noProof/>
        </w:rPr>
        <w:t> </w:t>
      </w:r>
      <w:r w:rsidR="00710B91" w:rsidRPr="00710B91">
        <w:rPr>
          <w:noProof/>
        </w:rPr>
        <w:t>pań</w:t>
      </w:r>
      <w:r w:rsidRPr="00710B91">
        <w:rPr>
          <w:noProof/>
        </w:rPr>
        <w:t>stwach członkowskich, zapobiegając</w:t>
      </w:r>
      <w:r w:rsidR="00710B91" w:rsidRPr="00710B91">
        <w:rPr>
          <w:noProof/>
        </w:rPr>
        <w:t xml:space="preserve"> w</w:t>
      </w:r>
      <w:r w:rsidR="00710B91">
        <w:rPr>
          <w:noProof/>
        </w:rPr>
        <w:t> </w:t>
      </w:r>
      <w:r w:rsidR="00710B91" w:rsidRPr="00710B91">
        <w:rPr>
          <w:noProof/>
        </w:rPr>
        <w:t>ten</w:t>
      </w:r>
      <w:r w:rsidRPr="00710B91">
        <w:rPr>
          <w:noProof/>
        </w:rPr>
        <w:t xml:space="preserve"> sposób rozdrobnieniu prawnemu.</w:t>
      </w:r>
    </w:p>
    <w:p w14:paraId="4CB9CA80" w14:textId="77777777" w:rsidR="00920E47" w:rsidRPr="00710B91" w:rsidRDefault="00920E47" w:rsidP="0005122E">
      <w:pPr>
        <w:pStyle w:val="ManualHeading1"/>
        <w:rPr>
          <w:noProof/>
        </w:rPr>
      </w:pPr>
      <w:r w:rsidRPr="00710B91">
        <w:rPr>
          <w:noProof/>
          <w:color w:val="008000"/>
        </w:rPr>
        <w:t xml:space="preserve"> </w:t>
      </w:r>
      <w:bookmarkStart w:id="3" w:name="_Toc92899374"/>
      <w:r w:rsidRPr="00710B91">
        <w:rPr>
          <w:noProof/>
        </w:rPr>
        <w:t>3.</w:t>
      </w:r>
      <w:r w:rsidRPr="00710B91">
        <w:rPr>
          <w:noProof/>
        </w:rPr>
        <w:tab/>
        <w:t>WYNIKI OCEN EX POST, KONSULTACJI Z ZAINTERESOWANYMI STRONAMI I OCEN SKUTKÓW</w:t>
      </w:r>
      <w:bookmarkEnd w:id="3"/>
    </w:p>
    <w:p w14:paraId="0E9A7069" w14:textId="0F6E2266" w:rsidR="00920E47" w:rsidRPr="00710B91" w:rsidRDefault="00920E47" w:rsidP="009D79B9">
      <w:pPr>
        <w:pStyle w:val="Bullet0"/>
        <w:tabs>
          <w:tab w:val="clear" w:pos="850"/>
          <w:tab w:val="num" w:pos="567"/>
        </w:tabs>
        <w:rPr>
          <w:b/>
          <w:noProof/>
        </w:rPr>
      </w:pPr>
      <w:r w:rsidRPr="00710B91">
        <w:rPr>
          <w:b/>
          <w:noProof/>
        </w:rPr>
        <w:t>Konsultacje</w:t>
      </w:r>
      <w:r w:rsidR="00710B91" w:rsidRPr="00710B91">
        <w:rPr>
          <w:b/>
          <w:noProof/>
        </w:rPr>
        <w:t xml:space="preserve"> z</w:t>
      </w:r>
      <w:r w:rsidR="00710B91">
        <w:rPr>
          <w:b/>
          <w:noProof/>
        </w:rPr>
        <w:t> </w:t>
      </w:r>
      <w:r w:rsidR="00710B91" w:rsidRPr="00710B91">
        <w:rPr>
          <w:b/>
          <w:noProof/>
        </w:rPr>
        <w:t>zai</w:t>
      </w:r>
      <w:r w:rsidRPr="00710B91">
        <w:rPr>
          <w:b/>
          <w:noProof/>
        </w:rPr>
        <w:t>nteresowanymi stronami</w:t>
      </w:r>
    </w:p>
    <w:p w14:paraId="55D732CD" w14:textId="77561C9A" w:rsidR="00920E47" w:rsidRPr="00710B91" w:rsidRDefault="00920E47" w:rsidP="00E2148B">
      <w:pPr>
        <w:spacing w:line="280" w:lineRule="atLeast"/>
        <w:rPr>
          <w:noProof/>
          <w:szCs w:val="24"/>
        </w:rPr>
      </w:pPr>
      <w:r w:rsidRPr="00710B91">
        <w:rPr>
          <w:noProof/>
        </w:rPr>
        <w:t>Pomimo że nie przeprowadzono żadnych konsultacji publicznych ze względu na szczególny charakter wniosku, Komisja przeprowadziła szeroko zakrojoną ukierunkowaną kampanię konsultacyjną, żeby wszystkie zainteresowane strony miały możliwość wyrażenia swojej opinii. Wśród uczestników kampanii wymienić można:</w:t>
      </w:r>
    </w:p>
    <w:p w14:paraId="3BC4C754" w14:textId="69F11960" w:rsidR="00920E47" w:rsidRPr="00710B91" w:rsidRDefault="00920E47" w:rsidP="00923F69">
      <w:pPr>
        <w:pStyle w:val="Bullet0"/>
        <w:tabs>
          <w:tab w:val="clear" w:pos="850"/>
          <w:tab w:val="num" w:pos="567"/>
        </w:tabs>
        <w:ind w:left="567" w:hanging="567"/>
        <w:rPr>
          <w:noProof/>
        </w:rPr>
      </w:pPr>
      <w:r w:rsidRPr="00710B91">
        <w:rPr>
          <w:noProof/>
        </w:rPr>
        <w:t>prokuratorów, sędziów</w:t>
      </w:r>
      <w:r w:rsidR="00710B91" w:rsidRPr="00710B91">
        <w:rPr>
          <w:noProof/>
        </w:rPr>
        <w:t xml:space="preserve"> i</w:t>
      </w:r>
      <w:r w:rsidR="00710B91">
        <w:rPr>
          <w:noProof/>
        </w:rPr>
        <w:t> </w:t>
      </w:r>
      <w:r w:rsidR="00710B91" w:rsidRPr="00710B91">
        <w:rPr>
          <w:noProof/>
        </w:rPr>
        <w:t>prz</w:t>
      </w:r>
      <w:r w:rsidRPr="00710B91">
        <w:rPr>
          <w:noProof/>
        </w:rPr>
        <w:t>edstawicieli organów ścigania</w:t>
      </w:r>
      <w:r w:rsidR="00710B91" w:rsidRPr="00710B91">
        <w:rPr>
          <w:noProof/>
        </w:rPr>
        <w:t xml:space="preserve"> z</w:t>
      </w:r>
      <w:r w:rsidR="00710B91">
        <w:rPr>
          <w:noProof/>
        </w:rPr>
        <w:t> </w:t>
      </w:r>
      <w:r w:rsidR="00710B91" w:rsidRPr="00710B91">
        <w:rPr>
          <w:noProof/>
        </w:rPr>
        <w:t>pań</w:t>
      </w:r>
      <w:r w:rsidRPr="00710B91">
        <w:rPr>
          <w:noProof/>
        </w:rPr>
        <w:t>stw członkowskich;</w:t>
      </w:r>
    </w:p>
    <w:p w14:paraId="071FA7BA" w14:textId="6E28D937" w:rsidR="00920E47" w:rsidRPr="00710B91" w:rsidRDefault="00920E47" w:rsidP="00923F69">
      <w:pPr>
        <w:pStyle w:val="Bullet0"/>
        <w:tabs>
          <w:tab w:val="clear" w:pos="850"/>
          <w:tab w:val="num" w:pos="567"/>
        </w:tabs>
        <w:ind w:left="567" w:hanging="567"/>
        <w:rPr>
          <w:noProof/>
        </w:rPr>
      </w:pPr>
      <w:r w:rsidRPr="00710B91">
        <w:rPr>
          <w:noProof/>
        </w:rPr>
        <w:t>organy krajowe państw członkowskich;</w:t>
      </w:r>
    </w:p>
    <w:p w14:paraId="6472459D" w14:textId="47B5B06C" w:rsidR="00920E47" w:rsidRPr="00710B91" w:rsidRDefault="00920E47" w:rsidP="00923F69">
      <w:pPr>
        <w:pStyle w:val="Bullet0"/>
        <w:tabs>
          <w:tab w:val="clear" w:pos="850"/>
          <w:tab w:val="num" w:pos="567"/>
        </w:tabs>
        <w:ind w:left="567" w:hanging="567"/>
        <w:rPr>
          <w:noProof/>
        </w:rPr>
      </w:pPr>
      <w:r w:rsidRPr="00710B91">
        <w:rPr>
          <w:noProof/>
        </w:rPr>
        <w:t>ekspertów</w:t>
      </w:r>
      <w:r w:rsidR="00710B91" w:rsidRPr="00710B91">
        <w:rPr>
          <w:noProof/>
        </w:rPr>
        <w:t xml:space="preserve"> z</w:t>
      </w:r>
      <w:r w:rsidR="00710B91">
        <w:rPr>
          <w:noProof/>
        </w:rPr>
        <w:t> </w:t>
      </w:r>
      <w:r w:rsidR="00710B91" w:rsidRPr="00710B91">
        <w:rPr>
          <w:noProof/>
        </w:rPr>
        <w:t>sie</w:t>
      </w:r>
      <w:r w:rsidRPr="00710B91">
        <w:rPr>
          <w:noProof/>
        </w:rPr>
        <w:t>ci JIT;</w:t>
      </w:r>
    </w:p>
    <w:p w14:paraId="0EE576F9" w14:textId="0C9CD90E" w:rsidR="00920E47" w:rsidRPr="00710B91" w:rsidRDefault="00920E47" w:rsidP="00923F69">
      <w:pPr>
        <w:pStyle w:val="Bullet0"/>
        <w:tabs>
          <w:tab w:val="clear" w:pos="850"/>
          <w:tab w:val="num" w:pos="567"/>
        </w:tabs>
        <w:ind w:left="567" w:hanging="567"/>
        <w:rPr>
          <w:noProof/>
          <w:color w:val="000000"/>
        </w:rPr>
      </w:pPr>
      <w:r w:rsidRPr="00710B91">
        <w:rPr>
          <w:noProof/>
        </w:rPr>
        <w:t>przedstawicieli świata akademickiego</w:t>
      </w:r>
      <w:r w:rsidR="00710B91" w:rsidRPr="00710B91">
        <w:rPr>
          <w:noProof/>
        </w:rPr>
        <w:t xml:space="preserve"> i</w:t>
      </w:r>
      <w:r w:rsidR="00710B91">
        <w:rPr>
          <w:noProof/>
        </w:rPr>
        <w:t> </w:t>
      </w:r>
      <w:r w:rsidR="00710B91" w:rsidRPr="00710B91">
        <w:rPr>
          <w:noProof/>
        </w:rPr>
        <w:t>pra</w:t>
      </w:r>
      <w:r w:rsidRPr="00710B91">
        <w:rPr>
          <w:noProof/>
        </w:rPr>
        <w:t>ktyków unijnego prawa karnego;</w:t>
      </w:r>
    </w:p>
    <w:p w14:paraId="1411E741" w14:textId="2F2553EA" w:rsidR="00920E47" w:rsidRPr="00710B91" w:rsidRDefault="00920E47" w:rsidP="00923F69">
      <w:pPr>
        <w:pStyle w:val="Bullet0"/>
        <w:tabs>
          <w:tab w:val="clear" w:pos="850"/>
          <w:tab w:val="num" w:pos="567"/>
        </w:tabs>
        <w:ind w:left="567" w:hanging="567"/>
        <w:rPr>
          <w:noProof/>
          <w:color w:val="000000"/>
        </w:rPr>
      </w:pPr>
      <w:r w:rsidRPr="00710B91">
        <w:rPr>
          <w:noProof/>
        </w:rPr>
        <w:t>ekspertów</w:t>
      </w:r>
      <w:r w:rsidR="00710B91" w:rsidRPr="00710B91">
        <w:rPr>
          <w:noProof/>
        </w:rPr>
        <w:t xml:space="preserve"> w</w:t>
      </w:r>
      <w:r w:rsidR="00710B91">
        <w:rPr>
          <w:noProof/>
        </w:rPr>
        <w:t> </w:t>
      </w:r>
      <w:r w:rsidR="00710B91" w:rsidRPr="00710B91">
        <w:rPr>
          <w:noProof/>
        </w:rPr>
        <w:t>dzi</w:t>
      </w:r>
      <w:r w:rsidRPr="00710B91">
        <w:rPr>
          <w:noProof/>
        </w:rPr>
        <w:t>edzinie ochrony danych;</w:t>
      </w:r>
    </w:p>
    <w:p w14:paraId="0DE17651" w14:textId="381CA40C" w:rsidR="00920E47" w:rsidRPr="00710B91" w:rsidRDefault="00920E47" w:rsidP="00923F69">
      <w:pPr>
        <w:pStyle w:val="Bullet0"/>
        <w:tabs>
          <w:tab w:val="clear" w:pos="850"/>
          <w:tab w:val="num" w:pos="567"/>
        </w:tabs>
        <w:ind w:left="567" w:hanging="567"/>
        <w:rPr>
          <w:noProof/>
        </w:rPr>
      </w:pPr>
      <w:r w:rsidRPr="00710B91">
        <w:rPr>
          <w:noProof/>
        </w:rPr>
        <w:t>przedstawicieli Eurojustu, Europolu i OLAF-u.</w:t>
      </w:r>
    </w:p>
    <w:p w14:paraId="1D84C2C4" w14:textId="16FCB0AB" w:rsidR="00920E47" w:rsidRPr="00710B91" w:rsidRDefault="00920E47" w:rsidP="00E2148B">
      <w:pPr>
        <w:spacing w:line="280" w:lineRule="atLeast"/>
        <w:rPr>
          <w:noProof/>
          <w:color w:val="000000"/>
          <w:szCs w:val="24"/>
        </w:rPr>
      </w:pPr>
      <w:r w:rsidRPr="00710B91">
        <w:rPr>
          <w:noProof/>
          <w:color w:val="000000"/>
          <w:szCs w:val="24"/>
        </w:rPr>
        <w:t xml:space="preserve">Zainteresowane strony miały możliwość wyrażenia swojej opinii poprzez dwustronne kontakty, </w:t>
      </w:r>
      <w:r w:rsidRPr="00710B91">
        <w:rPr>
          <w:noProof/>
        </w:rPr>
        <w:t>spotkania ekspertów,</w:t>
      </w:r>
      <w:r w:rsidRPr="00710B91">
        <w:rPr>
          <w:noProof/>
          <w:color w:val="000000"/>
          <w:szCs w:val="24"/>
        </w:rPr>
        <w:t xml:space="preserve"> sondaże internetowe oraz pisemne wypowiedzi.</w:t>
      </w:r>
    </w:p>
    <w:p w14:paraId="09309BAB" w14:textId="0D2702DF" w:rsidR="00920E47" w:rsidRPr="00710B91" w:rsidRDefault="00920E47" w:rsidP="00E2148B">
      <w:pPr>
        <w:spacing w:line="280" w:lineRule="atLeast"/>
        <w:rPr>
          <w:noProof/>
          <w:color w:val="000000"/>
          <w:szCs w:val="24"/>
        </w:rPr>
      </w:pPr>
      <w:r w:rsidRPr="00710B91">
        <w:rPr>
          <w:noProof/>
          <w:color w:val="000000"/>
          <w:szCs w:val="24"/>
        </w:rPr>
        <w:t>Dzięki ukierunkowanym konsultacjom zorganizowanym pomiędzy marcem</w:t>
      </w:r>
      <w:r w:rsidR="00710B91" w:rsidRPr="00710B91">
        <w:rPr>
          <w:noProof/>
          <w:color w:val="000000"/>
          <w:szCs w:val="24"/>
        </w:rPr>
        <w:t xml:space="preserve"> a</w:t>
      </w:r>
      <w:r w:rsidR="00710B91">
        <w:rPr>
          <w:noProof/>
          <w:color w:val="000000"/>
          <w:szCs w:val="24"/>
        </w:rPr>
        <w:t> </w:t>
      </w:r>
      <w:r w:rsidR="00710B91" w:rsidRPr="00710B91">
        <w:rPr>
          <w:noProof/>
          <w:color w:val="000000"/>
          <w:szCs w:val="24"/>
        </w:rPr>
        <w:t>lip</w:t>
      </w:r>
      <w:r w:rsidRPr="00710B91">
        <w:rPr>
          <w:noProof/>
          <w:color w:val="000000"/>
          <w:szCs w:val="24"/>
        </w:rPr>
        <w:t>cem 2021</w:t>
      </w:r>
      <w:r w:rsidR="00710B91" w:rsidRPr="00710B91">
        <w:rPr>
          <w:noProof/>
          <w:color w:val="000000"/>
          <w:szCs w:val="24"/>
        </w:rPr>
        <w:t> </w:t>
      </w:r>
      <w:r w:rsidRPr="00710B91">
        <w:rPr>
          <w:noProof/>
          <w:color w:val="000000"/>
          <w:szCs w:val="24"/>
        </w:rPr>
        <w:t>r. zgromadzono opinie na temat elementów analizy dotyczącej transgranicznego cyfrowego wymiaru sprawiedliwości</w:t>
      </w:r>
      <w:r w:rsidR="00710B91" w:rsidRPr="00710B91">
        <w:rPr>
          <w:noProof/>
          <w:color w:val="000000"/>
          <w:szCs w:val="24"/>
        </w:rPr>
        <w:t xml:space="preserve"> w</w:t>
      </w:r>
      <w:r w:rsidR="00710B91">
        <w:rPr>
          <w:noProof/>
          <w:color w:val="000000"/>
          <w:szCs w:val="24"/>
        </w:rPr>
        <w:t> </w:t>
      </w:r>
      <w:r w:rsidR="00710B91" w:rsidRPr="00710B91">
        <w:rPr>
          <w:noProof/>
          <w:color w:val="000000"/>
          <w:szCs w:val="24"/>
        </w:rPr>
        <w:t>spr</w:t>
      </w:r>
      <w:r w:rsidRPr="00710B91">
        <w:rPr>
          <w:noProof/>
          <w:color w:val="000000"/>
          <w:szCs w:val="24"/>
        </w:rPr>
        <w:t>awach karnych związanych</w:t>
      </w:r>
      <w:r w:rsidR="00710B91" w:rsidRPr="00710B91">
        <w:rPr>
          <w:noProof/>
          <w:color w:val="000000"/>
          <w:szCs w:val="24"/>
        </w:rPr>
        <w:t xml:space="preserve"> z</w:t>
      </w:r>
      <w:r w:rsidR="00710B91">
        <w:rPr>
          <w:noProof/>
          <w:color w:val="000000"/>
          <w:szCs w:val="24"/>
        </w:rPr>
        <w:t> </w:t>
      </w:r>
      <w:r w:rsidR="00710B91" w:rsidRPr="00710B91">
        <w:rPr>
          <w:noProof/>
          <w:color w:val="000000"/>
          <w:szCs w:val="24"/>
        </w:rPr>
        <w:t>pla</w:t>
      </w:r>
      <w:r w:rsidRPr="00710B91">
        <w:rPr>
          <w:noProof/>
          <w:color w:val="000000"/>
          <w:szCs w:val="24"/>
        </w:rPr>
        <w:t>tformą, funkcji, które ma posiadać przyszła platforma, oraz obowiązującego systemu (systemów) ochrony danych.</w:t>
      </w:r>
    </w:p>
    <w:p w14:paraId="28D0A705" w14:textId="090C8C0B" w:rsidR="00920E47" w:rsidRPr="00710B91" w:rsidRDefault="00920E47" w:rsidP="00E2148B">
      <w:pPr>
        <w:spacing w:line="280" w:lineRule="atLeast"/>
        <w:rPr>
          <w:noProof/>
          <w:color w:val="000000" w:themeColor="text1"/>
          <w:szCs w:val="24"/>
        </w:rPr>
      </w:pPr>
      <w:r w:rsidRPr="00710B91">
        <w:rPr>
          <w:noProof/>
        </w:rPr>
        <w:t>Przede wszystkim wszystkie zainteresowane strony przychylnie odniosły się do inicjatywy</w:t>
      </w:r>
      <w:r w:rsidR="00710B91" w:rsidRPr="00710B91">
        <w:rPr>
          <w:noProof/>
        </w:rPr>
        <w:t xml:space="preserve"> i</w:t>
      </w:r>
      <w:r w:rsidR="00710B91">
        <w:rPr>
          <w:noProof/>
        </w:rPr>
        <w:t> </w:t>
      </w:r>
      <w:r w:rsidR="00710B91" w:rsidRPr="00710B91">
        <w:rPr>
          <w:noProof/>
        </w:rPr>
        <w:t>wyr</w:t>
      </w:r>
      <w:r w:rsidRPr="00710B91">
        <w:rPr>
          <w:noProof/>
        </w:rPr>
        <w:t xml:space="preserve">aziły pozytywną opinię na temat ustanowienia platformy </w:t>
      </w:r>
      <w:r w:rsidRPr="00710B91">
        <w:rPr>
          <w:noProof/>
          <w:color w:val="000000" w:themeColor="text1"/>
          <w:szCs w:val="24"/>
        </w:rPr>
        <w:t>jako niezbędnego kroku</w:t>
      </w:r>
      <w:r w:rsidR="00710B91" w:rsidRPr="00710B91">
        <w:rPr>
          <w:noProof/>
          <w:color w:val="000000" w:themeColor="text1"/>
          <w:szCs w:val="24"/>
        </w:rPr>
        <w:t xml:space="preserve"> w</w:t>
      </w:r>
      <w:r w:rsidR="00710B91">
        <w:rPr>
          <w:noProof/>
          <w:color w:val="000000" w:themeColor="text1"/>
          <w:szCs w:val="24"/>
        </w:rPr>
        <w:t> </w:t>
      </w:r>
      <w:r w:rsidR="00710B91" w:rsidRPr="00710B91">
        <w:rPr>
          <w:noProof/>
          <w:color w:val="000000" w:themeColor="text1"/>
          <w:szCs w:val="24"/>
        </w:rPr>
        <w:t>kie</w:t>
      </w:r>
      <w:r w:rsidRPr="00710B91">
        <w:rPr>
          <w:noProof/>
          <w:color w:val="000000" w:themeColor="text1"/>
          <w:szCs w:val="24"/>
        </w:rPr>
        <w:t>runku cyfryzacji współpracy zespołów JIT.</w:t>
      </w:r>
    </w:p>
    <w:p w14:paraId="67A4319F" w14:textId="20090F96" w:rsidR="00920E47" w:rsidRPr="00710B91" w:rsidRDefault="00920E47" w:rsidP="00E2148B">
      <w:pPr>
        <w:spacing w:line="280" w:lineRule="atLeast"/>
        <w:rPr>
          <w:noProof/>
          <w:color w:val="000000" w:themeColor="text1"/>
          <w:szCs w:val="24"/>
        </w:rPr>
      </w:pPr>
      <w:r w:rsidRPr="00710B91">
        <w:rPr>
          <w:noProof/>
          <w:color w:val="000000" w:themeColor="text1"/>
          <w:szCs w:val="24"/>
        </w:rPr>
        <w:t>W odniesieniu do kwestii przekrojowych większość zainteresowanych stron skupiła się na:</w:t>
      </w:r>
    </w:p>
    <w:p w14:paraId="09631FAE" w14:textId="621BAEF8" w:rsidR="00923F69" w:rsidRPr="00710B91" w:rsidRDefault="00920E47" w:rsidP="00E40458">
      <w:pPr>
        <w:pStyle w:val="Bullet0"/>
        <w:tabs>
          <w:tab w:val="clear" w:pos="850"/>
          <w:tab w:val="num" w:pos="567"/>
        </w:tabs>
        <w:ind w:left="567" w:hanging="567"/>
        <w:rPr>
          <w:noProof/>
        </w:rPr>
      </w:pPr>
      <w:r w:rsidRPr="00710B91">
        <w:rPr>
          <w:noProof/>
          <w:color w:val="000000" w:themeColor="text1"/>
        </w:rPr>
        <w:t>prostocie platformy</w:t>
      </w:r>
      <w:r w:rsidRPr="00710B91">
        <w:rPr>
          <w:noProof/>
        </w:rPr>
        <w:t>, żeby mogli</w:t>
      </w:r>
      <w:r w:rsidR="00710B91" w:rsidRPr="00710B91">
        <w:rPr>
          <w:noProof/>
        </w:rPr>
        <w:t xml:space="preserve"> z</w:t>
      </w:r>
      <w:r w:rsidR="00710B91">
        <w:rPr>
          <w:noProof/>
        </w:rPr>
        <w:t> </w:t>
      </w:r>
      <w:r w:rsidR="00710B91" w:rsidRPr="00710B91">
        <w:rPr>
          <w:noProof/>
        </w:rPr>
        <w:t>nie</w:t>
      </w:r>
      <w:r w:rsidRPr="00710B91">
        <w:rPr>
          <w:noProof/>
        </w:rPr>
        <w:t>j korzystać wszyscy zainteresowani praktycy – zbyt niewygodne narzędzie ze skomplikowanymi procesami przepływu pracy mogłoby stworzyć problemy dla użytkowników</w:t>
      </w:r>
      <w:r w:rsidR="00710B91" w:rsidRPr="00710B91">
        <w:rPr>
          <w:noProof/>
        </w:rPr>
        <w:t xml:space="preserve"> i</w:t>
      </w:r>
      <w:r w:rsidR="00710B91">
        <w:rPr>
          <w:noProof/>
        </w:rPr>
        <w:t> </w:t>
      </w:r>
      <w:r w:rsidR="00710B91" w:rsidRPr="00710B91">
        <w:rPr>
          <w:noProof/>
        </w:rPr>
        <w:t>sta</w:t>
      </w:r>
      <w:r w:rsidRPr="00710B91">
        <w:rPr>
          <w:noProof/>
        </w:rPr>
        <w:t>łoby się to głównym powodem niestosowania takiego narzędzia;</w:t>
      </w:r>
    </w:p>
    <w:p w14:paraId="3A8F7541" w14:textId="00FA266E" w:rsidR="00923F69" w:rsidRPr="00710B91" w:rsidRDefault="00920E47" w:rsidP="00E40458">
      <w:pPr>
        <w:pStyle w:val="Bullet0"/>
        <w:tabs>
          <w:tab w:val="clear" w:pos="850"/>
          <w:tab w:val="num" w:pos="567"/>
        </w:tabs>
        <w:ind w:left="567" w:hanging="567"/>
        <w:rPr>
          <w:noProof/>
          <w:color w:val="000000" w:themeColor="text1"/>
        </w:rPr>
      </w:pPr>
      <w:r w:rsidRPr="00710B91">
        <w:rPr>
          <w:noProof/>
          <w:color w:val="000000" w:themeColor="text1"/>
        </w:rPr>
        <w:t xml:space="preserve">niedopuszczeniu do wywarcia wpływu na </w:t>
      </w:r>
      <w:r w:rsidRPr="00710B91">
        <w:rPr>
          <w:noProof/>
        </w:rPr>
        <w:t>wymogi merytoryczne lub prawne</w:t>
      </w:r>
      <w:r w:rsidR="00710B91" w:rsidRPr="00710B91">
        <w:rPr>
          <w:noProof/>
        </w:rPr>
        <w:t xml:space="preserve"> w</w:t>
      </w:r>
      <w:r w:rsidR="00710B91">
        <w:rPr>
          <w:noProof/>
        </w:rPr>
        <w:t> </w:t>
      </w:r>
      <w:r w:rsidR="00710B91" w:rsidRPr="00710B91">
        <w:rPr>
          <w:noProof/>
        </w:rPr>
        <w:t>pra</w:t>
      </w:r>
      <w:r w:rsidRPr="00710B91">
        <w:rPr>
          <w:noProof/>
        </w:rPr>
        <w:t>cy urzędnika prowadzącego dochodzenia tak, aby platforma nie zagrażała prawidłowemu funkcjonowaniu zespołu JIT;</w:t>
      </w:r>
    </w:p>
    <w:p w14:paraId="6F94824C" w14:textId="6E50B40F" w:rsidR="00920E47" w:rsidRPr="00710B91" w:rsidRDefault="00920E47" w:rsidP="00E40458">
      <w:pPr>
        <w:pStyle w:val="Bullet0"/>
        <w:tabs>
          <w:tab w:val="clear" w:pos="850"/>
          <w:tab w:val="num" w:pos="567"/>
        </w:tabs>
        <w:ind w:left="567" w:hanging="567"/>
        <w:rPr>
          <w:noProof/>
          <w:color w:val="000000" w:themeColor="text1"/>
        </w:rPr>
      </w:pPr>
      <w:r w:rsidRPr="00710B91">
        <w:rPr>
          <w:noProof/>
        </w:rPr>
        <w:t>bezpieczeństwie platformy – poziom ochrony jest kluczowy, ponieważ praktycy muszą mieć pewność, że rezultaty ich krajowych postępowań przygotowawczych udostępnione poprzez platformę nie zostaną ujawnione</w:t>
      </w:r>
      <w:r w:rsidR="00710B91" w:rsidRPr="00710B91">
        <w:rPr>
          <w:noProof/>
        </w:rPr>
        <w:t xml:space="preserve"> w</w:t>
      </w:r>
      <w:r w:rsidR="00710B91">
        <w:rPr>
          <w:noProof/>
        </w:rPr>
        <w:t> </w:t>
      </w:r>
      <w:r w:rsidR="00710B91" w:rsidRPr="00710B91">
        <w:rPr>
          <w:noProof/>
        </w:rPr>
        <w:t>nie</w:t>
      </w:r>
      <w:r w:rsidRPr="00710B91">
        <w:rPr>
          <w:noProof/>
        </w:rPr>
        <w:t>kontrolowany sposób.</w:t>
      </w:r>
    </w:p>
    <w:p w14:paraId="4E0C14CB" w14:textId="3CED9AE7" w:rsidR="00920E47" w:rsidRPr="00710B91" w:rsidRDefault="00920E47" w:rsidP="00E2148B">
      <w:pPr>
        <w:spacing w:line="280" w:lineRule="atLeast"/>
        <w:rPr>
          <w:noProof/>
          <w:color w:val="000000" w:themeColor="text1"/>
          <w:szCs w:val="24"/>
        </w:rPr>
      </w:pPr>
      <w:r w:rsidRPr="00710B91">
        <w:rPr>
          <w:noProof/>
          <w:color w:val="000000" w:themeColor="text1"/>
          <w:szCs w:val="24"/>
        </w:rPr>
        <w:t>Przedyskutowano również, który podmiot będzie odpowiedzialny za przyszłe utworzenie platformy</w:t>
      </w:r>
      <w:r w:rsidR="00710B91" w:rsidRPr="00710B91">
        <w:rPr>
          <w:noProof/>
          <w:color w:val="000000" w:themeColor="text1"/>
          <w:szCs w:val="24"/>
        </w:rPr>
        <w:t xml:space="preserve"> i</w:t>
      </w:r>
      <w:r w:rsidR="00710B91">
        <w:rPr>
          <w:noProof/>
          <w:color w:val="000000" w:themeColor="text1"/>
          <w:szCs w:val="24"/>
        </w:rPr>
        <w:t> </w:t>
      </w:r>
      <w:r w:rsidR="00710B91" w:rsidRPr="00710B91">
        <w:rPr>
          <w:noProof/>
          <w:color w:val="000000" w:themeColor="text1"/>
          <w:szCs w:val="24"/>
        </w:rPr>
        <w:t>zar</w:t>
      </w:r>
      <w:r w:rsidRPr="00710B91">
        <w:rPr>
          <w:noProof/>
          <w:color w:val="000000" w:themeColor="text1"/>
          <w:szCs w:val="24"/>
        </w:rPr>
        <w:t>ządzanie nią. Rozważono następujące scenariusze:</w:t>
      </w:r>
    </w:p>
    <w:p w14:paraId="28F101D7" w14:textId="4E6007BE" w:rsidR="00923F69" w:rsidRPr="00710B91" w:rsidRDefault="00920E47" w:rsidP="00E40458">
      <w:pPr>
        <w:pStyle w:val="Bullet0"/>
        <w:tabs>
          <w:tab w:val="clear" w:pos="850"/>
          <w:tab w:val="num" w:pos="567"/>
        </w:tabs>
        <w:ind w:left="567" w:hanging="567"/>
        <w:rPr>
          <w:noProof/>
        </w:rPr>
      </w:pPr>
      <w:r w:rsidRPr="00710B91">
        <w:rPr>
          <w:noProof/>
        </w:rPr>
        <w:t>utworzenie platformy przez Komisję</w:t>
      </w:r>
      <w:r w:rsidR="00710B91" w:rsidRPr="00710B91">
        <w:rPr>
          <w:noProof/>
        </w:rPr>
        <w:t xml:space="preserve"> i</w:t>
      </w:r>
      <w:r w:rsidR="00710B91">
        <w:rPr>
          <w:noProof/>
        </w:rPr>
        <w:t> </w:t>
      </w:r>
      <w:r w:rsidR="00710B91" w:rsidRPr="00710B91">
        <w:rPr>
          <w:noProof/>
        </w:rPr>
        <w:t>udo</w:t>
      </w:r>
      <w:r w:rsidRPr="00710B91">
        <w:rPr>
          <w:noProof/>
        </w:rPr>
        <w:t>stępnienie jej państwom członkowskim do wdrożenia</w:t>
      </w:r>
      <w:r w:rsidR="00710B91" w:rsidRPr="00710B91">
        <w:rPr>
          <w:noProof/>
        </w:rPr>
        <w:t xml:space="preserve"> w</w:t>
      </w:r>
      <w:r w:rsidR="00710B91">
        <w:rPr>
          <w:noProof/>
        </w:rPr>
        <w:t> </w:t>
      </w:r>
      <w:r w:rsidR="00710B91" w:rsidRPr="00710B91">
        <w:rPr>
          <w:noProof/>
        </w:rPr>
        <w:t>raz</w:t>
      </w:r>
      <w:r w:rsidRPr="00710B91">
        <w:rPr>
          <w:noProof/>
        </w:rPr>
        <w:t>ie potrzeby</w:t>
      </w:r>
      <w:r w:rsidR="00710B91" w:rsidRPr="00710B91">
        <w:rPr>
          <w:noProof/>
        </w:rPr>
        <w:t xml:space="preserve"> w</w:t>
      </w:r>
      <w:r w:rsidR="00710B91">
        <w:rPr>
          <w:noProof/>
        </w:rPr>
        <w:t> </w:t>
      </w:r>
      <w:r w:rsidR="00710B91" w:rsidRPr="00710B91">
        <w:rPr>
          <w:noProof/>
        </w:rPr>
        <w:t>ram</w:t>
      </w:r>
      <w:r w:rsidRPr="00710B91">
        <w:rPr>
          <w:noProof/>
        </w:rPr>
        <w:t>ach własnej infrastruktury;</w:t>
      </w:r>
    </w:p>
    <w:p w14:paraId="1CE55AFA" w14:textId="51FAC6D2" w:rsidR="00923F69" w:rsidRPr="00710B91" w:rsidRDefault="00920E47" w:rsidP="00E40458">
      <w:pPr>
        <w:pStyle w:val="Bullet0"/>
        <w:tabs>
          <w:tab w:val="clear" w:pos="850"/>
          <w:tab w:val="num" w:pos="567"/>
        </w:tabs>
        <w:ind w:left="567" w:hanging="567"/>
        <w:rPr>
          <w:noProof/>
        </w:rPr>
      </w:pPr>
      <w:r w:rsidRPr="00710B91">
        <w:rPr>
          <w:noProof/>
        </w:rPr>
        <w:t>utworzenie platformy</w:t>
      </w:r>
      <w:r w:rsidR="00710B91" w:rsidRPr="00710B91">
        <w:rPr>
          <w:noProof/>
        </w:rPr>
        <w:t xml:space="preserve"> i</w:t>
      </w:r>
      <w:r w:rsidR="00710B91">
        <w:rPr>
          <w:noProof/>
        </w:rPr>
        <w:t> </w:t>
      </w:r>
      <w:r w:rsidR="00710B91" w:rsidRPr="00710B91">
        <w:rPr>
          <w:noProof/>
        </w:rPr>
        <w:t>jej</w:t>
      </w:r>
      <w:r w:rsidRPr="00710B91">
        <w:rPr>
          <w:noProof/>
        </w:rPr>
        <w:t xml:space="preserve"> ustanowienie</w:t>
      </w:r>
      <w:r w:rsidR="00710B91" w:rsidRPr="00710B91">
        <w:rPr>
          <w:noProof/>
        </w:rPr>
        <w:t xml:space="preserve"> w</w:t>
      </w:r>
      <w:r w:rsidR="00710B91">
        <w:rPr>
          <w:noProof/>
        </w:rPr>
        <w:t> </w:t>
      </w:r>
      <w:r w:rsidR="00710B91" w:rsidRPr="00710B91">
        <w:rPr>
          <w:noProof/>
        </w:rPr>
        <w:t>Kom</w:t>
      </w:r>
      <w:r w:rsidRPr="00710B91">
        <w:rPr>
          <w:noProof/>
        </w:rPr>
        <w:t>isji;</w:t>
      </w:r>
    </w:p>
    <w:p w14:paraId="74E65CE9" w14:textId="34E9B985" w:rsidR="00923F69" w:rsidRPr="00710B91" w:rsidRDefault="00920E47" w:rsidP="00E40458">
      <w:pPr>
        <w:pStyle w:val="Bullet0"/>
        <w:tabs>
          <w:tab w:val="clear" w:pos="850"/>
          <w:tab w:val="num" w:pos="567"/>
        </w:tabs>
        <w:ind w:left="567" w:hanging="567"/>
        <w:rPr>
          <w:noProof/>
        </w:rPr>
      </w:pPr>
      <w:r w:rsidRPr="00710B91">
        <w:rPr>
          <w:noProof/>
        </w:rPr>
        <w:t>utworzenie platformy</w:t>
      </w:r>
      <w:r w:rsidR="00710B91" w:rsidRPr="00710B91">
        <w:rPr>
          <w:noProof/>
        </w:rPr>
        <w:t xml:space="preserve"> i</w:t>
      </w:r>
      <w:r w:rsidR="00710B91">
        <w:rPr>
          <w:noProof/>
        </w:rPr>
        <w:t> </w:t>
      </w:r>
      <w:r w:rsidR="00710B91" w:rsidRPr="00710B91">
        <w:rPr>
          <w:noProof/>
        </w:rPr>
        <w:t>jej</w:t>
      </w:r>
      <w:r w:rsidRPr="00710B91">
        <w:rPr>
          <w:noProof/>
        </w:rPr>
        <w:t xml:space="preserve"> ustanowienie</w:t>
      </w:r>
      <w:r w:rsidR="00710B91" w:rsidRPr="00710B91">
        <w:rPr>
          <w:noProof/>
        </w:rPr>
        <w:t xml:space="preserve"> w</w:t>
      </w:r>
      <w:r w:rsidR="00710B91">
        <w:rPr>
          <w:noProof/>
        </w:rPr>
        <w:t> </w:t>
      </w:r>
      <w:r w:rsidR="00710B91" w:rsidRPr="00710B91">
        <w:rPr>
          <w:noProof/>
        </w:rPr>
        <w:t>jed</w:t>
      </w:r>
      <w:r w:rsidRPr="00710B91">
        <w:rPr>
          <w:noProof/>
        </w:rPr>
        <w:t>nej</w:t>
      </w:r>
      <w:r w:rsidR="00710B91" w:rsidRPr="00710B91">
        <w:rPr>
          <w:noProof/>
        </w:rPr>
        <w:t xml:space="preserve"> z</w:t>
      </w:r>
      <w:r w:rsidR="00710B91">
        <w:rPr>
          <w:noProof/>
        </w:rPr>
        <w:t> </w:t>
      </w:r>
      <w:r w:rsidR="00710B91" w:rsidRPr="00710B91">
        <w:rPr>
          <w:noProof/>
        </w:rPr>
        <w:t>age</w:t>
      </w:r>
      <w:r w:rsidRPr="00710B91">
        <w:rPr>
          <w:noProof/>
        </w:rPr>
        <w:t>ncji WSiSW bezpośrednio zaangażowanej we wspieranie organów państw członkowskich</w:t>
      </w:r>
      <w:r w:rsidR="00710B91" w:rsidRPr="00710B91">
        <w:rPr>
          <w:noProof/>
        </w:rPr>
        <w:t xml:space="preserve"> w</w:t>
      </w:r>
      <w:r w:rsidR="00710B91">
        <w:rPr>
          <w:noProof/>
        </w:rPr>
        <w:t> </w:t>
      </w:r>
      <w:r w:rsidR="00710B91" w:rsidRPr="00710B91">
        <w:rPr>
          <w:noProof/>
        </w:rPr>
        <w:t>pro</w:t>
      </w:r>
      <w:r w:rsidRPr="00710B91">
        <w:rPr>
          <w:noProof/>
        </w:rPr>
        <w:t>cesie zwalczania przestępczości (np. Eurojust);</w:t>
      </w:r>
    </w:p>
    <w:p w14:paraId="510D678B" w14:textId="5D787ADD" w:rsidR="00920E47" w:rsidRPr="00710B91" w:rsidRDefault="00920E47" w:rsidP="00E40458">
      <w:pPr>
        <w:pStyle w:val="Bullet0"/>
        <w:tabs>
          <w:tab w:val="clear" w:pos="850"/>
          <w:tab w:val="num" w:pos="567"/>
        </w:tabs>
        <w:ind w:left="567" w:hanging="567"/>
        <w:rPr>
          <w:noProof/>
        </w:rPr>
      </w:pPr>
      <w:r w:rsidRPr="00710B91">
        <w:rPr>
          <w:noProof/>
        </w:rPr>
        <w:t>utworzenie platformy</w:t>
      </w:r>
      <w:r w:rsidR="00710B91" w:rsidRPr="00710B91">
        <w:rPr>
          <w:noProof/>
        </w:rPr>
        <w:t xml:space="preserve"> i</w:t>
      </w:r>
      <w:r w:rsidR="00710B91">
        <w:rPr>
          <w:noProof/>
        </w:rPr>
        <w:t> </w:t>
      </w:r>
      <w:r w:rsidR="00710B91" w:rsidRPr="00710B91">
        <w:rPr>
          <w:noProof/>
        </w:rPr>
        <w:t>jej</w:t>
      </w:r>
      <w:r w:rsidRPr="00710B91">
        <w:rPr>
          <w:noProof/>
        </w:rPr>
        <w:t xml:space="preserve"> ustanowienie w eu-LISA.</w:t>
      </w:r>
    </w:p>
    <w:p w14:paraId="59DCF157" w14:textId="4FF2FE59" w:rsidR="00920E47" w:rsidRPr="00710B91" w:rsidRDefault="00920E47" w:rsidP="00E2148B">
      <w:pPr>
        <w:spacing w:line="280" w:lineRule="atLeast"/>
        <w:rPr>
          <w:noProof/>
          <w:color w:val="000000" w:themeColor="text1"/>
          <w:szCs w:val="24"/>
        </w:rPr>
      </w:pPr>
      <w:r w:rsidRPr="00710B91">
        <w:rPr>
          <w:noProof/>
          <w:color w:val="000000" w:themeColor="text1"/>
          <w:szCs w:val="24"/>
        </w:rPr>
        <w:t>Wszystkie zainteresowane strony, które wzięły udział</w:t>
      </w:r>
      <w:r w:rsidR="00710B91" w:rsidRPr="00710B91">
        <w:rPr>
          <w:noProof/>
          <w:color w:val="000000" w:themeColor="text1"/>
          <w:szCs w:val="24"/>
        </w:rPr>
        <w:t xml:space="preserve"> w</w:t>
      </w:r>
      <w:r w:rsidR="00710B91">
        <w:rPr>
          <w:noProof/>
          <w:color w:val="000000" w:themeColor="text1"/>
          <w:szCs w:val="24"/>
        </w:rPr>
        <w:t> </w:t>
      </w:r>
      <w:r w:rsidR="00710B91" w:rsidRPr="00710B91">
        <w:rPr>
          <w:noProof/>
          <w:color w:val="000000" w:themeColor="text1"/>
          <w:szCs w:val="24"/>
        </w:rPr>
        <w:t>kon</w:t>
      </w:r>
      <w:r w:rsidRPr="00710B91">
        <w:rPr>
          <w:noProof/>
          <w:color w:val="000000" w:themeColor="text1"/>
          <w:szCs w:val="24"/>
        </w:rPr>
        <w:t>sultacjach,</w:t>
      </w:r>
      <w:r w:rsidR="00710B91" w:rsidRPr="00710B91">
        <w:rPr>
          <w:noProof/>
          <w:color w:val="000000" w:themeColor="text1"/>
          <w:szCs w:val="24"/>
        </w:rPr>
        <w:t xml:space="preserve"> w</w:t>
      </w:r>
      <w:r w:rsidR="00710B91">
        <w:rPr>
          <w:noProof/>
          <w:color w:val="000000" w:themeColor="text1"/>
          <w:szCs w:val="24"/>
        </w:rPr>
        <w:t> </w:t>
      </w:r>
      <w:r w:rsidR="00710B91" w:rsidRPr="00710B91">
        <w:rPr>
          <w:noProof/>
          <w:color w:val="000000" w:themeColor="text1"/>
          <w:szCs w:val="24"/>
        </w:rPr>
        <w:t>tym</w:t>
      </w:r>
      <w:r w:rsidRPr="00710B91">
        <w:rPr>
          <w:noProof/>
          <w:color w:val="000000" w:themeColor="text1"/>
          <w:szCs w:val="24"/>
        </w:rPr>
        <w:t xml:space="preserve"> Eurojust</w:t>
      </w:r>
      <w:r w:rsidR="00710B91" w:rsidRPr="00710B91">
        <w:rPr>
          <w:noProof/>
          <w:color w:val="000000" w:themeColor="text1"/>
          <w:szCs w:val="24"/>
        </w:rPr>
        <w:t xml:space="preserve"> i</w:t>
      </w:r>
      <w:r w:rsidR="00710B91">
        <w:rPr>
          <w:noProof/>
          <w:color w:val="000000" w:themeColor="text1"/>
          <w:szCs w:val="24"/>
        </w:rPr>
        <w:t> </w:t>
      </w:r>
      <w:r w:rsidR="00710B91" w:rsidRPr="00710B91">
        <w:rPr>
          <w:noProof/>
          <w:color w:val="000000" w:themeColor="text1"/>
          <w:szCs w:val="24"/>
        </w:rPr>
        <w:t>Eur</w:t>
      </w:r>
      <w:r w:rsidRPr="00710B91">
        <w:rPr>
          <w:noProof/>
          <w:color w:val="000000" w:themeColor="text1"/>
          <w:szCs w:val="24"/>
        </w:rPr>
        <w:t>opol, poparły wariant powierzenia eu-LISA zadania polegającego na utworzeniu platformy</w:t>
      </w:r>
      <w:r w:rsidR="00710B91" w:rsidRPr="00710B91">
        <w:rPr>
          <w:noProof/>
          <w:color w:val="000000" w:themeColor="text1"/>
          <w:szCs w:val="24"/>
        </w:rPr>
        <w:t xml:space="preserve"> i</w:t>
      </w:r>
      <w:r w:rsidR="00710B91">
        <w:rPr>
          <w:noProof/>
          <w:color w:val="000000" w:themeColor="text1"/>
          <w:szCs w:val="24"/>
        </w:rPr>
        <w:t> </w:t>
      </w:r>
      <w:r w:rsidR="00710B91" w:rsidRPr="00710B91">
        <w:rPr>
          <w:noProof/>
          <w:color w:val="000000" w:themeColor="text1"/>
          <w:szCs w:val="24"/>
        </w:rPr>
        <w:t>jej</w:t>
      </w:r>
      <w:r w:rsidRPr="00710B91">
        <w:rPr>
          <w:noProof/>
          <w:color w:val="000000" w:themeColor="text1"/>
          <w:szCs w:val="24"/>
        </w:rPr>
        <w:t xml:space="preserve"> utrzymania. Wszystkie zainteresowane strony uznały wiedzę fachową, jaką posiada eu-LISA</w:t>
      </w:r>
      <w:r w:rsidR="00710B91" w:rsidRPr="00710B91">
        <w:rPr>
          <w:noProof/>
          <w:color w:val="000000" w:themeColor="text1"/>
          <w:szCs w:val="24"/>
        </w:rPr>
        <w:t xml:space="preserve"> w</w:t>
      </w:r>
      <w:r w:rsidR="00710B91">
        <w:rPr>
          <w:noProof/>
          <w:color w:val="000000" w:themeColor="text1"/>
          <w:szCs w:val="24"/>
        </w:rPr>
        <w:t> </w:t>
      </w:r>
      <w:r w:rsidR="00710B91" w:rsidRPr="00710B91">
        <w:rPr>
          <w:noProof/>
          <w:color w:val="000000" w:themeColor="text1"/>
          <w:szCs w:val="24"/>
        </w:rPr>
        <w:t>tej</w:t>
      </w:r>
      <w:r w:rsidRPr="00710B91">
        <w:rPr>
          <w:noProof/>
          <w:color w:val="000000" w:themeColor="text1"/>
          <w:szCs w:val="24"/>
        </w:rPr>
        <w:t xml:space="preserve"> dziedzinie, jak również doświadczenie agencji</w:t>
      </w:r>
      <w:r w:rsidR="00710B91" w:rsidRPr="00710B91">
        <w:rPr>
          <w:noProof/>
          <w:color w:val="000000" w:themeColor="text1"/>
          <w:szCs w:val="24"/>
        </w:rPr>
        <w:t xml:space="preserve"> w</w:t>
      </w:r>
      <w:r w:rsidR="00710B91">
        <w:rPr>
          <w:noProof/>
          <w:color w:val="000000" w:themeColor="text1"/>
          <w:szCs w:val="24"/>
        </w:rPr>
        <w:t> </w:t>
      </w:r>
      <w:r w:rsidR="00710B91" w:rsidRPr="00710B91">
        <w:rPr>
          <w:noProof/>
          <w:color w:val="000000" w:themeColor="text1"/>
          <w:szCs w:val="24"/>
        </w:rPr>
        <w:t>zak</w:t>
      </w:r>
      <w:r w:rsidRPr="00710B91">
        <w:rPr>
          <w:noProof/>
          <w:color w:val="000000" w:themeColor="text1"/>
          <w:szCs w:val="24"/>
        </w:rPr>
        <w:t>resie wielkoskalowych systemów informatycznych spełniających najnowocześniejsze normy bezpieczeństwa. Wariant ten uwzględnia również możliwość prowadzenia zespołów JIT bez finansowego wsparcia lub zaangażowania operacyjnego ze strony Eurojustu czy Europolu.</w:t>
      </w:r>
    </w:p>
    <w:p w14:paraId="0C2386A0" w14:textId="0C817962" w:rsidR="00920E47" w:rsidRPr="00710B91" w:rsidRDefault="00920E47" w:rsidP="00E2148B">
      <w:pPr>
        <w:pBdr>
          <w:top w:val="nil"/>
          <w:left w:val="nil"/>
          <w:bottom w:val="nil"/>
          <w:right w:val="nil"/>
          <w:between w:val="nil"/>
          <w:bar w:val="nil"/>
        </w:pBdr>
        <w:spacing w:before="0" w:after="240"/>
        <w:rPr>
          <w:noProof/>
          <w:color w:val="000000" w:themeColor="text1"/>
          <w:szCs w:val="24"/>
        </w:rPr>
      </w:pPr>
      <w:r w:rsidRPr="00710B91">
        <w:rPr>
          <w:noProof/>
          <w:color w:val="000000" w:themeColor="text1"/>
          <w:szCs w:val="24"/>
        </w:rPr>
        <w:t>Bez wątpienia dwie najczęściej poruszane podczas ukierunkowanych konsultacji kluczowe funkcje platformy to możliwość objęcia platformą procesów ustanawiania zespołu JIT oraz scentralizowanego przechowywania danych.</w:t>
      </w:r>
    </w:p>
    <w:p w14:paraId="49F070CE" w14:textId="77777777" w:rsidR="00920E47" w:rsidRPr="00710B91" w:rsidRDefault="00920E47" w:rsidP="0005122E">
      <w:pPr>
        <w:spacing w:before="0" w:after="240" w:line="280" w:lineRule="atLeast"/>
        <w:rPr>
          <w:rFonts w:eastAsia="Times New Roman"/>
          <w:i/>
          <w:noProof/>
          <w:color w:val="000000"/>
          <w:szCs w:val="24"/>
        </w:rPr>
      </w:pPr>
      <w:r w:rsidRPr="00710B91">
        <w:rPr>
          <w:i/>
          <w:noProof/>
          <w:color w:val="000000"/>
          <w:szCs w:val="24"/>
        </w:rPr>
        <w:t>Administracyjny proces ustanawiania zespołu JIT</w:t>
      </w:r>
    </w:p>
    <w:p w14:paraId="28247005" w14:textId="673E8E27" w:rsidR="00920E47" w:rsidRPr="00710B91" w:rsidRDefault="00920E47" w:rsidP="00E2148B">
      <w:pPr>
        <w:rPr>
          <w:noProof/>
          <w:szCs w:val="24"/>
        </w:rPr>
      </w:pPr>
      <w:r w:rsidRPr="00710B91">
        <w:rPr>
          <w:noProof/>
        </w:rPr>
        <w:t>Punktem wyjścia</w:t>
      </w:r>
      <w:r w:rsidR="00710B91" w:rsidRPr="00710B91">
        <w:rPr>
          <w:noProof/>
        </w:rPr>
        <w:t xml:space="preserve"> w</w:t>
      </w:r>
      <w:r w:rsidR="00710B91">
        <w:rPr>
          <w:noProof/>
        </w:rPr>
        <w:t> </w:t>
      </w:r>
      <w:r w:rsidR="00710B91" w:rsidRPr="00710B91">
        <w:rPr>
          <w:noProof/>
        </w:rPr>
        <w:t>tej</w:t>
      </w:r>
      <w:r w:rsidRPr="00710B91">
        <w:rPr>
          <w:noProof/>
        </w:rPr>
        <w:t xml:space="preserve"> dyskusji było sprawozdanie końcowe poświęcone analizy dotyczącej transgranicznego cyfrowego wymiaru sprawiedliwości</w:t>
      </w:r>
      <w:r w:rsidR="00710B91" w:rsidRPr="00710B91">
        <w:rPr>
          <w:noProof/>
        </w:rPr>
        <w:t xml:space="preserve"> w</w:t>
      </w:r>
      <w:r w:rsidR="00710B91">
        <w:rPr>
          <w:noProof/>
        </w:rPr>
        <w:t> </w:t>
      </w:r>
      <w:r w:rsidR="00710B91" w:rsidRPr="00710B91">
        <w:rPr>
          <w:noProof/>
        </w:rPr>
        <w:t>spr</w:t>
      </w:r>
      <w:r w:rsidRPr="00710B91">
        <w:rPr>
          <w:noProof/>
        </w:rPr>
        <w:t>awach karnych,</w:t>
      </w:r>
      <w:r w:rsidR="00710B91" w:rsidRPr="00710B91">
        <w:rPr>
          <w:noProof/>
        </w:rPr>
        <w:t xml:space="preserve"> w</w:t>
      </w:r>
      <w:r w:rsidR="00710B91">
        <w:rPr>
          <w:noProof/>
        </w:rPr>
        <w:t> </w:t>
      </w:r>
      <w:r w:rsidR="00710B91" w:rsidRPr="00710B91">
        <w:rPr>
          <w:noProof/>
        </w:rPr>
        <w:t>któ</w:t>
      </w:r>
      <w:r w:rsidRPr="00710B91">
        <w:rPr>
          <w:noProof/>
        </w:rPr>
        <w:t>rym zaleca się, aby platforma współpracy zespołów JIT objęła również etap przedoperacyjny zespołów JIT, tj. proces administracyjny mający na celu utworzenie zespołu JIT. Takie rozwiązanie ma wiele korzyści,</w:t>
      </w:r>
      <w:r w:rsidR="00710B91" w:rsidRPr="00710B91">
        <w:rPr>
          <w:noProof/>
        </w:rPr>
        <w:t xml:space="preserve"> w</w:t>
      </w:r>
      <w:r w:rsidR="00710B91">
        <w:rPr>
          <w:noProof/>
        </w:rPr>
        <w:t> </w:t>
      </w:r>
      <w:r w:rsidR="00710B91" w:rsidRPr="00710B91">
        <w:rPr>
          <w:noProof/>
        </w:rPr>
        <w:t>tym</w:t>
      </w:r>
      <w:r w:rsidRPr="00710B91">
        <w:rPr>
          <w:noProof/>
        </w:rPr>
        <w:t>:</w:t>
      </w:r>
    </w:p>
    <w:p w14:paraId="7BEEC4A3" w14:textId="33E17E0D" w:rsidR="00923F69" w:rsidRPr="00710B91" w:rsidRDefault="00920E47" w:rsidP="00E40458">
      <w:pPr>
        <w:pStyle w:val="Bullet0"/>
        <w:tabs>
          <w:tab w:val="clear" w:pos="850"/>
          <w:tab w:val="num" w:pos="567"/>
        </w:tabs>
        <w:ind w:left="567" w:hanging="567"/>
        <w:rPr>
          <w:noProof/>
        </w:rPr>
      </w:pPr>
      <w:r w:rsidRPr="00710B91">
        <w:rPr>
          <w:noProof/>
        </w:rPr>
        <w:t>możliwość transgranicznej bezpiecznej</w:t>
      </w:r>
      <w:r w:rsidR="00710B91" w:rsidRPr="00710B91">
        <w:rPr>
          <w:noProof/>
        </w:rPr>
        <w:t xml:space="preserve"> i</w:t>
      </w:r>
      <w:r w:rsidR="00710B91">
        <w:rPr>
          <w:noProof/>
        </w:rPr>
        <w:t> </w:t>
      </w:r>
      <w:r w:rsidR="00710B91" w:rsidRPr="00710B91">
        <w:rPr>
          <w:noProof/>
        </w:rPr>
        <w:t>efe</w:t>
      </w:r>
      <w:r w:rsidRPr="00710B91">
        <w:rPr>
          <w:noProof/>
        </w:rPr>
        <w:t>ktywnej wymiany dokumentów potrzebnych do podpisania umowy o JIT;</w:t>
      </w:r>
    </w:p>
    <w:p w14:paraId="41613754" w14:textId="77777777" w:rsidR="00923F69" w:rsidRPr="00710B91" w:rsidRDefault="00920E47" w:rsidP="00E40458">
      <w:pPr>
        <w:pStyle w:val="Bullet0"/>
        <w:tabs>
          <w:tab w:val="clear" w:pos="850"/>
          <w:tab w:val="num" w:pos="567"/>
        </w:tabs>
        <w:ind w:left="567" w:hanging="567"/>
        <w:rPr>
          <w:noProof/>
        </w:rPr>
      </w:pPr>
      <w:r w:rsidRPr="00710B91">
        <w:rPr>
          <w:noProof/>
        </w:rPr>
        <w:t>funkcję tłumaczenia maszynowego;</w:t>
      </w:r>
    </w:p>
    <w:p w14:paraId="16716093" w14:textId="77777777" w:rsidR="00923F69" w:rsidRPr="00710B91" w:rsidRDefault="00920E47" w:rsidP="00923F69">
      <w:pPr>
        <w:pStyle w:val="Bullet0"/>
        <w:tabs>
          <w:tab w:val="clear" w:pos="850"/>
          <w:tab w:val="num" w:pos="567"/>
        </w:tabs>
        <w:ind w:left="567" w:hanging="567"/>
        <w:rPr>
          <w:noProof/>
        </w:rPr>
      </w:pPr>
      <w:r w:rsidRPr="00710B91">
        <w:rPr>
          <w:noProof/>
        </w:rPr>
        <w:t>wykaz procedur, które należy stosować podczas procesu ustanawiania zespołu JIT;</w:t>
      </w:r>
    </w:p>
    <w:p w14:paraId="2F52F978" w14:textId="448AA88F" w:rsidR="00920E47" w:rsidRPr="00710B91" w:rsidRDefault="00920E47" w:rsidP="00E40458">
      <w:pPr>
        <w:pStyle w:val="Bullet0"/>
        <w:tabs>
          <w:tab w:val="clear" w:pos="850"/>
          <w:tab w:val="num" w:pos="567"/>
        </w:tabs>
        <w:spacing w:line="360" w:lineRule="auto"/>
        <w:ind w:left="567" w:hanging="567"/>
        <w:rPr>
          <w:noProof/>
        </w:rPr>
      </w:pPr>
      <w:r w:rsidRPr="00710B91">
        <w:rPr>
          <w:noProof/>
        </w:rPr>
        <w:t>obsługę różnorodnych podpisów elektronicznych.</w:t>
      </w:r>
    </w:p>
    <w:p w14:paraId="1D393827" w14:textId="26741D92" w:rsidR="00920E47" w:rsidRPr="00710B91" w:rsidRDefault="00920E47" w:rsidP="00E2148B">
      <w:pPr>
        <w:rPr>
          <w:noProof/>
        </w:rPr>
      </w:pPr>
      <w:r w:rsidRPr="00710B91">
        <w:rPr>
          <w:noProof/>
        </w:rPr>
        <w:t>Podczas konsultacji</w:t>
      </w:r>
      <w:r w:rsidR="00710B91" w:rsidRPr="00710B91">
        <w:rPr>
          <w:noProof/>
        </w:rPr>
        <w:t xml:space="preserve"> z</w:t>
      </w:r>
      <w:r w:rsidR="00710B91">
        <w:rPr>
          <w:noProof/>
        </w:rPr>
        <w:t> </w:t>
      </w:r>
      <w:r w:rsidR="00710B91" w:rsidRPr="00710B91">
        <w:rPr>
          <w:noProof/>
        </w:rPr>
        <w:t>zai</w:t>
      </w:r>
      <w:r w:rsidRPr="00710B91">
        <w:rPr>
          <w:noProof/>
        </w:rPr>
        <w:t>nteresowanymi stronami ustalono jednak, że</w:t>
      </w:r>
      <w:r w:rsidR="00710B91" w:rsidRPr="00710B91">
        <w:rPr>
          <w:noProof/>
        </w:rPr>
        <w:t xml:space="preserve"> w</w:t>
      </w:r>
      <w:r w:rsidR="00710B91">
        <w:rPr>
          <w:noProof/>
        </w:rPr>
        <w:t> </w:t>
      </w:r>
      <w:r w:rsidR="00710B91" w:rsidRPr="00710B91">
        <w:rPr>
          <w:noProof/>
        </w:rPr>
        <w:t>wię</w:t>
      </w:r>
      <w:r w:rsidRPr="00710B91">
        <w:rPr>
          <w:noProof/>
        </w:rPr>
        <w:t>kszości państw członkowskich podmioty uczestniczące</w:t>
      </w:r>
      <w:r w:rsidR="00710B91" w:rsidRPr="00710B91">
        <w:rPr>
          <w:noProof/>
        </w:rPr>
        <w:t xml:space="preserve"> w</w:t>
      </w:r>
      <w:r w:rsidR="00710B91">
        <w:rPr>
          <w:noProof/>
        </w:rPr>
        <w:t> </w:t>
      </w:r>
      <w:r w:rsidR="00710B91" w:rsidRPr="00710B91">
        <w:rPr>
          <w:noProof/>
        </w:rPr>
        <w:t>pro</w:t>
      </w:r>
      <w:r w:rsidRPr="00710B91">
        <w:rPr>
          <w:noProof/>
        </w:rPr>
        <w:t>cesie ustanawiania zespołu JIT całkowicie różnią się od tych, które są członkami zespołów JIT po ich ustanowieniu. Ponadto decyzja</w:t>
      </w:r>
      <w:r w:rsidR="00710B91" w:rsidRPr="00710B91">
        <w:rPr>
          <w:noProof/>
        </w:rPr>
        <w:t xml:space="preserve"> o</w:t>
      </w:r>
      <w:r w:rsidR="00710B91">
        <w:rPr>
          <w:noProof/>
        </w:rPr>
        <w:t> </w:t>
      </w:r>
      <w:r w:rsidR="00710B91" w:rsidRPr="00710B91">
        <w:rPr>
          <w:noProof/>
        </w:rPr>
        <w:t>prz</w:t>
      </w:r>
      <w:r w:rsidRPr="00710B91">
        <w:rPr>
          <w:noProof/>
        </w:rPr>
        <w:t xml:space="preserve">ystąpieniu do zespołu JIT jest bardzo często podejmowana przez kogoś, kto niekoniecznie sam będzie członkiem zespołu JIT, np. przez </w:t>
      </w:r>
      <w:r w:rsidRPr="00710B91">
        <w:rPr>
          <w:noProof/>
          <w:color w:val="000000" w:themeColor="text1"/>
          <w:szCs w:val="24"/>
        </w:rPr>
        <w:t>prokuratora generalnego albo nawet ministra sprawiedliwości</w:t>
      </w:r>
      <w:r w:rsidR="00710B91" w:rsidRPr="00710B91">
        <w:rPr>
          <w:noProof/>
          <w:color w:val="000000" w:themeColor="text1"/>
          <w:szCs w:val="24"/>
        </w:rPr>
        <w:t xml:space="preserve">. </w:t>
      </w:r>
      <w:r w:rsidR="00710B91" w:rsidRPr="00710B91">
        <w:rPr>
          <w:noProof/>
        </w:rPr>
        <w:t>W</w:t>
      </w:r>
      <w:r w:rsidR="00710B91">
        <w:rPr>
          <w:noProof/>
          <w:color w:val="000000" w:themeColor="text1"/>
          <w:szCs w:val="24"/>
        </w:rPr>
        <w:t> </w:t>
      </w:r>
      <w:r w:rsidR="00710B91" w:rsidRPr="00710B91">
        <w:rPr>
          <w:noProof/>
        </w:rPr>
        <w:t>zwi</w:t>
      </w:r>
      <w:r w:rsidRPr="00710B91">
        <w:rPr>
          <w:noProof/>
        </w:rPr>
        <w:t>ązku</w:t>
      </w:r>
      <w:r w:rsidR="00710B91" w:rsidRPr="00710B91">
        <w:rPr>
          <w:noProof/>
        </w:rPr>
        <w:t xml:space="preserve"> z</w:t>
      </w:r>
      <w:r w:rsidR="00710B91">
        <w:rPr>
          <w:noProof/>
        </w:rPr>
        <w:t> </w:t>
      </w:r>
      <w:r w:rsidR="00710B91" w:rsidRPr="00710B91">
        <w:rPr>
          <w:noProof/>
        </w:rPr>
        <w:t>tym</w:t>
      </w:r>
      <w:r w:rsidRPr="00710B91">
        <w:rPr>
          <w:noProof/>
        </w:rPr>
        <w:t xml:space="preserve"> włączenie administracyjnego procesu ustanawiania zespołu JIT do platformy wymagałoby całkowitego odejścia od wyżej opisanego modelu odizolowanych przestrzeni JIT, jak również oddzielnego procesu przepływu pracy przy zarządzaniu prawami dostępu. Taki scenariusz poważnie skomplikowałby przewidzianą koncepcję łatwej</w:t>
      </w:r>
      <w:r w:rsidR="00710B91" w:rsidRPr="00710B91">
        <w:rPr>
          <w:noProof/>
        </w:rPr>
        <w:t xml:space="preserve"> w</w:t>
      </w:r>
      <w:r w:rsidR="00710B91">
        <w:rPr>
          <w:noProof/>
        </w:rPr>
        <w:t> </w:t>
      </w:r>
      <w:r w:rsidR="00710B91" w:rsidRPr="00710B91">
        <w:rPr>
          <w:noProof/>
        </w:rPr>
        <w:t>uży</w:t>
      </w:r>
      <w:r w:rsidRPr="00710B91">
        <w:rPr>
          <w:noProof/>
        </w:rPr>
        <w:t>ciu platformy</w:t>
      </w:r>
      <w:r w:rsidR="00710B91" w:rsidRPr="00710B91">
        <w:rPr>
          <w:noProof/>
        </w:rPr>
        <w:t xml:space="preserve"> i</w:t>
      </w:r>
      <w:r w:rsidR="00710B91">
        <w:rPr>
          <w:noProof/>
        </w:rPr>
        <w:t> </w:t>
      </w:r>
      <w:r w:rsidR="00710B91" w:rsidRPr="00710B91">
        <w:rPr>
          <w:noProof/>
        </w:rPr>
        <w:t>wym</w:t>
      </w:r>
      <w:r w:rsidRPr="00710B91">
        <w:rPr>
          <w:noProof/>
        </w:rPr>
        <w:t>agałby wdrożenia dość niezrozumiałych</w:t>
      </w:r>
      <w:r w:rsidR="00710B91" w:rsidRPr="00710B91">
        <w:rPr>
          <w:noProof/>
        </w:rPr>
        <w:t xml:space="preserve"> i</w:t>
      </w:r>
      <w:r w:rsidR="00710B91">
        <w:rPr>
          <w:noProof/>
        </w:rPr>
        <w:t> </w:t>
      </w:r>
      <w:r w:rsidR="00710B91" w:rsidRPr="00710B91">
        <w:rPr>
          <w:noProof/>
        </w:rPr>
        <w:t>cza</w:t>
      </w:r>
      <w:r w:rsidRPr="00710B91">
        <w:rPr>
          <w:noProof/>
        </w:rPr>
        <w:t xml:space="preserve">sochłonnych procesów przepływu pracy. </w:t>
      </w:r>
    </w:p>
    <w:p w14:paraId="372BF58D" w14:textId="4C916365" w:rsidR="00920E47" w:rsidRPr="00710B91" w:rsidRDefault="00920E47" w:rsidP="00E2148B">
      <w:pPr>
        <w:pBdr>
          <w:top w:val="nil"/>
          <w:left w:val="nil"/>
          <w:bottom w:val="nil"/>
          <w:right w:val="nil"/>
          <w:between w:val="nil"/>
          <w:bar w:val="nil"/>
        </w:pBdr>
        <w:spacing w:before="0" w:after="240"/>
        <w:rPr>
          <w:noProof/>
        </w:rPr>
      </w:pPr>
      <w:r w:rsidRPr="00710B91">
        <w:rPr>
          <w:noProof/>
        </w:rPr>
        <w:t>Z tego powodu po ukierunkowanych konsultacjach zalecany scenariusz przewidywałby objęcie procesu ustanawiania zespołu JIT systemem cyfrowej wymiany elektronicznego materiału dowodowego (eEDES), który jest obecnie wdrażany przez Komisję</w:t>
      </w:r>
      <w:r w:rsidR="00710B91" w:rsidRPr="00710B91">
        <w:rPr>
          <w:noProof/>
        </w:rPr>
        <w:t>. Z</w:t>
      </w:r>
      <w:r w:rsidR="00710B91">
        <w:rPr>
          <w:noProof/>
        </w:rPr>
        <w:t> </w:t>
      </w:r>
      <w:r w:rsidR="00710B91" w:rsidRPr="00710B91">
        <w:rPr>
          <w:noProof/>
        </w:rPr>
        <w:t>jed</w:t>
      </w:r>
      <w:r w:rsidRPr="00710B91">
        <w:rPr>
          <w:noProof/>
        </w:rPr>
        <w:t>nej strony takie rozwiązanie zaspokoiłoby potrzeby administracyjne zainteresowanych stron,</w:t>
      </w:r>
      <w:r w:rsidR="00710B91" w:rsidRPr="00710B91">
        <w:rPr>
          <w:noProof/>
        </w:rPr>
        <w:t xml:space="preserve"> a</w:t>
      </w:r>
      <w:r w:rsidR="00710B91">
        <w:rPr>
          <w:noProof/>
        </w:rPr>
        <w:t> </w:t>
      </w:r>
      <w:r w:rsidR="00710B91" w:rsidRPr="00710B91">
        <w:rPr>
          <w:noProof/>
        </w:rPr>
        <w:t>z</w:t>
      </w:r>
      <w:r w:rsidR="00710B91">
        <w:rPr>
          <w:noProof/>
        </w:rPr>
        <w:t> </w:t>
      </w:r>
      <w:r w:rsidR="00710B91" w:rsidRPr="00710B91">
        <w:rPr>
          <w:noProof/>
        </w:rPr>
        <w:t>dru</w:t>
      </w:r>
      <w:r w:rsidRPr="00710B91">
        <w:rPr>
          <w:noProof/>
        </w:rPr>
        <w:t>giej nie komplikowałoby codziennego funkcjonowania przyszłej platformy.</w:t>
      </w:r>
    </w:p>
    <w:p w14:paraId="2C7803B5" w14:textId="77777777" w:rsidR="00920E47" w:rsidRPr="00710B91" w:rsidRDefault="00920E47" w:rsidP="0005122E">
      <w:pPr>
        <w:spacing w:before="0" w:after="240" w:line="280" w:lineRule="atLeast"/>
        <w:rPr>
          <w:rFonts w:eastAsia="Times New Roman"/>
          <w:i/>
          <w:noProof/>
          <w:color w:val="000000"/>
          <w:szCs w:val="24"/>
        </w:rPr>
      </w:pPr>
      <w:r w:rsidRPr="00710B91">
        <w:rPr>
          <w:i/>
          <w:noProof/>
          <w:color w:val="000000"/>
          <w:szCs w:val="24"/>
        </w:rPr>
        <w:t>Scentralizowane przechowywanie</w:t>
      </w:r>
    </w:p>
    <w:p w14:paraId="1332F64C" w14:textId="680294EA" w:rsidR="00920E47" w:rsidRPr="00710B91" w:rsidRDefault="00920E47" w:rsidP="002C0F8B">
      <w:pPr>
        <w:rPr>
          <w:noProof/>
          <w:szCs w:val="24"/>
        </w:rPr>
      </w:pPr>
      <w:r w:rsidRPr="00710B91">
        <w:rPr>
          <w:noProof/>
        </w:rPr>
        <w:t>Jedną</w:t>
      </w:r>
      <w:r w:rsidR="00710B91" w:rsidRPr="00710B91">
        <w:rPr>
          <w:noProof/>
        </w:rPr>
        <w:t xml:space="preserve"> z</w:t>
      </w:r>
      <w:r w:rsidR="00710B91">
        <w:rPr>
          <w:noProof/>
        </w:rPr>
        <w:t> </w:t>
      </w:r>
      <w:r w:rsidR="00710B91" w:rsidRPr="00710B91">
        <w:rPr>
          <w:noProof/>
        </w:rPr>
        <w:t>klu</w:t>
      </w:r>
      <w:r w:rsidRPr="00710B91">
        <w:rPr>
          <w:noProof/>
        </w:rPr>
        <w:t>czowych funkcji platformy będzie wymiana informacji</w:t>
      </w:r>
      <w:r w:rsidR="00710B91" w:rsidRPr="00710B91">
        <w:rPr>
          <w:noProof/>
        </w:rPr>
        <w:t xml:space="preserve"> i</w:t>
      </w:r>
      <w:r w:rsidR="00710B91">
        <w:rPr>
          <w:noProof/>
        </w:rPr>
        <w:t> </w:t>
      </w:r>
      <w:r w:rsidR="00710B91" w:rsidRPr="00710B91">
        <w:rPr>
          <w:noProof/>
        </w:rPr>
        <w:t>dow</w:t>
      </w:r>
      <w:r w:rsidRPr="00710B91">
        <w:rPr>
          <w:noProof/>
        </w:rPr>
        <w:t>odów pomiędzy członkami zespołu JIT</w:t>
      </w:r>
      <w:r w:rsidR="00710B91" w:rsidRPr="00710B91">
        <w:rPr>
          <w:noProof/>
        </w:rPr>
        <w:t xml:space="preserve"> i</w:t>
      </w:r>
      <w:r w:rsidR="00710B91">
        <w:rPr>
          <w:noProof/>
        </w:rPr>
        <w:t> </w:t>
      </w:r>
      <w:r w:rsidR="00710B91" w:rsidRPr="00710B91">
        <w:rPr>
          <w:noProof/>
        </w:rPr>
        <w:t>inn</w:t>
      </w:r>
      <w:r w:rsidRPr="00710B91">
        <w:rPr>
          <w:noProof/>
        </w:rPr>
        <w:t>ymi uczestnikami zespołu JIT. Funkcję tę można wdrożyć na trzy różne sposoby:</w:t>
      </w:r>
    </w:p>
    <w:p w14:paraId="43099C98" w14:textId="3A3DB700" w:rsidR="00920E47" w:rsidRPr="00710B91" w:rsidRDefault="00710B91" w:rsidP="00710B91">
      <w:pPr>
        <w:pStyle w:val="Point0"/>
        <w:rPr>
          <w:noProof/>
          <w:szCs w:val="24"/>
        </w:rPr>
      </w:pPr>
      <w:r w:rsidRPr="00710B91">
        <w:rPr>
          <w:noProof/>
        </w:rPr>
        <w:t>1)</w:t>
      </w:r>
      <w:r w:rsidRPr="00710B91">
        <w:rPr>
          <w:noProof/>
        </w:rPr>
        <w:tab/>
      </w:r>
      <w:r w:rsidR="00920E47" w:rsidRPr="00710B91">
        <w:rPr>
          <w:noProof/>
        </w:rPr>
        <w:t>zwykła funkcja zamieszczania/pobierania – dane byłyby przesyłane na platformę przez jednego</w:t>
      </w:r>
      <w:r w:rsidRPr="00710B91">
        <w:rPr>
          <w:noProof/>
        </w:rPr>
        <w:t xml:space="preserve"> z</w:t>
      </w:r>
      <w:r>
        <w:rPr>
          <w:noProof/>
        </w:rPr>
        <w:t> </w:t>
      </w:r>
      <w:r w:rsidRPr="00710B91">
        <w:rPr>
          <w:noProof/>
        </w:rPr>
        <w:t>czł</w:t>
      </w:r>
      <w:r w:rsidR="00920E47" w:rsidRPr="00710B91">
        <w:rPr>
          <w:noProof/>
        </w:rPr>
        <w:t>onków/uczestników zespołu JIT</w:t>
      </w:r>
      <w:r w:rsidRPr="00710B91">
        <w:rPr>
          <w:noProof/>
        </w:rPr>
        <w:t xml:space="preserve"> i</w:t>
      </w:r>
      <w:r>
        <w:rPr>
          <w:noProof/>
        </w:rPr>
        <w:t> </w:t>
      </w:r>
      <w:r w:rsidRPr="00710B91">
        <w:rPr>
          <w:noProof/>
        </w:rPr>
        <w:t>cen</w:t>
      </w:r>
      <w:r w:rsidR="00920E47" w:rsidRPr="00710B91">
        <w:rPr>
          <w:noProof/>
        </w:rPr>
        <w:t>tralnie przechowywane do momentu ich pobrania przez innych członków/uczestników zespołu JIT;</w:t>
      </w:r>
    </w:p>
    <w:p w14:paraId="612AB846" w14:textId="2C3EECA1" w:rsidR="00920E47" w:rsidRPr="00710B91" w:rsidRDefault="00710B91" w:rsidP="00710B91">
      <w:pPr>
        <w:pStyle w:val="Point0"/>
        <w:rPr>
          <w:noProof/>
          <w:szCs w:val="24"/>
        </w:rPr>
      </w:pPr>
      <w:r w:rsidRPr="00710B91">
        <w:rPr>
          <w:noProof/>
        </w:rPr>
        <w:t>2)</w:t>
      </w:r>
      <w:r w:rsidRPr="00710B91">
        <w:rPr>
          <w:noProof/>
        </w:rPr>
        <w:tab/>
      </w:r>
      <w:r w:rsidR="00920E47" w:rsidRPr="00710B91">
        <w:rPr>
          <w:noProof/>
        </w:rPr>
        <w:t>tymczasowe elastyczne przechowywanie – poza zwykłą funkcją zamieszczania/pobierania danych byłaby możliwość opcjonalnego przechowywania ich na platformie przez pewien czas, np. tydzień, miesiąc itp. Członek/uczestnik przesyłający dane określałby okres przechowywania</w:t>
      </w:r>
      <w:r w:rsidRPr="00710B91">
        <w:rPr>
          <w:noProof/>
        </w:rPr>
        <w:t xml:space="preserve"> i</w:t>
      </w:r>
      <w:r>
        <w:rPr>
          <w:noProof/>
        </w:rPr>
        <w:t> </w:t>
      </w:r>
      <w:r w:rsidRPr="00710B91">
        <w:rPr>
          <w:noProof/>
        </w:rPr>
        <w:t>pra</w:t>
      </w:r>
      <w:r w:rsidR="00920E47" w:rsidRPr="00710B91">
        <w:rPr>
          <w:noProof/>
        </w:rPr>
        <w:t>wa dostępu;</w:t>
      </w:r>
    </w:p>
    <w:p w14:paraId="3EEC3590" w14:textId="276CC0FB" w:rsidR="00920E47" w:rsidRPr="00710B91" w:rsidRDefault="00710B91" w:rsidP="00710B91">
      <w:pPr>
        <w:pStyle w:val="Point0"/>
        <w:rPr>
          <w:noProof/>
        </w:rPr>
      </w:pPr>
      <w:r w:rsidRPr="00710B91">
        <w:rPr>
          <w:noProof/>
        </w:rPr>
        <w:t>3)</w:t>
      </w:r>
      <w:r w:rsidRPr="00710B91">
        <w:rPr>
          <w:noProof/>
        </w:rPr>
        <w:tab/>
      </w:r>
      <w:r w:rsidR="00920E47" w:rsidRPr="00710B91">
        <w:rPr>
          <w:noProof/>
        </w:rPr>
        <w:t>stałe przechowywanie – wszystkie wymieniane dane byłyby przechowywane prze cały okres funkcjonowania zespołów JIT; szczegółowe prawa dostępu określałby członek/uczestnik zamieszczający dane. Wariant ten stanowiłby wspólne „akta spraw JIT”.</w:t>
      </w:r>
    </w:p>
    <w:p w14:paraId="06CFB0E1" w14:textId="1361DDA6" w:rsidR="00920E47" w:rsidRPr="00710B91" w:rsidRDefault="00920E47" w:rsidP="004570B2">
      <w:pPr>
        <w:rPr>
          <w:noProof/>
        </w:rPr>
      </w:pPr>
      <w:r w:rsidRPr="00710B91">
        <w:rPr>
          <w:noProof/>
        </w:rPr>
        <w:t>Chociaż zespoły JIT pozwalają na bezpośrednią komunikację, współpracę</w:t>
      </w:r>
      <w:r w:rsidR="00710B91" w:rsidRPr="00710B91">
        <w:rPr>
          <w:noProof/>
        </w:rPr>
        <w:t xml:space="preserve"> i</w:t>
      </w:r>
      <w:r w:rsidR="00710B91">
        <w:rPr>
          <w:noProof/>
        </w:rPr>
        <w:t> </w:t>
      </w:r>
      <w:r w:rsidR="00710B91" w:rsidRPr="00710B91">
        <w:rPr>
          <w:noProof/>
        </w:rPr>
        <w:t>sko</w:t>
      </w:r>
      <w:r w:rsidRPr="00710B91">
        <w:rPr>
          <w:noProof/>
        </w:rPr>
        <w:t>ordynowane działania, zasadnicze krajowe postępowania przygotowawcze pozostają oddzielną</w:t>
      </w:r>
      <w:r w:rsidR="00710B91" w:rsidRPr="00710B91">
        <w:rPr>
          <w:noProof/>
        </w:rPr>
        <w:t xml:space="preserve"> i</w:t>
      </w:r>
      <w:r w:rsidR="00710B91">
        <w:rPr>
          <w:noProof/>
        </w:rPr>
        <w:t> </w:t>
      </w:r>
      <w:r w:rsidR="00710B91" w:rsidRPr="00710B91">
        <w:rPr>
          <w:noProof/>
        </w:rPr>
        <w:t>nie</w:t>
      </w:r>
      <w:r w:rsidRPr="00710B91">
        <w:rPr>
          <w:noProof/>
        </w:rPr>
        <w:t>zależną kwestią. Obecne ramy prawne nie przewidują możliwości stworzenia wspólnych akt spraw</w:t>
      </w:r>
      <w:r w:rsidR="00710B91" w:rsidRPr="00710B91">
        <w:rPr>
          <w:noProof/>
        </w:rPr>
        <w:t xml:space="preserve"> w</w:t>
      </w:r>
      <w:r w:rsidR="00710B91">
        <w:rPr>
          <w:noProof/>
        </w:rPr>
        <w:t> </w:t>
      </w:r>
      <w:r w:rsidR="00710B91" w:rsidRPr="00710B91">
        <w:rPr>
          <w:noProof/>
        </w:rPr>
        <w:t>cel</w:t>
      </w:r>
      <w:r w:rsidRPr="00710B91">
        <w:rPr>
          <w:noProof/>
        </w:rPr>
        <w:t>u uzupełnienia krajowych postępowań przygotowawczych. Prawie wszystkie zainteresowane strony odrzuciły więc opcję stałego przechowywania (wariant 3). Stworzenie tego typu wspólnych akt sprawy faktycznie wzbudziłoby poważne wątpliwości związane</w:t>
      </w:r>
      <w:r w:rsidR="00710B91" w:rsidRPr="00710B91">
        <w:rPr>
          <w:noProof/>
        </w:rPr>
        <w:t xml:space="preserve"> z</w:t>
      </w:r>
      <w:r w:rsidR="00710B91">
        <w:rPr>
          <w:noProof/>
        </w:rPr>
        <w:t> </w:t>
      </w:r>
      <w:r w:rsidR="00710B91" w:rsidRPr="00710B91">
        <w:rPr>
          <w:noProof/>
        </w:rPr>
        <w:t>pos</w:t>
      </w:r>
      <w:r w:rsidRPr="00710B91">
        <w:rPr>
          <w:noProof/>
        </w:rPr>
        <w:t>tępowaniami karnymi</w:t>
      </w:r>
      <w:r w:rsidR="00710B91" w:rsidRPr="00710B91">
        <w:rPr>
          <w:noProof/>
        </w:rPr>
        <w:t xml:space="preserve"> w</w:t>
      </w:r>
      <w:r w:rsidR="00710B91">
        <w:rPr>
          <w:noProof/>
        </w:rPr>
        <w:t> </w:t>
      </w:r>
      <w:r w:rsidR="00710B91" w:rsidRPr="00710B91">
        <w:rPr>
          <w:noProof/>
        </w:rPr>
        <w:t>pew</w:t>
      </w:r>
      <w:r w:rsidRPr="00710B91">
        <w:rPr>
          <w:noProof/>
        </w:rPr>
        <w:t>nych państwach członkowskich, ponieważ nie wszystkie informacje związane z JIT muszą być udostępniane wszystkich członkom zespołów JIT. Urzędnicy prowadzący postępowania przygotowawcze</w:t>
      </w:r>
      <w:r w:rsidR="00710B91" w:rsidRPr="00710B91">
        <w:rPr>
          <w:noProof/>
        </w:rPr>
        <w:t xml:space="preserve"> z</w:t>
      </w:r>
      <w:r w:rsidR="00710B91">
        <w:rPr>
          <w:noProof/>
        </w:rPr>
        <w:t> </w:t>
      </w:r>
      <w:r w:rsidR="00710B91" w:rsidRPr="00710B91">
        <w:rPr>
          <w:noProof/>
        </w:rPr>
        <w:t>jed</w:t>
      </w:r>
      <w:r w:rsidRPr="00710B91">
        <w:rPr>
          <w:noProof/>
        </w:rPr>
        <w:t>nego państwa często nie potrzepują dostępu do wszystkich istotnych informacji dotyczących postępowania przygotowawczego prowadzonego przez inny kraj uczestniczący</w:t>
      </w:r>
      <w:r w:rsidR="00710B91" w:rsidRPr="00710B91">
        <w:rPr>
          <w:noProof/>
        </w:rPr>
        <w:t xml:space="preserve"> w</w:t>
      </w:r>
      <w:r w:rsidR="00710B91">
        <w:rPr>
          <w:noProof/>
        </w:rPr>
        <w:t> </w:t>
      </w:r>
      <w:r w:rsidR="00710B91" w:rsidRPr="00710B91">
        <w:rPr>
          <w:noProof/>
        </w:rPr>
        <w:t>tym</w:t>
      </w:r>
      <w:r w:rsidRPr="00710B91">
        <w:rPr>
          <w:noProof/>
        </w:rPr>
        <w:t xml:space="preserve"> samym zespole JIT.</w:t>
      </w:r>
    </w:p>
    <w:p w14:paraId="68C159DD" w14:textId="483AAEFE" w:rsidR="00920E47" w:rsidRPr="00710B91" w:rsidRDefault="00920E47" w:rsidP="00E2148B">
      <w:pPr>
        <w:rPr>
          <w:noProof/>
        </w:rPr>
      </w:pPr>
      <w:r w:rsidRPr="00710B91">
        <w:rPr>
          <w:noProof/>
        </w:rPr>
        <w:t>O ile pozostałe dwa warianty miały mniej więcej taki sam stopień poparcia wśród praktyków, preferowany wariant to wyposażenie platformy</w:t>
      </w:r>
      <w:r w:rsidR="00710B91" w:rsidRPr="00710B91">
        <w:rPr>
          <w:noProof/>
        </w:rPr>
        <w:t xml:space="preserve"> w</w:t>
      </w:r>
      <w:r w:rsidR="00710B91">
        <w:rPr>
          <w:noProof/>
        </w:rPr>
        <w:t> </w:t>
      </w:r>
      <w:r w:rsidR="00710B91" w:rsidRPr="00710B91">
        <w:rPr>
          <w:noProof/>
        </w:rPr>
        <w:t>zwy</w:t>
      </w:r>
      <w:r w:rsidRPr="00710B91">
        <w:rPr>
          <w:noProof/>
        </w:rPr>
        <w:t>kłą funkcję zamieszczania/pobierania (wariant 1). Funkcja ta uniemożliwiłaby użytkownikom platformy wgląd do danych przed ich pobraniem. Nie pozwoliłaby także na scentralizowane przechowywanie wymienianych danych, tj. dane byłyby centralnie przechowywane do momentu pobrania ich przez drugą stronę, lecz nie dłużej niż przez cztery tygodnie. Głównym powodem takiego rozwiązania jest obawa, że wszelkie przechowywanie danych operacyjnych wykraczające poza techniczne wymogi przesłania ich drugiej stronie doprowadziłoby do stworzenia przynajmniej tymczasowych wspólnych akt</w:t>
      </w:r>
      <w:r w:rsidR="00710B91" w:rsidRPr="00710B91">
        <w:rPr>
          <w:noProof/>
        </w:rPr>
        <w:t xml:space="preserve"> i</w:t>
      </w:r>
      <w:r w:rsidR="00710B91">
        <w:rPr>
          <w:noProof/>
        </w:rPr>
        <w:t> </w:t>
      </w:r>
      <w:r w:rsidR="00710B91" w:rsidRPr="00710B91">
        <w:rPr>
          <w:noProof/>
        </w:rPr>
        <w:t>moż</w:t>
      </w:r>
      <w:r w:rsidRPr="00710B91">
        <w:rPr>
          <w:noProof/>
        </w:rPr>
        <w:t>liwości wystąpienia dodatkowych kwestii. Na przykład kwestii wniosków</w:t>
      </w:r>
      <w:r w:rsidR="00710B91" w:rsidRPr="00710B91">
        <w:rPr>
          <w:noProof/>
        </w:rPr>
        <w:t xml:space="preserve"> o</w:t>
      </w:r>
      <w:r w:rsidR="00710B91">
        <w:rPr>
          <w:noProof/>
        </w:rPr>
        <w:t> </w:t>
      </w:r>
      <w:r w:rsidR="00710B91" w:rsidRPr="00710B91">
        <w:rPr>
          <w:noProof/>
        </w:rPr>
        <w:t>udz</w:t>
      </w:r>
      <w:r w:rsidRPr="00710B91">
        <w:rPr>
          <w:noProof/>
        </w:rPr>
        <w:t>ielenie dostępu do tych akt. Instrument ten nie powinien jednak zmieniać oddzielnych postępowań przygotowawczych ani oddzielnych akt krajowych, do których wciąż mają zastosowanie przepisy krajowe.</w:t>
      </w:r>
    </w:p>
    <w:p w14:paraId="5CA160FB" w14:textId="2A2F413B" w:rsidR="00920E47" w:rsidRPr="00710B91" w:rsidRDefault="00920E47" w:rsidP="00E2148B">
      <w:pPr>
        <w:pBdr>
          <w:top w:val="nil"/>
          <w:left w:val="nil"/>
          <w:bottom w:val="nil"/>
          <w:right w:val="nil"/>
          <w:between w:val="nil"/>
          <w:bar w:val="nil"/>
        </w:pBdr>
        <w:spacing w:before="0" w:after="240"/>
        <w:rPr>
          <w:noProof/>
        </w:rPr>
      </w:pPr>
      <w:r w:rsidRPr="00710B91">
        <w:rPr>
          <w:noProof/>
          <w:color w:val="000000" w:themeColor="text1"/>
          <w:szCs w:val="24"/>
        </w:rPr>
        <w:t>O ile brak scentralizowanego przechowywania uniemożliwiłby zawarcie różnych dodatkowych funkcji technicznych</w:t>
      </w:r>
      <w:r w:rsidR="00710B91" w:rsidRPr="00710B91">
        <w:rPr>
          <w:noProof/>
          <w:color w:val="000000" w:themeColor="text1"/>
          <w:szCs w:val="24"/>
        </w:rPr>
        <w:t xml:space="preserve"> w</w:t>
      </w:r>
      <w:r w:rsidR="00710B91">
        <w:rPr>
          <w:noProof/>
          <w:color w:val="000000" w:themeColor="text1"/>
          <w:szCs w:val="24"/>
        </w:rPr>
        <w:t> </w:t>
      </w:r>
      <w:r w:rsidR="00710B91" w:rsidRPr="00710B91">
        <w:rPr>
          <w:noProof/>
          <w:color w:val="000000" w:themeColor="text1"/>
          <w:szCs w:val="24"/>
        </w:rPr>
        <w:t>pla</w:t>
      </w:r>
      <w:r w:rsidRPr="00710B91">
        <w:rPr>
          <w:noProof/>
          <w:color w:val="000000" w:themeColor="text1"/>
          <w:szCs w:val="24"/>
        </w:rPr>
        <w:t>tformie, np. interfejsu</w:t>
      </w:r>
      <w:r w:rsidR="00710B91" w:rsidRPr="00710B91">
        <w:rPr>
          <w:noProof/>
          <w:color w:val="000000" w:themeColor="text1"/>
          <w:szCs w:val="24"/>
        </w:rPr>
        <w:t xml:space="preserve"> z</w:t>
      </w:r>
      <w:r w:rsidR="00710B91">
        <w:rPr>
          <w:noProof/>
          <w:color w:val="000000" w:themeColor="text1"/>
          <w:szCs w:val="24"/>
        </w:rPr>
        <w:t> </w:t>
      </w:r>
      <w:r w:rsidR="00710B91" w:rsidRPr="00710B91">
        <w:rPr>
          <w:noProof/>
          <w:color w:val="000000" w:themeColor="text1"/>
          <w:szCs w:val="24"/>
        </w:rPr>
        <w:t>nar</w:t>
      </w:r>
      <w:r w:rsidRPr="00710B91">
        <w:rPr>
          <w:noProof/>
          <w:color w:val="000000" w:themeColor="text1"/>
          <w:szCs w:val="24"/>
        </w:rPr>
        <w:t xml:space="preserve">zędziem do analizy kryminalnej, </w:t>
      </w:r>
      <w:r w:rsidRPr="00710B91">
        <w:rPr>
          <w:noProof/>
        </w:rPr>
        <w:t xml:space="preserve">narzędzia do wyszukiwania, rozwiązania zamiany mowy na tekst, optycznego rozpoznawania znaków itp., </w:t>
      </w:r>
      <w:r w:rsidRPr="00710B91">
        <w:rPr>
          <w:noProof/>
          <w:color w:val="000000" w:themeColor="text1"/>
          <w:szCs w:val="24"/>
        </w:rPr>
        <w:t>zainteresowane strony uznały, że takie funkcje powieliłyby narzędzia już udostępniane przez inne agencje (głównie przez Europol). Należy również podkreślić, że nawet przy braku scentralizowanego przechowywania informacji</w:t>
      </w:r>
      <w:r w:rsidR="00710B91" w:rsidRPr="00710B91">
        <w:rPr>
          <w:noProof/>
          <w:color w:val="000000" w:themeColor="text1"/>
          <w:szCs w:val="24"/>
        </w:rPr>
        <w:t xml:space="preserve"> i</w:t>
      </w:r>
      <w:r w:rsidR="00710B91">
        <w:rPr>
          <w:noProof/>
          <w:color w:val="000000" w:themeColor="text1"/>
          <w:szCs w:val="24"/>
        </w:rPr>
        <w:t> </w:t>
      </w:r>
      <w:r w:rsidR="00710B91" w:rsidRPr="00710B91">
        <w:rPr>
          <w:noProof/>
          <w:color w:val="000000" w:themeColor="text1"/>
          <w:szCs w:val="24"/>
        </w:rPr>
        <w:t>dow</w:t>
      </w:r>
      <w:r w:rsidRPr="00710B91">
        <w:rPr>
          <w:noProof/>
          <w:color w:val="000000" w:themeColor="text1"/>
          <w:szCs w:val="24"/>
        </w:rPr>
        <w:t>odów niektóre podstawowe informacje byłyby centralnie przechowywane, aby umożliwić członkom zespołu JIT zidentyfikowanie wymienianych danych.</w:t>
      </w:r>
    </w:p>
    <w:p w14:paraId="36125407" w14:textId="53E949BD" w:rsidR="00920E47" w:rsidRPr="00710B91" w:rsidRDefault="00920E47" w:rsidP="00E40458">
      <w:pPr>
        <w:pStyle w:val="Bullet0"/>
        <w:tabs>
          <w:tab w:val="clear" w:pos="850"/>
          <w:tab w:val="num" w:pos="567"/>
        </w:tabs>
        <w:rPr>
          <w:b/>
          <w:noProof/>
        </w:rPr>
      </w:pPr>
      <w:r w:rsidRPr="00710B91">
        <w:rPr>
          <w:b/>
          <w:noProof/>
        </w:rPr>
        <w:t>Gromadzenie</w:t>
      </w:r>
      <w:r w:rsidR="00710B91" w:rsidRPr="00710B91">
        <w:rPr>
          <w:b/>
          <w:noProof/>
        </w:rPr>
        <w:t xml:space="preserve"> i</w:t>
      </w:r>
      <w:r w:rsidR="00710B91">
        <w:rPr>
          <w:b/>
          <w:noProof/>
        </w:rPr>
        <w:t> </w:t>
      </w:r>
      <w:r w:rsidR="00710B91" w:rsidRPr="00710B91">
        <w:rPr>
          <w:b/>
          <w:noProof/>
        </w:rPr>
        <w:t>wyk</w:t>
      </w:r>
      <w:r w:rsidRPr="00710B91">
        <w:rPr>
          <w:b/>
          <w:noProof/>
        </w:rPr>
        <w:t>orzystanie wiedzy eksperckiej</w:t>
      </w:r>
    </w:p>
    <w:p w14:paraId="782E5805" w14:textId="213B4537" w:rsidR="00920E47" w:rsidRPr="00710B91" w:rsidRDefault="00920E47" w:rsidP="0005122E">
      <w:pPr>
        <w:pBdr>
          <w:top w:val="nil"/>
          <w:left w:val="nil"/>
          <w:bottom w:val="nil"/>
          <w:right w:val="nil"/>
          <w:between w:val="nil"/>
          <w:bar w:val="nil"/>
        </w:pBdr>
        <w:spacing w:before="0" w:after="240"/>
        <w:rPr>
          <w:noProof/>
        </w:rPr>
      </w:pPr>
      <w:r w:rsidRPr="00710B91">
        <w:rPr>
          <w:noProof/>
        </w:rPr>
        <w:t>Wniosek jest oparty na ustaleniach zawartych</w:t>
      </w:r>
      <w:r w:rsidR="00710B91" w:rsidRPr="00710B91">
        <w:rPr>
          <w:noProof/>
        </w:rPr>
        <w:t xml:space="preserve"> w</w:t>
      </w:r>
      <w:r w:rsidR="00710B91">
        <w:rPr>
          <w:noProof/>
        </w:rPr>
        <w:t> </w:t>
      </w:r>
      <w:r w:rsidR="00710B91" w:rsidRPr="00710B91">
        <w:rPr>
          <w:noProof/>
        </w:rPr>
        <w:t>ana</w:t>
      </w:r>
      <w:r w:rsidRPr="00710B91">
        <w:rPr>
          <w:noProof/>
        </w:rPr>
        <w:t>lizie dotyczącej transgranicznego cyfrowego wymiaru sprawiedliwości</w:t>
      </w:r>
      <w:r w:rsidR="00710B91" w:rsidRPr="00710B91">
        <w:rPr>
          <w:noProof/>
        </w:rPr>
        <w:t xml:space="preserve"> w</w:t>
      </w:r>
      <w:r w:rsidR="00710B91">
        <w:rPr>
          <w:noProof/>
        </w:rPr>
        <w:t> </w:t>
      </w:r>
      <w:r w:rsidR="00710B91" w:rsidRPr="00710B91">
        <w:rPr>
          <w:noProof/>
        </w:rPr>
        <w:t>spr</w:t>
      </w:r>
      <w:r w:rsidRPr="00710B91">
        <w:rPr>
          <w:noProof/>
        </w:rPr>
        <w:t>awach karnych</w:t>
      </w:r>
      <w:r w:rsidRPr="00710B91">
        <w:rPr>
          <w:rStyle w:val="FootnoteReference"/>
          <w:noProof/>
        </w:rPr>
        <w:footnoteReference w:id="15"/>
      </w:r>
      <w:r w:rsidR="00710B91" w:rsidRPr="00710B91">
        <w:rPr>
          <w:noProof/>
        </w:rPr>
        <w:t>. W</w:t>
      </w:r>
      <w:r w:rsidR="00710B91">
        <w:rPr>
          <w:noProof/>
        </w:rPr>
        <w:t> </w:t>
      </w:r>
      <w:r w:rsidR="00710B91" w:rsidRPr="00710B91">
        <w:rPr>
          <w:noProof/>
        </w:rPr>
        <w:t>bad</w:t>
      </w:r>
      <w:r w:rsidRPr="00710B91">
        <w:rPr>
          <w:noProof/>
        </w:rPr>
        <w:t>aniu przeanalizowano potrzeby</w:t>
      </w:r>
      <w:r w:rsidR="00710B91" w:rsidRPr="00710B91">
        <w:rPr>
          <w:noProof/>
        </w:rPr>
        <w:t xml:space="preserve"> i</w:t>
      </w:r>
      <w:r w:rsidR="00710B91">
        <w:rPr>
          <w:noProof/>
        </w:rPr>
        <w:t> </w:t>
      </w:r>
      <w:r w:rsidR="00710B91" w:rsidRPr="00710B91">
        <w:rPr>
          <w:noProof/>
        </w:rPr>
        <w:t>war</w:t>
      </w:r>
      <w:r w:rsidRPr="00710B91">
        <w:rPr>
          <w:noProof/>
        </w:rPr>
        <w:t>ianty utworzenia projektu dotyczącego transgranicznego cyfrowego wymiaru sprawiedliwości</w:t>
      </w:r>
      <w:r w:rsidR="00710B91" w:rsidRPr="00710B91">
        <w:rPr>
          <w:noProof/>
        </w:rPr>
        <w:t xml:space="preserve"> w</w:t>
      </w:r>
      <w:r w:rsidR="00710B91">
        <w:rPr>
          <w:noProof/>
        </w:rPr>
        <w:t> </w:t>
      </w:r>
      <w:r w:rsidR="00710B91" w:rsidRPr="00710B91">
        <w:rPr>
          <w:noProof/>
        </w:rPr>
        <w:t>spr</w:t>
      </w:r>
      <w:r w:rsidRPr="00710B91">
        <w:rPr>
          <w:noProof/>
        </w:rPr>
        <w:t>awach karnych – szybkiego, wiarygodnego</w:t>
      </w:r>
      <w:r w:rsidR="00710B91" w:rsidRPr="00710B91">
        <w:rPr>
          <w:noProof/>
        </w:rPr>
        <w:t xml:space="preserve"> i</w:t>
      </w:r>
      <w:r w:rsidR="00710B91">
        <w:rPr>
          <w:noProof/>
        </w:rPr>
        <w:t> </w:t>
      </w:r>
      <w:r w:rsidR="00710B91" w:rsidRPr="00710B91">
        <w:rPr>
          <w:noProof/>
        </w:rPr>
        <w:t>bez</w:t>
      </w:r>
      <w:r w:rsidRPr="00710B91">
        <w:rPr>
          <w:noProof/>
        </w:rPr>
        <w:t>piecznego ekosystemu informatycznego, umożliwiającego prokuraturze krajowej</w:t>
      </w:r>
      <w:r w:rsidR="00710B91" w:rsidRPr="00710B91">
        <w:rPr>
          <w:noProof/>
        </w:rPr>
        <w:t xml:space="preserve"> w</w:t>
      </w:r>
      <w:r w:rsidR="00710B91">
        <w:rPr>
          <w:noProof/>
        </w:rPr>
        <w:t> </w:t>
      </w:r>
      <w:r w:rsidR="00710B91" w:rsidRPr="00710B91">
        <w:rPr>
          <w:noProof/>
        </w:rPr>
        <w:t>pań</w:t>
      </w:r>
      <w:r w:rsidRPr="00710B91">
        <w:rPr>
          <w:noProof/>
        </w:rPr>
        <w:t>stwach członkowskich interakcję ze swoimi krajowymi odpowiednikami, agencjami wymiaru sprawiedliwości</w:t>
      </w:r>
      <w:r w:rsidR="00710B91" w:rsidRPr="00710B91">
        <w:rPr>
          <w:noProof/>
        </w:rPr>
        <w:t xml:space="preserve"> i</w:t>
      </w:r>
      <w:r w:rsidR="00710B91">
        <w:rPr>
          <w:noProof/>
        </w:rPr>
        <w:t> </w:t>
      </w:r>
      <w:r w:rsidR="00710B91" w:rsidRPr="00710B91">
        <w:rPr>
          <w:noProof/>
        </w:rPr>
        <w:t>spr</w:t>
      </w:r>
      <w:r w:rsidRPr="00710B91">
        <w:rPr>
          <w:noProof/>
        </w:rPr>
        <w:t>aw wewnętrznych (WSiSW) oraz organami unijnymi</w:t>
      </w:r>
      <w:r w:rsidR="00710B91" w:rsidRPr="00710B91">
        <w:rPr>
          <w:noProof/>
        </w:rPr>
        <w:t xml:space="preserve"> w</w:t>
      </w:r>
      <w:r w:rsidR="00710B91">
        <w:rPr>
          <w:noProof/>
        </w:rPr>
        <w:t> </w:t>
      </w:r>
      <w:r w:rsidR="00710B91" w:rsidRPr="00710B91">
        <w:rPr>
          <w:noProof/>
        </w:rPr>
        <w:t>obs</w:t>
      </w:r>
      <w:r w:rsidRPr="00710B91">
        <w:rPr>
          <w:noProof/>
        </w:rPr>
        <w:t xml:space="preserve">zarze WSiSW. </w:t>
      </w:r>
    </w:p>
    <w:p w14:paraId="24F3C2F6" w14:textId="77777777" w:rsidR="00920E47" w:rsidRPr="00710B91" w:rsidRDefault="00920E47" w:rsidP="009D79B9">
      <w:pPr>
        <w:pStyle w:val="Bullet0"/>
        <w:tabs>
          <w:tab w:val="clear" w:pos="850"/>
          <w:tab w:val="num" w:pos="567"/>
        </w:tabs>
        <w:rPr>
          <w:b/>
          <w:noProof/>
        </w:rPr>
      </w:pPr>
      <w:r w:rsidRPr="00710B91">
        <w:rPr>
          <w:b/>
          <w:noProof/>
        </w:rPr>
        <w:t>Ocena skutków</w:t>
      </w:r>
    </w:p>
    <w:p w14:paraId="368B16AF" w14:textId="31E043C4" w:rsidR="00920E47" w:rsidRPr="00710B91" w:rsidRDefault="006C7C24" w:rsidP="0005122E">
      <w:pPr>
        <w:pBdr>
          <w:top w:val="nil"/>
          <w:left w:val="nil"/>
          <w:bottom w:val="nil"/>
          <w:right w:val="nil"/>
          <w:between w:val="nil"/>
          <w:bar w:val="nil"/>
        </w:pBdr>
        <w:spacing w:before="0" w:after="240"/>
        <w:rPr>
          <w:noProof/>
        </w:rPr>
      </w:pPr>
      <w:r w:rsidRPr="00710B91">
        <w:rPr>
          <w:noProof/>
        </w:rPr>
        <w:t>Nie przeprowadzono oceny skutków, ponieważ wniosek ma na celu wyłącznie ustanowienie technicznego rozwiązania obsługującego funkcjonowanie zespołów JIT bez konieczności zmiany głównych zasad, na których opierają się ramy prawne pozwalające na ustanawianie zespołu JIT.</w:t>
      </w:r>
    </w:p>
    <w:p w14:paraId="482497D4" w14:textId="2F5544DC" w:rsidR="000D617F" w:rsidRPr="00710B91" w:rsidRDefault="00462FE9" w:rsidP="0005122E">
      <w:pPr>
        <w:pBdr>
          <w:top w:val="nil"/>
          <w:left w:val="nil"/>
          <w:bottom w:val="nil"/>
          <w:right w:val="nil"/>
          <w:between w:val="nil"/>
          <w:bar w:val="nil"/>
        </w:pBdr>
        <w:spacing w:before="0" w:after="240"/>
        <w:rPr>
          <w:rFonts w:eastAsia="Arial Unicode MS"/>
          <w:noProof/>
        </w:rPr>
      </w:pPr>
      <w:r w:rsidRPr="00710B91">
        <w:rPr>
          <w:noProof/>
        </w:rPr>
        <w:t>Do wniosku dołączono dokument roboczy służb Komisji</w:t>
      </w:r>
      <w:r w:rsidRPr="00710B91">
        <w:rPr>
          <w:rStyle w:val="FootnoteReference"/>
          <w:rFonts w:eastAsia="Arial Unicode MS"/>
          <w:noProof/>
        </w:rPr>
        <w:footnoteReference w:id="16"/>
      </w:r>
      <w:r w:rsidRPr="00710B91">
        <w:rPr>
          <w:noProof/>
        </w:rPr>
        <w:t>,</w:t>
      </w:r>
      <w:r w:rsidR="00710B91" w:rsidRPr="00710B91">
        <w:rPr>
          <w:noProof/>
        </w:rPr>
        <w:t xml:space="preserve"> w</w:t>
      </w:r>
      <w:r w:rsidR="00710B91">
        <w:rPr>
          <w:noProof/>
        </w:rPr>
        <w:t> </w:t>
      </w:r>
      <w:r w:rsidR="00710B91" w:rsidRPr="00710B91">
        <w:rPr>
          <w:noProof/>
        </w:rPr>
        <w:t>któ</w:t>
      </w:r>
      <w:r w:rsidRPr="00710B91">
        <w:rPr>
          <w:noProof/>
        </w:rPr>
        <w:t>rym zawarto szczegółowy opis wniosku</w:t>
      </w:r>
      <w:r w:rsidR="00710B91" w:rsidRPr="00710B91">
        <w:rPr>
          <w:noProof/>
        </w:rPr>
        <w:t xml:space="preserve"> i</w:t>
      </w:r>
      <w:r w:rsidR="00710B91">
        <w:rPr>
          <w:noProof/>
        </w:rPr>
        <w:t> </w:t>
      </w:r>
      <w:r w:rsidR="00710B91" w:rsidRPr="00710B91">
        <w:rPr>
          <w:noProof/>
        </w:rPr>
        <w:t>okr</w:t>
      </w:r>
      <w:r w:rsidRPr="00710B91">
        <w:rPr>
          <w:noProof/>
        </w:rPr>
        <w:t>eślono jego cele. Przeanalizowano</w:t>
      </w:r>
      <w:r w:rsidR="00710B91" w:rsidRPr="00710B91">
        <w:rPr>
          <w:noProof/>
        </w:rPr>
        <w:t xml:space="preserve"> w</w:t>
      </w:r>
      <w:r w:rsidR="00710B91">
        <w:rPr>
          <w:noProof/>
        </w:rPr>
        <w:t> </w:t>
      </w:r>
      <w:r w:rsidR="00710B91" w:rsidRPr="00710B91">
        <w:rPr>
          <w:noProof/>
        </w:rPr>
        <w:t>nim</w:t>
      </w:r>
      <w:r w:rsidRPr="00710B91">
        <w:rPr>
          <w:noProof/>
        </w:rPr>
        <w:t xml:space="preserve"> również zaproponowane rozwiązanie pod względem skuteczności, wskazano korzyści inicjatywy oraz jej potencjalny wpływ na prawa podstawowe. </w:t>
      </w:r>
    </w:p>
    <w:p w14:paraId="7174E681" w14:textId="54C0EEDD" w:rsidR="000D617F" w:rsidRPr="00710B91" w:rsidRDefault="000D617F" w:rsidP="0005122E">
      <w:pPr>
        <w:pBdr>
          <w:top w:val="nil"/>
          <w:left w:val="nil"/>
          <w:bottom w:val="nil"/>
          <w:right w:val="nil"/>
          <w:between w:val="nil"/>
          <w:bar w:val="nil"/>
        </w:pBdr>
        <w:spacing w:before="0" w:after="240"/>
        <w:rPr>
          <w:rFonts w:eastAsia="Arial Unicode MS"/>
          <w:noProof/>
        </w:rPr>
      </w:pPr>
      <w:r w:rsidRPr="00710B91">
        <w:rPr>
          <w:noProof/>
        </w:rPr>
        <w:t>W dokumencie roboczym służb Komisji wyrażono oczekiwanie, że ustanowienie platformy sprawi, że współpraca</w:t>
      </w:r>
      <w:r w:rsidR="00710B91" w:rsidRPr="00710B91">
        <w:rPr>
          <w:noProof/>
        </w:rPr>
        <w:t xml:space="preserve"> w</w:t>
      </w:r>
      <w:r w:rsidR="00710B91">
        <w:rPr>
          <w:noProof/>
        </w:rPr>
        <w:t> </w:t>
      </w:r>
      <w:r w:rsidR="00710B91" w:rsidRPr="00710B91">
        <w:rPr>
          <w:noProof/>
        </w:rPr>
        <w:t>ram</w:t>
      </w:r>
      <w:r w:rsidRPr="00710B91">
        <w:rPr>
          <w:noProof/>
        </w:rPr>
        <w:t>ach zespołów JIT będzie wydajniejsza</w:t>
      </w:r>
      <w:r w:rsidR="00710B91" w:rsidRPr="00710B91">
        <w:rPr>
          <w:noProof/>
        </w:rPr>
        <w:t xml:space="preserve"> i</w:t>
      </w:r>
      <w:r w:rsidR="00710B91">
        <w:rPr>
          <w:noProof/>
        </w:rPr>
        <w:t> </w:t>
      </w:r>
      <w:r w:rsidR="00710B91" w:rsidRPr="00710B91">
        <w:rPr>
          <w:noProof/>
        </w:rPr>
        <w:t>sku</w:t>
      </w:r>
      <w:r w:rsidRPr="00710B91">
        <w:rPr>
          <w:noProof/>
        </w:rPr>
        <w:t>teczniejsza. Wszystkie przyszłe funkcje platformy – poczynając od narzędzi komunikacji, przez mechanizm wymiany danych po wspólne zarządzanie zespołami JIT – mają na celu zaoszczędzenie czasu</w:t>
      </w:r>
      <w:r w:rsidR="00710B91" w:rsidRPr="00710B91">
        <w:rPr>
          <w:noProof/>
        </w:rPr>
        <w:t xml:space="preserve"> i</w:t>
      </w:r>
      <w:r w:rsidR="00710B91">
        <w:rPr>
          <w:noProof/>
        </w:rPr>
        <w:t> </w:t>
      </w:r>
      <w:r w:rsidR="00710B91" w:rsidRPr="00710B91">
        <w:rPr>
          <w:noProof/>
        </w:rPr>
        <w:t>kos</w:t>
      </w:r>
      <w:r w:rsidRPr="00710B91">
        <w:rPr>
          <w:noProof/>
        </w:rPr>
        <w:t>ztów podmiotom zaangażowanym</w:t>
      </w:r>
      <w:r w:rsidR="00710B91" w:rsidRPr="00710B91">
        <w:rPr>
          <w:noProof/>
        </w:rPr>
        <w:t xml:space="preserve"> w</w:t>
      </w:r>
      <w:r w:rsidR="00710B91">
        <w:rPr>
          <w:noProof/>
        </w:rPr>
        <w:t> </w:t>
      </w:r>
      <w:r w:rsidR="00710B91" w:rsidRPr="00710B91">
        <w:rPr>
          <w:noProof/>
        </w:rPr>
        <w:t>pra</w:t>
      </w:r>
      <w:r w:rsidRPr="00710B91">
        <w:rPr>
          <w:noProof/>
        </w:rPr>
        <w:t>cę zespołów. Chociaż korzystanie</w:t>
      </w:r>
      <w:r w:rsidR="00710B91" w:rsidRPr="00710B91">
        <w:rPr>
          <w:noProof/>
        </w:rPr>
        <w:t xml:space="preserve"> z</w:t>
      </w:r>
      <w:r w:rsidR="00710B91">
        <w:rPr>
          <w:noProof/>
        </w:rPr>
        <w:t> </w:t>
      </w:r>
      <w:r w:rsidR="00710B91" w:rsidRPr="00710B91">
        <w:rPr>
          <w:noProof/>
        </w:rPr>
        <w:t>pla</w:t>
      </w:r>
      <w:r w:rsidRPr="00710B91">
        <w:rPr>
          <w:noProof/>
        </w:rPr>
        <w:t>tformy jest</w:t>
      </w:r>
      <w:r w:rsidR="00710B91" w:rsidRPr="00710B91">
        <w:rPr>
          <w:noProof/>
        </w:rPr>
        <w:t xml:space="preserve"> z</w:t>
      </w:r>
      <w:r w:rsidR="00710B91">
        <w:rPr>
          <w:noProof/>
        </w:rPr>
        <w:t> </w:t>
      </w:r>
      <w:r w:rsidR="00710B91" w:rsidRPr="00710B91">
        <w:rPr>
          <w:noProof/>
        </w:rPr>
        <w:t>zał</w:t>
      </w:r>
      <w:r w:rsidRPr="00710B91">
        <w:rPr>
          <w:noProof/>
        </w:rPr>
        <w:t>ożenia dobrowolne, oczekuje się, że praktycy szybko dostrzegą jej wartość dodaną</w:t>
      </w:r>
      <w:r w:rsidR="00710B91" w:rsidRPr="00710B91">
        <w:rPr>
          <w:noProof/>
        </w:rPr>
        <w:t xml:space="preserve"> i</w:t>
      </w:r>
      <w:r w:rsidR="00710B91">
        <w:rPr>
          <w:noProof/>
        </w:rPr>
        <w:t> </w:t>
      </w:r>
      <w:r w:rsidR="00710B91" w:rsidRPr="00710B91">
        <w:rPr>
          <w:noProof/>
        </w:rPr>
        <w:t>będ</w:t>
      </w:r>
      <w:r w:rsidRPr="00710B91">
        <w:rPr>
          <w:noProof/>
        </w:rPr>
        <w:t>ą jej systematycznie używać</w:t>
      </w:r>
      <w:r w:rsidR="00710B91" w:rsidRPr="00710B91">
        <w:rPr>
          <w:noProof/>
        </w:rPr>
        <w:t xml:space="preserve"> w</w:t>
      </w:r>
      <w:r w:rsidR="00710B91">
        <w:rPr>
          <w:noProof/>
        </w:rPr>
        <w:t> </w:t>
      </w:r>
      <w:r w:rsidR="00710B91" w:rsidRPr="00710B91">
        <w:rPr>
          <w:noProof/>
        </w:rPr>
        <w:t>pra</w:t>
      </w:r>
      <w:r w:rsidRPr="00710B91">
        <w:rPr>
          <w:noProof/>
        </w:rPr>
        <w:t>cy nad transgranicznymi sprawami. Platforma pozwoliłaby na przyspieszenie przepływu informacji między jej użytkownikami, zwiększenie bezpieczeństwa wymienianym danych oraz poprawę przejrzystości. Co więcej, należy się spodziewać wpływu na uproszczenie</w:t>
      </w:r>
      <w:r w:rsidR="00710B91" w:rsidRPr="00710B91">
        <w:rPr>
          <w:noProof/>
        </w:rPr>
        <w:t xml:space="preserve"> i</w:t>
      </w:r>
      <w:r w:rsidR="00710B91">
        <w:rPr>
          <w:noProof/>
        </w:rPr>
        <w:t> </w:t>
      </w:r>
      <w:r w:rsidR="00710B91" w:rsidRPr="00710B91">
        <w:rPr>
          <w:noProof/>
        </w:rPr>
        <w:t>obc</w:t>
      </w:r>
      <w:r w:rsidRPr="00710B91">
        <w:rPr>
          <w:noProof/>
        </w:rPr>
        <w:t>iążenia administracyjne</w:t>
      </w:r>
      <w:r w:rsidR="00710B91" w:rsidRPr="00710B91">
        <w:rPr>
          <w:noProof/>
        </w:rPr>
        <w:t>. W</w:t>
      </w:r>
      <w:r w:rsidR="00710B91">
        <w:rPr>
          <w:noProof/>
        </w:rPr>
        <w:t> </w:t>
      </w:r>
      <w:r w:rsidR="00710B91" w:rsidRPr="00710B91">
        <w:rPr>
          <w:noProof/>
        </w:rPr>
        <w:t>rez</w:t>
      </w:r>
      <w:r w:rsidRPr="00710B91">
        <w:rPr>
          <w:noProof/>
        </w:rPr>
        <w:t>ultacie wydajniejsze funkcjonowanie zespołów JIT poprawiłoby ogólną współpracę między państwami członkowskimi</w:t>
      </w:r>
      <w:r w:rsidR="00710B91" w:rsidRPr="00710B91">
        <w:rPr>
          <w:noProof/>
        </w:rPr>
        <w:t xml:space="preserve"> w</w:t>
      </w:r>
      <w:r w:rsidR="00710B91">
        <w:rPr>
          <w:noProof/>
        </w:rPr>
        <w:t> </w:t>
      </w:r>
      <w:r w:rsidR="00710B91" w:rsidRPr="00710B91">
        <w:rPr>
          <w:noProof/>
        </w:rPr>
        <w:t>zak</w:t>
      </w:r>
      <w:r w:rsidRPr="00710B91">
        <w:rPr>
          <w:noProof/>
        </w:rPr>
        <w:t>resie dochodzeń</w:t>
      </w:r>
      <w:r w:rsidR="00710B91" w:rsidRPr="00710B91">
        <w:rPr>
          <w:noProof/>
        </w:rPr>
        <w:t xml:space="preserve"> i</w:t>
      </w:r>
      <w:r w:rsidR="00710B91">
        <w:rPr>
          <w:noProof/>
        </w:rPr>
        <w:t> </w:t>
      </w:r>
      <w:r w:rsidR="00710B91" w:rsidRPr="00710B91">
        <w:rPr>
          <w:noProof/>
        </w:rPr>
        <w:t>ści</w:t>
      </w:r>
      <w:r w:rsidRPr="00710B91">
        <w:rPr>
          <w:noProof/>
        </w:rPr>
        <w:t>gania</w:t>
      </w:r>
      <w:r w:rsidR="00710B91" w:rsidRPr="00710B91">
        <w:rPr>
          <w:noProof/>
        </w:rPr>
        <w:t xml:space="preserve"> w</w:t>
      </w:r>
      <w:r w:rsidR="00710B91">
        <w:rPr>
          <w:noProof/>
        </w:rPr>
        <w:t> </w:t>
      </w:r>
      <w:r w:rsidR="00710B91" w:rsidRPr="00710B91">
        <w:rPr>
          <w:noProof/>
        </w:rPr>
        <w:t>spr</w:t>
      </w:r>
      <w:r w:rsidRPr="00710B91">
        <w:rPr>
          <w:noProof/>
        </w:rPr>
        <w:t>awach związanych</w:t>
      </w:r>
      <w:r w:rsidR="00710B91" w:rsidRPr="00710B91">
        <w:rPr>
          <w:noProof/>
        </w:rPr>
        <w:t xml:space="preserve"> z</w:t>
      </w:r>
      <w:r w:rsidR="00710B91">
        <w:rPr>
          <w:noProof/>
        </w:rPr>
        <w:t> </w:t>
      </w:r>
      <w:r w:rsidR="00710B91" w:rsidRPr="00710B91">
        <w:rPr>
          <w:noProof/>
        </w:rPr>
        <w:t>prz</w:t>
      </w:r>
      <w:r w:rsidRPr="00710B91">
        <w:rPr>
          <w:noProof/>
        </w:rPr>
        <w:t>estępczością transgraniczną.</w:t>
      </w:r>
    </w:p>
    <w:p w14:paraId="207EB1DC" w14:textId="77777777" w:rsidR="00920E47" w:rsidRPr="00710B91" w:rsidRDefault="00920E47" w:rsidP="009D79B9">
      <w:pPr>
        <w:pStyle w:val="Bullet0"/>
        <w:tabs>
          <w:tab w:val="clear" w:pos="850"/>
          <w:tab w:val="num" w:pos="567"/>
        </w:tabs>
        <w:rPr>
          <w:b/>
          <w:noProof/>
        </w:rPr>
      </w:pPr>
      <w:r w:rsidRPr="00710B91">
        <w:rPr>
          <w:b/>
          <w:noProof/>
        </w:rPr>
        <w:t>Prawa podstawowe</w:t>
      </w:r>
    </w:p>
    <w:p w14:paraId="3779FD58" w14:textId="19992624" w:rsidR="00920E47" w:rsidRPr="00710B91" w:rsidRDefault="00920E47" w:rsidP="00FF717F">
      <w:pPr>
        <w:rPr>
          <w:noProof/>
        </w:rPr>
      </w:pPr>
      <w:r w:rsidRPr="00710B91">
        <w:rPr>
          <w:noProof/>
        </w:rPr>
        <w:t>Nie oczekuje się żadnego poważnego wpływu na prawa podstawowe, ponieważ nie byłoby zmian</w:t>
      </w:r>
      <w:r w:rsidR="00710B91" w:rsidRPr="00710B91">
        <w:rPr>
          <w:noProof/>
        </w:rPr>
        <w:t xml:space="preserve"> w</w:t>
      </w:r>
      <w:r w:rsidR="00710B91">
        <w:rPr>
          <w:noProof/>
        </w:rPr>
        <w:t> </w:t>
      </w:r>
      <w:r w:rsidR="00710B91" w:rsidRPr="00710B91">
        <w:rPr>
          <w:noProof/>
        </w:rPr>
        <w:t>ram</w:t>
      </w:r>
      <w:r w:rsidRPr="00710B91">
        <w:rPr>
          <w:noProof/>
        </w:rPr>
        <w:t>ach prawnych wymiany informacji</w:t>
      </w:r>
      <w:r w:rsidR="00710B91" w:rsidRPr="00710B91">
        <w:rPr>
          <w:noProof/>
        </w:rPr>
        <w:t xml:space="preserve"> i</w:t>
      </w:r>
      <w:r w:rsidR="00710B91">
        <w:rPr>
          <w:noProof/>
        </w:rPr>
        <w:t> </w:t>
      </w:r>
      <w:r w:rsidR="00710B91" w:rsidRPr="00710B91">
        <w:rPr>
          <w:noProof/>
        </w:rPr>
        <w:t>dow</w:t>
      </w:r>
      <w:r w:rsidRPr="00710B91">
        <w:rPr>
          <w:noProof/>
        </w:rPr>
        <w:t>odów</w:t>
      </w:r>
      <w:r w:rsidR="00710B91" w:rsidRPr="00710B91">
        <w:rPr>
          <w:noProof/>
        </w:rPr>
        <w:t xml:space="preserve"> w</w:t>
      </w:r>
      <w:r w:rsidR="00710B91">
        <w:rPr>
          <w:noProof/>
        </w:rPr>
        <w:t> </w:t>
      </w:r>
      <w:r w:rsidR="00710B91" w:rsidRPr="00710B91">
        <w:rPr>
          <w:noProof/>
        </w:rPr>
        <w:t>obr</w:t>
      </w:r>
      <w:r w:rsidRPr="00710B91">
        <w:rPr>
          <w:noProof/>
        </w:rPr>
        <w:t>ębie zespołu JIT. Jak szczegółowo wyjaśniono poniżej, proponowane rozwiązanie będzie jednak zgodne</w:t>
      </w:r>
      <w:r w:rsidR="00710B91" w:rsidRPr="00710B91">
        <w:rPr>
          <w:noProof/>
        </w:rPr>
        <w:t xml:space="preserve"> z</w:t>
      </w:r>
      <w:r w:rsidR="00710B91">
        <w:rPr>
          <w:noProof/>
        </w:rPr>
        <w:t> </w:t>
      </w:r>
      <w:r w:rsidR="00710B91" w:rsidRPr="00710B91">
        <w:rPr>
          <w:noProof/>
        </w:rPr>
        <w:t>pra</w:t>
      </w:r>
      <w:r w:rsidRPr="00710B91">
        <w:rPr>
          <w:noProof/>
        </w:rPr>
        <w:t>wami podstawowymi</w:t>
      </w:r>
      <w:r w:rsidR="00710B91" w:rsidRPr="00710B91">
        <w:rPr>
          <w:noProof/>
        </w:rPr>
        <w:t xml:space="preserve"> i</w:t>
      </w:r>
      <w:r w:rsidR="00710B91">
        <w:rPr>
          <w:noProof/>
        </w:rPr>
        <w:t> </w:t>
      </w:r>
      <w:r w:rsidR="00710B91" w:rsidRPr="00710B91">
        <w:rPr>
          <w:noProof/>
        </w:rPr>
        <w:t>wol</w:t>
      </w:r>
      <w:r w:rsidRPr="00710B91">
        <w:rPr>
          <w:noProof/>
        </w:rPr>
        <w:t>nościami określonymi</w:t>
      </w:r>
      <w:r w:rsidR="00710B91" w:rsidRPr="00710B91">
        <w:rPr>
          <w:noProof/>
        </w:rPr>
        <w:t xml:space="preserve"> w</w:t>
      </w:r>
      <w:r w:rsidR="00710B91">
        <w:rPr>
          <w:noProof/>
        </w:rPr>
        <w:t> </w:t>
      </w:r>
      <w:r w:rsidR="00710B91" w:rsidRPr="00710B91">
        <w:rPr>
          <w:noProof/>
        </w:rPr>
        <w:t>szc</w:t>
      </w:r>
      <w:r w:rsidRPr="00710B91">
        <w:rPr>
          <w:noProof/>
        </w:rPr>
        <w:t>zególności</w:t>
      </w:r>
      <w:r w:rsidR="00710B91" w:rsidRPr="00710B91">
        <w:rPr>
          <w:noProof/>
        </w:rPr>
        <w:t xml:space="preserve"> w</w:t>
      </w:r>
      <w:r w:rsidR="00710B91">
        <w:rPr>
          <w:noProof/>
        </w:rPr>
        <w:t> </w:t>
      </w:r>
      <w:r w:rsidR="00710B91" w:rsidRPr="00710B91">
        <w:rPr>
          <w:noProof/>
        </w:rPr>
        <w:t>Kar</w:t>
      </w:r>
      <w:r w:rsidRPr="00710B91">
        <w:rPr>
          <w:noProof/>
        </w:rPr>
        <w:t>cie praw podstawowych Unii Europejskiej</w:t>
      </w:r>
      <w:r w:rsidRPr="00710B91">
        <w:rPr>
          <w:rStyle w:val="FootnoteReference"/>
          <w:noProof/>
        </w:rPr>
        <w:footnoteReference w:id="17"/>
      </w:r>
      <w:r w:rsidRPr="00710B91">
        <w:rPr>
          <w:noProof/>
        </w:rPr>
        <w:t>,</w:t>
      </w:r>
      <w:r w:rsidR="00710B91" w:rsidRPr="00710B91">
        <w:rPr>
          <w:noProof/>
        </w:rPr>
        <w:t xml:space="preserve"> w</w:t>
      </w:r>
      <w:r w:rsidR="00710B91">
        <w:rPr>
          <w:noProof/>
        </w:rPr>
        <w:t> </w:t>
      </w:r>
      <w:r w:rsidR="00710B91" w:rsidRPr="00710B91">
        <w:rPr>
          <w:noProof/>
        </w:rPr>
        <w:t>tym z</w:t>
      </w:r>
      <w:r w:rsidR="00710B91">
        <w:rPr>
          <w:noProof/>
        </w:rPr>
        <w:t> </w:t>
      </w:r>
      <w:r w:rsidR="00710B91" w:rsidRPr="00710B91">
        <w:rPr>
          <w:noProof/>
        </w:rPr>
        <w:t>pra</w:t>
      </w:r>
      <w:r w:rsidRPr="00710B91">
        <w:rPr>
          <w:noProof/>
        </w:rPr>
        <w:t>wem do ochrony danych osobowych</w:t>
      </w:r>
      <w:r w:rsidR="00710B91" w:rsidRPr="00710B91">
        <w:rPr>
          <w:noProof/>
        </w:rPr>
        <w:t>. W</w:t>
      </w:r>
      <w:r w:rsidR="00710B91">
        <w:rPr>
          <w:noProof/>
        </w:rPr>
        <w:t> </w:t>
      </w:r>
      <w:r w:rsidR="00710B91" w:rsidRPr="00710B91">
        <w:rPr>
          <w:noProof/>
        </w:rPr>
        <w:t>tym</w:t>
      </w:r>
      <w:r w:rsidRPr="00710B91">
        <w:rPr>
          <w:noProof/>
        </w:rPr>
        <w:t xml:space="preserve"> kontekście będzie ono także zgodne</w:t>
      </w:r>
      <w:r w:rsidR="00710B91" w:rsidRPr="00710B91">
        <w:rPr>
          <w:noProof/>
        </w:rPr>
        <w:t xml:space="preserve"> z</w:t>
      </w:r>
      <w:r w:rsidR="00710B91">
        <w:rPr>
          <w:noProof/>
        </w:rPr>
        <w:t> </w:t>
      </w:r>
      <w:r w:rsidR="00710B91" w:rsidRPr="00710B91">
        <w:rPr>
          <w:noProof/>
        </w:rPr>
        <w:t>eur</w:t>
      </w:r>
      <w:r w:rsidRPr="00710B91">
        <w:rPr>
          <w:noProof/>
        </w:rPr>
        <w:t>opejską Konwencją</w:t>
      </w:r>
      <w:r w:rsidR="00710B91" w:rsidRPr="00710B91">
        <w:rPr>
          <w:noProof/>
        </w:rPr>
        <w:t xml:space="preserve"> o</w:t>
      </w:r>
      <w:r w:rsidR="00710B91">
        <w:rPr>
          <w:noProof/>
        </w:rPr>
        <w:t> </w:t>
      </w:r>
      <w:r w:rsidR="00710B91" w:rsidRPr="00710B91">
        <w:rPr>
          <w:noProof/>
        </w:rPr>
        <w:t>och</w:t>
      </w:r>
      <w:r w:rsidRPr="00710B91">
        <w:rPr>
          <w:noProof/>
        </w:rPr>
        <w:t>ronie praw człowieka</w:t>
      </w:r>
      <w:r w:rsidR="00710B91" w:rsidRPr="00710B91">
        <w:rPr>
          <w:noProof/>
        </w:rPr>
        <w:t xml:space="preserve"> i</w:t>
      </w:r>
      <w:r w:rsidR="00710B91">
        <w:rPr>
          <w:noProof/>
        </w:rPr>
        <w:t> </w:t>
      </w:r>
      <w:r w:rsidR="00710B91" w:rsidRPr="00710B91">
        <w:rPr>
          <w:noProof/>
        </w:rPr>
        <w:t>pod</w:t>
      </w:r>
      <w:r w:rsidRPr="00710B91">
        <w:rPr>
          <w:noProof/>
        </w:rPr>
        <w:t>stawowych wolności, Międzynarodowym paktem praw obywatelskich</w:t>
      </w:r>
      <w:r w:rsidR="00710B91" w:rsidRPr="00710B91">
        <w:rPr>
          <w:noProof/>
        </w:rPr>
        <w:t xml:space="preserve"> i</w:t>
      </w:r>
      <w:r w:rsidR="00710B91">
        <w:rPr>
          <w:noProof/>
        </w:rPr>
        <w:t> </w:t>
      </w:r>
      <w:r w:rsidR="00710B91" w:rsidRPr="00710B91">
        <w:rPr>
          <w:noProof/>
        </w:rPr>
        <w:t>pol</w:t>
      </w:r>
      <w:r w:rsidRPr="00710B91">
        <w:rPr>
          <w:noProof/>
        </w:rPr>
        <w:t>itycznych oraz innymi zobowiązaniami</w:t>
      </w:r>
      <w:r w:rsidR="00710B91" w:rsidRPr="00710B91">
        <w:rPr>
          <w:noProof/>
        </w:rPr>
        <w:t xml:space="preserve"> w</w:t>
      </w:r>
      <w:r w:rsidR="00710B91">
        <w:rPr>
          <w:noProof/>
        </w:rPr>
        <w:t> </w:t>
      </w:r>
      <w:r w:rsidR="00710B91" w:rsidRPr="00710B91">
        <w:rPr>
          <w:noProof/>
        </w:rPr>
        <w:t>zak</w:t>
      </w:r>
      <w:r w:rsidRPr="00710B91">
        <w:rPr>
          <w:noProof/>
        </w:rPr>
        <w:t>resie praw człowieka wynikającymi</w:t>
      </w:r>
      <w:r w:rsidR="00710B91" w:rsidRPr="00710B91">
        <w:rPr>
          <w:noProof/>
        </w:rPr>
        <w:t xml:space="preserve"> z</w:t>
      </w:r>
      <w:r w:rsidR="00710B91">
        <w:rPr>
          <w:noProof/>
        </w:rPr>
        <w:t> </w:t>
      </w:r>
      <w:r w:rsidR="00710B91" w:rsidRPr="00710B91">
        <w:rPr>
          <w:noProof/>
        </w:rPr>
        <w:t>pra</w:t>
      </w:r>
      <w:r w:rsidRPr="00710B91">
        <w:rPr>
          <w:noProof/>
        </w:rPr>
        <w:t>wa międzynarodowego.</w:t>
      </w:r>
    </w:p>
    <w:p w14:paraId="5DF8EA31" w14:textId="446C97E4" w:rsidR="00920E47" w:rsidRPr="00710B91" w:rsidRDefault="00920E47" w:rsidP="00FF717F">
      <w:pPr>
        <w:rPr>
          <w:noProof/>
        </w:rPr>
      </w:pPr>
      <w:r w:rsidRPr="00710B91">
        <w:rPr>
          <w:noProof/>
        </w:rPr>
        <w:t>Ponieważ ustanowienie platformy na poziomie unijnym wiązałoby się</w:t>
      </w:r>
      <w:r w:rsidR="00710B91" w:rsidRPr="00710B91">
        <w:rPr>
          <w:noProof/>
        </w:rPr>
        <w:t xml:space="preserve"> z</w:t>
      </w:r>
      <w:r w:rsidR="00710B91">
        <w:rPr>
          <w:noProof/>
        </w:rPr>
        <w:t> </w:t>
      </w:r>
      <w:r w:rsidR="00710B91" w:rsidRPr="00710B91">
        <w:rPr>
          <w:noProof/>
        </w:rPr>
        <w:t>prz</w:t>
      </w:r>
      <w:r w:rsidRPr="00710B91">
        <w:rPr>
          <w:noProof/>
        </w:rPr>
        <w:t>etwarzaniem danych osobowych, musiałyby zostać wdrożone odpowiednie zabezpieczenia służące ochronie danych. Platforma byłaby</w:t>
      </w:r>
      <w:r w:rsidR="00710B91" w:rsidRPr="00710B91">
        <w:rPr>
          <w:noProof/>
        </w:rPr>
        <w:t xml:space="preserve"> w</w:t>
      </w:r>
      <w:r w:rsidR="00710B91">
        <w:rPr>
          <w:noProof/>
        </w:rPr>
        <w:t> </w:t>
      </w:r>
      <w:r w:rsidR="00710B91" w:rsidRPr="00710B91">
        <w:rPr>
          <w:noProof/>
        </w:rPr>
        <w:t>peł</w:t>
      </w:r>
      <w:r w:rsidRPr="00710B91">
        <w:rPr>
          <w:noProof/>
        </w:rPr>
        <w:t>ni zgodna</w:t>
      </w:r>
      <w:r w:rsidR="00710B91" w:rsidRPr="00710B91">
        <w:rPr>
          <w:noProof/>
        </w:rPr>
        <w:t xml:space="preserve"> z</w:t>
      </w:r>
      <w:r w:rsidR="00710B91">
        <w:rPr>
          <w:noProof/>
        </w:rPr>
        <w:t> </w:t>
      </w:r>
      <w:r w:rsidR="00710B91" w:rsidRPr="00710B91">
        <w:rPr>
          <w:noProof/>
        </w:rPr>
        <w:t>uni</w:t>
      </w:r>
      <w:r w:rsidRPr="00710B91">
        <w:rPr>
          <w:noProof/>
        </w:rPr>
        <w:t>jnymi przepisami</w:t>
      </w:r>
      <w:r w:rsidR="00710B91" w:rsidRPr="00710B91">
        <w:rPr>
          <w:noProof/>
        </w:rPr>
        <w:t xml:space="preserve"> o</w:t>
      </w:r>
      <w:r w:rsidR="00710B91">
        <w:rPr>
          <w:noProof/>
        </w:rPr>
        <w:t> </w:t>
      </w:r>
      <w:r w:rsidR="00710B91" w:rsidRPr="00710B91">
        <w:rPr>
          <w:noProof/>
        </w:rPr>
        <w:t>och</w:t>
      </w:r>
      <w:r w:rsidRPr="00710B91">
        <w:rPr>
          <w:noProof/>
        </w:rPr>
        <w:t>ronie danych</w:t>
      </w:r>
      <w:r w:rsidR="00710B91" w:rsidRPr="00710B91">
        <w:rPr>
          <w:noProof/>
        </w:rPr>
        <w:t xml:space="preserve"> w</w:t>
      </w:r>
      <w:r w:rsidR="00710B91">
        <w:rPr>
          <w:noProof/>
        </w:rPr>
        <w:t> </w:t>
      </w:r>
      <w:r w:rsidR="00710B91" w:rsidRPr="00710B91">
        <w:rPr>
          <w:noProof/>
        </w:rPr>
        <w:t>zak</w:t>
      </w:r>
      <w:r w:rsidRPr="00710B91">
        <w:rPr>
          <w:noProof/>
        </w:rPr>
        <w:t>resie zgodności</w:t>
      </w:r>
      <w:r w:rsidR="00710B91" w:rsidRPr="00710B91">
        <w:rPr>
          <w:noProof/>
        </w:rPr>
        <w:t xml:space="preserve"> z</w:t>
      </w:r>
      <w:r w:rsidR="00710B91">
        <w:rPr>
          <w:noProof/>
        </w:rPr>
        <w:t> </w:t>
      </w:r>
      <w:r w:rsidR="00710B91" w:rsidRPr="00710B91">
        <w:rPr>
          <w:noProof/>
        </w:rPr>
        <w:t>pra</w:t>
      </w:r>
      <w:r w:rsidRPr="00710B91">
        <w:rPr>
          <w:noProof/>
        </w:rPr>
        <w:t>wem wymiany informacji</w:t>
      </w:r>
      <w:r w:rsidR="00710B91" w:rsidRPr="00710B91">
        <w:rPr>
          <w:noProof/>
        </w:rPr>
        <w:t xml:space="preserve"> i</w:t>
      </w:r>
      <w:r w:rsidR="00710B91">
        <w:rPr>
          <w:noProof/>
        </w:rPr>
        <w:t> </w:t>
      </w:r>
      <w:r w:rsidR="00710B91" w:rsidRPr="00710B91">
        <w:rPr>
          <w:noProof/>
        </w:rPr>
        <w:t>dow</w:t>
      </w:r>
      <w:r w:rsidRPr="00710B91">
        <w:rPr>
          <w:noProof/>
        </w:rPr>
        <w:t>odów. Dyrektywa Parlamentu Europejskiego</w:t>
      </w:r>
      <w:r w:rsidR="00710B91" w:rsidRPr="00710B91">
        <w:rPr>
          <w:noProof/>
        </w:rPr>
        <w:t xml:space="preserve"> i</w:t>
      </w:r>
      <w:r w:rsidR="00710B91">
        <w:rPr>
          <w:noProof/>
        </w:rPr>
        <w:t> </w:t>
      </w:r>
      <w:r w:rsidR="00710B91" w:rsidRPr="00710B91">
        <w:rPr>
          <w:noProof/>
        </w:rPr>
        <w:t>Rad</w:t>
      </w:r>
      <w:r w:rsidRPr="00710B91">
        <w:rPr>
          <w:noProof/>
        </w:rPr>
        <w:t>y (UE) 2016/680 miałaby zastosowanie do przetwarzania danych osobowych przez właściwe organy krajowe do celów zapobiegania przestępczości, prowadzenia dochodzeń, wykrywania</w:t>
      </w:r>
      <w:r w:rsidR="00710B91" w:rsidRPr="00710B91">
        <w:rPr>
          <w:noProof/>
        </w:rPr>
        <w:t xml:space="preserve"> i</w:t>
      </w:r>
      <w:r w:rsidR="00710B91">
        <w:rPr>
          <w:noProof/>
        </w:rPr>
        <w:t> </w:t>
      </w:r>
      <w:r w:rsidR="00710B91" w:rsidRPr="00710B91">
        <w:rPr>
          <w:noProof/>
        </w:rPr>
        <w:t>ści</w:t>
      </w:r>
      <w:r w:rsidRPr="00710B91">
        <w:rPr>
          <w:noProof/>
        </w:rPr>
        <w:t>gania przestępstw lub wykonywania kar,</w:t>
      </w:r>
      <w:r w:rsidR="00710B91" w:rsidRPr="00710B91">
        <w:rPr>
          <w:noProof/>
        </w:rPr>
        <w:t xml:space="preserve"> w</w:t>
      </w:r>
      <w:r w:rsidR="00710B91">
        <w:rPr>
          <w:noProof/>
        </w:rPr>
        <w:t> </w:t>
      </w:r>
      <w:r w:rsidR="00710B91" w:rsidRPr="00710B91">
        <w:rPr>
          <w:noProof/>
        </w:rPr>
        <w:t>tym</w:t>
      </w:r>
      <w:r w:rsidRPr="00710B91">
        <w:rPr>
          <w:noProof/>
        </w:rPr>
        <w:t xml:space="preserve"> ochrony przed zagrożeniami dla bezpieczeństwa publicznego</w:t>
      </w:r>
      <w:r w:rsidR="00710B91" w:rsidRPr="00710B91">
        <w:rPr>
          <w:noProof/>
        </w:rPr>
        <w:t xml:space="preserve"> i</w:t>
      </w:r>
      <w:r w:rsidR="00710B91">
        <w:rPr>
          <w:noProof/>
        </w:rPr>
        <w:t> </w:t>
      </w:r>
      <w:r w:rsidR="00710B91" w:rsidRPr="00710B91">
        <w:rPr>
          <w:noProof/>
        </w:rPr>
        <w:t>zap</w:t>
      </w:r>
      <w:r w:rsidRPr="00710B91">
        <w:rPr>
          <w:noProof/>
        </w:rPr>
        <w:t>obiegania takim zagrożeniom. Zastosowanie miałoby również rozporządzenie Parlamentu Europejskiego</w:t>
      </w:r>
      <w:r w:rsidR="00710B91" w:rsidRPr="00710B91">
        <w:rPr>
          <w:noProof/>
        </w:rPr>
        <w:t xml:space="preserve"> i</w:t>
      </w:r>
      <w:r w:rsidR="00710B91">
        <w:rPr>
          <w:noProof/>
        </w:rPr>
        <w:t> </w:t>
      </w:r>
      <w:r w:rsidR="00710B91" w:rsidRPr="00710B91">
        <w:rPr>
          <w:noProof/>
        </w:rPr>
        <w:t>Rad</w:t>
      </w:r>
      <w:r w:rsidRPr="00710B91">
        <w:rPr>
          <w:noProof/>
        </w:rPr>
        <w:t>y (UE) 2018/1725</w:t>
      </w:r>
      <w:r w:rsidR="00710B91" w:rsidRPr="00710B91">
        <w:rPr>
          <w:noProof/>
        </w:rPr>
        <w:t xml:space="preserve"> z</w:t>
      </w:r>
      <w:r w:rsidR="00710B91">
        <w:rPr>
          <w:noProof/>
        </w:rPr>
        <w:t> </w:t>
      </w:r>
      <w:r w:rsidR="00710B91" w:rsidRPr="00710B91">
        <w:rPr>
          <w:noProof/>
        </w:rPr>
        <w:t>dni</w:t>
      </w:r>
      <w:r w:rsidRPr="00710B91">
        <w:rPr>
          <w:noProof/>
        </w:rPr>
        <w:t>a 23 października 2018</w:t>
      </w:r>
      <w:r w:rsidR="00710B91" w:rsidRPr="00710B91">
        <w:rPr>
          <w:noProof/>
        </w:rPr>
        <w:t> </w:t>
      </w:r>
      <w:r w:rsidRPr="00710B91">
        <w:rPr>
          <w:noProof/>
        </w:rPr>
        <w:t>r.</w:t>
      </w:r>
      <w:r w:rsidR="00710B91" w:rsidRPr="00710B91">
        <w:rPr>
          <w:noProof/>
        </w:rPr>
        <w:t xml:space="preserve"> w</w:t>
      </w:r>
      <w:r w:rsidR="00710B91">
        <w:rPr>
          <w:noProof/>
        </w:rPr>
        <w:t> </w:t>
      </w:r>
      <w:r w:rsidR="00710B91" w:rsidRPr="00710B91">
        <w:rPr>
          <w:noProof/>
        </w:rPr>
        <w:t>spr</w:t>
      </w:r>
      <w:r w:rsidRPr="00710B91">
        <w:rPr>
          <w:noProof/>
        </w:rPr>
        <w:t>awie ochrony osób fizycznych</w:t>
      </w:r>
      <w:r w:rsidR="00710B91" w:rsidRPr="00710B91">
        <w:rPr>
          <w:noProof/>
        </w:rPr>
        <w:t xml:space="preserve"> w</w:t>
      </w:r>
      <w:r w:rsidR="00710B91">
        <w:rPr>
          <w:noProof/>
        </w:rPr>
        <w:t> </w:t>
      </w:r>
      <w:r w:rsidR="00710B91" w:rsidRPr="00710B91">
        <w:rPr>
          <w:noProof/>
        </w:rPr>
        <w:t>zwi</w:t>
      </w:r>
      <w:r w:rsidRPr="00710B91">
        <w:rPr>
          <w:noProof/>
        </w:rPr>
        <w:t>ązku</w:t>
      </w:r>
      <w:r w:rsidR="00710B91" w:rsidRPr="00710B91">
        <w:rPr>
          <w:noProof/>
        </w:rPr>
        <w:t xml:space="preserve"> z</w:t>
      </w:r>
      <w:r w:rsidR="00710B91">
        <w:rPr>
          <w:noProof/>
        </w:rPr>
        <w:t> </w:t>
      </w:r>
      <w:r w:rsidR="00710B91" w:rsidRPr="00710B91">
        <w:rPr>
          <w:noProof/>
        </w:rPr>
        <w:t>prz</w:t>
      </w:r>
      <w:r w:rsidRPr="00710B91">
        <w:rPr>
          <w:noProof/>
        </w:rPr>
        <w:t>etwarzaniem danych osobowych przez instytucje, organy</w:t>
      </w:r>
      <w:r w:rsidR="00710B91" w:rsidRPr="00710B91">
        <w:rPr>
          <w:noProof/>
        </w:rPr>
        <w:t xml:space="preserve"> i</w:t>
      </w:r>
      <w:r w:rsidR="00710B91">
        <w:rPr>
          <w:noProof/>
        </w:rPr>
        <w:t> </w:t>
      </w:r>
      <w:r w:rsidR="00710B91" w:rsidRPr="00710B91">
        <w:rPr>
          <w:noProof/>
        </w:rPr>
        <w:t>jed</w:t>
      </w:r>
      <w:r w:rsidRPr="00710B91">
        <w:rPr>
          <w:noProof/>
        </w:rPr>
        <w:t>nostki organizacyjne Unii</w:t>
      </w:r>
      <w:r w:rsidR="00710B91" w:rsidRPr="00710B91">
        <w:rPr>
          <w:noProof/>
        </w:rPr>
        <w:t xml:space="preserve"> i</w:t>
      </w:r>
      <w:r w:rsidR="00710B91">
        <w:rPr>
          <w:noProof/>
        </w:rPr>
        <w:t> </w:t>
      </w:r>
      <w:r w:rsidR="00710B91" w:rsidRPr="00710B91">
        <w:rPr>
          <w:noProof/>
        </w:rPr>
        <w:t>swo</w:t>
      </w:r>
      <w:r w:rsidRPr="00710B91">
        <w:rPr>
          <w:noProof/>
        </w:rPr>
        <w:t>bodnego przepływu takich danych. Te zabezpieczenia prawne musiałyby iść</w:t>
      </w:r>
      <w:r w:rsidR="00710B91" w:rsidRPr="00710B91">
        <w:rPr>
          <w:noProof/>
        </w:rPr>
        <w:t xml:space="preserve"> w</w:t>
      </w:r>
      <w:r w:rsidR="00710B91">
        <w:rPr>
          <w:noProof/>
        </w:rPr>
        <w:t> </w:t>
      </w:r>
      <w:r w:rsidR="00710B91" w:rsidRPr="00710B91">
        <w:rPr>
          <w:noProof/>
        </w:rPr>
        <w:t>par</w:t>
      </w:r>
      <w:r w:rsidRPr="00710B91">
        <w:rPr>
          <w:noProof/>
        </w:rPr>
        <w:t>ze</w:t>
      </w:r>
      <w:r w:rsidR="00710B91" w:rsidRPr="00710B91">
        <w:rPr>
          <w:noProof/>
        </w:rPr>
        <w:t xml:space="preserve"> z</w:t>
      </w:r>
      <w:r w:rsidR="00710B91">
        <w:rPr>
          <w:noProof/>
        </w:rPr>
        <w:t> </w:t>
      </w:r>
      <w:r w:rsidR="00710B91" w:rsidRPr="00710B91">
        <w:rPr>
          <w:noProof/>
        </w:rPr>
        <w:t>dos</w:t>
      </w:r>
      <w:r w:rsidRPr="00710B91">
        <w:rPr>
          <w:noProof/>
        </w:rPr>
        <w:t>tosowaniem podejścia do ochrony danych</w:t>
      </w:r>
      <w:r w:rsidR="00710B91" w:rsidRPr="00710B91">
        <w:rPr>
          <w:noProof/>
        </w:rPr>
        <w:t xml:space="preserve"> w</w:t>
      </w:r>
      <w:r w:rsidR="00710B91">
        <w:rPr>
          <w:noProof/>
        </w:rPr>
        <w:t> </w:t>
      </w:r>
      <w:r w:rsidR="00710B91" w:rsidRPr="00710B91">
        <w:rPr>
          <w:noProof/>
        </w:rPr>
        <w:t>ram</w:t>
      </w:r>
      <w:r w:rsidRPr="00710B91">
        <w:rPr>
          <w:noProof/>
        </w:rPr>
        <w:t>ach zespołów JIT do obecnych przepisów</w:t>
      </w:r>
      <w:r w:rsidR="00710B91" w:rsidRPr="00710B91">
        <w:rPr>
          <w:noProof/>
        </w:rPr>
        <w:t xml:space="preserve"> o</w:t>
      </w:r>
      <w:r w:rsidR="00710B91">
        <w:rPr>
          <w:noProof/>
        </w:rPr>
        <w:t> </w:t>
      </w:r>
      <w:r w:rsidR="00710B91" w:rsidRPr="00710B91">
        <w:rPr>
          <w:noProof/>
        </w:rPr>
        <w:t>och</w:t>
      </w:r>
      <w:r w:rsidRPr="00710B91">
        <w:rPr>
          <w:noProof/>
        </w:rPr>
        <w:t>ronie danych, zgodnie</w:t>
      </w:r>
      <w:r w:rsidR="00710B91" w:rsidRPr="00710B91">
        <w:rPr>
          <w:noProof/>
        </w:rPr>
        <w:t xml:space="preserve"> z</w:t>
      </w:r>
      <w:r w:rsidR="00710B91">
        <w:rPr>
          <w:noProof/>
        </w:rPr>
        <w:t> </w:t>
      </w:r>
      <w:r w:rsidR="00710B91" w:rsidRPr="00710B91">
        <w:rPr>
          <w:noProof/>
        </w:rPr>
        <w:t>pro</w:t>
      </w:r>
      <w:r w:rsidRPr="00710B91">
        <w:rPr>
          <w:noProof/>
        </w:rPr>
        <w:t>pozycją Komisji</w:t>
      </w:r>
      <w:r w:rsidR="00710B91" w:rsidRPr="00710B91">
        <w:rPr>
          <w:noProof/>
        </w:rPr>
        <w:t xml:space="preserve"> z</w:t>
      </w:r>
      <w:r w:rsidR="00710B91">
        <w:rPr>
          <w:noProof/>
        </w:rPr>
        <w:t> </w:t>
      </w:r>
      <w:r w:rsidR="00710B91" w:rsidRPr="00710B91">
        <w:rPr>
          <w:noProof/>
        </w:rPr>
        <w:t>dni</w:t>
      </w:r>
      <w:r w:rsidRPr="00710B91">
        <w:rPr>
          <w:noProof/>
        </w:rPr>
        <w:t>a 20 stycznia 2021</w:t>
      </w:r>
      <w:r w:rsidR="00710B91" w:rsidRPr="00710B91">
        <w:rPr>
          <w:noProof/>
        </w:rPr>
        <w:t> </w:t>
      </w:r>
      <w:r w:rsidRPr="00710B91">
        <w:rPr>
          <w:noProof/>
        </w:rPr>
        <w:t>r.</w:t>
      </w:r>
      <w:r w:rsidRPr="00710B91">
        <w:rPr>
          <w:rStyle w:val="FootnoteReference"/>
          <w:noProof/>
        </w:rPr>
        <w:footnoteReference w:id="18"/>
      </w:r>
    </w:p>
    <w:p w14:paraId="313D2FBF" w14:textId="733C184C" w:rsidR="00920E47" w:rsidRPr="00710B91" w:rsidRDefault="00920E47" w:rsidP="00FF717F">
      <w:pPr>
        <w:rPr>
          <w:noProof/>
          <w:szCs w:val="24"/>
        </w:rPr>
      </w:pPr>
      <w:r w:rsidRPr="00710B91">
        <w:rPr>
          <w:noProof/>
        </w:rPr>
        <w:t>W przypadku scentralizowanego komponentu platformy, tj. mechanizmu zamieszczania/pobierania pozwalającego na tymczasowe przechowywanie danych operacyjnych do momentu ich pobrania, wpływ na ochronę danych uważa się za ograniczony, ponieważ:</w:t>
      </w:r>
    </w:p>
    <w:p w14:paraId="595E04BF" w14:textId="77777777" w:rsidR="00E40458" w:rsidRPr="00710B91" w:rsidRDefault="00920E47" w:rsidP="00E40458">
      <w:pPr>
        <w:pStyle w:val="Bullet0"/>
        <w:tabs>
          <w:tab w:val="clear" w:pos="850"/>
          <w:tab w:val="num" w:pos="567"/>
        </w:tabs>
        <w:ind w:left="567" w:hanging="567"/>
        <w:rPr>
          <w:noProof/>
        </w:rPr>
      </w:pPr>
      <w:r w:rsidRPr="00710B91">
        <w:rPr>
          <w:noProof/>
        </w:rPr>
        <w:t>dane osobowe byłyby wymieniane przez bardzo wąską grupę osób należących do odizolowanej przestrzeni współpracy zespołu JIT;</w:t>
      </w:r>
    </w:p>
    <w:p w14:paraId="167381E2" w14:textId="459D01E8" w:rsidR="00E40458" w:rsidRPr="00710B91" w:rsidRDefault="00920E47" w:rsidP="00E40458">
      <w:pPr>
        <w:pStyle w:val="Bullet0"/>
        <w:tabs>
          <w:tab w:val="clear" w:pos="850"/>
          <w:tab w:val="num" w:pos="567"/>
        </w:tabs>
        <w:ind w:left="567" w:hanging="567"/>
        <w:rPr>
          <w:noProof/>
        </w:rPr>
      </w:pPr>
      <w:r w:rsidRPr="00710B91">
        <w:rPr>
          <w:noProof/>
        </w:rPr>
        <w:t>dane osobowe byłyby centralnie przechowywane wyłącznie ze względów technicznych</w:t>
      </w:r>
      <w:r w:rsidR="00710B91" w:rsidRPr="00710B91">
        <w:rPr>
          <w:noProof/>
        </w:rPr>
        <w:t xml:space="preserve"> i</w:t>
      </w:r>
      <w:r w:rsidR="00710B91">
        <w:rPr>
          <w:noProof/>
        </w:rPr>
        <w:t> </w:t>
      </w:r>
      <w:r w:rsidR="00710B91" w:rsidRPr="00710B91">
        <w:rPr>
          <w:noProof/>
        </w:rPr>
        <w:t>był</w:t>
      </w:r>
      <w:r w:rsidRPr="00710B91">
        <w:rPr>
          <w:noProof/>
        </w:rPr>
        <w:t>yby usuwane</w:t>
      </w:r>
      <w:r w:rsidR="00710B91" w:rsidRPr="00710B91">
        <w:rPr>
          <w:noProof/>
        </w:rPr>
        <w:t xml:space="preserve"> w</w:t>
      </w:r>
      <w:r w:rsidR="00710B91">
        <w:rPr>
          <w:noProof/>
        </w:rPr>
        <w:t> </w:t>
      </w:r>
      <w:r w:rsidR="00710B91" w:rsidRPr="00710B91">
        <w:rPr>
          <w:noProof/>
        </w:rPr>
        <w:t>mom</w:t>
      </w:r>
      <w:r w:rsidRPr="00710B91">
        <w:rPr>
          <w:noProof/>
        </w:rPr>
        <w:t>encie ich pobrania przez wszystkich odbiorców;</w:t>
      </w:r>
    </w:p>
    <w:p w14:paraId="78CD3213" w14:textId="091D85EE" w:rsidR="00E40458" w:rsidRPr="00710B91" w:rsidRDefault="00920E47" w:rsidP="00E40458">
      <w:pPr>
        <w:pStyle w:val="Bullet0"/>
        <w:tabs>
          <w:tab w:val="clear" w:pos="850"/>
          <w:tab w:val="num" w:pos="567"/>
        </w:tabs>
        <w:ind w:left="567" w:hanging="567"/>
        <w:rPr>
          <w:noProof/>
        </w:rPr>
      </w:pPr>
      <w:r w:rsidRPr="00710B91">
        <w:rPr>
          <w:noProof/>
        </w:rPr>
        <w:t>okres zatrzymywania byłby ustawiony na cztery tygodnie</w:t>
      </w:r>
      <w:r w:rsidR="00710B91" w:rsidRPr="00710B91">
        <w:rPr>
          <w:noProof/>
        </w:rPr>
        <w:t xml:space="preserve"> i</w:t>
      </w:r>
      <w:r w:rsidR="00710B91">
        <w:rPr>
          <w:noProof/>
        </w:rPr>
        <w:t> </w:t>
      </w:r>
      <w:r w:rsidR="00710B91" w:rsidRPr="00710B91">
        <w:rPr>
          <w:noProof/>
        </w:rPr>
        <w:t>był</w:t>
      </w:r>
      <w:r w:rsidRPr="00710B91">
        <w:rPr>
          <w:noProof/>
        </w:rPr>
        <w:t>by narzucany automatycznie;</w:t>
      </w:r>
    </w:p>
    <w:p w14:paraId="446C4BA5" w14:textId="77777777" w:rsidR="00E40458" w:rsidRPr="00710B91" w:rsidRDefault="00920E47" w:rsidP="00E40458">
      <w:pPr>
        <w:pStyle w:val="Bullet0"/>
        <w:tabs>
          <w:tab w:val="clear" w:pos="850"/>
          <w:tab w:val="num" w:pos="567"/>
        </w:tabs>
        <w:ind w:left="567" w:hanging="567"/>
        <w:rPr>
          <w:noProof/>
        </w:rPr>
      </w:pPr>
      <w:r w:rsidRPr="00710B91">
        <w:rPr>
          <w:noProof/>
        </w:rPr>
        <w:t>wymiana danych osobowych byłaby ograniczona tak, aby mogły one służyć potrzebom, dla których zostały pozyskane;</w:t>
      </w:r>
    </w:p>
    <w:p w14:paraId="319FB037" w14:textId="0E31F4BD" w:rsidR="00E40458" w:rsidRPr="00710B91" w:rsidRDefault="00920E47" w:rsidP="00E40458">
      <w:pPr>
        <w:pStyle w:val="Bullet0"/>
        <w:tabs>
          <w:tab w:val="clear" w:pos="850"/>
          <w:tab w:val="num" w:pos="567"/>
        </w:tabs>
        <w:ind w:left="567" w:hanging="567"/>
        <w:rPr>
          <w:noProof/>
        </w:rPr>
      </w:pPr>
      <w:r w:rsidRPr="00710B91">
        <w:rPr>
          <w:noProof/>
        </w:rPr>
        <w:t>eu-LISA nie miałaby dostępu do danych</w:t>
      </w:r>
      <w:r w:rsidR="00710B91" w:rsidRPr="00710B91">
        <w:rPr>
          <w:noProof/>
        </w:rPr>
        <w:t xml:space="preserve"> i</w:t>
      </w:r>
      <w:r w:rsidR="00710B91">
        <w:rPr>
          <w:noProof/>
        </w:rPr>
        <w:t> </w:t>
      </w:r>
      <w:r w:rsidR="00710B91" w:rsidRPr="00710B91">
        <w:rPr>
          <w:noProof/>
        </w:rPr>
        <w:t>peł</w:t>
      </w:r>
      <w:r w:rsidRPr="00710B91">
        <w:rPr>
          <w:noProof/>
        </w:rPr>
        <w:t>niłaby rolę podmiotu przetwarzającego dane;</w:t>
      </w:r>
    </w:p>
    <w:p w14:paraId="5D3BA971" w14:textId="77777777" w:rsidR="00E40458" w:rsidRPr="00710B91" w:rsidRDefault="00920E47" w:rsidP="00E40458">
      <w:pPr>
        <w:pStyle w:val="Bullet0"/>
        <w:tabs>
          <w:tab w:val="clear" w:pos="850"/>
          <w:tab w:val="num" w:pos="567"/>
        </w:tabs>
        <w:ind w:left="567" w:hanging="567"/>
        <w:rPr>
          <w:noProof/>
        </w:rPr>
      </w:pPr>
      <w:r w:rsidRPr="00710B91">
        <w:rPr>
          <w:noProof/>
        </w:rPr>
        <w:t>należałoby ustanowić oddzielnego administratora danych dla każdej jednostki, oprócz państw trzecich, zamieszczającej dane osobowe;</w:t>
      </w:r>
    </w:p>
    <w:p w14:paraId="1249957F" w14:textId="04C6BCC0" w:rsidR="00E40458" w:rsidRPr="00710B91" w:rsidRDefault="00920E47" w:rsidP="00E40458">
      <w:pPr>
        <w:pStyle w:val="Bullet0"/>
        <w:tabs>
          <w:tab w:val="clear" w:pos="850"/>
          <w:tab w:val="num" w:pos="567"/>
        </w:tabs>
        <w:ind w:left="567" w:hanging="567"/>
        <w:rPr>
          <w:noProof/>
        </w:rPr>
      </w:pPr>
      <w:r w:rsidRPr="00710B91">
        <w:rPr>
          <w:noProof/>
        </w:rPr>
        <w:t>wymiany danych osobowych uznawane za międzynarodowe przekazywanie danych państwom trzecim będącym częścią danego zespołu JIT zawsze wymagałyby ram prawnych</w:t>
      </w:r>
      <w:r w:rsidR="00710B91" w:rsidRPr="00710B91">
        <w:rPr>
          <w:noProof/>
        </w:rPr>
        <w:t xml:space="preserve"> w</w:t>
      </w:r>
      <w:r w:rsidR="00710B91">
        <w:rPr>
          <w:noProof/>
        </w:rPr>
        <w:t> </w:t>
      </w:r>
      <w:r w:rsidR="00710B91" w:rsidRPr="00710B91">
        <w:rPr>
          <w:noProof/>
        </w:rPr>
        <w:t>pra</w:t>
      </w:r>
      <w:r w:rsidRPr="00710B91">
        <w:rPr>
          <w:noProof/>
        </w:rPr>
        <w:t>wie Unii lub państwa członkowskiego, mających zastosowanie do takiego przekazywania;</w:t>
      </w:r>
    </w:p>
    <w:p w14:paraId="6AAAE76F" w14:textId="71CE2F8E" w:rsidR="00920E47" w:rsidRPr="00710B91" w:rsidRDefault="00920E47" w:rsidP="00E40458">
      <w:pPr>
        <w:pStyle w:val="Bullet0"/>
        <w:tabs>
          <w:tab w:val="clear" w:pos="850"/>
          <w:tab w:val="num" w:pos="567"/>
        </w:tabs>
        <w:ind w:left="567" w:hanging="567"/>
        <w:rPr>
          <w:noProof/>
        </w:rPr>
      </w:pPr>
      <w:r w:rsidRPr="00710B91">
        <w:rPr>
          <w:noProof/>
        </w:rPr>
        <w:t>za dane osobowe zamieszczone</w:t>
      </w:r>
      <w:r w:rsidR="00710B91" w:rsidRPr="00710B91">
        <w:rPr>
          <w:noProof/>
        </w:rPr>
        <w:t xml:space="preserve"> w</w:t>
      </w:r>
      <w:r w:rsidR="00710B91">
        <w:rPr>
          <w:noProof/>
        </w:rPr>
        <w:t> </w:t>
      </w:r>
      <w:r w:rsidR="00710B91" w:rsidRPr="00710B91">
        <w:rPr>
          <w:noProof/>
        </w:rPr>
        <w:t>prz</w:t>
      </w:r>
      <w:r w:rsidRPr="00710B91">
        <w:rPr>
          <w:noProof/>
        </w:rPr>
        <w:t>estrzeni współpracy zespołu JIT przez państwa trzecie odpowiadałby administrator przestrzeni JIT, który musiałby sprawdzić takie dane, zanim mogłyby zostać pobrane przez pozostałych użytkowników.</w:t>
      </w:r>
    </w:p>
    <w:p w14:paraId="397D752D" w14:textId="77777777" w:rsidR="00920E47" w:rsidRPr="00710B91" w:rsidRDefault="00920E47" w:rsidP="0005122E">
      <w:pPr>
        <w:pStyle w:val="ManualHeading1"/>
        <w:rPr>
          <w:noProof/>
        </w:rPr>
      </w:pPr>
      <w:bookmarkStart w:id="4" w:name="_Toc92899375"/>
      <w:r w:rsidRPr="00710B91">
        <w:rPr>
          <w:noProof/>
        </w:rPr>
        <w:t>4.</w:t>
      </w:r>
      <w:r w:rsidRPr="00710B91">
        <w:rPr>
          <w:noProof/>
        </w:rPr>
        <w:tab/>
        <w:t>WPŁYW NA BUDŻET</w:t>
      </w:r>
      <w:bookmarkEnd w:id="4"/>
    </w:p>
    <w:p w14:paraId="1D050FC0" w14:textId="33D72B74" w:rsidR="00920E47" w:rsidRPr="00710B91" w:rsidRDefault="00920E47" w:rsidP="0005122E">
      <w:pPr>
        <w:rPr>
          <w:noProof/>
          <w:szCs w:val="24"/>
        </w:rPr>
      </w:pPr>
      <w:r w:rsidRPr="00710B91">
        <w:rPr>
          <w:noProof/>
        </w:rPr>
        <w:t>Przewiduje się, że wniosek dotyczący rozporządzenia ustanawiającego platformę będzie się wiązał</w:t>
      </w:r>
      <w:r w:rsidR="00710B91" w:rsidRPr="00710B91">
        <w:rPr>
          <w:noProof/>
        </w:rPr>
        <w:t xml:space="preserve"> z</w:t>
      </w:r>
      <w:r w:rsidR="00710B91">
        <w:rPr>
          <w:noProof/>
        </w:rPr>
        <w:t> </w:t>
      </w:r>
      <w:r w:rsidR="00710B91" w:rsidRPr="00710B91">
        <w:rPr>
          <w:noProof/>
        </w:rPr>
        <w:t>nas</w:t>
      </w:r>
      <w:r w:rsidRPr="00710B91">
        <w:rPr>
          <w:noProof/>
        </w:rPr>
        <w:t>tępującymi kosztami:</w:t>
      </w:r>
    </w:p>
    <w:p w14:paraId="72E6CC3B" w14:textId="77777777" w:rsidR="00E40458" w:rsidRPr="00710B91" w:rsidRDefault="00920E47" w:rsidP="00E40458">
      <w:pPr>
        <w:pStyle w:val="Bullet0"/>
        <w:tabs>
          <w:tab w:val="clear" w:pos="850"/>
          <w:tab w:val="num" w:pos="567"/>
        </w:tabs>
        <w:ind w:left="567" w:hanging="567"/>
        <w:rPr>
          <w:noProof/>
        </w:rPr>
      </w:pPr>
      <w:r w:rsidRPr="00710B91">
        <w:rPr>
          <w:noProof/>
        </w:rPr>
        <w:t>utworzenie platformy – jednorazowy koszt poniesiony przez eu-LISA;</w:t>
      </w:r>
    </w:p>
    <w:p w14:paraId="089494F9" w14:textId="3AFFDE1F" w:rsidR="00E40458" w:rsidRPr="00710B91" w:rsidRDefault="00920E47" w:rsidP="00E40458">
      <w:pPr>
        <w:pStyle w:val="Bullet0"/>
        <w:tabs>
          <w:tab w:val="clear" w:pos="850"/>
          <w:tab w:val="num" w:pos="567"/>
        </w:tabs>
        <w:ind w:left="567" w:hanging="567"/>
        <w:rPr>
          <w:noProof/>
        </w:rPr>
      </w:pPr>
      <w:r w:rsidRPr="00710B91">
        <w:rPr>
          <w:noProof/>
        </w:rPr>
        <w:t>serwis techniczny</w:t>
      </w:r>
      <w:r w:rsidR="00710B91" w:rsidRPr="00710B91">
        <w:rPr>
          <w:noProof/>
        </w:rPr>
        <w:t xml:space="preserve"> i</w:t>
      </w:r>
      <w:r w:rsidR="00710B91">
        <w:rPr>
          <w:noProof/>
        </w:rPr>
        <w:t> </w:t>
      </w:r>
      <w:r w:rsidR="00710B91" w:rsidRPr="00710B91">
        <w:rPr>
          <w:noProof/>
        </w:rPr>
        <w:t>utr</w:t>
      </w:r>
      <w:r w:rsidRPr="00710B91">
        <w:rPr>
          <w:noProof/>
        </w:rPr>
        <w:t>zymanie platformy – cykliczny koszt ponoszony przez eu-LISA;</w:t>
      </w:r>
    </w:p>
    <w:p w14:paraId="08FD97D5" w14:textId="16A608C5" w:rsidR="00E40458" w:rsidRPr="00710B91" w:rsidRDefault="00920E47" w:rsidP="00E40458">
      <w:pPr>
        <w:pStyle w:val="Bullet0"/>
        <w:tabs>
          <w:tab w:val="clear" w:pos="850"/>
          <w:tab w:val="num" w:pos="567"/>
        </w:tabs>
        <w:ind w:left="567" w:hanging="567"/>
        <w:rPr>
          <w:noProof/>
        </w:rPr>
      </w:pPr>
      <w:r w:rsidRPr="00710B91">
        <w:rPr>
          <w:noProof/>
        </w:rPr>
        <w:t>opracowanie koniecznych dostosowań technicznych odpowiednich systemów informatycznych obsługiwanych przez Eurojust, tj. finansowania JIT, oceny JIT</w:t>
      </w:r>
      <w:r w:rsidR="00710B91" w:rsidRPr="00710B91">
        <w:rPr>
          <w:noProof/>
        </w:rPr>
        <w:t xml:space="preserve"> i</w:t>
      </w:r>
      <w:r w:rsidR="00710B91">
        <w:rPr>
          <w:noProof/>
        </w:rPr>
        <w:t> </w:t>
      </w:r>
      <w:r w:rsidR="00710B91" w:rsidRPr="00710B91">
        <w:rPr>
          <w:noProof/>
        </w:rPr>
        <w:t>obs</w:t>
      </w:r>
      <w:r w:rsidRPr="00710B91">
        <w:rPr>
          <w:noProof/>
        </w:rPr>
        <w:t>zaru ograniczonego JIT,</w:t>
      </w:r>
      <w:r w:rsidR="00710B91" w:rsidRPr="00710B91">
        <w:rPr>
          <w:noProof/>
        </w:rPr>
        <w:t xml:space="preserve"> w</w:t>
      </w:r>
      <w:r w:rsidR="00710B91">
        <w:rPr>
          <w:noProof/>
        </w:rPr>
        <w:t> </w:t>
      </w:r>
      <w:r w:rsidR="00710B91" w:rsidRPr="00710B91">
        <w:rPr>
          <w:noProof/>
        </w:rPr>
        <w:t>cel</w:t>
      </w:r>
      <w:r w:rsidRPr="00710B91">
        <w:rPr>
          <w:noProof/>
        </w:rPr>
        <w:t>u ich częściowego zintegrowania</w:t>
      </w:r>
      <w:r w:rsidR="00710B91" w:rsidRPr="00710B91">
        <w:rPr>
          <w:noProof/>
        </w:rPr>
        <w:t xml:space="preserve"> z</w:t>
      </w:r>
      <w:r w:rsidR="00710B91">
        <w:rPr>
          <w:noProof/>
        </w:rPr>
        <w:t> </w:t>
      </w:r>
      <w:r w:rsidR="00710B91" w:rsidRPr="00710B91">
        <w:rPr>
          <w:noProof/>
        </w:rPr>
        <w:t>pla</w:t>
      </w:r>
      <w:r w:rsidRPr="00710B91">
        <w:rPr>
          <w:noProof/>
        </w:rPr>
        <w:t>tformą – jednorazowy koszt poniesiony przez Eurojust;</w:t>
      </w:r>
    </w:p>
    <w:p w14:paraId="716963B9" w14:textId="2577A9E5" w:rsidR="00E40458" w:rsidRPr="00710B91" w:rsidRDefault="00920E47" w:rsidP="00E40458">
      <w:pPr>
        <w:pStyle w:val="Bullet0"/>
        <w:tabs>
          <w:tab w:val="clear" w:pos="850"/>
          <w:tab w:val="num" w:pos="567"/>
        </w:tabs>
        <w:ind w:left="567" w:hanging="567"/>
        <w:rPr>
          <w:noProof/>
        </w:rPr>
      </w:pPr>
      <w:r w:rsidRPr="00710B91">
        <w:rPr>
          <w:noProof/>
        </w:rPr>
        <w:t>serwis techniczny</w:t>
      </w:r>
      <w:r w:rsidR="00710B91" w:rsidRPr="00710B91">
        <w:rPr>
          <w:noProof/>
        </w:rPr>
        <w:t xml:space="preserve"> i</w:t>
      </w:r>
      <w:r w:rsidR="00710B91">
        <w:rPr>
          <w:noProof/>
        </w:rPr>
        <w:t> </w:t>
      </w:r>
      <w:r w:rsidR="00710B91" w:rsidRPr="00710B91">
        <w:rPr>
          <w:noProof/>
        </w:rPr>
        <w:t>dzi</w:t>
      </w:r>
      <w:r w:rsidRPr="00710B91">
        <w:rPr>
          <w:noProof/>
        </w:rPr>
        <w:t>ałania związane</w:t>
      </w:r>
      <w:r w:rsidR="00710B91" w:rsidRPr="00710B91">
        <w:rPr>
          <w:noProof/>
        </w:rPr>
        <w:t xml:space="preserve"> z</w:t>
      </w:r>
      <w:r w:rsidR="00710B91">
        <w:rPr>
          <w:noProof/>
        </w:rPr>
        <w:t> </w:t>
      </w:r>
      <w:r w:rsidR="00710B91" w:rsidRPr="00710B91">
        <w:rPr>
          <w:noProof/>
        </w:rPr>
        <w:t>dos</w:t>
      </w:r>
      <w:r w:rsidRPr="00710B91">
        <w:rPr>
          <w:noProof/>
        </w:rPr>
        <w:t>tosowaniami systemów informatycznych obsługiwanych przez Eurojust – cykliczny koszt ponoszony przez Eurojust;</w:t>
      </w:r>
    </w:p>
    <w:p w14:paraId="43E06049" w14:textId="10E893EF" w:rsidR="00E40458" w:rsidRPr="00710B91" w:rsidRDefault="00920E47" w:rsidP="00E40458">
      <w:pPr>
        <w:pStyle w:val="Bullet0"/>
        <w:tabs>
          <w:tab w:val="clear" w:pos="850"/>
          <w:tab w:val="num" w:pos="567"/>
        </w:tabs>
        <w:ind w:left="567" w:hanging="567"/>
        <w:rPr>
          <w:noProof/>
        </w:rPr>
      </w:pPr>
      <w:r w:rsidRPr="00710B91">
        <w:rPr>
          <w:noProof/>
        </w:rPr>
        <w:t>wsparcie administracyjne udzielane użytkownikom platformy</w:t>
      </w:r>
      <w:r w:rsidR="00710B91" w:rsidRPr="00710B91">
        <w:rPr>
          <w:noProof/>
        </w:rPr>
        <w:t xml:space="preserve"> w</w:t>
      </w:r>
      <w:r w:rsidR="00710B91">
        <w:rPr>
          <w:noProof/>
        </w:rPr>
        <w:t> </w:t>
      </w:r>
      <w:r w:rsidR="00710B91" w:rsidRPr="00710B91">
        <w:rPr>
          <w:noProof/>
        </w:rPr>
        <w:t>imi</w:t>
      </w:r>
      <w:r w:rsidRPr="00710B91">
        <w:rPr>
          <w:noProof/>
        </w:rPr>
        <w:t>eniu administratora lub administratorów przestrzeni JIT – cykliczny koszt ponoszony przez Eurojust (sekretariat JIT).</w:t>
      </w:r>
    </w:p>
    <w:p w14:paraId="2ED58150" w14:textId="06FFD496" w:rsidR="00920E47" w:rsidRPr="00710B91" w:rsidRDefault="00920E47" w:rsidP="00D036FA">
      <w:pPr>
        <w:rPr>
          <w:noProof/>
        </w:rPr>
      </w:pPr>
      <w:r w:rsidRPr="00710B91">
        <w:rPr>
          <w:noProof/>
        </w:rPr>
        <w:t>W odniesieniu do dostępu państw członkowskich do platformy nie przewiduje się żadnych kosztów technicznych ze względu na internetowy charakter scentralizowanego komponentu platformy. Nie wymagałby on żadnych dostosowań krajowej infrastruktury technicznej. To samo dotyczy oprogramowania komunikacyjnego, które po prostu należałoby pobrać na każdym urządzeniu użytkowników platformy JIT. Udzielanie dostępu do platformy właściwym organom</w:t>
      </w:r>
      <w:r w:rsidR="00710B91" w:rsidRPr="00710B91">
        <w:rPr>
          <w:noProof/>
        </w:rPr>
        <w:t xml:space="preserve"> i</w:t>
      </w:r>
      <w:r w:rsidR="00710B91">
        <w:rPr>
          <w:noProof/>
        </w:rPr>
        <w:t> </w:t>
      </w:r>
      <w:r w:rsidR="00710B91" w:rsidRPr="00710B91">
        <w:rPr>
          <w:noProof/>
        </w:rPr>
        <w:t>jed</w:t>
      </w:r>
      <w:r w:rsidRPr="00710B91">
        <w:rPr>
          <w:noProof/>
        </w:rPr>
        <w:t>nostkom organizacyjnym Unii odbywałoby się na takich samych zasadach</w:t>
      </w:r>
      <w:r w:rsidR="00710B91" w:rsidRPr="00710B91">
        <w:rPr>
          <w:noProof/>
        </w:rPr>
        <w:t xml:space="preserve"> i</w:t>
      </w:r>
      <w:r w:rsidR="00710B91">
        <w:rPr>
          <w:noProof/>
        </w:rPr>
        <w:t> </w:t>
      </w:r>
      <w:r w:rsidR="00710B91" w:rsidRPr="00710B91">
        <w:rPr>
          <w:noProof/>
        </w:rPr>
        <w:t>nie</w:t>
      </w:r>
      <w:r w:rsidRPr="00710B91">
        <w:rPr>
          <w:noProof/>
        </w:rPr>
        <w:t xml:space="preserve"> wiązałoby się</w:t>
      </w:r>
      <w:r w:rsidR="00710B91" w:rsidRPr="00710B91">
        <w:rPr>
          <w:noProof/>
        </w:rPr>
        <w:t xml:space="preserve"> z</w:t>
      </w:r>
      <w:r w:rsidR="00710B91">
        <w:rPr>
          <w:noProof/>
        </w:rPr>
        <w:t> </w:t>
      </w:r>
      <w:r w:rsidR="00710B91" w:rsidRPr="00710B91">
        <w:rPr>
          <w:noProof/>
        </w:rPr>
        <w:t>pon</w:t>
      </w:r>
      <w:r w:rsidRPr="00710B91">
        <w:rPr>
          <w:noProof/>
        </w:rPr>
        <w:t>iesieniem przez nich żadnych kosztów.</w:t>
      </w:r>
    </w:p>
    <w:p w14:paraId="4FCEB28D" w14:textId="604F3C45" w:rsidR="00920E47" w:rsidRPr="00710B91" w:rsidRDefault="00920E47" w:rsidP="0005122E">
      <w:pPr>
        <w:rPr>
          <w:noProof/>
        </w:rPr>
      </w:pPr>
      <w:r w:rsidRPr="00710B91">
        <w:rPr>
          <w:noProof/>
        </w:rPr>
        <w:t>Koszty ponoszone przez eu-LISA</w:t>
      </w:r>
      <w:r w:rsidR="00710B91" w:rsidRPr="00710B91">
        <w:rPr>
          <w:noProof/>
        </w:rPr>
        <w:t xml:space="preserve"> i</w:t>
      </w:r>
      <w:r w:rsidR="00710B91">
        <w:rPr>
          <w:noProof/>
        </w:rPr>
        <w:t> </w:t>
      </w:r>
      <w:r w:rsidR="00710B91" w:rsidRPr="00710B91">
        <w:rPr>
          <w:noProof/>
        </w:rPr>
        <w:t>Eur</w:t>
      </w:r>
      <w:r w:rsidRPr="00710B91">
        <w:rPr>
          <w:noProof/>
        </w:rPr>
        <w:t>ojust są szczegółowo wyjaśnione</w:t>
      </w:r>
      <w:r w:rsidR="00710B91" w:rsidRPr="00710B91">
        <w:rPr>
          <w:noProof/>
        </w:rPr>
        <w:t xml:space="preserve"> w</w:t>
      </w:r>
      <w:r w:rsidR="00710B91">
        <w:rPr>
          <w:noProof/>
        </w:rPr>
        <w:t> </w:t>
      </w:r>
      <w:r w:rsidR="00710B91" w:rsidRPr="00710B91">
        <w:rPr>
          <w:noProof/>
        </w:rPr>
        <w:t>zał</w:t>
      </w:r>
      <w:r w:rsidRPr="00710B91">
        <w:rPr>
          <w:noProof/>
        </w:rPr>
        <w:t>ączonym prawnym sprawozdaniu finansowym</w:t>
      </w:r>
      <w:r w:rsidR="00710B91" w:rsidRPr="00710B91">
        <w:rPr>
          <w:noProof/>
        </w:rPr>
        <w:t>. W</w:t>
      </w:r>
      <w:r w:rsidR="00710B91">
        <w:rPr>
          <w:noProof/>
        </w:rPr>
        <w:t> </w:t>
      </w:r>
      <w:r w:rsidR="00710B91" w:rsidRPr="00710B91">
        <w:rPr>
          <w:noProof/>
        </w:rPr>
        <w:t>sum</w:t>
      </w:r>
      <w:r w:rsidRPr="00710B91">
        <w:rPr>
          <w:noProof/>
        </w:rPr>
        <w:t>ie eu-LISA potrzebowałaby następujących środków finansowych</w:t>
      </w:r>
      <w:r w:rsidR="00710B91" w:rsidRPr="00710B91">
        <w:rPr>
          <w:noProof/>
        </w:rPr>
        <w:t xml:space="preserve"> i</w:t>
      </w:r>
      <w:r w:rsidR="00710B91">
        <w:rPr>
          <w:noProof/>
        </w:rPr>
        <w:t> </w:t>
      </w:r>
      <w:r w:rsidR="00710B91" w:rsidRPr="00710B91">
        <w:rPr>
          <w:noProof/>
        </w:rPr>
        <w:t>zas</w:t>
      </w:r>
      <w:r w:rsidRPr="00710B91">
        <w:rPr>
          <w:noProof/>
        </w:rPr>
        <w:t>obów ludzkich do utworzenia, utrzymywania</w:t>
      </w:r>
      <w:r w:rsidR="00710B91" w:rsidRPr="00710B91">
        <w:rPr>
          <w:noProof/>
        </w:rPr>
        <w:t xml:space="preserve"> i</w:t>
      </w:r>
      <w:r w:rsidR="00710B91">
        <w:rPr>
          <w:noProof/>
        </w:rPr>
        <w:t> </w:t>
      </w:r>
      <w:r w:rsidR="00710B91" w:rsidRPr="00710B91">
        <w:rPr>
          <w:noProof/>
        </w:rPr>
        <w:t>obs</w:t>
      </w:r>
      <w:r w:rsidRPr="00710B91">
        <w:rPr>
          <w:noProof/>
        </w:rPr>
        <w:t>ługi platformy współpracy zespołów JIT:</w:t>
      </w:r>
    </w:p>
    <w:p w14:paraId="1D8DC3CD" w14:textId="77777777" w:rsidR="00E40458" w:rsidRPr="00710B91" w:rsidRDefault="00920E47" w:rsidP="00E40458">
      <w:pPr>
        <w:pStyle w:val="Bullet0"/>
        <w:tabs>
          <w:tab w:val="clear" w:pos="850"/>
          <w:tab w:val="num" w:pos="567"/>
        </w:tabs>
        <w:ind w:left="567" w:hanging="567"/>
        <w:rPr>
          <w:noProof/>
        </w:rPr>
      </w:pPr>
      <w:r w:rsidRPr="00710B91">
        <w:rPr>
          <w:noProof/>
        </w:rPr>
        <w:t>jednorazowy koszt zbudowania – 8,4 mln EUR;</w:t>
      </w:r>
    </w:p>
    <w:p w14:paraId="5621EA71" w14:textId="6E7C487C" w:rsidR="00E40458" w:rsidRPr="00710B91" w:rsidRDefault="00920E47" w:rsidP="00E40458">
      <w:pPr>
        <w:pStyle w:val="Bullet0"/>
        <w:tabs>
          <w:tab w:val="clear" w:pos="850"/>
          <w:tab w:val="num" w:pos="567"/>
        </w:tabs>
        <w:ind w:left="567" w:hanging="567"/>
        <w:rPr>
          <w:noProof/>
        </w:rPr>
      </w:pPr>
      <w:r w:rsidRPr="00710B91">
        <w:rPr>
          <w:noProof/>
        </w:rPr>
        <w:t>roczne koszty utrzymywania</w:t>
      </w:r>
      <w:r w:rsidR="00710B91" w:rsidRPr="00710B91">
        <w:rPr>
          <w:noProof/>
        </w:rPr>
        <w:t xml:space="preserve"> i</w:t>
      </w:r>
      <w:r w:rsidR="00710B91">
        <w:rPr>
          <w:noProof/>
        </w:rPr>
        <w:t> </w:t>
      </w:r>
      <w:r w:rsidR="00710B91" w:rsidRPr="00710B91">
        <w:rPr>
          <w:noProof/>
        </w:rPr>
        <w:t>obs</w:t>
      </w:r>
      <w:r w:rsidRPr="00710B91">
        <w:rPr>
          <w:noProof/>
        </w:rPr>
        <w:t>ługi – 1,7 mln EUR;</w:t>
      </w:r>
    </w:p>
    <w:p w14:paraId="4FE156DD" w14:textId="58764CA8" w:rsidR="00E40458" w:rsidRPr="00710B91" w:rsidRDefault="00920E47" w:rsidP="00E40458">
      <w:pPr>
        <w:pStyle w:val="Bullet0"/>
        <w:tabs>
          <w:tab w:val="clear" w:pos="850"/>
          <w:tab w:val="num" w:pos="567"/>
        </w:tabs>
        <w:ind w:left="567" w:hanging="567"/>
        <w:rPr>
          <w:noProof/>
        </w:rPr>
      </w:pPr>
      <w:r w:rsidRPr="00710B91">
        <w:rPr>
          <w:noProof/>
        </w:rPr>
        <w:t>personel – 4 pracowników pomocy technicznej zatrudnionych</w:t>
      </w:r>
      <w:r w:rsidR="00710B91" w:rsidRPr="00710B91">
        <w:rPr>
          <w:noProof/>
        </w:rPr>
        <w:t xml:space="preserve"> w</w:t>
      </w:r>
      <w:r w:rsidR="00710B91">
        <w:rPr>
          <w:noProof/>
        </w:rPr>
        <w:t> </w:t>
      </w:r>
      <w:r w:rsidR="00710B91" w:rsidRPr="00710B91">
        <w:rPr>
          <w:noProof/>
        </w:rPr>
        <w:t>wym</w:t>
      </w:r>
      <w:r w:rsidRPr="00710B91">
        <w:rPr>
          <w:noProof/>
        </w:rPr>
        <w:t>iarze ekwiwalentu pełnego czasu pracy od</w:t>
      </w:r>
      <w:r w:rsidR="00710B91" w:rsidRPr="00710B91">
        <w:rPr>
          <w:noProof/>
        </w:rPr>
        <w:t> </w:t>
      </w:r>
      <w:r w:rsidRPr="00710B91">
        <w:rPr>
          <w:noProof/>
        </w:rPr>
        <w:t>2024</w:t>
      </w:r>
      <w:r w:rsidR="00710B91" w:rsidRPr="00710B91">
        <w:rPr>
          <w:noProof/>
        </w:rPr>
        <w:t> </w:t>
      </w:r>
      <w:r w:rsidRPr="00710B91">
        <w:rPr>
          <w:noProof/>
        </w:rPr>
        <w:t>r., 4 pracowników pomocy technicznej zatrudnionych</w:t>
      </w:r>
      <w:r w:rsidR="00710B91" w:rsidRPr="00710B91">
        <w:rPr>
          <w:noProof/>
        </w:rPr>
        <w:t xml:space="preserve"> w</w:t>
      </w:r>
      <w:r w:rsidR="00710B91">
        <w:rPr>
          <w:noProof/>
        </w:rPr>
        <w:t> </w:t>
      </w:r>
      <w:r w:rsidR="00710B91" w:rsidRPr="00710B91">
        <w:rPr>
          <w:noProof/>
        </w:rPr>
        <w:t>wym</w:t>
      </w:r>
      <w:r w:rsidRPr="00710B91">
        <w:rPr>
          <w:noProof/>
        </w:rPr>
        <w:t>iarze ekwiwalentu pełnego czasu pracy od</w:t>
      </w:r>
      <w:r w:rsidR="00710B91" w:rsidRPr="00710B91">
        <w:rPr>
          <w:noProof/>
        </w:rPr>
        <w:t> </w:t>
      </w:r>
      <w:r w:rsidRPr="00710B91">
        <w:rPr>
          <w:noProof/>
        </w:rPr>
        <w:t>2025</w:t>
      </w:r>
      <w:r w:rsidR="00710B91" w:rsidRPr="00710B91">
        <w:rPr>
          <w:noProof/>
        </w:rPr>
        <w:t> </w:t>
      </w:r>
      <w:r w:rsidRPr="00710B91">
        <w:rPr>
          <w:noProof/>
        </w:rPr>
        <w:t>r. oraz 2 pracowników kontraktowych zatrudnionych</w:t>
      </w:r>
      <w:r w:rsidR="00710B91" w:rsidRPr="00710B91">
        <w:rPr>
          <w:noProof/>
        </w:rPr>
        <w:t xml:space="preserve"> w</w:t>
      </w:r>
      <w:r w:rsidR="00710B91">
        <w:rPr>
          <w:noProof/>
        </w:rPr>
        <w:t> </w:t>
      </w:r>
      <w:r w:rsidR="00710B91" w:rsidRPr="00710B91">
        <w:rPr>
          <w:noProof/>
        </w:rPr>
        <w:t>wym</w:t>
      </w:r>
      <w:r w:rsidRPr="00710B91">
        <w:rPr>
          <w:noProof/>
        </w:rPr>
        <w:t>iarze ekwiwalentu pełnego czasu pracy od</w:t>
      </w:r>
      <w:r w:rsidR="00710B91" w:rsidRPr="00710B91">
        <w:rPr>
          <w:noProof/>
        </w:rPr>
        <w:t> </w:t>
      </w:r>
      <w:r w:rsidRPr="00710B91">
        <w:rPr>
          <w:noProof/>
        </w:rPr>
        <w:t>2026</w:t>
      </w:r>
      <w:r w:rsidR="00710B91" w:rsidRPr="00710B91">
        <w:rPr>
          <w:noProof/>
        </w:rPr>
        <w:t> </w:t>
      </w:r>
      <w:r w:rsidRPr="00710B91">
        <w:rPr>
          <w:noProof/>
        </w:rPr>
        <w:t>r. (10</w:t>
      </w:r>
      <w:r w:rsidR="00710B91" w:rsidRPr="00710B91">
        <w:rPr>
          <w:noProof/>
        </w:rPr>
        <w:t xml:space="preserve"> w</w:t>
      </w:r>
      <w:r w:rsidR="00710B91">
        <w:rPr>
          <w:noProof/>
        </w:rPr>
        <w:t> </w:t>
      </w:r>
      <w:r w:rsidR="00710B91" w:rsidRPr="00710B91">
        <w:rPr>
          <w:noProof/>
        </w:rPr>
        <w:t>sum</w:t>
      </w:r>
      <w:r w:rsidRPr="00710B91">
        <w:rPr>
          <w:noProof/>
        </w:rPr>
        <w:t>ie).</w:t>
      </w:r>
    </w:p>
    <w:p w14:paraId="5ACF0FBD" w14:textId="521A957F" w:rsidR="00920E47" w:rsidRPr="00710B91" w:rsidRDefault="00920E47" w:rsidP="00D036FA">
      <w:pPr>
        <w:rPr>
          <w:noProof/>
        </w:rPr>
      </w:pPr>
      <w:r w:rsidRPr="00710B91">
        <w:rPr>
          <w:noProof/>
        </w:rPr>
        <w:t>Koszty ponoszone przez eu-LISA dotyczą obsługi platformy</w:t>
      </w:r>
      <w:r w:rsidR="00710B91" w:rsidRPr="00710B91">
        <w:rPr>
          <w:noProof/>
        </w:rPr>
        <w:t xml:space="preserve"> w</w:t>
      </w:r>
      <w:r w:rsidR="00710B91">
        <w:rPr>
          <w:noProof/>
        </w:rPr>
        <w:t> </w:t>
      </w:r>
      <w:r w:rsidR="00710B91" w:rsidRPr="00710B91">
        <w:rPr>
          <w:noProof/>
        </w:rPr>
        <w:t>swo</w:t>
      </w:r>
      <w:r w:rsidRPr="00710B91">
        <w:rPr>
          <w:noProof/>
        </w:rPr>
        <w:t>jej siedzibie operacyjnej</w:t>
      </w:r>
      <w:r w:rsidR="00710B91" w:rsidRPr="00710B91">
        <w:rPr>
          <w:noProof/>
        </w:rPr>
        <w:t xml:space="preserve"> w</w:t>
      </w:r>
      <w:r w:rsidR="00710B91">
        <w:rPr>
          <w:noProof/>
        </w:rPr>
        <w:t> </w:t>
      </w:r>
      <w:r w:rsidR="00710B91" w:rsidRPr="00710B91">
        <w:rPr>
          <w:noProof/>
        </w:rPr>
        <w:t>Str</w:t>
      </w:r>
      <w:r w:rsidRPr="00710B91">
        <w:rPr>
          <w:noProof/>
        </w:rPr>
        <w:t>asburgu we Francji oraz</w:t>
      </w:r>
      <w:r w:rsidR="00710B91" w:rsidRPr="00710B91">
        <w:rPr>
          <w:noProof/>
        </w:rPr>
        <w:t xml:space="preserve"> w</w:t>
      </w:r>
      <w:r w:rsidR="00710B91">
        <w:rPr>
          <w:noProof/>
        </w:rPr>
        <w:t> </w:t>
      </w:r>
      <w:r w:rsidR="00710B91" w:rsidRPr="00710B91">
        <w:rPr>
          <w:noProof/>
        </w:rPr>
        <w:t>lok</w:t>
      </w:r>
      <w:r w:rsidRPr="00710B91">
        <w:rPr>
          <w:noProof/>
        </w:rPr>
        <w:t>alizacji rezerwowej</w:t>
      </w:r>
      <w:r w:rsidR="00710B91" w:rsidRPr="00710B91">
        <w:rPr>
          <w:noProof/>
        </w:rPr>
        <w:t xml:space="preserve"> w</w:t>
      </w:r>
      <w:r w:rsidR="00710B91">
        <w:rPr>
          <w:noProof/>
        </w:rPr>
        <w:t> </w:t>
      </w:r>
      <w:r w:rsidR="00710B91" w:rsidRPr="00710B91">
        <w:rPr>
          <w:noProof/>
        </w:rPr>
        <w:t>San</w:t>
      </w:r>
      <w:r w:rsidRPr="00710B91">
        <w:rPr>
          <w:noProof/>
        </w:rPr>
        <w:t>kt Johann</w:t>
      </w:r>
      <w:r w:rsidR="00710B91" w:rsidRPr="00710B91">
        <w:rPr>
          <w:noProof/>
        </w:rPr>
        <w:t xml:space="preserve"> w</w:t>
      </w:r>
      <w:r w:rsidR="00710B91">
        <w:rPr>
          <w:noProof/>
        </w:rPr>
        <w:t> </w:t>
      </w:r>
      <w:r w:rsidR="00710B91" w:rsidRPr="00710B91">
        <w:rPr>
          <w:noProof/>
        </w:rPr>
        <w:t>Aus</w:t>
      </w:r>
      <w:r w:rsidRPr="00710B91">
        <w:rPr>
          <w:noProof/>
        </w:rPr>
        <w:t>trii.</w:t>
      </w:r>
    </w:p>
    <w:p w14:paraId="549BA857" w14:textId="15AC2202" w:rsidR="00920E47" w:rsidRPr="00710B91" w:rsidRDefault="00920E47" w:rsidP="0005122E">
      <w:pPr>
        <w:rPr>
          <w:noProof/>
        </w:rPr>
      </w:pPr>
      <w:r w:rsidRPr="00710B91">
        <w:rPr>
          <w:noProof/>
        </w:rPr>
        <w:t>W sumie Eurojust (w tym sekretariat JIT) potrzebowałaby następujących środków finansowych</w:t>
      </w:r>
      <w:r w:rsidR="00710B91" w:rsidRPr="00710B91">
        <w:rPr>
          <w:noProof/>
        </w:rPr>
        <w:t xml:space="preserve"> i</w:t>
      </w:r>
      <w:r w:rsidR="00710B91">
        <w:rPr>
          <w:noProof/>
        </w:rPr>
        <w:t> </w:t>
      </w:r>
      <w:r w:rsidR="00710B91" w:rsidRPr="00710B91">
        <w:rPr>
          <w:noProof/>
        </w:rPr>
        <w:t>zas</w:t>
      </w:r>
      <w:r w:rsidRPr="00710B91">
        <w:rPr>
          <w:noProof/>
        </w:rPr>
        <w:t>obów ludzkich:</w:t>
      </w:r>
    </w:p>
    <w:p w14:paraId="51B24EB9" w14:textId="54534537" w:rsidR="00E40458" w:rsidRPr="00710B91" w:rsidRDefault="00920E47" w:rsidP="00E40458">
      <w:pPr>
        <w:pStyle w:val="Bullet0"/>
        <w:tabs>
          <w:tab w:val="clear" w:pos="850"/>
          <w:tab w:val="num" w:pos="567"/>
        </w:tabs>
        <w:ind w:left="567" w:hanging="567"/>
        <w:rPr>
          <w:noProof/>
        </w:rPr>
      </w:pPr>
      <w:r w:rsidRPr="00710B91">
        <w:rPr>
          <w:noProof/>
        </w:rPr>
        <w:t>na utworzenie, utrzymywanie</w:t>
      </w:r>
      <w:r w:rsidR="00710B91" w:rsidRPr="00710B91">
        <w:rPr>
          <w:noProof/>
        </w:rPr>
        <w:t xml:space="preserve"> i</w:t>
      </w:r>
      <w:r w:rsidR="00710B91">
        <w:rPr>
          <w:noProof/>
        </w:rPr>
        <w:t> </w:t>
      </w:r>
      <w:r w:rsidR="00710B91" w:rsidRPr="00710B91">
        <w:rPr>
          <w:noProof/>
        </w:rPr>
        <w:t>obs</w:t>
      </w:r>
      <w:r w:rsidRPr="00710B91">
        <w:rPr>
          <w:noProof/>
        </w:rPr>
        <w:t>ługę wybranych dostosowań technicznych systemów informatycznych Eurojustu, tj. finansowania JIT, oceny JIT</w:t>
      </w:r>
      <w:r w:rsidR="00710B91" w:rsidRPr="00710B91">
        <w:rPr>
          <w:noProof/>
        </w:rPr>
        <w:t xml:space="preserve"> i</w:t>
      </w:r>
      <w:r w:rsidR="00710B91">
        <w:rPr>
          <w:noProof/>
        </w:rPr>
        <w:t> </w:t>
      </w:r>
      <w:r w:rsidR="00710B91" w:rsidRPr="00710B91">
        <w:rPr>
          <w:noProof/>
        </w:rPr>
        <w:t>obs</w:t>
      </w:r>
      <w:r w:rsidRPr="00710B91">
        <w:rPr>
          <w:noProof/>
        </w:rPr>
        <w:t>zaru ograniczonego JIT,</w:t>
      </w:r>
      <w:r w:rsidR="00710B91" w:rsidRPr="00710B91">
        <w:rPr>
          <w:noProof/>
        </w:rPr>
        <w:t xml:space="preserve"> w</w:t>
      </w:r>
      <w:r w:rsidR="00710B91">
        <w:rPr>
          <w:noProof/>
        </w:rPr>
        <w:t> </w:t>
      </w:r>
      <w:r w:rsidR="00710B91" w:rsidRPr="00710B91">
        <w:rPr>
          <w:noProof/>
        </w:rPr>
        <w:t>cel</w:t>
      </w:r>
      <w:r w:rsidRPr="00710B91">
        <w:rPr>
          <w:noProof/>
        </w:rPr>
        <w:t>u ich częściowego zintegrowania</w:t>
      </w:r>
      <w:r w:rsidR="00710B91" w:rsidRPr="00710B91">
        <w:rPr>
          <w:noProof/>
        </w:rPr>
        <w:t xml:space="preserve"> z</w:t>
      </w:r>
      <w:r w:rsidR="00710B91">
        <w:rPr>
          <w:noProof/>
        </w:rPr>
        <w:t> </w:t>
      </w:r>
      <w:r w:rsidR="00710B91" w:rsidRPr="00710B91">
        <w:rPr>
          <w:noProof/>
        </w:rPr>
        <w:t>pla</w:t>
      </w:r>
      <w:r w:rsidRPr="00710B91">
        <w:rPr>
          <w:noProof/>
        </w:rPr>
        <w:t>tformą: 0,250 mln EUR</w:t>
      </w:r>
      <w:r w:rsidR="00710B91" w:rsidRPr="00710B91">
        <w:rPr>
          <w:noProof/>
        </w:rPr>
        <w:t xml:space="preserve"> w</w:t>
      </w:r>
      <w:r w:rsidR="00710B91">
        <w:rPr>
          <w:noProof/>
        </w:rPr>
        <w:t> </w:t>
      </w:r>
      <w:r w:rsidR="00710B91" w:rsidRPr="00710B91">
        <w:rPr>
          <w:noProof/>
        </w:rPr>
        <w:t>2</w:t>
      </w:r>
      <w:r w:rsidRPr="00710B91">
        <w:rPr>
          <w:noProof/>
        </w:rPr>
        <w:t>025</w:t>
      </w:r>
      <w:r w:rsidR="00710B91" w:rsidRPr="00710B91">
        <w:rPr>
          <w:noProof/>
        </w:rPr>
        <w:t> </w:t>
      </w:r>
      <w:r w:rsidRPr="00710B91">
        <w:rPr>
          <w:noProof/>
        </w:rPr>
        <w:t>r. (jednorazowo)</w:t>
      </w:r>
      <w:r w:rsidR="00710B91" w:rsidRPr="00710B91">
        <w:rPr>
          <w:noProof/>
        </w:rPr>
        <w:t xml:space="preserve"> i</w:t>
      </w:r>
      <w:r w:rsidR="00710B91">
        <w:rPr>
          <w:noProof/>
        </w:rPr>
        <w:t> </w:t>
      </w:r>
      <w:r w:rsidR="00710B91" w:rsidRPr="00710B91">
        <w:rPr>
          <w:noProof/>
        </w:rPr>
        <w:t>1</w:t>
      </w:r>
      <w:r w:rsidRPr="00710B91">
        <w:rPr>
          <w:noProof/>
        </w:rPr>
        <w:t xml:space="preserve"> pracownik</w:t>
      </w:r>
      <w:r w:rsidR="00710B91" w:rsidRPr="00710B91">
        <w:rPr>
          <w:noProof/>
        </w:rPr>
        <w:t xml:space="preserve"> o</w:t>
      </w:r>
      <w:r w:rsidR="00710B91">
        <w:rPr>
          <w:noProof/>
        </w:rPr>
        <w:t> </w:t>
      </w:r>
      <w:r w:rsidR="00710B91" w:rsidRPr="00710B91">
        <w:rPr>
          <w:noProof/>
        </w:rPr>
        <w:t>pro</w:t>
      </w:r>
      <w:r w:rsidRPr="00710B91">
        <w:rPr>
          <w:noProof/>
        </w:rPr>
        <w:t>filu technicznym zatrudniony</w:t>
      </w:r>
      <w:r w:rsidR="00710B91" w:rsidRPr="00710B91">
        <w:rPr>
          <w:noProof/>
        </w:rPr>
        <w:t xml:space="preserve"> w</w:t>
      </w:r>
      <w:r w:rsidR="00710B91">
        <w:rPr>
          <w:noProof/>
        </w:rPr>
        <w:t> </w:t>
      </w:r>
      <w:r w:rsidR="00710B91" w:rsidRPr="00710B91">
        <w:rPr>
          <w:noProof/>
        </w:rPr>
        <w:t>wym</w:t>
      </w:r>
      <w:r w:rsidRPr="00710B91">
        <w:rPr>
          <w:noProof/>
        </w:rPr>
        <w:t>iarze ekwiwalentu pełnego czasu pracy po</w:t>
      </w:r>
      <w:r w:rsidR="00710B91" w:rsidRPr="00710B91">
        <w:rPr>
          <w:noProof/>
        </w:rPr>
        <w:t> </w:t>
      </w:r>
      <w:r w:rsidRPr="00710B91">
        <w:rPr>
          <w:noProof/>
        </w:rPr>
        <w:t>2025</w:t>
      </w:r>
      <w:r w:rsidR="00710B91" w:rsidRPr="00710B91">
        <w:rPr>
          <w:noProof/>
        </w:rPr>
        <w:t> </w:t>
      </w:r>
      <w:r w:rsidRPr="00710B91">
        <w:rPr>
          <w:noProof/>
        </w:rPr>
        <w:t>r.;</w:t>
      </w:r>
    </w:p>
    <w:p w14:paraId="0D80511B" w14:textId="0B1C33A7" w:rsidR="00920E47" w:rsidRPr="00710B91" w:rsidRDefault="00920E47" w:rsidP="00E40458">
      <w:pPr>
        <w:pStyle w:val="Bullet0"/>
        <w:tabs>
          <w:tab w:val="clear" w:pos="850"/>
          <w:tab w:val="num" w:pos="567"/>
        </w:tabs>
        <w:ind w:left="567" w:hanging="567"/>
        <w:rPr>
          <w:noProof/>
        </w:rPr>
      </w:pPr>
      <w:r w:rsidRPr="00710B91">
        <w:rPr>
          <w:noProof/>
        </w:rPr>
        <w:t>na wsparcie administracyjne udzielane użytkownikom platformy przez sekretariat JIT</w:t>
      </w:r>
      <w:r w:rsidR="00710B91" w:rsidRPr="00710B91">
        <w:rPr>
          <w:noProof/>
        </w:rPr>
        <w:t xml:space="preserve"> w</w:t>
      </w:r>
      <w:r w:rsidR="00710B91">
        <w:rPr>
          <w:noProof/>
        </w:rPr>
        <w:t> </w:t>
      </w:r>
      <w:r w:rsidR="00710B91" w:rsidRPr="00710B91">
        <w:rPr>
          <w:noProof/>
        </w:rPr>
        <w:t>imi</w:t>
      </w:r>
      <w:r w:rsidRPr="00710B91">
        <w:rPr>
          <w:noProof/>
        </w:rPr>
        <w:t>eniu administratora (administratorów) przestrzeni JIT: 2 pracowników zatrudnionych</w:t>
      </w:r>
      <w:r w:rsidR="00710B91" w:rsidRPr="00710B91">
        <w:rPr>
          <w:noProof/>
        </w:rPr>
        <w:t xml:space="preserve"> w</w:t>
      </w:r>
      <w:r w:rsidR="00710B91">
        <w:rPr>
          <w:noProof/>
        </w:rPr>
        <w:t> </w:t>
      </w:r>
      <w:r w:rsidR="00710B91" w:rsidRPr="00710B91">
        <w:rPr>
          <w:noProof/>
        </w:rPr>
        <w:t>wym</w:t>
      </w:r>
      <w:r w:rsidRPr="00710B91">
        <w:rPr>
          <w:noProof/>
        </w:rPr>
        <w:t>iarze ekwiwalentu pełnego czasu pracy, poczynając od</w:t>
      </w:r>
      <w:r w:rsidR="00710B91" w:rsidRPr="00710B91">
        <w:rPr>
          <w:noProof/>
        </w:rPr>
        <w:t> </w:t>
      </w:r>
      <w:r w:rsidRPr="00710B91">
        <w:rPr>
          <w:noProof/>
        </w:rPr>
        <w:t>2026</w:t>
      </w:r>
      <w:r w:rsidR="00710B91" w:rsidRPr="00710B91">
        <w:rPr>
          <w:noProof/>
        </w:rPr>
        <w:t> </w:t>
      </w:r>
      <w:r w:rsidRPr="00710B91">
        <w:rPr>
          <w:noProof/>
        </w:rPr>
        <w:t xml:space="preserve">r. </w:t>
      </w:r>
    </w:p>
    <w:p w14:paraId="0EB42BB0" w14:textId="7863086E" w:rsidR="00920E47" w:rsidRPr="00710B91" w:rsidRDefault="00920E47" w:rsidP="0005122E">
      <w:pPr>
        <w:rPr>
          <w:noProof/>
        </w:rPr>
      </w:pPr>
      <w:r w:rsidRPr="00710B91">
        <w:rPr>
          <w:noProof/>
        </w:rPr>
        <w:t>Koszty te byłyby pokrywane</w:t>
      </w:r>
      <w:r w:rsidR="00710B91" w:rsidRPr="00710B91">
        <w:rPr>
          <w:noProof/>
        </w:rPr>
        <w:t xml:space="preserve"> z</w:t>
      </w:r>
      <w:r w:rsidR="00710B91">
        <w:rPr>
          <w:noProof/>
        </w:rPr>
        <w:t> </w:t>
      </w:r>
      <w:r w:rsidR="00710B91" w:rsidRPr="00710B91">
        <w:rPr>
          <w:noProof/>
        </w:rPr>
        <w:t>ogó</w:t>
      </w:r>
      <w:r w:rsidRPr="00710B91">
        <w:rPr>
          <w:noProof/>
        </w:rPr>
        <w:t>lnego budżetu Unii</w:t>
      </w:r>
      <w:r w:rsidR="00710B91" w:rsidRPr="00710B91">
        <w:rPr>
          <w:noProof/>
        </w:rPr>
        <w:t xml:space="preserve"> i</w:t>
      </w:r>
      <w:r w:rsidR="00710B91">
        <w:rPr>
          <w:noProof/>
        </w:rPr>
        <w:t> </w:t>
      </w:r>
      <w:r w:rsidR="00710B91" w:rsidRPr="00710B91">
        <w:rPr>
          <w:noProof/>
        </w:rPr>
        <w:t>mus</w:t>
      </w:r>
      <w:r w:rsidRPr="00710B91">
        <w:rPr>
          <w:noProof/>
        </w:rPr>
        <w:t>iałyby zostać uwzględnione</w:t>
      </w:r>
      <w:r w:rsidR="00710B91" w:rsidRPr="00710B91">
        <w:rPr>
          <w:noProof/>
        </w:rPr>
        <w:t xml:space="preserve"> w</w:t>
      </w:r>
      <w:r w:rsidR="00710B91">
        <w:rPr>
          <w:noProof/>
        </w:rPr>
        <w:t> </w:t>
      </w:r>
      <w:r w:rsidR="00710B91" w:rsidRPr="00710B91">
        <w:rPr>
          <w:noProof/>
        </w:rPr>
        <w:t>bud</w:t>
      </w:r>
      <w:r w:rsidRPr="00710B91">
        <w:rPr>
          <w:noProof/>
        </w:rPr>
        <w:t xml:space="preserve">żecie obu agencji. </w:t>
      </w:r>
    </w:p>
    <w:p w14:paraId="30FCBF3A" w14:textId="77777777" w:rsidR="00920E47" w:rsidRPr="00710B91" w:rsidRDefault="00920E47" w:rsidP="0005122E">
      <w:pPr>
        <w:pStyle w:val="ManualHeading1"/>
        <w:rPr>
          <w:noProof/>
        </w:rPr>
      </w:pPr>
      <w:bookmarkStart w:id="5" w:name="_Toc92899376"/>
      <w:r w:rsidRPr="00710B91">
        <w:rPr>
          <w:noProof/>
        </w:rPr>
        <w:t>5.</w:t>
      </w:r>
      <w:r w:rsidRPr="00710B91">
        <w:rPr>
          <w:noProof/>
        </w:rPr>
        <w:tab/>
        <w:t>ELEMENTY FAKULTATYWNE</w:t>
      </w:r>
      <w:bookmarkEnd w:id="5"/>
    </w:p>
    <w:p w14:paraId="6B40E810" w14:textId="08D0074F" w:rsidR="00920E47" w:rsidRPr="00710B91" w:rsidRDefault="00920E47" w:rsidP="009D79B9">
      <w:pPr>
        <w:pStyle w:val="Bullet0"/>
        <w:tabs>
          <w:tab w:val="clear" w:pos="850"/>
          <w:tab w:val="num" w:pos="567"/>
        </w:tabs>
        <w:rPr>
          <w:b/>
          <w:noProof/>
        </w:rPr>
      </w:pPr>
      <w:r w:rsidRPr="00710B91">
        <w:rPr>
          <w:b/>
          <w:noProof/>
        </w:rPr>
        <w:t>Plany wdrożenia</w:t>
      </w:r>
      <w:r w:rsidR="00710B91" w:rsidRPr="00710B91">
        <w:rPr>
          <w:b/>
          <w:noProof/>
        </w:rPr>
        <w:t xml:space="preserve"> i</w:t>
      </w:r>
      <w:r w:rsidR="00710B91">
        <w:rPr>
          <w:b/>
          <w:noProof/>
        </w:rPr>
        <w:t> </w:t>
      </w:r>
      <w:r w:rsidR="00710B91" w:rsidRPr="00710B91">
        <w:rPr>
          <w:b/>
          <w:noProof/>
        </w:rPr>
        <w:t>mon</w:t>
      </w:r>
      <w:r w:rsidRPr="00710B91">
        <w:rPr>
          <w:b/>
          <w:noProof/>
        </w:rPr>
        <w:t>itorowanie, ocena</w:t>
      </w:r>
      <w:r w:rsidR="00710B91" w:rsidRPr="00710B91">
        <w:rPr>
          <w:b/>
          <w:noProof/>
        </w:rPr>
        <w:t xml:space="preserve"> i</w:t>
      </w:r>
      <w:r w:rsidR="00710B91">
        <w:rPr>
          <w:b/>
          <w:noProof/>
        </w:rPr>
        <w:t> </w:t>
      </w:r>
      <w:r w:rsidR="00710B91" w:rsidRPr="00710B91">
        <w:rPr>
          <w:b/>
          <w:noProof/>
        </w:rPr>
        <w:t>spr</w:t>
      </w:r>
      <w:r w:rsidRPr="00710B91">
        <w:rPr>
          <w:b/>
          <w:noProof/>
        </w:rPr>
        <w:t>awozdania</w:t>
      </w:r>
    </w:p>
    <w:p w14:paraId="34139F68" w14:textId="478E3831" w:rsidR="00920E47" w:rsidRPr="00710B91" w:rsidRDefault="00920E47" w:rsidP="0005122E">
      <w:pPr>
        <w:pBdr>
          <w:top w:val="nil"/>
          <w:left w:val="nil"/>
          <w:bottom w:val="nil"/>
          <w:right w:val="nil"/>
          <w:between w:val="nil"/>
          <w:bar w:val="nil"/>
        </w:pBdr>
        <w:spacing w:after="240"/>
        <w:rPr>
          <w:rFonts w:eastAsia="Arial Unicode MS"/>
          <w:noProof/>
          <w:szCs w:val="24"/>
        </w:rPr>
      </w:pPr>
      <w:r w:rsidRPr="00710B91">
        <w:rPr>
          <w:noProof/>
        </w:rPr>
        <w:t>Monitorowanie</w:t>
      </w:r>
      <w:r w:rsidR="00710B91" w:rsidRPr="00710B91">
        <w:rPr>
          <w:noProof/>
        </w:rPr>
        <w:t xml:space="preserve"> i</w:t>
      </w:r>
      <w:r w:rsidR="00710B91">
        <w:rPr>
          <w:noProof/>
        </w:rPr>
        <w:t> </w:t>
      </w:r>
      <w:r w:rsidR="00710B91" w:rsidRPr="00710B91">
        <w:rPr>
          <w:noProof/>
        </w:rPr>
        <w:t>oce</w:t>
      </w:r>
      <w:r w:rsidRPr="00710B91">
        <w:rPr>
          <w:noProof/>
        </w:rPr>
        <w:t>na utworzenia</w:t>
      </w:r>
      <w:r w:rsidR="00710B91" w:rsidRPr="00710B91">
        <w:rPr>
          <w:noProof/>
        </w:rPr>
        <w:t xml:space="preserve"> i</w:t>
      </w:r>
      <w:r w:rsidR="00710B91">
        <w:rPr>
          <w:noProof/>
        </w:rPr>
        <w:t> </w:t>
      </w:r>
      <w:r w:rsidR="00710B91" w:rsidRPr="00710B91">
        <w:rPr>
          <w:noProof/>
        </w:rPr>
        <w:t>tec</w:t>
      </w:r>
      <w:r w:rsidRPr="00710B91">
        <w:rPr>
          <w:noProof/>
        </w:rPr>
        <w:t>hnicznego funkcjonowania platformy współpracy zespołów JIT są kluczowe</w:t>
      </w:r>
      <w:r w:rsidR="00710B91" w:rsidRPr="00710B91">
        <w:rPr>
          <w:noProof/>
        </w:rPr>
        <w:t xml:space="preserve"> i</w:t>
      </w:r>
      <w:r w:rsidR="00710B91">
        <w:rPr>
          <w:noProof/>
        </w:rPr>
        <w:t> </w:t>
      </w:r>
      <w:r w:rsidR="00710B91" w:rsidRPr="00710B91">
        <w:rPr>
          <w:noProof/>
        </w:rPr>
        <w:t>będ</w:t>
      </w:r>
      <w:r w:rsidRPr="00710B91">
        <w:rPr>
          <w:noProof/>
        </w:rPr>
        <w:t>ą zastosowane na następujących zasadach określonych we wspólnym podejściu do agencji zdecentralizowanych</w:t>
      </w:r>
      <w:r w:rsidRPr="00710B91">
        <w:rPr>
          <w:rStyle w:val="FootnoteReference"/>
          <w:noProof/>
        </w:rPr>
        <w:footnoteReference w:id="19"/>
      </w:r>
      <w:r w:rsidRPr="00710B91">
        <w:rPr>
          <w:noProof/>
        </w:rPr>
        <w:t>.</w:t>
      </w:r>
    </w:p>
    <w:p w14:paraId="6FD71A57" w14:textId="0C04D16B" w:rsidR="00920E47" w:rsidRPr="00710B91" w:rsidRDefault="00920E47" w:rsidP="0005122E">
      <w:pPr>
        <w:pBdr>
          <w:top w:val="nil"/>
          <w:left w:val="nil"/>
          <w:bottom w:val="nil"/>
          <w:right w:val="nil"/>
          <w:between w:val="nil"/>
          <w:bar w:val="nil"/>
        </w:pBdr>
        <w:spacing w:after="240"/>
        <w:rPr>
          <w:rFonts w:eastAsia="Arial Unicode MS"/>
          <w:noProof/>
          <w:szCs w:val="24"/>
        </w:rPr>
      </w:pPr>
      <w:r w:rsidRPr="00710B91">
        <w:rPr>
          <w:noProof/>
        </w:rPr>
        <w:t>Po zakończeniu tworzenia platformy współpracy zespołów JIT eu-LISA przedłoży Parlamentowi Europejskiemu</w:t>
      </w:r>
      <w:r w:rsidR="00710B91" w:rsidRPr="00710B91">
        <w:rPr>
          <w:noProof/>
        </w:rPr>
        <w:t xml:space="preserve"> i</w:t>
      </w:r>
      <w:r w:rsidR="00710B91">
        <w:rPr>
          <w:noProof/>
        </w:rPr>
        <w:t> </w:t>
      </w:r>
      <w:r w:rsidR="00710B91" w:rsidRPr="00710B91">
        <w:rPr>
          <w:noProof/>
        </w:rPr>
        <w:t>Rad</w:t>
      </w:r>
      <w:r w:rsidRPr="00710B91">
        <w:rPr>
          <w:noProof/>
        </w:rPr>
        <w:t>zie sprawozdanie zawierające wyjaśnienia dotyczące tego, jak osiągnięto cele,</w:t>
      </w:r>
      <w:r w:rsidR="00710B91" w:rsidRPr="00710B91">
        <w:rPr>
          <w:noProof/>
        </w:rPr>
        <w:t xml:space="preserve"> w</w:t>
      </w:r>
      <w:r w:rsidR="00710B91">
        <w:rPr>
          <w:noProof/>
        </w:rPr>
        <w:t> </w:t>
      </w:r>
      <w:r w:rsidR="00710B91" w:rsidRPr="00710B91">
        <w:rPr>
          <w:noProof/>
        </w:rPr>
        <w:t>szc</w:t>
      </w:r>
      <w:r w:rsidRPr="00710B91">
        <w:rPr>
          <w:noProof/>
        </w:rPr>
        <w:t>zególności te związane</w:t>
      </w:r>
      <w:r w:rsidR="00710B91" w:rsidRPr="00710B91">
        <w:rPr>
          <w:noProof/>
        </w:rPr>
        <w:t xml:space="preserve"> z</w:t>
      </w:r>
      <w:r w:rsidR="00710B91">
        <w:rPr>
          <w:noProof/>
        </w:rPr>
        <w:t> </w:t>
      </w:r>
      <w:r w:rsidR="00710B91" w:rsidRPr="00710B91">
        <w:rPr>
          <w:noProof/>
        </w:rPr>
        <w:t>pla</w:t>
      </w:r>
      <w:r w:rsidRPr="00710B91">
        <w:rPr>
          <w:noProof/>
        </w:rPr>
        <w:t>nowaniem</w:t>
      </w:r>
      <w:r w:rsidR="00710B91" w:rsidRPr="00710B91">
        <w:rPr>
          <w:noProof/>
        </w:rPr>
        <w:t xml:space="preserve"> i</w:t>
      </w:r>
      <w:r w:rsidR="00710B91">
        <w:rPr>
          <w:noProof/>
        </w:rPr>
        <w:t> </w:t>
      </w:r>
      <w:r w:rsidR="00710B91" w:rsidRPr="00710B91">
        <w:rPr>
          <w:noProof/>
        </w:rPr>
        <w:t>kos</w:t>
      </w:r>
      <w:r w:rsidRPr="00710B91">
        <w:rPr>
          <w:noProof/>
        </w:rPr>
        <w:t>ztami.</w:t>
      </w:r>
    </w:p>
    <w:p w14:paraId="2A1A7956" w14:textId="1A0EE56D" w:rsidR="00920E47" w:rsidRPr="00710B91" w:rsidRDefault="00920E47" w:rsidP="0005122E">
      <w:pPr>
        <w:pBdr>
          <w:top w:val="nil"/>
          <w:left w:val="nil"/>
          <w:bottom w:val="nil"/>
          <w:right w:val="nil"/>
          <w:between w:val="nil"/>
          <w:bar w:val="nil"/>
        </w:pBdr>
        <w:spacing w:after="240"/>
        <w:rPr>
          <w:rFonts w:eastAsia="Arial Unicode MS"/>
          <w:noProof/>
          <w:szCs w:val="24"/>
        </w:rPr>
      </w:pPr>
      <w:r w:rsidRPr="00710B91">
        <w:rPr>
          <w:noProof/>
        </w:rPr>
        <w:t>Dwa lata po rozpoczęciu funkcjonowania platformy współpracy zespołów JIT oraz później</w:t>
      </w:r>
      <w:r w:rsidR="00710B91" w:rsidRPr="00710B91">
        <w:rPr>
          <w:noProof/>
        </w:rPr>
        <w:t xml:space="preserve"> w</w:t>
      </w:r>
      <w:r w:rsidR="00710B91">
        <w:rPr>
          <w:noProof/>
        </w:rPr>
        <w:t> </w:t>
      </w:r>
      <w:r w:rsidR="00710B91" w:rsidRPr="00710B91">
        <w:rPr>
          <w:noProof/>
        </w:rPr>
        <w:t>for</w:t>
      </w:r>
      <w:r w:rsidRPr="00710B91">
        <w:rPr>
          <w:noProof/>
        </w:rPr>
        <w:t>macie corocznym eu-LISA przedłoży Komisji sprawozdanie dotyczące technicznego funkcjonowania platformy współpracy zespołów JIT,</w:t>
      </w:r>
      <w:r w:rsidR="00710B91" w:rsidRPr="00710B91">
        <w:rPr>
          <w:noProof/>
        </w:rPr>
        <w:t xml:space="preserve"> w</w:t>
      </w:r>
      <w:r w:rsidR="00710B91">
        <w:rPr>
          <w:noProof/>
        </w:rPr>
        <w:t> </w:t>
      </w:r>
      <w:r w:rsidR="00710B91" w:rsidRPr="00710B91">
        <w:rPr>
          <w:noProof/>
        </w:rPr>
        <w:t>tym</w:t>
      </w:r>
      <w:r w:rsidRPr="00710B91">
        <w:rPr>
          <w:noProof/>
        </w:rPr>
        <w:t xml:space="preserve"> jej bezpieczeństwa. </w:t>
      </w:r>
    </w:p>
    <w:p w14:paraId="54ADAA4A" w14:textId="426943D2" w:rsidR="00920E47" w:rsidRPr="00710B91" w:rsidRDefault="00920E47" w:rsidP="0005122E">
      <w:pPr>
        <w:pBdr>
          <w:top w:val="nil"/>
          <w:left w:val="nil"/>
          <w:bottom w:val="nil"/>
          <w:right w:val="nil"/>
          <w:between w:val="nil"/>
          <w:bar w:val="nil"/>
        </w:pBdr>
        <w:spacing w:after="240"/>
        <w:rPr>
          <w:rFonts w:eastAsia="Arial Unicode MS"/>
          <w:noProof/>
          <w:szCs w:val="24"/>
        </w:rPr>
      </w:pPr>
      <w:r w:rsidRPr="00710B91">
        <w:rPr>
          <w:noProof/>
        </w:rPr>
        <w:t>Cztery lata po rozpoczęciu funkcjonowania platformy współpracy zespołów JIT oraz później co cztery lata Komisja przeprowadzi ogólną ocenę platformy współpracy zespołów JIT. Komisja prześle sprawozdanie oceniające Parlamentowi Europejskiemu</w:t>
      </w:r>
      <w:r w:rsidR="00710B91" w:rsidRPr="00710B91">
        <w:rPr>
          <w:noProof/>
        </w:rPr>
        <w:t xml:space="preserve"> i</w:t>
      </w:r>
      <w:r w:rsidR="00710B91">
        <w:rPr>
          <w:noProof/>
        </w:rPr>
        <w:t> </w:t>
      </w:r>
      <w:r w:rsidR="00710B91" w:rsidRPr="00710B91">
        <w:rPr>
          <w:noProof/>
        </w:rPr>
        <w:t>Rad</w:t>
      </w:r>
      <w:r w:rsidRPr="00710B91">
        <w:rPr>
          <w:noProof/>
        </w:rPr>
        <w:t>zie.</w:t>
      </w:r>
    </w:p>
    <w:p w14:paraId="256AAEC1" w14:textId="77777777" w:rsidR="00920E47" w:rsidRPr="00710B91" w:rsidRDefault="00920E47" w:rsidP="009D79B9">
      <w:pPr>
        <w:pStyle w:val="Bullet0"/>
        <w:tabs>
          <w:tab w:val="clear" w:pos="850"/>
          <w:tab w:val="num" w:pos="567"/>
        </w:tabs>
        <w:rPr>
          <w:b/>
          <w:noProof/>
        </w:rPr>
      </w:pPr>
      <w:r w:rsidRPr="00710B91">
        <w:rPr>
          <w:b/>
          <w:noProof/>
        </w:rPr>
        <w:t xml:space="preserve">Szczegółowe objaśnienia poszczególnych przepisów wniosku </w:t>
      </w:r>
    </w:p>
    <w:p w14:paraId="08BEDBBD" w14:textId="77777777" w:rsidR="00920E47" w:rsidRPr="00710B91" w:rsidRDefault="00920E47" w:rsidP="008E2629">
      <w:pPr>
        <w:spacing w:before="0" w:after="240" w:line="280" w:lineRule="atLeast"/>
        <w:rPr>
          <w:rFonts w:eastAsia="Times New Roman"/>
          <w:i/>
          <w:noProof/>
          <w:color w:val="000000"/>
          <w:szCs w:val="24"/>
        </w:rPr>
      </w:pPr>
      <w:r w:rsidRPr="00710B91">
        <w:rPr>
          <w:i/>
          <w:noProof/>
          <w:color w:val="000000"/>
          <w:szCs w:val="24"/>
        </w:rPr>
        <w:t xml:space="preserve">Rozdział I Przepisy ogólne </w:t>
      </w:r>
    </w:p>
    <w:p w14:paraId="1D0088ED" w14:textId="04E15958" w:rsidR="00920E47" w:rsidRPr="00710B91" w:rsidRDefault="00920E47" w:rsidP="00204DB4">
      <w:pPr>
        <w:pBdr>
          <w:top w:val="nil"/>
          <w:left w:val="nil"/>
          <w:bottom w:val="nil"/>
          <w:right w:val="nil"/>
          <w:between w:val="nil"/>
          <w:bar w:val="nil"/>
        </w:pBdr>
        <w:spacing w:before="0" w:after="240"/>
        <w:rPr>
          <w:rFonts w:eastAsia="Arial Unicode MS"/>
          <w:noProof/>
        </w:rPr>
      </w:pPr>
      <w:r w:rsidRPr="00710B91">
        <w:rPr>
          <w:noProof/>
        </w:rPr>
        <w:t xml:space="preserve">W </w:t>
      </w:r>
      <w:r w:rsidRPr="00710B91">
        <w:rPr>
          <w:i/>
          <w:noProof/>
        </w:rPr>
        <w:t>art.</w:t>
      </w:r>
      <w:r w:rsidR="00710B91" w:rsidRPr="00710B91">
        <w:rPr>
          <w:i/>
          <w:noProof/>
        </w:rPr>
        <w:t> </w:t>
      </w:r>
      <w:r w:rsidRPr="00710B91">
        <w:rPr>
          <w:i/>
          <w:noProof/>
        </w:rPr>
        <w:t>1</w:t>
      </w:r>
      <w:r w:rsidRPr="00710B91">
        <w:rPr>
          <w:noProof/>
        </w:rPr>
        <w:t xml:space="preserve"> określono przedmiot rozporządzenia. „Platforma współpracy zespołów JIT” to scentralizowana platforma informatyczna</w:t>
      </w:r>
      <w:r w:rsidR="00710B91" w:rsidRPr="00710B91">
        <w:rPr>
          <w:noProof/>
        </w:rPr>
        <w:t xml:space="preserve"> a</w:t>
      </w:r>
      <w:r w:rsidR="00710B91">
        <w:rPr>
          <w:noProof/>
        </w:rPr>
        <w:t> </w:t>
      </w:r>
      <w:r w:rsidR="00710B91" w:rsidRPr="00710B91">
        <w:rPr>
          <w:noProof/>
        </w:rPr>
        <w:t>poz</w:t>
      </w:r>
      <w:r w:rsidRPr="00710B91">
        <w:rPr>
          <w:noProof/>
        </w:rPr>
        <w:t>iomie unijnym utworzona, aby podmioty zaangażowane we współpracę zespołów JIT mogły współpracować, bezpiecznie się między sobą komunikować</w:t>
      </w:r>
      <w:r w:rsidR="00710B91" w:rsidRPr="00710B91">
        <w:rPr>
          <w:noProof/>
        </w:rPr>
        <w:t xml:space="preserve"> i</w:t>
      </w:r>
      <w:r w:rsidR="00710B91">
        <w:rPr>
          <w:noProof/>
        </w:rPr>
        <w:t> </w:t>
      </w:r>
      <w:r w:rsidR="00710B91" w:rsidRPr="00710B91">
        <w:rPr>
          <w:noProof/>
        </w:rPr>
        <w:t>udo</w:t>
      </w:r>
      <w:r w:rsidRPr="00710B91">
        <w:rPr>
          <w:noProof/>
        </w:rPr>
        <w:t>stępniać informacje</w:t>
      </w:r>
      <w:r w:rsidR="00710B91" w:rsidRPr="00710B91">
        <w:rPr>
          <w:noProof/>
        </w:rPr>
        <w:t xml:space="preserve"> i</w:t>
      </w:r>
      <w:r w:rsidR="00710B91">
        <w:rPr>
          <w:noProof/>
        </w:rPr>
        <w:t> </w:t>
      </w:r>
      <w:r w:rsidR="00710B91" w:rsidRPr="00710B91">
        <w:rPr>
          <w:noProof/>
        </w:rPr>
        <w:t>dow</w:t>
      </w:r>
      <w:r w:rsidRPr="00710B91">
        <w:rPr>
          <w:noProof/>
        </w:rPr>
        <w:t>ody</w:t>
      </w:r>
      <w:r w:rsidR="00710B91" w:rsidRPr="00710B91">
        <w:rPr>
          <w:noProof/>
        </w:rPr>
        <w:t>. W</w:t>
      </w:r>
      <w:r w:rsidR="00710B91">
        <w:rPr>
          <w:noProof/>
        </w:rPr>
        <w:t> </w:t>
      </w:r>
      <w:r w:rsidR="00710B91" w:rsidRPr="00710B91">
        <w:rPr>
          <w:noProof/>
        </w:rPr>
        <w:t>roz</w:t>
      </w:r>
      <w:r w:rsidRPr="00710B91">
        <w:rPr>
          <w:noProof/>
        </w:rPr>
        <w:t>porządzeniu określono również zasady podziału odpowiedzialności pomiędzy użytkownikami platformy współpracy zespołów JIT i eu-LISA – organizacją odpowiedzialną za utworzenie</w:t>
      </w:r>
      <w:r w:rsidR="00710B91" w:rsidRPr="00710B91">
        <w:rPr>
          <w:noProof/>
        </w:rPr>
        <w:t xml:space="preserve"> i</w:t>
      </w:r>
      <w:r w:rsidR="00710B91">
        <w:rPr>
          <w:noProof/>
        </w:rPr>
        <w:t> </w:t>
      </w:r>
      <w:r w:rsidR="00710B91" w:rsidRPr="00710B91">
        <w:rPr>
          <w:noProof/>
        </w:rPr>
        <w:t>utr</w:t>
      </w:r>
      <w:r w:rsidRPr="00710B91">
        <w:rPr>
          <w:noProof/>
        </w:rPr>
        <w:t>zymywanie platformy współpracy zespołów JIT. Zawiera ono warunki, na jakich użytkownicy platformy współpracy zespołów JIT mogą uzyskać dostęp do przestrzeni współpracy zespołu JIT. Określono</w:t>
      </w:r>
      <w:r w:rsidR="00710B91" w:rsidRPr="00710B91">
        <w:rPr>
          <w:noProof/>
        </w:rPr>
        <w:t xml:space="preserve"> w</w:t>
      </w:r>
      <w:r w:rsidR="00710B91">
        <w:rPr>
          <w:noProof/>
        </w:rPr>
        <w:t> </w:t>
      </w:r>
      <w:r w:rsidR="00710B91" w:rsidRPr="00710B91">
        <w:rPr>
          <w:noProof/>
        </w:rPr>
        <w:t>nim</w:t>
      </w:r>
      <w:r w:rsidRPr="00710B91">
        <w:rPr>
          <w:noProof/>
        </w:rPr>
        <w:t xml:space="preserve"> także szczegółowe przepisy dotyczące ochrony danych konieczne do uzupełnienia istniejących rozwiązań</w:t>
      </w:r>
      <w:r w:rsidR="00710B91" w:rsidRPr="00710B91">
        <w:rPr>
          <w:noProof/>
        </w:rPr>
        <w:t xml:space="preserve"> w</w:t>
      </w:r>
      <w:r w:rsidR="00710B91">
        <w:rPr>
          <w:noProof/>
        </w:rPr>
        <w:t> </w:t>
      </w:r>
      <w:r w:rsidR="00710B91" w:rsidRPr="00710B91">
        <w:rPr>
          <w:noProof/>
        </w:rPr>
        <w:t>zak</w:t>
      </w:r>
      <w:r w:rsidRPr="00710B91">
        <w:rPr>
          <w:noProof/>
        </w:rPr>
        <w:t>resie ochrony danych oraz do zapewnienia ogólnego właściwego poziomu ochrony danych, bezpieczeństwa danych</w:t>
      </w:r>
      <w:r w:rsidR="00710B91" w:rsidRPr="00710B91">
        <w:rPr>
          <w:noProof/>
        </w:rPr>
        <w:t xml:space="preserve"> i</w:t>
      </w:r>
      <w:r w:rsidR="00710B91">
        <w:rPr>
          <w:noProof/>
        </w:rPr>
        <w:t> </w:t>
      </w:r>
      <w:r w:rsidR="00710B91" w:rsidRPr="00710B91">
        <w:rPr>
          <w:noProof/>
        </w:rPr>
        <w:t>och</w:t>
      </w:r>
      <w:r w:rsidRPr="00710B91">
        <w:rPr>
          <w:noProof/>
        </w:rPr>
        <w:t>rony praw podstawowych osób, których one dotyczą.</w:t>
      </w:r>
    </w:p>
    <w:p w14:paraId="3891A678" w14:textId="2A34A7F1" w:rsidR="00920E47" w:rsidRPr="00CB58EC" w:rsidRDefault="00920E47" w:rsidP="00204DB4">
      <w:pPr>
        <w:pBdr>
          <w:top w:val="nil"/>
          <w:left w:val="nil"/>
          <w:bottom w:val="nil"/>
          <w:right w:val="nil"/>
          <w:between w:val="nil"/>
          <w:bar w:val="nil"/>
        </w:pBdr>
        <w:spacing w:before="0" w:after="240"/>
      </w:pPr>
      <w:r w:rsidRPr="00710B91">
        <w:rPr>
          <w:noProof/>
        </w:rPr>
        <w:t xml:space="preserve">W </w:t>
      </w:r>
      <w:r w:rsidRPr="00710B91">
        <w:rPr>
          <w:i/>
          <w:noProof/>
        </w:rPr>
        <w:t>art.</w:t>
      </w:r>
      <w:r w:rsidR="00710B91" w:rsidRPr="00710B91">
        <w:rPr>
          <w:i/>
          <w:noProof/>
        </w:rPr>
        <w:t> </w:t>
      </w:r>
      <w:r w:rsidRPr="00710B91">
        <w:rPr>
          <w:i/>
          <w:noProof/>
        </w:rPr>
        <w:t>2</w:t>
      </w:r>
      <w:r w:rsidRPr="00710B91">
        <w:rPr>
          <w:rStyle w:val="Marker1"/>
          <w:noProof/>
        </w:rPr>
        <w:t xml:space="preserve"> </w:t>
      </w:r>
      <w:r w:rsidRPr="00710B91">
        <w:rPr>
          <w:noProof/>
        </w:rPr>
        <w:t>określono zakres stosowania rozporządzenia. Rozporządzenie ma zastosowanie do przetwarzania informacji,</w:t>
      </w:r>
      <w:r w:rsidR="00710B91" w:rsidRPr="00710B91">
        <w:rPr>
          <w:noProof/>
        </w:rPr>
        <w:t xml:space="preserve"> w</w:t>
      </w:r>
      <w:r w:rsidR="00710B91">
        <w:rPr>
          <w:noProof/>
        </w:rPr>
        <w:t> </w:t>
      </w:r>
      <w:r w:rsidR="00710B91" w:rsidRPr="00710B91">
        <w:rPr>
          <w:noProof/>
        </w:rPr>
        <w:t>tym</w:t>
      </w:r>
      <w:r w:rsidRPr="00710B91">
        <w:rPr>
          <w:noProof/>
        </w:rPr>
        <w:t xml:space="preserve"> danych osobowych,</w:t>
      </w:r>
      <w:r w:rsidR="00710B91" w:rsidRPr="00710B91">
        <w:rPr>
          <w:noProof/>
        </w:rPr>
        <w:t xml:space="preserve"> w</w:t>
      </w:r>
      <w:r w:rsidR="00710B91">
        <w:rPr>
          <w:noProof/>
        </w:rPr>
        <w:t> </w:t>
      </w:r>
      <w:r w:rsidR="00710B91" w:rsidRPr="00710B91">
        <w:rPr>
          <w:noProof/>
        </w:rPr>
        <w:t>kon</w:t>
      </w:r>
      <w:r w:rsidRPr="00710B91">
        <w:rPr>
          <w:noProof/>
        </w:rPr>
        <w:t>tekście zespołów JIT. Uwzględnia to wymianę</w:t>
      </w:r>
      <w:r w:rsidR="00710B91" w:rsidRPr="00710B91">
        <w:rPr>
          <w:noProof/>
        </w:rPr>
        <w:t xml:space="preserve"> i</w:t>
      </w:r>
      <w:r w:rsidR="00710B91">
        <w:rPr>
          <w:noProof/>
        </w:rPr>
        <w:t> </w:t>
      </w:r>
      <w:r w:rsidR="00710B91" w:rsidRPr="00710B91">
        <w:rPr>
          <w:noProof/>
        </w:rPr>
        <w:t>prz</w:t>
      </w:r>
      <w:r w:rsidRPr="00710B91">
        <w:rPr>
          <w:noProof/>
        </w:rPr>
        <w:t>echowywanie informacji operacyjnych</w:t>
      </w:r>
      <w:r w:rsidR="00710B91" w:rsidRPr="00710B91">
        <w:rPr>
          <w:noProof/>
        </w:rPr>
        <w:t xml:space="preserve"> i</w:t>
      </w:r>
      <w:r w:rsidR="00710B91">
        <w:rPr>
          <w:noProof/>
        </w:rPr>
        <w:t> </w:t>
      </w:r>
      <w:r w:rsidR="00710B91" w:rsidRPr="00710B91">
        <w:rPr>
          <w:noProof/>
        </w:rPr>
        <w:t>dow</w:t>
      </w:r>
      <w:r w:rsidRPr="00710B91">
        <w:rPr>
          <w:noProof/>
        </w:rPr>
        <w:t>odów, jak również informacji nieoperacyjnych. Rozporządzenie obejmuje etap operacyjny oraz etap pooperacyjny funkcjonowania zespołu JIT, poczynając od momentu podpisania odpowiedniej umowy o JIT przez jego członków.</w:t>
      </w:r>
    </w:p>
    <w:p w14:paraId="46AC102D" w14:textId="141E1398" w:rsidR="00920E47" w:rsidRPr="00CB58EC" w:rsidRDefault="00920E47" w:rsidP="00204DB4">
      <w:pPr>
        <w:pBdr>
          <w:top w:val="nil"/>
          <w:left w:val="nil"/>
          <w:bottom w:val="nil"/>
          <w:right w:val="nil"/>
          <w:between w:val="nil"/>
          <w:bar w:val="nil"/>
        </w:pBdr>
        <w:spacing w:before="0" w:after="240"/>
      </w:pPr>
      <w:r w:rsidRPr="00710B91">
        <w:rPr>
          <w:noProof/>
        </w:rPr>
        <w:t xml:space="preserve">W </w:t>
      </w:r>
      <w:r w:rsidRPr="00710B91">
        <w:rPr>
          <w:i/>
          <w:noProof/>
        </w:rPr>
        <w:t>art.</w:t>
      </w:r>
      <w:r w:rsidR="00710B91" w:rsidRPr="00710B91">
        <w:rPr>
          <w:i/>
          <w:noProof/>
        </w:rPr>
        <w:t> </w:t>
      </w:r>
      <w:r w:rsidRPr="00710B91">
        <w:rPr>
          <w:i/>
          <w:noProof/>
        </w:rPr>
        <w:t>3</w:t>
      </w:r>
      <w:r w:rsidRPr="00710B91">
        <w:rPr>
          <w:rStyle w:val="Marker1"/>
          <w:noProof/>
        </w:rPr>
        <w:t xml:space="preserve"> </w:t>
      </w:r>
      <w:r w:rsidRPr="00710B91">
        <w:rPr>
          <w:noProof/>
        </w:rPr>
        <w:t>zawarto definicje terminów użytych</w:t>
      </w:r>
      <w:r w:rsidR="00710B91" w:rsidRPr="00710B91">
        <w:rPr>
          <w:noProof/>
        </w:rPr>
        <w:t xml:space="preserve"> w</w:t>
      </w:r>
      <w:r w:rsidR="00710B91">
        <w:rPr>
          <w:noProof/>
        </w:rPr>
        <w:t> </w:t>
      </w:r>
      <w:r w:rsidR="00710B91" w:rsidRPr="00710B91">
        <w:rPr>
          <w:noProof/>
        </w:rPr>
        <w:t>roz</w:t>
      </w:r>
      <w:r w:rsidRPr="00710B91">
        <w:rPr>
          <w:noProof/>
        </w:rPr>
        <w:t>porządzeniu.</w:t>
      </w:r>
    </w:p>
    <w:p w14:paraId="51F56C3B" w14:textId="478208DD" w:rsidR="00920E47" w:rsidRPr="00CB58EC" w:rsidRDefault="00920E47" w:rsidP="00204DB4">
      <w:pPr>
        <w:pBdr>
          <w:top w:val="nil"/>
          <w:left w:val="nil"/>
          <w:bottom w:val="nil"/>
          <w:right w:val="nil"/>
          <w:between w:val="nil"/>
          <w:bar w:val="nil"/>
        </w:pBdr>
        <w:spacing w:before="0" w:after="240"/>
      </w:pPr>
      <w:r w:rsidRPr="00710B91">
        <w:rPr>
          <w:noProof/>
        </w:rPr>
        <w:t xml:space="preserve">W </w:t>
      </w:r>
      <w:r w:rsidRPr="00710B91">
        <w:rPr>
          <w:i/>
          <w:noProof/>
        </w:rPr>
        <w:t>art.</w:t>
      </w:r>
      <w:r w:rsidR="00710B91" w:rsidRPr="00710B91">
        <w:rPr>
          <w:i/>
          <w:noProof/>
        </w:rPr>
        <w:t> </w:t>
      </w:r>
      <w:r w:rsidRPr="00710B91">
        <w:rPr>
          <w:i/>
          <w:noProof/>
        </w:rPr>
        <w:t>4</w:t>
      </w:r>
      <w:r w:rsidRPr="00710B91">
        <w:rPr>
          <w:rStyle w:val="Marker1"/>
          <w:noProof/>
        </w:rPr>
        <w:t xml:space="preserve"> </w:t>
      </w:r>
      <w:r w:rsidRPr="00710B91">
        <w:rPr>
          <w:noProof/>
        </w:rPr>
        <w:t>opisano architekturę techniczną platformy współpracy zespołów JIT. Platforma współpracy zespołów JIT musi się składać ze scentralizowanego systemu informacyjnego pozwalającego na tymczasowe scentralizowane przechowywanie danych; oprogramowania komunikacyjnego pozwalającego na lokalne przechowywania danych komunikacyjnych; oraz połączenia między scentralizowanym systemem informacyjnym</w:t>
      </w:r>
      <w:r w:rsidR="00710B91" w:rsidRPr="00710B91">
        <w:rPr>
          <w:noProof/>
        </w:rPr>
        <w:t xml:space="preserve"> i</w:t>
      </w:r>
      <w:r w:rsidR="00710B91">
        <w:rPr>
          <w:noProof/>
        </w:rPr>
        <w:t> </w:t>
      </w:r>
      <w:r w:rsidR="00710B91" w:rsidRPr="00710B91">
        <w:rPr>
          <w:noProof/>
        </w:rPr>
        <w:t>odp</w:t>
      </w:r>
      <w:r w:rsidRPr="00710B91">
        <w:rPr>
          <w:noProof/>
        </w:rPr>
        <w:t>owiednimi narzędziami informatycznymi obsługującymi funkcjonowanie wspólnych zespołów dochodzeniowo-śledczych, obsługiwanymi przez Eurojust</w:t>
      </w:r>
      <w:r w:rsidR="00710B91" w:rsidRPr="00710B91">
        <w:rPr>
          <w:noProof/>
        </w:rPr>
        <w:t xml:space="preserve"> i</w:t>
      </w:r>
      <w:r w:rsidR="00710B91">
        <w:rPr>
          <w:noProof/>
        </w:rPr>
        <w:t> </w:t>
      </w:r>
      <w:r w:rsidR="00710B91" w:rsidRPr="00710B91">
        <w:rPr>
          <w:noProof/>
        </w:rPr>
        <w:t>zar</w:t>
      </w:r>
      <w:r w:rsidRPr="00710B91">
        <w:rPr>
          <w:noProof/>
        </w:rPr>
        <w:t>ządzanymi przez sekretariat JIT.</w:t>
      </w:r>
    </w:p>
    <w:p w14:paraId="4F460420" w14:textId="19830BF3" w:rsidR="00920E47" w:rsidRPr="00CB58EC" w:rsidRDefault="00920E47" w:rsidP="00204DB4">
      <w:pPr>
        <w:pBdr>
          <w:top w:val="nil"/>
          <w:left w:val="nil"/>
          <w:bottom w:val="nil"/>
          <w:right w:val="nil"/>
          <w:between w:val="nil"/>
          <w:bar w:val="nil"/>
        </w:pBdr>
        <w:spacing w:before="0" w:after="240"/>
      </w:pPr>
      <w:r w:rsidRPr="00710B91">
        <w:rPr>
          <w:noProof/>
        </w:rPr>
        <w:t xml:space="preserve">W </w:t>
      </w:r>
      <w:r w:rsidRPr="00710B91">
        <w:rPr>
          <w:i/>
          <w:noProof/>
        </w:rPr>
        <w:t>art.</w:t>
      </w:r>
      <w:r w:rsidR="00710B91" w:rsidRPr="00710B91">
        <w:rPr>
          <w:i/>
          <w:noProof/>
        </w:rPr>
        <w:t> </w:t>
      </w:r>
      <w:r w:rsidRPr="00710B91">
        <w:rPr>
          <w:i/>
          <w:noProof/>
        </w:rPr>
        <w:t>5</w:t>
      </w:r>
      <w:r w:rsidRPr="00710B91">
        <w:rPr>
          <w:noProof/>
        </w:rPr>
        <w:t xml:space="preserve"> określono cel platformy współpracy zespołów JIT, którym jest ułatwienie codziennej koordynacji zespołu JIT</w:t>
      </w:r>
      <w:r w:rsidR="00710B91" w:rsidRPr="00710B91">
        <w:rPr>
          <w:noProof/>
        </w:rPr>
        <w:t xml:space="preserve"> i</w:t>
      </w:r>
      <w:r w:rsidR="00710B91">
        <w:rPr>
          <w:noProof/>
        </w:rPr>
        <w:t> </w:t>
      </w:r>
      <w:r w:rsidR="00710B91" w:rsidRPr="00710B91">
        <w:rPr>
          <w:noProof/>
        </w:rPr>
        <w:t>zar</w:t>
      </w:r>
      <w:r w:rsidRPr="00710B91">
        <w:rPr>
          <w:noProof/>
        </w:rPr>
        <w:t>ządzanie nim; wymiana informacji operacyjnych</w:t>
      </w:r>
      <w:r w:rsidR="00710B91" w:rsidRPr="00710B91">
        <w:rPr>
          <w:noProof/>
        </w:rPr>
        <w:t xml:space="preserve"> i</w:t>
      </w:r>
      <w:r w:rsidR="00710B91">
        <w:rPr>
          <w:noProof/>
        </w:rPr>
        <w:t> </w:t>
      </w:r>
      <w:r w:rsidR="00710B91" w:rsidRPr="00710B91">
        <w:rPr>
          <w:noProof/>
        </w:rPr>
        <w:t>dow</w:t>
      </w:r>
      <w:r w:rsidRPr="00710B91">
        <w:rPr>
          <w:noProof/>
        </w:rPr>
        <w:t>odów; bezpieczna komunikacja; identyfikowalność dowodów; oraz ocena zespołu JIT. Hosting scentralizowanego systemu informacyjnego ma zapewniać eu-LISA</w:t>
      </w:r>
      <w:r w:rsidR="00710B91" w:rsidRPr="00710B91">
        <w:rPr>
          <w:noProof/>
        </w:rPr>
        <w:t xml:space="preserve"> w</w:t>
      </w:r>
      <w:r w:rsidR="00710B91">
        <w:rPr>
          <w:noProof/>
        </w:rPr>
        <w:t> </w:t>
      </w:r>
      <w:r w:rsidR="00710B91" w:rsidRPr="00710B91">
        <w:rPr>
          <w:noProof/>
        </w:rPr>
        <w:t>swo</w:t>
      </w:r>
      <w:r w:rsidRPr="00710B91">
        <w:rPr>
          <w:noProof/>
        </w:rPr>
        <w:t>ich centrach technicznych.</w:t>
      </w:r>
    </w:p>
    <w:p w14:paraId="4C1920A8" w14:textId="77777777" w:rsidR="00920E47" w:rsidRPr="00710B91" w:rsidRDefault="00920E47" w:rsidP="008E2629">
      <w:pPr>
        <w:spacing w:before="0" w:after="240" w:line="280" w:lineRule="atLeast"/>
        <w:rPr>
          <w:rFonts w:eastAsia="Times New Roman"/>
          <w:i/>
          <w:noProof/>
          <w:color w:val="000000"/>
          <w:szCs w:val="24"/>
        </w:rPr>
      </w:pPr>
      <w:r w:rsidRPr="00710B91">
        <w:rPr>
          <w:i/>
          <w:noProof/>
          <w:color w:val="000000"/>
          <w:szCs w:val="24"/>
        </w:rPr>
        <w:t>Rozdział II: Rozwój systemu oraz zarządzanie operacyjne</w:t>
      </w:r>
    </w:p>
    <w:p w14:paraId="7B06AF7C" w14:textId="3F9980F0" w:rsidR="00920E47" w:rsidRPr="00710B91" w:rsidRDefault="00920E47" w:rsidP="00204DB4">
      <w:pPr>
        <w:pBdr>
          <w:top w:val="nil"/>
          <w:left w:val="nil"/>
          <w:bottom w:val="nil"/>
          <w:right w:val="nil"/>
          <w:between w:val="nil"/>
          <w:bar w:val="nil"/>
        </w:pBdr>
        <w:spacing w:before="0" w:after="240"/>
        <w:rPr>
          <w:noProof/>
        </w:rPr>
      </w:pPr>
      <w:r w:rsidRPr="00710B91">
        <w:rPr>
          <w:noProof/>
        </w:rPr>
        <w:t xml:space="preserve">W </w:t>
      </w:r>
      <w:r w:rsidRPr="00710B91">
        <w:rPr>
          <w:i/>
          <w:noProof/>
        </w:rPr>
        <w:t>art.</w:t>
      </w:r>
      <w:r w:rsidR="00710B91" w:rsidRPr="00710B91">
        <w:rPr>
          <w:i/>
          <w:noProof/>
        </w:rPr>
        <w:t> </w:t>
      </w:r>
      <w:r w:rsidRPr="00710B91">
        <w:rPr>
          <w:i/>
          <w:noProof/>
        </w:rPr>
        <w:t>6</w:t>
      </w:r>
      <w:r w:rsidRPr="00710B91">
        <w:rPr>
          <w:rStyle w:val="Marker1"/>
          <w:noProof/>
        </w:rPr>
        <w:t xml:space="preserve"> </w:t>
      </w:r>
      <w:r w:rsidRPr="00710B91">
        <w:rPr>
          <w:noProof/>
        </w:rPr>
        <w:t>przyznano Komisji uprawnienia wykonawcze do ustanowienia warunków technicznego opracowania</w:t>
      </w:r>
      <w:r w:rsidR="00710B91" w:rsidRPr="00710B91">
        <w:rPr>
          <w:noProof/>
        </w:rPr>
        <w:t xml:space="preserve"> i</w:t>
      </w:r>
      <w:r w:rsidR="00710B91">
        <w:rPr>
          <w:noProof/>
        </w:rPr>
        <w:t> </w:t>
      </w:r>
      <w:r w:rsidR="00710B91" w:rsidRPr="00710B91">
        <w:rPr>
          <w:noProof/>
        </w:rPr>
        <w:t>wdr</w:t>
      </w:r>
      <w:r w:rsidRPr="00710B91">
        <w:rPr>
          <w:noProof/>
        </w:rPr>
        <w:t>ożenia platformy współpracy zespołów JIT. Uprawnienia te powinny być wykonywane zgodnie</w:t>
      </w:r>
      <w:r w:rsidR="00710B91" w:rsidRPr="00710B91">
        <w:rPr>
          <w:noProof/>
        </w:rPr>
        <w:t xml:space="preserve"> z</w:t>
      </w:r>
      <w:r w:rsidR="00710B91">
        <w:rPr>
          <w:noProof/>
        </w:rPr>
        <w:t> </w:t>
      </w:r>
      <w:r w:rsidR="00710B91" w:rsidRPr="00710B91">
        <w:rPr>
          <w:noProof/>
        </w:rPr>
        <w:t>roz</w:t>
      </w:r>
      <w:r w:rsidRPr="00710B91">
        <w:rPr>
          <w:noProof/>
        </w:rPr>
        <w:t>porządzeniem (UE) nr</w:t>
      </w:r>
      <w:r w:rsidR="00710B91" w:rsidRPr="00710B91">
        <w:rPr>
          <w:noProof/>
        </w:rPr>
        <w:t> </w:t>
      </w:r>
      <w:r w:rsidRPr="00710B91">
        <w:rPr>
          <w:noProof/>
        </w:rPr>
        <w:t>182/2011. Wybrana procedura komitetowa to procedura sprawdzająca. Art. 25 stanowi uzupełnienie art.</w:t>
      </w:r>
      <w:r w:rsidR="00710B91" w:rsidRPr="00710B91">
        <w:rPr>
          <w:noProof/>
        </w:rPr>
        <w:t> </w:t>
      </w:r>
      <w:r w:rsidRPr="00710B91">
        <w:rPr>
          <w:noProof/>
        </w:rPr>
        <w:t xml:space="preserve">6 dotyczącego ustanowienia tej procedury. </w:t>
      </w:r>
    </w:p>
    <w:p w14:paraId="4A871BD0" w14:textId="1706C8C2" w:rsidR="00920E47" w:rsidRPr="00710B91" w:rsidRDefault="00920E47" w:rsidP="00204DB4">
      <w:pPr>
        <w:pBdr>
          <w:top w:val="nil"/>
          <w:left w:val="nil"/>
          <w:bottom w:val="nil"/>
          <w:right w:val="nil"/>
          <w:between w:val="nil"/>
          <w:bar w:val="nil"/>
        </w:pBdr>
        <w:spacing w:before="0" w:after="240"/>
        <w:rPr>
          <w:noProof/>
        </w:rPr>
      </w:pPr>
      <w:r w:rsidRPr="00710B91">
        <w:rPr>
          <w:noProof/>
        </w:rPr>
        <w:t xml:space="preserve">W </w:t>
      </w:r>
      <w:r w:rsidRPr="00710B91">
        <w:rPr>
          <w:i/>
          <w:noProof/>
        </w:rPr>
        <w:t>art.</w:t>
      </w:r>
      <w:r w:rsidR="00710B91" w:rsidRPr="00710B91">
        <w:rPr>
          <w:i/>
          <w:noProof/>
        </w:rPr>
        <w:t> </w:t>
      </w:r>
      <w:r w:rsidRPr="00710B91">
        <w:rPr>
          <w:i/>
          <w:noProof/>
        </w:rPr>
        <w:t>7</w:t>
      </w:r>
      <w:r w:rsidRPr="00710B91">
        <w:rPr>
          <w:noProof/>
        </w:rPr>
        <w:t xml:space="preserve"> powierzono eu-LISA zadanie zaprojektowania, utworzenia</w:t>
      </w:r>
      <w:r w:rsidR="00710B91" w:rsidRPr="00710B91">
        <w:rPr>
          <w:noProof/>
        </w:rPr>
        <w:t xml:space="preserve"> i</w:t>
      </w:r>
      <w:r w:rsidR="00710B91">
        <w:rPr>
          <w:noProof/>
        </w:rPr>
        <w:t> </w:t>
      </w:r>
      <w:r w:rsidR="00710B91" w:rsidRPr="00710B91">
        <w:rPr>
          <w:noProof/>
        </w:rPr>
        <w:t>obs</w:t>
      </w:r>
      <w:r w:rsidRPr="00710B91">
        <w:rPr>
          <w:noProof/>
        </w:rPr>
        <w:t>ługi platformy współpracy zespołów JIT, biorąc pod uwagę doświadczenie agencji</w:t>
      </w:r>
      <w:r w:rsidR="00710B91" w:rsidRPr="00710B91">
        <w:rPr>
          <w:noProof/>
        </w:rPr>
        <w:t xml:space="preserve"> w</w:t>
      </w:r>
      <w:r w:rsidR="00710B91">
        <w:rPr>
          <w:noProof/>
        </w:rPr>
        <w:t> </w:t>
      </w:r>
      <w:r w:rsidR="00710B91" w:rsidRPr="00710B91">
        <w:rPr>
          <w:noProof/>
        </w:rPr>
        <w:t>zak</w:t>
      </w:r>
      <w:r w:rsidRPr="00710B91">
        <w:rPr>
          <w:noProof/>
        </w:rPr>
        <w:t>resie zarządzania wielkoskalowymi systemami informatycznymi</w:t>
      </w:r>
      <w:r w:rsidR="00710B91" w:rsidRPr="00710B91">
        <w:rPr>
          <w:noProof/>
        </w:rPr>
        <w:t xml:space="preserve"> w</w:t>
      </w:r>
      <w:r w:rsidR="00710B91">
        <w:rPr>
          <w:noProof/>
        </w:rPr>
        <w:t> </w:t>
      </w:r>
      <w:r w:rsidR="00710B91" w:rsidRPr="00710B91">
        <w:rPr>
          <w:noProof/>
        </w:rPr>
        <w:t>obs</w:t>
      </w:r>
      <w:r w:rsidRPr="00710B91">
        <w:rPr>
          <w:noProof/>
        </w:rPr>
        <w:t>zarze wymiaru sprawiedliwości</w:t>
      </w:r>
      <w:r w:rsidR="00710B91" w:rsidRPr="00710B91">
        <w:rPr>
          <w:noProof/>
        </w:rPr>
        <w:t xml:space="preserve"> i</w:t>
      </w:r>
      <w:r w:rsidR="00710B91">
        <w:rPr>
          <w:noProof/>
        </w:rPr>
        <w:t> </w:t>
      </w:r>
      <w:r w:rsidR="00710B91" w:rsidRPr="00710B91">
        <w:rPr>
          <w:noProof/>
        </w:rPr>
        <w:t>spr</w:t>
      </w:r>
      <w:r w:rsidRPr="00710B91">
        <w:rPr>
          <w:noProof/>
        </w:rPr>
        <w:t>aw wewnętrznych. Jej mandat należy uzupełnić tak, aby odzwierciedlał te nowe zadania. Agencja eu-LISA powinna otrzymać odpowiednie dofinansowanie</w:t>
      </w:r>
      <w:r w:rsidR="00710B91" w:rsidRPr="00710B91">
        <w:rPr>
          <w:noProof/>
        </w:rPr>
        <w:t xml:space="preserve"> i</w:t>
      </w:r>
      <w:r w:rsidR="00710B91">
        <w:rPr>
          <w:noProof/>
        </w:rPr>
        <w:t> </w:t>
      </w:r>
      <w:r w:rsidR="00710B91" w:rsidRPr="00710B91">
        <w:rPr>
          <w:noProof/>
        </w:rPr>
        <w:t>per</w:t>
      </w:r>
      <w:r w:rsidRPr="00710B91">
        <w:rPr>
          <w:noProof/>
        </w:rPr>
        <w:t>sonel, aby wypełnić swoje zobowiązania nałożone niniejszym rozporządzeniem.</w:t>
      </w:r>
    </w:p>
    <w:p w14:paraId="3C42C677" w14:textId="2DC648F8" w:rsidR="00920E47" w:rsidRPr="00710B91" w:rsidRDefault="00920E47" w:rsidP="00204DB4">
      <w:pPr>
        <w:pBdr>
          <w:top w:val="nil"/>
          <w:left w:val="nil"/>
          <w:bottom w:val="nil"/>
          <w:right w:val="nil"/>
          <w:between w:val="nil"/>
          <w:bar w:val="nil"/>
        </w:pBdr>
        <w:spacing w:before="0" w:after="240"/>
        <w:rPr>
          <w:noProof/>
        </w:rPr>
      </w:pPr>
      <w:r w:rsidRPr="00710B91">
        <w:rPr>
          <w:noProof/>
        </w:rPr>
        <w:t xml:space="preserve">W </w:t>
      </w:r>
      <w:r w:rsidRPr="00710B91">
        <w:rPr>
          <w:i/>
          <w:noProof/>
        </w:rPr>
        <w:t>art.</w:t>
      </w:r>
      <w:r w:rsidR="00710B91" w:rsidRPr="00710B91">
        <w:rPr>
          <w:i/>
          <w:noProof/>
        </w:rPr>
        <w:t> </w:t>
      </w:r>
      <w:r w:rsidRPr="00710B91">
        <w:rPr>
          <w:i/>
          <w:noProof/>
        </w:rPr>
        <w:t>8</w:t>
      </w:r>
      <w:r w:rsidRPr="00710B91">
        <w:rPr>
          <w:noProof/>
        </w:rPr>
        <w:t xml:space="preserve"> nałożono na państwa członkowskie wymóg wdrożenia technicznych rozwiązań tak, aby ich właściwe organy mogły mieć dostęp do platformy współpracy zespołów JIT zgodnie</w:t>
      </w:r>
      <w:r w:rsidR="00710B91" w:rsidRPr="00710B91">
        <w:rPr>
          <w:noProof/>
        </w:rPr>
        <w:t xml:space="preserve"> z</w:t>
      </w:r>
      <w:r w:rsidR="00710B91">
        <w:rPr>
          <w:noProof/>
        </w:rPr>
        <w:t> </w:t>
      </w:r>
      <w:r w:rsidR="00710B91" w:rsidRPr="00710B91">
        <w:rPr>
          <w:noProof/>
        </w:rPr>
        <w:t>nin</w:t>
      </w:r>
      <w:r w:rsidRPr="00710B91">
        <w:rPr>
          <w:noProof/>
        </w:rPr>
        <w:t>iejszym rozporządzeniem.</w:t>
      </w:r>
    </w:p>
    <w:p w14:paraId="68C49D24" w14:textId="556603F5" w:rsidR="00920E47" w:rsidRPr="00CB58EC" w:rsidRDefault="00920E47" w:rsidP="00204DB4">
      <w:pPr>
        <w:pBdr>
          <w:top w:val="nil"/>
          <w:left w:val="nil"/>
          <w:bottom w:val="nil"/>
          <w:right w:val="nil"/>
          <w:between w:val="nil"/>
          <w:bar w:val="nil"/>
        </w:pBdr>
        <w:spacing w:before="0" w:after="240"/>
      </w:pPr>
      <w:r w:rsidRPr="00710B91">
        <w:rPr>
          <w:i/>
          <w:noProof/>
        </w:rPr>
        <w:t>Art. 9</w:t>
      </w:r>
      <w:r w:rsidRPr="00710B91">
        <w:rPr>
          <w:noProof/>
        </w:rPr>
        <w:t xml:space="preserve"> stanowi, że właściwe organy</w:t>
      </w:r>
      <w:r w:rsidR="00710B91" w:rsidRPr="00710B91">
        <w:rPr>
          <w:noProof/>
        </w:rPr>
        <w:t xml:space="preserve"> i</w:t>
      </w:r>
      <w:r w:rsidR="00710B91">
        <w:rPr>
          <w:noProof/>
        </w:rPr>
        <w:t> </w:t>
      </w:r>
      <w:r w:rsidR="00710B91" w:rsidRPr="00710B91">
        <w:rPr>
          <w:noProof/>
        </w:rPr>
        <w:t>jed</w:t>
      </w:r>
      <w:r w:rsidRPr="00710B91">
        <w:rPr>
          <w:noProof/>
        </w:rPr>
        <w:t>nostki organizacyjne Unii muszą wdrożyć techniczne rozwiązania tak, aby mogły mieć dostęp do platformy współpracy zespołów JIT zgodnie</w:t>
      </w:r>
      <w:r w:rsidR="00710B91" w:rsidRPr="00710B91">
        <w:rPr>
          <w:noProof/>
        </w:rPr>
        <w:t xml:space="preserve"> z</w:t>
      </w:r>
      <w:r w:rsidR="00710B91">
        <w:rPr>
          <w:noProof/>
        </w:rPr>
        <w:t> </w:t>
      </w:r>
      <w:r w:rsidR="00710B91" w:rsidRPr="00710B91">
        <w:rPr>
          <w:noProof/>
        </w:rPr>
        <w:t>nin</w:t>
      </w:r>
      <w:r w:rsidRPr="00710B91">
        <w:rPr>
          <w:noProof/>
        </w:rPr>
        <w:t>iejszym rozporządzeniem. Ponadto Eurojust odpowiada za techniczne dostosowania swoich systemów</w:t>
      </w:r>
      <w:r w:rsidR="00710B91" w:rsidRPr="00710B91">
        <w:rPr>
          <w:noProof/>
        </w:rPr>
        <w:t xml:space="preserve"> w</w:t>
      </w:r>
      <w:r w:rsidR="00710B91">
        <w:rPr>
          <w:noProof/>
        </w:rPr>
        <w:t> </w:t>
      </w:r>
      <w:r w:rsidR="00710B91" w:rsidRPr="00710B91">
        <w:rPr>
          <w:noProof/>
        </w:rPr>
        <w:t>cel</w:t>
      </w:r>
      <w:r w:rsidRPr="00710B91">
        <w:rPr>
          <w:noProof/>
        </w:rPr>
        <w:t>u ustanowienia połączenia pomiędzy scentralizowanym systemem informacyjnym</w:t>
      </w:r>
      <w:r w:rsidR="00710B91" w:rsidRPr="00710B91">
        <w:rPr>
          <w:noProof/>
        </w:rPr>
        <w:t xml:space="preserve"> i</w:t>
      </w:r>
      <w:r w:rsidR="00710B91">
        <w:rPr>
          <w:noProof/>
        </w:rPr>
        <w:t> </w:t>
      </w:r>
      <w:r w:rsidR="00710B91" w:rsidRPr="00710B91">
        <w:rPr>
          <w:noProof/>
        </w:rPr>
        <w:t>odp</w:t>
      </w:r>
      <w:r w:rsidRPr="00710B91">
        <w:rPr>
          <w:noProof/>
        </w:rPr>
        <w:t>owiednimi narzędziami informatycznymi, obsługującymi funkcjonowanie zespołów JIT</w:t>
      </w:r>
      <w:r w:rsidR="00710B91" w:rsidRPr="00710B91">
        <w:rPr>
          <w:noProof/>
        </w:rPr>
        <w:t xml:space="preserve"> i</w:t>
      </w:r>
      <w:r w:rsidR="00710B91">
        <w:rPr>
          <w:noProof/>
        </w:rPr>
        <w:t> </w:t>
      </w:r>
      <w:r w:rsidR="00710B91" w:rsidRPr="00710B91">
        <w:rPr>
          <w:noProof/>
        </w:rPr>
        <w:t>zar</w:t>
      </w:r>
      <w:r w:rsidRPr="00710B91">
        <w:rPr>
          <w:noProof/>
        </w:rPr>
        <w:t>ządzanymi przez sekretariat JIT, zgodnie</w:t>
      </w:r>
      <w:r w:rsidR="00710B91" w:rsidRPr="00710B91">
        <w:rPr>
          <w:noProof/>
        </w:rPr>
        <w:t xml:space="preserve"> z</w:t>
      </w:r>
      <w:r w:rsidR="00710B91">
        <w:rPr>
          <w:noProof/>
        </w:rPr>
        <w:t> </w:t>
      </w:r>
      <w:r w:rsidR="00710B91" w:rsidRPr="00710B91">
        <w:rPr>
          <w:noProof/>
        </w:rPr>
        <w:t>art</w:t>
      </w:r>
      <w:r w:rsidRPr="00710B91">
        <w:rPr>
          <w:noProof/>
        </w:rPr>
        <w:t>.</w:t>
      </w:r>
      <w:r w:rsidR="00710B91" w:rsidRPr="00710B91">
        <w:rPr>
          <w:noProof/>
        </w:rPr>
        <w:t> </w:t>
      </w:r>
      <w:r w:rsidRPr="00710B91">
        <w:rPr>
          <w:noProof/>
        </w:rPr>
        <w:t>4 lit.</w:t>
      </w:r>
      <w:r w:rsidR="00710B91" w:rsidRPr="00710B91">
        <w:rPr>
          <w:noProof/>
        </w:rPr>
        <w:t> </w:t>
      </w:r>
      <w:r w:rsidRPr="00710B91">
        <w:rPr>
          <w:noProof/>
        </w:rPr>
        <w:t>c).</w:t>
      </w:r>
    </w:p>
    <w:p w14:paraId="59CD6D15" w14:textId="56AD82B0" w:rsidR="00920E47" w:rsidRPr="00710B91" w:rsidRDefault="00920E47" w:rsidP="00204DB4">
      <w:pPr>
        <w:pBdr>
          <w:top w:val="nil"/>
          <w:left w:val="nil"/>
          <w:bottom w:val="nil"/>
          <w:right w:val="nil"/>
          <w:between w:val="nil"/>
          <w:bar w:val="nil"/>
        </w:pBdr>
        <w:spacing w:before="0" w:after="240"/>
        <w:rPr>
          <w:rFonts w:eastAsia="Arial Unicode MS"/>
          <w:noProof/>
        </w:rPr>
      </w:pPr>
      <w:r w:rsidRPr="00710B91">
        <w:rPr>
          <w:noProof/>
        </w:rPr>
        <w:t xml:space="preserve">W </w:t>
      </w:r>
      <w:r w:rsidRPr="00710B91">
        <w:rPr>
          <w:i/>
          <w:noProof/>
        </w:rPr>
        <w:t>art.</w:t>
      </w:r>
      <w:r w:rsidR="00710B91" w:rsidRPr="00710B91">
        <w:rPr>
          <w:i/>
          <w:noProof/>
        </w:rPr>
        <w:t> </w:t>
      </w:r>
      <w:r w:rsidRPr="00710B91">
        <w:rPr>
          <w:i/>
          <w:noProof/>
        </w:rPr>
        <w:t>10</w:t>
      </w:r>
      <w:r w:rsidRPr="00710B91">
        <w:rPr>
          <w:noProof/>
        </w:rPr>
        <w:t xml:space="preserve"> zdefiniowano mandat, skład</w:t>
      </w:r>
      <w:r w:rsidR="00710B91" w:rsidRPr="00710B91">
        <w:rPr>
          <w:noProof/>
        </w:rPr>
        <w:t xml:space="preserve"> i</w:t>
      </w:r>
      <w:r w:rsidR="00710B91">
        <w:rPr>
          <w:noProof/>
        </w:rPr>
        <w:t> </w:t>
      </w:r>
      <w:r w:rsidR="00710B91" w:rsidRPr="00710B91">
        <w:rPr>
          <w:noProof/>
        </w:rPr>
        <w:t>org</w:t>
      </w:r>
      <w:r w:rsidRPr="00710B91">
        <w:rPr>
          <w:noProof/>
        </w:rPr>
        <w:t>anizacyjne aspekty Komisji ds. Zarządzania Programem, która ma zostać ustanowiona przez zarząd eu-LISA. Komisja ds. Zarządzania Programem musi odpowiednio zarządzać etapem projektowania</w:t>
      </w:r>
      <w:r w:rsidR="00710B91" w:rsidRPr="00710B91">
        <w:rPr>
          <w:noProof/>
        </w:rPr>
        <w:t xml:space="preserve"> i</w:t>
      </w:r>
      <w:r w:rsidR="00710B91">
        <w:rPr>
          <w:noProof/>
        </w:rPr>
        <w:t> </w:t>
      </w:r>
      <w:r w:rsidR="00710B91" w:rsidRPr="00710B91">
        <w:rPr>
          <w:noProof/>
        </w:rPr>
        <w:t>two</w:t>
      </w:r>
      <w:r w:rsidRPr="00710B91">
        <w:rPr>
          <w:noProof/>
        </w:rPr>
        <w:t>rzenia platformy współpracy zespołów JIT.</w:t>
      </w:r>
    </w:p>
    <w:p w14:paraId="38DE93E6" w14:textId="1BE92AB6" w:rsidR="00920E47" w:rsidRPr="00710B91" w:rsidRDefault="00920E47" w:rsidP="00204DB4">
      <w:pPr>
        <w:pBdr>
          <w:top w:val="nil"/>
          <w:left w:val="nil"/>
          <w:bottom w:val="nil"/>
          <w:right w:val="nil"/>
          <w:between w:val="nil"/>
          <w:bar w:val="nil"/>
        </w:pBdr>
        <w:spacing w:before="0" w:after="240"/>
        <w:rPr>
          <w:rFonts w:eastAsia="Arial Unicode MS"/>
          <w:noProof/>
        </w:rPr>
      </w:pPr>
      <w:r w:rsidRPr="00710B91">
        <w:rPr>
          <w:noProof/>
        </w:rPr>
        <w:t xml:space="preserve">W </w:t>
      </w:r>
      <w:r w:rsidRPr="00710B91">
        <w:rPr>
          <w:i/>
          <w:noProof/>
        </w:rPr>
        <w:t>art.</w:t>
      </w:r>
      <w:r w:rsidR="00710B91" w:rsidRPr="00710B91">
        <w:rPr>
          <w:i/>
          <w:noProof/>
        </w:rPr>
        <w:t> </w:t>
      </w:r>
      <w:r w:rsidRPr="00710B91">
        <w:rPr>
          <w:i/>
          <w:noProof/>
        </w:rPr>
        <w:t>11</w:t>
      </w:r>
      <w:r w:rsidRPr="00710B91">
        <w:rPr>
          <w:noProof/>
        </w:rPr>
        <w:t xml:space="preserve"> zdefiniowano mandat, skład</w:t>
      </w:r>
      <w:r w:rsidR="00710B91" w:rsidRPr="00710B91">
        <w:rPr>
          <w:noProof/>
        </w:rPr>
        <w:t xml:space="preserve"> i</w:t>
      </w:r>
      <w:r w:rsidR="00710B91">
        <w:rPr>
          <w:noProof/>
        </w:rPr>
        <w:t> </w:t>
      </w:r>
      <w:r w:rsidR="00710B91" w:rsidRPr="00710B91">
        <w:rPr>
          <w:noProof/>
        </w:rPr>
        <w:t>org</w:t>
      </w:r>
      <w:r w:rsidRPr="00710B91">
        <w:rPr>
          <w:noProof/>
        </w:rPr>
        <w:t>anizacyjne aspekty grupy doradczej, która ma zostać ustanowiona przez eu-LISA. Grupa doradcza zapewni wiedzę fachową</w:t>
      </w:r>
      <w:r w:rsidR="00710B91" w:rsidRPr="00710B91">
        <w:rPr>
          <w:noProof/>
        </w:rPr>
        <w:t xml:space="preserve"> w</w:t>
      </w:r>
      <w:r w:rsidR="00710B91">
        <w:rPr>
          <w:noProof/>
        </w:rPr>
        <w:t> </w:t>
      </w:r>
      <w:r w:rsidR="00710B91" w:rsidRPr="00710B91">
        <w:rPr>
          <w:noProof/>
        </w:rPr>
        <w:t>zak</w:t>
      </w:r>
      <w:r w:rsidRPr="00710B91">
        <w:rPr>
          <w:noProof/>
        </w:rPr>
        <w:t>resie platformy współpracy zespołów JIT,</w:t>
      </w:r>
      <w:r w:rsidR="00710B91" w:rsidRPr="00710B91">
        <w:rPr>
          <w:noProof/>
        </w:rPr>
        <w:t xml:space="preserve"> w</w:t>
      </w:r>
      <w:r w:rsidR="00710B91">
        <w:rPr>
          <w:noProof/>
        </w:rPr>
        <w:t> </w:t>
      </w:r>
      <w:r w:rsidR="00710B91" w:rsidRPr="00710B91">
        <w:rPr>
          <w:noProof/>
        </w:rPr>
        <w:t>szc</w:t>
      </w:r>
      <w:r w:rsidRPr="00710B91">
        <w:rPr>
          <w:noProof/>
        </w:rPr>
        <w:t>zególności</w:t>
      </w:r>
      <w:r w:rsidR="00710B91" w:rsidRPr="00710B91">
        <w:rPr>
          <w:noProof/>
        </w:rPr>
        <w:t xml:space="preserve"> w</w:t>
      </w:r>
      <w:r w:rsidR="00710B91">
        <w:rPr>
          <w:noProof/>
        </w:rPr>
        <w:t> </w:t>
      </w:r>
      <w:r w:rsidR="00710B91" w:rsidRPr="00710B91">
        <w:rPr>
          <w:noProof/>
        </w:rPr>
        <w:t>kon</w:t>
      </w:r>
      <w:r w:rsidRPr="00710B91">
        <w:rPr>
          <w:noProof/>
        </w:rPr>
        <w:t>tekście opracowania swojego rocznego programu prac</w:t>
      </w:r>
      <w:r w:rsidR="00710B91" w:rsidRPr="00710B91">
        <w:rPr>
          <w:noProof/>
        </w:rPr>
        <w:t xml:space="preserve"> i</w:t>
      </w:r>
      <w:r w:rsidR="00710B91">
        <w:rPr>
          <w:noProof/>
        </w:rPr>
        <w:t> </w:t>
      </w:r>
      <w:r w:rsidR="00710B91" w:rsidRPr="00710B91">
        <w:rPr>
          <w:noProof/>
        </w:rPr>
        <w:t>swo</w:t>
      </w:r>
      <w:r w:rsidRPr="00710B91">
        <w:rPr>
          <w:noProof/>
        </w:rPr>
        <w:t>jego rocznego sprawozdania</w:t>
      </w:r>
      <w:r w:rsidR="00710B91" w:rsidRPr="00710B91">
        <w:rPr>
          <w:noProof/>
        </w:rPr>
        <w:t xml:space="preserve"> z</w:t>
      </w:r>
      <w:r w:rsidR="00710B91">
        <w:rPr>
          <w:noProof/>
        </w:rPr>
        <w:t> </w:t>
      </w:r>
      <w:r w:rsidR="00710B91" w:rsidRPr="00710B91">
        <w:rPr>
          <w:noProof/>
        </w:rPr>
        <w:t>dzi</w:t>
      </w:r>
      <w:r w:rsidRPr="00710B91">
        <w:rPr>
          <w:noProof/>
        </w:rPr>
        <w:t>ałalności.</w:t>
      </w:r>
    </w:p>
    <w:p w14:paraId="4DDCAD27" w14:textId="77777777" w:rsidR="00920E47" w:rsidRPr="00710B91" w:rsidRDefault="00920E47" w:rsidP="008E2629">
      <w:pPr>
        <w:spacing w:before="0" w:after="240" w:line="280" w:lineRule="atLeast"/>
        <w:rPr>
          <w:rFonts w:eastAsia="Times New Roman"/>
          <w:i/>
          <w:noProof/>
          <w:color w:val="000000"/>
          <w:szCs w:val="24"/>
        </w:rPr>
      </w:pPr>
      <w:r w:rsidRPr="00710B91">
        <w:rPr>
          <w:i/>
          <w:noProof/>
          <w:color w:val="000000"/>
          <w:szCs w:val="24"/>
        </w:rPr>
        <w:t>Rozdział III: Dostęp do platformy współpracy zespołów JIT</w:t>
      </w:r>
    </w:p>
    <w:p w14:paraId="25EB9FC4" w14:textId="322B5D53" w:rsidR="00920E47" w:rsidRPr="00710B91" w:rsidRDefault="00920E47" w:rsidP="00204DB4">
      <w:pPr>
        <w:pBdr>
          <w:top w:val="nil"/>
          <w:left w:val="nil"/>
          <w:bottom w:val="nil"/>
          <w:right w:val="nil"/>
          <w:between w:val="nil"/>
          <w:bar w:val="nil"/>
        </w:pBdr>
        <w:spacing w:before="0" w:after="240"/>
        <w:rPr>
          <w:rFonts w:eastAsia="Arial Unicode MS"/>
          <w:noProof/>
        </w:rPr>
      </w:pPr>
      <w:r w:rsidRPr="00710B91">
        <w:rPr>
          <w:noProof/>
        </w:rPr>
        <w:t xml:space="preserve">W </w:t>
      </w:r>
      <w:r w:rsidRPr="00710B91">
        <w:rPr>
          <w:i/>
          <w:noProof/>
        </w:rPr>
        <w:t>art.</w:t>
      </w:r>
      <w:r w:rsidR="00710B91" w:rsidRPr="00710B91">
        <w:rPr>
          <w:i/>
          <w:noProof/>
        </w:rPr>
        <w:t> </w:t>
      </w:r>
      <w:r w:rsidRPr="00710B91">
        <w:rPr>
          <w:i/>
          <w:noProof/>
        </w:rPr>
        <w:t>12</w:t>
      </w:r>
      <w:r w:rsidRPr="00710B91">
        <w:rPr>
          <w:noProof/>
        </w:rPr>
        <w:t xml:space="preserve"> uregulowano dostęp właściwych organów państw członkowskich do przes</w:t>
      </w:r>
      <w:r w:rsidR="00620FA0" w:rsidRPr="00710B91">
        <w:rPr>
          <w:noProof/>
        </w:rPr>
        <w:t xml:space="preserve">trzeni współpracy zespołu JIT. </w:t>
      </w:r>
      <w:r w:rsidRPr="00710B91">
        <w:rPr>
          <w:noProof/>
        </w:rPr>
        <w:t>Po podpisaniu umowy o JIT dla każdego JIT utworzona musi zostać przestrzeń współpracy zespołu JIT</w:t>
      </w:r>
      <w:r w:rsidR="00710B91" w:rsidRPr="00710B91">
        <w:rPr>
          <w:noProof/>
        </w:rPr>
        <w:t xml:space="preserve"> w</w:t>
      </w:r>
      <w:r w:rsidR="00710B91">
        <w:rPr>
          <w:noProof/>
        </w:rPr>
        <w:t> </w:t>
      </w:r>
      <w:r w:rsidR="00710B91" w:rsidRPr="00710B91">
        <w:rPr>
          <w:noProof/>
        </w:rPr>
        <w:t>ram</w:t>
      </w:r>
      <w:r w:rsidRPr="00710B91">
        <w:rPr>
          <w:noProof/>
        </w:rPr>
        <w:t>ach platformy współpracy zespołów JIT. Przestrzeń współpracy zespołu JIT musi otworzyć administrator (administratorzy) przestrzeni JIT przy technicznym wsparciu ze strony eu-LISA. Na podstawie umowy o JIT administrator lub administratorzy przestrzeni JIT muszą określić prawa dostępu do przestrzeni współpracy zespołu JIT.</w:t>
      </w:r>
    </w:p>
    <w:p w14:paraId="5B5CD993" w14:textId="4A99AF7D" w:rsidR="00920E47" w:rsidRPr="00710B91" w:rsidRDefault="00920E47" w:rsidP="00204DB4">
      <w:pPr>
        <w:pBdr>
          <w:top w:val="nil"/>
          <w:left w:val="nil"/>
          <w:bottom w:val="nil"/>
          <w:right w:val="nil"/>
          <w:between w:val="nil"/>
          <w:bar w:val="nil"/>
        </w:pBdr>
        <w:spacing w:before="0" w:after="240"/>
        <w:rPr>
          <w:rFonts w:eastAsia="Arial Unicode MS"/>
          <w:noProof/>
        </w:rPr>
      </w:pPr>
      <w:r w:rsidRPr="00710B91">
        <w:rPr>
          <w:noProof/>
        </w:rPr>
        <w:t xml:space="preserve">W </w:t>
      </w:r>
      <w:r w:rsidRPr="00710B91">
        <w:rPr>
          <w:i/>
          <w:noProof/>
        </w:rPr>
        <w:t>art.</w:t>
      </w:r>
      <w:r w:rsidR="00710B91" w:rsidRPr="00710B91">
        <w:rPr>
          <w:i/>
          <w:noProof/>
        </w:rPr>
        <w:t> </w:t>
      </w:r>
      <w:r w:rsidRPr="00710B91">
        <w:rPr>
          <w:i/>
          <w:noProof/>
        </w:rPr>
        <w:t>13</w:t>
      </w:r>
      <w:r w:rsidRPr="00710B91">
        <w:rPr>
          <w:noProof/>
        </w:rPr>
        <w:t xml:space="preserve"> ustalono, że administrator lub administratorzy przestrzeni JIT mogą zdecydować</w:t>
      </w:r>
      <w:r w:rsidR="00710B91" w:rsidRPr="00710B91">
        <w:rPr>
          <w:noProof/>
        </w:rPr>
        <w:t xml:space="preserve"> o</w:t>
      </w:r>
      <w:r w:rsidR="00710B91">
        <w:rPr>
          <w:noProof/>
        </w:rPr>
        <w:t> </w:t>
      </w:r>
      <w:r w:rsidR="00710B91" w:rsidRPr="00710B91">
        <w:rPr>
          <w:noProof/>
        </w:rPr>
        <w:t>nad</w:t>
      </w:r>
      <w:r w:rsidRPr="00710B91">
        <w:rPr>
          <w:noProof/>
        </w:rPr>
        <w:t>aniu dostępu do przestrzeni współpracy zespołu JIT właściwym organom</w:t>
      </w:r>
      <w:r w:rsidR="00710B91" w:rsidRPr="00710B91">
        <w:rPr>
          <w:noProof/>
        </w:rPr>
        <w:t xml:space="preserve"> i</w:t>
      </w:r>
      <w:r w:rsidR="00710B91">
        <w:rPr>
          <w:noProof/>
        </w:rPr>
        <w:t> </w:t>
      </w:r>
      <w:r w:rsidR="00710B91" w:rsidRPr="00710B91">
        <w:rPr>
          <w:noProof/>
        </w:rPr>
        <w:t>jed</w:t>
      </w:r>
      <w:r w:rsidRPr="00710B91">
        <w:rPr>
          <w:noProof/>
        </w:rPr>
        <w:t xml:space="preserve">nostkom organizacyjnym Unii, aby te mogły wypełnić swoje ustawowe zadania. </w:t>
      </w:r>
    </w:p>
    <w:p w14:paraId="1413BF29" w14:textId="4F765582" w:rsidR="00920E47" w:rsidRPr="00710B91" w:rsidRDefault="00920E47" w:rsidP="00204DB4">
      <w:pPr>
        <w:pBdr>
          <w:top w:val="nil"/>
          <w:left w:val="nil"/>
          <w:bottom w:val="nil"/>
          <w:right w:val="nil"/>
          <w:between w:val="nil"/>
          <w:bar w:val="nil"/>
        </w:pBdr>
        <w:spacing w:before="0" w:after="240"/>
        <w:rPr>
          <w:rFonts w:eastAsia="Arial Unicode MS"/>
          <w:noProof/>
        </w:rPr>
      </w:pPr>
      <w:r w:rsidRPr="00710B91">
        <w:rPr>
          <w:noProof/>
        </w:rPr>
        <w:t xml:space="preserve">W </w:t>
      </w:r>
      <w:r w:rsidRPr="00710B91">
        <w:rPr>
          <w:i/>
          <w:noProof/>
        </w:rPr>
        <w:t>art.</w:t>
      </w:r>
      <w:r w:rsidR="00710B91" w:rsidRPr="00710B91">
        <w:rPr>
          <w:i/>
          <w:noProof/>
        </w:rPr>
        <w:t> </w:t>
      </w:r>
      <w:r w:rsidRPr="00710B91">
        <w:rPr>
          <w:i/>
          <w:noProof/>
        </w:rPr>
        <w:t>14</w:t>
      </w:r>
      <w:r w:rsidRPr="00710B91">
        <w:rPr>
          <w:noProof/>
        </w:rPr>
        <w:t xml:space="preserve"> stwierdzono, że dla wypełnienia celów art.</w:t>
      </w:r>
      <w:r w:rsidR="00710B91" w:rsidRPr="00710B91">
        <w:rPr>
          <w:noProof/>
        </w:rPr>
        <w:t> </w:t>
      </w:r>
      <w:r w:rsidRPr="00710B91">
        <w:rPr>
          <w:noProof/>
        </w:rPr>
        <w:t>5, administrator lub administratorzy przestrzeni JIT mogą zdecydować</w:t>
      </w:r>
      <w:r w:rsidR="00710B91" w:rsidRPr="00710B91">
        <w:rPr>
          <w:noProof/>
        </w:rPr>
        <w:t xml:space="preserve"> o</w:t>
      </w:r>
      <w:r w:rsidR="00710B91">
        <w:rPr>
          <w:noProof/>
        </w:rPr>
        <w:t> </w:t>
      </w:r>
      <w:r w:rsidR="00710B91" w:rsidRPr="00710B91">
        <w:rPr>
          <w:noProof/>
        </w:rPr>
        <w:t>nad</w:t>
      </w:r>
      <w:r w:rsidRPr="00710B91">
        <w:rPr>
          <w:noProof/>
        </w:rPr>
        <w:t>aniu dostępu do przestrzeni współpracy zespołu JIT państwom trzecim, które podpisały konkretną umowę o JIT. Administrator lub administratorzy przestrzeni JIT muszą zagwarantować, że wymiany informacji operacyjnych</w:t>
      </w:r>
      <w:r w:rsidR="00710B91" w:rsidRPr="00710B91">
        <w:rPr>
          <w:noProof/>
        </w:rPr>
        <w:t xml:space="preserve"> z</w:t>
      </w:r>
      <w:r w:rsidR="00710B91">
        <w:rPr>
          <w:noProof/>
        </w:rPr>
        <w:t> </w:t>
      </w:r>
      <w:r w:rsidR="00710B91" w:rsidRPr="00710B91">
        <w:rPr>
          <w:noProof/>
        </w:rPr>
        <w:t>pań</w:t>
      </w:r>
      <w:r w:rsidRPr="00710B91">
        <w:rPr>
          <w:noProof/>
        </w:rPr>
        <w:t>stwami trzecimi, którym nadano dostęp do przestrzeni współpracy zespołu JIT, będą ograniczone do celu</w:t>
      </w:r>
      <w:r w:rsidR="00710B91" w:rsidRPr="00710B91">
        <w:rPr>
          <w:noProof/>
        </w:rPr>
        <w:t xml:space="preserve"> i</w:t>
      </w:r>
      <w:r w:rsidR="00710B91">
        <w:rPr>
          <w:noProof/>
        </w:rPr>
        <w:t> </w:t>
      </w:r>
      <w:r w:rsidR="00710B91" w:rsidRPr="00710B91">
        <w:rPr>
          <w:noProof/>
        </w:rPr>
        <w:t>prz</w:t>
      </w:r>
      <w:r w:rsidRPr="00710B91">
        <w:rPr>
          <w:noProof/>
        </w:rPr>
        <w:t>edmiotu warunków umowy o JIT. Państwa członkowskie muszą zapewnić, aby przesyłanie danych osobowych do krajów trzecich, którym nadano dostęp do przestrzeni współpracy zespołu JIT, miało miejsce wyłącznie</w:t>
      </w:r>
      <w:r w:rsidR="00710B91" w:rsidRPr="00710B91">
        <w:rPr>
          <w:noProof/>
        </w:rPr>
        <w:t xml:space="preserve"> w</w:t>
      </w:r>
      <w:r w:rsidR="00710B91">
        <w:rPr>
          <w:noProof/>
        </w:rPr>
        <w:t> </w:t>
      </w:r>
      <w:r w:rsidR="00710B91" w:rsidRPr="00710B91">
        <w:rPr>
          <w:noProof/>
        </w:rPr>
        <w:t>prz</w:t>
      </w:r>
      <w:r w:rsidRPr="00710B91">
        <w:rPr>
          <w:noProof/>
        </w:rPr>
        <w:t>ypadku spełnienia warunków określonych</w:t>
      </w:r>
      <w:r w:rsidR="00710B91" w:rsidRPr="00710B91">
        <w:rPr>
          <w:noProof/>
        </w:rPr>
        <w:t xml:space="preserve"> w</w:t>
      </w:r>
      <w:r w:rsidR="00710B91">
        <w:rPr>
          <w:noProof/>
        </w:rPr>
        <w:t> </w:t>
      </w:r>
      <w:r w:rsidR="00710B91" w:rsidRPr="00710B91">
        <w:rPr>
          <w:noProof/>
        </w:rPr>
        <w:t>roz</w:t>
      </w:r>
      <w:r w:rsidRPr="00710B91">
        <w:rPr>
          <w:noProof/>
        </w:rPr>
        <w:t>dziale V dyrektywy 2016/680.</w:t>
      </w:r>
    </w:p>
    <w:p w14:paraId="54994ACE" w14:textId="437E245A" w:rsidR="00920E47" w:rsidRPr="00710B91" w:rsidRDefault="00920E47" w:rsidP="008E2629">
      <w:pPr>
        <w:spacing w:before="0" w:after="240" w:line="280" w:lineRule="atLeast"/>
        <w:rPr>
          <w:rFonts w:eastAsia="Times New Roman"/>
          <w:i/>
          <w:noProof/>
          <w:color w:val="000000"/>
          <w:szCs w:val="24"/>
        </w:rPr>
      </w:pPr>
      <w:r w:rsidRPr="00710B91">
        <w:rPr>
          <w:i/>
          <w:noProof/>
          <w:color w:val="000000"/>
          <w:szCs w:val="24"/>
        </w:rPr>
        <w:t>ROZDZIAŁ IV: Bezpieczeństwo</w:t>
      </w:r>
      <w:r w:rsidR="00710B91" w:rsidRPr="00710B91">
        <w:rPr>
          <w:i/>
          <w:noProof/>
          <w:color w:val="000000"/>
          <w:szCs w:val="24"/>
        </w:rPr>
        <w:t xml:space="preserve"> i</w:t>
      </w:r>
      <w:r w:rsidR="00710B91">
        <w:rPr>
          <w:i/>
          <w:noProof/>
          <w:color w:val="000000"/>
          <w:szCs w:val="24"/>
        </w:rPr>
        <w:t> </w:t>
      </w:r>
      <w:r w:rsidR="00710B91" w:rsidRPr="00710B91">
        <w:rPr>
          <w:i/>
          <w:noProof/>
          <w:color w:val="000000"/>
          <w:szCs w:val="24"/>
        </w:rPr>
        <w:t>odp</w:t>
      </w:r>
      <w:r w:rsidRPr="00710B91">
        <w:rPr>
          <w:i/>
          <w:noProof/>
          <w:color w:val="000000"/>
          <w:szCs w:val="24"/>
        </w:rPr>
        <w:t>owiedzialność</w:t>
      </w:r>
    </w:p>
    <w:p w14:paraId="17D7A28C" w14:textId="40A1BFAD" w:rsidR="00920E47" w:rsidRPr="00710B91" w:rsidRDefault="00920E47" w:rsidP="00204DB4">
      <w:pPr>
        <w:pBdr>
          <w:top w:val="nil"/>
          <w:left w:val="nil"/>
          <w:bottom w:val="nil"/>
          <w:right w:val="nil"/>
          <w:between w:val="nil"/>
          <w:bar w:val="nil"/>
        </w:pBdr>
        <w:spacing w:before="0" w:after="240"/>
        <w:rPr>
          <w:rFonts w:eastAsia="Arial Unicode MS"/>
          <w:noProof/>
        </w:rPr>
      </w:pPr>
      <w:r w:rsidRPr="00710B91">
        <w:rPr>
          <w:noProof/>
        </w:rPr>
        <w:t xml:space="preserve">W </w:t>
      </w:r>
      <w:r w:rsidRPr="00710B91">
        <w:rPr>
          <w:i/>
          <w:noProof/>
        </w:rPr>
        <w:t>art.</w:t>
      </w:r>
      <w:r w:rsidR="00710B91" w:rsidRPr="00710B91">
        <w:rPr>
          <w:i/>
          <w:noProof/>
        </w:rPr>
        <w:t> </w:t>
      </w:r>
      <w:r w:rsidRPr="00710B91">
        <w:rPr>
          <w:i/>
          <w:noProof/>
        </w:rPr>
        <w:t>15</w:t>
      </w:r>
      <w:r w:rsidRPr="00710B91">
        <w:rPr>
          <w:noProof/>
        </w:rPr>
        <w:t xml:space="preserve"> nałożono na eu-LISA wymóg wprowadzenia niezbędnych środków technicznych</w:t>
      </w:r>
      <w:r w:rsidR="00710B91" w:rsidRPr="00710B91">
        <w:rPr>
          <w:noProof/>
        </w:rPr>
        <w:t xml:space="preserve"> i</w:t>
      </w:r>
      <w:r w:rsidR="00710B91">
        <w:rPr>
          <w:noProof/>
        </w:rPr>
        <w:t> </w:t>
      </w:r>
      <w:r w:rsidR="00710B91" w:rsidRPr="00710B91">
        <w:rPr>
          <w:noProof/>
        </w:rPr>
        <w:t>org</w:t>
      </w:r>
      <w:r w:rsidRPr="00710B91">
        <w:rPr>
          <w:noProof/>
        </w:rPr>
        <w:t>anizacyjnych, aby zapewnić bezpieczeństwo platformy współpracy zespołów JIT</w:t>
      </w:r>
      <w:r w:rsidR="00710B91" w:rsidRPr="00710B91">
        <w:rPr>
          <w:noProof/>
        </w:rPr>
        <w:t xml:space="preserve"> i</w:t>
      </w:r>
      <w:r w:rsidR="00710B91">
        <w:rPr>
          <w:noProof/>
        </w:rPr>
        <w:t> </w:t>
      </w:r>
      <w:r w:rsidR="00710B91" w:rsidRPr="00710B91">
        <w:rPr>
          <w:noProof/>
        </w:rPr>
        <w:t>bez</w:t>
      </w:r>
      <w:r w:rsidRPr="00710B91">
        <w:rPr>
          <w:noProof/>
        </w:rPr>
        <w:t>pieczeństwa danych</w:t>
      </w:r>
      <w:r w:rsidR="00710B91" w:rsidRPr="00710B91">
        <w:rPr>
          <w:noProof/>
        </w:rPr>
        <w:t xml:space="preserve"> w</w:t>
      </w:r>
      <w:r w:rsidR="00710B91">
        <w:rPr>
          <w:noProof/>
        </w:rPr>
        <w:t> </w:t>
      </w:r>
      <w:r w:rsidR="00710B91" w:rsidRPr="00710B91">
        <w:rPr>
          <w:noProof/>
        </w:rPr>
        <w:t>ram</w:t>
      </w:r>
      <w:r w:rsidRPr="00710B91">
        <w:rPr>
          <w:noProof/>
        </w:rPr>
        <w:t>ach platformy współpracy zespołów JIT.</w:t>
      </w:r>
    </w:p>
    <w:p w14:paraId="468382F1" w14:textId="7406B5E2" w:rsidR="00920E47" w:rsidRPr="00CB58EC" w:rsidRDefault="00920E47" w:rsidP="00204DB4">
      <w:pPr>
        <w:pBdr>
          <w:top w:val="nil"/>
          <w:left w:val="nil"/>
          <w:bottom w:val="nil"/>
          <w:right w:val="nil"/>
          <w:between w:val="nil"/>
          <w:bar w:val="nil"/>
        </w:pBdr>
        <w:spacing w:before="0" w:after="240"/>
      </w:pPr>
      <w:r w:rsidRPr="00710B91">
        <w:rPr>
          <w:noProof/>
        </w:rPr>
        <w:t xml:space="preserve">W </w:t>
      </w:r>
      <w:r w:rsidRPr="00710B91">
        <w:rPr>
          <w:i/>
          <w:noProof/>
        </w:rPr>
        <w:t>art.</w:t>
      </w:r>
      <w:r w:rsidR="00710B91" w:rsidRPr="00710B91">
        <w:rPr>
          <w:i/>
          <w:noProof/>
        </w:rPr>
        <w:t> </w:t>
      </w:r>
      <w:r w:rsidRPr="00710B91">
        <w:rPr>
          <w:i/>
          <w:noProof/>
        </w:rPr>
        <w:t>16</w:t>
      </w:r>
      <w:r w:rsidRPr="00710B91">
        <w:rPr>
          <w:noProof/>
        </w:rPr>
        <w:t xml:space="preserve"> odniesiono się do odpowiedzialności państw członkowskich lub właściwych organów lub jednostek organizacyjnych Unii oraz roszczeń odszkodowawczych, do których wypłacenia są zobowiązane.</w:t>
      </w:r>
    </w:p>
    <w:p w14:paraId="3E43263A" w14:textId="77777777" w:rsidR="00920E47" w:rsidRPr="00710B91" w:rsidRDefault="00920E47" w:rsidP="008E2629">
      <w:pPr>
        <w:spacing w:before="0" w:after="240" w:line="280" w:lineRule="atLeast"/>
        <w:rPr>
          <w:rFonts w:eastAsia="Times New Roman"/>
          <w:i/>
          <w:noProof/>
          <w:color w:val="000000"/>
          <w:szCs w:val="24"/>
        </w:rPr>
      </w:pPr>
      <w:r w:rsidRPr="00710B91">
        <w:rPr>
          <w:i/>
          <w:noProof/>
          <w:color w:val="000000"/>
          <w:szCs w:val="24"/>
        </w:rPr>
        <w:t>Rozdział V: Ochrona danych</w:t>
      </w:r>
    </w:p>
    <w:p w14:paraId="311E4E45" w14:textId="296BC971" w:rsidR="00920E47" w:rsidRPr="00710B91" w:rsidRDefault="00920E47" w:rsidP="00A67E8D">
      <w:pPr>
        <w:shd w:val="clear" w:color="auto" w:fill="FFFFFF" w:themeFill="background1"/>
        <w:spacing w:before="0" w:after="240"/>
        <w:rPr>
          <w:noProof/>
        </w:rPr>
      </w:pPr>
      <w:r w:rsidRPr="00710B91">
        <w:rPr>
          <w:noProof/>
        </w:rPr>
        <w:t xml:space="preserve">W </w:t>
      </w:r>
      <w:r w:rsidRPr="00710B91">
        <w:rPr>
          <w:i/>
          <w:iCs/>
          <w:noProof/>
        </w:rPr>
        <w:t>art.</w:t>
      </w:r>
      <w:r w:rsidR="00710B91" w:rsidRPr="00710B91">
        <w:rPr>
          <w:i/>
          <w:iCs/>
          <w:noProof/>
        </w:rPr>
        <w:t> </w:t>
      </w:r>
      <w:r w:rsidRPr="00710B91">
        <w:rPr>
          <w:i/>
          <w:iCs/>
          <w:noProof/>
        </w:rPr>
        <w:t xml:space="preserve">17 </w:t>
      </w:r>
      <w:r w:rsidRPr="00710B91">
        <w:rPr>
          <w:noProof/>
        </w:rPr>
        <w:t>uregulowano okres zatrzymywania danych operacyjnych, zgodnie</w:t>
      </w:r>
      <w:r w:rsidR="00710B91" w:rsidRPr="00710B91">
        <w:rPr>
          <w:noProof/>
        </w:rPr>
        <w:t xml:space="preserve"> z</w:t>
      </w:r>
      <w:r w:rsidR="00710B91">
        <w:rPr>
          <w:noProof/>
        </w:rPr>
        <w:t> </w:t>
      </w:r>
      <w:r w:rsidR="00710B91" w:rsidRPr="00710B91">
        <w:rPr>
          <w:noProof/>
        </w:rPr>
        <w:t>def</w:t>
      </w:r>
      <w:r w:rsidRPr="00710B91">
        <w:rPr>
          <w:noProof/>
        </w:rPr>
        <w:t>inicją</w:t>
      </w:r>
      <w:r w:rsidR="00710B91" w:rsidRPr="00710B91">
        <w:rPr>
          <w:noProof/>
        </w:rPr>
        <w:t xml:space="preserve"> w</w:t>
      </w:r>
      <w:r w:rsidR="00710B91">
        <w:rPr>
          <w:noProof/>
        </w:rPr>
        <w:t> </w:t>
      </w:r>
      <w:r w:rsidR="00710B91" w:rsidRPr="00710B91">
        <w:rPr>
          <w:noProof/>
        </w:rPr>
        <w:t>art</w:t>
      </w:r>
      <w:r w:rsidRPr="00710B91">
        <w:rPr>
          <w:noProof/>
        </w:rPr>
        <w:t>.</w:t>
      </w:r>
      <w:r w:rsidR="00710B91" w:rsidRPr="00710B91">
        <w:rPr>
          <w:noProof/>
        </w:rPr>
        <w:t> </w:t>
      </w:r>
      <w:r w:rsidRPr="00710B91">
        <w:rPr>
          <w:noProof/>
        </w:rPr>
        <w:t>3. Tego typu dane operacyjne muszą być przechowywane</w:t>
      </w:r>
      <w:r w:rsidR="00710B91" w:rsidRPr="00710B91">
        <w:rPr>
          <w:noProof/>
        </w:rPr>
        <w:t xml:space="preserve"> w</w:t>
      </w:r>
      <w:r w:rsidR="00710B91">
        <w:rPr>
          <w:noProof/>
        </w:rPr>
        <w:t> </w:t>
      </w:r>
      <w:r w:rsidR="00710B91" w:rsidRPr="00710B91">
        <w:rPr>
          <w:noProof/>
        </w:rPr>
        <w:t>sce</w:t>
      </w:r>
      <w:r w:rsidRPr="00710B91">
        <w:rPr>
          <w:noProof/>
        </w:rPr>
        <w:t xml:space="preserve">ntralizowanym systemie informacyjnym do momentu ukończenia procesu ich pobierania przez wszystkich użytkowników. Okres zatrzymywania nie może przekroczyć czterech tygodni. Po upływie okresu zatrzymywania wpis musi zostać automatycznie usunięty ze scentralizowanego systemu. </w:t>
      </w:r>
    </w:p>
    <w:p w14:paraId="72AD86AE" w14:textId="5E85EF5E" w:rsidR="00920E47" w:rsidRPr="00710B91" w:rsidRDefault="00920E47" w:rsidP="00A67E8D">
      <w:pPr>
        <w:shd w:val="clear" w:color="auto" w:fill="FFFFFF" w:themeFill="background1"/>
        <w:spacing w:before="0" w:after="240"/>
        <w:rPr>
          <w:noProof/>
        </w:rPr>
      </w:pPr>
      <w:r w:rsidRPr="00710B91">
        <w:rPr>
          <w:noProof/>
        </w:rPr>
        <w:t xml:space="preserve">W </w:t>
      </w:r>
      <w:r w:rsidRPr="00710B91">
        <w:rPr>
          <w:i/>
          <w:noProof/>
        </w:rPr>
        <w:t>art.</w:t>
      </w:r>
      <w:r w:rsidR="00710B91" w:rsidRPr="00710B91">
        <w:rPr>
          <w:i/>
          <w:noProof/>
        </w:rPr>
        <w:t> </w:t>
      </w:r>
      <w:r w:rsidRPr="00710B91">
        <w:rPr>
          <w:i/>
          <w:noProof/>
        </w:rPr>
        <w:t>18</w:t>
      </w:r>
      <w:r w:rsidRPr="00710B91">
        <w:rPr>
          <w:noProof/>
        </w:rPr>
        <w:t xml:space="preserve"> uregulowano okres zatrzymywania danych nieoperacyjnych, zgodnie</w:t>
      </w:r>
      <w:r w:rsidR="00710B91" w:rsidRPr="00710B91">
        <w:rPr>
          <w:noProof/>
        </w:rPr>
        <w:t xml:space="preserve"> z</w:t>
      </w:r>
      <w:r w:rsidR="00710B91">
        <w:rPr>
          <w:noProof/>
        </w:rPr>
        <w:t> </w:t>
      </w:r>
      <w:r w:rsidR="00710B91" w:rsidRPr="00710B91">
        <w:rPr>
          <w:noProof/>
        </w:rPr>
        <w:t>def</w:t>
      </w:r>
      <w:r w:rsidRPr="00710B91">
        <w:rPr>
          <w:noProof/>
        </w:rPr>
        <w:t>inicją</w:t>
      </w:r>
      <w:r w:rsidR="00710B91" w:rsidRPr="00710B91">
        <w:rPr>
          <w:noProof/>
        </w:rPr>
        <w:t xml:space="preserve"> w</w:t>
      </w:r>
      <w:r w:rsidR="00710B91">
        <w:rPr>
          <w:noProof/>
        </w:rPr>
        <w:t> </w:t>
      </w:r>
      <w:r w:rsidR="00710B91" w:rsidRPr="00710B91">
        <w:rPr>
          <w:noProof/>
        </w:rPr>
        <w:t>art</w:t>
      </w:r>
      <w:r w:rsidRPr="00710B91">
        <w:rPr>
          <w:noProof/>
        </w:rPr>
        <w:t>.</w:t>
      </w:r>
      <w:r w:rsidR="00710B91" w:rsidRPr="00710B91">
        <w:rPr>
          <w:noProof/>
        </w:rPr>
        <w:t> </w:t>
      </w:r>
      <w:r w:rsidRPr="00710B91">
        <w:rPr>
          <w:noProof/>
        </w:rPr>
        <w:t>3. Dane nieoperacyjne muszą być przechowywane</w:t>
      </w:r>
      <w:r w:rsidR="00710B91" w:rsidRPr="00710B91">
        <w:rPr>
          <w:noProof/>
        </w:rPr>
        <w:t xml:space="preserve"> w</w:t>
      </w:r>
      <w:r w:rsidR="00710B91">
        <w:rPr>
          <w:noProof/>
        </w:rPr>
        <w:t> </w:t>
      </w:r>
      <w:r w:rsidR="00710B91" w:rsidRPr="00710B91">
        <w:rPr>
          <w:noProof/>
        </w:rPr>
        <w:t>sce</w:t>
      </w:r>
      <w:r w:rsidRPr="00710B91">
        <w:rPr>
          <w:noProof/>
        </w:rPr>
        <w:t>ntralizowanym systemie informacyjnym do czasu ukończenia procesu oceny. Okres zatrzymywania nie może przekroczyć pięciu lat. Po upływie okresu zatrzymywania wpis musi zostać automatycznie usunięty ze scentralizowanego systemu.</w:t>
      </w:r>
    </w:p>
    <w:p w14:paraId="0614A458" w14:textId="204424FD" w:rsidR="00920E47" w:rsidRPr="00710B91" w:rsidRDefault="00920E47" w:rsidP="00A67E8D">
      <w:pPr>
        <w:shd w:val="clear" w:color="auto" w:fill="FFFFFF" w:themeFill="background1"/>
        <w:spacing w:before="0" w:after="240"/>
        <w:rPr>
          <w:rFonts w:eastAsia="Times New Roman"/>
          <w:bCs/>
          <w:noProof/>
          <w:szCs w:val="24"/>
        </w:rPr>
      </w:pPr>
      <w:r w:rsidRPr="00710B91">
        <w:rPr>
          <w:noProof/>
        </w:rPr>
        <w:t xml:space="preserve">W </w:t>
      </w:r>
      <w:r w:rsidRPr="00710B91">
        <w:rPr>
          <w:i/>
          <w:noProof/>
          <w:szCs w:val="24"/>
        </w:rPr>
        <w:t>art.</w:t>
      </w:r>
      <w:r w:rsidR="00710B91" w:rsidRPr="00710B91">
        <w:rPr>
          <w:i/>
          <w:noProof/>
          <w:szCs w:val="24"/>
        </w:rPr>
        <w:t> </w:t>
      </w:r>
      <w:r w:rsidRPr="00710B91">
        <w:rPr>
          <w:i/>
          <w:noProof/>
          <w:szCs w:val="24"/>
        </w:rPr>
        <w:t>19</w:t>
      </w:r>
      <w:r w:rsidRPr="00710B91">
        <w:rPr>
          <w:noProof/>
        </w:rPr>
        <w:t xml:space="preserve"> odniesiono się do administratorów danych</w:t>
      </w:r>
      <w:r w:rsidR="00710B91" w:rsidRPr="00710B91">
        <w:rPr>
          <w:noProof/>
        </w:rPr>
        <w:t xml:space="preserve"> i</w:t>
      </w:r>
      <w:r w:rsidR="00710B91">
        <w:rPr>
          <w:noProof/>
        </w:rPr>
        <w:t> </w:t>
      </w:r>
      <w:r w:rsidR="00710B91" w:rsidRPr="00710B91">
        <w:rPr>
          <w:noProof/>
        </w:rPr>
        <w:t>pod</w:t>
      </w:r>
      <w:r w:rsidR="00620FA0" w:rsidRPr="00710B91">
        <w:rPr>
          <w:noProof/>
        </w:rPr>
        <w:t xml:space="preserve">miotu przetwarzającego dane. </w:t>
      </w:r>
      <w:r w:rsidRPr="00710B91">
        <w:rPr>
          <w:noProof/>
        </w:rPr>
        <w:t>Wyjaśniono</w:t>
      </w:r>
      <w:r w:rsidR="00710B91" w:rsidRPr="00710B91">
        <w:rPr>
          <w:noProof/>
        </w:rPr>
        <w:t xml:space="preserve"> w</w:t>
      </w:r>
      <w:r w:rsidR="00710B91">
        <w:rPr>
          <w:noProof/>
        </w:rPr>
        <w:t> </w:t>
      </w:r>
      <w:r w:rsidR="00710B91" w:rsidRPr="00710B91">
        <w:rPr>
          <w:noProof/>
        </w:rPr>
        <w:t>nim</w:t>
      </w:r>
      <w:r w:rsidRPr="00710B91">
        <w:rPr>
          <w:noProof/>
        </w:rPr>
        <w:t>, że każdy właściwy organ państw członkowskich oraz</w:t>
      </w:r>
      <w:r w:rsidR="00710B91" w:rsidRPr="00710B91">
        <w:rPr>
          <w:noProof/>
        </w:rPr>
        <w:t xml:space="preserve"> w</w:t>
      </w:r>
      <w:r w:rsidR="00710B91">
        <w:rPr>
          <w:noProof/>
        </w:rPr>
        <w:t> </w:t>
      </w:r>
      <w:r w:rsidR="00710B91" w:rsidRPr="00710B91">
        <w:rPr>
          <w:noProof/>
        </w:rPr>
        <w:t>sto</w:t>
      </w:r>
      <w:r w:rsidRPr="00710B91">
        <w:rPr>
          <w:noProof/>
        </w:rPr>
        <w:t>sownych przypadkach Eurojust, Europol, Prokuratura Europejska, OLAF lub inny dowolny organ lub jednostka organizacyjna Unii są administratorami danych zgodnie</w:t>
      </w:r>
      <w:r w:rsidR="00710B91" w:rsidRPr="00710B91">
        <w:rPr>
          <w:noProof/>
        </w:rPr>
        <w:t xml:space="preserve"> z</w:t>
      </w:r>
      <w:r w:rsidR="00710B91">
        <w:rPr>
          <w:noProof/>
        </w:rPr>
        <w:t> </w:t>
      </w:r>
      <w:r w:rsidR="00710B91" w:rsidRPr="00710B91">
        <w:rPr>
          <w:noProof/>
        </w:rPr>
        <w:t>obo</w:t>
      </w:r>
      <w:r w:rsidRPr="00710B91">
        <w:rPr>
          <w:noProof/>
        </w:rPr>
        <w:t>wiązującymi unijnymi przepisami</w:t>
      </w:r>
      <w:r w:rsidR="00710B91" w:rsidRPr="00710B91">
        <w:rPr>
          <w:noProof/>
        </w:rPr>
        <w:t xml:space="preserve"> o</w:t>
      </w:r>
      <w:r w:rsidR="00710B91">
        <w:rPr>
          <w:noProof/>
        </w:rPr>
        <w:t> </w:t>
      </w:r>
      <w:r w:rsidR="00710B91" w:rsidRPr="00710B91">
        <w:rPr>
          <w:noProof/>
        </w:rPr>
        <w:t>och</w:t>
      </w:r>
      <w:r w:rsidRPr="00710B91">
        <w:rPr>
          <w:noProof/>
        </w:rPr>
        <w:t>ronie danych dla celów przetwarzania danych osobowych na mocy niniejszego rozporządzenia.</w:t>
      </w:r>
      <w:r w:rsidRPr="00710B91">
        <w:rPr>
          <w:i/>
          <w:noProof/>
          <w:szCs w:val="24"/>
        </w:rPr>
        <w:t xml:space="preserve"> </w:t>
      </w:r>
      <w:r w:rsidRPr="00710B91">
        <w:rPr>
          <w:noProof/>
        </w:rPr>
        <w:t>Agencję eu-LISA należy uznać za podmiot przetwarzający dane zgodnie</w:t>
      </w:r>
      <w:r w:rsidR="00710B91" w:rsidRPr="00710B91">
        <w:rPr>
          <w:noProof/>
        </w:rPr>
        <w:t xml:space="preserve"> z</w:t>
      </w:r>
      <w:r w:rsidR="00710B91">
        <w:rPr>
          <w:noProof/>
        </w:rPr>
        <w:t> </w:t>
      </w:r>
      <w:r w:rsidR="00710B91" w:rsidRPr="00710B91">
        <w:rPr>
          <w:noProof/>
        </w:rPr>
        <w:t>roz</w:t>
      </w:r>
      <w:r w:rsidRPr="00710B91">
        <w:rPr>
          <w:noProof/>
        </w:rPr>
        <w:t>porządzeniem (UE) 2018/1725</w:t>
      </w:r>
      <w:r w:rsidR="00710B91" w:rsidRPr="00710B91">
        <w:rPr>
          <w:noProof/>
        </w:rPr>
        <w:t xml:space="preserve"> w</w:t>
      </w:r>
      <w:r w:rsidR="00710B91">
        <w:rPr>
          <w:noProof/>
        </w:rPr>
        <w:t> </w:t>
      </w:r>
      <w:r w:rsidR="00710B91" w:rsidRPr="00710B91">
        <w:rPr>
          <w:noProof/>
        </w:rPr>
        <w:t>spr</w:t>
      </w:r>
      <w:r w:rsidRPr="00710B91">
        <w:rPr>
          <w:noProof/>
        </w:rPr>
        <w:t>awie danych wymienianych przez platformę współpracy zespołów JIT i na niej przechowywanych</w:t>
      </w:r>
      <w:r w:rsidR="00710B91" w:rsidRPr="00710B91">
        <w:rPr>
          <w:noProof/>
        </w:rPr>
        <w:t>. W</w:t>
      </w:r>
      <w:r w:rsidR="00710B91">
        <w:rPr>
          <w:noProof/>
        </w:rPr>
        <w:t> </w:t>
      </w:r>
      <w:r w:rsidR="00710B91" w:rsidRPr="00710B91">
        <w:rPr>
          <w:noProof/>
        </w:rPr>
        <w:t>każ</w:t>
      </w:r>
      <w:r w:rsidRPr="00710B91">
        <w:rPr>
          <w:noProof/>
        </w:rPr>
        <w:t>dym przypadku zamieszczania informacji operacyjnych lub dowodów na platformie współpracy zespołów JIT przez państwo trzecie takie informacje lub dowody muszą zostać poddane analizie przez administratora przestrzeni JIT, zanim zostaną pobrane przez pozostałych użytkowników platformy.</w:t>
      </w:r>
    </w:p>
    <w:p w14:paraId="60F1836E" w14:textId="479EEF78" w:rsidR="00920E47" w:rsidRPr="00710B91" w:rsidRDefault="00920E47" w:rsidP="00A67E8D">
      <w:pPr>
        <w:shd w:val="clear" w:color="auto" w:fill="FFFFFF" w:themeFill="background1"/>
        <w:spacing w:before="0" w:after="240"/>
        <w:rPr>
          <w:rFonts w:eastAsia="Times New Roman"/>
          <w:i/>
          <w:noProof/>
          <w:szCs w:val="24"/>
        </w:rPr>
      </w:pPr>
      <w:r w:rsidRPr="00710B91">
        <w:rPr>
          <w:noProof/>
        </w:rPr>
        <w:t xml:space="preserve">W </w:t>
      </w:r>
      <w:r w:rsidRPr="00710B91">
        <w:rPr>
          <w:bCs/>
          <w:i/>
          <w:noProof/>
          <w:szCs w:val="24"/>
        </w:rPr>
        <w:t>art.</w:t>
      </w:r>
      <w:r w:rsidR="00710B91" w:rsidRPr="00710B91">
        <w:rPr>
          <w:bCs/>
          <w:i/>
          <w:noProof/>
          <w:szCs w:val="24"/>
        </w:rPr>
        <w:t> </w:t>
      </w:r>
      <w:r w:rsidRPr="00710B91">
        <w:rPr>
          <w:bCs/>
          <w:i/>
          <w:noProof/>
          <w:szCs w:val="24"/>
        </w:rPr>
        <w:t>20</w:t>
      </w:r>
      <w:r w:rsidRPr="00710B91">
        <w:rPr>
          <w:noProof/>
        </w:rPr>
        <w:t xml:space="preserve"> ograniczono cele przetwarzania danych osobowych wprowadzonych do platformy współpracy zespołów JIT.</w:t>
      </w:r>
      <w:r w:rsidRPr="00710B91">
        <w:rPr>
          <w:i/>
          <w:noProof/>
          <w:szCs w:val="24"/>
        </w:rPr>
        <w:t xml:space="preserve"> </w:t>
      </w:r>
      <w:r w:rsidRPr="00710B91">
        <w:rPr>
          <w:noProof/>
        </w:rPr>
        <w:t>Dane te należy przetwarzać do celów wymiany informacji operacyjnych</w:t>
      </w:r>
      <w:r w:rsidR="00710B91" w:rsidRPr="00710B91">
        <w:rPr>
          <w:noProof/>
        </w:rPr>
        <w:t xml:space="preserve"> i</w:t>
      </w:r>
      <w:r w:rsidR="00710B91">
        <w:rPr>
          <w:noProof/>
        </w:rPr>
        <w:t> </w:t>
      </w:r>
      <w:r w:rsidR="00710B91" w:rsidRPr="00710B91">
        <w:rPr>
          <w:noProof/>
        </w:rPr>
        <w:t>dow</w:t>
      </w:r>
      <w:r w:rsidRPr="00710B91">
        <w:rPr>
          <w:noProof/>
        </w:rPr>
        <w:t>odów między użytkownikami platformy oraz wymiany danych nieoperacyjnych między użytkownikami platformy</w:t>
      </w:r>
      <w:r w:rsidR="00710B91" w:rsidRPr="00710B91">
        <w:rPr>
          <w:noProof/>
        </w:rPr>
        <w:t xml:space="preserve"> w</w:t>
      </w:r>
      <w:r w:rsidR="00710B91">
        <w:rPr>
          <w:noProof/>
        </w:rPr>
        <w:t> </w:t>
      </w:r>
      <w:r w:rsidR="00710B91" w:rsidRPr="00710B91">
        <w:rPr>
          <w:noProof/>
        </w:rPr>
        <w:t>cel</w:t>
      </w:r>
      <w:r w:rsidRPr="00710B91">
        <w:rPr>
          <w:noProof/>
        </w:rPr>
        <w:t>u zarządzania zespołem JIT. Dostęp do platformy współpracy zespołów JIT należy ograniczyć do upoważnionego personelu właściwych organów państwa członkowskich</w:t>
      </w:r>
      <w:r w:rsidR="00710B91" w:rsidRPr="00710B91">
        <w:rPr>
          <w:noProof/>
        </w:rPr>
        <w:t xml:space="preserve"> i</w:t>
      </w:r>
      <w:r w:rsidR="00710B91">
        <w:rPr>
          <w:noProof/>
        </w:rPr>
        <w:t> </w:t>
      </w:r>
      <w:r w:rsidR="00710B91" w:rsidRPr="00710B91">
        <w:rPr>
          <w:noProof/>
        </w:rPr>
        <w:t>org</w:t>
      </w:r>
      <w:r w:rsidRPr="00710B91">
        <w:rPr>
          <w:noProof/>
        </w:rPr>
        <w:t>anów państw trzecich, Eurojustu, Europolu, Prokuratury Europejskiej, OLAF-u oraz innych właściwych organów lub jednostek organizacyjnych Unii. Dostęp musi być także ograniczony</w:t>
      </w:r>
      <w:r w:rsidR="00710B91" w:rsidRPr="00710B91">
        <w:rPr>
          <w:noProof/>
        </w:rPr>
        <w:t xml:space="preserve"> w</w:t>
      </w:r>
      <w:r w:rsidR="00710B91">
        <w:rPr>
          <w:noProof/>
        </w:rPr>
        <w:t> </w:t>
      </w:r>
      <w:r w:rsidR="00710B91" w:rsidRPr="00710B91">
        <w:rPr>
          <w:noProof/>
        </w:rPr>
        <w:t>zak</w:t>
      </w:r>
      <w:r w:rsidRPr="00710B91">
        <w:rPr>
          <w:noProof/>
        </w:rPr>
        <w:t>resie koniecznym do realizacji zadań zgodnie</w:t>
      </w:r>
      <w:r w:rsidR="00710B91" w:rsidRPr="00710B91">
        <w:rPr>
          <w:noProof/>
        </w:rPr>
        <w:t xml:space="preserve"> z</w:t>
      </w:r>
      <w:r w:rsidR="00710B91">
        <w:rPr>
          <w:noProof/>
        </w:rPr>
        <w:t> </w:t>
      </w:r>
      <w:r w:rsidR="00710B91" w:rsidRPr="00710B91">
        <w:rPr>
          <w:noProof/>
        </w:rPr>
        <w:t>cel</w:t>
      </w:r>
      <w:r w:rsidRPr="00710B91">
        <w:rPr>
          <w:noProof/>
        </w:rPr>
        <w:t>em wskazanym</w:t>
      </w:r>
      <w:r w:rsidR="00710B91" w:rsidRPr="00710B91">
        <w:rPr>
          <w:noProof/>
        </w:rPr>
        <w:t xml:space="preserve"> w</w:t>
      </w:r>
      <w:r w:rsidR="00710B91">
        <w:rPr>
          <w:noProof/>
        </w:rPr>
        <w:t> </w:t>
      </w:r>
      <w:r w:rsidR="00710B91" w:rsidRPr="00710B91">
        <w:rPr>
          <w:noProof/>
        </w:rPr>
        <w:t>art</w:t>
      </w:r>
      <w:r w:rsidRPr="00710B91">
        <w:rPr>
          <w:noProof/>
        </w:rPr>
        <w:t>.</w:t>
      </w:r>
      <w:r w:rsidR="00710B91" w:rsidRPr="00710B91">
        <w:rPr>
          <w:noProof/>
        </w:rPr>
        <w:t> </w:t>
      </w:r>
      <w:r w:rsidRPr="00710B91">
        <w:rPr>
          <w:noProof/>
        </w:rPr>
        <w:t>20 ust.</w:t>
      </w:r>
      <w:r w:rsidR="00710B91" w:rsidRPr="00710B91">
        <w:rPr>
          <w:noProof/>
        </w:rPr>
        <w:t> </w:t>
      </w:r>
      <w:r w:rsidRPr="00710B91">
        <w:rPr>
          <w:noProof/>
        </w:rPr>
        <w:t>1 oraz koniecznym</w:t>
      </w:r>
      <w:r w:rsidR="00710B91" w:rsidRPr="00710B91">
        <w:rPr>
          <w:noProof/>
        </w:rPr>
        <w:t xml:space="preserve"> i</w:t>
      </w:r>
      <w:r w:rsidR="00710B91">
        <w:rPr>
          <w:noProof/>
        </w:rPr>
        <w:t> </w:t>
      </w:r>
      <w:r w:rsidR="00710B91" w:rsidRPr="00710B91">
        <w:rPr>
          <w:noProof/>
        </w:rPr>
        <w:t>pro</w:t>
      </w:r>
      <w:r w:rsidRPr="00710B91">
        <w:rPr>
          <w:noProof/>
        </w:rPr>
        <w:t>porcjonalnym do założonych celów.</w:t>
      </w:r>
    </w:p>
    <w:p w14:paraId="2C4C0D65" w14:textId="14CA3128" w:rsidR="00920E47" w:rsidRPr="00710B91" w:rsidRDefault="00920E47" w:rsidP="00A67E8D">
      <w:pPr>
        <w:shd w:val="clear" w:color="auto" w:fill="FFFFFF" w:themeFill="background1"/>
        <w:spacing w:before="0" w:after="240"/>
        <w:rPr>
          <w:rFonts w:eastAsia="Times New Roman"/>
          <w:i/>
          <w:noProof/>
          <w:szCs w:val="24"/>
        </w:rPr>
      </w:pPr>
      <w:r w:rsidRPr="00710B91">
        <w:rPr>
          <w:noProof/>
        </w:rPr>
        <w:t xml:space="preserve">W </w:t>
      </w:r>
      <w:r w:rsidRPr="00710B91">
        <w:rPr>
          <w:bCs/>
          <w:i/>
          <w:noProof/>
          <w:szCs w:val="24"/>
        </w:rPr>
        <w:t>art.</w:t>
      </w:r>
      <w:r w:rsidR="00710B91" w:rsidRPr="00710B91">
        <w:rPr>
          <w:bCs/>
          <w:i/>
          <w:noProof/>
          <w:szCs w:val="24"/>
        </w:rPr>
        <w:t> </w:t>
      </w:r>
      <w:r w:rsidRPr="00710B91">
        <w:rPr>
          <w:bCs/>
          <w:i/>
          <w:noProof/>
          <w:szCs w:val="24"/>
        </w:rPr>
        <w:t>21</w:t>
      </w:r>
      <w:r w:rsidRPr="00710B91">
        <w:rPr>
          <w:noProof/>
        </w:rPr>
        <w:t xml:space="preserve"> uregulowano prowadzenie rejestrów. Ustalono</w:t>
      </w:r>
      <w:r w:rsidR="00710B91" w:rsidRPr="00710B91">
        <w:rPr>
          <w:noProof/>
        </w:rPr>
        <w:t xml:space="preserve"> w</w:t>
      </w:r>
      <w:r w:rsidR="00710B91">
        <w:rPr>
          <w:noProof/>
        </w:rPr>
        <w:t> </w:t>
      </w:r>
      <w:r w:rsidR="00710B91" w:rsidRPr="00710B91">
        <w:rPr>
          <w:noProof/>
        </w:rPr>
        <w:t>nim</w:t>
      </w:r>
      <w:r w:rsidRPr="00710B91">
        <w:rPr>
          <w:noProof/>
        </w:rPr>
        <w:t>, że eu-LISA musi zapewnić, aby uzyskiwanie dostępu do scentralizowanego systemu informacyjnego oraz wszystkie operacje związane</w:t>
      </w:r>
      <w:r w:rsidR="00710B91" w:rsidRPr="00710B91">
        <w:rPr>
          <w:noProof/>
        </w:rPr>
        <w:t xml:space="preserve"> z</w:t>
      </w:r>
      <w:r w:rsidR="00710B91">
        <w:rPr>
          <w:noProof/>
        </w:rPr>
        <w:t> </w:t>
      </w:r>
      <w:r w:rsidR="00710B91" w:rsidRPr="00710B91">
        <w:rPr>
          <w:noProof/>
        </w:rPr>
        <w:t>prz</w:t>
      </w:r>
      <w:r w:rsidRPr="00710B91">
        <w:rPr>
          <w:noProof/>
        </w:rPr>
        <w:t>etwarzaniem danych</w:t>
      </w:r>
      <w:r w:rsidR="00710B91" w:rsidRPr="00710B91">
        <w:rPr>
          <w:noProof/>
        </w:rPr>
        <w:t xml:space="preserve"> w</w:t>
      </w:r>
      <w:r w:rsidR="00710B91">
        <w:rPr>
          <w:noProof/>
        </w:rPr>
        <w:t> </w:t>
      </w:r>
      <w:r w:rsidR="00710B91" w:rsidRPr="00710B91">
        <w:rPr>
          <w:noProof/>
        </w:rPr>
        <w:t>sce</w:t>
      </w:r>
      <w:r w:rsidRPr="00710B91">
        <w:rPr>
          <w:noProof/>
        </w:rPr>
        <w:t>ntralizowanym systemie informacyjnym były rejestrowane</w:t>
      </w:r>
      <w:r w:rsidR="00710B91" w:rsidRPr="00710B91">
        <w:rPr>
          <w:noProof/>
        </w:rPr>
        <w:t xml:space="preserve"> w</w:t>
      </w:r>
      <w:r w:rsidR="00710B91">
        <w:rPr>
          <w:noProof/>
        </w:rPr>
        <w:t> </w:t>
      </w:r>
      <w:r w:rsidR="00710B91" w:rsidRPr="00710B91">
        <w:rPr>
          <w:noProof/>
        </w:rPr>
        <w:t>cel</w:t>
      </w:r>
      <w:r w:rsidRPr="00710B91">
        <w:rPr>
          <w:noProof/>
        </w:rPr>
        <w:t>u weryfikacji dopuszczalności wniosków, monitorowania integralności</w:t>
      </w:r>
      <w:r w:rsidR="00710B91" w:rsidRPr="00710B91">
        <w:rPr>
          <w:noProof/>
        </w:rPr>
        <w:t xml:space="preserve"> i</w:t>
      </w:r>
      <w:r w:rsidR="00710B91">
        <w:rPr>
          <w:noProof/>
        </w:rPr>
        <w:t> </w:t>
      </w:r>
      <w:r w:rsidR="00710B91" w:rsidRPr="00710B91">
        <w:rPr>
          <w:noProof/>
        </w:rPr>
        <w:t>bez</w:t>
      </w:r>
      <w:r w:rsidRPr="00710B91">
        <w:rPr>
          <w:noProof/>
        </w:rPr>
        <w:t>pieczeństwa danych oraz legalności przetwarzania danych, jak również samokontroli.</w:t>
      </w:r>
    </w:p>
    <w:p w14:paraId="7CAAADE2" w14:textId="77777777" w:rsidR="00920E47" w:rsidRPr="00710B91" w:rsidRDefault="00920E47" w:rsidP="00A67E8D">
      <w:pPr>
        <w:spacing w:before="0" w:after="240"/>
        <w:rPr>
          <w:rFonts w:eastAsia="Times New Roman"/>
          <w:i/>
          <w:noProof/>
          <w:color w:val="000000"/>
          <w:szCs w:val="24"/>
        </w:rPr>
      </w:pPr>
      <w:r w:rsidRPr="00710B91">
        <w:rPr>
          <w:i/>
          <w:noProof/>
          <w:color w:val="000000"/>
          <w:szCs w:val="24"/>
        </w:rPr>
        <w:t>Rozdział VI: Przepisy końcowe</w:t>
      </w:r>
    </w:p>
    <w:p w14:paraId="684C4BCE" w14:textId="2B3652EA" w:rsidR="00920E47" w:rsidRPr="00710B91" w:rsidRDefault="00920E47" w:rsidP="00A67E8D">
      <w:pPr>
        <w:shd w:val="clear" w:color="auto" w:fill="FFFFFF" w:themeFill="background1"/>
        <w:spacing w:before="0" w:after="240"/>
        <w:rPr>
          <w:rFonts w:eastAsia="Times New Roman"/>
          <w:bCs/>
          <w:noProof/>
          <w:szCs w:val="24"/>
        </w:rPr>
      </w:pPr>
      <w:r w:rsidRPr="00710B91">
        <w:rPr>
          <w:noProof/>
        </w:rPr>
        <w:t xml:space="preserve">W </w:t>
      </w:r>
      <w:r w:rsidRPr="00710B91">
        <w:rPr>
          <w:i/>
          <w:noProof/>
        </w:rPr>
        <w:t>art.</w:t>
      </w:r>
      <w:r w:rsidR="00710B91" w:rsidRPr="00710B91">
        <w:rPr>
          <w:i/>
          <w:noProof/>
        </w:rPr>
        <w:t> </w:t>
      </w:r>
      <w:r w:rsidRPr="00710B91">
        <w:rPr>
          <w:i/>
          <w:noProof/>
        </w:rPr>
        <w:t>22</w:t>
      </w:r>
      <w:r w:rsidRPr="00710B91">
        <w:rPr>
          <w:noProof/>
        </w:rPr>
        <w:t xml:space="preserve"> określono obowiązki eu-LISA</w:t>
      </w:r>
      <w:r w:rsidR="00710B91" w:rsidRPr="00710B91">
        <w:rPr>
          <w:noProof/>
        </w:rPr>
        <w:t xml:space="preserve"> i</w:t>
      </w:r>
      <w:r w:rsidR="00710B91">
        <w:rPr>
          <w:noProof/>
        </w:rPr>
        <w:t> </w:t>
      </w:r>
      <w:r w:rsidR="00710B91" w:rsidRPr="00710B91">
        <w:rPr>
          <w:noProof/>
        </w:rPr>
        <w:t>Kom</w:t>
      </w:r>
      <w:r w:rsidRPr="00710B91">
        <w:rPr>
          <w:noProof/>
        </w:rPr>
        <w:t>isji</w:t>
      </w:r>
      <w:r w:rsidR="00710B91" w:rsidRPr="00710B91">
        <w:rPr>
          <w:noProof/>
        </w:rPr>
        <w:t xml:space="preserve"> w</w:t>
      </w:r>
      <w:r w:rsidR="00710B91">
        <w:rPr>
          <w:noProof/>
        </w:rPr>
        <w:t> </w:t>
      </w:r>
      <w:r w:rsidR="00710B91" w:rsidRPr="00710B91">
        <w:rPr>
          <w:noProof/>
        </w:rPr>
        <w:t>zak</w:t>
      </w:r>
      <w:r w:rsidRPr="00710B91">
        <w:rPr>
          <w:noProof/>
        </w:rPr>
        <w:t>resie sprawozdawczości</w:t>
      </w:r>
      <w:r w:rsidR="00710B91" w:rsidRPr="00710B91">
        <w:rPr>
          <w:noProof/>
        </w:rPr>
        <w:t xml:space="preserve"> i</w:t>
      </w:r>
      <w:r w:rsidR="00710B91">
        <w:rPr>
          <w:noProof/>
        </w:rPr>
        <w:t> </w:t>
      </w:r>
      <w:r w:rsidR="00710B91" w:rsidRPr="00710B91">
        <w:rPr>
          <w:noProof/>
        </w:rPr>
        <w:t>kon</w:t>
      </w:r>
      <w:r w:rsidRPr="00710B91">
        <w:rPr>
          <w:noProof/>
        </w:rPr>
        <w:t>troli. Cztery lata po rozpoczęciu funkcjonowania platformy współpracy zespołów JIT oraz później co cztery lata Komisja przeprowadzi ogólną ocenę platformy współpracy zespołów JIT.</w:t>
      </w:r>
    </w:p>
    <w:p w14:paraId="27A66B18" w14:textId="28A563CA" w:rsidR="00920E47" w:rsidRPr="00710B91" w:rsidRDefault="00920E47" w:rsidP="00A67E8D">
      <w:pPr>
        <w:shd w:val="clear" w:color="auto" w:fill="FFFFFF" w:themeFill="background1"/>
        <w:spacing w:before="0" w:after="240"/>
        <w:rPr>
          <w:rFonts w:eastAsia="Times New Roman"/>
          <w:bCs/>
          <w:noProof/>
          <w:szCs w:val="24"/>
        </w:rPr>
      </w:pPr>
      <w:r w:rsidRPr="00710B91">
        <w:rPr>
          <w:noProof/>
        </w:rPr>
        <w:t xml:space="preserve">W </w:t>
      </w:r>
      <w:r w:rsidRPr="00710B91">
        <w:rPr>
          <w:i/>
          <w:noProof/>
        </w:rPr>
        <w:t>art.</w:t>
      </w:r>
      <w:r w:rsidR="00710B91" w:rsidRPr="00710B91">
        <w:rPr>
          <w:i/>
          <w:noProof/>
        </w:rPr>
        <w:t> </w:t>
      </w:r>
      <w:r w:rsidRPr="00710B91">
        <w:rPr>
          <w:i/>
          <w:noProof/>
        </w:rPr>
        <w:t>23</w:t>
      </w:r>
      <w:r w:rsidRPr="00710B91">
        <w:rPr>
          <w:noProof/>
        </w:rPr>
        <w:t xml:space="preserve"> ustanowiono, że koszty poniesione</w:t>
      </w:r>
      <w:r w:rsidR="00710B91" w:rsidRPr="00710B91">
        <w:rPr>
          <w:noProof/>
        </w:rPr>
        <w:t xml:space="preserve"> w</w:t>
      </w:r>
      <w:r w:rsidR="00710B91">
        <w:rPr>
          <w:noProof/>
        </w:rPr>
        <w:t> </w:t>
      </w:r>
      <w:r w:rsidR="00710B91" w:rsidRPr="00710B91">
        <w:rPr>
          <w:noProof/>
        </w:rPr>
        <w:t>cel</w:t>
      </w:r>
      <w:r w:rsidRPr="00710B91">
        <w:rPr>
          <w:noProof/>
        </w:rPr>
        <w:t>u ustanowienia</w:t>
      </w:r>
      <w:r w:rsidR="00710B91" w:rsidRPr="00710B91">
        <w:rPr>
          <w:noProof/>
        </w:rPr>
        <w:t xml:space="preserve"> i</w:t>
      </w:r>
      <w:r w:rsidR="00710B91">
        <w:rPr>
          <w:noProof/>
        </w:rPr>
        <w:t> </w:t>
      </w:r>
      <w:r w:rsidR="00710B91" w:rsidRPr="00710B91">
        <w:rPr>
          <w:noProof/>
        </w:rPr>
        <w:t>obs</w:t>
      </w:r>
      <w:r w:rsidRPr="00710B91">
        <w:rPr>
          <w:noProof/>
        </w:rPr>
        <w:t>ługi platformy współpracy zespołów JIT muszą zostać pokryte</w:t>
      </w:r>
      <w:r w:rsidR="00710B91" w:rsidRPr="00710B91">
        <w:rPr>
          <w:noProof/>
        </w:rPr>
        <w:t xml:space="preserve"> z</w:t>
      </w:r>
      <w:r w:rsidR="00710B91">
        <w:rPr>
          <w:noProof/>
        </w:rPr>
        <w:t> </w:t>
      </w:r>
      <w:r w:rsidR="00710B91" w:rsidRPr="00710B91">
        <w:rPr>
          <w:noProof/>
        </w:rPr>
        <w:t>ogó</w:t>
      </w:r>
      <w:r w:rsidRPr="00710B91">
        <w:rPr>
          <w:noProof/>
        </w:rPr>
        <w:t>lnego budżetu Unii.</w:t>
      </w:r>
    </w:p>
    <w:p w14:paraId="36673B74" w14:textId="4E279835" w:rsidR="00920E47" w:rsidRPr="00710B91" w:rsidRDefault="00920E47" w:rsidP="00A67E8D">
      <w:pPr>
        <w:shd w:val="clear" w:color="auto" w:fill="FFFFFF" w:themeFill="background1"/>
        <w:spacing w:before="0" w:after="240"/>
        <w:rPr>
          <w:rFonts w:eastAsia="Arial Unicode MS"/>
          <w:noProof/>
        </w:rPr>
      </w:pPr>
      <w:r w:rsidRPr="00710B91">
        <w:rPr>
          <w:noProof/>
        </w:rPr>
        <w:t xml:space="preserve">W </w:t>
      </w:r>
      <w:r w:rsidRPr="00710B91">
        <w:rPr>
          <w:i/>
          <w:noProof/>
        </w:rPr>
        <w:t>art.</w:t>
      </w:r>
      <w:r w:rsidR="00710B91" w:rsidRPr="00710B91">
        <w:rPr>
          <w:i/>
          <w:noProof/>
        </w:rPr>
        <w:t> </w:t>
      </w:r>
      <w:r w:rsidRPr="00710B91">
        <w:rPr>
          <w:i/>
          <w:noProof/>
        </w:rPr>
        <w:t>24</w:t>
      </w:r>
      <w:r w:rsidRPr="00710B91">
        <w:rPr>
          <w:noProof/>
        </w:rPr>
        <w:t xml:space="preserve"> określono warunki, które należy spełnić, zanim Komisje zdecyduje</w:t>
      </w:r>
      <w:r w:rsidR="00710B91" w:rsidRPr="00710B91">
        <w:rPr>
          <w:noProof/>
        </w:rPr>
        <w:t xml:space="preserve"> o</w:t>
      </w:r>
      <w:r w:rsidR="00710B91">
        <w:rPr>
          <w:noProof/>
        </w:rPr>
        <w:t> </w:t>
      </w:r>
      <w:r w:rsidR="00710B91" w:rsidRPr="00710B91">
        <w:rPr>
          <w:noProof/>
        </w:rPr>
        <w:t>dac</w:t>
      </w:r>
      <w:r w:rsidRPr="00710B91">
        <w:rPr>
          <w:noProof/>
        </w:rPr>
        <w:t>ie rozpoczęcia funkcjonowania platformy współpracy zespołów JIT.</w:t>
      </w:r>
    </w:p>
    <w:p w14:paraId="31D0BDBB" w14:textId="362293DC" w:rsidR="00433B71" w:rsidRPr="00710B91" w:rsidRDefault="00433B71" w:rsidP="00A67E8D">
      <w:pPr>
        <w:shd w:val="clear" w:color="auto" w:fill="FFFFFF" w:themeFill="background1"/>
        <w:spacing w:before="0" w:after="240"/>
        <w:rPr>
          <w:rFonts w:eastAsia="Times New Roman"/>
          <w:bCs/>
          <w:noProof/>
          <w:szCs w:val="24"/>
        </w:rPr>
      </w:pPr>
      <w:r w:rsidRPr="00710B91">
        <w:rPr>
          <w:noProof/>
        </w:rPr>
        <w:t xml:space="preserve">W </w:t>
      </w:r>
      <w:r w:rsidRPr="00710B91">
        <w:rPr>
          <w:i/>
          <w:noProof/>
        </w:rPr>
        <w:t>art.</w:t>
      </w:r>
      <w:r w:rsidR="00710B91" w:rsidRPr="00710B91">
        <w:rPr>
          <w:i/>
          <w:noProof/>
        </w:rPr>
        <w:t> </w:t>
      </w:r>
      <w:r w:rsidRPr="00710B91">
        <w:rPr>
          <w:i/>
          <w:noProof/>
        </w:rPr>
        <w:t xml:space="preserve">25 </w:t>
      </w:r>
      <w:r w:rsidRPr="00710B91">
        <w:rPr>
          <w:noProof/>
        </w:rPr>
        <w:t>uregulowano procedurę komitetową, którą należy stosować</w:t>
      </w:r>
      <w:r w:rsidR="00710B91" w:rsidRPr="00710B91">
        <w:rPr>
          <w:noProof/>
        </w:rPr>
        <w:t xml:space="preserve"> w</w:t>
      </w:r>
      <w:r w:rsidR="00710B91">
        <w:rPr>
          <w:noProof/>
        </w:rPr>
        <w:t> </w:t>
      </w:r>
      <w:r w:rsidR="00710B91" w:rsidRPr="00710B91">
        <w:rPr>
          <w:noProof/>
        </w:rPr>
        <w:t>opa</w:t>
      </w:r>
      <w:r w:rsidRPr="00710B91">
        <w:rPr>
          <w:noProof/>
        </w:rPr>
        <w:t>rciu</w:t>
      </w:r>
      <w:r w:rsidR="00710B91" w:rsidRPr="00710B91">
        <w:rPr>
          <w:noProof/>
        </w:rPr>
        <w:t xml:space="preserve"> o</w:t>
      </w:r>
      <w:r w:rsidR="00710B91">
        <w:rPr>
          <w:noProof/>
        </w:rPr>
        <w:t> </w:t>
      </w:r>
      <w:r w:rsidR="00710B91" w:rsidRPr="00710B91">
        <w:rPr>
          <w:noProof/>
        </w:rPr>
        <w:t>sta</w:t>
      </w:r>
      <w:r w:rsidRPr="00710B91">
        <w:rPr>
          <w:noProof/>
        </w:rPr>
        <w:t>ndardowe zapisy.</w:t>
      </w:r>
    </w:p>
    <w:p w14:paraId="62491700" w14:textId="130B5F6E" w:rsidR="00433B71" w:rsidRPr="00710B91" w:rsidRDefault="00433B71" w:rsidP="00A67E8D">
      <w:pPr>
        <w:shd w:val="clear" w:color="auto" w:fill="FFFFFF" w:themeFill="background1"/>
        <w:spacing w:before="0" w:after="240"/>
        <w:rPr>
          <w:rFonts w:eastAsia="Times New Roman"/>
          <w:bCs/>
          <w:noProof/>
          <w:szCs w:val="24"/>
        </w:rPr>
      </w:pPr>
      <w:r w:rsidRPr="00710B91">
        <w:rPr>
          <w:noProof/>
        </w:rPr>
        <w:t xml:space="preserve">W </w:t>
      </w:r>
      <w:r w:rsidRPr="00710B91">
        <w:rPr>
          <w:i/>
          <w:noProof/>
        </w:rPr>
        <w:t>art.</w:t>
      </w:r>
      <w:r w:rsidR="00710B91" w:rsidRPr="00710B91">
        <w:rPr>
          <w:i/>
          <w:noProof/>
        </w:rPr>
        <w:t> </w:t>
      </w:r>
      <w:r w:rsidRPr="00710B91">
        <w:rPr>
          <w:i/>
          <w:noProof/>
        </w:rPr>
        <w:t>26</w:t>
      </w:r>
      <w:r w:rsidRPr="00710B91">
        <w:rPr>
          <w:noProof/>
        </w:rPr>
        <w:t xml:space="preserve"> uregulowano zmiany rozporządzenia (UE) 2018/1726</w:t>
      </w:r>
      <w:r w:rsidR="00710B91" w:rsidRPr="00710B91">
        <w:rPr>
          <w:noProof/>
        </w:rPr>
        <w:t xml:space="preserve"> w</w:t>
      </w:r>
      <w:r w:rsidR="00710B91">
        <w:rPr>
          <w:noProof/>
        </w:rPr>
        <w:t> </w:t>
      </w:r>
      <w:r w:rsidR="00710B91" w:rsidRPr="00710B91">
        <w:rPr>
          <w:noProof/>
        </w:rPr>
        <w:t>cel</w:t>
      </w:r>
      <w:r w:rsidRPr="00710B91">
        <w:rPr>
          <w:noProof/>
        </w:rPr>
        <w:t>u dostosowania go do nowych obowiązków</w:t>
      </w:r>
      <w:r w:rsidR="00710B91" w:rsidRPr="00710B91">
        <w:rPr>
          <w:noProof/>
        </w:rPr>
        <w:t xml:space="preserve"> i</w:t>
      </w:r>
      <w:r w:rsidR="00710B91">
        <w:rPr>
          <w:noProof/>
        </w:rPr>
        <w:t> </w:t>
      </w:r>
      <w:r w:rsidR="00710B91" w:rsidRPr="00710B91">
        <w:rPr>
          <w:noProof/>
        </w:rPr>
        <w:t>zad</w:t>
      </w:r>
      <w:r w:rsidRPr="00710B91">
        <w:rPr>
          <w:noProof/>
        </w:rPr>
        <w:t>ań eu-LISA.</w:t>
      </w:r>
    </w:p>
    <w:p w14:paraId="3160B2C6" w14:textId="471AF5A5" w:rsidR="00920E47" w:rsidRPr="00710B91" w:rsidRDefault="00920E47" w:rsidP="00A67E8D">
      <w:pPr>
        <w:shd w:val="clear" w:color="auto" w:fill="FFFFFF" w:themeFill="background1"/>
        <w:spacing w:before="0" w:after="240"/>
        <w:rPr>
          <w:rFonts w:eastAsia="Arial Unicode MS"/>
          <w:noProof/>
        </w:rPr>
      </w:pPr>
      <w:r w:rsidRPr="00710B91">
        <w:rPr>
          <w:noProof/>
        </w:rPr>
        <w:t xml:space="preserve">W </w:t>
      </w:r>
      <w:r w:rsidRPr="00710B91">
        <w:rPr>
          <w:i/>
          <w:noProof/>
        </w:rPr>
        <w:t>art.</w:t>
      </w:r>
      <w:r w:rsidR="00710B91" w:rsidRPr="00710B91">
        <w:rPr>
          <w:i/>
          <w:noProof/>
        </w:rPr>
        <w:t> </w:t>
      </w:r>
      <w:r w:rsidRPr="00710B91">
        <w:rPr>
          <w:i/>
          <w:noProof/>
        </w:rPr>
        <w:t>27</w:t>
      </w:r>
      <w:r w:rsidRPr="00710B91">
        <w:rPr>
          <w:noProof/>
        </w:rPr>
        <w:t xml:space="preserve"> ustalono, że rozporządzenie wejdzie</w:t>
      </w:r>
      <w:r w:rsidR="00710B91" w:rsidRPr="00710B91">
        <w:rPr>
          <w:noProof/>
        </w:rPr>
        <w:t xml:space="preserve"> w</w:t>
      </w:r>
      <w:r w:rsidR="00710B91">
        <w:rPr>
          <w:noProof/>
        </w:rPr>
        <w:t> </w:t>
      </w:r>
      <w:r w:rsidR="00710B91" w:rsidRPr="00710B91">
        <w:rPr>
          <w:noProof/>
        </w:rPr>
        <w:t>życ</w:t>
      </w:r>
      <w:r w:rsidRPr="00710B91">
        <w:rPr>
          <w:noProof/>
        </w:rPr>
        <w:t>ie dwudziestego dnia po jego publikacji</w:t>
      </w:r>
      <w:r w:rsidR="00710B91" w:rsidRPr="00710B91">
        <w:rPr>
          <w:noProof/>
        </w:rPr>
        <w:t xml:space="preserve"> w</w:t>
      </w:r>
      <w:r w:rsidR="00710B91">
        <w:rPr>
          <w:noProof/>
        </w:rPr>
        <w:t> </w:t>
      </w:r>
      <w:r w:rsidR="00710B91" w:rsidRPr="00710B91">
        <w:rPr>
          <w:i/>
          <w:noProof/>
        </w:rPr>
        <w:t>Dzi</w:t>
      </w:r>
      <w:r w:rsidRPr="00710B91">
        <w:rPr>
          <w:i/>
          <w:noProof/>
        </w:rPr>
        <w:t>enniku Urzędowym Unii Europejskiej</w:t>
      </w:r>
      <w:r w:rsidRPr="00710B91">
        <w:rPr>
          <w:noProof/>
        </w:rPr>
        <w:t>.</w:t>
      </w:r>
    </w:p>
    <w:p w14:paraId="65B72367" w14:textId="77777777" w:rsidR="00920E47" w:rsidRPr="00710B91" w:rsidRDefault="00920E47">
      <w:pPr>
        <w:rPr>
          <w:noProof/>
        </w:rPr>
      </w:pPr>
    </w:p>
    <w:p w14:paraId="43F9641D" w14:textId="77777777" w:rsidR="00FC3EF9" w:rsidRPr="00710B91" w:rsidRDefault="00023765" w:rsidP="00204DB4">
      <w:pPr>
        <w:pBdr>
          <w:top w:val="nil"/>
          <w:left w:val="nil"/>
          <w:bottom w:val="nil"/>
          <w:right w:val="nil"/>
          <w:between w:val="nil"/>
          <w:bar w:val="nil"/>
        </w:pBdr>
        <w:spacing w:before="0" w:after="240"/>
        <w:rPr>
          <w:rFonts w:eastAsia="Arial Unicode MS"/>
          <w:noProof/>
        </w:rPr>
      </w:pPr>
      <w:r w:rsidRPr="00710B91">
        <w:rPr>
          <w:noProof/>
        </w:rPr>
        <w:tab/>
      </w:r>
    </w:p>
    <w:p w14:paraId="518295F5" w14:textId="77777777" w:rsidR="00FC3EF9" w:rsidRPr="00710B91" w:rsidRDefault="00FC3EF9" w:rsidP="00FC3EF9">
      <w:pPr>
        <w:pBdr>
          <w:top w:val="nil"/>
          <w:left w:val="nil"/>
          <w:bottom w:val="nil"/>
          <w:right w:val="nil"/>
          <w:between w:val="nil"/>
          <w:bar w:val="nil"/>
        </w:pBdr>
        <w:spacing w:before="0" w:after="240"/>
        <w:jc w:val="left"/>
        <w:rPr>
          <w:rFonts w:eastAsia="Arial Unicode MS"/>
          <w:noProof/>
        </w:rPr>
      </w:pPr>
    </w:p>
    <w:p w14:paraId="19BFC7A6" w14:textId="77777777" w:rsidR="00FC3EF9" w:rsidRPr="00710B91" w:rsidRDefault="00FC3EF9" w:rsidP="00FC3EF9">
      <w:pPr>
        <w:pBdr>
          <w:top w:val="nil"/>
          <w:left w:val="nil"/>
          <w:bottom w:val="nil"/>
          <w:right w:val="nil"/>
          <w:between w:val="nil"/>
          <w:bar w:val="nil"/>
        </w:pBdr>
        <w:spacing w:before="0" w:after="240"/>
        <w:jc w:val="left"/>
        <w:rPr>
          <w:rFonts w:eastAsia="Arial Unicode MS"/>
          <w:noProof/>
        </w:rPr>
        <w:sectPr w:rsidR="00FC3EF9" w:rsidRPr="00710B91" w:rsidSect="00DA1122">
          <w:footerReference w:type="default" r:id="rId13"/>
          <w:footerReference w:type="first" r:id="rId14"/>
          <w:pgSz w:w="11907" w:h="16839"/>
          <w:pgMar w:top="1134" w:right="1417" w:bottom="1134" w:left="1417" w:header="709" w:footer="709" w:gutter="0"/>
          <w:cols w:space="708"/>
          <w:docGrid w:linePitch="360"/>
        </w:sectPr>
      </w:pPr>
    </w:p>
    <w:p w14:paraId="3C4417DB" w14:textId="618C2D83" w:rsidR="0084051F" w:rsidRPr="00710B91" w:rsidRDefault="004E4B37" w:rsidP="004E4B37">
      <w:pPr>
        <w:pStyle w:val="Rfrenceinterinstitutionnelle"/>
        <w:rPr>
          <w:noProof/>
        </w:rPr>
      </w:pPr>
      <w:r w:rsidRPr="004E4B37">
        <w:t>2021/0391 (COD)</w:t>
      </w:r>
    </w:p>
    <w:p w14:paraId="6D5AF781" w14:textId="656B776C" w:rsidR="00023765" w:rsidRPr="00710B91" w:rsidRDefault="008B1529" w:rsidP="008B1529">
      <w:pPr>
        <w:pStyle w:val="Statut"/>
        <w:rPr>
          <w:noProof/>
        </w:rPr>
      </w:pPr>
      <w:r w:rsidRPr="008B1529">
        <w:rPr>
          <w:noProof/>
        </w:rPr>
        <w:t>Wniosek</w:t>
      </w:r>
    </w:p>
    <w:p w14:paraId="55D605A6" w14:textId="48FE4D2D" w:rsidR="00023765" w:rsidRPr="00710B91" w:rsidRDefault="008B1529" w:rsidP="008B1529">
      <w:pPr>
        <w:pStyle w:val="Typedudocument"/>
        <w:rPr>
          <w:noProof/>
        </w:rPr>
      </w:pPr>
      <w:r w:rsidRPr="008B1529">
        <w:rPr>
          <w:noProof/>
        </w:rPr>
        <w:t>ROZPORZĄDZENIE PARLAMENTU EUROPEJSKIEGO I RADY</w:t>
      </w:r>
    </w:p>
    <w:p w14:paraId="0EA39FD4" w14:textId="1F954810" w:rsidR="00023765" w:rsidRPr="00710B91" w:rsidRDefault="008B1529" w:rsidP="008B1529">
      <w:pPr>
        <w:pStyle w:val="Titreobjet"/>
        <w:rPr>
          <w:noProof/>
        </w:rPr>
      </w:pPr>
      <w:r w:rsidRPr="008B1529">
        <w:rPr>
          <w:noProof/>
        </w:rPr>
        <w:t xml:space="preserve">ustanawiające platformę współpracy mającą na celu wspieranie funkcjonowania wspólnych zespołów dochodzeniowo-śledczych i zmieniające rozporządzenie (UE) 2018/1726 </w:t>
      </w:r>
      <w:r w:rsidRPr="008B1529">
        <w:rPr>
          <w:noProof/>
        </w:rPr>
        <w:br/>
      </w:r>
    </w:p>
    <w:p w14:paraId="3637386C" w14:textId="77777777" w:rsidR="00023765" w:rsidRPr="00710B91" w:rsidRDefault="00023765" w:rsidP="0062592F">
      <w:pPr>
        <w:pStyle w:val="Institutionquiagit"/>
        <w:rPr>
          <w:noProof/>
        </w:rPr>
      </w:pPr>
      <w:r w:rsidRPr="00710B91">
        <w:rPr>
          <w:noProof/>
        </w:rPr>
        <w:t>PARLAMENT EUROPEJSKI I RADA UNII EUROPEJSKIEJ,</w:t>
      </w:r>
    </w:p>
    <w:p w14:paraId="7F7C47BE" w14:textId="0ED3207F" w:rsidR="00023765" w:rsidRPr="00710B91" w:rsidRDefault="00023765" w:rsidP="0062592F">
      <w:pPr>
        <w:rPr>
          <w:noProof/>
        </w:rPr>
      </w:pPr>
      <w:r w:rsidRPr="00710B91">
        <w:rPr>
          <w:noProof/>
        </w:rPr>
        <w:t>uwzględniając Traktat</w:t>
      </w:r>
      <w:r w:rsidR="00710B91" w:rsidRPr="00710B91">
        <w:rPr>
          <w:noProof/>
        </w:rPr>
        <w:t xml:space="preserve"> o</w:t>
      </w:r>
      <w:r w:rsidR="00710B91">
        <w:rPr>
          <w:noProof/>
        </w:rPr>
        <w:t> </w:t>
      </w:r>
      <w:r w:rsidR="00710B91" w:rsidRPr="00710B91">
        <w:rPr>
          <w:noProof/>
        </w:rPr>
        <w:t>fun</w:t>
      </w:r>
      <w:r w:rsidRPr="00710B91">
        <w:rPr>
          <w:noProof/>
        </w:rPr>
        <w:t>kcjonowaniu Unii Europejskiej,</w:t>
      </w:r>
      <w:r w:rsidR="00710B91" w:rsidRPr="00710B91">
        <w:rPr>
          <w:noProof/>
        </w:rPr>
        <w:t xml:space="preserve"> w</w:t>
      </w:r>
      <w:r w:rsidR="00710B91">
        <w:rPr>
          <w:noProof/>
        </w:rPr>
        <w:t> </w:t>
      </w:r>
      <w:r w:rsidR="00710B91" w:rsidRPr="00710B91">
        <w:rPr>
          <w:noProof/>
        </w:rPr>
        <w:t>szc</w:t>
      </w:r>
      <w:r w:rsidRPr="00710B91">
        <w:rPr>
          <w:noProof/>
        </w:rPr>
        <w:t>zególności jego art.</w:t>
      </w:r>
      <w:r w:rsidR="00710B91" w:rsidRPr="00710B91">
        <w:rPr>
          <w:noProof/>
        </w:rPr>
        <w:t> </w:t>
      </w:r>
      <w:r w:rsidRPr="00710B91">
        <w:rPr>
          <w:noProof/>
        </w:rPr>
        <w:t>82 ust.</w:t>
      </w:r>
      <w:r w:rsidR="00710B91" w:rsidRPr="00710B91">
        <w:rPr>
          <w:noProof/>
        </w:rPr>
        <w:t> </w:t>
      </w:r>
      <w:r w:rsidRPr="00710B91">
        <w:rPr>
          <w:noProof/>
        </w:rPr>
        <w:t>1 lit.</w:t>
      </w:r>
      <w:r w:rsidR="00710B91" w:rsidRPr="00710B91">
        <w:rPr>
          <w:noProof/>
        </w:rPr>
        <w:t> </w:t>
      </w:r>
      <w:r w:rsidRPr="00710B91">
        <w:rPr>
          <w:noProof/>
        </w:rPr>
        <w:t>d),</w:t>
      </w:r>
    </w:p>
    <w:p w14:paraId="5DD95349" w14:textId="77777777" w:rsidR="00023765" w:rsidRPr="00710B91" w:rsidRDefault="00023765" w:rsidP="0062592F">
      <w:pPr>
        <w:rPr>
          <w:noProof/>
        </w:rPr>
      </w:pPr>
      <w:r w:rsidRPr="00710B91">
        <w:rPr>
          <w:noProof/>
        </w:rPr>
        <w:t>uwzględniając wniosek Komisji Europejskiej,</w:t>
      </w:r>
    </w:p>
    <w:p w14:paraId="755CFCBF" w14:textId="77777777" w:rsidR="00023765" w:rsidRPr="00710B91" w:rsidRDefault="00023765" w:rsidP="0062592F">
      <w:pPr>
        <w:rPr>
          <w:noProof/>
        </w:rPr>
      </w:pPr>
      <w:r w:rsidRPr="00710B91">
        <w:rPr>
          <w:noProof/>
        </w:rPr>
        <w:t>po przekazaniu projektu aktu ustawodawczego parlamentom narodowym,</w:t>
      </w:r>
    </w:p>
    <w:p w14:paraId="0B591471" w14:textId="77777777" w:rsidR="00023765" w:rsidRPr="00710B91" w:rsidRDefault="00023765" w:rsidP="0062592F">
      <w:pPr>
        <w:rPr>
          <w:noProof/>
        </w:rPr>
      </w:pPr>
      <w:r w:rsidRPr="00710B91">
        <w:rPr>
          <w:noProof/>
        </w:rPr>
        <w:t>stanowiąc zgodnie ze zwykłą procedurą ustawodawczą,</w:t>
      </w:r>
    </w:p>
    <w:p w14:paraId="7371D9A3" w14:textId="77777777" w:rsidR="00023765" w:rsidRPr="00710B91" w:rsidRDefault="00023765" w:rsidP="0062592F">
      <w:pPr>
        <w:rPr>
          <w:noProof/>
        </w:rPr>
      </w:pPr>
      <w:r w:rsidRPr="00710B91">
        <w:rPr>
          <w:noProof/>
        </w:rPr>
        <w:t>a także mając na uwadze, co następuje:</w:t>
      </w:r>
    </w:p>
    <w:p w14:paraId="71B730F5" w14:textId="559D51A8" w:rsidR="00023765" w:rsidRPr="00710B91" w:rsidRDefault="009A08E9" w:rsidP="009A08E9">
      <w:pPr>
        <w:pStyle w:val="ManualConsidrant"/>
        <w:rPr>
          <w:noProof/>
        </w:rPr>
      </w:pPr>
      <w:r w:rsidRPr="009A08E9">
        <w:t>(1)</w:t>
      </w:r>
      <w:r w:rsidRPr="009A08E9">
        <w:tab/>
      </w:r>
      <w:r w:rsidR="00305EAE" w:rsidRPr="00710B91">
        <w:rPr>
          <w:noProof/>
        </w:rPr>
        <w:t>Unia wyznaczyła sobie cel polegający na zapewnieniu swoim obywatelom wspólnej przestrzeni wolności, bezpieczeństwa</w:t>
      </w:r>
      <w:r w:rsidR="00710B91" w:rsidRPr="00710B91">
        <w:rPr>
          <w:noProof/>
        </w:rPr>
        <w:t xml:space="preserve"> i</w:t>
      </w:r>
      <w:r w:rsidR="00710B91">
        <w:rPr>
          <w:noProof/>
        </w:rPr>
        <w:t> </w:t>
      </w:r>
      <w:r w:rsidR="00710B91" w:rsidRPr="00710B91">
        <w:rPr>
          <w:noProof/>
        </w:rPr>
        <w:t>spr</w:t>
      </w:r>
      <w:r w:rsidR="00305EAE" w:rsidRPr="00710B91">
        <w:rPr>
          <w:noProof/>
        </w:rPr>
        <w:t>awiedliwości bez granic wewnętrznych,</w:t>
      </w:r>
      <w:r w:rsidR="00710B91" w:rsidRPr="00710B91">
        <w:rPr>
          <w:noProof/>
        </w:rPr>
        <w:t xml:space="preserve"> w</w:t>
      </w:r>
      <w:r w:rsidR="00710B91">
        <w:rPr>
          <w:noProof/>
        </w:rPr>
        <w:t> </w:t>
      </w:r>
      <w:r w:rsidR="00710B91" w:rsidRPr="00710B91">
        <w:rPr>
          <w:noProof/>
        </w:rPr>
        <w:t>któ</w:t>
      </w:r>
      <w:r w:rsidR="00305EAE" w:rsidRPr="00710B91">
        <w:rPr>
          <w:noProof/>
        </w:rPr>
        <w:t>rej zapewniony jest swobodny przepływ osób. Jednocześnie Unia musi zapewnić, że wspólny obszar pozostanie strefą bezpieczną. Cel ten można osiągnąć jedynie za pomocą odpowiednich środków służących zapobieganiu przestępczości –</w:t>
      </w:r>
      <w:r w:rsidR="00710B91" w:rsidRPr="00710B91">
        <w:rPr>
          <w:noProof/>
        </w:rPr>
        <w:t xml:space="preserve"> w</w:t>
      </w:r>
      <w:r w:rsidR="00710B91">
        <w:rPr>
          <w:noProof/>
        </w:rPr>
        <w:t> </w:t>
      </w:r>
      <w:r w:rsidR="00710B91" w:rsidRPr="00710B91">
        <w:rPr>
          <w:noProof/>
        </w:rPr>
        <w:t>tym</w:t>
      </w:r>
      <w:r w:rsidR="00305EAE" w:rsidRPr="00710B91">
        <w:rPr>
          <w:noProof/>
        </w:rPr>
        <w:t xml:space="preserve"> przestępczości zorganizowanej</w:t>
      </w:r>
      <w:r w:rsidR="00710B91" w:rsidRPr="00710B91">
        <w:rPr>
          <w:noProof/>
        </w:rPr>
        <w:t xml:space="preserve"> i</w:t>
      </w:r>
      <w:r w:rsidR="00710B91">
        <w:rPr>
          <w:noProof/>
        </w:rPr>
        <w:t> </w:t>
      </w:r>
      <w:r w:rsidR="00710B91" w:rsidRPr="00710B91">
        <w:rPr>
          <w:noProof/>
        </w:rPr>
        <w:t>ter</w:t>
      </w:r>
      <w:r w:rsidR="00305EAE" w:rsidRPr="00710B91">
        <w:rPr>
          <w:noProof/>
        </w:rPr>
        <w:t>roryzmowi –</w:t>
      </w:r>
      <w:r w:rsidR="00710B91" w:rsidRPr="00710B91">
        <w:rPr>
          <w:noProof/>
        </w:rPr>
        <w:t xml:space="preserve"> i</w:t>
      </w:r>
      <w:r w:rsidR="00710B91">
        <w:rPr>
          <w:noProof/>
        </w:rPr>
        <w:t> </w:t>
      </w:r>
      <w:r w:rsidR="00710B91" w:rsidRPr="00710B91">
        <w:rPr>
          <w:noProof/>
        </w:rPr>
        <w:t>jej</w:t>
      </w:r>
      <w:r w:rsidR="00305EAE" w:rsidRPr="00710B91">
        <w:rPr>
          <w:noProof/>
        </w:rPr>
        <w:t xml:space="preserve"> zwalczaniu.</w:t>
      </w:r>
    </w:p>
    <w:p w14:paraId="1BDE12D4" w14:textId="00F517C3" w:rsidR="00305EAE" w:rsidRPr="00710B91" w:rsidRDefault="009A08E9" w:rsidP="009A08E9">
      <w:pPr>
        <w:pStyle w:val="ManualConsidrant"/>
        <w:rPr>
          <w:noProof/>
        </w:rPr>
      </w:pPr>
      <w:r w:rsidRPr="009A08E9">
        <w:t>(2)</w:t>
      </w:r>
      <w:r w:rsidRPr="009A08E9">
        <w:tab/>
      </w:r>
      <w:r w:rsidR="00305EAE" w:rsidRPr="00710B91">
        <w:rPr>
          <w:noProof/>
        </w:rPr>
        <w:t>Jest to szczególnie trudne</w:t>
      </w:r>
      <w:r w:rsidR="00710B91" w:rsidRPr="00710B91">
        <w:rPr>
          <w:noProof/>
        </w:rPr>
        <w:t xml:space="preserve"> w</w:t>
      </w:r>
      <w:r w:rsidR="00710B91">
        <w:rPr>
          <w:noProof/>
        </w:rPr>
        <w:t> </w:t>
      </w:r>
      <w:r w:rsidR="00710B91" w:rsidRPr="00710B91">
        <w:rPr>
          <w:noProof/>
        </w:rPr>
        <w:t>prz</w:t>
      </w:r>
      <w:r w:rsidR="00305EAE" w:rsidRPr="00710B91">
        <w:rPr>
          <w:noProof/>
        </w:rPr>
        <w:t>ypadku przestępczości</w:t>
      </w:r>
      <w:r w:rsidR="00710B91" w:rsidRPr="00710B91">
        <w:rPr>
          <w:noProof/>
        </w:rPr>
        <w:t xml:space="preserve"> o</w:t>
      </w:r>
      <w:r w:rsidR="00710B91">
        <w:rPr>
          <w:noProof/>
        </w:rPr>
        <w:t> </w:t>
      </w:r>
      <w:r w:rsidR="00710B91" w:rsidRPr="00710B91">
        <w:rPr>
          <w:noProof/>
        </w:rPr>
        <w:t>wym</w:t>
      </w:r>
      <w:r w:rsidR="00305EAE" w:rsidRPr="00710B91">
        <w:rPr>
          <w:noProof/>
        </w:rPr>
        <w:t>iarze transgranicznym, mającej miejsce na terytorium wielu państw członkowskich lub państw trzecich</w:t>
      </w:r>
      <w:r w:rsidR="00710B91" w:rsidRPr="00710B91">
        <w:rPr>
          <w:noProof/>
        </w:rPr>
        <w:t>. W</w:t>
      </w:r>
      <w:r w:rsidR="00710B91">
        <w:rPr>
          <w:noProof/>
        </w:rPr>
        <w:t> </w:t>
      </w:r>
      <w:r w:rsidR="00710B91" w:rsidRPr="00710B91">
        <w:rPr>
          <w:noProof/>
        </w:rPr>
        <w:t>tak</w:t>
      </w:r>
      <w:r w:rsidR="00305EAE" w:rsidRPr="00710B91">
        <w:rPr>
          <w:noProof/>
        </w:rPr>
        <w:t>ich wypadkach państwa członkowskie muszą mieć możliwość połączenia sił</w:t>
      </w:r>
      <w:r w:rsidR="00710B91" w:rsidRPr="00710B91">
        <w:rPr>
          <w:noProof/>
        </w:rPr>
        <w:t xml:space="preserve"> i</w:t>
      </w:r>
      <w:r w:rsidR="00710B91">
        <w:rPr>
          <w:noProof/>
        </w:rPr>
        <w:t> </w:t>
      </w:r>
      <w:r w:rsidR="00710B91" w:rsidRPr="00710B91">
        <w:rPr>
          <w:noProof/>
        </w:rPr>
        <w:t>dzi</w:t>
      </w:r>
      <w:r w:rsidR="00305EAE" w:rsidRPr="00710B91">
        <w:rPr>
          <w:noProof/>
        </w:rPr>
        <w:t>ałań</w:t>
      </w:r>
      <w:r w:rsidR="00710B91" w:rsidRPr="00710B91">
        <w:rPr>
          <w:noProof/>
        </w:rPr>
        <w:t xml:space="preserve"> w</w:t>
      </w:r>
      <w:r w:rsidR="00710B91">
        <w:rPr>
          <w:noProof/>
        </w:rPr>
        <w:t> </w:t>
      </w:r>
      <w:r w:rsidR="00710B91" w:rsidRPr="00710B91">
        <w:rPr>
          <w:noProof/>
        </w:rPr>
        <w:t>cel</w:t>
      </w:r>
      <w:r w:rsidR="00305EAE" w:rsidRPr="00710B91">
        <w:rPr>
          <w:noProof/>
        </w:rPr>
        <w:t>u prowadzenia wydajnych</w:t>
      </w:r>
      <w:r w:rsidR="00710B91" w:rsidRPr="00710B91">
        <w:rPr>
          <w:noProof/>
        </w:rPr>
        <w:t xml:space="preserve"> i</w:t>
      </w:r>
      <w:r w:rsidR="00710B91">
        <w:rPr>
          <w:noProof/>
        </w:rPr>
        <w:t> </w:t>
      </w:r>
      <w:r w:rsidR="00710B91" w:rsidRPr="00710B91">
        <w:rPr>
          <w:noProof/>
        </w:rPr>
        <w:t>sku</w:t>
      </w:r>
      <w:r w:rsidR="00305EAE" w:rsidRPr="00710B91">
        <w:rPr>
          <w:noProof/>
        </w:rPr>
        <w:t>tecznych transgranicznych postępowań przygotowawczych</w:t>
      </w:r>
      <w:r w:rsidR="00710B91" w:rsidRPr="00710B91">
        <w:rPr>
          <w:noProof/>
        </w:rPr>
        <w:t xml:space="preserve"> i</w:t>
      </w:r>
      <w:r w:rsidR="00710B91">
        <w:rPr>
          <w:noProof/>
        </w:rPr>
        <w:t> </w:t>
      </w:r>
      <w:r w:rsidR="00710B91" w:rsidRPr="00710B91">
        <w:rPr>
          <w:noProof/>
        </w:rPr>
        <w:t>tra</w:t>
      </w:r>
      <w:r w:rsidR="00305EAE" w:rsidRPr="00710B91">
        <w:rPr>
          <w:noProof/>
        </w:rPr>
        <w:t>nsgranicznego ścigania karnego, co wymaga wymiany informacji</w:t>
      </w:r>
      <w:r w:rsidR="00710B91" w:rsidRPr="00710B91">
        <w:rPr>
          <w:noProof/>
        </w:rPr>
        <w:t xml:space="preserve"> i</w:t>
      </w:r>
      <w:r w:rsidR="00710B91">
        <w:rPr>
          <w:noProof/>
        </w:rPr>
        <w:t> </w:t>
      </w:r>
      <w:r w:rsidR="00710B91" w:rsidRPr="00710B91">
        <w:rPr>
          <w:noProof/>
        </w:rPr>
        <w:t>dow</w:t>
      </w:r>
      <w:r w:rsidR="00305EAE" w:rsidRPr="00710B91">
        <w:rPr>
          <w:noProof/>
        </w:rPr>
        <w:t>odów. Jedno</w:t>
      </w:r>
      <w:r w:rsidR="00710B91" w:rsidRPr="00710B91">
        <w:rPr>
          <w:noProof/>
        </w:rPr>
        <w:t xml:space="preserve"> z</w:t>
      </w:r>
      <w:r w:rsidR="00710B91">
        <w:rPr>
          <w:noProof/>
        </w:rPr>
        <w:t> </w:t>
      </w:r>
      <w:r w:rsidR="00710B91" w:rsidRPr="00710B91">
        <w:rPr>
          <w:noProof/>
        </w:rPr>
        <w:t>naj</w:t>
      </w:r>
      <w:r w:rsidR="00305EAE" w:rsidRPr="00710B91">
        <w:rPr>
          <w:noProof/>
        </w:rPr>
        <w:t>efektywniejszych narzędzi stosowanych</w:t>
      </w:r>
      <w:r w:rsidR="00710B91" w:rsidRPr="00710B91">
        <w:rPr>
          <w:noProof/>
        </w:rPr>
        <w:t xml:space="preserve"> w</w:t>
      </w:r>
      <w:r w:rsidR="00710B91">
        <w:rPr>
          <w:noProof/>
        </w:rPr>
        <w:t> </w:t>
      </w:r>
      <w:r w:rsidR="00710B91" w:rsidRPr="00710B91">
        <w:rPr>
          <w:noProof/>
        </w:rPr>
        <w:t>teg</w:t>
      </w:r>
      <w:r w:rsidR="00305EAE" w:rsidRPr="00710B91">
        <w:rPr>
          <w:noProof/>
        </w:rPr>
        <w:t>o typu współpracy transgranicznej to wspólne zespoły dochodzeniowo-śledcze (</w:t>
      </w:r>
      <w:r w:rsidR="00710B91" w:rsidRPr="00710B91">
        <w:rPr>
          <w:noProof/>
        </w:rPr>
        <w:t>„z</w:t>
      </w:r>
      <w:r w:rsidR="00305EAE" w:rsidRPr="00710B91">
        <w:rPr>
          <w:noProof/>
        </w:rPr>
        <w:t>espoły JIT”), które pozawalają na współpracę</w:t>
      </w:r>
      <w:r w:rsidR="00710B91" w:rsidRPr="00710B91">
        <w:rPr>
          <w:noProof/>
        </w:rPr>
        <w:t xml:space="preserve"> i</w:t>
      </w:r>
      <w:r w:rsidR="00710B91">
        <w:rPr>
          <w:noProof/>
        </w:rPr>
        <w:t> </w:t>
      </w:r>
      <w:r w:rsidR="00710B91" w:rsidRPr="00710B91">
        <w:rPr>
          <w:noProof/>
        </w:rPr>
        <w:t>kom</w:t>
      </w:r>
      <w:r w:rsidR="00305EAE" w:rsidRPr="00710B91">
        <w:rPr>
          <w:noProof/>
        </w:rPr>
        <w:t>unikację pomiędzy organami sądowymi</w:t>
      </w:r>
      <w:r w:rsidR="00710B91" w:rsidRPr="00710B91">
        <w:rPr>
          <w:noProof/>
        </w:rPr>
        <w:t xml:space="preserve"> i</w:t>
      </w:r>
      <w:r w:rsidR="00710B91">
        <w:rPr>
          <w:noProof/>
        </w:rPr>
        <w:t> </w:t>
      </w:r>
      <w:r w:rsidR="00710B91" w:rsidRPr="00710B91">
        <w:rPr>
          <w:noProof/>
        </w:rPr>
        <w:t>org</w:t>
      </w:r>
      <w:r w:rsidR="00305EAE" w:rsidRPr="00710B91">
        <w:rPr>
          <w:noProof/>
        </w:rPr>
        <w:t>anami ścigania wielu państw członkowskich</w:t>
      </w:r>
      <w:r w:rsidR="00710B91" w:rsidRPr="00710B91">
        <w:rPr>
          <w:noProof/>
        </w:rPr>
        <w:t xml:space="preserve"> i</w:t>
      </w:r>
      <w:r w:rsidR="00710B91">
        <w:rPr>
          <w:noProof/>
        </w:rPr>
        <w:t> </w:t>
      </w:r>
      <w:r w:rsidR="00710B91" w:rsidRPr="00710B91">
        <w:rPr>
          <w:noProof/>
        </w:rPr>
        <w:t>ewe</w:t>
      </w:r>
      <w:r w:rsidR="00305EAE" w:rsidRPr="00710B91">
        <w:rPr>
          <w:noProof/>
        </w:rPr>
        <w:t>ntualnie państw trzecich</w:t>
      </w:r>
      <w:r w:rsidR="00710B91" w:rsidRPr="00710B91">
        <w:rPr>
          <w:noProof/>
        </w:rPr>
        <w:t xml:space="preserve"> w</w:t>
      </w:r>
      <w:r w:rsidR="00710B91">
        <w:rPr>
          <w:noProof/>
        </w:rPr>
        <w:t> </w:t>
      </w:r>
      <w:r w:rsidR="00710B91" w:rsidRPr="00710B91">
        <w:rPr>
          <w:noProof/>
        </w:rPr>
        <w:t>cel</w:t>
      </w:r>
      <w:r w:rsidR="00305EAE" w:rsidRPr="00710B91">
        <w:rPr>
          <w:noProof/>
        </w:rPr>
        <w:t>u organizowania działań</w:t>
      </w:r>
      <w:r w:rsidR="00710B91" w:rsidRPr="00710B91">
        <w:rPr>
          <w:noProof/>
        </w:rPr>
        <w:t xml:space="preserve"> i</w:t>
      </w:r>
      <w:r w:rsidR="00710B91">
        <w:rPr>
          <w:noProof/>
        </w:rPr>
        <w:t> </w:t>
      </w:r>
      <w:r w:rsidR="00710B91" w:rsidRPr="00710B91">
        <w:rPr>
          <w:noProof/>
        </w:rPr>
        <w:t>pos</w:t>
      </w:r>
      <w:r w:rsidR="00305EAE" w:rsidRPr="00710B91">
        <w:rPr>
          <w:noProof/>
        </w:rPr>
        <w:t>tępowań przygotowawczych</w:t>
      </w:r>
      <w:r w:rsidR="00710B91" w:rsidRPr="00710B91">
        <w:rPr>
          <w:noProof/>
        </w:rPr>
        <w:t xml:space="preserve"> w</w:t>
      </w:r>
      <w:r w:rsidR="00710B91">
        <w:rPr>
          <w:noProof/>
        </w:rPr>
        <w:t> </w:t>
      </w:r>
      <w:r w:rsidR="00710B91" w:rsidRPr="00710B91">
        <w:rPr>
          <w:noProof/>
        </w:rPr>
        <w:t>naj</w:t>
      </w:r>
      <w:r w:rsidR="00305EAE" w:rsidRPr="00710B91">
        <w:rPr>
          <w:noProof/>
        </w:rPr>
        <w:t>skuteczniejszy sposób. Zespoły JIT tworzone są</w:t>
      </w:r>
      <w:r w:rsidR="00710B91" w:rsidRPr="00710B91">
        <w:rPr>
          <w:noProof/>
        </w:rPr>
        <w:t xml:space="preserve"> w</w:t>
      </w:r>
      <w:r w:rsidR="00710B91">
        <w:rPr>
          <w:noProof/>
        </w:rPr>
        <w:t> </w:t>
      </w:r>
      <w:r w:rsidR="00710B91" w:rsidRPr="00710B91">
        <w:rPr>
          <w:noProof/>
        </w:rPr>
        <w:t>kon</w:t>
      </w:r>
      <w:r w:rsidR="00305EAE" w:rsidRPr="00710B91">
        <w:rPr>
          <w:noProof/>
        </w:rPr>
        <w:t>kretnym celu na określony czas przez właściwe organy przynajmniej dwóch członkowskich</w:t>
      </w:r>
      <w:r w:rsidR="00710B91" w:rsidRPr="00710B91">
        <w:rPr>
          <w:noProof/>
        </w:rPr>
        <w:t xml:space="preserve"> i</w:t>
      </w:r>
      <w:r w:rsidR="00710B91">
        <w:rPr>
          <w:noProof/>
        </w:rPr>
        <w:t> </w:t>
      </w:r>
      <w:r w:rsidR="00710B91" w:rsidRPr="00710B91">
        <w:rPr>
          <w:noProof/>
        </w:rPr>
        <w:t>ewe</w:t>
      </w:r>
      <w:r w:rsidR="00305EAE" w:rsidRPr="00710B91">
        <w:rPr>
          <w:noProof/>
        </w:rPr>
        <w:t>ntualnie państw trzecich</w:t>
      </w:r>
      <w:r w:rsidR="00710B91" w:rsidRPr="00710B91">
        <w:rPr>
          <w:noProof/>
        </w:rPr>
        <w:t xml:space="preserve"> w</w:t>
      </w:r>
      <w:r w:rsidR="00710B91">
        <w:rPr>
          <w:noProof/>
        </w:rPr>
        <w:t> </w:t>
      </w:r>
      <w:r w:rsidR="00710B91" w:rsidRPr="00710B91">
        <w:rPr>
          <w:noProof/>
        </w:rPr>
        <w:t>cel</w:t>
      </w:r>
      <w:r w:rsidR="00305EAE" w:rsidRPr="00710B91">
        <w:rPr>
          <w:noProof/>
        </w:rPr>
        <w:t>u wspólnego przeprowadzania postępowań przygotowawczych</w:t>
      </w:r>
      <w:r w:rsidR="00710B91" w:rsidRPr="00710B91">
        <w:rPr>
          <w:noProof/>
        </w:rPr>
        <w:t xml:space="preserve"> o</w:t>
      </w:r>
      <w:r w:rsidR="00710B91">
        <w:rPr>
          <w:noProof/>
        </w:rPr>
        <w:t> </w:t>
      </w:r>
      <w:r w:rsidR="00710B91" w:rsidRPr="00710B91">
        <w:rPr>
          <w:noProof/>
        </w:rPr>
        <w:t>odd</w:t>
      </w:r>
      <w:r w:rsidR="00305EAE" w:rsidRPr="00710B91">
        <w:rPr>
          <w:noProof/>
        </w:rPr>
        <w:t>ziaływaniu transgranicznym.</w:t>
      </w:r>
    </w:p>
    <w:p w14:paraId="3185112E" w14:textId="0EB9977C" w:rsidR="00305EAE" w:rsidRPr="00710B91" w:rsidRDefault="009A08E9" w:rsidP="009A08E9">
      <w:pPr>
        <w:pStyle w:val="ManualConsidrant"/>
        <w:rPr>
          <w:noProof/>
        </w:rPr>
      </w:pPr>
      <w:r w:rsidRPr="009A08E9">
        <w:t>(3)</w:t>
      </w:r>
      <w:r w:rsidRPr="009A08E9">
        <w:tab/>
      </w:r>
      <w:r w:rsidR="006D62E2" w:rsidRPr="00710B91">
        <w:rPr>
          <w:noProof/>
        </w:rPr>
        <w:t>Dorobek Unii przewiduje dwie ramy prawne, na podstawie których można utworzyć zespoły JIT przy udziale przynajmniej dwóch państw członkowskich: decyzję ramową Rady 2002/465/WSiSW</w:t>
      </w:r>
      <w:r w:rsidR="006D62E2" w:rsidRPr="00710B91">
        <w:rPr>
          <w:rStyle w:val="FootnoteReference"/>
          <w:noProof/>
        </w:rPr>
        <w:footnoteReference w:id="20"/>
      </w:r>
      <w:r w:rsidR="00710B91" w:rsidRPr="00710B91">
        <w:rPr>
          <w:noProof/>
        </w:rPr>
        <w:t xml:space="preserve"> o</w:t>
      </w:r>
      <w:r w:rsidR="00710B91">
        <w:rPr>
          <w:noProof/>
        </w:rPr>
        <w:t> </w:t>
      </w:r>
      <w:r w:rsidR="00710B91" w:rsidRPr="00710B91">
        <w:rPr>
          <w:noProof/>
        </w:rPr>
        <w:t>ora</w:t>
      </w:r>
      <w:r w:rsidR="006D62E2" w:rsidRPr="00710B91">
        <w:rPr>
          <w:noProof/>
        </w:rPr>
        <w:t>z art.</w:t>
      </w:r>
      <w:r w:rsidR="00710B91" w:rsidRPr="00710B91">
        <w:rPr>
          <w:noProof/>
        </w:rPr>
        <w:t> </w:t>
      </w:r>
      <w:r w:rsidR="006D62E2" w:rsidRPr="00710B91">
        <w:rPr>
          <w:noProof/>
        </w:rPr>
        <w:t>13 Konwencji, ustanowionej przez Radę zgodnie</w:t>
      </w:r>
      <w:r w:rsidR="00710B91" w:rsidRPr="00710B91">
        <w:rPr>
          <w:noProof/>
        </w:rPr>
        <w:t xml:space="preserve"> z</w:t>
      </w:r>
      <w:r w:rsidR="00710B91">
        <w:rPr>
          <w:noProof/>
        </w:rPr>
        <w:t> </w:t>
      </w:r>
      <w:r w:rsidR="00710B91" w:rsidRPr="00710B91">
        <w:rPr>
          <w:noProof/>
        </w:rPr>
        <w:t>art</w:t>
      </w:r>
      <w:r w:rsidR="006D62E2" w:rsidRPr="00710B91">
        <w:rPr>
          <w:noProof/>
        </w:rPr>
        <w:t>.</w:t>
      </w:r>
      <w:r w:rsidR="00710B91" w:rsidRPr="00710B91">
        <w:rPr>
          <w:noProof/>
        </w:rPr>
        <w:t> </w:t>
      </w:r>
      <w:r w:rsidR="006D62E2" w:rsidRPr="00710B91">
        <w:rPr>
          <w:noProof/>
        </w:rPr>
        <w:t>34 Traktatu</w:t>
      </w:r>
      <w:r w:rsidR="00710B91" w:rsidRPr="00710B91">
        <w:rPr>
          <w:noProof/>
        </w:rPr>
        <w:t xml:space="preserve"> o</w:t>
      </w:r>
      <w:r w:rsidR="00710B91">
        <w:rPr>
          <w:noProof/>
        </w:rPr>
        <w:t> </w:t>
      </w:r>
      <w:r w:rsidR="00710B91" w:rsidRPr="00710B91">
        <w:rPr>
          <w:noProof/>
        </w:rPr>
        <w:t>Uni</w:t>
      </w:r>
      <w:r w:rsidR="006D62E2" w:rsidRPr="00710B91">
        <w:rPr>
          <w:noProof/>
        </w:rPr>
        <w:t>i Europejskiej,</w:t>
      </w:r>
      <w:r w:rsidR="00710B91" w:rsidRPr="00710B91">
        <w:rPr>
          <w:noProof/>
        </w:rPr>
        <w:t xml:space="preserve"> o</w:t>
      </w:r>
      <w:r w:rsidR="00710B91">
        <w:rPr>
          <w:noProof/>
        </w:rPr>
        <w:t> </w:t>
      </w:r>
      <w:r w:rsidR="00710B91" w:rsidRPr="00710B91">
        <w:rPr>
          <w:noProof/>
        </w:rPr>
        <w:t>pom</w:t>
      </w:r>
      <w:r w:rsidR="006D62E2" w:rsidRPr="00710B91">
        <w:rPr>
          <w:noProof/>
        </w:rPr>
        <w:t>ocy prawnej</w:t>
      </w:r>
      <w:r w:rsidR="00710B91" w:rsidRPr="00710B91">
        <w:rPr>
          <w:noProof/>
        </w:rPr>
        <w:t xml:space="preserve"> w</w:t>
      </w:r>
      <w:r w:rsidR="00710B91">
        <w:rPr>
          <w:noProof/>
        </w:rPr>
        <w:t> </w:t>
      </w:r>
      <w:r w:rsidR="00710B91" w:rsidRPr="00710B91">
        <w:rPr>
          <w:noProof/>
        </w:rPr>
        <w:t>spr</w:t>
      </w:r>
      <w:r w:rsidR="006D62E2" w:rsidRPr="00710B91">
        <w:rPr>
          <w:noProof/>
        </w:rPr>
        <w:t>awach karnych pomiędzy państwami członkowskimi Unii Europejskiej</w:t>
      </w:r>
      <w:r w:rsidR="006D62E2" w:rsidRPr="00710B91">
        <w:rPr>
          <w:rStyle w:val="FootnoteReference"/>
          <w:noProof/>
        </w:rPr>
        <w:footnoteReference w:id="21"/>
      </w:r>
      <w:r w:rsidR="006D62E2" w:rsidRPr="00710B91">
        <w:rPr>
          <w:noProof/>
        </w:rPr>
        <w:t>. Państwa trzecie mogą uczestniczyć</w:t>
      </w:r>
      <w:r w:rsidR="00710B91" w:rsidRPr="00710B91">
        <w:rPr>
          <w:noProof/>
        </w:rPr>
        <w:t xml:space="preserve"> w</w:t>
      </w:r>
      <w:r w:rsidR="00710B91">
        <w:rPr>
          <w:noProof/>
        </w:rPr>
        <w:t> </w:t>
      </w:r>
      <w:r w:rsidR="00710B91" w:rsidRPr="00710B91">
        <w:rPr>
          <w:noProof/>
        </w:rPr>
        <w:t>zes</w:t>
      </w:r>
      <w:r w:rsidR="006D62E2" w:rsidRPr="00710B91">
        <w:rPr>
          <w:noProof/>
        </w:rPr>
        <w:t>połach JIT jako strony, gdy istnieje podstawa prawna dla takiego uczestnictwa, taka jak art.</w:t>
      </w:r>
      <w:r w:rsidR="00710B91" w:rsidRPr="00710B91">
        <w:rPr>
          <w:noProof/>
        </w:rPr>
        <w:t> </w:t>
      </w:r>
      <w:r w:rsidR="006D62E2" w:rsidRPr="00710B91">
        <w:rPr>
          <w:noProof/>
        </w:rPr>
        <w:t>20 Drugiego protokołu dodatkowego do konwencji Rady Europy</w:t>
      </w:r>
      <w:r w:rsidR="00710B91" w:rsidRPr="00710B91">
        <w:rPr>
          <w:noProof/>
        </w:rPr>
        <w:t xml:space="preserve"> z</w:t>
      </w:r>
      <w:r w:rsidR="00710B91">
        <w:rPr>
          <w:noProof/>
        </w:rPr>
        <w:t> </w:t>
      </w:r>
      <w:r w:rsidR="00710B91" w:rsidRPr="00710B91">
        <w:rPr>
          <w:noProof/>
        </w:rPr>
        <w:t>1</w:t>
      </w:r>
      <w:r w:rsidR="006D62E2" w:rsidRPr="00710B91">
        <w:rPr>
          <w:noProof/>
        </w:rPr>
        <w:t>959</w:t>
      </w:r>
      <w:r w:rsidR="00710B91" w:rsidRPr="00710B91">
        <w:rPr>
          <w:noProof/>
        </w:rPr>
        <w:t> </w:t>
      </w:r>
      <w:r w:rsidR="006D62E2" w:rsidRPr="00710B91">
        <w:rPr>
          <w:noProof/>
        </w:rPr>
        <w:t>r.</w:t>
      </w:r>
      <w:r w:rsidR="006D62E2" w:rsidRPr="00710B91">
        <w:rPr>
          <w:rStyle w:val="FootnoteReference"/>
          <w:noProof/>
        </w:rPr>
        <w:footnoteReference w:id="22"/>
      </w:r>
      <w:r w:rsidR="006D62E2" w:rsidRPr="00710B91">
        <w:rPr>
          <w:noProof/>
        </w:rPr>
        <w:t xml:space="preserve"> oraz art.</w:t>
      </w:r>
      <w:r w:rsidR="00710B91" w:rsidRPr="00710B91">
        <w:rPr>
          <w:noProof/>
        </w:rPr>
        <w:t> </w:t>
      </w:r>
      <w:r w:rsidR="006D62E2" w:rsidRPr="00710B91">
        <w:rPr>
          <w:noProof/>
        </w:rPr>
        <w:t>5 Porozumienia między Unią Europejską</w:t>
      </w:r>
      <w:r w:rsidR="00710B91" w:rsidRPr="00710B91">
        <w:rPr>
          <w:noProof/>
        </w:rPr>
        <w:t xml:space="preserve"> a</w:t>
      </w:r>
      <w:r w:rsidR="00710B91">
        <w:rPr>
          <w:noProof/>
        </w:rPr>
        <w:t> </w:t>
      </w:r>
      <w:r w:rsidR="00710B91" w:rsidRPr="00710B91">
        <w:rPr>
          <w:noProof/>
        </w:rPr>
        <w:t>Sta</w:t>
      </w:r>
      <w:r w:rsidR="006D62E2" w:rsidRPr="00710B91">
        <w:rPr>
          <w:noProof/>
        </w:rPr>
        <w:t>nami Zjednoczonymi Ameryki</w:t>
      </w:r>
      <w:r w:rsidR="00710B91" w:rsidRPr="00710B91">
        <w:rPr>
          <w:noProof/>
        </w:rPr>
        <w:t xml:space="preserve"> o</w:t>
      </w:r>
      <w:r w:rsidR="00710B91">
        <w:rPr>
          <w:noProof/>
        </w:rPr>
        <w:t> </w:t>
      </w:r>
      <w:r w:rsidR="00710B91" w:rsidRPr="00710B91">
        <w:rPr>
          <w:noProof/>
        </w:rPr>
        <w:t>wza</w:t>
      </w:r>
      <w:r w:rsidR="006D62E2" w:rsidRPr="00710B91">
        <w:rPr>
          <w:noProof/>
        </w:rPr>
        <w:t>jemnej pomocy prawnej</w:t>
      </w:r>
      <w:r w:rsidR="006D62E2" w:rsidRPr="00710B91">
        <w:rPr>
          <w:rStyle w:val="FootnoteReference"/>
          <w:noProof/>
        </w:rPr>
        <w:footnoteReference w:id="23"/>
      </w:r>
      <w:r w:rsidR="006D62E2" w:rsidRPr="00710B91">
        <w:rPr>
          <w:noProof/>
        </w:rPr>
        <w:t>.</w:t>
      </w:r>
    </w:p>
    <w:p w14:paraId="58F0D419" w14:textId="154EE526" w:rsidR="00305EAE" w:rsidRPr="00710B91" w:rsidRDefault="009A08E9" w:rsidP="009A08E9">
      <w:pPr>
        <w:pStyle w:val="ManualConsidrant"/>
        <w:rPr>
          <w:noProof/>
        </w:rPr>
      </w:pPr>
      <w:r w:rsidRPr="009A08E9">
        <w:t>(4)</w:t>
      </w:r>
      <w:r w:rsidRPr="009A08E9">
        <w:tab/>
      </w:r>
      <w:r w:rsidR="00B177D9" w:rsidRPr="00710B91">
        <w:rPr>
          <w:noProof/>
        </w:rPr>
        <w:t>Istniejące ramy prawne na szczeblu Unii nie określają sposobów wymiany informacji między podmiotami uczestniczącymi</w:t>
      </w:r>
      <w:r w:rsidR="00710B91" w:rsidRPr="00710B91">
        <w:rPr>
          <w:noProof/>
        </w:rPr>
        <w:t xml:space="preserve"> w</w:t>
      </w:r>
      <w:r w:rsidR="00710B91">
        <w:rPr>
          <w:noProof/>
        </w:rPr>
        <w:t> </w:t>
      </w:r>
      <w:r w:rsidR="00710B91" w:rsidRPr="00710B91">
        <w:rPr>
          <w:noProof/>
        </w:rPr>
        <w:t>zes</w:t>
      </w:r>
      <w:r w:rsidR="00B177D9" w:rsidRPr="00710B91">
        <w:rPr>
          <w:noProof/>
        </w:rPr>
        <w:t>połach JIT</w:t>
      </w:r>
      <w:r w:rsidR="00710B91" w:rsidRPr="00710B91">
        <w:rPr>
          <w:noProof/>
        </w:rPr>
        <w:t xml:space="preserve"> i</w:t>
      </w:r>
      <w:r w:rsidR="00710B91">
        <w:rPr>
          <w:noProof/>
        </w:rPr>
        <w:t> </w:t>
      </w:r>
      <w:r w:rsidR="00710B91" w:rsidRPr="00710B91">
        <w:rPr>
          <w:noProof/>
        </w:rPr>
        <w:t>kom</w:t>
      </w:r>
      <w:r w:rsidR="00B177D9" w:rsidRPr="00710B91">
        <w:rPr>
          <w:noProof/>
        </w:rPr>
        <w:t>unikowania się tych podmiotów. Podmioty te dokonują uzgodnień</w:t>
      </w:r>
      <w:r w:rsidR="00710B91" w:rsidRPr="00710B91">
        <w:rPr>
          <w:noProof/>
        </w:rPr>
        <w:t xml:space="preserve"> w</w:t>
      </w:r>
      <w:r w:rsidR="00710B91">
        <w:rPr>
          <w:noProof/>
        </w:rPr>
        <w:t> </w:t>
      </w:r>
      <w:r w:rsidR="00710B91" w:rsidRPr="00710B91">
        <w:rPr>
          <w:noProof/>
        </w:rPr>
        <w:t>zak</w:t>
      </w:r>
      <w:r w:rsidR="00B177D9" w:rsidRPr="00710B91">
        <w:rPr>
          <w:noProof/>
        </w:rPr>
        <w:t>resie wymiany informacji</w:t>
      </w:r>
      <w:r w:rsidR="00710B91" w:rsidRPr="00710B91">
        <w:rPr>
          <w:noProof/>
        </w:rPr>
        <w:t xml:space="preserve"> i</w:t>
      </w:r>
      <w:r w:rsidR="00710B91">
        <w:rPr>
          <w:noProof/>
        </w:rPr>
        <w:t> </w:t>
      </w:r>
      <w:r w:rsidR="00710B91" w:rsidRPr="00710B91">
        <w:rPr>
          <w:noProof/>
        </w:rPr>
        <w:t>kom</w:t>
      </w:r>
      <w:r w:rsidR="00B177D9" w:rsidRPr="00710B91">
        <w:rPr>
          <w:noProof/>
        </w:rPr>
        <w:t>unikowania się</w:t>
      </w:r>
      <w:r w:rsidR="00710B91" w:rsidRPr="00710B91">
        <w:rPr>
          <w:noProof/>
        </w:rPr>
        <w:t xml:space="preserve"> w</w:t>
      </w:r>
      <w:r w:rsidR="00710B91">
        <w:rPr>
          <w:noProof/>
        </w:rPr>
        <w:t> </w:t>
      </w:r>
      <w:r w:rsidR="00710B91" w:rsidRPr="00710B91">
        <w:rPr>
          <w:noProof/>
        </w:rPr>
        <w:t>opa</w:t>
      </w:r>
      <w:r w:rsidR="00B177D9" w:rsidRPr="00710B91">
        <w:rPr>
          <w:noProof/>
        </w:rPr>
        <w:t>rciu</w:t>
      </w:r>
      <w:r w:rsidR="00710B91" w:rsidRPr="00710B91">
        <w:rPr>
          <w:noProof/>
        </w:rPr>
        <w:t xml:space="preserve"> o</w:t>
      </w:r>
      <w:r w:rsidR="00710B91">
        <w:rPr>
          <w:noProof/>
        </w:rPr>
        <w:t> </w:t>
      </w:r>
      <w:r w:rsidR="00710B91" w:rsidRPr="00710B91">
        <w:rPr>
          <w:noProof/>
        </w:rPr>
        <w:t>pot</w:t>
      </w:r>
      <w:r w:rsidR="00B177D9" w:rsidRPr="00710B91">
        <w:rPr>
          <w:noProof/>
        </w:rPr>
        <w:t>rzeby oraz dostępne środki. Brakuje jednak specjalnego bezpiecznego</w:t>
      </w:r>
      <w:r w:rsidR="00710B91" w:rsidRPr="00710B91">
        <w:rPr>
          <w:noProof/>
        </w:rPr>
        <w:t xml:space="preserve"> i</w:t>
      </w:r>
      <w:r w:rsidR="00710B91">
        <w:rPr>
          <w:noProof/>
        </w:rPr>
        <w:t> </w:t>
      </w:r>
      <w:r w:rsidR="00710B91" w:rsidRPr="00710B91">
        <w:rPr>
          <w:noProof/>
        </w:rPr>
        <w:t>sku</w:t>
      </w:r>
      <w:r w:rsidR="00B177D9" w:rsidRPr="00710B91">
        <w:rPr>
          <w:noProof/>
        </w:rPr>
        <w:t>tecznego kanału,</w:t>
      </w:r>
      <w:r w:rsidR="00710B91" w:rsidRPr="00710B91">
        <w:rPr>
          <w:noProof/>
        </w:rPr>
        <w:t xml:space="preserve"> z</w:t>
      </w:r>
      <w:r w:rsidR="00710B91">
        <w:rPr>
          <w:noProof/>
        </w:rPr>
        <w:t> </w:t>
      </w:r>
      <w:r w:rsidR="00710B91" w:rsidRPr="00710B91">
        <w:rPr>
          <w:noProof/>
        </w:rPr>
        <w:t>któ</w:t>
      </w:r>
      <w:r w:rsidR="00B177D9" w:rsidRPr="00710B91">
        <w:rPr>
          <w:noProof/>
        </w:rPr>
        <w:t>rego mogliby korzystać wszyscy uczestnicy i za pośrednictwem którego mogliby oni szybko wymieniać się dużymi wolumenami informacji</w:t>
      </w:r>
      <w:r w:rsidR="00710B91" w:rsidRPr="00710B91">
        <w:rPr>
          <w:noProof/>
        </w:rPr>
        <w:t xml:space="preserve"> i</w:t>
      </w:r>
      <w:r w:rsidR="00710B91">
        <w:rPr>
          <w:noProof/>
        </w:rPr>
        <w:t> </w:t>
      </w:r>
      <w:r w:rsidR="00710B91" w:rsidRPr="00710B91">
        <w:rPr>
          <w:noProof/>
        </w:rPr>
        <w:t>dow</w:t>
      </w:r>
      <w:r w:rsidR="00B177D9" w:rsidRPr="00710B91">
        <w:rPr>
          <w:noProof/>
        </w:rPr>
        <w:t>odów lub który umożliwiałby bezpieczne</w:t>
      </w:r>
      <w:r w:rsidR="00710B91" w:rsidRPr="00710B91">
        <w:rPr>
          <w:noProof/>
        </w:rPr>
        <w:t xml:space="preserve"> i</w:t>
      </w:r>
      <w:r w:rsidR="00710B91">
        <w:rPr>
          <w:noProof/>
        </w:rPr>
        <w:t> </w:t>
      </w:r>
      <w:r w:rsidR="00710B91" w:rsidRPr="00710B91">
        <w:rPr>
          <w:noProof/>
        </w:rPr>
        <w:t>sku</w:t>
      </w:r>
      <w:r w:rsidR="00B177D9" w:rsidRPr="00710B91">
        <w:rPr>
          <w:noProof/>
        </w:rPr>
        <w:t>teczne komunikowanie się. Ponadto nie ma systemu, który wspierałby codzienne zarządzanie zespołami JIT,</w:t>
      </w:r>
      <w:r w:rsidR="00710B91" w:rsidRPr="00710B91">
        <w:rPr>
          <w:noProof/>
        </w:rPr>
        <w:t xml:space="preserve"> w</w:t>
      </w:r>
      <w:r w:rsidR="00710B91">
        <w:rPr>
          <w:noProof/>
        </w:rPr>
        <w:t> </w:t>
      </w:r>
      <w:r w:rsidR="00710B91" w:rsidRPr="00710B91">
        <w:rPr>
          <w:noProof/>
        </w:rPr>
        <w:t>tym</w:t>
      </w:r>
      <w:r w:rsidR="00B177D9" w:rsidRPr="00710B91">
        <w:rPr>
          <w:noProof/>
        </w:rPr>
        <w:t xml:space="preserve"> identyfikowalnością dowodów wymienianych między uczestnikami.</w:t>
      </w:r>
    </w:p>
    <w:p w14:paraId="2A059A60" w14:textId="69FFCC56" w:rsidR="001A2D31" w:rsidRPr="00710B91" w:rsidRDefault="009A08E9" w:rsidP="009A08E9">
      <w:pPr>
        <w:pStyle w:val="ManualConsidrant"/>
        <w:rPr>
          <w:noProof/>
        </w:rPr>
      </w:pPr>
      <w:r w:rsidRPr="009A08E9">
        <w:t>(5)</w:t>
      </w:r>
      <w:r w:rsidRPr="009A08E9">
        <w:tab/>
      </w:r>
      <w:r w:rsidR="00F05290" w:rsidRPr="00710B91">
        <w:rPr>
          <w:noProof/>
        </w:rPr>
        <w:t>W świetle wzrastających możliwości</w:t>
      </w:r>
      <w:r w:rsidR="00710B91" w:rsidRPr="00710B91">
        <w:rPr>
          <w:noProof/>
        </w:rPr>
        <w:t xml:space="preserve"> w</w:t>
      </w:r>
      <w:r w:rsidR="00710B91">
        <w:rPr>
          <w:noProof/>
        </w:rPr>
        <w:t> </w:t>
      </w:r>
      <w:r w:rsidR="00710B91" w:rsidRPr="00710B91">
        <w:rPr>
          <w:noProof/>
        </w:rPr>
        <w:t>zak</w:t>
      </w:r>
      <w:r w:rsidR="00F05290" w:rsidRPr="00710B91">
        <w:rPr>
          <w:noProof/>
        </w:rPr>
        <w:t>resie przestępczości infiltrującej systemy technologii informacyjnej obecny stan rzeczy mógłby ograniczać skuteczność</w:t>
      </w:r>
      <w:r w:rsidR="00710B91" w:rsidRPr="00710B91">
        <w:rPr>
          <w:noProof/>
        </w:rPr>
        <w:t xml:space="preserve"> i</w:t>
      </w:r>
      <w:r w:rsidR="00710B91">
        <w:rPr>
          <w:noProof/>
        </w:rPr>
        <w:t> </w:t>
      </w:r>
      <w:r w:rsidR="00710B91" w:rsidRPr="00710B91">
        <w:rPr>
          <w:noProof/>
        </w:rPr>
        <w:t>efe</w:t>
      </w:r>
      <w:r w:rsidR="00F05290" w:rsidRPr="00710B91">
        <w:rPr>
          <w:noProof/>
        </w:rPr>
        <w:t>ktywność transgranicznych postępowań przygotowawczych,</w:t>
      </w:r>
      <w:r w:rsidR="00710B91" w:rsidRPr="00710B91">
        <w:rPr>
          <w:noProof/>
        </w:rPr>
        <w:t xml:space="preserve"> a</w:t>
      </w:r>
      <w:r w:rsidR="00710B91">
        <w:rPr>
          <w:noProof/>
        </w:rPr>
        <w:t> </w:t>
      </w:r>
      <w:r w:rsidR="00710B91" w:rsidRPr="00710B91">
        <w:rPr>
          <w:noProof/>
        </w:rPr>
        <w:t>tak</w:t>
      </w:r>
      <w:r w:rsidR="00F05290" w:rsidRPr="00710B91">
        <w:rPr>
          <w:noProof/>
        </w:rPr>
        <w:t>że zagrażać takim postępowaniom przygotowawczym</w:t>
      </w:r>
      <w:r w:rsidR="00710B91" w:rsidRPr="00710B91">
        <w:rPr>
          <w:noProof/>
        </w:rPr>
        <w:t xml:space="preserve"> i</w:t>
      </w:r>
      <w:r w:rsidR="00710B91">
        <w:rPr>
          <w:noProof/>
        </w:rPr>
        <w:t> </w:t>
      </w:r>
      <w:r w:rsidR="00710B91" w:rsidRPr="00710B91">
        <w:rPr>
          <w:noProof/>
        </w:rPr>
        <w:t>ści</w:t>
      </w:r>
      <w:r w:rsidR="00F05290" w:rsidRPr="00710B91">
        <w:rPr>
          <w:noProof/>
        </w:rPr>
        <w:t>ganiu karnemu oraz spowalniać je, zwiększając ich koszt</w:t>
      </w:r>
      <w:r w:rsidR="00710B91" w:rsidRPr="00710B91">
        <w:rPr>
          <w:noProof/>
        </w:rPr>
        <w:t>. W</w:t>
      </w:r>
      <w:r w:rsidR="00710B91">
        <w:rPr>
          <w:noProof/>
        </w:rPr>
        <w:t> </w:t>
      </w:r>
      <w:r w:rsidR="00710B91" w:rsidRPr="00710B91">
        <w:rPr>
          <w:noProof/>
        </w:rPr>
        <w:t>szc</w:t>
      </w:r>
      <w:r w:rsidR="00F05290" w:rsidRPr="00710B91">
        <w:rPr>
          <w:noProof/>
        </w:rPr>
        <w:t>zególności organy sądowe</w:t>
      </w:r>
      <w:r w:rsidR="00710B91" w:rsidRPr="00710B91">
        <w:rPr>
          <w:noProof/>
        </w:rPr>
        <w:t xml:space="preserve"> i</w:t>
      </w:r>
      <w:r w:rsidR="00710B91">
        <w:rPr>
          <w:noProof/>
        </w:rPr>
        <w:t> </w:t>
      </w:r>
      <w:r w:rsidR="00710B91" w:rsidRPr="00710B91">
        <w:rPr>
          <w:noProof/>
        </w:rPr>
        <w:t>org</w:t>
      </w:r>
      <w:r w:rsidR="00F05290" w:rsidRPr="00710B91">
        <w:rPr>
          <w:noProof/>
        </w:rPr>
        <w:t>any ścigania powinny zapewnić, aby ich systemy były możliwie jak najbardziej bezpieczne oraz aby wszyscy członkowie zespołu JIT mogli łatwo kontaktować się</w:t>
      </w:r>
      <w:r w:rsidR="00710B91" w:rsidRPr="00710B91">
        <w:rPr>
          <w:noProof/>
        </w:rPr>
        <w:t xml:space="preserve"> i</w:t>
      </w:r>
      <w:r w:rsidR="00710B91">
        <w:rPr>
          <w:noProof/>
        </w:rPr>
        <w:t> </w:t>
      </w:r>
      <w:r w:rsidR="00710B91" w:rsidRPr="00710B91">
        <w:rPr>
          <w:noProof/>
        </w:rPr>
        <w:t>wch</w:t>
      </w:r>
      <w:r w:rsidR="00F05290" w:rsidRPr="00710B91">
        <w:rPr>
          <w:noProof/>
        </w:rPr>
        <w:t>odzić</w:t>
      </w:r>
      <w:r w:rsidR="00710B91" w:rsidRPr="00710B91">
        <w:rPr>
          <w:noProof/>
        </w:rPr>
        <w:t xml:space="preserve"> w</w:t>
      </w:r>
      <w:r w:rsidR="00710B91">
        <w:rPr>
          <w:noProof/>
        </w:rPr>
        <w:t> </w:t>
      </w:r>
      <w:r w:rsidR="00710B91" w:rsidRPr="00710B91">
        <w:rPr>
          <w:noProof/>
        </w:rPr>
        <w:t>int</w:t>
      </w:r>
      <w:r w:rsidR="00F05290" w:rsidRPr="00710B91">
        <w:rPr>
          <w:noProof/>
        </w:rPr>
        <w:t>erakcje</w:t>
      </w:r>
      <w:r w:rsidR="00710B91" w:rsidRPr="00710B91">
        <w:rPr>
          <w:noProof/>
        </w:rPr>
        <w:t xml:space="preserve"> w</w:t>
      </w:r>
      <w:r w:rsidR="00710B91">
        <w:rPr>
          <w:noProof/>
        </w:rPr>
        <w:t> </w:t>
      </w:r>
      <w:r w:rsidR="00710B91" w:rsidRPr="00710B91">
        <w:rPr>
          <w:noProof/>
        </w:rPr>
        <w:t>spo</w:t>
      </w:r>
      <w:r w:rsidR="00F05290" w:rsidRPr="00710B91">
        <w:rPr>
          <w:noProof/>
        </w:rPr>
        <w:t>sób niezależny od ich systemów krajowych.</w:t>
      </w:r>
    </w:p>
    <w:p w14:paraId="05283455" w14:textId="2EB4D298" w:rsidR="005816C7" w:rsidRPr="00710B91" w:rsidRDefault="009A08E9" w:rsidP="009A08E9">
      <w:pPr>
        <w:pStyle w:val="ManualConsidrant"/>
        <w:rPr>
          <w:noProof/>
        </w:rPr>
      </w:pPr>
      <w:r w:rsidRPr="009A08E9">
        <w:t>(6)</w:t>
      </w:r>
      <w:r w:rsidRPr="009A08E9">
        <w:tab/>
      </w:r>
      <w:r w:rsidR="001A2D31" w:rsidRPr="00710B91">
        <w:rPr>
          <w:noProof/>
        </w:rPr>
        <w:t>Szybkość</w:t>
      </w:r>
      <w:r w:rsidR="00710B91" w:rsidRPr="00710B91">
        <w:rPr>
          <w:noProof/>
        </w:rPr>
        <w:t xml:space="preserve"> i</w:t>
      </w:r>
      <w:r w:rsidR="00710B91">
        <w:rPr>
          <w:noProof/>
        </w:rPr>
        <w:t> </w:t>
      </w:r>
      <w:r w:rsidR="00710B91" w:rsidRPr="00710B91">
        <w:rPr>
          <w:noProof/>
        </w:rPr>
        <w:t>sku</w:t>
      </w:r>
      <w:r w:rsidR="001A2D31" w:rsidRPr="00710B91">
        <w:rPr>
          <w:noProof/>
        </w:rPr>
        <w:t>teczność wymiany informacji między podmiotami uczestniczącymi</w:t>
      </w:r>
      <w:r w:rsidR="00710B91" w:rsidRPr="00710B91">
        <w:rPr>
          <w:noProof/>
        </w:rPr>
        <w:t xml:space="preserve"> w</w:t>
      </w:r>
      <w:r w:rsidR="00710B91">
        <w:rPr>
          <w:noProof/>
        </w:rPr>
        <w:t> </w:t>
      </w:r>
      <w:r w:rsidR="00710B91" w:rsidRPr="00710B91">
        <w:rPr>
          <w:noProof/>
        </w:rPr>
        <w:t>zes</w:t>
      </w:r>
      <w:r w:rsidR="001A2D31" w:rsidRPr="00710B91">
        <w:rPr>
          <w:noProof/>
        </w:rPr>
        <w:t>połach JIT można byłoby znacznie zwiększyć poprzez utworzenie specjalnej platformy informatycznej wspierającej ich funkcjonowanie. Konieczne jest zatem ustalenie reguł ustanawiających scentralizowaną platformę informatyczną („platforma współpracy zespołów JIT”) na poziomie unijnym, aby pomóc zespołom JIT</w:t>
      </w:r>
      <w:r w:rsidR="00710B91" w:rsidRPr="00710B91">
        <w:rPr>
          <w:noProof/>
        </w:rPr>
        <w:t xml:space="preserve"> w</w:t>
      </w:r>
      <w:r w:rsidR="00710B91">
        <w:rPr>
          <w:noProof/>
        </w:rPr>
        <w:t> </w:t>
      </w:r>
      <w:r w:rsidR="00710B91" w:rsidRPr="00710B91">
        <w:rPr>
          <w:noProof/>
        </w:rPr>
        <w:t>zak</w:t>
      </w:r>
      <w:r w:rsidR="001A2D31" w:rsidRPr="00710B91">
        <w:rPr>
          <w:noProof/>
        </w:rPr>
        <w:t>resie współpracy, bezpiecznego komunikowania się oraz udostępniania informacji</w:t>
      </w:r>
      <w:r w:rsidR="00710B91" w:rsidRPr="00710B91">
        <w:rPr>
          <w:noProof/>
        </w:rPr>
        <w:t xml:space="preserve"> i</w:t>
      </w:r>
      <w:r w:rsidR="00710B91">
        <w:rPr>
          <w:noProof/>
        </w:rPr>
        <w:t> </w:t>
      </w:r>
      <w:r w:rsidR="00710B91" w:rsidRPr="00710B91">
        <w:rPr>
          <w:noProof/>
        </w:rPr>
        <w:t>dow</w:t>
      </w:r>
      <w:r w:rsidR="001A2D31" w:rsidRPr="00710B91">
        <w:rPr>
          <w:noProof/>
        </w:rPr>
        <w:t xml:space="preserve">odów. </w:t>
      </w:r>
    </w:p>
    <w:p w14:paraId="34001FCE" w14:textId="2DD064B9" w:rsidR="008E7EBE" w:rsidRPr="00710B91" w:rsidRDefault="009A08E9" w:rsidP="009A08E9">
      <w:pPr>
        <w:pStyle w:val="ManualConsidrant"/>
        <w:rPr>
          <w:noProof/>
        </w:rPr>
      </w:pPr>
      <w:r w:rsidRPr="009A08E9">
        <w:t>(7)</w:t>
      </w:r>
      <w:r w:rsidRPr="009A08E9">
        <w:tab/>
      </w:r>
      <w:r w:rsidR="00EB3036" w:rsidRPr="00710B91">
        <w:rPr>
          <w:noProof/>
        </w:rPr>
        <w:t>Platformy współpracy zespołów JIT należy używać wyłącznie wtedy, gdy podstawę prawną zespołu JIT stanowi m.in. jedna</w:t>
      </w:r>
      <w:r w:rsidR="00710B91" w:rsidRPr="00710B91">
        <w:rPr>
          <w:noProof/>
        </w:rPr>
        <w:t xml:space="preserve"> z</w:t>
      </w:r>
      <w:r w:rsidR="00710B91">
        <w:rPr>
          <w:noProof/>
        </w:rPr>
        <w:t> </w:t>
      </w:r>
      <w:r w:rsidR="00710B91" w:rsidRPr="00710B91">
        <w:rPr>
          <w:noProof/>
        </w:rPr>
        <w:t>pod</w:t>
      </w:r>
      <w:r w:rsidR="00EB3036" w:rsidRPr="00710B91">
        <w:rPr>
          <w:noProof/>
        </w:rPr>
        <w:t>staw prawnych Unii</w:t>
      </w:r>
      <w:r w:rsidR="00710B91" w:rsidRPr="00710B91">
        <w:rPr>
          <w:noProof/>
        </w:rPr>
        <w:t>. W</w:t>
      </w:r>
      <w:r w:rsidR="00710B91">
        <w:rPr>
          <w:noProof/>
        </w:rPr>
        <w:t> </w:t>
      </w:r>
      <w:r w:rsidR="00710B91" w:rsidRPr="00710B91">
        <w:rPr>
          <w:noProof/>
        </w:rPr>
        <w:t>prz</w:t>
      </w:r>
      <w:r w:rsidR="00EB3036" w:rsidRPr="00710B91">
        <w:rPr>
          <w:noProof/>
        </w:rPr>
        <w:t>ypadku wszystkich zespołów JIT opartych wyłącznie</w:t>
      </w:r>
      <w:r w:rsidR="00710B91" w:rsidRPr="00710B91">
        <w:rPr>
          <w:noProof/>
        </w:rPr>
        <w:t xml:space="preserve"> o</w:t>
      </w:r>
      <w:r w:rsidR="00710B91">
        <w:rPr>
          <w:noProof/>
        </w:rPr>
        <w:t> </w:t>
      </w:r>
      <w:r w:rsidR="00710B91" w:rsidRPr="00710B91">
        <w:rPr>
          <w:noProof/>
        </w:rPr>
        <w:t>mię</w:t>
      </w:r>
      <w:r w:rsidR="00EB3036" w:rsidRPr="00710B91">
        <w:rPr>
          <w:noProof/>
        </w:rPr>
        <w:t>dzynarodowe podstawy prawne nie należy stosować tej platformy, która jest sfinansowana</w:t>
      </w:r>
      <w:r w:rsidR="00710B91" w:rsidRPr="00710B91">
        <w:rPr>
          <w:noProof/>
        </w:rPr>
        <w:t xml:space="preserve"> z</w:t>
      </w:r>
      <w:r w:rsidR="00710B91">
        <w:rPr>
          <w:noProof/>
        </w:rPr>
        <w:t> </w:t>
      </w:r>
      <w:r w:rsidR="00710B91" w:rsidRPr="00710B91">
        <w:rPr>
          <w:noProof/>
        </w:rPr>
        <w:t>bud</w:t>
      </w:r>
      <w:r w:rsidR="00EB3036" w:rsidRPr="00710B91">
        <w:rPr>
          <w:noProof/>
        </w:rPr>
        <w:t>żetu Unii</w:t>
      </w:r>
      <w:r w:rsidR="00710B91" w:rsidRPr="00710B91">
        <w:rPr>
          <w:noProof/>
        </w:rPr>
        <w:t xml:space="preserve"> i</w:t>
      </w:r>
      <w:r w:rsidR="00710B91">
        <w:rPr>
          <w:noProof/>
        </w:rPr>
        <w:t> </w:t>
      </w:r>
      <w:r w:rsidR="00710B91" w:rsidRPr="00710B91">
        <w:rPr>
          <w:noProof/>
        </w:rPr>
        <w:t>roz</w:t>
      </w:r>
      <w:r w:rsidR="00EB3036" w:rsidRPr="00710B91">
        <w:rPr>
          <w:noProof/>
        </w:rPr>
        <w:t>wijana na podstawie przepisów Unii</w:t>
      </w:r>
      <w:r w:rsidR="00710B91" w:rsidRPr="00710B91">
        <w:rPr>
          <w:noProof/>
        </w:rPr>
        <w:t>. W</w:t>
      </w:r>
      <w:r w:rsidR="00710B91">
        <w:rPr>
          <w:noProof/>
        </w:rPr>
        <w:t> </w:t>
      </w:r>
      <w:r w:rsidR="00710B91" w:rsidRPr="00710B91">
        <w:rPr>
          <w:noProof/>
        </w:rPr>
        <w:t>prz</w:t>
      </w:r>
      <w:r w:rsidR="00EB3036" w:rsidRPr="00710B91">
        <w:rPr>
          <w:noProof/>
        </w:rPr>
        <w:t>ypadku jednak, gdy państwo trzecie uczestniczy</w:t>
      </w:r>
      <w:r w:rsidR="00710B91" w:rsidRPr="00710B91">
        <w:rPr>
          <w:noProof/>
        </w:rPr>
        <w:t xml:space="preserve"> w</w:t>
      </w:r>
      <w:r w:rsidR="00710B91">
        <w:rPr>
          <w:noProof/>
        </w:rPr>
        <w:t> </w:t>
      </w:r>
      <w:r w:rsidR="00710B91" w:rsidRPr="00710B91">
        <w:rPr>
          <w:noProof/>
        </w:rPr>
        <w:t>umo</w:t>
      </w:r>
      <w:r w:rsidR="00EB3036" w:rsidRPr="00710B91">
        <w:rPr>
          <w:noProof/>
        </w:rPr>
        <w:t>wie o JIT,</w:t>
      </w:r>
      <w:r w:rsidR="00710B91" w:rsidRPr="00710B91">
        <w:rPr>
          <w:noProof/>
        </w:rPr>
        <w:t xml:space="preserve"> w</w:t>
      </w:r>
      <w:r w:rsidR="00710B91">
        <w:rPr>
          <w:noProof/>
        </w:rPr>
        <w:t> </w:t>
      </w:r>
      <w:r w:rsidR="00710B91" w:rsidRPr="00710B91">
        <w:rPr>
          <w:noProof/>
        </w:rPr>
        <w:t>któ</w:t>
      </w:r>
      <w:r w:rsidR="00EB3036" w:rsidRPr="00710B91">
        <w:rPr>
          <w:noProof/>
        </w:rPr>
        <w:t>rej wskazano – oprócz międzynarodowej podstawy prawnej – jedną</w:t>
      </w:r>
      <w:r w:rsidR="00710B91" w:rsidRPr="00710B91">
        <w:rPr>
          <w:noProof/>
        </w:rPr>
        <w:t xml:space="preserve"> z</w:t>
      </w:r>
      <w:r w:rsidR="00710B91">
        <w:rPr>
          <w:noProof/>
        </w:rPr>
        <w:t> </w:t>
      </w:r>
      <w:r w:rsidR="00710B91" w:rsidRPr="00710B91">
        <w:rPr>
          <w:noProof/>
        </w:rPr>
        <w:t>uni</w:t>
      </w:r>
      <w:r w:rsidR="00EB3036" w:rsidRPr="00710B91">
        <w:rPr>
          <w:noProof/>
        </w:rPr>
        <w:t>jnych podstaw prawnych, właściwe organy tego państwa powinny być uznane za członków zespołu JIT.</w:t>
      </w:r>
    </w:p>
    <w:p w14:paraId="03D0EDE4" w14:textId="13CCAB32" w:rsidR="00C664CF" w:rsidRPr="00710B91" w:rsidRDefault="009A08E9" w:rsidP="009A08E9">
      <w:pPr>
        <w:pStyle w:val="ManualConsidrant"/>
        <w:rPr>
          <w:noProof/>
        </w:rPr>
      </w:pPr>
      <w:r w:rsidRPr="009A08E9">
        <w:t>(8)</w:t>
      </w:r>
      <w:r w:rsidRPr="009A08E9">
        <w:tab/>
      </w:r>
      <w:r w:rsidR="00C664CF" w:rsidRPr="00710B91">
        <w:rPr>
          <w:noProof/>
        </w:rPr>
        <w:t>Korzystanie</w:t>
      </w:r>
      <w:r w:rsidR="00710B91" w:rsidRPr="00710B91">
        <w:rPr>
          <w:noProof/>
        </w:rPr>
        <w:t xml:space="preserve"> z</w:t>
      </w:r>
      <w:r w:rsidR="00710B91">
        <w:rPr>
          <w:noProof/>
        </w:rPr>
        <w:t> </w:t>
      </w:r>
      <w:r w:rsidR="00710B91" w:rsidRPr="00710B91">
        <w:rPr>
          <w:noProof/>
        </w:rPr>
        <w:t>pla</w:t>
      </w:r>
      <w:r w:rsidR="00C664CF" w:rsidRPr="00710B91">
        <w:rPr>
          <w:noProof/>
        </w:rPr>
        <w:t>tformy współpracy zespołów JIT powinno być dobrowolne. Korzystanie</w:t>
      </w:r>
      <w:r w:rsidR="00710B91" w:rsidRPr="00710B91">
        <w:rPr>
          <w:noProof/>
        </w:rPr>
        <w:t xml:space="preserve"> z</w:t>
      </w:r>
      <w:r w:rsidR="00710B91">
        <w:rPr>
          <w:noProof/>
        </w:rPr>
        <w:t> </w:t>
      </w:r>
      <w:r w:rsidR="00710B91" w:rsidRPr="00710B91">
        <w:rPr>
          <w:noProof/>
        </w:rPr>
        <w:t>pla</w:t>
      </w:r>
      <w:r w:rsidR="00C664CF" w:rsidRPr="00710B91">
        <w:rPr>
          <w:noProof/>
        </w:rPr>
        <w:t>tformy jest jednak zdecydowanie popierane</w:t>
      </w:r>
      <w:r w:rsidR="00710B91" w:rsidRPr="00710B91">
        <w:rPr>
          <w:noProof/>
        </w:rPr>
        <w:t xml:space="preserve"> z</w:t>
      </w:r>
      <w:r w:rsidR="00710B91">
        <w:rPr>
          <w:noProof/>
        </w:rPr>
        <w:t> </w:t>
      </w:r>
      <w:r w:rsidR="00710B91" w:rsidRPr="00710B91">
        <w:rPr>
          <w:noProof/>
        </w:rPr>
        <w:t>uwa</w:t>
      </w:r>
      <w:r w:rsidR="00C664CF" w:rsidRPr="00710B91">
        <w:rPr>
          <w:noProof/>
        </w:rPr>
        <w:t>gi na wartość dodaną, jaką wnosi ona do transgranicznych postępowań przygotowawczych. Korzystanie bądź niekorzystanie</w:t>
      </w:r>
      <w:r w:rsidR="00710B91" w:rsidRPr="00710B91">
        <w:rPr>
          <w:noProof/>
        </w:rPr>
        <w:t xml:space="preserve"> z</w:t>
      </w:r>
      <w:r w:rsidR="00710B91">
        <w:rPr>
          <w:noProof/>
        </w:rPr>
        <w:t> </w:t>
      </w:r>
      <w:r w:rsidR="00710B91" w:rsidRPr="00710B91">
        <w:rPr>
          <w:noProof/>
        </w:rPr>
        <w:t>pla</w:t>
      </w:r>
      <w:r w:rsidR="00C664CF" w:rsidRPr="00710B91">
        <w:rPr>
          <w:noProof/>
        </w:rPr>
        <w:t>tformy współpracy zespołów JIT nie powinno naruszać zgodności</w:t>
      </w:r>
      <w:r w:rsidR="00710B91" w:rsidRPr="00710B91">
        <w:rPr>
          <w:noProof/>
        </w:rPr>
        <w:t xml:space="preserve"> z</w:t>
      </w:r>
      <w:r w:rsidR="00710B91">
        <w:rPr>
          <w:noProof/>
        </w:rPr>
        <w:t> </w:t>
      </w:r>
      <w:r w:rsidR="00710B91" w:rsidRPr="00710B91">
        <w:rPr>
          <w:noProof/>
        </w:rPr>
        <w:t>pra</w:t>
      </w:r>
      <w:r w:rsidR="00C664CF" w:rsidRPr="00710B91">
        <w:rPr>
          <w:noProof/>
        </w:rPr>
        <w:t>wem innych form komunikacji lub wymiany informacji</w:t>
      </w:r>
      <w:r w:rsidR="00710B91" w:rsidRPr="00710B91">
        <w:rPr>
          <w:noProof/>
        </w:rPr>
        <w:t xml:space="preserve"> i</w:t>
      </w:r>
      <w:r w:rsidR="00710B91">
        <w:rPr>
          <w:noProof/>
        </w:rPr>
        <w:t> </w:t>
      </w:r>
      <w:r w:rsidR="00710B91" w:rsidRPr="00710B91">
        <w:rPr>
          <w:noProof/>
        </w:rPr>
        <w:t>nie</w:t>
      </w:r>
      <w:r w:rsidR="00C664CF" w:rsidRPr="00710B91">
        <w:rPr>
          <w:noProof/>
        </w:rPr>
        <w:t xml:space="preserve"> powinno mieć wpływu na ich zgodność</w:t>
      </w:r>
      <w:r w:rsidR="00710B91" w:rsidRPr="00710B91">
        <w:rPr>
          <w:noProof/>
        </w:rPr>
        <w:t xml:space="preserve"> z</w:t>
      </w:r>
      <w:r w:rsidR="00710B91">
        <w:rPr>
          <w:noProof/>
        </w:rPr>
        <w:t> </w:t>
      </w:r>
      <w:r w:rsidR="00710B91" w:rsidRPr="00710B91">
        <w:rPr>
          <w:noProof/>
        </w:rPr>
        <w:t>pra</w:t>
      </w:r>
      <w:r w:rsidR="00C664CF" w:rsidRPr="00710B91">
        <w:rPr>
          <w:noProof/>
        </w:rPr>
        <w:t>wem,</w:t>
      </w:r>
      <w:r w:rsidR="00710B91" w:rsidRPr="00710B91">
        <w:rPr>
          <w:noProof/>
        </w:rPr>
        <w:t xml:space="preserve"> a</w:t>
      </w:r>
      <w:r w:rsidR="00710B91">
        <w:rPr>
          <w:noProof/>
        </w:rPr>
        <w:t> </w:t>
      </w:r>
      <w:r w:rsidR="00710B91" w:rsidRPr="00710B91">
        <w:rPr>
          <w:noProof/>
        </w:rPr>
        <w:t>tak</w:t>
      </w:r>
      <w:r w:rsidR="00C664CF" w:rsidRPr="00710B91">
        <w:rPr>
          <w:noProof/>
        </w:rPr>
        <w:t>że nie powinno zmieniać sposobu powoływania, organizowania czy funkcjonowania zespołów JIT. Ustanowienie platformy współpracy zespołów JIT nie powinno mieć wpływu na podstawy prawne, na których oparte są zespoły JIT, ani na mające zastosowanie krajowe przepisy proceduralne dotyczące gromadzenia</w:t>
      </w:r>
      <w:r w:rsidR="00710B91" w:rsidRPr="00710B91">
        <w:rPr>
          <w:noProof/>
        </w:rPr>
        <w:t xml:space="preserve"> i</w:t>
      </w:r>
      <w:r w:rsidR="00710B91">
        <w:rPr>
          <w:noProof/>
        </w:rPr>
        <w:t> </w:t>
      </w:r>
      <w:r w:rsidR="00710B91" w:rsidRPr="00710B91">
        <w:rPr>
          <w:noProof/>
        </w:rPr>
        <w:t>wyk</w:t>
      </w:r>
      <w:r w:rsidR="00C664CF" w:rsidRPr="00710B91">
        <w:rPr>
          <w:noProof/>
        </w:rPr>
        <w:t>orzystywania uzyskanych dowodów. Platforma powinna wyłącznie zapewniać bezpieczne narzędzie informatyczne na potrzeby udoskonalenia współpracy</w:t>
      </w:r>
      <w:r w:rsidR="00710B91" w:rsidRPr="00710B91">
        <w:rPr>
          <w:noProof/>
        </w:rPr>
        <w:t xml:space="preserve"> i</w:t>
      </w:r>
      <w:r w:rsidR="00710B91">
        <w:rPr>
          <w:noProof/>
        </w:rPr>
        <w:t> </w:t>
      </w:r>
      <w:r w:rsidR="00710B91" w:rsidRPr="00710B91">
        <w:rPr>
          <w:noProof/>
        </w:rPr>
        <w:t>sku</w:t>
      </w:r>
      <w:r w:rsidR="00C664CF" w:rsidRPr="00710B91">
        <w:rPr>
          <w:noProof/>
        </w:rPr>
        <w:t>teczności zespołów JIT.</w:t>
      </w:r>
    </w:p>
    <w:p w14:paraId="01430552" w14:textId="1E2BDD12" w:rsidR="00124055" w:rsidRPr="00710B91" w:rsidRDefault="009A08E9" w:rsidP="009A08E9">
      <w:pPr>
        <w:pStyle w:val="ManualConsidrant"/>
        <w:rPr>
          <w:noProof/>
        </w:rPr>
      </w:pPr>
      <w:r w:rsidRPr="009A08E9">
        <w:t>(9)</w:t>
      </w:r>
      <w:r w:rsidRPr="009A08E9">
        <w:tab/>
      </w:r>
      <w:r w:rsidR="00D007B7" w:rsidRPr="00710B91">
        <w:rPr>
          <w:noProof/>
        </w:rPr>
        <w:t>Platforma współpracy zespołów JIT powinna obejmować etap działań operacyjnych zespołu JIT oraz etap po ich zakończeniu – od momentu podpisania odpowiedniej umowy o JIT przez jego członków aż do czasu zakończenia oceny zespołu JIT. Ze względu na fakt, że podmioty uczestniczące</w:t>
      </w:r>
      <w:r w:rsidR="00710B91" w:rsidRPr="00710B91">
        <w:rPr>
          <w:noProof/>
        </w:rPr>
        <w:t xml:space="preserve"> w</w:t>
      </w:r>
      <w:r w:rsidR="00710B91">
        <w:rPr>
          <w:noProof/>
        </w:rPr>
        <w:t> </w:t>
      </w:r>
      <w:r w:rsidR="00710B91" w:rsidRPr="00710B91">
        <w:rPr>
          <w:noProof/>
        </w:rPr>
        <w:t>pro</w:t>
      </w:r>
      <w:r w:rsidR="00D007B7" w:rsidRPr="00710B91">
        <w:rPr>
          <w:noProof/>
        </w:rPr>
        <w:t>cesie powoływania zespołu JIT są różne od podmiotów będących członkami zespołu JIT po jego utworzeniu, procesem powoływania zespołu JIT,</w:t>
      </w:r>
      <w:r w:rsidR="00710B91" w:rsidRPr="00710B91">
        <w:rPr>
          <w:noProof/>
        </w:rPr>
        <w:t xml:space="preserve"> a</w:t>
      </w:r>
      <w:r w:rsidR="00710B91">
        <w:rPr>
          <w:noProof/>
        </w:rPr>
        <w:t> </w:t>
      </w:r>
      <w:r w:rsidR="00710B91" w:rsidRPr="00710B91">
        <w:rPr>
          <w:noProof/>
        </w:rPr>
        <w:t>w</w:t>
      </w:r>
      <w:r w:rsidR="00710B91">
        <w:rPr>
          <w:noProof/>
        </w:rPr>
        <w:t> </w:t>
      </w:r>
      <w:r w:rsidR="00710B91" w:rsidRPr="00710B91">
        <w:rPr>
          <w:noProof/>
        </w:rPr>
        <w:t>szc</w:t>
      </w:r>
      <w:r w:rsidR="00D007B7" w:rsidRPr="00710B91">
        <w:rPr>
          <w:noProof/>
        </w:rPr>
        <w:t>zególności negocjacją treści umowy o JIT</w:t>
      </w:r>
      <w:r w:rsidR="00710B91" w:rsidRPr="00710B91">
        <w:rPr>
          <w:noProof/>
        </w:rPr>
        <w:t xml:space="preserve"> i</w:t>
      </w:r>
      <w:r w:rsidR="00710B91">
        <w:rPr>
          <w:noProof/>
        </w:rPr>
        <w:t> </w:t>
      </w:r>
      <w:r w:rsidR="00710B91" w:rsidRPr="00710B91">
        <w:rPr>
          <w:noProof/>
        </w:rPr>
        <w:t>jej</w:t>
      </w:r>
      <w:r w:rsidR="00D007B7" w:rsidRPr="00710B91">
        <w:rPr>
          <w:noProof/>
        </w:rPr>
        <w:t xml:space="preserve"> podpisaniem nie powinna zarządzać platforma współpracy zespołów JIT. Jednakże</w:t>
      </w:r>
      <w:r w:rsidR="00710B91" w:rsidRPr="00710B91">
        <w:rPr>
          <w:noProof/>
        </w:rPr>
        <w:t xml:space="preserve"> w</w:t>
      </w:r>
      <w:r w:rsidR="00710B91">
        <w:rPr>
          <w:noProof/>
        </w:rPr>
        <w:t> </w:t>
      </w:r>
      <w:r w:rsidR="00710B91" w:rsidRPr="00710B91">
        <w:rPr>
          <w:noProof/>
        </w:rPr>
        <w:t>zwi</w:t>
      </w:r>
      <w:r w:rsidR="00D007B7" w:rsidRPr="00710B91">
        <w:rPr>
          <w:noProof/>
        </w:rPr>
        <w:t>ązku</w:t>
      </w:r>
      <w:r w:rsidR="00710B91" w:rsidRPr="00710B91">
        <w:rPr>
          <w:noProof/>
        </w:rPr>
        <w:t xml:space="preserve"> z</w:t>
      </w:r>
      <w:r w:rsidR="00710B91">
        <w:rPr>
          <w:noProof/>
        </w:rPr>
        <w:t> </w:t>
      </w:r>
      <w:r w:rsidR="00710B91" w:rsidRPr="00710B91">
        <w:rPr>
          <w:noProof/>
        </w:rPr>
        <w:t>poj</w:t>
      </w:r>
      <w:r w:rsidR="00D007B7" w:rsidRPr="00710B91">
        <w:rPr>
          <w:noProof/>
        </w:rPr>
        <w:t>awieniem się zapotrzebowania na narzędzie elektroniczne wspierające proces zapisywania się do zespołu JIT Komisja powinna rozważyć objęcie tego procesu systemem cyfrowej wymiany elektronicznego materiału dowodowego (eDES).</w:t>
      </w:r>
    </w:p>
    <w:p w14:paraId="032FC4D4" w14:textId="5DF1BEA6" w:rsidR="00124055" w:rsidRPr="00710B91" w:rsidRDefault="009A08E9" w:rsidP="009A08E9">
      <w:pPr>
        <w:pStyle w:val="ManualConsidrant"/>
        <w:rPr>
          <w:noProof/>
        </w:rPr>
      </w:pPr>
      <w:r w:rsidRPr="009A08E9">
        <w:t>(10)</w:t>
      </w:r>
      <w:r w:rsidRPr="009A08E9">
        <w:tab/>
      </w:r>
      <w:r w:rsidR="00493A4A" w:rsidRPr="00710B91">
        <w:rPr>
          <w:noProof/>
        </w:rPr>
        <w:t>Członków każdego zespołu JIT korzystającego</w:t>
      </w:r>
      <w:r w:rsidR="00710B91" w:rsidRPr="00710B91">
        <w:rPr>
          <w:noProof/>
        </w:rPr>
        <w:t xml:space="preserve"> z</w:t>
      </w:r>
      <w:r w:rsidR="00710B91">
        <w:rPr>
          <w:noProof/>
        </w:rPr>
        <w:t> </w:t>
      </w:r>
      <w:r w:rsidR="00710B91" w:rsidRPr="00710B91">
        <w:rPr>
          <w:noProof/>
        </w:rPr>
        <w:t>pla</w:t>
      </w:r>
      <w:r w:rsidR="00493A4A" w:rsidRPr="00710B91">
        <w:rPr>
          <w:noProof/>
        </w:rPr>
        <w:t>tformy współpracy zespołów JIT należy zachęcać do przeprowadzenia oceny zespołu JIT albo podczas etapu działań operacyjnych zespołu JIT, albo po zakończeniu jego pracy,</w:t>
      </w:r>
      <w:r w:rsidR="00710B91" w:rsidRPr="00710B91">
        <w:rPr>
          <w:noProof/>
        </w:rPr>
        <w:t xml:space="preserve"> z</w:t>
      </w:r>
      <w:r w:rsidR="00710B91">
        <w:rPr>
          <w:noProof/>
        </w:rPr>
        <w:t> </w:t>
      </w:r>
      <w:r w:rsidR="00710B91" w:rsidRPr="00710B91">
        <w:rPr>
          <w:noProof/>
        </w:rPr>
        <w:t>wyk</w:t>
      </w:r>
      <w:r w:rsidR="00493A4A" w:rsidRPr="00710B91">
        <w:rPr>
          <w:noProof/>
        </w:rPr>
        <w:t>orzystaniem narzędzi zapewnionych</w:t>
      </w:r>
      <w:r w:rsidR="00710B91" w:rsidRPr="00710B91">
        <w:rPr>
          <w:noProof/>
        </w:rPr>
        <w:t xml:space="preserve"> w</w:t>
      </w:r>
      <w:r w:rsidR="00710B91">
        <w:rPr>
          <w:noProof/>
        </w:rPr>
        <w:t> </w:t>
      </w:r>
      <w:r w:rsidR="00710B91" w:rsidRPr="00710B91">
        <w:rPr>
          <w:noProof/>
        </w:rPr>
        <w:t>ram</w:t>
      </w:r>
      <w:r w:rsidR="00493A4A" w:rsidRPr="00710B91">
        <w:rPr>
          <w:noProof/>
        </w:rPr>
        <w:t>ach platformy współpracy zespołów JIT.</w:t>
      </w:r>
    </w:p>
    <w:p w14:paraId="5A9EA8AB" w14:textId="539D8B31" w:rsidR="0070791F" w:rsidRPr="00710B91" w:rsidRDefault="009A08E9" w:rsidP="009A08E9">
      <w:pPr>
        <w:pStyle w:val="ManualConsidrant"/>
        <w:rPr>
          <w:noProof/>
        </w:rPr>
      </w:pPr>
      <w:r w:rsidRPr="009A08E9">
        <w:t>(11)</w:t>
      </w:r>
      <w:r w:rsidRPr="009A08E9">
        <w:tab/>
      </w:r>
      <w:r w:rsidR="0070791F" w:rsidRPr="00710B91">
        <w:rPr>
          <w:noProof/>
        </w:rPr>
        <w:t>Umowa o JIT powinna być warunkiem wstępnym korzystania</w:t>
      </w:r>
      <w:r w:rsidR="00710B91" w:rsidRPr="00710B91">
        <w:rPr>
          <w:noProof/>
        </w:rPr>
        <w:t xml:space="preserve"> z</w:t>
      </w:r>
      <w:r w:rsidR="00710B91">
        <w:rPr>
          <w:noProof/>
        </w:rPr>
        <w:t> </w:t>
      </w:r>
      <w:r w:rsidR="00710B91" w:rsidRPr="00710B91">
        <w:rPr>
          <w:noProof/>
        </w:rPr>
        <w:t>pla</w:t>
      </w:r>
      <w:r w:rsidR="0070791F" w:rsidRPr="00710B91">
        <w:rPr>
          <w:noProof/>
        </w:rPr>
        <w:t>tformy współpracy zespołów JIT. Treść wszystkich przyszłych umów o JIT należy dostosować</w:t>
      </w:r>
      <w:r w:rsidR="00710B91" w:rsidRPr="00710B91">
        <w:rPr>
          <w:noProof/>
        </w:rPr>
        <w:t xml:space="preserve"> w</w:t>
      </w:r>
      <w:r w:rsidR="00710B91">
        <w:rPr>
          <w:noProof/>
        </w:rPr>
        <w:t> </w:t>
      </w:r>
      <w:r w:rsidR="00710B91" w:rsidRPr="00710B91">
        <w:rPr>
          <w:noProof/>
        </w:rPr>
        <w:t>spo</w:t>
      </w:r>
      <w:r w:rsidR="0070791F" w:rsidRPr="00710B91">
        <w:rPr>
          <w:noProof/>
        </w:rPr>
        <w:t>sób uwzględniający odpowiednie przepisy niniejszego rozporządzenia.</w:t>
      </w:r>
    </w:p>
    <w:p w14:paraId="13B9A18B" w14:textId="422D0174" w:rsidR="00BD5DC3" w:rsidRPr="00710B91" w:rsidRDefault="009A08E9" w:rsidP="009A08E9">
      <w:pPr>
        <w:pStyle w:val="ManualConsidrant"/>
        <w:rPr>
          <w:noProof/>
        </w:rPr>
      </w:pPr>
      <w:r w:rsidRPr="009A08E9">
        <w:t>(12)</w:t>
      </w:r>
      <w:r w:rsidRPr="009A08E9">
        <w:tab/>
      </w:r>
      <w:r w:rsidR="00BD5DC3" w:rsidRPr="00710B91">
        <w:rPr>
          <w:noProof/>
        </w:rPr>
        <w:t>Z perspektywy operacyjnej platforma współpracy zespołów JIT powinna składać się</w:t>
      </w:r>
      <w:r w:rsidR="00710B91" w:rsidRPr="00710B91">
        <w:rPr>
          <w:noProof/>
        </w:rPr>
        <w:t xml:space="preserve"> z</w:t>
      </w:r>
      <w:r w:rsidR="00710B91">
        <w:rPr>
          <w:noProof/>
        </w:rPr>
        <w:t> </w:t>
      </w:r>
      <w:r w:rsidR="00710B91" w:rsidRPr="00710B91">
        <w:rPr>
          <w:noProof/>
        </w:rPr>
        <w:t>odr</w:t>
      </w:r>
      <w:r w:rsidR="00BD5DC3" w:rsidRPr="00710B91">
        <w:rPr>
          <w:noProof/>
        </w:rPr>
        <w:t>ębnych przestrzeni współpracy zespołu JIT, utworzonych dla poszczególnych zespołów JIT, dla których hosting zapewnia platforma.</w:t>
      </w:r>
    </w:p>
    <w:p w14:paraId="53770E90" w14:textId="7B81EB4E" w:rsidR="00C664CF" w:rsidRPr="00710B91" w:rsidRDefault="009A08E9" w:rsidP="009A08E9">
      <w:pPr>
        <w:pStyle w:val="ManualConsidrant"/>
        <w:rPr>
          <w:noProof/>
        </w:rPr>
      </w:pPr>
      <w:r w:rsidRPr="009A08E9">
        <w:t>(13)</w:t>
      </w:r>
      <w:r w:rsidRPr="009A08E9">
        <w:tab/>
      </w:r>
      <w:r w:rsidR="0047059E" w:rsidRPr="00710B91">
        <w:rPr>
          <w:noProof/>
        </w:rPr>
        <w:t>Z perspektywy technicznej platforma współpracy zespołów JIT powinna być dostępna poprzez bezpieczne połączenie internetowe</w:t>
      </w:r>
      <w:r w:rsidR="00710B91" w:rsidRPr="00710B91">
        <w:rPr>
          <w:noProof/>
        </w:rPr>
        <w:t xml:space="preserve"> i</w:t>
      </w:r>
      <w:r w:rsidR="00710B91">
        <w:rPr>
          <w:noProof/>
        </w:rPr>
        <w:t> </w:t>
      </w:r>
      <w:r w:rsidR="00710B91" w:rsidRPr="00710B91">
        <w:rPr>
          <w:noProof/>
        </w:rPr>
        <w:t>pow</w:t>
      </w:r>
      <w:r w:rsidR="0047059E" w:rsidRPr="00710B91">
        <w:rPr>
          <w:noProof/>
        </w:rPr>
        <w:t>inna składać się ze scentralizowanego systemu informacyjnego, dostępnego przez portal internetowy, oprogramowania komunikacyjnego dla urządzeń mobilnych</w:t>
      </w:r>
      <w:r w:rsidR="00710B91" w:rsidRPr="00710B91">
        <w:rPr>
          <w:noProof/>
        </w:rPr>
        <w:t xml:space="preserve"> i</w:t>
      </w:r>
      <w:r w:rsidR="00710B91">
        <w:rPr>
          <w:noProof/>
        </w:rPr>
        <w:t> </w:t>
      </w:r>
      <w:r w:rsidR="00710B91" w:rsidRPr="00710B91">
        <w:rPr>
          <w:noProof/>
        </w:rPr>
        <w:t>sta</w:t>
      </w:r>
      <w:r w:rsidR="0047059E" w:rsidRPr="00710B91">
        <w:rPr>
          <w:noProof/>
        </w:rPr>
        <w:t>cjonarnych oraz połączenia między scentralizowanym systemem informacyjnym</w:t>
      </w:r>
      <w:r w:rsidR="00710B91" w:rsidRPr="00710B91">
        <w:rPr>
          <w:noProof/>
        </w:rPr>
        <w:t xml:space="preserve"> i</w:t>
      </w:r>
      <w:r w:rsidR="00710B91">
        <w:rPr>
          <w:noProof/>
        </w:rPr>
        <w:t> </w:t>
      </w:r>
      <w:r w:rsidR="00710B91" w:rsidRPr="00710B91">
        <w:rPr>
          <w:noProof/>
        </w:rPr>
        <w:t>odp</w:t>
      </w:r>
      <w:r w:rsidR="0047059E" w:rsidRPr="00710B91">
        <w:rPr>
          <w:noProof/>
        </w:rPr>
        <w:t>owiednimi narzędziami informatycznymi, wspierającego funkcjonowanie zespołów JIT</w:t>
      </w:r>
      <w:r w:rsidR="00710B91" w:rsidRPr="00710B91">
        <w:rPr>
          <w:noProof/>
        </w:rPr>
        <w:t xml:space="preserve"> i</w:t>
      </w:r>
      <w:r w:rsidR="00710B91">
        <w:rPr>
          <w:noProof/>
        </w:rPr>
        <w:t> </w:t>
      </w:r>
      <w:r w:rsidR="00710B91" w:rsidRPr="00710B91">
        <w:rPr>
          <w:noProof/>
        </w:rPr>
        <w:t>zar</w:t>
      </w:r>
      <w:r w:rsidR="0047059E" w:rsidRPr="00710B91">
        <w:rPr>
          <w:noProof/>
        </w:rPr>
        <w:t>ządzanego przez sekretariat JIT.</w:t>
      </w:r>
    </w:p>
    <w:p w14:paraId="19768594" w14:textId="48A4F619" w:rsidR="00C664CF" w:rsidRPr="00710B91" w:rsidRDefault="009A08E9" w:rsidP="009A08E9">
      <w:pPr>
        <w:pStyle w:val="ManualConsidrant"/>
        <w:rPr>
          <w:noProof/>
        </w:rPr>
      </w:pPr>
      <w:r w:rsidRPr="009A08E9">
        <w:t>(14)</w:t>
      </w:r>
      <w:r w:rsidRPr="009A08E9">
        <w:tab/>
      </w:r>
      <w:r w:rsidR="00C664CF" w:rsidRPr="00710B91">
        <w:rPr>
          <w:noProof/>
        </w:rPr>
        <w:t>Celem platformy współpracy zespołów JIT powinno być ułatwienie codziennej koordynacji zespołu JIT</w:t>
      </w:r>
      <w:r w:rsidR="00710B91" w:rsidRPr="00710B91">
        <w:rPr>
          <w:noProof/>
        </w:rPr>
        <w:t xml:space="preserve"> i</w:t>
      </w:r>
      <w:r w:rsidR="00710B91">
        <w:rPr>
          <w:noProof/>
        </w:rPr>
        <w:t> </w:t>
      </w:r>
      <w:r w:rsidR="00710B91" w:rsidRPr="00710B91">
        <w:rPr>
          <w:noProof/>
        </w:rPr>
        <w:t>zar</w:t>
      </w:r>
      <w:r w:rsidR="00C664CF" w:rsidRPr="00710B91">
        <w:rPr>
          <w:noProof/>
        </w:rPr>
        <w:t>ządzania nim, zapewnienie wymiany</w:t>
      </w:r>
      <w:r w:rsidR="00710B91" w:rsidRPr="00710B91">
        <w:rPr>
          <w:noProof/>
        </w:rPr>
        <w:t xml:space="preserve"> i</w:t>
      </w:r>
      <w:r w:rsidR="00710B91">
        <w:rPr>
          <w:noProof/>
        </w:rPr>
        <w:t> </w:t>
      </w:r>
      <w:r w:rsidR="00710B91" w:rsidRPr="00710B91">
        <w:rPr>
          <w:noProof/>
        </w:rPr>
        <w:t>tym</w:t>
      </w:r>
      <w:r w:rsidR="00C664CF" w:rsidRPr="00710B91">
        <w:rPr>
          <w:noProof/>
        </w:rPr>
        <w:t>czasowego przechowywania informacji operacyjnych</w:t>
      </w:r>
      <w:r w:rsidR="00710B91" w:rsidRPr="00710B91">
        <w:rPr>
          <w:noProof/>
        </w:rPr>
        <w:t xml:space="preserve"> i</w:t>
      </w:r>
      <w:r w:rsidR="00710B91">
        <w:rPr>
          <w:noProof/>
        </w:rPr>
        <w:t> </w:t>
      </w:r>
      <w:r w:rsidR="00710B91" w:rsidRPr="00710B91">
        <w:rPr>
          <w:noProof/>
        </w:rPr>
        <w:t>dow</w:t>
      </w:r>
      <w:r w:rsidR="00C664CF" w:rsidRPr="00710B91">
        <w:rPr>
          <w:noProof/>
        </w:rPr>
        <w:t>odów, zapewnienie bezpiecznej komunikacji, zapewnienie identyfikowalności dowodów oraz wspieranie procesu oceny zespołu JIT. Wszystkie podmioty uczestniczące</w:t>
      </w:r>
      <w:r w:rsidR="00710B91" w:rsidRPr="00710B91">
        <w:rPr>
          <w:noProof/>
        </w:rPr>
        <w:t xml:space="preserve"> w</w:t>
      </w:r>
      <w:r w:rsidR="00710B91">
        <w:rPr>
          <w:noProof/>
        </w:rPr>
        <w:t> </w:t>
      </w:r>
      <w:r w:rsidR="00710B91" w:rsidRPr="00710B91">
        <w:rPr>
          <w:noProof/>
        </w:rPr>
        <w:t>zes</w:t>
      </w:r>
      <w:r w:rsidR="00C664CF" w:rsidRPr="00710B91">
        <w:rPr>
          <w:noProof/>
        </w:rPr>
        <w:t>pole JIT należy zachęcać do korzystania ze wszystkich funkcji platformy współpracy zespołów JIT i do zastąpienia</w:t>
      </w:r>
      <w:r w:rsidR="00710B91" w:rsidRPr="00710B91">
        <w:rPr>
          <w:noProof/>
        </w:rPr>
        <w:t xml:space="preserve"> w</w:t>
      </w:r>
      <w:r w:rsidR="00710B91">
        <w:rPr>
          <w:noProof/>
        </w:rPr>
        <w:t> </w:t>
      </w:r>
      <w:r w:rsidR="00710B91" w:rsidRPr="00710B91">
        <w:rPr>
          <w:noProof/>
        </w:rPr>
        <w:t>jak</w:t>
      </w:r>
      <w:r w:rsidR="00C664CF" w:rsidRPr="00710B91">
        <w:rPr>
          <w:noProof/>
        </w:rPr>
        <w:t xml:space="preserve"> najszerszym zakresie obecnie używanych kanałów komunikacji</w:t>
      </w:r>
      <w:r w:rsidR="00710B91" w:rsidRPr="00710B91">
        <w:rPr>
          <w:noProof/>
        </w:rPr>
        <w:t xml:space="preserve"> i</w:t>
      </w:r>
      <w:r w:rsidR="00710B91">
        <w:rPr>
          <w:noProof/>
        </w:rPr>
        <w:t> </w:t>
      </w:r>
      <w:r w:rsidR="00710B91" w:rsidRPr="00710B91">
        <w:rPr>
          <w:noProof/>
        </w:rPr>
        <w:t>wym</w:t>
      </w:r>
      <w:r w:rsidR="00C664CF" w:rsidRPr="00710B91">
        <w:rPr>
          <w:noProof/>
        </w:rPr>
        <w:t>iany danych.</w:t>
      </w:r>
    </w:p>
    <w:p w14:paraId="61331C51" w14:textId="5D70BA39" w:rsidR="00C0180C" w:rsidRPr="00710B91" w:rsidRDefault="009A08E9" w:rsidP="009A08E9">
      <w:pPr>
        <w:pStyle w:val="ManualConsidrant"/>
        <w:rPr>
          <w:noProof/>
        </w:rPr>
      </w:pPr>
      <w:r w:rsidRPr="009A08E9">
        <w:t>(15)</w:t>
      </w:r>
      <w:r w:rsidRPr="009A08E9">
        <w:tab/>
      </w:r>
      <w:r w:rsidR="00C0180C" w:rsidRPr="00710B91">
        <w:rPr>
          <w:noProof/>
        </w:rPr>
        <w:t>Platforma współpracy zespołów JIT stanowi uzupełnienie istniejących narzędzi umożliwiających bezpieczną wymianę danych między organami sądowymi</w:t>
      </w:r>
      <w:r w:rsidR="00710B91" w:rsidRPr="00710B91">
        <w:rPr>
          <w:noProof/>
        </w:rPr>
        <w:t xml:space="preserve"> i</w:t>
      </w:r>
      <w:r w:rsidR="00710B91">
        <w:rPr>
          <w:noProof/>
        </w:rPr>
        <w:t> </w:t>
      </w:r>
      <w:r w:rsidR="00710B91" w:rsidRPr="00710B91">
        <w:rPr>
          <w:noProof/>
        </w:rPr>
        <w:t>org</w:t>
      </w:r>
      <w:r w:rsidR="00C0180C" w:rsidRPr="00710B91">
        <w:rPr>
          <w:noProof/>
        </w:rPr>
        <w:t>anami ścigania, takich jak aplikacja sieci bezpiecznej wymiany informacji (SIENA).</w:t>
      </w:r>
    </w:p>
    <w:p w14:paraId="72EF3B61" w14:textId="644C47F0" w:rsidR="004C496F" w:rsidRPr="00710B91" w:rsidRDefault="009A08E9" w:rsidP="009A08E9">
      <w:pPr>
        <w:pStyle w:val="ManualConsidrant"/>
        <w:rPr>
          <w:noProof/>
        </w:rPr>
      </w:pPr>
      <w:r w:rsidRPr="009A08E9">
        <w:t>(16)</w:t>
      </w:r>
      <w:r w:rsidRPr="009A08E9">
        <w:tab/>
      </w:r>
      <w:r w:rsidR="004C496F" w:rsidRPr="00710B91">
        <w:rPr>
          <w:noProof/>
        </w:rPr>
        <w:t>Funkcje platformy współpracy zespołów JIT związane</w:t>
      </w:r>
      <w:r w:rsidR="00710B91" w:rsidRPr="00710B91">
        <w:rPr>
          <w:noProof/>
        </w:rPr>
        <w:t xml:space="preserve"> z</w:t>
      </w:r>
      <w:r w:rsidR="00710B91">
        <w:rPr>
          <w:noProof/>
        </w:rPr>
        <w:t> </w:t>
      </w:r>
      <w:r w:rsidR="00710B91" w:rsidRPr="00710B91">
        <w:rPr>
          <w:noProof/>
        </w:rPr>
        <w:t>kom</w:t>
      </w:r>
      <w:r w:rsidR="004C496F" w:rsidRPr="00710B91">
        <w:rPr>
          <w:noProof/>
        </w:rPr>
        <w:t>unikacją powinno zapewniać oprogramowanie pozwalające na prowadzenie niemożliwej do śledzenia komunikacji, przechowywanej lokalnie na urządzeniach użytkowników.</w:t>
      </w:r>
    </w:p>
    <w:p w14:paraId="5EC5F66A" w14:textId="0E9AD0E3" w:rsidR="004C496F" w:rsidRPr="00710B91" w:rsidRDefault="009A08E9" w:rsidP="009A08E9">
      <w:pPr>
        <w:pStyle w:val="ManualConsidrant"/>
        <w:rPr>
          <w:noProof/>
        </w:rPr>
      </w:pPr>
      <w:r w:rsidRPr="009A08E9">
        <w:t>(17)</w:t>
      </w:r>
      <w:r w:rsidRPr="009A08E9">
        <w:tab/>
      </w:r>
      <w:r w:rsidR="00932315" w:rsidRPr="00710B91">
        <w:rPr>
          <w:noProof/>
        </w:rPr>
        <w:t>Należy zapewnić odpowiednią funkcję pozwalającą na wymianę informacji operacyjnej</w:t>
      </w:r>
      <w:r w:rsidR="00710B91" w:rsidRPr="00710B91">
        <w:rPr>
          <w:noProof/>
        </w:rPr>
        <w:t xml:space="preserve"> i</w:t>
      </w:r>
      <w:r w:rsidR="00710B91">
        <w:rPr>
          <w:noProof/>
        </w:rPr>
        <w:t> </w:t>
      </w:r>
      <w:r w:rsidR="00710B91" w:rsidRPr="00710B91">
        <w:rPr>
          <w:noProof/>
        </w:rPr>
        <w:t>dow</w:t>
      </w:r>
      <w:r w:rsidR="00932315" w:rsidRPr="00710B91">
        <w:rPr>
          <w:noProof/>
        </w:rPr>
        <w:t>odów,</w:t>
      </w:r>
      <w:r w:rsidR="00710B91" w:rsidRPr="00710B91">
        <w:rPr>
          <w:noProof/>
        </w:rPr>
        <w:t xml:space="preserve"> w</w:t>
      </w:r>
      <w:r w:rsidR="00710B91">
        <w:rPr>
          <w:noProof/>
        </w:rPr>
        <w:t> </w:t>
      </w:r>
      <w:r w:rsidR="00710B91" w:rsidRPr="00710B91">
        <w:rPr>
          <w:noProof/>
        </w:rPr>
        <w:t>tym</w:t>
      </w:r>
      <w:r w:rsidR="00932315" w:rsidRPr="00710B91">
        <w:rPr>
          <w:noProof/>
        </w:rPr>
        <w:t xml:space="preserve"> dużych plików, poprzez system zamieszczania/pobierania zaprojektowany</w:t>
      </w:r>
      <w:r w:rsidR="00710B91" w:rsidRPr="00710B91">
        <w:rPr>
          <w:noProof/>
        </w:rPr>
        <w:t xml:space="preserve"> w</w:t>
      </w:r>
      <w:r w:rsidR="00710B91">
        <w:rPr>
          <w:noProof/>
        </w:rPr>
        <w:t> </w:t>
      </w:r>
      <w:r w:rsidR="00710B91" w:rsidRPr="00710B91">
        <w:rPr>
          <w:noProof/>
        </w:rPr>
        <w:t>cel</w:t>
      </w:r>
      <w:r w:rsidR="00932315" w:rsidRPr="00710B91">
        <w:rPr>
          <w:noProof/>
        </w:rPr>
        <w:t>u centralnego przechowywania danych wyłącznie przez ograniczony czas niezbędny</w:t>
      </w:r>
      <w:r w:rsidR="00710B91" w:rsidRPr="00710B91">
        <w:rPr>
          <w:noProof/>
        </w:rPr>
        <w:t xml:space="preserve"> w</w:t>
      </w:r>
      <w:r w:rsidR="00710B91">
        <w:rPr>
          <w:noProof/>
        </w:rPr>
        <w:t> </w:t>
      </w:r>
      <w:r w:rsidR="00710B91" w:rsidRPr="00710B91">
        <w:rPr>
          <w:noProof/>
        </w:rPr>
        <w:t>cel</w:t>
      </w:r>
      <w:r w:rsidR="00932315" w:rsidRPr="00710B91">
        <w:rPr>
          <w:noProof/>
        </w:rPr>
        <w:t>u technicznego przekazania danych. Gdy tylko dane zostaną pobrane przez wszystkich odbiorców, powinny być automatycznie usuwane</w:t>
      </w:r>
      <w:r w:rsidR="00710B91" w:rsidRPr="00710B91">
        <w:rPr>
          <w:noProof/>
        </w:rPr>
        <w:t xml:space="preserve"> z</w:t>
      </w:r>
      <w:r w:rsidR="00710B91">
        <w:rPr>
          <w:noProof/>
        </w:rPr>
        <w:t> </w:t>
      </w:r>
      <w:r w:rsidR="00710B91" w:rsidRPr="00710B91">
        <w:rPr>
          <w:noProof/>
        </w:rPr>
        <w:t>pla</w:t>
      </w:r>
      <w:r w:rsidR="00932315" w:rsidRPr="00710B91">
        <w:rPr>
          <w:noProof/>
        </w:rPr>
        <w:t>tformy współpracy zespołów JIT.</w:t>
      </w:r>
    </w:p>
    <w:p w14:paraId="6B8B3C36" w14:textId="4FA88247" w:rsidR="001A2D31" w:rsidRPr="00710B91" w:rsidRDefault="009A08E9" w:rsidP="009A08E9">
      <w:pPr>
        <w:pStyle w:val="ManualConsidrant"/>
        <w:rPr>
          <w:noProof/>
        </w:rPr>
      </w:pPr>
      <w:r w:rsidRPr="009A08E9">
        <w:t>(18)</w:t>
      </w:r>
      <w:r w:rsidRPr="009A08E9">
        <w:tab/>
      </w:r>
      <w:r w:rsidR="001C3781" w:rsidRPr="00710B91">
        <w:rPr>
          <w:noProof/>
        </w:rPr>
        <w:t>Ze względu na posiadane przez nią doświadczenie</w:t>
      </w:r>
      <w:r w:rsidR="00710B91" w:rsidRPr="00710B91">
        <w:rPr>
          <w:noProof/>
        </w:rPr>
        <w:t xml:space="preserve"> w</w:t>
      </w:r>
      <w:r w:rsidR="00710B91">
        <w:rPr>
          <w:noProof/>
        </w:rPr>
        <w:t> </w:t>
      </w:r>
      <w:r w:rsidR="00710B91" w:rsidRPr="00710B91">
        <w:rPr>
          <w:noProof/>
        </w:rPr>
        <w:t>zar</w:t>
      </w:r>
      <w:r w:rsidR="001C3781" w:rsidRPr="00710B91">
        <w:rPr>
          <w:noProof/>
        </w:rPr>
        <w:t>ządzaniu wielkoskalowymi systemami</w:t>
      </w:r>
      <w:r w:rsidR="00710B91" w:rsidRPr="00710B91">
        <w:rPr>
          <w:noProof/>
        </w:rPr>
        <w:t xml:space="preserve"> w</w:t>
      </w:r>
      <w:r w:rsidR="00710B91">
        <w:rPr>
          <w:noProof/>
        </w:rPr>
        <w:t> </w:t>
      </w:r>
      <w:r w:rsidR="00710B91" w:rsidRPr="00710B91">
        <w:rPr>
          <w:noProof/>
        </w:rPr>
        <w:t>obs</w:t>
      </w:r>
      <w:r w:rsidR="001C3781" w:rsidRPr="00710B91">
        <w:rPr>
          <w:noProof/>
        </w:rPr>
        <w:t>zarze wymiaru sprawiedliwości</w:t>
      </w:r>
      <w:r w:rsidR="00710B91" w:rsidRPr="00710B91">
        <w:rPr>
          <w:noProof/>
        </w:rPr>
        <w:t xml:space="preserve"> i</w:t>
      </w:r>
      <w:r w:rsidR="00710B91">
        <w:rPr>
          <w:noProof/>
        </w:rPr>
        <w:t> </w:t>
      </w:r>
      <w:r w:rsidR="00710B91" w:rsidRPr="00710B91">
        <w:rPr>
          <w:noProof/>
        </w:rPr>
        <w:t>spr</w:t>
      </w:r>
      <w:r w:rsidR="001C3781" w:rsidRPr="00710B91">
        <w:rPr>
          <w:noProof/>
        </w:rPr>
        <w:t>aw wewnętrznych Agencji Unii Europejskiej ds. Zarządzania Operacyjnego Wielkoskalowymi Systemami Informatycznymi</w:t>
      </w:r>
      <w:r w:rsidR="00710B91" w:rsidRPr="00710B91">
        <w:rPr>
          <w:noProof/>
        </w:rPr>
        <w:t xml:space="preserve"> w</w:t>
      </w:r>
      <w:r w:rsidR="00710B91">
        <w:rPr>
          <w:noProof/>
        </w:rPr>
        <w:t> </w:t>
      </w:r>
      <w:r w:rsidR="00710B91" w:rsidRPr="00710B91">
        <w:rPr>
          <w:noProof/>
        </w:rPr>
        <w:t>Prz</w:t>
      </w:r>
      <w:r w:rsidR="001C3781" w:rsidRPr="00710B91">
        <w:rPr>
          <w:noProof/>
        </w:rPr>
        <w:t>estrzeni Wolności, Bezpieczeństwa</w:t>
      </w:r>
      <w:r w:rsidR="00710B91" w:rsidRPr="00710B91">
        <w:rPr>
          <w:noProof/>
        </w:rPr>
        <w:t xml:space="preserve"> i</w:t>
      </w:r>
      <w:r w:rsidR="00710B91">
        <w:rPr>
          <w:noProof/>
        </w:rPr>
        <w:t> </w:t>
      </w:r>
      <w:r w:rsidR="00710B91" w:rsidRPr="00710B91">
        <w:rPr>
          <w:noProof/>
        </w:rPr>
        <w:t>Spr</w:t>
      </w:r>
      <w:r w:rsidR="001C3781" w:rsidRPr="00710B91">
        <w:rPr>
          <w:noProof/>
        </w:rPr>
        <w:t>awiedliwości (eu-LISA), ustanowionej rozporządzeniem Parlamentu Europejskiego</w:t>
      </w:r>
      <w:r w:rsidR="00710B91" w:rsidRPr="00710B91">
        <w:rPr>
          <w:noProof/>
        </w:rPr>
        <w:t xml:space="preserve"> i</w:t>
      </w:r>
      <w:r w:rsidR="00710B91">
        <w:rPr>
          <w:noProof/>
        </w:rPr>
        <w:t> </w:t>
      </w:r>
      <w:r w:rsidR="00710B91" w:rsidRPr="00710B91">
        <w:rPr>
          <w:noProof/>
        </w:rPr>
        <w:t>Rad</w:t>
      </w:r>
      <w:r w:rsidR="001C3781" w:rsidRPr="00710B91">
        <w:rPr>
          <w:noProof/>
        </w:rPr>
        <w:t>y (UE) 2018/1726</w:t>
      </w:r>
      <w:r w:rsidR="001C3781" w:rsidRPr="00710B91">
        <w:rPr>
          <w:rStyle w:val="FootnoteReference"/>
          <w:noProof/>
        </w:rPr>
        <w:footnoteReference w:id="24"/>
      </w:r>
      <w:r w:rsidR="001C3781" w:rsidRPr="00710B91">
        <w:rPr>
          <w:noProof/>
        </w:rPr>
        <w:t>, należy powierzyć zadanie zaprojektowania, rozwijania</w:t>
      </w:r>
      <w:r w:rsidR="00710B91" w:rsidRPr="00710B91">
        <w:rPr>
          <w:noProof/>
        </w:rPr>
        <w:t xml:space="preserve"> i</w:t>
      </w:r>
      <w:r w:rsidR="00710B91">
        <w:rPr>
          <w:noProof/>
        </w:rPr>
        <w:t> </w:t>
      </w:r>
      <w:r w:rsidR="00710B91" w:rsidRPr="00710B91">
        <w:rPr>
          <w:noProof/>
        </w:rPr>
        <w:t>obs</w:t>
      </w:r>
      <w:r w:rsidR="001C3781" w:rsidRPr="00710B91">
        <w:rPr>
          <w:noProof/>
        </w:rPr>
        <w:t>ługi platformy współpracy zespołów JIT</w:t>
      </w:r>
      <w:r w:rsidR="00710B91" w:rsidRPr="00710B91">
        <w:rPr>
          <w:noProof/>
        </w:rPr>
        <w:t xml:space="preserve"> z</w:t>
      </w:r>
      <w:r w:rsidR="00710B91">
        <w:rPr>
          <w:noProof/>
        </w:rPr>
        <w:t> </w:t>
      </w:r>
      <w:r w:rsidR="00710B91" w:rsidRPr="00710B91">
        <w:rPr>
          <w:noProof/>
        </w:rPr>
        <w:t>wyk</w:t>
      </w:r>
      <w:r w:rsidR="001C3781" w:rsidRPr="00710B91">
        <w:rPr>
          <w:noProof/>
        </w:rPr>
        <w:t>orzystaniem istniejących funkcji SIENA</w:t>
      </w:r>
      <w:r w:rsidR="00710B91" w:rsidRPr="00710B91">
        <w:rPr>
          <w:noProof/>
        </w:rPr>
        <w:t xml:space="preserve"> i</w:t>
      </w:r>
      <w:r w:rsidR="00710B91">
        <w:rPr>
          <w:noProof/>
        </w:rPr>
        <w:t> </w:t>
      </w:r>
      <w:r w:rsidR="00710B91" w:rsidRPr="00710B91">
        <w:rPr>
          <w:noProof/>
        </w:rPr>
        <w:t>inn</w:t>
      </w:r>
      <w:r w:rsidR="001C3781" w:rsidRPr="00710B91">
        <w:rPr>
          <w:noProof/>
        </w:rPr>
        <w:t>ych funkcji Europolu</w:t>
      </w:r>
      <w:r w:rsidR="00710B91" w:rsidRPr="00710B91">
        <w:rPr>
          <w:noProof/>
        </w:rPr>
        <w:t xml:space="preserve"> w</w:t>
      </w:r>
      <w:r w:rsidR="00710B91">
        <w:rPr>
          <w:noProof/>
        </w:rPr>
        <w:t> </w:t>
      </w:r>
      <w:r w:rsidR="00710B91" w:rsidRPr="00710B91">
        <w:rPr>
          <w:noProof/>
        </w:rPr>
        <w:t>cel</w:t>
      </w:r>
      <w:r w:rsidR="001C3781" w:rsidRPr="00710B91">
        <w:rPr>
          <w:noProof/>
        </w:rPr>
        <w:t>u zapewnienia komplementarności</w:t>
      </w:r>
      <w:r w:rsidR="00710B91" w:rsidRPr="00710B91">
        <w:rPr>
          <w:noProof/>
        </w:rPr>
        <w:t xml:space="preserve"> i</w:t>
      </w:r>
      <w:r w:rsidR="00710B91">
        <w:rPr>
          <w:noProof/>
        </w:rPr>
        <w:t> </w:t>
      </w:r>
      <w:r w:rsidR="00710B91" w:rsidRPr="00710B91">
        <w:rPr>
          <w:noProof/>
        </w:rPr>
        <w:t>int</w:t>
      </w:r>
      <w:r w:rsidR="001C3781" w:rsidRPr="00710B91">
        <w:rPr>
          <w:noProof/>
        </w:rPr>
        <w:t>eroperacyjności. Mandat eu-LISA należy zatem zmienić tak, aby odzwierciedlał te nowe zadania,</w:t>
      </w:r>
      <w:r w:rsidR="00710B91" w:rsidRPr="00710B91">
        <w:rPr>
          <w:noProof/>
        </w:rPr>
        <w:t xml:space="preserve"> i</w:t>
      </w:r>
      <w:r w:rsidR="00710B91">
        <w:rPr>
          <w:noProof/>
        </w:rPr>
        <w:t> </w:t>
      </w:r>
      <w:r w:rsidR="00710B91" w:rsidRPr="00710B91">
        <w:rPr>
          <w:noProof/>
        </w:rPr>
        <w:t>nal</w:t>
      </w:r>
      <w:r w:rsidR="001C3781" w:rsidRPr="00710B91">
        <w:rPr>
          <w:noProof/>
        </w:rPr>
        <w:t>eży jej zapewnić odpowiednie finansowanie</w:t>
      </w:r>
      <w:r w:rsidR="00710B91" w:rsidRPr="00710B91">
        <w:rPr>
          <w:noProof/>
        </w:rPr>
        <w:t xml:space="preserve"> i</w:t>
      </w:r>
      <w:r w:rsidR="00710B91">
        <w:rPr>
          <w:noProof/>
        </w:rPr>
        <w:t> </w:t>
      </w:r>
      <w:r w:rsidR="00710B91" w:rsidRPr="00710B91">
        <w:rPr>
          <w:noProof/>
        </w:rPr>
        <w:t>per</w:t>
      </w:r>
      <w:r w:rsidR="001C3781" w:rsidRPr="00710B91">
        <w:rPr>
          <w:noProof/>
        </w:rPr>
        <w:t>sonel na potrzeby wypełnienia obowiązków wynikający</w:t>
      </w:r>
      <w:r w:rsidR="00620FA0" w:rsidRPr="00710B91">
        <w:rPr>
          <w:noProof/>
        </w:rPr>
        <w:t>ch</w:t>
      </w:r>
      <w:r w:rsidR="00710B91" w:rsidRPr="00710B91">
        <w:rPr>
          <w:noProof/>
        </w:rPr>
        <w:t xml:space="preserve"> z</w:t>
      </w:r>
      <w:r w:rsidR="00710B91">
        <w:rPr>
          <w:noProof/>
        </w:rPr>
        <w:t> </w:t>
      </w:r>
      <w:r w:rsidR="00710B91" w:rsidRPr="00710B91">
        <w:rPr>
          <w:noProof/>
        </w:rPr>
        <w:t>nin</w:t>
      </w:r>
      <w:r w:rsidR="00620FA0" w:rsidRPr="00710B91">
        <w:rPr>
          <w:noProof/>
        </w:rPr>
        <w:t>iejsze rozporządzenia</w:t>
      </w:r>
      <w:r w:rsidR="00710B91" w:rsidRPr="00710B91">
        <w:rPr>
          <w:noProof/>
        </w:rPr>
        <w:t>. W</w:t>
      </w:r>
      <w:r w:rsidR="00710B91">
        <w:rPr>
          <w:noProof/>
        </w:rPr>
        <w:t> </w:t>
      </w:r>
      <w:r w:rsidR="00710B91" w:rsidRPr="00710B91">
        <w:rPr>
          <w:noProof/>
        </w:rPr>
        <w:t>zwi</w:t>
      </w:r>
      <w:r w:rsidR="001C3781" w:rsidRPr="00710B91">
        <w:rPr>
          <w:noProof/>
        </w:rPr>
        <w:t>ązku</w:t>
      </w:r>
      <w:r w:rsidR="00710B91" w:rsidRPr="00710B91">
        <w:rPr>
          <w:noProof/>
        </w:rPr>
        <w:t xml:space="preserve"> z</w:t>
      </w:r>
      <w:r w:rsidR="00710B91">
        <w:rPr>
          <w:noProof/>
        </w:rPr>
        <w:t> </w:t>
      </w:r>
      <w:r w:rsidR="00710B91" w:rsidRPr="00710B91">
        <w:rPr>
          <w:noProof/>
        </w:rPr>
        <w:t>tym</w:t>
      </w:r>
      <w:r w:rsidR="001C3781" w:rsidRPr="00710B91">
        <w:rPr>
          <w:noProof/>
        </w:rPr>
        <w:t xml:space="preserve"> należy opracować reguły dotyczące obowiązków eu-LISA jako Agencji, której powierza się rozwijanie, działanie techniczne</w:t>
      </w:r>
      <w:r w:rsidR="00710B91" w:rsidRPr="00710B91">
        <w:rPr>
          <w:noProof/>
        </w:rPr>
        <w:t xml:space="preserve"> i</w:t>
      </w:r>
      <w:r w:rsidR="00710B91">
        <w:rPr>
          <w:noProof/>
        </w:rPr>
        <w:t> </w:t>
      </w:r>
      <w:r w:rsidR="00710B91" w:rsidRPr="00710B91">
        <w:rPr>
          <w:noProof/>
        </w:rPr>
        <w:t>utr</w:t>
      </w:r>
      <w:r w:rsidR="001C3781" w:rsidRPr="00710B91">
        <w:rPr>
          <w:noProof/>
        </w:rPr>
        <w:t>zymanie platformy współpracy zespołów JIT.</w:t>
      </w:r>
    </w:p>
    <w:p w14:paraId="0ACAC37C" w14:textId="56E2A388" w:rsidR="00DB7E84" w:rsidRPr="00710B91" w:rsidRDefault="009A08E9" w:rsidP="009A08E9">
      <w:pPr>
        <w:pStyle w:val="ManualConsidrant"/>
        <w:rPr>
          <w:noProof/>
        </w:rPr>
      </w:pPr>
      <w:r w:rsidRPr="009A08E9">
        <w:t>(19)</w:t>
      </w:r>
      <w:r w:rsidRPr="009A08E9">
        <w:tab/>
      </w:r>
      <w:r w:rsidR="00DB7E84" w:rsidRPr="00710B91">
        <w:rPr>
          <w:noProof/>
        </w:rPr>
        <w:t>Podczas projektowania platformy współpracy zespołów JIT eu-LISA powinna zapewnić techniczną interoperacyjność</w:t>
      </w:r>
      <w:r w:rsidR="00710B91" w:rsidRPr="00710B91">
        <w:rPr>
          <w:noProof/>
        </w:rPr>
        <w:t xml:space="preserve"> z</w:t>
      </w:r>
      <w:r w:rsidR="00710B91">
        <w:rPr>
          <w:noProof/>
        </w:rPr>
        <w:t> </w:t>
      </w:r>
      <w:r w:rsidR="00710B91" w:rsidRPr="00710B91">
        <w:rPr>
          <w:noProof/>
        </w:rPr>
        <w:t>nar</w:t>
      </w:r>
      <w:r w:rsidR="00DB7E84" w:rsidRPr="00710B91">
        <w:rPr>
          <w:noProof/>
        </w:rPr>
        <w:t>zędziem SIENA.</w:t>
      </w:r>
    </w:p>
    <w:p w14:paraId="59E0D930" w14:textId="5833D0EB" w:rsidR="001D502A" w:rsidRPr="00710B91" w:rsidRDefault="009A08E9" w:rsidP="009A08E9">
      <w:pPr>
        <w:pStyle w:val="ManualConsidrant"/>
        <w:rPr>
          <w:noProof/>
        </w:rPr>
      </w:pPr>
      <w:r w:rsidRPr="009A08E9">
        <w:t>(20)</w:t>
      </w:r>
      <w:r w:rsidRPr="009A08E9">
        <w:tab/>
      </w:r>
      <w:r w:rsidR="001D502A" w:rsidRPr="00710B91">
        <w:rPr>
          <w:noProof/>
        </w:rPr>
        <w:t>Od czasu powołania sieci ekspertów krajowych ds. wspólnych zespołów dochodzeniowo-śledczych („sieć JIT”), zgodnie</w:t>
      </w:r>
      <w:r w:rsidR="00710B91" w:rsidRPr="00710B91">
        <w:rPr>
          <w:noProof/>
        </w:rPr>
        <w:t xml:space="preserve"> z</w:t>
      </w:r>
      <w:r w:rsidR="00710B91">
        <w:rPr>
          <w:noProof/>
        </w:rPr>
        <w:t> </w:t>
      </w:r>
      <w:r w:rsidR="00710B91" w:rsidRPr="00710B91">
        <w:rPr>
          <w:noProof/>
        </w:rPr>
        <w:t>dok</w:t>
      </w:r>
      <w:r w:rsidR="001D502A" w:rsidRPr="00710B91">
        <w:rPr>
          <w:noProof/>
        </w:rPr>
        <w:t>umentem Rady 11037/05</w:t>
      </w:r>
      <w:r w:rsidR="001D502A" w:rsidRPr="00710B91">
        <w:rPr>
          <w:rStyle w:val="FootnoteReference"/>
          <w:noProof/>
        </w:rPr>
        <w:footnoteReference w:id="25"/>
      </w:r>
      <w:r w:rsidR="001D502A" w:rsidRPr="00710B91">
        <w:rPr>
          <w:noProof/>
        </w:rPr>
        <w:t>, sekretariat JIT wspiera pracę sieci JIT poprzez organizację corocznych spotkań, szkoleń, gromadzenie</w:t>
      </w:r>
      <w:r w:rsidR="00710B91" w:rsidRPr="00710B91">
        <w:rPr>
          <w:noProof/>
        </w:rPr>
        <w:t xml:space="preserve"> i</w:t>
      </w:r>
      <w:r w:rsidR="00710B91">
        <w:rPr>
          <w:noProof/>
        </w:rPr>
        <w:t> </w:t>
      </w:r>
      <w:r w:rsidR="00710B91" w:rsidRPr="00710B91">
        <w:rPr>
          <w:noProof/>
        </w:rPr>
        <w:t>ana</w:t>
      </w:r>
      <w:r w:rsidR="001D502A" w:rsidRPr="00710B91">
        <w:rPr>
          <w:noProof/>
        </w:rPr>
        <w:t>lizowanie sprawozdań oceniających zespoły JIT oraz zarządzanie programem Eurojustu ds. finansowania zespołów JIT. Od 2011</w:t>
      </w:r>
      <w:r w:rsidR="00710B91" w:rsidRPr="00710B91">
        <w:rPr>
          <w:noProof/>
        </w:rPr>
        <w:t> </w:t>
      </w:r>
      <w:r w:rsidR="001D502A" w:rsidRPr="00710B91">
        <w:rPr>
          <w:noProof/>
        </w:rPr>
        <w:t>r. sekretariat JIT wykonuje swoje zadania jako odrębna jednostka</w:t>
      </w:r>
      <w:r w:rsidR="00710B91" w:rsidRPr="00710B91">
        <w:rPr>
          <w:noProof/>
        </w:rPr>
        <w:t xml:space="preserve"> w</w:t>
      </w:r>
      <w:r w:rsidR="00710B91">
        <w:rPr>
          <w:noProof/>
        </w:rPr>
        <w:t> </w:t>
      </w:r>
      <w:r w:rsidR="00710B91" w:rsidRPr="00710B91">
        <w:rPr>
          <w:noProof/>
        </w:rPr>
        <w:t>ram</w:t>
      </w:r>
      <w:r w:rsidR="001D502A" w:rsidRPr="00710B91">
        <w:rPr>
          <w:noProof/>
        </w:rPr>
        <w:t>ach Eurojustu. Aby umożliwić sekretariatowi JIT wspieranie użytkowników</w:t>
      </w:r>
      <w:r w:rsidR="00710B91" w:rsidRPr="00710B91">
        <w:rPr>
          <w:noProof/>
        </w:rPr>
        <w:t xml:space="preserve"> w</w:t>
      </w:r>
      <w:r w:rsidR="00710B91">
        <w:rPr>
          <w:noProof/>
        </w:rPr>
        <w:t> </w:t>
      </w:r>
      <w:r w:rsidR="00710B91" w:rsidRPr="00710B91">
        <w:rPr>
          <w:noProof/>
        </w:rPr>
        <w:t>zak</w:t>
      </w:r>
      <w:r w:rsidR="001D502A" w:rsidRPr="00710B91">
        <w:rPr>
          <w:noProof/>
        </w:rPr>
        <w:t>resie wykorzystywania</w:t>
      </w:r>
      <w:r w:rsidR="00710B91" w:rsidRPr="00710B91">
        <w:rPr>
          <w:noProof/>
        </w:rPr>
        <w:t xml:space="preserve"> w</w:t>
      </w:r>
      <w:r w:rsidR="00710B91">
        <w:rPr>
          <w:noProof/>
        </w:rPr>
        <w:t> </w:t>
      </w:r>
      <w:r w:rsidR="00710B91" w:rsidRPr="00710B91">
        <w:rPr>
          <w:noProof/>
        </w:rPr>
        <w:t>pra</w:t>
      </w:r>
      <w:r w:rsidR="001D502A" w:rsidRPr="00710B91">
        <w:rPr>
          <w:noProof/>
        </w:rPr>
        <w:t>ktyce platformy współpracy zespołów JIT,</w:t>
      </w:r>
      <w:r w:rsidR="00710B91" w:rsidRPr="00710B91">
        <w:rPr>
          <w:noProof/>
        </w:rPr>
        <w:t xml:space="preserve"> a</w:t>
      </w:r>
      <w:r w:rsidR="00710B91">
        <w:rPr>
          <w:noProof/>
        </w:rPr>
        <w:t> </w:t>
      </w:r>
      <w:r w:rsidR="00710B91" w:rsidRPr="00710B91">
        <w:rPr>
          <w:noProof/>
        </w:rPr>
        <w:t>tak</w:t>
      </w:r>
      <w:r w:rsidR="001D502A" w:rsidRPr="00710B91">
        <w:rPr>
          <w:noProof/>
        </w:rPr>
        <w:t>że zapewnić wsparcie techniczne</w:t>
      </w:r>
      <w:r w:rsidR="00710B91" w:rsidRPr="00710B91">
        <w:rPr>
          <w:noProof/>
        </w:rPr>
        <w:t xml:space="preserve"> i</w:t>
      </w:r>
      <w:r w:rsidR="00710B91">
        <w:rPr>
          <w:noProof/>
        </w:rPr>
        <w:t> </w:t>
      </w:r>
      <w:r w:rsidR="00710B91" w:rsidRPr="00710B91">
        <w:rPr>
          <w:noProof/>
        </w:rPr>
        <w:t>adm</w:t>
      </w:r>
      <w:r w:rsidR="001D502A" w:rsidRPr="00710B91">
        <w:rPr>
          <w:noProof/>
        </w:rPr>
        <w:t>inistracyjne administratorom przestrzeni JIT należy zapewnić Eurojustowi odpowiedni personel przydzielony do sekretariatu JIT.</w:t>
      </w:r>
    </w:p>
    <w:p w14:paraId="5791DF8C" w14:textId="091A7CD6" w:rsidR="005C2C7A" w:rsidRPr="00710B91" w:rsidRDefault="009A08E9" w:rsidP="009A08E9">
      <w:pPr>
        <w:pStyle w:val="ManualConsidrant"/>
        <w:rPr>
          <w:noProof/>
        </w:rPr>
      </w:pPr>
      <w:r w:rsidRPr="009A08E9">
        <w:t>(21)</w:t>
      </w:r>
      <w:r w:rsidRPr="009A08E9">
        <w:tab/>
      </w:r>
      <w:r w:rsidR="005C2C7A" w:rsidRPr="00710B91">
        <w:rPr>
          <w:noProof/>
        </w:rPr>
        <w:t>Biorąc pod uwagę istniejące obecnie narzędzia informatyczne wspierające działania operacyjne zespołów JIT, którym Eurojust zapewnia hosting</w:t>
      </w:r>
      <w:r w:rsidR="00710B91" w:rsidRPr="00710B91">
        <w:rPr>
          <w:noProof/>
        </w:rPr>
        <w:t xml:space="preserve"> i</w:t>
      </w:r>
      <w:r w:rsidR="00710B91">
        <w:rPr>
          <w:noProof/>
        </w:rPr>
        <w:t> </w:t>
      </w:r>
      <w:r w:rsidR="00710B91" w:rsidRPr="00710B91">
        <w:rPr>
          <w:noProof/>
        </w:rPr>
        <w:t>któ</w:t>
      </w:r>
      <w:r w:rsidR="005C2C7A" w:rsidRPr="00710B91">
        <w:rPr>
          <w:noProof/>
        </w:rPr>
        <w:t>rymi zarządza sekretariat JIT, należy połączyć platformę współpracy zespołów JIT</w:t>
      </w:r>
      <w:r w:rsidR="00710B91" w:rsidRPr="00710B91">
        <w:rPr>
          <w:noProof/>
        </w:rPr>
        <w:t xml:space="preserve"> z</w:t>
      </w:r>
      <w:r w:rsidR="00710B91">
        <w:rPr>
          <w:noProof/>
        </w:rPr>
        <w:t> </w:t>
      </w:r>
      <w:r w:rsidR="00710B91" w:rsidRPr="00710B91">
        <w:rPr>
          <w:noProof/>
        </w:rPr>
        <w:t>tym</w:t>
      </w:r>
      <w:r w:rsidR="005C2C7A" w:rsidRPr="00710B91">
        <w:rPr>
          <w:noProof/>
        </w:rPr>
        <w:t>i narzędziami informatycznymi, aby ułatwić zarządzanie zespołami JIT</w:t>
      </w:r>
      <w:r w:rsidR="00710B91" w:rsidRPr="00710B91">
        <w:rPr>
          <w:noProof/>
        </w:rPr>
        <w:t>. W</w:t>
      </w:r>
      <w:r w:rsidR="00710B91">
        <w:rPr>
          <w:noProof/>
        </w:rPr>
        <w:t> </w:t>
      </w:r>
      <w:r w:rsidR="00710B91" w:rsidRPr="00710B91">
        <w:rPr>
          <w:noProof/>
        </w:rPr>
        <w:t>tym</w:t>
      </w:r>
      <w:r w:rsidR="005C2C7A" w:rsidRPr="00710B91">
        <w:rPr>
          <w:noProof/>
        </w:rPr>
        <w:t xml:space="preserve"> celu Eurojust powinien zapewnić niezbędne dostosowanie techniczne swoich systemów na potrzeby ustanowienia takiego połączenia. Należy zapewnić Eurojustowi odpowiednie finansowanie</w:t>
      </w:r>
      <w:r w:rsidR="00710B91" w:rsidRPr="00710B91">
        <w:rPr>
          <w:noProof/>
        </w:rPr>
        <w:t xml:space="preserve"> i</w:t>
      </w:r>
      <w:r w:rsidR="00710B91">
        <w:rPr>
          <w:noProof/>
        </w:rPr>
        <w:t> </w:t>
      </w:r>
      <w:r w:rsidR="00710B91" w:rsidRPr="00710B91">
        <w:rPr>
          <w:noProof/>
        </w:rPr>
        <w:t>per</w:t>
      </w:r>
      <w:r w:rsidR="005C2C7A" w:rsidRPr="00710B91">
        <w:rPr>
          <w:noProof/>
        </w:rPr>
        <w:t>sonel na potrzeby wypełnienia obowiązków jego obowiązków</w:t>
      </w:r>
      <w:r w:rsidR="00710B91" w:rsidRPr="00710B91">
        <w:rPr>
          <w:noProof/>
        </w:rPr>
        <w:t xml:space="preserve"> w</w:t>
      </w:r>
      <w:r w:rsidR="00710B91">
        <w:rPr>
          <w:noProof/>
        </w:rPr>
        <w:t> </w:t>
      </w:r>
      <w:r w:rsidR="00710B91" w:rsidRPr="00710B91">
        <w:rPr>
          <w:noProof/>
        </w:rPr>
        <w:t>tym</w:t>
      </w:r>
      <w:r w:rsidR="005C2C7A" w:rsidRPr="00710B91">
        <w:rPr>
          <w:noProof/>
        </w:rPr>
        <w:t xml:space="preserve"> względzie.</w:t>
      </w:r>
    </w:p>
    <w:p w14:paraId="44A7B6ED" w14:textId="7D0A242B" w:rsidR="00493A4A" w:rsidRPr="00710B91" w:rsidRDefault="009A08E9" w:rsidP="009A08E9">
      <w:pPr>
        <w:pStyle w:val="ManualConsidrant"/>
        <w:rPr>
          <w:noProof/>
        </w:rPr>
      </w:pPr>
      <w:r w:rsidRPr="009A08E9">
        <w:t>(22)</w:t>
      </w:r>
      <w:r w:rsidRPr="009A08E9">
        <w:tab/>
      </w:r>
      <w:r w:rsidR="00C4379A" w:rsidRPr="00710B91">
        <w:rPr>
          <w:noProof/>
        </w:rPr>
        <w:t>Aby zapewnić jasny przydział praw</w:t>
      </w:r>
      <w:r w:rsidR="00710B91" w:rsidRPr="00710B91">
        <w:rPr>
          <w:noProof/>
        </w:rPr>
        <w:t xml:space="preserve"> i</w:t>
      </w:r>
      <w:r w:rsidR="00710B91">
        <w:rPr>
          <w:noProof/>
        </w:rPr>
        <w:t> </w:t>
      </w:r>
      <w:r w:rsidR="00710B91" w:rsidRPr="00710B91">
        <w:rPr>
          <w:noProof/>
        </w:rPr>
        <w:t>zad</w:t>
      </w:r>
      <w:r w:rsidR="00C4379A" w:rsidRPr="00710B91">
        <w:rPr>
          <w:noProof/>
        </w:rPr>
        <w:t>ań, należy ustanowić reguły dotyczące obowiązków państw członkowskich, Eurojustu, Europolu, Prokuratury Europejskiej, Europejskiego Urzędu ds. Zwalczania Nadużyć Finansowych (OLAF)</w:t>
      </w:r>
      <w:r w:rsidR="00710B91" w:rsidRPr="00710B91">
        <w:rPr>
          <w:noProof/>
        </w:rPr>
        <w:t xml:space="preserve"> i</w:t>
      </w:r>
      <w:r w:rsidR="00710B91">
        <w:rPr>
          <w:noProof/>
        </w:rPr>
        <w:t> </w:t>
      </w:r>
      <w:r w:rsidR="00710B91" w:rsidRPr="00710B91">
        <w:rPr>
          <w:noProof/>
        </w:rPr>
        <w:t>inn</w:t>
      </w:r>
      <w:r w:rsidR="00C4379A" w:rsidRPr="00710B91">
        <w:rPr>
          <w:noProof/>
        </w:rPr>
        <w:t>ych właściwych organów</w:t>
      </w:r>
      <w:r w:rsidR="00710B91" w:rsidRPr="00710B91">
        <w:rPr>
          <w:noProof/>
        </w:rPr>
        <w:t xml:space="preserve"> i</w:t>
      </w:r>
      <w:r w:rsidR="00710B91">
        <w:rPr>
          <w:noProof/>
        </w:rPr>
        <w:t> </w:t>
      </w:r>
      <w:r w:rsidR="00710B91" w:rsidRPr="00710B91">
        <w:rPr>
          <w:noProof/>
        </w:rPr>
        <w:t>jed</w:t>
      </w:r>
      <w:r w:rsidR="00C4379A" w:rsidRPr="00710B91">
        <w:rPr>
          <w:noProof/>
        </w:rPr>
        <w:t>nostek organizacyjnych Unii,</w:t>
      </w:r>
      <w:r w:rsidR="00710B91" w:rsidRPr="00710B91">
        <w:rPr>
          <w:noProof/>
        </w:rPr>
        <w:t xml:space="preserve"> w</w:t>
      </w:r>
      <w:r w:rsidR="00710B91">
        <w:rPr>
          <w:noProof/>
        </w:rPr>
        <w:t> </w:t>
      </w:r>
      <w:r w:rsidR="00710B91" w:rsidRPr="00710B91">
        <w:rPr>
          <w:noProof/>
        </w:rPr>
        <w:t>tym</w:t>
      </w:r>
      <w:r w:rsidR="00C4379A" w:rsidRPr="00710B91">
        <w:rPr>
          <w:noProof/>
        </w:rPr>
        <w:t xml:space="preserve"> warunków zgodnie</w:t>
      </w:r>
      <w:r w:rsidR="00710B91" w:rsidRPr="00710B91">
        <w:rPr>
          <w:noProof/>
        </w:rPr>
        <w:t xml:space="preserve"> z</w:t>
      </w:r>
      <w:r w:rsidR="00710B91">
        <w:rPr>
          <w:noProof/>
        </w:rPr>
        <w:t> </w:t>
      </w:r>
      <w:r w:rsidR="00710B91" w:rsidRPr="00710B91">
        <w:rPr>
          <w:noProof/>
        </w:rPr>
        <w:t>któ</w:t>
      </w:r>
      <w:r w:rsidR="00C4379A" w:rsidRPr="00710B91">
        <w:rPr>
          <w:noProof/>
        </w:rPr>
        <w:t>rymi mogą one korzystać</w:t>
      </w:r>
      <w:r w:rsidR="00710B91" w:rsidRPr="00710B91">
        <w:rPr>
          <w:noProof/>
        </w:rPr>
        <w:t xml:space="preserve"> z</w:t>
      </w:r>
      <w:r w:rsidR="00710B91">
        <w:rPr>
          <w:noProof/>
        </w:rPr>
        <w:t> </w:t>
      </w:r>
      <w:r w:rsidR="00710B91" w:rsidRPr="00710B91">
        <w:rPr>
          <w:noProof/>
        </w:rPr>
        <w:t>pla</w:t>
      </w:r>
      <w:r w:rsidR="00C4379A" w:rsidRPr="00710B91">
        <w:rPr>
          <w:noProof/>
        </w:rPr>
        <w:t>tformy współpracy zespołów JIT</w:t>
      </w:r>
      <w:r w:rsidR="00710B91" w:rsidRPr="00710B91">
        <w:rPr>
          <w:noProof/>
        </w:rPr>
        <w:t xml:space="preserve"> w</w:t>
      </w:r>
      <w:r w:rsidR="00710B91">
        <w:rPr>
          <w:noProof/>
        </w:rPr>
        <w:t> </w:t>
      </w:r>
      <w:r w:rsidR="00710B91" w:rsidRPr="00710B91">
        <w:rPr>
          <w:noProof/>
        </w:rPr>
        <w:t>cel</w:t>
      </w:r>
      <w:r w:rsidR="00C4379A" w:rsidRPr="00710B91">
        <w:rPr>
          <w:noProof/>
        </w:rPr>
        <w:t>ach operacyjnych.</w:t>
      </w:r>
    </w:p>
    <w:p w14:paraId="2BF2DF7E" w14:textId="517B2A14" w:rsidR="00BD5DC3" w:rsidRPr="00710B91" w:rsidRDefault="009A08E9" w:rsidP="009A08E9">
      <w:pPr>
        <w:pStyle w:val="ManualConsidrant"/>
        <w:rPr>
          <w:noProof/>
        </w:rPr>
      </w:pPr>
      <w:r w:rsidRPr="009A08E9">
        <w:t>(23)</w:t>
      </w:r>
      <w:r w:rsidRPr="009A08E9">
        <w:tab/>
      </w:r>
      <w:r w:rsidR="00390D14" w:rsidRPr="00710B91">
        <w:rPr>
          <w:noProof/>
        </w:rPr>
        <w:t>W niniejszym rozporządzeniu przedstawiono szczegóły dotyczące mandatu, składu</w:t>
      </w:r>
      <w:r w:rsidR="00710B91" w:rsidRPr="00710B91">
        <w:rPr>
          <w:noProof/>
        </w:rPr>
        <w:t xml:space="preserve"> i</w:t>
      </w:r>
      <w:r w:rsidR="00710B91">
        <w:rPr>
          <w:noProof/>
        </w:rPr>
        <w:t> </w:t>
      </w:r>
      <w:r w:rsidR="00710B91" w:rsidRPr="00710B91">
        <w:rPr>
          <w:noProof/>
        </w:rPr>
        <w:t>asp</w:t>
      </w:r>
      <w:r w:rsidR="00390D14" w:rsidRPr="00710B91">
        <w:rPr>
          <w:noProof/>
        </w:rPr>
        <w:t>ektów organizacyjnych Komisji ds. Zarządzania Programem, którą powinien ustanowić zarząd eu-LISA. Komisja ds. Zarządzania Programem powinna zapewniać odpowiednie zarządzanie etapami projektowania</w:t>
      </w:r>
      <w:r w:rsidR="00710B91" w:rsidRPr="00710B91">
        <w:rPr>
          <w:noProof/>
        </w:rPr>
        <w:t xml:space="preserve"> i</w:t>
      </w:r>
      <w:r w:rsidR="00710B91">
        <w:rPr>
          <w:noProof/>
        </w:rPr>
        <w:t> </w:t>
      </w:r>
      <w:r w:rsidR="00710B91" w:rsidRPr="00710B91">
        <w:rPr>
          <w:noProof/>
        </w:rPr>
        <w:t>roz</w:t>
      </w:r>
      <w:r w:rsidR="00390D14" w:rsidRPr="00710B91">
        <w:rPr>
          <w:noProof/>
        </w:rPr>
        <w:t>woju platformy współpracy zespołów JIT. Należy również określić szczegóły dotyczące mandatu, składu</w:t>
      </w:r>
      <w:r w:rsidR="00710B91" w:rsidRPr="00710B91">
        <w:rPr>
          <w:noProof/>
        </w:rPr>
        <w:t xml:space="preserve"> i</w:t>
      </w:r>
      <w:r w:rsidR="00710B91">
        <w:rPr>
          <w:noProof/>
        </w:rPr>
        <w:t> </w:t>
      </w:r>
      <w:r w:rsidR="00710B91" w:rsidRPr="00710B91">
        <w:rPr>
          <w:noProof/>
        </w:rPr>
        <w:t>asp</w:t>
      </w:r>
      <w:r w:rsidR="00390D14" w:rsidRPr="00710B91">
        <w:rPr>
          <w:noProof/>
        </w:rPr>
        <w:t>ektów organizacyjnych grupy doradczej, która ma ustanowić eu-LISA na potrzeby uzyskania wiedzy fachowej</w:t>
      </w:r>
      <w:r w:rsidR="00710B91" w:rsidRPr="00710B91">
        <w:rPr>
          <w:noProof/>
        </w:rPr>
        <w:t xml:space="preserve"> w</w:t>
      </w:r>
      <w:r w:rsidR="00710B91">
        <w:rPr>
          <w:noProof/>
        </w:rPr>
        <w:t> </w:t>
      </w:r>
      <w:r w:rsidR="00710B91" w:rsidRPr="00710B91">
        <w:rPr>
          <w:noProof/>
        </w:rPr>
        <w:t>odn</w:t>
      </w:r>
      <w:r w:rsidR="00390D14" w:rsidRPr="00710B91">
        <w:rPr>
          <w:noProof/>
        </w:rPr>
        <w:t>iesieniu do platformy współpracy zespołów JIT,</w:t>
      </w:r>
      <w:r w:rsidR="00710B91" w:rsidRPr="00710B91">
        <w:rPr>
          <w:noProof/>
        </w:rPr>
        <w:t xml:space="preserve"> w</w:t>
      </w:r>
      <w:r w:rsidR="00710B91">
        <w:rPr>
          <w:noProof/>
        </w:rPr>
        <w:t> </w:t>
      </w:r>
      <w:r w:rsidR="00710B91" w:rsidRPr="00710B91">
        <w:rPr>
          <w:noProof/>
        </w:rPr>
        <w:t>szc</w:t>
      </w:r>
      <w:r w:rsidR="00390D14" w:rsidRPr="00710B91">
        <w:rPr>
          <w:noProof/>
        </w:rPr>
        <w:t>zególności</w:t>
      </w:r>
      <w:r w:rsidR="00710B91" w:rsidRPr="00710B91">
        <w:rPr>
          <w:noProof/>
        </w:rPr>
        <w:t xml:space="preserve"> w</w:t>
      </w:r>
      <w:r w:rsidR="00710B91">
        <w:rPr>
          <w:noProof/>
        </w:rPr>
        <w:t> </w:t>
      </w:r>
      <w:r w:rsidR="00710B91" w:rsidRPr="00710B91">
        <w:rPr>
          <w:noProof/>
        </w:rPr>
        <w:t>kon</w:t>
      </w:r>
      <w:r w:rsidR="00390D14" w:rsidRPr="00710B91">
        <w:rPr>
          <w:noProof/>
        </w:rPr>
        <w:t>tekście przygotowywania rocznego programu prac oraz rocznego sprawozdania</w:t>
      </w:r>
      <w:r w:rsidR="00710B91" w:rsidRPr="00710B91">
        <w:rPr>
          <w:noProof/>
        </w:rPr>
        <w:t xml:space="preserve"> z</w:t>
      </w:r>
      <w:r w:rsidR="00710B91">
        <w:rPr>
          <w:noProof/>
        </w:rPr>
        <w:t> </w:t>
      </w:r>
      <w:r w:rsidR="00710B91" w:rsidRPr="00710B91">
        <w:rPr>
          <w:noProof/>
        </w:rPr>
        <w:t>dzi</w:t>
      </w:r>
      <w:r w:rsidR="00390D14" w:rsidRPr="00710B91">
        <w:rPr>
          <w:noProof/>
        </w:rPr>
        <w:t>ałalności tej grupy.</w:t>
      </w:r>
    </w:p>
    <w:p w14:paraId="58E48B32" w14:textId="3722EA16" w:rsidR="00D0296E" w:rsidRPr="00710B91" w:rsidRDefault="009A08E9" w:rsidP="009A08E9">
      <w:pPr>
        <w:pStyle w:val="ManualConsidrant"/>
        <w:rPr>
          <w:noProof/>
        </w:rPr>
      </w:pPr>
      <w:r w:rsidRPr="009A08E9">
        <w:t>(24)</w:t>
      </w:r>
      <w:r w:rsidRPr="009A08E9">
        <w:tab/>
      </w:r>
      <w:r w:rsidR="009E5224" w:rsidRPr="00710B91">
        <w:rPr>
          <w:noProof/>
        </w:rPr>
        <w:t xml:space="preserve">W niniejszym rozporządzeniu ustanowiono reguły dotyczące dostępu do platformy współpracy zespołów JIT oraz niezbędnych </w:t>
      </w:r>
      <w:r w:rsidR="00620FA0" w:rsidRPr="00710B91">
        <w:rPr>
          <w:noProof/>
        </w:rPr>
        <w:t xml:space="preserve">zabezpieczeń. </w:t>
      </w:r>
      <w:r w:rsidR="009E5224" w:rsidRPr="00710B91">
        <w:rPr>
          <w:noProof/>
        </w:rPr>
        <w:t>Zarządzanie prawami dostępu do przestrzeni współpracy poszczególnych zespołów JIT należy powierzyć administratorowi lub administratorom przestrzeni współpracy zespołu JIT. Powinni oni być odpowiedzialni za udzielanie dostępu użytkownikom platformy współpracy zespołów JIT podczas etapu działań operacyjnych oraz po zakończeniu pracy zespołu JIT. Administratorzy przestrzeni JIT powinni mieć możliwość przekazania swoich obowiązków sekretariatowi JIT.</w:t>
      </w:r>
    </w:p>
    <w:p w14:paraId="52BCD4C1" w14:textId="3948C10D" w:rsidR="00441844" w:rsidRPr="00710B91" w:rsidRDefault="009A08E9" w:rsidP="009A08E9">
      <w:pPr>
        <w:pStyle w:val="ManualConsidrant"/>
        <w:rPr>
          <w:noProof/>
        </w:rPr>
      </w:pPr>
      <w:r w:rsidRPr="009A08E9">
        <w:t>(25)</w:t>
      </w:r>
      <w:r w:rsidRPr="009A08E9">
        <w:tab/>
      </w:r>
      <w:r w:rsidR="00D0296E" w:rsidRPr="00710B91">
        <w:rPr>
          <w:noProof/>
        </w:rPr>
        <w:t>Mając na uwadze wrażliwość danych operacyjnych, jakimi wymieniają się użytkownicy platformy współpracy zespołów JIT, platforma ta powinna gwarantować wysoki poziom bezpieczeństwa. eu-LISA powinna wdrożyć wszelkie niezbędne środki techniczne</w:t>
      </w:r>
      <w:r w:rsidR="00710B91" w:rsidRPr="00710B91">
        <w:rPr>
          <w:noProof/>
        </w:rPr>
        <w:t xml:space="preserve"> i</w:t>
      </w:r>
      <w:r w:rsidR="00710B91">
        <w:rPr>
          <w:noProof/>
        </w:rPr>
        <w:t> </w:t>
      </w:r>
      <w:r w:rsidR="00710B91" w:rsidRPr="00710B91">
        <w:rPr>
          <w:noProof/>
        </w:rPr>
        <w:t>org</w:t>
      </w:r>
      <w:r w:rsidR="00D0296E" w:rsidRPr="00710B91">
        <w:rPr>
          <w:noProof/>
        </w:rPr>
        <w:t>anizacyjne</w:t>
      </w:r>
      <w:r w:rsidR="00710B91" w:rsidRPr="00710B91">
        <w:rPr>
          <w:noProof/>
        </w:rPr>
        <w:t xml:space="preserve"> w</w:t>
      </w:r>
      <w:r w:rsidR="00710B91">
        <w:rPr>
          <w:noProof/>
        </w:rPr>
        <w:t> </w:t>
      </w:r>
      <w:r w:rsidR="00710B91" w:rsidRPr="00710B91">
        <w:rPr>
          <w:noProof/>
        </w:rPr>
        <w:t>cel</w:t>
      </w:r>
      <w:r w:rsidR="00D0296E" w:rsidRPr="00710B91">
        <w:rPr>
          <w:noProof/>
        </w:rPr>
        <w:t>u zapewnienia bezpieczeństwa wymiany danych, stosując silne algorytmy szyfrowania end-to-end do szyfrowania danych podczas przesyłania lub przechowywania.</w:t>
      </w:r>
    </w:p>
    <w:p w14:paraId="313AD6EB" w14:textId="5EFA096F" w:rsidR="00D0296E" w:rsidRPr="00710B91" w:rsidRDefault="009A08E9" w:rsidP="009A08E9">
      <w:pPr>
        <w:pStyle w:val="ManualConsidrant"/>
        <w:rPr>
          <w:noProof/>
        </w:rPr>
      </w:pPr>
      <w:r w:rsidRPr="009A08E9">
        <w:t>(26)</w:t>
      </w:r>
      <w:r w:rsidRPr="009A08E9">
        <w:tab/>
      </w:r>
      <w:r w:rsidR="00D0296E" w:rsidRPr="00710B91">
        <w:rPr>
          <w:noProof/>
        </w:rPr>
        <w:t>W niniejszym rozporządzeniu ustanowiono reguły odpowiedzialności państw członkowskich, eu-LISA, Eurojustu, Europolu, Prokuratury Europejskiej, OLAF-u oraz innych właściwych organów</w:t>
      </w:r>
      <w:r w:rsidR="00710B91" w:rsidRPr="00710B91">
        <w:rPr>
          <w:noProof/>
        </w:rPr>
        <w:t xml:space="preserve"> i</w:t>
      </w:r>
      <w:r w:rsidR="00710B91">
        <w:rPr>
          <w:noProof/>
        </w:rPr>
        <w:t> </w:t>
      </w:r>
      <w:r w:rsidR="00710B91" w:rsidRPr="00710B91">
        <w:rPr>
          <w:noProof/>
        </w:rPr>
        <w:t>jed</w:t>
      </w:r>
      <w:r w:rsidR="00D0296E" w:rsidRPr="00710B91">
        <w:rPr>
          <w:noProof/>
        </w:rPr>
        <w:t>nostek organizacyjnych Unii</w:t>
      </w:r>
      <w:r w:rsidR="00710B91" w:rsidRPr="00710B91">
        <w:rPr>
          <w:noProof/>
        </w:rPr>
        <w:t xml:space="preserve"> w</w:t>
      </w:r>
      <w:r w:rsidR="00710B91">
        <w:rPr>
          <w:noProof/>
        </w:rPr>
        <w:t> </w:t>
      </w:r>
      <w:r w:rsidR="00710B91" w:rsidRPr="00710B91">
        <w:rPr>
          <w:noProof/>
        </w:rPr>
        <w:t>odn</w:t>
      </w:r>
      <w:r w:rsidR="00D0296E" w:rsidRPr="00710B91">
        <w:rPr>
          <w:noProof/>
        </w:rPr>
        <w:t>iesieniu do szkód materialnych lub niematerialnych powstałych</w:t>
      </w:r>
      <w:r w:rsidR="00710B91" w:rsidRPr="00710B91">
        <w:rPr>
          <w:noProof/>
        </w:rPr>
        <w:t xml:space="preserve"> w</w:t>
      </w:r>
      <w:r w:rsidR="00710B91">
        <w:rPr>
          <w:noProof/>
        </w:rPr>
        <w:t> </w:t>
      </w:r>
      <w:r w:rsidR="00710B91" w:rsidRPr="00710B91">
        <w:rPr>
          <w:noProof/>
        </w:rPr>
        <w:t>wyn</w:t>
      </w:r>
      <w:r w:rsidR="00D0296E" w:rsidRPr="00710B91">
        <w:rPr>
          <w:noProof/>
        </w:rPr>
        <w:t>iku wszelkiego działania niezgodnego</w:t>
      </w:r>
      <w:r w:rsidR="00710B91" w:rsidRPr="00710B91">
        <w:rPr>
          <w:noProof/>
        </w:rPr>
        <w:t xml:space="preserve"> z</w:t>
      </w:r>
      <w:r w:rsidR="00710B91">
        <w:rPr>
          <w:noProof/>
        </w:rPr>
        <w:t> </w:t>
      </w:r>
      <w:r w:rsidR="00710B91" w:rsidRPr="00710B91">
        <w:rPr>
          <w:noProof/>
        </w:rPr>
        <w:t>nin</w:t>
      </w:r>
      <w:r w:rsidR="00D0296E" w:rsidRPr="00710B91">
        <w:rPr>
          <w:noProof/>
        </w:rPr>
        <w:t>iejszym rozporządzeniem. Jeżeli chodzi</w:t>
      </w:r>
      <w:r w:rsidR="00710B91" w:rsidRPr="00710B91">
        <w:rPr>
          <w:noProof/>
        </w:rPr>
        <w:t xml:space="preserve"> o</w:t>
      </w:r>
      <w:r w:rsidR="00710B91">
        <w:rPr>
          <w:noProof/>
        </w:rPr>
        <w:t> </w:t>
      </w:r>
      <w:r w:rsidR="00710B91" w:rsidRPr="00710B91">
        <w:rPr>
          <w:noProof/>
        </w:rPr>
        <w:t>pań</w:t>
      </w:r>
      <w:r w:rsidR="00D0296E" w:rsidRPr="00710B91">
        <w:rPr>
          <w:noProof/>
        </w:rPr>
        <w:t>stwa trzecie, klauzule</w:t>
      </w:r>
      <w:r w:rsidR="00710B91" w:rsidRPr="00710B91">
        <w:rPr>
          <w:noProof/>
        </w:rPr>
        <w:t xml:space="preserve"> o</w:t>
      </w:r>
      <w:r w:rsidR="00710B91">
        <w:rPr>
          <w:noProof/>
        </w:rPr>
        <w:t> </w:t>
      </w:r>
      <w:r w:rsidR="00710B91" w:rsidRPr="00710B91">
        <w:rPr>
          <w:noProof/>
        </w:rPr>
        <w:t>odp</w:t>
      </w:r>
      <w:r w:rsidR="00D0296E" w:rsidRPr="00710B91">
        <w:rPr>
          <w:noProof/>
        </w:rPr>
        <w:t>owiedzialności</w:t>
      </w:r>
      <w:r w:rsidR="00710B91" w:rsidRPr="00710B91">
        <w:rPr>
          <w:noProof/>
        </w:rPr>
        <w:t xml:space="preserve"> w</w:t>
      </w:r>
      <w:r w:rsidR="00710B91">
        <w:rPr>
          <w:noProof/>
        </w:rPr>
        <w:t> </w:t>
      </w:r>
      <w:r w:rsidR="00710B91" w:rsidRPr="00710B91">
        <w:rPr>
          <w:noProof/>
        </w:rPr>
        <w:t>odn</w:t>
      </w:r>
      <w:r w:rsidR="00D0296E" w:rsidRPr="00710B91">
        <w:rPr>
          <w:noProof/>
        </w:rPr>
        <w:t>iesieniu do szkód materialnych lub niematerialnych powinny być zawarte</w:t>
      </w:r>
      <w:r w:rsidR="00710B91" w:rsidRPr="00710B91">
        <w:rPr>
          <w:noProof/>
        </w:rPr>
        <w:t xml:space="preserve"> w</w:t>
      </w:r>
      <w:r w:rsidR="00710B91">
        <w:rPr>
          <w:noProof/>
        </w:rPr>
        <w:t> </w:t>
      </w:r>
      <w:r w:rsidR="00710B91" w:rsidRPr="00710B91">
        <w:rPr>
          <w:noProof/>
        </w:rPr>
        <w:t>odp</w:t>
      </w:r>
      <w:r w:rsidR="00D0296E" w:rsidRPr="00710B91">
        <w:rPr>
          <w:noProof/>
        </w:rPr>
        <w:t>owiednich umowach o JIT.</w:t>
      </w:r>
    </w:p>
    <w:p w14:paraId="3953B0F1" w14:textId="24C970D3" w:rsidR="00C61DB6" w:rsidRPr="00710B91" w:rsidRDefault="009A08E9" w:rsidP="009A08E9">
      <w:pPr>
        <w:pStyle w:val="ManualConsidrant"/>
        <w:rPr>
          <w:noProof/>
        </w:rPr>
      </w:pPr>
      <w:r w:rsidRPr="009A08E9">
        <w:t>(27)</w:t>
      </w:r>
      <w:r w:rsidRPr="009A08E9">
        <w:tab/>
      </w:r>
      <w:r w:rsidR="00C61DB6" w:rsidRPr="00710B91">
        <w:rPr>
          <w:noProof/>
        </w:rPr>
        <w:t>Niniejsze rozporządzenie przewiduje ponadto szczegółowe przepisy dotyczące ochrony danych – zarówno danych operacyjnych, jak</w:t>
      </w:r>
      <w:r w:rsidR="00710B91" w:rsidRPr="00710B91">
        <w:rPr>
          <w:noProof/>
        </w:rPr>
        <w:t xml:space="preserve"> i</w:t>
      </w:r>
      <w:r w:rsidR="00710B91">
        <w:rPr>
          <w:noProof/>
        </w:rPr>
        <w:t> </w:t>
      </w:r>
      <w:r w:rsidR="00710B91" w:rsidRPr="00710B91">
        <w:rPr>
          <w:noProof/>
        </w:rPr>
        <w:t>nie</w:t>
      </w:r>
      <w:r w:rsidR="00C61DB6" w:rsidRPr="00710B91">
        <w:rPr>
          <w:noProof/>
        </w:rPr>
        <w:t>operacyjnych – konieczne</w:t>
      </w:r>
      <w:r w:rsidR="00710B91" w:rsidRPr="00710B91">
        <w:rPr>
          <w:noProof/>
        </w:rPr>
        <w:t xml:space="preserve"> w</w:t>
      </w:r>
      <w:r w:rsidR="00710B91">
        <w:rPr>
          <w:noProof/>
        </w:rPr>
        <w:t> </w:t>
      </w:r>
      <w:r w:rsidR="00710B91" w:rsidRPr="00710B91">
        <w:rPr>
          <w:noProof/>
        </w:rPr>
        <w:t>cel</w:t>
      </w:r>
      <w:r w:rsidR="00C61DB6" w:rsidRPr="00710B91">
        <w:rPr>
          <w:noProof/>
        </w:rPr>
        <w:t>u uzupełnienia istniejących rozwiązań</w:t>
      </w:r>
      <w:r w:rsidR="00710B91" w:rsidRPr="00710B91">
        <w:rPr>
          <w:noProof/>
        </w:rPr>
        <w:t xml:space="preserve"> w</w:t>
      </w:r>
      <w:r w:rsidR="00710B91">
        <w:rPr>
          <w:noProof/>
        </w:rPr>
        <w:t> </w:t>
      </w:r>
      <w:r w:rsidR="00710B91" w:rsidRPr="00710B91">
        <w:rPr>
          <w:noProof/>
        </w:rPr>
        <w:t>zak</w:t>
      </w:r>
      <w:r w:rsidR="00C61DB6" w:rsidRPr="00710B91">
        <w:rPr>
          <w:noProof/>
        </w:rPr>
        <w:t>resie ochrony danych oraz zapewnienia właściwego ogólnego poziomu ochrony danych, bezpieczeństwa danych</w:t>
      </w:r>
      <w:r w:rsidR="00710B91" w:rsidRPr="00710B91">
        <w:rPr>
          <w:noProof/>
        </w:rPr>
        <w:t xml:space="preserve"> i</w:t>
      </w:r>
      <w:r w:rsidR="00710B91">
        <w:rPr>
          <w:noProof/>
        </w:rPr>
        <w:t> </w:t>
      </w:r>
      <w:r w:rsidR="00710B91" w:rsidRPr="00710B91">
        <w:rPr>
          <w:noProof/>
        </w:rPr>
        <w:t>och</w:t>
      </w:r>
      <w:r w:rsidR="00C61DB6" w:rsidRPr="00710B91">
        <w:rPr>
          <w:noProof/>
        </w:rPr>
        <w:t>rony praw podstawowych osób, których dane dotyczą.</w:t>
      </w:r>
    </w:p>
    <w:p w14:paraId="5AB7D089" w14:textId="10C305FD" w:rsidR="00C61DB6" w:rsidRPr="00710B91" w:rsidRDefault="009A08E9" w:rsidP="009A08E9">
      <w:pPr>
        <w:pStyle w:val="ManualConsidrant"/>
        <w:rPr>
          <w:noProof/>
        </w:rPr>
      </w:pPr>
      <w:r w:rsidRPr="009A08E9">
        <w:t>(28)</w:t>
      </w:r>
      <w:r w:rsidRPr="009A08E9">
        <w:tab/>
      </w:r>
      <w:r w:rsidR="00C61DB6" w:rsidRPr="00710B91">
        <w:rPr>
          <w:noProof/>
        </w:rPr>
        <w:t>Dyrektywa Parlamentu Europejskiego</w:t>
      </w:r>
      <w:r w:rsidR="00710B91" w:rsidRPr="00710B91">
        <w:rPr>
          <w:noProof/>
        </w:rPr>
        <w:t xml:space="preserve"> i</w:t>
      </w:r>
      <w:r w:rsidR="00710B91">
        <w:rPr>
          <w:noProof/>
        </w:rPr>
        <w:t> </w:t>
      </w:r>
      <w:r w:rsidR="00710B91" w:rsidRPr="00710B91">
        <w:rPr>
          <w:noProof/>
        </w:rPr>
        <w:t>Rad</w:t>
      </w:r>
      <w:r w:rsidR="00C61DB6" w:rsidRPr="00710B91">
        <w:rPr>
          <w:noProof/>
        </w:rPr>
        <w:t>y (UE) 2016/680</w:t>
      </w:r>
      <w:r w:rsidR="00C61DB6" w:rsidRPr="00710B91">
        <w:rPr>
          <w:rStyle w:val="FootnoteReference"/>
          <w:noProof/>
        </w:rPr>
        <w:footnoteReference w:id="26"/>
      </w:r>
      <w:r w:rsidR="00C61DB6" w:rsidRPr="00710B91">
        <w:rPr>
          <w:noProof/>
        </w:rPr>
        <w:t xml:space="preserve"> ma zastosowanie do przetwarzania danych osobowych przez właściwe organy krajowe do celów zapobiegania przestępczości, prowadzenia postępowań przygotowawczych, wykrywania</w:t>
      </w:r>
      <w:r w:rsidR="00710B91" w:rsidRPr="00710B91">
        <w:rPr>
          <w:noProof/>
        </w:rPr>
        <w:t xml:space="preserve"> i</w:t>
      </w:r>
      <w:r w:rsidR="00710B91">
        <w:rPr>
          <w:noProof/>
        </w:rPr>
        <w:t> </w:t>
      </w:r>
      <w:r w:rsidR="00710B91" w:rsidRPr="00710B91">
        <w:rPr>
          <w:noProof/>
        </w:rPr>
        <w:t>ści</w:t>
      </w:r>
      <w:r w:rsidR="00C61DB6" w:rsidRPr="00710B91">
        <w:rPr>
          <w:noProof/>
        </w:rPr>
        <w:t>gania czynów zabronionych</w:t>
      </w:r>
      <w:r w:rsidR="00710B91" w:rsidRPr="00710B91">
        <w:rPr>
          <w:noProof/>
        </w:rPr>
        <w:t xml:space="preserve"> i</w:t>
      </w:r>
      <w:r w:rsidR="00710B91">
        <w:rPr>
          <w:noProof/>
        </w:rPr>
        <w:t> </w:t>
      </w:r>
      <w:r w:rsidR="00710B91" w:rsidRPr="00710B91">
        <w:rPr>
          <w:noProof/>
        </w:rPr>
        <w:t>wyk</w:t>
      </w:r>
      <w:r w:rsidR="00C61DB6" w:rsidRPr="00710B91">
        <w:rPr>
          <w:noProof/>
        </w:rPr>
        <w:t>onywania kar,</w:t>
      </w:r>
      <w:r w:rsidR="00710B91" w:rsidRPr="00710B91">
        <w:rPr>
          <w:noProof/>
        </w:rPr>
        <w:t xml:space="preserve"> w</w:t>
      </w:r>
      <w:r w:rsidR="00710B91">
        <w:rPr>
          <w:noProof/>
        </w:rPr>
        <w:t> </w:t>
      </w:r>
      <w:r w:rsidR="00710B91" w:rsidRPr="00710B91">
        <w:rPr>
          <w:noProof/>
        </w:rPr>
        <w:t>tym</w:t>
      </w:r>
      <w:r w:rsidR="00C61DB6" w:rsidRPr="00710B91">
        <w:rPr>
          <w:noProof/>
        </w:rPr>
        <w:t xml:space="preserve"> ochrony przed zagrożeniami dla bezpieczeństwa publicznego</w:t>
      </w:r>
      <w:r w:rsidR="00710B91" w:rsidRPr="00710B91">
        <w:rPr>
          <w:noProof/>
        </w:rPr>
        <w:t xml:space="preserve"> i</w:t>
      </w:r>
      <w:r w:rsidR="00710B91">
        <w:rPr>
          <w:noProof/>
        </w:rPr>
        <w:t> </w:t>
      </w:r>
      <w:r w:rsidR="00710B91" w:rsidRPr="00710B91">
        <w:rPr>
          <w:noProof/>
        </w:rPr>
        <w:t>zap</w:t>
      </w:r>
      <w:r w:rsidR="00C61DB6" w:rsidRPr="00710B91">
        <w:rPr>
          <w:noProof/>
        </w:rPr>
        <w:t>obiegania takim zagrożeniom. Jeżeli chodzi</w:t>
      </w:r>
      <w:r w:rsidR="00710B91" w:rsidRPr="00710B91">
        <w:rPr>
          <w:noProof/>
        </w:rPr>
        <w:t xml:space="preserve"> o</w:t>
      </w:r>
      <w:r w:rsidR="00710B91">
        <w:rPr>
          <w:noProof/>
        </w:rPr>
        <w:t> </w:t>
      </w:r>
      <w:r w:rsidR="00710B91" w:rsidRPr="00710B91">
        <w:rPr>
          <w:noProof/>
        </w:rPr>
        <w:t>prz</w:t>
      </w:r>
      <w:r w:rsidR="00C61DB6" w:rsidRPr="00710B91">
        <w:rPr>
          <w:noProof/>
        </w:rPr>
        <w:t>etwarzanie danych przez instytucje, organy</w:t>
      </w:r>
      <w:r w:rsidR="00710B91" w:rsidRPr="00710B91">
        <w:rPr>
          <w:noProof/>
        </w:rPr>
        <w:t xml:space="preserve"> i</w:t>
      </w:r>
      <w:r w:rsidR="00710B91">
        <w:rPr>
          <w:noProof/>
        </w:rPr>
        <w:t> </w:t>
      </w:r>
      <w:r w:rsidR="00710B91" w:rsidRPr="00710B91">
        <w:rPr>
          <w:noProof/>
        </w:rPr>
        <w:t>jed</w:t>
      </w:r>
      <w:r w:rsidR="00C61DB6" w:rsidRPr="00710B91">
        <w:rPr>
          <w:noProof/>
        </w:rPr>
        <w:t>nostki organizacyjne Unii,</w:t>
      </w:r>
      <w:r w:rsidR="00710B91" w:rsidRPr="00710B91">
        <w:rPr>
          <w:noProof/>
        </w:rPr>
        <w:t xml:space="preserve"> w</w:t>
      </w:r>
      <w:r w:rsidR="00710B91">
        <w:rPr>
          <w:noProof/>
        </w:rPr>
        <w:t> </w:t>
      </w:r>
      <w:r w:rsidR="00710B91" w:rsidRPr="00710B91">
        <w:rPr>
          <w:noProof/>
        </w:rPr>
        <w:t>kon</w:t>
      </w:r>
      <w:r w:rsidR="00C61DB6" w:rsidRPr="00710B91">
        <w:rPr>
          <w:noProof/>
        </w:rPr>
        <w:t>tekście niniejszego rozporządzenia powinno mieć zastosowanie rozporządzenie Parlamentu Europejskiego</w:t>
      </w:r>
      <w:r w:rsidR="00710B91" w:rsidRPr="00710B91">
        <w:rPr>
          <w:noProof/>
        </w:rPr>
        <w:t xml:space="preserve"> i</w:t>
      </w:r>
      <w:r w:rsidR="00710B91">
        <w:rPr>
          <w:noProof/>
        </w:rPr>
        <w:t> </w:t>
      </w:r>
      <w:r w:rsidR="00710B91" w:rsidRPr="00710B91">
        <w:rPr>
          <w:noProof/>
        </w:rPr>
        <w:t>Rad</w:t>
      </w:r>
      <w:r w:rsidR="00C61DB6" w:rsidRPr="00710B91">
        <w:rPr>
          <w:noProof/>
        </w:rPr>
        <w:t>y (UE) 2018/1725</w:t>
      </w:r>
      <w:r w:rsidR="00C61DB6" w:rsidRPr="00710B91">
        <w:rPr>
          <w:rStyle w:val="FootnoteReference"/>
          <w:noProof/>
          <w:szCs w:val="24"/>
        </w:rPr>
        <w:footnoteReference w:id="27"/>
      </w:r>
      <w:r w:rsidR="00C61DB6" w:rsidRPr="00710B91">
        <w:rPr>
          <w:noProof/>
        </w:rPr>
        <w:t xml:space="preserve">. </w:t>
      </w:r>
    </w:p>
    <w:p w14:paraId="58C80071" w14:textId="1101E536" w:rsidR="00C61DB6" w:rsidRPr="00710B91" w:rsidRDefault="009A08E9" w:rsidP="009A08E9">
      <w:pPr>
        <w:pStyle w:val="ManualConsidrant"/>
        <w:rPr>
          <w:noProof/>
        </w:rPr>
      </w:pPr>
      <w:r w:rsidRPr="009A08E9">
        <w:t>(29)</w:t>
      </w:r>
      <w:r w:rsidRPr="009A08E9">
        <w:tab/>
      </w:r>
      <w:r w:rsidR="00C61DB6" w:rsidRPr="00710B91">
        <w:rPr>
          <w:noProof/>
        </w:rPr>
        <w:t>W stosownych przypadkach administratorzy przestrzeni JIT powinni mieć możliwość udzielenia dostępu do przestrzeni współpracy zespołu JIT państwom trzecim będącym stronami umowy o JIT. Wszelkie przekazywanie danych osobowych do państw trzecich lub organizacji międzynarodowych</w:t>
      </w:r>
      <w:r w:rsidR="00710B91" w:rsidRPr="00710B91">
        <w:rPr>
          <w:noProof/>
        </w:rPr>
        <w:t xml:space="preserve"> w</w:t>
      </w:r>
      <w:r w:rsidR="00710B91">
        <w:rPr>
          <w:noProof/>
        </w:rPr>
        <w:t> </w:t>
      </w:r>
      <w:r w:rsidR="00710B91" w:rsidRPr="00710B91">
        <w:rPr>
          <w:noProof/>
        </w:rPr>
        <w:t>kon</w:t>
      </w:r>
      <w:r w:rsidR="00C61DB6" w:rsidRPr="00710B91">
        <w:rPr>
          <w:noProof/>
        </w:rPr>
        <w:t>tekście procedury umowy o JIT odbywa się pod warunkiem przestrzegania przepisów określonych</w:t>
      </w:r>
      <w:r w:rsidR="00710B91" w:rsidRPr="00710B91">
        <w:rPr>
          <w:noProof/>
        </w:rPr>
        <w:t xml:space="preserve"> w</w:t>
      </w:r>
      <w:r w:rsidR="00710B91">
        <w:rPr>
          <w:noProof/>
        </w:rPr>
        <w:t> </w:t>
      </w:r>
      <w:r w:rsidR="00710B91" w:rsidRPr="00710B91">
        <w:rPr>
          <w:noProof/>
        </w:rPr>
        <w:t>roz</w:t>
      </w:r>
      <w:r w:rsidR="00C61DB6" w:rsidRPr="00710B91">
        <w:rPr>
          <w:noProof/>
        </w:rPr>
        <w:t>dziale V dyrektywy (UE) 2016/680. Wymiany danych operacyjnych</w:t>
      </w:r>
      <w:r w:rsidR="00710B91" w:rsidRPr="00710B91">
        <w:rPr>
          <w:noProof/>
        </w:rPr>
        <w:t xml:space="preserve"> z</w:t>
      </w:r>
      <w:r w:rsidR="00710B91">
        <w:rPr>
          <w:noProof/>
        </w:rPr>
        <w:t> </w:t>
      </w:r>
      <w:r w:rsidR="00710B91" w:rsidRPr="00710B91">
        <w:rPr>
          <w:noProof/>
        </w:rPr>
        <w:t>pań</w:t>
      </w:r>
      <w:r w:rsidR="00C61DB6" w:rsidRPr="00710B91">
        <w:rPr>
          <w:noProof/>
        </w:rPr>
        <w:t>stwami trzecimi powinny być ograniczone do wymiany danych niezbędnych na potrzeby wypełnienia celów umowy o JIT.</w:t>
      </w:r>
    </w:p>
    <w:p w14:paraId="0BC5E5BE" w14:textId="006DD7F1" w:rsidR="009E050B" w:rsidRPr="00710B91" w:rsidRDefault="009A08E9" w:rsidP="009A08E9">
      <w:pPr>
        <w:pStyle w:val="ManualConsidrant"/>
        <w:rPr>
          <w:noProof/>
        </w:rPr>
      </w:pPr>
      <w:r w:rsidRPr="009A08E9">
        <w:t>(30)</w:t>
      </w:r>
      <w:r w:rsidRPr="009A08E9">
        <w:tab/>
      </w:r>
      <w:r w:rsidR="006E16B8" w:rsidRPr="00710B91">
        <w:rPr>
          <w:noProof/>
        </w:rPr>
        <w:t>W każdym przypadku zamieszczania przez państwo trzecie informacji operacyjnych lub dowodów</w:t>
      </w:r>
      <w:r w:rsidR="00710B91" w:rsidRPr="00710B91">
        <w:rPr>
          <w:noProof/>
        </w:rPr>
        <w:t xml:space="preserve"> w</w:t>
      </w:r>
      <w:r w:rsidR="00710B91">
        <w:rPr>
          <w:noProof/>
        </w:rPr>
        <w:t> </w:t>
      </w:r>
      <w:r w:rsidR="00710B91" w:rsidRPr="00710B91">
        <w:rPr>
          <w:noProof/>
        </w:rPr>
        <w:t>prz</w:t>
      </w:r>
      <w:r w:rsidR="006E16B8" w:rsidRPr="00710B91">
        <w:rPr>
          <w:noProof/>
        </w:rPr>
        <w:t>estrzeni współpracy zespołu JIT administrator przestrzeni JIT powinien zweryfikować, czy takie informacje lub dowody przekazywane są na potrzeby wypełnienia celów umowy o JIT, zanim możliwe będzie ich pobranie przez innych użytkowników platformy.</w:t>
      </w:r>
    </w:p>
    <w:p w14:paraId="420B52B6" w14:textId="291AB3BB" w:rsidR="00A0346D" w:rsidRPr="00710B91" w:rsidRDefault="009A08E9" w:rsidP="009A08E9">
      <w:pPr>
        <w:pStyle w:val="ManualConsidrant"/>
        <w:rPr>
          <w:noProof/>
        </w:rPr>
      </w:pPr>
      <w:r w:rsidRPr="009A08E9">
        <w:t>(31)</w:t>
      </w:r>
      <w:r w:rsidRPr="009A08E9">
        <w:tab/>
      </w:r>
      <w:r w:rsidR="00AD2FC4" w:rsidRPr="00710B91">
        <w:rPr>
          <w:noProof/>
        </w:rPr>
        <w:t>W przypadku gdy zespół JIT ma wielu administratorów przestrzeni JIT, powinni oni, niezwłocznie po ustanowieniu przestrzeni współpracy zespołu JIT obejmującej państwa trzecie, uzgodnić między sobą, że jeden</w:t>
      </w:r>
      <w:r w:rsidR="00710B91" w:rsidRPr="00710B91">
        <w:rPr>
          <w:noProof/>
        </w:rPr>
        <w:t xml:space="preserve"> z</w:t>
      </w:r>
      <w:r w:rsidR="00710B91">
        <w:rPr>
          <w:noProof/>
        </w:rPr>
        <w:t> </w:t>
      </w:r>
      <w:r w:rsidR="00710B91" w:rsidRPr="00710B91">
        <w:rPr>
          <w:noProof/>
        </w:rPr>
        <w:t>nic</w:t>
      </w:r>
      <w:r w:rsidR="00AD2FC4" w:rsidRPr="00710B91">
        <w:rPr>
          <w:noProof/>
        </w:rPr>
        <w:t>h będzie administratorem danych zamieszczanych przez te państwa trzecie.</w:t>
      </w:r>
    </w:p>
    <w:p w14:paraId="4770DBCB" w14:textId="7900A72F" w:rsidR="004D6540" w:rsidRPr="00710B91" w:rsidRDefault="009A08E9" w:rsidP="009A08E9">
      <w:pPr>
        <w:pStyle w:val="ManualConsidrant"/>
        <w:rPr>
          <w:noProof/>
        </w:rPr>
      </w:pPr>
      <w:r w:rsidRPr="009A08E9">
        <w:t>(32)</w:t>
      </w:r>
      <w:r w:rsidRPr="009A08E9">
        <w:tab/>
      </w:r>
      <w:r w:rsidR="004F40F5" w:rsidRPr="00710B91">
        <w:rPr>
          <w:noProof/>
        </w:rPr>
        <w:t>eu-LISA powinna zapewnić, aby uzyskiwanie dostępu do scentralizowanego systemu informacyjnego oraz wszystkie operacje przetwarzania danych</w:t>
      </w:r>
      <w:r w:rsidR="00710B91" w:rsidRPr="00710B91">
        <w:rPr>
          <w:noProof/>
        </w:rPr>
        <w:t xml:space="preserve"> w</w:t>
      </w:r>
      <w:r w:rsidR="00710B91">
        <w:rPr>
          <w:noProof/>
        </w:rPr>
        <w:t> </w:t>
      </w:r>
      <w:r w:rsidR="00710B91" w:rsidRPr="00710B91">
        <w:rPr>
          <w:noProof/>
        </w:rPr>
        <w:t>sce</w:t>
      </w:r>
      <w:r w:rsidR="004F40F5" w:rsidRPr="00710B91">
        <w:rPr>
          <w:noProof/>
        </w:rPr>
        <w:t>ntralizowanym systemie informacyjnym były zapisywane</w:t>
      </w:r>
      <w:r w:rsidR="00710B91" w:rsidRPr="00710B91">
        <w:rPr>
          <w:noProof/>
        </w:rPr>
        <w:t xml:space="preserve"> w</w:t>
      </w:r>
      <w:r w:rsidR="00710B91">
        <w:rPr>
          <w:noProof/>
        </w:rPr>
        <w:t> </w:t>
      </w:r>
      <w:r w:rsidR="00710B91" w:rsidRPr="00710B91">
        <w:rPr>
          <w:noProof/>
        </w:rPr>
        <w:t>dzi</w:t>
      </w:r>
      <w:r w:rsidR="004F40F5" w:rsidRPr="00710B91">
        <w:rPr>
          <w:noProof/>
        </w:rPr>
        <w:t>enniku</w:t>
      </w:r>
      <w:r w:rsidR="00710B91" w:rsidRPr="00710B91">
        <w:rPr>
          <w:noProof/>
        </w:rPr>
        <w:t xml:space="preserve"> w</w:t>
      </w:r>
      <w:r w:rsidR="00710B91">
        <w:rPr>
          <w:noProof/>
        </w:rPr>
        <w:t> </w:t>
      </w:r>
      <w:r w:rsidR="00710B91" w:rsidRPr="00710B91">
        <w:rPr>
          <w:noProof/>
        </w:rPr>
        <w:t>cel</w:t>
      </w:r>
      <w:r w:rsidR="004F40F5" w:rsidRPr="00710B91">
        <w:rPr>
          <w:noProof/>
        </w:rPr>
        <w:t>u monitorowania integralności</w:t>
      </w:r>
      <w:r w:rsidR="00710B91" w:rsidRPr="00710B91">
        <w:rPr>
          <w:noProof/>
        </w:rPr>
        <w:t xml:space="preserve"> i</w:t>
      </w:r>
      <w:r w:rsidR="00710B91">
        <w:rPr>
          <w:noProof/>
        </w:rPr>
        <w:t> </w:t>
      </w:r>
      <w:r w:rsidR="00710B91" w:rsidRPr="00710B91">
        <w:rPr>
          <w:noProof/>
        </w:rPr>
        <w:t>bez</w:t>
      </w:r>
      <w:r w:rsidR="004F40F5" w:rsidRPr="00710B91">
        <w:rPr>
          <w:noProof/>
        </w:rPr>
        <w:t xml:space="preserve">pieczeństwa danych, legalności przetwarzania danych, jak również na potrzeby monitorowania własnej działalności. </w:t>
      </w:r>
    </w:p>
    <w:p w14:paraId="4FACE61E" w14:textId="061BF131" w:rsidR="0061713F" w:rsidRPr="00710B91" w:rsidRDefault="009A08E9" w:rsidP="009A08E9">
      <w:pPr>
        <w:pStyle w:val="ManualConsidrant"/>
        <w:rPr>
          <w:noProof/>
        </w:rPr>
      </w:pPr>
      <w:r w:rsidRPr="009A08E9">
        <w:t>(33)</w:t>
      </w:r>
      <w:r w:rsidRPr="009A08E9">
        <w:tab/>
      </w:r>
      <w:r w:rsidR="00A0346D" w:rsidRPr="00710B91">
        <w:rPr>
          <w:noProof/>
        </w:rPr>
        <w:t>Niniejsze rozporządzenie nakłada na eu-LISA obowiązki sprawozdawcze dotyczące rozwoju</w:t>
      </w:r>
      <w:r w:rsidR="00710B91" w:rsidRPr="00710B91">
        <w:rPr>
          <w:noProof/>
        </w:rPr>
        <w:t xml:space="preserve"> i</w:t>
      </w:r>
      <w:r w:rsidR="00710B91">
        <w:rPr>
          <w:noProof/>
        </w:rPr>
        <w:t> </w:t>
      </w:r>
      <w:r w:rsidR="00710B91" w:rsidRPr="00710B91">
        <w:rPr>
          <w:noProof/>
        </w:rPr>
        <w:t>fun</w:t>
      </w:r>
      <w:r w:rsidR="00A0346D" w:rsidRPr="00710B91">
        <w:rPr>
          <w:noProof/>
        </w:rPr>
        <w:t>kcjonowania platformy współpracy zespołów JIT</w:t>
      </w:r>
      <w:r w:rsidR="00710B91" w:rsidRPr="00710B91">
        <w:rPr>
          <w:noProof/>
        </w:rPr>
        <w:t xml:space="preserve"> w</w:t>
      </w:r>
      <w:r w:rsidR="00710B91">
        <w:rPr>
          <w:noProof/>
        </w:rPr>
        <w:t> </w:t>
      </w:r>
      <w:r w:rsidR="00710B91" w:rsidRPr="00710B91">
        <w:rPr>
          <w:noProof/>
        </w:rPr>
        <w:t>świ</w:t>
      </w:r>
      <w:r w:rsidR="00A0346D" w:rsidRPr="00710B91">
        <w:rPr>
          <w:noProof/>
        </w:rPr>
        <w:t>etle celów odnoszących się do planowania, rezultatów technicznych, efektywności kosztowej, bezpieczeństwa</w:t>
      </w:r>
      <w:r w:rsidR="00710B91" w:rsidRPr="00710B91">
        <w:rPr>
          <w:noProof/>
        </w:rPr>
        <w:t xml:space="preserve"> i</w:t>
      </w:r>
      <w:r w:rsidR="00710B91">
        <w:rPr>
          <w:noProof/>
        </w:rPr>
        <w:t> </w:t>
      </w:r>
      <w:r w:rsidR="00710B91" w:rsidRPr="00710B91">
        <w:rPr>
          <w:noProof/>
        </w:rPr>
        <w:t>jak</w:t>
      </w:r>
      <w:r w:rsidR="00A0346D" w:rsidRPr="00710B91">
        <w:rPr>
          <w:noProof/>
        </w:rPr>
        <w:t>ości usług. Ponadto cztery lata po uruchomieniu platformy współpracy zespołów JIT,</w:t>
      </w:r>
      <w:r w:rsidR="00710B91" w:rsidRPr="00710B91">
        <w:rPr>
          <w:noProof/>
        </w:rPr>
        <w:t xml:space="preserve"> a</w:t>
      </w:r>
      <w:r w:rsidR="00710B91">
        <w:rPr>
          <w:noProof/>
        </w:rPr>
        <w:t> </w:t>
      </w:r>
      <w:r w:rsidR="00710B91" w:rsidRPr="00710B91">
        <w:rPr>
          <w:noProof/>
        </w:rPr>
        <w:t>nas</w:t>
      </w:r>
      <w:r w:rsidR="00A0346D" w:rsidRPr="00710B91">
        <w:rPr>
          <w:noProof/>
        </w:rPr>
        <w:t>tępnie co cztery lata Komisja powinna przeprowadzić ogólną ocenę platformy współpracy zespołów JIT.</w:t>
      </w:r>
    </w:p>
    <w:p w14:paraId="3704F1E7" w14:textId="2B480CB3" w:rsidR="00AE5BAA" w:rsidRPr="00710B91" w:rsidRDefault="009A08E9" w:rsidP="009A08E9">
      <w:pPr>
        <w:pStyle w:val="ManualConsidrant"/>
        <w:rPr>
          <w:noProof/>
        </w:rPr>
      </w:pPr>
      <w:r w:rsidRPr="009A08E9">
        <w:t>(34)</w:t>
      </w:r>
      <w:r w:rsidRPr="009A08E9">
        <w:tab/>
      </w:r>
      <w:r w:rsidR="009E050B" w:rsidRPr="00710B91">
        <w:rPr>
          <w:noProof/>
        </w:rPr>
        <w:t>Każde państwo członkowskie,</w:t>
      </w:r>
      <w:r w:rsidR="00710B91" w:rsidRPr="00710B91">
        <w:rPr>
          <w:noProof/>
        </w:rPr>
        <w:t xml:space="preserve"> a</w:t>
      </w:r>
      <w:r w:rsidR="00710B91">
        <w:rPr>
          <w:noProof/>
        </w:rPr>
        <w:t> </w:t>
      </w:r>
      <w:r w:rsidR="00710B91" w:rsidRPr="00710B91">
        <w:rPr>
          <w:noProof/>
        </w:rPr>
        <w:t>tak</w:t>
      </w:r>
      <w:r w:rsidR="009E050B" w:rsidRPr="00710B91">
        <w:rPr>
          <w:noProof/>
        </w:rPr>
        <w:t>że Eurojust, Europol, Prokuratura Europejska, OLAF oraz wszelkie inne właściwe organy</w:t>
      </w:r>
      <w:r w:rsidR="00710B91" w:rsidRPr="00710B91">
        <w:rPr>
          <w:noProof/>
        </w:rPr>
        <w:t xml:space="preserve"> i</w:t>
      </w:r>
      <w:r w:rsidR="00710B91">
        <w:rPr>
          <w:noProof/>
        </w:rPr>
        <w:t> </w:t>
      </w:r>
      <w:r w:rsidR="00710B91" w:rsidRPr="00710B91">
        <w:rPr>
          <w:noProof/>
        </w:rPr>
        <w:t>jed</w:t>
      </w:r>
      <w:r w:rsidR="009E050B" w:rsidRPr="00710B91">
        <w:rPr>
          <w:noProof/>
        </w:rPr>
        <w:t>nostki organizacyjne Unii powinny ponosić własne koszty wynikające użytkowania platformy współpracy zespołów JIT.</w:t>
      </w:r>
    </w:p>
    <w:p w14:paraId="53C0FF10" w14:textId="75ADE571" w:rsidR="00AE5BAA" w:rsidRPr="00710B91" w:rsidRDefault="009A08E9" w:rsidP="009A08E9">
      <w:pPr>
        <w:pStyle w:val="ManualConsidrant"/>
        <w:rPr>
          <w:noProof/>
        </w:rPr>
      </w:pPr>
      <w:r w:rsidRPr="009A08E9">
        <w:t>(35)</w:t>
      </w:r>
      <w:r w:rsidRPr="009A08E9">
        <w:tab/>
      </w:r>
      <w:r w:rsidR="00AE5BAA" w:rsidRPr="00710B91">
        <w:rPr>
          <w:noProof/>
        </w:rPr>
        <w:t>Aby ustanowić warunki dla rozwoju technicznego</w:t>
      </w:r>
      <w:r w:rsidR="00710B91" w:rsidRPr="00710B91">
        <w:rPr>
          <w:noProof/>
        </w:rPr>
        <w:t xml:space="preserve"> i</w:t>
      </w:r>
      <w:r w:rsidR="00710B91">
        <w:rPr>
          <w:noProof/>
        </w:rPr>
        <w:t> </w:t>
      </w:r>
      <w:r w:rsidR="00710B91" w:rsidRPr="00710B91">
        <w:rPr>
          <w:noProof/>
        </w:rPr>
        <w:t>wdr</w:t>
      </w:r>
      <w:r w:rsidR="00AE5BAA" w:rsidRPr="00710B91">
        <w:rPr>
          <w:noProof/>
        </w:rPr>
        <w:t>ożenia platformy współpracy zespołów JIT, należy powierzyć Komisji uprawnienia wykonawcze. Uprawnienia te powinny być wykonywane zgodnie</w:t>
      </w:r>
      <w:r w:rsidR="00710B91" w:rsidRPr="00710B91">
        <w:rPr>
          <w:noProof/>
        </w:rPr>
        <w:t xml:space="preserve"> z</w:t>
      </w:r>
      <w:r w:rsidR="00710B91">
        <w:rPr>
          <w:noProof/>
        </w:rPr>
        <w:t> </w:t>
      </w:r>
      <w:r w:rsidR="00710B91" w:rsidRPr="00710B91">
        <w:rPr>
          <w:noProof/>
        </w:rPr>
        <w:t>roz</w:t>
      </w:r>
      <w:r w:rsidR="00AE5BAA" w:rsidRPr="00710B91">
        <w:rPr>
          <w:noProof/>
        </w:rPr>
        <w:t>porządzeniem Parlamentu Europejskiego</w:t>
      </w:r>
      <w:r w:rsidR="00710B91" w:rsidRPr="00710B91">
        <w:rPr>
          <w:noProof/>
        </w:rPr>
        <w:t xml:space="preserve"> i</w:t>
      </w:r>
      <w:r w:rsidR="00710B91">
        <w:rPr>
          <w:noProof/>
        </w:rPr>
        <w:t> </w:t>
      </w:r>
      <w:r w:rsidR="00710B91" w:rsidRPr="00710B91">
        <w:rPr>
          <w:noProof/>
        </w:rPr>
        <w:t>Rad</w:t>
      </w:r>
      <w:r w:rsidR="00AE5BAA" w:rsidRPr="00710B91">
        <w:rPr>
          <w:noProof/>
        </w:rPr>
        <w:t>y (UE) nr</w:t>
      </w:r>
      <w:r w:rsidR="00710B91" w:rsidRPr="00710B91">
        <w:rPr>
          <w:noProof/>
        </w:rPr>
        <w:t> </w:t>
      </w:r>
      <w:r w:rsidR="00AE5BAA" w:rsidRPr="00710B91">
        <w:rPr>
          <w:noProof/>
        </w:rPr>
        <w:t>182/2011</w:t>
      </w:r>
      <w:r w:rsidR="00AE5BAA" w:rsidRPr="00710B91">
        <w:rPr>
          <w:rStyle w:val="FootnoteReference"/>
          <w:noProof/>
        </w:rPr>
        <w:footnoteReference w:id="28"/>
      </w:r>
      <w:r w:rsidR="00AE5BAA" w:rsidRPr="00710B91">
        <w:rPr>
          <w:noProof/>
        </w:rPr>
        <w:t>.</w:t>
      </w:r>
    </w:p>
    <w:p w14:paraId="2E05E1FB" w14:textId="5678DC72" w:rsidR="00FF3B47" w:rsidRPr="00710B91" w:rsidRDefault="009A08E9" w:rsidP="009A08E9">
      <w:pPr>
        <w:pStyle w:val="ManualConsidrant"/>
        <w:rPr>
          <w:noProof/>
        </w:rPr>
      </w:pPr>
      <w:r w:rsidRPr="009A08E9">
        <w:t>(36)</w:t>
      </w:r>
      <w:r w:rsidRPr="009A08E9">
        <w:tab/>
      </w:r>
      <w:r w:rsidR="00A928B4" w:rsidRPr="00710B91">
        <w:rPr>
          <w:noProof/>
        </w:rPr>
        <w:t>Komisja powinna ustalić datę uruchomienia platformy współpracy zespołów JIT po przyjęciu odnośnych aktów wykonawczych niezbędnych do rozwoju technicznego tej platformy oraz po przeprowadzeniu przez eu-LISA, we współpracy</w:t>
      </w:r>
      <w:r w:rsidR="00710B91" w:rsidRPr="00710B91">
        <w:rPr>
          <w:noProof/>
        </w:rPr>
        <w:t xml:space="preserve"> z</w:t>
      </w:r>
      <w:r w:rsidR="00710B91">
        <w:rPr>
          <w:noProof/>
        </w:rPr>
        <w:t> </w:t>
      </w:r>
      <w:r w:rsidR="00710B91" w:rsidRPr="00710B91">
        <w:rPr>
          <w:noProof/>
        </w:rPr>
        <w:t>pań</w:t>
      </w:r>
      <w:r w:rsidR="00A928B4" w:rsidRPr="00710B91">
        <w:rPr>
          <w:noProof/>
        </w:rPr>
        <w:t>stwami członkowskimi, kompleksowego testu platformy współpracy zespołów JIT.</w:t>
      </w:r>
    </w:p>
    <w:p w14:paraId="32BB1381" w14:textId="4EFCE20D" w:rsidR="00A928B4" w:rsidRPr="00710B91" w:rsidRDefault="009A08E9" w:rsidP="009A08E9">
      <w:pPr>
        <w:pStyle w:val="ManualConsidrant"/>
        <w:rPr>
          <w:noProof/>
        </w:rPr>
      </w:pPr>
      <w:r w:rsidRPr="009A08E9">
        <w:t>(37)</w:t>
      </w:r>
      <w:r w:rsidRPr="009A08E9">
        <w:tab/>
      </w:r>
      <w:r w:rsidR="00A928B4" w:rsidRPr="00710B91">
        <w:rPr>
          <w:noProof/>
        </w:rPr>
        <w:t>Ponieważ cel niniejszego rozporządzenia,</w:t>
      </w:r>
      <w:r w:rsidR="00710B91" w:rsidRPr="00710B91">
        <w:rPr>
          <w:noProof/>
        </w:rPr>
        <w:t xml:space="preserve"> a</w:t>
      </w:r>
      <w:r w:rsidR="00710B91">
        <w:rPr>
          <w:noProof/>
        </w:rPr>
        <w:t> </w:t>
      </w:r>
      <w:r w:rsidR="00710B91" w:rsidRPr="00710B91">
        <w:rPr>
          <w:noProof/>
        </w:rPr>
        <w:t>mia</w:t>
      </w:r>
      <w:r w:rsidR="00A928B4" w:rsidRPr="00710B91">
        <w:rPr>
          <w:noProof/>
        </w:rPr>
        <w:t>nowicie umożliwienie skutecznej</w:t>
      </w:r>
      <w:r w:rsidR="00710B91" w:rsidRPr="00710B91">
        <w:rPr>
          <w:noProof/>
        </w:rPr>
        <w:t xml:space="preserve"> i</w:t>
      </w:r>
      <w:r w:rsidR="00710B91">
        <w:rPr>
          <w:noProof/>
        </w:rPr>
        <w:t> </w:t>
      </w:r>
      <w:r w:rsidR="00710B91" w:rsidRPr="00710B91">
        <w:rPr>
          <w:noProof/>
        </w:rPr>
        <w:t>efe</w:t>
      </w:r>
      <w:r w:rsidR="00A928B4" w:rsidRPr="00710B91">
        <w:rPr>
          <w:noProof/>
        </w:rPr>
        <w:t>ktywnej współpracy, komunikacji oraz wymiany informacji</w:t>
      </w:r>
      <w:r w:rsidR="00710B91" w:rsidRPr="00710B91">
        <w:rPr>
          <w:noProof/>
        </w:rPr>
        <w:t xml:space="preserve"> i</w:t>
      </w:r>
      <w:r w:rsidR="00710B91">
        <w:rPr>
          <w:noProof/>
        </w:rPr>
        <w:t> </w:t>
      </w:r>
      <w:r w:rsidR="00710B91" w:rsidRPr="00710B91">
        <w:rPr>
          <w:noProof/>
        </w:rPr>
        <w:t>dow</w:t>
      </w:r>
      <w:r w:rsidR="00A928B4" w:rsidRPr="00710B91">
        <w:rPr>
          <w:noProof/>
        </w:rPr>
        <w:t>odów między członkami zespołu JIT, Eurojustem, Europolem, OLAF-em</w:t>
      </w:r>
      <w:r w:rsidR="00710B91" w:rsidRPr="00710B91">
        <w:rPr>
          <w:noProof/>
        </w:rPr>
        <w:t xml:space="preserve"> i</w:t>
      </w:r>
      <w:r w:rsidR="00710B91">
        <w:rPr>
          <w:noProof/>
        </w:rPr>
        <w:t> </w:t>
      </w:r>
      <w:r w:rsidR="00710B91" w:rsidRPr="00710B91">
        <w:rPr>
          <w:noProof/>
        </w:rPr>
        <w:t>inn</w:t>
      </w:r>
      <w:r w:rsidR="00A928B4" w:rsidRPr="00710B91">
        <w:rPr>
          <w:noProof/>
        </w:rPr>
        <w:t>ymi właściwymi organami</w:t>
      </w:r>
      <w:r w:rsidR="00710B91" w:rsidRPr="00710B91">
        <w:rPr>
          <w:noProof/>
        </w:rPr>
        <w:t xml:space="preserve"> i</w:t>
      </w:r>
      <w:r w:rsidR="00710B91">
        <w:rPr>
          <w:noProof/>
        </w:rPr>
        <w:t> </w:t>
      </w:r>
      <w:r w:rsidR="00710B91" w:rsidRPr="00710B91">
        <w:rPr>
          <w:noProof/>
        </w:rPr>
        <w:t>jed</w:t>
      </w:r>
      <w:r w:rsidR="00A928B4" w:rsidRPr="00710B91">
        <w:rPr>
          <w:noProof/>
        </w:rPr>
        <w:t>nostkami organizacyjnymi Unii nie może zostać</w:t>
      </w:r>
      <w:r w:rsidR="00710B91" w:rsidRPr="00710B91">
        <w:rPr>
          <w:noProof/>
        </w:rPr>
        <w:t xml:space="preserve"> w</w:t>
      </w:r>
      <w:r w:rsidR="00710B91">
        <w:rPr>
          <w:noProof/>
        </w:rPr>
        <w:t> </w:t>
      </w:r>
      <w:r w:rsidR="00710B91" w:rsidRPr="00710B91">
        <w:rPr>
          <w:noProof/>
        </w:rPr>
        <w:t>spo</w:t>
      </w:r>
      <w:r w:rsidR="00A928B4" w:rsidRPr="00710B91">
        <w:rPr>
          <w:noProof/>
        </w:rPr>
        <w:t>sób wystarczający osiągnięty przez państwa członkowskie, natomiast możliwe jest – dzięki ustaleniu wspólnych reguł – jego lepsze osiągnięcie na poziomie Unii, Unia może podjąć działania zgodnie</w:t>
      </w:r>
      <w:r w:rsidR="00710B91" w:rsidRPr="00710B91">
        <w:rPr>
          <w:noProof/>
        </w:rPr>
        <w:t xml:space="preserve"> z</w:t>
      </w:r>
      <w:r w:rsidR="00710B91">
        <w:rPr>
          <w:noProof/>
        </w:rPr>
        <w:t> </w:t>
      </w:r>
      <w:r w:rsidR="00710B91" w:rsidRPr="00710B91">
        <w:rPr>
          <w:noProof/>
        </w:rPr>
        <w:t>zas</w:t>
      </w:r>
      <w:r w:rsidR="00A928B4" w:rsidRPr="00710B91">
        <w:rPr>
          <w:noProof/>
        </w:rPr>
        <w:t>adą pomocniczości ustanowioną</w:t>
      </w:r>
      <w:r w:rsidR="00710B91" w:rsidRPr="00710B91">
        <w:rPr>
          <w:noProof/>
        </w:rPr>
        <w:t xml:space="preserve"> w</w:t>
      </w:r>
      <w:r w:rsidR="00710B91">
        <w:rPr>
          <w:noProof/>
        </w:rPr>
        <w:t> </w:t>
      </w:r>
      <w:r w:rsidR="00710B91" w:rsidRPr="00710B91">
        <w:rPr>
          <w:noProof/>
        </w:rPr>
        <w:t>art</w:t>
      </w:r>
      <w:r w:rsidR="00A928B4" w:rsidRPr="00710B91">
        <w:rPr>
          <w:noProof/>
        </w:rPr>
        <w:t>.</w:t>
      </w:r>
      <w:r w:rsidR="00710B91" w:rsidRPr="00710B91">
        <w:rPr>
          <w:noProof/>
        </w:rPr>
        <w:t> </w:t>
      </w:r>
      <w:r w:rsidR="00A928B4" w:rsidRPr="00710B91">
        <w:rPr>
          <w:noProof/>
        </w:rPr>
        <w:t>5 Traktatu</w:t>
      </w:r>
      <w:r w:rsidR="00710B91" w:rsidRPr="00710B91">
        <w:rPr>
          <w:noProof/>
        </w:rPr>
        <w:t xml:space="preserve"> o</w:t>
      </w:r>
      <w:r w:rsidR="00710B91">
        <w:rPr>
          <w:noProof/>
        </w:rPr>
        <w:t> </w:t>
      </w:r>
      <w:r w:rsidR="00710B91" w:rsidRPr="00710B91">
        <w:rPr>
          <w:noProof/>
        </w:rPr>
        <w:t>Uni</w:t>
      </w:r>
      <w:r w:rsidR="00A928B4" w:rsidRPr="00710B91">
        <w:rPr>
          <w:noProof/>
        </w:rPr>
        <w:t>i Europejskiej. Zgodnie</w:t>
      </w:r>
      <w:r w:rsidR="00710B91" w:rsidRPr="00710B91">
        <w:rPr>
          <w:noProof/>
        </w:rPr>
        <w:t xml:space="preserve"> z</w:t>
      </w:r>
      <w:r w:rsidR="00710B91">
        <w:rPr>
          <w:noProof/>
        </w:rPr>
        <w:t> </w:t>
      </w:r>
      <w:r w:rsidR="00710B91" w:rsidRPr="00710B91">
        <w:rPr>
          <w:noProof/>
        </w:rPr>
        <w:t>zas</w:t>
      </w:r>
      <w:r w:rsidR="00A928B4" w:rsidRPr="00710B91">
        <w:rPr>
          <w:noProof/>
        </w:rPr>
        <w:t>adą proporcjonalności, określoną</w:t>
      </w:r>
      <w:r w:rsidR="00710B91" w:rsidRPr="00710B91">
        <w:rPr>
          <w:noProof/>
        </w:rPr>
        <w:t xml:space="preserve"> w</w:t>
      </w:r>
      <w:r w:rsidR="00710B91">
        <w:rPr>
          <w:noProof/>
        </w:rPr>
        <w:t> </w:t>
      </w:r>
      <w:r w:rsidR="00710B91" w:rsidRPr="00710B91">
        <w:rPr>
          <w:noProof/>
        </w:rPr>
        <w:t>tym</w:t>
      </w:r>
      <w:r w:rsidR="00A928B4" w:rsidRPr="00710B91">
        <w:rPr>
          <w:noProof/>
        </w:rPr>
        <w:t xml:space="preserve"> artykule, niniejsze rozporządzenie nie wykracza poza to, co jest konieczne do osiągnięcia tego celu.</w:t>
      </w:r>
    </w:p>
    <w:p w14:paraId="4DE813FA" w14:textId="13020169" w:rsidR="00A928B4" w:rsidRPr="00710B91" w:rsidRDefault="009A08E9" w:rsidP="009A08E9">
      <w:pPr>
        <w:pStyle w:val="ManualConsidrant"/>
        <w:rPr>
          <w:noProof/>
        </w:rPr>
      </w:pPr>
      <w:r w:rsidRPr="009A08E9">
        <w:t>(38)</w:t>
      </w:r>
      <w:r w:rsidRPr="009A08E9">
        <w:tab/>
      </w:r>
      <w:r w:rsidR="00A928B4" w:rsidRPr="00710B91">
        <w:rPr>
          <w:noProof/>
        </w:rPr>
        <w:t>Zgodnie</w:t>
      </w:r>
      <w:r w:rsidR="00710B91" w:rsidRPr="00710B91">
        <w:rPr>
          <w:noProof/>
        </w:rPr>
        <w:t xml:space="preserve"> z</w:t>
      </w:r>
      <w:r w:rsidR="00710B91">
        <w:rPr>
          <w:noProof/>
        </w:rPr>
        <w:t> </w:t>
      </w:r>
      <w:r w:rsidR="00710B91" w:rsidRPr="00710B91">
        <w:rPr>
          <w:noProof/>
        </w:rPr>
        <w:t>art</w:t>
      </w:r>
      <w:r w:rsidR="00A928B4" w:rsidRPr="00710B91">
        <w:rPr>
          <w:noProof/>
        </w:rPr>
        <w:t>.</w:t>
      </w:r>
      <w:r w:rsidR="00710B91" w:rsidRPr="00710B91">
        <w:rPr>
          <w:noProof/>
        </w:rPr>
        <w:t> </w:t>
      </w:r>
      <w:r w:rsidR="00A928B4" w:rsidRPr="00710B91">
        <w:rPr>
          <w:noProof/>
        </w:rPr>
        <w:t>1</w:t>
      </w:r>
      <w:r w:rsidR="00710B91" w:rsidRPr="00710B91">
        <w:rPr>
          <w:noProof/>
        </w:rPr>
        <w:t xml:space="preserve"> i</w:t>
      </w:r>
      <w:r w:rsidR="00710B91">
        <w:rPr>
          <w:noProof/>
        </w:rPr>
        <w:t> </w:t>
      </w:r>
      <w:r w:rsidR="00710B91" w:rsidRPr="00710B91">
        <w:rPr>
          <w:noProof/>
        </w:rPr>
        <w:t>2</w:t>
      </w:r>
      <w:r w:rsidR="00A928B4" w:rsidRPr="00710B91">
        <w:rPr>
          <w:noProof/>
        </w:rPr>
        <w:t xml:space="preserve"> Protokołu nr</w:t>
      </w:r>
      <w:r w:rsidR="00710B91" w:rsidRPr="00710B91">
        <w:rPr>
          <w:noProof/>
        </w:rPr>
        <w:t> </w:t>
      </w:r>
      <w:r w:rsidR="00A928B4" w:rsidRPr="00710B91">
        <w:rPr>
          <w:noProof/>
        </w:rPr>
        <w:t>22</w:t>
      </w:r>
      <w:r w:rsidR="00710B91" w:rsidRPr="00710B91">
        <w:rPr>
          <w:noProof/>
        </w:rPr>
        <w:t xml:space="preserve"> w</w:t>
      </w:r>
      <w:r w:rsidR="00710B91">
        <w:rPr>
          <w:noProof/>
        </w:rPr>
        <w:t> </w:t>
      </w:r>
      <w:r w:rsidR="00710B91" w:rsidRPr="00710B91">
        <w:rPr>
          <w:noProof/>
        </w:rPr>
        <w:t>spr</w:t>
      </w:r>
      <w:r w:rsidR="00A928B4" w:rsidRPr="00710B91">
        <w:rPr>
          <w:noProof/>
        </w:rPr>
        <w:t>awie stanowiska Danii, załączonego do Traktatu</w:t>
      </w:r>
      <w:r w:rsidR="00710B91" w:rsidRPr="00710B91">
        <w:rPr>
          <w:noProof/>
        </w:rPr>
        <w:t xml:space="preserve"> o</w:t>
      </w:r>
      <w:r w:rsidR="00710B91">
        <w:rPr>
          <w:noProof/>
        </w:rPr>
        <w:t> </w:t>
      </w:r>
      <w:r w:rsidR="00710B91" w:rsidRPr="00710B91">
        <w:rPr>
          <w:noProof/>
        </w:rPr>
        <w:t>Uni</w:t>
      </w:r>
      <w:r w:rsidR="00A928B4" w:rsidRPr="00710B91">
        <w:rPr>
          <w:noProof/>
        </w:rPr>
        <w:t>i Europejskiej i do Traktatu</w:t>
      </w:r>
      <w:r w:rsidR="00710B91" w:rsidRPr="00710B91">
        <w:rPr>
          <w:noProof/>
        </w:rPr>
        <w:t xml:space="preserve"> o</w:t>
      </w:r>
      <w:r w:rsidR="00710B91">
        <w:rPr>
          <w:noProof/>
        </w:rPr>
        <w:t> </w:t>
      </w:r>
      <w:r w:rsidR="00710B91" w:rsidRPr="00710B91">
        <w:rPr>
          <w:noProof/>
        </w:rPr>
        <w:t>fun</w:t>
      </w:r>
      <w:r w:rsidR="00A928B4" w:rsidRPr="00710B91">
        <w:rPr>
          <w:noProof/>
        </w:rPr>
        <w:t>kcjonowaniu Unii Europejskiej, Dania nie uczestniczy</w:t>
      </w:r>
      <w:r w:rsidR="00710B91" w:rsidRPr="00710B91">
        <w:rPr>
          <w:noProof/>
        </w:rPr>
        <w:t xml:space="preserve"> w</w:t>
      </w:r>
      <w:r w:rsidR="00710B91">
        <w:rPr>
          <w:noProof/>
        </w:rPr>
        <w:t> </w:t>
      </w:r>
      <w:r w:rsidR="00710B91" w:rsidRPr="00710B91">
        <w:rPr>
          <w:noProof/>
        </w:rPr>
        <w:t>prz</w:t>
      </w:r>
      <w:r w:rsidR="00A928B4" w:rsidRPr="00710B91">
        <w:rPr>
          <w:noProof/>
        </w:rPr>
        <w:t>yjęciu niniejszego rozporządzenia</w:t>
      </w:r>
      <w:r w:rsidR="00710B91" w:rsidRPr="00710B91">
        <w:rPr>
          <w:noProof/>
        </w:rPr>
        <w:t xml:space="preserve"> i</w:t>
      </w:r>
      <w:r w:rsidR="00710B91">
        <w:rPr>
          <w:noProof/>
        </w:rPr>
        <w:t> </w:t>
      </w:r>
      <w:r w:rsidR="00710B91" w:rsidRPr="00710B91">
        <w:rPr>
          <w:noProof/>
        </w:rPr>
        <w:t>nie</w:t>
      </w:r>
      <w:r w:rsidR="00A928B4" w:rsidRPr="00710B91">
        <w:rPr>
          <w:noProof/>
        </w:rPr>
        <w:t xml:space="preserve"> jest nim związana ani go nie stosuje.</w:t>
      </w:r>
    </w:p>
    <w:p w14:paraId="5B534F09" w14:textId="79502756" w:rsidR="003F78E5" w:rsidRPr="00710B91" w:rsidRDefault="009A08E9" w:rsidP="009A08E9">
      <w:pPr>
        <w:pStyle w:val="ManualConsidrant"/>
        <w:rPr>
          <w:noProof/>
        </w:rPr>
      </w:pPr>
      <w:r w:rsidRPr="009A08E9">
        <w:t>(39)</w:t>
      </w:r>
      <w:r w:rsidRPr="009A08E9">
        <w:tab/>
      </w:r>
      <w:r w:rsidR="00A928B4" w:rsidRPr="00710B91">
        <w:rPr>
          <w:noProof/>
        </w:rPr>
        <w:t>Zgodnie</w:t>
      </w:r>
      <w:r w:rsidR="00710B91" w:rsidRPr="00710B91">
        <w:rPr>
          <w:noProof/>
        </w:rPr>
        <w:t xml:space="preserve"> z</w:t>
      </w:r>
      <w:r w:rsidR="00710B91">
        <w:rPr>
          <w:noProof/>
        </w:rPr>
        <w:t> </w:t>
      </w:r>
      <w:r w:rsidR="00710B91" w:rsidRPr="00710B91">
        <w:rPr>
          <w:noProof/>
        </w:rPr>
        <w:t>art</w:t>
      </w:r>
      <w:r w:rsidR="00A928B4" w:rsidRPr="00710B91">
        <w:rPr>
          <w:noProof/>
        </w:rPr>
        <w:t>.</w:t>
      </w:r>
      <w:r w:rsidR="00710B91" w:rsidRPr="00710B91">
        <w:rPr>
          <w:noProof/>
        </w:rPr>
        <w:t> </w:t>
      </w:r>
      <w:r w:rsidR="00A928B4" w:rsidRPr="00710B91">
        <w:rPr>
          <w:noProof/>
        </w:rPr>
        <w:t>42 ust.</w:t>
      </w:r>
      <w:r w:rsidR="00710B91" w:rsidRPr="00710B91">
        <w:rPr>
          <w:noProof/>
        </w:rPr>
        <w:t> </w:t>
      </w:r>
      <w:r w:rsidR="00A928B4" w:rsidRPr="00710B91">
        <w:rPr>
          <w:noProof/>
        </w:rPr>
        <w:t>1 rozporządzenia (UE) 2018/1725 skonsultowano się</w:t>
      </w:r>
      <w:r w:rsidR="00710B91" w:rsidRPr="00710B91">
        <w:rPr>
          <w:noProof/>
        </w:rPr>
        <w:t xml:space="preserve"> z</w:t>
      </w:r>
      <w:r w:rsidR="00710B91">
        <w:rPr>
          <w:noProof/>
        </w:rPr>
        <w:t> </w:t>
      </w:r>
      <w:r w:rsidR="00710B91" w:rsidRPr="00710B91">
        <w:rPr>
          <w:noProof/>
        </w:rPr>
        <w:t>Eur</w:t>
      </w:r>
      <w:r w:rsidR="00A928B4" w:rsidRPr="00710B91">
        <w:rPr>
          <w:noProof/>
        </w:rPr>
        <w:t>opejskim Inspektorem Ochrony Danych, który wydał opinię</w:t>
      </w:r>
      <w:r w:rsidR="00710B91" w:rsidRPr="00710B91">
        <w:rPr>
          <w:noProof/>
        </w:rPr>
        <w:t xml:space="preserve"> w</w:t>
      </w:r>
      <w:r w:rsidR="00710B91">
        <w:rPr>
          <w:noProof/>
        </w:rPr>
        <w:t> </w:t>
      </w:r>
      <w:r w:rsidR="00710B91" w:rsidRPr="00710B91">
        <w:rPr>
          <w:noProof/>
        </w:rPr>
        <w:t>dni</w:t>
      </w:r>
      <w:r w:rsidR="00A928B4" w:rsidRPr="00710B91">
        <w:rPr>
          <w:noProof/>
        </w:rPr>
        <w:t xml:space="preserve">u XXXX r., </w:t>
      </w:r>
    </w:p>
    <w:p w14:paraId="260BF7B8" w14:textId="77777777" w:rsidR="008A4348" w:rsidRPr="00710B91" w:rsidRDefault="008A4348" w:rsidP="008A4348">
      <w:pPr>
        <w:rPr>
          <w:noProof/>
        </w:rPr>
      </w:pPr>
    </w:p>
    <w:p w14:paraId="342B1374" w14:textId="77777777" w:rsidR="008E2629" w:rsidRPr="00710B91" w:rsidRDefault="008E2629" w:rsidP="008E2629">
      <w:pPr>
        <w:pStyle w:val="Formuledadoption"/>
        <w:rPr>
          <w:noProof/>
        </w:rPr>
      </w:pPr>
      <w:r w:rsidRPr="00710B91">
        <w:rPr>
          <w:noProof/>
        </w:rPr>
        <w:t>PRZYJMUJĄ NINIEJSZE ROZPORZĄDZENIE:</w:t>
      </w:r>
    </w:p>
    <w:p w14:paraId="73961929" w14:textId="77777777" w:rsidR="00AA1970" w:rsidRPr="00710B91" w:rsidRDefault="00AA1970" w:rsidP="00521C02">
      <w:pPr>
        <w:shd w:val="clear" w:color="auto" w:fill="FFFFFF" w:themeFill="background1"/>
        <w:spacing w:before="60" w:line="312" w:lineRule="atLeast"/>
        <w:jc w:val="center"/>
        <w:rPr>
          <w:rFonts w:eastAsia="Times New Roman"/>
          <w:b/>
          <w:bCs/>
          <w:noProof/>
          <w:szCs w:val="24"/>
          <w:lang w:eastAsia="en-GB"/>
        </w:rPr>
      </w:pPr>
    </w:p>
    <w:p w14:paraId="605039CC" w14:textId="77777777" w:rsidR="00521C02" w:rsidRPr="00710B91" w:rsidRDefault="00521C02" w:rsidP="00521C02">
      <w:pPr>
        <w:shd w:val="clear" w:color="auto" w:fill="FFFFFF" w:themeFill="background1"/>
        <w:spacing w:before="60" w:line="312" w:lineRule="atLeast"/>
        <w:jc w:val="center"/>
        <w:rPr>
          <w:rFonts w:eastAsia="Times New Roman"/>
          <w:b/>
          <w:bCs/>
          <w:noProof/>
          <w:szCs w:val="24"/>
        </w:rPr>
      </w:pPr>
      <w:r w:rsidRPr="00710B91">
        <w:rPr>
          <w:b/>
          <w:bCs/>
          <w:noProof/>
          <w:szCs w:val="24"/>
        </w:rPr>
        <w:t>ROZDZIAŁ I</w:t>
      </w:r>
    </w:p>
    <w:p w14:paraId="00C6235A" w14:textId="77777777" w:rsidR="00521C02" w:rsidRPr="00710B91" w:rsidRDefault="00521C02" w:rsidP="00521C02">
      <w:pPr>
        <w:shd w:val="clear" w:color="auto" w:fill="FFFFFF" w:themeFill="background1"/>
        <w:spacing w:before="60" w:line="312" w:lineRule="atLeast"/>
        <w:jc w:val="center"/>
        <w:rPr>
          <w:rFonts w:eastAsia="Times New Roman"/>
          <w:b/>
          <w:bCs/>
          <w:i/>
          <w:noProof/>
          <w:szCs w:val="24"/>
        </w:rPr>
      </w:pPr>
      <w:r w:rsidRPr="00710B91">
        <w:rPr>
          <w:b/>
          <w:bCs/>
          <w:i/>
          <w:noProof/>
          <w:szCs w:val="24"/>
        </w:rPr>
        <w:t xml:space="preserve">Postanowienia ogólne </w:t>
      </w:r>
    </w:p>
    <w:p w14:paraId="4C46D7CF" w14:textId="77777777" w:rsidR="00521C02" w:rsidRPr="00710B91" w:rsidRDefault="00521C02" w:rsidP="00FF717F">
      <w:pPr>
        <w:pStyle w:val="Titrearticle"/>
        <w:rPr>
          <w:noProof/>
        </w:rPr>
      </w:pPr>
      <w:r w:rsidRPr="00710B91">
        <w:rPr>
          <w:noProof/>
        </w:rPr>
        <w:t>Artykuł 1</w:t>
      </w:r>
    </w:p>
    <w:p w14:paraId="54D20F2B" w14:textId="77777777" w:rsidR="00521C02" w:rsidRPr="00710B91" w:rsidRDefault="00521C02" w:rsidP="00521C02">
      <w:pPr>
        <w:shd w:val="clear" w:color="auto" w:fill="FFFFFF" w:themeFill="background1"/>
        <w:spacing w:before="60" w:line="312" w:lineRule="atLeast"/>
        <w:jc w:val="center"/>
        <w:rPr>
          <w:rFonts w:eastAsia="Times New Roman"/>
          <w:b/>
          <w:bCs/>
          <w:noProof/>
          <w:szCs w:val="24"/>
        </w:rPr>
      </w:pPr>
      <w:r w:rsidRPr="00710B91">
        <w:rPr>
          <w:b/>
          <w:bCs/>
          <w:noProof/>
          <w:szCs w:val="24"/>
        </w:rPr>
        <w:t xml:space="preserve">Przedmiot </w:t>
      </w:r>
    </w:p>
    <w:p w14:paraId="199CCA4D" w14:textId="77777777" w:rsidR="008A4348" w:rsidRPr="00710B91" w:rsidRDefault="00521C02" w:rsidP="008A4348">
      <w:pPr>
        <w:shd w:val="clear" w:color="auto" w:fill="FFFFFF" w:themeFill="background1"/>
        <w:spacing w:before="60" w:line="312" w:lineRule="atLeast"/>
        <w:rPr>
          <w:rFonts w:eastAsia="Times New Roman"/>
          <w:noProof/>
          <w:szCs w:val="24"/>
        </w:rPr>
      </w:pPr>
      <w:r w:rsidRPr="00710B91">
        <w:rPr>
          <w:noProof/>
        </w:rPr>
        <w:t xml:space="preserve">W niniejszym rozporządzeniu: </w:t>
      </w:r>
    </w:p>
    <w:p w14:paraId="2F09B21B" w14:textId="0CC9A165" w:rsidR="00521C02" w:rsidRPr="00710B91" w:rsidRDefault="00710B91" w:rsidP="00710B91">
      <w:pPr>
        <w:pStyle w:val="Point0"/>
        <w:rPr>
          <w:rFonts w:eastAsia="Times New Roman"/>
          <w:noProof/>
          <w:szCs w:val="24"/>
        </w:rPr>
      </w:pPr>
      <w:r w:rsidRPr="00710B91">
        <w:rPr>
          <w:noProof/>
        </w:rPr>
        <w:t>a)</w:t>
      </w:r>
      <w:r w:rsidRPr="00710B91">
        <w:rPr>
          <w:noProof/>
        </w:rPr>
        <w:tab/>
      </w:r>
      <w:r w:rsidR="00CA22C6" w:rsidRPr="00710B91">
        <w:rPr>
          <w:noProof/>
        </w:rPr>
        <w:t>ustanawia się platformę informatyczną („platforma współpracy zespołów JIT”),</w:t>
      </w:r>
      <w:r w:rsidRPr="00710B91">
        <w:rPr>
          <w:noProof/>
        </w:rPr>
        <w:t xml:space="preserve"> z</w:t>
      </w:r>
      <w:r>
        <w:rPr>
          <w:noProof/>
        </w:rPr>
        <w:t> </w:t>
      </w:r>
      <w:r w:rsidRPr="00710B91">
        <w:rPr>
          <w:noProof/>
        </w:rPr>
        <w:t>któ</w:t>
      </w:r>
      <w:r w:rsidR="00CA22C6" w:rsidRPr="00710B91">
        <w:rPr>
          <w:noProof/>
        </w:rPr>
        <w:t>rej można korzystać na zasadzie dobrowolności,</w:t>
      </w:r>
      <w:r w:rsidRPr="00710B91">
        <w:rPr>
          <w:noProof/>
        </w:rPr>
        <w:t xml:space="preserve"> w</w:t>
      </w:r>
      <w:r>
        <w:rPr>
          <w:noProof/>
        </w:rPr>
        <w:t> </w:t>
      </w:r>
      <w:r w:rsidRPr="00710B91">
        <w:rPr>
          <w:noProof/>
        </w:rPr>
        <w:t>cel</w:t>
      </w:r>
      <w:r w:rsidR="00CA22C6" w:rsidRPr="00710B91">
        <w:rPr>
          <w:noProof/>
        </w:rPr>
        <w:t>u ułatwienia współpracy właściwych organów uczestniczących we wspólnych zespołach dochodzeniowo-śledczych („JIT”) ustanowionych na podstawie art.</w:t>
      </w:r>
      <w:r w:rsidRPr="00710B91">
        <w:rPr>
          <w:noProof/>
        </w:rPr>
        <w:t> </w:t>
      </w:r>
      <w:r w:rsidR="00CA22C6" w:rsidRPr="00710B91">
        <w:rPr>
          <w:noProof/>
        </w:rPr>
        <w:t>13 Konwencji, ustanowionej przez Radę zgodnie</w:t>
      </w:r>
      <w:r w:rsidRPr="00710B91">
        <w:rPr>
          <w:noProof/>
        </w:rPr>
        <w:t xml:space="preserve"> z</w:t>
      </w:r>
      <w:r>
        <w:rPr>
          <w:noProof/>
        </w:rPr>
        <w:t> </w:t>
      </w:r>
      <w:r w:rsidRPr="00710B91">
        <w:rPr>
          <w:noProof/>
        </w:rPr>
        <w:t>art</w:t>
      </w:r>
      <w:r w:rsidR="00CA22C6" w:rsidRPr="00710B91">
        <w:rPr>
          <w:noProof/>
        </w:rPr>
        <w:t>.</w:t>
      </w:r>
      <w:r w:rsidRPr="00710B91">
        <w:rPr>
          <w:noProof/>
        </w:rPr>
        <w:t> </w:t>
      </w:r>
      <w:r w:rsidR="00CA22C6" w:rsidRPr="00710B91">
        <w:rPr>
          <w:noProof/>
        </w:rPr>
        <w:t>34 Traktatu</w:t>
      </w:r>
      <w:r w:rsidRPr="00710B91">
        <w:rPr>
          <w:noProof/>
        </w:rPr>
        <w:t xml:space="preserve"> o</w:t>
      </w:r>
      <w:r>
        <w:rPr>
          <w:noProof/>
        </w:rPr>
        <w:t> </w:t>
      </w:r>
      <w:r w:rsidRPr="00710B91">
        <w:rPr>
          <w:noProof/>
        </w:rPr>
        <w:t>Uni</w:t>
      </w:r>
      <w:r w:rsidR="00CA22C6" w:rsidRPr="00710B91">
        <w:rPr>
          <w:noProof/>
        </w:rPr>
        <w:t>i Europejskiej,</w:t>
      </w:r>
      <w:r w:rsidRPr="00710B91">
        <w:rPr>
          <w:noProof/>
        </w:rPr>
        <w:t xml:space="preserve"> o</w:t>
      </w:r>
      <w:r>
        <w:rPr>
          <w:noProof/>
        </w:rPr>
        <w:t> </w:t>
      </w:r>
      <w:r w:rsidRPr="00710B91">
        <w:rPr>
          <w:noProof/>
        </w:rPr>
        <w:t>pom</w:t>
      </w:r>
      <w:r w:rsidR="00CA22C6" w:rsidRPr="00710B91">
        <w:rPr>
          <w:noProof/>
        </w:rPr>
        <w:t>ocy prawnej</w:t>
      </w:r>
      <w:r w:rsidRPr="00710B91">
        <w:rPr>
          <w:noProof/>
        </w:rPr>
        <w:t xml:space="preserve"> w</w:t>
      </w:r>
      <w:r>
        <w:rPr>
          <w:noProof/>
        </w:rPr>
        <w:t> </w:t>
      </w:r>
      <w:r w:rsidRPr="00710B91">
        <w:rPr>
          <w:noProof/>
        </w:rPr>
        <w:t>spr</w:t>
      </w:r>
      <w:r w:rsidR="00CA22C6" w:rsidRPr="00710B91">
        <w:rPr>
          <w:noProof/>
        </w:rPr>
        <w:t>awach karnych pomiędzy państwami członkowskimi Unii Europejskiej lub na podstawie decyzji ramowej 2002/465/WSiSW;</w:t>
      </w:r>
    </w:p>
    <w:p w14:paraId="22029040" w14:textId="5C0A6A8E" w:rsidR="00521C02" w:rsidRPr="00710B91" w:rsidRDefault="00710B91" w:rsidP="00710B91">
      <w:pPr>
        <w:pStyle w:val="Point0"/>
        <w:rPr>
          <w:noProof/>
        </w:rPr>
      </w:pPr>
      <w:r w:rsidRPr="00710B91">
        <w:rPr>
          <w:noProof/>
        </w:rPr>
        <w:t>b)</w:t>
      </w:r>
      <w:r w:rsidRPr="00710B91">
        <w:rPr>
          <w:noProof/>
        </w:rPr>
        <w:tab/>
      </w:r>
      <w:r w:rsidR="00CA22C6" w:rsidRPr="00710B91">
        <w:rPr>
          <w:noProof/>
        </w:rPr>
        <w:t>określa się zasady podziału odpowiedzialności pomiędzy użytkownikami platformy współpracy zespołów JIT</w:t>
      </w:r>
      <w:r w:rsidRPr="00710B91">
        <w:rPr>
          <w:noProof/>
        </w:rPr>
        <w:t xml:space="preserve"> i</w:t>
      </w:r>
      <w:r>
        <w:rPr>
          <w:noProof/>
        </w:rPr>
        <w:t> </w:t>
      </w:r>
      <w:r w:rsidRPr="00710B91">
        <w:rPr>
          <w:noProof/>
        </w:rPr>
        <w:t>age</w:t>
      </w:r>
      <w:r w:rsidR="00CA22C6" w:rsidRPr="00710B91">
        <w:rPr>
          <w:noProof/>
        </w:rPr>
        <w:t>ncją odpowiedzialną za rozwijanie</w:t>
      </w:r>
      <w:r w:rsidRPr="00710B91">
        <w:rPr>
          <w:noProof/>
        </w:rPr>
        <w:t xml:space="preserve"> i</w:t>
      </w:r>
      <w:r>
        <w:rPr>
          <w:noProof/>
        </w:rPr>
        <w:t> </w:t>
      </w:r>
      <w:r w:rsidRPr="00710B91">
        <w:rPr>
          <w:noProof/>
        </w:rPr>
        <w:t>utr</w:t>
      </w:r>
      <w:r w:rsidR="00CA22C6" w:rsidRPr="00710B91">
        <w:rPr>
          <w:noProof/>
        </w:rPr>
        <w:t>zymywanie platformy współpracy JIT;</w:t>
      </w:r>
    </w:p>
    <w:p w14:paraId="5764A3F1" w14:textId="6ED288BB" w:rsidR="00521C02" w:rsidRPr="00710B91" w:rsidRDefault="00710B91" w:rsidP="00710B91">
      <w:pPr>
        <w:pStyle w:val="Point0"/>
        <w:rPr>
          <w:noProof/>
        </w:rPr>
      </w:pPr>
      <w:r w:rsidRPr="00710B91">
        <w:rPr>
          <w:noProof/>
        </w:rPr>
        <w:t>c)</w:t>
      </w:r>
      <w:r w:rsidRPr="00710B91">
        <w:rPr>
          <w:noProof/>
        </w:rPr>
        <w:tab/>
      </w:r>
      <w:r w:rsidR="00CA22C6" w:rsidRPr="00710B91">
        <w:rPr>
          <w:noProof/>
        </w:rPr>
        <w:t>określa się warunki, na jakich użytkownikom platformy współpracy zespołów JIT udziela się dostępu do tej platformy;</w:t>
      </w:r>
    </w:p>
    <w:p w14:paraId="4AF23356" w14:textId="7CA731DB" w:rsidR="00521C02" w:rsidRPr="00710B91" w:rsidRDefault="00710B91" w:rsidP="00710B91">
      <w:pPr>
        <w:pStyle w:val="Point0"/>
        <w:rPr>
          <w:noProof/>
        </w:rPr>
      </w:pPr>
      <w:r w:rsidRPr="00710B91">
        <w:rPr>
          <w:noProof/>
        </w:rPr>
        <w:t>d)</w:t>
      </w:r>
      <w:r w:rsidRPr="00710B91">
        <w:rPr>
          <w:noProof/>
        </w:rPr>
        <w:tab/>
      </w:r>
      <w:r w:rsidR="00CA22C6" w:rsidRPr="00710B91">
        <w:rPr>
          <w:noProof/>
        </w:rPr>
        <w:t>określa się szczegółowe przepisy dotyczące ochrony danych konieczne do uzupełnienia istniejących rozwiązań</w:t>
      </w:r>
      <w:r w:rsidRPr="00710B91">
        <w:rPr>
          <w:noProof/>
        </w:rPr>
        <w:t xml:space="preserve"> w</w:t>
      </w:r>
      <w:r>
        <w:rPr>
          <w:noProof/>
        </w:rPr>
        <w:t> </w:t>
      </w:r>
      <w:r w:rsidRPr="00710B91">
        <w:rPr>
          <w:noProof/>
        </w:rPr>
        <w:t>zak</w:t>
      </w:r>
      <w:r w:rsidR="00CA22C6" w:rsidRPr="00710B91">
        <w:rPr>
          <w:noProof/>
        </w:rPr>
        <w:t>resie ochrony danych oraz do zapewnienia właściwego ogólnego poziomu ochrony danych, bezpieczeństwa danych</w:t>
      </w:r>
      <w:r w:rsidRPr="00710B91">
        <w:rPr>
          <w:noProof/>
        </w:rPr>
        <w:t xml:space="preserve"> i</w:t>
      </w:r>
      <w:r>
        <w:rPr>
          <w:noProof/>
        </w:rPr>
        <w:t> </w:t>
      </w:r>
      <w:r w:rsidRPr="00710B91">
        <w:rPr>
          <w:noProof/>
        </w:rPr>
        <w:t>och</w:t>
      </w:r>
      <w:r w:rsidR="00CA22C6" w:rsidRPr="00710B91">
        <w:rPr>
          <w:noProof/>
        </w:rPr>
        <w:t>rony praw podstawowych osób, których one dotyczą.</w:t>
      </w:r>
    </w:p>
    <w:p w14:paraId="78FE1A2C" w14:textId="77777777" w:rsidR="00521C02" w:rsidRPr="00710B91" w:rsidRDefault="00521C02" w:rsidP="00FF717F">
      <w:pPr>
        <w:pStyle w:val="Titrearticle"/>
        <w:rPr>
          <w:noProof/>
        </w:rPr>
      </w:pPr>
      <w:r w:rsidRPr="00710B91">
        <w:rPr>
          <w:noProof/>
        </w:rPr>
        <w:t>Artykuł 2</w:t>
      </w:r>
    </w:p>
    <w:p w14:paraId="473EF0F0" w14:textId="2010E92C" w:rsidR="00521C02" w:rsidRPr="00710B91" w:rsidRDefault="00620FA0" w:rsidP="00521C02">
      <w:pPr>
        <w:shd w:val="clear" w:color="auto" w:fill="FFFFFF" w:themeFill="background1"/>
        <w:spacing w:before="60" w:line="312" w:lineRule="atLeast"/>
        <w:jc w:val="center"/>
        <w:rPr>
          <w:rFonts w:eastAsia="Times New Roman"/>
          <w:b/>
          <w:bCs/>
          <w:noProof/>
          <w:szCs w:val="24"/>
        </w:rPr>
      </w:pPr>
      <w:r w:rsidRPr="00710B91">
        <w:rPr>
          <w:b/>
          <w:bCs/>
          <w:noProof/>
          <w:szCs w:val="24"/>
        </w:rPr>
        <w:t>Zakres oddziaływania</w:t>
      </w:r>
    </w:p>
    <w:p w14:paraId="0FD4FB39" w14:textId="002A7ED3" w:rsidR="00010EF6" w:rsidRPr="00710B91" w:rsidRDefault="009A08E9" w:rsidP="009A08E9">
      <w:pPr>
        <w:pStyle w:val="ManualNumPar1"/>
        <w:rPr>
          <w:noProof/>
        </w:rPr>
      </w:pPr>
      <w:r w:rsidRPr="009A08E9">
        <w:t>1.</w:t>
      </w:r>
      <w:r w:rsidRPr="009A08E9">
        <w:tab/>
      </w:r>
      <w:r w:rsidR="00521C02" w:rsidRPr="00710B91">
        <w:rPr>
          <w:noProof/>
        </w:rPr>
        <w:t>Niniejsze rozporządzenie ma zastosowanie do przetwarzania informacji,</w:t>
      </w:r>
      <w:r w:rsidR="00710B91" w:rsidRPr="00710B91">
        <w:rPr>
          <w:noProof/>
        </w:rPr>
        <w:t xml:space="preserve"> w</w:t>
      </w:r>
      <w:r w:rsidR="00710B91">
        <w:rPr>
          <w:noProof/>
        </w:rPr>
        <w:t> </w:t>
      </w:r>
      <w:r w:rsidR="00710B91" w:rsidRPr="00710B91">
        <w:rPr>
          <w:noProof/>
        </w:rPr>
        <w:t>tym</w:t>
      </w:r>
      <w:r w:rsidR="00521C02" w:rsidRPr="00710B91">
        <w:rPr>
          <w:noProof/>
        </w:rPr>
        <w:t xml:space="preserve"> danych osobowych,</w:t>
      </w:r>
      <w:r w:rsidR="00710B91" w:rsidRPr="00710B91">
        <w:rPr>
          <w:noProof/>
        </w:rPr>
        <w:t xml:space="preserve"> w</w:t>
      </w:r>
      <w:r w:rsidR="00710B91">
        <w:rPr>
          <w:noProof/>
        </w:rPr>
        <w:t> </w:t>
      </w:r>
      <w:r w:rsidR="00710B91" w:rsidRPr="00710B91">
        <w:rPr>
          <w:noProof/>
        </w:rPr>
        <w:t>ram</w:t>
      </w:r>
      <w:r w:rsidR="00521C02" w:rsidRPr="00710B91">
        <w:rPr>
          <w:noProof/>
        </w:rPr>
        <w:t>ach zespołu JIT. Uwzględnia to wymianę</w:t>
      </w:r>
      <w:r w:rsidR="00710B91" w:rsidRPr="00710B91">
        <w:rPr>
          <w:noProof/>
        </w:rPr>
        <w:t xml:space="preserve"> i</w:t>
      </w:r>
      <w:r w:rsidR="00710B91">
        <w:rPr>
          <w:noProof/>
        </w:rPr>
        <w:t> </w:t>
      </w:r>
      <w:r w:rsidR="00710B91" w:rsidRPr="00710B91">
        <w:rPr>
          <w:noProof/>
        </w:rPr>
        <w:t>prz</w:t>
      </w:r>
      <w:r w:rsidR="00521C02" w:rsidRPr="00710B91">
        <w:rPr>
          <w:noProof/>
        </w:rPr>
        <w:t>echowywanie informacji operacyjnych</w:t>
      </w:r>
      <w:r w:rsidR="00710B91" w:rsidRPr="00710B91">
        <w:rPr>
          <w:noProof/>
        </w:rPr>
        <w:t xml:space="preserve"> i</w:t>
      </w:r>
      <w:r w:rsidR="00710B91">
        <w:rPr>
          <w:noProof/>
        </w:rPr>
        <w:t> </w:t>
      </w:r>
      <w:r w:rsidR="00710B91" w:rsidRPr="00710B91">
        <w:rPr>
          <w:noProof/>
        </w:rPr>
        <w:t>dow</w:t>
      </w:r>
      <w:r w:rsidR="00521C02" w:rsidRPr="00710B91">
        <w:rPr>
          <w:noProof/>
        </w:rPr>
        <w:t xml:space="preserve">odów, jak również informacji nieoperacyjnych. Niniejsze rozporządzenie ma zastosowanie do etapu operacyjnego oraz etapu pooperacyjnego funkcjonowania zespołu JIT, poczynając od momentu podpisania odpowiedniej umowy o JIT przez członków zespołu. </w:t>
      </w:r>
    </w:p>
    <w:p w14:paraId="25052DFD" w14:textId="19843679" w:rsidR="00521C02" w:rsidRPr="00710B91" w:rsidRDefault="009A08E9" w:rsidP="009A08E9">
      <w:pPr>
        <w:pStyle w:val="ManualNumPar1"/>
        <w:rPr>
          <w:noProof/>
        </w:rPr>
      </w:pPr>
      <w:r w:rsidRPr="009A08E9">
        <w:t>2.</w:t>
      </w:r>
      <w:r w:rsidRPr="009A08E9">
        <w:tab/>
      </w:r>
      <w:r w:rsidR="00521C02" w:rsidRPr="00710B91">
        <w:rPr>
          <w:noProof/>
        </w:rPr>
        <w:t>Niniejsze rozporządzenie nie zmienia istniejących przepisów prawnych dotyczących tworzenia, prowadzenia lub oceny zespołów JIT, ani nie wpływa na nie</w:t>
      </w:r>
      <w:r w:rsidR="00710B91" w:rsidRPr="00710B91">
        <w:rPr>
          <w:noProof/>
        </w:rPr>
        <w:t xml:space="preserve"> w</w:t>
      </w:r>
      <w:r w:rsidR="00710B91">
        <w:rPr>
          <w:noProof/>
        </w:rPr>
        <w:t> </w:t>
      </w:r>
      <w:r w:rsidR="00710B91" w:rsidRPr="00710B91">
        <w:rPr>
          <w:noProof/>
        </w:rPr>
        <w:t>inn</w:t>
      </w:r>
      <w:r w:rsidR="00521C02" w:rsidRPr="00710B91">
        <w:rPr>
          <w:noProof/>
        </w:rPr>
        <w:t>y sposób.</w:t>
      </w:r>
    </w:p>
    <w:p w14:paraId="52C20CF0" w14:textId="77777777" w:rsidR="00521C02" w:rsidRPr="00710B91" w:rsidRDefault="00521C02" w:rsidP="00FF717F">
      <w:pPr>
        <w:pStyle w:val="Titrearticle"/>
        <w:rPr>
          <w:noProof/>
        </w:rPr>
      </w:pPr>
      <w:r w:rsidRPr="00710B91">
        <w:rPr>
          <w:noProof/>
        </w:rPr>
        <w:t>Artykuł 3</w:t>
      </w:r>
    </w:p>
    <w:p w14:paraId="79773EB5" w14:textId="77777777" w:rsidR="00521C02" w:rsidRPr="00710B91" w:rsidRDefault="00521C02" w:rsidP="00521C02">
      <w:pPr>
        <w:shd w:val="clear" w:color="auto" w:fill="FFFFFF" w:themeFill="background1"/>
        <w:spacing w:before="60" w:line="312" w:lineRule="atLeast"/>
        <w:jc w:val="center"/>
        <w:rPr>
          <w:rFonts w:eastAsia="Times New Roman"/>
          <w:b/>
          <w:bCs/>
          <w:noProof/>
          <w:szCs w:val="24"/>
        </w:rPr>
      </w:pPr>
      <w:r w:rsidRPr="00710B91">
        <w:rPr>
          <w:b/>
          <w:bCs/>
          <w:noProof/>
          <w:szCs w:val="24"/>
        </w:rPr>
        <w:t xml:space="preserve">Definicje </w:t>
      </w:r>
    </w:p>
    <w:p w14:paraId="6EAD98B1" w14:textId="77777777" w:rsidR="00521C02" w:rsidRPr="00710B91" w:rsidRDefault="00521C02" w:rsidP="00521C02">
      <w:pPr>
        <w:shd w:val="clear" w:color="auto" w:fill="FFFFFF" w:themeFill="background1"/>
        <w:spacing w:before="60" w:line="312" w:lineRule="atLeast"/>
        <w:rPr>
          <w:rFonts w:eastAsia="Times New Roman"/>
          <w:noProof/>
          <w:szCs w:val="24"/>
        </w:rPr>
      </w:pPr>
      <w:r w:rsidRPr="00710B91">
        <w:rPr>
          <w:noProof/>
        </w:rPr>
        <w:t>Do celów niniejszego rozporządzenia stosuje się następujące definicje:</w:t>
      </w:r>
    </w:p>
    <w:p w14:paraId="14C7B0B8" w14:textId="260226B1" w:rsidR="00521C02" w:rsidRPr="00710B91" w:rsidRDefault="00710B91" w:rsidP="00710B91">
      <w:pPr>
        <w:pStyle w:val="Point0"/>
        <w:rPr>
          <w:noProof/>
        </w:rPr>
      </w:pPr>
      <w:r w:rsidRPr="00710B91">
        <w:rPr>
          <w:noProof/>
        </w:rPr>
        <w:t>1)</w:t>
      </w:r>
      <w:r w:rsidRPr="00710B91">
        <w:rPr>
          <w:noProof/>
        </w:rPr>
        <w:tab/>
      </w:r>
      <w:r w:rsidR="0047179C" w:rsidRPr="00710B91">
        <w:rPr>
          <w:noProof/>
        </w:rPr>
        <w:t>„scentralizowany system informacyjny” oznacza centralny system informatyczny,</w:t>
      </w:r>
      <w:r w:rsidRPr="00710B91">
        <w:rPr>
          <w:noProof/>
        </w:rPr>
        <w:t xml:space="preserve"> w</w:t>
      </w:r>
      <w:r>
        <w:rPr>
          <w:noProof/>
        </w:rPr>
        <w:t> </w:t>
      </w:r>
      <w:r w:rsidRPr="00710B91">
        <w:rPr>
          <w:noProof/>
        </w:rPr>
        <w:t>któ</w:t>
      </w:r>
      <w:r w:rsidR="0047179C" w:rsidRPr="00710B91">
        <w:rPr>
          <w:noProof/>
        </w:rPr>
        <w:t>rym odbywa się przechowywanie</w:t>
      </w:r>
      <w:r w:rsidRPr="00710B91">
        <w:rPr>
          <w:noProof/>
        </w:rPr>
        <w:t xml:space="preserve"> i</w:t>
      </w:r>
      <w:r>
        <w:rPr>
          <w:noProof/>
        </w:rPr>
        <w:t> </w:t>
      </w:r>
      <w:r w:rsidRPr="00710B91">
        <w:rPr>
          <w:noProof/>
        </w:rPr>
        <w:t>prz</w:t>
      </w:r>
      <w:r w:rsidR="0047179C" w:rsidRPr="00710B91">
        <w:rPr>
          <w:noProof/>
        </w:rPr>
        <w:t>etwarzanie danych związanych</w:t>
      </w:r>
      <w:r w:rsidRPr="00710B91">
        <w:rPr>
          <w:noProof/>
        </w:rPr>
        <w:t xml:space="preserve"> z</w:t>
      </w:r>
      <w:r>
        <w:rPr>
          <w:noProof/>
        </w:rPr>
        <w:t> </w:t>
      </w:r>
      <w:r w:rsidRPr="00710B91">
        <w:rPr>
          <w:noProof/>
        </w:rPr>
        <w:t>zes</w:t>
      </w:r>
      <w:r w:rsidR="0047179C" w:rsidRPr="00710B91">
        <w:rPr>
          <w:noProof/>
        </w:rPr>
        <w:t>połami JIT;</w:t>
      </w:r>
    </w:p>
    <w:p w14:paraId="4BD34468" w14:textId="255AD8F4" w:rsidR="00521C02" w:rsidRPr="00710B91" w:rsidRDefault="00710B91" w:rsidP="00710B91">
      <w:pPr>
        <w:pStyle w:val="Point0"/>
        <w:rPr>
          <w:noProof/>
        </w:rPr>
      </w:pPr>
      <w:r w:rsidRPr="00710B91">
        <w:rPr>
          <w:noProof/>
        </w:rPr>
        <w:t>2)</w:t>
      </w:r>
      <w:r w:rsidRPr="00710B91">
        <w:rPr>
          <w:noProof/>
        </w:rPr>
        <w:tab/>
      </w:r>
      <w:r w:rsidR="0047179C" w:rsidRPr="00710B91">
        <w:rPr>
          <w:noProof/>
        </w:rPr>
        <w:t>„oprogramowanie komunikacyjne” oznacza oprogramowanie ułatwiające dostęp zdalny do systemów oraz wymianę plików</w:t>
      </w:r>
      <w:r w:rsidRPr="00710B91">
        <w:rPr>
          <w:noProof/>
        </w:rPr>
        <w:t xml:space="preserve"> i</w:t>
      </w:r>
      <w:r>
        <w:rPr>
          <w:noProof/>
        </w:rPr>
        <w:t> </w:t>
      </w:r>
      <w:r w:rsidRPr="00710B91">
        <w:rPr>
          <w:noProof/>
        </w:rPr>
        <w:t>wia</w:t>
      </w:r>
      <w:r w:rsidR="0047179C" w:rsidRPr="00710B91">
        <w:rPr>
          <w:noProof/>
        </w:rPr>
        <w:t>domości</w:t>
      </w:r>
      <w:r w:rsidRPr="00710B91">
        <w:rPr>
          <w:noProof/>
        </w:rPr>
        <w:t xml:space="preserve"> w</w:t>
      </w:r>
      <w:r>
        <w:rPr>
          <w:noProof/>
        </w:rPr>
        <w:t> </w:t>
      </w:r>
      <w:r w:rsidRPr="00710B91">
        <w:rPr>
          <w:noProof/>
        </w:rPr>
        <w:t>for</w:t>
      </w:r>
      <w:r w:rsidR="0047179C" w:rsidRPr="00710B91">
        <w:rPr>
          <w:noProof/>
        </w:rPr>
        <w:t>macie tekstowym, audio lub wideo między użytkownikami platformy współpracy zespołów JIT;</w:t>
      </w:r>
    </w:p>
    <w:p w14:paraId="38ABFD53" w14:textId="7454F2C3" w:rsidR="00736DD4" w:rsidRPr="00710B91" w:rsidRDefault="00710B91" w:rsidP="00710B91">
      <w:pPr>
        <w:pStyle w:val="Point0"/>
        <w:rPr>
          <w:noProof/>
        </w:rPr>
      </w:pPr>
      <w:r w:rsidRPr="00710B91">
        <w:rPr>
          <w:noProof/>
        </w:rPr>
        <w:t>3)</w:t>
      </w:r>
      <w:r w:rsidRPr="00710B91">
        <w:rPr>
          <w:noProof/>
        </w:rPr>
        <w:tab/>
      </w:r>
      <w:r w:rsidR="009643BD" w:rsidRPr="00710B91">
        <w:rPr>
          <w:noProof/>
        </w:rPr>
        <w:t>„właściwe organy” oznaczają organy właściwe do utworzenia zespołu JIT,</w:t>
      </w:r>
      <w:r w:rsidRPr="00710B91">
        <w:rPr>
          <w:noProof/>
        </w:rPr>
        <w:t xml:space="preserve"> o</w:t>
      </w:r>
      <w:r>
        <w:rPr>
          <w:noProof/>
        </w:rPr>
        <w:t> </w:t>
      </w:r>
      <w:r w:rsidRPr="00710B91">
        <w:rPr>
          <w:noProof/>
        </w:rPr>
        <w:t>któ</w:t>
      </w:r>
      <w:r w:rsidR="009643BD" w:rsidRPr="00710B91">
        <w:rPr>
          <w:noProof/>
        </w:rPr>
        <w:t>rym mowa</w:t>
      </w:r>
      <w:r w:rsidRPr="00710B91">
        <w:rPr>
          <w:noProof/>
        </w:rPr>
        <w:t xml:space="preserve"> w</w:t>
      </w:r>
      <w:r>
        <w:rPr>
          <w:noProof/>
        </w:rPr>
        <w:t> </w:t>
      </w:r>
      <w:r w:rsidRPr="00710B91">
        <w:rPr>
          <w:noProof/>
        </w:rPr>
        <w:t>art</w:t>
      </w:r>
      <w:r w:rsidR="009643BD" w:rsidRPr="00710B91">
        <w:rPr>
          <w:noProof/>
        </w:rPr>
        <w:t>.</w:t>
      </w:r>
      <w:r w:rsidRPr="00710B91">
        <w:rPr>
          <w:noProof/>
        </w:rPr>
        <w:t> </w:t>
      </w:r>
      <w:r w:rsidR="009643BD" w:rsidRPr="00710B91">
        <w:rPr>
          <w:noProof/>
        </w:rPr>
        <w:t>1 decyzji ramowej 2002/465/WSiSW oraz</w:t>
      </w:r>
      <w:r w:rsidRPr="00710B91">
        <w:rPr>
          <w:noProof/>
        </w:rPr>
        <w:t xml:space="preserve"> w</w:t>
      </w:r>
      <w:r>
        <w:rPr>
          <w:noProof/>
        </w:rPr>
        <w:t> </w:t>
      </w:r>
      <w:r w:rsidRPr="00710B91">
        <w:rPr>
          <w:noProof/>
        </w:rPr>
        <w:t>art</w:t>
      </w:r>
      <w:r w:rsidR="009643BD" w:rsidRPr="00710B91">
        <w:rPr>
          <w:noProof/>
        </w:rPr>
        <w:t>.</w:t>
      </w:r>
      <w:r w:rsidRPr="00710B91">
        <w:rPr>
          <w:noProof/>
        </w:rPr>
        <w:t> </w:t>
      </w:r>
      <w:r w:rsidR="009643BD" w:rsidRPr="00710B91">
        <w:rPr>
          <w:noProof/>
        </w:rPr>
        <w:t>13 Konwencji, ustanowionej przez Radę zgodnie</w:t>
      </w:r>
      <w:r w:rsidRPr="00710B91">
        <w:rPr>
          <w:noProof/>
        </w:rPr>
        <w:t xml:space="preserve"> z</w:t>
      </w:r>
      <w:r>
        <w:rPr>
          <w:noProof/>
        </w:rPr>
        <w:t> </w:t>
      </w:r>
      <w:r w:rsidRPr="00710B91">
        <w:rPr>
          <w:noProof/>
        </w:rPr>
        <w:t>art</w:t>
      </w:r>
      <w:r w:rsidR="009643BD" w:rsidRPr="00710B91">
        <w:rPr>
          <w:noProof/>
        </w:rPr>
        <w:t>.</w:t>
      </w:r>
      <w:r w:rsidRPr="00710B91">
        <w:rPr>
          <w:noProof/>
        </w:rPr>
        <w:t> </w:t>
      </w:r>
      <w:r w:rsidR="009643BD" w:rsidRPr="00710B91">
        <w:rPr>
          <w:noProof/>
        </w:rPr>
        <w:t>34 Traktatu</w:t>
      </w:r>
      <w:r w:rsidRPr="00710B91">
        <w:rPr>
          <w:noProof/>
        </w:rPr>
        <w:t xml:space="preserve"> o</w:t>
      </w:r>
      <w:r>
        <w:rPr>
          <w:noProof/>
        </w:rPr>
        <w:t> </w:t>
      </w:r>
      <w:r w:rsidRPr="00710B91">
        <w:rPr>
          <w:noProof/>
        </w:rPr>
        <w:t>Uni</w:t>
      </w:r>
      <w:r w:rsidR="009643BD" w:rsidRPr="00710B91">
        <w:rPr>
          <w:noProof/>
        </w:rPr>
        <w:t>i Europejskiej,</w:t>
      </w:r>
      <w:r w:rsidRPr="00710B91">
        <w:rPr>
          <w:noProof/>
        </w:rPr>
        <w:t xml:space="preserve"> o</w:t>
      </w:r>
      <w:r>
        <w:rPr>
          <w:noProof/>
        </w:rPr>
        <w:t> </w:t>
      </w:r>
      <w:r w:rsidRPr="00710B91">
        <w:rPr>
          <w:noProof/>
        </w:rPr>
        <w:t>pom</w:t>
      </w:r>
      <w:r w:rsidR="009643BD" w:rsidRPr="00710B91">
        <w:rPr>
          <w:noProof/>
        </w:rPr>
        <w:t>ocy prawnej</w:t>
      </w:r>
      <w:r w:rsidRPr="00710B91">
        <w:rPr>
          <w:noProof/>
        </w:rPr>
        <w:t xml:space="preserve"> w</w:t>
      </w:r>
      <w:r>
        <w:rPr>
          <w:noProof/>
        </w:rPr>
        <w:t> </w:t>
      </w:r>
      <w:r w:rsidRPr="00710B91">
        <w:rPr>
          <w:noProof/>
        </w:rPr>
        <w:t>spr</w:t>
      </w:r>
      <w:r w:rsidR="009643BD" w:rsidRPr="00710B91">
        <w:rPr>
          <w:noProof/>
        </w:rPr>
        <w:t>awach karnych pomiędzy państwami członkowskimi Unii Europejskiej, Prokuraturę Europejską, gdy działa ona zgodnie</w:t>
      </w:r>
      <w:r w:rsidRPr="00710B91">
        <w:rPr>
          <w:noProof/>
        </w:rPr>
        <w:t xml:space="preserve"> z</w:t>
      </w:r>
      <w:r>
        <w:rPr>
          <w:noProof/>
        </w:rPr>
        <w:t> </w:t>
      </w:r>
      <w:r w:rsidRPr="00710B91">
        <w:rPr>
          <w:noProof/>
        </w:rPr>
        <w:t>kom</w:t>
      </w:r>
      <w:r w:rsidR="009643BD" w:rsidRPr="00710B91">
        <w:rPr>
          <w:noProof/>
        </w:rPr>
        <w:t>petencjami przewidzianymi</w:t>
      </w:r>
      <w:r w:rsidRPr="00710B91">
        <w:rPr>
          <w:noProof/>
        </w:rPr>
        <w:t xml:space="preserve"> w</w:t>
      </w:r>
      <w:r>
        <w:rPr>
          <w:noProof/>
        </w:rPr>
        <w:t> </w:t>
      </w:r>
      <w:r w:rsidRPr="00710B91">
        <w:rPr>
          <w:noProof/>
        </w:rPr>
        <w:t>art</w:t>
      </w:r>
      <w:r w:rsidR="009643BD" w:rsidRPr="00710B91">
        <w:rPr>
          <w:noProof/>
        </w:rPr>
        <w:t>.</w:t>
      </w:r>
      <w:r w:rsidRPr="00710B91">
        <w:rPr>
          <w:noProof/>
        </w:rPr>
        <w:t> </w:t>
      </w:r>
      <w:r w:rsidR="009643BD" w:rsidRPr="00710B91">
        <w:rPr>
          <w:noProof/>
        </w:rPr>
        <w:t>22, 23</w:t>
      </w:r>
      <w:r w:rsidRPr="00710B91">
        <w:rPr>
          <w:noProof/>
        </w:rPr>
        <w:t xml:space="preserve"> i</w:t>
      </w:r>
      <w:r>
        <w:rPr>
          <w:noProof/>
        </w:rPr>
        <w:t> </w:t>
      </w:r>
      <w:r w:rsidRPr="00710B91">
        <w:rPr>
          <w:noProof/>
        </w:rPr>
        <w:t>2</w:t>
      </w:r>
      <w:r w:rsidR="009643BD" w:rsidRPr="00710B91">
        <w:rPr>
          <w:noProof/>
        </w:rPr>
        <w:t>5 rozporządzenia Rady (UE) 2017/1939,</w:t>
      </w:r>
      <w:r w:rsidRPr="00710B91">
        <w:rPr>
          <w:noProof/>
        </w:rPr>
        <w:t xml:space="preserve"> a</w:t>
      </w:r>
      <w:r>
        <w:rPr>
          <w:noProof/>
        </w:rPr>
        <w:t> </w:t>
      </w:r>
      <w:r w:rsidRPr="00710B91">
        <w:rPr>
          <w:noProof/>
        </w:rPr>
        <w:t>tak</w:t>
      </w:r>
      <w:r w:rsidR="009643BD" w:rsidRPr="00710B91">
        <w:rPr>
          <w:noProof/>
        </w:rPr>
        <w:t>że właściwe organy państwa trzeciego, gdy są one stroną umowy o JIT</w:t>
      </w:r>
      <w:r w:rsidRPr="00710B91">
        <w:rPr>
          <w:noProof/>
        </w:rPr>
        <w:t xml:space="preserve"> z</w:t>
      </w:r>
      <w:r>
        <w:rPr>
          <w:noProof/>
        </w:rPr>
        <w:t> </w:t>
      </w:r>
      <w:r w:rsidRPr="00710B91">
        <w:rPr>
          <w:noProof/>
        </w:rPr>
        <w:t>uwa</w:t>
      </w:r>
      <w:r w:rsidR="009643BD" w:rsidRPr="00710B91">
        <w:rPr>
          <w:noProof/>
        </w:rPr>
        <w:t>gi na dodatkową podstawę prawną;</w:t>
      </w:r>
    </w:p>
    <w:p w14:paraId="02F42127" w14:textId="107753E4" w:rsidR="00521C02" w:rsidRPr="00710B91" w:rsidRDefault="00710B91" w:rsidP="00710B91">
      <w:pPr>
        <w:pStyle w:val="Point0"/>
        <w:rPr>
          <w:noProof/>
        </w:rPr>
      </w:pPr>
      <w:r w:rsidRPr="00710B91">
        <w:rPr>
          <w:noProof/>
        </w:rPr>
        <w:t>4)</w:t>
      </w:r>
      <w:r w:rsidRPr="00710B91">
        <w:rPr>
          <w:noProof/>
        </w:rPr>
        <w:tab/>
      </w:r>
      <w:r w:rsidR="0047179C" w:rsidRPr="00710B91">
        <w:rPr>
          <w:noProof/>
        </w:rPr>
        <w:t>„członkowie zespołu JIT” oznaczają przedstawicieli właściwych organów,</w:t>
      </w:r>
      <w:r w:rsidRPr="00710B91">
        <w:rPr>
          <w:noProof/>
        </w:rPr>
        <w:t xml:space="preserve"> o</w:t>
      </w:r>
      <w:r>
        <w:rPr>
          <w:noProof/>
        </w:rPr>
        <w:t> </w:t>
      </w:r>
      <w:r w:rsidRPr="00710B91">
        <w:rPr>
          <w:noProof/>
        </w:rPr>
        <w:t>któ</w:t>
      </w:r>
      <w:r w:rsidR="0047179C" w:rsidRPr="00710B91">
        <w:rPr>
          <w:noProof/>
        </w:rPr>
        <w:t>rych mowa</w:t>
      </w:r>
      <w:r w:rsidRPr="00710B91">
        <w:rPr>
          <w:noProof/>
        </w:rPr>
        <w:t xml:space="preserve"> w</w:t>
      </w:r>
      <w:r>
        <w:rPr>
          <w:noProof/>
        </w:rPr>
        <w:t> </w:t>
      </w:r>
      <w:r w:rsidRPr="00710B91">
        <w:rPr>
          <w:noProof/>
        </w:rPr>
        <w:t>pkt </w:t>
      </w:r>
      <w:r w:rsidR="0047179C" w:rsidRPr="00710B91">
        <w:rPr>
          <w:noProof/>
        </w:rPr>
        <w:t>3 niniejszego artykułu;</w:t>
      </w:r>
    </w:p>
    <w:p w14:paraId="6AA880B3" w14:textId="27A16609" w:rsidR="00521C02" w:rsidRPr="00710B91" w:rsidRDefault="00710B91" w:rsidP="00710B91">
      <w:pPr>
        <w:pStyle w:val="Point0"/>
        <w:rPr>
          <w:noProof/>
        </w:rPr>
      </w:pPr>
      <w:r w:rsidRPr="00710B91">
        <w:rPr>
          <w:noProof/>
        </w:rPr>
        <w:t>5)</w:t>
      </w:r>
      <w:r w:rsidRPr="00710B91">
        <w:rPr>
          <w:noProof/>
        </w:rPr>
        <w:tab/>
      </w:r>
      <w:r w:rsidR="007F2EF5" w:rsidRPr="00710B91">
        <w:rPr>
          <w:noProof/>
        </w:rPr>
        <w:t>„użytkownicy platformy współpracy zespołów JIT” oznaczają członków zespołu JIT, Eurojust, Europol, OLAF oraz inne właściwe organy</w:t>
      </w:r>
      <w:r w:rsidRPr="00710B91">
        <w:rPr>
          <w:noProof/>
        </w:rPr>
        <w:t xml:space="preserve"> i</w:t>
      </w:r>
      <w:r>
        <w:rPr>
          <w:noProof/>
        </w:rPr>
        <w:t> </w:t>
      </w:r>
      <w:r w:rsidRPr="00710B91">
        <w:rPr>
          <w:noProof/>
        </w:rPr>
        <w:t>jed</w:t>
      </w:r>
      <w:r w:rsidR="007F2EF5" w:rsidRPr="00710B91">
        <w:rPr>
          <w:noProof/>
        </w:rPr>
        <w:t>nostki organizacyjne Unii;</w:t>
      </w:r>
    </w:p>
    <w:p w14:paraId="5D5E4153" w14:textId="77E1291A" w:rsidR="00521C02" w:rsidRPr="00710B91" w:rsidRDefault="00710B91" w:rsidP="00710B91">
      <w:pPr>
        <w:pStyle w:val="Point0"/>
        <w:rPr>
          <w:noProof/>
        </w:rPr>
      </w:pPr>
      <w:r w:rsidRPr="00710B91">
        <w:rPr>
          <w:noProof/>
        </w:rPr>
        <w:t>6)</w:t>
      </w:r>
      <w:r w:rsidRPr="00710B91">
        <w:rPr>
          <w:noProof/>
        </w:rPr>
        <w:tab/>
      </w:r>
      <w:r w:rsidR="007F2EF5" w:rsidRPr="00710B91">
        <w:rPr>
          <w:noProof/>
        </w:rPr>
        <w:t>„przestrzeń współpracy zespołu JIT” oznacza wyodrębnioną indywidualną przestrzeń dla każdego zespołu JIT, któremu platforma współpracy zespołów JIT zapewnia hosting;</w:t>
      </w:r>
    </w:p>
    <w:p w14:paraId="03FCE605" w14:textId="0208002B" w:rsidR="007500D8" w:rsidRPr="00710B91" w:rsidRDefault="00710B91" w:rsidP="00710B91">
      <w:pPr>
        <w:pStyle w:val="Point0"/>
        <w:rPr>
          <w:noProof/>
        </w:rPr>
      </w:pPr>
      <w:r w:rsidRPr="00710B91">
        <w:rPr>
          <w:noProof/>
        </w:rPr>
        <w:t>7)</w:t>
      </w:r>
      <w:r w:rsidRPr="00710B91">
        <w:rPr>
          <w:noProof/>
        </w:rPr>
        <w:tab/>
      </w:r>
      <w:r w:rsidR="007F2EF5" w:rsidRPr="00710B91">
        <w:rPr>
          <w:noProof/>
        </w:rPr>
        <w:t>„administrator przestrzeni JIT” oznacza przedstawiciela właściwych organów państwa członkowskiego, który jest odpowiedzialny za przestrzeń współpracy zespołu JIT;</w:t>
      </w:r>
    </w:p>
    <w:p w14:paraId="181111A1" w14:textId="60BA0D1D" w:rsidR="00FB1F4F" w:rsidRPr="00710B91" w:rsidRDefault="00710B91" w:rsidP="00710B91">
      <w:pPr>
        <w:pStyle w:val="Point0"/>
        <w:rPr>
          <w:noProof/>
        </w:rPr>
      </w:pPr>
      <w:r w:rsidRPr="00710B91">
        <w:rPr>
          <w:noProof/>
        </w:rPr>
        <w:t>8)</w:t>
      </w:r>
      <w:r w:rsidRPr="00710B91">
        <w:rPr>
          <w:noProof/>
        </w:rPr>
        <w:tab/>
      </w:r>
      <w:r w:rsidR="007F2EF5" w:rsidRPr="00710B91">
        <w:rPr>
          <w:noProof/>
        </w:rPr>
        <w:t>„dane operacyjne” oznaczają informacje</w:t>
      </w:r>
      <w:r w:rsidRPr="00710B91">
        <w:rPr>
          <w:noProof/>
        </w:rPr>
        <w:t xml:space="preserve"> i</w:t>
      </w:r>
      <w:r>
        <w:rPr>
          <w:noProof/>
        </w:rPr>
        <w:t> </w:t>
      </w:r>
      <w:r w:rsidRPr="00710B91">
        <w:rPr>
          <w:noProof/>
        </w:rPr>
        <w:t>dow</w:t>
      </w:r>
      <w:r w:rsidR="007F2EF5" w:rsidRPr="00710B91">
        <w:rPr>
          <w:noProof/>
        </w:rPr>
        <w:t>ody przetwarzane przez platformę współpracy zespołów JIT na etapie operacyjnym funkcjonowania zespołu JIT na potrzeby wspierania transgranicznych postępowań przygotowawczych</w:t>
      </w:r>
      <w:r w:rsidRPr="00710B91">
        <w:rPr>
          <w:noProof/>
        </w:rPr>
        <w:t xml:space="preserve"> i</w:t>
      </w:r>
      <w:r>
        <w:rPr>
          <w:noProof/>
        </w:rPr>
        <w:t> </w:t>
      </w:r>
      <w:r w:rsidRPr="00710B91">
        <w:rPr>
          <w:noProof/>
        </w:rPr>
        <w:t>tra</w:t>
      </w:r>
      <w:r w:rsidR="007F2EF5" w:rsidRPr="00710B91">
        <w:rPr>
          <w:noProof/>
        </w:rPr>
        <w:t>nsgranicznego ścigania karnego;</w:t>
      </w:r>
    </w:p>
    <w:p w14:paraId="61DE0FB9" w14:textId="75523400" w:rsidR="00521C02" w:rsidRPr="00710B91" w:rsidRDefault="00710B91" w:rsidP="00710B91">
      <w:pPr>
        <w:pStyle w:val="Point0"/>
        <w:rPr>
          <w:noProof/>
        </w:rPr>
      </w:pPr>
      <w:r w:rsidRPr="00710B91">
        <w:rPr>
          <w:noProof/>
        </w:rPr>
        <w:t>9)</w:t>
      </w:r>
      <w:r w:rsidRPr="00710B91">
        <w:rPr>
          <w:noProof/>
        </w:rPr>
        <w:tab/>
      </w:r>
      <w:r w:rsidR="007F2EF5" w:rsidRPr="00710B91">
        <w:rPr>
          <w:noProof/>
        </w:rPr>
        <w:t>„dane nieoperacyjne” oznaczają dane administracyjne przetwarzane przez platformę współpracy zespołów JIT,</w:t>
      </w:r>
      <w:r w:rsidRPr="00710B91">
        <w:rPr>
          <w:noProof/>
        </w:rPr>
        <w:t xml:space="preserve"> w</w:t>
      </w:r>
      <w:r>
        <w:rPr>
          <w:noProof/>
        </w:rPr>
        <w:t> </w:t>
      </w:r>
      <w:r w:rsidRPr="00710B91">
        <w:rPr>
          <w:noProof/>
        </w:rPr>
        <w:t>szc</w:t>
      </w:r>
      <w:r w:rsidR="007F2EF5" w:rsidRPr="00710B91">
        <w:rPr>
          <w:noProof/>
        </w:rPr>
        <w:t>zególności</w:t>
      </w:r>
      <w:r w:rsidRPr="00710B91">
        <w:rPr>
          <w:noProof/>
        </w:rPr>
        <w:t xml:space="preserve"> w</w:t>
      </w:r>
      <w:r>
        <w:rPr>
          <w:noProof/>
        </w:rPr>
        <w:t> </w:t>
      </w:r>
      <w:r w:rsidRPr="00710B91">
        <w:rPr>
          <w:noProof/>
        </w:rPr>
        <w:t>cel</w:t>
      </w:r>
      <w:r w:rsidR="007F2EF5" w:rsidRPr="00710B91">
        <w:rPr>
          <w:noProof/>
        </w:rPr>
        <w:t>u ułatwienia zarządzania zespołami JIT oraz codziennej współpracy między użytkownikami platformy współpracy zespołów JIT.</w:t>
      </w:r>
    </w:p>
    <w:p w14:paraId="7B522644" w14:textId="77777777" w:rsidR="00521C02" w:rsidRPr="00710B91" w:rsidRDefault="00521C02" w:rsidP="00FF717F">
      <w:pPr>
        <w:pStyle w:val="Titrearticle"/>
        <w:rPr>
          <w:noProof/>
        </w:rPr>
      </w:pPr>
      <w:r w:rsidRPr="00710B91">
        <w:rPr>
          <w:noProof/>
        </w:rPr>
        <w:t>Artykuł 4</w:t>
      </w:r>
    </w:p>
    <w:p w14:paraId="1992F05F" w14:textId="77777777" w:rsidR="00521C02" w:rsidRPr="00710B91" w:rsidRDefault="00521C02" w:rsidP="00521C02">
      <w:pPr>
        <w:shd w:val="clear" w:color="auto" w:fill="FFFFFF" w:themeFill="background1"/>
        <w:spacing w:before="60" w:line="312" w:lineRule="atLeast"/>
        <w:jc w:val="center"/>
        <w:rPr>
          <w:rFonts w:eastAsia="Times New Roman"/>
          <w:b/>
          <w:bCs/>
          <w:noProof/>
          <w:szCs w:val="24"/>
        </w:rPr>
      </w:pPr>
      <w:r w:rsidRPr="00710B91">
        <w:rPr>
          <w:b/>
          <w:bCs/>
          <w:noProof/>
          <w:szCs w:val="24"/>
        </w:rPr>
        <w:t xml:space="preserve">Architektura techniczna platformy współpracy zespołów JIT </w:t>
      </w:r>
    </w:p>
    <w:p w14:paraId="351C351E" w14:textId="33D029A1" w:rsidR="00521C02" w:rsidRPr="00710B91" w:rsidRDefault="00521C02" w:rsidP="00521C02">
      <w:pPr>
        <w:shd w:val="clear" w:color="auto" w:fill="FFFFFF" w:themeFill="background1"/>
        <w:spacing w:before="60" w:line="312" w:lineRule="atLeast"/>
        <w:rPr>
          <w:rFonts w:eastAsia="Times New Roman"/>
          <w:noProof/>
          <w:szCs w:val="24"/>
        </w:rPr>
      </w:pPr>
      <w:r w:rsidRPr="00710B91">
        <w:rPr>
          <w:noProof/>
        </w:rPr>
        <w:t>Platforma współpracy zespołów JIT składa się</w:t>
      </w:r>
      <w:r w:rsidR="00710B91" w:rsidRPr="00710B91">
        <w:rPr>
          <w:noProof/>
        </w:rPr>
        <w:t xml:space="preserve"> z</w:t>
      </w:r>
      <w:r w:rsidR="00710B91">
        <w:rPr>
          <w:noProof/>
        </w:rPr>
        <w:t> </w:t>
      </w:r>
      <w:r w:rsidR="00710B91" w:rsidRPr="00710B91">
        <w:rPr>
          <w:noProof/>
        </w:rPr>
        <w:t>nas</w:t>
      </w:r>
      <w:r w:rsidRPr="00710B91">
        <w:rPr>
          <w:noProof/>
        </w:rPr>
        <w:t xml:space="preserve">tępujących elementów: </w:t>
      </w:r>
    </w:p>
    <w:p w14:paraId="162E9A1D" w14:textId="1A99F35F" w:rsidR="00243EE0" w:rsidRPr="00710B91" w:rsidRDefault="00710B91" w:rsidP="00710B91">
      <w:pPr>
        <w:pStyle w:val="Point0"/>
        <w:rPr>
          <w:noProof/>
        </w:rPr>
      </w:pPr>
      <w:r w:rsidRPr="00710B91">
        <w:rPr>
          <w:noProof/>
        </w:rPr>
        <w:t>a)</w:t>
      </w:r>
      <w:r w:rsidRPr="00710B91">
        <w:rPr>
          <w:noProof/>
        </w:rPr>
        <w:tab/>
      </w:r>
      <w:r w:rsidR="00521C02" w:rsidRPr="00710B91">
        <w:rPr>
          <w:noProof/>
        </w:rPr>
        <w:t xml:space="preserve">scentralizowanego systemu informacyjnego pozwalającego na tymczasowe scentralizowane przechowywanie danych; </w:t>
      </w:r>
    </w:p>
    <w:p w14:paraId="14DB18B0" w14:textId="5CC304A6" w:rsidR="004A5FE2" w:rsidRPr="00710B91" w:rsidRDefault="00710B91" w:rsidP="00710B91">
      <w:pPr>
        <w:pStyle w:val="Point0"/>
        <w:rPr>
          <w:noProof/>
        </w:rPr>
      </w:pPr>
      <w:r w:rsidRPr="00710B91">
        <w:rPr>
          <w:noProof/>
        </w:rPr>
        <w:t>b)</w:t>
      </w:r>
      <w:r w:rsidRPr="00710B91">
        <w:rPr>
          <w:noProof/>
        </w:rPr>
        <w:tab/>
      </w:r>
      <w:r w:rsidR="00521C02" w:rsidRPr="00710B91">
        <w:rPr>
          <w:noProof/>
        </w:rPr>
        <w:t>oprogramowania komunikacyjnego pozwalającego na lokalne przechowywania danych komunikacyjnych;</w:t>
      </w:r>
    </w:p>
    <w:p w14:paraId="344EDCB9" w14:textId="71A1FACE" w:rsidR="00521C02" w:rsidRPr="00710B91" w:rsidRDefault="00710B91" w:rsidP="00710B91">
      <w:pPr>
        <w:pStyle w:val="Point0"/>
        <w:rPr>
          <w:noProof/>
        </w:rPr>
      </w:pPr>
      <w:r w:rsidRPr="00710B91">
        <w:rPr>
          <w:noProof/>
        </w:rPr>
        <w:t>c)</w:t>
      </w:r>
      <w:r w:rsidRPr="00710B91">
        <w:rPr>
          <w:noProof/>
        </w:rPr>
        <w:tab/>
      </w:r>
      <w:r w:rsidR="00521C02" w:rsidRPr="00710B91">
        <w:rPr>
          <w:noProof/>
        </w:rPr>
        <w:t>połączenia między scentralizowanym systemem informacyjnym</w:t>
      </w:r>
      <w:r w:rsidRPr="00710B91">
        <w:rPr>
          <w:noProof/>
        </w:rPr>
        <w:t xml:space="preserve"> i</w:t>
      </w:r>
      <w:r>
        <w:rPr>
          <w:noProof/>
        </w:rPr>
        <w:t> </w:t>
      </w:r>
      <w:r w:rsidRPr="00710B91">
        <w:rPr>
          <w:noProof/>
        </w:rPr>
        <w:t>odp</w:t>
      </w:r>
      <w:r w:rsidR="00521C02" w:rsidRPr="00710B91">
        <w:rPr>
          <w:noProof/>
        </w:rPr>
        <w:t>owiednimi narzędziami informatycznymi wspierającymi funkcjonowanie zespołów JIT, którym zarządza sekretariat JIT.</w:t>
      </w:r>
    </w:p>
    <w:p w14:paraId="5076754E" w14:textId="77777777" w:rsidR="00521C02" w:rsidRPr="00710B91" w:rsidRDefault="00521C02" w:rsidP="00FF717F">
      <w:pPr>
        <w:rPr>
          <w:noProof/>
          <w:lang w:eastAsia="en-GB"/>
        </w:rPr>
      </w:pPr>
    </w:p>
    <w:p w14:paraId="6B7F11D7" w14:textId="77777777" w:rsidR="00521C02" w:rsidRPr="00710B91" w:rsidRDefault="00521C02" w:rsidP="00521C02">
      <w:pPr>
        <w:shd w:val="clear" w:color="auto" w:fill="FFFFFF" w:themeFill="background1"/>
        <w:spacing w:before="60" w:line="312" w:lineRule="atLeast"/>
        <w:jc w:val="center"/>
        <w:rPr>
          <w:rFonts w:eastAsia="Times New Roman"/>
          <w:i/>
          <w:noProof/>
          <w:szCs w:val="24"/>
        </w:rPr>
      </w:pPr>
      <w:r w:rsidRPr="00710B91">
        <w:rPr>
          <w:i/>
          <w:noProof/>
          <w:szCs w:val="24"/>
        </w:rPr>
        <w:t>Artykuł 5</w:t>
      </w:r>
    </w:p>
    <w:p w14:paraId="04DC6383" w14:textId="77777777" w:rsidR="00521C02" w:rsidRPr="00710B91" w:rsidRDefault="00521C02" w:rsidP="00521C02">
      <w:pPr>
        <w:shd w:val="clear" w:color="auto" w:fill="FFFFFF" w:themeFill="background1"/>
        <w:spacing w:before="60" w:line="312" w:lineRule="atLeast"/>
        <w:jc w:val="center"/>
        <w:rPr>
          <w:rFonts w:eastAsia="Times New Roman"/>
          <w:b/>
          <w:noProof/>
          <w:szCs w:val="24"/>
        </w:rPr>
      </w:pPr>
      <w:r w:rsidRPr="00710B91">
        <w:rPr>
          <w:b/>
          <w:noProof/>
          <w:szCs w:val="24"/>
        </w:rPr>
        <w:t>Cel platformy współpracy zespołów JIT</w:t>
      </w:r>
    </w:p>
    <w:p w14:paraId="15E25C8D" w14:textId="097646BB" w:rsidR="00521C02" w:rsidRPr="00710B91" w:rsidRDefault="009A08E9" w:rsidP="009A08E9">
      <w:pPr>
        <w:pStyle w:val="ManualNumPar1"/>
        <w:rPr>
          <w:noProof/>
        </w:rPr>
      </w:pPr>
      <w:r w:rsidRPr="009A08E9">
        <w:t>1.</w:t>
      </w:r>
      <w:r w:rsidRPr="009A08E9">
        <w:tab/>
      </w:r>
      <w:r w:rsidR="00521C02" w:rsidRPr="00710B91">
        <w:rPr>
          <w:noProof/>
        </w:rPr>
        <w:t>Celem platformy współpracy zespołów JIT jest ułatwianie:</w:t>
      </w:r>
    </w:p>
    <w:p w14:paraId="28055D66" w14:textId="63922D8F" w:rsidR="00521C02" w:rsidRPr="00710B91" w:rsidRDefault="00710B91" w:rsidP="00710B91">
      <w:pPr>
        <w:pStyle w:val="Point0"/>
        <w:rPr>
          <w:noProof/>
        </w:rPr>
      </w:pPr>
      <w:r w:rsidRPr="00710B91">
        <w:rPr>
          <w:noProof/>
        </w:rPr>
        <w:t>a)</w:t>
      </w:r>
      <w:r w:rsidRPr="00710B91">
        <w:rPr>
          <w:noProof/>
        </w:rPr>
        <w:tab/>
      </w:r>
      <w:r w:rsidR="00521C02" w:rsidRPr="00710B91">
        <w:rPr>
          <w:noProof/>
        </w:rPr>
        <w:t>codziennej koordynacji zespołu JIT</w:t>
      </w:r>
      <w:r w:rsidRPr="00710B91">
        <w:rPr>
          <w:noProof/>
        </w:rPr>
        <w:t xml:space="preserve"> i</w:t>
      </w:r>
      <w:r>
        <w:rPr>
          <w:noProof/>
        </w:rPr>
        <w:t> </w:t>
      </w:r>
      <w:r w:rsidRPr="00710B91">
        <w:rPr>
          <w:noProof/>
        </w:rPr>
        <w:t>zar</w:t>
      </w:r>
      <w:r w:rsidR="00521C02" w:rsidRPr="00710B91">
        <w:rPr>
          <w:noProof/>
        </w:rPr>
        <w:t>ządzania nim poprzez zestaw funkcji wspierających procesy administracyjne</w:t>
      </w:r>
      <w:r w:rsidRPr="00710B91">
        <w:rPr>
          <w:noProof/>
        </w:rPr>
        <w:t xml:space="preserve"> i</w:t>
      </w:r>
      <w:r>
        <w:rPr>
          <w:noProof/>
        </w:rPr>
        <w:t> </w:t>
      </w:r>
      <w:r w:rsidRPr="00710B91">
        <w:rPr>
          <w:noProof/>
        </w:rPr>
        <w:t>fin</w:t>
      </w:r>
      <w:r w:rsidR="00521C02" w:rsidRPr="00710B91">
        <w:rPr>
          <w:noProof/>
        </w:rPr>
        <w:t>ansowe</w:t>
      </w:r>
      <w:r w:rsidRPr="00710B91">
        <w:rPr>
          <w:noProof/>
        </w:rPr>
        <w:t xml:space="preserve"> w</w:t>
      </w:r>
      <w:r>
        <w:rPr>
          <w:noProof/>
        </w:rPr>
        <w:t> </w:t>
      </w:r>
      <w:r w:rsidRPr="00710B91">
        <w:rPr>
          <w:noProof/>
        </w:rPr>
        <w:t>ram</w:t>
      </w:r>
      <w:r w:rsidR="00521C02" w:rsidRPr="00710B91">
        <w:rPr>
          <w:noProof/>
        </w:rPr>
        <w:t xml:space="preserve">ach tego zespołu; </w:t>
      </w:r>
    </w:p>
    <w:p w14:paraId="70DCD32A" w14:textId="45B1D2D4" w:rsidR="00521C02" w:rsidRPr="00710B91" w:rsidRDefault="00710B91" w:rsidP="00710B91">
      <w:pPr>
        <w:pStyle w:val="Point0"/>
        <w:rPr>
          <w:noProof/>
        </w:rPr>
      </w:pPr>
      <w:r w:rsidRPr="00710B91">
        <w:rPr>
          <w:noProof/>
        </w:rPr>
        <w:t>b)</w:t>
      </w:r>
      <w:r w:rsidRPr="00710B91">
        <w:rPr>
          <w:noProof/>
        </w:rPr>
        <w:tab/>
      </w:r>
      <w:r w:rsidR="00521C02" w:rsidRPr="00710B91">
        <w:rPr>
          <w:noProof/>
        </w:rPr>
        <w:t>wymiany</w:t>
      </w:r>
      <w:r w:rsidRPr="00710B91">
        <w:rPr>
          <w:noProof/>
        </w:rPr>
        <w:t xml:space="preserve"> i</w:t>
      </w:r>
      <w:r>
        <w:rPr>
          <w:noProof/>
        </w:rPr>
        <w:t> </w:t>
      </w:r>
      <w:r w:rsidRPr="00710B91">
        <w:rPr>
          <w:noProof/>
        </w:rPr>
        <w:t>tym</w:t>
      </w:r>
      <w:r w:rsidR="00521C02" w:rsidRPr="00710B91">
        <w:rPr>
          <w:noProof/>
        </w:rPr>
        <w:t>czasowego przechowywania informacji operacyjnych</w:t>
      </w:r>
      <w:r w:rsidRPr="00710B91">
        <w:rPr>
          <w:noProof/>
        </w:rPr>
        <w:t xml:space="preserve"> i</w:t>
      </w:r>
      <w:r>
        <w:rPr>
          <w:noProof/>
        </w:rPr>
        <w:t> </w:t>
      </w:r>
      <w:r w:rsidRPr="00710B91">
        <w:rPr>
          <w:noProof/>
        </w:rPr>
        <w:t>dow</w:t>
      </w:r>
      <w:r w:rsidR="00521C02" w:rsidRPr="00710B91">
        <w:rPr>
          <w:noProof/>
        </w:rPr>
        <w:t>odów,</w:t>
      </w:r>
      <w:r w:rsidRPr="00710B91">
        <w:rPr>
          <w:noProof/>
        </w:rPr>
        <w:t xml:space="preserve"> w</w:t>
      </w:r>
      <w:r>
        <w:rPr>
          <w:noProof/>
        </w:rPr>
        <w:t> </w:t>
      </w:r>
      <w:r w:rsidRPr="00710B91">
        <w:rPr>
          <w:noProof/>
        </w:rPr>
        <w:t>tym</w:t>
      </w:r>
      <w:r w:rsidR="00521C02" w:rsidRPr="00710B91">
        <w:rPr>
          <w:noProof/>
        </w:rPr>
        <w:t xml:space="preserve"> dużych plików poprzez funkcję zamieszczania</w:t>
      </w:r>
      <w:r w:rsidRPr="00710B91">
        <w:rPr>
          <w:noProof/>
        </w:rPr>
        <w:t xml:space="preserve"> i</w:t>
      </w:r>
      <w:r>
        <w:rPr>
          <w:noProof/>
        </w:rPr>
        <w:t> </w:t>
      </w:r>
      <w:r w:rsidRPr="00710B91">
        <w:rPr>
          <w:noProof/>
        </w:rPr>
        <w:t>pob</w:t>
      </w:r>
      <w:r w:rsidR="00521C02" w:rsidRPr="00710B91">
        <w:rPr>
          <w:noProof/>
        </w:rPr>
        <w:t>ierania;</w:t>
      </w:r>
    </w:p>
    <w:p w14:paraId="629DEC8A" w14:textId="421714E6" w:rsidR="00521C02" w:rsidRPr="00710B91" w:rsidRDefault="00710B91" w:rsidP="00710B91">
      <w:pPr>
        <w:pStyle w:val="Point0"/>
        <w:rPr>
          <w:noProof/>
        </w:rPr>
      </w:pPr>
      <w:r w:rsidRPr="00710B91">
        <w:rPr>
          <w:noProof/>
        </w:rPr>
        <w:t>c)</w:t>
      </w:r>
      <w:r w:rsidRPr="00710B91">
        <w:rPr>
          <w:noProof/>
        </w:rPr>
        <w:tab/>
      </w:r>
      <w:r w:rsidR="00521C02" w:rsidRPr="00710B91">
        <w:rPr>
          <w:noProof/>
        </w:rPr>
        <w:t>bezpiecznej komunikacji poprzez funkcję obejmującą komunikację natychmiastową, czaty, audio-</w:t>
      </w:r>
      <w:r w:rsidRPr="00710B91">
        <w:rPr>
          <w:noProof/>
        </w:rPr>
        <w:t xml:space="preserve"> i</w:t>
      </w:r>
      <w:r>
        <w:rPr>
          <w:noProof/>
        </w:rPr>
        <w:t> </w:t>
      </w:r>
      <w:r w:rsidRPr="00710B91">
        <w:rPr>
          <w:noProof/>
        </w:rPr>
        <w:t>wid</w:t>
      </w:r>
      <w:r w:rsidR="00521C02" w:rsidRPr="00710B91">
        <w:rPr>
          <w:noProof/>
        </w:rPr>
        <w:t>eokonferencje;</w:t>
      </w:r>
    </w:p>
    <w:p w14:paraId="5F8854C1" w14:textId="0F6AD914" w:rsidR="00521C02" w:rsidRPr="00710B91" w:rsidRDefault="00710B91" w:rsidP="00710B91">
      <w:pPr>
        <w:pStyle w:val="Point0"/>
        <w:rPr>
          <w:noProof/>
        </w:rPr>
      </w:pPr>
      <w:r w:rsidRPr="00710B91">
        <w:rPr>
          <w:noProof/>
        </w:rPr>
        <w:t>d)</w:t>
      </w:r>
      <w:r w:rsidRPr="00710B91">
        <w:rPr>
          <w:noProof/>
        </w:rPr>
        <w:tab/>
      </w:r>
      <w:r w:rsidR="00B66B33" w:rsidRPr="00710B91">
        <w:rPr>
          <w:noProof/>
        </w:rPr>
        <w:t>identyfikowalności dowodów za pośrednictwem mechanizmu zapisywania działań</w:t>
      </w:r>
      <w:r w:rsidRPr="00710B91">
        <w:rPr>
          <w:noProof/>
        </w:rPr>
        <w:t xml:space="preserve"> w</w:t>
      </w:r>
      <w:r>
        <w:rPr>
          <w:noProof/>
        </w:rPr>
        <w:t> </w:t>
      </w:r>
      <w:r w:rsidRPr="00710B91">
        <w:rPr>
          <w:noProof/>
        </w:rPr>
        <w:t>dzi</w:t>
      </w:r>
      <w:r w:rsidR="00B66B33" w:rsidRPr="00710B91">
        <w:rPr>
          <w:noProof/>
        </w:rPr>
        <w:t>enniku umożliwiającego śledzenie wszystkich dowodów wymienianych za pośrednictwem platformy współpracy zespołów JIT;</w:t>
      </w:r>
    </w:p>
    <w:p w14:paraId="0C285C2A" w14:textId="71B736C3" w:rsidR="00521C02" w:rsidRPr="00710B91" w:rsidRDefault="00710B91" w:rsidP="00710B91">
      <w:pPr>
        <w:pStyle w:val="Point0"/>
        <w:rPr>
          <w:noProof/>
        </w:rPr>
      </w:pPr>
      <w:r w:rsidRPr="00710B91">
        <w:rPr>
          <w:noProof/>
        </w:rPr>
        <w:t>e)</w:t>
      </w:r>
      <w:r w:rsidRPr="00710B91">
        <w:rPr>
          <w:noProof/>
        </w:rPr>
        <w:tab/>
      </w:r>
      <w:r w:rsidR="00521C02" w:rsidRPr="00710B91">
        <w:rPr>
          <w:noProof/>
        </w:rPr>
        <w:t>oceny zespołu JIT</w:t>
      </w:r>
      <w:r w:rsidRPr="00710B91">
        <w:rPr>
          <w:noProof/>
        </w:rPr>
        <w:t xml:space="preserve"> w</w:t>
      </w:r>
      <w:r>
        <w:rPr>
          <w:noProof/>
        </w:rPr>
        <w:t> </w:t>
      </w:r>
      <w:r w:rsidRPr="00710B91">
        <w:rPr>
          <w:noProof/>
        </w:rPr>
        <w:t>ram</w:t>
      </w:r>
      <w:r w:rsidR="00521C02" w:rsidRPr="00710B91">
        <w:rPr>
          <w:noProof/>
        </w:rPr>
        <w:t>ach specjalnego procesu wspólnej oceny.</w:t>
      </w:r>
    </w:p>
    <w:p w14:paraId="484EE69B" w14:textId="0F31EDA3" w:rsidR="006A71D0" w:rsidRPr="00710B91" w:rsidRDefault="009A08E9" w:rsidP="009A08E9">
      <w:pPr>
        <w:pStyle w:val="ManualNumPar1"/>
        <w:rPr>
          <w:noProof/>
        </w:rPr>
      </w:pPr>
      <w:r w:rsidRPr="009A08E9">
        <w:t>2.</w:t>
      </w:r>
      <w:r w:rsidRPr="009A08E9">
        <w:tab/>
      </w:r>
      <w:r w:rsidR="00521C02" w:rsidRPr="00710B91">
        <w:rPr>
          <w:noProof/>
        </w:rPr>
        <w:t>Hosting scentralizowanego systemu informacyjnego zapewnia eu-LISA</w:t>
      </w:r>
      <w:r w:rsidR="00710B91" w:rsidRPr="00710B91">
        <w:rPr>
          <w:noProof/>
        </w:rPr>
        <w:t xml:space="preserve"> w</w:t>
      </w:r>
      <w:r w:rsidR="00710B91">
        <w:rPr>
          <w:noProof/>
        </w:rPr>
        <w:t> </w:t>
      </w:r>
      <w:r w:rsidR="00710B91" w:rsidRPr="00710B91">
        <w:rPr>
          <w:noProof/>
        </w:rPr>
        <w:t>swo</w:t>
      </w:r>
      <w:r w:rsidR="00521C02" w:rsidRPr="00710B91">
        <w:rPr>
          <w:noProof/>
        </w:rPr>
        <w:t>ich centrach technicznych.</w:t>
      </w:r>
    </w:p>
    <w:p w14:paraId="15F1AEBD" w14:textId="77777777" w:rsidR="009721F4" w:rsidRPr="00710B91" w:rsidRDefault="009721F4" w:rsidP="00521C02">
      <w:pPr>
        <w:shd w:val="clear" w:color="auto" w:fill="FFFFFF" w:themeFill="background1"/>
        <w:spacing w:after="0" w:line="312" w:lineRule="atLeast"/>
        <w:rPr>
          <w:rFonts w:eastAsia="Times New Roman"/>
          <w:b/>
          <w:bCs/>
          <w:i/>
          <w:iCs/>
          <w:noProof/>
          <w:szCs w:val="24"/>
          <w:lang w:eastAsia="en-GB"/>
        </w:rPr>
      </w:pPr>
    </w:p>
    <w:p w14:paraId="73C947BF" w14:textId="77777777" w:rsidR="00521C02" w:rsidRPr="00710B91" w:rsidRDefault="00521C02" w:rsidP="00521C02">
      <w:pPr>
        <w:shd w:val="clear" w:color="auto" w:fill="FFFFFF" w:themeFill="background1"/>
        <w:spacing w:after="0" w:line="312" w:lineRule="atLeast"/>
        <w:jc w:val="center"/>
        <w:rPr>
          <w:rFonts w:eastAsia="Times New Roman"/>
          <w:b/>
          <w:bCs/>
          <w:noProof/>
          <w:szCs w:val="24"/>
        </w:rPr>
      </w:pPr>
      <w:r w:rsidRPr="00710B91">
        <w:rPr>
          <w:b/>
          <w:bCs/>
          <w:iCs/>
          <w:noProof/>
          <w:szCs w:val="24"/>
        </w:rPr>
        <w:t>ROZDZIAŁ II</w:t>
      </w:r>
    </w:p>
    <w:p w14:paraId="0BD26858" w14:textId="77777777" w:rsidR="00521C02" w:rsidRPr="00710B91" w:rsidRDefault="00521C02" w:rsidP="00521C02">
      <w:pPr>
        <w:shd w:val="clear" w:color="auto" w:fill="FFFFFF" w:themeFill="background1"/>
        <w:spacing w:after="0" w:line="312" w:lineRule="atLeast"/>
        <w:jc w:val="center"/>
        <w:rPr>
          <w:rFonts w:eastAsia="Times New Roman"/>
          <w:b/>
          <w:bCs/>
          <w:noProof/>
          <w:szCs w:val="24"/>
        </w:rPr>
      </w:pPr>
      <w:r w:rsidRPr="00710B91">
        <w:rPr>
          <w:b/>
          <w:bCs/>
          <w:i/>
          <w:iCs/>
          <w:noProof/>
          <w:szCs w:val="24"/>
        </w:rPr>
        <w:t>Rozwój systemu oraz zarządzanie operacyjne</w:t>
      </w:r>
    </w:p>
    <w:p w14:paraId="21F9B87C" w14:textId="77777777" w:rsidR="00521C02" w:rsidRPr="00710B91" w:rsidRDefault="00521C02" w:rsidP="00FF717F">
      <w:pPr>
        <w:pStyle w:val="Titrearticle"/>
        <w:rPr>
          <w:noProof/>
        </w:rPr>
      </w:pPr>
      <w:r w:rsidRPr="00710B91">
        <w:rPr>
          <w:noProof/>
        </w:rPr>
        <w:t>Artykuł 6</w:t>
      </w:r>
    </w:p>
    <w:p w14:paraId="04272F96" w14:textId="77777777" w:rsidR="00521C02" w:rsidRPr="00710B91" w:rsidRDefault="00521C02" w:rsidP="00521C02">
      <w:pPr>
        <w:shd w:val="clear" w:color="auto" w:fill="FFFFFF" w:themeFill="background1"/>
        <w:spacing w:after="0" w:line="312" w:lineRule="atLeast"/>
        <w:jc w:val="center"/>
        <w:rPr>
          <w:rFonts w:eastAsia="Times New Roman"/>
          <w:b/>
          <w:noProof/>
          <w:szCs w:val="24"/>
        </w:rPr>
      </w:pPr>
      <w:r w:rsidRPr="00710B91">
        <w:rPr>
          <w:b/>
          <w:noProof/>
          <w:szCs w:val="24"/>
        </w:rPr>
        <w:t>Przyjęcie aktów wykonawczych przez Komisję</w:t>
      </w:r>
    </w:p>
    <w:p w14:paraId="6E594C5B" w14:textId="4D88FDB7" w:rsidR="00521C02" w:rsidRPr="00710B91" w:rsidRDefault="00521C02" w:rsidP="00521C02">
      <w:pPr>
        <w:shd w:val="clear" w:color="auto" w:fill="FFFFFF" w:themeFill="background1"/>
        <w:spacing w:after="0" w:line="312" w:lineRule="atLeast"/>
        <w:rPr>
          <w:rFonts w:eastAsia="Times New Roman"/>
          <w:noProof/>
          <w:szCs w:val="24"/>
        </w:rPr>
      </w:pPr>
      <w:r w:rsidRPr="00710B91">
        <w:rPr>
          <w:noProof/>
        </w:rPr>
        <w:t>Komisja przyjmuje jak najszybciej akty wykonawcze niezbędne do technicznego rozwijania platformy współpracy zespołów JIT,</w:t>
      </w:r>
      <w:r w:rsidR="00710B91" w:rsidRPr="00710B91">
        <w:rPr>
          <w:noProof/>
        </w:rPr>
        <w:t xml:space="preserve"> a</w:t>
      </w:r>
      <w:r w:rsidR="00710B91">
        <w:rPr>
          <w:noProof/>
        </w:rPr>
        <w:t> </w:t>
      </w:r>
      <w:r w:rsidR="00710B91" w:rsidRPr="00710B91">
        <w:rPr>
          <w:noProof/>
        </w:rPr>
        <w:t>w</w:t>
      </w:r>
      <w:r w:rsidR="00710B91">
        <w:rPr>
          <w:noProof/>
        </w:rPr>
        <w:t> </w:t>
      </w:r>
      <w:r w:rsidR="00710B91" w:rsidRPr="00710B91">
        <w:rPr>
          <w:noProof/>
        </w:rPr>
        <w:t>szc</w:t>
      </w:r>
      <w:r w:rsidRPr="00710B91">
        <w:rPr>
          <w:noProof/>
        </w:rPr>
        <w:t>zególności akty dotyczące:</w:t>
      </w:r>
    </w:p>
    <w:p w14:paraId="72D3281B" w14:textId="673CD497" w:rsidR="00C24D2B" w:rsidRPr="00710B91" w:rsidRDefault="00710B91" w:rsidP="00710B91">
      <w:pPr>
        <w:pStyle w:val="Point0"/>
        <w:rPr>
          <w:noProof/>
        </w:rPr>
      </w:pPr>
      <w:r w:rsidRPr="00710B91">
        <w:rPr>
          <w:noProof/>
        </w:rPr>
        <w:t>a)</w:t>
      </w:r>
      <w:r w:rsidRPr="00710B91">
        <w:rPr>
          <w:noProof/>
        </w:rPr>
        <w:tab/>
      </w:r>
      <w:r w:rsidR="00521C02" w:rsidRPr="00710B91">
        <w:rPr>
          <w:noProof/>
        </w:rPr>
        <w:t>wykazu funkcji wymaganych na potrzeby codziennej koordynacji zespołu JIT</w:t>
      </w:r>
      <w:r w:rsidRPr="00710B91">
        <w:rPr>
          <w:noProof/>
        </w:rPr>
        <w:t xml:space="preserve"> i</w:t>
      </w:r>
      <w:r>
        <w:rPr>
          <w:noProof/>
        </w:rPr>
        <w:t> </w:t>
      </w:r>
      <w:r w:rsidRPr="00710B91">
        <w:rPr>
          <w:noProof/>
        </w:rPr>
        <w:t>zar</w:t>
      </w:r>
      <w:r w:rsidR="00521C02" w:rsidRPr="00710B91">
        <w:rPr>
          <w:noProof/>
        </w:rPr>
        <w:t>ządzania nim;</w:t>
      </w:r>
    </w:p>
    <w:p w14:paraId="29B68720" w14:textId="2141225B" w:rsidR="00C24D2B" w:rsidRPr="00710B91" w:rsidRDefault="00710B91" w:rsidP="00710B91">
      <w:pPr>
        <w:pStyle w:val="Point0"/>
        <w:rPr>
          <w:noProof/>
        </w:rPr>
      </w:pPr>
      <w:r w:rsidRPr="00710B91">
        <w:rPr>
          <w:noProof/>
        </w:rPr>
        <w:t>b)</w:t>
      </w:r>
      <w:r w:rsidRPr="00710B91">
        <w:rPr>
          <w:noProof/>
        </w:rPr>
        <w:tab/>
      </w:r>
      <w:r w:rsidR="00521C02" w:rsidRPr="00710B91">
        <w:rPr>
          <w:noProof/>
        </w:rPr>
        <w:t>wykazu funkcji wymaganych na potrzeby bezpiecznej komunikacji;</w:t>
      </w:r>
    </w:p>
    <w:p w14:paraId="5A6A9F14" w14:textId="1F80D5AA" w:rsidR="00C24D2B" w:rsidRPr="00710B91" w:rsidRDefault="00710B91" w:rsidP="00710B91">
      <w:pPr>
        <w:pStyle w:val="Point0"/>
        <w:rPr>
          <w:noProof/>
        </w:rPr>
      </w:pPr>
      <w:r w:rsidRPr="00710B91">
        <w:rPr>
          <w:noProof/>
        </w:rPr>
        <w:t>c)</w:t>
      </w:r>
      <w:r w:rsidRPr="00710B91">
        <w:rPr>
          <w:noProof/>
        </w:rPr>
        <w:tab/>
      </w:r>
      <w:r w:rsidR="00521C02" w:rsidRPr="00710B91">
        <w:rPr>
          <w:noProof/>
        </w:rPr>
        <w:t>specyfikacji dotyczących funkcjonowania połączenia,</w:t>
      </w:r>
      <w:r w:rsidRPr="00710B91">
        <w:rPr>
          <w:noProof/>
        </w:rPr>
        <w:t xml:space="preserve"> o</w:t>
      </w:r>
      <w:r>
        <w:rPr>
          <w:noProof/>
        </w:rPr>
        <w:t> </w:t>
      </w:r>
      <w:r w:rsidRPr="00710B91">
        <w:rPr>
          <w:noProof/>
        </w:rPr>
        <w:t>któ</w:t>
      </w:r>
      <w:r w:rsidR="00521C02" w:rsidRPr="00710B91">
        <w:rPr>
          <w:noProof/>
        </w:rPr>
        <w:t>rym mowa</w:t>
      </w:r>
      <w:r w:rsidRPr="00710B91">
        <w:rPr>
          <w:noProof/>
        </w:rPr>
        <w:t xml:space="preserve"> w</w:t>
      </w:r>
      <w:r>
        <w:rPr>
          <w:noProof/>
        </w:rPr>
        <w:t> </w:t>
      </w:r>
      <w:r w:rsidRPr="00710B91">
        <w:rPr>
          <w:noProof/>
        </w:rPr>
        <w:t>art</w:t>
      </w:r>
      <w:r w:rsidR="00521C02" w:rsidRPr="00710B91">
        <w:rPr>
          <w:noProof/>
        </w:rPr>
        <w:t>.</w:t>
      </w:r>
      <w:r w:rsidRPr="00710B91">
        <w:rPr>
          <w:noProof/>
        </w:rPr>
        <w:t> </w:t>
      </w:r>
      <w:r w:rsidR="00521C02" w:rsidRPr="00710B91">
        <w:rPr>
          <w:noProof/>
        </w:rPr>
        <w:t>4 lit.</w:t>
      </w:r>
      <w:r w:rsidRPr="00710B91">
        <w:rPr>
          <w:noProof/>
        </w:rPr>
        <w:t> </w:t>
      </w:r>
      <w:r w:rsidR="00521C02" w:rsidRPr="00710B91">
        <w:rPr>
          <w:noProof/>
        </w:rPr>
        <w:t>c);</w:t>
      </w:r>
      <w:r w:rsidR="00521C02" w:rsidRPr="00710B91">
        <w:rPr>
          <w:b/>
          <w:noProof/>
        </w:rPr>
        <w:t xml:space="preserve"> </w:t>
      </w:r>
    </w:p>
    <w:p w14:paraId="4765B4E8" w14:textId="1F77C752" w:rsidR="00C24D2B" w:rsidRPr="00710B91" w:rsidRDefault="00710B91" w:rsidP="00710B91">
      <w:pPr>
        <w:pStyle w:val="Point0"/>
        <w:rPr>
          <w:noProof/>
        </w:rPr>
      </w:pPr>
      <w:r w:rsidRPr="00710B91">
        <w:rPr>
          <w:noProof/>
        </w:rPr>
        <w:t>d)</w:t>
      </w:r>
      <w:r w:rsidRPr="00710B91">
        <w:rPr>
          <w:noProof/>
        </w:rPr>
        <w:tab/>
      </w:r>
      <w:r w:rsidR="00720867" w:rsidRPr="00710B91">
        <w:rPr>
          <w:noProof/>
        </w:rPr>
        <w:t>bezpieczeństwa zgodnie</w:t>
      </w:r>
      <w:r w:rsidRPr="00710B91">
        <w:rPr>
          <w:noProof/>
        </w:rPr>
        <w:t xml:space="preserve"> z</w:t>
      </w:r>
      <w:r>
        <w:rPr>
          <w:noProof/>
        </w:rPr>
        <w:t> </w:t>
      </w:r>
      <w:r w:rsidRPr="00710B91">
        <w:rPr>
          <w:noProof/>
        </w:rPr>
        <w:t>art</w:t>
      </w:r>
      <w:r w:rsidR="00720867" w:rsidRPr="00710B91">
        <w:rPr>
          <w:noProof/>
        </w:rPr>
        <w:t>.</w:t>
      </w:r>
      <w:r w:rsidRPr="00710B91">
        <w:rPr>
          <w:noProof/>
        </w:rPr>
        <w:t> </w:t>
      </w:r>
      <w:r w:rsidR="00720867" w:rsidRPr="00710B91">
        <w:rPr>
          <w:noProof/>
        </w:rPr>
        <w:t>15;</w:t>
      </w:r>
    </w:p>
    <w:p w14:paraId="23D9FEAD" w14:textId="1EBB1CF1" w:rsidR="00C24D2B" w:rsidRPr="00710B91" w:rsidRDefault="00710B91" w:rsidP="00710B91">
      <w:pPr>
        <w:pStyle w:val="Point0"/>
        <w:rPr>
          <w:noProof/>
        </w:rPr>
      </w:pPr>
      <w:r w:rsidRPr="00710B91">
        <w:rPr>
          <w:noProof/>
        </w:rPr>
        <w:t>e)</w:t>
      </w:r>
      <w:r w:rsidRPr="00710B91">
        <w:rPr>
          <w:noProof/>
        </w:rPr>
        <w:tab/>
      </w:r>
      <w:r w:rsidR="00521C02" w:rsidRPr="00710B91">
        <w:rPr>
          <w:noProof/>
        </w:rPr>
        <w:t>dzienników technicznych zgodnie</w:t>
      </w:r>
      <w:r w:rsidRPr="00710B91">
        <w:rPr>
          <w:noProof/>
        </w:rPr>
        <w:t xml:space="preserve"> z</w:t>
      </w:r>
      <w:r>
        <w:rPr>
          <w:noProof/>
        </w:rPr>
        <w:t> </w:t>
      </w:r>
      <w:r w:rsidRPr="00710B91">
        <w:rPr>
          <w:noProof/>
        </w:rPr>
        <w:t>art</w:t>
      </w:r>
      <w:r w:rsidR="00521C02" w:rsidRPr="00710B91">
        <w:rPr>
          <w:noProof/>
        </w:rPr>
        <w:t>.</w:t>
      </w:r>
      <w:r w:rsidRPr="00710B91">
        <w:rPr>
          <w:noProof/>
        </w:rPr>
        <w:t> </w:t>
      </w:r>
      <w:r w:rsidR="00521C02" w:rsidRPr="00710B91">
        <w:rPr>
          <w:noProof/>
        </w:rPr>
        <w:t>21;</w:t>
      </w:r>
    </w:p>
    <w:p w14:paraId="7D0BF6E1" w14:textId="5FCA381F" w:rsidR="00C24D2B" w:rsidRPr="00710B91" w:rsidRDefault="00710B91" w:rsidP="00710B91">
      <w:pPr>
        <w:pStyle w:val="Point0"/>
        <w:rPr>
          <w:noProof/>
        </w:rPr>
      </w:pPr>
      <w:r w:rsidRPr="00710B91">
        <w:rPr>
          <w:noProof/>
        </w:rPr>
        <w:t>f)</w:t>
      </w:r>
      <w:r w:rsidRPr="00710B91">
        <w:rPr>
          <w:noProof/>
        </w:rPr>
        <w:tab/>
      </w:r>
      <w:r w:rsidR="00720867" w:rsidRPr="00710B91">
        <w:rPr>
          <w:noProof/>
        </w:rPr>
        <w:t>statystyk technicznych zgodnie</w:t>
      </w:r>
      <w:r w:rsidRPr="00710B91">
        <w:rPr>
          <w:noProof/>
        </w:rPr>
        <w:t xml:space="preserve"> z</w:t>
      </w:r>
      <w:r>
        <w:rPr>
          <w:noProof/>
        </w:rPr>
        <w:t> </w:t>
      </w:r>
      <w:r w:rsidRPr="00710B91">
        <w:rPr>
          <w:noProof/>
        </w:rPr>
        <w:t>art</w:t>
      </w:r>
      <w:r w:rsidR="00720867" w:rsidRPr="00710B91">
        <w:rPr>
          <w:noProof/>
        </w:rPr>
        <w:t>.</w:t>
      </w:r>
      <w:r w:rsidRPr="00710B91">
        <w:rPr>
          <w:noProof/>
        </w:rPr>
        <w:t> </w:t>
      </w:r>
      <w:r w:rsidR="00720867" w:rsidRPr="00710B91">
        <w:rPr>
          <w:noProof/>
        </w:rPr>
        <w:t>22;</w:t>
      </w:r>
    </w:p>
    <w:p w14:paraId="4F0B133E" w14:textId="51D24687" w:rsidR="00521C02" w:rsidRPr="00710B91" w:rsidRDefault="00710B91" w:rsidP="00710B91">
      <w:pPr>
        <w:pStyle w:val="Point0"/>
        <w:rPr>
          <w:noProof/>
        </w:rPr>
      </w:pPr>
      <w:r w:rsidRPr="00710B91">
        <w:rPr>
          <w:noProof/>
        </w:rPr>
        <w:t>g)</w:t>
      </w:r>
      <w:r w:rsidRPr="00710B91">
        <w:rPr>
          <w:noProof/>
        </w:rPr>
        <w:tab/>
      </w:r>
      <w:r w:rsidR="00521C02" w:rsidRPr="00710B91">
        <w:rPr>
          <w:noProof/>
        </w:rPr>
        <w:t>wymogów</w:t>
      </w:r>
      <w:r w:rsidRPr="00710B91">
        <w:rPr>
          <w:noProof/>
        </w:rPr>
        <w:t xml:space="preserve"> w</w:t>
      </w:r>
      <w:r>
        <w:rPr>
          <w:noProof/>
        </w:rPr>
        <w:t> </w:t>
      </w:r>
      <w:r w:rsidRPr="00710B91">
        <w:rPr>
          <w:noProof/>
        </w:rPr>
        <w:t>zak</w:t>
      </w:r>
      <w:r w:rsidR="00521C02" w:rsidRPr="00710B91">
        <w:rPr>
          <w:noProof/>
        </w:rPr>
        <w:t>resie wydajności</w:t>
      </w:r>
      <w:r w:rsidRPr="00710B91">
        <w:rPr>
          <w:noProof/>
        </w:rPr>
        <w:t xml:space="preserve"> i</w:t>
      </w:r>
      <w:r>
        <w:rPr>
          <w:noProof/>
        </w:rPr>
        <w:t> </w:t>
      </w:r>
      <w:r w:rsidRPr="00710B91">
        <w:rPr>
          <w:noProof/>
        </w:rPr>
        <w:t>dos</w:t>
      </w:r>
      <w:r w:rsidR="00521C02" w:rsidRPr="00710B91">
        <w:rPr>
          <w:noProof/>
        </w:rPr>
        <w:t>tępności platformy współpracy zespołów JIT.</w:t>
      </w:r>
    </w:p>
    <w:p w14:paraId="76EE14F3" w14:textId="178AB945" w:rsidR="00521C02" w:rsidRPr="00710B91" w:rsidRDefault="00521C02" w:rsidP="00510586">
      <w:pPr>
        <w:shd w:val="clear" w:color="auto" w:fill="FFFFFF" w:themeFill="background1"/>
        <w:spacing w:after="0" w:line="312" w:lineRule="atLeast"/>
        <w:rPr>
          <w:noProof/>
        </w:rPr>
      </w:pPr>
      <w:r w:rsidRPr="00710B91">
        <w:rPr>
          <w:noProof/>
        </w:rPr>
        <w:t>Akty wykonawcze,</w:t>
      </w:r>
      <w:r w:rsidR="00710B91" w:rsidRPr="00710B91">
        <w:rPr>
          <w:noProof/>
        </w:rPr>
        <w:t xml:space="preserve"> o</w:t>
      </w:r>
      <w:r w:rsidR="00710B91">
        <w:rPr>
          <w:noProof/>
        </w:rPr>
        <w:t> </w:t>
      </w:r>
      <w:r w:rsidR="00710B91" w:rsidRPr="00710B91">
        <w:rPr>
          <w:noProof/>
        </w:rPr>
        <w:t>któ</w:t>
      </w:r>
      <w:r w:rsidRPr="00710B91">
        <w:rPr>
          <w:noProof/>
        </w:rPr>
        <w:t>rych mowa</w:t>
      </w:r>
      <w:r w:rsidR="00710B91" w:rsidRPr="00710B91">
        <w:rPr>
          <w:noProof/>
        </w:rPr>
        <w:t xml:space="preserve"> w</w:t>
      </w:r>
      <w:r w:rsidR="00710B91">
        <w:rPr>
          <w:noProof/>
        </w:rPr>
        <w:t> </w:t>
      </w:r>
      <w:r w:rsidR="00710B91" w:rsidRPr="00710B91">
        <w:rPr>
          <w:noProof/>
        </w:rPr>
        <w:t>aka</w:t>
      </w:r>
      <w:r w:rsidRPr="00710B91">
        <w:rPr>
          <w:noProof/>
        </w:rPr>
        <w:t>picie pierwszym niniejszego artykułu, przyjmuje się zgodnie</w:t>
      </w:r>
      <w:r w:rsidR="00710B91" w:rsidRPr="00710B91">
        <w:rPr>
          <w:noProof/>
        </w:rPr>
        <w:t xml:space="preserve"> z</w:t>
      </w:r>
      <w:r w:rsidR="00710B91">
        <w:rPr>
          <w:noProof/>
        </w:rPr>
        <w:t> </w:t>
      </w:r>
      <w:r w:rsidR="00710B91" w:rsidRPr="00710B91">
        <w:rPr>
          <w:noProof/>
        </w:rPr>
        <w:t>pro</w:t>
      </w:r>
      <w:r w:rsidRPr="00710B91">
        <w:rPr>
          <w:noProof/>
        </w:rPr>
        <w:t>cedurą sprawdzającą,</w:t>
      </w:r>
      <w:r w:rsidR="00710B91" w:rsidRPr="00710B91">
        <w:rPr>
          <w:noProof/>
        </w:rPr>
        <w:t xml:space="preserve"> o</w:t>
      </w:r>
      <w:r w:rsidR="00710B91">
        <w:rPr>
          <w:noProof/>
        </w:rPr>
        <w:t> </w:t>
      </w:r>
      <w:r w:rsidR="00710B91" w:rsidRPr="00710B91">
        <w:rPr>
          <w:noProof/>
        </w:rPr>
        <w:t>któ</w:t>
      </w:r>
      <w:r w:rsidRPr="00710B91">
        <w:rPr>
          <w:noProof/>
        </w:rPr>
        <w:t>rej mowa</w:t>
      </w:r>
      <w:r w:rsidR="00710B91" w:rsidRPr="00710B91">
        <w:rPr>
          <w:noProof/>
        </w:rPr>
        <w:t xml:space="preserve"> w</w:t>
      </w:r>
      <w:r w:rsidR="00710B91">
        <w:rPr>
          <w:noProof/>
        </w:rPr>
        <w:t> </w:t>
      </w:r>
      <w:r w:rsidR="00710B91" w:rsidRPr="00710B91">
        <w:rPr>
          <w:noProof/>
        </w:rPr>
        <w:t>art</w:t>
      </w:r>
      <w:r w:rsidRPr="00710B91">
        <w:rPr>
          <w:noProof/>
        </w:rPr>
        <w:t>.</w:t>
      </w:r>
      <w:r w:rsidR="00710B91" w:rsidRPr="00710B91">
        <w:rPr>
          <w:noProof/>
        </w:rPr>
        <w:t> </w:t>
      </w:r>
      <w:r w:rsidRPr="00710B91">
        <w:rPr>
          <w:noProof/>
        </w:rPr>
        <w:t>25.</w:t>
      </w:r>
    </w:p>
    <w:p w14:paraId="63B7140C" w14:textId="77777777" w:rsidR="00521C02" w:rsidRPr="00710B91" w:rsidRDefault="00521C02" w:rsidP="00FF717F">
      <w:pPr>
        <w:pStyle w:val="Titrearticle"/>
        <w:rPr>
          <w:noProof/>
        </w:rPr>
      </w:pPr>
      <w:r w:rsidRPr="00710B91">
        <w:rPr>
          <w:noProof/>
        </w:rPr>
        <w:t>Artykuł 7</w:t>
      </w:r>
    </w:p>
    <w:p w14:paraId="0188F61E" w14:textId="77777777" w:rsidR="00521C02" w:rsidRPr="00710B91" w:rsidRDefault="00521C02" w:rsidP="00A70E68">
      <w:pPr>
        <w:spacing w:line="360" w:lineRule="auto"/>
        <w:jc w:val="center"/>
        <w:rPr>
          <w:rFonts w:eastAsia="Times New Roman"/>
          <w:b/>
          <w:bCs/>
          <w:noProof/>
          <w:szCs w:val="24"/>
        </w:rPr>
      </w:pPr>
      <w:r w:rsidRPr="00710B91">
        <w:rPr>
          <w:b/>
          <w:bCs/>
          <w:noProof/>
          <w:szCs w:val="24"/>
        </w:rPr>
        <w:t>Obowiązki eu-LISA</w:t>
      </w:r>
    </w:p>
    <w:p w14:paraId="7E5683A2" w14:textId="3F5A8876" w:rsidR="00521C02" w:rsidRPr="00710B91" w:rsidRDefault="009A08E9" w:rsidP="009A08E9">
      <w:pPr>
        <w:pStyle w:val="ManualNumPar1"/>
        <w:rPr>
          <w:noProof/>
        </w:rPr>
      </w:pPr>
      <w:r w:rsidRPr="009A08E9">
        <w:t>1.</w:t>
      </w:r>
      <w:r w:rsidRPr="009A08E9">
        <w:tab/>
      </w:r>
      <w:r w:rsidR="007D0C2F" w:rsidRPr="00710B91">
        <w:rPr>
          <w:noProof/>
        </w:rPr>
        <w:t>Agencja Unii Europejskiej ds. Zarządzania Operacyjnego Wielkoskalowymi Systemami Informatycznymi</w:t>
      </w:r>
      <w:r w:rsidR="00710B91" w:rsidRPr="00710B91">
        <w:rPr>
          <w:noProof/>
        </w:rPr>
        <w:t xml:space="preserve"> w</w:t>
      </w:r>
      <w:r w:rsidR="00710B91">
        <w:rPr>
          <w:noProof/>
        </w:rPr>
        <w:t> </w:t>
      </w:r>
      <w:r w:rsidR="00710B91" w:rsidRPr="00710B91">
        <w:rPr>
          <w:noProof/>
        </w:rPr>
        <w:t>Prz</w:t>
      </w:r>
      <w:r w:rsidR="007D0C2F" w:rsidRPr="00710B91">
        <w:rPr>
          <w:noProof/>
        </w:rPr>
        <w:t>estrzeni Wolności, Bezpieczeństwa</w:t>
      </w:r>
      <w:r w:rsidR="00710B91" w:rsidRPr="00710B91">
        <w:rPr>
          <w:noProof/>
        </w:rPr>
        <w:t xml:space="preserve"> i</w:t>
      </w:r>
      <w:r w:rsidR="00710B91">
        <w:rPr>
          <w:noProof/>
        </w:rPr>
        <w:t> </w:t>
      </w:r>
      <w:r w:rsidR="00710B91" w:rsidRPr="00710B91">
        <w:rPr>
          <w:noProof/>
        </w:rPr>
        <w:t>Spr</w:t>
      </w:r>
      <w:r w:rsidR="007D0C2F" w:rsidRPr="00710B91">
        <w:rPr>
          <w:noProof/>
        </w:rPr>
        <w:t>awiedliwości („eu-LISA”) opracowuje projekt fizycznej architektury platformy współpracy zespołów JIT,</w:t>
      </w:r>
      <w:r w:rsidR="00710B91" w:rsidRPr="00710B91">
        <w:rPr>
          <w:noProof/>
        </w:rPr>
        <w:t xml:space="preserve"> w</w:t>
      </w:r>
      <w:r w:rsidR="00710B91">
        <w:rPr>
          <w:noProof/>
        </w:rPr>
        <w:t> </w:t>
      </w:r>
      <w:r w:rsidR="00710B91" w:rsidRPr="00710B91">
        <w:rPr>
          <w:noProof/>
        </w:rPr>
        <w:t>tym</w:t>
      </w:r>
      <w:r w:rsidR="007D0C2F" w:rsidRPr="00710B91">
        <w:rPr>
          <w:noProof/>
        </w:rPr>
        <w:t xml:space="preserve"> jej specyfikację techniczną oraz zmiany dotyczące platformy. Projekt zatwierdza zarząd eu-LISA pod warunkiem uzyskania pozytywnej opinii Komisji.</w:t>
      </w:r>
    </w:p>
    <w:p w14:paraId="5804DA88" w14:textId="2BFA60A6" w:rsidR="00521C02" w:rsidRPr="00710B91" w:rsidRDefault="009A08E9" w:rsidP="009A08E9">
      <w:pPr>
        <w:pStyle w:val="ManualNumPar1"/>
        <w:rPr>
          <w:noProof/>
        </w:rPr>
      </w:pPr>
      <w:r w:rsidRPr="009A08E9">
        <w:t>2.</w:t>
      </w:r>
      <w:r w:rsidRPr="009A08E9">
        <w:tab/>
      </w:r>
      <w:r w:rsidR="00521C02" w:rsidRPr="00710B91">
        <w:rPr>
          <w:noProof/>
        </w:rPr>
        <w:t>eu-LISA odpowiada za rozwijanie platformy współpracy zespołów JIT zgodnie</w:t>
      </w:r>
      <w:r w:rsidR="00710B91" w:rsidRPr="00710B91">
        <w:rPr>
          <w:noProof/>
        </w:rPr>
        <w:t xml:space="preserve"> z</w:t>
      </w:r>
      <w:r w:rsidR="00710B91">
        <w:rPr>
          <w:noProof/>
        </w:rPr>
        <w:t> </w:t>
      </w:r>
      <w:r w:rsidR="00710B91" w:rsidRPr="00710B91">
        <w:rPr>
          <w:noProof/>
        </w:rPr>
        <w:t>zas</w:t>
      </w:r>
      <w:r w:rsidR="00521C02" w:rsidRPr="00710B91">
        <w:rPr>
          <w:noProof/>
        </w:rPr>
        <w:t>adą ochrony danych</w:t>
      </w:r>
      <w:r w:rsidR="00710B91" w:rsidRPr="00710B91">
        <w:rPr>
          <w:noProof/>
        </w:rPr>
        <w:t xml:space="preserve"> w</w:t>
      </w:r>
      <w:r w:rsidR="00710B91">
        <w:rPr>
          <w:noProof/>
        </w:rPr>
        <w:t> </w:t>
      </w:r>
      <w:r w:rsidR="00710B91" w:rsidRPr="00710B91">
        <w:rPr>
          <w:noProof/>
        </w:rPr>
        <w:t>faz</w:t>
      </w:r>
      <w:r w:rsidR="00521C02" w:rsidRPr="00710B91">
        <w:rPr>
          <w:noProof/>
        </w:rPr>
        <w:t>ie projektowania oraz zasadą domyślnej ochrony danych. Tworzenie systemu obejmuje opracowanie</w:t>
      </w:r>
      <w:r w:rsidR="00710B91" w:rsidRPr="00710B91">
        <w:rPr>
          <w:noProof/>
        </w:rPr>
        <w:t xml:space="preserve"> i</w:t>
      </w:r>
      <w:r w:rsidR="00710B91">
        <w:rPr>
          <w:noProof/>
        </w:rPr>
        <w:t> </w:t>
      </w:r>
      <w:r w:rsidR="00710B91" w:rsidRPr="00710B91">
        <w:rPr>
          <w:noProof/>
        </w:rPr>
        <w:t>wdr</w:t>
      </w:r>
      <w:r w:rsidR="00521C02" w:rsidRPr="00710B91">
        <w:rPr>
          <w:noProof/>
        </w:rPr>
        <w:t>ożenie specyfikacji technicznej, etap testowania oraz ogólną koordynację projektu.</w:t>
      </w:r>
    </w:p>
    <w:p w14:paraId="4D408260" w14:textId="67D3308C" w:rsidR="00521C02" w:rsidRPr="00710B91" w:rsidRDefault="009A08E9" w:rsidP="009A08E9">
      <w:pPr>
        <w:pStyle w:val="ManualNumPar1"/>
        <w:rPr>
          <w:noProof/>
        </w:rPr>
      </w:pPr>
      <w:r w:rsidRPr="009A08E9">
        <w:t>3.</w:t>
      </w:r>
      <w:r w:rsidRPr="009A08E9">
        <w:tab/>
      </w:r>
      <w:r w:rsidR="00521C02" w:rsidRPr="00710B91">
        <w:rPr>
          <w:noProof/>
        </w:rPr>
        <w:t>eu-LISA udostępnia oprogramowanie komunikacyjne użytkownikom platformy współpracy zespołów JIT.</w:t>
      </w:r>
    </w:p>
    <w:p w14:paraId="07DE51CD" w14:textId="4BB7DE2D" w:rsidR="00510586" w:rsidRPr="00710B91" w:rsidRDefault="009A08E9" w:rsidP="009A08E9">
      <w:pPr>
        <w:pStyle w:val="ManualNumPar1"/>
        <w:rPr>
          <w:noProof/>
        </w:rPr>
      </w:pPr>
      <w:r w:rsidRPr="009A08E9">
        <w:t>4.</w:t>
      </w:r>
      <w:r w:rsidRPr="009A08E9">
        <w:tab/>
      </w:r>
      <w:r w:rsidR="00521C02" w:rsidRPr="00710B91">
        <w:rPr>
          <w:noProof/>
        </w:rPr>
        <w:t>eu-LISA rozwija</w:t>
      </w:r>
      <w:r w:rsidR="00710B91" w:rsidRPr="00710B91">
        <w:rPr>
          <w:noProof/>
        </w:rPr>
        <w:t xml:space="preserve"> i</w:t>
      </w:r>
      <w:r w:rsidR="00710B91">
        <w:rPr>
          <w:noProof/>
        </w:rPr>
        <w:t> </w:t>
      </w:r>
      <w:r w:rsidR="00710B91" w:rsidRPr="00710B91">
        <w:rPr>
          <w:noProof/>
        </w:rPr>
        <w:t>wdr</w:t>
      </w:r>
      <w:r w:rsidR="00521C02" w:rsidRPr="00710B91">
        <w:rPr>
          <w:noProof/>
        </w:rPr>
        <w:t>aża platformę współpracy zespołów JIT możliwie najszybciej po wejściu</w:t>
      </w:r>
      <w:r w:rsidR="00710B91" w:rsidRPr="00710B91">
        <w:rPr>
          <w:noProof/>
        </w:rPr>
        <w:t xml:space="preserve"> w</w:t>
      </w:r>
      <w:r w:rsidR="00710B91">
        <w:rPr>
          <w:noProof/>
        </w:rPr>
        <w:t> </w:t>
      </w:r>
      <w:r w:rsidR="00710B91" w:rsidRPr="00710B91">
        <w:rPr>
          <w:noProof/>
        </w:rPr>
        <w:t>życ</w:t>
      </w:r>
      <w:r w:rsidR="00521C02" w:rsidRPr="00710B91">
        <w:rPr>
          <w:noProof/>
        </w:rPr>
        <w:t>ie niniejszego rozporządzenia oraz po przyjęciu przez Komisję aktów wykonawczych zgodnie</w:t>
      </w:r>
      <w:r w:rsidR="00710B91" w:rsidRPr="00710B91">
        <w:rPr>
          <w:noProof/>
        </w:rPr>
        <w:t xml:space="preserve"> z</w:t>
      </w:r>
      <w:r w:rsidR="00710B91">
        <w:rPr>
          <w:noProof/>
        </w:rPr>
        <w:t> </w:t>
      </w:r>
      <w:r w:rsidR="00710B91" w:rsidRPr="00710B91">
        <w:rPr>
          <w:noProof/>
        </w:rPr>
        <w:t>art</w:t>
      </w:r>
      <w:r w:rsidR="00521C02" w:rsidRPr="00710B91">
        <w:rPr>
          <w:noProof/>
        </w:rPr>
        <w:t>.</w:t>
      </w:r>
      <w:r w:rsidR="00710B91" w:rsidRPr="00710B91">
        <w:rPr>
          <w:noProof/>
        </w:rPr>
        <w:t> </w:t>
      </w:r>
      <w:r w:rsidR="00521C02" w:rsidRPr="00710B91">
        <w:rPr>
          <w:noProof/>
        </w:rPr>
        <w:t xml:space="preserve">6. </w:t>
      </w:r>
    </w:p>
    <w:p w14:paraId="4EC5EF03" w14:textId="6109B028" w:rsidR="00521C02" w:rsidRPr="00710B91" w:rsidRDefault="009A08E9" w:rsidP="009A08E9">
      <w:pPr>
        <w:pStyle w:val="ManualNumPar1"/>
        <w:rPr>
          <w:noProof/>
        </w:rPr>
      </w:pPr>
      <w:r w:rsidRPr="009A08E9">
        <w:t>5.</w:t>
      </w:r>
      <w:r w:rsidRPr="009A08E9">
        <w:tab/>
      </w:r>
      <w:r w:rsidR="00521C02" w:rsidRPr="00710B91">
        <w:rPr>
          <w:noProof/>
        </w:rPr>
        <w:t>eu-LISA zapewnia, aby platforma współpracy zespołów JIT była obsługiwana zgodnie</w:t>
      </w:r>
      <w:r w:rsidR="00710B91" w:rsidRPr="00710B91">
        <w:rPr>
          <w:noProof/>
        </w:rPr>
        <w:t xml:space="preserve"> z</w:t>
      </w:r>
      <w:r w:rsidR="00710B91">
        <w:rPr>
          <w:noProof/>
        </w:rPr>
        <w:t> </w:t>
      </w:r>
      <w:r w:rsidR="00710B91" w:rsidRPr="00710B91">
        <w:rPr>
          <w:noProof/>
        </w:rPr>
        <w:t>nin</w:t>
      </w:r>
      <w:r w:rsidR="00521C02" w:rsidRPr="00710B91">
        <w:rPr>
          <w:noProof/>
        </w:rPr>
        <w:t>iejszym rozporządzeniem,</w:t>
      </w:r>
      <w:r w:rsidR="00710B91" w:rsidRPr="00710B91">
        <w:rPr>
          <w:noProof/>
        </w:rPr>
        <w:t xml:space="preserve"> z</w:t>
      </w:r>
      <w:r w:rsidR="00710B91">
        <w:rPr>
          <w:noProof/>
        </w:rPr>
        <w:t> </w:t>
      </w:r>
      <w:r w:rsidR="00710B91" w:rsidRPr="00710B91">
        <w:rPr>
          <w:noProof/>
        </w:rPr>
        <w:t>akt</w:t>
      </w:r>
      <w:r w:rsidR="00521C02" w:rsidRPr="00710B91">
        <w:rPr>
          <w:noProof/>
        </w:rPr>
        <w:t>em wykonawczym,</w:t>
      </w:r>
      <w:r w:rsidR="00710B91" w:rsidRPr="00710B91">
        <w:rPr>
          <w:noProof/>
        </w:rPr>
        <w:t xml:space="preserve"> o</w:t>
      </w:r>
      <w:r w:rsidR="00710B91">
        <w:rPr>
          <w:noProof/>
        </w:rPr>
        <w:t> </w:t>
      </w:r>
      <w:r w:rsidR="00710B91" w:rsidRPr="00710B91">
        <w:rPr>
          <w:noProof/>
        </w:rPr>
        <w:t>któ</w:t>
      </w:r>
      <w:r w:rsidR="00521C02" w:rsidRPr="00710B91">
        <w:rPr>
          <w:noProof/>
        </w:rPr>
        <w:t>rym mowa</w:t>
      </w:r>
      <w:r w:rsidR="00710B91" w:rsidRPr="00710B91">
        <w:rPr>
          <w:noProof/>
        </w:rPr>
        <w:t xml:space="preserve"> w</w:t>
      </w:r>
      <w:r w:rsidR="00710B91">
        <w:rPr>
          <w:noProof/>
        </w:rPr>
        <w:t> </w:t>
      </w:r>
      <w:r w:rsidR="00710B91" w:rsidRPr="00710B91">
        <w:rPr>
          <w:noProof/>
        </w:rPr>
        <w:t>art</w:t>
      </w:r>
      <w:r w:rsidR="00521C02" w:rsidRPr="00710B91">
        <w:rPr>
          <w:noProof/>
        </w:rPr>
        <w:t>.</w:t>
      </w:r>
      <w:r w:rsidR="00710B91" w:rsidRPr="00710B91">
        <w:rPr>
          <w:noProof/>
        </w:rPr>
        <w:t> </w:t>
      </w:r>
      <w:r w:rsidR="00521C02" w:rsidRPr="00710B91">
        <w:rPr>
          <w:noProof/>
        </w:rPr>
        <w:t>6,</w:t>
      </w:r>
      <w:r w:rsidR="00710B91" w:rsidRPr="00710B91">
        <w:rPr>
          <w:noProof/>
        </w:rPr>
        <w:t xml:space="preserve"> a</w:t>
      </w:r>
      <w:r w:rsidR="00710B91">
        <w:rPr>
          <w:noProof/>
        </w:rPr>
        <w:t> </w:t>
      </w:r>
      <w:r w:rsidR="00710B91" w:rsidRPr="00710B91">
        <w:rPr>
          <w:noProof/>
        </w:rPr>
        <w:t>tak</w:t>
      </w:r>
      <w:r w:rsidR="00521C02" w:rsidRPr="00710B91">
        <w:rPr>
          <w:noProof/>
        </w:rPr>
        <w:t>że zgodnie</w:t>
      </w:r>
      <w:r w:rsidR="00710B91" w:rsidRPr="00710B91">
        <w:rPr>
          <w:noProof/>
        </w:rPr>
        <w:t xml:space="preserve"> z</w:t>
      </w:r>
      <w:r w:rsidR="00710B91">
        <w:rPr>
          <w:noProof/>
        </w:rPr>
        <w:t> </w:t>
      </w:r>
      <w:r w:rsidR="00710B91" w:rsidRPr="00710B91">
        <w:rPr>
          <w:noProof/>
        </w:rPr>
        <w:t>roz</w:t>
      </w:r>
      <w:r w:rsidR="00521C02" w:rsidRPr="00710B91">
        <w:rPr>
          <w:noProof/>
        </w:rPr>
        <w:t>porządzeniem (UE) 2018/1725.</w:t>
      </w:r>
    </w:p>
    <w:p w14:paraId="1A6F1631" w14:textId="51B67DEC" w:rsidR="00521C02" w:rsidRPr="00710B91" w:rsidRDefault="009A08E9" w:rsidP="009A08E9">
      <w:pPr>
        <w:pStyle w:val="ManualNumPar1"/>
        <w:rPr>
          <w:noProof/>
        </w:rPr>
      </w:pPr>
      <w:r w:rsidRPr="009A08E9">
        <w:t>6.</w:t>
      </w:r>
      <w:r w:rsidRPr="009A08E9">
        <w:tab/>
      </w:r>
      <w:r w:rsidR="00DD006B" w:rsidRPr="00710B91">
        <w:rPr>
          <w:noProof/>
        </w:rPr>
        <w:t>eu-LISA odpowiada za zarządzanie operacyjne platformą współpracy zespołów JIT. Zarządzanie operacyjne platformą współpracy zespołów JIT obejmuje wszystkie zadania niezbędne do utrzymania funkcjonowania platformy współpracy zespołów JIT zgodnie</w:t>
      </w:r>
      <w:r w:rsidR="00710B91" w:rsidRPr="00710B91">
        <w:rPr>
          <w:noProof/>
        </w:rPr>
        <w:t xml:space="preserve"> z</w:t>
      </w:r>
      <w:r w:rsidR="00710B91">
        <w:rPr>
          <w:noProof/>
        </w:rPr>
        <w:t> </w:t>
      </w:r>
      <w:r w:rsidR="00710B91" w:rsidRPr="00710B91">
        <w:rPr>
          <w:noProof/>
        </w:rPr>
        <w:t>nin</w:t>
      </w:r>
      <w:r w:rsidR="00DD006B" w:rsidRPr="00710B91">
        <w:rPr>
          <w:noProof/>
        </w:rPr>
        <w:t>iejszym rozporządzeniem,</w:t>
      </w:r>
      <w:r w:rsidR="00710B91" w:rsidRPr="00710B91">
        <w:rPr>
          <w:noProof/>
        </w:rPr>
        <w:t xml:space="preserve"> a</w:t>
      </w:r>
      <w:r w:rsidR="00710B91">
        <w:rPr>
          <w:noProof/>
        </w:rPr>
        <w:t> </w:t>
      </w:r>
      <w:r w:rsidR="00710B91" w:rsidRPr="00710B91">
        <w:rPr>
          <w:noProof/>
        </w:rPr>
        <w:t>w</w:t>
      </w:r>
      <w:r w:rsidR="00710B91">
        <w:rPr>
          <w:noProof/>
        </w:rPr>
        <w:t> </w:t>
      </w:r>
      <w:r w:rsidR="00710B91" w:rsidRPr="00710B91">
        <w:rPr>
          <w:noProof/>
        </w:rPr>
        <w:t>szc</w:t>
      </w:r>
      <w:r w:rsidR="00DD006B" w:rsidRPr="00710B91">
        <w:rPr>
          <w:noProof/>
        </w:rPr>
        <w:t>zególności prace konserwacyjne oraz rozwój techniczny niezbędny</w:t>
      </w:r>
      <w:r w:rsidR="00710B91" w:rsidRPr="00710B91">
        <w:rPr>
          <w:noProof/>
        </w:rPr>
        <w:t xml:space="preserve"> w</w:t>
      </w:r>
      <w:r w:rsidR="00710B91">
        <w:rPr>
          <w:noProof/>
        </w:rPr>
        <w:t> </w:t>
      </w:r>
      <w:r w:rsidR="00710B91" w:rsidRPr="00710B91">
        <w:rPr>
          <w:noProof/>
        </w:rPr>
        <w:t>cel</w:t>
      </w:r>
      <w:r w:rsidR="00DD006B" w:rsidRPr="00710B91">
        <w:rPr>
          <w:noProof/>
        </w:rPr>
        <w:t xml:space="preserve">u zapewnienia funkcjonowania platformy współpracy zespołów JIT na zadowalającym poziomie zgodnie ze specyfikacją techniczną. </w:t>
      </w:r>
    </w:p>
    <w:p w14:paraId="32B30FF2" w14:textId="53648105" w:rsidR="00521C02" w:rsidRPr="00710B91" w:rsidRDefault="009A08E9" w:rsidP="009A08E9">
      <w:pPr>
        <w:pStyle w:val="ManualNumPar1"/>
        <w:rPr>
          <w:noProof/>
        </w:rPr>
      </w:pPr>
      <w:r w:rsidRPr="009A08E9">
        <w:t>7.</w:t>
      </w:r>
      <w:r w:rsidRPr="009A08E9">
        <w:tab/>
      </w:r>
      <w:r w:rsidR="00521C02" w:rsidRPr="00710B91">
        <w:rPr>
          <w:noProof/>
        </w:rPr>
        <w:t>eu-LISA zapewnia szkolenia</w:t>
      </w:r>
      <w:r w:rsidR="00710B91" w:rsidRPr="00710B91">
        <w:rPr>
          <w:noProof/>
        </w:rPr>
        <w:t xml:space="preserve"> w</w:t>
      </w:r>
      <w:r w:rsidR="00710B91">
        <w:rPr>
          <w:noProof/>
        </w:rPr>
        <w:t> </w:t>
      </w:r>
      <w:r w:rsidR="00710B91" w:rsidRPr="00710B91">
        <w:rPr>
          <w:noProof/>
        </w:rPr>
        <w:t>zak</w:t>
      </w:r>
      <w:r w:rsidR="00521C02" w:rsidRPr="00710B91">
        <w:rPr>
          <w:noProof/>
        </w:rPr>
        <w:t>resie wykorzystywania</w:t>
      </w:r>
      <w:r w:rsidR="00710B91" w:rsidRPr="00710B91">
        <w:rPr>
          <w:noProof/>
        </w:rPr>
        <w:t xml:space="preserve"> w</w:t>
      </w:r>
      <w:r w:rsidR="00710B91">
        <w:rPr>
          <w:noProof/>
        </w:rPr>
        <w:t> </w:t>
      </w:r>
      <w:r w:rsidR="00710B91" w:rsidRPr="00710B91">
        <w:rPr>
          <w:noProof/>
        </w:rPr>
        <w:t>pra</w:t>
      </w:r>
      <w:r w:rsidR="00521C02" w:rsidRPr="00710B91">
        <w:rPr>
          <w:noProof/>
        </w:rPr>
        <w:t>ktyce platformy współpracy zespołów JIT.</w:t>
      </w:r>
    </w:p>
    <w:p w14:paraId="1A778EF5" w14:textId="3C639554" w:rsidR="00521C02" w:rsidRPr="00710B91" w:rsidRDefault="009A08E9" w:rsidP="009A08E9">
      <w:pPr>
        <w:pStyle w:val="ManualNumPar1"/>
        <w:rPr>
          <w:noProof/>
        </w:rPr>
      </w:pPr>
      <w:r w:rsidRPr="009A08E9">
        <w:t>8.</w:t>
      </w:r>
      <w:r w:rsidRPr="009A08E9">
        <w:tab/>
      </w:r>
      <w:r w:rsidR="00521C02" w:rsidRPr="00710B91">
        <w:rPr>
          <w:noProof/>
        </w:rPr>
        <w:t>eu-LISA nie ma dostępu do przestrzeni współpracy zespołu JIT.</w:t>
      </w:r>
    </w:p>
    <w:p w14:paraId="77B410E3" w14:textId="7BB3D0F1" w:rsidR="00521C02" w:rsidRPr="00710B91" w:rsidRDefault="009A08E9" w:rsidP="009A08E9">
      <w:pPr>
        <w:pStyle w:val="ManualNumPar1"/>
        <w:rPr>
          <w:noProof/>
        </w:rPr>
      </w:pPr>
      <w:r w:rsidRPr="009A08E9">
        <w:t>9.</w:t>
      </w:r>
      <w:r w:rsidRPr="009A08E9">
        <w:tab/>
      </w:r>
      <w:r w:rsidR="00521C02" w:rsidRPr="00710B91">
        <w:rPr>
          <w:noProof/>
        </w:rPr>
        <w:t>Bez uszczerbku dla art.</w:t>
      </w:r>
      <w:r w:rsidR="00710B91" w:rsidRPr="00710B91">
        <w:rPr>
          <w:noProof/>
        </w:rPr>
        <w:t> </w:t>
      </w:r>
      <w:r w:rsidR="00521C02" w:rsidRPr="00710B91">
        <w:rPr>
          <w:noProof/>
        </w:rPr>
        <w:t>17 regulaminu pracowniczego urzędników Unii Europejskiej, ustanowionego rozporządzeniem Rady (EWG, Euratom, EWWiS) nr</w:t>
      </w:r>
      <w:r w:rsidR="00710B91" w:rsidRPr="00710B91">
        <w:rPr>
          <w:noProof/>
        </w:rPr>
        <w:t> </w:t>
      </w:r>
      <w:r w:rsidR="00521C02" w:rsidRPr="00710B91">
        <w:rPr>
          <w:noProof/>
        </w:rPr>
        <w:t>259/68</w:t>
      </w:r>
      <w:r w:rsidR="00521C02" w:rsidRPr="00710B91">
        <w:rPr>
          <w:rStyle w:val="FootnoteReference"/>
          <w:noProof/>
        </w:rPr>
        <w:footnoteReference w:id="29"/>
      </w:r>
      <w:r w:rsidR="00521C02" w:rsidRPr="00710B91">
        <w:rPr>
          <w:noProof/>
        </w:rPr>
        <w:t xml:space="preserve"> eu-LISA stosuje właściwe przepisy dotyczące tajemnicy zawodowej lub inne równoważne wymogi poufności do wszystkich członków swojego personelu, od których wymaga się pracy</w:t>
      </w:r>
      <w:r w:rsidR="00710B91" w:rsidRPr="00710B91">
        <w:rPr>
          <w:noProof/>
        </w:rPr>
        <w:t xml:space="preserve"> z</w:t>
      </w:r>
      <w:r w:rsidR="00710B91">
        <w:rPr>
          <w:noProof/>
        </w:rPr>
        <w:t> </w:t>
      </w:r>
      <w:r w:rsidR="00710B91" w:rsidRPr="00710B91">
        <w:rPr>
          <w:noProof/>
        </w:rPr>
        <w:t>dan</w:t>
      </w:r>
      <w:r w:rsidR="00521C02" w:rsidRPr="00710B91">
        <w:rPr>
          <w:noProof/>
        </w:rPr>
        <w:t>ymi zapisanymi</w:t>
      </w:r>
      <w:r w:rsidR="00710B91" w:rsidRPr="00710B91">
        <w:rPr>
          <w:noProof/>
        </w:rPr>
        <w:t xml:space="preserve"> w</w:t>
      </w:r>
      <w:r w:rsidR="00710B91">
        <w:rPr>
          <w:noProof/>
        </w:rPr>
        <w:t> </w:t>
      </w:r>
      <w:r w:rsidR="00710B91" w:rsidRPr="00710B91">
        <w:rPr>
          <w:noProof/>
        </w:rPr>
        <w:t>sce</w:t>
      </w:r>
      <w:r w:rsidR="00521C02" w:rsidRPr="00710B91">
        <w:rPr>
          <w:noProof/>
        </w:rPr>
        <w:t>ntralizowanym systemie informacyjnym. Obowiązki te ciążą na tych pracownikach także po odejściu ze stanowiska lub</w:t>
      </w:r>
      <w:r w:rsidR="00710B91" w:rsidRPr="00710B91">
        <w:rPr>
          <w:noProof/>
        </w:rPr>
        <w:t xml:space="preserve"> z</w:t>
      </w:r>
      <w:r w:rsidR="00710B91">
        <w:rPr>
          <w:noProof/>
        </w:rPr>
        <w:t> </w:t>
      </w:r>
      <w:r w:rsidR="00710B91" w:rsidRPr="00710B91">
        <w:rPr>
          <w:noProof/>
        </w:rPr>
        <w:t>pra</w:t>
      </w:r>
      <w:r w:rsidR="00521C02" w:rsidRPr="00710B91">
        <w:rPr>
          <w:noProof/>
        </w:rPr>
        <w:t>cy lub po zakończeniu przez nich działalności.</w:t>
      </w:r>
    </w:p>
    <w:p w14:paraId="4F855294" w14:textId="77777777" w:rsidR="00521C02" w:rsidRPr="00710B91" w:rsidRDefault="00521C02" w:rsidP="00FF717F">
      <w:pPr>
        <w:pStyle w:val="Titrearticle"/>
        <w:rPr>
          <w:noProof/>
        </w:rPr>
      </w:pPr>
      <w:r w:rsidRPr="00710B91">
        <w:rPr>
          <w:noProof/>
        </w:rPr>
        <w:t>Artykuł 8</w:t>
      </w:r>
    </w:p>
    <w:p w14:paraId="48BDD247" w14:textId="77777777" w:rsidR="00521C02" w:rsidRPr="00710B91" w:rsidRDefault="00521C02" w:rsidP="00521C02">
      <w:pPr>
        <w:spacing w:before="60"/>
        <w:ind w:firstLine="720"/>
        <w:jc w:val="center"/>
        <w:rPr>
          <w:rFonts w:eastAsia="Times New Roman"/>
          <w:b/>
          <w:bCs/>
          <w:noProof/>
          <w:szCs w:val="24"/>
        </w:rPr>
      </w:pPr>
      <w:r w:rsidRPr="00710B91">
        <w:rPr>
          <w:b/>
          <w:bCs/>
          <w:noProof/>
          <w:szCs w:val="24"/>
        </w:rPr>
        <w:t>Zakres odpowiedzialności państw członkowskich</w:t>
      </w:r>
    </w:p>
    <w:p w14:paraId="3538D7D1" w14:textId="101183C4" w:rsidR="00521C02" w:rsidRPr="00710B91" w:rsidRDefault="00521C02" w:rsidP="00521C02">
      <w:pPr>
        <w:spacing w:before="60"/>
        <w:rPr>
          <w:rFonts w:eastAsia="Times New Roman"/>
          <w:bCs/>
          <w:noProof/>
          <w:szCs w:val="24"/>
        </w:rPr>
      </w:pPr>
      <w:r w:rsidRPr="00710B91">
        <w:rPr>
          <w:noProof/>
        </w:rPr>
        <w:t>Każde państwo członkowskie dokonuje niezbędnych uzgodnień technicznych na potrzeby dostępu jego właściwych organów do platformy współpracy zespołów JIT zgodnie</w:t>
      </w:r>
      <w:r w:rsidR="00710B91" w:rsidRPr="00710B91">
        <w:rPr>
          <w:noProof/>
        </w:rPr>
        <w:t xml:space="preserve"> z</w:t>
      </w:r>
      <w:r w:rsidR="00710B91">
        <w:rPr>
          <w:noProof/>
        </w:rPr>
        <w:t> </w:t>
      </w:r>
      <w:r w:rsidR="00710B91" w:rsidRPr="00710B91">
        <w:rPr>
          <w:noProof/>
        </w:rPr>
        <w:t>nin</w:t>
      </w:r>
      <w:r w:rsidRPr="00710B91">
        <w:rPr>
          <w:noProof/>
        </w:rPr>
        <w:t>iejszym rozporządzeniem.</w:t>
      </w:r>
    </w:p>
    <w:p w14:paraId="32133D74" w14:textId="77777777" w:rsidR="00521C02" w:rsidRPr="00710B91" w:rsidRDefault="00521C02" w:rsidP="00FF717F">
      <w:pPr>
        <w:pStyle w:val="Titrearticle"/>
        <w:rPr>
          <w:noProof/>
        </w:rPr>
      </w:pPr>
      <w:r w:rsidRPr="00710B91">
        <w:rPr>
          <w:noProof/>
        </w:rPr>
        <w:t>Artykuł 9</w:t>
      </w:r>
    </w:p>
    <w:p w14:paraId="27295D90" w14:textId="0FCA568D" w:rsidR="00521C02" w:rsidRPr="00710B91" w:rsidRDefault="00521C02" w:rsidP="00510586">
      <w:pPr>
        <w:jc w:val="center"/>
        <w:rPr>
          <w:b/>
          <w:noProof/>
        </w:rPr>
      </w:pPr>
      <w:r w:rsidRPr="00710B91">
        <w:rPr>
          <w:b/>
          <w:noProof/>
        </w:rPr>
        <w:t>Zakres odpowiedzialności właściwych organów</w:t>
      </w:r>
      <w:r w:rsidR="00710B91" w:rsidRPr="00710B91">
        <w:rPr>
          <w:b/>
          <w:noProof/>
        </w:rPr>
        <w:t xml:space="preserve"> i</w:t>
      </w:r>
      <w:r w:rsidR="00710B91">
        <w:rPr>
          <w:b/>
          <w:noProof/>
        </w:rPr>
        <w:t> </w:t>
      </w:r>
      <w:r w:rsidR="00710B91" w:rsidRPr="00710B91">
        <w:rPr>
          <w:b/>
          <w:noProof/>
        </w:rPr>
        <w:t>jed</w:t>
      </w:r>
      <w:r w:rsidRPr="00710B91">
        <w:rPr>
          <w:b/>
          <w:noProof/>
        </w:rPr>
        <w:t>nostek organizacyjnych Unii</w:t>
      </w:r>
    </w:p>
    <w:p w14:paraId="78F72FA8" w14:textId="444A9145" w:rsidR="00F82EBF" w:rsidRPr="00710B91" w:rsidRDefault="009A08E9" w:rsidP="009A08E9">
      <w:pPr>
        <w:pStyle w:val="ManualNumPar1"/>
        <w:rPr>
          <w:noProof/>
        </w:rPr>
      </w:pPr>
      <w:r w:rsidRPr="009A08E9">
        <w:t>1.</w:t>
      </w:r>
      <w:r w:rsidRPr="009A08E9">
        <w:tab/>
      </w:r>
      <w:r w:rsidR="00720867" w:rsidRPr="00710B91">
        <w:rPr>
          <w:noProof/>
        </w:rPr>
        <w:t>Eurojust, Europol, Prokuratura Europejska, OLAF oraz inne właściwe organy</w:t>
      </w:r>
      <w:r w:rsidR="00710B91" w:rsidRPr="00710B91">
        <w:rPr>
          <w:noProof/>
        </w:rPr>
        <w:t xml:space="preserve"> i</w:t>
      </w:r>
      <w:r w:rsidR="00710B91">
        <w:rPr>
          <w:noProof/>
        </w:rPr>
        <w:t> </w:t>
      </w:r>
      <w:r w:rsidR="00710B91" w:rsidRPr="00710B91">
        <w:rPr>
          <w:noProof/>
        </w:rPr>
        <w:t>jed</w:t>
      </w:r>
      <w:r w:rsidR="00720867" w:rsidRPr="00710B91">
        <w:rPr>
          <w:noProof/>
        </w:rPr>
        <w:t>nostki organizacyjne Unii dokonują niezbędnych uzgodnień technicznych umożliwiających im dostęp do platformy współpracy zespołów JIT.</w:t>
      </w:r>
    </w:p>
    <w:p w14:paraId="3DEC31C6" w14:textId="569C4687" w:rsidR="00521C02" w:rsidRPr="00710B91" w:rsidRDefault="009A08E9" w:rsidP="009A08E9">
      <w:pPr>
        <w:pStyle w:val="ManualNumPar1"/>
        <w:rPr>
          <w:noProof/>
        </w:rPr>
      </w:pPr>
      <w:r w:rsidRPr="009A08E9">
        <w:t>2.</w:t>
      </w:r>
      <w:r w:rsidRPr="009A08E9">
        <w:tab/>
      </w:r>
      <w:r w:rsidR="00521C02" w:rsidRPr="00710B91">
        <w:rPr>
          <w:noProof/>
        </w:rPr>
        <w:t>Eurojust odpowiada za dokonanie niezbędnych dostosowań technicznych swoich systemów wymaganych na potrzeby ustanowienia połączenia,</w:t>
      </w:r>
      <w:r w:rsidR="00710B91" w:rsidRPr="00710B91">
        <w:rPr>
          <w:noProof/>
        </w:rPr>
        <w:t xml:space="preserve"> o</w:t>
      </w:r>
      <w:r w:rsidR="00710B91">
        <w:rPr>
          <w:noProof/>
        </w:rPr>
        <w:t> </w:t>
      </w:r>
      <w:r w:rsidR="00710B91" w:rsidRPr="00710B91">
        <w:rPr>
          <w:noProof/>
        </w:rPr>
        <w:t>któ</w:t>
      </w:r>
      <w:r w:rsidR="00521C02" w:rsidRPr="00710B91">
        <w:rPr>
          <w:noProof/>
        </w:rPr>
        <w:t>rym mowa</w:t>
      </w:r>
      <w:r w:rsidR="00710B91" w:rsidRPr="00710B91">
        <w:rPr>
          <w:noProof/>
        </w:rPr>
        <w:t xml:space="preserve"> w</w:t>
      </w:r>
      <w:r w:rsidR="00710B91">
        <w:rPr>
          <w:noProof/>
        </w:rPr>
        <w:t> </w:t>
      </w:r>
      <w:r w:rsidR="00710B91" w:rsidRPr="00710B91">
        <w:rPr>
          <w:noProof/>
        </w:rPr>
        <w:t>art</w:t>
      </w:r>
      <w:r w:rsidR="00521C02" w:rsidRPr="00710B91">
        <w:rPr>
          <w:noProof/>
        </w:rPr>
        <w:t>.</w:t>
      </w:r>
      <w:r w:rsidR="00710B91" w:rsidRPr="00710B91">
        <w:rPr>
          <w:noProof/>
        </w:rPr>
        <w:t> </w:t>
      </w:r>
      <w:r w:rsidR="00521C02" w:rsidRPr="00710B91">
        <w:rPr>
          <w:noProof/>
        </w:rPr>
        <w:t>4 lit.</w:t>
      </w:r>
      <w:r w:rsidR="00710B91" w:rsidRPr="00710B91">
        <w:rPr>
          <w:noProof/>
        </w:rPr>
        <w:t> </w:t>
      </w:r>
      <w:r w:rsidR="00521C02" w:rsidRPr="00710B91">
        <w:rPr>
          <w:noProof/>
        </w:rPr>
        <w:t>c).</w:t>
      </w:r>
    </w:p>
    <w:p w14:paraId="557332D3" w14:textId="77777777" w:rsidR="00521C02" w:rsidRPr="00710B91" w:rsidRDefault="00521C02" w:rsidP="00FF717F">
      <w:pPr>
        <w:pStyle w:val="Titrearticle"/>
        <w:rPr>
          <w:noProof/>
        </w:rPr>
      </w:pPr>
      <w:r w:rsidRPr="00710B91">
        <w:rPr>
          <w:noProof/>
        </w:rPr>
        <w:t>Artykuł 10</w:t>
      </w:r>
    </w:p>
    <w:p w14:paraId="3F71B96B" w14:textId="77777777" w:rsidR="00521C02" w:rsidRPr="00710B91" w:rsidRDefault="00521C02" w:rsidP="00521C02">
      <w:pPr>
        <w:spacing w:before="60"/>
        <w:ind w:left="2160" w:firstLine="720"/>
        <w:rPr>
          <w:rFonts w:eastAsia="Times New Roman"/>
          <w:b/>
          <w:bCs/>
          <w:noProof/>
          <w:szCs w:val="24"/>
        </w:rPr>
      </w:pPr>
      <w:r w:rsidRPr="00710B91">
        <w:rPr>
          <w:b/>
          <w:bCs/>
          <w:noProof/>
          <w:szCs w:val="24"/>
        </w:rPr>
        <w:t>Komisja ds. Zarządzania Programem</w:t>
      </w:r>
    </w:p>
    <w:p w14:paraId="709F035A" w14:textId="40173D6D" w:rsidR="001C4D4F" w:rsidRPr="00710B91" w:rsidRDefault="009A08E9" w:rsidP="009A08E9">
      <w:pPr>
        <w:pStyle w:val="ManualNumPar1"/>
        <w:rPr>
          <w:noProof/>
        </w:rPr>
      </w:pPr>
      <w:r w:rsidRPr="009A08E9">
        <w:t>1.</w:t>
      </w:r>
      <w:r w:rsidRPr="009A08E9">
        <w:tab/>
      </w:r>
      <w:r w:rsidR="00521C02" w:rsidRPr="00710B91">
        <w:rPr>
          <w:noProof/>
        </w:rPr>
        <w:t>Przed etapem projektowania</w:t>
      </w:r>
      <w:r w:rsidR="00710B91" w:rsidRPr="00710B91">
        <w:rPr>
          <w:noProof/>
        </w:rPr>
        <w:t xml:space="preserve"> i</w:t>
      </w:r>
      <w:r w:rsidR="00710B91">
        <w:rPr>
          <w:noProof/>
        </w:rPr>
        <w:t> </w:t>
      </w:r>
      <w:r w:rsidR="00710B91" w:rsidRPr="00710B91">
        <w:rPr>
          <w:noProof/>
        </w:rPr>
        <w:t>roz</w:t>
      </w:r>
      <w:r w:rsidR="00521C02" w:rsidRPr="00710B91">
        <w:rPr>
          <w:noProof/>
        </w:rPr>
        <w:t xml:space="preserve">wijania platformy współpracy zespołów JIT zarząd eu-LISA powołuje Komisję ds. Zarządzania Programem. </w:t>
      </w:r>
    </w:p>
    <w:p w14:paraId="446B3C7C" w14:textId="38737333" w:rsidR="001C4D4F" w:rsidRPr="00710B91" w:rsidRDefault="009A08E9" w:rsidP="009A08E9">
      <w:pPr>
        <w:pStyle w:val="ManualNumPar1"/>
        <w:rPr>
          <w:noProof/>
        </w:rPr>
      </w:pPr>
      <w:r w:rsidRPr="009A08E9">
        <w:t>2.</w:t>
      </w:r>
      <w:r w:rsidRPr="009A08E9">
        <w:tab/>
      </w:r>
      <w:r w:rsidR="00521C02" w:rsidRPr="00710B91">
        <w:rPr>
          <w:noProof/>
        </w:rPr>
        <w:t>Komisja ds. Zarządzania Programem składa się</w:t>
      </w:r>
      <w:r w:rsidR="00710B91" w:rsidRPr="00710B91">
        <w:rPr>
          <w:noProof/>
        </w:rPr>
        <w:t xml:space="preserve"> z</w:t>
      </w:r>
      <w:r w:rsidR="00710B91">
        <w:rPr>
          <w:noProof/>
        </w:rPr>
        <w:t> </w:t>
      </w:r>
      <w:r w:rsidR="00710B91" w:rsidRPr="00710B91">
        <w:rPr>
          <w:noProof/>
        </w:rPr>
        <w:t>dzi</w:t>
      </w:r>
      <w:r w:rsidR="00521C02" w:rsidRPr="00710B91">
        <w:rPr>
          <w:noProof/>
        </w:rPr>
        <w:t>esięciu członków, jak następuje:</w:t>
      </w:r>
    </w:p>
    <w:p w14:paraId="7CE46789" w14:textId="40E51492" w:rsidR="001C4D4F" w:rsidRPr="00710B91" w:rsidRDefault="00710B91" w:rsidP="00710B91">
      <w:pPr>
        <w:pStyle w:val="Point0"/>
        <w:rPr>
          <w:noProof/>
        </w:rPr>
      </w:pPr>
      <w:r w:rsidRPr="00710B91">
        <w:rPr>
          <w:noProof/>
        </w:rPr>
        <w:t>a)</w:t>
      </w:r>
      <w:r w:rsidRPr="00710B91">
        <w:rPr>
          <w:noProof/>
        </w:rPr>
        <w:tab/>
      </w:r>
      <w:r w:rsidR="00521C02" w:rsidRPr="00710B91">
        <w:rPr>
          <w:noProof/>
        </w:rPr>
        <w:t xml:space="preserve">ośmiu członków mianowanych przez zarząd; </w:t>
      </w:r>
    </w:p>
    <w:p w14:paraId="332F1BA5" w14:textId="5897865F" w:rsidR="001C4D4F" w:rsidRPr="00710B91" w:rsidRDefault="00710B91" w:rsidP="00710B91">
      <w:pPr>
        <w:pStyle w:val="Point0"/>
        <w:rPr>
          <w:noProof/>
        </w:rPr>
      </w:pPr>
      <w:r w:rsidRPr="00710B91">
        <w:rPr>
          <w:noProof/>
        </w:rPr>
        <w:t>b)</w:t>
      </w:r>
      <w:r w:rsidRPr="00710B91">
        <w:rPr>
          <w:noProof/>
        </w:rPr>
        <w:tab/>
      </w:r>
      <w:r w:rsidR="00521C02" w:rsidRPr="00710B91">
        <w:rPr>
          <w:noProof/>
        </w:rPr>
        <w:t>przewodniczącego grupy doradczej,</w:t>
      </w:r>
      <w:r w:rsidRPr="00710B91">
        <w:rPr>
          <w:noProof/>
        </w:rPr>
        <w:t xml:space="preserve"> o</w:t>
      </w:r>
      <w:r>
        <w:rPr>
          <w:noProof/>
        </w:rPr>
        <w:t> </w:t>
      </w:r>
      <w:r w:rsidRPr="00710B91">
        <w:rPr>
          <w:noProof/>
        </w:rPr>
        <w:t>któ</w:t>
      </w:r>
      <w:r w:rsidR="00521C02" w:rsidRPr="00710B91">
        <w:rPr>
          <w:noProof/>
        </w:rPr>
        <w:t>rej mowa</w:t>
      </w:r>
      <w:r w:rsidRPr="00710B91">
        <w:rPr>
          <w:noProof/>
        </w:rPr>
        <w:t xml:space="preserve"> w</w:t>
      </w:r>
      <w:r>
        <w:rPr>
          <w:noProof/>
        </w:rPr>
        <w:t> </w:t>
      </w:r>
      <w:r w:rsidRPr="00710B91">
        <w:rPr>
          <w:noProof/>
        </w:rPr>
        <w:t>art</w:t>
      </w:r>
      <w:r w:rsidR="00521C02" w:rsidRPr="00710B91">
        <w:rPr>
          <w:noProof/>
        </w:rPr>
        <w:t>.</w:t>
      </w:r>
      <w:r w:rsidRPr="00710B91">
        <w:rPr>
          <w:noProof/>
        </w:rPr>
        <w:t> </w:t>
      </w:r>
      <w:r w:rsidR="00521C02" w:rsidRPr="00710B91">
        <w:rPr>
          <w:noProof/>
        </w:rPr>
        <w:t xml:space="preserve">11; </w:t>
      </w:r>
    </w:p>
    <w:p w14:paraId="1C28E386" w14:textId="1186834B" w:rsidR="001C4D4F" w:rsidRPr="00710B91" w:rsidRDefault="00710B91" w:rsidP="00710B91">
      <w:pPr>
        <w:pStyle w:val="Point0"/>
        <w:rPr>
          <w:noProof/>
        </w:rPr>
      </w:pPr>
      <w:r w:rsidRPr="00710B91">
        <w:rPr>
          <w:noProof/>
        </w:rPr>
        <w:t>c)</w:t>
      </w:r>
      <w:r w:rsidRPr="00710B91">
        <w:rPr>
          <w:noProof/>
        </w:rPr>
        <w:tab/>
      </w:r>
      <w:r w:rsidR="00521C02" w:rsidRPr="00710B91">
        <w:rPr>
          <w:noProof/>
        </w:rPr>
        <w:t xml:space="preserve">jednego członka mianowanego przez Komisję. </w:t>
      </w:r>
    </w:p>
    <w:p w14:paraId="08E325E0" w14:textId="3CEF03D9" w:rsidR="00521C02" w:rsidRPr="00710B91" w:rsidRDefault="009A08E9" w:rsidP="009A08E9">
      <w:pPr>
        <w:pStyle w:val="ManualNumPar1"/>
        <w:rPr>
          <w:noProof/>
        </w:rPr>
      </w:pPr>
      <w:r w:rsidRPr="009A08E9">
        <w:t>3.</w:t>
      </w:r>
      <w:r w:rsidRPr="009A08E9">
        <w:tab/>
      </w:r>
      <w:r w:rsidR="00521C02" w:rsidRPr="00710B91">
        <w:rPr>
          <w:noProof/>
        </w:rPr>
        <w:t>Zarząd eu-LISA zapewnia, by powoływani przez niego do Komisji ds. Zarządzania Programem członkowie posiadali niezbędne doświadczenie</w:t>
      </w:r>
      <w:r w:rsidR="00710B91" w:rsidRPr="00710B91">
        <w:rPr>
          <w:noProof/>
        </w:rPr>
        <w:t xml:space="preserve"> i</w:t>
      </w:r>
      <w:r w:rsidR="00710B91">
        <w:rPr>
          <w:noProof/>
        </w:rPr>
        <w:t> </w:t>
      </w:r>
      <w:r w:rsidR="00710B91" w:rsidRPr="00710B91">
        <w:rPr>
          <w:noProof/>
        </w:rPr>
        <w:t>wie</w:t>
      </w:r>
      <w:r w:rsidR="00521C02" w:rsidRPr="00710B91">
        <w:rPr>
          <w:noProof/>
        </w:rPr>
        <w:t>dzę fachową</w:t>
      </w:r>
      <w:r w:rsidR="00710B91" w:rsidRPr="00710B91">
        <w:rPr>
          <w:noProof/>
        </w:rPr>
        <w:t xml:space="preserve"> w</w:t>
      </w:r>
      <w:r w:rsidR="00710B91">
        <w:rPr>
          <w:noProof/>
        </w:rPr>
        <w:t> </w:t>
      </w:r>
      <w:r w:rsidR="00710B91" w:rsidRPr="00710B91">
        <w:rPr>
          <w:noProof/>
        </w:rPr>
        <w:t>zak</w:t>
      </w:r>
      <w:r w:rsidR="00521C02" w:rsidRPr="00710B91">
        <w:rPr>
          <w:noProof/>
        </w:rPr>
        <w:t>resie rozwijania systemów informatycznych wspierających działalność organów wymiaru sprawiedliwości</w:t>
      </w:r>
      <w:r w:rsidR="00710B91" w:rsidRPr="00710B91">
        <w:rPr>
          <w:noProof/>
        </w:rPr>
        <w:t xml:space="preserve"> i</w:t>
      </w:r>
      <w:r w:rsidR="00710B91">
        <w:rPr>
          <w:noProof/>
        </w:rPr>
        <w:t> </w:t>
      </w:r>
      <w:r w:rsidR="00710B91" w:rsidRPr="00710B91">
        <w:rPr>
          <w:noProof/>
        </w:rPr>
        <w:t>zar</w:t>
      </w:r>
      <w:r w:rsidR="00521C02" w:rsidRPr="00710B91">
        <w:rPr>
          <w:noProof/>
        </w:rPr>
        <w:t xml:space="preserve">ządzania tymi systemami. </w:t>
      </w:r>
    </w:p>
    <w:p w14:paraId="0D30BA5A" w14:textId="3F806D54" w:rsidR="00521C02" w:rsidRPr="00710B91" w:rsidRDefault="009A08E9" w:rsidP="009A08E9">
      <w:pPr>
        <w:pStyle w:val="ManualNumPar1"/>
        <w:rPr>
          <w:noProof/>
        </w:rPr>
      </w:pPr>
      <w:r w:rsidRPr="009A08E9">
        <w:t>4.</w:t>
      </w:r>
      <w:r w:rsidRPr="009A08E9">
        <w:tab/>
      </w:r>
      <w:r w:rsidR="00521C02" w:rsidRPr="00710B91">
        <w:rPr>
          <w:noProof/>
        </w:rPr>
        <w:t>eu-LISA uczestniczy</w:t>
      </w:r>
      <w:r w:rsidR="00710B91" w:rsidRPr="00710B91">
        <w:rPr>
          <w:noProof/>
        </w:rPr>
        <w:t xml:space="preserve"> w</w:t>
      </w:r>
      <w:r w:rsidR="00710B91">
        <w:rPr>
          <w:noProof/>
        </w:rPr>
        <w:t> </w:t>
      </w:r>
      <w:r w:rsidR="00710B91" w:rsidRPr="00710B91">
        <w:rPr>
          <w:noProof/>
        </w:rPr>
        <w:t>pra</w:t>
      </w:r>
      <w:r w:rsidR="00521C02" w:rsidRPr="00710B91">
        <w:rPr>
          <w:noProof/>
        </w:rPr>
        <w:t>cach Komisji ds. Zarządzania Programem</w:t>
      </w:r>
      <w:r w:rsidR="00710B91" w:rsidRPr="00710B91">
        <w:rPr>
          <w:noProof/>
        </w:rPr>
        <w:t>. W</w:t>
      </w:r>
      <w:r w:rsidR="00710B91">
        <w:rPr>
          <w:noProof/>
        </w:rPr>
        <w:t> </w:t>
      </w:r>
      <w:r w:rsidR="00710B91" w:rsidRPr="00710B91">
        <w:rPr>
          <w:noProof/>
        </w:rPr>
        <w:t>tym</w:t>
      </w:r>
      <w:r w:rsidR="00521C02" w:rsidRPr="00710B91">
        <w:rPr>
          <w:noProof/>
        </w:rPr>
        <w:t xml:space="preserve"> celu przedstawiciele eu-LISA uczestniczą</w:t>
      </w:r>
      <w:r w:rsidR="00710B91" w:rsidRPr="00710B91">
        <w:rPr>
          <w:noProof/>
        </w:rPr>
        <w:t xml:space="preserve"> w</w:t>
      </w:r>
      <w:r w:rsidR="00710B91">
        <w:rPr>
          <w:noProof/>
        </w:rPr>
        <w:t> </w:t>
      </w:r>
      <w:r w:rsidR="00710B91" w:rsidRPr="00710B91">
        <w:rPr>
          <w:noProof/>
        </w:rPr>
        <w:t>pos</w:t>
      </w:r>
      <w:r w:rsidR="00521C02" w:rsidRPr="00710B91">
        <w:rPr>
          <w:noProof/>
        </w:rPr>
        <w:t>iedzeniach Komisji ds. Zarządzania Programem, tak aby składać sprawozdania</w:t>
      </w:r>
      <w:r w:rsidR="00710B91" w:rsidRPr="00710B91">
        <w:rPr>
          <w:noProof/>
        </w:rPr>
        <w:t xml:space="preserve"> z</w:t>
      </w:r>
      <w:r w:rsidR="00710B91">
        <w:rPr>
          <w:noProof/>
        </w:rPr>
        <w:t> </w:t>
      </w:r>
      <w:r w:rsidR="00710B91" w:rsidRPr="00710B91">
        <w:rPr>
          <w:noProof/>
        </w:rPr>
        <w:t>pra</w:t>
      </w:r>
      <w:r w:rsidR="00521C02" w:rsidRPr="00710B91">
        <w:rPr>
          <w:noProof/>
        </w:rPr>
        <w:t>c dotyczących projektowania</w:t>
      </w:r>
      <w:r w:rsidR="00710B91" w:rsidRPr="00710B91">
        <w:rPr>
          <w:noProof/>
        </w:rPr>
        <w:t xml:space="preserve"> i</w:t>
      </w:r>
      <w:r w:rsidR="00710B91">
        <w:rPr>
          <w:noProof/>
        </w:rPr>
        <w:t> </w:t>
      </w:r>
      <w:r w:rsidR="00710B91" w:rsidRPr="00710B91">
        <w:rPr>
          <w:noProof/>
        </w:rPr>
        <w:t>roz</w:t>
      </w:r>
      <w:r w:rsidR="00521C02" w:rsidRPr="00710B91">
        <w:rPr>
          <w:noProof/>
        </w:rPr>
        <w:t>wijania platformy współpracy zespołów JIT oraz wszelkich pozostałych związanych</w:t>
      </w:r>
      <w:r w:rsidR="00710B91" w:rsidRPr="00710B91">
        <w:rPr>
          <w:noProof/>
        </w:rPr>
        <w:t xml:space="preserve"> z</w:t>
      </w:r>
      <w:r w:rsidR="00710B91">
        <w:rPr>
          <w:noProof/>
        </w:rPr>
        <w:t> </w:t>
      </w:r>
      <w:r w:rsidR="00710B91" w:rsidRPr="00710B91">
        <w:rPr>
          <w:noProof/>
        </w:rPr>
        <w:t>tym</w:t>
      </w:r>
      <w:r w:rsidR="00521C02" w:rsidRPr="00710B91">
        <w:rPr>
          <w:noProof/>
        </w:rPr>
        <w:t xml:space="preserve"> prac</w:t>
      </w:r>
      <w:r w:rsidR="00710B91" w:rsidRPr="00710B91">
        <w:rPr>
          <w:noProof/>
        </w:rPr>
        <w:t xml:space="preserve"> i</w:t>
      </w:r>
      <w:r w:rsidR="00710B91">
        <w:rPr>
          <w:noProof/>
        </w:rPr>
        <w:t> </w:t>
      </w:r>
      <w:r w:rsidR="00710B91" w:rsidRPr="00710B91">
        <w:rPr>
          <w:noProof/>
        </w:rPr>
        <w:t>dzi</w:t>
      </w:r>
      <w:r w:rsidR="00521C02" w:rsidRPr="00710B91">
        <w:rPr>
          <w:noProof/>
        </w:rPr>
        <w:t xml:space="preserve">ałań. </w:t>
      </w:r>
    </w:p>
    <w:p w14:paraId="2169B61C" w14:textId="1B77017A" w:rsidR="00521C02" w:rsidRPr="00710B91" w:rsidRDefault="009A08E9" w:rsidP="009A08E9">
      <w:pPr>
        <w:pStyle w:val="ManualNumPar1"/>
        <w:rPr>
          <w:noProof/>
        </w:rPr>
      </w:pPr>
      <w:r w:rsidRPr="009A08E9">
        <w:t>5.</w:t>
      </w:r>
      <w:r w:rsidRPr="009A08E9">
        <w:tab/>
      </w:r>
      <w:r w:rsidR="00521C02" w:rsidRPr="00710B91">
        <w:rPr>
          <w:noProof/>
        </w:rPr>
        <w:t>Posiedzenia Komisji ds. Zarządzania Programem odbywają się co najmniej raz na trzy miesiące oraz,</w:t>
      </w:r>
      <w:r w:rsidR="00710B91" w:rsidRPr="00710B91">
        <w:rPr>
          <w:noProof/>
        </w:rPr>
        <w:t xml:space="preserve"> w</w:t>
      </w:r>
      <w:r w:rsidR="00710B91">
        <w:rPr>
          <w:noProof/>
        </w:rPr>
        <w:t> </w:t>
      </w:r>
      <w:r w:rsidR="00710B91" w:rsidRPr="00710B91">
        <w:rPr>
          <w:noProof/>
        </w:rPr>
        <w:t>zal</w:t>
      </w:r>
      <w:r w:rsidR="00521C02" w:rsidRPr="00710B91">
        <w:rPr>
          <w:noProof/>
        </w:rPr>
        <w:t>eżności od potrzeby, częściej. Zapewnia ona odpowiednie zarządzanie etapami projektowania</w:t>
      </w:r>
      <w:r w:rsidR="00710B91" w:rsidRPr="00710B91">
        <w:rPr>
          <w:noProof/>
        </w:rPr>
        <w:t xml:space="preserve"> i</w:t>
      </w:r>
      <w:r w:rsidR="00710B91">
        <w:rPr>
          <w:noProof/>
        </w:rPr>
        <w:t> </w:t>
      </w:r>
      <w:r w:rsidR="00710B91" w:rsidRPr="00710B91">
        <w:rPr>
          <w:noProof/>
        </w:rPr>
        <w:t>roz</w:t>
      </w:r>
      <w:r w:rsidR="00521C02" w:rsidRPr="00710B91">
        <w:rPr>
          <w:noProof/>
        </w:rPr>
        <w:t>woju platformy współpracy zespołów JIT. Komisja ds. Zarządzania Programem regularnie,</w:t>
      </w:r>
      <w:r w:rsidR="00710B91" w:rsidRPr="00710B91">
        <w:rPr>
          <w:noProof/>
        </w:rPr>
        <w:t xml:space="preserve"> w</w:t>
      </w:r>
      <w:r w:rsidR="00710B91">
        <w:rPr>
          <w:noProof/>
        </w:rPr>
        <w:t> </w:t>
      </w:r>
      <w:r w:rsidR="00710B91" w:rsidRPr="00710B91">
        <w:rPr>
          <w:noProof/>
        </w:rPr>
        <w:t>mia</w:t>
      </w:r>
      <w:r w:rsidR="00521C02" w:rsidRPr="00710B91">
        <w:rPr>
          <w:noProof/>
        </w:rPr>
        <w:t>rę możliwości raz</w:t>
      </w:r>
      <w:r w:rsidR="00710B91" w:rsidRPr="00710B91">
        <w:rPr>
          <w:noProof/>
        </w:rPr>
        <w:t xml:space="preserve"> w</w:t>
      </w:r>
      <w:r w:rsidR="00710B91">
        <w:rPr>
          <w:noProof/>
        </w:rPr>
        <w:t> </w:t>
      </w:r>
      <w:r w:rsidR="00710B91" w:rsidRPr="00710B91">
        <w:rPr>
          <w:noProof/>
        </w:rPr>
        <w:t>mie</w:t>
      </w:r>
      <w:r w:rsidR="00521C02" w:rsidRPr="00710B91">
        <w:rPr>
          <w:noProof/>
        </w:rPr>
        <w:t>siącu, przedkłada zarządowi eu-LISA pisemne sprawozdania</w:t>
      </w:r>
      <w:r w:rsidR="00710B91" w:rsidRPr="00710B91">
        <w:rPr>
          <w:noProof/>
        </w:rPr>
        <w:t xml:space="preserve"> z</w:t>
      </w:r>
      <w:r w:rsidR="00710B91">
        <w:rPr>
          <w:noProof/>
        </w:rPr>
        <w:t> </w:t>
      </w:r>
      <w:r w:rsidR="00710B91" w:rsidRPr="00710B91">
        <w:rPr>
          <w:noProof/>
        </w:rPr>
        <w:t>pos</w:t>
      </w:r>
      <w:r w:rsidR="00521C02" w:rsidRPr="00710B91">
        <w:rPr>
          <w:noProof/>
        </w:rPr>
        <w:t>tępów</w:t>
      </w:r>
      <w:r w:rsidR="00710B91" w:rsidRPr="00710B91">
        <w:rPr>
          <w:noProof/>
        </w:rPr>
        <w:t xml:space="preserve"> w</w:t>
      </w:r>
      <w:r w:rsidR="00710B91">
        <w:rPr>
          <w:noProof/>
        </w:rPr>
        <w:t> </w:t>
      </w:r>
      <w:r w:rsidR="00710B91" w:rsidRPr="00710B91">
        <w:rPr>
          <w:noProof/>
        </w:rPr>
        <w:t>rea</w:t>
      </w:r>
      <w:r w:rsidR="00521C02" w:rsidRPr="00710B91">
        <w:rPr>
          <w:noProof/>
        </w:rPr>
        <w:t>lizacji projektu. Komisja ds. Zarządzania Programem nie ma uprawnień do podejmowania decyzji ani do reprezentowania członków zarządu eu-LISA.</w:t>
      </w:r>
    </w:p>
    <w:p w14:paraId="6F7C187A" w14:textId="00F03D94" w:rsidR="00521C02" w:rsidRPr="00710B91" w:rsidRDefault="009A08E9" w:rsidP="009A08E9">
      <w:pPr>
        <w:pStyle w:val="ManualNumPar1"/>
        <w:rPr>
          <w:noProof/>
        </w:rPr>
      </w:pPr>
      <w:r w:rsidRPr="009A08E9">
        <w:t>6.</w:t>
      </w:r>
      <w:r w:rsidRPr="009A08E9">
        <w:tab/>
      </w:r>
      <w:r w:rsidR="00521C02" w:rsidRPr="00710B91">
        <w:rPr>
          <w:noProof/>
        </w:rPr>
        <w:t>Komisja ds. Zarządzania Programem ustanawia swój regulamin, który zawiera</w:t>
      </w:r>
      <w:r w:rsidR="00710B91" w:rsidRPr="00710B91">
        <w:rPr>
          <w:noProof/>
        </w:rPr>
        <w:t xml:space="preserve"> w</w:t>
      </w:r>
      <w:r w:rsidR="00710B91">
        <w:rPr>
          <w:noProof/>
        </w:rPr>
        <w:t> </w:t>
      </w:r>
      <w:r w:rsidR="00710B91" w:rsidRPr="00710B91">
        <w:rPr>
          <w:noProof/>
        </w:rPr>
        <w:t>szc</w:t>
      </w:r>
      <w:r w:rsidR="00521C02" w:rsidRPr="00710B91">
        <w:rPr>
          <w:noProof/>
        </w:rPr>
        <w:t>zególności przepisy dotyczące przewodnictwa, miejsc posiedzeń, przygotowywania posiedzeń, dopuszczania ekspertów do udziału</w:t>
      </w:r>
      <w:r w:rsidR="00710B91" w:rsidRPr="00710B91">
        <w:rPr>
          <w:noProof/>
        </w:rPr>
        <w:t xml:space="preserve"> w</w:t>
      </w:r>
      <w:r w:rsidR="00710B91">
        <w:rPr>
          <w:noProof/>
        </w:rPr>
        <w:t> </w:t>
      </w:r>
      <w:r w:rsidR="00710B91" w:rsidRPr="00710B91">
        <w:rPr>
          <w:noProof/>
        </w:rPr>
        <w:t>pos</w:t>
      </w:r>
      <w:r w:rsidR="00521C02" w:rsidRPr="00710B91">
        <w:rPr>
          <w:noProof/>
        </w:rPr>
        <w:t>iedzeniach, planów</w:t>
      </w:r>
      <w:r w:rsidR="00710B91" w:rsidRPr="00710B91">
        <w:rPr>
          <w:noProof/>
        </w:rPr>
        <w:t xml:space="preserve"> w</w:t>
      </w:r>
      <w:r w:rsidR="00710B91">
        <w:rPr>
          <w:noProof/>
        </w:rPr>
        <w:t> </w:t>
      </w:r>
      <w:r w:rsidR="00710B91" w:rsidRPr="00710B91">
        <w:rPr>
          <w:noProof/>
        </w:rPr>
        <w:t>zak</w:t>
      </w:r>
      <w:r w:rsidR="00521C02" w:rsidRPr="00710B91">
        <w:rPr>
          <w:noProof/>
        </w:rPr>
        <w:t>resie komunikacji zapewniających pełne informacje członkom zarządu eu-LISA, którzy nie uczestniczą</w:t>
      </w:r>
      <w:r w:rsidR="00710B91" w:rsidRPr="00710B91">
        <w:rPr>
          <w:noProof/>
        </w:rPr>
        <w:t xml:space="preserve"> w</w:t>
      </w:r>
      <w:r w:rsidR="00710B91">
        <w:rPr>
          <w:noProof/>
        </w:rPr>
        <w:t> </w:t>
      </w:r>
      <w:r w:rsidR="00710B91" w:rsidRPr="00710B91">
        <w:rPr>
          <w:noProof/>
        </w:rPr>
        <w:t>pos</w:t>
      </w:r>
      <w:r w:rsidR="00521C02" w:rsidRPr="00710B91">
        <w:rPr>
          <w:noProof/>
        </w:rPr>
        <w:t xml:space="preserve">iedzeniach. </w:t>
      </w:r>
    </w:p>
    <w:p w14:paraId="06C3E507" w14:textId="52A43774" w:rsidR="00521C02" w:rsidRPr="00710B91" w:rsidRDefault="009A08E9" w:rsidP="009A08E9">
      <w:pPr>
        <w:pStyle w:val="ManualNumPar1"/>
        <w:rPr>
          <w:noProof/>
        </w:rPr>
      </w:pPr>
      <w:r w:rsidRPr="009A08E9">
        <w:t>7.</w:t>
      </w:r>
      <w:r w:rsidRPr="009A08E9">
        <w:tab/>
      </w:r>
      <w:r w:rsidR="00521C02" w:rsidRPr="00710B91">
        <w:rPr>
          <w:noProof/>
        </w:rPr>
        <w:t>Przewodnictwo Komisji ds. Zarządzania Programem obejmuje jedno</w:t>
      </w:r>
      <w:r w:rsidR="00710B91" w:rsidRPr="00710B91">
        <w:rPr>
          <w:noProof/>
        </w:rPr>
        <w:t xml:space="preserve"> z</w:t>
      </w:r>
      <w:r w:rsidR="00710B91">
        <w:rPr>
          <w:noProof/>
        </w:rPr>
        <w:t> </w:t>
      </w:r>
      <w:r w:rsidR="00710B91" w:rsidRPr="00710B91">
        <w:rPr>
          <w:noProof/>
        </w:rPr>
        <w:t>pań</w:t>
      </w:r>
      <w:r w:rsidR="00521C02" w:rsidRPr="00710B91">
        <w:rPr>
          <w:noProof/>
        </w:rPr>
        <w:t>stw członkowskich.</w:t>
      </w:r>
    </w:p>
    <w:p w14:paraId="2435F5D1" w14:textId="79C69738" w:rsidR="00521C02" w:rsidRPr="00710B91" w:rsidRDefault="009A08E9" w:rsidP="009A08E9">
      <w:pPr>
        <w:pStyle w:val="ManualNumPar1"/>
        <w:rPr>
          <w:noProof/>
        </w:rPr>
      </w:pPr>
      <w:r w:rsidRPr="009A08E9">
        <w:t>8.</w:t>
      </w:r>
      <w:r w:rsidRPr="009A08E9">
        <w:tab/>
      </w:r>
      <w:r w:rsidR="00521C02" w:rsidRPr="00710B91">
        <w:rPr>
          <w:noProof/>
        </w:rPr>
        <w:t>eu-LISA zapewnia prowadzenie sekretariatu Komisji ds. Zarządzania Programem.</w:t>
      </w:r>
    </w:p>
    <w:p w14:paraId="1474F3CE" w14:textId="77777777" w:rsidR="00521C02" w:rsidRPr="00710B91" w:rsidRDefault="00521C02" w:rsidP="00FF717F">
      <w:pPr>
        <w:pStyle w:val="Titrearticle"/>
        <w:rPr>
          <w:noProof/>
        </w:rPr>
      </w:pPr>
      <w:r w:rsidRPr="00710B91">
        <w:rPr>
          <w:noProof/>
        </w:rPr>
        <w:t>Artykuł 11</w:t>
      </w:r>
    </w:p>
    <w:p w14:paraId="65B9E5AC" w14:textId="77777777" w:rsidR="00521C02" w:rsidRPr="00710B91" w:rsidRDefault="00521C02" w:rsidP="00521C02">
      <w:pPr>
        <w:spacing w:before="60"/>
        <w:jc w:val="center"/>
        <w:rPr>
          <w:rFonts w:eastAsia="Times New Roman"/>
          <w:b/>
          <w:noProof/>
          <w:szCs w:val="24"/>
        </w:rPr>
      </w:pPr>
      <w:r w:rsidRPr="00710B91">
        <w:rPr>
          <w:b/>
          <w:noProof/>
          <w:szCs w:val="24"/>
        </w:rPr>
        <w:t>Grupa doradcza</w:t>
      </w:r>
    </w:p>
    <w:p w14:paraId="27ACEE66" w14:textId="5C8BC9B9" w:rsidR="00521C02" w:rsidRPr="00710B91" w:rsidRDefault="009A08E9" w:rsidP="009A08E9">
      <w:pPr>
        <w:pStyle w:val="ManualNumPar1"/>
        <w:rPr>
          <w:noProof/>
        </w:rPr>
      </w:pPr>
      <w:r w:rsidRPr="009A08E9">
        <w:t>1.</w:t>
      </w:r>
      <w:r w:rsidRPr="009A08E9">
        <w:tab/>
      </w:r>
      <w:r w:rsidR="00521C02" w:rsidRPr="00710B91">
        <w:rPr>
          <w:noProof/>
        </w:rPr>
        <w:t>eu-LISA ustanawia grupę doradczą, która ma jej służyć wiedzą fachową</w:t>
      </w:r>
      <w:r w:rsidR="00710B91" w:rsidRPr="00710B91">
        <w:rPr>
          <w:noProof/>
        </w:rPr>
        <w:t xml:space="preserve"> w</w:t>
      </w:r>
      <w:r w:rsidR="00710B91">
        <w:rPr>
          <w:noProof/>
        </w:rPr>
        <w:t> </w:t>
      </w:r>
      <w:r w:rsidR="00710B91" w:rsidRPr="00710B91">
        <w:rPr>
          <w:noProof/>
        </w:rPr>
        <w:t>zak</w:t>
      </w:r>
      <w:r w:rsidR="00521C02" w:rsidRPr="00710B91">
        <w:rPr>
          <w:noProof/>
        </w:rPr>
        <w:t>resie platformy współpracy zespołów JIT,</w:t>
      </w:r>
      <w:r w:rsidR="00710B91" w:rsidRPr="00710B91">
        <w:rPr>
          <w:noProof/>
        </w:rPr>
        <w:t xml:space="preserve"> w</w:t>
      </w:r>
      <w:r w:rsidR="00710B91">
        <w:rPr>
          <w:noProof/>
        </w:rPr>
        <w:t> </w:t>
      </w:r>
      <w:r w:rsidR="00710B91" w:rsidRPr="00710B91">
        <w:rPr>
          <w:noProof/>
        </w:rPr>
        <w:t>szc</w:t>
      </w:r>
      <w:r w:rsidR="00521C02" w:rsidRPr="00710B91">
        <w:rPr>
          <w:noProof/>
        </w:rPr>
        <w:t>zególności</w:t>
      </w:r>
      <w:r w:rsidR="00710B91" w:rsidRPr="00710B91">
        <w:rPr>
          <w:noProof/>
        </w:rPr>
        <w:t xml:space="preserve"> w</w:t>
      </w:r>
      <w:r w:rsidR="00710B91">
        <w:rPr>
          <w:noProof/>
        </w:rPr>
        <w:t> </w:t>
      </w:r>
      <w:r w:rsidR="00710B91" w:rsidRPr="00710B91">
        <w:rPr>
          <w:noProof/>
        </w:rPr>
        <w:t>kon</w:t>
      </w:r>
      <w:r w:rsidR="00521C02" w:rsidRPr="00710B91">
        <w:rPr>
          <w:noProof/>
        </w:rPr>
        <w:t>tekście przygotowywania jej rocznego programu prac oraz jej rocznego sprawozdania</w:t>
      </w:r>
      <w:r w:rsidR="00710B91" w:rsidRPr="00710B91">
        <w:rPr>
          <w:noProof/>
        </w:rPr>
        <w:t xml:space="preserve"> z</w:t>
      </w:r>
      <w:r w:rsidR="00710B91">
        <w:rPr>
          <w:noProof/>
        </w:rPr>
        <w:t> </w:t>
      </w:r>
      <w:r w:rsidR="00710B91" w:rsidRPr="00710B91">
        <w:rPr>
          <w:noProof/>
        </w:rPr>
        <w:t>dzi</w:t>
      </w:r>
      <w:r w:rsidR="00521C02" w:rsidRPr="00710B91">
        <w:rPr>
          <w:noProof/>
        </w:rPr>
        <w:t xml:space="preserve">ałalności. </w:t>
      </w:r>
    </w:p>
    <w:p w14:paraId="30427CA6" w14:textId="5541E8C6" w:rsidR="00A72E34" w:rsidRPr="00710B91" w:rsidRDefault="009A08E9" w:rsidP="009A08E9">
      <w:pPr>
        <w:pStyle w:val="ManualNumPar1"/>
        <w:rPr>
          <w:noProof/>
        </w:rPr>
      </w:pPr>
      <w:r w:rsidRPr="009A08E9">
        <w:t>2.</w:t>
      </w:r>
      <w:r w:rsidRPr="009A08E9">
        <w:tab/>
      </w:r>
      <w:r w:rsidR="00521C02" w:rsidRPr="00710B91">
        <w:rPr>
          <w:noProof/>
        </w:rPr>
        <w:t>Na etapie projektowania</w:t>
      </w:r>
      <w:r w:rsidR="00710B91" w:rsidRPr="00710B91">
        <w:rPr>
          <w:noProof/>
        </w:rPr>
        <w:t xml:space="preserve"> i</w:t>
      </w:r>
      <w:r w:rsidR="00710B91">
        <w:rPr>
          <w:noProof/>
        </w:rPr>
        <w:t> </w:t>
      </w:r>
      <w:r w:rsidR="00710B91" w:rsidRPr="00710B91">
        <w:rPr>
          <w:noProof/>
        </w:rPr>
        <w:t>roz</w:t>
      </w:r>
      <w:r w:rsidR="00521C02" w:rsidRPr="00710B91">
        <w:rPr>
          <w:noProof/>
        </w:rPr>
        <w:t>wijania platformy współpracy zespołów JIT grupa doradcza składa się</w:t>
      </w:r>
      <w:r w:rsidR="00710B91" w:rsidRPr="00710B91">
        <w:rPr>
          <w:noProof/>
        </w:rPr>
        <w:t xml:space="preserve"> z</w:t>
      </w:r>
      <w:r w:rsidR="00710B91">
        <w:rPr>
          <w:noProof/>
        </w:rPr>
        <w:t> </w:t>
      </w:r>
      <w:r w:rsidR="00710B91" w:rsidRPr="00710B91">
        <w:rPr>
          <w:noProof/>
        </w:rPr>
        <w:t>prz</w:t>
      </w:r>
      <w:r w:rsidR="00521C02" w:rsidRPr="00710B91">
        <w:rPr>
          <w:noProof/>
        </w:rPr>
        <w:t xml:space="preserve">edstawicieli państw członkowskich, Komisji oraz sekretariatu JIT. Grupie doradczej przewodniczy eu-LISA. Grupa doradcza: </w:t>
      </w:r>
    </w:p>
    <w:p w14:paraId="01B4ABA0" w14:textId="4776581C" w:rsidR="00C24D2B" w:rsidRPr="00710B91" w:rsidRDefault="00710B91" w:rsidP="00710B91">
      <w:pPr>
        <w:pStyle w:val="Point0"/>
        <w:rPr>
          <w:noProof/>
        </w:rPr>
      </w:pPr>
      <w:r w:rsidRPr="00710B91">
        <w:rPr>
          <w:noProof/>
        </w:rPr>
        <w:t>a)</w:t>
      </w:r>
      <w:r w:rsidRPr="00710B91">
        <w:rPr>
          <w:noProof/>
        </w:rPr>
        <w:tab/>
      </w:r>
      <w:r w:rsidR="00521C02" w:rsidRPr="00710B91">
        <w:rPr>
          <w:noProof/>
        </w:rPr>
        <w:t>spotyka się regularnie,</w:t>
      </w:r>
      <w:r w:rsidRPr="00710B91">
        <w:rPr>
          <w:noProof/>
        </w:rPr>
        <w:t xml:space="preserve"> w</w:t>
      </w:r>
      <w:r>
        <w:rPr>
          <w:noProof/>
        </w:rPr>
        <w:t> </w:t>
      </w:r>
      <w:r w:rsidRPr="00710B91">
        <w:rPr>
          <w:noProof/>
        </w:rPr>
        <w:t>mia</w:t>
      </w:r>
      <w:r w:rsidR="00521C02" w:rsidRPr="00710B91">
        <w:rPr>
          <w:noProof/>
        </w:rPr>
        <w:t>rę możliwości co najmniej raz</w:t>
      </w:r>
      <w:r w:rsidRPr="00710B91">
        <w:rPr>
          <w:noProof/>
        </w:rPr>
        <w:t xml:space="preserve"> w</w:t>
      </w:r>
      <w:r>
        <w:rPr>
          <w:noProof/>
        </w:rPr>
        <w:t> </w:t>
      </w:r>
      <w:r w:rsidRPr="00710B91">
        <w:rPr>
          <w:noProof/>
        </w:rPr>
        <w:t>mie</w:t>
      </w:r>
      <w:r w:rsidR="00521C02" w:rsidRPr="00710B91">
        <w:rPr>
          <w:noProof/>
        </w:rPr>
        <w:t xml:space="preserve">siącu, do czasu uruchomienia platformy współpracy zespołów JIT; </w:t>
      </w:r>
    </w:p>
    <w:p w14:paraId="0B28B8E6" w14:textId="658E2666" w:rsidR="00C24D2B" w:rsidRPr="00710B91" w:rsidRDefault="00710B91" w:rsidP="00710B91">
      <w:pPr>
        <w:pStyle w:val="Point0"/>
        <w:rPr>
          <w:noProof/>
        </w:rPr>
      </w:pPr>
      <w:r w:rsidRPr="00710B91">
        <w:rPr>
          <w:noProof/>
        </w:rPr>
        <w:t>b)</w:t>
      </w:r>
      <w:r w:rsidRPr="00710B91">
        <w:rPr>
          <w:noProof/>
        </w:rPr>
        <w:tab/>
      </w:r>
      <w:r w:rsidR="00521C02" w:rsidRPr="00710B91">
        <w:rPr>
          <w:noProof/>
        </w:rPr>
        <w:t xml:space="preserve">przedkłada Komisji ds. Zarządzania Programem sprawozdanie po każdym posiedzeniu; </w:t>
      </w:r>
    </w:p>
    <w:p w14:paraId="344A03A2" w14:textId="4515C032" w:rsidR="00521C02" w:rsidRPr="00710B91" w:rsidRDefault="00710B91" w:rsidP="00710B91">
      <w:pPr>
        <w:pStyle w:val="Point0"/>
        <w:rPr>
          <w:noProof/>
        </w:rPr>
      </w:pPr>
      <w:r w:rsidRPr="00710B91">
        <w:rPr>
          <w:noProof/>
        </w:rPr>
        <w:t>c)</w:t>
      </w:r>
      <w:r w:rsidRPr="00710B91">
        <w:rPr>
          <w:noProof/>
        </w:rPr>
        <w:tab/>
      </w:r>
      <w:r w:rsidR="00521C02" w:rsidRPr="00710B91">
        <w:rPr>
          <w:noProof/>
        </w:rPr>
        <w:t>zapewnia techniczną wiedzę ekspercką</w:t>
      </w:r>
      <w:r w:rsidRPr="00710B91">
        <w:rPr>
          <w:noProof/>
        </w:rPr>
        <w:t xml:space="preserve"> w</w:t>
      </w:r>
      <w:r>
        <w:rPr>
          <w:noProof/>
        </w:rPr>
        <w:t> </w:t>
      </w:r>
      <w:r w:rsidRPr="00710B91">
        <w:rPr>
          <w:noProof/>
        </w:rPr>
        <w:t>cel</w:t>
      </w:r>
      <w:r w:rsidR="00521C02" w:rsidRPr="00710B91">
        <w:rPr>
          <w:noProof/>
        </w:rPr>
        <w:t>u wsparcia Komisji ds. Zarządzania Programem</w:t>
      </w:r>
      <w:r w:rsidRPr="00710B91">
        <w:rPr>
          <w:noProof/>
        </w:rPr>
        <w:t xml:space="preserve"> w</w:t>
      </w:r>
      <w:r>
        <w:rPr>
          <w:noProof/>
        </w:rPr>
        <w:t> </w:t>
      </w:r>
      <w:r w:rsidRPr="00710B91">
        <w:rPr>
          <w:noProof/>
        </w:rPr>
        <w:t>rea</w:t>
      </w:r>
      <w:r w:rsidR="00521C02" w:rsidRPr="00710B91">
        <w:rPr>
          <w:noProof/>
        </w:rPr>
        <w:t>lizacji jej zadań.</w:t>
      </w:r>
    </w:p>
    <w:p w14:paraId="167A318A" w14:textId="77777777" w:rsidR="00521C02" w:rsidRPr="00710B91" w:rsidRDefault="00521C02" w:rsidP="00521C02">
      <w:pPr>
        <w:spacing w:before="60"/>
        <w:rPr>
          <w:rFonts w:eastAsia="Times New Roman"/>
          <w:bCs/>
          <w:noProof/>
          <w:szCs w:val="24"/>
          <w:lang w:eastAsia="en-GB"/>
        </w:rPr>
      </w:pPr>
    </w:p>
    <w:p w14:paraId="68CB419A" w14:textId="77777777" w:rsidR="00521C02" w:rsidRPr="00710B91" w:rsidRDefault="00521C02" w:rsidP="00521C02">
      <w:pPr>
        <w:spacing w:before="60"/>
        <w:jc w:val="center"/>
        <w:rPr>
          <w:rFonts w:eastAsia="Times New Roman"/>
          <w:b/>
          <w:bCs/>
          <w:iCs/>
          <w:noProof/>
          <w:szCs w:val="24"/>
        </w:rPr>
      </w:pPr>
      <w:r w:rsidRPr="00710B91">
        <w:rPr>
          <w:b/>
          <w:bCs/>
          <w:iCs/>
          <w:noProof/>
          <w:szCs w:val="24"/>
        </w:rPr>
        <w:t>ROZDZIAŁ III</w:t>
      </w:r>
    </w:p>
    <w:p w14:paraId="58A0978F" w14:textId="77777777" w:rsidR="00521C02" w:rsidRPr="00710B91" w:rsidRDefault="00521C02" w:rsidP="00521C02">
      <w:pPr>
        <w:spacing w:before="60"/>
        <w:jc w:val="center"/>
        <w:rPr>
          <w:rFonts w:eastAsia="Times New Roman"/>
          <w:b/>
          <w:bCs/>
          <w:i/>
          <w:iCs/>
          <w:noProof/>
          <w:szCs w:val="24"/>
        </w:rPr>
      </w:pPr>
      <w:r w:rsidRPr="00710B91">
        <w:rPr>
          <w:b/>
          <w:bCs/>
          <w:i/>
          <w:iCs/>
          <w:noProof/>
          <w:szCs w:val="24"/>
        </w:rPr>
        <w:t>Dostęp do platformy współpracy zespołów JIT</w:t>
      </w:r>
    </w:p>
    <w:p w14:paraId="23E32C9B" w14:textId="77777777" w:rsidR="00521C02" w:rsidRPr="00710B91" w:rsidRDefault="00521C02" w:rsidP="00FF717F">
      <w:pPr>
        <w:pStyle w:val="Titrearticle"/>
        <w:rPr>
          <w:noProof/>
        </w:rPr>
      </w:pPr>
      <w:r w:rsidRPr="00710B91">
        <w:rPr>
          <w:noProof/>
        </w:rPr>
        <w:t>Artykuł 12</w:t>
      </w:r>
    </w:p>
    <w:p w14:paraId="5D33001D" w14:textId="77777777" w:rsidR="00521C02" w:rsidRPr="00710B91" w:rsidRDefault="00521C02" w:rsidP="00521C02">
      <w:pPr>
        <w:shd w:val="clear" w:color="auto" w:fill="FFFFFF" w:themeFill="background1"/>
        <w:spacing w:before="60" w:line="312" w:lineRule="atLeast"/>
        <w:jc w:val="center"/>
        <w:rPr>
          <w:rFonts w:eastAsia="Times New Roman"/>
          <w:b/>
          <w:bCs/>
          <w:noProof/>
          <w:szCs w:val="24"/>
        </w:rPr>
      </w:pPr>
      <w:r w:rsidRPr="00710B91">
        <w:rPr>
          <w:b/>
          <w:bCs/>
          <w:noProof/>
          <w:szCs w:val="24"/>
        </w:rPr>
        <w:t>Dostęp właściwych organów państw członkowskich do przestrzeni współpracy zespołu JIT</w:t>
      </w:r>
    </w:p>
    <w:p w14:paraId="08982F28" w14:textId="2DBD6113" w:rsidR="00521C02" w:rsidRPr="00710B91" w:rsidRDefault="009A08E9" w:rsidP="009A08E9">
      <w:pPr>
        <w:pStyle w:val="ManualNumPar1"/>
        <w:rPr>
          <w:noProof/>
        </w:rPr>
      </w:pPr>
      <w:r w:rsidRPr="009A08E9">
        <w:t>1.</w:t>
      </w:r>
      <w:r w:rsidRPr="009A08E9">
        <w:tab/>
      </w:r>
      <w:r w:rsidR="00BA5EB3" w:rsidRPr="00710B91">
        <w:rPr>
          <w:noProof/>
        </w:rPr>
        <w:t>Po podpisaniu umowy o JIT tworzy się dla każdego zespołu JIT przestrzeń współpracy zespołu JIT na platformie współpracy zespołów JIT.</w:t>
      </w:r>
    </w:p>
    <w:p w14:paraId="5155C41B" w14:textId="6A96941F" w:rsidR="00521C02" w:rsidRPr="00710B91" w:rsidRDefault="009A08E9" w:rsidP="009A08E9">
      <w:pPr>
        <w:pStyle w:val="ManualNumPar1"/>
        <w:rPr>
          <w:noProof/>
        </w:rPr>
      </w:pPr>
      <w:r w:rsidRPr="009A08E9">
        <w:t>2.</w:t>
      </w:r>
      <w:r w:rsidRPr="009A08E9">
        <w:tab/>
      </w:r>
      <w:r w:rsidR="00BA5EB3" w:rsidRPr="00710B91">
        <w:rPr>
          <w:noProof/>
        </w:rPr>
        <w:t>Przestrzeń współpracy zespołu JIT otwierana jest przez administratora lub administratorów przestrzeni JIT przy wsparciu technicznym ze strony eu-LISA.</w:t>
      </w:r>
    </w:p>
    <w:p w14:paraId="625130F3" w14:textId="004B7A11" w:rsidR="00521C02" w:rsidRPr="00710B91" w:rsidRDefault="009A08E9" w:rsidP="009A08E9">
      <w:pPr>
        <w:pStyle w:val="ManualNumPar1"/>
        <w:rPr>
          <w:noProof/>
        </w:rPr>
      </w:pPr>
      <w:r w:rsidRPr="009A08E9">
        <w:t>3.</w:t>
      </w:r>
      <w:r w:rsidRPr="009A08E9">
        <w:tab/>
      </w:r>
      <w:r w:rsidR="00290ECE" w:rsidRPr="00710B91">
        <w:rPr>
          <w:noProof/>
        </w:rPr>
        <w:t xml:space="preserve">Na podstawie umowy o JIT administrator lub administratorzy przestrzeni JIT ustalają prawa dostępu użytkowników platformy współpracy zespołów JIT do przestrzeni współpracy zespołu JIT. </w:t>
      </w:r>
    </w:p>
    <w:p w14:paraId="3FD5E235" w14:textId="77777777" w:rsidR="00521C02" w:rsidRPr="00710B91" w:rsidRDefault="00521C02" w:rsidP="00FF717F">
      <w:pPr>
        <w:pStyle w:val="Titrearticle"/>
        <w:rPr>
          <w:noProof/>
        </w:rPr>
      </w:pPr>
      <w:r w:rsidRPr="00710B91">
        <w:rPr>
          <w:noProof/>
        </w:rPr>
        <w:t>Artykuł 13</w:t>
      </w:r>
    </w:p>
    <w:p w14:paraId="0B53DAE8" w14:textId="67C31A30" w:rsidR="00521C02" w:rsidRPr="00710B91" w:rsidRDefault="00521C02" w:rsidP="00521C02">
      <w:pPr>
        <w:shd w:val="clear" w:color="auto" w:fill="FFFFFF" w:themeFill="background1"/>
        <w:spacing w:before="60" w:line="312" w:lineRule="atLeast"/>
        <w:jc w:val="center"/>
        <w:rPr>
          <w:b/>
          <w:bCs/>
          <w:noProof/>
          <w:szCs w:val="24"/>
        </w:rPr>
      </w:pPr>
      <w:r w:rsidRPr="00710B91">
        <w:rPr>
          <w:b/>
          <w:bCs/>
          <w:noProof/>
          <w:szCs w:val="24"/>
        </w:rPr>
        <w:t>Dostęp właściwych organów</w:t>
      </w:r>
      <w:r w:rsidR="00710B91" w:rsidRPr="00710B91">
        <w:rPr>
          <w:b/>
          <w:bCs/>
          <w:noProof/>
          <w:szCs w:val="24"/>
        </w:rPr>
        <w:t xml:space="preserve"> i</w:t>
      </w:r>
      <w:r w:rsidR="00710B91">
        <w:rPr>
          <w:b/>
          <w:bCs/>
          <w:noProof/>
          <w:szCs w:val="24"/>
        </w:rPr>
        <w:t> </w:t>
      </w:r>
      <w:r w:rsidR="00710B91" w:rsidRPr="00710B91">
        <w:rPr>
          <w:b/>
          <w:bCs/>
          <w:noProof/>
          <w:szCs w:val="24"/>
        </w:rPr>
        <w:t>jed</w:t>
      </w:r>
      <w:r w:rsidRPr="00710B91">
        <w:rPr>
          <w:b/>
          <w:bCs/>
          <w:noProof/>
          <w:szCs w:val="24"/>
        </w:rPr>
        <w:t xml:space="preserve">nostek organizacyjnych Unii do przestrzeni współpracy zespołu JIT </w:t>
      </w:r>
    </w:p>
    <w:p w14:paraId="2B01ACFB" w14:textId="439D301C" w:rsidR="00AD558C" w:rsidRPr="00710B91" w:rsidRDefault="009A08E9" w:rsidP="009A08E9">
      <w:pPr>
        <w:pStyle w:val="ManualNumPar1"/>
        <w:rPr>
          <w:noProof/>
        </w:rPr>
      </w:pPr>
      <w:r w:rsidRPr="009A08E9">
        <w:t>1.</w:t>
      </w:r>
      <w:r w:rsidRPr="009A08E9">
        <w:tab/>
      </w:r>
      <w:r w:rsidR="00521C02" w:rsidRPr="00710B91">
        <w:rPr>
          <w:noProof/>
        </w:rPr>
        <w:t>Administrator lub administratorzy przestrzeni JIT mogą podjąć decyzję</w:t>
      </w:r>
      <w:r w:rsidR="00710B91" w:rsidRPr="00710B91">
        <w:rPr>
          <w:noProof/>
        </w:rPr>
        <w:t xml:space="preserve"> o</w:t>
      </w:r>
      <w:r w:rsidR="00710B91">
        <w:rPr>
          <w:noProof/>
        </w:rPr>
        <w:t> </w:t>
      </w:r>
      <w:r w:rsidR="00710B91" w:rsidRPr="00710B91">
        <w:rPr>
          <w:noProof/>
        </w:rPr>
        <w:t>udz</w:t>
      </w:r>
      <w:r w:rsidR="00521C02" w:rsidRPr="00710B91">
        <w:rPr>
          <w:noProof/>
        </w:rPr>
        <w:t>ieleniu Eurojustowi,</w:t>
      </w:r>
      <w:r w:rsidR="00710B91" w:rsidRPr="00710B91">
        <w:rPr>
          <w:noProof/>
        </w:rPr>
        <w:t xml:space="preserve"> w</w:t>
      </w:r>
      <w:r w:rsidR="00710B91">
        <w:rPr>
          <w:noProof/>
        </w:rPr>
        <w:t> </w:t>
      </w:r>
      <w:r w:rsidR="00710B91" w:rsidRPr="00710B91">
        <w:rPr>
          <w:noProof/>
        </w:rPr>
        <w:t>tym</w:t>
      </w:r>
      <w:r w:rsidR="00521C02" w:rsidRPr="00710B91">
        <w:rPr>
          <w:noProof/>
        </w:rPr>
        <w:t xml:space="preserve"> sekretariatowi JIT, dostępu do przestrzeni współpracy zespołu JIT na potrzeby wykonywania ich zadań określonych</w:t>
      </w:r>
      <w:r w:rsidR="00710B91" w:rsidRPr="00710B91">
        <w:rPr>
          <w:noProof/>
        </w:rPr>
        <w:t xml:space="preserve"> w</w:t>
      </w:r>
      <w:r w:rsidR="00710B91">
        <w:rPr>
          <w:noProof/>
        </w:rPr>
        <w:t> </w:t>
      </w:r>
      <w:r w:rsidR="00710B91" w:rsidRPr="00710B91">
        <w:rPr>
          <w:noProof/>
        </w:rPr>
        <w:t>roz</w:t>
      </w:r>
      <w:r w:rsidR="00521C02" w:rsidRPr="00710B91">
        <w:rPr>
          <w:noProof/>
        </w:rPr>
        <w:t>porządzeniu Parlamentu Europejskiego</w:t>
      </w:r>
      <w:r w:rsidR="00710B91" w:rsidRPr="00710B91">
        <w:rPr>
          <w:noProof/>
        </w:rPr>
        <w:t xml:space="preserve"> i</w:t>
      </w:r>
      <w:r w:rsidR="00710B91">
        <w:rPr>
          <w:noProof/>
        </w:rPr>
        <w:t> </w:t>
      </w:r>
      <w:r w:rsidR="00710B91" w:rsidRPr="00710B91">
        <w:rPr>
          <w:noProof/>
        </w:rPr>
        <w:t>Rad</w:t>
      </w:r>
      <w:r w:rsidR="00521C02" w:rsidRPr="00710B91">
        <w:rPr>
          <w:noProof/>
        </w:rPr>
        <w:t>y (UE) 2018/1727</w:t>
      </w:r>
      <w:r w:rsidR="00521C02" w:rsidRPr="00710B91">
        <w:rPr>
          <w:rStyle w:val="FootnoteReference"/>
          <w:noProof/>
        </w:rPr>
        <w:footnoteReference w:id="30"/>
      </w:r>
      <w:r w:rsidR="00521C02" w:rsidRPr="00710B91">
        <w:rPr>
          <w:noProof/>
        </w:rPr>
        <w:t>. Administrator lub administratorzy przestrzeni JIT mogą</w:t>
      </w:r>
      <w:r w:rsidR="00710B91" w:rsidRPr="00710B91">
        <w:rPr>
          <w:noProof/>
        </w:rPr>
        <w:t xml:space="preserve"> w</w:t>
      </w:r>
      <w:r w:rsidR="00710B91">
        <w:rPr>
          <w:noProof/>
        </w:rPr>
        <w:t> </w:t>
      </w:r>
      <w:r w:rsidR="00710B91" w:rsidRPr="00710B91">
        <w:rPr>
          <w:noProof/>
        </w:rPr>
        <w:t>szc</w:t>
      </w:r>
      <w:r w:rsidR="00521C02" w:rsidRPr="00710B91">
        <w:rPr>
          <w:noProof/>
        </w:rPr>
        <w:t>zególności podjąć decyzję</w:t>
      </w:r>
      <w:r w:rsidR="00710B91" w:rsidRPr="00710B91">
        <w:rPr>
          <w:noProof/>
        </w:rPr>
        <w:t xml:space="preserve"> o</w:t>
      </w:r>
      <w:r w:rsidR="00710B91">
        <w:rPr>
          <w:noProof/>
        </w:rPr>
        <w:t> </w:t>
      </w:r>
      <w:r w:rsidR="00710B91" w:rsidRPr="00710B91">
        <w:rPr>
          <w:noProof/>
        </w:rPr>
        <w:t>udz</w:t>
      </w:r>
      <w:r w:rsidR="00521C02" w:rsidRPr="00710B91">
        <w:rPr>
          <w:noProof/>
        </w:rPr>
        <w:t>ieleniu sekretariatowi JIT dostępu do przestrzeni współpracy zespołu JIT na potrzeby udzielania wsparcia technicznego</w:t>
      </w:r>
      <w:r w:rsidR="00710B91" w:rsidRPr="00710B91">
        <w:rPr>
          <w:noProof/>
        </w:rPr>
        <w:t xml:space="preserve"> i</w:t>
      </w:r>
      <w:r w:rsidR="00710B91">
        <w:rPr>
          <w:noProof/>
        </w:rPr>
        <w:t> </w:t>
      </w:r>
      <w:r w:rsidR="00710B91" w:rsidRPr="00710B91">
        <w:rPr>
          <w:noProof/>
        </w:rPr>
        <w:t>adm</w:t>
      </w:r>
      <w:r w:rsidR="00521C02" w:rsidRPr="00710B91">
        <w:rPr>
          <w:noProof/>
        </w:rPr>
        <w:t>inistracyjnego</w:t>
      </w:r>
      <w:r w:rsidR="00710B91" w:rsidRPr="00710B91">
        <w:rPr>
          <w:noProof/>
        </w:rPr>
        <w:t xml:space="preserve"> w</w:t>
      </w:r>
      <w:r w:rsidR="00710B91">
        <w:rPr>
          <w:noProof/>
        </w:rPr>
        <w:t> </w:t>
      </w:r>
      <w:r w:rsidR="00710B91" w:rsidRPr="00710B91">
        <w:rPr>
          <w:noProof/>
        </w:rPr>
        <w:t>tym w</w:t>
      </w:r>
      <w:r w:rsidR="00710B91">
        <w:rPr>
          <w:noProof/>
        </w:rPr>
        <w:t> </w:t>
      </w:r>
      <w:r w:rsidR="00710B91" w:rsidRPr="00710B91">
        <w:rPr>
          <w:noProof/>
        </w:rPr>
        <w:t>zak</w:t>
      </w:r>
      <w:r w:rsidR="00521C02" w:rsidRPr="00710B91">
        <w:rPr>
          <w:noProof/>
        </w:rPr>
        <w:t>resie zarządzania prawami dostępu.</w:t>
      </w:r>
    </w:p>
    <w:p w14:paraId="7A55E396" w14:textId="04DA3E85" w:rsidR="00AD558C" w:rsidRPr="00710B91" w:rsidRDefault="009A08E9" w:rsidP="009A08E9">
      <w:pPr>
        <w:pStyle w:val="ManualNumPar1"/>
        <w:rPr>
          <w:noProof/>
        </w:rPr>
      </w:pPr>
      <w:r w:rsidRPr="009A08E9">
        <w:t>2.</w:t>
      </w:r>
      <w:r w:rsidRPr="009A08E9">
        <w:tab/>
      </w:r>
      <w:r w:rsidR="00521C02" w:rsidRPr="00710B91">
        <w:rPr>
          <w:noProof/>
        </w:rPr>
        <w:t>Administrator lub administratorzy przestrzeni JIT mogą podjąć decyzję</w:t>
      </w:r>
      <w:r w:rsidR="00710B91" w:rsidRPr="00710B91">
        <w:rPr>
          <w:noProof/>
        </w:rPr>
        <w:t xml:space="preserve"> o</w:t>
      </w:r>
      <w:r w:rsidR="00710B91">
        <w:rPr>
          <w:noProof/>
        </w:rPr>
        <w:t> </w:t>
      </w:r>
      <w:r w:rsidR="00710B91" w:rsidRPr="00710B91">
        <w:rPr>
          <w:noProof/>
        </w:rPr>
        <w:t>udz</w:t>
      </w:r>
      <w:r w:rsidR="00521C02" w:rsidRPr="00710B91">
        <w:rPr>
          <w:noProof/>
        </w:rPr>
        <w:t>ieleniu Europolowi dostępu do przestrzeni współpracy zespołu JIT na potrzeby wykonywania jego zadań określonych</w:t>
      </w:r>
      <w:r w:rsidR="00710B91" w:rsidRPr="00710B91">
        <w:rPr>
          <w:noProof/>
        </w:rPr>
        <w:t xml:space="preserve"> w</w:t>
      </w:r>
      <w:r w:rsidR="00710B91">
        <w:rPr>
          <w:noProof/>
        </w:rPr>
        <w:t> </w:t>
      </w:r>
      <w:r w:rsidR="00710B91" w:rsidRPr="00710B91">
        <w:rPr>
          <w:noProof/>
        </w:rPr>
        <w:t>roz</w:t>
      </w:r>
      <w:r w:rsidR="00521C02" w:rsidRPr="00710B91">
        <w:rPr>
          <w:noProof/>
        </w:rPr>
        <w:t>porządzeniu Parlamentu Europejskiego</w:t>
      </w:r>
      <w:r w:rsidR="00710B91" w:rsidRPr="00710B91">
        <w:rPr>
          <w:noProof/>
        </w:rPr>
        <w:t xml:space="preserve"> i</w:t>
      </w:r>
      <w:r w:rsidR="00710B91">
        <w:rPr>
          <w:noProof/>
        </w:rPr>
        <w:t> </w:t>
      </w:r>
      <w:r w:rsidR="00710B91" w:rsidRPr="00710B91">
        <w:rPr>
          <w:noProof/>
        </w:rPr>
        <w:t>Rad</w:t>
      </w:r>
      <w:r w:rsidR="00521C02" w:rsidRPr="00710B91">
        <w:rPr>
          <w:noProof/>
        </w:rPr>
        <w:t>y (UE) 2016/794</w:t>
      </w:r>
      <w:r w:rsidR="00521C02" w:rsidRPr="00710B91">
        <w:rPr>
          <w:rStyle w:val="FootnoteReference"/>
          <w:noProof/>
        </w:rPr>
        <w:footnoteReference w:id="31"/>
      </w:r>
      <w:r w:rsidR="00521C02" w:rsidRPr="00710B91">
        <w:rPr>
          <w:noProof/>
        </w:rPr>
        <w:t>.</w:t>
      </w:r>
    </w:p>
    <w:p w14:paraId="4C08D97E" w14:textId="5C92BFF0" w:rsidR="00521C02" w:rsidRPr="00710B91" w:rsidRDefault="009A08E9" w:rsidP="009A08E9">
      <w:pPr>
        <w:pStyle w:val="ManualNumPar1"/>
        <w:rPr>
          <w:noProof/>
        </w:rPr>
      </w:pPr>
      <w:r w:rsidRPr="009A08E9">
        <w:t>3.</w:t>
      </w:r>
      <w:r w:rsidRPr="009A08E9">
        <w:tab/>
      </w:r>
      <w:r w:rsidR="00521C02" w:rsidRPr="00710B91">
        <w:rPr>
          <w:noProof/>
        </w:rPr>
        <w:t>Administrator lub administratorzy przestrzeni JIT mogą podjąć decyzję</w:t>
      </w:r>
      <w:r w:rsidR="00710B91" w:rsidRPr="00710B91">
        <w:rPr>
          <w:noProof/>
        </w:rPr>
        <w:t xml:space="preserve"> o</w:t>
      </w:r>
      <w:r w:rsidR="00710B91">
        <w:rPr>
          <w:noProof/>
        </w:rPr>
        <w:t> </w:t>
      </w:r>
      <w:r w:rsidR="00710B91" w:rsidRPr="00710B91">
        <w:rPr>
          <w:noProof/>
        </w:rPr>
        <w:t>udz</w:t>
      </w:r>
      <w:r w:rsidR="00521C02" w:rsidRPr="00710B91">
        <w:rPr>
          <w:noProof/>
        </w:rPr>
        <w:t>ieleniu OLAF-owi dostępu do przestrzeni współpracy zespołu JIT na potrzeby wykonywania jego zad</w:t>
      </w:r>
      <w:r w:rsidR="00620FA0" w:rsidRPr="00710B91">
        <w:rPr>
          <w:noProof/>
        </w:rPr>
        <w:t>ań określonych</w:t>
      </w:r>
      <w:r w:rsidR="00710B91" w:rsidRPr="00710B91">
        <w:rPr>
          <w:noProof/>
        </w:rPr>
        <w:t xml:space="preserve"> w</w:t>
      </w:r>
      <w:r w:rsidR="00710B91">
        <w:rPr>
          <w:noProof/>
        </w:rPr>
        <w:t> </w:t>
      </w:r>
      <w:r w:rsidR="00710B91" w:rsidRPr="00710B91">
        <w:rPr>
          <w:noProof/>
        </w:rPr>
        <w:t>roz</w:t>
      </w:r>
      <w:r w:rsidR="00620FA0" w:rsidRPr="00710B91">
        <w:rPr>
          <w:noProof/>
        </w:rPr>
        <w:t>porządzeniu</w:t>
      </w:r>
      <w:r w:rsidR="00521C02" w:rsidRPr="00710B91">
        <w:rPr>
          <w:noProof/>
        </w:rPr>
        <w:t xml:space="preserve"> Parlamentu Europejskiego</w:t>
      </w:r>
      <w:r w:rsidR="00710B91" w:rsidRPr="00710B91">
        <w:rPr>
          <w:noProof/>
        </w:rPr>
        <w:t xml:space="preserve"> i</w:t>
      </w:r>
      <w:r w:rsidR="00710B91">
        <w:rPr>
          <w:noProof/>
        </w:rPr>
        <w:t> </w:t>
      </w:r>
      <w:r w:rsidR="00710B91" w:rsidRPr="00710B91">
        <w:rPr>
          <w:noProof/>
        </w:rPr>
        <w:t>Rad</w:t>
      </w:r>
      <w:r w:rsidR="00521C02" w:rsidRPr="00710B91">
        <w:rPr>
          <w:noProof/>
        </w:rPr>
        <w:t>y (UE, Euratom) nr</w:t>
      </w:r>
      <w:r w:rsidR="00710B91" w:rsidRPr="00710B91">
        <w:rPr>
          <w:noProof/>
        </w:rPr>
        <w:t> </w:t>
      </w:r>
      <w:r w:rsidR="00521C02" w:rsidRPr="00710B91">
        <w:rPr>
          <w:noProof/>
        </w:rPr>
        <w:t>883/2013</w:t>
      </w:r>
      <w:r w:rsidR="00521C02" w:rsidRPr="00710B91">
        <w:rPr>
          <w:rStyle w:val="FootnoteReference"/>
          <w:noProof/>
        </w:rPr>
        <w:footnoteReference w:id="32"/>
      </w:r>
      <w:r w:rsidR="00521C02" w:rsidRPr="00710B91">
        <w:rPr>
          <w:noProof/>
        </w:rPr>
        <w:t>.</w:t>
      </w:r>
    </w:p>
    <w:p w14:paraId="05514DA9" w14:textId="578D235E" w:rsidR="00C300EC" w:rsidRPr="00710B91" w:rsidRDefault="009A08E9" w:rsidP="009A08E9">
      <w:pPr>
        <w:pStyle w:val="ManualNumPar1"/>
        <w:rPr>
          <w:bCs/>
          <w:noProof/>
          <w:szCs w:val="24"/>
        </w:rPr>
      </w:pPr>
      <w:r w:rsidRPr="009A08E9">
        <w:t>4.</w:t>
      </w:r>
      <w:r w:rsidRPr="009A08E9">
        <w:tab/>
      </w:r>
      <w:r w:rsidR="006C7F91" w:rsidRPr="00710B91">
        <w:rPr>
          <w:noProof/>
        </w:rPr>
        <w:t>Administrator lub administratorzy przestrzeni JIT mogą podjąć decyzję</w:t>
      </w:r>
      <w:r w:rsidR="00710B91" w:rsidRPr="00710B91">
        <w:rPr>
          <w:noProof/>
        </w:rPr>
        <w:t xml:space="preserve"> o</w:t>
      </w:r>
      <w:r w:rsidR="00710B91">
        <w:rPr>
          <w:noProof/>
        </w:rPr>
        <w:t> </w:t>
      </w:r>
      <w:r w:rsidR="00710B91" w:rsidRPr="00710B91">
        <w:rPr>
          <w:noProof/>
        </w:rPr>
        <w:t>udz</w:t>
      </w:r>
      <w:r w:rsidR="006C7F91" w:rsidRPr="00710B91">
        <w:rPr>
          <w:noProof/>
        </w:rPr>
        <w:t>ieleniu Prokuraturze Europejskiej dostępu do przestrzeni współpracy zespołu JIT na potrzeby wykonywania jej zadań określonych</w:t>
      </w:r>
      <w:r w:rsidR="00710B91" w:rsidRPr="00710B91">
        <w:rPr>
          <w:noProof/>
        </w:rPr>
        <w:t xml:space="preserve"> w</w:t>
      </w:r>
      <w:r w:rsidR="00710B91">
        <w:rPr>
          <w:noProof/>
        </w:rPr>
        <w:t> </w:t>
      </w:r>
      <w:r w:rsidR="00710B91" w:rsidRPr="00710B91">
        <w:rPr>
          <w:noProof/>
        </w:rPr>
        <w:t>roz</w:t>
      </w:r>
      <w:r w:rsidR="006C7F91" w:rsidRPr="00710B91">
        <w:rPr>
          <w:noProof/>
        </w:rPr>
        <w:t>porządzeniu Rady (UE) 2017/1939.</w:t>
      </w:r>
    </w:p>
    <w:p w14:paraId="0A8C951D" w14:textId="4150E5D0" w:rsidR="00521C02" w:rsidRPr="00710B91" w:rsidRDefault="009A08E9" w:rsidP="009A08E9">
      <w:pPr>
        <w:pStyle w:val="ManualNumPar1"/>
        <w:rPr>
          <w:bCs/>
          <w:noProof/>
          <w:szCs w:val="24"/>
        </w:rPr>
      </w:pPr>
      <w:r w:rsidRPr="009A08E9">
        <w:t>5.</w:t>
      </w:r>
      <w:r w:rsidRPr="009A08E9">
        <w:tab/>
      </w:r>
      <w:r w:rsidR="00C300EC" w:rsidRPr="00710B91">
        <w:rPr>
          <w:noProof/>
        </w:rPr>
        <w:t>Administrator lub administratorzy przestrzeni JIT mogą podjąć decyzję</w:t>
      </w:r>
      <w:r w:rsidR="00710B91" w:rsidRPr="00710B91">
        <w:rPr>
          <w:noProof/>
        </w:rPr>
        <w:t xml:space="preserve"> o</w:t>
      </w:r>
      <w:r w:rsidR="00710B91">
        <w:rPr>
          <w:noProof/>
        </w:rPr>
        <w:t> </w:t>
      </w:r>
      <w:r w:rsidR="00710B91" w:rsidRPr="00710B91">
        <w:rPr>
          <w:noProof/>
        </w:rPr>
        <w:t>udz</w:t>
      </w:r>
      <w:r w:rsidR="00C300EC" w:rsidRPr="00710B91">
        <w:rPr>
          <w:noProof/>
        </w:rPr>
        <w:t>ieleniu innym właściwym organom</w:t>
      </w:r>
      <w:r w:rsidR="00710B91" w:rsidRPr="00710B91">
        <w:rPr>
          <w:noProof/>
        </w:rPr>
        <w:t xml:space="preserve"> i</w:t>
      </w:r>
      <w:r w:rsidR="00710B91">
        <w:rPr>
          <w:noProof/>
        </w:rPr>
        <w:t> </w:t>
      </w:r>
      <w:r w:rsidR="00710B91" w:rsidRPr="00710B91">
        <w:rPr>
          <w:noProof/>
        </w:rPr>
        <w:t>jed</w:t>
      </w:r>
      <w:r w:rsidR="00C300EC" w:rsidRPr="00710B91">
        <w:rPr>
          <w:noProof/>
        </w:rPr>
        <w:t>nostkom organizacyjnym Unii dostępu do przestrzeni współpracy zespołu JIT na potrzeby wykonywania zadań określonych</w:t>
      </w:r>
      <w:r w:rsidR="00710B91" w:rsidRPr="00710B91">
        <w:rPr>
          <w:noProof/>
        </w:rPr>
        <w:t xml:space="preserve"> w</w:t>
      </w:r>
      <w:r w:rsidR="00710B91">
        <w:rPr>
          <w:noProof/>
        </w:rPr>
        <w:t> </w:t>
      </w:r>
      <w:r w:rsidR="00710B91" w:rsidRPr="00710B91">
        <w:rPr>
          <w:noProof/>
        </w:rPr>
        <w:t>ich</w:t>
      </w:r>
      <w:r w:rsidR="00C300EC" w:rsidRPr="00710B91">
        <w:rPr>
          <w:noProof/>
        </w:rPr>
        <w:t xml:space="preserve"> aktach podstawowych.</w:t>
      </w:r>
    </w:p>
    <w:p w14:paraId="4E4120F2" w14:textId="77777777" w:rsidR="00521C02" w:rsidRPr="00710B91" w:rsidRDefault="00521C02" w:rsidP="00FF717F">
      <w:pPr>
        <w:pStyle w:val="Titrearticle"/>
        <w:rPr>
          <w:noProof/>
        </w:rPr>
      </w:pPr>
      <w:r w:rsidRPr="00710B91">
        <w:rPr>
          <w:noProof/>
        </w:rPr>
        <w:t>Artykuł 14</w:t>
      </w:r>
    </w:p>
    <w:p w14:paraId="3399D296" w14:textId="3E2B6802" w:rsidR="00A1011C" w:rsidRPr="00710B91" w:rsidRDefault="00A1011C" w:rsidP="00A1011C">
      <w:pPr>
        <w:shd w:val="clear" w:color="auto" w:fill="FFFFFF"/>
        <w:spacing w:before="60" w:line="312" w:lineRule="atLeast"/>
        <w:jc w:val="center"/>
        <w:rPr>
          <w:rFonts w:eastAsia="Calibri"/>
          <w:b/>
          <w:bCs/>
          <w:noProof/>
          <w:szCs w:val="24"/>
        </w:rPr>
      </w:pPr>
      <w:r w:rsidRPr="00710B91">
        <w:rPr>
          <w:b/>
          <w:bCs/>
          <w:noProof/>
          <w:szCs w:val="24"/>
        </w:rPr>
        <w:t>Dostęp właściwych organów państw trzecich do przestrzeni współpracy zespołu JIT</w:t>
      </w:r>
    </w:p>
    <w:p w14:paraId="2F3082D5" w14:textId="338CF2F1" w:rsidR="00A1011C" w:rsidRPr="00710B91" w:rsidRDefault="009A08E9" w:rsidP="009A08E9">
      <w:pPr>
        <w:pStyle w:val="ManualNumPar1"/>
        <w:rPr>
          <w:noProof/>
        </w:rPr>
      </w:pPr>
      <w:r w:rsidRPr="009A08E9">
        <w:t>1.</w:t>
      </w:r>
      <w:r w:rsidRPr="009A08E9">
        <w:tab/>
      </w:r>
      <w:r w:rsidR="009F38B5" w:rsidRPr="00710B91">
        <w:rPr>
          <w:noProof/>
        </w:rPr>
        <w:t>Administrator lub administratorzy przestrzeni JIT mogą podjąć decyzję</w:t>
      </w:r>
      <w:r w:rsidR="00710B91" w:rsidRPr="00710B91">
        <w:rPr>
          <w:noProof/>
        </w:rPr>
        <w:t xml:space="preserve"> o</w:t>
      </w:r>
      <w:r w:rsidR="00710B91">
        <w:rPr>
          <w:noProof/>
        </w:rPr>
        <w:t> </w:t>
      </w:r>
      <w:r w:rsidR="00710B91" w:rsidRPr="00710B91">
        <w:rPr>
          <w:noProof/>
        </w:rPr>
        <w:t>udz</w:t>
      </w:r>
      <w:r w:rsidR="009F38B5" w:rsidRPr="00710B91">
        <w:rPr>
          <w:noProof/>
        </w:rPr>
        <w:t>ieleniu właściwym organom państw trzecich, które to państwa podpisały określoną umowę o JIT, dostępu do przestrzeni współpracy zespołu JIT do celów wymienionych</w:t>
      </w:r>
      <w:r w:rsidR="00710B91" w:rsidRPr="00710B91">
        <w:rPr>
          <w:noProof/>
        </w:rPr>
        <w:t xml:space="preserve"> w</w:t>
      </w:r>
      <w:r w:rsidR="00710B91">
        <w:rPr>
          <w:noProof/>
        </w:rPr>
        <w:t> </w:t>
      </w:r>
      <w:r w:rsidR="00710B91" w:rsidRPr="00710B91">
        <w:rPr>
          <w:noProof/>
        </w:rPr>
        <w:t>art</w:t>
      </w:r>
      <w:r w:rsidR="009F38B5" w:rsidRPr="00710B91">
        <w:rPr>
          <w:noProof/>
        </w:rPr>
        <w:t>.</w:t>
      </w:r>
      <w:r w:rsidR="00710B91" w:rsidRPr="00710B91">
        <w:rPr>
          <w:noProof/>
        </w:rPr>
        <w:t> </w:t>
      </w:r>
      <w:r w:rsidR="009F38B5" w:rsidRPr="00710B91">
        <w:rPr>
          <w:noProof/>
        </w:rPr>
        <w:t xml:space="preserve">5. </w:t>
      </w:r>
    </w:p>
    <w:p w14:paraId="73180403" w14:textId="19A394B7" w:rsidR="00A1011C" w:rsidRPr="00710B91" w:rsidRDefault="009A08E9" w:rsidP="009A08E9">
      <w:pPr>
        <w:pStyle w:val="ManualNumPar1"/>
        <w:rPr>
          <w:noProof/>
        </w:rPr>
      </w:pPr>
      <w:r w:rsidRPr="009A08E9">
        <w:t>2.</w:t>
      </w:r>
      <w:r w:rsidRPr="009A08E9">
        <w:tab/>
      </w:r>
      <w:r w:rsidR="005A34B4" w:rsidRPr="00710B91">
        <w:rPr>
          <w:noProof/>
        </w:rPr>
        <w:t>Administrator lub administratorzy przestrzeni JIT zapewniają, aby wymiany danych operacyjnych</w:t>
      </w:r>
      <w:r w:rsidR="00710B91" w:rsidRPr="00710B91">
        <w:rPr>
          <w:noProof/>
        </w:rPr>
        <w:t xml:space="preserve"> z</w:t>
      </w:r>
      <w:r w:rsidR="00710B91">
        <w:rPr>
          <w:noProof/>
        </w:rPr>
        <w:t> </w:t>
      </w:r>
      <w:r w:rsidR="00710B91" w:rsidRPr="00710B91">
        <w:rPr>
          <w:noProof/>
        </w:rPr>
        <w:t>wła</w:t>
      </w:r>
      <w:r w:rsidR="005A34B4" w:rsidRPr="00710B91">
        <w:rPr>
          <w:noProof/>
        </w:rPr>
        <w:t>ściwymi organami państw trzecich, którym udzielono dostępu do przestrzeni współpracy zespołu JIT, były ograniczone do tego, co niezbędne na potrzeby umowy o JIT,</w:t>
      </w:r>
      <w:r w:rsidR="00710B91" w:rsidRPr="00710B91">
        <w:rPr>
          <w:noProof/>
        </w:rPr>
        <w:t xml:space="preserve"> i</w:t>
      </w:r>
      <w:r w:rsidR="00710B91">
        <w:rPr>
          <w:noProof/>
        </w:rPr>
        <w:t> </w:t>
      </w:r>
      <w:r w:rsidR="00710B91" w:rsidRPr="00710B91">
        <w:rPr>
          <w:noProof/>
        </w:rPr>
        <w:t>pod</w:t>
      </w:r>
      <w:r w:rsidR="005A34B4" w:rsidRPr="00710B91">
        <w:rPr>
          <w:noProof/>
        </w:rPr>
        <w:t>legały warunkom określonym</w:t>
      </w:r>
      <w:r w:rsidR="00710B91" w:rsidRPr="00710B91">
        <w:rPr>
          <w:noProof/>
        </w:rPr>
        <w:t xml:space="preserve"> w</w:t>
      </w:r>
      <w:r w:rsidR="00710B91">
        <w:rPr>
          <w:noProof/>
        </w:rPr>
        <w:t> </w:t>
      </w:r>
      <w:r w:rsidR="00710B91" w:rsidRPr="00710B91">
        <w:rPr>
          <w:noProof/>
        </w:rPr>
        <w:t>tej</w:t>
      </w:r>
      <w:r w:rsidR="005A34B4" w:rsidRPr="00710B91">
        <w:rPr>
          <w:noProof/>
        </w:rPr>
        <w:t xml:space="preserve"> umowie.</w:t>
      </w:r>
    </w:p>
    <w:p w14:paraId="7B5ED0BC" w14:textId="7BDE4901" w:rsidR="005A34B4" w:rsidRPr="00710B91" w:rsidRDefault="009A08E9" w:rsidP="009A08E9">
      <w:pPr>
        <w:pStyle w:val="ManualNumPar1"/>
        <w:rPr>
          <w:noProof/>
        </w:rPr>
      </w:pPr>
      <w:r w:rsidRPr="009A08E9">
        <w:t>3.</w:t>
      </w:r>
      <w:r w:rsidRPr="009A08E9">
        <w:tab/>
      </w:r>
      <w:r w:rsidR="005A34B4" w:rsidRPr="00710B91">
        <w:rPr>
          <w:noProof/>
        </w:rPr>
        <w:t>Państwa członkowskie zapewniają, aby przekazywanie przez nie danych osobowych do państw trzecich, którym udzielono dostępu do przestrzeni współpracy zespołu JIT, miało miejsce wyłącznie</w:t>
      </w:r>
      <w:r w:rsidR="00710B91" w:rsidRPr="00710B91">
        <w:rPr>
          <w:noProof/>
        </w:rPr>
        <w:t xml:space="preserve"> w</w:t>
      </w:r>
      <w:r w:rsidR="00710B91">
        <w:rPr>
          <w:noProof/>
        </w:rPr>
        <w:t> </w:t>
      </w:r>
      <w:r w:rsidR="00710B91" w:rsidRPr="00710B91">
        <w:rPr>
          <w:noProof/>
        </w:rPr>
        <w:t>prz</w:t>
      </w:r>
      <w:r w:rsidR="005A34B4" w:rsidRPr="00710B91">
        <w:rPr>
          <w:noProof/>
        </w:rPr>
        <w:t>ypadku spełnienia warunków określonych</w:t>
      </w:r>
      <w:r w:rsidR="00710B91" w:rsidRPr="00710B91">
        <w:rPr>
          <w:noProof/>
        </w:rPr>
        <w:t xml:space="preserve"> w</w:t>
      </w:r>
      <w:r w:rsidR="00710B91">
        <w:rPr>
          <w:noProof/>
        </w:rPr>
        <w:t> </w:t>
      </w:r>
      <w:r w:rsidR="00710B91" w:rsidRPr="00710B91">
        <w:rPr>
          <w:noProof/>
        </w:rPr>
        <w:t>roz</w:t>
      </w:r>
      <w:r w:rsidR="005A34B4" w:rsidRPr="00710B91">
        <w:rPr>
          <w:noProof/>
        </w:rPr>
        <w:t>dziale V dyrektywy 2016/680.</w:t>
      </w:r>
    </w:p>
    <w:p w14:paraId="7F7AC0FE" w14:textId="77777777" w:rsidR="00A1011C" w:rsidRPr="00710B91" w:rsidRDefault="00A1011C" w:rsidP="00A1011C">
      <w:pPr>
        <w:spacing w:before="60" w:after="160" w:line="259" w:lineRule="auto"/>
        <w:ind w:left="360"/>
        <w:contextualSpacing/>
        <w:jc w:val="left"/>
        <w:rPr>
          <w:rFonts w:eastAsia="Calibri"/>
          <w:noProof/>
          <w:szCs w:val="24"/>
        </w:rPr>
      </w:pPr>
    </w:p>
    <w:p w14:paraId="234AC47D" w14:textId="77777777" w:rsidR="00521C02" w:rsidRPr="00710B91" w:rsidRDefault="00521C02" w:rsidP="00521C02">
      <w:pPr>
        <w:spacing w:before="60"/>
        <w:jc w:val="center"/>
        <w:rPr>
          <w:rFonts w:eastAsia="Times New Roman"/>
          <w:b/>
          <w:bCs/>
          <w:iCs/>
          <w:noProof/>
          <w:szCs w:val="24"/>
        </w:rPr>
      </w:pPr>
      <w:r w:rsidRPr="00710B91">
        <w:rPr>
          <w:b/>
          <w:bCs/>
          <w:iCs/>
          <w:noProof/>
          <w:szCs w:val="24"/>
        </w:rPr>
        <w:t>ROZDZIAŁ IV</w:t>
      </w:r>
    </w:p>
    <w:p w14:paraId="0660BEC3" w14:textId="51AE9969" w:rsidR="00521C02" w:rsidRPr="00710B91" w:rsidRDefault="00521C02" w:rsidP="00521C02">
      <w:pPr>
        <w:shd w:val="clear" w:color="auto" w:fill="FFFFFF" w:themeFill="background1"/>
        <w:spacing w:after="0" w:line="312" w:lineRule="atLeast"/>
        <w:jc w:val="center"/>
        <w:rPr>
          <w:rFonts w:eastAsia="Times New Roman"/>
          <w:noProof/>
          <w:szCs w:val="24"/>
        </w:rPr>
      </w:pPr>
      <w:r w:rsidRPr="00710B91">
        <w:rPr>
          <w:b/>
          <w:bCs/>
          <w:i/>
          <w:iCs/>
          <w:noProof/>
          <w:szCs w:val="24"/>
        </w:rPr>
        <w:t>Bezpieczeństwo</w:t>
      </w:r>
      <w:r w:rsidR="00710B91" w:rsidRPr="00710B91">
        <w:rPr>
          <w:b/>
          <w:bCs/>
          <w:i/>
          <w:iCs/>
          <w:noProof/>
          <w:szCs w:val="24"/>
        </w:rPr>
        <w:t xml:space="preserve"> i</w:t>
      </w:r>
      <w:r w:rsidR="00710B91">
        <w:rPr>
          <w:b/>
          <w:bCs/>
          <w:i/>
          <w:iCs/>
          <w:noProof/>
          <w:szCs w:val="24"/>
        </w:rPr>
        <w:t> </w:t>
      </w:r>
      <w:r w:rsidR="00710B91" w:rsidRPr="00710B91">
        <w:rPr>
          <w:b/>
          <w:bCs/>
          <w:i/>
          <w:iCs/>
          <w:noProof/>
          <w:szCs w:val="24"/>
        </w:rPr>
        <w:t>odp</w:t>
      </w:r>
      <w:r w:rsidRPr="00710B91">
        <w:rPr>
          <w:b/>
          <w:bCs/>
          <w:i/>
          <w:iCs/>
          <w:noProof/>
          <w:szCs w:val="24"/>
        </w:rPr>
        <w:t>owiedzialność</w:t>
      </w:r>
    </w:p>
    <w:p w14:paraId="48830007" w14:textId="77777777" w:rsidR="00521C02" w:rsidRPr="00710B91" w:rsidRDefault="00521C02" w:rsidP="00FF717F">
      <w:pPr>
        <w:pStyle w:val="Titrearticle"/>
        <w:rPr>
          <w:noProof/>
          <w:highlight w:val="yellow"/>
        </w:rPr>
      </w:pPr>
      <w:r w:rsidRPr="00710B91">
        <w:rPr>
          <w:noProof/>
        </w:rPr>
        <w:t>Artykuł 15</w:t>
      </w:r>
    </w:p>
    <w:p w14:paraId="64A4E76E" w14:textId="77777777" w:rsidR="00521C02" w:rsidRPr="00710B91" w:rsidRDefault="00521C02" w:rsidP="00521C02">
      <w:pPr>
        <w:shd w:val="clear" w:color="auto" w:fill="FFFFFF" w:themeFill="background1"/>
        <w:spacing w:after="0" w:line="312" w:lineRule="atLeast"/>
        <w:jc w:val="center"/>
        <w:rPr>
          <w:rFonts w:eastAsia="Times New Roman"/>
          <w:b/>
          <w:bCs/>
          <w:noProof/>
          <w:szCs w:val="24"/>
          <w:highlight w:val="yellow"/>
        </w:rPr>
      </w:pPr>
      <w:r w:rsidRPr="00710B91">
        <w:rPr>
          <w:b/>
          <w:bCs/>
          <w:noProof/>
          <w:szCs w:val="24"/>
        </w:rPr>
        <w:t>Bezpieczeństwo</w:t>
      </w:r>
    </w:p>
    <w:p w14:paraId="254F4D77" w14:textId="2F160C30" w:rsidR="00521C02" w:rsidRPr="00710B91" w:rsidRDefault="009A08E9" w:rsidP="009A08E9">
      <w:pPr>
        <w:pStyle w:val="ManualNumPar1"/>
        <w:rPr>
          <w:noProof/>
        </w:rPr>
      </w:pPr>
      <w:r w:rsidRPr="009A08E9">
        <w:t>1.</w:t>
      </w:r>
      <w:r w:rsidRPr="009A08E9">
        <w:tab/>
      </w:r>
      <w:r w:rsidR="00521C02" w:rsidRPr="00710B91">
        <w:rPr>
          <w:noProof/>
        </w:rPr>
        <w:t>eu-LISA wprowadza niezbędne środki techniczne</w:t>
      </w:r>
      <w:r w:rsidR="00710B91" w:rsidRPr="00710B91">
        <w:rPr>
          <w:noProof/>
        </w:rPr>
        <w:t xml:space="preserve"> i</w:t>
      </w:r>
      <w:r w:rsidR="00710B91">
        <w:rPr>
          <w:noProof/>
        </w:rPr>
        <w:t> </w:t>
      </w:r>
      <w:r w:rsidR="00710B91" w:rsidRPr="00710B91">
        <w:rPr>
          <w:noProof/>
        </w:rPr>
        <w:t>org</w:t>
      </w:r>
      <w:r w:rsidR="00521C02" w:rsidRPr="00710B91">
        <w:rPr>
          <w:noProof/>
        </w:rPr>
        <w:t>anizacyjne, aby zapewnić wysoki poziom cyberbezpieczeństwa platformy współpracy zespołów JIT oraz bezpieczeństwa informacji zawartych</w:t>
      </w:r>
      <w:r w:rsidR="00710B91" w:rsidRPr="00710B91">
        <w:rPr>
          <w:noProof/>
        </w:rPr>
        <w:t xml:space="preserve"> w</w:t>
      </w:r>
      <w:r w:rsidR="00710B91">
        <w:rPr>
          <w:noProof/>
        </w:rPr>
        <w:t> </w:t>
      </w:r>
      <w:r w:rsidR="00710B91" w:rsidRPr="00710B91">
        <w:rPr>
          <w:noProof/>
        </w:rPr>
        <w:t>dan</w:t>
      </w:r>
      <w:r w:rsidR="00521C02" w:rsidRPr="00710B91">
        <w:rPr>
          <w:noProof/>
        </w:rPr>
        <w:t>ych</w:t>
      </w:r>
      <w:r w:rsidR="00710B91" w:rsidRPr="00710B91">
        <w:rPr>
          <w:noProof/>
        </w:rPr>
        <w:t xml:space="preserve"> w</w:t>
      </w:r>
      <w:r w:rsidR="00710B91">
        <w:rPr>
          <w:noProof/>
        </w:rPr>
        <w:t> </w:t>
      </w:r>
      <w:r w:rsidR="00710B91" w:rsidRPr="00710B91">
        <w:rPr>
          <w:noProof/>
        </w:rPr>
        <w:t>obr</w:t>
      </w:r>
      <w:r w:rsidR="00521C02" w:rsidRPr="00710B91">
        <w:rPr>
          <w:noProof/>
        </w:rPr>
        <w:t>ębie platformy współpracy zespołów JIT,</w:t>
      </w:r>
      <w:r w:rsidR="00710B91" w:rsidRPr="00710B91">
        <w:rPr>
          <w:noProof/>
        </w:rPr>
        <w:t xml:space="preserve"> w</w:t>
      </w:r>
      <w:r w:rsidR="00710B91">
        <w:rPr>
          <w:noProof/>
        </w:rPr>
        <w:t> </w:t>
      </w:r>
      <w:r w:rsidR="00710B91" w:rsidRPr="00710B91">
        <w:rPr>
          <w:noProof/>
        </w:rPr>
        <w:t>szc</w:t>
      </w:r>
      <w:r w:rsidR="00521C02" w:rsidRPr="00710B91">
        <w:rPr>
          <w:noProof/>
        </w:rPr>
        <w:t>zególności</w:t>
      </w:r>
      <w:r w:rsidR="00710B91" w:rsidRPr="00710B91">
        <w:rPr>
          <w:noProof/>
        </w:rPr>
        <w:t xml:space="preserve"> w</w:t>
      </w:r>
      <w:r w:rsidR="00710B91">
        <w:rPr>
          <w:noProof/>
        </w:rPr>
        <w:t> </w:t>
      </w:r>
      <w:r w:rsidR="00710B91" w:rsidRPr="00710B91">
        <w:rPr>
          <w:noProof/>
        </w:rPr>
        <w:t>cel</w:t>
      </w:r>
      <w:r w:rsidR="00521C02" w:rsidRPr="00710B91">
        <w:rPr>
          <w:noProof/>
        </w:rPr>
        <w:t>u zapewnienia poufności</w:t>
      </w:r>
      <w:r w:rsidR="00710B91" w:rsidRPr="00710B91">
        <w:rPr>
          <w:noProof/>
        </w:rPr>
        <w:t xml:space="preserve"> i</w:t>
      </w:r>
      <w:r w:rsidR="00710B91">
        <w:rPr>
          <w:noProof/>
        </w:rPr>
        <w:t> </w:t>
      </w:r>
      <w:r w:rsidR="00710B91" w:rsidRPr="00710B91">
        <w:rPr>
          <w:noProof/>
        </w:rPr>
        <w:t>int</w:t>
      </w:r>
      <w:r w:rsidR="00521C02" w:rsidRPr="00710B91">
        <w:rPr>
          <w:noProof/>
        </w:rPr>
        <w:t>egralności danych operacyjnych</w:t>
      </w:r>
      <w:r w:rsidR="00710B91" w:rsidRPr="00710B91">
        <w:rPr>
          <w:noProof/>
        </w:rPr>
        <w:t xml:space="preserve"> i</w:t>
      </w:r>
      <w:r w:rsidR="00710B91">
        <w:rPr>
          <w:noProof/>
        </w:rPr>
        <w:t> </w:t>
      </w:r>
      <w:r w:rsidR="00710B91" w:rsidRPr="00710B91">
        <w:rPr>
          <w:noProof/>
        </w:rPr>
        <w:t>nie</w:t>
      </w:r>
      <w:r w:rsidR="00521C02" w:rsidRPr="00710B91">
        <w:rPr>
          <w:noProof/>
        </w:rPr>
        <w:t>operacyjnych przechowywanych</w:t>
      </w:r>
      <w:r w:rsidR="00710B91" w:rsidRPr="00710B91">
        <w:rPr>
          <w:noProof/>
        </w:rPr>
        <w:t xml:space="preserve"> w</w:t>
      </w:r>
      <w:r w:rsidR="00710B91">
        <w:rPr>
          <w:noProof/>
        </w:rPr>
        <w:t> </w:t>
      </w:r>
      <w:r w:rsidR="00710B91" w:rsidRPr="00710B91">
        <w:rPr>
          <w:noProof/>
        </w:rPr>
        <w:t>sce</w:t>
      </w:r>
      <w:r w:rsidR="00521C02" w:rsidRPr="00710B91">
        <w:rPr>
          <w:noProof/>
        </w:rPr>
        <w:t>ntralizowanym systemie informacyjnym.</w:t>
      </w:r>
    </w:p>
    <w:p w14:paraId="6E5B9449" w14:textId="6CD47EEC" w:rsidR="006215DF" w:rsidRPr="00710B91" w:rsidRDefault="009A08E9" w:rsidP="009A08E9">
      <w:pPr>
        <w:pStyle w:val="ManualNumPar1"/>
        <w:rPr>
          <w:noProof/>
        </w:rPr>
      </w:pPr>
      <w:r w:rsidRPr="009A08E9">
        <w:t>2.</w:t>
      </w:r>
      <w:r w:rsidRPr="009A08E9">
        <w:tab/>
      </w:r>
      <w:r w:rsidR="00521C02" w:rsidRPr="00710B91">
        <w:rPr>
          <w:noProof/>
        </w:rPr>
        <w:t>eu-LISA zapobiega nieuprawnionemu dostępowi do platformy współpracy zespołów JIT</w:t>
      </w:r>
      <w:r w:rsidR="00710B91" w:rsidRPr="00710B91">
        <w:rPr>
          <w:noProof/>
        </w:rPr>
        <w:t xml:space="preserve"> i</w:t>
      </w:r>
      <w:r w:rsidR="00710B91">
        <w:rPr>
          <w:noProof/>
        </w:rPr>
        <w:t> </w:t>
      </w:r>
      <w:r w:rsidR="00710B91" w:rsidRPr="00710B91">
        <w:rPr>
          <w:noProof/>
        </w:rPr>
        <w:t>zap</w:t>
      </w:r>
      <w:r w:rsidR="00521C02" w:rsidRPr="00710B91">
        <w:rPr>
          <w:noProof/>
        </w:rPr>
        <w:t>ewnia, aby osoby uprawnione do uzyskiwania dostępu do platformy współpracy zespołów JIT miały dostęp wyłącznie do danych objętych posiadanym przez siebie uprawnieniem.</w:t>
      </w:r>
    </w:p>
    <w:p w14:paraId="4A54AE5A" w14:textId="45D739E2" w:rsidR="00521C02" w:rsidRPr="00710B91" w:rsidRDefault="009A08E9" w:rsidP="009A08E9">
      <w:pPr>
        <w:pStyle w:val="ManualNumPar1"/>
        <w:rPr>
          <w:noProof/>
        </w:rPr>
      </w:pPr>
      <w:r w:rsidRPr="009A08E9">
        <w:t>3.</w:t>
      </w:r>
      <w:r w:rsidRPr="009A08E9">
        <w:tab/>
      </w:r>
      <w:r w:rsidR="00360CE8" w:rsidRPr="00710B91">
        <w:rPr>
          <w:noProof/>
        </w:rPr>
        <w:t>Do celów ust.</w:t>
      </w:r>
      <w:r w:rsidR="00710B91" w:rsidRPr="00710B91">
        <w:rPr>
          <w:noProof/>
        </w:rPr>
        <w:t> </w:t>
      </w:r>
      <w:r w:rsidR="00360CE8" w:rsidRPr="00710B91">
        <w:rPr>
          <w:noProof/>
        </w:rPr>
        <w:t>1</w:t>
      </w:r>
      <w:r w:rsidR="00710B91" w:rsidRPr="00710B91">
        <w:rPr>
          <w:noProof/>
        </w:rPr>
        <w:t xml:space="preserve"> i</w:t>
      </w:r>
      <w:r w:rsidR="00710B91">
        <w:rPr>
          <w:noProof/>
        </w:rPr>
        <w:t> </w:t>
      </w:r>
      <w:r w:rsidR="00710B91" w:rsidRPr="00710B91">
        <w:rPr>
          <w:noProof/>
        </w:rPr>
        <w:t>2</w:t>
      </w:r>
      <w:r w:rsidR="00360CE8" w:rsidRPr="00710B91">
        <w:rPr>
          <w:noProof/>
        </w:rPr>
        <w:t xml:space="preserve"> eu-LISA przyjmie plan bezpieczeństwa, plan ciągłości działania</w:t>
      </w:r>
      <w:r w:rsidR="00710B91" w:rsidRPr="00710B91">
        <w:rPr>
          <w:noProof/>
        </w:rPr>
        <w:t xml:space="preserve"> i</w:t>
      </w:r>
      <w:r w:rsidR="00710B91">
        <w:rPr>
          <w:noProof/>
        </w:rPr>
        <w:t> </w:t>
      </w:r>
      <w:r w:rsidR="00710B91" w:rsidRPr="00710B91">
        <w:rPr>
          <w:noProof/>
        </w:rPr>
        <w:t>pla</w:t>
      </w:r>
      <w:r w:rsidR="00360CE8" w:rsidRPr="00710B91">
        <w:rPr>
          <w:noProof/>
        </w:rPr>
        <w:t>n przywrócenia gotowości do pracy po wystąpieniu sytuacji nadzwyczajnej, aby zapewnić możliwość przywrócenia scentralizowanego systemu informacyjnego</w:t>
      </w:r>
      <w:r w:rsidR="00710B91" w:rsidRPr="00710B91">
        <w:rPr>
          <w:noProof/>
        </w:rPr>
        <w:t xml:space="preserve"> w</w:t>
      </w:r>
      <w:r w:rsidR="00710B91">
        <w:rPr>
          <w:noProof/>
        </w:rPr>
        <w:t> </w:t>
      </w:r>
      <w:r w:rsidR="00710B91" w:rsidRPr="00710B91">
        <w:rPr>
          <w:noProof/>
        </w:rPr>
        <w:t>prz</w:t>
      </w:r>
      <w:r w:rsidR="00360CE8" w:rsidRPr="00710B91">
        <w:rPr>
          <w:noProof/>
        </w:rPr>
        <w:t>ypadku wystąpienia przerwy</w:t>
      </w:r>
      <w:r w:rsidR="00710B91" w:rsidRPr="00710B91">
        <w:rPr>
          <w:noProof/>
        </w:rPr>
        <w:t xml:space="preserve"> w</w:t>
      </w:r>
      <w:r w:rsidR="00710B91">
        <w:rPr>
          <w:noProof/>
        </w:rPr>
        <w:t> </w:t>
      </w:r>
      <w:r w:rsidR="00710B91" w:rsidRPr="00710B91">
        <w:rPr>
          <w:noProof/>
        </w:rPr>
        <w:t>jeg</w:t>
      </w:r>
      <w:r w:rsidR="00360CE8" w:rsidRPr="00710B91">
        <w:rPr>
          <w:noProof/>
        </w:rPr>
        <w:t xml:space="preserve">o działaniu. </w:t>
      </w:r>
    </w:p>
    <w:p w14:paraId="2DB19A06" w14:textId="7045EE63" w:rsidR="00521C02" w:rsidRPr="00710B91" w:rsidRDefault="009A08E9" w:rsidP="009A08E9">
      <w:pPr>
        <w:pStyle w:val="ManualNumPar1"/>
        <w:rPr>
          <w:noProof/>
        </w:rPr>
      </w:pPr>
      <w:r w:rsidRPr="009A08E9">
        <w:t>4.</w:t>
      </w:r>
      <w:r w:rsidRPr="009A08E9">
        <w:tab/>
      </w:r>
      <w:r w:rsidR="00521C02" w:rsidRPr="00710B91">
        <w:rPr>
          <w:noProof/>
        </w:rPr>
        <w:t>eu-LISA monitoruje skuteczność środków bezpieczeństwa,</w:t>
      </w:r>
      <w:r w:rsidR="00710B91" w:rsidRPr="00710B91">
        <w:rPr>
          <w:noProof/>
        </w:rPr>
        <w:t xml:space="preserve"> o</w:t>
      </w:r>
      <w:r w:rsidR="00710B91">
        <w:rPr>
          <w:noProof/>
        </w:rPr>
        <w:t> </w:t>
      </w:r>
      <w:r w:rsidR="00710B91" w:rsidRPr="00710B91">
        <w:rPr>
          <w:noProof/>
        </w:rPr>
        <w:t>któ</w:t>
      </w:r>
      <w:r w:rsidR="00521C02" w:rsidRPr="00710B91">
        <w:rPr>
          <w:noProof/>
        </w:rPr>
        <w:t>rych mowa</w:t>
      </w:r>
      <w:r w:rsidR="00710B91" w:rsidRPr="00710B91">
        <w:rPr>
          <w:noProof/>
        </w:rPr>
        <w:t xml:space="preserve"> w</w:t>
      </w:r>
      <w:r w:rsidR="00710B91">
        <w:rPr>
          <w:noProof/>
        </w:rPr>
        <w:t> </w:t>
      </w:r>
      <w:r w:rsidR="00710B91" w:rsidRPr="00710B91">
        <w:rPr>
          <w:noProof/>
        </w:rPr>
        <w:t>nin</w:t>
      </w:r>
      <w:r w:rsidR="00521C02" w:rsidRPr="00710B91">
        <w:rPr>
          <w:noProof/>
        </w:rPr>
        <w:t>iejszym artykule,</w:t>
      </w:r>
      <w:r w:rsidR="00710B91" w:rsidRPr="00710B91">
        <w:rPr>
          <w:noProof/>
        </w:rPr>
        <w:t xml:space="preserve"> a</w:t>
      </w:r>
      <w:r w:rsidR="00710B91">
        <w:rPr>
          <w:noProof/>
        </w:rPr>
        <w:t> </w:t>
      </w:r>
      <w:r w:rsidR="00710B91" w:rsidRPr="00710B91">
        <w:rPr>
          <w:noProof/>
        </w:rPr>
        <w:t>tak</w:t>
      </w:r>
      <w:r w:rsidR="00521C02" w:rsidRPr="00710B91">
        <w:rPr>
          <w:noProof/>
        </w:rPr>
        <w:t>że wprowadza niezbędne środki organizacyjne związane</w:t>
      </w:r>
      <w:r w:rsidR="00710B91" w:rsidRPr="00710B91">
        <w:rPr>
          <w:noProof/>
        </w:rPr>
        <w:t xml:space="preserve"> z</w:t>
      </w:r>
      <w:r w:rsidR="00710B91">
        <w:rPr>
          <w:noProof/>
        </w:rPr>
        <w:t> </w:t>
      </w:r>
      <w:r w:rsidR="00710B91" w:rsidRPr="00710B91">
        <w:rPr>
          <w:noProof/>
        </w:rPr>
        <w:t>mon</w:t>
      </w:r>
      <w:r w:rsidR="00521C02" w:rsidRPr="00710B91">
        <w:rPr>
          <w:noProof/>
        </w:rPr>
        <w:t>itorowaniem własnej działalności oraz</w:t>
      </w:r>
      <w:r w:rsidR="00710B91" w:rsidRPr="00710B91">
        <w:rPr>
          <w:noProof/>
        </w:rPr>
        <w:t xml:space="preserve"> z</w:t>
      </w:r>
      <w:r w:rsidR="00710B91">
        <w:rPr>
          <w:noProof/>
        </w:rPr>
        <w:t> </w:t>
      </w:r>
      <w:r w:rsidR="00710B91" w:rsidRPr="00710B91">
        <w:rPr>
          <w:noProof/>
        </w:rPr>
        <w:t>nad</w:t>
      </w:r>
      <w:r w:rsidR="00521C02" w:rsidRPr="00710B91">
        <w:rPr>
          <w:noProof/>
        </w:rPr>
        <w:t>zorem, aby zapewnić zgodność</w:t>
      </w:r>
      <w:r w:rsidR="00710B91" w:rsidRPr="00710B91">
        <w:rPr>
          <w:noProof/>
        </w:rPr>
        <w:t xml:space="preserve"> z</w:t>
      </w:r>
      <w:r w:rsidR="00710B91">
        <w:rPr>
          <w:noProof/>
        </w:rPr>
        <w:t> </w:t>
      </w:r>
      <w:r w:rsidR="00710B91" w:rsidRPr="00710B91">
        <w:rPr>
          <w:noProof/>
        </w:rPr>
        <w:t>nin</w:t>
      </w:r>
      <w:r w:rsidR="00521C02" w:rsidRPr="00710B91">
        <w:rPr>
          <w:noProof/>
        </w:rPr>
        <w:t>iejszym rozporządzeniem.</w:t>
      </w:r>
    </w:p>
    <w:p w14:paraId="5BB67DC2" w14:textId="77777777" w:rsidR="00521C02" w:rsidRPr="00710B91" w:rsidRDefault="00521C02" w:rsidP="00FF717F">
      <w:pPr>
        <w:pStyle w:val="Titrearticle"/>
        <w:rPr>
          <w:noProof/>
        </w:rPr>
      </w:pPr>
      <w:r w:rsidRPr="00710B91">
        <w:rPr>
          <w:noProof/>
        </w:rPr>
        <w:t>Artykuł 16</w:t>
      </w:r>
    </w:p>
    <w:p w14:paraId="030366C7" w14:textId="77777777" w:rsidR="00521C02" w:rsidRPr="00710B91" w:rsidRDefault="00521C02" w:rsidP="00521C02">
      <w:pPr>
        <w:shd w:val="clear" w:color="auto" w:fill="FFFFFF" w:themeFill="background1"/>
        <w:spacing w:after="0" w:line="312" w:lineRule="atLeast"/>
        <w:jc w:val="center"/>
        <w:rPr>
          <w:rFonts w:eastAsia="Times New Roman"/>
          <w:b/>
          <w:bCs/>
          <w:noProof/>
          <w:szCs w:val="24"/>
        </w:rPr>
      </w:pPr>
      <w:r w:rsidRPr="00710B91">
        <w:rPr>
          <w:b/>
          <w:bCs/>
          <w:noProof/>
          <w:szCs w:val="24"/>
        </w:rPr>
        <w:t>Odpowiedzialność</w:t>
      </w:r>
    </w:p>
    <w:p w14:paraId="348A97F7" w14:textId="122D55EC" w:rsidR="0073437D" w:rsidRPr="00710B91" w:rsidRDefault="009A08E9" w:rsidP="009A08E9">
      <w:pPr>
        <w:pStyle w:val="ManualNumPar1"/>
        <w:rPr>
          <w:noProof/>
        </w:rPr>
      </w:pPr>
      <w:r w:rsidRPr="009A08E9">
        <w:t>1.</w:t>
      </w:r>
      <w:r w:rsidRPr="009A08E9">
        <w:tab/>
      </w:r>
      <w:r w:rsidR="00D4222F" w:rsidRPr="00710B91">
        <w:rPr>
          <w:noProof/>
        </w:rPr>
        <w:t>W przypadku wyrządzenia szkody dotykającej platformę współpracy zespołów JIT przez państwo członkowskie, Eurojust, Europol, Prokuraturę Europejską, OLAF lub wszelki inny właściwy organ lub jednostkę organizacyjną Unii</w:t>
      </w:r>
      <w:r w:rsidR="00710B91" w:rsidRPr="00710B91">
        <w:rPr>
          <w:noProof/>
        </w:rPr>
        <w:t xml:space="preserve"> w</w:t>
      </w:r>
      <w:r w:rsidR="00710B91">
        <w:rPr>
          <w:noProof/>
        </w:rPr>
        <w:t> </w:t>
      </w:r>
      <w:r w:rsidR="00710B91" w:rsidRPr="00710B91">
        <w:rPr>
          <w:noProof/>
        </w:rPr>
        <w:t>wyn</w:t>
      </w:r>
      <w:r w:rsidR="00D4222F" w:rsidRPr="00710B91">
        <w:rPr>
          <w:noProof/>
        </w:rPr>
        <w:t>iku nieprzestrzegania przez nie obowiązków wynikających</w:t>
      </w:r>
      <w:r w:rsidR="00710B91" w:rsidRPr="00710B91">
        <w:rPr>
          <w:noProof/>
        </w:rPr>
        <w:t xml:space="preserve"> z</w:t>
      </w:r>
      <w:r w:rsidR="00710B91">
        <w:rPr>
          <w:noProof/>
        </w:rPr>
        <w:t> </w:t>
      </w:r>
      <w:r w:rsidR="00710B91" w:rsidRPr="00710B91">
        <w:rPr>
          <w:noProof/>
        </w:rPr>
        <w:t>nin</w:t>
      </w:r>
      <w:r w:rsidR="00D4222F" w:rsidRPr="00710B91">
        <w:rPr>
          <w:noProof/>
        </w:rPr>
        <w:t>iejszego rozporządzenia to państwo członkowskie, Eurojust, Europol, Prokuratura Europejska, OLAF lub inny właściwy organ lub jednostka organizacyjna Unii odpowiada za tę szkodę</w:t>
      </w:r>
      <w:r w:rsidR="00710B91" w:rsidRPr="00710B91">
        <w:rPr>
          <w:noProof/>
        </w:rPr>
        <w:t xml:space="preserve"> w</w:t>
      </w:r>
      <w:r w:rsidR="00710B91">
        <w:rPr>
          <w:noProof/>
        </w:rPr>
        <w:t> </w:t>
      </w:r>
      <w:r w:rsidR="00710B91" w:rsidRPr="00710B91">
        <w:rPr>
          <w:noProof/>
        </w:rPr>
        <w:t>zak</w:t>
      </w:r>
      <w:r w:rsidR="00D4222F" w:rsidRPr="00710B91">
        <w:rPr>
          <w:noProof/>
        </w:rPr>
        <w:t>resie,</w:t>
      </w:r>
      <w:r w:rsidR="00710B91" w:rsidRPr="00710B91">
        <w:rPr>
          <w:noProof/>
        </w:rPr>
        <w:t xml:space="preserve"> w</w:t>
      </w:r>
      <w:r w:rsidR="00710B91">
        <w:rPr>
          <w:noProof/>
        </w:rPr>
        <w:t> </w:t>
      </w:r>
      <w:r w:rsidR="00710B91" w:rsidRPr="00710B91">
        <w:rPr>
          <w:noProof/>
        </w:rPr>
        <w:t>jak</w:t>
      </w:r>
      <w:r w:rsidR="00D4222F" w:rsidRPr="00710B91">
        <w:rPr>
          <w:noProof/>
        </w:rPr>
        <w:t>im eu-LISA nie podejmuje zasadnych działań</w:t>
      </w:r>
      <w:r w:rsidR="00710B91" w:rsidRPr="00710B91">
        <w:rPr>
          <w:noProof/>
        </w:rPr>
        <w:t xml:space="preserve"> w</w:t>
      </w:r>
      <w:r w:rsidR="00710B91">
        <w:rPr>
          <w:noProof/>
        </w:rPr>
        <w:t> </w:t>
      </w:r>
      <w:r w:rsidR="00710B91" w:rsidRPr="00710B91">
        <w:rPr>
          <w:noProof/>
        </w:rPr>
        <w:t>cel</w:t>
      </w:r>
      <w:r w:rsidR="00D4222F" w:rsidRPr="00710B91">
        <w:rPr>
          <w:noProof/>
        </w:rPr>
        <w:t>u zapobieżenia wystąpieniu szkody lub ograniczenia jej skutków.</w:t>
      </w:r>
    </w:p>
    <w:p w14:paraId="43F4B700" w14:textId="0E48994A" w:rsidR="00521C02" w:rsidRPr="00710B91" w:rsidRDefault="009A08E9" w:rsidP="009A08E9">
      <w:pPr>
        <w:pStyle w:val="ManualNumPar1"/>
        <w:rPr>
          <w:noProof/>
        </w:rPr>
      </w:pPr>
      <w:r w:rsidRPr="009A08E9">
        <w:t>2.</w:t>
      </w:r>
      <w:r w:rsidRPr="009A08E9">
        <w:tab/>
      </w:r>
      <w:r w:rsidR="00521C02" w:rsidRPr="00710B91">
        <w:rPr>
          <w:noProof/>
        </w:rPr>
        <w:t>Roszczenia odszkodowawcze wobec państwa członkowskiego</w:t>
      </w:r>
      <w:r w:rsidR="00710B91" w:rsidRPr="00710B91">
        <w:rPr>
          <w:noProof/>
        </w:rPr>
        <w:t xml:space="preserve"> z</w:t>
      </w:r>
      <w:r w:rsidR="00710B91">
        <w:rPr>
          <w:noProof/>
        </w:rPr>
        <w:t> </w:t>
      </w:r>
      <w:r w:rsidR="00710B91" w:rsidRPr="00710B91">
        <w:rPr>
          <w:noProof/>
        </w:rPr>
        <w:t>tyt</w:t>
      </w:r>
      <w:r w:rsidR="00521C02" w:rsidRPr="00710B91">
        <w:rPr>
          <w:noProof/>
        </w:rPr>
        <w:t>ułu szkody,</w:t>
      </w:r>
      <w:r w:rsidR="00710B91" w:rsidRPr="00710B91">
        <w:rPr>
          <w:noProof/>
        </w:rPr>
        <w:t xml:space="preserve"> o</w:t>
      </w:r>
      <w:r w:rsidR="00710B91">
        <w:rPr>
          <w:noProof/>
        </w:rPr>
        <w:t> </w:t>
      </w:r>
      <w:r w:rsidR="00710B91" w:rsidRPr="00710B91">
        <w:rPr>
          <w:noProof/>
        </w:rPr>
        <w:t>któ</w:t>
      </w:r>
      <w:r w:rsidR="00521C02" w:rsidRPr="00710B91">
        <w:rPr>
          <w:noProof/>
        </w:rPr>
        <w:t>rej mowa</w:t>
      </w:r>
      <w:r w:rsidR="00710B91" w:rsidRPr="00710B91">
        <w:rPr>
          <w:noProof/>
        </w:rPr>
        <w:t xml:space="preserve"> w</w:t>
      </w:r>
      <w:r w:rsidR="00710B91">
        <w:rPr>
          <w:noProof/>
        </w:rPr>
        <w:t> </w:t>
      </w:r>
      <w:r w:rsidR="00710B91" w:rsidRPr="00710B91">
        <w:rPr>
          <w:noProof/>
        </w:rPr>
        <w:t>ust</w:t>
      </w:r>
      <w:r w:rsidR="00521C02" w:rsidRPr="00710B91">
        <w:rPr>
          <w:noProof/>
        </w:rPr>
        <w:t>.</w:t>
      </w:r>
      <w:r w:rsidR="00710B91" w:rsidRPr="00710B91">
        <w:rPr>
          <w:noProof/>
        </w:rPr>
        <w:t> </w:t>
      </w:r>
      <w:r w:rsidR="00521C02" w:rsidRPr="00710B91">
        <w:rPr>
          <w:noProof/>
        </w:rPr>
        <w:t>1, reguluje prawo państwa członkowskiego, wobec którego kierowane są roszczenia. Roszczenia odszkodowawcze wobec Eurojustu, Europolu, Prokuratury Europejskiej, OLAF-u lub wszelkiego innego właściwego organu lub jednostki organizacyjnej Unii</w:t>
      </w:r>
      <w:r w:rsidR="00710B91" w:rsidRPr="00710B91">
        <w:rPr>
          <w:noProof/>
        </w:rPr>
        <w:t xml:space="preserve"> z</w:t>
      </w:r>
      <w:r w:rsidR="00710B91">
        <w:rPr>
          <w:noProof/>
        </w:rPr>
        <w:t> </w:t>
      </w:r>
      <w:r w:rsidR="00710B91" w:rsidRPr="00710B91">
        <w:rPr>
          <w:noProof/>
        </w:rPr>
        <w:t>tyt</w:t>
      </w:r>
      <w:r w:rsidR="00521C02" w:rsidRPr="00710B91">
        <w:rPr>
          <w:noProof/>
        </w:rPr>
        <w:t>ułu szkody,</w:t>
      </w:r>
      <w:r w:rsidR="00710B91" w:rsidRPr="00710B91">
        <w:rPr>
          <w:noProof/>
        </w:rPr>
        <w:t xml:space="preserve"> o</w:t>
      </w:r>
      <w:r w:rsidR="00710B91">
        <w:rPr>
          <w:noProof/>
        </w:rPr>
        <w:t> </w:t>
      </w:r>
      <w:r w:rsidR="00710B91" w:rsidRPr="00710B91">
        <w:rPr>
          <w:noProof/>
        </w:rPr>
        <w:t>któ</w:t>
      </w:r>
      <w:r w:rsidR="00521C02" w:rsidRPr="00710B91">
        <w:rPr>
          <w:noProof/>
        </w:rPr>
        <w:t>rej mowa</w:t>
      </w:r>
      <w:r w:rsidR="00710B91" w:rsidRPr="00710B91">
        <w:rPr>
          <w:noProof/>
        </w:rPr>
        <w:t xml:space="preserve"> w</w:t>
      </w:r>
      <w:r w:rsidR="00710B91">
        <w:rPr>
          <w:noProof/>
        </w:rPr>
        <w:t> </w:t>
      </w:r>
      <w:r w:rsidR="00710B91" w:rsidRPr="00710B91">
        <w:rPr>
          <w:noProof/>
        </w:rPr>
        <w:t>ust</w:t>
      </w:r>
      <w:r w:rsidR="00521C02" w:rsidRPr="00710B91">
        <w:rPr>
          <w:noProof/>
        </w:rPr>
        <w:t>.</w:t>
      </w:r>
      <w:r w:rsidR="00710B91" w:rsidRPr="00710B91">
        <w:rPr>
          <w:noProof/>
        </w:rPr>
        <w:t> </w:t>
      </w:r>
      <w:r w:rsidR="00521C02" w:rsidRPr="00710B91">
        <w:rPr>
          <w:noProof/>
        </w:rPr>
        <w:t>1, regulują ich odpowiednie akty ustanawiające.</w:t>
      </w:r>
    </w:p>
    <w:p w14:paraId="1E1D446F" w14:textId="77777777" w:rsidR="00521C02" w:rsidRPr="00710B91" w:rsidRDefault="00521C02" w:rsidP="00521C02">
      <w:pPr>
        <w:shd w:val="clear" w:color="auto" w:fill="FFFFFF" w:themeFill="background1"/>
        <w:spacing w:after="0" w:line="312" w:lineRule="atLeast"/>
        <w:rPr>
          <w:rFonts w:eastAsia="Times New Roman"/>
          <w:noProof/>
          <w:szCs w:val="24"/>
        </w:rPr>
      </w:pPr>
      <w:r w:rsidRPr="00710B91">
        <w:rPr>
          <w:noProof/>
        </w:rPr>
        <w:tab/>
      </w:r>
    </w:p>
    <w:p w14:paraId="63D70A19" w14:textId="77777777" w:rsidR="00521C02" w:rsidRPr="00710B91" w:rsidRDefault="00521C02" w:rsidP="00521C02">
      <w:pPr>
        <w:shd w:val="clear" w:color="auto" w:fill="FFFFFF" w:themeFill="background1"/>
        <w:spacing w:after="0" w:line="312" w:lineRule="atLeast"/>
        <w:jc w:val="center"/>
        <w:rPr>
          <w:rFonts w:eastAsia="Times New Roman"/>
          <w:b/>
          <w:bCs/>
          <w:noProof/>
          <w:szCs w:val="24"/>
        </w:rPr>
      </w:pPr>
      <w:r w:rsidRPr="00710B91">
        <w:rPr>
          <w:b/>
          <w:bCs/>
          <w:iCs/>
          <w:noProof/>
          <w:szCs w:val="24"/>
        </w:rPr>
        <w:t>ROZDZIAŁ V</w:t>
      </w:r>
    </w:p>
    <w:p w14:paraId="4BAB4EA0" w14:textId="77777777" w:rsidR="00521C02" w:rsidRPr="00710B91" w:rsidRDefault="00521C02" w:rsidP="00521C02">
      <w:pPr>
        <w:shd w:val="clear" w:color="auto" w:fill="FFFFFF" w:themeFill="background1"/>
        <w:spacing w:after="0" w:line="312" w:lineRule="atLeast"/>
        <w:jc w:val="center"/>
        <w:rPr>
          <w:rFonts w:eastAsia="Times New Roman"/>
          <w:b/>
          <w:bCs/>
          <w:noProof/>
          <w:szCs w:val="24"/>
        </w:rPr>
      </w:pPr>
      <w:r w:rsidRPr="00710B91">
        <w:rPr>
          <w:b/>
          <w:bCs/>
          <w:i/>
          <w:iCs/>
          <w:noProof/>
          <w:szCs w:val="24"/>
        </w:rPr>
        <w:t xml:space="preserve">Ochrona danych </w:t>
      </w:r>
    </w:p>
    <w:p w14:paraId="05F43F66" w14:textId="77777777" w:rsidR="00521C02" w:rsidRPr="00710B91" w:rsidRDefault="00521C02" w:rsidP="00FF717F">
      <w:pPr>
        <w:pStyle w:val="Titrearticle"/>
        <w:rPr>
          <w:noProof/>
        </w:rPr>
      </w:pPr>
      <w:r w:rsidRPr="00710B91">
        <w:rPr>
          <w:noProof/>
        </w:rPr>
        <w:t>Artykuł 17</w:t>
      </w:r>
    </w:p>
    <w:p w14:paraId="0630D56B" w14:textId="223DE7A7" w:rsidR="00521C02" w:rsidRPr="00710B91" w:rsidRDefault="00521C02" w:rsidP="00521C02">
      <w:pPr>
        <w:pStyle w:val="sti-art"/>
        <w:shd w:val="clear" w:color="auto" w:fill="FFFFFF"/>
        <w:spacing w:before="60" w:beforeAutospacing="0" w:after="120" w:afterAutospacing="0" w:line="312" w:lineRule="atLeast"/>
        <w:jc w:val="center"/>
        <w:rPr>
          <w:b/>
          <w:bCs/>
          <w:noProof/>
        </w:rPr>
      </w:pPr>
      <w:r w:rsidRPr="00710B91">
        <w:rPr>
          <w:b/>
          <w:bCs/>
          <w:noProof/>
        </w:rPr>
        <w:t>Okres zatrzymywania dotyczący przechowywania danych operacyjnych</w:t>
      </w:r>
    </w:p>
    <w:p w14:paraId="1A78278A" w14:textId="3FDCA23B" w:rsidR="00521C02" w:rsidRPr="00710B91" w:rsidRDefault="009A08E9" w:rsidP="009A08E9">
      <w:pPr>
        <w:pStyle w:val="ManualNumPar1"/>
        <w:rPr>
          <w:noProof/>
        </w:rPr>
      </w:pPr>
      <w:r w:rsidRPr="009A08E9">
        <w:t>1.</w:t>
      </w:r>
      <w:r w:rsidRPr="009A08E9">
        <w:tab/>
      </w:r>
      <w:r w:rsidR="00521C02" w:rsidRPr="00710B91">
        <w:rPr>
          <w:noProof/>
        </w:rPr>
        <w:t>Dane operacyjne odnoszące się do poszczególnych przestrzeni współpracy zespołu JIT przechowuje się</w:t>
      </w:r>
      <w:r w:rsidR="00710B91" w:rsidRPr="00710B91">
        <w:rPr>
          <w:noProof/>
        </w:rPr>
        <w:t xml:space="preserve"> w</w:t>
      </w:r>
      <w:r w:rsidR="00710B91">
        <w:rPr>
          <w:noProof/>
        </w:rPr>
        <w:t> </w:t>
      </w:r>
      <w:r w:rsidR="00710B91" w:rsidRPr="00710B91">
        <w:rPr>
          <w:noProof/>
        </w:rPr>
        <w:t>sce</w:t>
      </w:r>
      <w:r w:rsidR="00521C02" w:rsidRPr="00710B91">
        <w:rPr>
          <w:noProof/>
        </w:rPr>
        <w:t>ntralizowanym systemie informacyjnym przez okres niezbędny do tego, aby wszyscy zainteresowani użytkownicy platformy współpracy zespołów JIT ukończyli proces ich pobierania. Okres zatrzymywania nie może przekraczać czterech tygodni.</w:t>
      </w:r>
    </w:p>
    <w:p w14:paraId="0E919F6B" w14:textId="4F3BB005" w:rsidR="00521C02" w:rsidRPr="00710B91" w:rsidRDefault="009A08E9" w:rsidP="009A08E9">
      <w:pPr>
        <w:pStyle w:val="ManualNumPar1"/>
        <w:rPr>
          <w:noProof/>
        </w:rPr>
      </w:pPr>
      <w:r w:rsidRPr="009A08E9">
        <w:t>2.</w:t>
      </w:r>
      <w:r w:rsidRPr="009A08E9">
        <w:tab/>
      </w:r>
      <w:r w:rsidR="00521C02" w:rsidRPr="00710B91">
        <w:rPr>
          <w:noProof/>
        </w:rPr>
        <w:t>Po upływie okresu zatrzymywania,</w:t>
      </w:r>
      <w:r w:rsidR="00710B91" w:rsidRPr="00710B91">
        <w:rPr>
          <w:noProof/>
        </w:rPr>
        <w:t xml:space="preserve"> o</w:t>
      </w:r>
      <w:r w:rsidR="00710B91">
        <w:rPr>
          <w:noProof/>
        </w:rPr>
        <w:t> </w:t>
      </w:r>
      <w:r w:rsidR="00710B91" w:rsidRPr="00710B91">
        <w:rPr>
          <w:noProof/>
        </w:rPr>
        <w:t>któ</w:t>
      </w:r>
      <w:r w:rsidR="00521C02" w:rsidRPr="00710B91">
        <w:rPr>
          <w:noProof/>
        </w:rPr>
        <w:t>rym mowa</w:t>
      </w:r>
      <w:r w:rsidR="00710B91" w:rsidRPr="00710B91">
        <w:rPr>
          <w:noProof/>
        </w:rPr>
        <w:t xml:space="preserve"> w</w:t>
      </w:r>
      <w:r w:rsidR="00710B91">
        <w:rPr>
          <w:noProof/>
        </w:rPr>
        <w:t> </w:t>
      </w:r>
      <w:r w:rsidR="00710B91" w:rsidRPr="00710B91">
        <w:rPr>
          <w:noProof/>
        </w:rPr>
        <w:t>ust</w:t>
      </w:r>
      <w:r w:rsidR="00521C02" w:rsidRPr="00710B91">
        <w:rPr>
          <w:noProof/>
        </w:rPr>
        <w:t>.</w:t>
      </w:r>
      <w:r w:rsidR="00710B91" w:rsidRPr="00710B91">
        <w:rPr>
          <w:noProof/>
        </w:rPr>
        <w:t> </w:t>
      </w:r>
      <w:r w:rsidR="00521C02" w:rsidRPr="00710B91">
        <w:rPr>
          <w:noProof/>
        </w:rPr>
        <w:t xml:space="preserve">1, wpis jest automatycznie usuwany ze scentralizowanego systemu. </w:t>
      </w:r>
    </w:p>
    <w:p w14:paraId="4E58F1EA" w14:textId="77777777" w:rsidR="00521C02" w:rsidRPr="00710B91" w:rsidRDefault="00521C02" w:rsidP="00FF717F">
      <w:pPr>
        <w:pStyle w:val="Titrearticle"/>
        <w:rPr>
          <w:noProof/>
        </w:rPr>
      </w:pPr>
      <w:r w:rsidRPr="00710B91">
        <w:rPr>
          <w:noProof/>
        </w:rPr>
        <w:t>Artykuł 18</w:t>
      </w:r>
    </w:p>
    <w:p w14:paraId="45457D8B" w14:textId="022C06BD" w:rsidR="00521C02" w:rsidRPr="00710B91" w:rsidRDefault="00521C02" w:rsidP="00521C02">
      <w:pPr>
        <w:pStyle w:val="sti-art"/>
        <w:shd w:val="clear" w:color="auto" w:fill="FFFFFF"/>
        <w:spacing w:before="60" w:beforeAutospacing="0" w:after="120" w:afterAutospacing="0" w:line="312" w:lineRule="atLeast"/>
        <w:jc w:val="center"/>
        <w:rPr>
          <w:b/>
          <w:bCs/>
          <w:noProof/>
        </w:rPr>
      </w:pPr>
      <w:r w:rsidRPr="00710B91">
        <w:rPr>
          <w:b/>
          <w:bCs/>
          <w:noProof/>
        </w:rPr>
        <w:t>Okres zatrzymywania dotyczący przechowywania danych nieoperacyjnych</w:t>
      </w:r>
    </w:p>
    <w:p w14:paraId="15EE07AE" w14:textId="0EBEF7F8" w:rsidR="00521C02" w:rsidRPr="00710B91" w:rsidRDefault="009A08E9" w:rsidP="009A08E9">
      <w:pPr>
        <w:pStyle w:val="ManualNumPar1"/>
        <w:rPr>
          <w:noProof/>
        </w:rPr>
      </w:pPr>
      <w:r w:rsidRPr="009A08E9">
        <w:t>1.</w:t>
      </w:r>
      <w:r w:rsidRPr="009A08E9">
        <w:tab/>
      </w:r>
      <w:r w:rsidR="00362E57" w:rsidRPr="00710B91">
        <w:rPr>
          <w:noProof/>
        </w:rPr>
        <w:t>W przypadku, gdy przewiduje się przeprowadzenie oceny zespołu JIT, dane nieoperacyjne dotyczące poszczególnych przestrzeni współpracy zespołu JIT przechowuje się</w:t>
      </w:r>
      <w:r w:rsidR="00710B91" w:rsidRPr="00710B91">
        <w:rPr>
          <w:noProof/>
        </w:rPr>
        <w:t xml:space="preserve"> w</w:t>
      </w:r>
      <w:r w:rsidR="00710B91">
        <w:rPr>
          <w:noProof/>
        </w:rPr>
        <w:t> </w:t>
      </w:r>
      <w:r w:rsidR="00710B91" w:rsidRPr="00710B91">
        <w:rPr>
          <w:noProof/>
        </w:rPr>
        <w:t>sce</w:t>
      </w:r>
      <w:r w:rsidR="00362E57" w:rsidRPr="00710B91">
        <w:rPr>
          <w:noProof/>
        </w:rPr>
        <w:t>ntralizowanym systemie informacyjnym do czasu ukończenia tej oceny. Okres zatrzymywania nie może przekraczać pięciu lat.</w:t>
      </w:r>
    </w:p>
    <w:p w14:paraId="67A94AF1" w14:textId="4EBB9E91" w:rsidR="00521C02" w:rsidRPr="00710B91" w:rsidRDefault="009A08E9" w:rsidP="009A08E9">
      <w:pPr>
        <w:pStyle w:val="ManualNumPar1"/>
        <w:rPr>
          <w:noProof/>
        </w:rPr>
      </w:pPr>
      <w:r w:rsidRPr="009A08E9">
        <w:t>2.</w:t>
      </w:r>
      <w:r w:rsidRPr="009A08E9">
        <w:tab/>
      </w:r>
      <w:r w:rsidR="00521C02" w:rsidRPr="00710B91">
        <w:rPr>
          <w:noProof/>
        </w:rPr>
        <w:t>Po upływie okresu zatrzymywania,</w:t>
      </w:r>
      <w:r w:rsidR="00710B91" w:rsidRPr="00710B91">
        <w:rPr>
          <w:noProof/>
        </w:rPr>
        <w:t xml:space="preserve"> o</w:t>
      </w:r>
      <w:r w:rsidR="00710B91">
        <w:rPr>
          <w:noProof/>
        </w:rPr>
        <w:t> </w:t>
      </w:r>
      <w:r w:rsidR="00710B91" w:rsidRPr="00710B91">
        <w:rPr>
          <w:noProof/>
        </w:rPr>
        <w:t>któ</w:t>
      </w:r>
      <w:r w:rsidR="00521C02" w:rsidRPr="00710B91">
        <w:rPr>
          <w:noProof/>
        </w:rPr>
        <w:t>rym mowa</w:t>
      </w:r>
      <w:r w:rsidR="00710B91" w:rsidRPr="00710B91">
        <w:rPr>
          <w:noProof/>
        </w:rPr>
        <w:t xml:space="preserve"> w</w:t>
      </w:r>
      <w:r w:rsidR="00710B91">
        <w:rPr>
          <w:noProof/>
        </w:rPr>
        <w:t> </w:t>
      </w:r>
      <w:r w:rsidR="00710B91" w:rsidRPr="00710B91">
        <w:rPr>
          <w:noProof/>
        </w:rPr>
        <w:t>ust</w:t>
      </w:r>
      <w:r w:rsidR="00521C02" w:rsidRPr="00710B91">
        <w:rPr>
          <w:noProof/>
        </w:rPr>
        <w:t>.</w:t>
      </w:r>
      <w:r w:rsidR="00710B91" w:rsidRPr="00710B91">
        <w:rPr>
          <w:noProof/>
        </w:rPr>
        <w:t> </w:t>
      </w:r>
      <w:r w:rsidR="00521C02" w:rsidRPr="00710B91">
        <w:rPr>
          <w:noProof/>
        </w:rPr>
        <w:t>1, wpis jest automatycznie usuwany ze scentralizowanego systemu.</w:t>
      </w:r>
    </w:p>
    <w:p w14:paraId="58A365E7" w14:textId="77777777" w:rsidR="00521C02" w:rsidRPr="00710B91" w:rsidRDefault="00521C02" w:rsidP="00FF717F">
      <w:pPr>
        <w:pStyle w:val="Titrearticle"/>
        <w:rPr>
          <w:noProof/>
        </w:rPr>
      </w:pPr>
      <w:r w:rsidRPr="00710B91">
        <w:rPr>
          <w:noProof/>
        </w:rPr>
        <w:t>Artykuł 19</w:t>
      </w:r>
    </w:p>
    <w:p w14:paraId="0F8921CB" w14:textId="3D0D2936" w:rsidR="00521C02" w:rsidRPr="00710B91" w:rsidRDefault="00521C02" w:rsidP="0073437D">
      <w:pPr>
        <w:pStyle w:val="sti-art"/>
        <w:shd w:val="clear" w:color="auto" w:fill="FFFFFF"/>
        <w:spacing w:before="60" w:beforeAutospacing="0" w:after="120" w:afterAutospacing="0" w:line="312" w:lineRule="atLeast"/>
        <w:jc w:val="center"/>
        <w:rPr>
          <w:b/>
          <w:bCs/>
          <w:noProof/>
        </w:rPr>
      </w:pPr>
      <w:r w:rsidRPr="00710B91">
        <w:rPr>
          <w:b/>
          <w:bCs/>
          <w:noProof/>
        </w:rPr>
        <w:t>Administrator danych</w:t>
      </w:r>
      <w:r w:rsidR="00710B91" w:rsidRPr="00710B91">
        <w:rPr>
          <w:b/>
          <w:bCs/>
          <w:noProof/>
        </w:rPr>
        <w:t xml:space="preserve"> i</w:t>
      </w:r>
      <w:r w:rsidR="00710B91">
        <w:rPr>
          <w:b/>
          <w:bCs/>
          <w:noProof/>
        </w:rPr>
        <w:t> </w:t>
      </w:r>
      <w:r w:rsidR="00710B91" w:rsidRPr="00710B91">
        <w:rPr>
          <w:b/>
          <w:bCs/>
          <w:noProof/>
        </w:rPr>
        <w:t>pod</w:t>
      </w:r>
      <w:r w:rsidRPr="00710B91">
        <w:rPr>
          <w:b/>
          <w:bCs/>
          <w:noProof/>
        </w:rPr>
        <w:t>miot przetwarzający dane</w:t>
      </w:r>
    </w:p>
    <w:p w14:paraId="1AE2182E" w14:textId="58DA6E05" w:rsidR="00521C02" w:rsidRPr="00710B91" w:rsidRDefault="009A08E9" w:rsidP="009A08E9">
      <w:pPr>
        <w:pStyle w:val="ManualNumPar1"/>
        <w:rPr>
          <w:noProof/>
        </w:rPr>
      </w:pPr>
      <w:r w:rsidRPr="009A08E9">
        <w:t>1.</w:t>
      </w:r>
      <w:r w:rsidRPr="009A08E9">
        <w:tab/>
      </w:r>
      <w:r w:rsidR="00521C02" w:rsidRPr="00710B91">
        <w:rPr>
          <w:noProof/>
        </w:rPr>
        <w:t>Za administratorów danych</w:t>
      </w:r>
      <w:r w:rsidR="00710B91" w:rsidRPr="00710B91">
        <w:rPr>
          <w:noProof/>
        </w:rPr>
        <w:t xml:space="preserve"> w</w:t>
      </w:r>
      <w:r w:rsidR="00710B91">
        <w:rPr>
          <w:noProof/>
        </w:rPr>
        <w:t> </w:t>
      </w:r>
      <w:r w:rsidR="00710B91" w:rsidRPr="00710B91">
        <w:rPr>
          <w:noProof/>
        </w:rPr>
        <w:t>odn</w:t>
      </w:r>
      <w:r w:rsidR="00521C02" w:rsidRPr="00710B91">
        <w:rPr>
          <w:noProof/>
        </w:rPr>
        <w:t>iesieniu do przetwarzania danych osobowych na podstawie niniejszego rozporządzenia uznaje się, zgodnie</w:t>
      </w:r>
      <w:r w:rsidR="00710B91" w:rsidRPr="00710B91">
        <w:rPr>
          <w:noProof/>
        </w:rPr>
        <w:t xml:space="preserve"> z</w:t>
      </w:r>
      <w:r w:rsidR="00710B91">
        <w:rPr>
          <w:noProof/>
        </w:rPr>
        <w:t> </w:t>
      </w:r>
      <w:r w:rsidR="00710B91" w:rsidRPr="00710B91">
        <w:rPr>
          <w:noProof/>
        </w:rPr>
        <w:t>obo</w:t>
      </w:r>
      <w:r w:rsidR="00521C02" w:rsidRPr="00710B91">
        <w:rPr>
          <w:noProof/>
        </w:rPr>
        <w:t>wiązującymi unijnymi przepisami</w:t>
      </w:r>
      <w:r w:rsidR="00710B91" w:rsidRPr="00710B91">
        <w:rPr>
          <w:noProof/>
        </w:rPr>
        <w:t xml:space="preserve"> o</w:t>
      </w:r>
      <w:r w:rsidR="00710B91">
        <w:rPr>
          <w:noProof/>
        </w:rPr>
        <w:t> </w:t>
      </w:r>
      <w:r w:rsidR="00710B91" w:rsidRPr="00710B91">
        <w:rPr>
          <w:noProof/>
        </w:rPr>
        <w:t>och</w:t>
      </w:r>
      <w:r w:rsidR="00521C02" w:rsidRPr="00710B91">
        <w:rPr>
          <w:noProof/>
        </w:rPr>
        <w:t>ronie danych, każdy właściwy organ krajowy poszczególnych państw członkowskich oraz,</w:t>
      </w:r>
      <w:r w:rsidR="00710B91" w:rsidRPr="00710B91">
        <w:rPr>
          <w:noProof/>
        </w:rPr>
        <w:t xml:space="preserve"> w</w:t>
      </w:r>
      <w:r w:rsidR="00710B91">
        <w:rPr>
          <w:noProof/>
        </w:rPr>
        <w:t> </w:t>
      </w:r>
      <w:r w:rsidR="00710B91" w:rsidRPr="00710B91">
        <w:rPr>
          <w:noProof/>
        </w:rPr>
        <w:t>sto</w:t>
      </w:r>
      <w:r w:rsidR="00521C02" w:rsidRPr="00710B91">
        <w:rPr>
          <w:noProof/>
        </w:rPr>
        <w:t>sownych przypadkach, Eurojust, Europol, Prokuraturę Europejską, OLAF lub inny właściwy organ lub jednostkę organizacyjną Unii.</w:t>
      </w:r>
    </w:p>
    <w:p w14:paraId="6EC64F5C" w14:textId="138E658C" w:rsidR="00A45C71" w:rsidRPr="00710B91" w:rsidRDefault="009A08E9" w:rsidP="009A08E9">
      <w:pPr>
        <w:pStyle w:val="ManualNumPar1"/>
        <w:rPr>
          <w:noProof/>
        </w:rPr>
      </w:pPr>
      <w:r w:rsidRPr="009A08E9">
        <w:t>2.</w:t>
      </w:r>
      <w:r w:rsidRPr="009A08E9">
        <w:tab/>
      </w:r>
      <w:r w:rsidR="00834BB6" w:rsidRPr="00710B91">
        <w:rPr>
          <w:noProof/>
        </w:rPr>
        <w:t>W odniesieniu do danych zamieszczonych na platformie współpracy zespołów JIT przez właściwe organy państw trzecich za administratora danych,</w:t>
      </w:r>
      <w:r w:rsidR="00710B91" w:rsidRPr="00710B91">
        <w:rPr>
          <w:noProof/>
        </w:rPr>
        <w:t xml:space="preserve"> w</w:t>
      </w:r>
      <w:r w:rsidR="00710B91">
        <w:rPr>
          <w:noProof/>
        </w:rPr>
        <w:t> </w:t>
      </w:r>
      <w:r w:rsidR="00710B91" w:rsidRPr="00710B91">
        <w:rPr>
          <w:noProof/>
        </w:rPr>
        <w:t>odn</w:t>
      </w:r>
      <w:r w:rsidR="00834BB6" w:rsidRPr="00710B91">
        <w:rPr>
          <w:noProof/>
        </w:rPr>
        <w:t>iesieniu do danych osobowych wymienianych za pośrednictwem platformy współpracy zespołów JIT</w:t>
      </w:r>
      <w:r w:rsidR="00710B91" w:rsidRPr="00710B91">
        <w:rPr>
          <w:noProof/>
        </w:rPr>
        <w:t xml:space="preserve"> i</w:t>
      </w:r>
      <w:r w:rsidR="00710B91">
        <w:rPr>
          <w:noProof/>
        </w:rPr>
        <w:t> </w:t>
      </w:r>
      <w:r w:rsidR="00710B91" w:rsidRPr="00710B91">
        <w:rPr>
          <w:noProof/>
        </w:rPr>
        <w:t>prz</w:t>
      </w:r>
      <w:r w:rsidR="00834BB6" w:rsidRPr="00710B91">
        <w:rPr>
          <w:noProof/>
        </w:rPr>
        <w:t>echowywanych na platformie współpracy zespołów JIT uznaje się jednego</w:t>
      </w:r>
      <w:r w:rsidR="00710B91" w:rsidRPr="00710B91">
        <w:rPr>
          <w:noProof/>
        </w:rPr>
        <w:t xml:space="preserve"> z</w:t>
      </w:r>
      <w:r w:rsidR="00710B91">
        <w:rPr>
          <w:noProof/>
        </w:rPr>
        <w:t> </w:t>
      </w:r>
      <w:r w:rsidR="00710B91" w:rsidRPr="00710B91">
        <w:rPr>
          <w:noProof/>
        </w:rPr>
        <w:t>adm</w:t>
      </w:r>
      <w:r w:rsidR="00834BB6" w:rsidRPr="00710B91">
        <w:rPr>
          <w:noProof/>
        </w:rPr>
        <w:t>inistratorów przestrzeni JIT.</w:t>
      </w:r>
    </w:p>
    <w:p w14:paraId="48DF7488" w14:textId="6D6D421E" w:rsidR="00521C02" w:rsidRPr="00710B91" w:rsidRDefault="009A08E9" w:rsidP="009A08E9">
      <w:pPr>
        <w:pStyle w:val="ManualNumPar1"/>
        <w:rPr>
          <w:noProof/>
        </w:rPr>
      </w:pPr>
      <w:r w:rsidRPr="009A08E9">
        <w:t>3.</w:t>
      </w:r>
      <w:r w:rsidRPr="009A08E9">
        <w:tab/>
      </w:r>
      <w:r w:rsidR="00521C02" w:rsidRPr="00710B91">
        <w:rPr>
          <w:noProof/>
        </w:rPr>
        <w:t>eu-LISA uznaje się za podmiot przetwarzający dane, zgodnie</w:t>
      </w:r>
      <w:r w:rsidR="00710B91" w:rsidRPr="00710B91">
        <w:rPr>
          <w:noProof/>
        </w:rPr>
        <w:t xml:space="preserve"> z</w:t>
      </w:r>
      <w:r w:rsidR="00710B91">
        <w:rPr>
          <w:noProof/>
        </w:rPr>
        <w:t> </w:t>
      </w:r>
      <w:r w:rsidR="00710B91" w:rsidRPr="00710B91">
        <w:rPr>
          <w:noProof/>
        </w:rPr>
        <w:t>roz</w:t>
      </w:r>
      <w:r w:rsidR="00521C02" w:rsidRPr="00710B91">
        <w:rPr>
          <w:noProof/>
        </w:rPr>
        <w:t>porządzeniem (UE) 2018/1725,</w:t>
      </w:r>
      <w:r w:rsidR="00710B91" w:rsidRPr="00710B91">
        <w:rPr>
          <w:noProof/>
        </w:rPr>
        <w:t xml:space="preserve"> w</w:t>
      </w:r>
      <w:r w:rsidR="00710B91">
        <w:rPr>
          <w:noProof/>
        </w:rPr>
        <w:t> </w:t>
      </w:r>
      <w:r w:rsidR="00710B91" w:rsidRPr="00710B91">
        <w:rPr>
          <w:noProof/>
        </w:rPr>
        <w:t>odn</w:t>
      </w:r>
      <w:r w:rsidR="00521C02" w:rsidRPr="00710B91">
        <w:rPr>
          <w:noProof/>
        </w:rPr>
        <w:t>iesieniu do danych osobowych wymienianych za pośrednictwem platformy współpracy zespołów JIT i na niej przechowywanych.</w:t>
      </w:r>
    </w:p>
    <w:p w14:paraId="3F8665D7" w14:textId="2EAAE704" w:rsidR="0030009B" w:rsidRPr="00710B91" w:rsidRDefault="009A08E9" w:rsidP="009A08E9">
      <w:pPr>
        <w:pStyle w:val="ManualNumPar1"/>
        <w:rPr>
          <w:noProof/>
        </w:rPr>
      </w:pPr>
      <w:r w:rsidRPr="009A08E9">
        <w:t>4.</w:t>
      </w:r>
      <w:r w:rsidRPr="009A08E9">
        <w:tab/>
      </w:r>
      <w:r w:rsidR="0030009B" w:rsidRPr="00710B91">
        <w:rPr>
          <w:noProof/>
        </w:rPr>
        <w:t>Użytkownicy platformy współpracy zespołów JIT wspólnie odpowiadają za zarządzanie danymi nieoperacyjnymi na platformie współpracy zespołów JIT.</w:t>
      </w:r>
    </w:p>
    <w:p w14:paraId="21FDBA2E" w14:textId="77777777" w:rsidR="00521C02" w:rsidRPr="00710B91" w:rsidRDefault="00521C02" w:rsidP="00521C02">
      <w:pPr>
        <w:shd w:val="clear" w:color="auto" w:fill="FFFFFF" w:themeFill="background1"/>
        <w:spacing w:after="0" w:line="312" w:lineRule="atLeast"/>
        <w:rPr>
          <w:rFonts w:eastAsia="Times New Roman"/>
          <w:bCs/>
          <w:noProof/>
          <w:szCs w:val="24"/>
          <w:lang w:eastAsia="en-GB"/>
        </w:rPr>
      </w:pPr>
    </w:p>
    <w:p w14:paraId="1DDC3EB8" w14:textId="77777777" w:rsidR="00521C02" w:rsidRPr="00710B91" w:rsidRDefault="00521C02" w:rsidP="00FF717F">
      <w:pPr>
        <w:pStyle w:val="Titrearticle"/>
        <w:rPr>
          <w:noProof/>
        </w:rPr>
      </w:pPr>
      <w:r w:rsidRPr="00710B91">
        <w:rPr>
          <w:noProof/>
        </w:rPr>
        <w:t>Artykuł 20</w:t>
      </w:r>
    </w:p>
    <w:p w14:paraId="255EE1AD" w14:textId="77777777" w:rsidR="00521C02" w:rsidRPr="00710B91" w:rsidRDefault="00521C02" w:rsidP="00521C02">
      <w:pPr>
        <w:shd w:val="clear" w:color="auto" w:fill="FFFFFF" w:themeFill="background1"/>
        <w:spacing w:after="0" w:line="312" w:lineRule="atLeast"/>
        <w:jc w:val="center"/>
        <w:rPr>
          <w:rFonts w:eastAsia="Times New Roman"/>
          <w:b/>
          <w:bCs/>
          <w:noProof/>
          <w:szCs w:val="24"/>
        </w:rPr>
      </w:pPr>
      <w:r w:rsidRPr="00710B91">
        <w:rPr>
          <w:b/>
          <w:bCs/>
          <w:noProof/>
          <w:szCs w:val="24"/>
        </w:rPr>
        <w:t>Cel przetwarzania danych osobowych</w:t>
      </w:r>
    </w:p>
    <w:p w14:paraId="4404729A" w14:textId="36712BD2" w:rsidR="00521C02" w:rsidRPr="00710B91" w:rsidRDefault="009A08E9" w:rsidP="009A08E9">
      <w:pPr>
        <w:pStyle w:val="ManualNumPar1"/>
        <w:rPr>
          <w:noProof/>
        </w:rPr>
      </w:pPr>
      <w:r w:rsidRPr="009A08E9">
        <w:t>1.</w:t>
      </w:r>
      <w:r w:rsidRPr="009A08E9">
        <w:tab/>
      </w:r>
      <w:r w:rsidR="00521C02" w:rsidRPr="00710B91">
        <w:rPr>
          <w:noProof/>
        </w:rPr>
        <w:t xml:space="preserve">Dane wprowadzone do platformy współpracy zespołów JIT przetwarza się wyłącznie do celów: </w:t>
      </w:r>
    </w:p>
    <w:p w14:paraId="79AD6618" w14:textId="4F6EDCFE" w:rsidR="00C24D2B" w:rsidRPr="00710B91" w:rsidRDefault="00710B91" w:rsidP="00710B91">
      <w:pPr>
        <w:pStyle w:val="Point0"/>
        <w:rPr>
          <w:noProof/>
        </w:rPr>
      </w:pPr>
      <w:r w:rsidRPr="00710B91">
        <w:rPr>
          <w:noProof/>
        </w:rPr>
        <w:t>a)</w:t>
      </w:r>
      <w:r w:rsidRPr="00710B91">
        <w:rPr>
          <w:noProof/>
        </w:rPr>
        <w:tab/>
      </w:r>
      <w:r w:rsidR="00521C02" w:rsidRPr="00710B91">
        <w:rPr>
          <w:noProof/>
        </w:rPr>
        <w:t>wymiany informacji operacyjnych</w:t>
      </w:r>
      <w:r w:rsidRPr="00710B91">
        <w:rPr>
          <w:noProof/>
        </w:rPr>
        <w:t xml:space="preserve"> i</w:t>
      </w:r>
      <w:r>
        <w:rPr>
          <w:noProof/>
        </w:rPr>
        <w:t> </w:t>
      </w:r>
      <w:r w:rsidRPr="00710B91">
        <w:rPr>
          <w:noProof/>
        </w:rPr>
        <w:t>dow</w:t>
      </w:r>
      <w:r w:rsidR="00521C02" w:rsidRPr="00710B91">
        <w:rPr>
          <w:noProof/>
        </w:rPr>
        <w:t>odów pomiędzy użytkownikami platformy współpracy zespołów JIT;</w:t>
      </w:r>
    </w:p>
    <w:p w14:paraId="0C3292FE" w14:textId="6128559E" w:rsidR="00521C02" w:rsidRPr="00710B91" w:rsidRDefault="00710B91" w:rsidP="00710B91">
      <w:pPr>
        <w:pStyle w:val="Point0"/>
        <w:rPr>
          <w:noProof/>
        </w:rPr>
      </w:pPr>
      <w:r w:rsidRPr="00710B91">
        <w:rPr>
          <w:noProof/>
        </w:rPr>
        <w:t>b)</w:t>
      </w:r>
      <w:r w:rsidRPr="00710B91">
        <w:rPr>
          <w:noProof/>
        </w:rPr>
        <w:tab/>
      </w:r>
      <w:r w:rsidR="00521C02" w:rsidRPr="00710B91">
        <w:rPr>
          <w:noProof/>
        </w:rPr>
        <w:t xml:space="preserve">wymiany danych nieoperacyjnych pomiędzy użytkownikami platformy współpracy zespołów JIT na potrzeby zarządzania zespołem JIT. </w:t>
      </w:r>
    </w:p>
    <w:p w14:paraId="0B3DDFE3" w14:textId="2E20ABF2" w:rsidR="00521C02" w:rsidRPr="00710B91" w:rsidRDefault="009A08E9" w:rsidP="009A08E9">
      <w:pPr>
        <w:pStyle w:val="ManualNumPar1"/>
        <w:rPr>
          <w:rFonts w:eastAsia="Times New Roman"/>
          <w:bCs/>
          <w:noProof/>
          <w:szCs w:val="24"/>
        </w:rPr>
      </w:pPr>
      <w:r w:rsidRPr="009A08E9">
        <w:t>2.</w:t>
      </w:r>
      <w:r w:rsidRPr="009A08E9">
        <w:tab/>
      </w:r>
      <w:r w:rsidR="00521C02" w:rsidRPr="00710B91">
        <w:rPr>
          <w:noProof/>
        </w:rPr>
        <w:t>Dostęp do platformy współpracy zespołów JIT ogranicza się do uprawnionego personelu właściwych organów państw członkowskich</w:t>
      </w:r>
      <w:r w:rsidR="00710B91" w:rsidRPr="00710B91">
        <w:rPr>
          <w:noProof/>
        </w:rPr>
        <w:t xml:space="preserve"> i</w:t>
      </w:r>
      <w:r w:rsidR="00710B91">
        <w:rPr>
          <w:noProof/>
        </w:rPr>
        <w:t> </w:t>
      </w:r>
      <w:r w:rsidR="00710B91" w:rsidRPr="00710B91">
        <w:rPr>
          <w:noProof/>
        </w:rPr>
        <w:t>wła</w:t>
      </w:r>
      <w:r w:rsidR="00521C02" w:rsidRPr="00710B91">
        <w:rPr>
          <w:noProof/>
        </w:rPr>
        <w:t>ściwych organów państw trzecich, Eurojustu, Europolu, Prokuratury Europejskiej, OLAF-u oraz innych właściwych organów lub jednostek organizacyjnych Unii,</w:t>
      </w:r>
      <w:r w:rsidR="00710B91" w:rsidRPr="00710B91">
        <w:rPr>
          <w:noProof/>
        </w:rPr>
        <w:t xml:space="preserve"> w</w:t>
      </w:r>
      <w:r w:rsidR="00710B91">
        <w:rPr>
          <w:noProof/>
        </w:rPr>
        <w:t> </w:t>
      </w:r>
      <w:r w:rsidR="00710B91" w:rsidRPr="00710B91">
        <w:rPr>
          <w:noProof/>
        </w:rPr>
        <w:t>zak</w:t>
      </w:r>
      <w:r w:rsidR="00521C02" w:rsidRPr="00710B91">
        <w:rPr>
          <w:noProof/>
        </w:rPr>
        <w:t>resie niezbędnym do wykonywania ich zadań zgodnie</w:t>
      </w:r>
      <w:r w:rsidR="00710B91" w:rsidRPr="00710B91">
        <w:rPr>
          <w:noProof/>
        </w:rPr>
        <w:t xml:space="preserve"> z</w:t>
      </w:r>
      <w:r w:rsidR="00710B91">
        <w:rPr>
          <w:noProof/>
        </w:rPr>
        <w:t> </w:t>
      </w:r>
      <w:r w:rsidR="00710B91" w:rsidRPr="00710B91">
        <w:rPr>
          <w:noProof/>
        </w:rPr>
        <w:t>cel</w:t>
      </w:r>
      <w:r w:rsidR="00521C02" w:rsidRPr="00710B91">
        <w:rPr>
          <w:noProof/>
        </w:rPr>
        <w:t>ami,</w:t>
      </w:r>
      <w:r w:rsidR="00710B91" w:rsidRPr="00710B91">
        <w:rPr>
          <w:noProof/>
        </w:rPr>
        <w:t xml:space="preserve"> o</w:t>
      </w:r>
      <w:r w:rsidR="00710B91">
        <w:rPr>
          <w:noProof/>
        </w:rPr>
        <w:t> </w:t>
      </w:r>
      <w:r w:rsidR="00710B91" w:rsidRPr="00710B91">
        <w:rPr>
          <w:noProof/>
        </w:rPr>
        <w:t>któ</w:t>
      </w:r>
      <w:r w:rsidR="00521C02" w:rsidRPr="00710B91">
        <w:rPr>
          <w:noProof/>
        </w:rPr>
        <w:t>rych mowa</w:t>
      </w:r>
      <w:r w:rsidR="00710B91" w:rsidRPr="00710B91">
        <w:rPr>
          <w:noProof/>
        </w:rPr>
        <w:t xml:space="preserve"> w</w:t>
      </w:r>
      <w:r w:rsidR="00710B91">
        <w:rPr>
          <w:noProof/>
        </w:rPr>
        <w:t> </w:t>
      </w:r>
      <w:r w:rsidR="00710B91" w:rsidRPr="00710B91">
        <w:rPr>
          <w:noProof/>
        </w:rPr>
        <w:t>ust</w:t>
      </w:r>
      <w:r w:rsidR="00521C02" w:rsidRPr="00710B91">
        <w:rPr>
          <w:noProof/>
        </w:rPr>
        <w:t>.</w:t>
      </w:r>
      <w:r w:rsidR="00710B91" w:rsidRPr="00710B91">
        <w:rPr>
          <w:noProof/>
        </w:rPr>
        <w:t> </w:t>
      </w:r>
      <w:r w:rsidR="00521C02" w:rsidRPr="00710B91">
        <w:rPr>
          <w:noProof/>
        </w:rPr>
        <w:t>1, oraz do tego, co jest konieczne</w:t>
      </w:r>
      <w:r w:rsidR="00710B91" w:rsidRPr="00710B91">
        <w:rPr>
          <w:noProof/>
        </w:rPr>
        <w:t xml:space="preserve"> i</w:t>
      </w:r>
      <w:r w:rsidR="00710B91">
        <w:rPr>
          <w:noProof/>
        </w:rPr>
        <w:t> </w:t>
      </w:r>
      <w:r w:rsidR="00710B91" w:rsidRPr="00710B91">
        <w:rPr>
          <w:noProof/>
        </w:rPr>
        <w:t>pro</w:t>
      </w:r>
      <w:r w:rsidR="00521C02" w:rsidRPr="00710B91">
        <w:rPr>
          <w:noProof/>
        </w:rPr>
        <w:t>porcjonalne do realizowanych celów.</w:t>
      </w:r>
    </w:p>
    <w:p w14:paraId="4B11F22A" w14:textId="77777777" w:rsidR="00521C02" w:rsidRPr="00710B91" w:rsidRDefault="00521C02" w:rsidP="00FF717F">
      <w:pPr>
        <w:pStyle w:val="Titrearticle"/>
        <w:rPr>
          <w:noProof/>
        </w:rPr>
      </w:pPr>
      <w:r w:rsidRPr="00710B91">
        <w:rPr>
          <w:noProof/>
        </w:rPr>
        <w:t>Artykuł 21</w:t>
      </w:r>
    </w:p>
    <w:p w14:paraId="0A84116C" w14:textId="77777777" w:rsidR="00521C02" w:rsidRPr="00710B91" w:rsidRDefault="00521C02" w:rsidP="00521C02">
      <w:pPr>
        <w:shd w:val="clear" w:color="auto" w:fill="FFFFFF" w:themeFill="background1"/>
        <w:spacing w:after="0" w:line="312" w:lineRule="atLeast"/>
        <w:jc w:val="center"/>
        <w:rPr>
          <w:noProof/>
        </w:rPr>
      </w:pPr>
      <w:r w:rsidRPr="00710B91">
        <w:rPr>
          <w:b/>
          <w:bCs/>
          <w:noProof/>
          <w:szCs w:val="24"/>
        </w:rPr>
        <w:t>Dzienniki techniczne</w:t>
      </w:r>
      <w:r w:rsidRPr="00710B91">
        <w:rPr>
          <w:noProof/>
        </w:rPr>
        <w:t xml:space="preserve"> </w:t>
      </w:r>
    </w:p>
    <w:p w14:paraId="079D1FC0" w14:textId="36E9459F" w:rsidR="00521C02" w:rsidRPr="00710B91" w:rsidRDefault="009A08E9" w:rsidP="009A08E9">
      <w:pPr>
        <w:pStyle w:val="ManualNumPar1"/>
        <w:rPr>
          <w:noProof/>
        </w:rPr>
      </w:pPr>
      <w:r w:rsidRPr="009A08E9">
        <w:t>1.</w:t>
      </w:r>
      <w:r w:rsidRPr="009A08E9">
        <w:tab/>
      </w:r>
      <w:r w:rsidR="00521C02" w:rsidRPr="00710B91">
        <w:rPr>
          <w:noProof/>
        </w:rPr>
        <w:t>eu-LISA zapewnia prowadzenie dziennika,</w:t>
      </w:r>
      <w:r w:rsidR="00710B91" w:rsidRPr="00710B91">
        <w:rPr>
          <w:noProof/>
        </w:rPr>
        <w:t xml:space="preserve"> w</w:t>
      </w:r>
      <w:r w:rsidR="00710B91">
        <w:rPr>
          <w:noProof/>
        </w:rPr>
        <w:t> </w:t>
      </w:r>
      <w:r w:rsidR="00710B91" w:rsidRPr="00710B91">
        <w:rPr>
          <w:noProof/>
        </w:rPr>
        <w:t>któ</w:t>
      </w:r>
      <w:r w:rsidR="00521C02" w:rsidRPr="00710B91">
        <w:rPr>
          <w:noProof/>
        </w:rPr>
        <w:t>rym zapisuje się każdorazowy dostęp do scentralizowanego systemu informacyjnego oraz wszystkie operacje przetwarzania danych</w:t>
      </w:r>
      <w:r w:rsidR="00710B91" w:rsidRPr="00710B91">
        <w:rPr>
          <w:noProof/>
        </w:rPr>
        <w:t xml:space="preserve"> w</w:t>
      </w:r>
      <w:r w:rsidR="00710B91">
        <w:rPr>
          <w:noProof/>
        </w:rPr>
        <w:t> </w:t>
      </w:r>
      <w:r w:rsidR="00710B91" w:rsidRPr="00710B91">
        <w:rPr>
          <w:noProof/>
        </w:rPr>
        <w:t>tym</w:t>
      </w:r>
      <w:r w:rsidR="00521C02" w:rsidRPr="00710B91">
        <w:rPr>
          <w:noProof/>
        </w:rPr>
        <w:t xml:space="preserve"> systemie zgodnie</w:t>
      </w:r>
      <w:r w:rsidR="00710B91" w:rsidRPr="00710B91">
        <w:rPr>
          <w:noProof/>
        </w:rPr>
        <w:t xml:space="preserve"> z</w:t>
      </w:r>
      <w:r w:rsidR="00710B91">
        <w:rPr>
          <w:noProof/>
        </w:rPr>
        <w:t> </w:t>
      </w:r>
      <w:r w:rsidR="00710B91" w:rsidRPr="00710B91">
        <w:rPr>
          <w:noProof/>
        </w:rPr>
        <w:t>ust</w:t>
      </w:r>
      <w:r w:rsidR="00521C02" w:rsidRPr="00710B91">
        <w:rPr>
          <w:noProof/>
        </w:rPr>
        <w:t>.</w:t>
      </w:r>
      <w:r w:rsidR="00710B91" w:rsidRPr="00710B91">
        <w:rPr>
          <w:noProof/>
        </w:rPr>
        <w:t> </w:t>
      </w:r>
      <w:r w:rsidR="00521C02" w:rsidRPr="00710B91">
        <w:rPr>
          <w:noProof/>
        </w:rPr>
        <w:t>2.</w:t>
      </w:r>
    </w:p>
    <w:p w14:paraId="31D7AF1D" w14:textId="4AD70BB7" w:rsidR="00521C02" w:rsidRPr="00710B91" w:rsidRDefault="009A08E9" w:rsidP="009A08E9">
      <w:pPr>
        <w:pStyle w:val="ManualNumPar1"/>
        <w:rPr>
          <w:noProof/>
        </w:rPr>
      </w:pPr>
      <w:r w:rsidRPr="009A08E9">
        <w:t>2.</w:t>
      </w:r>
      <w:r w:rsidRPr="009A08E9">
        <w:tab/>
      </w:r>
      <w:r w:rsidR="00521C02" w:rsidRPr="00710B91">
        <w:rPr>
          <w:noProof/>
        </w:rPr>
        <w:t xml:space="preserve">W dziennikach wykazuje się: </w:t>
      </w:r>
    </w:p>
    <w:p w14:paraId="3A65C560" w14:textId="2482C97C" w:rsidR="00521C02" w:rsidRPr="00710B91" w:rsidRDefault="00710B91" w:rsidP="00710B91">
      <w:pPr>
        <w:pStyle w:val="Point0"/>
        <w:rPr>
          <w:noProof/>
        </w:rPr>
      </w:pPr>
      <w:r w:rsidRPr="00710B91">
        <w:rPr>
          <w:noProof/>
        </w:rPr>
        <w:t>a)</w:t>
      </w:r>
      <w:r w:rsidRPr="00710B91">
        <w:rPr>
          <w:noProof/>
        </w:rPr>
        <w:tab/>
      </w:r>
      <w:r w:rsidR="00521C02" w:rsidRPr="00710B91">
        <w:rPr>
          <w:noProof/>
        </w:rPr>
        <w:t>datę, strefę czasową</w:t>
      </w:r>
      <w:r w:rsidRPr="00710B91">
        <w:rPr>
          <w:noProof/>
        </w:rPr>
        <w:t xml:space="preserve"> i</w:t>
      </w:r>
      <w:r>
        <w:rPr>
          <w:noProof/>
        </w:rPr>
        <w:t> </w:t>
      </w:r>
      <w:r w:rsidRPr="00710B91">
        <w:rPr>
          <w:noProof/>
        </w:rPr>
        <w:t>dok</w:t>
      </w:r>
      <w:r w:rsidR="00521C02" w:rsidRPr="00710B91">
        <w:rPr>
          <w:noProof/>
        </w:rPr>
        <w:t xml:space="preserve">ładną godzinę dostępu do scentralizowanego systemu informacyjnego; </w:t>
      </w:r>
    </w:p>
    <w:p w14:paraId="6D51C58B" w14:textId="05BE6F3B" w:rsidR="00521C02" w:rsidRPr="00710B91" w:rsidRDefault="00710B91" w:rsidP="00710B91">
      <w:pPr>
        <w:pStyle w:val="Point0"/>
        <w:rPr>
          <w:noProof/>
        </w:rPr>
      </w:pPr>
      <w:r w:rsidRPr="00710B91">
        <w:rPr>
          <w:noProof/>
        </w:rPr>
        <w:t>b)</w:t>
      </w:r>
      <w:r w:rsidRPr="00710B91">
        <w:rPr>
          <w:noProof/>
        </w:rPr>
        <w:tab/>
      </w:r>
      <w:r w:rsidR="00521C02" w:rsidRPr="00710B91">
        <w:rPr>
          <w:noProof/>
        </w:rPr>
        <w:t>znak identyfikacyjny użytkownika platformy współpracy zespołu JIT, który uzyskał dostęp do scentralizowanego systemu informacyjnego;</w:t>
      </w:r>
    </w:p>
    <w:p w14:paraId="7514653F" w14:textId="2DA2CC83" w:rsidR="006E5F33" w:rsidRPr="00710B91" w:rsidRDefault="00710B91" w:rsidP="00710B91">
      <w:pPr>
        <w:pStyle w:val="Point0"/>
        <w:rPr>
          <w:noProof/>
        </w:rPr>
      </w:pPr>
      <w:r w:rsidRPr="00710B91">
        <w:rPr>
          <w:noProof/>
        </w:rPr>
        <w:t>c)</w:t>
      </w:r>
      <w:r w:rsidRPr="00710B91">
        <w:rPr>
          <w:noProof/>
        </w:rPr>
        <w:tab/>
      </w:r>
      <w:r w:rsidR="00521C02" w:rsidRPr="00710B91">
        <w:rPr>
          <w:noProof/>
        </w:rPr>
        <w:t>datę, strefę czasową</w:t>
      </w:r>
      <w:r w:rsidRPr="00710B91">
        <w:rPr>
          <w:noProof/>
        </w:rPr>
        <w:t xml:space="preserve"> i</w:t>
      </w:r>
      <w:r>
        <w:rPr>
          <w:noProof/>
        </w:rPr>
        <w:t> </w:t>
      </w:r>
      <w:r w:rsidRPr="00710B91">
        <w:rPr>
          <w:noProof/>
        </w:rPr>
        <w:t>cza</w:t>
      </w:r>
      <w:r w:rsidR="00521C02" w:rsidRPr="00710B91">
        <w:rPr>
          <w:noProof/>
        </w:rPr>
        <w:t>s dostępu związany</w:t>
      </w:r>
      <w:r w:rsidRPr="00710B91">
        <w:rPr>
          <w:noProof/>
        </w:rPr>
        <w:t xml:space="preserve"> z</w:t>
      </w:r>
      <w:r>
        <w:rPr>
          <w:noProof/>
        </w:rPr>
        <w:t> </w:t>
      </w:r>
      <w:r w:rsidRPr="00710B91">
        <w:rPr>
          <w:noProof/>
        </w:rPr>
        <w:t>ope</w:t>
      </w:r>
      <w:r w:rsidR="00521C02" w:rsidRPr="00710B91">
        <w:rPr>
          <w:noProof/>
        </w:rPr>
        <w:t>racją przeprowadzoną przez użytkownika platformy współpracy zespołu JIT;</w:t>
      </w:r>
    </w:p>
    <w:p w14:paraId="2A7D168D" w14:textId="4CC31C7B" w:rsidR="00521C02" w:rsidRPr="00710B91" w:rsidRDefault="00710B91" w:rsidP="00710B91">
      <w:pPr>
        <w:pStyle w:val="Point0"/>
        <w:rPr>
          <w:noProof/>
        </w:rPr>
      </w:pPr>
      <w:r w:rsidRPr="00710B91">
        <w:rPr>
          <w:noProof/>
        </w:rPr>
        <w:t>d)</w:t>
      </w:r>
      <w:r w:rsidRPr="00710B91">
        <w:rPr>
          <w:noProof/>
        </w:rPr>
        <w:tab/>
      </w:r>
      <w:r w:rsidR="00521C02" w:rsidRPr="00710B91">
        <w:rPr>
          <w:noProof/>
        </w:rPr>
        <w:t>operację przeprowadzoną przez użytkownika platformy współpracy zespołu JIT.</w:t>
      </w:r>
    </w:p>
    <w:p w14:paraId="1BD6F205" w14:textId="44F374DD" w:rsidR="00521C02" w:rsidRPr="00710B91" w:rsidRDefault="009A08E9" w:rsidP="009A08E9">
      <w:pPr>
        <w:pStyle w:val="ManualNumPar1"/>
        <w:rPr>
          <w:rFonts w:eastAsia="Times New Roman"/>
          <w:bCs/>
          <w:noProof/>
          <w:szCs w:val="24"/>
        </w:rPr>
      </w:pPr>
      <w:r w:rsidRPr="009A08E9">
        <w:t>3.</w:t>
      </w:r>
      <w:r w:rsidRPr="009A08E9">
        <w:tab/>
      </w:r>
      <w:r w:rsidR="00521C02" w:rsidRPr="00710B91">
        <w:rPr>
          <w:noProof/>
        </w:rPr>
        <w:t>Dzienniki chroni się przed nieuprawnionym dostępem za pomocą odpowiednich środków technicznych</w:t>
      </w:r>
      <w:r w:rsidR="00710B91" w:rsidRPr="00710B91">
        <w:rPr>
          <w:noProof/>
        </w:rPr>
        <w:t xml:space="preserve"> i</w:t>
      </w:r>
      <w:r w:rsidR="00710B91">
        <w:rPr>
          <w:noProof/>
        </w:rPr>
        <w:t> </w:t>
      </w:r>
      <w:r w:rsidR="00710B91" w:rsidRPr="00710B91">
        <w:rPr>
          <w:noProof/>
        </w:rPr>
        <w:t>prz</w:t>
      </w:r>
      <w:r w:rsidR="00521C02" w:rsidRPr="00710B91">
        <w:rPr>
          <w:noProof/>
        </w:rPr>
        <w:t>echowuje się przez trzy lata lub przez dłuższy okres, jeżeli wymaga tego ukończenie będących</w:t>
      </w:r>
      <w:r w:rsidR="00710B91" w:rsidRPr="00710B91">
        <w:rPr>
          <w:noProof/>
        </w:rPr>
        <w:t xml:space="preserve"> w</w:t>
      </w:r>
      <w:r w:rsidR="00710B91">
        <w:rPr>
          <w:noProof/>
        </w:rPr>
        <w:t> </w:t>
      </w:r>
      <w:r w:rsidR="00710B91" w:rsidRPr="00710B91">
        <w:rPr>
          <w:noProof/>
        </w:rPr>
        <w:t>tok</w:t>
      </w:r>
      <w:r w:rsidR="00521C02" w:rsidRPr="00710B91">
        <w:rPr>
          <w:noProof/>
        </w:rPr>
        <w:t>u procedur monitorowania.</w:t>
      </w:r>
    </w:p>
    <w:p w14:paraId="200F78A5" w14:textId="43C7040E" w:rsidR="00521C02" w:rsidRPr="00710B91" w:rsidRDefault="009A08E9" w:rsidP="009A08E9">
      <w:pPr>
        <w:pStyle w:val="ManualNumPar1"/>
        <w:rPr>
          <w:rFonts w:eastAsia="Times New Roman"/>
          <w:bCs/>
          <w:noProof/>
          <w:szCs w:val="24"/>
        </w:rPr>
      </w:pPr>
      <w:r w:rsidRPr="009A08E9">
        <w:t>4.</w:t>
      </w:r>
      <w:r w:rsidRPr="009A08E9">
        <w:tab/>
      </w:r>
      <w:r w:rsidR="00521C02" w:rsidRPr="00710B91">
        <w:rPr>
          <w:noProof/>
        </w:rPr>
        <w:t xml:space="preserve">eu-LISA udostępnia dzienniki właściwym organom państw członkowskich na żądanie bez zbędnej zwłoki. </w:t>
      </w:r>
    </w:p>
    <w:p w14:paraId="0C9408B8" w14:textId="25478506" w:rsidR="00521C02" w:rsidRPr="00710B91" w:rsidRDefault="009A08E9" w:rsidP="009A08E9">
      <w:pPr>
        <w:pStyle w:val="ManualNumPar1"/>
        <w:rPr>
          <w:rFonts w:eastAsia="Times New Roman"/>
          <w:bCs/>
          <w:noProof/>
          <w:szCs w:val="24"/>
        </w:rPr>
      </w:pPr>
      <w:r w:rsidRPr="009A08E9">
        <w:t>5.</w:t>
      </w:r>
      <w:r w:rsidRPr="009A08E9">
        <w:tab/>
      </w:r>
      <w:r w:rsidR="00D01C13" w:rsidRPr="00710B91">
        <w:rPr>
          <w:noProof/>
        </w:rPr>
        <w:t>Krajowe organy nadzorcze odpowiedzialne za monitorowanie legalności przetwarzania danych uzyskują na żądanie dostęp do dzienników</w:t>
      </w:r>
      <w:r w:rsidR="00710B91" w:rsidRPr="00710B91">
        <w:rPr>
          <w:noProof/>
        </w:rPr>
        <w:t xml:space="preserve"> w</w:t>
      </w:r>
      <w:r w:rsidR="00710B91">
        <w:rPr>
          <w:noProof/>
        </w:rPr>
        <w:t> </w:t>
      </w:r>
      <w:r w:rsidR="00710B91" w:rsidRPr="00710B91">
        <w:rPr>
          <w:noProof/>
        </w:rPr>
        <w:t>gra</w:t>
      </w:r>
      <w:r w:rsidR="00D01C13" w:rsidRPr="00710B91">
        <w:rPr>
          <w:noProof/>
        </w:rPr>
        <w:t>nicach ich kompetencji i na potrzeby wykonywania ich obowiązków.</w:t>
      </w:r>
    </w:p>
    <w:p w14:paraId="00590B2F" w14:textId="56C02B3C" w:rsidR="00F44AE3" w:rsidRPr="00710B91" w:rsidRDefault="009A08E9" w:rsidP="009A08E9">
      <w:pPr>
        <w:pStyle w:val="ManualNumPar1"/>
        <w:rPr>
          <w:noProof/>
        </w:rPr>
      </w:pPr>
      <w:r w:rsidRPr="009A08E9">
        <w:t>6.</w:t>
      </w:r>
      <w:r w:rsidRPr="009A08E9">
        <w:tab/>
      </w:r>
      <w:r w:rsidR="00F44AE3" w:rsidRPr="00710B91">
        <w:rPr>
          <w:noProof/>
        </w:rPr>
        <w:t>Europejski Inspektor Ochrony Danych uzyskuje na żądanie dostęp do dzienników</w:t>
      </w:r>
      <w:r w:rsidR="00710B91" w:rsidRPr="00710B91">
        <w:rPr>
          <w:noProof/>
        </w:rPr>
        <w:t xml:space="preserve"> w</w:t>
      </w:r>
      <w:r w:rsidR="00710B91">
        <w:rPr>
          <w:noProof/>
        </w:rPr>
        <w:t> </w:t>
      </w:r>
      <w:r w:rsidR="00710B91" w:rsidRPr="00710B91">
        <w:rPr>
          <w:noProof/>
        </w:rPr>
        <w:t>gra</w:t>
      </w:r>
      <w:r w:rsidR="00F44AE3" w:rsidRPr="00710B91">
        <w:rPr>
          <w:noProof/>
        </w:rPr>
        <w:t>nicach jego kompetencji</w:t>
      </w:r>
      <w:r w:rsidR="00710B91" w:rsidRPr="00710B91">
        <w:rPr>
          <w:noProof/>
        </w:rPr>
        <w:t xml:space="preserve"> i</w:t>
      </w:r>
      <w:r w:rsidR="00710B91">
        <w:rPr>
          <w:noProof/>
        </w:rPr>
        <w:t> </w:t>
      </w:r>
      <w:r w:rsidR="00710B91" w:rsidRPr="00710B91">
        <w:rPr>
          <w:noProof/>
        </w:rPr>
        <w:t>w</w:t>
      </w:r>
      <w:r w:rsidR="00710B91">
        <w:rPr>
          <w:noProof/>
        </w:rPr>
        <w:t> </w:t>
      </w:r>
      <w:r w:rsidR="00710B91" w:rsidRPr="00710B91">
        <w:rPr>
          <w:noProof/>
        </w:rPr>
        <w:t>cel</w:t>
      </w:r>
      <w:r w:rsidR="00F44AE3" w:rsidRPr="00710B91">
        <w:rPr>
          <w:noProof/>
        </w:rPr>
        <w:t>u wykonywania obowiązków nadzorczych zgodnie</w:t>
      </w:r>
      <w:r w:rsidR="00710B91" w:rsidRPr="00710B91">
        <w:rPr>
          <w:noProof/>
        </w:rPr>
        <w:t xml:space="preserve"> z</w:t>
      </w:r>
      <w:r w:rsidR="00710B91">
        <w:rPr>
          <w:noProof/>
        </w:rPr>
        <w:t> </w:t>
      </w:r>
      <w:r w:rsidR="00710B91" w:rsidRPr="00710B91">
        <w:rPr>
          <w:noProof/>
        </w:rPr>
        <w:t>roz</w:t>
      </w:r>
      <w:r w:rsidR="00F44AE3" w:rsidRPr="00710B91">
        <w:rPr>
          <w:noProof/>
        </w:rPr>
        <w:t>porządzeniem (UE) 2018/1725.</w:t>
      </w:r>
    </w:p>
    <w:p w14:paraId="261F25DB" w14:textId="4A6D9FEF" w:rsidR="00521C02" w:rsidRPr="00710B91" w:rsidRDefault="00521C02" w:rsidP="00521C02">
      <w:pPr>
        <w:pStyle w:val="ti-section-1"/>
        <w:shd w:val="clear" w:color="auto" w:fill="FFFFFF"/>
        <w:spacing w:before="480" w:beforeAutospacing="0" w:after="0" w:afterAutospacing="0" w:line="312" w:lineRule="atLeast"/>
        <w:jc w:val="center"/>
        <w:rPr>
          <w:b/>
          <w:bCs/>
          <w:noProof/>
        </w:rPr>
      </w:pPr>
      <w:r w:rsidRPr="00710B91">
        <w:rPr>
          <w:b/>
          <w:bCs/>
          <w:i/>
          <w:iCs/>
          <w:noProof/>
        </w:rPr>
        <w:t>ROZDZIAŁ VI</w:t>
      </w:r>
    </w:p>
    <w:p w14:paraId="13FC0014" w14:textId="77777777" w:rsidR="00521C02" w:rsidRPr="00710B91" w:rsidRDefault="00521C02" w:rsidP="00521C02">
      <w:pPr>
        <w:shd w:val="clear" w:color="auto" w:fill="FFFFFF"/>
        <w:spacing w:before="75" w:line="312" w:lineRule="atLeast"/>
        <w:jc w:val="center"/>
        <w:rPr>
          <w:rFonts w:eastAsia="Times New Roman"/>
          <w:b/>
          <w:bCs/>
          <w:noProof/>
          <w:szCs w:val="24"/>
        </w:rPr>
      </w:pPr>
      <w:r w:rsidRPr="00710B91">
        <w:rPr>
          <w:b/>
          <w:bCs/>
          <w:i/>
          <w:iCs/>
          <w:noProof/>
          <w:szCs w:val="24"/>
        </w:rPr>
        <w:t>Przepisy końcowe</w:t>
      </w:r>
    </w:p>
    <w:p w14:paraId="0BC715EF" w14:textId="6EC3832F" w:rsidR="00521C02" w:rsidRPr="00710B91" w:rsidRDefault="00521C02" w:rsidP="00DF6212">
      <w:pPr>
        <w:pStyle w:val="Titrearticle"/>
        <w:rPr>
          <w:noProof/>
        </w:rPr>
      </w:pPr>
      <w:r w:rsidRPr="00710B91">
        <w:rPr>
          <w:noProof/>
        </w:rPr>
        <w:t>Artykuł 22</w:t>
      </w:r>
    </w:p>
    <w:p w14:paraId="6FA12034" w14:textId="783D6504" w:rsidR="00521C02" w:rsidRPr="00710B91" w:rsidRDefault="00521C02" w:rsidP="00521C02">
      <w:pPr>
        <w:shd w:val="clear" w:color="auto" w:fill="FFFFFF" w:themeFill="background1"/>
        <w:spacing w:before="60" w:line="312" w:lineRule="atLeast"/>
        <w:jc w:val="center"/>
        <w:rPr>
          <w:rFonts w:eastAsia="Times New Roman"/>
          <w:b/>
          <w:bCs/>
          <w:noProof/>
          <w:szCs w:val="24"/>
        </w:rPr>
      </w:pPr>
      <w:r w:rsidRPr="00710B91">
        <w:rPr>
          <w:b/>
          <w:bCs/>
          <w:noProof/>
          <w:szCs w:val="24"/>
        </w:rPr>
        <w:t>Monitorowanie</w:t>
      </w:r>
      <w:r w:rsidR="00710B91" w:rsidRPr="00710B91">
        <w:rPr>
          <w:b/>
          <w:bCs/>
          <w:noProof/>
          <w:szCs w:val="24"/>
        </w:rPr>
        <w:t xml:space="preserve"> i</w:t>
      </w:r>
      <w:r w:rsidR="00710B91">
        <w:rPr>
          <w:b/>
          <w:bCs/>
          <w:noProof/>
          <w:szCs w:val="24"/>
        </w:rPr>
        <w:t> </w:t>
      </w:r>
      <w:r w:rsidR="00710B91" w:rsidRPr="00710B91">
        <w:rPr>
          <w:b/>
          <w:bCs/>
          <w:noProof/>
          <w:szCs w:val="24"/>
        </w:rPr>
        <w:t>oce</w:t>
      </w:r>
      <w:r w:rsidRPr="00710B91">
        <w:rPr>
          <w:b/>
          <w:bCs/>
          <w:noProof/>
          <w:szCs w:val="24"/>
        </w:rPr>
        <w:t xml:space="preserve">na </w:t>
      </w:r>
    </w:p>
    <w:p w14:paraId="135D5571" w14:textId="6DCC6EB6" w:rsidR="00521C02" w:rsidRPr="00710B91" w:rsidRDefault="009A08E9" w:rsidP="009A08E9">
      <w:pPr>
        <w:pStyle w:val="ManualNumPar1"/>
        <w:rPr>
          <w:rFonts w:eastAsia="Times New Roman"/>
          <w:bCs/>
          <w:noProof/>
          <w:szCs w:val="24"/>
        </w:rPr>
      </w:pPr>
      <w:r w:rsidRPr="009A08E9">
        <w:t>1.</w:t>
      </w:r>
      <w:r w:rsidRPr="009A08E9">
        <w:tab/>
      </w:r>
      <w:r w:rsidR="00521C02" w:rsidRPr="00710B91">
        <w:rPr>
          <w:noProof/>
        </w:rPr>
        <w:t>eu-LISA ustanawia procedury</w:t>
      </w:r>
      <w:r w:rsidR="00710B91" w:rsidRPr="00710B91">
        <w:rPr>
          <w:noProof/>
        </w:rPr>
        <w:t xml:space="preserve"> w</w:t>
      </w:r>
      <w:r w:rsidR="00710B91">
        <w:rPr>
          <w:noProof/>
        </w:rPr>
        <w:t> </w:t>
      </w:r>
      <w:r w:rsidR="00710B91" w:rsidRPr="00710B91">
        <w:rPr>
          <w:noProof/>
        </w:rPr>
        <w:t>zak</w:t>
      </w:r>
      <w:r w:rsidR="00521C02" w:rsidRPr="00710B91">
        <w:rPr>
          <w:noProof/>
        </w:rPr>
        <w:t>resie monitorowania rozwoju platformy współpracy zespołów JIT pod kątem celów dotyczących planowania</w:t>
      </w:r>
      <w:r w:rsidR="00710B91" w:rsidRPr="00710B91">
        <w:rPr>
          <w:noProof/>
        </w:rPr>
        <w:t xml:space="preserve"> i</w:t>
      </w:r>
      <w:r w:rsidR="00710B91">
        <w:rPr>
          <w:noProof/>
        </w:rPr>
        <w:t> </w:t>
      </w:r>
      <w:r w:rsidR="00710B91" w:rsidRPr="00710B91">
        <w:rPr>
          <w:noProof/>
        </w:rPr>
        <w:t>kos</w:t>
      </w:r>
      <w:r w:rsidR="00521C02" w:rsidRPr="00710B91">
        <w:rPr>
          <w:noProof/>
        </w:rPr>
        <w:t>ztów oraz</w:t>
      </w:r>
      <w:r w:rsidR="00710B91" w:rsidRPr="00710B91">
        <w:rPr>
          <w:noProof/>
        </w:rPr>
        <w:t xml:space="preserve"> w</w:t>
      </w:r>
      <w:r w:rsidR="00710B91">
        <w:rPr>
          <w:noProof/>
        </w:rPr>
        <w:t> </w:t>
      </w:r>
      <w:r w:rsidR="00710B91" w:rsidRPr="00710B91">
        <w:rPr>
          <w:noProof/>
        </w:rPr>
        <w:t>zak</w:t>
      </w:r>
      <w:r w:rsidR="00521C02" w:rsidRPr="00710B91">
        <w:rPr>
          <w:noProof/>
        </w:rPr>
        <w:t>resie monitorowania funkcjonowania platformy współpracy zespołów JIT pod kątem celów dotyczących rezultatów technicznych, efektywności kosztowej, bezpieczeństwa</w:t>
      </w:r>
      <w:r w:rsidR="00710B91" w:rsidRPr="00710B91">
        <w:rPr>
          <w:noProof/>
        </w:rPr>
        <w:t xml:space="preserve"> i</w:t>
      </w:r>
      <w:r w:rsidR="00710B91">
        <w:rPr>
          <w:noProof/>
        </w:rPr>
        <w:t> </w:t>
      </w:r>
      <w:r w:rsidR="00710B91" w:rsidRPr="00710B91">
        <w:rPr>
          <w:noProof/>
        </w:rPr>
        <w:t>jak</w:t>
      </w:r>
      <w:r w:rsidR="00521C02" w:rsidRPr="00710B91">
        <w:rPr>
          <w:noProof/>
        </w:rPr>
        <w:t xml:space="preserve">ości działania. </w:t>
      </w:r>
    </w:p>
    <w:p w14:paraId="7EA38EEA" w14:textId="6EEBF96B" w:rsidR="00521C02" w:rsidRPr="00710B91" w:rsidRDefault="009A08E9" w:rsidP="009A08E9">
      <w:pPr>
        <w:pStyle w:val="ManualNumPar1"/>
        <w:rPr>
          <w:rFonts w:eastAsia="Times New Roman"/>
          <w:bCs/>
          <w:noProof/>
          <w:szCs w:val="24"/>
        </w:rPr>
      </w:pPr>
      <w:r w:rsidRPr="009A08E9">
        <w:t>2.</w:t>
      </w:r>
      <w:r w:rsidRPr="009A08E9">
        <w:tab/>
      </w:r>
      <w:r w:rsidR="00521C02" w:rsidRPr="00710B91">
        <w:rPr>
          <w:noProof/>
        </w:rPr>
        <w:t>W procedurach,</w:t>
      </w:r>
      <w:r w:rsidR="00710B91" w:rsidRPr="00710B91">
        <w:rPr>
          <w:noProof/>
        </w:rPr>
        <w:t xml:space="preserve"> o</w:t>
      </w:r>
      <w:r w:rsidR="00710B91">
        <w:rPr>
          <w:noProof/>
        </w:rPr>
        <w:t> </w:t>
      </w:r>
      <w:r w:rsidR="00710B91" w:rsidRPr="00710B91">
        <w:rPr>
          <w:noProof/>
        </w:rPr>
        <w:t>któ</w:t>
      </w:r>
      <w:r w:rsidR="00521C02" w:rsidRPr="00710B91">
        <w:rPr>
          <w:noProof/>
        </w:rPr>
        <w:t>rych mowa</w:t>
      </w:r>
      <w:r w:rsidR="00710B91" w:rsidRPr="00710B91">
        <w:rPr>
          <w:noProof/>
        </w:rPr>
        <w:t xml:space="preserve"> w</w:t>
      </w:r>
      <w:r w:rsidR="00710B91">
        <w:rPr>
          <w:noProof/>
        </w:rPr>
        <w:t> </w:t>
      </w:r>
      <w:r w:rsidR="00710B91" w:rsidRPr="00710B91">
        <w:rPr>
          <w:noProof/>
        </w:rPr>
        <w:t>ust</w:t>
      </w:r>
      <w:r w:rsidR="00521C02" w:rsidRPr="00710B91">
        <w:rPr>
          <w:noProof/>
        </w:rPr>
        <w:t>.</w:t>
      </w:r>
      <w:r w:rsidR="00710B91" w:rsidRPr="00710B91">
        <w:rPr>
          <w:noProof/>
        </w:rPr>
        <w:t> </w:t>
      </w:r>
      <w:r w:rsidR="00521C02" w:rsidRPr="00710B91">
        <w:rPr>
          <w:noProof/>
        </w:rPr>
        <w:t>1, należy przewidzieć możliwość tworzenia regularnych statystyk technicznych na potrzeby monitorowania.</w:t>
      </w:r>
    </w:p>
    <w:p w14:paraId="15F23472" w14:textId="440780FB" w:rsidR="00CA2C7C" w:rsidRPr="00710B91" w:rsidRDefault="009A08E9" w:rsidP="009A08E9">
      <w:pPr>
        <w:pStyle w:val="ManualNumPar1"/>
        <w:rPr>
          <w:rFonts w:eastAsia="Times New Roman"/>
          <w:bCs/>
          <w:noProof/>
          <w:szCs w:val="24"/>
        </w:rPr>
      </w:pPr>
      <w:r w:rsidRPr="009A08E9">
        <w:t>3.</w:t>
      </w:r>
      <w:r w:rsidRPr="009A08E9">
        <w:tab/>
      </w:r>
      <w:r w:rsidR="00521C02" w:rsidRPr="00710B91">
        <w:rPr>
          <w:noProof/>
        </w:rPr>
        <w:t>W przypadku znacznych opóźnień</w:t>
      </w:r>
      <w:r w:rsidR="00710B91" w:rsidRPr="00710B91">
        <w:rPr>
          <w:noProof/>
        </w:rPr>
        <w:t xml:space="preserve"> w</w:t>
      </w:r>
      <w:r w:rsidR="00710B91">
        <w:rPr>
          <w:noProof/>
        </w:rPr>
        <w:t> </w:t>
      </w:r>
      <w:r w:rsidR="00710B91" w:rsidRPr="00710B91">
        <w:rPr>
          <w:noProof/>
        </w:rPr>
        <w:t>pro</w:t>
      </w:r>
      <w:r w:rsidR="00521C02" w:rsidRPr="00710B91">
        <w:rPr>
          <w:noProof/>
        </w:rPr>
        <w:t>cesie rozwijania, eu-LISA jak najszybciej informuje Parlament Europejski</w:t>
      </w:r>
      <w:r w:rsidR="00710B91" w:rsidRPr="00710B91">
        <w:rPr>
          <w:noProof/>
        </w:rPr>
        <w:t xml:space="preserve"> i</w:t>
      </w:r>
      <w:r w:rsidR="00710B91">
        <w:rPr>
          <w:noProof/>
        </w:rPr>
        <w:t> </w:t>
      </w:r>
      <w:r w:rsidR="00710B91" w:rsidRPr="00710B91">
        <w:rPr>
          <w:noProof/>
        </w:rPr>
        <w:t>Rad</w:t>
      </w:r>
      <w:r w:rsidR="00521C02" w:rsidRPr="00710B91">
        <w:rPr>
          <w:noProof/>
        </w:rPr>
        <w:t>ę</w:t>
      </w:r>
      <w:r w:rsidR="00710B91" w:rsidRPr="00710B91">
        <w:rPr>
          <w:noProof/>
        </w:rPr>
        <w:t xml:space="preserve"> o</w:t>
      </w:r>
      <w:r w:rsidR="00710B91">
        <w:rPr>
          <w:noProof/>
        </w:rPr>
        <w:t> </w:t>
      </w:r>
      <w:r w:rsidR="00710B91" w:rsidRPr="00710B91">
        <w:rPr>
          <w:noProof/>
        </w:rPr>
        <w:t>pow</w:t>
      </w:r>
      <w:r w:rsidR="00521C02" w:rsidRPr="00710B91">
        <w:rPr>
          <w:noProof/>
        </w:rPr>
        <w:t>odach tych opóźnień oraz</w:t>
      </w:r>
      <w:r w:rsidR="00710B91" w:rsidRPr="00710B91">
        <w:rPr>
          <w:noProof/>
        </w:rPr>
        <w:t xml:space="preserve"> o</w:t>
      </w:r>
      <w:r w:rsidR="00710B91">
        <w:rPr>
          <w:noProof/>
        </w:rPr>
        <w:t> </w:t>
      </w:r>
      <w:r w:rsidR="00710B91" w:rsidRPr="00710B91">
        <w:rPr>
          <w:noProof/>
        </w:rPr>
        <w:t>ich</w:t>
      </w:r>
      <w:r w:rsidR="00521C02" w:rsidRPr="00710B91">
        <w:rPr>
          <w:noProof/>
        </w:rPr>
        <w:t xml:space="preserve"> skutkach</w:t>
      </w:r>
      <w:r w:rsidR="00710B91" w:rsidRPr="00710B91">
        <w:rPr>
          <w:noProof/>
        </w:rPr>
        <w:t xml:space="preserve"> w</w:t>
      </w:r>
      <w:r w:rsidR="00710B91">
        <w:rPr>
          <w:noProof/>
        </w:rPr>
        <w:t> </w:t>
      </w:r>
      <w:r w:rsidR="00710B91" w:rsidRPr="00710B91">
        <w:rPr>
          <w:noProof/>
        </w:rPr>
        <w:t>odn</w:t>
      </w:r>
      <w:r w:rsidR="00521C02" w:rsidRPr="00710B91">
        <w:rPr>
          <w:noProof/>
        </w:rPr>
        <w:t>iesieniu do ram czasowych</w:t>
      </w:r>
      <w:r w:rsidR="00710B91" w:rsidRPr="00710B91">
        <w:rPr>
          <w:noProof/>
        </w:rPr>
        <w:t xml:space="preserve"> i</w:t>
      </w:r>
      <w:r w:rsidR="00710B91">
        <w:rPr>
          <w:noProof/>
        </w:rPr>
        <w:t> </w:t>
      </w:r>
      <w:r w:rsidR="00710B91" w:rsidRPr="00710B91">
        <w:rPr>
          <w:noProof/>
        </w:rPr>
        <w:t>fin</w:t>
      </w:r>
      <w:r w:rsidR="00521C02" w:rsidRPr="00710B91">
        <w:rPr>
          <w:noProof/>
        </w:rPr>
        <w:t xml:space="preserve">ansów. </w:t>
      </w:r>
    </w:p>
    <w:p w14:paraId="3AD95C67" w14:textId="0AE9BD15" w:rsidR="00521C02" w:rsidRPr="00710B91" w:rsidRDefault="009A08E9" w:rsidP="009A08E9">
      <w:pPr>
        <w:pStyle w:val="ManualNumPar1"/>
        <w:rPr>
          <w:rFonts w:eastAsia="Times New Roman"/>
          <w:bCs/>
          <w:noProof/>
          <w:szCs w:val="24"/>
        </w:rPr>
      </w:pPr>
      <w:r w:rsidRPr="009A08E9">
        <w:t>4.</w:t>
      </w:r>
      <w:r w:rsidRPr="009A08E9">
        <w:tab/>
      </w:r>
      <w:r w:rsidR="00521C02" w:rsidRPr="00710B91">
        <w:rPr>
          <w:noProof/>
        </w:rPr>
        <w:t>Po zakończeniu tworzenia platformy współpracy zespołów JIT eu-LISA przedłoży Parlamentowi Europejskiemu</w:t>
      </w:r>
      <w:r w:rsidR="00710B91" w:rsidRPr="00710B91">
        <w:rPr>
          <w:noProof/>
        </w:rPr>
        <w:t xml:space="preserve"> i</w:t>
      </w:r>
      <w:r w:rsidR="00710B91">
        <w:rPr>
          <w:noProof/>
        </w:rPr>
        <w:t> </w:t>
      </w:r>
      <w:r w:rsidR="00710B91" w:rsidRPr="00710B91">
        <w:rPr>
          <w:noProof/>
        </w:rPr>
        <w:t>Rad</w:t>
      </w:r>
      <w:r w:rsidR="00521C02" w:rsidRPr="00710B91">
        <w:rPr>
          <w:noProof/>
        </w:rPr>
        <w:t>zie sprawozdanie zawierające wyjaśnienia dotyczące tego, jak osiągnięto cele,</w:t>
      </w:r>
      <w:r w:rsidR="00710B91" w:rsidRPr="00710B91">
        <w:rPr>
          <w:noProof/>
        </w:rPr>
        <w:t xml:space="preserve"> w</w:t>
      </w:r>
      <w:r w:rsidR="00710B91">
        <w:rPr>
          <w:noProof/>
        </w:rPr>
        <w:t> </w:t>
      </w:r>
      <w:r w:rsidR="00710B91" w:rsidRPr="00710B91">
        <w:rPr>
          <w:noProof/>
        </w:rPr>
        <w:t>szc</w:t>
      </w:r>
      <w:r w:rsidR="00521C02" w:rsidRPr="00710B91">
        <w:rPr>
          <w:noProof/>
        </w:rPr>
        <w:t>zególności te związane</w:t>
      </w:r>
      <w:r w:rsidR="00710B91" w:rsidRPr="00710B91">
        <w:rPr>
          <w:noProof/>
        </w:rPr>
        <w:t xml:space="preserve"> z</w:t>
      </w:r>
      <w:r w:rsidR="00710B91">
        <w:rPr>
          <w:noProof/>
        </w:rPr>
        <w:t> </w:t>
      </w:r>
      <w:r w:rsidR="00710B91" w:rsidRPr="00710B91">
        <w:rPr>
          <w:noProof/>
        </w:rPr>
        <w:t>pla</w:t>
      </w:r>
      <w:r w:rsidR="00521C02" w:rsidRPr="00710B91">
        <w:rPr>
          <w:noProof/>
        </w:rPr>
        <w:t>nowaniem</w:t>
      </w:r>
      <w:r w:rsidR="00710B91" w:rsidRPr="00710B91">
        <w:rPr>
          <w:noProof/>
        </w:rPr>
        <w:t xml:space="preserve"> i</w:t>
      </w:r>
      <w:r w:rsidR="00710B91">
        <w:rPr>
          <w:noProof/>
        </w:rPr>
        <w:t> </w:t>
      </w:r>
      <w:r w:rsidR="00710B91" w:rsidRPr="00710B91">
        <w:rPr>
          <w:noProof/>
        </w:rPr>
        <w:t>kos</w:t>
      </w:r>
      <w:r w:rsidR="00521C02" w:rsidRPr="00710B91">
        <w:rPr>
          <w:noProof/>
        </w:rPr>
        <w:t>ztami, oraz uzasadnienia wszelkich rozbieżności.</w:t>
      </w:r>
    </w:p>
    <w:p w14:paraId="066243AE" w14:textId="27949A21" w:rsidR="00CA2C7C" w:rsidRPr="00710B91" w:rsidRDefault="009A08E9" w:rsidP="009A08E9">
      <w:pPr>
        <w:pStyle w:val="ManualNumPar1"/>
        <w:rPr>
          <w:rFonts w:eastAsia="Times New Roman"/>
          <w:bCs/>
          <w:noProof/>
          <w:szCs w:val="24"/>
        </w:rPr>
      </w:pPr>
      <w:r w:rsidRPr="009A08E9">
        <w:t>5.</w:t>
      </w:r>
      <w:r w:rsidRPr="009A08E9">
        <w:tab/>
      </w:r>
      <w:r w:rsidR="00521C02" w:rsidRPr="00710B91">
        <w:rPr>
          <w:noProof/>
        </w:rPr>
        <w:t>W przypadku modernizacji technicznej platformy współpracy zespołów JIT, która mogłaby powodować znaczące koszty, eu-LISA informuje Parlament Europejski</w:t>
      </w:r>
      <w:r w:rsidR="00710B91" w:rsidRPr="00710B91">
        <w:rPr>
          <w:noProof/>
        </w:rPr>
        <w:t xml:space="preserve"> i</w:t>
      </w:r>
      <w:r w:rsidR="00710B91">
        <w:rPr>
          <w:noProof/>
        </w:rPr>
        <w:t> </w:t>
      </w:r>
      <w:r w:rsidR="00710B91" w:rsidRPr="00710B91">
        <w:rPr>
          <w:noProof/>
        </w:rPr>
        <w:t>Rad</w:t>
      </w:r>
      <w:r w:rsidR="00521C02" w:rsidRPr="00710B91">
        <w:rPr>
          <w:noProof/>
        </w:rPr>
        <w:t>ę przed przeprowadzeniem takiej modernizacji.</w:t>
      </w:r>
    </w:p>
    <w:p w14:paraId="762AB4C7" w14:textId="472D153D" w:rsidR="00521C02" w:rsidRPr="00710B91" w:rsidRDefault="009A08E9" w:rsidP="009A08E9">
      <w:pPr>
        <w:pStyle w:val="ManualNumPar1"/>
        <w:rPr>
          <w:rFonts w:eastAsia="Times New Roman"/>
          <w:bCs/>
          <w:noProof/>
          <w:szCs w:val="24"/>
        </w:rPr>
      </w:pPr>
      <w:r w:rsidRPr="009A08E9">
        <w:t>6.</w:t>
      </w:r>
      <w:r w:rsidRPr="009A08E9">
        <w:tab/>
      </w:r>
      <w:r w:rsidR="00521C02" w:rsidRPr="00710B91">
        <w:rPr>
          <w:noProof/>
        </w:rPr>
        <w:t>Dwa lata po uruchomieniu platformy współpracy zespołów JIT,</w:t>
      </w:r>
      <w:r w:rsidR="00710B91" w:rsidRPr="00710B91">
        <w:rPr>
          <w:noProof/>
        </w:rPr>
        <w:t xml:space="preserve"> a</w:t>
      </w:r>
      <w:r w:rsidR="00710B91">
        <w:rPr>
          <w:noProof/>
        </w:rPr>
        <w:t> </w:t>
      </w:r>
      <w:r w:rsidR="00710B91" w:rsidRPr="00710B91">
        <w:rPr>
          <w:noProof/>
        </w:rPr>
        <w:t>tak</w:t>
      </w:r>
      <w:r w:rsidR="00521C02" w:rsidRPr="00710B91">
        <w:rPr>
          <w:noProof/>
        </w:rPr>
        <w:t>że co roku po tej dacie, eu-LISA przedkłada Komisji sprawozdanie dotyczące technicznego funkcjonowania platformy współpracy zespołów JIT,</w:t>
      </w:r>
      <w:r w:rsidR="00710B91" w:rsidRPr="00710B91">
        <w:rPr>
          <w:noProof/>
        </w:rPr>
        <w:t xml:space="preserve"> w</w:t>
      </w:r>
      <w:r w:rsidR="00710B91">
        <w:rPr>
          <w:noProof/>
        </w:rPr>
        <w:t> </w:t>
      </w:r>
      <w:r w:rsidR="00710B91" w:rsidRPr="00710B91">
        <w:rPr>
          <w:noProof/>
        </w:rPr>
        <w:t>tym</w:t>
      </w:r>
      <w:r w:rsidR="00521C02" w:rsidRPr="00710B91">
        <w:rPr>
          <w:noProof/>
        </w:rPr>
        <w:t xml:space="preserve"> jej bezpieczeństwa. </w:t>
      </w:r>
    </w:p>
    <w:p w14:paraId="5F66372B" w14:textId="5FFB4FB1" w:rsidR="00521C02" w:rsidRPr="00710B91" w:rsidRDefault="009A08E9" w:rsidP="009A08E9">
      <w:pPr>
        <w:pStyle w:val="ManualNumPar1"/>
        <w:rPr>
          <w:rFonts w:eastAsia="Times New Roman"/>
          <w:bCs/>
          <w:noProof/>
          <w:szCs w:val="24"/>
        </w:rPr>
      </w:pPr>
      <w:r w:rsidRPr="009A08E9">
        <w:t>7.</w:t>
      </w:r>
      <w:r w:rsidRPr="009A08E9">
        <w:tab/>
      </w:r>
      <w:r w:rsidR="00521C02" w:rsidRPr="00710B91">
        <w:rPr>
          <w:noProof/>
        </w:rPr>
        <w:t>Ponadto cztery lata po uruchomieniu platformy współpracy zespołów JIT,</w:t>
      </w:r>
      <w:r w:rsidR="00710B91" w:rsidRPr="00710B91">
        <w:rPr>
          <w:noProof/>
        </w:rPr>
        <w:t xml:space="preserve"> a</w:t>
      </w:r>
      <w:r w:rsidR="00710B91">
        <w:rPr>
          <w:noProof/>
        </w:rPr>
        <w:t> </w:t>
      </w:r>
      <w:r w:rsidR="00710B91" w:rsidRPr="00710B91">
        <w:rPr>
          <w:noProof/>
        </w:rPr>
        <w:t>tak</w:t>
      </w:r>
      <w:r w:rsidR="00521C02" w:rsidRPr="00710B91">
        <w:rPr>
          <w:noProof/>
        </w:rPr>
        <w:t>że co cztery lata po tej dacie, Komisja przeprowadza ogólną ocenę platformy współpracy zespołów JIT. Komisja przekazuje sprawozdanie</w:t>
      </w:r>
      <w:r w:rsidR="00710B91" w:rsidRPr="00710B91">
        <w:rPr>
          <w:noProof/>
        </w:rPr>
        <w:t xml:space="preserve"> z</w:t>
      </w:r>
      <w:r w:rsidR="00710B91">
        <w:rPr>
          <w:noProof/>
        </w:rPr>
        <w:t> </w:t>
      </w:r>
      <w:r w:rsidR="00710B91" w:rsidRPr="00710B91">
        <w:rPr>
          <w:noProof/>
        </w:rPr>
        <w:t>ogó</w:t>
      </w:r>
      <w:r w:rsidR="00521C02" w:rsidRPr="00710B91">
        <w:rPr>
          <w:noProof/>
        </w:rPr>
        <w:t>lnej oceny Parlamentowi Europejskiemu</w:t>
      </w:r>
      <w:r w:rsidR="00710B91" w:rsidRPr="00710B91">
        <w:rPr>
          <w:noProof/>
        </w:rPr>
        <w:t xml:space="preserve"> i</w:t>
      </w:r>
      <w:r w:rsidR="00710B91">
        <w:rPr>
          <w:noProof/>
        </w:rPr>
        <w:t> </w:t>
      </w:r>
      <w:r w:rsidR="00710B91" w:rsidRPr="00710B91">
        <w:rPr>
          <w:noProof/>
        </w:rPr>
        <w:t>Rad</w:t>
      </w:r>
      <w:r w:rsidR="00521C02" w:rsidRPr="00710B91">
        <w:rPr>
          <w:noProof/>
        </w:rPr>
        <w:t xml:space="preserve">zie. </w:t>
      </w:r>
    </w:p>
    <w:p w14:paraId="70695A71" w14:textId="67FFEB86" w:rsidR="00CA2C7C" w:rsidRPr="00710B91" w:rsidRDefault="009A08E9" w:rsidP="009A08E9">
      <w:pPr>
        <w:pStyle w:val="ManualNumPar1"/>
        <w:rPr>
          <w:rFonts w:eastAsia="Times New Roman"/>
          <w:bCs/>
          <w:noProof/>
          <w:szCs w:val="24"/>
        </w:rPr>
      </w:pPr>
      <w:r w:rsidRPr="009A08E9">
        <w:t>8.</w:t>
      </w:r>
      <w:r w:rsidRPr="009A08E9">
        <w:tab/>
      </w:r>
      <w:r w:rsidR="00521C02" w:rsidRPr="00710B91">
        <w:rPr>
          <w:noProof/>
        </w:rPr>
        <w:t>Właściwe organy państw członkowskich, Eurojust, Europol, Prokuratura Europejska, OLAF oraz inne właściwe organy</w:t>
      </w:r>
      <w:r w:rsidR="00710B91" w:rsidRPr="00710B91">
        <w:rPr>
          <w:noProof/>
        </w:rPr>
        <w:t xml:space="preserve"> i</w:t>
      </w:r>
      <w:r w:rsidR="00710B91">
        <w:rPr>
          <w:noProof/>
        </w:rPr>
        <w:t> </w:t>
      </w:r>
      <w:r w:rsidR="00710B91" w:rsidRPr="00710B91">
        <w:rPr>
          <w:noProof/>
        </w:rPr>
        <w:t>jed</w:t>
      </w:r>
      <w:r w:rsidR="00521C02" w:rsidRPr="00710B91">
        <w:rPr>
          <w:noProof/>
        </w:rPr>
        <w:t>nostki organizacyjne Unii przekazują eu-LISA</w:t>
      </w:r>
      <w:r w:rsidR="00710B91" w:rsidRPr="00710B91">
        <w:rPr>
          <w:noProof/>
        </w:rPr>
        <w:t xml:space="preserve"> i</w:t>
      </w:r>
      <w:r w:rsidR="00710B91">
        <w:rPr>
          <w:noProof/>
        </w:rPr>
        <w:t> </w:t>
      </w:r>
      <w:r w:rsidR="00710B91" w:rsidRPr="00710B91">
        <w:rPr>
          <w:noProof/>
        </w:rPr>
        <w:t>Kom</w:t>
      </w:r>
      <w:r w:rsidR="00521C02" w:rsidRPr="00710B91">
        <w:rPr>
          <w:noProof/>
        </w:rPr>
        <w:t>isji informacje niezbędne do przygotowania sprawozdań,</w:t>
      </w:r>
      <w:r w:rsidR="00710B91" w:rsidRPr="00710B91">
        <w:rPr>
          <w:noProof/>
        </w:rPr>
        <w:t xml:space="preserve"> o</w:t>
      </w:r>
      <w:r w:rsidR="00710B91">
        <w:rPr>
          <w:noProof/>
        </w:rPr>
        <w:t> </w:t>
      </w:r>
      <w:r w:rsidR="00710B91" w:rsidRPr="00710B91">
        <w:rPr>
          <w:noProof/>
        </w:rPr>
        <w:t>któ</w:t>
      </w:r>
      <w:r w:rsidR="00521C02" w:rsidRPr="00710B91">
        <w:rPr>
          <w:noProof/>
        </w:rPr>
        <w:t>rych mowa</w:t>
      </w:r>
      <w:r w:rsidR="00710B91" w:rsidRPr="00710B91">
        <w:rPr>
          <w:noProof/>
        </w:rPr>
        <w:t xml:space="preserve"> w</w:t>
      </w:r>
      <w:r w:rsidR="00710B91">
        <w:rPr>
          <w:noProof/>
        </w:rPr>
        <w:t> </w:t>
      </w:r>
      <w:r w:rsidR="00710B91" w:rsidRPr="00710B91">
        <w:rPr>
          <w:noProof/>
        </w:rPr>
        <w:t>ust</w:t>
      </w:r>
      <w:r w:rsidR="00521C02" w:rsidRPr="00710B91">
        <w:rPr>
          <w:noProof/>
        </w:rPr>
        <w:t>.</w:t>
      </w:r>
      <w:r w:rsidR="00710B91" w:rsidRPr="00710B91">
        <w:rPr>
          <w:noProof/>
        </w:rPr>
        <w:t> </w:t>
      </w:r>
      <w:r w:rsidR="00521C02" w:rsidRPr="00710B91">
        <w:rPr>
          <w:noProof/>
        </w:rPr>
        <w:t>4</w:t>
      </w:r>
      <w:r w:rsidR="00710B91" w:rsidRPr="00710B91">
        <w:rPr>
          <w:noProof/>
        </w:rPr>
        <w:t xml:space="preserve"> i</w:t>
      </w:r>
      <w:r w:rsidR="00710B91">
        <w:rPr>
          <w:noProof/>
        </w:rPr>
        <w:t> </w:t>
      </w:r>
      <w:r w:rsidR="00710B91" w:rsidRPr="00710B91">
        <w:rPr>
          <w:noProof/>
        </w:rPr>
        <w:t>7</w:t>
      </w:r>
      <w:r w:rsidR="00521C02" w:rsidRPr="00710B91">
        <w:rPr>
          <w:noProof/>
        </w:rPr>
        <w:t>. Informacje takie nie mogą stanowić zagrożenia dla metod pracy ani ujawniać informacji</w:t>
      </w:r>
      <w:r w:rsidR="00710B91" w:rsidRPr="00710B91">
        <w:rPr>
          <w:noProof/>
        </w:rPr>
        <w:t xml:space="preserve"> o</w:t>
      </w:r>
      <w:r w:rsidR="00710B91">
        <w:rPr>
          <w:noProof/>
        </w:rPr>
        <w:t> </w:t>
      </w:r>
      <w:r w:rsidR="00710B91" w:rsidRPr="00710B91">
        <w:rPr>
          <w:noProof/>
        </w:rPr>
        <w:t>źró</w:t>
      </w:r>
      <w:r w:rsidR="00521C02" w:rsidRPr="00710B91">
        <w:rPr>
          <w:noProof/>
        </w:rPr>
        <w:t xml:space="preserve">dłach, nazwiskach członków personelu lub postępowaniach przygotowawczych. </w:t>
      </w:r>
    </w:p>
    <w:p w14:paraId="378BD29B" w14:textId="374EE04E" w:rsidR="00521C02" w:rsidRPr="00710B91" w:rsidRDefault="009A08E9" w:rsidP="009A08E9">
      <w:pPr>
        <w:pStyle w:val="ManualNumPar1"/>
        <w:rPr>
          <w:rFonts w:eastAsia="Times New Roman"/>
          <w:bCs/>
          <w:noProof/>
          <w:szCs w:val="24"/>
        </w:rPr>
      </w:pPr>
      <w:r w:rsidRPr="009A08E9">
        <w:t>9.</w:t>
      </w:r>
      <w:r w:rsidRPr="009A08E9">
        <w:tab/>
      </w:r>
      <w:r w:rsidR="00521C02" w:rsidRPr="00710B91">
        <w:rPr>
          <w:noProof/>
        </w:rPr>
        <w:t>eu-LISA przekazuje Komisji informacje niezbędne do opracowania ogólnej oceny,</w:t>
      </w:r>
      <w:r w:rsidR="00710B91" w:rsidRPr="00710B91">
        <w:rPr>
          <w:noProof/>
        </w:rPr>
        <w:t xml:space="preserve"> o</w:t>
      </w:r>
      <w:r w:rsidR="00710B91">
        <w:rPr>
          <w:noProof/>
        </w:rPr>
        <w:t> </w:t>
      </w:r>
      <w:r w:rsidR="00710B91" w:rsidRPr="00710B91">
        <w:rPr>
          <w:noProof/>
        </w:rPr>
        <w:t>któ</w:t>
      </w:r>
      <w:r w:rsidR="00521C02" w:rsidRPr="00710B91">
        <w:rPr>
          <w:noProof/>
        </w:rPr>
        <w:t>rej mowa</w:t>
      </w:r>
      <w:r w:rsidR="00710B91" w:rsidRPr="00710B91">
        <w:rPr>
          <w:noProof/>
        </w:rPr>
        <w:t xml:space="preserve"> w</w:t>
      </w:r>
      <w:r w:rsidR="00710B91">
        <w:rPr>
          <w:noProof/>
        </w:rPr>
        <w:t> </w:t>
      </w:r>
      <w:r w:rsidR="00710B91" w:rsidRPr="00710B91">
        <w:rPr>
          <w:noProof/>
        </w:rPr>
        <w:t>ust</w:t>
      </w:r>
      <w:r w:rsidR="00521C02" w:rsidRPr="00710B91">
        <w:rPr>
          <w:noProof/>
        </w:rPr>
        <w:t>.</w:t>
      </w:r>
      <w:r w:rsidR="00710B91" w:rsidRPr="00710B91">
        <w:rPr>
          <w:noProof/>
        </w:rPr>
        <w:t> </w:t>
      </w:r>
      <w:r w:rsidR="00521C02" w:rsidRPr="00710B91">
        <w:rPr>
          <w:noProof/>
        </w:rPr>
        <w:t>7.</w:t>
      </w:r>
    </w:p>
    <w:p w14:paraId="1EA56C92" w14:textId="6652CB96" w:rsidR="00521C02" w:rsidRPr="00710B91" w:rsidRDefault="00521C02" w:rsidP="00DF6212">
      <w:pPr>
        <w:pStyle w:val="Titrearticle"/>
        <w:rPr>
          <w:noProof/>
        </w:rPr>
      </w:pPr>
      <w:r w:rsidRPr="00710B91">
        <w:rPr>
          <w:noProof/>
        </w:rPr>
        <w:t>Artykuł 23</w:t>
      </w:r>
    </w:p>
    <w:p w14:paraId="4B42EBF0" w14:textId="77777777" w:rsidR="00521C02" w:rsidRPr="00710B91" w:rsidRDefault="00521C02" w:rsidP="00521C02">
      <w:pPr>
        <w:shd w:val="clear" w:color="auto" w:fill="FFFFFF" w:themeFill="background1"/>
        <w:spacing w:before="60" w:line="312" w:lineRule="atLeast"/>
        <w:jc w:val="center"/>
        <w:rPr>
          <w:rFonts w:eastAsia="Times New Roman"/>
          <w:b/>
          <w:bCs/>
          <w:noProof/>
          <w:szCs w:val="24"/>
        </w:rPr>
      </w:pPr>
      <w:r w:rsidRPr="00710B91">
        <w:rPr>
          <w:b/>
          <w:bCs/>
          <w:noProof/>
          <w:szCs w:val="24"/>
        </w:rPr>
        <w:t>Koszty</w:t>
      </w:r>
    </w:p>
    <w:p w14:paraId="61623A4A" w14:textId="13FBBBB5" w:rsidR="00521C02" w:rsidRPr="00710B91" w:rsidRDefault="00521C02" w:rsidP="00521C02">
      <w:pPr>
        <w:shd w:val="clear" w:color="auto" w:fill="FFFFFF" w:themeFill="background1"/>
        <w:spacing w:after="0"/>
        <w:rPr>
          <w:rFonts w:eastAsia="Times New Roman"/>
          <w:noProof/>
          <w:szCs w:val="24"/>
        </w:rPr>
      </w:pPr>
      <w:r w:rsidRPr="00710B91">
        <w:rPr>
          <w:noProof/>
        </w:rPr>
        <w:t>Koszty poniesione</w:t>
      </w:r>
      <w:r w:rsidR="00710B91" w:rsidRPr="00710B91">
        <w:rPr>
          <w:noProof/>
        </w:rPr>
        <w:t xml:space="preserve"> w</w:t>
      </w:r>
      <w:r w:rsidR="00710B91">
        <w:rPr>
          <w:noProof/>
        </w:rPr>
        <w:t> </w:t>
      </w:r>
      <w:r w:rsidR="00710B91" w:rsidRPr="00710B91">
        <w:rPr>
          <w:noProof/>
        </w:rPr>
        <w:t>zwi</w:t>
      </w:r>
      <w:r w:rsidRPr="00710B91">
        <w:rPr>
          <w:noProof/>
        </w:rPr>
        <w:t>ązku</w:t>
      </w:r>
      <w:r w:rsidR="00710B91" w:rsidRPr="00710B91">
        <w:rPr>
          <w:noProof/>
        </w:rPr>
        <w:t xml:space="preserve"> z</w:t>
      </w:r>
      <w:r w:rsidR="00710B91">
        <w:rPr>
          <w:noProof/>
        </w:rPr>
        <w:t> </w:t>
      </w:r>
      <w:r w:rsidR="00710B91" w:rsidRPr="00710B91">
        <w:rPr>
          <w:noProof/>
        </w:rPr>
        <w:t>ust</w:t>
      </w:r>
      <w:r w:rsidRPr="00710B91">
        <w:rPr>
          <w:noProof/>
        </w:rPr>
        <w:t>anowieniem</w:t>
      </w:r>
      <w:r w:rsidR="00710B91" w:rsidRPr="00710B91">
        <w:rPr>
          <w:noProof/>
        </w:rPr>
        <w:t xml:space="preserve"> i</w:t>
      </w:r>
      <w:r w:rsidR="00710B91">
        <w:rPr>
          <w:noProof/>
        </w:rPr>
        <w:t> </w:t>
      </w:r>
      <w:r w:rsidR="00710B91" w:rsidRPr="00710B91">
        <w:rPr>
          <w:noProof/>
        </w:rPr>
        <w:t>fun</w:t>
      </w:r>
      <w:r w:rsidRPr="00710B91">
        <w:rPr>
          <w:noProof/>
        </w:rPr>
        <w:t>kcjonowaniem platformy współpracy zespołów JIT są pokrywane</w:t>
      </w:r>
      <w:r w:rsidR="00710B91" w:rsidRPr="00710B91">
        <w:rPr>
          <w:noProof/>
        </w:rPr>
        <w:t xml:space="preserve"> z</w:t>
      </w:r>
      <w:r w:rsidR="00710B91">
        <w:rPr>
          <w:noProof/>
        </w:rPr>
        <w:t> </w:t>
      </w:r>
      <w:r w:rsidR="00710B91" w:rsidRPr="00710B91">
        <w:rPr>
          <w:noProof/>
        </w:rPr>
        <w:t>bud</w:t>
      </w:r>
      <w:r w:rsidRPr="00710B91">
        <w:rPr>
          <w:noProof/>
        </w:rPr>
        <w:t>żetu ogólnego Unii.</w:t>
      </w:r>
    </w:p>
    <w:p w14:paraId="45491864" w14:textId="1B6974E6" w:rsidR="00521C02" w:rsidRPr="00710B91" w:rsidRDefault="00521C02" w:rsidP="00DF6212">
      <w:pPr>
        <w:pStyle w:val="Titrearticle"/>
        <w:rPr>
          <w:noProof/>
        </w:rPr>
      </w:pPr>
      <w:r w:rsidRPr="00710B91">
        <w:rPr>
          <w:noProof/>
        </w:rPr>
        <w:t>Artykuł 24</w:t>
      </w:r>
    </w:p>
    <w:p w14:paraId="20398F85" w14:textId="77777777" w:rsidR="00521C02" w:rsidRPr="00710B91" w:rsidRDefault="00521C02" w:rsidP="00521C02">
      <w:pPr>
        <w:shd w:val="clear" w:color="auto" w:fill="FFFFFF" w:themeFill="background1"/>
        <w:spacing w:before="60" w:line="312" w:lineRule="atLeast"/>
        <w:jc w:val="center"/>
        <w:rPr>
          <w:rFonts w:eastAsia="Times New Roman"/>
          <w:b/>
          <w:bCs/>
          <w:noProof/>
          <w:szCs w:val="24"/>
        </w:rPr>
      </w:pPr>
      <w:r w:rsidRPr="00710B91">
        <w:rPr>
          <w:b/>
          <w:bCs/>
          <w:noProof/>
          <w:szCs w:val="24"/>
        </w:rPr>
        <w:t>Uruchomienie systemu</w:t>
      </w:r>
    </w:p>
    <w:p w14:paraId="5B4396F7" w14:textId="402A7171" w:rsidR="00521C02" w:rsidRPr="00710B91" w:rsidRDefault="009A08E9" w:rsidP="009A08E9">
      <w:pPr>
        <w:pStyle w:val="ManualNumPar1"/>
        <w:rPr>
          <w:noProof/>
        </w:rPr>
      </w:pPr>
      <w:r w:rsidRPr="009A08E9">
        <w:t>1.</w:t>
      </w:r>
      <w:r w:rsidRPr="009A08E9">
        <w:tab/>
      </w:r>
      <w:r w:rsidR="00A31EEB" w:rsidRPr="00710B91">
        <w:rPr>
          <w:noProof/>
        </w:rPr>
        <w:t xml:space="preserve">Komisje ustali datę uruchomienia platformy współpracy zespołów JIT, gdy stwierdzi, że spełniono następujące warunki: </w:t>
      </w:r>
    </w:p>
    <w:p w14:paraId="4B035DAB" w14:textId="22F62ADF" w:rsidR="00C24D2B" w:rsidRPr="00710B91" w:rsidRDefault="00710B91" w:rsidP="00710B91">
      <w:pPr>
        <w:pStyle w:val="Point0"/>
        <w:rPr>
          <w:noProof/>
        </w:rPr>
      </w:pPr>
      <w:r w:rsidRPr="00710B91">
        <w:rPr>
          <w:noProof/>
        </w:rPr>
        <w:t>a)</w:t>
      </w:r>
      <w:r w:rsidRPr="00710B91">
        <w:rPr>
          <w:noProof/>
        </w:rPr>
        <w:tab/>
      </w:r>
      <w:r w:rsidR="00521C02" w:rsidRPr="00710B91">
        <w:rPr>
          <w:noProof/>
        </w:rPr>
        <w:t>przyjęto odpowiednie akty wykonawcze,</w:t>
      </w:r>
      <w:r w:rsidRPr="00710B91">
        <w:rPr>
          <w:noProof/>
        </w:rPr>
        <w:t xml:space="preserve"> o</w:t>
      </w:r>
      <w:r>
        <w:rPr>
          <w:noProof/>
        </w:rPr>
        <w:t> </w:t>
      </w:r>
      <w:r w:rsidRPr="00710B91">
        <w:rPr>
          <w:noProof/>
        </w:rPr>
        <w:t>któ</w:t>
      </w:r>
      <w:r w:rsidR="00521C02" w:rsidRPr="00710B91">
        <w:rPr>
          <w:noProof/>
        </w:rPr>
        <w:t>rych mowa</w:t>
      </w:r>
      <w:r w:rsidRPr="00710B91">
        <w:rPr>
          <w:noProof/>
        </w:rPr>
        <w:t xml:space="preserve"> w</w:t>
      </w:r>
      <w:r>
        <w:rPr>
          <w:noProof/>
        </w:rPr>
        <w:t> </w:t>
      </w:r>
      <w:r w:rsidRPr="00710B91">
        <w:rPr>
          <w:noProof/>
        </w:rPr>
        <w:t>art</w:t>
      </w:r>
      <w:r w:rsidR="00521C02" w:rsidRPr="00710B91">
        <w:rPr>
          <w:noProof/>
        </w:rPr>
        <w:t>. 6;</w:t>
      </w:r>
    </w:p>
    <w:p w14:paraId="5B2D3E17" w14:textId="4C2B5012" w:rsidR="0073437D" w:rsidRPr="00710B91" w:rsidRDefault="00710B91" w:rsidP="00710B91">
      <w:pPr>
        <w:pStyle w:val="Point0"/>
        <w:rPr>
          <w:noProof/>
        </w:rPr>
      </w:pPr>
      <w:r w:rsidRPr="00710B91">
        <w:rPr>
          <w:noProof/>
        </w:rPr>
        <w:t>b)</w:t>
      </w:r>
      <w:r w:rsidRPr="00710B91">
        <w:rPr>
          <w:noProof/>
        </w:rPr>
        <w:tab/>
      </w:r>
      <w:r w:rsidR="00521C02" w:rsidRPr="00710B91">
        <w:rPr>
          <w:noProof/>
        </w:rPr>
        <w:t>eu-LISA przeprowadziła, we współpracy</w:t>
      </w:r>
      <w:r w:rsidRPr="00710B91">
        <w:rPr>
          <w:noProof/>
        </w:rPr>
        <w:t xml:space="preserve"> z</w:t>
      </w:r>
      <w:r>
        <w:rPr>
          <w:noProof/>
        </w:rPr>
        <w:t> </w:t>
      </w:r>
      <w:r w:rsidRPr="00710B91">
        <w:rPr>
          <w:noProof/>
        </w:rPr>
        <w:t>pań</w:t>
      </w:r>
      <w:r w:rsidR="00521C02" w:rsidRPr="00710B91">
        <w:rPr>
          <w:noProof/>
        </w:rPr>
        <w:t>stwami członkowskimi, kompleksowy test platformy współpracy zespołów JIT wykorzystując anonimowe dane testowe.</w:t>
      </w:r>
    </w:p>
    <w:p w14:paraId="71B3D171" w14:textId="4E2D6FE5" w:rsidR="0073437D" w:rsidRPr="00710B91" w:rsidRDefault="009A08E9" w:rsidP="009A08E9">
      <w:pPr>
        <w:pStyle w:val="ManualNumPar1"/>
        <w:rPr>
          <w:noProof/>
        </w:rPr>
      </w:pPr>
      <w:r w:rsidRPr="009A08E9">
        <w:t>2.</w:t>
      </w:r>
      <w:r w:rsidRPr="009A08E9">
        <w:tab/>
      </w:r>
      <w:r w:rsidR="00521C02" w:rsidRPr="00710B91">
        <w:rPr>
          <w:noProof/>
        </w:rPr>
        <w:t>Po ustaleniu przez Komisję daty uruchomienia systemu, zgodnie</w:t>
      </w:r>
      <w:r w:rsidR="00710B91" w:rsidRPr="00710B91">
        <w:rPr>
          <w:noProof/>
        </w:rPr>
        <w:t xml:space="preserve"> z</w:t>
      </w:r>
      <w:r w:rsidR="00710B91">
        <w:rPr>
          <w:noProof/>
        </w:rPr>
        <w:t> </w:t>
      </w:r>
      <w:r w:rsidR="00710B91" w:rsidRPr="00710B91">
        <w:rPr>
          <w:noProof/>
        </w:rPr>
        <w:t>ust</w:t>
      </w:r>
      <w:r w:rsidR="00521C02" w:rsidRPr="00710B91">
        <w:rPr>
          <w:noProof/>
        </w:rPr>
        <w:t>.</w:t>
      </w:r>
      <w:r w:rsidR="00710B91" w:rsidRPr="00710B91">
        <w:rPr>
          <w:noProof/>
        </w:rPr>
        <w:t> </w:t>
      </w:r>
      <w:r w:rsidR="00521C02" w:rsidRPr="00710B91">
        <w:rPr>
          <w:noProof/>
        </w:rPr>
        <w:t>1, poinformuje</w:t>
      </w:r>
      <w:r w:rsidR="00710B91" w:rsidRPr="00710B91">
        <w:rPr>
          <w:noProof/>
        </w:rPr>
        <w:t xml:space="preserve"> o</w:t>
      </w:r>
      <w:r w:rsidR="00710B91">
        <w:rPr>
          <w:noProof/>
        </w:rPr>
        <w:t> </w:t>
      </w:r>
      <w:r w:rsidR="00710B91" w:rsidRPr="00710B91">
        <w:rPr>
          <w:noProof/>
        </w:rPr>
        <w:t>tej</w:t>
      </w:r>
      <w:r w:rsidR="00521C02" w:rsidRPr="00710B91">
        <w:rPr>
          <w:noProof/>
        </w:rPr>
        <w:t xml:space="preserve"> dacie państwa członkowskie, Eurojust, Europol, Prokuraturę Europejską oraz OLAF. </w:t>
      </w:r>
    </w:p>
    <w:p w14:paraId="1A76DB22" w14:textId="615D2A52" w:rsidR="0073437D" w:rsidRPr="00710B91" w:rsidRDefault="009A08E9" w:rsidP="009A08E9">
      <w:pPr>
        <w:pStyle w:val="ManualNumPar1"/>
        <w:rPr>
          <w:noProof/>
        </w:rPr>
      </w:pPr>
      <w:r w:rsidRPr="009A08E9">
        <w:t>3.</w:t>
      </w:r>
      <w:r w:rsidRPr="009A08E9">
        <w:tab/>
      </w:r>
      <w:r w:rsidR="0073437D" w:rsidRPr="00710B91">
        <w:rPr>
          <w:noProof/>
        </w:rPr>
        <w:t>Decyzję Komisji ustalająca datę uruchomienia platformy współpracy zespołów JIT,</w:t>
      </w:r>
      <w:r w:rsidR="00710B91" w:rsidRPr="00710B91">
        <w:rPr>
          <w:noProof/>
        </w:rPr>
        <w:t xml:space="preserve"> o</w:t>
      </w:r>
      <w:r w:rsidR="00710B91">
        <w:rPr>
          <w:noProof/>
        </w:rPr>
        <w:t> </w:t>
      </w:r>
      <w:r w:rsidR="00710B91" w:rsidRPr="00710B91">
        <w:rPr>
          <w:noProof/>
        </w:rPr>
        <w:t>któ</w:t>
      </w:r>
      <w:r w:rsidR="0073437D" w:rsidRPr="00710B91">
        <w:rPr>
          <w:noProof/>
        </w:rPr>
        <w:t>rej mowa</w:t>
      </w:r>
      <w:r w:rsidR="00710B91" w:rsidRPr="00710B91">
        <w:rPr>
          <w:noProof/>
        </w:rPr>
        <w:t xml:space="preserve"> w</w:t>
      </w:r>
      <w:r w:rsidR="00710B91">
        <w:rPr>
          <w:noProof/>
        </w:rPr>
        <w:t> </w:t>
      </w:r>
      <w:r w:rsidR="00710B91" w:rsidRPr="00710B91">
        <w:rPr>
          <w:noProof/>
        </w:rPr>
        <w:t>ust</w:t>
      </w:r>
      <w:r w:rsidR="0073437D" w:rsidRPr="00710B91">
        <w:rPr>
          <w:noProof/>
        </w:rPr>
        <w:t>.</w:t>
      </w:r>
      <w:r w:rsidR="00710B91" w:rsidRPr="00710B91">
        <w:rPr>
          <w:noProof/>
        </w:rPr>
        <w:t> </w:t>
      </w:r>
      <w:r w:rsidR="0073437D" w:rsidRPr="00710B91">
        <w:rPr>
          <w:noProof/>
        </w:rPr>
        <w:t>1, publikuje się</w:t>
      </w:r>
      <w:r w:rsidR="00710B91" w:rsidRPr="00710B91">
        <w:rPr>
          <w:noProof/>
        </w:rPr>
        <w:t xml:space="preserve"> w</w:t>
      </w:r>
      <w:r w:rsidR="00710B91">
        <w:rPr>
          <w:noProof/>
        </w:rPr>
        <w:t> </w:t>
      </w:r>
      <w:r w:rsidR="00710B91" w:rsidRPr="00710B91">
        <w:rPr>
          <w:i/>
          <w:iCs/>
          <w:noProof/>
        </w:rPr>
        <w:t>Dzi</w:t>
      </w:r>
      <w:r w:rsidR="0073437D" w:rsidRPr="00710B91">
        <w:rPr>
          <w:i/>
          <w:iCs/>
          <w:noProof/>
        </w:rPr>
        <w:t>enniku Urzędowym Unii Europejskiej</w:t>
      </w:r>
      <w:r w:rsidR="0073437D" w:rsidRPr="00710B91">
        <w:rPr>
          <w:noProof/>
        </w:rPr>
        <w:t>.</w:t>
      </w:r>
    </w:p>
    <w:p w14:paraId="5CC15D39" w14:textId="07BFBA5D" w:rsidR="00521C02" w:rsidRPr="00710B91" w:rsidRDefault="009A08E9" w:rsidP="009A08E9">
      <w:pPr>
        <w:pStyle w:val="ManualNumPar1"/>
        <w:rPr>
          <w:noProof/>
        </w:rPr>
      </w:pPr>
      <w:r w:rsidRPr="009A08E9">
        <w:t>4.</w:t>
      </w:r>
      <w:r w:rsidRPr="009A08E9">
        <w:tab/>
      </w:r>
      <w:r w:rsidR="00521C02" w:rsidRPr="00710B91">
        <w:rPr>
          <w:noProof/>
        </w:rPr>
        <w:t>Użytkownicy platformy współpracy zespołów JIT rozpoczynają korzystanie</w:t>
      </w:r>
      <w:r w:rsidR="00710B91" w:rsidRPr="00710B91">
        <w:rPr>
          <w:noProof/>
        </w:rPr>
        <w:t xml:space="preserve"> z</w:t>
      </w:r>
      <w:r w:rsidR="00710B91">
        <w:rPr>
          <w:noProof/>
        </w:rPr>
        <w:t> </w:t>
      </w:r>
      <w:r w:rsidR="00710B91" w:rsidRPr="00710B91">
        <w:rPr>
          <w:noProof/>
        </w:rPr>
        <w:t>pla</w:t>
      </w:r>
      <w:r w:rsidR="00521C02" w:rsidRPr="00710B91">
        <w:rPr>
          <w:noProof/>
        </w:rPr>
        <w:t>tformy współpracy zespołów JIT od dnia ustalonego przez Komisję zgodnie</w:t>
      </w:r>
      <w:r w:rsidR="00710B91" w:rsidRPr="00710B91">
        <w:rPr>
          <w:noProof/>
        </w:rPr>
        <w:t xml:space="preserve"> z</w:t>
      </w:r>
      <w:r w:rsidR="00710B91">
        <w:rPr>
          <w:noProof/>
        </w:rPr>
        <w:t> </w:t>
      </w:r>
      <w:r w:rsidR="00710B91" w:rsidRPr="00710B91">
        <w:rPr>
          <w:noProof/>
        </w:rPr>
        <w:t>ust</w:t>
      </w:r>
      <w:r w:rsidR="00521C02" w:rsidRPr="00710B91">
        <w:rPr>
          <w:noProof/>
        </w:rPr>
        <w:t>.</w:t>
      </w:r>
      <w:r w:rsidR="00710B91" w:rsidRPr="00710B91">
        <w:rPr>
          <w:noProof/>
        </w:rPr>
        <w:t> </w:t>
      </w:r>
      <w:r w:rsidR="00521C02" w:rsidRPr="00710B91">
        <w:rPr>
          <w:noProof/>
        </w:rPr>
        <w:t>1.</w:t>
      </w:r>
    </w:p>
    <w:p w14:paraId="25EB00C4" w14:textId="7EAB4213" w:rsidR="00CA2C7C" w:rsidRPr="00710B91" w:rsidRDefault="00CA2C7C" w:rsidP="00CA2C7C">
      <w:pPr>
        <w:pStyle w:val="Titrearticle"/>
        <w:rPr>
          <w:noProof/>
        </w:rPr>
      </w:pPr>
      <w:r w:rsidRPr="00710B91">
        <w:rPr>
          <w:noProof/>
        </w:rPr>
        <w:t>Artykuł 25</w:t>
      </w:r>
    </w:p>
    <w:p w14:paraId="438917D9" w14:textId="77777777" w:rsidR="00CA2C7C" w:rsidRPr="00710B91" w:rsidRDefault="00CA2C7C" w:rsidP="00CA2C7C">
      <w:pPr>
        <w:shd w:val="clear" w:color="auto" w:fill="FFFFFF" w:themeFill="background1"/>
        <w:spacing w:before="60" w:line="312" w:lineRule="atLeast"/>
        <w:jc w:val="center"/>
        <w:rPr>
          <w:rFonts w:eastAsia="Times New Roman"/>
          <w:b/>
          <w:bCs/>
          <w:noProof/>
          <w:szCs w:val="24"/>
        </w:rPr>
      </w:pPr>
      <w:r w:rsidRPr="00710B91">
        <w:rPr>
          <w:b/>
          <w:bCs/>
          <w:noProof/>
          <w:szCs w:val="24"/>
        </w:rPr>
        <w:t xml:space="preserve">Procedura komitetowa </w:t>
      </w:r>
    </w:p>
    <w:p w14:paraId="7D64C5F5" w14:textId="51D8DDBF" w:rsidR="00CA2C7C" w:rsidRPr="00710B91" w:rsidRDefault="009A08E9" w:rsidP="009A08E9">
      <w:pPr>
        <w:pStyle w:val="ManualNumPar1"/>
        <w:rPr>
          <w:rFonts w:eastAsia="Times New Roman"/>
          <w:bCs/>
          <w:noProof/>
          <w:szCs w:val="24"/>
        </w:rPr>
      </w:pPr>
      <w:r w:rsidRPr="009A08E9">
        <w:t>1.</w:t>
      </w:r>
      <w:r w:rsidRPr="009A08E9">
        <w:tab/>
      </w:r>
      <w:r w:rsidR="00CA2C7C" w:rsidRPr="00710B91">
        <w:rPr>
          <w:noProof/>
        </w:rPr>
        <w:t>Komisję wspomaga komitet. Komitet ten jest komitetem</w:t>
      </w:r>
      <w:r w:rsidR="00710B91" w:rsidRPr="00710B91">
        <w:rPr>
          <w:noProof/>
        </w:rPr>
        <w:t xml:space="preserve"> w</w:t>
      </w:r>
      <w:r w:rsidR="00710B91">
        <w:rPr>
          <w:noProof/>
        </w:rPr>
        <w:t> </w:t>
      </w:r>
      <w:r w:rsidR="00710B91" w:rsidRPr="00710B91">
        <w:rPr>
          <w:noProof/>
        </w:rPr>
        <w:t>roz</w:t>
      </w:r>
      <w:r w:rsidR="00CA2C7C" w:rsidRPr="00710B91">
        <w:rPr>
          <w:noProof/>
        </w:rPr>
        <w:t>umieniu rozporządzenia (UE) nr</w:t>
      </w:r>
      <w:r w:rsidR="00710B91" w:rsidRPr="00710B91">
        <w:rPr>
          <w:noProof/>
        </w:rPr>
        <w:t> </w:t>
      </w:r>
      <w:r w:rsidR="00CA2C7C" w:rsidRPr="00710B91">
        <w:rPr>
          <w:noProof/>
        </w:rPr>
        <w:t xml:space="preserve">182/2011. </w:t>
      </w:r>
    </w:p>
    <w:p w14:paraId="1E0B37F3" w14:textId="442EC8C4" w:rsidR="00CA2C7C" w:rsidRPr="00710B91" w:rsidRDefault="009A08E9" w:rsidP="009A08E9">
      <w:pPr>
        <w:pStyle w:val="ManualNumPar1"/>
        <w:rPr>
          <w:rFonts w:eastAsia="Times New Roman"/>
          <w:bCs/>
          <w:noProof/>
          <w:szCs w:val="24"/>
        </w:rPr>
      </w:pPr>
      <w:r w:rsidRPr="009A08E9">
        <w:t>2.</w:t>
      </w:r>
      <w:r w:rsidRPr="009A08E9">
        <w:tab/>
      </w:r>
      <w:r w:rsidR="00CA2C7C" w:rsidRPr="00710B91">
        <w:rPr>
          <w:noProof/>
        </w:rPr>
        <w:t xml:space="preserve">W przypadku odesłania do niniejszego artykułu stosuje się art. 5 rozporządzenia (UE) nr 182/2011. </w:t>
      </w:r>
    </w:p>
    <w:p w14:paraId="2F6E2724" w14:textId="6BAF6E7E" w:rsidR="00CA2C7C" w:rsidRPr="00710B91" w:rsidRDefault="009A08E9" w:rsidP="009A08E9">
      <w:pPr>
        <w:pStyle w:val="ManualNumPar1"/>
        <w:rPr>
          <w:noProof/>
        </w:rPr>
      </w:pPr>
      <w:r w:rsidRPr="009A08E9">
        <w:t>3.</w:t>
      </w:r>
      <w:r w:rsidRPr="009A08E9">
        <w:tab/>
      </w:r>
      <w:r w:rsidR="00CA2C7C" w:rsidRPr="00710B91">
        <w:rPr>
          <w:noProof/>
        </w:rPr>
        <w:t>W przypadku gdy komitet nie wyda żadnej opinii, Komisja nie przyjmuje projektu aktu wykonawczego</w:t>
      </w:r>
      <w:r w:rsidR="00710B91" w:rsidRPr="00710B91">
        <w:rPr>
          <w:noProof/>
        </w:rPr>
        <w:t xml:space="preserve"> i</w:t>
      </w:r>
      <w:r w:rsidR="00710B91">
        <w:rPr>
          <w:noProof/>
        </w:rPr>
        <w:t> </w:t>
      </w:r>
      <w:r w:rsidR="00710B91" w:rsidRPr="00710B91">
        <w:rPr>
          <w:noProof/>
        </w:rPr>
        <w:t>sto</w:t>
      </w:r>
      <w:r w:rsidR="00CA2C7C" w:rsidRPr="00710B91">
        <w:rPr>
          <w:noProof/>
        </w:rPr>
        <w:t>suje się art.</w:t>
      </w:r>
      <w:r w:rsidR="00710B91" w:rsidRPr="00710B91">
        <w:rPr>
          <w:noProof/>
        </w:rPr>
        <w:t> </w:t>
      </w:r>
      <w:r w:rsidR="00CA2C7C" w:rsidRPr="00710B91">
        <w:rPr>
          <w:noProof/>
        </w:rPr>
        <w:t>5 ust.</w:t>
      </w:r>
      <w:r w:rsidR="00710B91" w:rsidRPr="00710B91">
        <w:rPr>
          <w:noProof/>
        </w:rPr>
        <w:t> </w:t>
      </w:r>
      <w:r w:rsidR="00CA2C7C" w:rsidRPr="00710B91">
        <w:rPr>
          <w:noProof/>
        </w:rPr>
        <w:t>4 akapit trzeci rozporządzenia (UE) nr 182/2011.</w:t>
      </w:r>
    </w:p>
    <w:p w14:paraId="425FAE41" w14:textId="77777777" w:rsidR="00CA2C7C" w:rsidRPr="00710B91" w:rsidRDefault="00CA2C7C" w:rsidP="00CA2C7C">
      <w:pPr>
        <w:pStyle w:val="Titrearticle"/>
        <w:rPr>
          <w:noProof/>
        </w:rPr>
      </w:pPr>
      <w:r w:rsidRPr="00710B91">
        <w:rPr>
          <w:noProof/>
        </w:rPr>
        <w:t>Artykuł 26</w:t>
      </w:r>
    </w:p>
    <w:p w14:paraId="6BACBBC4" w14:textId="77777777" w:rsidR="00CA2C7C" w:rsidRPr="00710B91" w:rsidRDefault="00CA2C7C" w:rsidP="00CA2C7C">
      <w:pPr>
        <w:shd w:val="clear" w:color="auto" w:fill="FFFFFF" w:themeFill="background1"/>
        <w:spacing w:after="0" w:line="312" w:lineRule="atLeast"/>
        <w:jc w:val="center"/>
        <w:rPr>
          <w:rFonts w:eastAsia="Times New Roman"/>
          <w:b/>
          <w:iCs/>
          <w:noProof/>
          <w:szCs w:val="24"/>
        </w:rPr>
      </w:pPr>
      <w:r w:rsidRPr="00710B91">
        <w:rPr>
          <w:b/>
          <w:iCs/>
          <w:noProof/>
          <w:szCs w:val="24"/>
        </w:rPr>
        <w:t>Zmiana rozporządzenia (UE) 2018/1726</w:t>
      </w:r>
    </w:p>
    <w:p w14:paraId="5CAC4B55" w14:textId="77777777" w:rsidR="00CA2C7C" w:rsidRPr="00710B91" w:rsidRDefault="00CA2C7C" w:rsidP="00CA2C7C">
      <w:pPr>
        <w:shd w:val="clear" w:color="auto" w:fill="FFFFFF" w:themeFill="background1"/>
        <w:spacing w:line="312" w:lineRule="atLeast"/>
        <w:rPr>
          <w:rFonts w:eastAsia="Times New Roman"/>
          <w:noProof/>
          <w:szCs w:val="24"/>
        </w:rPr>
      </w:pPr>
      <w:r w:rsidRPr="00710B91">
        <w:rPr>
          <w:noProof/>
        </w:rPr>
        <w:t>W rozporządzeniu (UE) 2018/1726 wprowadza się następujące zmiany:</w:t>
      </w:r>
    </w:p>
    <w:p w14:paraId="58D2E2E7" w14:textId="50F590C7" w:rsidR="00CA2C7C" w:rsidRPr="00710B91" w:rsidRDefault="00CA2C7C" w:rsidP="00CA2C7C">
      <w:pPr>
        <w:shd w:val="clear" w:color="auto" w:fill="FFFFFF" w:themeFill="background1"/>
        <w:spacing w:line="312" w:lineRule="atLeast"/>
        <w:rPr>
          <w:rFonts w:eastAsia="Times New Roman"/>
          <w:noProof/>
          <w:szCs w:val="24"/>
        </w:rPr>
      </w:pPr>
      <w:r w:rsidRPr="00710B91">
        <w:rPr>
          <w:noProof/>
        </w:rPr>
        <w:t>1)</w:t>
      </w:r>
      <w:r w:rsidR="00710B91" w:rsidRPr="00710B91">
        <w:rPr>
          <w:noProof/>
        </w:rPr>
        <w:t xml:space="preserve"> w</w:t>
      </w:r>
      <w:r w:rsidR="00710B91">
        <w:rPr>
          <w:noProof/>
        </w:rPr>
        <w:t> </w:t>
      </w:r>
      <w:r w:rsidR="00710B91" w:rsidRPr="00710B91">
        <w:rPr>
          <w:noProof/>
        </w:rPr>
        <w:t>art</w:t>
      </w:r>
      <w:r w:rsidRPr="00710B91">
        <w:rPr>
          <w:noProof/>
        </w:rPr>
        <w:t>.</w:t>
      </w:r>
      <w:r w:rsidR="00710B91" w:rsidRPr="00710B91">
        <w:rPr>
          <w:noProof/>
        </w:rPr>
        <w:t> </w:t>
      </w:r>
      <w:r w:rsidRPr="00710B91">
        <w:rPr>
          <w:noProof/>
        </w:rPr>
        <w:t>1 dodaje się ust.</w:t>
      </w:r>
      <w:r w:rsidR="00710B91" w:rsidRPr="00710B91">
        <w:rPr>
          <w:noProof/>
        </w:rPr>
        <w:t> </w:t>
      </w:r>
      <w:r w:rsidRPr="00710B91">
        <w:rPr>
          <w:noProof/>
        </w:rPr>
        <w:t>4a</w:t>
      </w:r>
      <w:r w:rsidR="00710B91" w:rsidRPr="00710B91">
        <w:rPr>
          <w:noProof/>
        </w:rPr>
        <w:t xml:space="preserve"> w</w:t>
      </w:r>
      <w:r w:rsidR="00710B91">
        <w:rPr>
          <w:noProof/>
        </w:rPr>
        <w:t> </w:t>
      </w:r>
      <w:r w:rsidR="00710B91" w:rsidRPr="00710B91">
        <w:rPr>
          <w:noProof/>
        </w:rPr>
        <w:t>brz</w:t>
      </w:r>
      <w:r w:rsidRPr="00710B91">
        <w:rPr>
          <w:noProof/>
        </w:rPr>
        <w:t>mieniu:</w:t>
      </w:r>
    </w:p>
    <w:p w14:paraId="2D57AEC1" w14:textId="229C3998" w:rsidR="00CA2C7C" w:rsidRPr="00710B91" w:rsidRDefault="00CA2C7C" w:rsidP="00CA2C7C">
      <w:pPr>
        <w:shd w:val="clear" w:color="auto" w:fill="FFFFFF" w:themeFill="background1"/>
        <w:spacing w:line="312" w:lineRule="atLeast"/>
        <w:rPr>
          <w:rFonts w:eastAsia="Times New Roman"/>
          <w:noProof/>
          <w:szCs w:val="24"/>
        </w:rPr>
      </w:pPr>
      <w:r w:rsidRPr="00710B91">
        <w:rPr>
          <w:noProof/>
        </w:rPr>
        <w:t>„4a. Agencja odpowiada za rozwijanie platformy współpracy wspólnych zespołów dochodzeniowo-śledczych („JIT”)</w:t>
      </w:r>
      <w:r w:rsidR="00710B91" w:rsidRPr="00710B91">
        <w:rPr>
          <w:noProof/>
        </w:rPr>
        <w:t xml:space="preserve"> i</w:t>
      </w:r>
      <w:r w:rsidR="00710B91">
        <w:rPr>
          <w:noProof/>
        </w:rPr>
        <w:t> </w:t>
      </w:r>
      <w:r w:rsidR="00710B91" w:rsidRPr="00710B91">
        <w:rPr>
          <w:noProof/>
        </w:rPr>
        <w:t>zar</w:t>
      </w:r>
      <w:r w:rsidRPr="00710B91">
        <w:rPr>
          <w:noProof/>
        </w:rPr>
        <w:t>ządzanie operacyjne tą platformą,</w:t>
      </w:r>
      <w:r w:rsidR="00710B91" w:rsidRPr="00710B91">
        <w:rPr>
          <w:noProof/>
        </w:rPr>
        <w:t xml:space="preserve"> w</w:t>
      </w:r>
      <w:r w:rsidR="00710B91">
        <w:rPr>
          <w:noProof/>
        </w:rPr>
        <w:t> </w:t>
      </w:r>
      <w:r w:rsidR="00710B91" w:rsidRPr="00710B91">
        <w:rPr>
          <w:noProof/>
        </w:rPr>
        <w:t>tym</w:t>
      </w:r>
      <w:r w:rsidRPr="00710B91">
        <w:rPr>
          <w:noProof/>
        </w:rPr>
        <w:t xml:space="preserve"> za zmiany techniczne.”;</w:t>
      </w:r>
    </w:p>
    <w:p w14:paraId="17D7FF1A" w14:textId="31EDA5AB" w:rsidR="00CA2C7C" w:rsidRPr="00710B91" w:rsidRDefault="00CA2C7C" w:rsidP="00CA2C7C">
      <w:pPr>
        <w:shd w:val="clear" w:color="auto" w:fill="FFFFFF" w:themeFill="background1"/>
        <w:spacing w:line="312" w:lineRule="atLeast"/>
        <w:rPr>
          <w:rFonts w:eastAsia="Times New Roman"/>
          <w:noProof/>
          <w:szCs w:val="24"/>
        </w:rPr>
      </w:pPr>
      <w:r w:rsidRPr="00710B91">
        <w:rPr>
          <w:noProof/>
        </w:rPr>
        <w:t>2) dodaje się art.</w:t>
      </w:r>
      <w:r w:rsidR="00710B91" w:rsidRPr="00710B91">
        <w:rPr>
          <w:noProof/>
        </w:rPr>
        <w:t> </w:t>
      </w:r>
      <w:r w:rsidRPr="00710B91">
        <w:rPr>
          <w:noProof/>
        </w:rPr>
        <w:t>8b</w:t>
      </w:r>
      <w:r w:rsidR="00710B91" w:rsidRPr="00710B91">
        <w:rPr>
          <w:noProof/>
        </w:rPr>
        <w:t xml:space="preserve"> w</w:t>
      </w:r>
      <w:r w:rsidR="00710B91">
        <w:rPr>
          <w:noProof/>
        </w:rPr>
        <w:t> </w:t>
      </w:r>
      <w:r w:rsidR="00710B91" w:rsidRPr="00710B91">
        <w:rPr>
          <w:noProof/>
        </w:rPr>
        <w:t>brz</w:t>
      </w:r>
      <w:r w:rsidRPr="00710B91">
        <w:rPr>
          <w:noProof/>
        </w:rPr>
        <w:t>mieniu:</w:t>
      </w:r>
    </w:p>
    <w:p w14:paraId="54624BE1" w14:textId="77777777" w:rsidR="00CA2C7C" w:rsidRPr="00710B91" w:rsidRDefault="00CA2C7C" w:rsidP="00CA2C7C">
      <w:pPr>
        <w:shd w:val="clear" w:color="auto" w:fill="FFFFFF" w:themeFill="background1"/>
        <w:spacing w:line="312" w:lineRule="atLeast"/>
        <w:jc w:val="center"/>
        <w:rPr>
          <w:rFonts w:eastAsia="Times New Roman"/>
          <w:noProof/>
          <w:szCs w:val="24"/>
        </w:rPr>
      </w:pPr>
      <w:r w:rsidRPr="00710B91">
        <w:rPr>
          <w:noProof/>
        </w:rPr>
        <w:t>„</w:t>
      </w:r>
      <w:r w:rsidRPr="00710B91">
        <w:rPr>
          <w:i/>
          <w:noProof/>
          <w:szCs w:val="24"/>
        </w:rPr>
        <w:t>Artykuł 8b</w:t>
      </w:r>
    </w:p>
    <w:p w14:paraId="5A05E2DC" w14:textId="389054EA" w:rsidR="00CA2C7C" w:rsidRPr="00710B91" w:rsidRDefault="00CA2C7C" w:rsidP="00CA2C7C">
      <w:pPr>
        <w:shd w:val="clear" w:color="auto" w:fill="FFFFFF" w:themeFill="background1"/>
        <w:spacing w:line="312" w:lineRule="atLeast"/>
        <w:jc w:val="center"/>
        <w:rPr>
          <w:rFonts w:eastAsia="Times New Roman"/>
          <w:b/>
          <w:noProof/>
          <w:szCs w:val="24"/>
        </w:rPr>
      </w:pPr>
      <w:r w:rsidRPr="00710B91">
        <w:rPr>
          <w:b/>
          <w:noProof/>
          <w:szCs w:val="24"/>
        </w:rPr>
        <w:t>Zadania związane</w:t>
      </w:r>
      <w:r w:rsidR="00710B91" w:rsidRPr="00710B91">
        <w:rPr>
          <w:b/>
          <w:noProof/>
          <w:szCs w:val="24"/>
        </w:rPr>
        <w:t xml:space="preserve"> z</w:t>
      </w:r>
      <w:r w:rsidR="00710B91">
        <w:rPr>
          <w:b/>
          <w:noProof/>
          <w:szCs w:val="24"/>
        </w:rPr>
        <w:t> </w:t>
      </w:r>
      <w:r w:rsidR="00710B91" w:rsidRPr="00710B91">
        <w:rPr>
          <w:b/>
          <w:noProof/>
          <w:szCs w:val="24"/>
        </w:rPr>
        <w:t>pla</w:t>
      </w:r>
      <w:r w:rsidRPr="00710B91">
        <w:rPr>
          <w:b/>
          <w:noProof/>
          <w:szCs w:val="24"/>
        </w:rPr>
        <w:t>tformą współpracy zespołów JIT</w:t>
      </w:r>
    </w:p>
    <w:p w14:paraId="2EDCEFE2" w14:textId="77777777" w:rsidR="00CA2C7C" w:rsidRPr="00710B91" w:rsidRDefault="00CA2C7C" w:rsidP="00CA2C7C">
      <w:pPr>
        <w:shd w:val="clear" w:color="auto" w:fill="FFFFFF" w:themeFill="background1"/>
        <w:spacing w:line="312" w:lineRule="atLeast"/>
        <w:rPr>
          <w:rFonts w:eastAsia="Times New Roman"/>
          <w:noProof/>
          <w:szCs w:val="24"/>
        </w:rPr>
      </w:pPr>
      <w:r w:rsidRPr="00710B91">
        <w:rPr>
          <w:noProof/>
        </w:rPr>
        <w:t>W odniesieniu do platformy współpracy zespołów JIT Agencja wykonuje:</w:t>
      </w:r>
    </w:p>
    <w:p w14:paraId="6CEB8265" w14:textId="461A78CB" w:rsidR="00CA2C7C" w:rsidRPr="00710B91" w:rsidRDefault="00CA2C7C" w:rsidP="00CA2C7C">
      <w:pPr>
        <w:shd w:val="clear" w:color="auto" w:fill="FFFFFF" w:themeFill="background1"/>
        <w:spacing w:line="312" w:lineRule="atLeast"/>
        <w:rPr>
          <w:rFonts w:eastAsia="Times New Roman"/>
          <w:noProof/>
          <w:szCs w:val="24"/>
        </w:rPr>
      </w:pPr>
      <w:r w:rsidRPr="00710B91">
        <w:rPr>
          <w:noProof/>
        </w:rPr>
        <w:t>a) zadania powierzone jej na mocy rozporządzenia Parlamentu Europejskiego</w:t>
      </w:r>
      <w:r w:rsidR="00710B91" w:rsidRPr="00710B91">
        <w:rPr>
          <w:noProof/>
        </w:rPr>
        <w:t xml:space="preserve"> i</w:t>
      </w:r>
      <w:r w:rsidR="00710B91">
        <w:rPr>
          <w:noProof/>
        </w:rPr>
        <w:t> </w:t>
      </w:r>
      <w:r w:rsidR="00710B91" w:rsidRPr="00710B91">
        <w:rPr>
          <w:noProof/>
        </w:rPr>
        <w:t>Rad</w:t>
      </w:r>
      <w:r w:rsidRPr="00710B91">
        <w:rPr>
          <w:noProof/>
        </w:rPr>
        <w:t>y (UE) XXX/20XX*;</w:t>
      </w:r>
    </w:p>
    <w:p w14:paraId="21F65FF8" w14:textId="3ADD534D" w:rsidR="00CA2C7C" w:rsidRPr="00710B91" w:rsidRDefault="00CA2C7C" w:rsidP="00CA2C7C">
      <w:pPr>
        <w:shd w:val="clear" w:color="auto" w:fill="FFFFFF" w:themeFill="background1"/>
        <w:spacing w:line="312" w:lineRule="atLeast"/>
        <w:rPr>
          <w:rFonts w:eastAsia="Times New Roman"/>
          <w:noProof/>
          <w:szCs w:val="24"/>
        </w:rPr>
      </w:pPr>
      <w:r w:rsidRPr="00710B91">
        <w:rPr>
          <w:noProof/>
        </w:rPr>
        <w:t>b) zadania związane ze szkoleniem</w:t>
      </w:r>
      <w:r w:rsidR="00710B91" w:rsidRPr="00710B91">
        <w:rPr>
          <w:noProof/>
        </w:rPr>
        <w:t xml:space="preserve"> w</w:t>
      </w:r>
      <w:r w:rsidR="00710B91">
        <w:rPr>
          <w:noProof/>
        </w:rPr>
        <w:t> </w:t>
      </w:r>
      <w:r w:rsidR="00710B91" w:rsidRPr="00710B91">
        <w:rPr>
          <w:noProof/>
        </w:rPr>
        <w:t>zak</w:t>
      </w:r>
      <w:r w:rsidRPr="00710B91">
        <w:rPr>
          <w:noProof/>
        </w:rPr>
        <w:t>resie technicznego użytkowania platformy współpracy zespołów JIT,</w:t>
      </w:r>
      <w:r w:rsidR="00710B91" w:rsidRPr="00710B91">
        <w:rPr>
          <w:noProof/>
        </w:rPr>
        <w:t xml:space="preserve"> w</w:t>
      </w:r>
      <w:r w:rsidR="00710B91">
        <w:rPr>
          <w:noProof/>
        </w:rPr>
        <w:t> </w:t>
      </w:r>
      <w:r w:rsidR="00710B91" w:rsidRPr="00710B91">
        <w:rPr>
          <w:noProof/>
        </w:rPr>
        <w:t>tym z</w:t>
      </w:r>
      <w:r w:rsidR="00710B91">
        <w:rPr>
          <w:noProof/>
        </w:rPr>
        <w:t> </w:t>
      </w:r>
      <w:r w:rsidR="00710B91" w:rsidRPr="00710B91">
        <w:rPr>
          <w:noProof/>
        </w:rPr>
        <w:t>zap</w:t>
      </w:r>
      <w:r w:rsidRPr="00710B91">
        <w:rPr>
          <w:noProof/>
        </w:rPr>
        <w:t>ewnianiem materiałów szkoleniowych online.</w:t>
      </w:r>
    </w:p>
    <w:p w14:paraId="03CC6991" w14:textId="370307B8" w:rsidR="00CA2C7C" w:rsidRPr="00710B91" w:rsidRDefault="00CA2C7C" w:rsidP="00CA2C7C">
      <w:pPr>
        <w:pStyle w:val="ListParagraph"/>
        <w:shd w:val="clear" w:color="auto" w:fill="FFFFFF" w:themeFill="background1"/>
        <w:spacing w:before="120" w:line="312" w:lineRule="atLeast"/>
        <w:ind w:left="1069"/>
        <w:rPr>
          <w:rFonts w:ascii="Times New Roman" w:eastAsia="Times New Roman" w:hAnsi="Times New Roman" w:cs="Times New Roman"/>
          <w:noProof/>
          <w:sz w:val="24"/>
          <w:szCs w:val="24"/>
        </w:rPr>
      </w:pPr>
      <w:r w:rsidRPr="00710B91">
        <w:rPr>
          <w:rFonts w:ascii="Times New Roman" w:hAnsi="Times New Roman"/>
          <w:noProof/>
          <w:sz w:val="24"/>
          <w:szCs w:val="24"/>
        </w:rPr>
        <w:t>__________</w:t>
      </w:r>
    </w:p>
    <w:p w14:paraId="53FA8331" w14:textId="2038BCF0" w:rsidR="00CA2C7C" w:rsidRPr="00710B91" w:rsidRDefault="00CA2C7C" w:rsidP="00CA2C7C">
      <w:pPr>
        <w:pStyle w:val="ListParagraph"/>
        <w:shd w:val="clear" w:color="auto" w:fill="FFFFFF" w:themeFill="background1"/>
        <w:spacing w:before="120" w:line="312" w:lineRule="atLeast"/>
        <w:ind w:left="1069"/>
        <w:rPr>
          <w:rFonts w:ascii="Times New Roman" w:eastAsia="Times New Roman" w:hAnsi="Times New Roman" w:cs="Times New Roman"/>
          <w:noProof/>
          <w:sz w:val="24"/>
          <w:szCs w:val="24"/>
        </w:rPr>
      </w:pPr>
      <w:r w:rsidRPr="00710B91">
        <w:rPr>
          <w:rFonts w:ascii="Times New Roman" w:hAnsi="Times New Roman"/>
          <w:noProof/>
          <w:sz w:val="24"/>
          <w:szCs w:val="24"/>
        </w:rPr>
        <w:t>*</w:t>
      </w:r>
      <w:r w:rsidRPr="00710B91">
        <w:rPr>
          <w:noProof/>
        </w:rPr>
        <w:t xml:space="preserve"> </w:t>
      </w:r>
      <w:r w:rsidRPr="00710B91">
        <w:rPr>
          <w:rFonts w:ascii="Times New Roman" w:hAnsi="Times New Roman"/>
          <w:noProof/>
          <w:sz w:val="24"/>
          <w:szCs w:val="24"/>
        </w:rPr>
        <w:t>Rozporządzenie Parlamentu Europejskiego</w:t>
      </w:r>
      <w:r w:rsidR="00710B91" w:rsidRPr="00710B91">
        <w:rPr>
          <w:rFonts w:ascii="Times New Roman" w:hAnsi="Times New Roman"/>
          <w:noProof/>
          <w:sz w:val="24"/>
          <w:szCs w:val="24"/>
        </w:rPr>
        <w:t xml:space="preserve"> i</w:t>
      </w:r>
      <w:r w:rsidR="00710B91">
        <w:rPr>
          <w:rFonts w:ascii="Times New Roman" w:hAnsi="Times New Roman"/>
          <w:noProof/>
          <w:sz w:val="24"/>
          <w:szCs w:val="24"/>
        </w:rPr>
        <w:t> </w:t>
      </w:r>
      <w:r w:rsidR="00710B91" w:rsidRPr="00710B91">
        <w:rPr>
          <w:rFonts w:ascii="Times New Roman" w:hAnsi="Times New Roman"/>
          <w:noProof/>
          <w:sz w:val="24"/>
          <w:szCs w:val="24"/>
        </w:rPr>
        <w:t>Rad</w:t>
      </w:r>
      <w:r w:rsidRPr="00710B91">
        <w:rPr>
          <w:rFonts w:ascii="Times New Roman" w:hAnsi="Times New Roman"/>
          <w:noProof/>
          <w:sz w:val="24"/>
          <w:szCs w:val="24"/>
        </w:rPr>
        <w:t>y (UE) XXX/20XX ustanawiające scentralizowaną platformę współpracy mającą na celu wspieranie funkcjonowania wspólnych zespołów dochodzeniowo-śledczych</w:t>
      </w:r>
      <w:r w:rsidR="00710B91" w:rsidRPr="00710B91">
        <w:rPr>
          <w:rFonts w:ascii="Times New Roman" w:hAnsi="Times New Roman"/>
          <w:noProof/>
          <w:sz w:val="24"/>
          <w:szCs w:val="24"/>
        </w:rPr>
        <w:t xml:space="preserve"> i</w:t>
      </w:r>
      <w:r w:rsidR="00710B91">
        <w:rPr>
          <w:rFonts w:ascii="Times New Roman" w:hAnsi="Times New Roman"/>
          <w:noProof/>
          <w:sz w:val="24"/>
          <w:szCs w:val="24"/>
        </w:rPr>
        <w:t> </w:t>
      </w:r>
      <w:r w:rsidR="00710B91" w:rsidRPr="00710B91">
        <w:rPr>
          <w:rFonts w:ascii="Times New Roman" w:hAnsi="Times New Roman"/>
          <w:noProof/>
          <w:sz w:val="24"/>
          <w:szCs w:val="24"/>
        </w:rPr>
        <w:t>zmi</w:t>
      </w:r>
      <w:r w:rsidRPr="00710B91">
        <w:rPr>
          <w:rFonts w:ascii="Times New Roman" w:hAnsi="Times New Roman"/>
          <w:noProof/>
          <w:sz w:val="24"/>
          <w:szCs w:val="24"/>
        </w:rPr>
        <w:t>eniające rozporządzenie (UE) 2018/1726 (Dz.U. L [...] z [...], s. [...]).”;</w:t>
      </w:r>
      <w:r w:rsidRPr="00710B91">
        <w:rPr>
          <w:noProof/>
        </w:rPr>
        <w:t xml:space="preserve"> </w:t>
      </w:r>
    </w:p>
    <w:p w14:paraId="4C87CC63" w14:textId="5DFFEB0C" w:rsidR="00CA2C7C" w:rsidRPr="00710B91" w:rsidRDefault="00CA2C7C" w:rsidP="00CA2C7C">
      <w:pPr>
        <w:shd w:val="clear" w:color="auto" w:fill="FFFFFF" w:themeFill="background1"/>
        <w:spacing w:line="312" w:lineRule="atLeast"/>
        <w:rPr>
          <w:rFonts w:eastAsia="Times New Roman"/>
          <w:noProof/>
          <w:szCs w:val="24"/>
        </w:rPr>
      </w:pPr>
      <w:r w:rsidRPr="00710B91">
        <w:rPr>
          <w:noProof/>
        </w:rPr>
        <w:t>3) art.</w:t>
      </w:r>
      <w:r w:rsidR="00710B91" w:rsidRPr="00710B91">
        <w:rPr>
          <w:noProof/>
        </w:rPr>
        <w:t> </w:t>
      </w:r>
      <w:r w:rsidRPr="00710B91">
        <w:rPr>
          <w:noProof/>
        </w:rPr>
        <w:t>14 ust.</w:t>
      </w:r>
      <w:r w:rsidR="00710B91" w:rsidRPr="00710B91">
        <w:rPr>
          <w:noProof/>
        </w:rPr>
        <w:t> </w:t>
      </w:r>
      <w:r w:rsidRPr="00710B91">
        <w:rPr>
          <w:noProof/>
        </w:rPr>
        <w:t>1 otrzymuje brzmienie:</w:t>
      </w:r>
    </w:p>
    <w:p w14:paraId="10B8C6C9" w14:textId="16180606" w:rsidR="00CA2C7C" w:rsidRPr="00710B91" w:rsidRDefault="00CA2C7C" w:rsidP="00CA2C7C">
      <w:pPr>
        <w:shd w:val="clear" w:color="auto" w:fill="FFFFFF" w:themeFill="background1"/>
        <w:spacing w:line="312" w:lineRule="atLeast"/>
        <w:rPr>
          <w:rFonts w:eastAsia="Times New Roman"/>
          <w:noProof/>
          <w:szCs w:val="24"/>
        </w:rPr>
      </w:pPr>
      <w:r w:rsidRPr="00710B91">
        <w:rPr>
          <w:noProof/>
        </w:rPr>
        <w:t>„1. Agencja monitoruje rozwój prac badawczych istotnych dla zarządzania operacyjnego systemami SIS II, VIS, Eurodac, EES, ETIAS, DubliNet, ECRIS-TCN, e-CODEX, platformą współpracy zespołów JIT oraz innymi wielkoskalowymi systemami informatycznymi,</w:t>
      </w:r>
      <w:r w:rsidR="00710B91" w:rsidRPr="00710B91">
        <w:rPr>
          <w:noProof/>
        </w:rPr>
        <w:t xml:space="preserve"> o</w:t>
      </w:r>
      <w:r w:rsidR="00710B91">
        <w:rPr>
          <w:noProof/>
        </w:rPr>
        <w:t> </w:t>
      </w:r>
      <w:r w:rsidR="00710B91" w:rsidRPr="00710B91">
        <w:rPr>
          <w:noProof/>
        </w:rPr>
        <w:t>któ</w:t>
      </w:r>
      <w:r w:rsidRPr="00710B91">
        <w:rPr>
          <w:noProof/>
        </w:rPr>
        <w:t>rych mowa</w:t>
      </w:r>
      <w:r w:rsidR="00710B91" w:rsidRPr="00710B91">
        <w:rPr>
          <w:noProof/>
        </w:rPr>
        <w:t xml:space="preserve"> w</w:t>
      </w:r>
      <w:r w:rsidR="00710B91">
        <w:rPr>
          <w:noProof/>
        </w:rPr>
        <w:t> </w:t>
      </w:r>
      <w:r w:rsidR="00710B91" w:rsidRPr="00710B91">
        <w:rPr>
          <w:noProof/>
        </w:rPr>
        <w:t>art</w:t>
      </w:r>
      <w:r w:rsidRPr="00710B91">
        <w:rPr>
          <w:noProof/>
        </w:rPr>
        <w:t>.</w:t>
      </w:r>
      <w:r w:rsidR="00710B91" w:rsidRPr="00710B91">
        <w:rPr>
          <w:noProof/>
        </w:rPr>
        <w:t> </w:t>
      </w:r>
      <w:r w:rsidRPr="00710B91">
        <w:rPr>
          <w:noProof/>
        </w:rPr>
        <w:t>1 ust.</w:t>
      </w:r>
      <w:r w:rsidR="00710B91" w:rsidRPr="00710B91">
        <w:rPr>
          <w:noProof/>
        </w:rPr>
        <w:t> </w:t>
      </w:r>
      <w:r w:rsidRPr="00710B91">
        <w:rPr>
          <w:noProof/>
        </w:rPr>
        <w:t>5.”;</w:t>
      </w:r>
    </w:p>
    <w:p w14:paraId="1BAED82D" w14:textId="79DA7522" w:rsidR="00CA2C7C" w:rsidRPr="00710B91" w:rsidRDefault="00CA2C7C" w:rsidP="00CA2C7C">
      <w:pPr>
        <w:shd w:val="clear" w:color="auto" w:fill="FFFFFF" w:themeFill="background1"/>
        <w:spacing w:line="312" w:lineRule="atLeast"/>
        <w:rPr>
          <w:rFonts w:eastAsia="Times New Roman"/>
          <w:noProof/>
          <w:szCs w:val="24"/>
        </w:rPr>
      </w:pPr>
      <w:r w:rsidRPr="00710B91">
        <w:rPr>
          <w:noProof/>
        </w:rPr>
        <w:t>4) art.</w:t>
      </w:r>
      <w:r w:rsidR="00710B91" w:rsidRPr="00710B91">
        <w:rPr>
          <w:noProof/>
        </w:rPr>
        <w:t> </w:t>
      </w:r>
      <w:r w:rsidRPr="00710B91">
        <w:rPr>
          <w:noProof/>
        </w:rPr>
        <w:t>19 ust.</w:t>
      </w:r>
      <w:r w:rsidR="00710B91" w:rsidRPr="00710B91">
        <w:rPr>
          <w:noProof/>
        </w:rPr>
        <w:t> </w:t>
      </w:r>
      <w:r w:rsidRPr="00710B91">
        <w:rPr>
          <w:noProof/>
        </w:rPr>
        <w:t>1 lit. ff) otrzymuje brzmienie:</w:t>
      </w:r>
    </w:p>
    <w:p w14:paraId="1DA7F0F2" w14:textId="77777777" w:rsidR="00CA2C7C" w:rsidRPr="00710B91" w:rsidRDefault="00CA2C7C" w:rsidP="00CA2C7C">
      <w:pPr>
        <w:shd w:val="clear" w:color="auto" w:fill="FFFFFF" w:themeFill="background1"/>
        <w:spacing w:line="312" w:lineRule="atLeast"/>
        <w:rPr>
          <w:rFonts w:eastAsia="Times New Roman"/>
          <w:noProof/>
          <w:szCs w:val="24"/>
        </w:rPr>
      </w:pPr>
      <w:r w:rsidRPr="00710B91">
        <w:rPr>
          <w:noProof/>
        </w:rPr>
        <w:t>„ff) przyjmuje sprawozdania dotyczące technicznego funkcjonowania:</w:t>
      </w:r>
    </w:p>
    <w:p w14:paraId="4ED3290A" w14:textId="17359F6E" w:rsidR="00CA2C7C" w:rsidRPr="00710B91" w:rsidRDefault="00CA2C7C" w:rsidP="00CA2C7C">
      <w:pPr>
        <w:shd w:val="clear" w:color="auto" w:fill="FFFFFF" w:themeFill="background1"/>
        <w:spacing w:line="312" w:lineRule="atLeast"/>
        <w:rPr>
          <w:rFonts w:eastAsia="Times New Roman"/>
          <w:noProof/>
          <w:szCs w:val="24"/>
        </w:rPr>
      </w:pPr>
      <w:r w:rsidRPr="00710B91">
        <w:rPr>
          <w:noProof/>
        </w:rPr>
        <w:t>(i) systemu SIS – na podstawie art.</w:t>
      </w:r>
      <w:r w:rsidR="00710B91" w:rsidRPr="00710B91">
        <w:rPr>
          <w:noProof/>
        </w:rPr>
        <w:t> </w:t>
      </w:r>
      <w:r w:rsidRPr="00710B91">
        <w:rPr>
          <w:noProof/>
        </w:rPr>
        <w:t>60 ust.</w:t>
      </w:r>
      <w:r w:rsidR="00710B91" w:rsidRPr="00710B91">
        <w:rPr>
          <w:noProof/>
        </w:rPr>
        <w:t> </w:t>
      </w:r>
      <w:r w:rsidRPr="00710B91">
        <w:rPr>
          <w:noProof/>
        </w:rPr>
        <w:t>7 rozporządzenia Parlamentu Europejskiego</w:t>
      </w:r>
      <w:r w:rsidR="00710B91" w:rsidRPr="00710B91">
        <w:rPr>
          <w:noProof/>
        </w:rPr>
        <w:t xml:space="preserve"> i</w:t>
      </w:r>
      <w:r w:rsidR="00710B91">
        <w:rPr>
          <w:noProof/>
        </w:rPr>
        <w:t> </w:t>
      </w:r>
      <w:r w:rsidR="00710B91" w:rsidRPr="00710B91">
        <w:rPr>
          <w:noProof/>
        </w:rPr>
        <w:t>Rad</w:t>
      </w:r>
      <w:r w:rsidRPr="00710B91">
        <w:rPr>
          <w:noProof/>
        </w:rPr>
        <w:t>y (UE) 2018/1861* oraz art.</w:t>
      </w:r>
      <w:r w:rsidR="00710B91" w:rsidRPr="00710B91">
        <w:rPr>
          <w:noProof/>
        </w:rPr>
        <w:t> </w:t>
      </w:r>
      <w:r w:rsidRPr="00710B91">
        <w:rPr>
          <w:noProof/>
        </w:rPr>
        <w:t>74 ust.</w:t>
      </w:r>
      <w:r w:rsidR="00710B91" w:rsidRPr="00710B91">
        <w:rPr>
          <w:noProof/>
        </w:rPr>
        <w:t> </w:t>
      </w:r>
      <w:r w:rsidRPr="00710B91">
        <w:rPr>
          <w:noProof/>
        </w:rPr>
        <w:t>8 rozporządzenia Parlamentu Europejskiego</w:t>
      </w:r>
      <w:r w:rsidR="00710B91" w:rsidRPr="00710B91">
        <w:rPr>
          <w:noProof/>
        </w:rPr>
        <w:t xml:space="preserve"> i</w:t>
      </w:r>
      <w:r w:rsidR="00710B91">
        <w:rPr>
          <w:noProof/>
        </w:rPr>
        <w:t> </w:t>
      </w:r>
      <w:r w:rsidR="00710B91" w:rsidRPr="00710B91">
        <w:rPr>
          <w:noProof/>
        </w:rPr>
        <w:t>Rad</w:t>
      </w:r>
      <w:r w:rsidRPr="00710B91">
        <w:rPr>
          <w:noProof/>
        </w:rPr>
        <w:t>y (UE) 2018/1862**;</w:t>
      </w:r>
    </w:p>
    <w:p w14:paraId="15DA3628" w14:textId="15E559A6" w:rsidR="00CA2C7C" w:rsidRPr="00710B91" w:rsidRDefault="00CA2C7C" w:rsidP="00CA2C7C">
      <w:pPr>
        <w:shd w:val="clear" w:color="auto" w:fill="FFFFFF" w:themeFill="background1"/>
        <w:spacing w:line="312" w:lineRule="atLeast"/>
        <w:rPr>
          <w:rFonts w:eastAsia="Times New Roman"/>
          <w:noProof/>
          <w:szCs w:val="24"/>
        </w:rPr>
      </w:pPr>
      <w:r w:rsidRPr="00710B91">
        <w:rPr>
          <w:noProof/>
        </w:rPr>
        <w:t>(ii) systemu VIS – na podstawie art.</w:t>
      </w:r>
      <w:r w:rsidR="00710B91" w:rsidRPr="00710B91">
        <w:rPr>
          <w:noProof/>
        </w:rPr>
        <w:t> </w:t>
      </w:r>
      <w:r w:rsidRPr="00710B91">
        <w:rPr>
          <w:noProof/>
        </w:rPr>
        <w:t>50 ust.</w:t>
      </w:r>
      <w:r w:rsidR="00710B91" w:rsidRPr="00710B91">
        <w:rPr>
          <w:noProof/>
        </w:rPr>
        <w:t> </w:t>
      </w:r>
      <w:r w:rsidRPr="00710B91">
        <w:rPr>
          <w:noProof/>
        </w:rPr>
        <w:t>3 rozporządzenia (WE) nr</w:t>
      </w:r>
      <w:r w:rsidR="00710B91" w:rsidRPr="00710B91">
        <w:rPr>
          <w:noProof/>
        </w:rPr>
        <w:t> </w:t>
      </w:r>
      <w:r w:rsidRPr="00710B91">
        <w:rPr>
          <w:noProof/>
        </w:rPr>
        <w:t>767/2008</w:t>
      </w:r>
      <w:r w:rsidR="00710B91" w:rsidRPr="00710B91">
        <w:rPr>
          <w:noProof/>
        </w:rPr>
        <w:t xml:space="preserve"> i</w:t>
      </w:r>
      <w:r w:rsidR="00710B91">
        <w:rPr>
          <w:noProof/>
        </w:rPr>
        <w:t> </w:t>
      </w:r>
      <w:r w:rsidR="00710B91" w:rsidRPr="00710B91">
        <w:rPr>
          <w:noProof/>
        </w:rPr>
        <w:t>art</w:t>
      </w:r>
      <w:r w:rsidRPr="00710B91">
        <w:rPr>
          <w:noProof/>
        </w:rPr>
        <w:t>.</w:t>
      </w:r>
      <w:r w:rsidR="00710B91" w:rsidRPr="00710B91">
        <w:rPr>
          <w:noProof/>
        </w:rPr>
        <w:t> </w:t>
      </w:r>
      <w:r w:rsidRPr="00710B91">
        <w:rPr>
          <w:noProof/>
        </w:rPr>
        <w:t>17 ust.</w:t>
      </w:r>
      <w:r w:rsidR="00710B91" w:rsidRPr="00710B91">
        <w:rPr>
          <w:noProof/>
        </w:rPr>
        <w:t> </w:t>
      </w:r>
      <w:r w:rsidRPr="00710B91">
        <w:rPr>
          <w:noProof/>
        </w:rPr>
        <w:t>3 decyzji 2008/633/WSiSW;</w:t>
      </w:r>
    </w:p>
    <w:p w14:paraId="6F5C67FB" w14:textId="52691516" w:rsidR="00CA2C7C" w:rsidRPr="00710B91" w:rsidRDefault="00CA2C7C" w:rsidP="00CA2C7C">
      <w:pPr>
        <w:shd w:val="clear" w:color="auto" w:fill="FFFFFF" w:themeFill="background1"/>
        <w:spacing w:line="312" w:lineRule="atLeast"/>
        <w:rPr>
          <w:rFonts w:eastAsia="Times New Roman"/>
          <w:noProof/>
          <w:szCs w:val="24"/>
        </w:rPr>
      </w:pPr>
      <w:r w:rsidRPr="00710B91">
        <w:rPr>
          <w:noProof/>
        </w:rPr>
        <w:t>(iii) systemu EES – na podstawie art.</w:t>
      </w:r>
      <w:r w:rsidR="00710B91" w:rsidRPr="00710B91">
        <w:rPr>
          <w:noProof/>
        </w:rPr>
        <w:t> </w:t>
      </w:r>
      <w:r w:rsidRPr="00710B91">
        <w:rPr>
          <w:noProof/>
        </w:rPr>
        <w:t>72 ust.</w:t>
      </w:r>
      <w:r w:rsidR="00710B91" w:rsidRPr="00710B91">
        <w:rPr>
          <w:noProof/>
        </w:rPr>
        <w:t> </w:t>
      </w:r>
      <w:r w:rsidRPr="00710B91">
        <w:rPr>
          <w:noProof/>
        </w:rPr>
        <w:t>4 rozporządzenia (UE) 2017/2226;</w:t>
      </w:r>
    </w:p>
    <w:p w14:paraId="470E0504" w14:textId="251541C8" w:rsidR="00CA2C7C" w:rsidRPr="00710B91" w:rsidRDefault="00CA2C7C" w:rsidP="00CA2C7C">
      <w:pPr>
        <w:shd w:val="clear" w:color="auto" w:fill="FFFFFF" w:themeFill="background1"/>
        <w:spacing w:line="312" w:lineRule="atLeast"/>
        <w:rPr>
          <w:rFonts w:eastAsia="Times New Roman"/>
          <w:noProof/>
          <w:szCs w:val="24"/>
        </w:rPr>
      </w:pPr>
      <w:r w:rsidRPr="00710B91">
        <w:rPr>
          <w:noProof/>
        </w:rPr>
        <w:t>(iv) systemu ETIAS – na podstawie art.</w:t>
      </w:r>
      <w:r w:rsidR="00710B91" w:rsidRPr="00710B91">
        <w:rPr>
          <w:noProof/>
        </w:rPr>
        <w:t> </w:t>
      </w:r>
      <w:r w:rsidRPr="00710B91">
        <w:rPr>
          <w:noProof/>
        </w:rPr>
        <w:t>92 ust.</w:t>
      </w:r>
      <w:r w:rsidR="00710B91" w:rsidRPr="00710B91">
        <w:rPr>
          <w:noProof/>
        </w:rPr>
        <w:t> </w:t>
      </w:r>
      <w:r w:rsidRPr="00710B91">
        <w:rPr>
          <w:noProof/>
        </w:rPr>
        <w:t>4 rozporządzenia (UE) 2018/1240;</w:t>
      </w:r>
    </w:p>
    <w:p w14:paraId="7FE3359A" w14:textId="759B43FD" w:rsidR="00CA2C7C" w:rsidRPr="00710B91" w:rsidRDefault="00CA2C7C" w:rsidP="00CA2C7C">
      <w:pPr>
        <w:shd w:val="clear" w:color="auto" w:fill="FFFFFF" w:themeFill="background1"/>
        <w:spacing w:line="312" w:lineRule="atLeast"/>
        <w:rPr>
          <w:rFonts w:eastAsia="Times New Roman"/>
          <w:noProof/>
          <w:szCs w:val="24"/>
        </w:rPr>
      </w:pPr>
      <w:r w:rsidRPr="00710B91">
        <w:rPr>
          <w:noProof/>
        </w:rPr>
        <w:t>(v) systemu ECRIS-TCN</w:t>
      </w:r>
      <w:r w:rsidR="00710B91" w:rsidRPr="00710B91">
        <w:rPr>
          <w:noProof/>
        </w:rPr>
        <w:t xml:space="preserve"> i</w:t>
      </w:r>
      <w:r w:rsidR="00710B91">
        <w:rPr>
          <w:noProof/>
        </w:rPr>
        <w:t> </w:t>
      </w:r>
      <w:r w:rsidR="00710B91" w:rsidRPr="00710B91">
        <w:rPr>
          <w:noProof/>
        </w:rPr>
        <w:t>opr</w:t>
      </w:r>
      <w:r w:rsidRPr="00710B91">
        <w:rPr>
          <w:noProof/>
        </w:rPr>
        <w:t>ogramowania wzorcowego ECRIS – na podstawie art.</w:t>
      </w:r>
      <w:r w:rsidR="00710B91" w:rsidRPr="00710B91">
        <w:rPr>
          <w:noProof/>
        </w:rPr>
        <w:t> </w:t>
      </w:r>
      <w:r w:rsidRPr="00710B91">
        <w:rPr>
          <w:noProof/>
        </w:rPr>
        <w:t>36 ust.</w:t>
      </w:r>
      <w:r w:rsidR="00710B91" w:rsidRPr="00710B91">
        <w:rPr>
          <w:noProof/>
        </w:rPr>
        <w:t> </w:t>
      </w:r>
      <w:r w:rsidRPr="00710B91">
        <w:rPr>
          <w:noProof/>
        </w:rPr>
        <w:t>8 rozporządzenia Parlamentu Europejskiego</w:t>
      </w:r>
      <w:r w:rsidR="00710B91" w:rsidRPr="00710B91">
        <w:rPr>
          <w:noProof/>
        </w:rPr>
        <w:t xml:space="preserve"> i</w:t>
      </w:r>
      <w:r w:rsidR="00710B91">
        <w:rPr>
          <w:noProof/>
        </w:rPr>
        <w:t> </w:t>
      </w:r>
      <w:r w:rsidR="00710B91" w:rsidRPr="00710B91">
        <w:rPr>
          <w:noProof/>
        </w:rPr>
        <w:t>Rad</w:t>
      </w:r>
      <w:r w:rsidRPr="00710B91">
        <w:rPr>
          <w:noProof/>
        </w:rPr>
        <w:t>y (UE) 2019/816***;</w:t>
      </w:r>
    </w:p>
    <w:p w14:paraId="4A8C5C44" w14:textId="44D5C748" w:rsidR="00CA2C7C" w:rsidRPr="00710B91" w:rsidRDefault="00CA2C7C" w:rsidP="00CA2C7C">
      <w:pPr>
        <w:shd w:val="clear" w:color="auto" w:fill="FFFFFF" w:themeFill="background1"/>
        <w:spacing w:line="312" w:lineRule="atLeast"/>
        <w:rPr>
          <w:rFonts w:eastAsia="Times New Roman"/>
          <w:noProof/>
          <w:szCs w:val="24"/>
        </w:rPr>
      </w:pPr>
      <w:r w:rsidRPr="00710B91">
        <w:rPr>
          <w:noProof/>
        </w:rPr>
        <w:t>(vi) elementów interoperacyjności – na podstawie art.</w:t>
      </w:r>
      <w:r w:rsidR="00710B91" w:rsidRPr="00710B91">
        <w:rPr>
          <w:noProof/>
        </w:rPr>
        <w:t> </w:t>
      </w:r>
      <w:r w:rsidRPr="00710B91">
        <w:rPr>
          <w:noProof/>
        </w:rPr>
        <w:t>78 ust.</w:t>
      </w:r>
      <w:r w:rsidR="00710B91" w:rsidRPr="00710B91">
        <w:rPr>
          <w:noProof/>
        </w:rPr>
        <w:t> </w:t>
      </w:r>
      <w:r w:rsidRPr="00710B91">
        <w:rPr>
          <w:noProof/>
        </w:rPr>
        <w:t>3 rozporządzenia (UE) 2019/817</w:t>
      </w:r>
      <w:r w:rsidR="00710B91" w:rsidRPr="00710B91">
        <w:rPr>
          <w:noProof/>
        </w:rPr>
        <w:t xml:space="preserve"> i</w:t>
      </w:r>
      <w:r w:rsidR="00710B91">
        <w:rPr>
          <w:noProof/>
        </w:rPr>
        <w:t> </w:t>
      </w:r>
      <w:r w:rsidR="00710B91" w:rsidRPr="00710B91">
        <w:rPr>
          <w:noProof/>
        </w:rPr>
        <w:t>art</w:t>
      </w:r>
      <w:r w:rsidRPr="00710B91">
        <w:rPr>
          <w:noProof/>
        </w:rPr>
        <w:t>.</w:t>
      </w:r>
      <w:r w:rsidR="00710B91" w:rsidRPr="00710B91">
        <w:rPr>
          <w:noProof/>
        </w:rPr>
        <w:t> </w:t>
      </w:r>
      <w:r w:rsidRPr="00710B91">
        <w:rPr>
          <w:noProof/>
        </w:rPr>
        <w:t>74 ust.</w:t>
      </w:r>
      <w:r w:rsidR="00710B91" w:rsidRPr="00710B91">
        <w:rPr>
          <w:noProof/>
        </w:rPr>
        <w:t> </w:t>
      </w:r>
      <w:r w:rsidRPr="00710B91">
        <w:rPr>
          <w:noProof/>
        </w:rPr>
        <w:t>3 rozporządzenia (UE) 2019/818;</w:t>
      </w:r>
    </w:p>
    <w:p w14:paraId="05BC7858" w14:textId="124276FA" w:rsidR="00CA2C7C" w:rsidRPr="00710B91" w:rsidRDefault="00CA2C7C" w:rsidP="00CA2C7C">
      <w:pPr>
        <w:shd w:val="clear" w:color="auto" w:fill="FFFFFF" w:themeFill="background1"/>
        <w:spacing w:line="312" w:lineRule="atLeast"/>
        <w:rPr>
          <w:rFonts w:eastAsia="Times New Roman"/>
          <w:noProof/>
          <w:szCs w:val="24"/>
        </w:rPr>
      </w:pPr>
      <w:r w:rsidRPr="00710B91">
        <w:rPr>
          <w:noProof/>
        </w:rPr>
        <w:t>(vii) systemu e-CODEX – na podstawie art.</w:t>
      </w:r>
      <w:r w:rsidR="00710B91" w:rsidRPr="00710B91">
        <w:rPr>
          <w:noProof/>
        </w:rPr>
        <w:t> </w:t>
      </w:r>
      <w:r w:rsidRPr="00710B91">
        <w:rPr>
          <w:noProof/>
        </w:rPr>
        <w:t>14 ust.</w:t>
      </w:r>
      <w:r w:rsidR="00710B91" w:rsidRPr="00710B91">
        <w:rPr>
          <w:noProof/>
        </w:rPr>
        <w:t> </w:t>
      </w:r>
      <w:r w:rsidRPr="00710B91">
        <w:rPr>
          <w:noProof/>
        </w:rPr>
        <w:t>1 rozporządzenia (UE) XXX/****;</w:t>
      </w:r>
    </w:p>
    <w:p w14:paraId="2A618111" w14:textId="77777777" w:rsidR="00CA2C7C" w:rsidRPr="00710B91" w:rsidRDefault="00CA2C7C" w:rsidP="00CA2C7C">
      <w:pPr>
        <w:shd w:val="clear" w:color="auto" w:fill="FFFFFF" w:themeFill="background1"/>
        <w:spacing w:line="312" w:lineRule="atLeast"/>
        <w:rPr>
          <w:rFonts w:eastAsia="Times New Roman"/>
          <w:noProof/>
          <w:szCs w:val="24"/>
        </w:rPr>
      </w:pPr>
      <w:r w:rsidRPr="00710B91">
        <w:rPr>
          <w:noProof/>
        </w:rPr>
        <w:t>(viii) platformy współpracy zespołów JIT – na podstawie art. xx rozporządzenia (UE) XXX/***** [niniejsze rozporządzenie];</w:t>
      </w:r>
    </w:p>
    <w:p w14:paraId="79A12C62" w14:textId="77777777" w:rsidR="00CA2C7C" w:rsidRPr="00710B91" w:rsidRDefault="00CA2C7C" w:rsidP="00CA2C7C">
      <w:pPr>
        <w:shd w:val="clear" w:color="auto" w:fill="FFFFFF" w:themeFill="background1"/>
        <w:spacing w:line="312" w:lineRule="atLeast"/>
        <w:rPr>
          <w:noProof/>
        </w:rPr>
      </w:pPr>
      <w:r w:rsidRPr="00710B91">
        <w:rPr>
          <w:noProof/>
        </w:rPr>
        <w:t>__________</w:t>
      </w:r>
    </w:p>
    <w:p w14:paraId="3730A92F" w14:textId="6AEA2429" w:rsidR="00CA2C7C" w:rsidRPr="00710B91" w:rsidRDefault="00CA2C7C" w:rsidP="00CA2C7C">
      <w:pPr>
        <w:shd w:val="clear" w:color="auto" w:fill="FFFFFF" w:themeFill="background1"/>
        <w:spacing w:line="312" w:lineRule="atLeast"/>
        <w:rPr>
          <w:rFonts w:eastAsia="Times New Roman"/>
          <w:noProof/>
          <w:szCs w:val="24"/>
        </w:rPr>
      </w:pPr>
      <w:r w:rsidRPr="00710B91">
        <w:rPr>
          <w:noProof/>
        </w:rPr>
        <w:t>*Rozporządzenie Parlamentu Europejskiego</w:t>
      </w:r>
      <w:r w:rsidR="00710B91" w:rsidRPr="00710B91">
        <w:rPr>
          <w:noProof/>
        </w:rPr>
        <w:t xml:space="preserve"> i</w:t>
      </w:r>
      <w:r w:rsidR="00710B91">
        <w:rPr>
          <w:noProof/>
        </w:rPr>
        <w:t> </w:t>
      </w:r>
      <w:r w:rsidR="00710B91" w:rsidRPr="00710B91">
        <w:rPr>
          <w:noProof/>
        </w:rPr>
        <w:t>Rad</w:t>
      </w:r>
      <w:r w:rsidRPr="00710B91">
        <w:rPr>
          <w:noProof/>
        </w:rPr>
        <w:t>y (UE) 2018/1861</w:t>
      </w:r>
      <w:r w:rsidR="00710B91" w:rsidRPr="00710B91">
        <w:rPr>
          <w:noProof/>
        </w:rPr>
        <w:t xml:space="preserve"> z</w:t>
      </w:r>
      <w:r w:rsidR="00710B91">
        <w:rPr>
          <w:noProof/>
        </w:rPr>
        <w:t> </w:t>
      </w:r>
      <w:r w:rsidR="00710B91" w:rsidRPr="00710B91">
        <w:rPr>
          <w:noProof/>
        </w:rPr>
        <w:t>dni</w:t>
      </w:r>
      <w:r w:rsidRPr="00710B91">
        <w:rPr>
          <w:noProof/>
        </w:rPr>
        <w:t>a 28 listopada 2018</w:t>
      </w:r>
      <w:r w:rsidR="00710B91" w:rsidRPr="00710B91">
        <w:rPr>
          <w:noProof/>
        </w:rPr>
        <w:t> </w:t>
      </w:r>
      <w:r w:rsidRPr="00710B91">
        <w:rPr>
          <w:noProof/>
        </w:rPr>
        <w:t>r.</w:t>
      </w:r>
      <w:r w:rsidR="00710B91" w:rsidRPr="00710B91">
        <w:rPr>
          <w:noProof/>
        </w:rPr>
        <w:t xml:space="preserve"> w</w:t>
      </w:r>
      <w:r w:rsidR="00710B91">
        <w:rPr>
          <w:noProof/>
        </w:rPr>
        <w:t> </w:t>
      </w:r>
      <w:r w:rsidR="00710B91" w:rsidRPr="00710B91">
        <w:rPr>
          <w:noProof/>
        </w:rPr>
        <w:t>spr</w:t>
      </w:r>
      <w:r w:rsidRPr="00710B91">
        <w:rPr>
          <w:noProof/>
        </w:rPr>
        <w:t>awie utworzenia, funkcjonowania</w:t>
      </w:r>
      <w:r w:rsidR="00710B91" w:rsidRPr="00710B91">
        <w:rPr>
          <w:noProof/>
        </w:rPr>
        <w:t xml:space="preserve"> i</w:t>
      </w:r>
      <w:r w:rsidR="00710B91">
        <w:rPr>
          <w:noProof/>
        </w:rPr>
        <w:t> </w:t>
      </w:r>
      <w:r w:rsidR="00710B91" w:rsidRPr="00710B91">
        <w:rPr>
          <w:noProof/>
        </w:rPr>
        <w:t>uży</w:t>
      </w:r>
      <w:r w:rsidRPr="00710B91">
        <w:rPr>
          <w:noProof/>
        </w:rPr>
        <w:t>tkowania Systemu Informacyjnego Schengen (SIS)</w:t>
      </w:r>
      <w:r w:rsidR="00710B91" w:rsidRPr="00710B91">
        <w:rPr>
          <w:noProof/>
        </w:rPr>
        <w:t xml:space="preserve"> w</w:t>
      </w:r>
      <w:r w:rsidR="00710B91">
        <w:rPr>
          <w:noProof/>
        </w:rPr>
        <w:t> </w:t>
      </w:r>
      <w:r w:rsidR="00710B91" w:rsidRPr="00710B91">
        <w:rPr>
          <w:noProof/>
        </w:rPr>
        <w:t>dzi</w:t>
      </w:r>
      <w:r w:rsidRPr="00710B91">
        <w:rPr>
          <w:noProof/>
        </w:rPr>
        <w:t>edzinie odpraw granicznych, zmiany konwencji wykonawczej do układu</w:t>
      </w:r>
      <w:r w:rsidR="00710B91" w:rsidRPr="00710B91">
        <w:rPr>
          <w:noProof/>
        </w:rPr>
        <w:t xml:space="preserve"> z</w:t>
      </w:r>
      <w:r w:rsidR="00710B91">
        <w:rPr>
          <w:noProof/>
        </w:rPr>
        <w:t> </w:t>
      </w:r>
      <w:r w:rsidR="00710B91" w:rsidRPr="00710B91">
        <w:rPr>
          <w:noProof/>
        </w:rPr>
        <w:t>Sch</w:t>
      </w:r>
      <w:r w:rsidRPr="00710B91">
        <w:rPr>
          <w:noProof/>
        </w:rPr>
        <w:t>engen oraz zmiany</w:t>
      </w:r>
      <w:r w:rsidR="00710B91" w:rsidRPr="00710B91">
        <w:rPr>
          <w:noProof/>
        </w:rPr>
        <w:t xml:space="preserve"> i</w:t>
      </w:r>
      <w:r w:rsidR="00710B91">
        <w:rPr>
          <w:noProof/>
        </w:rPr>
        <w:t> </w:t>
      </w:r>
      <w:r w:rsidR="00710B91" w:rsidRPr="00710B91">
        <w:rPr>
          <w:noProof/>
        </w:rPr>
        <w:t>uch</w:t>
      </w:r>
      <w:r w:rsidRPr="00710B91">
        <w:rPr>
          <w:noProof/>
        </w:rPr>
        <w:t>ylenia rozporządzenia (WE) nr</w:t>
      </w:r>
      <w:r w:rsidR="00710B91" w:rsidRPr="00710B91">
        <w:rPr>
          <w:noProof/>
        </w:rPr>
        <w:t> </w:t>
      </w:r>
      <w:r w:rsidRPr="00710B91">
        <w:rPr>
          <w:noProof/>
        </w:rPr>
        <w:t>1987/2006 (Dz.U. L 312</w:t>
      </w:r>
      <w:r w:rsidR="00710B91" w:rsidRPr="00710B91">
        <w:rPr>
          <w:noProof/>
        </w:rPr>
        <w:t xml:space="preserve"> z</w:t>
      </w:r>
      <w:r w:rsidR="00710B91">
        <w:rPr>
          <w:noProof/>
        </w:rPr>
        <w:t> </w:t>
      </w:r>
      <w:r w:rsidR="00710B91" w:rsidRPr="00710B91">
        <w:rPr>
          <w:noProof/>
        </w:rPr>
        <w:t>7</w:t>
      </w:r>
      <w:r w:rsidRPr="00710B91">
        <w:rPr>
          <w:noProof/>
        </w:rPr>
        <w:t>.12.2018, s. 14).</w:t>
      </w:r>
    </w:p>
    <w:p w14:paraId="60D73408" w14:textId="3FD42220" w:rsidR="00CA2C7C" w:rsidRPr="00710B91" w:rsidRDefault="00CA2C7C" w:rsidP="00CA2C7C">
      <w:pPr>
        <w:shd w:val="clear" w:color="auto" w:fill="FFFFFF" w:themeFill="background1"/>
        <w:spacing w:line="312" w:lineRule="atLeast"/>
        <w:rPr>
          <w:rFonts w:eastAsia="Times New Roman"/>
          <w:noProof/>
          <w:szCs w:val="24"/>
        </w:rPr>
      </w:pPr>
      <w:r w:rsidRPr="00710B91">
        <w:rPr>
          <w:noProof/>
        </w:rPr>
        <w:t>** Rozporządzenie Parlamentu Europejskiego</w:t>
      </w:r>
      <w:r w:rsidR="00710B91" w:rsidRPr="00710B91">
        <w:rPr>
          <w:noProof/>
        </w:rPr>
        <w:t xml:space="preserve"> i</w:t>
      </w:r>
      <w:r w:rsidR="00710B91">
        <w:rPr>
          <w:noProof/>
        </w:rPr>
        <w:t> </w:t>
      </w:r>
      <w:r w:rsidR="00710B91" w:rsidRPr="00710B91">
        <w:rPr>
          <w:noProof/>
        </w:rPr>
        <w:t>Rad</w:t>
      </w:r>
      <w:r w:rsidRPr="00710B91">
        <w:rPr>
          <w:noProof/>
        </w:rPr>
        <w:t>y (UE) 2018/1862</w:t>
      </w:r>
      <w:r w:rsidR="00710B91" w:rsidRPr="00710B91">
        <w:rPr>
          <w:noProof/>
        </w:rPr>
        <w:t xml:space="preserve"> z</w:t>
      </w:r>
      <w:r w:rsidR="00710B91">
        <w:rPr>
          <w:noProof/>
        </w:rPr>
        <w:t> </w:t>
      </w:r>
      <w:r w:rsidR="00710B91" w:rsidRPr="00710B91">
        <w:rPr>
          <w:noProof/>
        </w:rPr>
        <w:t>dni</w:t>
      </w:r>
      <w:r w:rsidRPr="00710B91">
        <w:rPr>
          <w:noProof/>
        </w:rPr>
        <w:t>a 28 listopada 2018</w:t>
      </w:r>
      <w:r w:rsidR="00710B91" w:rsidRPr="00710B91">
        <w:rPr>
          <w:noProof/>
        </w:rPr>
        <w:t> </w:t>
      </w:r>
      <w:r w:rsidRPr="00710B91">
        <w:rPr>
          <w:noProof/>
        </w:rPr>
        <w:t>r.</w:t>
      </w:r>
      <w:r w:rsidR="00710B91" w:rsidRPr="00710B91">
        <w:rPr>
          <w:noProof/>
        </w:rPr>
        <w:t xml:space="preserve"> w</w:t>
      </w:r>
      <w:r w:rsidR="00710B91">
        <w:rPr>
          <w:noProof/>
        </w:rPr>
        <w:t> </w:t>
      </w:r>
      <w:r w:rsidR="00710B91" w:rsidRPr="00710B91">
        <w:rPr>
          <w:noProof/>
        </w:rPr>
        <w:t>spr</w:t>
      </w:r>
      <w:r w:rsidRPr="00710B91">
        <w:rPr>
          <w:noProof/>
        </w:rPr>
        <w:t>awie utworzenia, funkcjonowania</w:t>
      </w:r>
      <w:r w:rsidR="00710B91" w:rsidRPr="00710B91">
        <w:rPr>
          <w:noProof/>
        </w:rPr>
        <w:t xml:space="preserve"> i</w:t>
      </w:r>
      <w:r w:rsidR="00710B91">
        <w:rPr>
          <w:noProof/>
        </w:rPr>
        <w:t> </w:t>
      </w:r>
      <w:r w:rsidR="00710B91" w:rsidRPr="00710B91">
        <w:rPr>
          <w:noProof/>
        </w:rPr>
        <w:t>uży</w:t>
      </w:r>
      <w:r w:rsidRPr="00710B91">
        <w:rPr>
          <w:noProof/>
        </w:rPr>
        <w:t>tkowania Systemu Informacyjnego Schengen (SIS)</w:t>
      </w:r>
      <w:r w:rsidR="00710B91" w:rsidRPr="00710B91">
        <w:rPr>
          <w:noProof/>
        </w:rPr>
        <w:t xml:space="preserve"> w</w:t>
      </w:r>
      <w:r w:rsidR="00710B91">
        <w:rPr>
          <w:noProof/>
        </w:rPr>
        <w:t> </w:t>
      </w:r>
      <w:r w:rsidR="00710B91" w:rsidRPr="00710B91">
        <w:rPr>
          <w:noProof/>
        </w:rPr>
        <w:t>dzi</w:t>
      </w:r>
      <w:r w:rsidRPr="00710B91">
        <w:rPr>
          <w:noProof/>
        </w:rPr>
        <w:t>edzinie współpracy policyjnej</w:t>
      </w:r>
      <w:r w:rsidR="00710B91" w:rsidRPr="00710B91">
        <w:rPr>
          <w:noProof/>
        </w:rPr>
        <w:t xml:space="preserve"> i</w:t>
      </w:r>
      <w:r w:rsidR="00710B91">
        <w:rPr>
          <w:noProof/>
        </w:rPr>
        <w:t> </w:t>
      </w:r>
      <w:r w:rsidR="00710B91" w:rsidRPr="00710B91">
        <w:rPr>
          <w:noProof/>
        </w:rPr>
        <w:t>wsp</w:t>
      </w:r>
      <w:r w:rsidRPr="00710B91">
        <w:rPr>
          <w:noProof/>
        </w:rPr>
        <w:t>ółpracy wymiarów sprawiedliwości</w:t>
      </w:r>
      <w:r w:rsidR="00710B91" w:rsidRPr="00710B91">
        <w:rPr>
          <w:noProof/>
        </w:rPr>
        <w:t xml:space="preserve"> w</w:t>
      </w:r>
      <w:r w:rsidR="00710B91">
        <w:rPr>
          <w:noProof/>
        </w:rPr>
        <w:t> </w:t>
      </w:r>
      <w:r w:rsidR="00710B91" w:rsidRPr="00710B91">
        <w:rPr>
          <w:noProof/>
        </w:rPr>
        <w:t>spr</w:t>
      </w:r>
      <w:r w:rsidRPr="00710B91">
        <w:rPr>
          <w:noProof/>
        </w:rPr>
        <w:t>awach karnych, zmiany</w:t>
      </w:r>
      <w:r w:rsidR="00710B91" w:rsidRPr="00710B91">
        <w:rPr>
          <w:noProof/>
        </w:rPr>
        <w:t xml:space="preserve"> i</w:t>
      </w:r>
      <w:r w:rsidR="00710B91">
        <w:rPr>
          <w:noProof/>
        </w:rPr>
        <w:t> </w:t>
      </w:r>
      <w:r w:rsidR="00710B91" w:rsidRPr="00710B91">
        <w:rPr>
          <w:noProof/>
        </w:rPr>
        <w:t>uch</w:t>
      </w:r>
      <w:r w:rsidRPr="00710B91">
        <w:rPr>
          <w:noProof/>
        </w:rPr>
        <w:t>ylenia decyzji Rady 2007/533/WSiSW oraz uchylenia rozporządzenia Parlamentu Europejskiego</w:t>
      </w:r>
      <w:r w:rsidR="00710B91" w:rsidRPr="00710B91">
        <w:rPr>
          <w:noProof/>
        </w:rPr>
        <w:t xml:space="preserve"> i</w:t>
      </w:r>
      <w:r w:rsidR="00710B91">
        <w:rPr>
          <w:noProof/>
        </w:rPr>
        <w:t> </w:t>
      </w:r>
      <w:r w:rsidR="00710B91" w:rsidRPr="00710B91">
        <w:rPr>
          <w:noProof/>
        </w:rPr>
        <w:t>Rad</w:t>
      </w:r>
      <w:r w:rsidRPr="00710B91">
        <w:rPr>
          <w:noProof/>
        </w:rPr>
        <w:t>y (WE) nr</w:t>
      </w:r>
      <w:r w:rsidR="00710B91" w:rsidRPr="00710B91">
        <w:rPr>
          <w:noProof/>
        </w:rPr>
        <w:t> </w:t>
      </w:r>
      <w:r w:rsidRPr="00710B91">
        <w:rPr>
          <w:noProof/>
        </w:rPr>
        <w:t>1986/2006</w:t>
      </w:r>
      <w:r w:rsidR="00710B91" w:rsidRPr="00710B91">
        <w:rPr>
          <w:noProof/>
        </w:rPr>
        <w:t xml:space="preserve"> i</w:t>
      </w:r>
      <w:r w:rsidR="00710B91">
        <w:rPr>
          <w:noProof/>
        </w:rPr>
        <w:t> </w:t>
      </w:r>
      <w:r w:rsidR="00710B91" w:rsidRPr="00710B91">
        <w:rPr>
          <w:noProof/>
        </w:rPr>
        <w:t>dec</w:t>
      </w:r>
      <w:r w:rsidRPr="00710B91">
        <w:rPr>
          <w:noProof/>
        </w:rPr>
        <w:t>yzji Komisji 2010/261/UE (Dz.U. L 312</w:t>
      </w:r>
      <w:r w:rsidR="00710B91" w:rsidRPr="00710B91">
        <w:rPr>
          <w:noProof/>
        </w:rPr>
        <w:t xml:space="preserve"> z</w:t>
      </w:r>
      <w:r w:rsidR="00710B91">
        <w:rPr>
          <w:noProof/>
        </w:rPr>
        <w:t> </w:t>
      </w:r>
      <w:r w:rsidR="00710B91" w:rsidRPr="00710B91">
        <w:rPr>
          <w:noProof/>
        </w:rPr>
        <w:t>7</w:t>
      </w:r>
      <w:r w:rsidRPr="00710B91">
        <w:rPr>
          <w:noProof/>
        </w:rPr>
        <w:t>.12.2018, s. 56).</w:t>
      </w:r>
    </w:p>
    <w:p w14:paraId="3AF40D72" w14:textId="1E980858" w:rsidR="00CA2C7C" w:rsidRPr="00710B91" w:rsidRDefault="00CA2C7C" w:rsidP="00CA2C7C">
      <w:pPr>
        <w:shd w:val="clear" w:color="auto" w:fill="FFFFFF" w:themeFill="background1"/>
        <w:spacing w:line="312" w:lineRule="atLeast"/>
        <w:rPr>
          <w:rFonts w:eastAsia="Times New Roman"/>
          <w:noProof/>
          <w:szCs w:val="24"/>
        </w:rPr>
      </w:pPr>
      <w:r w:rsidRPr="00710B91">
        <w:rPr>
          <w:noProof/>
        </w:rPr>
        <w:t>*** Rozporządzenie Parlamentu Europejskiego</w:t>
      </w:r>
      <w:r w:rsidR="00710B91" w:rsidRPr="00710B91">
        <w:rPr>
          <w:noProof/>
        </w:rPr>
        <w:t xml:space="preserve"> i</w:t>
      </w:r>
      <w:r w:rsidR="00710B91">
        <w:rPr>
          <w:noProof/>
        </w:rPr>
        <w:t> </w:t>
      </w:r>
      <w:r w:rsidR="00710B91" w:rsidRPr="00710B91">
        <w:rPr>
          <w:noProof/>
        </w:rPr>
        <w:t>Rad</w:t>
      </w:r>
      <w:r w:rsidRPr="00710B91">
        <w:rPr>
          <w:noProof/>
        </w:rPr>
        <w:t>y (UE) 2019/816</w:t>
      </w:r>
      <w:r w:rsidR="00710B91" w:rsidRPr="00710B91">
        <w:rPr>
          <w:noProof/>
        </w:rPr>
        <w:t xml:space="preserve"> z</w:t>
      </w:r>
      <w:r w:rsidR="00710B91">
        <w:rPr>
          <w:noProof/>
        </w:rPr>
        <w:t> </w:t>
      </w:r>
      <w:r w:rsidR="00710B91" w:rsidRPr="00710B91">
        <w:rPr>
          <w:noProof/>
        </w:rPr>
        <w:t>dni</w:t>
      </w:r>
      <w:r w:rsidRPr="00710B91">
        <w:rPr>
          <w:noProof/>
        </w:rPr>
        <w:t>a 17 kwietnia 2019</w:t>
      </w:r>
      <w:r w:rsidR="00710B91" w:rsidRPr="00710B91">
        <w:rPr>
          <w:noProof/>
        </w:rPr>
        <w:t> </w:t>
      </w:r>
      <w:r w:rsidRPr="00710B91">
        <w:rPr>
          <w:noProof/>
        </w:rPr>
        <w:t>r. ustanawiające scentralizowany system służący do ustalania państw członkowskich posiadających informacje</w:t>
      </w:r>
      <w:r w:rsidR="00710B91" w:rsidRPr="00710B91">
        <w:rPr>
          <w:noProof/>
        </w:rPr>
        <w:t xml:space="preserve"> o</w:t>
      </w:r>
      <w:r w:rsidR="00710B91">
        <w:rPr>
          <w:noProof/>
        </w:rPr>
        <w:t> </w:t>
      </w:r>
      <w:r w:rsidR="00710B91" w:rsidRPr="00710B91">
        <w:rPr>
          <w:noProof/>
        </w:rPr>
        <w:t>wyr</w:t>
      </w:r>
      <w:r w:rsidRPr="00710B91">
        <w:rPr>
          <w:noProof/>
        </w:rPr>
        <w:t>okach skazujących wydanych wobec obywateli państw trzecich</w:t>
      </w:r>
      <w:r w:rsidR="00710B91" w:rsidRPr="00710B91">
        <w:rPr>
          <w:noProof/>
        </w:rPr>
        <w:t xml:space="preserve"> i</w:t>
      </w:r>
      <w:r w:rsidR="00710B91">
        <w:rPr>
          <w:noProof/>
        </w:rPr>
        <w:t> </w:t>
      </w:r>
      <w:r w:rsidR="00710B91" w:rsidRPr="00710B91">
        <w:rPr>
          <w:noProof/>
        </w:rPr>
        <w:t>bez</w:t>
      </w:r>
      <w:r w:rsidRPr="00710B91">
        <w:rPr>
          <w:noProof/>
        </w:rPr>
        <w:t>państwowców (ECRIS-TCN) na potrzeby uzupełnienia europejskiego systemu przekazywania informacji</w:t>
      </w:r>
      <w:r w:rsidR="00710B91" w:rsidRPr="00710B91">
        <w:rPr>
          <w:noProof/>
        </w:rPr>
        <w:t xml:space="preserve"> z</w:t>
      </w:r>
      <w:r w:rsidR="00710B91">
        <w:rPr>
          <w:noProof/>
        </w:rPr>
        <w:t> </w:t>
      </w:r>
      <w:r w:rsidR="00710B91" w:rsidRPr="00710B91">
        <w:rPr>
          <w:noProof/>
        </w:rPr>
        <w:t>rej</w:t>
      </w:r>
      <w:r w:rsidRPr="00710B91">
        <w:rPr>
          <w:noProof/>
        </w:rPr>
        <w:t>estrów karnych oraz zmieniające rozporządzenie (UE) 2018/1726 (Dz.U. L 135</w:t>
      </w:r>
      <w:r w:rsidR="00710B91" w:rsidRPr="00710B91">
        <w:rPr>
          <w:noProof/>
        </w:rPr>
        <w:t xml:space="preserve"> z</w:t>
      </w:r>
      <w:r w:rsidR="00710B91">
        <w:rPr>
          <w:noProof/>
        </w:rPr>
        <w:t> </w:t>
      </w:r>
      <w:r w:rsidR="00710B91" w:rsidRPr="00710B91">
        <w:rPr>
          <w:noProof/>
        </w:rPr>
        <w:t>2</w:t>
      </w:r>
      <w:r w:rsidRPr="00710B91">
        <w:rPr>
          <w:noProof/>
        </w:rPr>
        <w:t>2.5.2019, s. 1).</w:t>
      </w:r>
    </w:p>
    <w:p w14:paraId="3FB48F87" w14:textId="3511C325" w:rsidR="00CA2C7C" w:rsidRPr="00710B91" w:rsidRDefault="00CA2C7C" w:rsidP="00CA2C7C">
      <w:pPr>
        <w:shd w:val="clear" w:color="auto" w:fill="FFFFFF" w:themeFill="background1"/>
        <w:spacing w:line="312" w:lineRule="atLeast"/>
        <w:rPr>
          <w:rFonts w:eastAsia="Times New Roman"/>
          <w:noProof/>
          <w:szCs w:val="24"/>
        </w:rPr>
      </w:pPr>
      <w:r w:rsidRPr="00710B91">
        <w:rPr>
          <w:noProof/>
        </w:rPr>
        <w:t>**** Rozporządzenie (UE) XXX</w:t>
      </w:r>
      <w:r w:rsidR="00710B91" w:rsidRPr="00710B91">
        <w:rPr>
          <w:noProof/>
        </w:rPr>
        <w:t xml:space="preserve"> z</w:t>
      </w:r>
      <w:r w:rsidR="00710B91">
        <w:rPr>
          <w:noProof/>
        </w:rPr>
        <w:t> </w:t>
      </w:r>
      <w:r w:rsidR="00710B91" w:rsidRPr="00710B91">
        <w:rPr>
          <w:noProof/>
        </w:rPr>
        <w:t>dni</w:t>
      </w:r>
      <w:r w:rsidRPr="00710B91">
        <w:rPr>
          <w:noProof/>
        </w:rPr>
        <w:t>a … (Dz.U. L [...] z [...], s. [...]).</w:t>
      </w:r>
    </w:p>
    <w:p w14:paraId="0CF301F7" w14:textId="13B0AB52" w:rsidR="00CA2C7C" w:rsidRPr="00710B91" w:rsidRDefault="00CA2C7C" w:rsidP="00CA2C7C">
      <w:pPr>
        <w:shd w:val="clear" w:color="auto" w:fill="FFFFFF" w:themeFill="background1"/>
        <w:spacing w:line="312" w:lineRule="atLeast"/>
        <w:rPr>
          <w:rFonts w:eastAsia="Times New Roman"/>
          <w:noProof/>
          <w:szCs w:val="24"/>
        </w:rPr>
      </w:pPr>
      <w:r w:rsidRPr="00710B91">
        <w:rPr>
          <w:noProof/>
        </w:rPr>
        <w:t>***** Rozporządzenie (UE) XXX</w:t>
      </w:r>
      <w:r w:rsidR="00710B91" w:rsidRPr="00710B91">
        <w:rPr>
          <w:noProof/>
        </w:rPr>
        <w:t xml:space="preserve"> z</w:t>
      </w:r>
      <w:r w:rsidR="00710B91">
        <w:rPr>
          <w:noProof/>
        </w:rPr>
        <w:t> </w:t>
      </w:r>
      <w:r w:rsidR="00710B91" w:rsidRPr="00710B91">
        <w:rPr>
          <w:noProof/>
        </w:rPr>
        <w:t>dni</w:t>
      </w:r>
      <w:r w:rsidRPr="00710B91">
        <w:rPr>
          <w:noProof/>
        </w:rPr>
        <w:t>a … (Dz.U. L [...] z [...], s. [...]).”;</w:t>
      </w:r>
    </w:p>
    <w:p w14:paraId="619F24FD" w14:textId="67DD84DC" w:rsidR="00CA2C7C" w:rsidRPr="00710B91" w:rsidRDefault="00CA2C7C" w:rsidP="00CA2C7C">
      <w:pPr>
        <w:shd w:val="clear" w:color="auto" w:fill="FFFFFF" w:themeFill="background1"/>
        <w:spacing w:line="312" w:lineRule="atLeast"/>
        <w:rPr>
          <w:rFonts w:eastAsia="Times New Roman"/>
          <w:noProof/>
          <w:szCs w:val="24"/>
        </w:rPr>
      </w:pPr>
      <w:r w:rsidRPr="00710B91">
        <w:rPr>
          <w:noProof/>
        </w:rPr>
        <w:t>5)</w:t>
      </w:r>
      <w:r w:rsidR="00710B91" w:rsidRPr="00710B91">
        <w:rPr>
          <w:noProof/>
        </w:rPr>
        <w:t xml:space="preserve"> w</w:t>
      </w:r>
      <w:r w:rsidR="00710B91">
        <w:rPr>
          <w:noProof/>
        </w:rPr>
        <w:t> </w:t>
      </w:r>
      <w:r w:rsidR="00710B91" w:rsidRPr="00710B91">
        <w:rPr>
          <w:noProof/>
        </w:rPr>
        <w:t>art</w:t>
      </w:r>
      <w:r w:rsidRPr="00710B91">
        <w:rPr>
          <w:noProof/>
        </w:rPr>
        <w:t>.</w:t>
      </w:r>
      <w:r w:rsidR="00710B91" w:rsidRPr="00710B91">
        <w:rPr>
          <w:noProof/>
        </w:rPr>
        <w:t> </w:t>
      </w:r>
      <w:r w:rsidRPr="00710B91">
        <w:rPr>
          <w:noProof/>
        </w:rPr>
        <w:t>27 ust.</w:t>
      </w:r>
      <w:r w:rsidR="00710B91" w:rsidRPr="00710B91">
        <w:rPr>
          <w:noProof/>
        </w:rPr>
        <w:t> </w:t>
      </w:r>
      <w:r w:rsidRPr="00710B91">
        <w:rPr>
          <w:noProof/>
        </w:rPr>
        <w:t>1 dodaje się literę dc)</w:t>
      </w:r>
      <w:r w:rsidR="00710B91" w:rsidRPr="00710B91">
        <w:rPr>
          <w:noProof/>
        </w:rPr>
        <w:t xml:space="preserve"> w</w:t>
      </w:r>
      <w:r w:rsidR="00710B91">
        <w:rPr>
          <w:noProof/>
        </w:rPr>
        <w:t> </w:t>
      </w:r>
      <w:r w:rsidR="00710B91" w:rsidRPr="00710B91">
        <w:rPr>
          <w:noProof/>
        </w:rPr>
        <w:t>brz</w:t>
      </w:r>
      <w:r w:rsidRPr="00710B91">
        <w:rPr>
          <w:noProof/>
        </w:rPr>
        <w:t>mieniu:</w:t>
      </w:r>
    </w:p>
    <w:p w14:paraId="315AE9F5" w14:textId="77777777" w:rsidR="00CA2C7C" w:rsidRPr="00710B91" w:rsidRDefault="00CA2C7C" w:rsidP="00CA2C7C">
      <w:pPr>
        <w:shd w:val="clear" w:color="auto" w:fill="FFFFFF" w:themeFill="background1"/>
        <w:spacing w:line="312" w:lineRule="atLeast"/>
        <w:rPr>
          <w:rFonts w:eastAsia="Times New Roman"/>
          <w:noProof/>
          <w:szCs w:val="24"/>
        </w:rPr>
      </w:pPr>
      <w:r w:rsidRPr="00710B91">
        <w:rPr>
          <w:noProof/>
        </w:rPr>
        <w:t>„dc) grupa doradcza ds. platformy współpracy zespołów JIT;”.</w:t>
      </w:r>
    </w:p>
    <w:p w14:paraId="1AAC9DD5" w14:textId="77777777" w:rsidR="00521C02" w:rsidRPr="00710B91" w:rsidRDefault="00521C02" w:rsidP="00DF6212">
      <w:pPr>
        <w:pStyle w:val="Titrearticle"/>
        <w:rPr>
          <w:noProof/>
        </w:rPr>
      </w:pPr>
      <w:r w:rsidRPr="00710B91">
        <w:rPr>
          <w:noProof/>
        </w:rPr>
        <w:t>Artykuł 27</w:t>
      </w:r>
    </w:p>
    <w:p w14:paraId="6B2FA83A" w14:textId="49549B12" w:rsidR="00521C02" w:rsidRPr="00710B91" w:rsidRDefault="00521C02" w:rsidP="00521C02">
      <w:pPr>
        <w:shd w:val="clear" w:color="auto" w:fill="FFFFFF" w:themeFill="background1"/>
        <w:spacing w:before="60" w:line="312" w:lineRule="atLeast"/>
        <w:jc w:val="center"/>
        <w:rPr>
          <w:rFonts w:eastAsia="Times New Roman"/>
          <w:b/>
          <w:bCs/>
          <w:noProof/>
          <w:szCs w:val="24"/>
        </w:rPr>
      </w:pPr>
      <w:r w:rsidRPr="00710B91">
        <w:rPr>
          <w:b/>
          <w:bCs/>
          <w:noProof/>
          <w:szCs w:val="24"/>
        </w:rPr>
        <w:t>Wejście</w:t>
      </w:r>
      <w:r w:rsidR="00710B91" w:rsidRPr="00710B91">
        <w:rPr>
          <w:b/>
          <w:bCs/>
          <w:noProof/>
          <w:szCs w:val="24"/>
        </w:rPr>
        <w:t xml:space="preserve"> w</w:t>
      </w:r>
      <w:r w:rsidR="00710B91">
        <w:rPr>
          <w:b/>
          <w:bCs/>
          <w:noProof/>
          <w:szCs w:val="24"/>
        </w:rPr>
        <w:t> </w:t>
      </w:r>
      <w:r w:rsidR="00710B91" w:rsidRPr="00710B91">
        <w:rPr>
          <w:b/>
          <w:bCs/>
          <w:noProof/>
          <w:szCs w:val="24"/>
        </w:rPr>
        <w:t>życ</w:t>
      </w:r>
      <w:r w:rsidRPr="00710B91">
        <w:rPr>
          <w:b/>
          <w:bCs/>
          <w:noProof/>
          <w:szCs w:val="24"/>
        </w:rPr>
        <w:t>ie</w:t>
      </w:r>
    </w:p>
    <w:p w14:paraId="1E55B916" w14:textId="1C45D9E6" w:rsidR="004006A2" w:rsidRPr="00710B91" w:rsidRDefault="00521C02" w:rsidP="004006A2">
      <w:pPr>
        <w:shd w:val="clear" w:color="auto" w:fill="FFFFFF" w:themeFill="background1"/>
        <w:spacing w:after="0" w:line="312" w:lineRule="atLeast"/>
        <w:rPr>
          <w:rFonts w:eastAsia="Times New Roman"/>
          <w:noProof/>
          <w:szCs w:val="24"/>
        </w:rPr>
      </w:pPr>
      <w:r w:rsidRPr="00710B91">
        <w:rPr>
          <w:noProof/>
        </w:rPr>
        <w:t>Niniejsze rozporządzenie wchodzi</w:t>
      </w:r>
      <w:r w:rsidR="00710B91" w:rsidRPr="00710B91">
        <w:rPr>
          <w:noProof/>
        </w:rPr>
        <w:t xml:space="preserve"> w</w:t>
      </w:r>
      <w:r w:rsidR="00710B91">
        <w:rPr>
          <w:noProof/>
        </w:rPr>
        <w:t> </w:t>
      </w:r>
      <w:r w:rsidR="00710B91" w:rsidRPr="00710B91">
        <w:rPr>
          <w:noProof/>
        </w:rPr>
        <w:t>życ</w:t>
      </w:r>
      <w:r w:rsidRPr="00710B91">
        <w:rPr>
          <w:noProof/>
        </w:rPr>
        <w:t>ie dwudziestego dnia po jego opublikowaniu</w:t>
      </w:r>
      <w:r w:rsidR="00710B91" w:rsidRPr="00710B91">
        <w:rPr>
          <w:noProof/>
        </w:rPr>
        <w:t xml:space="preserve"> w</w:t>
      </w:r>
      <w:r w:rsidR="00710B91">
        <w:rPr>
          <w:noProof/>
        </w:rPr>
        <w:t> </w:t>
      </w:r>
      <w:r w:rsidR="00710B91" w:rsidRPr="00710B91">
        <w:rPr>
          <w:i/>
          <w:iCs/>
          <w:noProof/>
        </w:rPr>
        <w:t>Dzi</w:t>
      </w:r>
      <w:r w:rsidRPr="00710B91">
        <w:rPr>
          <w:i/>
          <w:iCs/>
          <w:noProof/>
        </w:rPr>
        <w:t>enniku Urzędowym Unii Europejskiej</w:t>
      </w:r>
      <w:r w:rsidRPr="00710B91">
        <w:rPr>
          <w:noProof/>
        </w:rPr>
        <w:t>.</w:t>
      </w:r>
    </w:p>
    <w:p w14:paraId="59AA5489" w14:textId="77777777" w:rsidR="004006A2" w:rsidRPr="00710B91" w:rsidRDefault="004006A2" w:rsidP="004006A2">
      <w:pPr>
        <w:shd w:val="clear" w:color="auto" w:fill="FFFFFF" w:themeFill="background1"/>
        <w:spacing w:after="0" w:line="312" w:lineRule="atLeast"/>
        <w:rPr>
          <w:noProof/>
        </w:rPr>
      </w:pPr>
    </w:p>
    <w:p w14:paraId="7679F9E9" w14:textId="272678FC" w:rsidR="00023765" w:rsidRPr="00710B91" w:rsidRDefault="00023765" w:rsidP="004006A2">
      <w:pPr>
        <w:shd w:val="clear" w:color="auto" w:fill="FFFFFF" w:themeFill="background1"/>
        <w:spacing w:after="0" w:line="312" w:lineRule="atLeast"/>
        <w:rPr>
          <w:rFonts w:eastAsia="Times New Roman"/>
          <w:noProof/>
          <w:szCs w:val="24"/>
        </w:rPr>
      </w:pPr>
      <w:r w:rsidRPr="00710B91">
        <w:rPr>
          <w:noProof/>
        </w:rPr>
        <w:t>Niniejsze rozporządzenie wiąże</w:t>
      </w:r>
      <w:r w:rsidR="00710B91" w:rsidRPr="00710B91">
        <w:rPr>
          <w:noProof/>
        </w:rPr>
        <w:t xml:space="preserve"> w</w:t>
      </w:r>
      <w:r w:rsidR="00710B91">
        <w:rPr>
          <w:noProof/>
        </w:rPr>
        <w:t> </w:t>
      </w:r>
      <w:r w:rsidR="00710B91" w:rsidRPr="00710B91">
        <w:rPr>
          <w:noProof/>
        </w:rPr>
        <w:t>cał</w:t>
      </w:r>
      <w:r w:rsidRPr="00710B91">
        <w:rPr>
          <w:noProof/>
        </w:rPr>
        <w:t>ości</w:t>
      </w:r>
      <w:r w:rsidR="00710B91" w:rsidRPr="00710B91">
        <w:rPr>
          <w:noProof/>
        </w:rPr>
        <w:t xml:space="preserve"> i</w:t>
      </w:r>
      <w:r w:rsidR="00710B91">
        <w:rPr>
          <w:noProof/>
        </w:rPr>
        <w:t> </w:t>
      </w:r>
      <w:r w:rsidR="00710B91" w:rsidRPr="00710B91">
        <w:rPr>
          <w:noProof/>
        </w:rPr>
        <w:t>jes</w:t>
      </w:r>
      <w:r w:rsidRPr="00710B91">
        <w:rPr>
          <w:noProof/>
        </w:rPr>
        <w:t>t bezpośrednio stosowane we wszystkich państwach członkowskich zgodnie</w:t>
      </w:r>
      <w:r w:rsidR="00710B91" w:rsidRPr="00710B91">
        <w:rPr>
          <w:noProof/>
        </w:rPr>
        <w:t xml:space="preserve"> z</w:t>
      </w:r>
      <w:r w:rsidR="00710B91">
        <w:rPr>
          <w:noProof/>
        </w:rPr>
        <w:t> </w:t>
      </w:r>
      <w:r w:rsidR="00710B91" w:rsidRPr="00710B91">
        <w:rPr>
          <w:noProof/>
        </w:rPr>
        <w:t>Tra</w:t>
      </w:r>
      <w:r w:rsidRPr="00710B91">
        <w:rPr>
          <w:noProof/>
        </w:rPr>
        <w:t>ktatami.</w:t>
      </w:r>
    </w:p>
    <w:p w14:paraId="4075604C" w14:textId="77777777" w:rsidR="004006A2" w:rsidRPr="00710B91" w:rsidRDefault="004006A2" w:rsidP="00FE2898">
      <w:pPr>
        <w:keepNext/>
        <w:keepLines/>
        <w:shd w:val="clear" w:color="auto" w:fill="FFFFFF" w:themeFill="background1"/>
        <w:spacing w:after="0"/>
        <w:rPr>
          <w:noProof/>
        </w:rPr>
      </w:pPr>
    </w:p>
    <w:p w14:paraId="71FC18CD" w14:textId="3A7C4D8D" w:rsidR="00420CBA" w:rsidRPr="00710B91" w:rsidRDefault="007C487D" w:rsidP="00FE2898">
      <w:pPr>
        <w:pStyle w:val="Fait"/>
        <w:rPr>
          <w:noProof/>
        </w:rPr>
      </w:pPr>
      <w:r w:rsidRPr="007C487D">
        <w:t xml:space="preserve">Sporządzono w Brukseli dnia </w:t>
      </w:r>
      <w:r w:rsidRPr="007C487D">
        <w:rPr>
          <w:rStyle w:val="Marker"/>
        </w:rPr>
        <w:t>[…]</w:t>
      </w:r>
      <w:r w:rsidRPr="007C487D">
        <w:t xml:space="preserve"> r.</w:t>
      </w:r>
    </w:p>
    <w:p w14:paraId="6F505E77" w14:textId="77777777" w:rsidR="00023765" w:rsidRPr="00710B91" w:rsidRDefault="00023765" w:rsidP="00FE2898">
      <w:pPr>
        <w:pStyle w:val="Institutionquisigne"/>
        <w:rPr>
          <w:noProof/>
        </w:rPr>
      </w:pPr>
      <w:r w:rsidRPr="00710B91">
        <w:rPr>
          <w:noProof/>
        </w:rPr>
        <w:t>W imieniu Parlamentu Europejskiego</w:t>
      </w:r>
      <w:r w:rsidRPr="00710B91">
        <w:rPr>
          <w:noProof/>
        </w:rPr>
        <w:tab/>
        <w:t>W imieniu Rady</w:t>
      </w:r>
    </w:p>
    <w:p w14:paraId="7944EDF1" w14:textId="77777777" w:rsidR="00A728BA" w:rsidRPr="00710B91" w:rsidRDefault="00023765" w:rsidP="00023765">
      <w:pPr>
        <w:pStyle w:val="Personnequisigne"/>
        <w:rPr>
          <w:noProof/>
        </w:rPr>
      </w:pPr>
      <w:r w:rsidRPr="00710B91">
        <w:rPr>
          <w:noProof/>
        </w:rPr>
        <w:t>Przewodniczący</w:t>
      </w:r>
      <w:r w:rsidRPr="00710B91">
        <w:rPr>
          <w:noProof/>
        </w:rPr>
        <w:tab/>
        <w:t>Przewodniczący</w:t>
      </w:r>
    </w:p>
    <w:p w14:paraId="64693A59" w14:textId="77777777" w:rsidR="00A728BA" w:rsidRPr="00710B91" w:rsidRDefault="00A728BA" w:rsidP="00A728BA">
      <w:pPr>
        <w:rPr>
          <w:noProof/>
        </w:rPr>
        <w:sectPr w:rsidR="00A728BA" w:rsidRPr="00710B91" w:rsidSect="00DA1122">
          <w:pgSz w:w="11907" w:h="16839"/>
          <w:pgMar w:top="1134" w:right="1417" w:bottom="1134" w:left="1417" w:header="709" w:footer="709" w:gutter="0"/>
          <w:cols w:space="708"/>
          <w:docGrid w:linePitch="360"/>
        </w:sectPr>
      </w:pPr>
    </w:p>
    <w:p w14:paraId="33F055A7" w14:textId="77777777" w:rsidR="00A728BA" w:rsidRPr="00710B91" w:rsidRDefault="00A728BA" w:rsidP="006F6F3C">
      <w:pPr>
        <w:pStyle w:val="Fichefinanciretitre"/>
        <w:keepNext/>
        <w:rPr>
          <w:noProof/>
        </w:rPr>
      </w:pPr>
      <w:r w:rsidRPr="00710B91">
        <w:rPr>
          <w:noProof/>
        </w:rPr>
        <w:t>OCENA SKUTKÓW FINANSOWYCH REGULACJI</w:t>
      </w:r>
    </w:p>
    <w:p w14:paraId="2612C209" w14:textId="77777777" w:rsidR="00A728BA" w:rsidRPr="00710B91" w:rsidRDefault="00A728BA" w:rsidP="00AA34E7">
      <w:pPr>
        <w:pStyle w:val="ManualHeading1"/>
        <w:rPr>
          <w:noProof/>
        </w:rPr>
      </w:pPr>
    </w:p>
    <w:sdt>
      <w:sdtPr>
        <w:rPr>
          <w:b w:val="0"/>
          <w:noProof/>
          <w:sz w:val="24"/>
        </w:rPr>
        <w:id w:val="-677662429"/>
        <w:docPartObj>
          <w:docPartGallery w:val="Table of Contents"/>
          <w:docPartUnique/>
        </w:docPartObj>
      </w:sdtPr>
      <w:sdtEndPr>
        <w:rPr>
          <w:bCs/>
        </w:rPr>
      </w:sdtEndPr>
      <w:sdtContent>
        <w:p w14:paraId="792DAC88" w14:textId="36F483F1" w:rsidR="00EC4B79" w:rsidRPr="00EC4B79" w:rsidRDefault="00EC4B79" w:rsidP="00EC4B79">
          <w:pPr>
            <w:pStyle w:val="TOCHeading"/>
            <w:jc w:val="both"/>
            <w:rPr>
              <w:b w:val="0"/>
              <w:noProof/>
              <w:sz w:val="24"/>
              <w:szCs w:val="24"/>
            </w:rPr>
          </w:pPr>
          <w:r w:rsidRPr="00EC4B79">
            <w:rPr>
              <w:b w:val="0"/>
              <w:noProof/>
              <w:sz w:val="24"/>
              <w:szCs w:val="24"/>
            </w:rPr>
            <w:t>Spis treści</w:t>
          </w:r>
        </w:p>
        <w:p w14:paraId="16BF64E1" w14:textId="40DD35AF" w:rsidR="00EC4B79" w:rsidRDefault="00EC4B79" w:rsidP="00EC4B79">
          <w:pPr>
            <w:pStyle w:val="TOC1"/>
            <w:rPr>
              <w:rFonts w:asciiTheme="minorHAnsi" w:eastAsiaTheme="minorEastAsia" w:hAnsiTheme="minorHAnsi" w:cstheme="minorBidi"/>
              <w:noProof/>
              <w:sz w:val="22"/>
              <w:lang w:val="en-US"/>
            </w:rPr>
          </w:pPr>
          <w:r>
            <w:rPr>
              <w:noProof/>
            </w:rPr>
            <w:fldChar w:fldCharType="begin"/>
          </w:r>
          <w:r>
            <w:rPr>
              <w:noProof/>
            </w:rPr>
            <w:instrText xml:space="preserve"> TOC \o "1-3" \h \z \u </w:instrText>
          </w:r>
          <w:r>
            <w:rPr>
              <w:noProof/>
            </w:rPr>
            <w:fldChar w:fldCharType="separate"/>
          </w:r>
        </w:p>
        <w:p w14:paraId="478DC06A" w14:textId="5489DD91" w:rsidR="00EC4B79" w:rsidRDefault="00280A15">
          <w:pPr>
            <w:pStyle w:val="TOC1"/>
            <w:rPr>
              <w:rFonts w:asciiTheme="minorHAnsi" w:eastAsiaTheme="minorEastAsia" w:hAnsiTheme="minorHAnsi" w:cstheme="minorBidi"/>
              <w:noProof/>
              <w:sz w:val="22"/>
              <w:lang w:val="en-US"/>
            </w:rPr>
          </w:pPr>
          <w:hyperlink w:anchor="_Toc92899377" w:history="1">
            <w:r w:rsidR="00EC4B79" w:rsidRPr="00F14C05">
              <w:rPr>
                <w:rStyle w:val="Hyperlink"/>
                <w:noProof/>
              </w:rPr>
              <w:t>1.</w:t>
            </w:r>
            <w:r w:rsidR="00EC4B79">
              <w:rPr>
                <w:rFonts w:asciiTheme="minorHAnsi" w:eastAsiaTheme="minorEastAsia" w:hAnsiTheme="minorHAnsi" w:cstheme="minorBidi"/>
                <w:noProof/>
                <w:sz w:val="22"/>
                <w:lang w:val="en-US"/>
              </w:rPr>
              <w:tab/>
            </w:r>
            <w:r w:rsidR="00EC4B79" w:rsidRPr="00F14C05">
              <w:rPr>
                <w:rStyle w:val="Hyperlink"/>
                <w:noProof/>
              </w:rPr>
              <w:t>STRUKTURA WNIOSKU/INICJATYWY</w:t>
            </w:r>
            <w:r w:rsidR="00EC4B79">
              <w:rPr>
                <w:noProof/>
                <w:webHidden/>
              </w:rPr>
              <w:tab/>
            </w:r>
            <w:r w:rsidR="00EC4B79">
              <w:rPr>
                <w:noProof/>
                <w:webHidden/>
              </w:rPr>
              <w:fldChar w:fldCharType="begin"/>
            </w:r>
            <w:r w:rsidR="00EC4B79">
              <w:rPr>
                <w:noProof/>
                <w:webHidden/>
              </w:rPr>
              <w:instrText xml:space="preserve"> PAGEREF _Toc92899377 \h </w:instrText>
            </w:r>
            <w:r w:rsidR="00EC4B79">
              <w:rPr>
                <w:noProof/>
                <w:webHidden/>
              </w:rPr>
            </w:r>
            <w:r w:rsidR="00EC4B79">
              <w:rPr>
                <w:noProof/>
                <w:webHidden/>
              </w:rPr>
              <w:fldChar w:fldCharType="separate"/>
            </w:r>
            <w:r w:rsidR="00EC4B79">
              <w:rPr>
                <w:noProof/>
                <w:webHidden/>
              </w:rPr>
              <w:t>41</w:t>
            </w:r>
            <w:r w:rsidR="00EC4B79">
              <w:rPr>
                <w:noProof/>
                <w:webHidden/>
              </w:rPr>
              <w:fldChar w:fldCharType="end"/>
            </w:r>
          </w:hyperlink>
        </w:p>
        <w:p w14:paraId="241B7096" w14:textId="2CAF2EC8" w:rsidR="00EC4B79" w:rsidRDefault="00280A15">
          <w:pPr>
            <w:pStyle w:val="TOC2"/>
            <w:rPr>
              <w:rFonts w:asciiTheme="minorHAnsi" w:eastAsiaTheme="minorEastAsia" w:hAnsiTheme="minorHAnsi" w:cstheme="minorBidi"/>
              <w:noProof/>
              <w:sz w:val="22"/>
              <w:lang w:val="en-US"/>
            </w:rPr>
          </w:pPr>
          <w:hyperlink w:anchor="_Toc92899378" w:history="1">
            <w:r w:rsidR="00EC4B79" w:rsidRPr="00F14C05">
              <w:rPr>
                <w:rStyle w:val="Hyperlink"/>
                <w:noProof/>
              </w:rPr>
              <w:t>1.1.</w:t>
            </w:r>
            <w:r w:rsidR="00EC4B79">
              <w:rPr>
                <w:rFonts w:asciiTheme="minorHAnsi" w:eastAsiaTheme="minorEastAsia" w:hAnsiTheme="minorHAnsi" w:cstheme="minorBidi"/>
                <w:noProof/>
                <w:sz w:val="22"/>
                <w:lang w:val="en-US"/>
              </w:rPr>
              <w:tab/>
            </w:r>
            <w:r w:rsidR="00EC4B79" w:rsidRPr="00F14C05">
              <w:rPr>
                <w:rStyle w:val="Hyperlink"/>
                <w:noProof/>
              </w:rPr>
              <w:t>Tytuł wniosku/inicjatywy</w:t>
            </w:r>
            <w:r w:rsidR="00EC4B79">
              <w:rPr>
                <w:noProof/>
                <w:webHidden/>
              </w:rPr>
              <w:tab/>
            </w:r>
            <w:r w:rsidR="00EC4B79">
              <w:rPr>
                <w:noProof/>
                <w:webHidden/>
              </w:rPr>
              <w:fldChar w:fldCharType="begin"/>
            </w:r>
            <w:r w:rsidR="00EC4B79">
              <w:rPr>
                <w:noProof/>
                <w:webHidden/>
              </w:rPr>
              <w:instrText xml:space="preserve"> PAGEREF _Toc92899378 \h </w:instrText>
            </w:r>
            <w:r w:rsidR="00EC4B79">
              <w:rPr>
                <w:noProof/>
                <w:webHidden/>
              </w:rPr>
            </w:r>
            <w:r w:rsidR="00EC4B79">
              <w:rPr>
                <w:noProof/>
                <w:webHidden/>
              </w:rPr>
              <w:fldChar w:fldCharType="separate"/>
            </w:r>
            <w:r w:rsidR="00EC4B79">
              <w:rPr>
                <w:noProof/>
                <w:webHidden/>
              </w:rPr>
              <w:t>41</w:t>
            </w:r>
            <w:r w:rsidR="00EC4B79">
              <w:rPr>
                <w:noProof/>
                <w:webHidden/>
              </w:rPr>
              <w:fldChar w:fldCharType="end"/>
            </w:r>
          </w:hyperlink>
        </w:p>
        <w:p w14:paraId="4BBAE84F" w14:textId="3578C971" w:rsidR="00EC4B79" w:rsidRDefault="00280A15">
          <w:pPr>
            <w:pStyle w:val="TOC2"/>
            <w:rPr>
              <w:rFonts w:asciiTheme="minorHAnsi" w:eastAsiaTheme="minorEastAsia" w:hAnsiTheme="minorHAnsi" w:cstheme="minorBidi"/>
              <w:noProof/>
              <w:sz w:val="22"/>
              <w:lang w:val="en-US"/>
            </w:rPr>
          </w:pPr>
          <w:hyperlink w:anchor="_Toc92899379" w:history="1">
            <w:r w:rsidR="00EC4B79" w:rsidRPr="00F14C05">
              <w:rPr>
                <w:rStyle w:val="Hyperlink"/>
                <w:i/>
                <w:noProof/>
              </w:rPr>
              <w:t>1.2.</w:t>
            </w:r>
            <w:r w:rsidR="00EC4B79">
              <w:rPr>
                <w:rFonts w:asciiTheme="minorHAnsi" w:eastAsiaTheme="minorEastAsia" w:hAnsiTheme="minorHAnsi" w:cstheme="minorBidi"/>
                <w:noProof/>
                <w:sz w:val="22"/>
                <w:lang w:val="en-US"/>
              </w:rPr>
              <w:tab/>
            </w:r>
            <w:r w:rsidR="00EC4B79" w:rsidRPr="00F14C05">
              <w:rPr>
                <w:rStyle w:val="Hyperlink"/>
                <w:noProof/>
              </w:rPr>
              <w:t>Obszary polityki, których dotyczy wniosek/inicjatywa</w:t>
            </w:r>
            <w:r w:rsidR="00EC4B79">
              <w:rPr>
                <w:noProof/>
                <w:webHidden/>
              </w:rPr>
              <w:tab/>
            </w:r>
            <w:r w:rsidR="00EC4B79">
              <w:rPr>
                <w:noProof/>
                <w:webHidden/>
              </w:rPr>
              <w:fldChar w:fldCharType="begin"/>
            </w:r>
            <w:r w:rsidR="00EC4B79">
              <w:rPr>
                <w:noProof/>
                <w:webHidden/>
              </w:rPr>
              <w:instrText xml:space="preserve"> PAGEREF _Toc92899379 \h </w:instrText>
            </w:r>
            <w:r w:rsidR="00EC4B79">
              <w:rPr>
                <w:noProof/>
                <w:webHidden/>
              </w:rPr>
            </w:r>
            <w:r w:rsidR="00EC4B79">
              <w:rPr>
                <w:noProof/>
                <w:webHidden/>
              </w:rPr>
              <w:fldChar w:fldCharType="separate"/>
            </w:r>
            <w:r w:rsidR="00EC4B79">
              <w:rPr>
                <w:noProof/>
                <w:webHidden/>
              </w:rPr>
              <w:t>41</w:t>
            </w:r>
            <w:r w:rsidR="00EC4B79">
              <w:rPr>
                <w:noProof/>
                <w:webHidden/>
              </w:rPr>
              <w:fldChar w:fldCharType="end"/>
            </w:r>
          </w:hyperlink>
        </w:p>
        <w:p w14:paraId="5C6EF2EB" w14:textId="3D010DD5" w:rsidR="00EC4B79" w:rsidRDefault="00280A15">
          <w:pPr>
            <w:pStyle w:val="TOC2"/>
            <w:rPr>
              <w:rFonts w:asciiTheme="minorHAnsi" w:eastAsiaTheme="minorEastAsia" w:hAnsiTheme="minorHAnsi" w:cstheme="minorBidi"/>
              <w:noProof/>
              <w:sz w:val="22"/>
              <w:lang w:val="en-US"/>
            </w:rPr>
          </w:pPr>
          <w:hyperlink w:anchor="_Toc92899380" w:history="1">
            <w:r w:rsidR="00EC4B79" w:rsidRPr="00F14C05">
              <w:rPr>
                <w:rStyle w:val="Hyperlink"/>
                <w:noProof/>
              </w:rPr>
              <w:t>1.3.</w:t>
            </w:r>
            <w:r w:rsidR="00EC4B79">
              <w:rPr>
                <w:rFonts w:asciiTheme="minorHAnsi" w:eastAsiaTheme="minorEastAsia" w:hAnsiTheme="minorHAnsi" w:cstheme="minorBidi"/>
                <w:noProof/>
                <w:sz w:val="22"/>
                <w:lang w:val="en-US"/>
              </w:rPr>
              <w:tab/>
            </w:r>
            <w:r w:rsidR="00EC4B79" w:rsidRPr="00F14C05">
              <w:rPr>
                <w:rStyle w:val="Hyperlink"/>
                <w:noProof/>
              </w:rPr>
              <w:t>Wniosek dotyczy:</w:t>
            </w:r>
            <w:r w:rsidR="00EC4B79">
              <w:rPr>
                <w:noProof/>
                <w:webHidden/>
              </w:rPr>
              <w:tab/>
            </w:r>
            <w:r w:rsidR="00EC4B79">
              <w:rPr>
                <w:noProof/>
                <w:webHidden/>
              </w:rPr>
              <w:fldChar w:fldCharType="begin"/>
            </w:r>
            <w:r w:rsidR="00EC4B79">
              <w:rPr>
                <w:noProof/>
                <w:webHidden/>
              </w:rPr>
              <w:instrText xml:space="preserve"> PAGEREF _Toc92899380 \h </w:instrText>
            </w:r>
            <w:r w:rsidR="00EC4B79">
              <w:rPr>
                <w:noProof/>
                <w:webHidden/>
              </w:rPr>
            </w:r>
            <w:r w:rsidR="00EC4B79">
              <w:rPr>
                <w:noProof/>
                <w:webHidden/>
              </w:rPr>
              <w:fldChar w:fldCharType="separate"/>
            </w:r>
            <w:r w:rsidR="00EC4B79">
              <w:rPr>
                <w:noProof/>
                <w:webHidden/>
              </w:rPr>
              <w:t>41</w:t>
            </w:r>
            <w:r w:rsidR="00EC4B79">
              <w:rPr>
                <w:noProof/>
                <w:webHidden/>
              </w:rPr>
              <w:fldChar w:fldCharType="end"/>
            </w:r>
          </w:hyperlink>
        </w:p>
        <w:p w14:paraId="276A0182" w14:textId="77E3E6D6" w:rsidR="00EC4B79" w:rsidRDefault="00280A15">
          <w:pPr>
            <w:pStyle w:val="TOC2"/>
            <w:rPr>
              <w:rFonts w:asciiTheme="minorHAnsi" w:eastAsiaTheme="minorEastAsia" w:hAnsiTheme="minorHAnsi" w:cstheme="minorBidi"/>
              <w:noProof/>
              <w:sz w:val="22"/>
              <w:lang w:val="en-US"/>
            </w:rPr>
          </w:pPr>
          <w:hyperlink w:anchor="_Toc92899381" w:history="1">
            <w:r w:rsidR="00EC4B79" w:rsidRPr="00F14C05">
              <w:rPr>
                <w:rStyle w:val="Hyperlink"/>
                <w:noProof/>
              </w:rPr>
              <w:t>1.4.</w:t>
            </w:r>
            <w:r w:rsidR="00EC4B79">
              <w:rPr>
                <w:rFonts w:asciiTheme="minorHAnsi" w:eastAsiaTheme="minorEastAsia" w:hAnsiTheme="minorHAnsi" w:cstheme="minorBidi"/>
                <w:noProof/>
                <w:sz w:val="22"/>
                <w:lang w:val="en-US"/>
              </w:rPr>
              <w:tab/>
            </w:r>
            <w:r w:rsidR="00EC4B79" w:rsidRPr="00F14C05">
              <w:rPr>
                <w:rStyle w:val="Hyperlink"/>
                <w:noProof/>
              </w:rPr>
              <w:t>Cel(e)</w:t>
            </w:r>
            <w:r w:rsidR="00EC4B79">
              <w:rPr>
                <w:noProof/>
                <w:webHidden/>
              </w:rPr>
              <w:tab/>
            </w:r>
            <w:r w:rsidR="00EC4B79">
              <w:rPr>
                <w:noProof/>
                <w:webHidden/>
              </w:rPr>
              <w:fldChar w:fldCharType="begin"/>
            </w:r>
            <w:r w:rsidR="00EC4B79">
              <w:rPr>
                <w:noProof/>
                <w:webHidden/>
              </w:rPr>
              <w:instrText xml:space="preserve"> PAGEREF _Toc92899381 \h </w:instrText>
            </w:r>
            <w:r w:rsidR="00EC4B79">
              <w:rPr>
                <w:noProof/>
                <w:webHidden/>
              </w:rPr>
            </w:r>
            <w:r w:rsidR="00EC4B79">
              <w:rPr>
                <w:noProof/>
                <w:webHidden/>
              </w:rPr>
              <w:fldChar w:fldCharType="separate"/>
            </w:r>
            <w:r w:rsidR="00EC4B79">
              <w:rPr>
                <w:noProof/>
                <w:webHidden/>
              </w:rPr>
              <w:t>41</w:t>
            </w:r>
            <w:r w:rsidR="00EC4B79">
              <w:rPr>
                <w:noProof/>
                <w:webHidden/>
              </w:rPr>
              <w:fldChar w:fldCharType="end"/>
            </w:r>
          </w:hyperlink>
        </w:p>
        <w:p w14:paraId="28C88D6D" w14:textId="3521CD43" w:rsidR="00EC4B79" w:rsidRDefault="00280A15">
          <w:pPr>
            <w:pStyle w:val="TOC3"/>
            <w:rPr>
              <w:rFonts w:asciiTheme="minorHAnsi" w:eastAsiaTheme="minorEastAsia" w:hAnsiTheme="minorHAnsi" w:cstheme="minorBidi"/>
              <w:noProof/>
              <w:sz w:val="22"/>
              <w:lang w:val="en-US"/>
            </w:rPr>
          </w:pPr>
          <w:hyperlink w:anchor="_Toc92899382" w:history="1">
            <w:r w:rsidR="00EC4B79" w:rsidRPr="00F14C05">
              <w:rPr>
                <w:rStyle w:val="Hyperlink"/>
                <w:noProof/>
              </w:rPr>
              <w:t>1.4.1.</w:t>
            </w:r>
            <w:r w:rsidR="00EC4B79">
              <w:rPr>
                <w:rFonts w:asciiTheme="minorHAnsi" w:eastAsiaTheme="minorEastAsia" w:hAnsiTheme="minorHAnsi" w:cstheme="minorBidi"/>
                <w:noProof/>
                <w:sz w:val="22"/>
                <w:lang w:val="en-US"/>
              </w:rPr>
              <w:tab/>
            </w:r>
            <w:r w:rsidR="00EC4B79" w:rsidRPr="00F14C05">
              <w:rPr>
                <w:rStyle w:val="Hyperlink"/>
                <w:noProof/>
              </w:rPr>
              <w:t>Cel(e) ogólny(e)</w:t>
            </w:r>
            <w:r w:rsidR="00EC4B79">
              <w:rPr>
                <w:noProof/>
                <w:webHidden/>
              </w:rPr>
              <w:tab/>
            </w:r>
            <w:r w:rsidR="00EC4B79">
              <w:rPr>
                <w:noProof/>
                <w:webHidden/>
              </w:rPr>
              <w:fldChar w:fldCharType="begin"/>
            </w:r>
            <w:r w:rsidR="00EC4B79">
              <w:rPr>
                <w:noProof/>
                <w:webHidden/>
              </w:rPr>
              <w:instrText xml:space="preserve"> PAGEREF _Toc92899382 \h </w:instrText>
            </w:r>
            <w:r w:rsidR="00EC4B79">
              <w:rPr>
                <w:noProof/>
                <w:webHidden/>
              </w:rPr>
            </w:r>
            <w:r w:rsidR="00EC4B79">
              <w:rPr>
                <w:noProof/>
                <w:webHidden/>
              </w:rPr>
              <w:fldChar w:fldCharType="separate"/>
            </w:r>
            <w:r w:rsidR="00EC4B79">
              <w:rPr>
                <w:noProof/>
                <w:webHidden/>
              </w:rPr>
              <w:t>41</w:t>
            </w:r>
            <w:r w:rsidR="00EC4B79">
              <w:rPr>
                <w:noProof/>
                <w:webHidden/>
              </w:rPr>
              <w:fldChar w:fldCharType="end"/>
            </w:r>
          </w:hyperlink>
        </w:p>
        <w:p w14:paraId="30E66717" w14:textId="0ECF0821" w:rsidR="00EC4B79" w:rsidRDefault="00280A15">
          <w:pPr>
            <w:pStyle w:val="TOC3"/>
            <w:rPr>
              <w:rFonts w:asciiTheme="minorHAnsi" w:eastAsiaTheme="minorEastAsia" w:hAnsiTheme="minorHAnsi" w:cstheme="minorBidi"/>
              <w:noProof/>
              <w:sz w:val="22"/>
              <w:lang w:val="en-US"/>
            </w:rPr>
          </w:pPr>
          <w:hyperlink w:anchor="_Toc92899383" w:history="1">
            <w:r w:rsidR="00EC4B79" w:rsidRPr="00F14C05">
              <w:rPr>
                <w:rStyle w:val="Hyperlink"/>
                <w:noProof/>
              </w:rPr>
              <w:t>1.4.2.</w:t>
            </w:r>
            <w:r w:rsidR="00EC4B79">
              <w:rPr>
                <w:rFonts w:asciiTheme="minorHAnsi" w:eastAsiaTheme="minorEastAsia" w:hAnsiTheme="minorHAnsi" w:cstheme="minorBidi"/>
                <w:noProof/>
                <w:sz w:val="22"/>
                <w:lang w:val="en-US"/>
              </w:rPr>
              <w:tab/>
            </w:r>
            <w:r w:rsidR="00EC4B79" w:rsidRPr="00F14C05">
              <w:rPr>
                <w:rStyle w:val="Hyperlink"/>
                <w:noProof/>
              </w:rPr>
              <w:t>Cel(e) szczegółowy(e)</w:t>
            </w:r>
            <w:r w:rsidR="00EC4B79">
              <w:rPr>
                <w:noProof/>
                <w:webHidden/>
              </w:rPr>
              <w:tab/>
            </w:r>
            <w:r w:rsidR="00EC4B79">
              <w:rPr>
                <w:noProof/>
                <w:webHidden/>
              </w:rPr>
              <w:fldChar w:fldCharType="begin"/>
            </w:r>
            <w:r w:rsidR="00EC4B79">
              <w:rPr>
                <w:noProof/>
                <w:webHidden/>
              </w:rPr>
              <w:instrText xml:space="preserve"> PAGEREF _Toc92899383 \h </w:instrText>
            </w:r>
            <w:r w:rsidR="00EC4B79">
              <w:rPr>
                <w:noProof/>
                <w:webHidden/>
              </w:rPr>
            </w:r>
            <w:r w:rsidR="00EC4B79">
              <w:rPr>
                <w:noProof/>
                <w:webHidden/>
              </w:rPr>
              <w:fldChar w:fldCharType="separate"/>
            </w:r>
            <w:r w:rsidR="00EC4B79">
              <w:rPr>
                <w:noProof/>
                <w:webHidden/>
              </w:rPr>
              <w:t>41</w:t>
            </w:r>
            <w:r w:rsidR="00EC4B79">
              <w:rPr>
                <w:noProof/>
                <w:webHidden/>
              </w:rPr>
              <w:fldChar w:fldCharType="end"/>
            </w:r>
          </w:hyperlink>
        </w:p>
        <w:p w14:paraId="120DA4B1" w14:textId="344DEA2C" w:rsidR="00EC4B79" w:rsidRDefault="00280A15">
          <w:pPr>
            <w:pStyle w:val="TOC3"/>
            <w:rPr>
              <w:rFonts w:asciiTheme="minorHAnsi" w:eastAsiaTheme="minorEastAsia" w:hAnsiTheme="minorHAnsi" w:cstheme="minorBidi"/>
              <w:noProof/>
              <w:sz w:val="22"/>
              <w:lang w:val="en-US"/>
            </w:rPr>
          </w:pPr>
          <w:hyperlink w:anchor="_Toc92899384" w:history="1">
            <w:r w:rsidR="00EC4B79" w:rsidRPr="00F14C05">
              <w:rPr>
                <w:rStyle w:val="Hyperlink"/>
                <w:noProof/>
              </w:rPr>
              <w:t>1.4.3.</w:t>
            </w:r>
            <w:r w:rsidR="00EC4B79">
              <w:rPr>
                <w:rFonts w:asciiTheme="minorHAnsi" w:eastAsiaTheme="minorEastAsia" w:hAnsiTheme="minorHAnsi" w:cstheme="minorBidi"/>
                <w:noProof/>
                <w:sz w:val="22"/>
                <w:lang w:val="en-US"/>
              </w:rPr>
              <w:tab/>
            </w:r>
            <w:r w:rsidR="00EC4B79" w:rsidRPr="00F14C05">
              <w:rPr>
                <w:rStyle w:val="Hyperlink"/>
                <w:noProof/>
              </w:rPr>
              <w:t>Oczekiwane wyniki i wpływ</w:t>
            </w:r>
            <w:r w:rsidR="00EC4B79">
              <w:rPr>
                <w:noProof/>
                <w:webHidden/>
              </w:rPr>
              <w:tab/>
            </w:r>
            <w:r w:rsidR="00EC4B79">
              <w:rPr>
                <w:noProof/>
                <w:webHidden/>
              </w:rPr>
              <w:fldChar w:fldCharType="begin"/>
            </w:r>
            <w:r w:rsidR="00EC4B79">
              <w:rPr>
                <w:noProof/>
                <w:webHidden/>
              </w:rPr>
              <w:instrText xml:space="preserve"> PAGEREF _Toc92899384 \h </w:instrText>
            </w:r>
            <w:r w:rsidR="00EC4B79">
              <w:rPr>
                <w:noProof/>
                <w:webHidden/>
              </w:rPr>
            </w:r>
            <w:r w:rsidR="00EC4B79">
              <w:rPr>
                <w:noProof/>
                <w:webHidden/>
              </w:rPr>
              <w:fldChar w:fldCharType="separate"/>
            </w:r>
            <w:r w:rsidR="00EC4B79">
              <w:rPr>
                <w:noProof/>
                <w:webHidden/>
              </w:rPr>
              <w:t>41</w:t>
            </w:r>
            <w:r w:rsidR="00EC4B79">
              <w:rPr>
                <w:noProof/>
                <w:webHidden/>
              </w:rPr>
              <w:fldChar w:fldCharType="end"/>
            </w:r>
          </w:hyperlink>
        </w:p>
        <w:p w14:paraId="3073CAC8" w14:textId="0D9617C0" w:rsidR="00EC4B79" w:rsidRDefault="00280A15">
          <w:pPr>
            <w:pStyle w:val="TOC3"/>
            <w:rPr>
              <w:rFonts w:asciiTheme="minorHAnsi" w:eastAsiaTheme="minorEastAsia" w:hAnsiTheme="minorHAnsi" w:cstheme="minorBidi"/>
              <w:noProof/>
              <w:sz w:val="22"/>
              <w:lang w:val="en-US"/>
            </w:rPr>
          </w:pPr>
          <w:hyperlink w:anchor="_Toc92899385" w:history="1">
            <w:r w:rsidR="00EC4B79" w:rsidRPr="00F14C05">
              <w:rPr>
                <w:rStyle w:val="Hyperlink"/>
                <w:noProof/>
              </w:rPr>
              <w:t>1.4.4.</w:t>
            </w:r>
            <w:r w:rsidR="00EC4B79">
              <w:rPr>
                <w:rFonts w:asciiTheme="minorHAnsi" w:eastAsiaTheme="minorEastAsia" w:hAnsiTheme="minorHAnsi" w:cstheme="minorBidi"/>
                <w:noProof/>
                <w:sz w:val="22"/>
                <w:lang w:val="en-US"/>
              </w:rPr>
              <w:tab/>
            </w:r>
            <w:r w:rsidR="00EC4B79" w:rsidRPr="00F14C05">
              <w:rPr>
                <w:rStyle w:val="Hyperlink"/>
                <w:noProof/>
              </w:rPr>
              <w:t>Wskaźniki dotyczące realizacji celów</w:t>
            </w:r>
            <w:r w:rsidR="00EC4B79">
              <w:rPr>
                <w:noProof/>
                <w:webHidden/>
              </w:rPr>
              <w:tab/>
            </w:r>
            <w:r w:rsidR="00EC4B79">
              <w:rPr>
                <w:noProof/>
                <w:webHidden/>
              </w:rPr>
              <w:fldChar w:fldCharType="begin"/>
            </w:r>
            <w:r w:rsidR="00EC4B79">
              <w:rPr>
                <w:noProof/>
                <w:webHidden/>
              </w:rPr>
              <w:instrText xml:space="preserve"> PAGEREF _Toc92899385 \h </w:instrText>
            </w:r>
            <w:r w:rsidR="00EC4B79">
              <w:rPr>
                <w:noProof/>
                <w:webHidden/>
              </w:rPr>
            </w:r>
            <w:r w:rsidR="00EC4B79">
              <w:rPr>
                <w:noProof/>
                <w:webHidden/>
              </w:rPr>
              <w:fldChar w:fldCharType="separate"/>
            </w:r>
            <w:r w:rsidR="00EC4B79">
              <w:rPr>
                <w:noProof/>
                <w:webHidden/>
              </w:rPr>
              <w:t>42</w:t>
            </w:r>
            <w:r w:rsidR="00EC4B79">
              <w:rPr>
                <w:noProof/>
                <w:webHidden/>
              </w:rPr>
              <w:fldChar w:fldCharType="end"/>
            </w:r>
          </w:hyperlink>
        </w:p>
        <w:p w14:paraId="65372223" w14:textId="750A6AA8" w:rsidR="00EC4B79" w:rsidRDefault="00280A15">
          <w:pPr>
            <w:pStyle w:val="TOC2"/>
            <w:rPr>
              <w:rFonts w:asciiTheme="minorHAnsi" w:eastAsiaTheme="minorEastAsia" w:hAnsiTheme="minorHAnsi" w:cstheme="minorBidi"/>
              <w:noProof/>
              <w:sz w:val="22"/>
              <w:lang w:val="en-US"/>
            </w:rPr>
          </w:pPr>
          <w:hyperlink w:anchor="_Toc92899386" w:history="1">
            <w:r w:rsidR="00EC4B79" w:rsidRPr="00F14C05">
              <w:rPr>
                <w:rStyle w:val="Hyperlink"/>
                <w:noProof/>
              </w:rPr>
              <w:t>1.5.</w:t>
            </w:r>
            <w:r w:rsidR="00EC4B79">
              <w:rPr>
                <w:rFonts w:asciiTheme="minorHAnsi" w:eastAsiaTheme="minorEastAsia" w:hAnsiTheme="minorHAnsi" w:cstheme="minorBidi"/>
                <w:noProof/>
                <w:sz w:val="22"/>
                <w:lang w:val="en-US"/>
              </w:rPr>
              <w:tab/>
            </w:r>
            <w:r w:rsidR="00EC4B79" w:rsidRPr="00F14C05">
              <w:rPr>
                <w:rStyle w:val="Hyperlink"/>
                <w:noProof/>
              </w:rPr>
              <w:t>Uzasadnienie wniosku/inicjatywy</w:t>
            </w:r>
            <w:r w:rsidR="00EC4B79">
              <w:rPr>
                <w:noProof/>
                <w:webHidden/>
              </w:rPr>
              <w:tab/>
            </w:r>
            <w:r w:rsidR="00EC4B79">
              <w:rPr>
                <w:noProof/>
                <w:webHidden/>
              </w:rPr>
              <w:fldChar w:fldCharType="begin"/>
            </w:r>
            <w:r w:rsidR="00EC4B79">
              <w:rPr>
                <w:noProof/>
                <w:webHidden/>
              </w:rPr>
              <w:instrText xml:space="preserve"> PAGEREF _Toc92899386 \h </w:instrText>
            </w:r>
            <w:r w:rsidR="00EC4B79">
              <w:rPr>
                <w:noProof/>
                <w:webHidden/>
              </w:rPr>
            </w:r>
            <w:r w:rsidR="00EC4B79">
              <w:rPr>
                <w:noProof/>
                <w:webHidden/>
              </w:rPr>
              <w:fldChar w:fldCharType="separate"/>
            </w:r>
            <w:r w:rsidR="00EC4B79">
              <w:rPr>
                <w:noProof/>
                <w:webHidden/>
              </w:rPr>
              <w:t>42</w:t>
            </w:r>
            <w:r w:rsidR="00EC4B79">
              <w:rPr>
                <w:noProof/>
                <w:webHidden/>
              </w:rPr>
              <w:fldChar w:fldCharType="end"/>
            </w:r>
          </w:hyperlink>
        </w:p>
        <w:p w14:paraId="0F257D7F" w14:textId="10663BC4" w:rsidR="00EC4B79" w:rsidRDefault="00280A15">
          <w:pPr>
            <w:pStyle w:val="TOC3"/>
            <w:rPr>
              <w:rFonts w:asciiTheme="minorHAnsi" w:eastAsiaTheme="minorEastAsia" w:hAnsiTheme="minorHAnsi" w:cstheme="minorBidi"/>
              <w:noProof/>
              <w:sz w:val="22"/>
              <w:lang w:val="en-US"/>
            </w:rPr>
          </w:pPr>
          <w:hyperlink w:anchor="_Toc92899387" w:history="1">
            <w:r w:rsidR="00EC4B79" w:rsidRPr="00F14C05">
              <w:rPr>
                <w:rStyle w:val="Hyperlink"/>
                <w:noProof/>
              </w:rPr>
              <w:t>1.5.1.</w:t>
            </w:r>
            <w:r w:rsidR="00EC4B79">
              <w:rPr>
                <w:rFonts w:asciiTheme="minorHAnsi" w:eastAsiaTheme="minorEastAsia" w:hAnsiTheme="minorHAnsi" w:cstheme="minorBidi"/>
                <w:noProof/>
                <w:sz w:val="22"/>
                <w:lang w:val="en-US"/>
              </w:rPr>
              <w:tab/>
            </w:r>
            <w:r w:rsidR="00EC4B79" w:rsidRPr="00F14C05">
              <w:rPr>
                <w:rStyle w:val="Hyperlink"/>
                <w:noProof/>
              </w:rPr>
              <w:t>Potrzeby, które należy zaspokoić w perspektywie krótko- lub długoterminowej, w tym szczegółowy terminarz przebiegu realizacji inicjatywy</w:t>
            </w:r>
            <w:r w:rsidR="00EC4B79">
              <w:rPr>
                <w:noProof/>
                <w:webHidden/>
              </w:rPr>
              <w:tab/>
            </w:r>
            <w:r w:rsidR="00EC4B79">
              <w:rPr>
                <w:noProof/>
                <w:webHidden/>
              </w:rPr>
              <w:fldChar w:fldCharType="begin"/>
            </w:r>
            <w:r w:rsidR="00EC4B79">
              <w:rPr>
                <w:noProof/>
                <w:webHidden/>
              </w:rPr>
              <w:instrText xml:space="preserve"> PAGEREF _Toc92899387 \h </w:instrText>
            </w:r>
            <w:r w:rsidR="00EC4B79">
              <w:rPr>
                <w:noProof/>
                <w:webHidden/>
              </w:rPr>
            </w:r>
            <w:r w:rsidR="00EC4B79">
              <w:rPr>
                <w:noProof/>
                <w:webHidden/>
              </w:rPr>
              <w:fldChar w:fldCharType="separate"/>
            </w:r>
            <w:r w:rsidR="00EC4B79">
              <w:rPr>
                <w:noProof/>
                <w:webHidden/>
              </w:rPr>
              <w:t>42</w:t>
            </w:r>
            <w:r w:rsidR="00EC4B79">
              <w:rPr>
                <w:noProof/>
                <w:webHidden/>
              </w:rPr>
              <w:fldChar w:fldCharType="end"/>
            </w:r>
          </w:hyperlink>
        </w:p>
        <w:p w14:paraId="2C4C3061" w14:textId="5B343839" w:rsidR="00EC4B79" w:rsidRDefault="00280A15">
          <w:pPr>
            <w:pStyle w:val="TOC3"/>
            <w:rPr>
              <w:rFonts w:asciiTheme="minorHAnsi" w:eastAsiaTheme="minorEastAsia" w:hAnsiTheme="minorHAnsi" w:cstheme="minorBidi"/>
              <w:noProof/>
              <w:sz w:val="22"/>
              <w:lang w:val="en-US"/>
            </w:rPr>
          </w:pPr>
          <w:hyperlink w:anchor="_Toc92899388" w:history="1">
            <w:r w:rsidR="00EC4B79" w:rsidRPr="00F14C05">
              <w:rPr>
                <w:rStyle w:val="Hyperlink"/>
                <w:noProof/>
              </w:rPr>
              <w:t>1.5.2.</w:t>
            </w:r>
            <w:r w:rsidR="00EC4B79">
              <w:rPr>
                <w:rFonts w:asciiTheme="minorHAnsi" w:eastAsiaTheme="minorEastAsia" w:hAnsiTheme="minorHAnsi" w:cstheme="minorBidi"/>
                <w:noProof/>
                <w:sz w:val="22"/>
                <w:lang w:val="en-US"/>
              </w:rPr>
              <w:tab/>
            </w:r>
            <w:r w:rsidR="00EC4B79" w:rsidRPr="00F14C05">
              <w:rPr>
                <w:rStyle w:val="Hyperlink"/>
                <w:noProof/>
              </w:rPr>
              <w:t>Wartość dodana z tytułu zaangażowania Unii Europejskiej (może wynikać z różnych czynników, na przykład korzyści koordynacyjnych, pewności prawa, większej efektywności lub komplementarności). Na potrzeby tego punktu „wartość dodaną z tytułu zaangażowania Unii” należy rozumieć jako wartość wynikającą z unijnej interwencji, wykraczającą poza wartość, która zostałaby wytworzona przez same państwa członkowskie.</w:t>
            </w:r>
            <w:r w:rsidR="00EC4B79">
              <w:rPr>
                <w:noProof/>
                <w:webHidden/>
              </w:rPr>
              <w:tab/>
            </w:r>
            <w:r w:rsidR="00EC4B79">
              <w:rPr>
                <w:noProof/>
                <w:webHidden/>
              </w:rPr>
              <w:fldChar w:fldCharType="begin"/>
            </w:r>
            <w:r w:rsidR="00EC4B79">
              <w:rPr>
                <w:noProof/>
                <w:webHidden/>
              </w:rPr>
              <w:instrText xml:space="preserve"> PAGEREF _Toc92899388 \h </w:instrText>
            </w:r>
            <w:r w:rsidR="00EC4B79">
              <w:rPr>
                <w:noProof/>
                <w:webHidden/>
              </w:rPr>
            </w:r>
            <w:r w:rsidR="00EC4B79">
              <w:rPr>
                <w:noProof/>
                <w:webHidden/>
              </w:rPr>
              <w:fldChar w:fldCharType="separate"/>
            </w:r>
            <w:r w:rsidR="00EC4B79">
              <w:rPr>
                <w:noProof/>
                <w:webHidden/>
              </w:rPr>
              <w:t>42</w:t>
            </w:r>
            <w:r w:rsidR="00EC4B79">
              <w:rPr>
                <w:noProof/>
                <w:webHidden/>
              </w:rPr>
              <w:fldChar w:fldCharType="end"/>
            </w:r>
          </w:hyperlink>
        </w:p>
        <w:p w14:paraId="01E8B868" w14:textId="087EAA5E" w:rsidR="00EC4B79" w:rsidRDefault="00280A15">
          <w:pPr>
            <w:pStyle w:val="TOC3"/>
            <w:rPr>
              <w:rFonts w:asciiTheme="minorHAnsi" w:eastAsiaTheme="minorEastAsia" w:hAnsiTheme="minorHAnsi" w:cstheme="minorBidi"/>
              <w:noProof/>
              <w:sz w:val="22"/>
              <w:lang w:val="en-US"/>
            </w:rPr>
          </w:pPr>
          <w:hyperlink w:anchor="_Toc92899389" w:history="1">
            <w:r w:rsidR="00EC4B79" w:rsidRPr="00F14C05">
              <w:rPr>
                <w:rStyle w:val="Hyperlink"/>
                <w:noProof/>
              </w:rPr>
              <w:t>1.5.3.</w:t>
            </w:r>
            <w:r w:rsidR="00EC4B79">
              <w:rPr>
                <w:rFonts w:asciiTheme="minorHAnsi" w:eastAsiaTheme="minorEastAsia" w:hAnsiTheme="minorHAnsi" w:cstheme="minorBidi"/>
                <w:noProof/>
                <w:sz w:val="22"/>
                <w:lang w:val="en-US"/>
              </w:rPr>
              <w:tab/>
            </w:r>
            <w:r w:rsidR="00EC4B79" w:rsidRPr="00F14C05">
              <w:rPr>
                <w:rStyle w:val="Hyperlink"/>
                <w:noProof/>
              </w:rPr>
              <w:t>Główne wnioski wyciągnięte z podobnych działań</w:t>
            </w:r>
            <w:r w:rsidR="00EC4B79">
              <w:rPr>
                <w:noProof/>
                <w:webHidden/>
              </w:rPr>
              <w:tab/>
            </w:r>
            <w:r w:rsidR="00EC4B79">
              <w:rPr>
                <w:noProof/>
                <w:webHidden/>
              </w:rPr>
              <w:fldChar w:fldCharType="begin"/>
            </w:r>
            <w:r w:rsidR="00EC4B79">
              <w:rPr>
                <w:noProof/>
                <w:webHidden/>
              </w:rPr>
              <w:instrText xml:space="preserve"> PAGEREF _Toc92899389 \h </w:instrText>
            </w:r>
            <w:r w:rsidR="00EC4B79">
              <w:rPr>
                <w:noProof/>
                <w:webHidden/>
              </w:rPr>
            </w:r>
            <w:r w:rsidR="00EC4B79">
              <w:rPr>
                <w:noProof/>
                <w:webHidden/>
              </w:rPr>
              <w:fldChar w:fldCharType="separate"/>
            </w:r>
            <w:r w:rsidR="00EC4B79">
              <w:rPr>
                <w:noProof/>
                <w:webHidden/>
              </w:rPr>
              <w:t>43</w:t>
            </w:r>
            <w:r w:rsidR="00EC4B79">
              <w:rPr>
                <w:noProof/>
                <w:webHidden/>
              </w:rPr>
              <w:fldChar w:fldCharType="end"/>
            </w:r>
          </w:hyperlink>
        </w:p>
        <w:p w14:paraId="57F725FA" w14:textId="2B184BDC" w:rsidR="00EC4B79" w:rsidRDefault="00280A15">
          <w:pPr>
            <w:pStyle w:val="TOC3"/>
            <w:rPr>
              <w:rFonts w:asciiTheme="minorHAnsi" w:eastAsiaTheme="minorEastAsia" w:hAnsiTheme="minorHAnsi" w:cstheme="minorBidi"/>
              <w:noProof/>
              <w:sz w:val="22"/>
              <w:lang w:val="en-US"/>
            </w:rPr>
          </w:pPr>
          <w:hyperlink w:anchor="_Toc92899390" w:history="1">
            <w:r w:rsidR="00EC4B79" w:rsidRPr="00F14C05">
              <w:rPr>
                <w:rStyle w:val="Hyperlink"/>
                <w:noProof/>
              </w:rPr>
              <w:t>1.5.4.</w:t>
            </w:r>
            <w:r w:rsidR="00EC4B79">
              <w:rPr>
                <w:rFonts w:asciiTheme="minorHAnsi" w:eastAsiaTheme="minorEastAsia" w:hAnsiTheme="minorHAnsi" w:cstheme="minorBidi"/>
                <w:noProof/>
                <w:sz w:val="22"/>
                <w:lang w:val="en-US"/>
              </w:rPr>
              <w:tab/>
            </w:r>
            <w:r w:rsidR="00EC4B79" w:rsidRPr="00F14C05">
              <w:rPr>
                <w:rStyle w:val="Hyperlink"/>
                <w:noProof/>
              </w:rPr>
              <w:t>Spójność z wieloletnimi ramami finansowymi oraz możliwa synergia z innymi właściwymi instrumentami</w:t>
            </w:r>
            <w:r w:rsidR="00EC4B79">
              <w:rPr>
                <w:noProof/>
                <w:webHidden/>
              </w:rPr>
              <w:tab/>
            </w:r>
            <w:r w:rsidR="00EC4B79">
              <w:rPr>
                <w:noProof/>
                <w:webHidden/>
              </w:rPr>
              <w:fldChar w:fldCharType="begin"/>
            </w:r>
            <w:r w:rsidR="00EC4B79">
              <w:rPr>
                <w:noProof/>
                <w:webHidden/>
              </w:rPr>
              <w:instrText xml:space="preserve"> PAGEREF _Toc92899390 \h </w:instrText>
            </w:r>
            <w:r w:rsidR="00EC4B79">
              <w:rPr>
                <w:noProof/>
                <w:webHidden/>
              </w:rPr>
            </w:r>
            <w:r w:rsidR="00EC4B79">
              <w:rPr>
                <w:noProof/>
                <w:webHidden/>
              </w:rPr>
              <w:fldChar w:fldCharType="separate"/>
            </w:r>
            <w:r w:rsidR="00EC4B79">
              <w:rPr>
                <w:noProof/>
                <w:webHidden/>
              </w:rPr>
              <w:t>43</w:t>
            </w:r>
            <w:r w:rsidR="00EC4B79">
              <w:rPr>
                <w:noProof/>
                <w:webHidden/>
              </w:rPr>
              <w:fldChar w:fldCharType="end"/>
            </w:r>
          </w:hyperlink>
        </w:p>
        <w:p w14:paraId="3F78CA81" w14:textId="502F6DEC" w:rsidR="00EC4B79" w:rsidRDefault="00280A15">
          <w:pPr>
            <w:pStyle w:val="TOC3"/>
            <w:rPr>
              <w:rFonts w:asciiTheme="minorHAnsi" w:eastAsiaTheme="minorEastAsia" w:hAnsiTheme="minorHAnsi" w:cstheme="minorBidi"/>
              <w:noProof/>
              <w:sz w:val="22"/>
              <w:lang w:val="en-US"/>
            </w:rPr>
          </w:pPr>
          <w:hyperlink w:anchor="_Toc92899391" w:history="1">
            <w:r w:rsidR="00EC4B79" w:rsidRPr="00F14C05">
              <w:rPr>
                <w:rStyle w:val="Hyperlink"/>
                <w:noProof/>
              </w:rPr>
              <w:t>1.5.5.</w:t>
            </w:r>
            <w:r w:rsidR="00EC4B79">
              <w:rPr>
                <w:rFonts w:asciiTheme="minorHAnsi" w:eastAsiaTheme="minorEastAsia" w:hAnsiTheme="minorHAnsi" w:cstheme="minorBidi"/>
                <w:noProof/>
                <w:sz w:val="22"/>
                <w:lang w:val="en-US"/>
              </w:rPr>
              <w:tab/>
            </w:r>
            <w:r w:rsidR="00EC4B79" w:rsidRPr="00F14C05">
              <w:rPr>
                <w:rStyle w:val="Hyperlink"/>
                <w:noProof/>
              </w:rPr>
              <w:t>Ocena różnych dostępnych możliwości finansowania, w tym zakresu przegrupowania środków</w:t>
            </w:r>
            <w:r w:rsidR="00EC4B79">
              <w:rPr>
                <w:noProof/>
                <w:webHidden/>
              </w:rPr>
              <w:tab/>
            </w:r>
            <w:r w:rsidR="00EC4B79">
              <w:rPr>
                <w:noProof/>
                <w:webHidden/>
              </w:rPr>
              <w:fldChar w:fldCharType="begin"/>
            </w:r>
            <w:r w:rsidR="00EC4B79">
              <w:rPr>
                <w:noProof/>
                <w:webHidden/>
              </w:rPr>
              <w:instrText xml:space="preserve"> PAGEREF _Toc92899391 \h </w:instrText>
            </w:r>
            <w:r w:rsidR="00EC4B79">
              <w:rPr>
                <w:noProof/>
                <w:webHidden/>
              </w:rPr>
            </w:r>
            <w:r w:rsidR="00EC4B79">
              <w:rPr>
                <w:noProof/>
                <w:webHidden/>
              </w:rPr>
              <w:fldChar w:fldCharType="separate"/>
            </w:r>
            <w:r w:rsidR="00EC4B79">
              <w:rPr>
                <w:noProof/>
                <w:webHidden/>
              </w:rPr>
              <w:t>43</w:t>
            </w:r>
            <w:r w:rsidR="00EC4B79">
              <w:rPr>
                <w:noProof/>
                <w:webHidden/>
              </w:rPr>
              <w:fldChar w:fldCharType="end"/>
            </w:r>
          </w:hyperlink>
        </w:p>
        <w:p w14:paraId="17FD89D0" w14:textId="09C810FF" w:rsidR="00EC4B79" w:rsidRDefault="00280A15">
          <w:pPr>
            <w:pStyle w:val="TOC2"/>
            <w:rPr>
              <w:rFonts w:asciiTheme="minorHAnsi" w:eastAsiaTheme="minorEastAsia" w:hAnsiTheme="minorHAnsi" w:cstheme="minorBidi"/>
              <w:noProof/>
              <w:sz w:val="22"/>
              <w:lang w:val="en-US"/>
            </w:rPr>
          </w:pPr>
          <w:hyperlink w:anchor="_Toc92899392" w:history="1">
            <w:r w:rsidR="00EC4B79" w:rsidRPr="00F14C05">
              <w:rPr>
                <w:rStyle w:val="Hyperlink"/>
                <w:noProof/>
              </w:rPr>
              <w:t>1.6.</w:t>
            </w:r>
            <w:r w:rsidR="00EC4B79">
              <w:rPr>
                <w:rFonts w:asciiTheme="minorHAnsi" w:eastAsiaTheme="minorEastAsia" w:hAnsiTheme="minorHAnsi" w:cstheme="minorBidi"/>
                <w:noProof/>
                <w:sz w:val="22"/>
                <w:lang w:val="en-US"/>
              </w:rPr>
              <w:tab/>
            </w:r>
            <w:r w:rsidR="00EC4B79" w:rsidRPr="00F14C05">
              <w:rPr>
                <w:rStyle w:val="Hyperlink"/>
                <w:noProof/>
              </w:rPr>
              <w:t>Czas trwania i wpływ finansowy wniosku/inicjatywy</w:t>
            </w:r>
            <w:r w:rsidR="00EC4B79">
              <w:rPr>
                <w:noProof/>
                <w:webHidden/>
              </w:rPr>
              <w:tab/>
            </w:r>
            <w:r w:rsidR="00EC4B79">
              <w:rPr>
                <w:noProof/>
                <w:webHidden/>
              </w:rPr>
              <w:fldChar w:fldCharType="begin"/>
            </w:r>
            <w:r w:rsidR="00EC4B79">
              <w:rPr>
                <w:noProof/>
                <w:webHidden/>
              </w:rPr>
              <w:instrText xml:space="preserve"> PAGEREF _Toc92899392 \h </w:instrText>
            </w:r>
            <w:r w:rsidR="00EC4B79">
              <w:rPr>
                <w:noProof/>
                <w:webHidden/>
              </w:rPr>
            </w:r>
            <w:r w:rsidR="00EC4B79">
              <w:rPr>
                <w:noProof/>
                <w:webHidden/>
              </w:rPr>
              <w:fldChar w:fldCharType="separate"/>
            </w:r>
            <w:r w:rsidR="00EC4B79">
              <w:rPr>
                <w:noProof/>
                <w:webHidden/>
              </w:rPr>
              <w:t>43</w:t>
            </w:r>
            <w:r w:rsidR="00EC4B79">
              <w:rPr>
                <w:noProof/>
                <w:webHidden/>
              </w:rPr>
              <w:fldChar w:fldCharType="end"/>
            </w:r>
          </w:hyperlink>
        </w:p>
        <w:p w14:paraId="749CA6F5" w14:textId="2209070D" w:rsidR="00EC4B79" w:rsidRDefault="00280A15">
          <w:pPr>
            <w:pStyle w:val="TOC2"/>
            <w:rPr>
              <w:rFonts w:asciiTheme="minorHAnsi" w:eastAsiaTheme="minorEastAsia" w:hAnsiTheme="minorHAnsi" w:cstheme="minorBidi"/>
              <w:noProof/>
              <w:sz w:val="22"/>
              <w:lang w:val="en-US"/>
            </w:rPr>
          </w:pPr>
          <w:hyperlink w:anchor="_Toc92899393" w:history="1">
            <w:r w:rsidR="00EC4B79" w:rsidRPr="00F14C05">
              <w:rPr>
                <w:rStyle w:val="Hyperlink"/>
                <w:noProof/>
              </w:rPr>
              <w:t>1.7.</w:t>
            </w:r>
            <w:r w:rsidR="00EC4B79">
              <w:rPr>
                <w:rFonts w:asciiTheme="minorHAnsi" w:eastAsiaTheme="minorEastAsia" w:hAnsiTheme="minorHAnsi" w:cstheme="minorBidi"/>
                <w:noProof/>
                <w:sz w:val="22"/>
                <w:lang w:val="en-US"/>
              </w:rPr>
              <w:tab/>
            </w:r>
            <w:r w:rsidR="00EC4B79" w:rsidRPr="00F14C05">
              <w:rPr>
                <w:rStyle w:val="Hyperlink"/>
                <w:noProof/>
              </w:rPr>
              <w:t>Planowane tryby zarządzania</w:t>
            </w:r>
            <w:r w:rsidR="00EC4B79">
              <w:rPr>
                <w:noProof/>
                <w:webHidden/>
              </w:rPr>
              <w:tab/>
            </w:r>
            <w:r w:rsidR="00EC4B79">
              <w:rPr>
                <w:noProof/>
                <w:webHidden/>
              </w:rPr>
              <w:fldChar w:fldCharType="begin"/>
            </w:r>
            <w:r w:rsidR="00EC4B79">
              <w:rPr>
                <w:noProof/>
                <w:webHidden/>
              </w:rPr>
              <w:instrText xml:space="preserve"> PAGEREF _Toc92899393 \h </w:instrText>
            </w:r>
            <w:r w:rsidR="00EC4B79">
              <w:rPr>
                <w:noProof/>
                <w:webHidden/>
              </w:rPr>
            </w:r>
            <w:r w:rsidR="00EC4B79">
              <w:rPr>
                <w:noProof/>
                <w:webHidden/>
              </w:rPr>
              <w:fldChar w:fldCharType="separate"/>
            </w:r>
            <w:r w:rsidR="00EC4B79">
              <w:rPr>
                <w:noProof/>
                <w:webHidden/>
              </w:rPr>
              <w:t>43</w:t>
            </w:r>
            <w:r w:rsidR="00EC4B79">
              <w:rPr>
                <w:noProof/>
                <w:webHidden/>
              </w:rPr>
              <w:fldChar w:fldCharType="end"/>
            </w:r>
          </w:hyperlink>
        </w:p>
        <w:p w14:paraId="38BE0043" w14:textId="4791B706" w:rsidR="00EC4B79" w:rsidRDefault="00280A15">
          <w:pPr>
            <w:pStyle w:val="TOC1"/>
            <w:rPr>
              <w:rFonts w:asciiTheme="minorHAnsi" w:eastAsiaTheme="minorEastAsia" w:hAnsiTheme="minorHAnsi" w:cstheme="minorBidi"/>
              <w:noProof/>
              <w:sz w:val="22"/>
              <w:lang w:val="en-US"/>
            </w:rPr>
          </w:pPr>
          <w:hyperlink w:anchor="_Toc92899394" w:history="1">
            <w:r w:rsidR="00EC4B79" w:rsidRPr="00F14C05">
              <w:rPr>
                <w:rStyle w:val="Hyperlink"/>
                <w:noProof/>
              </w:rPr>
              <w:t>2.</w:t>
            </w:r>
            <w:r w:rsidR="00EC4B79">
              <w:rPr>
                <w:rFonts w:asciiTheme="minorHAnsi" w:eastAsiaTheme="minorEastAsia" w:hAnsiTheme="minorHAnsi" w:cstheme="minorBidi"/>
                <w:noProof/>
                <w:sz w:val="22"/>
                <w:lang w:val="en-US"/>
              </w:rPr>
              <w:tab/>
            </w:r>
            <w:r w:rsidR="00EC4B79" w:rsidRPr="00F14C05">
              <w:rPr>
                <w:rStyle w:val="Hyperlink"/>
                <w:noProof/>
              </w:rPr>
              <w:t>ŚRODKI ZARZĄDZANIA</w:t>
            </w:r>
            <w:r w:rsidR="00EC4B79">
              <w:rPr>
                <w:noProof/>
                <w:webHidden/>
              </w:rPr>
              <w:tab/>
            </w:r>
            <w:r w:rsidR="00EC4B79">
              <w:rPr>
                <w:noProof/>
                <w:webHidden/>
              </w:rPr>
              <w:fldChar w:fldCharType="begin"/>
            </w:r>
            <w:r w:rsidR="00EC4B79">
              <w:rPr>
                <w:noProof/>
                <w:webHidden/>
              </w:rPr>
              <w:instrText xml:space="preserve"> PAGEREF _Toc92899394 \h </w:instrText>
            </w:r>
            <w:r w:rsidR="00EC4B79">
              <w:rPr>
                <w:noProof/>
                <w:webHidden/>
              </w:rPr>
            </w:r>
            <w:r w:rsidR="00EC4B79">
              <w:rPr>
                <w:noProof/>
                <w:webHidden/>
              </w:rPr>
              <w:fldChar w:fldCharType="separate"/>
            </w:r>
            <w:r w:rsidR="00EC4B79">
              <w:rPr>
                <w:noProof/>
                <w:webHidden/>
              </w:rPr>
              <w:t>45</w:t>
            </w:r>
            <w:r w:rsidR="00EC4B79">
              <w:rPr>
                <w:noProof/>
                <w:webHidden/>
              </w:rPr>
              <w:fldChar w:fldCharType="end"/>
            </w:r>
          </w:hyperlink>
        </w:p>
        <w:p w14:paraId="6C1CDC89" w14:textId="6E139F51" w:rsidR="00EC4B79" w:rsidRDefault="00280A15">
          <w:pPr>
            <w:pStyle w:val="TOC2"/>
            <w:rPr>
              <w:rFonts w:asciiTheme="minorHAnsi" w:eastAsiaTheme="minorEastAsia" w:hAnsiTheme="minorHAnsi" w:cstheme="minorBidi"/>
              <w:noProof/>
              <w:sz w:val="22"/>
              <w:lang w:val="en-US"/>
            </w:rPr>
          </w:pPr>
          <w:hyperlink w:anchor="_Toc92899395" w:history="1">
            <w:r w:rsidR="00EC4B79" w:rsidRPr="00F14C05">
              <w:rPr>
                <w:rStyle w:val="Hyperlink"/>
                <w:noProof/>
              </w:rPr>
              <w:t>2.1.</w:t>
            </w:r>
            <w:r w:rsidR="00EC4B79">
              <w:rPr>
                <w:rFonts w:asciiTheme="minorHAnsi" w:eastAsiaTheme="minorEastAsia" w:hAnsiTheme="minorHAnsi" w:cstheme="minorBidi"/>
                <w:noProof/>
                <w:sz w:val="22"/>
                <w:lang w:val="en-US"/>
              </w:rPr>
              <w:tab/>
            </w:r>
            <w:r w:rsidR="00EC4B79" w:rsidRPr="00F14C05">
              <w:rPr>
                <w:rStyle w:val="Hyperlink"/>
                <w:noProof/>
              </w:rPr>
              <w:t>Zasady nadzoru i sprawozdawczości</w:t>
            </w:r>
            <w:r w:rsidR="00EC4B79">
              <w:rPr>
                <w:noProof/>
                <w:webHidden/>
              </w:rPr>
              <w:tab/>
            </w:r>
            <w:r w:rsidR="00EC4B79">
              <w:rPr>
                <w:noProof/>
                <w:webHidden/>
              </w:rPr>
              <w:fldChar w:fldCharType="begin"/>
            </w:r>
            <w:r w:rsidR="00EC4B79">
              <w:rPr>
                <w:noProof/>
                <w:webHidden/>
              </w:rPr>
              <w:instrText xml:space="preserve"> PAGEREF _Toc92899395 \h </w:instrText>
            </w:r>
            <w:r w:rsidR="00EC4B79">
              <w:rPr>
                <w:noProof/>
                <w:webHidden/>
              </w:rPr>
            </w:r>
            <w:r w:rsidR="00EC4B79">
              <w:rPr>
                <w:noProof/>
                <w:webHidden/>
              </w:rPr>
              <w:fldChar w:fldCharType="separate"/>
            </w:r>
            <w:r w:rsidR="00EC4B79">
              <w:rPr>
                <w:noProof/>
                <w:webHidden/>
              </w:rPr>
              <w:t>45</w:t>
            </w:r>
            <w:r w:rsidR="00EC4B79">
              <w:rPr>
                <w:noProof/>
                <w:webHidden/>
              </w:rPr>
              <w:fldChar w:fldCharType="end"/>
            </w:r>
          </w:hyperlink>
        </w:p>
        <w:p w14:paraId="2A455793" w14:textId="757A306D" w:rsidR="00EC4B79" w:rsidRDefault="00280A15">
          <w:pPr>
            <w:pStyle w:val="TOC2"/>
            <w:rPr>
              <w:rFonts w:asciiTheme="minorHAnsi" w:eastAsiaTheme="minorEastAsia" w:hAnsiTheme="minorHAnsi" w:cstheme="minorBidi"/>
              <w:noProof/>
              <w:sz w:val="22"/>
              <w:lang w:val="en-US"/>
            </w:rPr>
          </w:pPr>
          <w:hyperlink w:anchor="_Toc92899396" w:history="1">
            <w:r w:rsidR="00EC4B79" w:rsidRPr="00F14C05">
              <w:rPr>
                <w:rStyle w:val="Hyperlink"/>
                <w:noProof/>
              </w:rPr>
              <w:t>2.2.</w:t>
            </w:r>
            <w:r w:rsidR="00EC4B79">
              <w:rPr>
                <w:rFonts w:asciiTheme="minorHAnsi" w:eastAsiaTheme="minorEastAsia" w:hAnsiTheme="minorHAnsi" w:cstheme="minorBidi"/>
                <w:noProof/>
                <w:sz w:val="22"/>
                <w:lang w:val="en-US"/>
              </w:rPr>
              <w:tab/>
            </w:r>
            <w:r w:rsidR="00EC4B79" w:rsidRPr="00F14C05">
              <w:rPr>
                <w:rStyle w:val="Hyperlink"/>
                <w:noProof/>
              </w:rPr>
              <w:t>System zarządzania i kontroli</w:t>
            </w:r>
            <w:r w:rsidR="00EC4B79">
              <w:rPr>
                <w:noProof/>
                <w:webHidden/>
              </w:rPr>
              <w:tab/>
            </w:r>
            <w:r w:rsidR="00EC4B79">
              <w:rPr>
                <w:noProof/>
                <w:webHidden/>
              </w:rPr>
              <w:fldChar w:fldCharType="begin"/>
            </w:r>
            <w:r w:rsidR="00EC4B79">
              <w:rPr>
                <w:noProof/>
                <w:webHidden/>
              </w:rPr>
              <w:instrText xml:space="preserve"> PAGEREF _Toc92899396 \h </w:instrText>
            </w:r>
            <w:r w:rsidR="00EC4B79">
              <w:rPr>
                <w:noProof/>
                <w:webHidden/>
              </w:rPr>
            </w:r>
            <w:r w:rsidR="00EC4B79">
              <w:rPr>
                <w:noProof/>
                <w:webHidden/>
              </w:rPr>
              <w:fldChar w:fldCharType="separate"/>
            </w:r>
            <w:r w:rsidR="00EC4B79">
              <w:rPr>
                <w:noProof/>
                <w:webHidden/>
              </w:rPr>
              <w:t>45</w:t>
            </w:r>
            <w:r w:rsidR="00EC4B79">
              <w:rPr>
                <w:noProof/>
                <w:webHidden/>
              </w:rPr>
              <w:fldChar w:fldCharType="end"/>
            </w:r>
          </w:hyperlink>
        </w:p>
        <w:p w14:paraId="413D7A25" w14:textId="3F82BE09" w:rsidR="00EC4B79" w:rsidRDefault="00280A15">
          <w:pPr>
            <w:pStyle w:val="TOC3"/>
            <w:rPr>
              <w:rFonts w:asciiTheme="minorHAnsi" w:eastAsiaTheme="minorEastAsia" w:hAnsiTheme="minorHAnsi" w:cstheme="minorBidi"/>
              <w:noProof/>
              <w:sz w:val="22"/>
              <w:lang w:val="en-US"/>
            </w:rPr>
          </w:pPr>
          <w:hyperlink w:anchor="_Toc92899397" w:history="1">
            <w:r w:rsidR="00EC4B79" w:rsidRPr="00F14C05">
              <w:rPr>
                <w:rStyle w:val="Hyperlink"/>
                <w:noProof/>
              </w:rPr>
              <w:t>2.2.1.</w:t>
            </w:r>
            <w:r w:rsidR="00EC4B79">
              <w:rPr>
                <w:rFonts w:asciiTheme="minorHAnsi" w:eastAsiaTheme="minorEastAsia" w:hAnsiTheme="minorHAnsi" w:cstheme="minorBidi"/>
                <w:noProof/>
                <w:sz w:val="22"/>
                <w:lang w:val="en-US"/>
              </w:rPr>
              <w:tab/>
            </w:r>
            <w:r w:rsidR="00EC4B79" w:rsidRPr="00F14C05">
              <w:rPr>
                <w:rStyle w:val="Hyperlink"/>
                <w:noProof/>
              </w:rPr>
              <w:t>Uzasadnienie dla systemu zarządzania, mechanizmów finansowania wykonania, warunków płatności i proponowanej strategii kontroli</w:t>
            </w:r>
            <w:r w:rsidR="00EC4B79">
              <w:rPr>
                <w:noProof/>
                <w:webHidden/>
              </w:rPr>
              <w:tab/>
            </w:r>
            <w:r w:rsidR="00EC4B79">
              <w:rPr>
                <w:noProof/>
                <w:webHidden/>
              </w:rPr>
              <w:fldChar w:fldCharType="begin"/>
            </w:r>
            <w:r w:rsidR="00EC4B79">
              <w:rPr>
                <w:noProof/>
                <w:webHidden/>
              </w:rPr>
              <w:instrText xml:space="preserve"> PAGEREF _Toc92899397 \h </w:instrText>
            </w:r>
            <w:r w:rsidR="00EC4B79">
              <w:rPr>
                <w:noProof/>
                <w:webHidden/>
              </w:rPr>
            </w:r>
            <w:r w:rsidR="00EC4B79">
              <w:rPr>
                <w:noProof/>
                <w:webHidden/>
              </w:rPr>
              <w:fldChar w:fldCharType="separate"/>
            </w:r>
            <w:r w:rsidR="00EC4B79">
              <w:rPr>
                <w:noProof/>
                <w:webHidden/>
              </w:rPr>
              <w:t>45</w:t>
            </w:r>
            <w:r w:rsidR="00EC4B79">
              <w:rPr>
                <w:noProof/>
                <w:webHidden/>
              </w:rPr>
              <w:fldChar w:fldCharType="end"/>
            </w:r>
          </w:hyperlink>
        </w:p>
        <w:p w14:paraId="6E83ABD0" w14:textId="6F4FC161" w:rsidR="00EC4B79" w:rsidRDefault="00280A15">
          <w:pPr>
            <w:pStyle w:val="TOC3"/>
            <w:rPr>
              <w:rFonts w:asciiTheme="minorHAnsi" w:eastAsiaTheme="minorEastAsia" w:hAnsiTheme="minorHAnsi" w:cstheme="minorBidi"/>
              <w:noProof/>
              <w:sz w:val="22"/>
              <w:lang w:val="en-US"/>
            </w:rPr>
          </w:pPr>
          <w:hyperlink w:anchor="_Toc92899398" w:history="1">
            <w:r w:rsidR="00EC4B79" w:rsidRPr="00F14C05">
              <w:rPr>
                <w:rStyle w:val="Hyperlink"/>
                <w:noProof/>
              </w:rPr>
              <w:t>2.2.2.</w:t>
            </w:r>
            <w:r w:rsidR="00EC4B79">
              <w:rPr>
                <w:rFonts w:asciiTheme="minorHAnsi" w:eastAsiaTheme="minorEastAsia" w:hAnsiTheme="minorHAnsi" w:cstheme="minorBidi"/>
                <w:noProof/>
                <w:sz w:val="22"/>
                <w:lang w:val="en-US"/>
              </w:rPr>
              <w:tab/>
            </w:r>
            <w:r w:rsidR="00EC4B79" w:rsidRPr="00F14C05">
              <w:rPr>
                <w:rStyle w:val="Hyperlink"/>
                <w:noProof/>
              </w:rPr>
              <w:t>Informacje dotyczące zidentyfikowanego ryzyka i systemów kontroli wewnętrznej ustanowionych w celu jego ograniczenia</w:t>
            </w:r>
            <w:r w:rsidR="00EC4B79">
              <w:rPr>
                <w:noProof/>
                <w:webHidden/>
              </w:rPr>
              <w:tab/>
            </w:r>
            <w:r w:rsidR="00EC4B79">
              <w:rPr>
                <w:noProof/>
                <w:webHidden/>
              </w:rPr>
              <w:fldChar w:fldCharType="begin"/>
            </w:r>
            <w:r w:rsidR="00EC4B79">
              <w:rPr>
                <w:noProof/>
                <w:webHidden/>
              </w:rPr>
              <w:instrText xml:space="preserve"> PAGEREF _Toc92899398 \h </w:instrText>
            </w:r>
            <w:r w:rsidR="00EC4B79">
              <w:rPr>
                <w:noProof/>
                <w:webHidden/>
              </w:rPr>
            </w:r>
            <w:r w:rsidR="00EC4B79">
              <w:rPr>
                <w:noProof/>
                <w:webHidden/>
              </w:rPr>
              <w:fldChar w:fldCharType="separate"/>
            </w:r>
            <w:r w:rsidR="00EC4B79">
              <w:rPr>
                <w:noProof/>
                <w:webHidden/>
              </w:rPr>
              <w:t>46</w:t>
            </w:r>
            <w:r w:rsidR="00EC4B79">
              <w:rPr>
                <w:noProof/>
                <w:webHidden/>
              </w:rPr>
              <w:fldChar w:fldCharType="end"/>
            </w:r>
          </w:hyperlink>
        </w:p>
        <w:p w14:paraId="4C634A9D" w14:textId="1ECCD8A3" w:rsidR="00EC4B79" w:rsidRDefault="00280A15">
          <w:pPr>
            <w:pStyle w:val="TOC3"/>
            <w:rPr>
              <w:rFonts w:asciiTheme="minorHAnsi" w:eastAsiaTheme="minorEastAsia" w:hAnsiTheme="minorHAnsi" w:cstheme="minorBidi"/>
              <w:noProof/>
              <w:sz w:val="22"/>
              <w:lang w:val="en-US"/>
            </w:rPr>
          </w:pPr>
          <w:hyperlink w:anchor="_Toc92899399" w:history="1">
            <w:r w:rsidR="00EC4B79" w:rsidRPr="00F14C05">
              <w:rPr>
                <w:rStyle w:val="Hyperlink"/>
                <w:noProof/>
              </w:rPr>
              <w:t>2.2.3.</w:t>
            </w:r>
            <w:r w:rsidR="00EC4B79">
              <w:rPr>
                <w:rFonts w:asciiTheme="minorHAnsi" w:eastAsiaTheme="minorEastAsia" w:hAnsiTheme="minorHAnsi" w:cstheme="minorBidi"/>
                <w:noProof/>
                <w:sz w:val="22"/>
                <w:lang w:val="en-US"/>
              </w:rPr>
              <w:tab/>
            </w:r>
            <w:r w:rsidR="00EC4B79" w:rsidRPr="00F14C05">
              <w:rPr>
                <w:rStyle w:val="Hyperlink"/>
                <w:noProof/>
              </w:rPr>
              <w:t>Oszacowanie i uzasadnienie efektywności kosztowej kontroli (relacja kosztów kontroli do wartości zarządzanych funduszy powiązanych) oraz ocena prawdopodobnego ryzyka błędu (przy płatności i przy zamykaniu)</w:t>
            </w:r>
            <w:r w:rsidR="00EC4B79">
              <w:rPr>
                <w:noProof/>
                <w:webHidden/>
              </w:rPr>
              <w:tab/>
            </w:r>
            <w:r w:rsidR="00EC4B79">
              <w:rPr>
                <w:noProof/>
                <w:webHidden/>
              </w:rPr>
              <w:fldChar w:fldCharType="begin"/>
            </w:r>
            <w:r w:rsidR="00EC4B79">
              <w:rPr>
                <w:noProof/>
                <w:webHidden/>
              </w:rPr>
              <w:instrText xml:space="preserve"> PAGEREF _Toc92899399 \h </w:instrText>
            </w:r>
            <w:r w:rsidR="00EC4B79">
              <w:rPr>
                <w:noProof/>
                <w:webHidden/>
              </w:rPr>
            </w:r>
            <w:r w:rsidR="00EC4B79">
              <w:rPr>
                <w:noProof/>
                <w:webHidden/>
              </w:rPr>
              <w:fldChar w:fldCharType="separate"/>
            </w:r>
            <w:r w:rsidR="00EC4B79">
              <w:rPr>
                <w:noProof/>
                <w:webHidden/>
              </w:rPr>
              <w:t>46</w:t>
            </w:r>
            <w:r w:rsidR="00EC4B79">
              <w:rPr>
                <w:noProof/>
                <w:webHidden/>
              </w:rPr>
              <w:fldChar w:fldCharType="end"/>
            </w:r>
          </w:hyperlink>
        </w:p>
        <w:p w14:paraId="18325336" w14:textId="2F99CE38" w:rsidR="00EC4B79" w:rsidRDefault="00280A15">
          <w:pPr>
            <w:pStyle w:val="TOC2"/>
            <w:rPr>
              <w:rFonts w:asciiTheme="minorHAnsi" w:eastAsiaTheme="minorEastAsia" w:hAnsiTheme="minorHAnsi" w:cstheme="minorBidi"/>
              <w:noProof/>
              <w:sz w:val="22"/>
              <w:lang w:val="en-US"/>
            </w:rPr>
          </w:pPr>
          <w:hyperlink w:anchor="_Toc92899400" w:history="1">
            <w:r w:rsidR="00EC4B79" w:rsidRPr="00F14C05">
              <w:rPr>
                <w:rStyle w:val="Hyperlink"/>
                <w:noProof/>
              </w:rPr>
              <w:t>2.3.</w:t>
            </w:r>
            <w:r w:rsidR="00EC4B79">
              <w:rPr>
                <w:rFonts w:asciiTheme="minorHAnsi" w:eastAsiaTheme="minorEastAsia" w:hAnsiTheme="minorHAnsi" w:cstheme="minorBidi"/>
                <w:noProof/>
                <w:sz w:val="22"/>
                <w:lang w:val="en-US"/>
              </w:rPr>
              <w:tab/>
            </w:r>
            <w:r w:rsidR="00EC4B79" w:rsidRPr="00F14C05">
              <w:rPr>
                <w:rStyle w:val="Hyperlink"/>
                <w:noProof/>
              </w:rPr>
              <w:t>Środki zapobiegania nadużyciom finansowym i nieprawidłowościom</w:t>
            </w:r>
            <w:r w:rsidR="00EC4B79">
              <w:rPr>
                <w:noProof/>
                <w:webHidden/>
              </w:rPr>
              <w:tab/>
            </w:r>
            <w:r w:rsidR="00EC4B79">
              <w:rPr>
                <w:noProof/>
                <w:webHidden/>
              </w:rPr>
              <w:fldChar w:fldCharType="begin"/>
            </w:r>
            <w:r w:rsidR="00EC4B79">
              <w:rPr>
                <w:noProof/>
                <w:webHidden/>
              </w:rPr>
              <w:instrText xml:space="preserve"> PAGEREF _Toc92899400 \h </w:instrText>
            </w:r>
            <w:r w:rsidR="00EC4B79">
              <w:rPr>
                <w:noProof/>
                <w:webHidden/>
              </w:rPr>
            </w:r>
            <w:r w:rsidR="00EC4B79">
              <w:rPr>
                <w:noProof/>
                <w:webHidden/>
              </w:rPr>
              <w:fldChar w:fldCharType="separate"/>
            </w:r>
            <w:r w:rsidR="00EC4B79">
              <w:rPr>
                <w:noProof/>
                <w:webHidden/>
              </w:rPr>
              <w:t>46</w:t>
            </w:r>
            <w:r w:rsidR="00EC4B79">
              <w:rPr>
                <w:noProof/>
                <w:webHidden/>
              </w:rPr>
              <w:fldChar w:fldCharType="end"/>
            </w:r>
          </w:hyperlink>
        </w:p>
        <w:p w14:paraId="5DAF00DA" w14:textId="2F7CE1F0" w:rsidR="00EC4B79" w:rsidRDefault="00280A15">
          <w:pPr>
            <w:pStyle w:val="TOC1"/>
            <w:rPr>
              <w:rFonts w:asciiTheme="minorHAnsi" w:eastAsiaTheme="minorEastAsia" w:hAnsiTheme="minorHAnsi" w:cstheme="minorBidi"/>
              <w:noProof/>
              <w:sz w:val="22"/>
              <w:lang w:val="en-US"/>
            </w:rPr>
          </w:pPr>
          <w:hyperlink w:anchor="_Toc92899401" w:history="1">
            <w:r w:rsidR="00EC4B79" w:rsidRPr="00F14C05">
              <w:rPr>
                <w:rStyle w:val="Hyperlink"/>
                <w:noProof/>
              </w:rPr>
              <w:t>3.</w:t>
            </w:r>
            <w:r w:rsidR="00EC4B79">
              <w:rPr>
                <w:rFonts w:asciiTheme="minorHAnsi" w:eastAsiaTheme="minorEastAsia" w:hAnsiTheme="minorHAnsi" w:cstheme="minorBidi"/>
                <w:noProof/>
                <w:sz w:val="22"/>
                <w:lang w:val="en-US"/>
              </w:rPr>
              <w:tab/>
            </w:r>
            <w:r w:rsidR="00EC4B79" w:rsidRPr="00F14C05">
              <w:rPr>
                <w:rStyle w:val="Hyperlink"/>
                <w:noProof/>
              </w:rPr>
              <w:t>SZACUNKOWY WPŁYW FINANSOWY WNIOSKU/INICJATYWY</w:t>
            </w:r>
            <w:r w:rsidR="00EC4B79">
              <w:rPr>
                <w:noProof/>
                <w:webHidden/>
              </w:rPr>
              <w:tab/>
            </w:r>
            <w:r w:rsidR="00EC4B79">
              <w:rPr>
                <w:noProof/>
                <w:webHidden/>
              </w:rPr>
              <w:fldChar w:fldCharType="begin"/>
            </w:r>
            <w:r w:rsidR="00EC4B79">
              <w:rPr>
                <w:noProof/>
                <w:webHidden/>
              </w:rPr>
              <w:instrText xml:space="preserve"> PAGEREF _Toc92899401 \h </w:instrText>
            </w:r>
            <w:r w:rsidR="00EC4B79">
              <w:rPr>
                <w:noProof/>
                <w:webHidden/>
              </w:rPr>
            </w:r>
            <w:r w:rsidR="00EC4B79">
              <w:rPr>
                <w:noProof/>
                <w:webHidden/>
              </w:rPr>
              <w:fldChar w:fldCharType="separate"/>
            </w:r>
            <w:r w:rsidR="00EC4B79">
              <w:rPr>
                <w:noProof/>
                <w:webHidden/>
              </w:rPr>
              <w:t>47</w:t>
            </w:r>
            <w:r w:rsidR="00EC4B79">
              <w:rPr>
                <w:noProof/>
                <w:webHidden/>
              </w:rPr>
              <w:fldChar w:fldCharType="end"/>
            </w:r>
          </w:hyperlink>
        </w:p>
        <w:p w14:paraId="1DC09AEA" w14:textId="362CD29A" w:rsidR="00EC4B79" w:rsidRDefault="00280A15">
          <w:pPr>
            <w:pStyle w:val="TOC2"/>
            <w:rPr>
              <w:rFonts w:asciiTheme="minorHAnsi" w:eastAsiaTheme="minorEastAsia" w:hAnsiTheme="minorHAnsi" w:cstheme="minorBidi"/>
              <w:noProof/>
              <w:sz w:val="22"/>
              <w:lang w:val="en-US"/>
            </w:rPr>
          </w:pPr>
          <w:hyperlink w:anchor="_Toc92899402" w:history="1">
            <w:r w:rsidR="00EC4B79" w:rsidRPr="00F14C05">
              <w:rPr>
                <w:rStyle w:val="Hyperlink"/>
                <w:noProof/>
              </w:rPr>
              <w:t>3.1.</w:t>
            </w:r>
            <w:r w:rsidR="00EC4B79">
              <w:rPr>
                <w:rFonts w:asciiTheme="minorHAnsi" w:eastAsiaTheme="minorEastAsia" w:hAnsiTheme="minorHAnsi" w:cstheme="minorBidi"/>
                <w:noProof/>
                <w:sz w:val="22"/>
                <w:lang w:val="en-US"/>
              </w:rPr>
              <w:tab/>
            </w:r>
            <w:r w:rsidR="00EC4B79" w:rsidRPr="00F14C05">
              <w:rPr>
                <w:rStyle w:val="Hyperlink"/>
                <w:noProof/>
              </w:rPr>
              <w:t>Działy wieloletnich ram finansowych i linie budżetowe po stronie wydatków, na które wniosek/inicjatywa ma wpływ</w:t>
            </w:r>
            <w:r w:rsidR="00EC4B79">
              <w:rPr>
                <w:noProof/>
                <w:webHidden/>
              </w:rPr>
              <w:tab/>
            </w:r>
            <w:r w:rsidR="00EC4B79">
              <w:rPr>
                <w:noProof/>
                <w:webHidden/>
              </w:rPr>
              <w:fldChar w:fldCharType="begin"/>
            </w:r>
            <w:r w:rsidR="00EC4B79">
              <w:rPr>
                <w:noProof/>
                <w:webHidden/>
              </w:rPr>
              <w:instrText xml:space="preserve"> PAGEREF _Toc92899402 \h </w:instrText>
            </w:r>
            <w:r w:rsidR="00EC4B79">
              <w:rPr>
                <w:noProof/>
                <w:webHidden/>
              </w:rPr>
            </w:r>
            <w:r w:rsidR="00EC4B79">
              <w:rPr>
                <w:noProof/>
                <w:webHidden/>
              </w:rPr>
              <w:fldChar w:fldCharType="separate"/>
            </w:r>
            <w:r w:rsidR="00EC4B79">
              <w:rPr>
                <w:noProof/>
                <w:webHidden/>
              </w:rPr>
              <w:t>47</w:t>
            </w:r>
            <w:r w:rsidR="00EC4B79">
              <w:rPr>
                <w:noProof/>
                <w:webHidden/>
              </w:rPr>
              <w:fldChar w:fldCharType="end"/>
            </w:r>
          </w:hyperlink>
        </w:p>
        <w:p w14:paraId="0103D62F" w14:textId="083C09F8" w:rsidR="00EC4B79" w:rsidRDefault="00280A15">
          <w:pPr>
            <w:pStyle w:val="TOC2"/>
            <w:rPr>
              <w:rFonts w:asciiTheme="minorHAnsi" w:eastAsiaTheme="minorEastAsia" w:hAnsiTheme="minorHAnsi" w:cstheme="minorBidi"/>
              <w:noProof/>
              <w:sz w:val="22"/>
              <w:lang w:val="en-US"/>
            </w:rPr>
          </w:pPr>
          <w:hyperlink w:anchor="_Toc92899403" w:history="1">
            <w:r w:rsidR="00EC4B79" w:rsidRPr="00F14C05">
              <w:rPr>
                <w:rStyle w:val="Hyperlink"/>
                <w:noProof/>
              </w:rPr>
              <w:t>3.2.</w:t>
            </w:r>
            <w:r w:rsidR="00EC4B79">
              <w:rPr>
                <w:rFonts w:asciiTheme="minorHAnsi" w:eastAsiaTheme="minorEastAsia" w:hAnsiTheme="minorHAnsi" w:cstheme="minorBidi"/>
                <w:noProof/>
                <w:sz w:val="22"/>
                <w:lang w:val="en-US"/>
              </w:rPr>
              <w:tab/>
            </w:r>
            <w:r w:rsidR="00EC4B79" w:rsidRPr="00F14C05">
              <w:rPr>
                <w:rStyle w:val="Hyperlink"/>
                <w:noProof/>
              </w:rPr>
              <w:t>Szacunkowy wpływ na wydatki</w:t>
            </w:r>
            <w:r w:rsidR="00EC4B79">
              <w:rPr>
                <w:noProof/>
                <w:webHidden/>
              </w:rPr>
              <w:tab/>
            </w:r>
            <w:r w:rsidR="00EC4B79">
              <w:rPr>
                <w:noProof/>
                <w:webHidden/>
              </w:rPr>
              <w:fldChar w:fldCharType="begin"/>
            </w:r>
            <w:r w:rsidR="00EC4B79">
              <w:rPr>
                <w:noProof/>
                <w:webHidden/>
              </w:rPr>
              <w:instrText xml:space="preserve"> PAGEREF _Toc92899403 \h </w:instrText>
            </w:r>
            <w:r w:rsidR="00EC4B79">
              <w:rPr>
                <w:noProof/>
                <w:webHidden/>
              </w:rPr>
            </w:r>
            <w:r w:rsidR="00EC4B79">
              <w:rPr>
                <w:noProof/>
                <w:webHidden/>
              </w:rPr>
              <w:fldChar w:fldCharType="separate"/>
            </w:r>
            <w:r w:rsidR="00EC4B79">
              <w:rPr>
                <w:noProof/>
                <w:webHidden/>
              </w:rPr>
              <w:t>48</w:t>
            </w:r>
            <w:r w:rsidR="00EC4B79">
              <w:rPr>
                <w:noProof/>
                <w:webHidden/>
              </w:rPr>
              <w:fldChar w:fldCharType="end"/>
            </w:r>
          </w:hyperlink>
        </w:p>
        <w:p w14:paraId="0B3C6E04" w14:textId="6C145CF8" w:rsidR="00EC4B79" w:rsidRDefault="00280A15">
          <w:pPr>
            <w:pStyle w:val="TOC3"/>
            <w:rPr>
              <w:rFonts w:asciiTheme="minorHAnsi" w:eastAsiaTheme="minorEastAsia" w:hAnsiTheme="minorHAnsi" w:cstheme="minorBidi"/>
              <w:noProof/>
              <w:sz w:val="22"/>
              <w:lang w:val="en-US"/>
            </w:rPr>
          </w:pPr>
          <w:hyperlink w:anchor="_Toc92899404" w:history="1">
            <w:r w:rsidR="00EC4B79" w:rsidRPr="00F14C05">
              <w:rPr>
                <w:rStyle w:val="Hyperlink"/>
                <w:noProof/>
              </w:rPr>
              <w:t>3.2.1.</w:t>
            </w:r>
            <w:r w:rsidR="00EC4B79">
              <w:rPr>
                <w:rFonts w:asciiTheme="minorHAnsi" w:eastAsiaTheme="minorEastAsia" w:hAnsiTheme="minorHAnsi" w:cstheme="minorBidi"/>
                <w:noProof/>
                <w:sz w:val="22"/>
                <w:lang w:val="en-US"/>
              </w:rPr>
              <w:tab/>
            </w:r>
            <w:r w:rsidR="00EC4B79" w:rsidRPr="00F14C05">
              <w:rPr>
                <w:rStyle w:val="Hyperlink"/>
                <w:noProof/>
              </w:rPr>
              <w:t>Synteza szacunkowego wpływu na wydatki</w:t>
            </w:r>
            <w:r w:rsidR="00EC4B79">
              <w:rPr>
                <w:noProof/>
                <w:webHidden/>
              </w:rPr>
              <w:tab/>
            </w:r>
            <w:r w:rsidR="00EC4B79">
              <w:rPr>
                <w:noProof/>
                <w:webHidden/>
              </w:rPr>
              <w:fldChar w:fldCharType="begin"/>
            </w:r>
            <w:r w:rsidR="00EC4B79">
              <w:rPr>
                <w:noProof/>
                <w:webHidden/>
              </w:rPr>
              <w:instrText xml:space="preserve"> PAGEREF _Toc92899404 \h </w:instrText>
            </w:r>
            <w:r w:rsidR="00EC4B79">
              <w:rPr>
                <w:noProof/>
                <w:webHidden/>
              </w:rPr>
            </w:r>
            <w:r w:rsidR="00EC4B79">
              <w:rPr>
                <w:noProof/>
                <w:webHidden/>
              </w:rPr>
              <w:fldChar w:fldCharType="separate"/>
            </w:r>
            <w:r w:rsidR="00EC4B79">
              <w:rPr>
                <w:noProof/>
                <w:webHidden/>
              </w:rPr>
              <w:t>48</w:t>
            </w:r>
            <w:r w:rsidR="00EC4B79">
              <w:rPr>
                <w:noProof/>
                <w:webHidden/>
              </w:rPr>
              <w:fldChar w:fldCharType="end"/>
            </w:r>
          </w:hyperlink>
        </w:p>
        <w:p w14:paraId="285557FD" w14:textId="0523B27D" w:rsidR="00EC4B79" w:rsidRDefault="00280A15">
          <w:pPr>
            <w:pStyle w:val="TOC3"/>
            <w:rPr>
              <w:rFonts w:asciiTheme="minorHAnsi" w:eastAsiaTheme="minorEastAsia" w:hAnsiTheme="minorHAnsi" w:cstheme="minorBidi"/>
              <w:noProof/>
              <w:sz w:val="22"/>
              <w:lang w:val="en-US"/>
            </w:rPr>
          </w:pPr>
          <w:hyperlink w:anchor="_Toc92899405" w:history="1">
            <w:r w:rsidR="00EC4B79" w:rsidRPr="00F14C05">
              <w:rPr>
                <w:rStyle w:val="Hyperlink"/>
                <w:noProof/>
              </w:rPr>
              <w:t>3.2.2.</w:t>
            </w:r>
            <w:r w:rsidR="00EC4B79">
              <w:rPr>
                <w:rFonts w:asciiTheme="minorHAnsi" w:eastAsiaTheme="minorEastAsia" w:hAnsiTheme="minorHAnsi" w:cstheme="minorBidi"/>
                <w:noProof/>
                <w:sz w:val="22"/>
                <w:lang w:val="en-US"/>
              </w:rPr>
              <w:tab/>
            </w:r>
            <w:r w:rsidR="00EC4B79" w:rsidRPr="00F14C05">
              <w:rPr>
                <w:rStyle w:val="Hyperlink"/>
                <w:noProof/>
              </w:rPr>
              <w:t>Szacunkowy wpływ na środki Eurojustu</w:t>
            </w:r>
            <w:r w:rsidR="00EC4B79">
              <w:rPr>
                <w:noProof/>
                <w:webHidden/>
              </w:rPr>
              <w:tab/>
            </w:r>
            <w:r w:rsidR="00EC4B79">
              <w:rPr>
                <w:noProof/>
                <w:webHidden/>
              </w:rPr>
              <w:fldChar w:fldCharType="begin"/>
            </w:r>
            <w:r w:rsidR="00EC4B79">
              <w:rPr>
                <w:noProof/>
                <w:webHidden/>
              </w:rPr>
              <w:instrText xml:space="preserve"> PAGEREF _Toc92899405 \h </w:instrText>
            </w:r>
            <w:r w:rsidR="00EC4B79">
              <w:rPr>
                <w:noProof/>
                <w:webHidden/>
              </w:rPr>
            </w:r>
            <w:r w:rsidR="00EC4B79">
              <w:rPr>
                <w:noProof/>
                <w:webHidden/>
              </w:rPr>
              <w:fldChar w:fldCharType="separate"/>
            </w:r>
            <w:r w:rsidR="00EC4B79">
              <w:rPr>
                <w:noProof/>
                <w:webHidden/>
              </w:rPr>
              <w:t>53</w:t>
            </w:r>
            <w:r w:rsidR="00EC4B79">
              <w:rPr>
                <w:noProof/>
                <w:webHidden/>
              </w:rPr>
              <w:fldChar w:fldCharType="end"/>
            </w:r>
          </w:hyperlink>
        </w:p>
        <w:p w14:paraId="6D1D3D4B" w14:textId="0490A7C1" w:rsidR="00EC4B79" w:rsidRDefault="00280A15">
          <w:pPr>
            <w:pStyle w:val="TOC3"/>
            <w:rPr>
              <w:rFonts w:asciiTheme="minorHAnsi" w:eastAsiaTheme="minorEastAsia" w:hAnsiTheme="minorHAnsi" w:cstheme="minorBidi"/>
              <w:noProof/>
              <w:sz w:val="22"/>
              <w:lang w:val="en-US"/>
            </w:rPr>
          </w:pPr>
          <w:hyperlink w:anchor="_Toc92899406" w:history="1">
            <w:r w:rsidR="00EC4B79" w:rsidRPr="00F14C05">
              <w:rPr>
                <w:rStyle w:val="Hyperlink"/>
                <w:noProof/>
              </w:rPr>
              <w:t>3.2.3.</w:t>
            </w:r>
            <w:r w:rsidR="00EC4B79">
              <w:rPr>
                <w:rFonts w:asciiTheme="minorHAnsi" w:eastAsiaTheme="minorEastAsia" w:hAnsiTheme="minorHAnsi" w:cstheme="minorBidi"/>
                <w:noProof/>
                <w:sz w:val="22"/>
                <w:lang w:val="en-US"/>
              </w:rPr>
              <w:tab/>
            </w:r>
            <w:r w:rsidR="00EC4B79" w:rsidRPr="00F14C05">
              <w:rPr>
                <w:rStyle w:val="Hyperlink"/>
                <w:noProof/>
              </w:rPr>
              <w:t>Szacunkowy wpływ na środki eu-LISA</w:t>
            </w:r>
            <w:r w:rsidR="00EC4B79">
              <w:rPr>
                <w:noProof/>
                <w:webHidden/>
              </w:rPr>
              <w:tab/>
            </w:r>
            <w:r w:rsidR="00EC4B79">
              <w:rPr>
                <w:noProof/>
                <w:webHidden/>
              </w:rPr>
              <w:fldChar w:fldCharType="begin"/>
            </w:r>
            <w:r w:rsidR="00EC4B79">
              <w:rPr>
                <w:noProof/>
                <w:webHidden/>
              </w:rPr>
              <w:instrText xml:space="preserve"> PAGEREF _Toc92899406 \h </w:instrText>
            </w:r>
            <w:r w:rsidR="00EC4B79">
              <w:rPr>
                <w:noProof/>
                <w:webHidden/>
              </w:rPr>
            </w:r>
            <w:r w:rsidR="00EC4B79">
              <w:rPr>
                <w:noProof/>
                <w:webHidden/>
              </w:rPr>
              <w:fldChar w:fldCharType="separate"/>
            </w:r>
            <w:r w:rsidR="00EC4B79">
              <w:rPr>
                <w:noProof/>
                <w:webHidden/>
              </w:rPr>
              <w:t>55</w:t>
            </w:r>
            <w:r w:rsidR="00EC4B79">
              <w:rPr>
                <w:noProof/>
                <w:webHidden/>
              </w:rPr>
              <w:fldChar w:fldCharType="end"/>
            </w:r>
          </w:hyperlink>
        </w:p>
        <w:p w14:paraId="15C5472B" w14:textId="5B50AF6F" w:rsidR="00EC4B79" w:rsidRDefault="00280A15">
          <w:pPr>
            <w:pStyle w:val="TOC3"/>
            <w:rPr>
              <w:rFonts w:asciiTheme="minorHAnsi" w:eastAsiaTheme="minorEastAsia" w:hAnsiTheme="minorHAnsi" w:cstheme="minorBidi"/>
              <w:noProof/>
              <w:sz w:val="22"/>
              <w:lang w:val="en-US"/>
            </w:rPr>
          </w:pPr>
          <w:hyperlink w:anchor="_Toc92899407" w:history="1">
            <w:r w:rsidR="00EC4B79" w:rsidRPr="00F14C05">
              <w:rPr>
                <w:rStyle w:val="Hyperlink"/>
                <w:noProof/>
              </w:rPr>
              <w:t>3.2.4.</w:t>
            </w:r>
            <w:r w:rsidR="00EC4B79">
              <w:rPr>
                <w:rFonts w:asciiTheme="minorHAnsi" w:eastAsiaTheme="minorEastAsia" w:hAnsiTheme="minorHAnsi" w:cstheme="minorBidi"/>
                <w:noProof/>
                <w:sz w:val="22"/>
                <w:lang w:val="en-US"/>
              </w:rPr>
              <w:tab/>
            </w:r>
            <w:r w:rsidR="00EC4B79" w:rsidRPr="00F14C05">
              <w:rPr>
                <w:rStyle w:val="Hyperlink"/>
                <w:noProof/>
              </w:rPr>
              <w:t>Szacunkowy wpływ na zasoby ludzkie Eurojustu</w:t>
            </w:r>
            <w:r w:rsidR="00EC4B79">
              <w:rPr>
                <w:noProof/>
                <w:webHidden/>
              </w:rPr>
              <w:tab/>
            </w:r>
            <w:r w:rsidR="00EC4B79">
              <w:rPr>
                <w:noProof/>
                <w:webHidden/>
              </w:rPr>
              <w:fldChar w:fldCharType="begin"/>
            </w:r>
            <w:r w:rsidR="00EC4B79">
              <w:rPr>
                <w:noProof/>
                <w:webHidden/>
              </w:rPr>
              <w:instrText xml:space="preserve"> PAGEREF _Toc92899407 \h </w:instrText>
            </w:r>
            <w:r w:rsidR="00EC4B79">
              <w:rPr>
                <w:noProof/>
                <w:webHidden/>
              </w:rPr>
            </w:r>
            <w:r w:rsidR="00EC4B79">
              <w:rPr>
                <w:noProof/>
                <w:webHidden/>
              </w:rPr>
              <w:fldChar w:fldCharType="separate"/>
            </w:r>
            <w:r w:rsidR="00EC4B79">
              <w:rPr>
                <w:noProof/>
                <w:webHidden/>
              </w:rPr>
              <w:t>56</w:t>
            </w:r>
            <w:r w:rsidR="00EC4B79">
              <w:rPr>
                <w:noProof/>
                <w:webHidden/>
              </w:rPr>
              <w:fldChar w:fldCharType="end"/>
            </w:r>
          </w:hyperlink>
        </w:p>
        <w:p w14:paraId="4C48017B" w14:textId="2279284F" w:rsidR="00EC4B79" w:rsidRDefault="00280A15">
          <w:pPr>
            <w:pStyle w:val="TOC3"/>
            <w:rPr>
              <w:rFonts w:asciiTheme="minorHAnsi" w:eastAsiaTheme="minorEastAsia" w:hAnsiTheme="minorHAnsi" w:cstheme="minorBidi"/>
              <w:noProof/>
              <w:sz w:val="22"/>
              <w:lang w:val="en-US"/>
            </w:rPr>
          </w:pPr>
          <w:hyperlink w:anchor="_Toc92899408" w:history="1">
            <w:r w:rsidR="00EC4B79" w:rsidRPr="00F14C05">
              <w:rPr>
                <w:rStyle w:val="Hyperlink"/>
                <w:noProof/>
              </w:rPr>
              <w:t>3.2.5.</w:t>
            </w:r>
            <w:r w:rsidR="00EC4B79">
              <w:rPr>
                <w:rFonts w:asciiTheme="minorHAnsi" w:eastAsiaTheme="minorEastAsia" w:hAnsiTheme="minorHAnsi" w:cstheme="minorBidi"/>
                <w:noProof/>
                <w:sz w:val="22"/>
                <w:lang w:val="en-US"/>
              </w:rPr>
              <w:tab/>
            </w:r>
            <w:r w:rsidR="00EC4B79" w:rsidRPr="00F14C05">
              <w:rPr>
                <w:rStyle w:val="Hyperlink"/>
                <w:noProof/>
              </w:rPr>
              <w:t>Szacunkowy wpływ na zasoby ludzkie eu-LISA</w:t>
            </w:r>
            <w:r w:rsidR="00EC4B79">
              <w:rPr>
                <w:noProof/>
                <w:webHidden/>
              </w:rPr>
              <w:tab/>
            </w:r>
            <w:r w:rsidR="00EC4B79">
              <w:rPr>
                <w:noProof/>
                <w:webHidden/>
              </w:rPr>
              <w:fldChar w:fldCharType="begin"/>
            </w:r>
            <w:r w:rsidR="00EC4B79">
              <w:rPr>
                <w:noProof/>
                <w:webHidden/>
              </w:rPr>
              <w:instrText xml:space="preserve"> PAGEREF _Toc92899408 \h </w:instrText>
            </w:r>
            <w:r w:rsidR="00EC4B79">
              <w:rPr>
                <w:noProof/>
                <w:webHidden/>
              </w:rPr>
            </w:r>
            <w:r w:rsidR="00EC4B79">
              <w:rPr>
                <w:noProof/>
                <w:webHidden/>
              </w:rPr>
              <w:fldChar w:fldCharType="separate"/>
            </w:r>
            <w:r w:rsidR="00EC4B79">
              <w:rPr>
                <w:noProof/>
                <w:webHidden/>
              </w:rPr>
              <w:t>58</w:t>
            </w:r>
            <w:r w:rsidR="00EC4B79">
              <w:rPr>
                <w:noProof/>
                <w:webHidden/>
              </w:rPr>
              <w:fldChar w:fldCharType="end"/>
            </w:r>
          </w:hyperlink>
        </w:p>
        <w:p w14:paraId="016DA2C1" w14:textId="717CBC68" w:rsidR="00EC4B79" w:rsidRDefault="00280A15">
          <w:pPr>
            <w:pStyle w:val="TOC3"/>
            <w:rPr>
              <w:rFonts w:asciiTheme="minorHAnsi" w:eastAsiaTheme="minorEastAsia" w:hAnsiTheme="minorHAnsi" w:cstheme="minorBidi"/>
              <w:noProof/>
              <w:sz w:val="22"/>
              <w:lang w:val="en-US"/>
            </w:rPr>
          </w:pPr>
          <w:hyperlink w:anchor="_Toc92899409" w:history="1">
            <w:r w:rsidR="00EC4B79" w:rsidRPr="00F14C05">
              <w:rPr>
                <w:rStyle w:val="Hyperlink"/>
                <w:noProof/>
              </w:rPr>
              <w:t>3.2.6.</w:t>
            </w:r>
            <w:r w:rsidR="00EC4B79">
              <w:rPr>
                <w:rFonts w:asciiTheme="minorHAnsi" w:eastAsiaTheme="minorEastAsia" w:hAnsiTheme="minorHAnsi" w:cstheme="minorBidi"/>
                <w:noProof/>
                <w:sz w:val="22"/>
                <w:lang w:val="en-US"/>
              </w:rPr>
              <w:tab/>
            </w:r>
            <w:r w:rsidR="00EC4B79" w:rsidRPr="00F14C05">
              <w:rPr>
                <w:rStyle w:val="Hyperlink"/>
                <w:noProof/>
              </w:rPr>
              <w:t>Zgodność z obowiązującymi wieloletnimi ramami finansowymi</w:t>
            </w:r>
            <w:r w:rsidR="00EC4B79">
              <w:rPr>
                <w:noProof/>
                <w:webHidden/>
              </w:rPr>
              <w:tab/>
            </w:r>
            <w:r w:rsidR="00EC4B79">
              <w:rPr>
                <w:noProof/>
                <w:webHidden/>
              </w:rPr>
              <w:fldChar w:fldCharType="begin"/>
            </w:r>
            <w:r w:rsidR="00EC4B79">
              <w:rPr>
                <w:noProof/>
                <w:webHidden/>
              </w:rPr>
              <w:instrText xml:space="preserve"> PAGEREF _Toc92899409 \h </w:instrText>
            </w:r>
            <w:r w:rsidR="00EC4B79">
              <w:rPr>
                <w:noProof/>
                <w:webHidden/>
              </w:rPr>
            </w:r>
            <w:r w:rsidR="00EC4B79">
              <w:rPr>
                <w:noProof/>
                <w:webHidden/>
              </w:rPr>
              <w:fldChar w:fldCharType="separate"/>
            </w:r>
            <w:r w:rsidR="00EC4B79">
              <w:rPr>
                <w:noProof/>
                <w:webHidden/>
              </w:rPr>
              <w:t>63</w:t>
            </w:r>
            <w:r w:rsidR="00EC4B79">
              <w:rPr>
                <w:noProof/>
                <w:webHidden/>
              </w:rPr>
              <w:fldChar w:fldCharType="end"/>
            </w:r>
          </w:hyperlink>
        </w:p>
        <w:p w14:paraId="66097C22" w14:textId="6FB50393" w:rsidR="00EC4B79" w:rsidRDefault="00280A15">
          <w:pPr>
            <w:pStyle w:val="TOC3"/>
            <w:rPr>
              <w:rFonts w:asciiTheme="minorHAnsi" w:eastAsiaTheme="minorEastAsia" w:hAnsiTheme="minorHAnsi" w:cstheme="minorBidi"/>
              <w:noProof/>
              <w:sz w:val="22"/>
              <w:lang w:val="en-US"/>
            </w:rPr>
          </w:pPr>
          <w:hyperlink w:anchor="_Toc92899410" w:history="1">
            <w:r w:rsidR="00EC4B79" w:rsidRPr="00F14C05">
              <w:rPr>
                <w:rStyle w:val="Hyperlink"/>
                <w:noProof/>
              </w:rPr>
              <w:t>3.2.7.</w:t>
            </w:r>
            <w:r w:rsidR="00EC4B79">
              <w:rPr>
                <w:rFonts w:asciiTheme="minorHAnsi" w:eastAsiaTheme="minorEastAsia" w:hAnsiTheme="minorHAnsi" w:cstheme="minorBidi"/>
                <w:noProof/>
                <w:sz w:val="22"/>
                <w:lang w:val="en-US"/>
              </w:rPr>
              <w:tab/>
            </w:r>
            <w:r w:rsidR="00EC4B79" w:rsidRPr="00F14C05">
              <w:rPr>
                <w:rStyle w:val="Hyperlink"/>
                <w:noProof/>
              </w:rPr>
              <w:t>Udział osób trzecich w finansowaniu</w:t>
            </w:r>
            <w:r w:rsidR="00EC4B79">
              <w:rPr>
                <w:noProof/>
                <w:webHidden/>
              </w:rPr>
              <w:tab/>
            </w:r>
            <w:r w:rsidR="00EC4B79">
              <w:rPr>
                <w:noProof/>
                <w:webHidden/>
              </w:rPr>
              <w:fldChar w:fldCharType="begin"/>
            </w:r>
            <w:r w:rsidR="00EC4B79">
              <w:rPr>
                <w:noProof/>
                <w:webHidden/>
              </w:rPr>
              <w:instrText xml:space="preserve"> PAGEREF _Toc92899410 \h </w:instrText>
            </w:r>
            <w:r w:rsidR="00EC4B79">
              <w:rPr>
                <w:noProof/>
                <w:webHidden/>
              </w:rPr>
            </w:r>
            <w:r w:rsidR="00EC4B79">
              <w:rPr>
                <w:noProof/>
                <w:webHidden/>
              </w:rPr>
              <w:fldChar w:fldCharType="separate"/>
            </w:r>
            <w:r w:rsidR="00EC4B79">
              <w:rPr>
                <w:noProof/>
                <w:webHidden/>
              </w:rPr>
              <w:t>63</w:t>
            </w:r>
            <w:r w:rsidR="00EC4B79">
              <w:rPr>
                <w:noProof/>
                <w:webHidden/>
              </w:rPr>
              <w:fldChar w:fldCharType="end"/>
            </w:r>
          </w:hyperlink>
        </w:p>
        <w:p w14:paraId="14EC2322" w14:textId="3295FCAE" w:rsidR="00EC4B79" w:rsidRDefault="00280A15">
          <w:pPr>
            <w:pStyle w:val="TOC2"/>
            <w:rPr>
              <w:rFonts w:asciiTheme="minorHAnsi" w:eastAsiaTheme="minorEastAsia" w:hAnsiTheme="minorHAnsi" w:cstheme="minorBidi"/>
              <w:noProof/>
              <w:sz w:val="22"/>
              <w:lang w:val="en-US"/>
            </w:rPr>
          </w:pPr>
          <w:hyperlink w:anchor="_Toc92899411" w:history="1">
            <w:r w:rsidR="00EC4B79" w:rsidRPr="00F14C05">
              <w:rPr>
                <w:rStyle w:val="Hyperlink"/>
                <w:noProof/>
              </w:rPr>
              <w:t>3.3.</w:t>
            </w:r>
            <w:r w:rsidR="00EC4B79">
              <w:rPr>
                <w:rFonts w:asciiTheme="minorHAnsi" w:eastAsiaTheme="minorEastAsia" w:hAnsiTheme="minorHAnsi" w:cstheme="minorBidi"/>
                <w:noProof/>
                <w:sz w:val="22"/>
                <w:lang w:val="en-US"/>
              </w:rPr>
              <w:tab/>
            </w:r>
            <w:r w:rsidR="00EC4B79" w:rsidRPr="00F14C05">
              <w:rPr>
                <w:rStyle w:val="Hyperlink"/>
                <w:noProof/>
              </w:rPr>
              <w:t>Szacunkowy wpływ na dochody</w:t>
            </w:r>
            <w:r w:rsidR="00EC4B79">
              <w:rPr>
                <w:noProof/>
                <w:webHidden/>
              </w:rPr>
              <w:tab/>
            </w:r>
            <w:r w:rsidR="00EC4B79">
              <w:rPr>
                <w:noProof/>
                <w:webHidden/>
              </w:rPr>
              <w:fldChar w:fldCharType="begin"/>
            </w:r>
            <w:r w:rsidR="00EC4B79">
              <w:rPr>
                <w:noProof/>
                <w:webHidden/>
              </w:rPr>
              <w:instrText xml:space="preserve"> PAGEREF _Toc92899411 \h </w:instrText>
            </w:r>
            <w:r w:rsidR="00EC4B79">
              <w:rPr>
                <w:noProof/>
                <w:webHidden/>
              </w:rPr>
            </w:r>
            <w:r w:rsidR="00EC4B79">
              <w:rPr>
                <w:noProof/>
                <w:webHidden/>
              </w:rPr>
              <w:fldChar w:fldCharType="separate"/>
            </w:r>
            <w:r w:rsidR="00EC4B79">
              <w:rPr>
                <w:noProof/>
                <w:webHidden/>
              </w:rPr>
              <w:t>64</w:t>
            </w:r>
            <w:r w:rsidR="00EC4B79">
              <w:rPr>
                <w:noProof/>
                <w:webHidden/>
              </w:rPr>
              <w:fldChar w:fldCharType="end"/>
            </w:r>
          </w:hyperlink>
        </w:p>
        <w:p w14:paraId="6840DFEE" w14:textId="3F0B75C1" w:rsidR="00EC4B79" w:rsidRDefault="00EC4B79">
          <w:pPr>
            <w:rPr>
              <w:noProof/>
            </w:rPr>
          </w:pPr>
          <w:r>
            <w:rPr>
              <w:b/>
              <w:bCs/>
              <w:noProof/>
            </w:rPr>
            <w:fldChar w:fldCharType="end"/>
          </w:r>
        </w:p>
      </w:sdtContent>
    </w:sdt>
    <w:p w14:paraId="3F6B960B" w14:textId="77777777" w:rsidR="00A728BA" w:rsidRPr="00710B91" w:rsidRDefault="00A728BA" w:rsidP="006F6F3C">
      <w:pPr>
        <w:rPr>
          <w:noProof/>
        </w:rPr>
        <w:sectPr w:rsidR="00A728BA" w:rsidRPr="00710B91" w:rsidSect="00DA1122">
          <w:pgSz w:w="11907" w:h="16840" w:code="9"/>
          <w:pgMar w:top="1134" w:right="1418" w:bottom="1134" w:left="1418" w:header="709" w:footer="709" w:gutter="0"/>
          <w:cols w:space="708"/>
          <w:docGrid w:linePitch="360"/>
        </w:sectPr>
      </w:pPr>
    </w:p>
    <w:p w14:paraId="1D680721" w14:textId="77777777" w:rsidR="00A728BA" w:rsidRPr="00710B91" w:rsidRDefault="00A728BA" w:rsidP="006F6F3C">
      <w:pPr>
        <w:jc w:val="center"/>
        <w:rPr>
          <w:noProof/>
        </w:rPr>
      </w:pPr>
      <w:r w:rsidRPr="00710B91">
        <w:rPr>
          <w:b/>
          <w:noProof/>
          <w:u w:val="single"/>
        </w:rPr>
        <w:t>OCENA SKUTKÓW FINANSOWYCH REGULACJI</w:t>
      </w:r>
    </w:p>
    <w:p w14:paraId="3AE63C61" w14:textId="3C2ED508" w:rsidR="00A728BA" w:rsidRPr="00710B91" w:rsidRDefault="009A08E9" w:rsidP="009A08E9">
      <w:pPr>
        <w:pStyle w:val="ManualHeading1"/>
        <w:rPr>
          <w:noProof/>
        </w:rPr>
      </w:pPr>
      <w:bookmarkStart w:id="6" w:name="_Toc92899377"/>
      <w:r w:rsidRPr="009A08E9">
        <w:t>1.</w:t>
      </w:r>
      <w:r w:rsidRPr="009A08E9">
        <w:tab/>
      </w:r>
      <w:r w:rsidR="00A728BA" w:rsidRPr="00710B91">
        <w:rPr>
          <w:noProof/>
        </w:rPr>
        <w:t>STRUKTURA WNIOSKU/INICJATYWY</w:t>
      </w:r>
      <w:bookmarkEnd w:id="6"/>
      <w:r w:rsidR="00A728BA" w:rsidRPr="00710B91">
        <w:rPr>
          <w:noProof/>
        </w:rPr>
        <w:t xml:space="preserve"> </w:t>
      </w:r>
    </w:p>
    <w:p w14:paraId="2DA72257" w14:textId="0CEEB1FC" w:rsidR="00A728BA" w:rsidRPr="00710B91" w:rsidRDefault="009A08E9" w:rsidP="009A08E9">
      <w:pPr>
        <w:pStyle w:val="ManualHeading2"/>
        <w:rPr>
          <w:noProof/>
        </w:rPr>
      </w:pPr>
      <w:bookmarkStart w:id="7" w:name="_Toc92899378"/>
      <w:r w:rsidRPr="009A08E9">
        <w:t>1.1.</w:t>
      </w:r>
      <w:r w:rsidRPr="009A08E9">
        <w:tab/>
      </w:r>
      <w:r w:rsidR="00A728BA" w:rsidRPr="00710B91">
        <w:rPr>
          <w:noProof/>
        </w:rPr>
        <w:t>Tytuł wniosku/inicjatywy</w:t>
      </w:r>
      <w:bookmarkEnd w:id="7"/>
    </w:p>
    <w:p w14:paraId="7FDD39EB" w14:textId="7CF08816" w:rsidR="00220EB4" w:rsidRPr="00710B91" w:rsidRDefault="00220EB4" w:rsidP="00220EB4">
      <w:pPr>
        <w:pStyle w:val="Text1"/>
        <w:pBdr>
          <w:top w:val="single" w:sz="4" w:space="1" w:color="auto"/>
          <w:left w:val="single" w:sz="4" w:space="4" w:color="auto"/>
          <w:bottom w:val="single" w:sz="4" w:space="1" w:color="auto"/>
          <w:right w:val="single" w:sz="4" w:space="4" w:color="auto"/>
        </w:pBdr>
        <w:rPr>
          <w:noProof/>
        </w:rPr>
      </w:pPr>
      <w:r w:rsidRPr="00710B91">
        <w:rPr>
          <w:noProof/>
        </w:rPr>
        <w:t>Wniosek dotyczący rozporządzenia Parlamentu Europejskiego</w:t>
      </w:r>
      <w:r w:rsidR="00710B91" w:rsidRPr="00710B91">
        <w:rPr>
          <w:noProof/>
        </w:rPr>
        <w:t xml:space="preserve"> i</w:t>
      </w:r>
      <w:r w:rsidR="00710B91">
        <w:rPr>
          <w:noProof/>
        </w:rPr>
        <w:t> </w:t>
      </w:r>
      <w:r w:rsidR="00710B91" w:rsidRPr="00710B91">
        <w:rPr>
          <w:noProof/>
        </w:rPr>
        <w:t>Rad</w:t>
      </w:r>
      <w:r w:rsidRPr="00710B91">
        <w:rPr>
          <w:noProof/>
        </w:rPr>
        <w:t>y</w:t>
      </w:r>
      <w:r w:rsidR="00710B91" w:rsidRPr="00710B91">
        <w:rPr>
          <w:noProof/>
        </w:rPr>
        <w:t xml:space="preserve"> w</w:t>
      </w:r>
      <w:r w:rsidR="00710B91">
        <w:rPr>
          <w:noProof/>
        </w:rPr>
        <w:t> </w:t>
      </w:r>
      <w:r w:rsidR="00710B91" w:rsidRPr="00710B91">
        <w:rPr>
          <w:noProof/>
        </w:rPr>
        <w:t>spr</w:t>
      </w:r>
      <w:r w:rsidRPr="00710B91">
        <w:rPr>
          <w:noProof/>
        </w:rPr>
        <w:t xml:space="preserve">awie ustanowienia platformy współpracy mającej na celu wspieranie funkcjonowania wspólnych zespołów dochodzeniowo-śledczych </w:t>
      </w:r>
    </w:p>
    <w:p w14:paraId="6503F62A" w14:textId="3F6B281D" w:rsidR="00A728BA" w:rsidRPr="00710B91" w:rsidRDefault="009A08E9" w:rsidP="009A08E9">
      <w:pPr>
        <w:pStyle w:val="ManualHeading2"/>
        <w:rPr>
          <w:i/>
          <w:noProof/>
        </w:rPr>
      </w:pPr>
      <w:bookmarkStart w:id="8" w:name="_Toc92899379"/>
      <w:r w:rsidRPr="009A08E9">
        <w:t>1.2.</w:t>
      </w:r>
      <w:r w:rsidRPr="009A08E9">
        <w:tab/>
      </w:r>
      <w:r w:rsidR="00A728BA" w:rsidRPr="00710B91">
        <w:rPr>
          <w:noProof/>
        </w:rPr>
        <w:t>Obszary polityki, których dotyczy wniosek/inicjatywa</w:t>
      </w:r>
      <w:bookmarkEnd w:id="8"/>
      <w:r w:rsidR="00A728BA" w:rsidRPr="00710B91">
        <w:rPr>
          <w:i/>
          <w:noProof/>
        </w:rPr>
        <w:t xml:space="preserve"> </w:t>
      </w:r>
    </w:p>
    <w:p w14:paraId="64078498" w14:textId="73480DB7" w:rsidR="00220EB4" w:rsidRPr="00710B91" w:rsidRDefault="00220EB4" w:rsidP="00220EB4">
      <w:pPr>
        <w:pStyle w:val="Text1"/>
        <w:pBdr>
          <w:top w:val="single" w:sz="4" w:space="1" w:color="auto"/>
          <w:left w:val="single" w:sz="4" w:space="4" w:color="auto"/>
          <w:bottom w:val="single" w:sz="4" w:space="1" w:color="auto"/>
          <w:right w:val="single" w:sz="4" w:space="4" w:color="auto"/>
        </w:pBdr>
        <w:rPr>
          <w:noProof/>
        </w:rPr>
      </w:pPr>
      <w:r w:rsidRPr="00710B91">
        <w:rPr>
          <w:noProof/>
        </w:rPr>
        <w:t>Obszar polityki: Sprawiedliwość</w:t>
      </w:r>
      <w:r w:rsidR="00710B91" w:rsidRPr="00710B91">
        <w:rPr>
          <w:noProof/>
        </w:rPr>
        <w:t xml:space="preserve"> i</w:t>
      </w:r>
      <w:r w:rsidR="00710B91">
        <w:rPr>
          <w:noProof/>
        </w:rPr>
        <w:t> </w:t>
      </w:r>
      <w:r w:rsidR="00710B91" w:rsidRPr="00710B91">
        <w:rPr>
          <w:noProof/>
        </w:rPr>
        <w:t>kon</w:t>
      </w:r>
      <w:r w:rsidRPr="00710B91">
        <w:rPr>
          <w:noProof/>
        </w:rPr>
        <w:t>sumenci</w:t>
      </w:r>
    </w:p>
    <w:p w14:paraId="0F76A52C" w14:textId="77777777" w:rsidR="00220EB4" w:rsidRPr="00710B91" w:rsidRDefault="00220EB4" w:rsidP="00220EB4">
      <w:pPr>
        <w:pStyle w:val="Text1"/>
        <w:pBdr>
          <w:top w:val="single" w:sz="4" w:space="1" w:color="auto"/>
          <w:left w:val="single" w:sz="4" w:space="4" w:color="auto"/>
          <w:bottom w:val="single" w:sz="4" w:space="1" w:color="auto"/>
          <w:right w:val="single" w:sz="4" w:space="4" w:color="auto"/>
        </w:pBdr>
        <w:rPr>
          <w:noProof/>
        </w:rPr>
      </w:pPr>
      <w:r w:rsidRPr="00710B91">
        <w:rPr>
          <w:noProof/>
        </w:rPr>
        <w:t>Działanie: Sprawiedliwość</w:t>
      </w:r>
    </w:p>
    <w:p w14:paraId="55AB3651" w14:textId="4BDB8431" w:rsidR="00A728BA" w:rsidRPr="00710B91" w:rsidRDefault="009A08E9" w:rsidP="009A08E9">
      <w:pPr>
        <w:pStyle w:val="ManualHeading2"/>
        <w:rPr>
          <w:bCs/>
          <w:noProof/>
          <w:szCs w:val="24"/>
        </w:rPr>
      </w:pPr>
      <w:bookmarkStart w:id="9" w:name="_Toc92899380"/>
      <w:r w:rsidRPr="009A08E9">
        <w:t>1.3.</w:t>
      </w:r>
      <w:r w:rsidRPr="009A08E9">
        <w:tab/>
      </w:r>
      <w:r w:rsidR="00DD5AE5" w:rsidRPr="00710B91">
        <w:rPr>
          <w:noProof/>
        </w:rPr>
        <w:t>Wniosek dotyczy:</w:t>
      </w:r>
      <w:bookmarkEnd w:id="9"/>
      <w:r w:rsidR="00DD5AE5" w:rsidRPr="00710B91">
        <w:rPr>
          <w:noProof/>
        </w:rPr>
        <w:t xml:space="preserve"> </w:t>
      </w:r>
    </w:p>
    <w:p w14:paraId="244F9725" w14:textId="77777777" w:rsidR="00A728BA" w:rsidRPr="00710B91" w:rsidRDefault="00220EB4" w:rsidP="006F6F3C">
      <w:pPr>
        <w:pStyle w:val="Text1"/>
        <w:rPr>
          <w:b/>
          <w:noProof/>
          <w:sz w:val="22"/>
        </w:rPr>
      </w:pPr>
      <w:r w:rsidRPr="00710B91">
        <w:rPr>
          <w:noProof/>
          <w:sz w:val="22"/>
        </w:rPr>
        <w:sym w:font="Wingdings" w:char="F0FE"/>
      </w:r>
      <w:r w:rsidRPr="00710B91">
        <w:rPr>
          <w:b/>
          <w:i/>
          <w:noProof/>
          <w:sz w:val="22"/>
        </w:rPr>
        <w:t xml:space="preserve"> </w:t>
      </w:r>
      <w:r w:rsidRPr="00710B91">
        <w:rPr>
          <w:b/>
          <w:noProof/>
        </w:rPr>
        <w:t>nowego działania</w:t>
      </w:r>
      <w:r w:rsidRPr="00710B91">
        <w:rPr>
          <w:b/>
          <w:noProof/>
          <w:sz w:val="22"/>
        </w:rPr>
        <w:t xml:space="preserve"> </w:t>
      </w:r>
    </w:p>
    <w:p w14:paraId="1C66387E" w14:textId="77777777" w:rsidR="00A728BA" w:rsidRPr="00710B91" w:rsidRDefault="00A728BA" w:rsidP="006F6F3C">
      <w:pPr>
        <w:pStyle w:val="Text1"/>
        <w:rPr>
          <w:noProof/>
          <w:sz w:val="22"/>
        </w:rPr>
      </w:pPr>
      <w:r w:rsidRPr="00710B91">
        <w:rPr>
          <w:noProof/>
          <w:sz w:val="22"/>
        </w:rPr>
        <w:sym w:font="Wingdings" w:char="F0A8"/>
      </w:r>
      <w:r w:rsidRPr="00710B91">
        <w:rPr>
          <w:i/>
          <w:noProof/>
          <w:sz w:val="22"/>
        </w:rPr>
        <w:t xml:space="preserve"> </w:t>
      </w:r>
      <w:r w:rsidRPr="00710B91">
        <w:rPr>
          <w:b/>
          <w:noProof/>
        </w:rPr>
        <w:t>nowego działania, będącego następstwem projektu pilotażowego/działania przygotowawczego</w:t>
      </w:r>
      <w:r w:rsidRPr="00710B91">
        <w:rPr>
          <w:rStyle w:val="FootnoteReference"/>
          <w:b/>
          <w:noProof/>
        </w:rPr>
        <w:footnoteReference w:id="33"/>
      </w:r>
      <w:r w:rsidRPr="00710B91">
        <w:rPr>
          <w:noProof/>
          <w:sz w:val="22"/>
        </w:rPr>
        <w:t xml:space="preserve"> </w:t>
      </w:r>
    </w:p>
    <w:p w14:paraId="1891E948" w14:textId="77777777" w:rsidR="00A728BA" w:rsidRPr="00710B91" w:rsidRDefault="00A728BA" w:rsidP="006F6F3C">
      <w:pPr>
        <w:pStyle w:val="Text1"/>
        <w:rPr>
          <w:noProof/>
          <w:sz w:val="22"/>
        </w:rPr>
      </w:pPr>
      <w:r w:rsidRPr="00710B91">
        <w:rPr>
          <w:noProof/>
          <w:sz w:val="22"/>
        </w:rPr>
        <w:sym w:font="Wingdings" w:char="F0A8"/>
      </w:r>
      <w:r w:rsidRPr="00710B91">
        <w:rPr>
          <w:i/>
          <w:noProof/>
          <w:sz w:val="22"/>
        </w:rPr>
        <w:t xml:space="preserve"> </w:t>
      </w:r>
      <w:r w:rsidRPr="00710B91">
        <w:rPr>
          <w:b/>
          <w:noProof/>
        </w:rPr>
        <w:t>przedłużenia bieżącego działania</w:t>
      </w:r>
      <w:r w:rsidRPr="00710B91">
        <w:rPr>
          <w:noProof/>
          <w:sz w:val="22"/>
        </w:rPr>
        <w:t xml:space="preserve"> </w:t>
      </w:r>
    </w:p>
    <w:p w14:paraId="30AF28C7" w14:textId="77777777" w:rsidR="00A728BA" w:rsidRPr="00710B91" w:rsidRDefault="00A728BA" w:rsidP="006F6F3C">
      <w:pPr>
        <w:pStyle w:val="Text1"/>
        <w:rPr>
          <w:noProof/>
        </w:rPr>
      </w:pPr>
      <w:r w:rsidRPr="00710B91">
        <w:rPr>
          <w:noProof/>
          <w:sz w:val="22"/>
        </w:rPr>
        <w:sym w:font="Wingdings" w:char="F0A8"/>
      </w:r>
      <w:r w:rsidRPr="00710B91">
        <w:rPr>
          <w:i/>
          <w:noProof/>
          <w:sz w:val="22"/>
        </w:rPr>
        <w:t xml:space="preserve"> </w:t>
      </w:r>
      <w:r w:rsidRPr="00710B91">
        <w:rPr>
          <w:b/>
          <w:noProof/>
        </w:rPr>
        <w:t>połączenia lub przekształcenia co najmniej jednego działania pod kątem innego/nowego działania</w:t>
      </w:r>
      <w:r w:rsidRPr="00710B91">
        <w:rPr>
          <w:noProof/>
        </w:rPr>
        <w:t xml:space="preserve"> </w:t>
      </w:r>
    </w:p>
    <w:p w14:paraId="4ABC27EB" w14:textId="07365EB2" w:rsidR="00A728BA" w:rsidRPr="00710B91" w:rsidRDefault="009A08E9" w:rsidP="009A08E9">
      <w:pPr>
        <w:pStyle w:val="ManualHeading2"/>
        <w:rPr>
          <w:bCs/>
          <w:noProof/>
          <w:szCs w:val="24"/>
        </w:rPr>
      </w:pPr>
      <w:bookmarkStart w:id="10" w:name="_Toc92899381"/>
      <w:r w:rsidRPr="009A08E9">
        <w:t>1.4.</w:t>
      </w:r>
      <w:r w:rsidRPr="009A08E9">
        <w:tab/>
      </w:r>
      <w:r w:rsidR="00A728BA" w:rsidRPr="00710B91">
        <w:rPr>
          <w:noProof/>
        </w:rPr>
        <w:t>Cel(e)</w:t>
      </w:r>
      <w:bookmarkEnd w:id="10"/>
    </w:p>
    <w:p w14:paraId="2F54431B" w14:textId="339F741D" w:rsidR="00A728BA" w:rsidRPr="00710B91" w:rsidRDefault="009A08E9" w:rsidP="009A08E9">
      <w:pPr>
        <w:pStyle w:val="ManualHeading3"/>
        <w:rPr>
          <w:noProof/>
        </w:rPr>
      </w:pPr>
      <w:bookmarkStart w:id="11" w:name="_Toc92899382"/>
      <w:r w:rsidRPr="009A08E9">
        <w:t>1.4.1.</w:t>
      </w:r>
      <w:r w:rsidRPr="009A08E9">
        <w:tab/>
      </w:r>
      <w:r w:rsidR="00A728BA" w:rsidRPr="00710B91">
        <w:rPr>
          <w:noProof/>
        </w:rPr>
        <w:t>Cel(e) ogólny(e)</w:t>
      </w:r>
      <w:bookmarkEnd w:id="11"/>
    </w:p>
    <w:p w14:paraId="4E9F2964" w14:textId="0AAE3754" w:rsidR="00140823" w:rsidRPr="00710B91" w:rsidRDefault="00140823" w:rsidP="00140823">
      <w:pPr>
        <w:pStyle w:val="Text1"/>
        <w:pBdr>
          <w:top w:val="single" w:sz="4" w:space="1" w:color="auto"/>
          <w:left w:val="single" w:sz="4" w:space="4" w:color="auto"/>
          <w:bottom w:val="single" w:sz="4" w:space="1" w:color="auto"/>
          <w:right w:val="single" w:sz="4" w:space="4" w:color="auto"/>
        </w:pBdr>
        <w:rPr>
          <w:noProof/>
        </w:rPr>
      </w:pPr>
      <w:r w:rsidRPr="00710B91">
        <w:rPr>
          <w:noProof/>
        </w:rPr>
        <w:t>Zapewnienie wsparcia technologicznego podmiotom zaangażowanym</w:t>
      </w:r>
      <w:r w:rsidR="00710B91" w:rsidRPr="00710B91">
        <w:rPr>
          <w:noProof/>
        </w:rPr>
        <w:t xml:space="preserve"> w</w:t>
      </w:r>
      <w:r w:rsidR="00710B91">
        <w:rPr>
          <w:noProof/>
        </w:rPr>
        <w:t> </w:t>
      </w:r>
      <w:r w:rsidR="00710B91" w:rsidRPr="00710B91">
        <w:rPr>
          <w:noProof/>
        </w:rPr>
        <w:t>pra</w:t>
      </w:r>
      <w:r w:rsidRPr="00710B91">
        <w:rPr>
          <w:noProof/>
        </w:rPr>
        <w:t>cę wspólnych zespołów dochodzeniowo-śledczych</w:t>
      </w:r>
      <w:r w:rsidR="00710B91" w:rsidRPr="00710B91">
        <w:rPr>
          <w:noProof/>
        </w:rPr>
        <w:t xml:space="preserve"> w</w:t>
      </w:r>
      <w:r w:rsidR="00710B91">
        <w:rPr>
          <w:noProof/>
        </w:rPr>
        <w:t> </w:t>
      </w:r>
      <w:r w:rsidR="00710B91" w:rsidRPr="00710B91">
        <w:rPr>
          <w:noProof/>
        </w:rPr>
        <w:t>cel</w:t>
      </w:r>
      <w:r w:rsidRPr="00710B91">
        <w:rPr>
          <w:noProof/>
        </w:rPr>
        <w:t>u zwiększenia efektywności</w:t>
      </w:r>
      <w:r w:rsidR="00710B91" w:rsidRPr="00710B91">
        <w:rPr>
          <w:noProof/>
        </w:rPr>
        <w:t xml:space="preserve"> i</w:t>
      </w:r>
      <w:r w:rsidR="00710B91">
        <w:rPr>
          <w:noProof/>
        </w:rPr>
        <w:t> </w:t>
      </w:r>
      <w:r w:rsidR="00710B91" w:rsidRPr="00710B91">
        <w:rPr>
          <w:noProof/>
        </w:rPr>
        <w:t>sku</w:t>
      </w:r>
      <w:r w:rsidRPr="00710B91">
        <w:rPr>
          <w:noProof/>
        </w:rPr>
        <w:t>teczności transgranicznych postępowań przygotowawczych</w:t>
      </w:r>
      <w:r w:rsidR="00710B91" w:rsidRPr="00710B91">
        <w:rPr>
          <w:noProof/>
        </w:rPr>
        <w:t xml:space="preserve"> i</w:t>
      </w:r>
      <w:r w:rsidR="00710B91">
        <w:rPr>
          <w:noProof/>
        </w:rPr>
        <w:t> </w:t>
      </w:r>
      <w:r w:rsidR="00710B91" w:rsidRPr="00710B91">
        <w:rPr>
          <w:noProof/>
        </w:rPr>
        <w:t>tra</w:t>
      </w:r>
      <w:r w:rsidRPr="00710B91">
        <w:rPr>
          <w:noProof/>
        </w:rPr>
        <w:t>nsgranicznego ścigania karnego.</w:t>
      </w:r>
    </w:p>
    <w:p w14:paraId="4B03BF37" w14:textId="150D205E" w:rsidR="00A728BA" w:rsidRPr="00710B91" w:rsidRDefault="009A08E9" w:rsidP="009A08E9">
      <w:pPr>
        <w:pStyle w:val="ManualHeading3"/>
        <w:rPr>
          <w:bCs/>
          <w:noProof/>
          <w:szCs w:val="24"/>
        </w:rPr>
      </w:pPr>
      <w:bookmarkStart w:id="12" w:name="_Toc92899383"/>
      <w:r w:rsidRPr="009A08E9">
        <w:t>1.4.2.</w:t>
      </w:r>
      <w:r w:rsidRPr="009A08E9">
        <w:tab/>
      </w:r>
      <w:r w:rsidR="00A728BA" w:rsidRPr="00710B91">
        <w:rPr>
          <w:noProof/>
        </w:rPr>
        <w:t>Cel(e) szczegółowy(e)</w:t>
      </w:r>
      <w:bookmarkEnd w:id="12"/>
    </w:p>
    <w:p w14:paraId="69CB6B4F" w14:textId="554CD66E" w:rsidR="00140823" w:rsidRPr="00710B91" w:rsidRDefault="00140823" w:rsidP="00140823">
      <w:pPr>
        <w:pStyle w:val="Text1"/>
        <w:pBdr>
          <w:top w:val="single" w:sz="4" w:space="1" w:color="auto"/>
          <w:left w:val="single" w:sz="4" w:space="4" w:color="auto"/>
          <w:bottom w:val="single" w:sz="4" w:space="1" w:color="auto"/>
          <w:right w:val="single" w:sz="4" w:space="4" w:color="auto"/>
        </w:pBdr>
        <w:rPr>
          <w:noProof/>
        </w:rPr>
      </w:pPr>
      <w:r w:rsidRPr="00710B91">
        <w:rPr>
          <w:noProof/>
        </w:rPr>
        <w:t>1. Zapewnienie członkom</w:t>
      </w:r>
      <w:r w:rsidR="00710B91" w:rsidRPr="00710B91">
        <w:rPr>
          <w:noProof/>
        </w:rPr>
        <w:t xml:space="preserve"> i</w:t>
      </w:r>
      <w:r w:rsidR="00710B91">
        <w:rPr>
          <w:noProof/>
        </w:rPr>
        <w:t> </w:t>
      </w:r>
      <w:r w:rsidR="00710B91" w:rsidRPr="00710B91">
        <w:rPr>
          <w:noProof/>
        </w:rPr>
        <w:t>ucz</w:t>
      </w:r>
      <w:r w:rsidRPr="00710B91">
        <w:rPr>
          <w:noProof/>
        </w:rPr>
        <w:t>estnikom wspólnych zespołów dochodzeniowo-śledczych możliwości łatwiejszej wymiany informacji</w:t>
      </w:r>
      <w:r w:rsidR="00710B91" w:rsidRPr="00710B91">
        <w:rPr>
          <w:noProof/>
        </w:rPr>
        <w:t xml:space="preserve"> i</w:t>
      </w:r>
      <w:r w:rsidR="00710B91">
        <w:rPr>
          <w:noProof/>
        </w:rPr>
        <w:t> </w:t>
      </w:r>
      <w:r w:rsidR="00710B91" w:rsidRPr="00710B91">
        <w:rPr>
          <w:noProof/>
        </w:rPr>
        <w:t>dow</w:t>
      </w:r>
      <w:r w:rsidRPr="00710B91">
        <w:rPr>
          <w:noProof/>
        </w:rPr>
        <w:t>odów zebranych podczas działań podejmowanych przez JIT.</w:t>
      </w:r>
    </w:p>
    <w:p w14:paraId="3BE096BB" w14:textId="72213CA5" w:rsidR="00140823" w:rsidRPr="00710B91" w:rsidRDefault="00140823" w:rsidP="00140823">
      <w:pPr>
        <w:pStyle w:val="Text1"/>
        <w:pBdr>
          <w:top w:val="single" w:sz="4" w:space="1" w:color="auto"/>
          <w:left w:val="single" w:sz="4" w:space="4" w:color="auto"/>
          <w:bottom w:val="single" w:sz="4" w:space="1" w:color="auto"/>
          <w:right w:val="single" w:sz="4" w:space="4" w:color="auto"/>
        </w:pBdr>
        <w:rPr>
          <w:noProof/>
        </w:rPr>
      </w:pPr>
      <w:r w:rsidRPr="00710B91">
        <w:rPr>
          <w:noProof/>
        </w:rPr>
        <w:t>2. Zapewnienie członkom</w:t>
      </w:r>
      <w:r w:rsidR="00710B91" w:rsidRPr="00710B91">
        <w:rPr>
          <w:noProof/>
        </w:rPr>
        <w:t xml:space="preserve"> i</w:t>
      </w:r>
      <w:r w:rsidR="00710B91">
        <w:rPr>
          <w:noProof/>
        </w:rPr>
        <w:t> </w:t>
      </w:r>
      <w:r w:rsidR="00710B91" w:rsidRPr="00710B91">
        <w:rPr>
          <w:noProof/>
        </w:rPr>
        <w:t>ucz</w:t>
      </w:r>
      <w:r w:rsidRPr="00710B91">
        <w:rPr>
          <w:noProof/>
        </w:rPr>
        <w:t>estnikom wspólnych zespołów dochodzeniowo-śledczych możliwości łatwiejszej</w:t>
      </w:r>
      <w:r w:rsidR="00710B91" w:rsidRPr="00710B91">
        <w:rPr>
          <w:noProof/>
        </w:rPr>
        <w:t xml:space="preserve"> i</w:t>
      </w:r>
      <w:r w:rsidR="00710B91">
        <w:rPr>
          <w:noProof/>
        </w:rPr>
        <w:t> </w:t>
      </w:r>
      <w:r w:rsidR="00710B91" w:rsidRPr="00710B91">
        <w:rPr>
          <w:noProof/>
        </w:rPr>
        <w:t>bez</w:t>
      </w:r>
      <w:r w:rsidRPr="00710B91">
        <w:rPr>
          <w:noProof/>
        </w:rPr>
        <w:t>pieczniejszej komunikacji między sobą</w:t>
      </w:r>
      <w:r w:rsidR="00710B91" w:rsidRPr="00710B91">
        <w:rPr>
          <w:noProof/>
        </w:rPr>
        <w:t xml:space="preserve"> w</w:t>
      </w:r>
      <w:r w:rsidR="00710B91">
        <w:rPr>
          <w:noProof/>
        </w:rPr>
        <w:t> </w:t>
      </w:r>
      <w:r w:rsidR="00710B91" w:rsidRPr="00710B91">
        <w:rPr>
          <w:noProof/>
        </w:rPr>
        <w:t>kon</w:t>
      </w:r>
      <w:r w:rsidRPr="00710B91">
        <w:rPr>
          <w:noProof/>
        </w:rPr>
        <w:t>tekście działań podejmowanych przez JIT.</w:t>
      </w:r>
    </w:p>
    <w:p w14:paraId="32036664" w14:textId="35CB16C9" w:rsidR="00140823" w:rsidRPr="00710B91" w:rsidRDefault="00140823" w:rsidP="00140823">
      <w:pPr>
        <w:pStyle w:val="Text1"/>
        <w:pBdr>
          <w:top w:val="single" w:sz="4" w:space="1" w:color="auto"/>
          <w:left w:val="single" w:sz="4" w:space="4" w:color="auto"/>
          <w:bottom w:val="single" w:sz="4" w:space="1" w:color="auto"/>
          <w:right w:val="single" w:sz="4" w:space="4" w:color="auto"/>
        </w:pBdr>
        <w:rPr>
          <w:noProof/>
        </w:rPr>
      </w:pPr>
      <w:r w:rsidRPr="00710B91">
        <w:rPr>
          <w:noProof/>
        </w:rPr>
        <w:t>3. Ułatwienie procesu codziennego zarządzania JIT,</w:t>
      </w:r>
      <w:r w:rsidR="00710B91" w:rsidRPr="00710B91">
        <w:rPr>
          <w:noProof/>
        </w:rPr>
        <w:t xml:space="preserve"> w</w:t>
      </w:r>
      <w:r w:rsidR="00710B91">
        <w:rPr>
          <w:noProof/>
        </w:rPr>
        <w:t> </w:t>
      </w:r>
      <w:r w:rsidR="00710B91" w:rsidRPr="00710B91">
        <w:rPr>
          <w:noProof/>
        </w:rPr>
        <w:t>tym</w:t>
      </w:r>
      <w:r w:rsidRPr="00710B91">
        <w:rPr>
          <w:noProof/>
        </w:rPr>
        <w:t xml:space="preserve"> planowania</w:t>
      </w:r>
      <w:r w:rsidR="00710B91" w:rsidRPr="00710B91">
        <w:rPr>
          <w:noProof/>
        </w:rPr>
        <w:t xml:space="preserve"> i</w:t>
      </w:r>
      <w:r w:rsidR="00710B91">
        <w:rPr>
          <w:noProof/>
        </w:rPr>
        <w:t> </w:t>
      </w:r>
      <w:r w:rsidR="00710B91" w:rsidRPr="00710B91">
        <w:rPr>
          <w:noProof/>
        </w:rPr>
        <w:t>koo</w:t>
      </w:r>
      <w:r w:rsidRPr="00710B91">
        <w:rPr>
          <w:noProof/>
        </w:rPr>
        <w:t>rdynacji jednoczesnych działań, ulepszonej identyfikowalności udostępnianych dowodów</w:t>
      </w:r>
      <w:r w:rsidR="00710B91" w:rsidRPr="00710B91">
        <w:rPr>
          <w:noProof/>
        </w:rPr>
        <w:t xml:space="preserve"> i</w:t>
      </w:r>
      <w:r w:rsidR="00710B91">
        <w:rPr>
          <w:noProof/>
        </w:rPr>
        <w:t> </w:t>
      </w:r>
      <w:r w:rsidR="00710B91" w:rsidRPr="00710B91">
        <w:rPr>
          <w:noProof/>
        </w:rPr>
        <w:t>koo</w:t>
      </w:r>
      <w:r w:rsidRPr="00710B91">
        <w:rPr>
          <w:noProof/>
        </w:rPr>
        <w:t>rdynacji</w:t>
      </w:r>
      <w:r w:rsidR="00710B91" w:rsidRPr="00710B91">
        <w:rPr>
          <w:noProof/>
        </w:rPr>
        <w:t xml:space="preserve"> z</w:t>
      </w:r>
      <w:r w:rsidR="00710B91">
        <w:rPr>
          <w:noProof/>
        </w:rPr>
        <w:t> </w:t>
      </w:r>
      <w:r w:rsidR="00710B91" w:rsidRPr="00710B91">
        <w:rPr>
          <w:noProof/>
        </w:rPr>
        <w:t>pań</w:t>
      </w:r>
      <w:r w:rsidRPr="00710B91">
        <w:rPr>
          <w:noProof/>
        </w:rPr>
        <w:t>stwami trzecimi,</w:t>
      </w:r>
      <w:r w:rsidR="00710B91" w:rsidRPr="00710B91">
        <w:rPr>
          <w:noProof/>
        </w:rPr>
        <w:t xml:space="preserve"> w</w:t>
      </w:r>
      <w:r w:rsidR="00710B91">
        <w:rPr>
          <w:noProof/>
        </w:rPr>
        <w:t> </w:t>
      </w:r>
      <w:r w:rsidR="00710B91" w:rsidRPr="00710B91">
        <w:rPr>
          <w:noProof/>
        </w:rPr>
        <w:t>szc</w:t>
      </w:r>
      <w:r w:rsidRPr="00710B91">
        <w:rPr>
          <w:noProof/>
        </w:rPr>
        <w:t>zególności</w:t>
      </w:r>
      <w:r w:rsidR="00710B91" w:rsidRPr="00710B91">
        <w:rPr>
          <w:noProof/>
        </w:rPr>
        <w:t xml:space="preserve"> w</w:t>
      </w:r>
      <w:r w:rsidR="00710B91">
        <w:rPr>
          <w:noProof/>
        </w:rPr>
        <w:t> </w:t>
      </w:r>
      <w:r w:rsidR="00710B91" w:rsidRPr="00710B91">
        <w:rPr>
          <w:noProof/>
        </w:rPr>
        <w:t>syt</w:t>
      </w:r>
      <w:r w:rsidRPr="00710B91">
        <w:rPr>
          <w:noProof/>
        </w:rPr>
        <w:t>uacjach, gdy spotkania osobiste są zbyt kosztowne lub czasochłonne.</w:t>
      </w:r>
    </w:p>
    <w:p w14:paraId="477BD7BB" w14:textId="7D8C93C0" w:rsidR="00140823" w:rsidRPr="00710B91" w:rsidRDefault="009A08E9" w:rsidP="009A08E9">
      <w:pPr>
        <w:pStyle w:val="ManualHeading3"/>
        <w:rPr>
          <w:bCs/>
          <w:noProof/>
          <w:szCs w:val="24"/>
        </w:rPr>
      </w:pPr>
      <w:bookmarkStart w:id="13" w:name="_Toc92899384"/>
      <w:r w:rsidRPr="009A08E9">
        <w:t>1.4.3.</w:t>
      </w:r>
      <w:r w:rsidRPr="009A08E9">
        <w:tab/>
      </w:r>
      <w:r w:rsidR="00140823" w:rsidRPr="00710B91">
        <w:rPr>
          <w:noProof/>
        </w:rPr>
        <w:t>Oczekiwane wyniki</w:t>
      </w:r>
      <w:r w:rsidR="00710B91" w:rsidRPr="00710B91">
        <w:rPr>
          <w:noProof/>
        </w:rPr>
        <w:t xml:space="preserve"> i</w:t>
      </w:r>
      <w:r w:rsidR="00710B91">
        <w:rPr>
          <w:noProof/>
        </w:rPr>
        <w:t> </w:t>
      </w:r>
      <w:r w:rsidR="00710B91" w:rsidRPr="00710B91">
        <w:rPr>
          <w:noProof/>
        </w:rPr>
        <w:t>wpł</w:t>
      </w:r>
      <w:r w:rsidR="00140823" w:rsidRPr="00710B91">
        <w:rPr>
          <w:noProof/>
        </w:rPr>
        <w:t>yw</w:t>
      </w:r>
      <w:bookmarkEnd w:id="13"/>
      <w:r w:rsidR="00140823" w:rsidRPr="00710B91">
        <w:rPr>
          <w:noProof/>
        </w:rPr>
        <w:t xml:space="preserve"> </w:t>
      </w:r>
    </w:p>
    <w:p w14:paraId="750FECC2" w14:textId="77777777" w:rsidR="00A728BA" w:rsidRPr="00710B91" w:rsidRDefault="00A728BA" w:rsidP="006F6F3C">
      <w:pPr>
        <w:pStyle w:val="Text1"/>
        <w:rPr>
          <w:i/>
          <w:noProof/>
          <w:sz w:val="20"/>
        </w:rPr>
      </w:pPr>
      <w:r w:rsidRPr="00710B91">
        <w:rPr>
          <w:i/>
          <w:noProof/>
          <w:sz w:val="20"/>
        </w:rPr>
        <w:t>Należy wskazać, jakie efekty przyniesie wniosek/inicjatywa beneficjentom/grupie docelowej.</w:t>
      </w:r>
    </w:p>
    <w:p w14:paraId="7EFAC7C8" w14:textId="05D389A9" w:rsidR="00140823" w:rsidRPr="00710B91" w:rsidRDefault="00140823" w:rsidP="00140823">
      <w:pPr>
        <w:pStyle w:val="Text1"/>
        <w:pBdr>
          <w:top w:val="single" w:sz="4" w:space="1" w:color="auto"/>
          <w:left w:val="single" w:sz="4" w:space="4" w:color="auto"/>
          <w:bottom w:val="single" w:sz="4" w:space="1" w:color="auto"/>
          <w:right w:val="single" w:sz="4" w:space="4" w:color="auto"/>
        </w:pBdr>
        <w:rPr>
          <w:noProof/>
        </w:rPr>
      </w:pPr>
      <w:r w:rsidRPr="00710B91">
        <w:rPr>
          <w:noProof/>
        </w:rPr>
        <w:t>Oczekuje się, że na skutek inicjatywy dojdzie do zwiększenia efektywności</w:t>
      </w:r>
      <w:r w:rsidR="00710B91" w:rsidRPr="00710B91">
        <w:rPr>
          <w:noProof/>
        </w:rPr>
        <w:t xml:space="preserve"> i</w:t>
      </w:r>
      <w:r w:rsidR="00710B91">
        <w:rPr>
          <w:noProof/>
        </w:rPr>
        <w:t> </w:t>
      </w:r>
      <w:r w:rsidR="00710B91" w:rsidRPr="00710B91">
        <w:rPr>
          <w:noProof/>
        </w:rPr>
        <w:t>sku</w:t>
      </w:r>
      <w:r w:rsidRPr="00710B91">
        <w:rPr>
          <w:noProof/>
        </w:rPr>
        <w:t>teczności transgranicznych postępowań przygotowawczych</w:t>
      </w:r>
      <w:r w:rsidR="00710B91" w:rsidRPr="00710B91">
        <w:rPr>
          <w:noProof/>
        </w:rPr>
        <w:t xml:space="preserve"> i</w:t>
      </w:r>
      <w:r w:rsidR="00710B91">
        <w:rPr>
          <w:noProof/>
        </w:rPr>
        <w:t> </w:t>
      </w:r>
      <w:r w:rsidR="00710B91" w:rsidRPr="00710B91">
        <w:rPr>
          <w:noProof/>
        </w:rPr>
        <w:t>tra</w:t>
      </w:r>
      <w:r w:rsidRPr="00710B91">
        <w:rPr>
          <w:noProof/>
        </w:rPr>
        <w:t>nsgranicznego ścigania karnego pod kierownictwem wspólnych zespołów dochodzeniowo-śledczych.</w:t>
      </w:r>
    </w:p>
    <w:p w14:paraId="75CF46DA" w14:textId="6B678600" w:rsidR="00A728BA" w:rsidRPr="00710B91" w:rsidRDefault="009A08E9" w:rsidP="009A08E9">
      <w:pPr>
        <w:pStyle w:val="ManualHeading3"/>
        <w:rPr>
          <w:noProof/>
          <w:szCs w:val="24"/>
        </w:rPr>
      </w:pPr>
      <w:bookmarkStart w:id="14" w:name="_Toc92899385"/>
      <w:r w:rsidRPr="009A08E9">
        <w:t>1.4.4.</w:t>
      </w:r>
      <w:r w:rsidRPr="009A08E9">
        <w:tab/>
      </w:r>
      <w:r w:rsidR="00A728BA" w:rsidRPr="00710B91">
        <w:rPr>
          <w:noProof/>
        </w:rPr>
        <w:t>Wskaźniki dotyczące realizacji celów</w:t>
      </w:r>
      <w:bookmarkEnd w:id="14"/>
    </w:p>
    <w:p w14:paraId="2BDE1B7F" w14:textId="23F0E7DE" w:rsidR="00A728BA" w:rsidRPr="00710B91" w:rsidRDefault="00A728BA" w:rsidP="006F6F3C">
      <w:pPr>
        <w:pStyle w:val="Text1"/>
        <w:rPr>
          <w:i/>
          <w:noProof/>
          <w:sz w:val="20"/>
        </w:rPr>
      </w:pPr>
      <w:r w:rsidRPr="00710B91">
        <w:rPr>
          <w:i/>
          <w:noProof/>
          <w:sz w:val="20"/>
        </w:rPr>
        <w:t>Należy wskazać wskaźniki stosowane do monitorowania postępów</w:t>
      </w:r>
      <w:r w:rsidR="00710B91" w:rsidRPr="00710B91">
        <w:rPr>
          <w:i/>
          <w:noProof/>
          <w:sz w:val="20"/>
        </w:rPr>
        <w:t xml:space="preserve"> i</w:t>
      </w:r>
      <w:r w:rsidR="00710B91">
        <w:rPr>
          <w:i/>
          <w:noProof/>
          <w:sz w:val="20"/>
        </w:rPr>
        <w:t> </w:t>
      </w:r>
      <w:r w:rsidR="00710B91" w:rsidRPr="00710B91">
        <w:rPr>
          <w:i/>
          <w:noProof/>
          <w:sz w:val="20"/>
        </w:rPr>
        <w:t>osi</w:t>
      </w:r>
      <w:r w:rsidRPr="00710B91">
        <w:rPr>
          <w:i/>
          <w:noProof/>
          <w:sz w:val="20"/>
        </w:rPr>
        <w:t>ągnięć.</w:t>
      </w:r>
    </w:p>
    <w:p w14:paraId="02D1AC2F" w14:textId="77777777" w:rsidR="00140823" w:rsidRPr="00710B91" w:rsidRDefault="00140823" w:rsidP="000F4A33">
      <w:pPr>
        <w:pStyle w:val="Tiret1"/>
        <w:numPr>
          <w:ilvl w:val="0"/>
          <w:numId w:val="22"/>
        </w:numPr>
        <w:pBdr>
          <w:top w:val="single" w:sz="4" w:space="1" w:color="auto"/>
          <w:left w:val="single" w:sz="4" w:space="4" w:color="auto"/>
          <w:bottom w:val="single" w:sz="4" w:space="1" w:color="auto"/>
          <w:right w:val="single" w:sz="4" w:space="4" w:color="auto"/>
        </w:pBdr>
        <w:rPr>
          <w:noProof/>
        </w:rPr>
      </w:pPr>
      <w:r w:rsidRPr="00710B91">
        <w:rPr>
          <w:noProof/>
        </w:rPr>
        <w:t>Liczba zespołów JIT rejestrowanych na platformie każdego roku</w:t>
      </w:r>
    </w:p>
    <w:p w14:paraId="40C740C5" w14:textId="77777777" w:rsidR="00140823" w:rsidRPr="00710B91" w:rsidRDefault="00140823" w:rsidP="00420CBA">
      <w:pPr>
        <w:pStyle w:val="Tiret1"/>
        <w:pBdr>
          <w:top w:val="single" w:sz="4" w:space="1" w:color="auto"/>
          <w:left w:val="single" w:sz="4" w:space="4" w:color="auto"/>
          <w:bottom w:val="single" w:sz="4" w:space="1" w:color="auto"/>
          <w:right w:val="single" w:sz="4" w:space="4" w:color="auto"/>
        </w:pBdr>
        <w:rPr>
          <w:noProof/>
        </w:rPr>
      </w:pPr>
      <w:r w:rsidRPr="00710B91">
        <w:rPr>
          <w:noProof/>
        </w:rPr>
        <w:t>Średni okres istnienia zespołów JIT, dla których hosting zapewnia platforma</w:t>
      </w:r>
    </w:p>
    <w:p w14:paraId="370C9A2A" w14:textId="7E3F284B" w:rsidR="00140823" w:rsidRPr="00710B91" w:rsidRDefault="00140823" w:rsidP="00420CBA">
      <w:pPr>
        <w:pStyle w:val="Tiret1"/>
        <w:pBdr>
          <w:top w:val="single" w:sz="4" w:space="1" w:color="auto"/>
          <w:left w:val="single" w:sz="4" w:space="4" w:color="auto"/>
          <w:bottom w:val="single" w:sz="4" w:space="1" w:color="auto"/>
          <w:right w:val="single" w:sz="4" w:space="4" w:color="auto"/>
        </w:pBdr>
        <w:rPr>
          <w:noProof/>
        </w:rPr>
      </w:pPr>
      <w:r w:rsidRPr="00710B91">
        <w:rPr>
          <w:noProof/>
        </w:rPr>
        <w:t>Liczba użytkowników platformy współpracy zespołów JIT</w:t>
      </w:r>
    </w:p>
    <w:p w14:paraId="79830A81" w14:textId="5FC94A6F" w:rsidR="00140823" w:rsidRPr="00710B91" w:rsidRDefault="00140823" w:rsidP="00420CBA">
      <w:pPr>
        <w:pStyle w:val="Tiret1"/>
        <w:pBdr>
          <w:top w:val="single" w:sz="4" w:space="1" w:color="auto"/>
          <w:left w:val="single" w:sz="4" w:space="4" w:color="auto"/>
          <w:bottom w:val="single" w:sz="4" w:space="1" w:color="auto"/>
          <w:right w:val="single" w:sz="4" w:space="4" w:color="auto"/>
        </w:pBdr>
        <w:rPr>
          <w:noProof/>
        </w:rPr>
      </w:pPr>
      <w:r w:rsidRPr="00710B91">
        <w:rPr>
          <w:noProof/>
        </w:rPr>
        <w:t>Liczba użytkowników platformy współpracy zespołów JIT reprezentujących państwa trzecie</w:t>
      </w:r>
    </w:p>
    <w:p w14:paraId="5A42CD4B" w14:textId="4E30DE2D" w:rsidR="00C66019" w:rsidRPr="00710B91" w:rsidRDefault="00C66019" w:rsidP="00420CBA">
      <w:pPr>
        <w:pStyle w:val="Tiret1"/>
        <w:pBdr>
          <w:top w:val="single" w:sz="4" w:space="1" w:color="auto"/>
          <w:left w:val="single" w:sz="4" w:space="4" w:color="auto"/>
          <w:bottom w:val="single" w:sz="4" w:space="1" w:color="auto"/>
          <w:right w:val="single" w:sz="4" w:space="4" w:color="auto"/>
        </w:pBdr>
        <w:rPr>
          <w:noProof/>
        </w:rPr>
      </w:pPr>
      <w:r w:rsidRPr="00710B91">
        <w:rPr>
          <w:noProof/>
        </w:rPr>
        <w:t>Liczba użytkowników platformy współpracy zespołów JIT reprezentujących właściwe organy</w:t>
      </w:r>
      <w:r w:rsidR="00710B91" w:rsidRPr="00710B91">
        <w:rPr>
          <w:noProof/>
        </w:rPr>
        <w:t xml:space="preserve"> i</w:t>
      </w:r>
      <w:r w:rsidR="00710B91">
        <w:rPr>
          <w:noProof/>
        </w:rPr>
        <w:t> </w:t>
      </w:r>
      <w:r w:rsidR="00710B91" w:rsidRPr="00710B91">
        <w:rPr>
          <w:noProof/>
        </w:rPr>
        <w:t>jed</w:t>
      </w:r>
      <w:r w:rsidRPr="00710B91">
        <w:rPr>
          <w:noProof/>
        </w:rPr>
        <w:t>nostki organizacyjne Unii</w:t>
      </w:r>
    </w:p>
    <w:p w14:paraId="3337017B" w14:textId="77777777" w:rsidR="00140823" w:rsidRPr="00710B91" w:rsidRDefault="00140823" w:rsidP="00420CBA">
      <w:pPr>
        <w:pStyle w:val="Tiret1"/>
        <w:pBdr>
          <w:top w:val="single" w:sz="4" w:space="1" w:color="auto"/>
          <w:left w:val="single" w:sz="4" w:space="4" w:color="auto"/>
          <w:bottom w:val="single" w:sz="4" w:space="1" w:color="auto"/>
          <w:right w:val="single" w:sz="4" w:space="4" w:color="auto"/>
        </w:pBdr>
        <w:rPr>
          <w:noProof/>
        </w:rPr>
      </w:pPr>
      <w:r w:rsidRPr="00710B91">
        <w:rPr>
          <w:noProof/>
        </w:rPr>
        <w:t>Liczba ocen zespołów JIT przeprowadzonych za pośrednictwem platformy</w:t>
      </w:r>
    </w:p>
    <w:p w14:paraId="6040A705" w14:textId="56FD36B6" w:rsidR="00140823" w:rsidRPr="00710B91" w:rsidRDefault="00140823" w:rsidP="00420CBA">
      <w:pPr>
        <w:pStyle w:val="Tiret1"/>
        <w:pBdr>
          <w:top w:val="single" w:sz="4" w:space="1" w:color="auto"/>
          <w:left w:val="single" w:sz="4" w:space="4" w:color="auto"/>
          <w:bottom w:val="single" w:sz="4" w:space="1" w:color="auto"/>
          <w:right w:val="single" w:sz="4" w:space="4" w:color="auto"/>
        </w:pBdr>
        <w:rPr>
          <w:noProof/>
        </w:rPr>
      </w:pPr>
      <w:r w:rsidRPr="00710B91">
        <w:rPr>
          <w:noProof/>
        </w:rPr>
        <w:t>Liczba wizyt</w:t>
      </w:r>
      <w:r w:rsidR="00710B91" w:rsidRPr="00710B91">
        <w:rPr>
          <w:noProof/>
        </w:rPr>
        <w:t xml:space="preserve"> w</w:t>
      </w:r>
      <w:r w:rsidR="00710B91">
        <w:rPr>
          <w:noProof/>
        </w:rPr>
        <w:t> </w:t>
      </w:r>
      <w:r w:rsidR="00710B91" w:rsidRPr="00710B91">
        <w:rPr>
          <w:noProof/>
        </w:rPr>
        <w:t>sce</w:t>
      </w:r>
      <w:r w:rsidRPr="00710B91">
        <w:rPr>
          <w:noProof/>
        </w:rPr>
        <w:t>ntralizowanym systemie informacyjnym</w:t>
      </w:r>
    </w:p>
    <w:p w14:paraId="2B5454C4" w14:textId="77777777" w:rsidR="00A728BA" w:rsidRPr="00710B91" w:rsidRDefault="00140823" w:rsidP="00420CBA">
      <w:pPr>
        <w:pStyle w:val="Tiret1"/>
        <w:pBdr>
          <w:top w:val="single" w:sz="4" w:space="1" w:color="auto"/>
          <w:left w:val="single" w:sz="4" w:space="4" w:color="auto"/>
          <w:bottom w:val="single" w:sz="4" w:space="1" w:color="auto"/>
          <w:right w:val="single" w:sz="4" w:space="4" w:color="auto"/>
        </w:pBdr>
        <w:rPr>
          <w:noProof/>
        </w:rPr>
      </w:pPr>
      <w:r w:rsidRPr="00710B91">
        <w:rPr>
          <w:noProof/>
        </w:rPr>
        <w:t>Liczba pobrań oprogramowania komunikacyjnego</w:t>
      </w:r>
    </w:p>
    <w:p w14:paraId="5D44B6E6" w14:textId="1857626C" w:rsidR="00A728BA" w:rsidRPr="00710B91" w:rsidRDefault="009A08E9" w:rsidP="009A08E9">
      <w:pPr>
        <w:pStyle w:val="ManualHeading2"/>
        <w:rPr>
          <w:bCs/>
          <w:noProof/>
          <w:szCs w:val="24"/>
        </w:rPr>
      </w:pPr>
      <w:bookmarkStart w:id="15" w:name="_Toc92899386"/>
      <w:r w:rsidRPr="009A08E9">
        <w:t>1.5.</w:t>
      </w:r>
      <w:r w:rsidRPr="009A08E9">
        <w:tab/>
      </w:r>
      <w:r w:rsidR="00A728BA" w:rsidRPr="00710B91">
        <w:rPr>
          <w:noProof/>
        </w:rPr>
        <w:t>Uzasadnienie wniosku/inicjatywy</w:t>
      </w:r>
      <w:bookmarkEnd w:id="15"/>
      <w:r w:rsidR="00A728BA" w:rsidRPr="00710B91">
        <w:rPr>
          <w:noProof/>
        </w:rPr>
        <w:t xml:space="preserve"> </w:t>
      </w:r>
    </w:p>
    <w:p w14:paraId="30296B46" w14:textId="477CC326" w:rsidR="00A728BA" w:rsidRPr="00710B91" w:rsidRDefault="009A08E9" w:rsidP="009A08E9">
      <w:pPr>
        <w:pStyle w:val="ManualHeading3"/>
        <w:rPr>
          <w:noProof/>
        </w:rPr>
      </w:pPr>
      <w:bookmarkStart w:id="16" w:name="_Toc92899387"/>
      <w:r w:rsidRPr="009A08E9">
        <w:t>1.5.1.</w:t>
      </w:r>
      <w:r w:rsidRPr="009A08E9">
        <w:tab/>
      </w:r>
      <w:r w:rsidR="00A728BA" w:rsidRPr="00710B91">
        <w:rPr>
          <w:noProof/>
        </w:rPr>
        <w:t>Potrzeby, które należy zaspokoić</w:t>
      </w:r>
      <w:r w:rsidR="00710B91" w:rsidRPr="00710B91">
        <w:rPr>
          <w:noProof/>
        </w:rPr>
        <w:t xml:space="preserve"> w</w:t>
      </w:r>
      <w:r w:rsidR="00710B91">
        <w:rPr>
          <w:noProof/>
        </w:rPr>
        <w:t> </w:t>
      </w:r>
      <w:r w:rsidR="00710B91" w:rsidRPr="00710B91">
        <w:rPr>
          <w:noProof/>
        </w:rPr>
        <w:t>per</w:t>
      </w:r>
      <w:r w:rsidR="00A728BA" w:rsidRPr="00710B91">
        <w:rPr>
          <w:noProof/>
        </w:rPr>
        <w:t>spektywie krótko- lub długoterminowej,</w:t>
      </w:r>
      <w:r w:rsidR="00710B91" w:rsidRPr="00710B91">
        <w:rPr>
          <w:noProof/>
        </w:rPr>
        <w:t xml:space="preserve"> w</w:t>
      </w:r>
      <w:r w:rsidR="00710B91">
        <w:rPr>
          <w:noProof/>
        </w:rPr>
        <w:t> </w:t>
      </w:r>
      <w:r w:rsidR="00710B91" w:rsidRPr="00710B91">
        <w:rPr>
          <w:noProof/>
        </w:rPr>
        <w:t>tym</w:t>
      </w:r>
      <w:r w:rsidR="00A728BA" w:rsidRPr="00710B91">
        <w:rPr>
          <w:noProof/>
        </w:rPr>
        <w:t xml:space="preserve"> szczegółowy terminarz przebiegu realizacji inicjatywy</w:t>
      </w:r>
      <w:bookmarkEnd w:id="16"/>
    </w:p>
    <w:p w14:paraId="40052E7A" w14:textId="1BFEB74F" w:rsidR="00140823" w:rsidRPr="00710B91" w:rsidRDefault="00140823" w:rsidP="00420CBA">
      <w:pPr>
        <w:pStyle w:val="Text1"/>
        <w:pBdr>
          <w:top w:val="single" w:sz="4" w:space="1" w:color="auto"/>
          <w:left w:val="single" w:sz="4" w:space="4" w:color="auto"/>
          <w:bottom w:val="single" w:sz="4" w:space="1" w:color="auto"/>
          <w:right w:val="single" w:sz="4" w:space="4" w:color="auto"/>
        </w:pBdr>
        <w:rPr>
          <w:noProof/>
        </w:rPr>
      </w:pPr>
      <w:r w:rsidRPr="00710B91">
        <w:rPr>
          <w:noProof/>
        </w:rPr>
        <w:t>Główne wymogi, które będą obowiązywały po wejściu</w:t>
      </w:r>
      <w:r w:rsidR="00710B91" w:rsidRPr="00710B91">
        <w:rPr>
          <w:noProof/>
        </w:rPr>
        <w:t xml:space="preserve"> w</w:t>
      </w:r>
      <w:r w:rsidR="00710B91">
        <w:rPr>
          <w:noProof/>
        </w:rPr>
        <w:t> </w:t>
      </w:r>
      <w:r w:rsidR="00710B91" w:rsidRPr="00710B91">
        <w:rPr>
          <w:noProof/>
        </w:rPr>
        <w:t>życ</w:t>
      </w:r>
      <w:r w:rsidRPr="00710B91">
        <w:rPr>
          <w:noProof/>
        </w:rPr>
        <w:t>ie niniejszego rozporządzenia, są następujące:</w:t>
      </w:r>
    </w:p>
    <w:p w14:paraId="21D4D431" w14:textId="7EF67F74" w:rsidR="00140823" w:rsidRPr="00710B91" w:rsidRDefault="00140823" w:rsidP="00420CBA">
      <w:pPr>
        <w:pStyle w:val="Tiret1"/>
        <w:pBdr>
          <w:top w:val="single" w:sz="4" w:space="1" w:color="auto"/>
          <w:left w:val="single" w:sz="4" w:space="4" w:color="auto"/>
          <w:bottom w:val="single" w:sz="4" w:space="1" w:color="auto"/>
          <w:right w:val="single" w:sz="4" w:space="4" w:color="auto"/>
        </w:pBdr>
        <w:rPr>
          <w:noProof/>
        </w:rPr>
      </w:pPr>
      <w:r w:rsidRPr="00710B91">
        <w:rPr>
          <w:noProof/>
        </w:rPr>
        <w:t>Gromadzenie wymogów</w:t>
      </w:r>
      <w:r w:rsidR="00710B91" w:rsidRPr="00710B91">
        <w:rPr>
          <w:noProof/>
        </w:rPr>
        <w:t xml:space="preserve"> i</w:t>
      </w:r>
      <w:r w:rsidR="00710B91">
        <w:rPr>
          <w:noProof/>
        </w:rPr>
        <w:t> </w:t>
      </w:r>
      <w:r w:rsidR="00710B91" w:rsidRPr="00710B91">
        <w:rPr>
          <w:noProof/>
        </w:rPr>
        <w:t>roz</w:t>
      </w:r>
      <w:r w:rsidRPr="00710B91">
        <w:rPr>
          <w:noProof/>
        </w:rPr>
        <w:t>poczęcie udzielania zamówień publicznych przez eu-LISA –</w:t>
      </w:r>
      <w:r w:rsidR="00710B91" w:rsidRPr="00710B91">
        <w:rPr>
          <w:noProof/>
        </w:rPr>
        <w:t xml:space="preserve"> w</w:t>
      </w:r>
      <w:r w:rsidR="00710B91">
        <w:rPr>
          <w:noProof/>
        </w:rPr>
        <w:t> </w:t>
      </w:r>
      <w:r w:rsidR="00710B91" w:rsidRPr="00710B91">
        <w:rPr>
          <w:noProof/>
        </w:rPr>
        <w:t>2</w:t>
      </w:r>
      <w:r w:rsidRPr="00710B91">
        <w:rPr>
          <w:noProof/>
        </w:rPr>
        <w:t>024</w:t>
      </w:r>
      <w:r w:rsidR="00710B91" w:rsidRPr="00710B91">
        <w:rPr>
          <w:noProof/>
        </w:rPr>
        <w:t> </w:t>
      </w:r>
      <w:r w:rsidRPr="00710B91">
        <w:rPr>
          <w:noProof/>
        </w:rPr>
        <w:t>r.</w:t>
      </w:r>
    </w:p>
    <w:p w14:paraId="7CDD156B" w14:textId="7C235E7D" w:rsidR="00140823" w:rsidRPr="00710B91" w:rsidRDefault="00140823" w:rsidP="00420CBA">
      <w:pPr>
        <w:pStyle w:val="Tiret1"/>
        <w:pBdr>
          <w:top w:val="single" w:sz="4" w:space="1" w:color="auto"/>
          <w:left w:val="single" w:sz="4" w:space="4" w:color="auto"/>
          <w:bottom w:val="single" w:sz="4" w:space="1" w:color="auto"/>
          <w:right w:val="single" w:sz="4" w:space="4" w:color="auto"/>
        </w:pBdr>
        <w:rPr>
          <w:noProof/>
        </w:rPr>
      </w:pPr>
      <w:r w:rsidRPr="00710B91">
        <w:rPr>
          <w:noProof/>
        </w:rPr>
        <w:t>Rozpoczęcie wdrażania platformy współpracy zespołów JIT przez eu-LISA –</w:t>
      </w:r>
      <w:r w:rsidR="00710B91" w:rsidRPr="00710B91">
        <w:rPr>
          <w:noProof/>
        </w:rPr>
        <w:t xml:space="preserve"> w</w:t>
      </w:r>
      <w:r w:rsidR="00710B91">
        <w:rPr>
          <w:noProof/>
        </w:rPr>
        <w:t> </w:t>
      </w:r>
      <w:r w:rsidR="00710B91" w:rsidRPr="00710B91">
        <w:rPr>
          <w:noProof/>
        </w:rPr>
        <w:t>2</w:t>
      </w:r>
      <w:r w:rsidRPr="00710B91">
        <w:rPr>
          <w:noProof/>
        </w:rPr>
        <w:t>025</w:t>
      </w:r>
      <w:r w:rsidR="00710B91" w:rsidRPr="00710B91">
        <w:rPr>
          <w:noProof/>
        </w:rPr>
        <w:t> </w:t>
      </w:r>
      <w:r w:rsidRPr="00710B91">
        <w:rPr>
          <w:noProof/>
        </w:rPr>
        <w:t>r.</w:t>
      </w:r>
    </w:p>
    <w:p w14:paraId="488B9DDC" w14:textId="6A94E60B" w:rsidR="00140823" w:rsidRPr="00710B91" w:rsidRDefault="00140823" w:rsidP="00420CBA">
      <w:pPr>
        <w:pStyle w:val="Tiret1"/>
        <w:pBdr>
          <w:top w:val="single" w:sz="4" w:space="1" w:color="auto"/>
          <w:left w:val="single" w:sz="4" w:space="4" w:color="auto"/>
          <w:bottom w:val="single" w:sz="4" w:space="1" w:color="auto"/>
          <w:right w:val="single" w:sz="4" w:space="4" w:color="auto"/>
        </w:pBdr>
        <w:rPr>
          <w:noProof/>
        </w:rPr>
      </w:pPr>
      <w:r w:rsidRPr="00710B91">
        <w:rPr>
          <w:noProof/>
        </w:rPr>
        <w:t>Uruchomienie platformy współpracy zespołów JIT – styczeń 2026</w:t>
      </w:r>
      <w:r w:rsidR="00710B91" w:rsidRPr="00710B91">
        <w:rPr>
          <w:noProof/>
        </w:rPr>
        <w:t> </w:t>
      </w:r>
      <w:r w:rsidRPr="00710B91">
        <w:rPr>
          <w:noProof/>
        </w:rPr>
        <w:t>r.</w:t>
      </w:r>
    </w:p>
    <w:p w14:paraId="2F33E1A8" w14:textId="641D876F" w:rsidR="00140823" w:rsidRPr="00710B91" w:rsidRDefault="00140823" w:rsidP="00420CBA">
      <w:pPr>
        <w:pStyle w:val="Tiret1"/>
        <w:pBdr>
          <w:top w:val="single" w:sz="4" w:space="1" w:color="auto"/>
          <w:left w:val="single" w:sz="4" w:space="4" w:color="auto"/>
          <w:bottom w:val="single" w:sz="4" w:space="1" w:color="auto"/>
          <w:right w:val="single" w:sz="4" w:space="4" w:color="auto"/>
        </w:pBdr>
        <w:rPr>
          <w:noProof/>
        </w:rPr>
      </w:pPr>
      <w:r w:rsidRPr="00710B91">
        <w:rPr>
          <w:noProof/>
        </w:rPr>
        <w:t>Utrzymanie</w:t>
      </w:r>
      <w:r w:rsidR="00710B91" w:rsidRPr="00710B91">
        <w:rPr>
          <w:noProof/>
        </w:rPr>
        <w:t xml:space="preserve"> i</w:t>
      </w:r>
      <w:r w:rsidR="00710B91">
        <w:rPr>
          <w:noProof/>
        </w:rPr>
        <w:t> </w:t>
      </w:r>
      <w:r w:rsidR="00710B91" w:rsidRPr="00710B91">
        <w:rPr>
          <w:noProof/>
        </w:rPr>
        <w:t>obs</w:t>
      </w:r>
      <w:r w:rsidRPr="00710B91">
        <w:rPr>
          <w:noProof/>
        </w:rPr>
        <w:t>ługa platformy współpracy zespołów JIT – począwszy od stycznia 2026</w:t>
      </w:r>
      <w:r w:rsidR="00710B91" w:rsidRPr="00710B91">
        <w:rPr>
          <w:noProof/>
        </w:rPr>
        <w:t> </w:t>
      </w:r>
      <w:r w:rsidRPr="00710B91">
        <w:rPr>
          <w:noProof/>
        </w:rPr>
        <w:t>r.</w:t>
      </w:r>
    </w:p>
    <w:p w14:paraId="7464B09C" w14:textId="5E503E8E" w:rsidR="00A728BA" w:rsidRPr="00710B91" w:rsidRDefault="009A08E9" w:rsidP="009A08E9">
      <w:pPr>
        <w:pStyle w:val="ManualHeading3"/>
        <w:rPr>
          <w:bCs/>
          <w:noProof/>
          <w:szCs w:val="24"/>
        </w:rPr>
      </w:pPr>
      <w:bookmarkStart w:id="17" w:name="_Toc92899388"/>
      <w:r w:rsidRPr="009A08E9">
        <w:t>1.5.2.</w:t>
      </w:r>
      <w:r w:rsidRPr="009A08E9">
        <w:tab/>
      </w:r>
      <w:r w:rsidR="00A728BA" w:rsidRPr="00710B91">
        <w:rPr>
          <w:noProof/>
        </w:rPr>
        <w:t>Wartość dodana</w:t>
      </w:r>
      <w:r w:rsidR="00710B91" w:rsidRPr="00710B91">
        <w:rPr>
          <w:noProof/>
        </w:rPr>
        <w:t xml:space="preserve"> z</w:t>
      </w:r>
      <w:r w:rsidR="00710B91">
        <w:rPr>
          <w:noProof/>
        </w:rPr>
        <w:t> </w:t>
      </w:r>
      <w:r w:rsidR="00710B91" w:rsidRPr="00710B91">
        <w:rPr>
          <w:noProof/>
        </w:rPr>
        <w:t>tyt</w:t>
      </w:r>
      <w:r w:rsidR="00A728BA" w:rsidRPr="00710B91">
        <w:rPr>
          <w:noProof/>
        </w:rPr>
        <w:t>ułu zaangażowania Unii Europejskiej (może wynikać</w:t>
      </w:r>
      <w:r w:rsidR="00710B91" w:rsidRPr="00710B91">
        <w:rPr>
          <w:noProof/>
        </w:rPr>
        <w:t xml:space="preserve"> z</w:t>
      </w:r>
      <w:r w:rsidR="00710B91">
        <w:rPr>
          <w:noProof/>
        </w:rPr>
        <w:t> </w:t>
      </w:r>
      <w:r w:rsidR="00710B91" w:rsidRPr="00710B91">
        <w:rPr>
          <w:noProof/>
        </w:rPr>
        <w:t>róż</w:t>
      </w:r>
      <w:r w:rsidR="00A728BA" w:rsidRPr="00710B91">
        <w:rPr>
          <w:noProof/>
        </w:rPr>
        <w:t>nych czynników, na przykład korzyści koordynacyjnych, pewności prawa, większej efektywności lub komplementarności). Na potrzeby tego punktu „wartość dodaną</w:t>
      </w:r>
      <w:r w:rsidR="00710B91" w:rsidRPr="00710B91">
        <w:rPr>
          <w:noProof/>
        </w:rPr>
        <w:t xml:space="preserve"> z</w:t>
      </w:r>
      <w:r w:rsidR="00710B91">
        <w:rPr>
          <w:noProof/>
        </w:rPr>
        <w:t> </w:t>
      </w:r>
      <w:r w:rsidR="00710B91" w:rsidRPr="00710B91">
        <w:rPr>
          <w:noProof/>
        </w:rPr>
        <w:t>tyt</w:t>
      </w:r>
      <w:r w:rsidR="00A728BA" w:rsidRPr="00710B91">
        <w:rPr>
          <w:noProof/>
        </w:rPr>
        <w:t>ułu zaangażowania Unii” należy rozumieć jako wartość wynikającą</w:t>
      </w:r>
      <w:r w:rsidR="00710B91" w:rsidRPr="00710B91">
        <w:rPr>
          <w:noProof/>
        </w:rPr>
        <w:t xml:space="preserve"> z</w:t>
      </w:r>
      <w:r w:rsidR="00710B91">
        <w:rPr>
          <w:noProof/>
        </w:rPr>
        <w:t> </w:t>
      </w:r>
      <w:r w:rsidR="00710B91" w:rsidRPr="00710B91">
        <w:rPr>
          <w:noProof/>
        </w:rPr>
        <w:t>uni</w:t>
      </w:r>
      <w:r w:rsidR="00A728BA" w:rsidRPr="00710B91">
        <w:rPr>
          <w:noProof/>
        </w:rPr>
        <w:t>jnej interwencji, wykraczającą poza wartość, która zostałaby wytworzona przez same państwa członkowskie.</w:t>
      </w:r>
      <w:bookmarkEnd w:id="17"/>
    </w:p>
    <w:p w14:paraId="55D854EB" w14:textId="0C6E31A7" w:rsidR="00140823" w:rsidRPr="00710B91" w:rsidRDefault="00140823" w:rsidP="00140823">
      <w:pPr>
        <w:pStyle w:val="Text1"/>
        <w:pBdr>
          <w:top w:val="single" w:sz="4" w:space="1" w:color="auto"/>
          <w:left w:val="single" w:sz="4" w:space="4" w:color="auto"/>
          <w:bottom w:val="single" w:sz="4" w:space="1" w:color="auto"/>
          <w:right w:val="single" w:sz="4" w:space="4" w:color="auto"/>
        </w:pBdr>
        <w:rPr>
          <w:noProof/>
        </w:rPr>
      </w:pPr>
      <w:r w:rsidRPr="00710B91">
        <w:rPr>
          <w:noProof/>
        </w:rPr>
        <w:t>Utworzenie znormalizowanej</w:t>
      </w:r>
      <w:r w:rsidR="00710B91" w:rsidRPr="00710B91">
        <w:rPr>
          <w:noProof/>
        </w:rPr>
        <w:t xml:space="preserve"> i</w:t>
      </w:r>
      <w:r w:rsidR="00710B91">
        <w:rPr>
          <w:noProof/>
        </w:rPr>
        <w:t> </w:t>
      </w:r>
      <w:r w:rsidR="00710B91" w:rsidRPr="00710B91">
        <w:rPr>
          <w:noProof/>
        </w:rPr>
        <w:t>jed</w:t>
      </w:r>
      <w:r w:rsidRPr="00710B91">
        <w:rPr>
          <w:noProof/>
        </w:rPr>
        <w:t>nolitej platformy informatycznej przeznaczonej do obsługi wspólnych zespołów dochodzeniowo-śledczych, pozwalającej państwom członkowskim na wykorzystanie rozwiązania technologicznego niezależnego od krajowej infrastruktury informatycznej, nie może zostać zrealizowane</w:t>
      </w:r>
      <w:r w:rsidR="00710B91" w:rsidRPr="00710B91">
        <w:rPr>
          <w:noProof/>
        </w:rPr>
        <w:t xml:space="preserve"> w</w:t>
      </w:r>
      <w:r w:rsidR="00710B91">
        <w:rPr>
          <w:noProof/>
        </w:rPr>
        <w:t> </w:t>
      </w:r>
      <w:r w:rsidR="00710B91" w:rsidRPr="00710B91">
        <w:rPr>
          <w:noProof/>
        </w:rPr>
        <w:t>spo</w:t>
      </w:r>
      <w:r w:rsidRPr="00710B91">
        <w:rPr>
          <w:noProof/>
        </w:rPr>
        <w:t>sób jednostronny na poziomie państwa członkowskiego ani też dwustronny pomiędzy państwami członkowskimi. Unijna platforma to jedyny sposób zapewnienia wspólnym zespołom dochodzeniowo-śledczym jednolitego nowoczesnego rozwiązania technicznego, które pozwoliłoby im prowadzić transgraniczne postępowania przygotowawcze</w:t>
      </w:r>
      <w:r w:rsidR="00710B91" w:rsidRPr="00710B91">
        <w:rPr>
          <w:noProof/>
        </w:rPr>
        <w:t xml:space="preserve"> w</w:t>
      </w:r>
      <w:r w:rsidR="00710B91">
        <w:rPr>
          <w:noProof/>
        </w:rPr>
        <w:t> </w:t>
      </w:r>
      <w:r w:rsidR="00710B91" w:rsidRPr="00710B91">
        <w:rPr>
          <w:noProof/>
        </w:rPr>
        <w:t>spo</w:t>
      </w:r>
      <w:r w:rsidRPr="00710B91">
        <w:rPr>
          <w:noProof/>
        </w:rPr>
        <w:t xml:space="preserve">sób bardziej efektywny. </w:t>
      </w:r>
    </w:p>
    <w:p w14:paraId="673EAC23" w14:textId="32C22D4A" w:rsidR="00A728BA" w:rsidRPr="00710B91" w:rsidRDefault="009A08E9" w:rsidP="009A08E9">
      <w:pPr>
        <w:pStyle w:val="ManualHeading3"/>
        <w:rPr>
          <w:noProof/>
        </w:rPr>
      </w:pPr>
      <w:bookmarkStart w:id="18" w:name="_Toc92899389"/>
      <w:r w:rsidRPr="009A08E9">
        <w:t>1.5.3.</w:t>
      </w:r>
      <w:r w:rsidRPr="009A08E9">
        <w:tab/>
      </w:r>
      <w:r w:rsidR="00A728BA" w:rsidRPr="00710B91">
        <w:rPr>
          <w:noProof/>
        </w:rPr>
        <w:t>Główne wnioski wyciągnięte</w:t>
      </w:r>
      <w:r w:rsidR="00710B91" w:rsidRPr="00710B91">
        <w:rPr>
          <w:noProof/>
        </w:rPr>
        <w:t xml:space="preserve"> z</w:t>
      </w:r>
      <w:r w:rsidR="00710B91">
        <w:rPr>
          <w:noProof/>
        </w:rPr>
        <w:t> </w:t>
      </w:r>
      <w:r w:rsidR="00710B91" w:rsidRPr="00710B91">
        <w:rPr>
          <w:noProof/>
        </w:rPr>
        <w:t>pod</w:t>
      </w:r>
      <w:r w:rsidR="00A728BA" w:rsidRPr="00710B91">
        <w:rPr>
          <w:noProof/>
        </w:rPr>
        <w:t>obnych działań</w:t>
      </w:r>
      <w:bookmarkEnd w:id="18"/>
    </w:p>
    <w:p w14:paraId="6A5EA2B7" w14:textId="04222E3A" w:rsidR="00A728BA" w:rsidRPr="00710B91" w:rsidRDefault="00140823" w:rsidP="00140823">
      <w:pPr>
        <w:pStyle w:val="Text1"/>
        <w:pBdr>
          <w:top w:val="single" w:sz="4" w:space="1" w:color="auto"/>
          <w:left w:val="single" w:sz="4" w:space="4" w:color="auto"/>
          <w:bottom w:val="single" w:sz="4" w:space="1" w:color="auto"/>
          <w:right w:val="single" w:sz="4" w:space="4" w:color="auto"/>
        </w:pBdr>
        <w:rPr>
          <w:noProof/>
        </w:rPr>
      </w:pPr>
      <w:r w:rsidRPr="00710B91">
        <w:rPr>
          <w:noProof/>
        </w:rPr>
        <w:t>Nie prowadzono podobnych projektów dotyczących zapewnienia wsparcia technologicznego dla zespołów JIT.</w:t>
      </w:r>
    </w:p>
    <w:p w14:paraId="4B9524D1" w14:textId="5C187EB8" w:rsidR="00A728BA" w:rsidRPr="00710B91" w:rsidRDefault="009A08E9" w:rsidP="009A08E9">
      <w:pPr>
        <w:pStyle w:val="ManualHeading3"/>
        <w:rPr>
          <w:noProof/>
        </w:rPr>
      </w:pPr>
      <w:bookmarkStart w:id="19" w:name="_Toc92899390"/>
      <w:r w:rsidRPr="009A08E9">
        <w:t>1.5.4.</w:t>
      </w:r>
      <w:r w:rsidRPr="009A08E9">
        <w:tab/>
      </w:r>
      <w:r w:rsidR="00A728BA" w:rsidRPr="00710B91">
        <w:rPr>
          <w:noProof/>
        </w:rPr>
        <w:t>Spójność</w:t>
      </w:r>
      <w:r w:rsidR="00710B91" w:rsidRPr="00710B91">
        <w:rPr>
          <w:noProof/>
        </w:rPr>
        <w:t xml:space="preserve"> z</w:t>
      </w:r>
      <w:r w:rsidR="00710B91">
        <w:rPr>
          <w:noProof/>
        </w:rPr>
        <w:t> </w:t>
      </w:r>
      <w:r w:rsidR="00710B91" w:rsidRPr="00710B91">
        <w:rPr>
          <w:noProof/>
        </w:rPr>
        <w:t>wie</w:t>
      </w:r>
      <w:r w:rsidR="00A728BA" w:rsidRPr="00710B91">
        <w:rPr>
          <w:noProof/>
        </w:rPr>
        <w:t>loletnimi ramami finansowymi oraz możliwa synergia</w:t>
      </w:r>
      <w:r w:rsidR="00710B91" w:rsidRPr="00710B91">
        <w:rPr>
          <w:noProof/>
        </w:rPr>
        <w:t xml:space="preserve"> z</w:t>
      </w:r>
      <w:r w:rsidR="00710B91">
        <w:rPr>
          <w:noProof/>
        </w:rPr>
        <w:t> </w:t>
      </w:r>
      <w:r w:rsidR="00710B91" w:rsidRPr="00710B91">
        <w:rPr>
          <w:noProof/>
        </w:rPr>
        <w:t>inn</w:t>
      </w:r>
      <w:r w:rsidR="00A728BA" w:rsidRPr="00710B91">
        <w:rPr>
          <w:noProof/>
        </w:rPr>
        <w:t>ymi właściwymi instrumentami</w:t>
      </w:r>
      <w:bookmarkEnd w:id="19"/>
    </w:p>
    <w:p w14:paraId="33B233B4" w14:textId="5E187857" w:rsidR="00140823" w:rsidRPr="00710B91" w:rsidRDefault="00140823" w:rsidP="00140823">
      <w:pPr>
        <w:pStyle w:val="Text1"/>
        <w:pBdr>
          <w:top w:val="single" w:sz="4" w:space="1" w:color="auto"/>
          <w:left w:val="single" w:sz="4" w:space="4" w:color="auto"/>
          <w:bottom w:val="single" w:sz="4" w:space="1" w:color="auto"/>
          <w:right w:val="single" w:sz="4" w:space="4" w:color="auto"/>
        </w:pBdr>
        <w:rPr>
          <w:noProof/>
        </w:rPr>
      </w:pPr>
      <w:r w:rsidRPr="00710B91">
        <w:rPr>
          <w:noProof/>
        </w:rPr>
        <w:t>Wzmocnienie transgranicznych postępowań przygotowawczych</w:t>
      </w:r>
      <w:r w:rsidR="00710B91" w:rsidRPr="00710B91">
        <w:rPr>
          <w:noProof/>
        </w:rPr>
        <w:t xml:space="preserve"> i</w:t>
      </w:r>
      <w:r w:rsidR="00710B91">
        <w:rPr>
          <w:noProof/>
        </w:rPr>
        <w:t> </w:t>
      </w:r>
      <w:r w:rsidR="00710B91" w:rsidRPr="00710B91">
        <w:rPr>
          <w:noProof/>
        </w:rPr>
        <w:t>tra</w:t>
      </w:r>
      <w:r w:rsidRPr="00710B91">
        <w:rPr>
          <w:noProof/>
        </w:rPr>
        <w:t>nsgranicznego ścigania karnego przeprowadzanych przez zespoły JIT stanowi kluczową część utworzenia przestrzeni wolności, bezpieczeństwa</w:t>
      </w:r>
      <w:r w:rsidR="00710B91" w:rsidRPr="00710B91">
        <w:rPr>
          <w:noProof/>
        </w:rPr>
        <w:t xml:space="preserve"> i</w:t>
      </w:r>
      <w:r w:rsidR="00710B91">
        <w:rPr>
          <w:noProof/>
        </w:rPr>
        <w:t> </w:t>
      </w:r>
      <w:r w:rsidR="00710B91" w:rsidRPr="00710B91">
        <w:rPr>
          <w:noProof/>
        </w:rPr>
        <w:t>spr</w:t>
      </w:r>
      <w:r w:rsidRPr="00710B91">
        <w:rPr>
          <w:noProof/>
        </w:rPr>
        <w:t xml:space="preserve">awiedliwości. </w:t>
      </w:r>
    </w:p>
    <w:p w14:paraId="567648B2" w14:textId="2E89C825" w:rsidR="00140823" w:rsidRPr="00710B91" w:rsidRDefault="00140823" w:rsidP="00140823">
      <w:pPr>
        <w:pStyle w:val="Text1"/>
        <w:pBdr>
          <w:top w:val="single" w:sz="4" w:space="1" w:color="auto"/>
          <w:left w:val="single" w:sz="4" w:space="4" w:color="auto"/>
          <w:bottom w:val="single" w:sz="4" w:space="1" w:color="auto"/>
          <w:right w:val="single" w:sz="4" w:space="4" w:color="auto"/>
        </w:pBdr>
        <w:rPr>
          <w:noProof/>
        </w:rPr>
      </w:pPr>
      <w:r w:rsidRPr="00710B91">
        <w:rPr>
          <w:noProof/>
        </w:rPr>
        <w:t>Jest również zgodne ze strategią UE</w:t>
      </w:r>
      <w:r w:rsidR="00710B91" w:rsidRPr="00710B91">
        <w:rPr>
          <w:noProof/>
        </w:rPr>
        <w:t xml:space="preserve"> w</w:t>
      </w:r>
      <w:r w:rsidR="00710B91">
        <w:rPr>
          <w:noProof/>
        </w:rPr>
        <w:t> </w:t>
      </w:r>
      <w:r w:rsidR="00710B91" w:rsidRPr="00710B91">
        <w:rPr>
          <w:noProof/>
        </w:rPr>
        <w:t>zak</w:t>
      </w:r>
      <w:r w:rsidRPr="00710B91">
        <w:rPr>
          <w:noProof/>
        </w:rPr>
        <w:t>resie unii bezpieczeństwa, planem dla UE</w:t>
      </w:r>
      <w:r w:rsidR="00710B91" w:rsidRPr="00710B91">
        <w:rPr>
          <w:noProof/>
        </w:rPr>
        <w:t xml:space="preserve"> w</w:t>
      </w:r>
      <w:r w:rsidR="00710B91">
        <w:rPr>
          <w:noProof/>
        </w:rPr>
        <w:t> </w:t>
      </w:r>
      <w:r w:rsidR="00710B91" w:rsidRPr="00710B91">
        <w:rPr>
          <w:noProof/>
        </w:rPr>
        <w:t>dzi</w:t>
      </w:r>
      <w:r w:rsidRPr="00710B91">
        <w:rPr>
          <w:noProof/>
        </w:rPr>
        <w:t>edzinie zwalczania terroryzmu, komunikatem</w:t>
      </w:r>
      <w:r w:rsidR="00710B91" w:rsidRPr="00710B91">
        <w:rPr>
          <w:noProof/>
        </w:rPr>
        <w:t xml:space="preserve"> w</w:t>
      </w:r>
      <w:r w:rsidR="00710B91">
        <w:rPr>
          <w:noProof/>
        </w:rPr>
        <w:t> </w:t>
      </w:r>
      <w:r w:rsidR="00710B91" w:rsidRPr="00710B91">
        <w:rPr>
          <w:noProof/>
        </w:rPr>
        <w:t>spr</w:t>
      </w:r>
      <w:r w:rsidRPr="00710B91">
        <w:rPr>
          <w:noProof/>
        </w:rPr>
        <w:t xml:space="preserve">awie cyfryzacji wymiaru sprawiedliwości oraz unijną strategią zwalczania przestępczości zorganizowanej. </w:t>
      </w:r>
    </w:p>
    <w:p w14:paraId="12CFB95F" w14:textId="25F9B8DA" w:rsidR="00140823" w:rsidRPr="00710B91" w:rsidRDefault="00140823" w:rsidP="00140823">
      <w:pPr>
        <w:pStyle w:val="Text1"/>
        <w:pBdr>
          <w:top w:val="single" w:sz="4" w:space="1" w:color="auto"/>
          <w:left w:val="single" w:sz="4" w:space="4" w:color="auto"/>
          <w:bottom w:val="single" w:sz="4" w:space="1" w:color="auto"/>
          <w:right w:val="single" w:sz="4" w:space="4" w:color="auto"/>
        </w:pBdr>
        <w:rPr>
          <w:noProof/>
        </w:rPr>
      </w:pPr>
      <w:r w:rsidRPr="00710B91">
        <w:rPr>
          <w:noProof/>
        </w:rPr>
        <w:t>Komunikat Komisji</w:t>
      </w:r>
      <w:r w:rsidR="00710B91" w:rsidRPr="00710B91">
        <w:rPr>
          <w:noProof/>
        </w:rPr>
        <w:t xml:space="preserve"> w</w:t>
      </w:r>
      <w:r w:rsidR="00710B91">
        <w:rPr>
          <w:noProof/>
        </w:rPr>
        <w:t> </w:t>
      </w:r>
      <w:r w:rsidR="00710B91" w:rsidRPr="00710B91">
        <w:rPr>
          <w:noProof/>
        </w:rPr>
        <w:t>spr</w:t>
      </w:r>
      <w:r w:rsidRPr="00710B91">
        <w:rPr>
          <w:noProof/>
        </w:rPr>
        <w:t>awie cyfryzacji wymiaru sprawiedliwości odnosi się do niniejszego wniosku jako do części ogólnego wachlarza możliwości</w:t>
      </w:r>
      <w:r w:rsidR="00710B91" w:rsidRPr="00710B91">
        <w:rPr>
          <w:noProof/>
        </w:rPr>
        <w:t xml:space="preserve"> w</w:t>
      </w:r>
      <w:r w:rsidR="00710B91">
        <w:rPr>
          <w:noProof/>
        </w:rPr>
        <w:t> </w:t>
      </w:r>
      <w:r w:rsidR="00710B91" w:rsidRPr="00710B91">
        <w:rPr>
          <w:noProof/>
        </w:rPr>
        <w:t>zak</w:t>
      </w:r>
      <w:r w:rsidRPr="00710B91">
        <w:rPr>
          <w:noProof/>
        </w:rPr>
        <w:t>resie dalszej cyfryzacji wymiaru sprawiedliwości. Wniosek ten został zawarty</w:t>
      </w:r>
      <w:r w:rsidR="00710B91" w:rsidRPr="00710B91">
        <w:rPr>
          <w:noProof/>
        </w:rPr>
        <w:t xml:space="preserve"> w</w:t>
      </w:r>
      <w:r w:rsidR="00710B91">
        <w:rPr>
          <w:noProof/>
        </w:rPr>
        <w:t> </w:t>
      </w:r>
      <w:r w:rsidR="00710B91" w:rsidRPr="00710B91">
        <w:rPr>
          <w:noProof/>
        </w:rPr>
        <w:t>pro</w:t>
      </w:r>
      <w:r w:rsidRPr="00710B91">
        <w:rPr>
          <w:noProof/>
        </w:rPr>
        <w:t>gramie prac Komisji na</w:t>
      </w:r>
      <w:r w:rsidR="00710B91" w:rsidRPr="00710B91">
        <w:rPr>
          <w:noProof/>
        </w:rPr>
        <w:t> </w:t>
      </w:r>
      <w:r w:rsidRPr="00710B91">
        <w:rPr>
          <w:noProof/>
        </w:rPr>
        <w:t>2021</w:t>
      </w:r>
      <w:r w:rsidR="00710B91" w:rsidRPr="00710B91">
        <w:rPr>
          <w:noProof/>
        </w:rPr>
        <w:t> </w:t>
      </w:r>
      <w:r w:rsidRPr="00710B91">
        <w:rPr>
          <w:noProof/>
        </w:rPr>
        <w:t>r.</w:t>
      </w:r>
    </w:p>
    <w:p w14:paraId="460729C8" w14:textId="77777777" w:rsidR="00A728BA" w:rsidRPr="00710B91" w:rsidRDefault="00A728BA" w:rsidP="00140823">
      <w:pPr>
        <w:pStyle w:val="Text1"/>
        <w:pBdr>
          <w:top w:val="single" w:sz="4" w:space="1" w:color="auto"/>
          <w:left w:val="single" w:sz="4" w:space="4" w:color="auto"/>
          <w:bottom w:val="single" w:sz="4" w:space="1" w:color="auto"/>
          <w:right w:val="single" w:sz="4" w:space="4" w:color="auto"/>
        </w:pBdr>
        <w:rPr>
          <w:noProof/>
        </w:rPr>
      </w:pPr>
    </w:p>
    <w:p w14:paraId="1BDAC74F" w14:textId="78F7F900" w:rsidR="00A728BA" w:rsidRPr="00710B91" w:rsidRDefault="009A08E9" w:rsidP="009A08E9">
      <w:pPr>
        <w:pStyle w:val="ManualHeading3"/>
        <w:rPr>
          <w:noProof/>
        </w:rPr>
      </w:pPr>
      <w:bookmarkStart w:id="20" w:name="_Toc92899391"/>
      <w:r w:rsidRPr="009A08E9">
        <w:t>1.5.5.</w:t>
      </w:r>
      <w:r w:rsidRPr="009A08E9">
        <w:tab/>
      </w:r>
      <w:r w:rsidR="00A728BA" w:rsidRPr="00710B91">
        <w:rPr>
          <w:noProof/>
        </w:rPr>
        <w:t>Ocena różnych dostępnych możliwości finansowania,</w:t>
      </w:r>
      <w:r w:rsidR="00710B91" w:rsidRPr="00710B91">
        <w:rPr>
          <w:noProof/>
        </w:rPr>
        <w:t xml:space="preserve"> w</w:t>
      </w:r>
      <w:r w:rsidR="00710B91">
        <w:rPr>
          <w:noProof/>
        </w:rPr>
        <w:t> </w:t>
      </w:r>
      <w:r w:rsidR="00710B91" w:rsidRPr="00710B91">
        <w:rPr>
          <w:noProof/>
        </w:rPr>
        <w:t>tym</w:t>
      </w:r>
      <w:r w:rsidR="00A728BA" w:rsidRPr="00710B91">
        <w:rPr>
          <w:noProof/>
        </w:rPr>
        <w:t xml:space="preserve"> zakresu przegrupowania środków</w:t>
      </w:r>
      <w:bookmarkEnd w:id="20"/>
    </w:p>
    <w:p w14:paraId="331CD986" w14:textId="4B00364D" w:rsidR="006F6F3C" w:rsidRPr="00710B91" w:rsidRDefault="006F6F3C" w:rsidP="006F6F3C">
      <w:pPr>
        <w:pStyle w:val="Text1"/>
        <w:pBdr>
          <w:top w:val="single" w:sz="4" w:space="1" w:color="auto"/>
          <w:left w:val="single" w:sz="4" w:space="4" w:color="auto"/>
          <w:bottom w:val="single" w:sz="4" w:space="1" w:color="auto"/>
          <w:right w:val="single" w:sz="4" w:space="4" w:color="auto"/>
        </w:pBdr>
        <w:rPr>
          <w:noProof/>
        </w:rPr>
      </w:pPr>
      <w:r w:rsidRPr="00710B91">
        <w:rPr>
          <w:noProof/>
        </w:rPr>
        <w:t>Koszty związane</w:t>
      </w:r>
      <w:r w:rsidR="00710B91" w:rsidRPr="00710B91">
        <w:rPr>
          <w:noProof/>
        </w:rPr>
        <w:t xml:space="preserve"> z</w:t>
      </w:r>
      <w:r w:rsidR="00710B91">
        <w:rPr>
          <w:noProof/>
        </w:rPr>
        <w:t> </w:t>
      </w:r>
      <w:r w:rsidR="00710B91" w:rsidRPr="00710B91">
        <w:rPr>
          <w:noProof/>
        </w:rPr>
        <w:t>ust</w:t>
      </w:r>
      <w:r w:rsidRPr="00710B91">
        <w:rPr>
          <w:noProof/>
        </w:rPr>
        <w:t>anowieniem</w:t>
      </w:r>
      <w:r w:rsidR="00710B91" w:rsidRPr="00710B91">
        <w:rPr>
          <w:noProof/>
        </w:rPr>
        <w:t xml:space="preserve"> i</w:t>
      </w:r>
      <w:r w:rsidR="00710B91">
        <w:rPr>
          <w:noProof/>
        </w:rPr>
        <w:t> </w:t>
      </w:r>
      <w:r w:rsidR="00710B91" w:rsidRPr="00710B91">
        <w:rPr>
          <w:noProof/>
        </w:rPr>
        <w:t>utr</w:t>
      </w:r>
      <w:r w:rsidRPr="00710B91">
        <w:rPr>
          <w:noProof/>
        </w:rPr>
        <w:t>zymaniem platformy współpracy zespołów JIT powinny być ponoszone</w:t>
      </w:r>
      <w:r w:rsidR="00710B91" w:rsidRPr="00710B91">
        <w:rPr>
          <w:noProof/>
        </w:rPr>
        <w:t xml:space="preserve"> z</w:t>
      </w:r>
      <w:r w:rsidR="00710B91">
        <w:rPr>
          <w:noProof/>
        </w:rPr>
        <w:t> </w:t>
      </w:r>
      <w:r w:rsidR="00710B91" w:rsidRPr="00710B91">
        <w:rPr>
          <w:noProof/>
        </w:rPr>
        <w:t>bud</w:t>
      </w:r>
      <w:r w:rsidRPr="00710B91">
        <w:rPr>
          <w:noProof/>
        </w:rPr>
        <w:t>żetu Unii</w:t>
      </w:r>
      <w:r w:rsidR="00710B91" w:rsidRPr="00710B91">
        <w:rPr>
          <w:noProof/>
        </w:rPr>
        <w:t xml:space="preserve"> i</w:t>
      </w:r>
      <w:r w:rsidR="00710B91">
        <w:rPr>
          <w:noProof/>
        </w:rPr>
        <w:t> </w:t>
      </w:r>
      <w:r w:rsidR="00710B91" w:rsidRPr="00710B91">
        <w:rPr>
          <w:noProof/>
        </w:rPr>
        <w:t>pow</w:t>
      </w:r>
      <w:r w:rsidRPr="00710B91">
        <w:rPr>
          <w:noProof/>
        </w:rPr>
        <w:t>inny być odzwierciedlone</w:t>
      </w:r>
      <w:r w:rsidR="00710B91" w:rsidRPr="00710B91">
        <w:rPr>
          <w:noProof/>
        </w:rPr>
        <w:t xml:space="preserve"> w</w:t>
      </w:r>
      <w:r w:rsidR="00710B91">
        <w:rPr>
          <w:noProof/>
        </w:rPr>
        <w:t> </w:t>
      </w:r>
      <w:r w:rsidR="00710B91" w:rsidRPr="00710B91">
        <w:rPr>
          <w:noProof/>
        </w:rPr>
        <w:t>bud</w:t>
      </w:r>
      <w:r w:rsidRPr="00710B91">
        <w:rPr>
          <w:noProof/>
        </w:rPr>
        <w:t>żecie odnośnych agencji – eu-LISA</w:t>
      </w:r>
      <w:r w:rsidR="00710B91" w:rsidRPr="00710B91">
        <w:rPr>
          <w:noProof/>
        </w:rPr>
        <w:t xml:space="preserve"> i</w:t>
      </w:r>
      <w:r w:rsidR="00710B91">
        <w:rPr>
          <w:noProof/>
        </w:rPr>
        <w:t> </w:t>
      </w:r>
      <w:r w:rsidR="00710B91" w:rsidRPr="00710B91">
        <w:rPr>
          <w:noProof/>
        </w:rPr>
        <w:t>Eur</w:t>
      </w:r>
      <w:r w:rsidRPr="00710B91">
        <w:rPr>
          <w:noProof/>
        </w:rPr>
        <w:t>ojustu.</w:t>
      </w:r>
    </w:p>
    <w:p w14:paraId="74D1A984" w14:textId="77777777" w:rsidR="00A728BA" w:rsidRPr="00710B91" w:rsidRDefault="00A728BA" w:rsidP="006F6F3C">
      <w:pPr>
        <w:pStyle w:val="Text1"/>
        <w:rPr>
          <w:noProof/>
        </w:rPr>
      </w:pPr>
    </w:p>
    <w:p w14:paraId="2A6123DE" w14:textId="48803181" w:rsidR="00A728BA" w:rsidRPr="00710B91" w:rsidRDefault="009A08E9" w:rsidP="009A08E9">
      <w:pPr>
        <w:pStyle w:val="ManualHeading2"/>
        <w:rPr>
          <w:noProof/>
        </w:rPr>
      </w:pPr>
      <w:bookmarkStart w:id="21" w:name="_Toc92899392"/>
      <w:r w:rsidRPr="009A08E9">
        <w:t>1.6.</w:t>
      </w:r>
      <w:r w:rsidRPr="009A08E9">
        <w:tab/>
      </w:r>
      <w:r w:rsidR="00A728BA" w:rsidRPr="00710B91">
        <w:rPr>
          <w:noProof/>
        </w:rPr>
        <w:t>Czas trwania</w:t>
      </w:r>
      <w:r w:rsidR="00710B91" w:rsidRPr="00710B91">
        <w:rPr>
          <w:noProof/>
        </w:rPr>
        <w:t xml:space="preserve"> i</w:t>
      </w:r>
      <w:r w:rsidR="00710B91">
        <w:rPr>
          <w:noProof/>
        </w:rPr>
        <w:t> </w:t>
      </w:r>
      <w:r w:rsidR="00710B91" w:rsidRPr="00710B91">
        <w:rPr>
          <w:noProof/>
        </w:rPr>
        <w:t>wpł</w:t>
      </w:r>
      <w:r w:rsidR="00A728BA" w:rsidRPr="00710B91">
        <w:rPr>
          <w:noProof/>
        </w:rPr>
        <w:t>yw finansowy wniosku/inicjatywy</w:t>
      </w:r>
      <w:bookmarkEnd w:id="21"/>
    </w:p>
    <w:p w14:paraId="6BA9B950" w14:textId="77777777" w:rsidR="00A728BA" w:rsidRPr="00710B91" w:rsidRDefault="00A728BA" w:rsidP="006F6F3C">
      <w:pPr>
        <w:pStyle w:val="Text1"/>
        <w:rPr>
          <w:noProof/>
        </w:rPr>
      </w:pPr>
      <w:r w:rsidRPr="00710B91">
        <w:rPr>
          <w:noProof/>
        </w:rPr>
        <w:sym w:font="Wingdings" w:char="F0A8"/>
      </w:r>
      <w:r w:rsidRPr="00710B91">
        <w:rPr>
          <w:b/>
          <w:i/>
          <w:noProof/>
        </w:rPr>
        <w:t xml:space="preserve"> </w:t>
      </w:r>
      <w:r w:rsidRPr="00710B91">
        <w:rPr>
          <w:b/>
          <w:noProof/>
        </w:rPr>
        <w:t xml:space="preserve">ograniczony czas trwania </w:t>
      </w:r>
    </w:p>
    <w:p w14:paraId="69371EB5" w14:textId="77777777" w:rsidR="00A728BA" w:rsidRPr="00710B91" w:rsidRDefault="00A728BA" w:rsidP="006F6F3C">
      <w:pPr>
        <w:pStyle w:val="ListDash2"/>
        <w:rPr>
          <w:noProof/>
        </w:rPr>
      </w:pPr>
      <w:r w:rsidRPr="00710B91">
        <w:rPr>
          <w:noProof/>
        </w:rPr>
        <w:sym w:font="Wingdings" w:char="F0A8"/>
      </w:r>
      <w:r w:rsidRPr="00710B91">
        <w:rPr>
          <w:noProof/>
        </w:rPr>
        <w:tab/>
        <w:t xml:space="preserve">od [DD/MM]RRRR r. do [DD/MM]RRRR r. </w:t>
      </w:r>
    </w:p>
    <w:p w14:paraId="02A1EE48" w14:textId="36D8174E" w:rsidR="00A728BA" w:rsidRPr="00710B91" w:rsidRDefault="00A728BA" w:rsidP="006F6F3C">
      <w:pPr>
        <w:pStyle w:val="ListDash2"/>
        <w:rPr>
          <w:noProof/>
        </w:rPr>
      </w:pPr>
      <w:r w:rsidRPr="00710B91">
        <w:rPr>
          <w:noProof/>
        </w:rPr>
        <w:sym w:font="Wingdings" w:char="F0A8"/>
      </w:r>
      <w:r w:rsidRPr="00710B91">
        <w:rPr>
          <w:noProof/>
        </w:rPr>
        <w:tab/>
        <w:t>Okres trwania wpływu finansowego: od RRRR r. do RRRR r.</w:t>
      </w:r>
      <w:r w:rsidR="00710B91" w:rsidRPr="00710B91">
        <w:rPr>
          <w:noProof/>
        </w:rPr>
        <w:t xml:space="preserve"> w</w:t>
      </w:r>
      <w:r w:rsidR="00710B91">
        <w:rPr>
          <w:noProof/>
        </w:rPr>
        <w:t> </w:t>
      </w:r>
      <w:r w:rsidR="00710B91" w:rsidRPr="00710B91">
        <w:rPr>
          <w:noProof/>
        </w:rPr>
        <w:t>odn</w:t>
      </w:r>
      <w:r w:rsidRPr="00710B91">
        <w:rPr>
          <w:noProof/>
        </w:rPr>
        <w:t>iesieniu do środków na zobowiązania oraz od RRRR r. do RRRR r.</w:t>
      </w:r>
      <w:r w:rsidR="00710B91" w:rsidRPr="00710B91">
        <w:rPr>
          <w:noProof/>
        </w:rPr>
        <w:t xml:space="preserve"> w</w:t>
      </w:r>
      <w:r w:rsidR="00710B91">
        <w:rPr>
          <w:noProof/>
        </w:rPr>
        <w:t> </w:t>
      </w:r>
      <w:r w:rsidR="00710B91" w:rsidRPr="00710B91">
        <w:rPr>
          <w:noProof/>
        </w:rPr>
        <w:t>odn</w:t>
      </w:r>
      <w:r w:rsidRPr="00710B91">
        <w:rPr>
          <w:noProof/>
        </w:rPr>
        <w:t xml:space="preserve">iesieniu do środków na płatności. </w:t>
      </w:r>
    </w:p>
    <w:p w14:paraId="193F028C" w14:textId="77777777" w:rsidR="00A728BA" w:rsidRPr="00710B91" w:rsidRDefault="006F6F3C" w:rsidP="006F6F3C">
      <w:pPr>
        <w:pStyle w:val="Text1"/>
        <w:rPr>
          <w:noProof/>
        </w:rPr>
      </w:pPr>
      <w:r w:rsidRPr="00710B91">
        <w:rPr>
          <w:noProof/>
        </w:rPr>
        <w:sym w:font="Wingdings" w:char="F0FE"/>
      </w:r>
      <w:r w:rsidRPr="00710B91">
        <w:rPr>
          <w:b/>
          <w:i/>
          <w:noProof/>
        </w:rPr>
        <w:t xml:space="preserve"> </w:t>
      </w:r>
      <w:r w:rsidRPr="00710B91">
        <w:rPr>
          <w:b/>
          <w:noProof/>
        </w:rPr>
        <w:t>nieograniczony czas trwania</w:t>
      </w:r>
    </w:p>
    <w:p w14:paraId="215165CB" w14:textId="64CFC480" w:rsidR="00A728BA" w:rsidRPr="00710B91" w:rsidRDefault="00A728BA" w:rsidP="006F6F3C">
      <w:pPr>
        <w:pStyle w:val="ListDash1"/>
        <w:rPr>
          <w:noProof/>
        </w:rPr>
      </w:pPr>
      <w:r w:rsidRPr="00710B91">
        <w:rPr>
          <w:noProof/>
        </w:rPr>
        <w:t>Wprowadzenie</w:t>
      </w:r>
      <w:r w:rsidR="00710B91" w:rsidRPr="00710B91">
        <w:rPr>
          <w:noProof/>
        </w:rPr>
        <w:t xml:space="preserve"> w</w:t>
      </w:r>
      <w:r w:rsidR="00710B91">
        <w:rPr>
          <w:noProof/>
        </w:rPr>
        <w:t> </w:t>
      </w:r>
      <w:r w:rsidR="00710B91" w:rsidRPr="00710B91">
        <w:rPr>
          <w:noProof/>
        </w:rPr>
        <w:t>życ</w:t>
      </w:r>
      <w:r w:rsidRPr="00710B91">
        <w:rPr>
          <w:noProof/>
        </w:rPr>
        <w:t>ie</w:t>
      </w:r>
      <w:r w:rsidR="00710B91" w:rsidRPr="00710B91">
        <w:rPr>
          <w:noProof/>
        </w:rPr>
        <w:t xml:space="preserve"> z</w:t>
      </w:r>
      <w:r w:rsidR="00710B91">
        <w:rPr>
          <w:noProof/>
        </w:rPr>
        <w:t> </w:t>
      </w:r>
      <w:r w:rsidR="00710B91" w:rsidRPr="00710B91">
        <w:rPr>
          <w:noProof/>
        </w:rPr>
        <w:t>okr</w:t>
      </w:r>
      <w:r w:rsidRPr="00710B91">
        <w:rPr>
          <w:noProof/>
        </w:rPr>
        <w:t>esem rozruchu od RRRR r. do RRRR r.,</w:t>
      </w:r>
    </w:p>
    <w:p w14:paraId="4ABAD850" w14:textId="77777777" w:rsidR="00A728BA" w:rsidRPr="00710B91" w:rsidRDefault="00A728BA" w:rsidP="006F6F3C">
      <w:pPr>
        <w:pStyle w:val="ListDash1"/>
        <w:rPr>
          <w:noProof/>
        </w:rPr>
      </w:pPr>
      <w:r w:rsidRPr="00710B91">
        <w:rPr>
          <w:noProof/>
        </w:rPr>
        <w:t>po którym następuje faza operacyjna.</w:t>
      </w:r>
    </w:p>
    <w:p w14:paraId="7D095E69" w14:textId="43705BD7" w:rsidR="00A728BA" w:rsidRPr="00710B91" w:rsidRDefault="009A08E9" w:rsidP="009A08E9">
      <w:pPr>
        <w:pStyle w:val="ManualHeading2"/>
        <w:rPr>
          <w:bCs/>
          <w:noProof/>
          <w:szCs w:val="24"/>
        </w:rPr>
      </w:pPr>
      <w:bookmarkStart w:id="22" w:name="_Toc92899393"/>
      <w:r w:rsidRPr="009A08E9">
        <w:t>1.7.</w:t>
      </w:r>
      <w:r w:rsidRPr="009A08E9">
        <w:tab/>
      </w:r>
      <w:r w:rsidR="00A728BA" w:rsidRPr="00710B91">
        <w:rPr>
          <w:noProof/>
        </w:rPr>
        <w:t>Planowane tryby zarządzania</w:t>
      </w:r>
      <w:bookmarkEnd w:id="22"/>
      <w:r w:rsidR="00A728BA" w:rsidRPr="00710B91">
        <w:rPr>
          <w:rStyle w:val="FootnoteReference"/>
          <w:noProof/>
        </w:rPr>
        <w:t xml:space="preserve"> </w:t>
      </w:r>
    </w:p>
    <w:p w14:paraId="6B77CAD1" w14:textId="77777777" w:rsidR="00A728BA" w:rsidRPr="00710B91" w:rsidRDefault="00A728BA" w:rsidP="006F6F3C">
      <w:pPr>
        <w:pStyle w:val="Text1"/>
        <w:rPr>
          <w:noProof/>
        </w:rPr>
      </w:pPr>
      <w:r w:rsidRPr="00710B91">
        <w:rPr>
          <w:noProof/>
        </w:rPr>
        <w:sym w:font="Wingdings" w:char="F0A8"/>
      </w:r>
      <w:r w:rsidRPr="00710B91">
        <w:rPr>
          <w:i/>
          <w:noProof/>
        </w:rPr>
        <w:t xml:space="preserve"> </w:t>
      </w:r>
      <w:r w:rsidRPr="00710B91">
        <w:rPr>
          <w:b/>
          <w:noProof/>
        </w:rPr>
        <w:t>Bezpośrednie zarządzanie</w:t>
      </w:r>
      <w:r w:rsidRPr="00710B91">
        <w:rPr>
          <w:noProof/>
        </w:rPr>
        <w:t xml:space="preserve"> przez Komisję</w:t>
      </w:r>
    </w:p>
    <w:p w14:paraId="6DACAAAF" w14:textId="23D70DC5" w:rsidR="00A728BA" w:rsidRPr="00710B91" w:rsidRDefault="00A728BA" w:rsidP="006F6F3C">
      <w:pPr>
        <w:pStyle w:val="ListDash2"/>
        <w:rPr>
          <w:rFonts w:cs="EUAlbertina"/>
          <w:noProof/>
        </w:rPr>
      </w:pPr>
      <w:r w:rsidRPr="00710B91">
        <w:rPr>
          <w:noProof/>
        </w:rPr>
        <w:sym w:font="Wingdings" w:char="F0A8"/>
      </w:r>
      <w:r w:rsidR="00710B91" w:rsidRPr="00710B91">
        <w:rPr>
          <w:noProof/>
        </w:rPr>
        <w:t xml:space="preserve"> w</w:t>
      </w:r>
      <w:r w:rsidR="00710B91">
        <w:rPr>
          <w:noProof/>
        </w:rPr>
        <w:t> </w:t>
      </w:r>
      <w:r w:rsidR="00710B91" w:rsidRPr="00710B91">
        <w:rPr>
          <w:noProof/>
        </w:rPr>
        <w:t>ram</w:t>
      </w:r>
      <w:r w:rsidRPr="00710B91">
        <w:rPr>
          <w:noProof/>
        </w:rPr>
        <w:t>ach jej służb,</w:t>
      </w:r>
      <w:r w:rsidR="00710B91" w:rsidRPr="00710B91">
        <w:rPr>
          <w:noProof/>
        </w:rPr>
        <w:t xml:space="preserve"> w</w:t>
      </w:r>
      <w:r w:rsidR="00710B91">
        <w:rPr>
          <w:noProof/>
        </w:rPr>
        <w:t> </w:t>
      </w:r>
      <w:r w:rsidR="00710B91" w:rsidRPr="00710B91">
        <w:rPr>
          <w:noProof/>
        </w:rPr>
        <w:t>tym</w:t>
      </w:r>
      <w:r w:rsidRPr="00710B91">
        <w:rPr>
          <w:noProof/>
        </w:rPr>
        <w:t xml:space="preserve"> za pośrednictwem jej pracowników</w:t>
      </w:r>
      <w:r w:rsidR="00710B91" w:rsidRPr="00710B91">
        <w:rPr>
          <w:noProof/>
        </w:rPr>
        <w:t xml:space="preserve"> w</w:t>
      </w:r>
      <w:r w:rsidR="00710B91">
        <w:rPr>
          <w:noProof/>
        </w:rPr>
        <w:t> </w:t>
      </w:r>
      <w:r w:rsidR="00710B91" w:rsidRPr="00710B91">
        <w:rPr>
          <w:noProof/>
        </w:rPr>
        <w:t>del</w:t>
      </w:r>
      <w:r w:rsidRPr="00710B91">
        <w:rPr>
          <w:noProof/>
        </w:rPr>
        <w:t xml:space="preserve">egaturach Unii; </w:t>
      </w:r>
    </w:p>
    <w:p w14:paraId="141CF808" w14:textId="77777777" w:rsidR="00A728BA" w:rsidRPr="00710B91" w:rsidRDefault="00A728BA" w:rsidP="006F6F3C">
      <w:pPr>
        <w:pStyle w:val="ListDash2"/>
        <w:rPr>
          <w:noProof/>
        </w:rPr>
      </w:pPr>
      <w:r w:rsidRPr="00710B91">
        <w:rPr>
          <w:noProof/>
        </w:rPr>
        <w:sym w:font="Wingdings" w:char="F0A8"/>
      </w:r>
      <w:r w:rsidRPr="00710B91">
        <w:rPr>
          <w:noProof/>
        </w:rPr>
        <w:tab/>
        <w:t xml:space="preserve">przez agencje wykonawcze </w:t>
      </w:r>
    </w:p>
    <w:p w14:paraId="36641982" w14:textId="2EF60002" w:rsidR="00A728BA" w:rsidRPr="00710B91" w:rsidRDefault="00A728BA" w:rsidP="006F6F3C">
      <w:pPr>
        <w:pStyle w:val="Text1"/>
        <w:rPr>
          <w:noProof/>
        </w:rPr>
      </w:pPr>
      <w:r w:rsidRPr="00710B91">
        <w:rPr>
          <w:noProof/>
        </w:rPr>
        <w:sym w:font="Wingdings" w:char="F0A8"/>
      </w:r>
      <w:r w:rsidRPr="00710B91">
        <w:rPr>
          <w:b/>
          <w:i/>
          <w:noProof/>
        </w:rPr>
        <w:t xml:space="preserve"> </w:t>
      </w:r>
      <w:r w:rsidRPr="00710B91">
        <w:rPr>
          <w:b/>
          <w:noProof/>
        </w:rPr>
        <w:t>Zarządzanie dzielone</w:t>
      </w:r>
      <w:r w:rsidR="00710B91" w:rsidRPr="00710B91">
        <w:rPr>
          <w:noProof/>
        </w:rPr>
        <w:t xml:space="preserve"> z</w:t>
      </w:r>
      <w:r w:rsidR="00710B91">
        <w:rPr>
          <w:noProof/>
        </w:rPr>
        <w:t> </w:t>
      </w:r>
      <w:r w:rsidR="00710B91" w:rsidRPr="00710B91">
        <w:rPr>
          <w:noProof/>
        </w:rPr>
        <w:t>pań</w:t>
      </w:r>
      <w:r w:rsidRPr="00710B91">
        <w:rPr>
          <w:noProof/>
        </w:rPr>
        <w:t xml:space="preserve">stwami członkowskimi </w:t>
      </w:r>
    </w:p>
    <w:p w14:paraId="39335875" w14:textId="6E7A3CBA" w:rsidR="00A728BA" w:rsidRPr="00710B91" w:rsidRDefault="006F6F3C" w:rsidP="006F6F3C">
      <w:pPr>
        <w:pStyle w:val="Text1"/>
        <w:rPr>
          <w:noProof/>
        </w:rPr>
      </w:pPr>
      <w:r w:rsidRPr="00710B91">
        <w:rPr>
          <w:noProof/>
        </w:rPr>
        <w:sym w:font="Wingdings" w:char="F0FE"/>
      </w:r>
      <w:r w:rsidRPr="00710B91">
        <w:rPr>
          <w:i/>
          <w:noProof/>
        </w:rPr>
        <w:t xml:space="preserve"> </w:t>
      </w:r>
      <w:r w:rsidRPr="00710B91">
        <w:rPr>
          <w:b/>
          <w:noProof/>
        </w:rPr>
        <w:t>Zarządzanie pośrednie</w:t>
      </w:r>
      <w:r w:rsidRPr="00710B91">
        <w:rPr>
          <w:noProof/>
        </w:rPr>
        <w:t xml:space="preserve"> poprzez przekazanie zadań związanych</w:t>
      </w:r>
      <w:r w:rsidR="00710B91" w:rsidRPr="00710B91">
        <w:rPr>
          <w:noProof/>
        </w:rPr>
        <w:t xml:space="preserve"> z</w:t>
      </w:r>
      <w:r w:rsidR="00710B91">
        <w:rPr>
          <w:noProof/>
        </w:rPr>
        <w:t> </w:t>
      </w:r>
      <w:r w:rsidR="00710B91" w:rsidRPr="00710B91">
        <w:rPr>
          <w:noProof/>
        </w:rPr>
        <w:t>wyk</w:t>
      </w:r>
      <w:r w:rsidRPr="00710B91">
        <w:rPr>
          <w:noProof/>
        </w:rPr>
        <w:t>onywaniem budżetu:</w:t>
      </w:r>
    </w:p>
    <w:p w14:paraId="01D55E3E" w14:textId="77777777" w:rsidR="00A728BA" w:rsidRPr="00710B91" w:rsidRDefault="00A728BA" w:rsidP="006F6F3C">
      <w:pPr>
        <w:pStyle w:val="ListDash2"/>
        <w:rPr>
          <w:noProof/>
        </w:rPr>
      </w:pPr>
      <w:r w:rsidRPr="00710B91">
        <w:rPr>
          <w:noProof/>
        </w:rPr>
        <w:sym w:font="Wingdings" w:char="F0A8"/>
      </w:r>
      <w:r w:rsidRPr="00710B91">
        <w:rPr>
          <w:noProof/>
        </w:rPr>
        <w:t xml:space="preserve"> państwom trzecim lub organom przez nie wyznaczonym;</w:t>
      </w:r>
    </w:p>
    <w:p w14:paraId="718D2CEA" w14:textId="5AA1EC34" w:rsidR="00A728BA" w:rsidRPr="00710B91" w:rsidRDefault="00A728BA" w:rsidP="006F6F3C">
      <w:pPr>
        <w:pStyle w:val="ListDash2"/>
        <w:rPr>
          <w:noProof/>
        </w:rPr>
      </w:pPr>
      <w:r w:rsidRPr="00710B91">
        <w:rPr>
          <w:noProof/>
        </w:rPr>
        <w:sym w:font="Wingdings" w:char="F0A8"/>
      </w:r>
      <w:r w:rsidRPr="00710B91">
        <w:rPr>
          <w:noProof/>
        </w:rPr>
        <w:t xml:space="preserve"> organizacjom międzynarodowym</w:t>
      </w:r>
      <w:r w:rsidR="00710B91" w:rsidRPr="00710B91">
        <w:rPr>
          <w:noProof/>
        </w:rPr>
        <w:t xml:space="preserve"> i</w:t>
      </w:r>
      <w:r w:rsidR="00710B91">
        <w:rPr>
          <w:noProof/>
        </w:rPr>
        <w:t> </w:t>
      </w:r>
      <w:r w:rsidR="00710B91" w:rsidRPr="00710B91">
        <w:rPr>
          <w:noProof/>
        </w:rPr>
        <w:t>ich</w:t>
      </w:r>
      <w:r w:rsidRPr="00710B91">
        <w:rPr>
          <w:noProof/>
        </w:rPr>
        <w:t xml:space="preserve"> agencjom (należy wyszczególnić);</w:t>
      </w:r>
    </w:p>
    <w:p w14:paraId="5000F649" w14:textId="77777777" w:rsidR="00A728BA" w:rsidRPr="00710B91" w:rsidRDefault="00A728BA" w:rsidP="006F6F3C">
      <w:pPr>
        <w:pStyle w:val="ListDash2"/>
        <w:rPr>
          <w:noProof/>
        </w:rPr>
      </w:pPr>
      <w:r w:rsidRPr="00710B91">
        <w:rPr>
          <w:noProof/>
        </w:rPr>
        <w:sym w:font="Wingdings" w:char="F0A8"/>
      </w:r>
      <w:r w:rsidRPr="00710B91">
        <w:rPr>
          <w:noProof/>
        </w:rPr>
        <w:t xml:space="preserve"> EBI oraz Europejskiemu Funduszowi Inwestycyjnemu;</w:t>
      </w:r>
    </w:p>
    <w:p w14:paraId="4FF520DD" w14:textId="366266F9" w:rsidR="00A728BA" w:rsidRPr="00710B91" w:rsidRDefault="006F6F3C" w:rsidP="006F6F3C">
      <w:pPr>
        <w:pStyle w:val="ListDash2"/>
        <w:rPr>
          <w:noProof/>
        </w:rPr>
      </w:pPr>
      <w:r w:rsidRPr="00710B91">
        <w:rPr>
          <w:noProof/>
        </w:rPr>
        <w:sym w:font="Wingdings" w:char="F0FE"/>
      </w:r>
      <w:r w:rsidRPr="00710B91">
        <w:rPr>
          <w:noProof/>
        </w:rPr>
        <w:t xml:space="preserve"> organom,</w:t>
      </w:r>
      <w:r w:rsidR="00710B91" w:rsidRPr="00710B91">
        <w:rPr>
          <w:noProof/>
        </w:rPr>
        <w:t xml:space="preserve"> o</w:t>
      </w:r>
      <w:r w:rsidR="00710B91">
        <w:rPr>
          <w:noProof/>
        </w:rPr>
        <w:t> </w:t>
      </w:r>
      <w:r w:rsidR="00710B91" w:rsidRPr="00710B91">
        <w:rPr>
          <w:noProof/>
        </w:rPr>
        <w:t>któ</w:t>
      </w:r>
      <w:r w:rsidRPr="00710B91">
        <w:rPr>
          <w:noProof/>
        </w:rPr>
        <w:t>rych mowa</w:t>
      </w:r>
      <w:r w:rsidR="00710B91" w:rsidRPr="00710B91">
        <w:rPr>
          <w:noProof/>
        </w:rPr>
        <w:t xml:space="preserve"> w</w:t>
      </w:r>
      <w:r w:rsidR="00710B91">
        <w:rPr>
          <w:noProof/>
        </w:rPr>
        <w:t> </w:t>
      </w:r>
      <w:r w:rsidR="00710B91" w:rsidRPr="00710B91">
        <w:rPr>
          <w:noProof/>
        </w:rPr>
        <w:t>art</w:t>
      </w:r>
      <w:r w:rsidRPr="00710B91">
        <w:rPr>
          <w:noProof/>
        </w:rPr>
        <w:t>.</w:t>
      </w:r>
      <w:r w:rsidR="00710B91" w:rsidRPr="00710B91">
        <w:rPr>
          <w:noProof/>
        </w:rPr>
        <w:t> </w:t>
      </w:r>
      <w:r w:rsidRPr="00710B91">
        <w:rPr>
          <w:noProof/>
        </w:rPr>
        <w:t>70</w:t>
      </w:r>
      <w:r w:rsidR="00710B91" w:rsidRPr="00710B91">
        <w:rPr>
          <w:noProof/>
        </w:rPr>
        <w:t xml:space="preserve"> i</w:t>
      </w:r>
      <w:r w:rsidR="00710B91">
        <w:rPr>
          <w:noProof/>
        </w:rPr>
        <w:t> </w:t>
      </w:r>
      <w:r w:rsidR="00710B91" w:rsidRPr="00710B91">
        <w:rPr>
          <w:noProof/>
        </w:rPr>
        <w:t>7</w:t>
      </w:r>
      <w:r w:rsidRPr="00710B91">
        <w:rPr>
          <w:noProof/>
        </w:rPr>
        <w:t>1 rozporządzenia finansowego;</w:t>
      </w:r>
    </w:p>
    <w:p w14:paraId="09FAB008" w14:textId="77777777" w:rsidR="00A728BA" w:rsidRPr="00710B91" w:rsidRDefault="00A728BA" w:rsidP="006F6F3C">
      <w:pPr>
        <w:pStyle w:val="ListDash2"/>
        <w:rPr>
          <w:noProof/>
        </w:rPr>
      </w:pPr>
      <w:r w:rsidRPr="00710B91">
        <w:rPr>
          <w:noProof/>
        </w:rPr>
        <w:sym w:font="Wingdings" w:char="F0A8"/>
      </w:r>
      <w:r w:rsidRPr="00710B91">
        <w:rPr>
          <w:noProof/>
        </w:rPr>
        <w:t xml:space="preserve"> organom prawa publicznego;</w:t>
      </w:r>
    </w:p>
    <w:p w14:paraId="713FCC0A" w14:textId="085D74E8" w:rsidR="00A728BA" w:rsidRPr="00710B91" w:rsidRDefault="00A728BA" w:rsidP="006F6F3C">
      <w:pPr>
        <w:pStyle w:val="ListDash2"/>
        <w:rPr>
          <w:noProof/>
        </w:rPr>
      </w:pPr>
      <w:r w:rsidRPr="00710B91">
        <w:rPr>
          <w:noProof/>
        </w:rPr>
        <w:sym w:font="Wingdings" w:char="F0A8"/>
      </w:r>
      <w:r w:rsidRPr="00710B91">
        <w:rPr>
          <w:noProof/>
        </w:rPr>
        <w:t xml:space="preserve"> podmiotom podlegającym prawu prywatnemu, które świadczą usługi użyteczności publicznej,</w:t>
      </w:r>
      <w:r w:rsidR="00710B91" w:rsidRPr="00710B91">
        <w:rPr>
          <w:noProof/>
        </w:rPr>
        <w:t xml:space="preserve"> o</w:t>
      </w:r>
      <w:r w:rsidR="00710B91">
        <w:rPr>
          <w:noProof/>
        </w:rPr>
        <w:t> </w:t>
      </w:r>
      <w:r w:rsidR="00710B91" w:rsidRPr="00710B91">
        <w:rPr>
          <w:noProof/>
        </w:rPr>
        <w:t>ile</w:t>
      </w:r>
      <w:r w:rsidRPr="00710B91">
        <w:rPr>
          <w:noProof/>
        </w:rPr>
        <w:t xml:space="preserve"> są im zapewnione odpowiednie gwarancje finansowe;</w:t>
      </w:r>
    </w:p>
    <w:p w14:paraId="3783911F" w14:textId="2A938CD0" w:rsidR="00A728BA" w:rsidRPr="00710B91" w:rsidRDefault="00A728BA" w:rsidP="006F6F3C">
      <w:pPr>
        <w:pStyle w:val="ListDash2"/>
        <w:rPr>
          <w:noProof/>
        </w:rPr>
      </w:pPr>
      <w:r w:rsidRPr="00710B91">
        <w:rPr>
          <w:noProof/>
        </w:rPr>
        <w:sym w:font="Wingdings" w:char="F0A8"/>
      </w:r>
      <w:r w:rsidRPr="00710B91">
        <w:rPr>
          <w:noProof/>
        </w:rPr>
        <w:t xml:space="preserve"> podmiotom podlegającym prawu prywatnemu państwa członkowskiego, którym powierzono realizację partnerstwa publiczno-prywatnego</w:t>
      </w:r>
      <w:r w:rsidR="00710B91" w:rsidRPr="00710B91">
        <w:rPr>
          <w:noProof/>
        </w:rPr>
        <w:t xml:space="preserve"> i</w:t>
      </w:r>
      <w:r w:rsidR="00710B91">
        <w:rPr>
          <w:noProof/>
        </w:rPr>
        <w:t> </w:t>
      </w:r>
      <w:r w:rsidR="00710B91" w:rsidRPr="00710B91">
        <w:rPr>
          <w:noProof/>
        </w:rPr>
        <w:t>zap</w:t>
      </w:r>
      <w:r w:rsidRPr="00710B91">
        <w:rPr>
          <w:noProof/>
        </w:rPr>
        <w:t>ewniono odpowiednie gwarancje finansowe;</w:t>
      </w:r>
    </w:p>
    <w:p w14:paraId="4D6324E8" w14:textId="4BF3EA87" w:rsidR="00A728BA" w:rsidRPr="00710B91" w:rsidRDefault="00A728BA" w:rsidP="006F6F3C">
      <w:pPr>
        <w:pStyle w:val="ListDash2"/>
        <w:rPr>
          <w:noProof/>
        </w:rPr>
      </w:pPr>
      <w:r w:rsidRPr="00710B91">
        <w:rPr>
          <w:noProof/>
        </w:rPr>
        <w:sym w:font="Wingdings" w:char="F0A8"/>
      </w:r>
      <w:r w:rsidRPr="00710B91">
        <w:rPr>
          <w:noProof/>
        </w:rPr>
        <w:t xml:space="preserve"> osobom odpowiedzialnym za wykonanie określonych działań</w:t>
      </w:r>
      <w:r w:rsidR="00710B91" w:rsidRPr="00710B91">
        <w:rPr>
          <w:noProof/>
        </w:rPr>
        <w:t xml:space="preserve"> w</w:t>
      </w:r>
      <w:r w:rsidR="00710B91">
        <w:rPr>
          <w:noProof/>
        </w:rPr>
        <w:t> </w:t>
      </w:r>
      <w:r w:rsidR="00710B91" w:rsidRPr="00710B91">
        <w:rPr>
          <w:noProof/>
        </w:rPr>
        <w:t>dzi</w:t>
      </w:r>
      <w:r w:rsidRPr="00710B91">
        <w:rPr>
          <w:noProof/>
        </w:rPr>
        <w:t>edzinie wspólnej polityki zagranicznej</w:t>
      </w:r>
      <w:r w:rsidR="00710B91" w:rsidRPr="00710B91">
        <w:rPr>
          <w:noProof/>
        </w:rPr>
        <w:t xml:space="preserve"> i</w:t>
      </w:r>
      <w:r w:rsidR="00710B91">
        <w:rPr>
          <w:noProof/>
        </w:rPr>
        <w:t> </w:t>
      </w:r>
      <w:r w:rsidR="00710B91" w:rsidRPr="00710B91">
        <w:rPr>
          <w:noProof/>
        </w:rPr>
        <w:t>bez</w:t>
      </w:r>
      <w:r w:rsidRPr="00710B91">
        <w:rPr>
          <w:noProof/>
        </w:rPr>
        <w:t>pieczeństwa na mocy tytułu V Traktatu</w:t>
      </w:r>
      <w:r w:rsidR="00710B91" w:rsidRPr="00710B91">
        <w:rPr>
          <w:noProof/>
        </w:rPr>
        <w:t xml:space="preserve"> o</w:t>
      </w:r>
      <w:r w:rsidR="00710B91">
        <w:rPr>
          <w:noProof/>
        </w:rPr>
        <w:t> </w:t>
      </w:r>
      <w:r w:rsidR="00710B91" w:rsidRPr="00710B91">
        <w:rPr>
          <w:noProof/>
        </w:rPr>
        <w:t>Uni</w:t>
      </w:r>
      <w:r w:rsidRPr="00710B91">
        <w:rPr>
          <w:noProof/>
        </w:rPr>
        <w:t>i Europejskiej oraz określonym we właściwym podstawowym akcie prawnym.</w:t>
      </w:r>
    </w:p>
    <w:p w14:paraId="6F8BBF88" w14:textId="77777777" w:rsidR="00A728BA" w:rsidRPr="00710B91" w:rsidRDefault="00A728BA" w:rsidP="006F6F3C">
      <w:pPr>
        <w:rPr>
          <w:noProof/>
        </w:rPr>
        <w:sectPr w:rsidR="00A728BA" w:rsidRPr="00710B91" w:rsidSect="00DA1122">
          <w:pgSz w:w="11907" w:h="16840" w:code="9"/>
          <w:pgMar w:top="1134" w:right="1418" w:bottom="1134" w:left="1418" w:header="709" w:footer="709" w:gutter="0"/>
          <w:cols w:space="708"/>
          <w:docGrid w:linePitch="360"/>
        </w:sectPr>
      </w:pPr>
    </w:p>
    <w:p w14:paraId="5F3FA9C8" w14:textId="2485FE0F" w:rsidR="00A728BA" w:rsidRPr="00710B91" w:rsidRDefault="009A08E9" w:rsidP="009A08E9">
      <w:pPr>
        <w:pStyle w:val="ManualHeading1"/>
        <w:rPr>
          <w:bCs/>
          <w:noProof/>
          <w:szCs w:val="24"/>
        </w:rPr>
      </w:pPr>
      <w:bookmarkStart w:id="23" w:name="_Toc92899394"/>
      <w:r w:rsidRPr="009A08E9">
        <w:t>2.</w:t>
      </w:r>
      <w:r w:rsidRPr="009A08E9">
        <w:tab/>
      </w:r>
      <w:r w:rsidR="00A728BA" w:rsidRPr="00710B91">
        <w:rPr>
          <w:noProof/>
        </w:rPr>
        <w:t>ŚRODKI ZARZĄDZANIA</w:t>
      </w:r>
      <w:bookmarkEnd w:id="23"/>
      <w:r w:rsidR="00A728BA" w:rsidRPr="00710B91">
        <w:rPr>
          <w:noProof/>
        </w:rPr>
        <w:t xml:space="preserve"> </w:t>
      </w:r>
    </w:p>
    <w:p w14:paraId="286154B8" w14:textId="49BE4C68" w:rsidR="00A728BA" w:rsidRPr="00710B91" w:rsidRDefault="009A08E9" w:rsidP="009A08E9">
      <w:pPr>
        <w:pStyle w:val="ManualHeading2"/>
        <w:rPr>
          <w:noProof/>
        </w:rPr>
      </w:pPr>
      <w:bookmarkStart w:id="24" w:name="_Toc92899395"/>
      <w:r w:rsidRPr="009A08E9">
        <w:t>2.1.</w:t>
      </w:r>
      <w:r w:rsidRPr="009A08E9">
        <w:tab/>
      </w:r>
      <w:r w:rsidR="00A728BA" w:rsidRPr="00710B91">
        <w:rPr>
          <w:noProof/>
        </w:rPr>
        <w:t>Zasady nadzoru</w:t>
      </w:r>
      <w:r w:rsidR="00710B91" w:rsidRPr="00710B91">
        <w:rPr>
          <w:noProof/>
        </w:rPr>
        <w:t xml:space="preserve"> i</w:t>
      </w:r>
      <w:r w:rsidR="00710B91">
        <w:rPr>
          <w:noProof/>
        </w:rPr>
        <w:t> </w:t>
      </w:r>
      <w:r w:rsidR="00710B91" w:rsidRPr="00710B91">
        <w:rPr>
          <w:noProof/>
        </w:rPr>
        <w:t>spr</w:t>
      </w:r>
      <w:r w:rsidR="00A728BA" w:rsidRPr="00710B91">
        <w:rPr>
          <w:noProof/>
        </w:rPr>
        <w:t>awozdawczości</w:t>
      </w:r>
      <w:bookmarkEnd w:id="24"/>
      <w:r w:rsidR="00A728BA" w:rsidRPr="00710B91">
        <w:rPr>
          <w:noProof/>
        </w:rPr>
        <w:t xml:space="preserve"> </w:t>
      </w:r>
    </w:p>
    <w:p w14:paraId="38FBE25F" w14:textId="50A8A8B4" w:rsidR="00A728BA" w:rsidRPr="00710B91" w:rsidRDefault="00A728BA" w:rsidP="006F6F3C">
      <w:pPr>
        <w:pStyle w:val="Text1"/>
        <w:rPr>
          <w:i/>
          <w:noProof/>
          <w:sz w:val="20"/>
        </w:rPr>
      </w:pPr>
      <w:r w:rsidRPr="00710B91">
        <w:rPr>
          <w:i/>
          <w:noProof/>
          <w:sz w:val="20"/>
        </w:rPr>
        <w:t>Określić częstotliwość</w:t>
      </w:r>
      <w:r w:rsidR="00710B91" w:rsidRPr="00710B91">
        <w:rPr>
          <w:i/>
          <w:noProof/>
          <w:sz w:val="20"/>
        </w:rPr>
        <w:t xml:space="preserve"> i</w:t>
      </w:r>
      <w:r w:rsidR="00710B91">
        <w:rPr>
          <w:i/>
          <w:noProof/>
          <w:sz w:val="20"/>
        </w:rPr>
        <w:t> </w:t>
      </w:r>
      <w:r w:rsidR="00710B91" w:rsidRPr="00710B91">
        <w:rPr>
          <w:i/>
          <w:noProof/>
          <w:sz w:val="20"/>
        </w:rPr>
        <w:t>war</w:t>
      </w:r>
      <w:r w:rsidRPr="00710B91">
        <w:rPr>
          <w:i/>
          <w:noProof/>
          <w:sz w:val="20"/>
        </w:rPr>
        <w:t>unki</w:t>
      </w:r>
    </w:p>
    <w:p w14:paraId="322833F3" w14:textId="495D94E0" w:rsidR="006F6F3C" w:rsidRPr="00710B91" w:rsidRDefault="006F6F3C" w:rsidP="006F6F3C">
      <w:pPr>
        <w:pStyle w:val="Text1"/>
        <w:pBdr>
          <w:top w:val="single" w:sz="4" w:space="1" w:color="auto"/>
          <w:left w:val="single" w:sz="4" w:space="4" w:color="auto"/>
          <w:bottom w:val="single" w:sz="4" w:space="1" w:color="auto"/>
          <w:right w:val="single" w:sz="4" w:space="4" w:color="auto"/>
        </w:pBdr>
        <w:rPr>
          <w:noProof/>
        </w:rPr>
      </w:pPr>
      <w:r w:rsidRPr="00710B91">
        <w:rPr>
          <w:noProof/>
        </w:rPr>
        <w:t>Monitorowanie</w:t>
      </w:r>
      <w:r w:rsidR="00710B91" w:rsidRPr="00710B91">
        <w:rPr>
          <w:noProof/>
        </w:rPr>
        <w:t xml:space="preserve"> i</w:t>
      </w:r>
      <w:r w:rsidR="00710B91">
        <w:rPr>
          <w:noProof/>
        </w:rPr>
        <w:t> </w:t>
      </w:r>
      <w:r w:rsidR="00710B91" w:rsidRPr="00710B91">
        <w:rPr>
          <w:noProof/>
        </w:rPr>
        <w:t>oce</w:t>
      </w:r>
      <w:r w:rsidRPr="00710B91">
        <w:rPr>
          <w:noProof/>
        </w:rPr>
        <w:t>na utworzenia</w:t>
      </w:r>
      <w:r w:rsidR="00710B91" w:rsidRPr="00710B91">
        <w:rPr>
          <w:noProof/>
        </w:rPr>
        <w:t xml:space="preserve"> i</w:t>
      </w:r>
      <w:r w:rsidR="00710B91">
        <w:rPr>
          <w:noProof/>
        </w:rPr>
        <w:t> </w:t>
      </w:r>
      <w:r w:rsidR="00710B91" w:rsidRPr="00710B91">
        <w:rPr>
          <w:noProof/>
        </w:rPr>
        <w:t>tec</w:t>
      </w:r>
      <w:r w:rsidRPr="00710B91">
        <w:rPr>
          <w:noProof/>
        </w:rPr>
        <w:t>hnicznego funkcjonowania platformy współpracy zespołów JIT są kluczowe</w:t>
      </w:r>
      <w:r w:rsidR="00710B91" w:rsidRPr="00710B91">
        <w:rPr>
          <w:noProof/>
        </w:rPr>
        <w:t xml:space="preserve"> i</w:t>
      </w:r>
      <w:r w:rsidR="00710B91">
        <w:rPr>
          <w:noProof/>
        </w:rPr>
        <w:t> </w:t>
      </w:r>
      <w:r w:rsidR="00710B91" w:rsidRPr="00710B91">
        <w:rPr>
          <w:noProof/>
        </w:rPr>
        <w:t>będ</w:t>
      </w:r>
      <w:r w:rsidRPr="00710B91">
        <w:rPr>
          <w:noProof/>
        </w:rPr>
        <w:t>ą zastosowane na następujących zasadach określonych we wspólnym podejściu do agencji zdecentralizowanych.</w:t>
      </w:r>
    </w:p>
    <w:p w14:paraId="4B5DB829" w14:textId="02C91D35" w:rsidR="006F6F3C" w:rsidRPr="00710B91" w:rsidRDefault="006F6F3C" w:rsidP="006F6F3C">
      <w:pPr>
        <w:pStyle w:val="Text1"/>
        <w:pBdr>
          <w:top w:val="single" w:sz="4" w:space="1" w:color="auto"/>
          <w:left w:val="single" w:sz="4" w:space="4" w:color="auto"/>
          <w:bottom w:val="single" w:sz="4" w:space="1" w:color="auto"/>
          <w:right w:val="single" w:sz="4" w:space="4" w:color="auto"/>
        </w:pBdr>
        <w:rPr>
          <w:noProof/>
        </w:rPr>
      </w:pPr>
      <w:r w:rsidRPr="00710B91">
        <w:rPr>
          <w:noProof/>
        </w:rPr>
        <w:t>Po pierwsze, eu-LISA</w:t>
      </w:r>
      <w:r w:rsidR="00710B91" w:rsidRPr="00710B91">
        <w:rPr>
          <w:noProof/>
        </w:rPr>
        <w:t xml:space="preserve"> i</w:t>
      </w:r>
      <w:r w:rsidR="00710B91">
        <w:rPr>
          <w:noProof/>
        </w:rPr>
        <w:t> </w:t>
      </w:r>
      <w:r w:rsidR="00710B91" w:rsidRPr="00710B91">
        <w:rPr>
          <w:noProof/>
        </w:rPr>
        <w:t>Eur</w:t>
      </w:r>
      <w:r w:rsidRPr="00710B91">
        <w:rPr>
          <w:noProof/>
        </w:rPr>
        <w:t>ojust muszą co roku przesyłać Komisji, Parlamentowi Europejskiemu</w:t>
      </w:r>
      <w:r w:rsidR="00710B91" w:rsidRPr="00710B91">
        <w:rPr>
          <w:noProof/>
        </w:rPr>
        <w:t xml:space="preserve"> i</w:t>
      </w:r>
      <w:r w:rsidR="00710B91">
        <w:rPr>
          <w:noProof/>
        </w:rPr>
        <w:t> </w:t>
      </w:r>
      <w:r w:rsidR="00710B91" w:rsidRPr="00710B91">
        <w:rPr>
          <w:noProof/>
        </w:rPr>
        <w:t>Rad</w:t>
      </w:r>
      <w:r w:rsidRPr="00710B91">
        <w:rPr>
          <w:noProof/>
        </w:rPr>
        <w:t>zie jednolity dokument programowy zawierający wieloletni program prac</w:t>
      </w:r>
      <w:r w:rsidR="00710B91" w:rsidRPr="00710B91">
        <w:rPr>
          <w:noProof/>
        </w:rPr>
        <w:t xml:space="preserve"> i</w:t>
      </w:r>
      <w:r w:rsidR="00710B91">
        <w:rPr>
          <w:noProof/>
        </w:rPr>
        <w:t> </w:t>
      </w:r>
      <w:r w:rsidR="00710B91" w:rsidRPr="00710B91">
        <w:rPr>
          <w:noProof/>
        </w:rPr>
        <w:t>roc</w:t>
      </w:r>
      <w:r w:rsidRPr="00710B91">
        <w:rPr>
          <w:noProof/>
        </w:rPr>
        <w:t>zne programy prac oraz dokument programowy dotyczący zasobów</w:t>
      </w:r>
      <w:r w:rsidR="00710B91" w:rsidRPr="00710B91">
        <w:rPr>
          <w:noProof/>
        </w:rPr>
        <w:t>. W</w:t>
      </w:r>
      <w:r w:rsidR="00710B91">
        <w:rPr>
          <w:noProof/>
        </w:rPr>
        <w:t> </w:t>
      </w:r>
      <w:r w:rsidR="00710B91" w:rsidRPr="00710B91">
        <w:rPr>
          <w:noProof/>
        </w:rPr>
        <w:t>dok</w:t>
      </w:r>
      <w:r w:rsidRPr="00710B91">
        <w:rPr>
          <w:noProof/>
        </w:rPr>
        <w:t>umencie tym określa się cele, oczekiwane rezultaty oraz wskaźniki wykonania na potrzeby monitorowania osiągania celów</w:t>
      </w:r>
      <w:r w:rsidR="00710B91" w:rsidRPr="00710B91">
        <w:rPr>
          <w:noProof/>
        </w:rPr>
        <w:t xml:space="preserve"> i</w:t>
      </w:r>
      <w:r w:rsidR="00710B91">
        <w:rPr>
          <w:noProof/>
        </w:rPr>
        <w:t> </w:t>
      </w:r>
      <w:r w:rsidR="00710B91" w:rsidRPr="00710B91">
        <w:rPr>
          <w:noProof/>
        </w:rPr>
        <w:t>wyn</w:t>
      </w:r>
      <w:r w:rsidRPr="00710B91">
        <w:rPr>
          <w:noProof/>
        </w:rPr>
        <w:t xml:space="preserve">ików. </w:t>
      </w:r>
    </w:p>
    <w:p w14:paraId="656ED04A" w14:textId="604F4320" w:rsidR="006F6F3C" w:rsidRPr="00710B91" w:rsidRDefault="006F6F3C" w:rsidP="006F6F3C">
      <w:pPr>
        <w:pStyle w:val="Text1"/>
        <w:pBdr>
          <w:top w:val="single" w:sz="4" w:space="1" w:color="auto"/>
          <w:left w:val="single" w:sz="4" w:space="4" w:color="auto"/>
          <w:bottom w:val="single" w:sz="4" w:space="1" w:color="auto"/>
          <w:right w:val="single" w:sz="4" w:space="4" w:color="auto"/>
        </w:pBdr>
        <w:rPr>
          <w:noProof/>
        </w:rPr>
      </w:pPr>
      <w:r w:rsidRPr="00710B91">
        <w:rPr>
          <w:noProof/>
        </w:rPr>
        <w:t>Po zakończeniu tworzenia platformy współpracy zespołów JIT eu-LISA przedłożyłaby Parlamentowi Europejskiemu</w:t>
      </w:r>
      <w:r w:rsidR="00710B91" w:rsidRPr="00710B91">
        <w:rPr>
          <w:noProof/>
        </w:rPr>
        <w:t xml:space="preserve"> i</w:t>
      </w:r>
      <w:r w:rsidR="00710B91">
        <w:rPr>
          <w:noProof/>
        </w:rPr>
        <w:t> </w:t>
      </w:r>
      <w:r w:rsidR="00710B91" w:rsidRPr="00710B91">
        <w:rPr>
          <w:noProof/>
        </w:rPr>
        <w:t>Rad</w:t>
      </w:r>
      <w:r w:rsidRPr="00710B91">
        <w:rPr>
          <w:noProof/>
        </w:rPr>
        <w:t>zie sprawozdanie zawierające wyjaśnienia dotyczące tego, jak osiągnięto cele,</w:t>
      </w:r>
      <w:r w:rsidR="00710B91" w:rsidRPr="00710B91">
        <w:rPr>
          <w:noProof/>
        </w:rPr>
        <w:t xml:space="preserve"> w</w:t>
      </w:r>
      <w:r w:rsidR="00710B91">
        <w:rPr>
          <w:noProof/>
        </w:rPr>
        <w:t> </w:t>
      </w:r>
      <w:r w:rsidR="00710B91" w:rsidRPr="00710B91">
        <w:rPr>
          <w:noProof/>
        </w:rPr>
        <w:t>szc</w:t>
      </w:r>
      <w:r w:rsidRPr="00710B91">
        <w:rPr>
          <w:noProof/>
        </w:rPr>
        <w:t>zególności te związane</w:t>
      </w:r>
      <w:r w:rsidR="00710B91" w:rsidRPr="00710B91">
        <w:rPr>
          <w:noProof/>
        </w:rPr>
        <w:t xml:space="preserve"> z</w:t>
      </w:r>
      <w:r w:rsidR="00710B91">
        <w:rPr>
          <w:noProof/>
        </w:rPr>
        <w:t> </w:t>
      </w:r>
      <w:r w:rsidR="00710B91" w:rsidRPr="00710B91">
        <w:rPr>
          <w:noProof/>
        </w:rPr>
        <w:t>pla</w:t>
      </w:r>
      <w:r w:rsidRPr="00710B91">
        <w:rPr>
          <w:noProof/>
        </w:rPr>
        <w:t>nowaniem</w:t>
      </w:r>
      <w:r w:rsidR="00710B91" w:rsidRPr="00710B91">
        <w:rPr>
          <w:noProof/>
        </w:rPr>
        <w:t xml:space="preserve"> i</w:t>
      </w:r>
      <w:r w:rsidR="00710B91">
        <w:rPr>
          <w:noProof/>
        </w:rPr>
        <w:t> </w:t>
      </w:r>
      <w:r w:rsidR="00710B91" w:rsidRPr="00710B91">
        <w:rPr>
          <w:noProof/>
        </w:rPr>
        <w:t>kos</w:t>
      </w:r>
      <w:r w:rsidRPr="00710B91">
        <w:rPr>
          <w:noProof/>
        </w:rPr>
        <w:t>ztami.</w:t>
      </w:r>
    </w:p>
    <w:p w14:paraId="67398717" w14:textId="50C790F6" w:rsidR="006F6F3C" w:rsidRPr="00710B91" w:rsidRDefault="006F6F3C" w:rsidP="006F6F3C">
      <w:pPr>
        <w:pStyle w:val="Text1"/>
        <w:pBdr>
          <w:top w:val="single" w:sz="4" w:space="1" w:color="auto"/>
          <w:left w:val="single" w:sz="4" w:space="4" w:color="auto"/>
          <w:bottom w:val="single" w:sz="4" w:space="1" w:color="auto"/>
          <w:right w:val="single" w:sz="4" w:space="4" w:color="auto"/>
        </w:pBdr>
        <w:rPr>
          <w:noProof/>
        </w:rPr>
      </w:pPr>
      <w:r w:rsidRPr="00710B91">
        <w:rPr>
          <w:noProof/>
        </w:rPr>
        <w:t>Dwa lata po uruchomieniu platformy współpracy zespołów JIT,</w:t>
      </w:r>
      <w:r w:rsidR="00710B91" w:rsidRPr="00710B91">
        <w:rPr>
          <w:noProof/>
        </w:rPr>
        <w:t xml:space="preserve"> a</w:t>
      </w:r>
      <w:r w:rsidR="00710B91">
        <w:rPr>
          <w:noProof/>
        </w:rPr>
        <w:t> </w:t>
      </w:r>
      <w:r w:rsidR="00710B91" w:rsidRPr="00710B91">
        <w:rPr>
          <w:noProof/>
        </w:rPr>
        <w:t>tak</w:t>
      </w:r>
      <w:r w:rsidRPr="00710B91">
        <w:rPr>
          <w:noProof/>
        </w:rPr>
        <w:t>że co roku po tej dacie, eu-LISA przedkładałaby Komisji sprawozdanie dotyczące technicznego funkcjonowania platformy współpracy zespołów JIT,</w:t>
      </w:r>
      <w:r w:rsidR="00710B91" w:rsidRPr="00710B91">
        <w:rPr>
          <w:noProof/>
        </w:rPr>
        <w:t xml:space="preserve"> w</w:t>
      </w:r>
      <w:r w:rsidR="00710B91">
        <w:rPr>
          <w:noProof/>
        </w:rPr>
        <w:t> </w:t>
      </w:r>
      <w:r w:rsidR="00710B91" w:rsidRPr="00710B91">
        <w:rPr>
          <w:noProof/>
        </w:rPr>
        <w:t>tym</w:t>
      </w:r>
      <w:r w:rsidRPr="00710B91">
        <w:rPr>
          <w:noProof/>
        </w:rPr>
        <w:t xml:space="preserve"> jej bezpieczeństwa. </w:t>
      </w:r>
    </w:p>
    <w:p w14:paraId="25005FE3" w14:textId="5E00F4D8" w:rsidR="006F6F3C" w:rsidRPr="00710B91" w:rsidRDefault="006F6F3C" w:rsidP="006F6F3C">
      <w:pPr>
        <w:pStyle w:val="Text1"/>
        <w:pBdr>
          <w:top w:val="single" w:sz="4" w:space="1" w:color="auto"/>
          <w:left w:val="single" w:sz="4" w:space="4" w:color="auto"/>
          <w:bottom w:val="single" w:sz="4" w:space="1" w:color="auto"/>
          <w:right w:val="single" w:sz="4" w:space="4" w:color="auto"/>
        </w:pBdr>
        <w:rPr>
          <w:noProof/>
        </w:rPr>
      </w:pPr>
      <w:r w:rsidRPr="00710B91">
        <w:rPr>
          <w:noProof/>
        </w:rPr>
        <w:t>Cztery lata po uruchomieniu platformy współpracy zespołów JIT,</w:t>
      </w:r>
      <w:r w:rsidR="00710B91" w:rsidRPr="00710B91">
        <w:rPr>
          <w:noProof/>
        </w:rPr>
        <w:t xml:space="preserve"> a</w:t>
      </w:r>
      <w:r w:rsidR="00710B91">
        <w:rPr>
          <w:noProof/>
        </w:rPr>
        <w:t> </w:t>
      </w:r>
      <w:r w:rsidR="00710B91" w:rsidRPr="00710B91">
        <w:rPr>
          <w:noProof/>
        </w:rPr>
        <w:t>tak</w:t>
      </w:r>
      <w:r w:rsidRPr="00710B91">
        <w:rPr>
          <w:noProof/>
        </w:rPr>
        <w:t>że co cztery lata po tej dacie, Komisja przeprowadzałaby ogólną ocenę platformy współpracy zespołów JIT. Komisja przekazywałaby ogólne sprawozdanie oceniające Parlamentowi Europejskiego</w:t>
      </w:r>
      <w:r w:rsidR="00710B91" w:rsidRPr="00710B91">
        <w:rPr>
          <w:noProof/>
        </w:rPr>
        <w:t xml:space="preserve"> i</w:t>
      </w:r>
      <w:r w:rsidR="00710B91">
        <w:rPr>
          <w:noProof/>
        </w:rPr>
        <w:t> </w:t>
      </w:r>
      <w:r w:rsidR="00710B91" w:rsidRPr="00710B91">
        <w:rPr>
          <w:noProof/>
        </w:rPr>
        <w:t>Rad</w:t>
      </w:r>
      <w:r w:rsidRPr="00710B91">
        <w:rPr>
          <w:noProof/>
        </w:rPr>
        <w:t xml:space="preserve">y. </w:t>
      </w:r>
    </w:p>
    <w:p w14:paraId="1A6B5BD6" w14:textId="305F0E8F" w:rsidR="00A728BA" w:rsidRPr="00710B91" w:rsidRDefault="009A08E9" w:rsidP="009A08E9">
      <w:pPr>
        <w:pStyle w:val="ManualHeading2"/>
        <w:rPr>
          <w:bCs/>
          <w:noProof/>
          <w:szCs w:val="24"/>
        </w:rPr>
      </w:pPr>
      <w:bookmarkStart w:id="25" w:name="_Toc92899396"/>
      <w:r w:rsidRPr="009A08E9">
        <w:t>2.2.</w:t>
      </w:r>
      <w:r w:rsidRPr="009A08E9">
        <w:tab/>
      </w:r>
      <w:r w:rsidR="00A728BA" w:rsidRPr="00710B91">
        <w:rPr>
          <w:noProof/>
        </w:rPr>
        <w:t>System zarządzania</w:t>
      </w:r>
      <w:r w:rsidR="00710B91" w:rsidRPr="00710B91">
        <w:rPr>
          <w:noProof/>
        </w:rPr>
        <w:t xml:space="preserve"> i</w:t>
      </w:r>
      <w:r w:rsidR="00710B91">
        <w:rPr>
          <w:noProof/>
        </w:rPr>
        <w:t> </w:t>
      </w:r>
      <w:r w:rsidR="00710B91" w:rsidRPr="00710B91">
        <w:rPr>
          <w:noProof/>
        </w:rPr>
        <w:t>kon</w:t>
      </w:r>
      <w:r w:rsidR="00A728BA" w:rsidRPr="00710B91">
        <w:rPr>
          <w:noProof/>
        </w:rPr>
        <w:t>troli</w:t>
      </w:r>
      <w:bookmarkEnd w:id="25"/>
      <w:r w:rsidR="00A728BA" w:rsidRPr="00710B91">
        <w:rPr>
          <w:noProof/>
        </w:rPr>
        <w:t xml:space="preserve"> </w:t>
      </w:r>
    </w:p>
    <w:p w14:paraId="23AEE873" w14:textId="77C08945" w:rsidR="00A728BA" w:rsidRPr="00710B91" w:rsidRDefault="009A08E9" w:rsidP="009A08E9">
      <w:pPr>
        <w:pStyle w:val="ManualHeading3"/>
        <w:rPr>
          <w:noProof/>
        </w:rPr>
      </w:pPr>
      <w:bookmarkStart w:id="26" w:name="_Toc92899397"/>
      <w:r w:rsidRPr="009A08E9">
        <w:t>2.2.1.</w:t>
      </w:r>
      <w:r w:rsidRPr="009A08E9">
        <w:tab/>
      </w:r>
      <w:r w:rsidR="00A728BA" w:rsidRPr="00710B91">
        <w:rPr>
          <w:noProof/>
        </w:rPr>
        <w:t>Uzasadnienie dla systemu zarządzania, mechanizmów finansowania wykonania, warunków płatności</w:t>
      </w:r>
      <w:r w:rsidR="00710B91" w:rsidRPr="00710B91">
        <w:rPr>
          <w:noProof/>
        </w:rPr>
        <w:t xml:space="preserve"> i</w:t>
      </w:r>
      <w:r w:rsidR="00710B91">
        <w:rPr>
          <w:noProof/>
        </w:rPr>
        <w:t> </w:t>
      </w:r>
      <w:r w:rsidR="00710B91" w:rsidRPr="00710B91">
        <w:rPr>
          <w:noProof/>
        </w:rPr>
        <w:t>pro</w:t>
      </w:r>
      <w:r w:rsidR="00A728BA" w:rsidRPr="00710B91">
        <w:rPr>
          <w:noProof/>
        </w:rPr>
        <w:t>ponowanej strategii kontroli</w:t>
      </w:r>
      <w:bookmarkEnd w:id="26"/>
    </w:p>
    <w:p w14:paraId="0818571A" w14:textId="3732CA00" w:rsidR="006F6F3C" w:rsidRPr="00710B91" w:rsidRDefault="006F6F3C" w:rsidP="00420CBA">
      <w:pPr>
        <w:pStyle w:val="Text1"/>
        <w:pBdr>
          <w:top w:val="single" w:sz="4" w:space="1" w:color="auto"/>
          <w:left w:val="single" w:sz="4" w:space="4" w:color="auto"/>
          <w:bottom w:val="single" w:sz="4" w:space="1" w:color="auto"/>
          <w:right w:val="single" w:sz="4" w:space="4" w:color="auto"/>
        </w:pBdr>
        <w:rPr>
          <w:noProof/>
        </w:rPr>
      </w:pPr>
      <w:r w:rsidRPr="00710B91">
        <w:rPr>
          <w:noProof/>
        </w:rPr>
        <w:t>Zważywszy, że przedmiotowy wniosek ma wpływ na roczny wkład UE na rzecz eu-LISA</w:t>
      </w:r>
      <w:r w:rsidR="00710B91" w:rsidRPr="00710B91">
        <w:rPr>
          <w:noProof/>
        </w:rPr>
        <w:t xml:space="preserve"> i</w:t>
      </w:r>
      <w:r w:rsidR="00710B91">
        <w:rPr>
          <w:noProof/>
        </w:rPr>
        <w:t> </w:t>
      </w:r>
      <w:r w:rsidR="00710B91" w:rsidRPr="00710B91">
        <w:rPr>
          <w:noProof/>
        </w:rPr>
        <w:t>Eur</w:t>
      </w:r>
      <w:r w:rsidRPr="00710B91">
        <w:rPr>
          <w:noProof/>
        </w:rPr>
        <w:t>ojustu, budżet Unii będzie wykonywany</w:t>
      </w:r>
      <w:r w:rsidR="00710B91" w:rsidRPr="00710B91">
        <w:rPr>
          <w:noProof/>
        </w:rPr>
        <w:t xml:space="preserve"> w</w:t>
      </w:r>
      <w:r w:rsidR="00710B91">
        <w:rPr>
          <w:noProof/>
        </w:rPr>
        <w:t> </w:t>
      </w:r>
      <w:r w:rsidR="00710B91" w:rsidRPr="00710B91">
        <w:rPr>
          <w:noProof/>
        </w:rPr>
        <w:t>dro</w:t>
      </w:r>
      <w:r w:rsidRPr="00710B91">
        <w:rPr>
          <w:noProof/>
        </w:rPr>
        <w:t>dze zarządzania pośredniego.</w:t>
      </w:r>
    </w:p>
    <w:p w14:paraId="28D23353" w14:textId="2FC9662E" w:rsidR="006F6F3C" w:rsidRPr="00710B91" w:rsidRDefault="006F6F3C" w:rsidP="00420CBA">
      <w:pPr>
        <w:pStyle w:val="Text1"/>
        <w:pBdr>
          <w:top w:val="single" w:sz="4" w:space="1" w:color="auto"/>
          <w:left w:val="single" w:sz="4" w:space="4" w:color="auto"/>
          <w:bottom w:val="single" w:sz="4" w:space="1" w:color="auto"/>
          <w:right w:val="single" w:sz="4" w:space="4" w:color="auto"/>
        </w:pBdr>
        <w:rPr>
          <w:noProof/>
        </w:rPr>
      </w:pPr>
      <w:r w:rsidRPr="00710B91">
        <w:rPr>
          <w:noProof/>
        </w:rPr>
        <w:t>Zgodnie</w:t>
      </w:r>
      <w:r w:rsidR="00710B91" w:rsidRPr="00710B91">
        <w:rPr>
          <w:noProof/>
        </w:rPr>
        <w:t xml:space="preserve"> z</w:t>
      </w:r>
      <w:r w:rsidR="00710B91">
        <w:rPr>
          <w:noProof/>
        </w:rPr>
        <w:t> </w:t>
      </w:r>
      <w:r w:rsidR="00710B91" w:rsidRPr="00710B91">
        <w:rPr>
          <w:noProof/>
        </w:rPr>
        <w:t>zas</w:t>
      </w:r>
      <w:r w:rsidRPr="00710B91">
        <w:rPr>
          <w:noProof/>
        </w:rPr>
        <w:t>adą należytego zarządzania finansami budżet obu agencji wykonuje się przy zapewnieniu skutecznej</w:t>
      </w:r>
      <w:r w:rsidR="00710B91" w:rsidRPr="00710B91">
        <w:rPr>
          <w:noProof/>
        </w:rPr>
        <w:t xml:space="preserve"> i</w:t>
      </w:r>
      <w:r w:rsidR="00710B91">
        <w:rPr>
          <w:noProof/>
        </w:rPr>
        <w:t> </w:t>
      </w:r>
      <w:r w:rsidR="00710B91" w:rsidRPr="00710B91">
        <w:rPr>
          <w:noProof/>
        </w:rPr>
        <w:t>efe</w:t>
      </w:r>
      <w:r w:rsidRPr="00710B91">
        <w:rPr>
          <w:noProof/>
        </w:rPr>
        <w:t xml:space="preserve">ktywnej kontroli wewnętrznej. </w:t>
      </w:r>
    </w:p>
    <w:p w14:paraId="2307B771" w14:textId="43E9FD6C" w:rsidR="006F6F3C" w:rsidRPr="00710B91" w:rsidRDefault="006F6F3C" w:rsidP="00420CBA">
      <w:pPr>
        <w:pStyle w:val="Text1"/>
        <w:pBdr>
          <w:top w:val="single" w:sz="4" w:space="1" w:color="auto"/>
          <w:left w:val="single" w:sz="4" w:space="4" w:color="auto"/>
          <w:bottom w:val="single" w:sz="4" w:space="1" w:color="auto"/>
          <w:right w:val="single" w:sz="4" w:space="4" w:color="auto"/>
        </w:pBdr>
        <w:rPr>
          <w:noProof/>
        </w:rPr>
      </w:pPr>
      <w:r w:rsidRPr="00710B91">
        <w:rPr>
          <w:noProof/>
        </w:rPr>
        <w:t>Jeżeli chodzi</w:t>
      </w:r>
      <w:r w:rsidR="00710B91" w:rsidRPr="00710B91">
        <w:rPr>
          <w:noProof/>
        </w:rPr>
        <w:t xml:space="preserve"> o</w:t>
      </w:r>
      <w:r w:rsidR="00710B91">
        <w:rPr>
          <w:noProof/>
        </w:rPr>
        <w:t> </w:t>
      </w:r>
      <w:r w:rsidR="00710B91" w:rsidRPr="00710B91">
        <w:rPr>
          <w:noProof/>
        </w:rPr>
        <w:t>kon</w:t>
      </w:r>
      <w:r w:rsidRPr="00710B91">
        <w:rPr>
          <w:noProof/>
        </w:rPr>
        <w:t xml:space="preserve">trole </w:t>
      </w:r>
      <w:r w:rsidRPr="00710B91">
        <w:rPr>
          <w:i/>
          <w:iCs/>
          <w:noProof/>
        </w:rPr>
        <w:t>ex post</w:t>
      </w:r>
      <w:r w:rsidRPr="00710B91">
        <w:rPr>
          <w:noProof/>
        </w:rPr>
        <w:t xml:space="preserve">, do obu agencji odnosi się obowiązek: </w:t>
      </w:r>
    </w:p>
    <w:p w14:paraId="7A153E0B" w14:textId="77777777" w:rsidR="00420CBA" w:rsidRPr="00710B91" w:rsidRDefault="00420CBA" w:rsidP="00420CBA">
      <w:pPr>
        <w:pStyle w:val="Tiret1"/>
        <w:pBdr>
          <w:top w:val="single" w:sz="4" w:space="1" w:color="auto"/>
          <w:left w:val="single" w:sz="4" w:space="4" w:color="auto"/>
          <w:bottom w:val="single" w:sz="4" w:space="1" w:color="auto"/>
          <w:right w:val="single" w:sz="4" w:space="4" w:color="auto"/>
        </w:pBdr>
        <w:rPr>
          <w:noProof/>
        </w:rPr>
      </w:pPr>
      <w:r w:rsidRPr="00710B91">
        <w:rPr>
          <w:noProof/>
        </w:rPr>
        <w:t>audytu wewnętrznego przeprowadzanego przez Służbę Audytu Wewnętrznego Komisji;</w:t>
      </w:r>
    </w:p>
    <w:p w14:paraId="1BFA1D97" w14:textId="14EFA57D" w:rsidR="00420CBA" w:rsidRPr="00710B91" w:rsidRDefault="00420CBA" w:rsidP="00420CBA">
      <w:pPr>
        <w:pStyle w:val="Tiret1"/>
        <w:pBdr>
          <w:top w:val="single" w:sz="4" w:space="1" w:color="auto"/>
          <w:left w:val="single" w:sz="4" w:space="4" w:color="auto"/>
          <w:bottom w:val="single" w:sz="4" w:space="1" w:color="auto"/>
          <w:right w:val="single" w:sz="4" w:space="4" w:color="auto"/>
        </w:pBdr>
        <w:rPr>
          <w:noProof/>
        </w:rPr>
      </w:pPr>
      <w:r w:rsidRPr="00710B91">
        <w:rPr>
          <w:noProof/>
        </w:rPr>
        <w:t>rocznych sprawozdań Europejskiego Trybunału Obrachunkowego,</w:t>
      </w:r>
      <w:r w:rsidR="00710B91" w:rsidRPr="00710B91">
        <w:rPr>
          <w:noProof/>
        </w:rPr>
        <w:t xml:space="preserve"> w</w:t>
      </w:r>
      <w:r w:rsidR="00710B91">
        <w:rPr>
          <w:noProof/>
        </w:rPr>
        <w:t> </w:t>
      </w:r>
      <w:r w:rsidR="00710B91" w:rsidRPr="00710B91">
        <w:rPr>
          <w:noProof/>
        </w:rPr>
        <w:t>któ</w:t>
      </w:r>
      <w:r w:rsidRPr="00710B91">
        <w:rPr>
          <w:noProof/>
        </w:rPr>
        <w:t>rych poświadcza się wiarygodność rachunków, jak również legalność</w:t>
      </w:r>
      <w:r w:rsidR="00710B91" w:rsidRPr="00710B91">
        <w:rPr>
          <w:noProof/>
        </w:rPr>
        <w:t xml:space="preserve"> i</w:t>
      </w:r>
      <w:r w:rsidR="00710B91">
        <w:rPr>
          <w:noProof/>
        </w:rPr>
        <w:t> </w:t>
      </w:r>
      <w:r w:rsidR="00710B91" w:rsidRPr="00710B91">
        <w:rPr>
          <w:noProof/>
        </w:rPr>
        <w:t>pra</w:t>
      </w:r>
      <w:r w:rsidRPr="00710B91">
        <w:rPr>
          <w:noProof/>
        </w:rPr>
        <w:t>widłowość operacji leżących</w:t>
      </w:r>
      <w:r w:rsidR="00710B91" w:rsidRPr="00710B91">
        <w:rPr>
          <w:noProof/>
        </w:rPr>
        <w:t xml:space="preserve"> u</w:t>
      </w:r>
      <w:r w:rsidR="00710B91">
        <w:rPr>
          <w:noProof/>
        </w:rPr>
        <w:t> </w:t>
      </w:r>
      <w:r w:rsidR="00710B91" w:rsidRPr="00710B91">
        <w:rPr>
          <w:noProof/>
        </w:rPr>
        <w:t>ich</w:t>
      </w:r>
      <w:r w:rsidRPr="00710B91">
        <w:rPr>
          <w:noProof/>
        </w:rPr>
        <w:t xml:space="preserve"> podstaw;</w:t>
      </w:r>
    </w:p>
    <w:p w14:paraId="654DEB6A" w14:textId="77777777" w:rsidR="00420CBA" w:rsidRPr="00710B91" w:rsidRDefault="00420CBA" w:rsidP="00420CBA">
      <w:pPr>
        <w:pStyle w:val="Tiret1"/>
        <w:pBdr>
          <w:top w:val="single" w:sz="4" w:space="1" w:color="auto"/>
          <w:left w:val="single" w:sz="4" w:space="4" w:color="auto"/>
          <w:bottom w:val="single" w:sz="4" w:space="1" w:color="auto"/>
          <w:right w:val="single" w:sz="4" w:space="4" w:color="auto"/>
        </w:pBdr>
        <w:rPr>
          <w:noProof/>
        </w:rPr>
      </w:pPr>
      <w:r w:rsidRPr="00710B91">
        <w:rPr>
          <w:noProof/>
        </w:rPr>
        <w:t>corocznego absolutorium udzielanego przez Parlament Europejski;</w:t>
      </w:r>
    </w:p>
    <w:p w14:paraId="794D3F3C" w14:textId="70400CE4" w:rsidR="00420CBA" w:rsidRPr="00710B91" w:rsidRDefault="00420CBA" w:rsidP="00420CBA">
      <w:pPr>
        <w:pStyle w:val="Tiret1"/>
        <w:pBdr>
          <w:top w:val="single" w:sz="4" w:space="1" w:color="auto"/>
          <w:left w:val="single" w:sz="4" w:space="4" w:color="auto"/>
          <w:bottom w:val="single" w:sz="4" w:space="1" w:color="auto"/>
          <w:right w:val="single" w:sz="4" w:space="4" w:color="auto"/>
        </w:pBdr>
        <w:rPr>
          <w:noProof/>
        </w:rPr>
      </w:pPr>
      <w:r w:rsidRPr="00710B91">
        <w:rPr>
          <w:noProof/>
        </w:rPr>
        <w:t>ewentualnych postępowań przygotowawczych prowadzonych przez OLAF</w:t>
      </w:r>
      <w:r w:rsidR="00710B91" w:rsidRPr="00710B91">
        <w:rPr>
          <w:noProof/>
        </w:rPr>
        <w:t xml:space="preserve"> w</w:t>
      </w:r>
      <w:r w:rsidR="00710B91">
        <w:rPr>
          <w:noProof/>
        </w:rPr>
        <w:t> </w:t>
      </w:r>
      <w:r w:rsidR="00710B91" w:rsidRPr="00710B91">
        <w:rPr>
          <w:noProof/>
        </w:rPr>
        <w:t>cel</w:t>
      </w:r>
      <w:r w:rsidRPr="00710B91">
        <w:rPr>
          <w:noProof/>
        </w:rPr>
        <w:t>u zapewnienia,</w:t>
      </w:r>
      <w:r w:rsidR="00710B91" w:rsidRPr="00710B91">
        <w:rPr>
          <w:noProof/>
        </w:rPr>
        <w:t xml:space="preserve"> w</w:t>
      </w:r>
      <w:r w:rsidR="00710B91">
        <w:rPr>
          <w:noProof/>
        </w:rPr>
        <w:t> </w:t>
      </w:r>
      <w:r w:rsidR="00710B91" w:rsidRPr="00710B91">
        <w:rPr>
          <w:noProof/>
        </w:rPr>
        <w:t>szc</w:t>
      </w:r>
      <w:r w:rsidRPr="00710B91">
        <w:rPr>
          <w:noProof/>
        </w:rPr>
        <w:t>zególności, prawidłowego wykorzystania zasobów przypisanych agencjom;</w:t>
      </w:r>
    </w:p>
    <w:p w14:paraId="237FD90F" w14:textId="0A6214FA" w:rsidR="00420CBA" w:rsidRPr="00710B91" w:rsidRDefault="00420CBA" w:rsidP="00420CBA">
      <w:pPr>
        <w:pStyle w:val="Tiret1"/>
        <w:pBdr>
          <w:top w:val="single" w:sz="4" w:space="1" w:color="auto"/>
          <w:left w:val="single" w:sz="4" w:space="4" w:color="auto"/>
          <w:bottom w:val="single" w:sz="4" w:space="1" w:color="auto"/>
          <w:right w:val="single" w:sz="4" w:space="4" w:color="auto"/>
        </w:pBdr>
        <w:rPr>
          <w:noProof/>
        </w:rPr>
      </w:pPr>
      <w:r w:rsidRPr="00710B91">
        <w:rPr>
          <w:noProof/>
        </w:rPr>
        <w:t>zapewnienia przez Europejskiego Rzecznika Praw Obywatelskich dodatkowej warstwy kontroli</w:t>
      </w:r>
      <w:r w:rsidR="00710B91" w:rsidRPr="00710B91">
        <w:rPr>
          <w:noProof/>
        </w:rPr>
        <w:t xml:space="preserve"> i</w:t>
      </w:r>
      <w:r w:rsidR="00710B91">
        <w:rPr>
          <w:noProof/>
        </w:rPr>
        <w:t> </w:t>
      </w:r>
      <w:r w:rsidR="00710B91" w:rsidRPr="00710B91">
        <w:rPr>
          <w:noProof/>
        </w:rPr>
        <w:t>roz</w:t>
      </w:r>
      <w:r w:rsidRPr="00710B91">
        <w:rPr>
          <w:noProof/>
        </w:rPr>
        <w:t>liczalności.</w:t>
      </w:r>
    </w:p>
    <w:p w14:paraId="7AB6DC74" w14:textId="48441AAF" w:rsidR="00A728BA" w:rsidRPr="00710B91" w:rsidRDefault="009A08E9" w:rsidP="009A08E9">
      <w:pPr>
        <w:pStyle w:val="ManualHeading3"/>
        <w:rPr>
          <w:bCs/>
          <w:noProof/>
          <w:szCs w:val="24"/>
        </w:rPr>
      </w:pPr>
      <w:bookmarkStart w:id="27" w:name="_Toc92899398"/>
      <w:r w:rsidRPr="009A08E9">
        <w:t>2.2.2.</w:t>
      </w:r>
      <w:r w:rsidRPr="009A08E9">
        <w:tab/>
      </w:r>
      <w:r w:rsidR="00A728BA" w:rsidRPr="00710B91">
        <w:rPr>
          <w:noProof/>
        </w:rPr>
        <w:t>Informacje dotyczące zidentyfikowanego ryzyka</w:t>
      </w:r>
      <w:r w:rsidR="00710B91" w:rsidRPr="00710B91">
        <w:rPr>
          <w:noProof/>
        </w:rPr>
        <w:t xml:space="preserve"> i</w:t>
      </w:r>
      <w:r w:rsidR="00710B91">
        <w:rPr>
          <w:noProof/>
        </w:rPr>
        <w:t> </w:t>
      </w:r>
      <w:r w:rsidR="00710B91" w:rsidRPr="00710B91">
        <w:rPr>
          <w:noProof/>
        </w:rPr>
        <w:t>sys</w:t>
      </w:r>
      <w:r w:rsidR="00A728BA" w:rsidRPr="00710B91">
        <w:rPr>
          <w:noProof/>
        </w:rPr>
        <w:t>temów kontroli wewnętrznej ustanowionych</w:t>
      </w:r>
      <w:r w:rsidR="00710B91" w:rsidRPr="00710B91">
        <w:rPr>
          <w:noProof/>
        </w:rPr>
        <w:t xml:space="preserve"> w</w:t>
      </w:r>
      <w:r w:rsidR="00710B91">
        <w:rPr>
          <w:noProof/>
        </w:rPr>
        <w:t> </w:t>
      </w:r>
      <w:r w:rsidR="00710B91" w:rsidRPr="00710B91">
        <w:rPr>
          <w:noProof/>
        </w:rPr>
        <w:t>cel</w:t>
      </w:r>
      <w:r w:rsidR="00A728BA" w:rsidRPr="00710B91">
        <w:rPr>
          <w:noProof/>
        </w:rPr>
        <w:t>u jego ograniczenia</w:t>
      </w:r>
      <w:bookmarkEnd w:id="27"/>
    </w:p>
    <w:p w14:paraId="54343D55" w14:textId="77777777" w:rsidR="00A728BA" w:rsidRPr="00710B91" w:rsidRDefault="006F6F3C" w:rsidP="006F6F3C">
      <w:pPr>
        <w:pStyle w:val="Text1"/>
        <w:pBdr>
          <w:top w:val="single" w:sz="4" w:space="1" w:color="auto"/>
          <w:left w:val="single" w:sz="4" w:space="4" w:color="auto"/>
          <w:bottom w:val="single" w:sz="4" w:space="1" w:color="auto"/>
          <w:right w:val="single" w:sz="4" w:space="4" w:color="auto"/>
        </w:pBdr>
        <w:rPr>
          <w:noProof/>
        </w:rPr>
      </w:pPr>
      <w:r w:rsidRPr="00710B91">
        <w:rPr>
          <w:noProof/>
        </w:rPr>
        <w:t>Na tym etapie nie zidentyfikowano żadnych szczególnych rodzajów ryzyka.</w:t>
      </w:r>
    </w:p>
    <w:p w14:paraId="7321D4FF" w14:textId="0A7F148D" w:rsidR="00A728BA" w:rsidRPr="00710B91" w:rsidRDefault="009A08E9" w:rsidP="009A08E9">
      <w:pPr>
        <w:pStyle w:val="ManualHeading3"/>
        <w:rPr>
          <w:noProof/>
        </w:rPr>
      </w:pPr>
      <w:bookmarkStart w:id="28" w:name="_Toc92899399"/>
      <w:r w:rsidRPr="009A08E9">
        <w:t>2.2.3.</w:t>
      </w:r>
      <w:r w:rsidRPr="009A08E9">
        <w:tab/>
      </w:r>
      <w:r w:rsidR="00A728BA" w:rsidRPr="00710B91">
        <w:rPr>
          <w:noProof/>
        </w:rPr>
        <w:t>Oszacowanie</w:t>
      </w:r>
      <w:r w:rsidR="00710B91" w:rsidRPr="00710B91">
        <w:rPr>
          <w:noProof/>
        </w:rPr>
        <w:t xml:space="preserve"> i</w:t>
      </w:r>
      <w:r w:rsidR="00710B91">
        <w:rPr>
          <w:noProof/>
        </w:rPr>
        <w:t> </w:t>
      </w:r>
      <w:r w:rsidR="00710B91" w:rsidRPr="00710B91">
        <w:rPr>
          <w:noProof/>
        </w:rPr>
        <w:t>uza</w:t>
      </w:r>
      <w:r w:rsidR="00A728BA" w:rsidRPr="00710B91">
        <w:rPr>
          <w:noProof/>
        </w:rPr>
        <w:t>sadnienie efektywności kosztowej kontroli (relacja kosztów kontroli do wartości zarządzanych funduszy powiązanych) oraz ocena prawdopodobnego ryzyka błędu (przy płatności</w:t>
      </w:r>
      <w:r w:rsidR="00710B91" w:rsidRPr="00710B91">
        <w:rPr>
          <w:noProof/>
        </w:rPr>
        <w:t xml:space="preserve"> i</w:t>
      </w:r>
      <w:r w:rsidR="00710B91">
        <w:rPr>
          <w:noProof/>
        </w:rPr>
        <w:t> </w:t>
      </w:r>
      <w:r w:rsidR="00710B91" w:rsidRPr="00710B91">
        <w:rPr>
          <w:noProof/>
        </w:rPr>
        <w:t>prz</w:t>
      </w:r>
      <w:r w:rsidR="00A728BA" w:rsidRPr="00710B91">
        <w:rPr>
          <w:noProof/>
        </w:rPr>
        <w:t>y zamykaniu)</w:t>
      </w:r>
      <w:bookmarkEnd w:id="28"/>
      <w:r w:rsidR="00A728BA" w:rsidRPr="00710B91">
        <w:rPr>
          <w:noProof/>
        </w:rPr>
        <w:t xml:space="preserve"> </w:t>
      </w:r>
    </w:p>
    <w:p w14:paraId="73F522C9" w14:textId="7E19E8E9" w:rsidR="006F6F3C" w:rsidRPr="00710B91" w:rsidRDefault="006F6F3C" w:rsidP="006F6F3C">
      <w:pPr>
        <w:pStyle w:val="Text1"/>
        <w:pBdr>
          <w:top w:val="single" w:sz="4" w:space="1" w:color="auto"/>
          <w:left w:val="single" w:sz="4" w:space="4" w:color="auto"/>
          <w:bottom w:val="single" w:sz="4" w:space="1" w:color="auto"/>
          <w:right w:val="single" w:sz="4" w:space="4" w:color="auto"/>
        </w:pBdr>
        <w:rPr>
          <w:noProof/>
        </w:rPr>
      </w:pPr>
      <w:r w:rsidRPr="00710B91">
        <w:rPr>
          <w:noProof/>
        </w:rPr>
        <w:t>Komisja przedstawia sprawozdania dotyczące stosunku kosztów kontroli do wartości zarządzanych funduszy powiązanych</w:t>
      </w:r>
      <w:r w:rsidR="00710B91" w:rsidRPr="00710B91">
        <w:rPr>
          <w:noProof/>
        </w:rPr>
        <w:t>. W</w:t>
      </w:r>
      <w:r w:rsidR="00710B91">
        <w:rPr>
          <w:noProof/>
        </w:rPr>
        <w:t> </w:t>
      </w:r>
      <w:r w:rsidR="00710B91" w:rsidRPr="00710B91">
        <w:rPr>
          <w:noProof/>
        </w:rPr>
        <w:t>roc</w:t>
      </w:r>
      <w:r w:rsidRPr="00710B91">
        <w:rPr>
          <w:noProof/>
        </w:rPr>
        <w:t>znym sprawozdaniu</w:t>
      </w:r>
      <w:r w:rsidR="00710B91" w:rsidRPr="00710B91">
        <w:rPr>
          <w:noProof/>
        </w:rPr>
        <w:t xml:space="preserve"> z</w:t>
      </w:r>
      <w:r w:rsidR="00710B91">
        <w:rPr>
          <w:noProof/>
        </w:rPr>
        <w:t> </w:t>
      </w:r>
      <w:r w:rsidR="00710B91" w:rsidRPr="00710B91">
        <w:rPr>
          <w:noProof/>
        </w:rPr>
        <w:t>dzi</w:t>
      </w:r>
      <w:r w:rsidRPr="00710B91">
        <w:rPr>
          <w:noProof/>
        </w:rPr>
        <w:t>ałalności DG ds. Sprawiedliwości</w:t>
      </w:r>
      <w:r w:rsidR="00710B91" w:rsidRPr="00710B91">
        <w:rPr>
          <w:noProof/>
        </w:rPr>
        <w:t xml:space="preserve"> i</w:t>
      </w:r>
      <w:r w:rsidR="00710B91">
        <w:rPr>
          <w:noProof/>
        </w:rPr>
        <w:t> </w:t>
      </w:r>
      <w:r w:rsidR="00710B91" w:rsidRPr="00710B91">
        <w:rPr>
          <w:noProof/>
        </w:rPr>
        <w:t>Kon</w:t>
      </w:r>
      <w:r w:rsidRPr="00710B91">
        <w:rPr>
          <w:noProof/>
        </w:rPr>
        <w:t>sumentów za</w:t>
      </w:r>
      <w:r w:rsidR="00710B91" w:rsidRPr="00710B91">
        <w:rPr>
          <w:noProof/>
        </w:rPr>
        <w:t> </w:t>
      </w:r>
      <w:r w:rsidRPr="00710B91">
        <w:rPr>
          <w:noProof/>
        </w:rPr>
        <w:t>2020</w:t>
      </w:r>
      <w:r w:rsidR="00710B91" w:rsidRPr="00710B91">
        <w:rPr>
          <w:noProof/>
        </w:rPr>
        <w:t> </w:t>
      </w:r>
      <w:r w:rsidRPr="00710B91">
        <w:rPr>
          <w:noProof/>
        </w:rPr>
        <w:t>r. stosunek ten wynosi 0,74</w:t>
      </w:r>
      <w:r w:rsidR="00710B91" w:rsidRPr="00710B91">
        <w:rPr>
          <w:noProof/>
        </w:rPr>
        <w:t> </w:t>
      </w:r>
      <w:r w:rsidRPr="00710B91">
        <w:rPr>
          <w:noProof/>
        </w:rPr>
        <w:t>%</w:t>
      </w:r>
      <w:r w:rsidR="00710B91" w:rsidRPr="00710B91">
        <w:rPr>
          <w:noProof/>
        </w:rPr>
        <w:t xml:space="preserve"> w</w:t>
      </w:r>
      <w:r w:rsidR="00710B91">
        <w:rPr>
          <w:noProof/>
        </w:rPr>
        <w:t> </w:t>
      </w:r>
      <w:r w:rsidR="00710B91" w:rsidRPr="00710B91">
        <w:rPr>
          <w:noProof/>
        </w:rPr>
        <w:t>odn</w:t>
      </w:r>
      <w:r w:rsidRPr="00710B91">
        <w:rPr>
          <w:noProof/>
        </w:rPr>
        <w:t>iesieniu do podmiotów, którym powierzono zarządzanie pośrednie,</w:t>
      </w:r>
      <w:r w:rsidR="00710B91" w:rsidRPr="00710B91">
        <w:rPr>
          <w:noProof/>
        </w:rPr>
        <w:t xml:space="preserve"> i</w:t>
      </w:r>
      <w:r w:rsidR="00710B91">
        <w:rPr>
          <w:noProof/>
        </w:rPr>
        <w:t> </w:t>
      </w:r>
      <w:r w:rsidR="00710B91" w:rsidRPr="00710B91">
        <w:rPr>
          <w:noProof/>
        </w:rPr>
        <w:t>age</w:t>
      </w:r>
      <w:r w:rsidRPr="00710B91">
        <w:rPr>
          <w:noProof/>
        </w:rPr>
        <w:t>ncji zdecentralizowanych.</w:t>
      </w:r>
    </w:p>
    <w:p w14:paraId="1E446571" w14:textId="29C876B7" w:rsidR="00A728BA" w:rsidRPr="00710B91" w:rsidRDefault="009A08E9" w:rsidP="009A08E9">
      <w:pPr>
        <w:pStyle w:val="ManualHeading2"/>
        <w:rPr>
          <w:bCs/>
          <w:noProof/>
          <w:szCs w:val="24"/>
        </w:rPr>
      </w:pPr>
      <w:bookmarkStart w:id="29" w:name="_Toc92899400"/>
      <w:r w:rsidRPr="009A08E9">
        <w:t>2.3.</w:t>
      </w:r>
      <w:r w:rsidRPr="009A08E9">
        <w:tab/>
      </w:r>
      <w:r w:rsidR="00A728BA" w:rsidRPr="00710B91">
        <w:rPr>
          <w:noProof/>
        </w:rPr>
        <w:t>Środki zapobiegania nadużyciom finansowym</w:t>
      </w:r>
      <w:r w:rsidR="00710B91" w:rsidRPr="00710B91">
        <w:rPr>
          <w:noProof/>
        </w:rPr>
        <w:t xml:space="preserve"> i</w:t>
      </w:r>
      <w:r w:rsidR="00710B91">
        <w:rPr>
          <w:noProof/>
        </w:rPr>
        <w:t> </w:t>
      </w:r>
      <w:r w:rsidR="00710B91" w:rsidRPr="00710B91">
        <w:rPr>
          <w:noProof/>
        </w:rPr>
        <w:t>nie</w:t>
      </w:r>
      <w:r w:rsidR="00A728BA" w:rsidRPr="00710B91">
        <w:rPr>
          <w:noProof/>
        </w:rPr>
        <w:t>prawidłowościom</w:t>
      </w:r>
      <w:bookmarkEnd w:id="29"/>
      <w:r w:rsidR="00A728BA" w:rsidRPr="00710B91">
        <w:rPr>
          <w:noProof/>
        </w:rPr>
        <w:t xml:space="preserve"> </w:t>
      </w:r>
    </w:p>
    <w:p w14:paraId="40F47399" w14:textId="7F046453" w:rsidR="006F6F3C" w:rsidRPr="00710B91" w:rsidRDefault="00A728BA" w:rsidP="006F6F3C">
      <w:pPr>
        <w:pStyle w:val="Text1"/>
        <w:rPr>
          <w:noProof/>
        </w:rPr>
      </w:pPr>
      <w:r w:rsidRPr="00710B91">
        <w:rPr>
          <w:i/>
          <w:noProof/>
          <w:sz w:val="20"/>
        </w:rPr>
        <w:t>Określić istniejące lub przewidywane środki zapobiegania</w:t>
      </w:r>
      <w:r w:rsidR="00710B91" w:rsidRPr="00710B91">
        <w:rPr>
          <w:i/>
          <w:noProof/>
          <w:sz w:val="20"/>
        </w:rPr>
        <w:t xml:space="preserve"> i</w:t>
      </w:r>
      <w:r w:rsidR="00710B91">
        <w:rPr>
          <w:i/>
          <w:noProof/>
          <w:sz w:val="20"/>
        </w:rPr>
        <w:t> </w:t>
      </w:r>
      <w:r w:rsidR="00710B91" w:rsidRPr="00710B91">
        <w:rPr>
          <w:i/>
          <w:noProof/>
          <w:sz w:val="20"/>
        </w:rPr>
        <w:t>och</w:t>
      </w:r>
      <w:r w:rsidRPr="00710B91">
        <w:rPr>
          <w:i/>
          <w:noProof/>
          <w:sz w:val="20"/>
        </w:rPr>
        <w:t>rony, np. ze strategii zwalczania nadużyć finansowych.</w:t>
      </w:r>
    </w:p>
    <w:p w14:paraId="7D037C5C" w14:textId="1B89D02C" w:rsidR="006F6F3C" w:rsidRPr="00710B91" w:rsidRDefault="006F6F3C" w:rsidP="006F6F3C">
      <w:pPr>
        <w:pStyle w:val="Text1"/>
        <w:pBdr>
          <w:top w:val="single" w:sz="4" w:space="1" w:color="auto"/>
          <w:left w:val="single" w:sz="4" w:space="4" w:color="auto"/>
          <w:bottom w:val="single" w:sz="4" w:space="1" w:color="auto"/>
          <w:right w:val="single" w:sz="4" w:space="4" w:color="auto"/>
        </w:pBdr>
        <w:rPr>
          <w:noProof/>
        </w:rPr>
      </w:pPr>
      <w:r w:rsidRPr="00710B91">
        <w:rPr>
          <w:noProof/>
        </w:rPr>
        <w:t>Środki związane ze zwalczaniem nadużyć finansowych, korupcji</w:t>
      </w:r>
      <w:r w:rsidR="00710B91" w:rsidRPr="00710B91">
        <w:rPr>
          <w:noProof/>
        </w:rPr>
        <w:t xml:space="preserve"> i</w:t>
      </w:r>
      <w:r w:rsidR="00710B91">
        <w:rPr>
          <w:noProof/>
        </w:rPr>
        <w:t> </w:t>
      </w:r>
      <w:r w:rsidR="00710B91" w:rsidRPr="00710B91">
        <w:rPr>
          <w:noProof/>
        </w:rPr>
        <w:t>inn</w:t>
      </w:r>
      <w:r w:rsidRPr="00710B91">
        <w:rPr>
          <w:noProof/>
        </w:rPr>
        <w:t>ych nielegalnych działań zostały określone m.in.</w:t>
      </w:r>
      <w:r w:rsidR="00710B91" w:rsidRPr="00710B91">
        <w:rPr>
          <w:noProof/>
        </w:rPr>
        <w:t xml:space="preserve"> w</w:t>
      </w:r>
      <w:r w:rsidR="00710B91">
        <w:rPr>
          <w:noProof/>
        </w:rPr>
        <w:t> </w:t>
      </w:r>
      <w:r w:rsidR="00710B91" w:rsidRPr="00710B91">
        <w:rPr>
          <w:noProof/>
        </w:rPr>
        <w:t>art</w:t>
      </w:r>
      <w:r w:rsidRPr="00710B91">
        <w:rPr>
          <w:noProof/>
        </w:rPr>
        <w:t>.</w:t>
      </w:r>
      <w:r w:rsidR="00710B91" w:rsidRPr="00710B91">
        <w:rPr>
          <w:noProof/>
        </w:rPr>
        <w:t> </w:t>
      </w:r>
      <w:r w:rsidRPr="00710B91">
        <w:rPr>
          <w:noProof/>
        </w:rPr>
        <w:t>50 rozporządzenia</w:t>
      </w:r>
      <w:r w:rsidR="00710B91" w:rsidRPr="00710B91">
        <w:rPr>
          <w:noProof/>
        </w:rPr>
        <w:t xml:space="preserve"> w</w:t>
      </w:r>
      <w:r w:rsidR="00710B91">
        <w:rPr>
          <w:noProof/>
        </w:rPr>
        <w:t> </w:t>
      </w:r>
      <w:r w:rsidR="00710B91" w:rsidRPr="00710B91">
        <w:rPr>
          <w:noProof/>
        </w:rPr>
        <w:t>spr</w:t>
      </w:r>
      <w:r w:rsidRPr="00710B91">
        <w:rPr>
          <w:noProof/>
        </w:rPr>
        <w:t>awie eu-LISA oraz</w:t>
      </w:r>
      <w:r w:rsidR="00710B91" w:rsidRPr="00710B91">
        <w:rPr>
          <w:noProof/>
        </w:rPr>
        <w:t xml:space="preserve"> w</w:t>
      </w:r>
      <w:r w:rsidR="00710B91">
        <w:rPr>
          <w:noProof/>
        </w:rPr>
        <w:t> </w:t>
      </w:r>
      <w:r w:rsidR="00710B91" w:rsidRPr="00710B91">
        <w:rPr>
          <w:noProof/>
        </w:rPr>
        <w:t>art</w:t>
      </w:r>
      <w:r w:rsidRPr="00710B91">
        <w:rPr>
          <w:noProof/>
        </w:rPr>
        <w:t>.</w:t>
      </w:r>
      <w:r w:rsidR="00710B91" w:rsidRPr="00710B91">
        <w:rPr>
          <w:noProof/>
        </w:rPr>
        <w:t> </w:t>
      </w:r>
      <w:r w:rsidRPr="00710B91">
        <w:rPr>
          <w:noProof/>
        </w:rPr>
        <w:t>75 rozporządzenia</w:t>
      </w:r>
      <w:r w:rsidR="00710B91" w:rsidRPr="00710B91">
        <w:rPr>
          <w:noProof/>
        </w:rPr>
        <w:t xml:space="preserve"> w</w:t>
      </w:r>
      <w:r w:rsidR="00710B91">
        <w:rPr>
          <w:noProof/>
        </w:rPr>
        <w:t> </w:t>
      </w:r>
      <w:r w:rsidR="00710B91" w:rsidRPr="00710B91">
        <w:rPr>
          <w:noProof/>
        </w:rPr>
        <w:t>spr</w:t>
      </w:r>
      <w:r w:rsidRPr="00710B91">
        <w:rPr>
          <w:noProof/>
        </w:rPr>
        <w:t>awie Eurojustu. Obie agencje uczestniczą</w:t>
      </w:r>
      <w:r w:rsidR="00710B91" w:rsidRPr="00710B91">
        <w:rPr>
          <w:noProof/>
        </w:rPr>
        <w:t xml:space="preserve"> w</w:t>
      </w:r>
      <w:r w:rsidR="00710B91">
        <w:rPr>
          <w:noProof/>
        </w:rPr>
        <w:t> </w:t>
      </w:r>
      <w:r w:rsidR="00710B91" w:rsidRPr="00710B91">
        <w:rPr>
          <w:noProof/>
        </w:rPr>
        <w:t>dzi</w:t>
      </w:r>
      <w:r w:rsidRPr="00710B91">
        <w:rPr>
          <w:noProof/>
        </w:rPr>
        <w:t>ałaniach Europejskiego Urzędu ds. Zwalczania Nadużyć Finansowych mających na celu zapobieganie nadużyciom finansowym</w:t>
      </w:r>
      <w:r w:rsidR="00710B91" w:rsidRPr="00710B91">
        <w:rPr>
          <w:noProof/>
        </w:rPr>
        <w:t xml:space="preserve"> i</w:t>
      </w:r>
      <w:r w:rsidR="00710B91">
        <w:rPr>
          <w:noProof/>
        </w:rPr>
        <w:t> </w:t>
      </w:r>
      <w:r w:rsidR="00710B91" w:rsidRPr="00710B91">
        <w:rPr>
          <w:noProof/>
        </w:rPr>
        <w:t>bez</w:t>
      </w:r>
      <w:r w:rsidRPr="00710B91">
        <w:rPr>
          <w:noProof/>
        </w:rPr>
        <w:t>zwłocznie informują Komisję</w:t>
      </w:r>
      <w:r w:rsidR="00710B91" w:rsidRPr="00710B91">
        <w:rPr>
          <w:noProof/>
        </w:rPr>
        <w:t xml:space="preserve"> o</w:t>
      </w:r>
      <w:r w:rsidR="00710B91">
        <w:rPr>
          <w:noProof/>
        </w:rPr>
        <w:t> </w:t>
      </w:r>
      <w:r w:rsidR="00710B91" w:rsidRPr="00710B91">
        <w:rPr>
          <w:noProof/>
        </w:rPr>
        <w:t>prz</w:t>
      </w:r>
      <w:r w:rsidRPr="00710B91">
        <w:rPr>
          <w:noProof/>
        </w:rPr>
        <w:t>ypadkach domniemanych nadużyć finansowych</w:t>
      </w:r>
      <w:r w:rsidR="00710B91" w:rsidRPr="00710B91">
        <w:rPr>
          <w:noProof/>
        </w:rPr>
        <w:t xml:space="preserve"> i</w:t>
      </w:r>
      <w:r w:rsidR="00710B91">
        <w:rPr>
          <w:noProof/>
        </w:rPr>
        <w:t> </w:t>
      </w:r>
      <w:r w:rsidR="00710B91" w:rsidRPr="00710B91">
        <w:rPr>
          <w:noProof/>
        </w:rPr>
        <w:t>inn</w:t>
      </w:r>
      <w:r w:rsidRPr="00710B91">
        <w:rPr>
          <w:noProof/>
        </w:rPr>
        <w:t>ych nieprawidłowości finansowych.</w:t>
      </w:r>
    </w:p>
    <w:p w14:paraId="09C6D614" w14:textId="77777777" w:rsidR="00A728BA" w:rsidRPr="00710B91" w:rsidRDefault="00A728BA" w:rsidP="006F6F3C">
      <w:pPr>
        <w:rPr>
          <w:noProof/>
        </w:rPr>
        <w:sectPr w:rsidR="00A728BA" w:rsidRPr="00710B91" w:rsidSect="00DA1122">
          <w:pgSz w:w="11907" w:h="16840" w:code="9"/>
          <w:pgMar w:top="1134" w:right="1418" w:bottom="1134" w:left="1418" w:header="709" w:footer="709" w:gutter="0"/>
          <w:cols w:space="708"/>
          <w:docGrid w:linePitch="360"/>
        </w:sectPr>
      </w:pPr>
    </w:p>
    <w:p w14:paraId="2C0F6C19" w14:textId="0A138455" w:rsidR="00A728BA" w:rsidRPr="00710B91" w:rsidRDefault="009A08E9" w:rsidP="009A08E9">
      <w:pPr>
        <w:pStyle w:val="ManualHeading1"/>
        <w:rPr>
          <w:bCs/>
          <w:noProof/>
          <w:szCs w:val="24"/>
        </w:rPr>
      </w:pPr>
      <w:bookmarkStart w:id="30" w:name="_Toc92899401"/>
      <w:r w:rsidRPr="009A08E9">
        <w:t>3.</w:t>
      </w:r>
      <w:r w:rsidRPr="009A08E9">
        <w:tab/>
      </w:r>
      <w:r w:rsidR="00A728BA" w:rsidRPr="00710B91">
        <w:rPr>
          <w:noProof/>
        </w:rPr>
        <w:t>SZACUNKOWY WPŁYW FINANSOWY WNIOSKU/INICJATYWY</w:t>
      </w:r>
      <w:bookmarkEnd w:id="30"/>
      <w:r w:rsidR="00A728BA" w:rsidRPr="00710B91">
        <w:rPr>
          <w:noProof/>
        </w:rPr>
        <w:t xml:space="preserve"> </w:t>
      </w:r>
    </w:p>
    <w:p w14:paraId="66B2C2B6" w14:textId="016B3D18" w:rsidR="00A728BA" w:rsidRPr="00710B91" w:rsidRDefault="009A08E9" w:rsidP="009A08E9">
      <w:pPr>
        <w:pStyle w:val="ManualHeading2"/>
        <w:rPr>
          <w:noProof/>
        </w:rPr>
      </w:pPr>
      <w:bookmarkStart w:id="31" w:name="_Toc92899402"/>
      <w:r w:rsidRPr="009A08E9">
        <w:t>3.1.</w:t>
      </w:r>
      <w:r w:rsidRPr="009A08E9">
        <w:tab/>
      </w:r>
      <w:r w:rsidR="00A728BA" w:rsidRPr="00710B91">
        <w:rPr>
          <w:noProof/>
        </w:rPr>
        <w:t>Działy wieloletnich ram finansowych</w:t>
      </w:r>
      <w:r w:rsidR="00710B91" w:rsidRPr="00710B91">
        <w:rPr>
          <w:noProof/>
        </w:rPr>
        <w:t xml:space="preserve"> i</w:t>
      </w:r>
      <w:r w:rsidR="00710B91">
        <w:rPr>
          <w:noProof/>
        </w:rPr>
        <w:t> </w:t>
      </w:r>
      <w:r w:rsidR="00710B91" w:rsidRPr="00710B91">
        <w:rPr>
          <w:noProof/>
        </w:rPr>
        <w:t>lin</w:t>
      </w:r>
      <w:r w:rsidR="00A728BA" w:rsidRPr="00710B91">
        <w:rPr>
          <w:noProof/>
        </w:rPr>
        <w:t>ie budżetowe po stronie wydatków, na które wniosek/inicjatywa ma wpływ</w:t>
      </w:r>
      <w:bookmarkEnd w:id="31"/>
      <w:r w:rsidR="00A728BA" w:rsidRPr="00710B91">
        <w:rPr>
          <w:noProof/>
        </w:rPr>
        <w:t xml:space="preserve"> </w:t>
      </w:r>
    </w:p>
    <w:p w14:paraId="72E4B2D4" w14:textId="77777777" w:rsidR="00A728BA" w:rsidRPr="00710B91" w:rsidRDefault="00A728BA" w:rsidP="006F6F3C">
      <w:pPr>
        <w:pStyle w:val="ListBullet1"/>
        <w:rPr>
          <w:noProof/>
        </w:rPr>
      </w:pPr>
      <w:r w:rsidRPr="00710B91">
        <w:rPr>
          <w:noProof/>
        </w:rPr>
        <w:t xml:space="preserve">Istniejące linie budżetowe </w:t>
      </w:r>
    </w:p>
    <w:p w14:paraId="4AAD72BD" w14:textId="56B5CBEA" w:rsidR="00A728BA" w:rsidRPr="00710B91" w:rsidRDefault="00A728BA" w:rsidP="006F6F3C">
      <w:pPr>
        <w:pStyle w:val="Text1"/>
        <w:rPr>
          <w:i/>
          <w:noProof/>
        </w:rPr>
      </w:pPr>
      <w:r w:rsidRPr="00710B91">
        <w:rPr>
          <w:i/>
          <w:noProof/>
          <w:u w:val="single"/>
        </w:rPr>
        <w:t>Według</w:t>
      </w:r>
      <w:r w:rsidRPr="00710B91">
        <w:rPr>
          <w:i/>
          <w:noProof/>
        </w:rPr>
        <w:t xml:space="preserve"> działów wieloletnich ram finansowych</w:t>
      </w:r>
      <w:r w:rsidR="00710B91" w:rsidRPr="00710B91">
        <w:rPr>
          <w:i/>
          <w:noProof/>
        </w:rPr>
        <w:t xml:space="preserve"> i</w:t>
      </w:r>
      <w:r w:rsidR="00710B91">
        <w:rPr>
          <w:i/>
          <w:noProof/>
        </w:rPr>
        <w:t> </w:t>
      </w:r>
      <w:r w:rsidR="00710B91" w:rsidRPr="00710B91">
        <w:rPr>
          <w:i/>
          <w:noProof/>
        </w:rPr>
        <w:t>lin</w:t>
      </w:r>
      <w:r w:rsidRPr="00710B91">
        <w:rPr>
          <w:i/>
          <w:noProof/>
        </w:rPr>
        <w:t>ii budżetowych.</w:t>
      </w:r>
    </w:p>
    <w:tbl>
      <w:tblPr>
        <w:tblW w:w="10676"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80"/>
        <w:gridCol w:w="3960"/>
        <w:gridCol w:w="1080"/>
        <w:gridCol w:w="956"/>
        <w:gridCol w:w="1080"/>
        <w:gridCol w:w="956"/>
        <w:gridCol w:w="1564"/>
      </w:tblGrid>
      <w:tr w:rsidR="006F6F3C" w:rsidRPr="00710B91" w14:paraId="623DD6F8" w14:textId="77777777" w:rsidTr="006F6F3C">
        <w:tc>
          <w:tcPr>
            <w:tcW w:w="1080" w:type="dxa"/>
            <w:vMerge w:val="restart"/>
            <w:vAlign w:val="center"/>
          </w:tcPr>
          <w:p w14:paraId="7B17A315" w14:textId="77777777" w:rsidR="006F6F3C" w:rsidRPr="00710B91" w:rsidRDefault="006F6F3C" w:rsidP="006F6F3C">
            <w:pPr>
              <w:spacing w:before="60" w:after="60"/>
              <w:jc w:val="center"/>
              <w:rPr>
                <w:noProof/>
                <w:sz w:val="18"/>
              </w:rPr>
            </w:pPr>
            <w:r w:rsidRPr="00710B91">
              <w:rPr>
                <w:noProof/>
                <w:sz w:val="18"/>
              </w:rPr>
              <w:t>Dział wieloletnich ram finansowych</w:t>
            </w:r>
          </w:p>
        </w:tc>
        <w:tc>
          <w:tcPr>
            <w:tcW w:w="3960" w:type="dxa"/>
            <w:vAlign w:val="center"/>
          </w:tcPr>
          <w:p w14:paraId="54D86872" w14:textId="77777777" w:rsidR="006F6F3C" w:rsidRPr="00710B91" w:rsidRDefault="006F6F3C" w:rsidP="006F6F3C">
            <w:pPr>
              <w:spacing w:before="60" w:after="60"/>
              <w:jc w:val="center"/>
              <w:rPr>
                <w:noProof/>
              </w:rPr>
            </w:pPr>
            <w:r w:rsidRPr="00710B91">
              <w:rPr>
                <w:noProof/>
                <w:sz w:val="20"/>
              </w:rPr>
              <w:t>Linia budżetowa</w:t>
            </w:r>
          </w:p>
        </w:tc>
        <w:tc>
          <w:tcPr>
            <w:tcW w:w="1080" w:type="dxa"/>
            <w:vAlign w:val="center"/>
          </w:tcPr>
          <w:p w14:paraId="0D2BB529" w14:textId="77777777" w:rsidR="006F6F3C" w:rsidRPr="00710B91" w:rsidRDefault="006F6F3C" w:rsidP="006F6F3C">
            <w:pPr>
              <w:spacing w:before="60" w:after="60"/>
              <w:jc w:val="center"/>
              <w:rPr>
                <w:noProof/>
              </w:rPr>
            </w:pPr>
            <w:r w:rsidRPr="00710B91">
              <w:rPr>
                <w:noProof/>
                <w:sz w:val="18"/>
              </w:rPr>
              <w:t>Rodzaj</w:t>
            </w:r>
            <w:r w:rsidRPr="00710B91">
              <w:rPr>
                <w:noProof/>
              </w:rPr>
              <w:t xml:space="preserve"> </w:t>
            </w:r>
            <w:r w:rsidRPr="00710B91">
              <w:rPr>
                <w:noProof/>
              </w:rPr>
              <w:br/>
            </w:r>
            <w:r w:rsidRPr="00710B91">
              <w:rPr>
                <w:noProof/>
                <w:sz w:val="18"/>
              </w:rPr>
              <w:t>wydatków</w:t>
            </w:r>
          </w:p>
        </w:tc>
        <w:tc>
          <w:tcPr>
            <w:tcW w:w="4556" w:type="dxa"/>
            <w:gridSpan w:val="4"/>
            <w:vAlign w:val="center"/>
          </w:tcPr>
          <w:p w14:paraId="60D18DE8" w14:textId="77777777" w:rsidR="006F6F3C" w:rsidRPr="00710B91" w:rsidRDefault="006F6F3C" w:rsidP="006F6F3C">
            <w:pPr>
              <w:spacing w:before="60" w:after="60"/>
              <w:jc w:val="center"/>
              <w:rPr>
                <w:noProof/>
              </w:rPr>
            </w:pPr>
            <w:r w:rsidRPr="00710B91">
              <w:rPr>
                <w:noProof/>
                <w:sz w:val="20"/>
              </w:rPr>
              <w:t xml:space="preserve">Wkład </w:t>
            </w:r>
          </w:p>
        </w:tc>
      </w:tr>
      <w:tr w:rsidR="006F6F3C" w:rsidRPr="00710B91" w14:paraId="06E4AE3C" w14:textId="77777777" w:rsidTr="006F6F3C">
        <w:trPr>
          <w:trHeight w:val="618"/>
        </w:trPr>
        <w:tc>
          <w:tcPr>
            <w:tcW w:w="1080" w:type="dxa"/>
            <w:vMerge/>
            <w:vAlign w:val="center"/>
          </w:tcPr>
          <w:p w14:paraId="796CD230" w14:textId="77777777" w:rsidR="006F6F3C" w:rsidRPr="00710B91" w:rsidRDefault="006F6F3C" w:rsidP="006F6F3C">
            <w:pPr>
              <w:rPr>
                <w:noProof/>
                <w:sz w:val="18"/>
                <w:lang w:eastAsia="en-GB"/>
              </w:rPr>
            </w:pPr>
          </w:p>
        </w:tc>
        <w:tc>
          <w:tcPr>
            <w:tcW w:w="3960" w:type="dxa"/>
            <w:vAlign w:val="center"/>
          </w:tcPr>
          <w:p w14:paraId="5EC8836E" w14:textId="2424AFC6" w:rsidR="006F6F3C" w:rsidRPr="00710B91" w:rsidRDefault="006F6F3C" w:rsidP="00620FA0">
            <w:pPr>
              <w:rPr>
                <w:noProof/>
              </w:rPr>
            </w:pPr>
            <w:r w:rsidRPr="00710B91">
              <w:rPr>
                <w:noProof/>
                <w:sz w:val="20"/>
              </w:rPr>
              <w:t>Numer</w:t>
            </w:r>
            <w:r w:rsidRPr="00710B91">
              <w:rPr>
                <w:noProof/>
              </w:rPr>
              <w:t xml:space="preserve"> </w:t>
            </w:r>
            <w:r w:rsidRPr="00710B91">
              <w:rPr>
                <w:noProof/>
              </w:rPr>
              <w:br/>
            </w:r>
          </w:p>
        </w:tc>
        <w:tc>
          <w:tcPr>
            <w:tcW w:w="1080" w:type="dxa"/>
            <w:vAlign w:val="center"/>
          </w:tcPr>
          <w:p w14:paraId="4D6706E0" w14:textId="77777777" w:rsidR="006F6F3C" w:rsidRPr="00710B91" w:rsidRDefault="006F6F3C" w:rsidP="006F6F3C">
            <w:pPr>
              <w:jc w:val="center"/>
              <w:rPr>
                <w:noProof/>
              </w:rPr>
            </w:pPr>
            <w:r w:rsidRPr="00710B91">
              <w:rPr>
                <w:noProof/>
                <w:sz w:val="18"/>
              </w:rPr>
              <w:t>Zróżn./ niezróżn.</w:t>
            </w:r>
            <w:r w:rsidRPr="00710B91">
              <w:rPr>
                <w:rStyle w:val="FootnoteReference"/>
                <w:noProof/>
              </w:rPr>
              <w:footnoteReference w:id="34"/>
            </w:r>
          </w:p>
        </w:tc>
        <w:tc>
          <w:tcPr>
            <w:tcW w:w="956" w:type="dxa"/>
            <w:vAlign w:val="center"/>
          </w:tcPr>
          <w:p w14:paraId="047F9925" w14:textId="77777777" w:rsidR="006F6F3C" w:rsidRPr="00710B91" w:rsidRDefault="006F6F3C" w:rsidP="006F6F3C">
            <w:pPr>
              <w:jc w:val="center"/>
              <w:rPr>
                <w:noProof/>
              </w:rPr>
            </w:pPr>
            <w:r w:rsidRPr="00710B91">
              <w:rPr>
                <w:noProof/>
                <w:sz w:val="18"/>
              </w:rPr>
              <w:t>państw EFTA</w:t>
            </w:r>
            <w:r w:rsidRPr="00710B91">
              <w:rPr>
                <w:rStyle w:val="FootnoteReference"/>
                <w:noProof/>
              </w:rPr>
              <w:footnoteReference w:id="35"/>
            </w:r>
          </w:p>
        </w:tc>
        <w:tc>
          <w:tcPr>
            <w:tcW w:w="1080" w:type="dxa"/>
            <w:vAlign w:val="center"/>
          </w:tcPr>
          <w:p w14:paraId="2E22C4C8" w14:textId="77777777" w:rsidR="006F6F3C" w:rsidRPr="00710B91" w:rsidRDefault="006F6F3C" w:rsidP="006F6F3C">
            <w:pPr>
              <w:jc w:val="center"/>
              <w:rPr>
                <w:noProof/>
                <w:sz w:val="18"/>
              </w:rPr>
            </w:pPr>
            <w:r w:rsidRPr="00710B91">
              <w:rPr>
                <w:noProof/>
                <w:sz w:val="18"/>
              </w:rPr>
              <w:t>krajów kandydujących</w:t>
            </w:r>
            <w:r w:rsidRPr="00710B91">
              <w:rPr>
                <w:rStyle w:val="FootnoteReference"/>
                <w:noProof/>
              </w:rPr>
              <w:footnoteReference w:id="36"/>
            </w:r>
          </w:p>
        </w:tc>
        <w:tc>
          <w:tcPr>
            <w:tcW w:w="956" w:type="dxa"/>
            <w:vAlign w:val="center"/>
          </w:tcPr>
          <w:p w14:paraId="06E40A2C" w14:textId="77777777" w:rsidR="006F6F3C" w:rsidRPr="00710B91" w:rsidRDefault="006F6F3C" w:rsidP="006F6F3C">
            <w:pPr>
              <w:jc w:val="center"/>
              <w:rPr>
                <w:noProof/>
                <w:sz w:val="18"/>
              </w:rPr>
            </w:pPr>
            <w:r w:rsidRPr="00710B91">
              <w:rPr>
                <w:noProof/>
                <w:sz w:val="18"/>
              </w:rPr>
              <w:t>państw trzecich</w:t>
            </w:r>
          </w:p>
        </w:tc>
        <w:tc>
          <w:tcPr>
            <w:tcW w:w="1564" w:type="dxa"/>
            <w:vAlign w:val="center"/>
          </w:tcPr>
          <w:p w14:paraId="7566E178" w14:textId="017272D7" w:rsidR="006F6F3C" w:rsidRPr="00710B91" w:rsidRDefault="006F6F3C" w:rsidP="006F6F3C">
            <w:pPr>
              <w:jc w:val="center"/>
              <w:rPr>
                <w:noProof/>
                <w:sz w:val="16"/>
                <w:szCs w:val="16"/>
              </w:rPr>
            </w:pPr>
            <w:r w:rsidRPr="00710B91">
              <w:rPr>
                <w:noProof/>
                <w:sz w:val="16"/>
                <w:szCs w:val="16"/>
              </w:rPr>
              <w:t>w rozumieniu art.</w:t>
            </w:r>
            <w:r w:rsidR="00710B91" w:rsidRPr="00710B91">
              <w:rPr>
                <w:noProof/>
                <w:sz w:val="16"/>
                <w:szCs w:val="16"/>
              </w:rPr>
              <w:t> </w:t>
            </w:r>
            <w:r w:rsidRPr="00710B91">
              <w:rPr>
                <w:noProof/>
                <w:sz w:val="16"/>
                <w:szCs w:val="16"/>
              </w:rPr>
              <w:t>21 ust.</w:t>
            </w:r>
            <w:r w:rsidR="00710B91" w:rsidRPr="00710B91">
              <w:rPr>
                <w:noProof/>
                <w:sz w:val="16"/>
                <w:szCs w:val="16"/>
              </w:rPr>
              <w:t> </w:t>
            </w:r>
            <w:r w:rsidRPr="00710B91">
              <w:rPr>
                <w:noProof/>
                <w:sz w:val="16"/>
                <w:szCs w:val="16"/>
              </w:rPr>
              <w:t>2 lit.</w:t>
            </w:r>
            <w:r w:rsidR="00710B91" w:rsidRPr="00710B91">
              <w:rPr>
                <w:noProof/>
                <w:sz w:val="16"/>
                <w:szCs w:val="16"/>
              </w:rPr>
              <w:t> </w:t>
            </w:r>
            <w:r w:rsidRPr="00710B91">
              <w:rPr>
                <w:noProof/>
                <w:sz w:val="16"/>
                <w:szCs w:val="16"/>
              </w:rPr>
              <w:t xml:space="preserve">b) rozporządzenia finansowego </w:t>
            </w:r>
          </w:p>
        </w:tc>
      </w:tr>
      <w:tr w:rsidR="006F6F3C" w:rsidRPr="00710B91" w14:paraId="2F975911" w14:textId="77777777" w:rsidTr="006F6F3C">
        <w:tc>
          <w:tcPr>
            <w:tcW w:w="1080" w:type="dxa"/>
            <w:vAlign w:val="center"/>
          </w:tcPr>
          <w:p w14:paraId="3FF3DCD9" w14:textId="4820F493" w:rsidR="006F6F3C" w:rsidRPr="00710B91" w:rsidRDefault="00B76F83" w:rsidP="006F6F3C">
            <w:pPr>
              <w:jc w:val="center"/>
              <w:rPr>
                <w:noProof/>
              </w:rPr>
            </w:pPr>
            <w:r w:rsidRPr="00710B91">
              <w:rPr>
                <w:noProof/>
              </w:rPr>
              <w:t>1</w:t>
            </w:r>
          </w:p>
        </w:tc>
        <w:tc>
          <w:tcPr>
            <w:tcW w:w="3960" w:type="dxa"/>
            <w:vAlign w:val="center"/>
          </w:tcPr>
          <w:p w14:paraId="096C4D99" w14:textId="008DE049" w:rsidR="006F6F3C" w:rsidRPr="00710B91" w:rsidRDefault="00B76F83" w:rsidP="00B76F83">
            <w:pPr>
              <w:rPr>
                <w:noProof/>
              </w:rPr>
            </w:pPr>
            <w:r w:rsidRPr="00710B91">
              <w:rPr>
                <w:noProof/>
              </w:rPr>
              <w:t>Jednolity rynek, innowacje</w:t>
            </w:r>
            <w:r w:rsidR="00710B91" w:rsidRPr="00710B91">
              <w:rPr>
                <w:noProof/>
              </w:rPr>
              <w:t xml:space="preserve"> i</w:t>
            </w:r>
            <w:r w:rsidR="00710B91">
              <w:rPr>
                <w:noProof/>
              </w:rPr>
              <w:t> </w:t>
            </w:r>
            <w:r w:rsidR="00710B91" w:rsidRPr="00710B91">
              <w:rPr>
                <w:noProof/>
              </w:rPr>
              <w:t>gos</w:t>
            </w:r>
            <w:r w:rsidRPr="00710B91">
              <w:rPr>
                <w:noProof/>
              </w:rPr>
              <w:t xml:space="preserve">podarka cyfrowa </w:t>
            </w:r>
          </w:p>
        </w:tc>
        <w:tc>
          <w:tcPr>
            <w:tcW w:w="1080" w:type="dxa"/>
            <w:vAlign w:val="center"/>
          </w:tcPr>
          <w:p w14:paraId="1AE9951D" w14:textId="77777777" w:rsidR="006F6F3C" w:rsidRPr="00710B91" w:rsidRDefault="006F6F3C" w:rsidP="00F93057">
            <w:pPr>
              <w:jc w:val="center"/>
              <w:rPr>
                <w:noProof/>
                <w:szCs w:val="24"/>
              </w:rPr>
            </w:pPr>
            <w:r w:rsidRPr="00710B91">
              <w:rPr>
                <w:noProof/>
              </w:rPr>
              <w:t>Zróżn./ niezróżn.</w:t>
            </w:r>
          </w:p>
        </w:tc>
        <w:tc>
          <w:tcPr>
            <w:tcW w:w="956" w:type="dxa"/>
            <w:vAlign w:val="center"/>
          </w:tcPr>
          <w:p w14:paraId="0E0A4BA9" w14:textId="77777777" w:rsidR="006F6F3C" w:rsidRPr="00710B91" w:rsidRDefault="006F6F3C" w:rsidP="00F93057">
            <w:pPr>
              <w:jc w:val="center"/>
              <w:rPr>
                <w:noProof/>
                <w:szCs w:val="24"/>
              </w:rPr>
            </w:pPr>
            <w:r w:rsidRPr="00710B91">
              <w:rPr>
                <w:noProof/>
              </w:rPr>
              <w:t>NIE</w:t>
            </w:r>
          </w:p>
        </w:tc>
        <w:tc>
          <w:tcPr>
            <w:tcW w:w="1080" w:type="dxa"/>
            <w:vAlign w:val="center"/>
          </w:tcPr>
          <w:p w14:paraId="3C0548DE" w14:textId="77777777" w:rsidR="006F6F3C" w:rsidRPr="00710B91" w:rsidRDefault="006F6F3C" w:rsidP="00F93057">
            <w:pPr>
              <w:jc w:val="center"/>
              <w:rPr>
                <w:noProof/>
                <w:szCs w:val="24"/>
              </w:rPr>
            </w:pPr>
            <w:r w:rsidRPr="00710B91">
              <w:rPr>
                <w:noProof/>
              </w:rPr>
              <w:t>NIE</w:t>
            </w:r>
          </w:p>
        </w:tc>
        <w:tc>
          <w:tcPr>
            <w:tcW w:w="956" w:type="dxa"/>
            <w:vAlign w:val="center"/>
          </w:tcPr>
          <w:p w14:paraId="31C94883" w14:textId="77777777" w:rsidR="006F6F3C" w:rsidRPr="00710B91" w:rsidRDefault="006F6F3C" w:rsidP="00F93057">
            <w:pPr>
              <w:jc w:val="center"/>
              <w:rPr>
                <w:noProof/>
                <w:szCs w:val="24"/>
              </w:rPr>
            </w:pPr>
            <w:r w:rsidRPr="00710B91">
              <w:rPr>
                <w:noProof/>
              </w:rPr>
              <w:t>NIE</w:t>
            </w:r>
          </w:p>
        </w:tc>
        <w:tc>
          <w:tcPr>
            <w:tcW w:w="1564" w:type="dxa"/>
            <w:vAlign w:val="center"/>
          </w:tcPr>
          <w:p w14:paraId="11EF9798" w14:textId="77777777" w:rsidR="006F6F3C" w:rsidRPr="00710B91" w:rsidRDefault="006F6F3C" w:rsidP="00F93057">
            <w:pPr>
              <w:jc w:val="center"/>
              <w:rPr>
                <w:noProof/>
                <w:szCs w:val="24"/>
              </w:rPr>
            </w:pPr>
            <w:r w:rsidRPr="00710B91">
              <w:rPr>
                <w:noProof/>
              </w:rPr>
              <w:t>NIE</w:t>
            </w:r>
          </w:p>
        </w:tc>
      </w:tr>
      <w:tr w:rsidR="00FD0C57" w:rsidRPr="00710B91" w14:paraId="7F5A26E6" w14:textId="77777777" w:rsidTr="00EB506F">
        <w:tc>
          <w:tcPr>
            <w:tcW w:w="1080" w:type="dxa"/>
            <w:vAlign w:val="center"/>
          </w:tcPr>
          <w:p w14:paraId="45FB7F6C" w14:textId="77777777" w:rsidR="00FD0C57" w:rsidRPr="00710B91" w:rsidRDefault="00FD0C57" w:rsidP="00EB506F">
            <w:pPr>
              <w:jc w:val="center"/>
              <w:rPr>
                <w:noProof/>
              </w:rPr>
            </w:pPr>
            <w:r w:rsidRPr="00710B91">
              <w:rPr>
                <w:noProof/>
              </w:rPr>
              <w:t>2</w:t>
            </w:r>
          </w:p>
        </w:tc>
        <w:tc>
          <w:tcPr>
            <w:tcW w:w="3960" w:type="dxa"/>
            <w:vAlign w:val="center"/>
          </w:tcPr>
          <w:p w14:paraId="5C541CF0" w14:textId="2596BE9F" w:rsidR="00FD0C57" w:rsidRPr="00710B91" w:rsidRDefault="00FD0C57" w:rsidP="00EB506F">
            <w:pPr>
              <w:spacing w:before="60"/>
              <w:rPr>
                <w:noProof/>
              </w:rPr>
            </w:pPr>
            <w:r w:rsidRPr="00710B91">
              <w:rPr>
                <w:noProof/>
              </w:rPr>
              <w:t>Spójność, odporność</w:t>
            </w:r>
            <w:r w:rsidR="00710B91" w:rsidRPr="00710B91">
              <w:rPr>
                <w:noProof/>
              </w:rPr>
              <w:t xml:space="preserve"> i</w:t>
            </w:r>
            <w:r w:rsidR="00710B91">
              <w:rPr>
                <w:noProof/>
              </w:rPr>
              <w:t> </w:t>
            </w:r>
            <w:r w:rsidR="00710B91" w:rsidRPr="00710B91">
              <w:rPr>
                <w:noProof/>
              </w:rPr>
              <w:t>war</w:t>
            </w:r>
            <w:r w:rsidRPr="00710B91">
              <w:rPr>
                <w:noProof/>
              </w:rPr>
              <w:t>tości</w:t>
            </w:r>
          </w:p>
        </w:tc>
        <w:tc>
          <w:tcPr>
            <w:tcW w:w="1080" w:type="dxa"/>
            <w:vAlign w:val="center"/>
          </w:tcPr>
          <w:p w14:paraId="21E700B3" w14:textId="77777777" w:rsidR="00FD0C57" w:rsidRPr="00710B91" w:rsidRDefault="00FD0C57" w:rsidP="00EB506F">
            <w:pPr>
              <w:jc w:val="center"/>
              <w:rPr>
                <w:noProof/>
                <w:color w:val="0000FF"/>
                <w:szCs w:val="24"/>
              </w:rPr>
            </w:pPr>
            <w:r w:rsidRPr="00710B91">
              <w:rPr>
                <w:noProof/>
              </w:rPr>
              <w:t>Zróżn./ niezróżn.</w:t>
            </w:r>
          </w:p>
        </w:tc>
        <w:tc>
          <w:tcPr>
            <w:tcW w:w="956" w:type="dxa"/>
            <w:vAlign w:val="center"/>
          </w:tcPr>
          <w:p w14:paraId="3612A0E1" w14:textId="77777777" w:rsidR="00FD0C57" w:rsidRPr="00710B91" w:rsidRDefault="00FD0C57" w:rsidP="00EB506F">
            <w:pPr>
              <w:jc w:val="center"/>
              <w:rPr>
                <w:noProof/>
                <w:szCs w:val="24"/>
              </w:rPr>
            </w:pPr>
            <w:r w:rsidRPr="00710B91">
              <w:rPr>
                <w:noProof/>
              </w:rPr>
              <w:t>NIE</w:t>
            </w:r>
          </w:p>
        </w:tc>
        <w:tc>
          <w:tcPr>
            <w:tcW w:w="1080" w:type="dxa"/>
            <w:vAlign w:val="center"/>
          </w:tcPr>
          <w:p w14:paraId="03B2A704" w14:textId="77777777" w:rsidR="00FD0C57" w:rsidRPr="00710B91" w:rsidRDefault="00FD0C57" w:rsidP="00EB506F">
            <w:pPr>
              <w:jc w:val="center"/>
              <w:rPr>
                <w:noProof/>
                <w:szCs w:val="24"/>
              </w:rPr>
            </w:pPr>
            <w:r w:rsidRPr="00710B91">
              <w:rPr>
                <w:noProof/>
              </w:rPr>
              <w:t>NIE</w:t>
            </w:r>
          </w:p>
        </w:tc>
        <w:tc>
          <w:tcPr>
            <w:tcW w:w="956" w:type="dxa"/>
            <w:vAlign w:val="center"/>
          </w:tcPr>
          <w:p w14:paraId="77BDFEAB" w14:textId="77777777" w:rsidR="00FD0C57" w:rsidRPr="00710B91" w:rsidRDefault="00FD0C57" w:rsidP="00EB506F">
            <w:pPr>
              <w:jc w:val="center"/>
              <w:rPr>
                <w:noProof/>
                <w:szCs w:val="24"/>
              </w:rPr>
            </w:pPr>
            <w:r w:rsidRPr="00710B91">
              <w:rPr>
                <w:noProof/>
              </w:rPr>
              <w:t>NIE</w:t>
            </w:r>
          </w:p>
        </w:tc>
        <w:tc>
          <w:tcPr>
            <w:tcW w:w="1564" w:type="dxa"/>
            <w:vAlign w:val="center"/>
          </w:tcPr>
          <w:p w14:paraId="4EDFEB7E" w14:textId="77777777" w:rsidR="00FD0C57" w:rsidRPr="00710B91" w:rsidRDefault="00FD0C57" w:rsidP="00EB506F">
            <w:pPr>
              <w:jc w:val="center"/>
              <w:rPr>
                <w:noProof/>
                <w:szCs w:val="24"/>
              </w:rPr>
            </w:pPr>
            <w:r w:rsidRPr="00710B91">
              <w:rPr>
                <w:noProof/>
              </w:rPr>
              <w:t>NIE</w:t>
            </w:r>
          </w:p>
        </w:tc>
      </w:tr>
      <w:tr w:rsidR="00BA350C" w:rsidRPr="00710B91" w14:paraId="3104A037" w14:textId="77777777" w:rsidTr="006F6F3C">
        <w:tc>
          <w:tcPr>
            <w:tcW w:w="1080" w:type="dxa"/>
            <w:vAlign w:val="center"/>
          </w:tcPr>
          <w:p w14:paraId="41DBDB2B" w14:textId="599276CB" w:rsidR="00BA350C" w:rsidRPr="00710B91" w:rsidRDefault="00BA350C" w:rsidP="00BA350C">
            <w:pPr>
              <w:jc w:val="center"/>
              <w:rPr>
                <w:noProof/>
              </w:rPr>
            </w:pPr>
            <w:r w:rsidRPr="00710B91">
              <w:rPr>
                <w:noProof/>
              </w:rPr>
              <w:t>4</w:t>
            </w:r>
          </w:p>
        </w:tc>
        <w:tc>
          <w:tcPr>
            <w:tcW w:w="3960" w:type="dxa"/>
            <w:vAlign w:val="center"/>
          </w:tcPr>
          <w:p w14:paraId="2A73EB2C" w14:textId="7458DDC0" w:rsidR="00BA350C" w:rsidRPr="00710B91" w:rsidRDefault="00BA350C" w:rsidP="00BA350C">
            <w:pPr>
              <w:spacing w:before="60"/>
              <w:rPr>
                <w:noProof/>
              </w:rPr>
            </w:pPr>
            <w:r w:rsidRPr="00710B91">
              <w:rPr>
                <w:noProof/>
              </w:rPr>
              <w:t>Migracja</w:t>
            </w:r>
            <w:r w:rsidR="00710B91" w:rsidRPr="00710B91">
              <w:rPr>
                <w:noProof/>
              </w:rPr>
              <w:t xml:space="preserve"> i</w:t>
            </w:r>
            <w:r w:rsidR="00710B91">
              <w:rPr>
                <w:noProof/>
              </w:rPr>
              <w:t> </w:t>
            </w:r>
            <w:r w:rsidR="00710B91" w:rsidRPr="00710B91">
              <w:rPr>
                <w:noProof/>
              </w:rPr>
              <w:t>kon</w:t>
            </w:r>
            <w:r w:rsidRPr="00710B91">
              <w:rPr>
                <w:noProof/>
              </w:rPr>
              <w:t>trola graniczna</w:t>
            </w:r>
          </w:p>
        </w:tc>
        <w:tc>
          <w:tcPr>
            <w:tcW w:w="1080" w:type="dxa"/>
            <w:vAlign w:val="center"/>
          </w:tcPr>
          <w:p w14:paraId="3C11B5B3" w14:textId="4FFFCD43" w:rsidR="00BA350C" w:rsidRPr="00710B91" w:rsidRDefault="00BA350C" w:rsidP="00BA350C">
            <w:pPr>
              <w:jc w:val="center"/>
              <w:rPr>
                <w:noProof/>
                <w:szCs w:val="24"/>
              </w:rPr>
            </w:pPr>
            <w:r w:rsidRPr="00710B91">
              <w:rPr>
                <w:noProof/>
              </w:rPr>
              <w:t>Zróżn./ niezróżn.</w:t>
            </w:r>
          </w:p>
        </w:tc>
        <w:tc>
          <w:tcPr>
            <w:tcW w:w="956" w:type="dxa"/>
            <w:vAlign w:val="center"/>
          </w:tcPr>
          <w:p w14:paraId="0E746F25" w14:textId="4CAD3868" w:rsidR="00BA350C" w:rsidRPr="00710B91" w:rsidRDefault="00BA350C" w:rsidP="00BA350C">
            <w:pPr>
              <w:jc w:val="center"/>
              <w:rPr>
                <w:noProof/>
                <w:szCs w:val="24"/>
              </w:rPr>
            </w:pPr>
            <w:r w:rsidRPr="00710B91">
              <w:rPr>
                <w:noProof/>
              </w:rPr>
              <w:t>NIE</w:t>
            </w:r>
          </w:p>
        </w:tc>
        <w:tc>
          <w:tcPr>
            <w:tcW w:w="1080" w:type="dxa"/>
            <w:vAlign w:val="center"/>
          </w:tcPr>
          <w:p w14:paraId="23D88D20" w14:textId="2C59C167" w:rsidR="00BA350C" w:rsidRPr="00710B91" w:rsidRDefault="00BA350C" w:rsidP="00BA350C">
            <w:pPr>
              <w:jc w:val="center"/>
              <w:rPr>
                <w:noProof/>
                <w:szCs w:val="24"/>
              </w:rPr>
            </w:pPr>
            <w:r w:rsidRPr="00710B91">
              <w:rPr>
                <w:noProof/>
              </w:rPr>
              <w:t>NIE</w:t>
            </w:r>
          </w:p>
        </w:tc>
        <w:tc>
          <w:tcPr>
            <w:tcW w:w="956" w:type="dxa"/>
            <w:vAlign w:val="center"/>
          </w:tcPr>
          <w:p w14:paraId="45AABE52" w14:textId="0A5D5B2C" w:rsidR="00BA350C" w:rsidRPr="00710B91" w:rsidRDefault="00BA350C" w:rsidP="00BA350C">
            <w:pPr>
              <w:jc w:val="center"/>
              <w:rPr>
                <w:noProof/>
                <w:szCs w:val="24"/>
              </w:rPr>
            </w:pPr>
            <w:r w:rsidRPr="00710B91">
              <w:rPr>
                <w:noProof/>
              </w:rPr>
              <w:t>NIE</w:t>
            </w:r>
          </w:p>
        </w:tc>
        <w:tc>
          <w:tcPr>
            <w:tcW w:w="1564" w:type="dxa"/>
            <w:vAlign w:val="center"/>
          </w:tcPr>
          <w:p w14:paraId="42542462" w14:textId="3A7F56CA" w:rsidR="00BA350C" w:rsidRPr="00710B91" w:rsidRDefault="00BA350C" w:rsidP="00BA350C">
            <w:pPr>
              <w:jc w:val="center"/>
              <w:rPr>
                <w:noProof/>
                <w:szCs w:val="24"/>
              </w:rPr>
            </w:pPr>
            <w:r w:rsidRPr="00710B91">
              <w:rPr>
                <w:noProof/>
              </w:rPr>
              <w:t>NIE</w:t>
            </w:r>
          </w:p>
        </w:tc>
      </w:tr>
      <w:tr w:rsidR="00BA350C" w:rsidRPr="00710B91" w14:paraId="2DBC3E46" w14:textId="77777777" w:rsidTr="006F6F3C">
        <w:tc>
          <w:tcPr>
            <w:tcW w:w="1080" w:type="dxa"/>
            <w:vAlign w:val="center"/>
          </w:tcPr>
          <w:p w14:paraId="5C40B984" w14:textId="77777777" w:rsidR="00BA350C" w:rsidRPr="00710B91" w:rsidRDefault="00BA350C" w:rsidP="00BA350C">
            <w:pPr>
              <w:jc w:val="center"/>
              <w:rPr>
                <w:noProof/>
              </w:rPr>
            </w:pPr>
            <w:r w:rsidRPr="00710B91">
              <w:rPr>
                <w:noProof/>
              </w:rPr>
              <w:t>7</w:t>
            </w:r>
          </w:p>
        </w:tc>
        <w:tc>
          <w:tcPr>
            <w:tcW w:w="3960" w:type="dxa"/>
            <w:vAlign w:val="center"/>
          </w:tcPr>
          <w:p w14:paraId="3A19DCB6" w14:textId="435E72FC" w:rsidR="00BA350C" w:rsidRPr="00710B91" w:rsidRDefault="00BA350C" w:rsidP="00BA350C">
            <w:pPr>
              <w:spacing w:before="60"/>
              <w:rPr>
                <w:noProof/>
              </w:rPr>
            </w:pPr>
            <w:r w:rsidRPr="00710B91">
              <w:rPr>
                <w:noProof/>
                <w:sz w:val="23"/>
                <w:szCs w:val="23"/>
              </w:rPr>
              <w:t>Europejska administracja publiczna</w:t>
            </w:r>
          </w:p>
        </w:tc>
        <w:tc>
          <w:tcPr>
            <w:tcW w:w="1080" w:type="dxa"/>
            <w:vAlign w:val="center"/>
          </w:tcPr>
          <w:p w14:paraId="0D351134" w14:textId="77777777" w:rsidR="00BA350C" w:rsidRPr="00710B91" w:rsidRDefault="00BA350C" w:rsidP="00BA350C">
            <w:pPr>
              <w:jc w:val="center"/>
              <w:rPr>
                <w:noProof/>
                <w:szCs w:val="24"/>
              </w:rPr>
            </w:pPr>
            <w:r w:rsidRPr="00710B91">
              <w:rPr>
                <w:noProof/>
              </w:rPr>
              <w:t>Środki niezróżnicowane</w:t>
            </w:r>
          </w:p>
        </w:tc>
        <w:tc>
          <w:tcPr>
            <w:tcW w:w="956" w:type="dxa"/>
            <w:vAlign w:val="center"/>
          </w:tcPr>
          <w:p w14:paraId="47E1BE9F" w14:textId="77777777" w:rsidR="00BA350C" w:rsidRPr="00710B91" w:rsidRDefault="00BA350C" w:rsidP="00BA350C">
            <w:pPr>
              <w:jc w:val="center"/>
              <w:rPr>
                <w:noProof/>
                <w:szCs w:val="24"/>
              </w:rPr>
            </w:pPr>
            <w:r w:rsidRPr="00710B91">
              <w:rPr>
                <w:noProof/>
              </w:rPr>
              <w:t>NIE</w:t>
            </w:r>
          </w:p>
        </w:tc>
        <w:tc>
          <w:tcPr>
            <w:tcW w:w="1080" w:type="dxa"/>
            <w:vAlign w:val="center"/>
          </w:tcPr>
          <w:p w14:paraId="3A5AC596" w14:textId="77777777" w:rsidR="00BA350C" w:rsidRPr="00710B91" w:rsidRDefault="00BA350C" w:rsidP="00BA350C">
            <w:pPr>
              <w:jc w:val="center"/>
              <w:rPr>
                <w:noProof/>
                <w:szCs w:val="24"/>
              </w:rPr>
            </w:pPr>
            <w:r w:rsidRPr="00710B91">
              <w:rPr>
                <w:noProof/>
              </w:rPr>
              <w:t>NIE</w:t>
            </w:r>
          </w:p>
        </w:tc>
        <w:tc>
          <w:tcPr>
            <w:tcW w:w="956" w:type="dxa"/>
            <w:vAlign w:val="center"/>
          </w:tcPr>
          <w:p w14:paraId="475ACD94" w14:textId="77777777" w:rsidR="00BA350C" w:rsidRPr="00710B91" w:rsidRDefault="00BA350C" w:rsidP="00BA350C">
            <w:pPr>
              <w:jc w:val="center"/>
              <w:rPr>
                <w:noProof/>
                <w:szCs w:val="24"/>
              </w:rPr>
            </w:pPr>
            <w:r w:rsidRPr="00710B91">
              <w:rPr>
                <w:noProof/>
              </w:rPr>
              <w:t>NIE</w:t>
            </w:r>
          </w:p>
        </w:tc>
        <w:tc>
          <w:tcPr>
            <w:tcW w:w="1564" w:type="dxa"/>
            <w:vAlign w:val="center"/>
          </w:tcPr>
          <w:p w14:paraId="018D888D" w14:textId="77777777" w:rsidR="00BA350C" w:rsidRPr="00710B91" w:rsidRDefault="00BA350C" w:rsidP="00BA350C">
            <w:pPr>
              <w:jc w:val="center"/>
              <w:rPr>
                <w:noProof/>
                <w:szCs w:val="24"/>
              </w:rPr>
            </w:pPr>
            <w:r w:rsidRPr="00710B91">
              <w:rPr>
                <w:noProof/>
              </w:rPr>
              <w:t>NIE</w:t>
            </w:r>
          </w:p>
        </w:tc>
      </w:tr>
    </w:tbl>
    <w:p w14:paraId="29ADCDFC" w14:textId="77777777" w:rsidR="006F6F3C" w:rsidRPr="00710B91" w:rsidRDefault="006F6F3C" w:rsidP="006F6F3C">
      <w:pPr>
        <w:pStyle w:val="Text1"/>
        <w:ind w:left="0"/>
        <w:rPr>
          <w:i/>
          <w:noProof/>
        </w:rPr>
      </w:pPr>
    </w:p>
    <w:p w14:paraId="0BC417A0" w14:textId="77777777" w:rsidR="00A728BA" w:rsidRPr="00710B91" w:rsidRDefault="00A728BA" w:rsidP="006F6F3C">
      <w:pPr>
        <w:pStyle w:val="ListBullet1"/>
        <w:rPr>
          <w:noProof/>
        </w:rPr>
      </w:pPr>
      <w:r w:rsidRPr="00710B91">
        <w:rPr>
          <w:noProof/>
        </w:rPr>
        <w:t xml:space="preserve">Proponowane nowe linie budżetowe </w:t>
      </w:r>
    </w:p>
    <w:p w14:paraId="7CCB1380" w14:textId="46B6B44B" w:rsidR="00A728BA" w:rsidRPr="00710B91" w:rsidRDefault="00A728BA" w:rsidP="006F6F3C">
      <w:pPr>
        <w:pStyle w:val="Text1"/>
        <w:rPr>
          <w:i/>
          <w:noProof/>
          <w:sz w:val="20"/>
        </w:rPr>
      </w:pPr>
      <w:r w:rsidRPr="00710B91">
        <w:rPr>
          <w:i/>
          <w:noProof/>
          <w:u w:val="single"/>
        </w:rPr>
        <w:t>Według</w:t>
      </w:r>
      <w:r w:rsidRPr="00710B91">
        <w:rPr>
          <w:i/>
          <w:noProof/>
        </w:rPr>
        <w:t xml:space="preserve"> działów wieloletnich ram finansowych</w:t>
      </w:r>
      <w:r w:rsidR="00710B91" w:rsidRPr="00710B91">
        <w:rPr>
          <w:i/>
          <w:noProof/>
        </w:rPr>
        <w:t xml:space="preserve"> i</w:t>
      </w:r>
      <w:r w:rsidR="00710B91">
        <w:rPr>
          <w:i/>
          <w:noProof/>
        </w:rPr>
        <w:t> </w:t>
      </w:r>
      <w:r w:rsidR="00710B91" w:rsidRPr="00710B91">
        <w:rPr>
          <w:i/>
          <w:noProof/>
        </w:rPr>
        <w:t>lin</w:t>
      </w:r>
      <w:r w:rsidRPr="00710B91">
        <w:rPr>
          <w:i/>
          <w:noProof/>
        </w:rPr>
        <w:t>ii budżetowych.</w:t>
      </w:r>
    </w:p>
    <w:tbl>
      <w:tblPr>
        <w:tblW w:w="10560"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80"/>
        <w:gridCol w:w="3960"/>
        <w:gridCol w:w="1080"/>
        <w:gridCol w:w="956"/>
        <w:gridCol w:w="1080"/>
        <w:gridCol w:w="956"/>
        <w:gridCol w:w="1448"/>
      </w:tblGrid>
      <w:tr w:rsidR="00A728BA" w:rsidRPr="00710B91" w14:paraId="5A153290" w14:textId="77777777" w:rsidTr="006F6F3C">
        <w:tc>
          <w:tcPr>
            <w:tcW w:w="1080" w:type="dxa"/>
            <w:vMerge w:val="restart"/>
            <w:vAlign w:val="center"/>
          </w:tcPr>
          <w:p w14:paraId="15B80ACE" w14:textId="77777777" w:rsidR="00A728BA" w:rsidRPr="00710B91" w:rsidRDefault="00A728BA" w:rsidP="006F6F3C">
            <w:pPr>
              <w:spacing w:before="60" w:after="60"/>
              <w:jc w:val="center"/>
              <w:rPr>
                <w:noProof/>
                <w:sz w:val="18"/>
                <w:szCs w:val="18"/>
              </w:rPr>
            </w:pPr>
            <w:r w:rsidRPr="00710B91">
              <w:rPr>
                <w:noProof/>
                <w:sz w:val="18"/>
              </w:rPr>
              <w:t>Dział wieloletnich ram finansowych</w:t>
            </w:r>
          </w:p>
        </w:tc>
        <w:tc>
          <w:tcPr>
            <w:tcW w:w="3960" w:type="dxa"/>
            <w:vAlign w:val="center"/>
          </w:tcPr>
          <w:p w14:paraId="50832EEB" w14:textId="77777777" w:rsidR="00A728BA" w:rsidRPr="00710B91" w:rsidRDefault="00A728BA" w:rsidP="006F6F3C">
            <w:pPr>
              <w:spacing w:before="60" w:after="60"/>
              <w:jc w:val="center"/>
              <w:rPr>
                <w:noProof/>
              </w:rPr>
            </w:pPr>
            <w:r w:rsidRPr="00710B91">
              <w:rPr>
                <w:noProof/>
                <w:sz w:val="20"/>
              </w:rPr>
              <w:t>Linia budżetowa</w:t>
            </w:r>
          </w:p>
        </w:tc>
        <w:tc>
          <w:tcPr>
            <w:tcW w:w="1080" w:type="dxa"/>
            <w:vAlign w:val="center"/>
          </w:tcPr>
          <w:p w14:paraId="53ABBC0C" w14:textId="77777777" w:rsidR="00A728BA" w:rsidRPr="00710B91" w:rsidRDefault="00A728BA" w:rsidP="006F6F3C">
            <w:pPr>
              <w:spacing w:before="60" w:after="60"/>
              <w:jc w:val="center"/>
              <w:rPr>
                <w:noProof/>
              </w:rPr>
            </w:pPr>
            <w:r w:rsidRPr="00710B91">
              <w:rPr>
                <w:noProof/>
                <w:sz w:val="18"/>
              </w:rPr>
              <w:t>Rodzaj</w:t>
            </w:r>
            <w:r w:rsidRPr="00710B91">
              <w:rPr>
                <w:noProof/>
              </w:rPr>
              <w:t xml:space="preserve"> </w:t>
            </w:r>
            <w:r w:rsidRPr="00710B91">
              <w:rPr>
                <w:noProof/>
              </w:rPr>
              <w:br/>
            </w:r>
            <w:r w:rsidRPr="00710B91">
              <w:rPr>
                <w:noProof/>
                <w:sz w:val="18"/>
              </w:rPr>
              <w:t>środków</w:t>
            </w:r>
          </w:p>
        </w:tc>
        <w:tc>
          <w:tcPr>
            <w:tcW w:w="4440" w:type="dxa"/>
            <w:gridSpan w:val="4"/>
            <w:vAlign w:val="center"/>
          </w:tcPr>
          <w:p w14:paraId="7E59E78E" w14:textId="77777777" w:rsidR="00A728BA" w:rsidRPr="00710B91" w:rsidRDefault="00A728BA" w:rsidP="006F6F3C">
            <w:pPr>
              <w:spacing w:before="60" w:after="60"/>
              <w:jc w:val="center"/>
              <w:rPr>
                <w:noProof/>
              </w:rPr>
            </w:pPr>
            <w:r w:rsidRPr="00710B91">
              <w:rPr>
                <w:noProof/>
                <w:sz w:val="20"/>
              </w:rPr>
              <w:t xml:space="preserve">Wkład </w:t>
            </w:r>
          </w:p>
        </w:tc>
      </w:tr>
      <w:tr w:rsidR="00A728BA" w:rsidRPr="00710B91" w14:paraId="64C29A49" w14:textId="77777777" w:rsidTr="006F6F3C">
        <w:tc>
          <w:tcPr>
            <w:tcW w:w="1080" w:type="dxa"/>
            <w:vMerge/>
            <w:vAlign w:val="center"/>
          </w:tcPr>
          <w:p w14:paraId="7A41A170" w14:textId="77777777" w:rsidR="00A728BA" w:rsidRPr="00710B91" w:rsidRDefault="00A728BA" w:rsidP="006F6F3C">
            <w:pPr>
              <w:jc w:val="center"/>
              <w:rPr>
                <w:noProof/>
              </w:rPr>
            </w:pPr>
          </w:p>
        </w:tc>
        <w:tc>
          <w:tcPr>
            <w:tcW w:w="3960" w:type="dxa"/>
            <w:vAlign w:val="center"/>
          </w:tcPr>
          <w:p w14:paraId="42DB51CE" w14:textId="4F74AC3E" w:rsidR="00A728BA" w:rsidRPr="00710B91" w:rsidRDefault="00A728BA" w:rsidP="00620FA0">
            <w:pPr>
              <w:rPr>
                <w:noProof/>
              </w:rPr>
            </w:pPr>
            <w:r w:rsidRPr="00710B91">
              <w:rPr>
                <w:noProof/>
                <w:sz w:val="20"/>
              </w:rPr>
              <w:t xml:space="preserve">Numer </w:t>
            </w:r>
            <w:r w:rsidRPr="00710B91">
              <w:rPr>
                <w:noProof/>
              </w:rPr>
              <w:br/>
            </w:r>
          </w:p>
        </w:tc>
        <w:tc>
          <w:tcPr>
            <w:tcW w:w="1080" w:type="dxa"/>
            <w:vAlign w:val="center"/>
          </w:tcPr>
          <w:p w14:paraId="72DE1916" w14:textId="77777777" w:rsidR="00A728BA" w:rsidRPr="00710B91" w:rsidRDefault="00A728BA" w:rsidP="006F6F3C">
            <w:pPr>
              <w:jc w:val="center"/>
              <w:rPr>
                <w:noProof/>
              </w:rPr>
            </w:pPr>
            <w:r w:rsidRPr="00710B91">
              <w:rPr>
                <w:noProof/>
                <w:sz w:val="18"/>
              </w:rPr>
              <w:t>Zróżn./ niezróżn.</w:t>
            </w:r>
          </w:p>
        </w:tc>
        <w:tc>
          <w:tcPr>
            <w:tcW w:w="956" w:type="dxa"/>
            <w:vAlign w:val="center"/>
          </w:tcPr>
          <w:p w14:paraId="4D75453F" w14:textId="77777777" w:rsidR="00A728BA" w:rsidRPr="00710B91" w:rsidRDefault="00A728BA" w:rsidP="006F6F3C">
            <w:pPr>
              <w:jc w:val="center"/>
              <w:rPr>
                <w:noProof/>
                <w:sz w:val="18"/>
              </w:rPr>
            </w:pPr>
            <w:r w:rsidRPr="00710B91">
              <w:rPr>
                <w:noProof/>
                <w:sz w:val="18"/>
              </w:rPr>
              <w:t>państw EFTA</w:t>
            </w:r>
          </w:p>
        </w:tc>
        <w:tc>
          <w:tcPr>
            <w:tcW w:w="1080" w:type="dxa"/>
            <w:vAlign w:val="center"/>
          </w:tcPr>
          <w:p w14:paraId="26EE5D3A" w14:textId="77777777" w:rsidR="00A728BA" w:rsidRPr="00710B91" w:rsidRDefault="00A728BA" w:rsidP="006F6F3C">
            <w:pPr>
              <w:jc w:val="center"/>
              <w:rPr>
                <w:noProof/>
                <w:sz w:val="18"/>
              </w:rPr>
            </w:pPr>
            <w:r w:rsidRPr="00710B91">
              <w:rPr>
                <w:noProof/>
                <w:sz w:val="18"/>
              </w:rPr>
              <w:t>krajów kandydujących</w:t>
            </w:r>
          </w:p>
        </w:tc>
        <w:tc>
          <w:tcPr>
            <w:tcW w:w="956" w:type="dxa"/>
            <w:vAlign w:val="center"/>
          </w:tcPr>
          <w:p w14:paraId="217B3DA8" w14:textId="77777777" w:rsidR="00A728BA" w:rsidRPr="00710B91" w:rsidRDefault="00A728BA" w:rsidP="006F6F3C">
            <w:pPr>
              <w:jc w:val="center"/>
              <w:rPr>
                <w:noProof/>
                <w:sz w:val="18"/>
              </w:rPr>
            </w:pPr>
            <w:r w:rsidRPr="00710B91">
              <w:rPr>
                <w:noProof/>
                <w:sz w:val="18"/>
              </w:rPr>
              <w:t>państw trzecich</w:t>
            </w:r>
          </w:p>
        </w:tc>
        <w:tc>
          <w:tcPr>
            <w:tcW w:w="1448" w:type="dxa"/>
            <w:vAlign w:val="center"/>
          </w:tcPr>
          <w:p w14:paraId="0FF929BB" w14:textId="31E37F9F" w:rsidR="00A728BA" w:rsidRPr="00710B91" w:rsidRDefault="00A728BA" w:rsidP="006F6F3C">
            <w:pPr>
              <w:jc w:val="center"/>
              <w:rPr>
                <w:noProof/>
              </w:rPr>
            </w:pPr>
            <w:r w:rsidRPr="00710B91">
              <w:rPr>
                <w:noProof/>
                <w:sz w:val="16"/>
              </w:rPr>
              <w:t>w rozumieniu art.</w:t>
            </w:r>
            <w:r w:rsidR="00710B91" w:rsidRPr="00710B91">
              <w:rPr>
                <w:noProof/>
                <w:sz w:val="16"/>
              </w:rPr>
              <w:t> </w:t>
            </w:r>
            <w:r w:rsidRPr="00710B91">
              <w:rPr>
                <w:noProof/>
                <w:sz w:val="16"/>
              </w:rPr>
              <w:t>21 ust.</w:t>
            </w:r>
            <w:r w:rsidR="00710B91" w:rsidRPr="00710B91">
              <w:rPr>
                <w:noProof/>
                <w:sz w:val="16"/>
              </w:rPr>
              <w:t> </w:t>
            </w:r>
            <w:r w:rsidRPr="00710B91">
              <w:rPr>
                <w:noProof/>
                <w:sz w:val="16"/>
              </w:rPr>
              <w:t>2 lit.</w:t>
            </w:r>
            <w:r w:rsidR="00710B91" w:rsidRPr="00710B91">
              <w:rPr>
                <w:noProof/>
                <w:sz w:val="16"/>
              </w:rPr>
              <w:t> </w:t>
            </w:r>
            <w:r w:rsidRPr="00710B91">
              <w:rPr>
                <w:noProof/>
                <w:sz w:val="16"/>
              </w:rPr>
              <w:t xml:space="preserve">b) rozporządzenia finansowego </w:t>
            </w:r>
          </w:p>
        </w:tc>
      </w:tr>
      <w:tr w:rsidR="00A728BA" w:rsidRPr="00710B91" w14:paraId="393E17CC" w14:textId="77777777" w:rsidTr="006F6F3C">
        <w:tc>
          <w:tcPr>
            <w:tcW w:w="1080" w:type="dxa"/>
            <w:vAlign w:val="center"/>
          </w:tcPr>
          <w:p w14:paraId="18A5DAEF" w14:textId="77777777" w:rsidR="00A728BA" w:rsidRPr="00710B91" w:rsidRDefault="00A728BA" w:rsidP="006F6F3C">
            <w:pPr>
              <w:jc w:val="center"/>
              <w:rPr>
                <w:noProof/>
                <w:color w:val="0000FF"/>
              </w:rPr>
            </w:pPr>
          </w:p>
        </w:tc>
        <w:tc>
          <w:tcPr>
            <w:tcW w:w="3960" w:type="dxa"/>
            <w:vAlign w:val="center"/>
          </w:tcPr>
          <w:p w14:paraId="2DCCB255" w14:textId="77777777" w:rsidR="00A728BA" w:rsidRPr="00710B91" w:rsidRDefault="00A728BA" w:rsidP="006F6F3C">
            <w:pPr>
              <w:spacing w:before="60"/>
              <w:rPr>
                <w:noProof/>
              </w:rPr>
            </w:pPr>
            <w:r w:rsidRPr="00710B91">
              <w:rPr>
                <w:noProof/>
                <w:sz w:val="22"/>
              </w:rPr>
              <w:t>[XX.YY.YY.YY]</w:t>
            </w:r>
          </w:p>
          <w:p w14:paraId="20E22080" w14:textId="77777777" w:rsidR="00A728BA" w:rsidRPr="00710B91" w:rsidRDefault="00A728BA" w:rsidP="006F6F3C">
            <w:pPr>
              <w:spacing w:after="60"/>
              <w:rPr>
                <w:noProof/>
                <w:color w:val="0000FF"/>
              </w:rPr>
            </w:pPr>
          </w:p>
        </w:tc>
        <w:tc>
          <w:tcPr>
            <w:tcW w:w="1080" w:type="dxa"/>
            <w:vAlign w:val="center"/>
          </w:tcPr>
          <w:p w14:paraId="1E059C21" w14:textId="77777777" w:rsidR="00A728BA" w:rsidRPr="00710B91" w:rsidRDefault="00A728BA" w:rsidP="006F6F3C">
            <w:pPr>
              <w:jc w:val="center"/>
              <w:rPr>
                <w:noProof/>
                <w:color w:val="0000FF"/>
              </w:rPr>
            </w:pPr>
          </w:p>
        </w:tc>
        <w:tc>
          <w:tcPr>
            <w:tcW w:w="956" w:type="dxa"/>
            <w:vAlign w:val="center"/>
          </w:tcPr>
          <w:p w14:paraId="5843585B" w14:textId="77777777" w:rsidR="00A728BA" w:rsidRPr="00710B91" w:rsidRDefault="00A728BA" w:rsidP="006F6F3C">
            <w:pPr>
              <w:jc w:val="center"/>
              <w:rPr>
                <w:noProof/>
                <w:sz w:val="20"/>
                <w:szCs w:val="20"/>
              </w:rPr>
            </w:pPr>
            <w:r w:rsidRPr="00710B91">
              <w:rPr>
                <w:noProof/>
                <w:sz w:val="20"/>
                <w:szCs w:val="20"/>
              </w:rPr>
              <w:t>TAK/ NIE</w:t>
            </w:r>
          </w:p>
        </w:tc>
        <w:tc>
          <w:tcPr>
            <w:tcW w:w="1080" w:type="dxa"/>
            <w:vAlign w:val="center"/>
          </w:tcPr>
          <w:p w14:paraId="2AA18802" w14:textId="77777777" w:rsidR="00A728BA" w:rsidRPr="00710B91" w:rsidRDefault="00A728BA" w:rsidP="006F6F3C">
            <w:pPr>
              <w:jc w:val="center"/>
              <w:rPr>
                <w:noProof/>
                <w:color w:val="0000FF"/>
                <w:sz w:val="20"/>
                <w:szCs w:val="20"/>
              </w:rPr>
            </w:pPr>
            <w:r w:rsidRPr="00710B91">
              <w:rPr>
                <w:noProof/>
                <w:sz w:val="20"/>
                <w:szCs w:val="20"/>
              </w:rPr>
              <w:t>TAK/ NIE</w:t>
            </w:r>
          </w:p>
        </w:tc>
        <w:tc>
          <w:tcPr>
            <w:tcW w:w="956" w:type="dxa"/>
            <w:vAlign w:val="center"/>
          </w:tcPr>
          <w:p w14:paraId="11EB6C40" w14:textId="77777777" w:rsidR="00A728BA" w:rsidRPr="00710B91" w:rsidRDefault="00A728BA" w:rsidP="006F6F3C">
            <w:pPr>
              <w:jc w:val="center"/>
              <w:rPr>
                <w:noProof/>
                <w:color w:val="0000FF"/>
                <w:sz w:val="20"/>
                <w:szCs w:val="20"/>
              </w:rPr>
            </w:pPr>
            <w:r w:rsidRPr="00710B91">
              <w:rPr>
                <w:noProof/>
                <w:sz w:val="20"/>
                <w:szCs w:val="20"/>
              </w:rPr>
              <w:t>TAK/ NIE</w:t>
            </w:r>
          </w:p>
        </w:tc>
        <w:tc>
          <w:tcPr>
            <w:tcW w:w="1448" w:type="dxa"/>
            <w:vAlign w:val="center"/>
          </w:tcPr>
          <w:p w14:paraId="0FA49D95" w14:textId="77777777" w:rsidR="00A728BA" w:rsidRPr="00710B91" w:rsidRDefault="00A728BA" w:rsidP="006F6F3C">
            <w:pPr>
              <w:jc w:val="center"/>
              <w:rPr>
                <w:noProof/>
                <w:sz w:val="20"/>
                <w:szCs w:val="20"/>
              </w:rPr>
            </w:pPr>
            <w:r w:rsidRPr="00710B91">
              <w:rPr>
                <w:noProof/>
                <w:sz w:val="20"/>
                <w:szCs w:val="20"/>
              </w:rPr>
              <w:t>TAK/ NIE</w:t>
            </w:r>
          </w:p>
        </w:tc>
      </w:tr>
    </w:tbl>
    <w:p w14:paraId="1E23CF91" w14:textId="77777777" w:rsidR="00A728BA" w:rsidRPr="00710B91" w:rsidRDefault="00A728BA" w:rsidP="006F6F3C">
      <w:pPr>
        <w:rPr>
          <w:noProof/>
        </w:rPr>
        <w:sectPr w:rsidR="00A728BA" w:rsidRPr="00710B91" w:rsidSect="00DA1122">
          <w:pgSz w:w="11907" w:h="16840" w:code="1"/>
          <w:pgMar w:top="1134" w:right="1418" w:bottom="1134" w:left="1418" w:header="709" w:footer="709" w:gutter="0"/>
          <w:cols w:space="708"/>
          <w:docGrid w:linePitch="360"/>
        </w:sectPr>
      </w:pPr>
    </w:p>
    <w:p w14:paraId="5EDEBB13" w14:textId="2736EE93" w:rsidR="007D0D6D" w:rsidRPr="00710B91" w:rsidRDefault="009A08E9" w:rsidP="009A08E9">
      <w:pPr>
        <w:pStyle w:val="ManualHeading2"/>
        <w:rPr>
          <w:bCs/>
          <w:noProof/>
          <w:szCs w:val="24"/>
        </w:rPr>
      </w:pPr>
      <w:bookmarkStart w:id="32" w:name="_Toc92899403"/>
      <w:r w:rsidRPr="009A08E9">
        <w:t>3.2.</w:t>
      </w:r>
      <w:r w:rsidRPr="009A08E9">
        <w:tab/>
      </w:r>
      <w:r w:rsidR="007D0D6D" w:rsidRPr="00710B91">
        <w:rPr>
          <w:noProof/>
        </w:rPr>
        <w:t>Szacunkowy wpływ na wydatki</w:t>
      </w:r>
      <w:bookmarkEnd w:id="32"/>
      <w:r w:rsidR="007D0D6D" w:rsidRPr="00710B91">
        <w:rPr>
          <w:noProof/>
        </w:rPr>
        <w:t xml:space="preserve"> </w:t>
      </w:r>
    </w:p>
    <w:p w14:paraId="21BBBA18" w14:textId="2E1643E2" w:rsidR="007D0D6D" w:rsidRPr="00710B91" w:rsidRDefault="009A08E9" w:rsidP="009A08E9">
      <w:pPr>
        <w:pStyle w:val="ManualHeading3"/>
        <w:rPr>
          <w:noProof/>
        </w:rPr>
      </w:pPr>
      <w:bookmarkStart w:id="33" w:name="_Toc92899404"/>
      <w:r w:rsidRPr="009A08E9">
        <w:t>3.2.1.</w:t>
      </w:r>
      <w:r w:rsidRPr="009A08E9">
        <w:tab/>
      </w:r>
      <w:r w:rsidR="007D0D6D" w:rsidRPr="00710B91">
        <w:rPr>
          <w:noProof/>
        </w:rPr>
        <w:t>Synteza szacunkowego wpływu na wydatki</w:t>
      </w:r>
      <w:bookmarkEnd w:id="33"/>
    </w:p>
    <w:p w14:paraId="5692D158" w14:textId="77777777" w:rsidR="00CF090D" w:rsidRPr="00710B91" w:rsidRDefault="00CF090D" w:rsidP="00CF090D">
      <w:pPr>
        <w:jc w:val="right"/>
        <w:rPr>
          <w:noProof/>
        </w:rPr>
      </w:pPr>
      <w:r w:rsidRPr="00710B91">
        <w:rPr>
          <w:noProof/>
          <w:sz w:val="18"/>
          <w:szCs w:val="18"/>
        </w:rPr>
        <w:t>w mln EUR (do trzech miejsc po przecinku)</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744"/>
        <w:gridCol w:w="1080"/>
        <w:gridCol w:w="7817"/>
      </w:tblGrid>
      <w:tr w:rsidR="00BA350C" w:rsidRPr="00710B91" w14:paraId="075492E9" w14:textId="77777777" w:rsidTr="00BA350C">
        <w:trPr>
          <w:jc w:val="center"/>
        </w:trPr>
        <w:tc>
          <w:tcPr>
            <w:tcW w:w="4744" w:type="dxa"/>
            <w:shd w:val="thinDiagStripe" w:color="C0C0C0" w:fill="auto"/>
            <w:vAlign w:val="center"/>
          </w:tcPr>
          <w:p w14:paraId="3995C0A6" w14:textId="77777777" w:rsidR="00BA350C" w:rsidRPr="00710B91" w:rsidRDefault="00BA350C" w:rsidP="00BA350C">
            <w:pPr>
              <w:spacing w:before="60" w:after="60"/>
              <w:jc w:val="center"/>
              <w:rPr>
                <w:b/>
                <w:noProof/>
              </w:rPr>
            </w:pPr>
            <w:r w:rsidRPr="00710B91">
              <w:rPr>
                <w:b/>
                <w:noProof/>
                <w:sz w:val="22"/>
              </w:rPr>
              <w:t>Dział wieloletnich</w:t>
            </w:r>
            <w:r w:rsidRPr="00710B91">
              <w:rPr>
                <w:noProof/>
              </w:rPr>
              <w:t xml:space="preserve"> </w:t>
            </w:r>
            <w:r w:rsidRPr="00710B91">
              <w:rPr>
                <w:noProof/>
              </w:rPr>
              <w:br/>
            </w:r>
            <w:r w:rsidRPr="00710B91">
              <w:rPr>
                <w:b/>
                <w:noProof/>
                <w:sz w:val="22"/>
              </w:rPr>
              <w:t xml:space="preserve">ram finansowych </w:t>
            </w:r>
          </w:p>
        </w:tc>
        <w:tc>
          <w:tcPr>
            <w:tcW w:w="1080" w:type="dxa"/>
            <w:vAlign w:val="center"/>
          </w:tcPr>
          <w:p w14:paraId="410C74AD" w14:textId="77777777" w:rsidR="00BA350C" w:rsidRPr="00710B91" w:rsidRDefault="00BA350C" w:rsidP="00BA350C">
            <w:pPr>
              <w:spacing w:before="60" w:after="60"/>
              <w:jc w:val="center"/>
              <w:rPr>
                <w:noProof/>
              </w:rPr>
            </w:pPr>
            <w:r w:rsidRPr="00710B91">
              <w:rPr>
                <w:noProof/>
                <w:sz w:val="22"/>
              </w:rPr>
              <w:t>1</w:t>
            </w:r>
          </w:p>
        </w:tc>
        <w:tc>
          <w:tcPr>
            <w:tcW w:w="7817" w:type="dxa"/>
            <w:vAlign w:val="center"/>
          </w:tcPr>
          <w:p w14:paraId="7B909B5D" w14:textId="29E70A94" w:rsidR="00CF090D" w:rsidRPr="00710B91" w:rsidRDefault="00BA350C" w:rsidP="00BA350C">
            <w:pPr>
              <w:spacing w:before="60" w:after="60"/>
              <w:rPr>
                <w:noProof/>
              </w:rPr>
            </w:pPr>
            <w:r w:rsidRPr="00710B91">
              <w:rPr>
                <w:noProof/>
              </w:rPr>
              <w:t>Jednolity rynek, innowacje</w:t>
            </w:r>
            <w:r w:rsidR="00710B91" w:rsidRPr="00710B91">
              <w:rPr>
                <w:noProof/>
              </w:rPr>
              <w:t xml:space="preserve"> i</w:t>
            </w:r>
            <w:r w:rsidR="00710B91">
              <w:rPr>
                <w:noProof/>
              </w:rPr>
              <w:t> </w:t>
            </w:r>
            <w:r w:rsidR="00710B91" w:rsidRPr="00710B91">
              <w:rPr>
                <w:noProof/>
              </w:rPr>
              <w:t>gos</w:t>
            </w:r>
            <w:r w:rsidRPr="00710B91">
              <w:rPr>
                <w:noProof/>
              </w:rPr>
              <w:t xml:space="preserve">podarka cyfrowa (linia budżetowa 02.04). </w:t>
            </w:r>
          </w:p>
          <w:p w14:paraId="15E4D88F" w14:textId="072E70BC" w:rsidR="00BA350C" w:rsidRPr="00710B91" w:rsidRDefault="00CF090D" w:rsidP="00BA350C">
            <w:pPr>
              <w:spacing w:before="60" w:after="60"/>
              <w:rPr>
                <w:noProof/>
              </w:rPr>
            </w:pPr>
            <w:r w:rsidRPr="00710B91">
              <w:rPr>
                <w:noProof/>
              </w:rPr>
              <w:t>Środki te zostaną udostępnione</w:t>
            </w:r>
            <w:r w:rsidR="00710B91" w:rsidRPr="00710B91">
              <w:rPr>
                <w:noProof/>
              </w:rPr>
              <w:t xml:space="preserve"> z</w:t>
            </w:r>
            <w:r w:rsidR="00710B91">
              <w:rPr>
                <w:noProof/>
              </w:rPr>
              <w:t> </w:t>
            </w:r>
            <w:r w:rsidR="00710B91" w:rsidRPr="00710B91">
              <w:rPr>
                <w:noProof/>
              </w:rPr>
              <w:t>pro</w:t>
            </w:r>
            <w:r w:rsidRPr="00710B91">
              <w:rPr>
                <w:noProof/>
              </w:rPr>
              <w:t>gramu „Cyfrowa Europa”</w:t>
            </w:r>
            <w:r w:rsidR="00710B91" w:rsidRPr="00710B91">
              <w:rPr>
                <w:noProof/>
              </w:rPr>
              <w:t xml:space="preserve"> w</w:t>
            </w:r>
            <w:r w:rsidR="00710B91">
              <w:rPr>
                <w:noProof/>
              </w:rPr>
              <w:t> </w:t>
            </w:r>
            <w:r w:rsidR="00710B91" w:rsidRPr="00710B91">
              <w:rPr>
                <w:noProof/>
              </w:rPr>
              <w:t>kon</w:t>
            </w:r>
            <w:r w:rsidRPr="00710B91">
              <w:rPr>
                <w:noProof/>
              </w:rPr>
              <w:t>tekście przygotowania programów prac na lata 2023–2027 oraz poprzez umowę</w:t>
            </w:r>
            <w:r w:rsidR="00710B91" w:rsidRPr="00710B91">
              <w:rPr>
                <w:noProof/>
              </w:rPr>
              <w:t xml:space="preserve"> o</w:t>
            </w:r>
            <w:r w:rsidR="00710B91">
              <w:rPr>
                <w:noProof/>
              </w:rPr>
              <w:t> </w:t>
            </w:r>
            <w:r w:rsidR="00710B91" w:rsidRPr="00710B91">
              <w:rPr>
                <w:noProof/>
              </w:rPr>
              <w:t>prz</w:t>
            </w:r>
            <w:r w:rsidRPr="00710B91">
              <w:rPr>
                <w:noProof/>
              </w:rPr>
              <w:t>yznanie wkładu na podstawie art.</w:t>
            </w:r>
            <w:r w:rsidR="00710B91" w:rsidRPr="00710B91">
              <w:rPr>
                <w:noProof/>
              </w:rPr>
              <w:t> </w:t>
            </w:r>
            <w:r w:rsidRPr="00710B91">
              <w:rPr>
                <w:noProof/>
              </w:rPr>
              <w:t>7 rozporządzenia finansowego. Ich ostateczny przydział będzie uzależniony od ustalenia priorytetów finansowania</w:t>
            </w:r>
            <w:r w:rsidR="00710B91" w:rsidRPr="00710B91">
              <w:rPr>
                <w:noProof/>
              </w:rPr>
              <w:t xml:space="preserve"> w</w:t>
            </w:r>
            <w:r w:rsidR="00710B91">
              <w:rPr>
                <w:noProof/>
              </w:rPr>
              <w:t> </w:t>
            </w:r>
            <w:r w:rsidR="00710B91" w:rsidRPr="00710B91">
              <w:rPr>
                <w:noProof/>
              </w:rPr>
              <w:t>kon</w:t>
            </w:r>
            <w:r w:rsidRPr="00710B91">
              <w:rPr>
                <w:noProof/>
              </w:rPr>
              <w:t>tekście leżącej</w:t>
            </w:r>
            <w:r w:rsidR="00710B91" w:rsidRPr="00710B91">
              <w:rPr>
                <w:noProof/>
              </w:rPr>
              <w:t xml:space="preserve"> u</w:t>
            </w:r>
            <w:r w:rsidR="00710B91">
              <w:rPr>
                <w:noProof/>
              </w:rPr>
              <w:t> </w:t>
            </w:r>
            <w:r w:rsidR="00710B91" w:rsidRPr="00710B91">
              <w:rPr>
                <w:noProof/>
              </w:rPr>
              <w:t>pod</w:t>
            </w:r>
            <w:r w:rsidRPr="00710B91">
              <w:rPr>
                <w:noProof/>
              </w:rPr>
              <w:t>staw procedury przyjmowania</w:t>
            </w:r>
            <w:r w:rsidR="00710B91" w:rsidRPr="00710B91">
              <w:rPr>
                <w:noProof/>
              </w:rPr>
              <w:t xml:space="preserve"> i</w:t>
            </w:r>
            <w:r w:rsidR="00710B91">
              <w:rPr>
                <w:noProof/>
              </w:rPr>
              <w:t> </w:t>
            </w:r>
            <w:r w:rsidR="00710B91" w:rsidRPr="00710B91">
              <w:rPr>
                <w:noProof/>
              </w:rPr>
              <w:t>zgo</w:t>
            </w:r>
            <w:r w:rsidRPr="00710B91">
              <w:rPr>
                <w:noProof/>
              </w:rPr>
              <w:t>dy odpowiedniego komitetu programowego.</w:t>
            </w:r>
          </w:p>
        </w:tc>
      </w:tr>
    </w:tbl>
    <w:p w14:paraId="5294A785" w14:textId="77777777" w:rsidR="00BA350C" w:rsidRPr="00710B91" w:rsidRDefault="00BA350C" w:rsidP="00BA350C">
      <w:pPr>
        <w:rPr>
          <w:noProof/>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960"/>
        <w:gridCol w:w="1503"/>
        <w:gridCol w:w="591"/>
        <w:gridCol w:w="868"/>
        <w:gridCol w:w="868"/>
        <w:gridCol w:w="868"/>
        <w:gridCol w:w="868"/>
        <w:gridCol w:w="1777"/>
      </w:tblGrid>
      <w:tr w:rsidR="00BA350C" w:rsidRPr="00710B91" w14:paraId="4EA2BC14" w14:textId="77777777" w:rsidTr="00BA350C">
        <w:trPr>
          <w:jc w:val="center"/>
        </w:trPr>
        <w:tc>
          <w:tcPr>
            <w:tcW w:w="3960" w:type="dxa"/>
            <w:vAlign w:val="center"/>
          </w:tcPr>
          <w:p w14:paraId="2BEB7FF8" w14:textId="77777777" w:rsidR="00BA350C" w:rsidRPr="00710B91" w:rsidRDefault="00BA350C" w:rsidP="00BA350C">
            <w:pPr>
              <w:jc w:val="center"/>
              <w:rPr>
                <w:b/>
                <w:noProof/>
              </w:rPr>
            </w:pPr>
            <w:r w:rsidRPr="00710B91">
              <w:rPr>
                <w:b/>
                <w:noProof/>
              </w:rPr>
              <w:t>eu-LISA</w:t>
            </w:r>
          </w:p>
        </w:tc>
        <w:tc>
          <w:tcPr>
            <w:tcW w:w="1503" w:type="dxa"/>
          </w:tcPr>
          <w:p w14:paraId="04992118" w14:textId="77777777" w:rsidR="00BA350C" w:rsidRPr="00710B91" w:rsidRDefault="00BA350C" w:rsidP="00BA350C">
            <w:pPr>
              <w:rPr>
                <w:noProof/>
                <w:sz w:val="20"/>
              </w:rPr>
            </w:pPr>
          </w:p>
        </w:tc>
        <w:tc>
          <w:tcPr>
            <w:tcW w:w="591" w:type="dxa"/>
          </w:tcPr>
          <w:p w14:paraId="01973A96" w14:textId="77777777" w:rsidR="00BA350C" w:rsidRPr="00710B91" w:rsidRDefault="00BA350C" w:rsidP="00BA350C">
            <w:pPr>
              <w:jc w:val="center"/>
              <w:rPr>
                <w:noProof/>
                <w:sz w:val="20"/>
              </w:rPr>
            </w:pPr>
          </w:p>
        </w:tc>
        <w:tc>
          <w:tcPr>
            <w:tcW w:w="868" w:type="dxa"/>
            <w:vAlign w:val="center"/>
          </w:tcPr>
          <w:p w14:paraId="21AF4E0E" w14:textId="77777777" w:rsidR="00BA350C" w:rsidRPr="00710B91" w:rsidRDefault="00BA350C" w:rsidP="00BA350C">
            <w:pPr>
              <w:jc w:val="center"/>
              <w:rPr>
                <w:noProof/>
                <w:sz w:val="20"/>
              </w:rPr>
            </w:pPr>
            <w:r w:rsidRPr="00710B91">
              <w:rPr>
                <w:noProof/>
                <w:sz w:val="20"/>
              </w:rPr>
              <w:t>Rok</w:t>
            </w:r>
            <w:r w:rsidRPr="00710B91">
              <w:rPr>
                <w:noProof/>
              </w:rPr>
              <w:t xml:space="preserve"> </w:t>
            </w:r>
            <w:r w:rsidRPr="00710B91">
              <w:rPr>
                <w:noProof/>
              </w:rPr>
              <w:br/>
            </w:r>
            <w:r w:rsidRPr="00710B91">
              <w:rPr>
                <w:b/>
                <w:noProof/>
                <w:sz w:val="20"/>
              </w:rPr>
              <w:t>2024</w:t>
            </w:r>
            <w:r w:rsidRPr="00710B91">
              <w:rPr>
                <w:rStyle w:val="FootnoteReference"/>
                <w:b/>
                <w:noProof/>
                <w:sz w:val="20"/>
              </w:rPr>
              <w:footnoteReference w:id="37"/>
            </w:r>
          </w:p>
        </w:tc>
        <w:tc>
          <w:tcPr>
            <w:tcW w:w="868" w:type="dxa"/>
            <w:vAlign w:val="center"/>
          </w:tcPr>
          <w:p w14:paraId="5D524674" w14:textId="77777777" w:rsidR="00BA350C" w:rsidRPr="00710B91" w:rsidRDefault="00BA350C" w:rsidP="00BA350C">
            <w:pPr>
              <w:jc w:val="center"/>
              <w:rPr>
                <w:noProof/>
                <w:sz w:val="20"/>
              </w:rPr>
            </w:pPr>
            <w:r w:rsidRPr="00710B91">
              <w:rPr>
                <w:noProof/>
                <w:sz w:val="20"/>
              </w:rPr>
              <w:t>Rok</w:t>
            </w:r>
            <w:r w:rsidRPr="00710B91">
              <w:rPr>
                <w:noProof/>
              </w:rPr>
              <w:t xml:space="preserve"> </w:t>
            </w:r>
            <w:r w:rsidRPr="00710B91">
              <w:rPr>
                <w:noProof/>
              </w:rPr>
              <w:br/>
            </w:r>
            <w:r w:rsidRPr="00710B91">
              <w:rPr>
                <w:b/>
                <w:noProof/>
                <w:sz w:val="20"/>
              </w:rPr>
              <w:t>2025</w:t>
            </w:r>
          </w:p>
        </w:tc>
        <w:tc>
          <w:tcPr>
            <w:tcW w:w="868" w:type="dxa"/>
            <w:vAlign w:val="center"/>
          </w:tcPr>
          <w:p w14:paraId="3865AD8A" w14:textId="77777777" w:rsidR="00BA350C" w:rsidRPr="00710B91" w:rsidRDefault="00BA350C" w:rsidP="00BA350C">
            <w:pPr>
              <w:jc w:val="center"/>
              <w:rPr>
                <w:noProof/>
                <w:sz w:val="20"/>
              </w:rPr>
            </w:pPr>
            <w:r w:rsidRPr="00710B91">
              <w:rPr>
                <w:noProof/>
                <w:sz w:val="20"/>
              </w:rPr>
              <w:t>Rok</w:t>
            </w:r>
            <w:r w:rsidRPr="00710B91">
              <w:rPr>
                <w:noProof/>
              </w:rPr>
              <w:t xml:space="preserve"> </w:t>
            </w:r>
            <w:r w:rsidRPr="00710B91">
              <w:rPr>
                <w:noProof/>
              </w:rPr>
              <w:br/>
            </w:r>
            <w:r w:rsidRPr="00710B91">
              <w:rPr>
                <w:b/>
                <w:noProof/>
                <w:sz w:val="20"/>
              </w:rPr>
              <w:t>2026</w:t>
            </w:r>
          </w:p>
        </w:tc>
        <w:tc>
          <w:tcPr>
            <w:tcW w:w="868" w:type="dxa"/>
            <w:vAlign w:val="center"/>
          </w:tcPr>
          <w:p w14:paraId="2FBF5DC0" w14:textId="77777777" w:rsidR="00BA350C" w:rsidRPr="00710B91" w:rsidRDefault="00BA350C" w:rsidP="00BA350C">
            <w:pPr>
              <w:jc w:val="center"/>
              <w:rPr>
                <w:noProof/>
                <w:sz w:val="20"/>
              </w:rPr>
            </w:pPr>
            <w:r w:rsidRPr="00710B91">
              <w:rPr>
                <w:noProof/>
                <w:sz w:val="20"/>
              </w:rPr>
              <w:t>Rok</w:t>
            </w:r>
            <w:r w:rsidRPr="00710B91">
              <w:rPr>
                <w:noProof/>
              </w:rPr>
              <w:t xml:space="preserve"> </w:t>
            </w:r>
            <w:r w:rsidRPr="00710B91">
              <w:rPr>
                <w:noProof/>
              </w:rPr>
              <w:br/>
            </w:r>
            <w:r w:rsidRPr="00710B91">
              <w:rPr>
                <w:b/>
                <w:noProof/>
                <w:sz w:val="20"/>
              </w:rPr>
              <w:t>2027</w:t>
            </w:r>
          </w:p>
        </w:tc>
        <w:tc>
          <w:tcPr>
            <w:tcW w:w="1777" w:type="dxa"/>
            <w:vAlign w:val="center"/>
          </w:tcPr>
          <w:p w14:paraId="5B7C67B0" w14:textId="77777777" w:rsidR="00BA350C" w:rsidRPr="00710B91" w:rsidRDefault="00BA350C" w:rsidP="00BA350C">
            <w:pPr>
              <w:jc w:val="center"/>
              <w:rPr>
                <w:b/>
                <w:noProof/>
                <w:sz w:val="20"/>
              </w:rPr>
            </w:pPr>
            <w:r w:rsidRPr="00710B91">
              <w:rPr>
                <w:b/>
                <w:noProof/>
                <w:sz w:val="20"/>
              </w:rPr>
              <w:t>OGÓŁEM 2024–2027</w:t>
            </w:r>
          </w:p>
        </w:tc>
      </w:tr>
      <w:tr w:rsidR="00BA350C" w:rsidRPr="00710B91" w14:paraId="7D303D14" w14:textId="77777777" w:rsidTr="00BA350C">
        <w:trPr>
          <w:trHeight w:val="277"/>
          <w:jc w:val="center"/>
        </w:trPr>
        <w:tc>
          <w:tcPr>
            <w:tcW w:w="3960" w:type="dxa"/>
            <w:vMerge w:val="restart"/>
            <w:vAlign w:val="center"/>
          </w:tcPr>
          <w:p w14:paraId="54162FBE" w14:textId="77777777" w:rsidR="00BA350C" w:rsidRPr="00710B91" w:rsidRDefault="00BA350C" w:rsidP="00BA350C">
            <w:pPr>
              <w:rPr>
                <w:noProof/>
              </w:rPr>
            </w:pPr>
            <w:r w:rsidRPr="00710B91">
              <w:rPr>
                <w:noProof/>
                <w:sz w:val="20"/>
              </w:rPr>
              <w:t>Tytuł 1: Wydatki na personel</w:t>
            </w:r>
          </w:p>
        </w:tc>
        <w:tc>
          <w:tcPr>
            <w:tcW w:w="1503" w:type="dxa"/>
            <w:vAlign w:val="center"/>
          </w:tcPr>
          <w:p w14:paraId="72327C1D" w14:textId="77777777" w:rsidR="00BA350C" w:rsidRPr="00710B91" w:rsidRDefault="00BA350C" w:rsidP="00BA350C">
            <w:pPr>
              <w:spacing w:before="20" w:after="20"/>
              <w:rPr>
                <w:noProof/>
              </w:rPr>
            </w:pPr>
            <w:r w:rsidRPr="00710B91">
              <w:rPr>
                <w:noProof/>
                <w:sz w:val="18"/>
              </w:rPr>
              <w:t>Środki na zobowiązania</w:t>
            </w:r>
          </w:p>
        </w:tc>
        <w:tc>
          <w:tcPr>
            <w:tcW w:w="591" w:type="dxa"/>
            <w:vAlign w:val="center"/>
          </w:tcPr>
          <w:p w14:paraId="15D05A8D" w14:textId="77777777" w:rsidR="00BA350C" w:rsidRPr="00710B91" w:rsidRDefault="00BA350C" w:rsidP="00BA350C">
            <w:pPr>
              <w:spacing w:before="20" w:after="20"/>
              <w:jc w:val="center"/>
              <w:rPr>
                <w:noProof/>
                <w:sz w:val="14"/>
              </w:rPr>
            </w:pPr>
            <w:r w:rsidRPr="00710B91">
              <w:rPr>
                <w:noProof/>
                <w:sz w:val="14"/>
              </w:rPr>
              <w:t>(1)</w:t>
            </w:r>
          </w:p>
        </w:tc>
        <w:tc>
          <w:tcPr>
            <w:tcW w:w="868" w:type="dxa"/>
            <w:vAlign w:val="center"/>
          </w:tcPr>
          <w:p w14:paraId="752E89FE" w14:textId="77777777" w:rsidR="00BA350C" w:rsidRPr="00710B91" w:rsidRDefault="00BA350C" w:rsidP="00BA350C">
            <w:pPr>
              <w:spacing w:before="20" w:after="20"/>
              <w:jc w:val="right"/>
              <w:rPr>
                <w:noProof/>
                <w:sz w:val="20"/>
              </w:rPr>
            </w:pPr>
            <w:r w:rsidRPr="00710B91">
              <w:rPr>
                <w:noProof/>
                <w:sz w:val="20"/>
              </w:rPr>
              <w:t>0,608</w:t>
            </w:r>
          </w:p>
        </w:tc>
        <w:tc>
          <w:tcPr>
            <w:tcW w:w="868" w:type="dxa"/>
            <w:vAlign w:val="center"/>
          </w:tcPr>
          <w:p w14:paraId="1570CD03" w14:textId="77777777" w:rsidR="00BA350C" w:rsidRPr="00710B91" w:rsidRDefault="00BA350C" w:rsidP="00BA350C">
            <w:pPr>
              <w:spacing w:before="20" w:after="20"/>
              <w:jc w:val="right"/>
              <w:rPr>
                <w:noProof/>
                <w:sz w:val="20"/>
              </w:rPr>
            </w:pPr>
            <w:r w:rsidRPr="00710B91">
              <w:rPr>
                <w:noProof/>
                <w:sz w:val="20"/>
              </w:rPr>
              <w:t>1,216</w:t>
            </w:r>
          </w:p>
        </w:tc>
        <w:tc>
          <w:tcPr>
            <w:tcW w:w="868" w:type="dxa"/>
            <w:vAlign w:val="center"/>
          </w:tcPr>
          <w:p w14:paraId="2375A9C2" w14:textId="77777777" w:rsidR="00BA350C" w:rsidRPr="00710B91" w:rsidRDefault="00BA350C" w:rsidP="00BA350C">
            <w:pPr>
              <w:spacing w:before="20" w:after="20"/>
              <w:jc w:val="right"/>
              <w:rPr>
                <w:noProof/>
                <w:sz w:val="20"/>
              </w:rPr>
            </w:pPr>
            <w:r w:rsidRPr="00710B91">
              <w:rPr>
                <w:noProof/>
                <w:sz w:val="20"/>
              </w:rPr>
              <w:t>1,380</w:t>
            </w:r>
          </w:p>
        </w:tc>
        <w:tc>
          <w:tcPr>
            <w:tcW w:w="868" w:type="dxa"/>
            <w:vAlign w:val="center"/>
          </w:tcPr>
          <w:p w14:paraId="73FE3DC2" w14:textId="77777777" w:rsidR="00BA350C" w:rsidRPr="00710B91" w:rsidRDefault="00BA350C" w:rsidP="00BA350C">
            <w:pPr>
              <w:spacing w:before="20" w:after="20"/>
              <w:jc w:val="right"/>
              <w:rPr>
                <w:noProof/>
                <w:sz w:val="20"/>
              </w:rPr>
            </w:pPr>
            <w:r w:rsidRPr="00710B91">
              <w:rPr>
                <w:noProof/>
                <w:sz w:val="20"/>
              </w:rPr>
              <w:t>1,380</w:t>
            </w:r>
          </w:p>
        </w:tc>
        <w:tc>
          <w:tcPr>
            <w:tcW w:w="1777" w:type="dxa"/>
            <w:vAlign w:val="center"/>
          </w:tcPr>
          <w:p w14:paraId="7B9423D9" w14:textId="77777777" w:rsidR="00BA350C" w:rsidRPr="00710B91" w:rsidRDefault="00BA350C" w:rsidP="00BA350C">
            <w:pPr>
              <w:spacing w:before="20" w:after="20"/>
              <w:jc w:val="right"/>
              <w:rPr>
                <w:b/>
                <w:noProof/>
                <w:sz w:val="20"/>
              </w:rPr>
            </w:pPr>
            <w:r w:rsidRPr="00710B91">
              <w:rPr>
                <w:b/>
                <w:noProof/>
                <w:sz w:val="20"/>
              </w:rPr>
              <w:t>4,584</w:t>
            </w:r>
          </w:p>
        </w:tc>
      </w:tr>
      <w:tr w:rsidR="00BA350C" w:rsidRPr="00710B91" w14:paraId="6E8975AF" w14:textId="77777777" w:rsidTr="00BA350C">
        <w:trPr>
          <w:jc w:val="center"/>
        </w:trPr>
        <w:tc>
          <w:tcPr>
            <w:tcW w:w="3960" w:type="dxa"/>
            <w:vMerge/>
            <w:vAlign w:val="center"/>
          </w:tcPr>
          <w:p w14:paraId="3EA43535" w14:textId="77777777" w:rsidR="00BA350C" w:rsidRPr="00710B91" w:rsidRDefault="00BA350C" w:rsidP="00BA350C">
            <w:pPr>
              <w:rPr>
                <w:noProof/>
              </w:rPr>
            </w:pPr>
          </w:p>
        </w:tc>
        <w:tc>
          <w:tcPr>
            <w:tcW w:w="1503" w:type="dxa"/>
            <w:vAlign w:val="center"/>
          </w:tcPr>
          <w:p w14:paraId="3C99FF5B" w14:textId="77777777" w:rsidR="00BA350C" w:rsidRPr="00710B91" w:rsidRDefault="00BA350C" w:rsidP="00BA350C">
            <w:pPr>
              <w:spacing w:before="20" w:after="20"/>
              <w:rPr>
                <w:noProof/>
                <w:sz w:val="18"/>
              </w:rPr>
            </w:pPr>
            <w:r w:rsidRPr="00710B91">
              <w:rPr>
                <w:noProof/>
                <w:sz w:val="18"/>
              </w:rPr>
              <w:t>Środki na płatności</w:t>
            </w:r>
          </w:p>
        </w:tc>
        <w:tc>
          <w:tcPr>
            <w:tcW w:w="591" w:type="dxa"/>
            <w:vAlign w:val="center"/>
          </w:tcPr>
          <w:p w14:paraId="7AE61C5F" w14:textId="77777777" w:rsidR="00BA350C" w:rsidRPr="00710B91" w:rsidRDefault="00BA350C" w:rsidP="00BA350C">
            <w:pPr>
              <w:spacing w:before="20" w:after="20"/>
              <w:jc w:val="center"/>
              <w:rPr>
                <w:noProof/>
                <w:sz w:val="14"/>
              </w:rPr>
            </w:pPr>
            <w:r w:rsidRPr="00710B91">
              <w:rPr>
                <w:noProof/>
                <w:sz w:val="14"/>
              </w:rPr>
              <w:t>(2)</w:t>
            </w:r>
          </w:p>
        </w:tc>
        <w:tc>
          <w:tcPr>
            <w:tcW w:w="868" w:type="dxa"/>
            <w:vAlign w:val="center"/>
          </w:tcPr>
          <w:p w14:paraId="68DB724D" w14:textId="77777777" w:rsidR="00BA350C" w:rsidRPr="00710B91" w:rsidRDefault="00BA350C" w:rsidP="00BA350C">
            <w:pPr>
              <w:spacing w:before="20" w:after="20"/>
              <w:jc w:val="right"/>
              <w:rPr>
                <w:noProof/>
                <w:sz w:val="20"/>
              </w:rPr>
            </w:pPr>
            <w:r w:rsidRPr="00710B91">
              <w:rPr>
                <w:noProof/>
                <w:sz w:val="20"/>
              </w:rPr>
              <w:t>0,608</w:t>
            </w:r>
          </w:p>
        </w:tc>
        <w:tc>
          <w:tcPr>
            <w:tcW w:w="868" w:type="dxa"/>
            <w:vAlign w:val="center"/>
          </w:tcPr>
          <w:p w14:paraId="45BCF5AC" w14:textId="77777777" w:rsidR="00BA350C" w:rsidRPr="00710B91" w:rsidRDefault="00BA350C" w:rsidP="00BA350C">
            <w:pPr>
              <w:spacing w:before="20" w:after="20"/>
              <w:jc w:val="right"/>
              <w:rPr>
                <w:noProof/>
                <w:sz w:val="20"/>
              </w:rPr>
            </w:pPr>
            <w:r w:rsidRPr="00710B91">
              <w:rPr>
                <w:noProof/>
                <w:sz w:val="20"/>
              </w:rPr>
              <w:t>1,216</w:t>
            </w:r>
          </w:p>
        </w:tc>
        <w:tc>
          <w:tcPr>
            <w:tcW w:w="868" w:type="dxa"/>
            <w:vAlign w:val="center"/>
          </w:tcPr>
          <w:p w14:paraId="7D29B16E" w14:textId="77777777" w:rsidR="00BA350C" w:rsidRPr="00710B91" w:rsidRDefault="00BA350C" w:rsidP="00BA350C">
            <w:pPr>
              <w:spacing w:before="20" w:after="20"/>
              <w:jc w:val="right"/>
              <w:rPr>
                <w:noProof/>
                <w:sz w:val="20"/>
              </w:rPr>
            </w:pPr>
            <w:r w:rsidRPr="00710B91">
              <w:rPr>
                <w:noProof/>
                <w:sz w:val="20"/>
              </w:rPr>
              <w:t>1,380</w:t>
            </w:r>
          </w:p>
        </w:tc>
        <w:tc>
          <w:tcPr>
            <w:tcW w:w="868" w:type="dxa"/>
            <w:vAlign w:val="center"/>
          </w:tcPr>
          <w:p w14:paraId="4388C305" w14:textId="77777777" w:rsidR="00BA350C" w:rsidRPr="00710B91" w:rsidRDefault="00BA350C" w:rsidP="00BA350C">
            <w:pPr>
              <w:spacing w:before="20" w:after="20"/>
              <w:jc w:val="right"/>
              <w:rPr>
                <w:noProof/>
                <w:sz w:val="20"/>
              </w:rPr>
            </w:pPr>
            <w:r w:rsidRPr="00710B91">
              <w:rPr>
                <w:noProof/>
                <w:sz w:val="20"/>
              </w:rPr>
              <w:t>1,380</w:t>
            </w:r>
          </w:p>
        </w:tc>
        <w:tc>
          <w:tcPr>
            <w:tcW w:w="1777" w:type="dxa"/>
          </w:tcPr>
          <w:p w14:paraId="70AE6C9B" w14:textId="77777777" w:rsidR="00BA350C" w:rsidRPr="00710B91" w:rsidRDefault="00BA350C" w:rsidP="00BA350C">
            <w:pPr>
              <w:spacing w:before="20" w:after="20"/>
              <w:jc w:val="right"/>
              <w:rPr>
                <w:b/>
                <w:noProof/>
                <w:sz w:val="20"/>
              </w:rPr>
            </w:pPr>
            <w:r w:rsidRPr="00710B91">
              <w:rPr>
                <w:b/>
                <w:noProof/>
                <w:sz w:val="20"/>
              </w:rPr>
              <w:t>4,584</w:t>
            </w:r>
          </w:p>
        </w:tc>
      </w:tr>
      <w:tr w:rsidR="00BA350C" w:rsidRPr="00710B91" w14:paraId="2B19DE56" w14:textId="77777777" w:rsidTr="00BA350C">
        <w:trPr>
          <w:jc w:val="center"/>
        </w:trPr>
        <w:tc>
          <w:tcPr>
            <w:tcW w:w="3960" w:type="dxa"/>
            <w:vMerge w:val="restart"/>
            <w:vAlign w:val="center"/>
          </w:tcPr>
          <w:p w14:paraId="2A74B2B0" w14:textId="01BC71C0" w:rsidR="00BA350C" w:rsidRPr="00710B91" w:rsidRDefault="00BA350C" w:rsidP="00BA350C">
            <w:pPr>
              <w:rPr>
                <w:noProof/>
              </w:rPr>
            </w:pPr>
            <w:r w:rsidRPr="00710B91">
              <w:rPr>
                <w:noProof/>
                <w:sz w:val="20"/>
              </w:rPr>
              <w:t>Tytuł 2: Wydatki na infrastrukturę</w:t>
            </w:r>
            <w:r w:rsidR="00710B91" w:rsidRPr="00710B91">
              <w:rPr>
                <w:noProof/>
                <w:sz w:val="20"/>
              </w:rPr>
              <w:t xml:space="preserve"> i</w:t>
            </w:r>
            <w:r w:rsidR="00710B91">
              <w:rPr>
                <w:noProof/>
                <w:sz w:val="20"/>
              </w:rPr>
              <w:t> </w:t>
            </w:r>
            <w:r w:rsidR="00710B91" w:rsidRPr="00710B91">
              <w:rPr>
                <w:noProof/>
                <w:sz w:val="20"/>
              </w:rPr>
              <w:t>wyd</w:t>
            </w:r>
            <w:r w:rsidRPr="00710B91">
              <w:rPr>
                <w:noProof/>
                <w:sz w:val="20"/>
              </w:rPr>
              <w:t>atki administracyjne</w:t>
            </w:r>
          </w:p>
        </w:tc>
        <w:tc>
          <w:tcPr>
            <w:tcW w:w="1503" w:type="dxa"/>
            <w:vAlign w:val="center"/>
          </w:tcPr>
          <w:p w14:paraId="59F7C401" w14:textId="77777777" w:rsidR="00BA350C" w:rsidRPr="00710B91" w:rsidRDefault="00BA350C" w:rsidP="00BA350C">
            <w:pPr>
              <w:spacing w:before="20" w:after="20"/>
              <w:rPr>
                <w:noProof/>
                <w:sz w:val="18"/>
              </w:rPr>
            </w:pPr>
            <w:r w:rsidRPr="00710B91">
              <w:rPr>
                <w:noProof/>
                <w:sz w:val="18"/>
              </w:rPr>
              <w:t>Środki na zobowiązania</w:t>
            </w:r>
          </w:p>
        </w:tc>
        <w:tc>
          <w:tcPr>
            <w:tcW w:w="591" w:type="dxa"/>
            <w:vAlign w:val="center"/>
          </w:tcPr>
          <w:p w14:paraId="112751CD" w14:textId="77777777" w:rsidR="00BA350C" w:rsidRPr="00710B91" w:rsidRDefault="00BA350C" w:rsidP="00BA350C">
            <w:pPr>
              <w:spacing w:before="20" w:after="20"/>
              <w:jc w:val="center"/>
              <w:rPr>
                <w:noProof/>
                <w:sz w:val="14"/>
              </w:rPr>
            </w:pPr>
            <w:r w:rsidRPr="00710B91">
              <w:rPr>
                <w:noProof/>
                <w:sz w:val="14"/>
              </w:rPr>
              <w:t>(1a)</w:t>
            </w:r>
          </w:p>
        </w:tc>
        <w:tc>
          <w:tcPr>
            <w:tcW w:w="868" w:type="dxa"/>
            <w:vAlign w:val="center"/>
          </w:tcPr>
          <w:p w14:paraId="2C79ED7B" w14:textId="77777777" w:rsidR="00BA350C" w:rsidRPr="00710B91" w:rsidRDefault="00BA350C" w:rsidP="00BA350C">
            <w:pPr>
              <w:spacing w:before="20" w:after="20"/>
              <w:jc w:val="right"/>
              <w:rPr>
                <w:noProof/>
                <w:sz w:val="20"/>
              </w:rPr>
            </w:pPr>
          </w:p>
        </w:tc>
        <w:tc>
          <w:tcPr>
            <w:tcW w:w="868" w:type="dxa"/>
            <w:vAlign w:val="center"/>
          </w:tcPr>
          <w:p w14:paraId="5C985083" w14:textId="77777777" w:rsidR="00BA350C" w:rsidRPr="00710B91" w:rsidRDefault="00BA350C" w:rsidP="00BA350C">
            <w:pPr>
              <w:spacing w:before="20" w:after="20"/>
              <w:jc w:val="right"/>
              <w:rPr>
                <w:noProof/>
                <w:sz w:val="20"/>
              </w:rPr>
            </w:pPr>
          </w:p>
        </w:tc>
        <w:tc>
          <w:tcPr>
            <w:tcW w:w="868" w:type="dxa"/>
            <w:vAlign w:val="center"/>
          </w:tcPr>
          <w:p w14:paraId="5A55A0B5" w14:textId="77777777" w:rsidR="00BA350C" w:rsidRPr="00710B91" w:rsidRDefault="00BA350C" w:rsidP="00BA350C">
            <w:pPr>
              <w:spacing w:before="20" w:after="20"/>
              <w:jc w:val="right"/>
              <w:rPr>
                <w:noProof/>
                <w:sz w:val="20"/>
              </w:rPr>
            </w:pPr>
          </w:p>
        </w:tc>
        <w:tc>
          <w:tcPr>
            <w:tcW w:w="868" w:type="dxa"/>
            <w:vAlign w:val="center"/>
          </w:tcPr>
          <w:p w14:paraId="220327E8" w14:textId="77777777" w:rsidR="00BA350C" w:rsidRPr="00710B91" w:rsidRDefault="00BA350C" w:rsidP="00BA350C">
            <w:pPr>
              <w:spacing w:before="20" w:after="20"/>
              <w:jc w:val="right"/>
              <w:rPr>
                <w:noProof/>
                <w:sz w:val="20"/>
              </w:rPr>
            </w:pPr>
          </w:p>
        </w:tc>
        <w:tc>
          <w:tcPr>
            <w:tcW w:w="1777" w:type="dxa"/>
            <w:vAlign w:val="center"/>
          </w:tcPr>
          <w:p w14:paraId="6E1EB530" w14:textId="77777777" w:rsidR="00BA350C" w:rsidRPr="00710B91" w:rsidRDefault="00BA350C" w:rsidP="00BA350C">
            <w:pPr>
              <w:spacing w:before="20" w:after="20"/>
              <w:jc w:val="right"/>
              <w:rPr>
                <w:b/>
                <w:noProof/>
                <w:sz w:val="20"/>
              </w:rPr>
            </w:pPr>
          </w:p>
        </w:tc>
      </w:tr>
      <w:tr w:rsidR="00BA350C" w:rsidRPr="00710B91" w14:paraId="1839B9EC" w14:textId="77777777" w:rsidTr="00BA350C">
        <w:trPr>
          <w:jc w:val="center"/>
        </w:trPr>
        <w:tc>
          <w:tcPr>
            <w:tcW w:w="3960" w:type="dxa"/>
            <w:vMerge/>
            <w:vAlign w:val="center"/>
          </w:tcPr>
          <w:p w14:paraId="1A73524D" w14:textId="77777777" w:rsidR="00BA350C" w:rsidRPr="00710B91" w:rsidRDefault="00BA350C" w:rsidP="00BA350C">
            <w:pPr>
              <w:rPr>
                <w:noProof/>
              </w:rPr>
            </w:pPr>
          </w:p>
        </w:tc>
        <w:tc>
          <w:tcPr>
            <w:tcW w:w="1503" w:type="dxa"/>
            <w:vAlign w:val="center"/>
          </w:tcPr>
          <w:p w14:paraId="55290B45" w14:textId="77777777" w:rsidR="00BA350C" w:rsidRPr="00710B91" w:rsidRDefault="00BA350C" w:rsidP="00BA350C">
            <w:pPr>
              <w:spacing w:before="20" w:after="20"/>
              <w:rPr>
                <w:noProof/>
                <w:sz w:val="18"/>
              </w:rPr>
            </w:pPr>
            <w:r w:rsidRPr="00710B91">
              <w:rPr>
                <w:noProof/>
                <w:sz w:val="18"/>
              </w:rPr>
              <w:t>Środki na płatności</w:t>
            </w:r>
          </w:p>
        </w:tc>
        <w:tc>
          <w:tcPr>
            <w:tcW w:w="591" w:type="dxa"/>
            <w:vAlign w:val="center"/>
          </w:tcPr>
          <w:p w14:paraId="22A231DB" w14:textId="77777777" w:rsidR="00BA350C" w:rsidRPr="00710B91" w:rsidRDefault="00BA350C" w:rsidP="00BA350C">
            <w:pPr>
              <w:spacing w:before="20" w:after="20"/>
              <w:jc w:val="center"/>
              <w:rPr>
                <w:noProof/>
                <w:sz w:val="14"/>
              </w:rPr>
            </w:pPr>
            <w:r w:rsidRPr="00710B91">
              <w:rPr>
                <w:noProof/>
                <w:sz w:val="14"/>
              </w:rPr>
              <w:t>(2a)</w:t>
            </w:r>
          </w:p>
        </w:tc>
        <w:tc>
          <w:tcPr>
            <w:tcW w:w="868" w:type="dxa"/>
            <w:vAlign w:val="center"/>
          </w:tcPr>
          <w:p w14:paraId="435F6597" w14:textId="77777777" w:rsidR="00BA350C" w:rsidRPr="00710B91" w:rsidRDefault="00BA350C" w:rsidP="00BA350C">
            <w:pPr>
              <w:spacing w:before="20" w:after="20"/>
              <w:jc w:val="right"/>
              <w:rPr>
                <w:noProof/>
                <w:sz w:val="20"/>
              </w:rPr>
            </w:pPr>
          </w:p>
        </w:tc>
        <w:tc>
          <w:tcPr>
            <w:tcW w:w="868" w:type="dxa"/>
            <w:vAlign w:val="center"/>
          </w:tcPr>
          <w:p w14:paraId="3DC93330" w14:textId="77777777" w:rsidR="00BA350C" w:rsidRPr="00710B91" w:rsidRDefault="00BA350C" w:rsidP="00BA350C">
            <w:pPr>
              <w:spacing w:before="20" w:after="20"/>
              <w:jc w:val="right"/>
              <w:rPr>
                <w:noProof/>
                <w:sz w:val="20"/>
              </w:rPr>
            </w:pPr>
          </w:p>
        </w:tc>
        <w:tc>
          <w:tcPr>
            <w:tcW w:w="868" w:type="dxa"/>
            <w:vAlign w:val="center"/>
          </w:tcPr>
          <w:p w14:paraId="6ABD9067" w14:textId="77777777" w:rsidR="00BA350C" w:rsidRPr="00710B91" w:rsidRDefault="00BA350C" w:rsidP="00BA350C">
            <w:pPr>
              <w:spacing w:before="20" w:after="20"/>
              <w:jc w:val="right"/>
              <w:rPr>
                <w:noProof/>
                <w:sz w:val="20"/>
              </w:rPr>
            </w:pPr>
          </w:p>
        </w:tc>
        <w:tc>
          <w:tcPr>
            <w:tcW w:w="868" w:type="dxa"/>
            <w:vAlign w:val="center"/>
          </w:tcPr>
          <w:p w14:paraId="0559A2B4" w14:textId="77777777" w:rsidR="00BA350C" w:rsidRPr="00710B91" w:rsidRDefault="00BA350C" w:rsidP="00BA350C">
            <w:pPr>
              <w:spacing w:before="20" w:after="20"/>
              <w:jc w:val="right"/>
              <w:rPr>
                <w:noProof/>
                <w:sz w:val="20"/>
              </w:rPr>
            </w:pPr>
          </w:p>
        </w:tc>
        <w:tc>
          <w:tcPr>
            <w:tcW w:w="1777" w:type="dxa"/>
            <w:vAlign w:val="center"/>
          </w:tcPr>
          <w:p w14:paraId="5AC37A5A" w14:textId="77777777" w:rsidR="00BA350C" w:rsidRPr="00710B91" w:rsidRDefault="00BA350C" w:rsidP="00BA350C">
            <w:pPr>
              <w:spacing w:before="20" w:after="20"/>
              <w:jc w:val="right"/>
              <w:rPr>
                <w:b/>
                <w:noProof/>
                <w:sz w:val="20"/>
              </w:rPr>
            </w:pPr>
          </w:p>
        </w:tc>
      </w:tr>
      <w:tr w:rsidR="00BA350C" w:rsidRPr="00710B91" w14:paraId="5E400605" w14:textId="77777777" w:rsidTr="00BA350C">
        <w:trPr>
          <w:trHeight w:val="319"/>
          <w:jc w:val="center"/>
        </w:trPr>
        <w:tc>
          <w:tcPr>
            <w:tcW w:w="3960" w:type="dxa"/>
            <w:vMerge w:val="restart"/>
            <w:vAlign w:val="center"/>
          </w:tcPr>
          <w:p w14:paraId="799E436F" w14:textId="77777777" w:rsidR="00BA350C" w:rsidRPr="00710B91" w:rsidRDefault="00BA350C" w:rsidP="00BA350C">
            <w:pPr>
              <w:pStyle w:val="CommentText"/>
              <w:rPr>
                <w:noProof/>
              </w:rPr>
            </w:pPr>
            <w:r w:rsidRPr="00710B91">
              <w:rPr>
                <w:noProof/>
              </w:rPr>
              <w:t>Tytuł 3: Wydatki operacyjne</w:t>
            </w:r>
          </w:p>
        </w:tc>
        <w:tc>
          <w:tcPr>
            <w:tcW w:w="1503" w:type="dxa"/>
            <w:vAlign w:val="center"/>
          </w:tcPr>
          <w:p w14:paraId="478DFC13" w14:textId="77777777" w:rsidR="00BA350C" w:rsidRPr="00710B91" w:rsidRDefault="00BA350C" w:rsidP="00BA350C">
            <w:pPr>
              <w:spacing w:before="40" w:after="40"/>
              <w:rPr>
                <w:noProof/>
                <w:sz w:val="18"/>
              </w:rPr>
            </w:pPr>
            <w:r w:rsidRPr="00710B91">
              <w:rPr>
                <w:noProof/>
                <w:sz w:val="18"/>
              </w:rPr>
              <w:t>Środki na zobowiązania</w:t>
            </w:r>
          </w:p>
        </w:tc>
        <w:tc>
          <w:tcPr>
            <w:tcW w:w="591" w:type="dxa"/>
            <w:vAlign w:val="center"/>
          </w:tcPr>
          <w:p w14:paraId="2D0C3D65" w14:textId="77777777" w:rsidR="00BA350C" w:rsidRPr="00710B91" w:rsidRDefault="00BA350C" w:rsidP="00BA350C">
            <w:pPr>
              <w:spacing w:before="40" w:after="40"/>
              <w:jc w:val="center"/>
              <w:rPr>
                <w:noProof/>
                <w:sz w:val="14"/>
              </w:rPr>
            </w:pPr>
            <w:r w:rsidRPr="00710B91">
              <w:rPr>
                <w:noProof/>
                <w:sz w:val="14"/>
              </w:rPr>
              <w:t>(3a)</w:t>
            </w:r>
          </w:p>
        </w:tc>
        <w:tc>
          <w:tcPr>
            <w:tcW w:w="868" w:type="dxa"/>
            <w:vAlign w:val="center"/>
          </w:tcPr>
          <w:p w14:paraId="499C1306" w14:textId="77777777" w:rsidR="00BA350C" w:rsidRPr="00710B91" w:rsidRDefault="00BA350C" w:rsidP="00BA350C">
            <w:pPr>
              <w:spacing w:before="40" w:after="40"/>
              <w:jc w:val="right"/>
              <w:rPr>
                <w:noProof/>
                <w:sz w:val="20"/>
              </w:rPr>
            </w:pPr>
            <w:r w:rsidRPr="00710B91">
              <w:rPr>
                <w:noProof/>
                <w:sz w:val="20"/>
              </w:rPr>
              <w:t>3,000</w:t>
            </w:r>
          </w:p>
        </w:tc>
        <w:tc>
          <w:tcPr>
            <w:tcW w:w="868" w:type="dxa"/>
            <w:vAlign w:val="center"/>
          </w:tcPr>
          <w:p w14:paraId="0392A407" w14:textId="7BA3D9C7" w:rsidR="00BA350C" w:rsidRPr="00710B91" w:rsidRDefault="0054088F" w:rsidP="0054088F">
            <w:pPr>
              <w:spacing w:before="40" w:after="40"/>
              <w:jc w:val="right"/>
              <w:rPr>
                <w:noProof/>
                <w:sz w:val="20"/>
              </w:rPr>
            </w:pPr>
            <w:r w:rsidRPr="00710B91">
              <w:rPr>
                <w:noProof/>
                <w:sz w:val="20"/>
              </w:rPr>
              <w:t>2,900</w:t>
            </w:r>
          </w:p>
        </w:tc>
        <w:tc>
          <w:tcPr>
            <w:tcW w:w="868" w:type="dxa"/>
            <w:vAlign w:val="center"/>
          </w:tcPr>
          <w:p w14:paraId="2BAB41AA" w14:textId="77777777" w:rsidR="00BA350C" w:rsidRPr="00710B91" w:rsidRDefault="00BA350C" w:rsidP="00BA350C">
            <w:pPr>
              <w:spacing w:before="40" w:after="40"/>
              <w:jc w:val="right"/>
              <w:rPr>
                <w:noProof/>
                <w:sz w:val="20"/>
              </w:rPr>
            </w:pPr>
            <w:r w:rsidRPr="00710B91">
              <w:rPr>
                <w:noProof/>
                <w:sz w:val="20"/>
              </w:rPr>
              <w:t>1,700</w:t>
            </w:r>
          </w:p>
        </w:tc>
        <w:tc>
          <w:tcPr>
            <w:tcW w:w="868" w:type="dxa"/>
            <w:vAlign w:val="center"/>
          </w:tcPr>
          <w:p w14:paraId="6402D52C" w14:textId="77777777" w:rsidR="00BA350C" w:rsidRPr="00710B91" w:rsidRDefault="00BA350C" w:rsidP="00BA350C">
            <w:pPr>
              <w:spacing w:before="40" w:after="40"/>
              <w:jc w:val="right"/>
              <w:rPr>
                <w:b/>
                <w:noProof/>
                <w:sz w:val="20"/>
              </w:rPr>
            </w:pPr>
            <w:r w:rsidRPr="00710B91">
              <w:rPr>
                <w:noProof/>
                <w:sz w:val="20"/>
              </w:rPr>
              <w:t>1,700</w:t>
            </w:r>
          </w:p>
        </w:tc>
        <w:tc>
          <w:tcPr>
            <w:tcW w:w="1777" w:type="dxa"/>
            <w:vAlign w:val="center"/>
          </w:tcPr>
          <w:p w14:paraId="5BB8DE96" w14:textId="6389B209" w:rsidR="00BA350C" w:rsidRPr="00710B91" w:rsidRDefault="0054088F" w:rsidP="0054088F">
            <w:pPr>
              <w:spacing w:before="20" w:after="20"/>
              <w:jc w:val="right"/>
              <w:rPr>
                <w:b/>
                <w:noProof/>
                <w:sz w:val="20"/>
              </w:rPr>
            </w:pPr>
            <w:r w:rsidRPr="00710B91">
              <w:rPr>
                <w:b/>
                <w:noProof/>
                <w:sz w:val="20"/>
              </w:rPr>
              <w:t>9,300</w:t>
            </w:r>
          </w:p>
        </w:tc>
      </w:tr>
      <w:tr w:rsidR="00BA350C" w:rsidRPr="00710B91" w14:paraId="5B834D7E" w14:textId="77777777" w:rsidTr="00BA350C">
        <w:trPr>
          <w:trHeight w:val="319"/>
          <w:jc w:val="center"/>
        </w:trPr>
        <w:tc>
          <w:tcPr>
            <w:tcW w:w="3960" w:type="dxa"/>
            <w:vMerge/>
            <w:vAlign w:val="center"/>
          </w:tcPr>
          <w:p w14:paraId="5933CC60" w14:textId="77777777" w:rsidR="00BA350C" w:rsidRPr="00710B91" w:rsidRDefault="00BA350C" w:rsidP="00BA350C">
            <w:pPr>
              <w:spacing w:before="60" w:after="60"/>
              <w:rPr>
                <w:b/>
                <w:noProof/>
                <w:sz w:val="20"/>
              </w:rPr>
            </w:pPr>
          </w:p>
        </w:tc>
        <w:tc>
          <w:tcPr>
            <w:tcW w:w="1503" w:type="dxa"/>
            <w:vAlign w:val="center"/>
          </w:tcPr>
          <w:p w14:paraId="3334618F" w14:textId="77777777" w:rsidR="00BA350C" w:rsidRPr="00710B91" w:rsidRDefault="00BA350C" w:rsidP="00BA350C">
            <w:pPr>
              <w:spacing w:before="40" w:after="40"/>
              <w:rPr>
                <w:noProof/>
                <w:sz w:val="18"/>
              </w:rPr>
            </w:pPr>
            <w:r w:rsidRPr="00710B91">
              <w:rPr>
                <w:noProof/>
                <w:sz w:val="18"/>
              </w:rPr>
              <w:t>Środki na płatności</w:t>
            </w:r>
          </w:p>
        </w:tc>
        <w:tc>
          <w:tcPr>
            <w:tcW w:w="591" w:type="dxa"/>
            <w:vAlign w:val="center"/>
          </w:tcPr>
          <w:p w14:paraId="7B8F66E3" w14:textId="77777777" w:rsidR="00BA350C" w:rsidRPr="00710B91" w:rsidRDefault="00BA350C" w:rsidP="00BA350C">
            <w:pPr>
              <w:spacing w:before="40" w:after="40"/>
              <w:jc w:val="center"/>
              <w:rPr>
                <w:noProof/>
                <w:sz w:val="14"/>
              </w:rPr>
            </w:pPr>
            <w:r w:rsidRPr="00710B91">
              <w:rPr>
                <w:noProof/>
                <w:sz w:val="14"/>
              </w:rPr>
              <w:t>(3b)</w:t>
            </w:r>
          </w:p>
        </w:tc>
        <w:tc>
          <w:tcPr>
            <w:tcW w:w="868" w:type="dxa"/>
            <w:vAlign w:val="center"/>
          </w:tcPr>
          <w:p w14:paraId="476B1EA8" w14:textId="77777777" w:rsidR="00BA350C" w:rsidRPr="00710B91" w:rsidRDefault="00BA350C" w:rsidP="00BA350C">
            <w:pPr>
              <w:spacing w:before="40" w:after="40"/>
              <w:jc w:val="right"/>
              <w:rPr>
                <w:b/>
                <w:noProof/>
                <w:sz w:val="20"/>
              </w:rPr>
            </w:pPr>
          </w:p>
        </w:tc>
        <w:tc>
          <w:tcPr>
            <w:tcW w:w="868" w:type="dxa"/>
            <w:vAlign w:val="center"/>
          </w:tcPr>
          <w:p w14:paraId="7383E72C" w14:textId="77777777" w:rsidR="00BA350C" w:rsidRPr="00710B91" w:rsidRDefault="00BA350C" w:rsidP="00BA350C">
            <w:pPr>
              <w:spacing w:before="40" w:after="40"/>
              <w:jc w:val="right"/>
              <w:rPr>
                <w:noProof/>
                <w:sz w:val="20"/>
              </w:rPr>
            </w:pPr>
            <w:r w:rsidRPr="00710B91">
              <w:rPr>
                <w:noProof/>
                <w:sz w:val="20"/>
              </w:rPr>
              <w:t>3,000</w:t>
            </w:r>
          </w:p>
        </w:tc>
        <w:tc>
          <w:tcPr>
            <w:tcW w:w="868" w:type="dxa"/>
            <w:vAlign w:val="center"/>
          </w:tcPr>
          <w:p w14:paraId="26488284" w14:textId="11ADB304" w:rsidR="00BA350C" w:rsidRPr="00710B91" w:rsidRDefault="0054088F" w:rsidP="0054088F">
            <w:pPr>
              <w:spacing w:before="40" w:after="40"/>
              <w:jc w:val="right"/>
              <w:rPr>
                <w:noProof/>
                <w:sz w:val="20"/>
              </w:rPr>
            </w:pPr>
            <w:r w:rsidRPr="00710B91">
              <w:rPr>
                <w:noProof/>
                <w:sz w:val="20"/>
              </w:rPr>
              <w:t>4,600</w:t>
            </w:r>
          </w:p>
        </w:tc>
        <w:tc>
          <w:tcPr>
            <w:tcW w:w="868" w:type="dxa"/>
            <w:vAlign w:val="center"/>
          </w:tcPr>
          <w:p w14:paraId="46C3BB6C" w14:textId="77777777" w:rsidR="00BA350C" w:rsidRPr="00710B91" w:rsidRDefault="00BA350C" w:rsidP="00BA350C">
            <w:pPr>
              <w:spacing w:before="40" w:after="40"/>
              <w:jc w:val="right"/>
              <w:rPr>
                <w:b/>
                <w:noProof/>
                <w:sz w:val="20"/>
              </w:rPr>
            </w:pPr>
            <w:r w:rsidRPr="00710B91">
              <w:rPr>
                <w:noProof/>
                <w:sz w:val="20"/>
              </w:rPr>
              <w:t>1,700</w:t>
            </w:r>
          </w:p>
        </w:tc>
        <w:tc>
          <w:tcPr>
            <w:tcW w:w="1777" w:type="dxa"/>
            <w:vAlign w:val="center"/>
          </w:tcPr>
          <w:p w14:paraId="5DFA0449" w14:textId="37D4E5AA" w:rsidR="00BA350C" w:rsidRPr="00710B91" w:rsidRDefault="0054088F" w:rsidP="0054088F">
            <w:pPr>
              <w:spacing w:before="20" w:after="20"/>
              <w:jc w:val="right"/>
              <w:rPr>
                <w:b/>
                <w:noProof/>
                <w:sz w:val="20"/>
              </w:rPr>
            </w:pPr>
            <w:r w:rsidRPr="00710B91">
              <w:rPr>
                <w:b/>
                <w:noProof/>
                <w:sz w:val="20"/>
              </w:rPr>
              <w:t>9,300</w:t>
            </w:r>
          </w:p>
        </w:tc>
      </w:tr>
      <w:tr w:rsidR="00BA350C" w:rsidRPr="00710B91" w14:paraId="1F5D2CD5" w14:textId="77777777" w:rsidTr="00BA350C">
        <w:trPr>
          <w:jc w:val="center"/>
        </w:trPr>
        <w:tc>
          <w:tcPr>
            <w:tcW w:w="3960" w:type="dxa"/>
            <w:vMerge w:val="restart"/>
            <w:vAlign w:val="center"/>
          </w:tcPr>
          <w:p w14:paraId="5740C6F8" w14:textId="679D871A" w:rsidR="00BA350C" w:rsidRPr="00710B91" w:rsidRDefault="00BA350C" w:rsidP="00CF090D">
            <w:pPr>
              <w:jc w:val="center"/>
              <w:rPr>
                <w:noProof/>
              </w:rPr>
            </w:pPr>
            <w:r w:rsidRPr="00710B91">
              <w:rPr>
                <w:b/>
                <w:noProof/>
                <w:sz w:val="22"/>
              </w:rPr>
              <w:t>OGÓŁEM środki</w:t>
            </w:r>
            <w:r w:rsidRPr="00710B91">
              <w:rPr>
                <w:noProof/>
              </w:rPr>
              <w:t xml:space="preserve"> </w:t>
            </w:r>
            <w:r w:rsidRPr="00710B91">
              <w:rPr>
                <w:noProof/>
              </w:rPr>
              <w:br/>
            </w:r>
            <w:r w:rsidRPr="00710B91">
              <w:rPr>
                <w:b/>
                <w:noProof/>
                <w:sz w:val="22"/>
              </w:rPr>
              <w:t xml:space="preserve">na rzecz </w:t>
            </w:r>
            <w:r w:rsidRPr="00710B91">
              <w:rPr>
                <w:b/>
                <w:noProof/>
              </w:rPr>
              <w:t>eu-LISA</w:t>
            </w:r>
          </w:p>
        </w:tc>
        <w:tc>
          <w:tcPr>
            <w:tcW w:w="1503" w:type="dxa"/>
            <w:vAlign w:val="center"/>
          </w:tcPr>
          <w:p w14:paraId="6B1DFD05" w14:textId="77777777" w:rsidR="00BA350C" w:rsidRPr="00710B91" w:rsidRDefault="00BA350C" w:rsidP="00BA350C">
            <w:pPr>
              <w:rPr>
                <w:noProof/>
                <w:sz w:val="18"/>
              </w:rPr>
            </w:pPr>
            <w:r w:rsidRPr="00710B91">
              <w:rPr>
                <w:noProof/>
                <w:sz w:val="18"/>
              </w:rPr>
              <w:t>Środki na zobowiązania</w:t>
            </w:r>
          </w:p>
        </w:tc>
        <w:tc>
          <w:tcPr>
            <w:tcW w:w="591" w:type="dxa"/>
            <w:vAlign w:val="center"/>
          </w:tcPr>
          <w:p w14:paraId="78809C5A" w14:textId="77777777" w:rsidR="00BA350C" w:rsidRPr="00710B91" w:rsidRDefault="00BA350C" w:rsidP="00BA350C">
            <w:pPr>
              <w:jc w:val="center"/>
              <w:rPr>
                <w:noProof/>
                <w:sz w:val="14"/>
              </w:rPr>
            </w:pPr>
            <w:r w:rsidRPr="00710B91">
              <w:rPr>
                <w:noProof/>
                <w:sz w:val="14"/>
              </w:rPr>
              <w:t>=1+1a +3a</w:t>
            </w:r>
          </w:p>
        </w:tc>
        <w:tc>
          <w:tcPr>
            <w:tcW w:w="868" w:type="dxa"/>
            <w:vAlign w:val="center"/>
          </w:tcPr>
          <w:p w14:paraId="78FB2C7E" w14:textId="77777777" w:rsidR="00BA350C" w:rsidRPr="00710B91" w:rsidRDefault="00BA350C" w:rsidP="00BA350C">
            <w:pPr>
              <w:spacing w:before="20" w:after="20"/>
              <w:jc w:val="right"/>
              <w:rPr>
                <w:noProof/>
                <w:sz w:val="20"/>
                <w:szCs w:val="20"/>
              </w:rPr>
            </w:pPr>
            <w:r w:rsidRPr="00710B91">
              <w:rPr>
                <w:noProof/>
                <w:sz w:val="20"/>
                <w:szCs w:val="20"/>
              </w:rPr>
              <w:t>3,608</w:t>
            </w:r>
          </w:p>
        </w:tc>
        <w:tc>
          <w:tcPr>
            <w:tcW w:w="868" w:type="dxa"/>
            <w:vAlign w:val="center"/>
          </w:tcPr>
          <w:p w14:paraId="56E6CB18" w14:textId="53E3A9DF" w:rsidR="00BA350C" w:rsidRPr="00710B91" w:rsidRDefault="0054088F" w:rsidP="0054088F">
            <w:pPr>
              <w:spacing w:before="20" w:after="20"/>
              <w:jc w:val="right"/>
              <w:rPr>
                <w:noProof/>
                <w:sz w:val="20"/>
                <w:szCs w:val="20"/>
              </w:rPr>
            </w:pPr>
            <w:r w:rsidRPr="00710B91">
              <w:rPr>
                <w:noProof/>
                <w:sz w:val="20"/>
                <w:szCs w:val="20"/>
              </w:rPr>
              <w:t>4,116</w:t>
            </w:r>
          </w:p>
        </w:tc>
        <w:tc>
          <w:tcPr>
            <w:tcW w:w="868" w:type="dxa"/>
            <w:vAlign w:val="center"/>
          </w:tcPr>
          <w:p w14:paraId="6F0A3228" w14:textId="77777777" w:rsidR="00BA350C" w:rsidRPr="00710B91" w:rsidRDefault="00BA350C" w:rsidP="00BA350C">
            <w:pPr>
              <w:spacing w:before="20" w:after="20"/>
              <w:jc w:val="right"/>
              <w:rPr>
                <w:noProof/>
                <w:sz w:val="20"/>
                <w:szCs w:val="20"/>
              </w:rPr>
            </w:pPr>
            <w:r w:rsidRPr="00710B91">
              <w:rPr>
                <w:noProof/>
                <w:sz w:val="20"/>
                <w:szCs w:val="20"/>
              </w:rPr>
              <w:t>3,080</w:t>
            </w:r>
          </w:p>
        </w:tc>
        <w:tc>
          <w:tcPr>
            <w:tcW w:w="868" w:type="dxa"/>
            <w:vAlign w:val="center"/>
          </w:tcPr>
          <w:p w14:paraId="75330B95" w14:textId="77777777" w:rsidR="00BA350C" w:rsidRPr="00710B91" w:rsidRDefault="00BA350C" w:rsidP="00BA350C">
            <w:pPr>
              <w:spacing w:before="20" w:after="20"/>
              <w:jc w:val="right"/>
              <w:rPr>
                <w:noProof/>
                <w:sz w:val="20"/>
                <w:szCs w:val="20"/>
              </w:rPr>
            </w:pPr>
            <w:r w:rsidRPr="00710B91">
              <w:rPr>
                <w:noProof/>
                <w:sz w:val="20"/>
                <w:szCs w:val="20"/>
              </w:rPr>
              <w:t>3,080</w:t>
            </w:r>
          </w:p>
        </w:tc>
        <w:tc>
          <w:tcPr>
            <w:tcW w:w="1777" w:type="dxa"/>
            <w:vAlign w:val="center"/>
          </w:tcPr>
          <w:p w14:paraId="4250586D" w14:textId="404681DD" w:rsidR="00BA350C" w:rsidRPr="00710B91" w:rsidRDefault="00BA350C" w:rsidP="0054088F">
            <w:pPr>
              <w:spacing w:before="20" w:after="20"/>
              <w:jc w:val="right"/>
              <w:rPr>
                <w:b/>
                <w:noProof/>
                <w:sz w:val="20"/>
              </w:rPr>
            </w:pPr>
            <w:r w:rsidRPr="00710B91">
              <w:rPr>
                <w:b/>
                <w:noProof/>
                <w:sz w:val="20"/>
              </w:rPr>
              <w:t>13,884</w:t>
            </w:r>
          </w:p>
        </w:tc>
      </w:tr>
      <w:tr w:rsidR="00BA350C" w:rsidRPr="00710B91" w14:paraId="273BB017" w14:textId="77777777" w:rsidTr="00BA350C">
        <w:trPr>
          <w:jc w:val="center"/>
        </w:trPr>
        <w:tc>
          <w:tcPr>
            <w:tcW w:w="3960" w:type="dxa"/>
            <w:vMerge/>
            <w:vAlign w:val="center"/>
          </w:tcPr>
          <w:p w14:paraId="548DBC0C" w14:textId="77777777" w:rsidR="00BA350C" w:rsidRPr="00710B91" w:rsidRDefault="00BA350C" w:rsidP="00BA350C">
            <w:pPr>
              <w:rPr>
                <w:b/>
                <w:noProof/>
              </w:rPr>
            </w:pPr>
          </w:p>
        </w:tc>
        <w:tc>
          <w:tcPr>
            <w:tcW w:w="1503" w:type="dxa"/>
            <w:vAlign w:val="center"/>
          </w:tcPr>
          <w:p w14:paraId="5C73FBF0" w14:textId="77777777" w:rsidR="00BA350C" w:rsidRPr="00710B91" w:rsidRDefault="00BA350C" w:rsidP="00BA350C">
            <w:pPr>
              <w:rPr>
                <w:noProof/>
                <w:sz w:val="18"/>
              </w:rPr>
            </w:pPr>
            <w:r w:rsidRPr="00710B91">
              <w:rPr>
                <w:noProof/>
                <w:sz w:val="18"/>
              </w:rPr>
              <w:t>Środki na płatności</w:t>
            </w:r>
          </w:p>
        </w:tc>
        <w:tc>
          <w:tcPr>
            <w:tcW w:w="591" w:type="dxa"/>
            <w:vAlign w:val="center"/>
          </w:tcPr>
          <w:p w14:paraId="68950F62" w14:textId="77777777" w:rsidR="00BA350C" w:rsidRPr="00710B91" w:rsidRDefault="00BA350C" w:rsidP="00BA350C">
            <w:pPr>
              <w:jc w:val="center"/>
              <w:rPr>
                <w:noProof/>
                <w:sz w:val="14"/>
              </w:rPr>
            </w:pPr>
            <w:r w:rsidRPr="00710B91">
              <w:rPr>
                <w:noProof/>
                <w:sz w:val="14"/>
              </w:rPr>
              <w:t>=2+2a</w:t>
            </w:r>
          </w:p>
          <w:p w14:paraId="397C23B4" w14:textId="77777777" w:rsidR="00BA350C" w:rsidRPr="00710B91" w:rsidRDefault="00BA350C" w:rsidP="00BA350C">
            <w:pPr>
              <w:jc w:val="center"/>
              <w:rPr>
                <w:noProof/>
                <w:sz w:val="14"/>
              </w:rPr>
            </w:pPr>
            <w:r w:rsidRPr="00710B91">
              <w:rPr>
                <w:noProof/>
                <w:sz w:val="14"/>
              </w:rPr>
              <w:t>+3b</w:t>
            </w:r>
          </w:p>
        </w:tc>
        <w:tc>
          <w:tcPr>
            <w:tcW w:w="868" w:type="dxa"/>
            <w:vAlign w:val="center"/>
          </w:tcPr>
          <w:p w14:paraId="6A7288F4" w14:textId="77777777" w:rsidR="00BA350C" w:rsidRPr="00710B91" w:rsidRDefault="00BA350C" w:rsidP="00BA350C">
            <w:pPr>
              <w:spacing w:before="20" w:after="20"/>
              <w:jc w:val="right"/>
              <w:rPr>
                <w:noProof/>
                <w:sz w:val="20"/>
                <w:szCs w:val="20"/>
              </w:rPr>
            </w:pPr>
            <w:r w:rsidRPr="00710B91">
              <w:rPr>
                <w:noProof/>
                <w:sz w:val="20"/>
                <w:szCs w:val="20"/>
              </w:rPr>
              <w:t>0,608</w:t>
            </w:r>
          </w:p>
        </w:tc>
        <w:tc>
          <w:tcPr>
            <w:tcW w:w="868" w:type="dxa"/>
            <w:vAlign w:val="center"/>
          </w:tcPr>
          <w:p w14:paraId="46FCED4E" w14:textId="77777777" w:rsidR="00BA350C" w:rsidRPr="00710B91" w:rsidRDefault="00BA350C" w:rsidP="00BA350C">
            <w:pPr>
              <w:spacing w:before="20" w:after="20"/>
              <w:jc w:val="right"/>
              <w:rPr>
                <w:noProof/>
                <w:sz w:val="20"/>
                <w:szCs w:val="20"/>
              </w:rPr>
            </w:pPr>
            <w:r w:rsidRPr="00710B91">
              <w:rPr>
                <w:noProof/>
                <w:sz w:val="20"/>
                <w:szCs w:val="20"/>
              </w:rPr>
              <w:t>4,216</w:t>
            </w:r>
          </w:p>
        </w:tc>
        <w:tc>
          <w:tcPr>
            <w:tcW w:w="868" w:type="dxa"/>
            <w:vAlign w:val="center"/>
          </w:tcPr>
          <w:p w14:paraId="70289C0E" w14:textId="66B98A2E" w:rsidR="00BA350C" w:rsidRPr="00710B91" w:rsidRDefault="0054088F" w:rsidP="0054088F">
            <w:pPr>
              <w:spacing w:before="20" w:after="20"/>
              <w:jc w:val="right"/>
              <w:rPr>
                <w:noProof/>
                <w:sz w:val="20"/>
                <w:szCs w:val="20"/>
              </w:rPr>
            </w:pPr>
            <w:r w:rsidRPr="00710B91">
              <w:rPr>
                <w:noProof/>
                <w:sz w:val="20"/>
                <w:szCs w:val="20"/>
              </w:rPr>
              <w:t>5,980</w:t>
            </w:r>
          </w:p>
        </w:tc>
        <w:tc>
          <w:tcPr>
            <w:tcW w:w="868" w:type="dxa"/>
            <w:vAlign w:val="center"/>
          </w:tcPr>
          <w:p w14:paraId="60F7B34E" w14:textId="77777777" w:rsidR="00BA350C" w:rsidRPr="00710B91" w:rsidRDefault="00BA350C" w:rsidP="00BA350C">
            <w:pPr>
              <w:spacing w:before="20" w:after="20"/>
              <w:jc w:val="right"/>
              <w:rPr>
                <w:noProof/>
                <w:sz w:val="20"/>
                <w:szCs w:val="20"/>
              </w:rPr>
            </w:pPr>
            <w:r w:rsidRPr="00710B91">
              <w:rPr>
                <w:noProof/>
                <w:sz w:val="20"/>
                <w:szCs w:val="20"/>
              </w:rPr>
              <w:t>3,080</w:t>
            </w:r>
          </w:p>
        </w:tc>
        <w:tc>
          <w:tcPr>
            <w:tcW w:w="1777" w:type="dxa"/>
            <w:vAlign w:val="center"/>
          </w:tcPr>
          <w:p w14:paraId="19A698AC" w14:textId="2C7ED210" w:rsidR="00BA350C" w:rsidRPr="00710B91" w:rsidRDefault="00BA350C" w:rsidP="0054088F">
            <w:pPr>
              <w:spacing w:before="20" w:after="20"/>
              <w:jc w:val="right"/>
              <w:rPr>
                <w:b/>
                <w:noProof/>
                <w:sz w:val="20"/>
              </w:rPr>
            </w:pPr>
            <w:r w:rsidRPr="00710B91">
              <w:rPr>
                <w:b/>
                <w:noProof/>
                <w:sz w:val="20"/>
              </w:rPr>
              <w:t>13,884</w:t>
            </w:r>
          </w:p>
        </w:tc>
      </w:tr>
    </w:tbl>
    <w:p w14:paraId="375AACEA" w14:textId="33AD2985" w:rsidR="00BA350C" w:rsidRPr="00710B91" w:rsidRDefault="00BA350C" w:rsidP="00BA350C">
      <w:pPr>
        <w:pStyle w:val="Text1"/>
        <w:rPr>
          <w:noProof/>
        </w:rPr>
      </w:pPr>
    </w:p>
    <w:p w14:paraId="39DEFDAA" w14:textId="77777777" w:rsidR="00A728BA" w:rsidRPr="00710B91" w:rsidRDefault="00A728BA" w:rsidP="006F6F3C">
      <w:pPr>
        <w:jc w:val="right"/>
        <w:rPr>
          <w:noProof/>
          <w:sz w:val="18"/>
          <w:szCs w:val="18"/>
        </w:rPr>
      </w:pPr>
      <w:r w:rsidRPr="00710B91">
        <w:rPr>
          <w:noProof/>
          <w:sz w:val="18"/>
          <w:szCs w:val="18"/>
        </w:rPr>
        <w:t>w mln EUR (do trzech miejsc po przecinku)</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744"/>
        <w:gridCol w:w="1080"/>
        <w:gridCol w:w="7817"/>
      </w:tblGrid>
      <w:tr w:rsidR="00A728BA" w:rsidRPr="00710B91" w14:paraId="79CF2A7E" w14:textId="77777777" w:rsidTr="006F6F3C">
        <w:trPr>
          <w:jc w:val="center"/>
        </w:trPr>
        <w:tc>
          <w:tcPr>
            <w:tcW w:w="4744" w:type="dxa"/>
            <w:shd w:val="thinDiagStripe" w:color="C0C0C0" w:fill="auto"/>
            <w:vAlign w:val="center"/>
          </w:tcPr>
          <w:p w14:paraId="3AB63F85" w14:textId="77777777" w:rsidR="00A728BA" w:rsidRPr="00710B91" w:rsidRDefault="00A728BA" w:rsidP="006F6F3C">
            <w:pPr>
              <w:spacing w:before="60" w:after="60"/>
              <w:jc w:val="center"/>
              <w:rPr>
                <w:b/>
                <w:noProof/>
              </w:rPr>
            </w:pPr>
            <w:r w:rsidRPr="00710B91">
              <w:rPr>
                <w:b/>
                <w:noProof/>
                <w:sz w:val="22"/>
              </w:rPr>
              <w:t>Dział wieloletnich</w:t>
            </w:r>
            <w:r w:rsidRPr="00710B91">
              <w:rPr>
                <w:noProof/>
              </w:rPr>
              <w:t xml:space="preserve"> </w:t>
            </w:r>
            <w:r w:rsidRPr="00710B91">
              <w:rPr>
                <w:noProof/>
              </w:rPr>
              <w:br/>
            </w:r>
            <w:r w:rsidRPr="00710B91">
              <w:rPr>
                <w:b/>
                <w:noProof/>
                <w:sz w:val="22"/>
              </w:rPr>
              <w:t xml:space="preserve">ram finansowych </w:t>
            </w:r>
          </w:p>
        </w:tc>
        <w:tc>
          <w:tcPr>
            <w:tcW w:w="1080" w:type="dxa"/>
            <w:vAlign w:val="center"/>
          </w:tcPr>
          <w:p w14:paraId="7CAFA635" w14:textId="77777777" w:rsidR="00A728BA" w:rsidRPr="00710B91" w:rsidRDefault="007D0D6D" w:rsidP="006F6F3C">
            <w:pPr>
              <w:spacing w:before="60" w:after="60"/>
              <w:jc w:val="center"/>
              <w:rPr>
                <w:noProof/>
              </w:rPr>
            </w:pPr>
            <w:r w:rsidRPr="00710B91">
              <w:rPr>
                <w:noProof/>
                <w:sz w:val="22"/>
              </w:rPr>
              <w:t>2</w:t>
            </w:r>
          </w:p>
        </w:tc>
        <w:tc>
          <w:tcPr>
            <w:tcW w:w="7817" w:type="dxa"/>
            <w:vAlign w:val="center"/>
          </w:tcPr>
          <w:p w14:paraId="798837BC" w14:textId="53AF4CEB" w:rsidR="00A728BA" w:rsidRPr="00710B91" w:rsidRDefault="007D0D6D" w:rsidP="006F6F3C">
            <w:pPr>
              <w:spacing w:before="60" w:after="60"/>
              <w:rPr>
                <w:noProof/>
              </w:rPr>
            </w:pPr>
            <w:r w:rsidRPr="00710B91">
              <w:rPr>
                <w:noProof/>
              </w:rPr>
              <w:t>Spójność, odporność</w:t>
            </w:r>
            <w:r w:rsidR="00710B91" w:rsidRPr="00710B91">
              <w:rPr>
                <w:noProof/>
              </w:rPr>
              <w:t xml:space="preserve"> i</w:t>
            </w:r>
            <w:r w:rsidR="00710B91">
              <w:rPr>
                <w:noProof/>
              </w:rPr>
              <w:t> </w:t>
            </w:r>
            <w:r w:rsidR="00710B91" w:rsidRPr="00710B91">
              <w:rPr>
                <w:noProof/>
              </w:rPr>
              <w:t>war</w:t>
            </w:r>
            <w:r w:rsidRPr="00710B91">
              <w:rPr>
                <w:noProof/>
              </w:rPr>
              <w:t>tości</w:t>
            </w:r>
          </w:p>
        </w:tc>
      </w:tr>
    </w:tbl>
    <w:p w14:paraId="1B9E2614" w14:textId="77777777" w:rsidR="00A728BA" w:rsidRPr="00710B91" w:rsidRDefault="00A728BA" w:rsidP="006F6F3C">
      <w:pPr>
        <w:rPr>
          <w:noProof/>
          <w:sz w:val="16"/>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067"/>
        <w:gridCol w:w="1543"/>
        <w:gridCol w:w="607"/>
        <w:gridCol w:w="891"/>
        <w:gridCol w:w="891"/>
        <w:gridCol w:w="891"/>
        <w:gridCol w:w="891"/>
        <w:gridCol w:w="1825"/>
      </w:tblGrid>
      <w:tr w:rsidR="007D0D6D" w:rsidRPr="00710B91" w14:paraId="36EA69F4" w14:textId="77777777" w:rsidTr="007D0D6D">
        <w:trPr>
          <w:trHeight w:val="735"/>
          <w:jc w:val="center"/>
        </w:trPr>
        <w:tc>
          <w:tcPr>
            <w:tcW w:w="4067" w:type="dxa"/>
            <w:vAlign w:val="center"/>
          </w:tcPr>
          <w:p w14:paraId="1D277BF3" w14:textId="77777777" w:rsidR="007D0D6D" w:rsidRPr="00710B91" w:rsidRDefault="007D0D6D" w:rsidP="007D0D6D">
            <w:pPr>
              <w:jc w:val="center"/>
              <w:rPr>
                <w:b/>
                <w:noProof/>
              </w:rPr>
            </w:pPr>
            <w:r w:rsidRPr="00710B91">
              <w:rPr>
                <w:b/>
                <w:noProof/>
              </w:rPr>
              <w:t>Eurojust</w:t>
            </w:r>
          </w:p>
        </w:tc>
        <w:tc>
          <w:tcPr>
            <w:tcW w:w="1543" w:type="dxa"/>
          </w:tcPr>
          <w:p w14:paraId="0ECAD2FA" w14:textId="77777777" w:rsidR="007D0D6D" w:rsidRPr="00710B91" w:rsidRDefault="007D0D6D" w:rsidP="007D0D6D">
            <w:pPr>
              <w:rPr>
                <w:noProof/>
                <w:sz w:val="20"/>
                <w:lang w:eastAsia="en-GB"/>
              </w:rPr>
            </w:pPr>
          </w:p>
        </w:tc>
        <w:tc>
          <w:tcPr>
            <w:tcW w:w="607" w:type="dxa"/>
          </w:tcPr>
          <w:p w14:paraId="160C6F0E" w14:textId="77777777" w:rsidR="007D0D6D" w:rsidRPr="00710B91" w:rsidRDefault="007D0D6D" w:rsidP="007D0D6D">
            <w:pPr>
              <w:jc w:val="center"/>
              <w:rPr>
                <w:noProof/>
                <w:sz w:val="20"/>
                <w:lang w:eastAsia="en-GB"/>
              </w:rPr>
            </w:pPr>
          </w:p>
        </w:tc>
        <w:tc>
          <w:tcPr>
            <w:tcW w:w="891" w:type="dxa"/>
            <w:vAlign w:val="center"/>
          </w:tcPr>
          <w:p w14:paraId="760D2255" w14:textId="77777777" w:rsidR="007D0D6D" w:rsidRPr="00710B91" w:rsidRDefault="007D0D6D" w:rsidP="007D0D6D">
            <w:pPr>
              <w:jc w:val="center"/>
              <w:rPr>
                <w:noProof/>
                <w:sz w:val="20"/>
              </w:rPr>
            </w:pPr>
            <w:r w:rsidRPr="00710B91">
              <w:rPr>
                <w:noProof/>
                <w:sz w:val="20"/>
              </w:rPr>
              <w:t>Rok</w:t>
            </w:r>
            <w:r w:rsidRPr="00710B91">
              <w:rPr>
                <w:noProof/>
              </w:rPr>
              <w:t xml:space="preserve"> </w:t>
            </w:r>
            <w:r w:rsidRPr="00710B91">
              <w:rPr>
                <w:noProof/>
              </w:rPr>
              <w:br/>
            </w:r>
            <w:r w:rsidRPr="00710B91">
              <w:rPr>
                <w:b/>
                <w:noProof/>
                <w:sz w:val="20"/>
              </w:rPr>
              <w:t>2024</w:t>
            </w:r>
            <w:r w:rsidRPr="00710B91">
              <w:rPr>
                <w:rStyle w:val="FootnoteReference"/>
                <w:noProof/>
              </w:rPr>
              <w:footnoteReference w:id="38"/>
            </w:r>
          </w:p>
        </w:tc>
        <w:tc>
          <w:tcPr>
            <w:tcW w:w="891" w:type="dxa"/>
            <w:vAlign w:val="center"/>
          </w:tcPr>
          <w:p w14:paraId="70EB0432" w14:textId="77777777" w:rsidR="007D0D6D" w:rsidRPr="00710B91" w:rsidRDefault="007D0D6D" w:rsidP="007D0D6D">
            <w:pPr>
              <w:jc w:val="center"/>
              <w:rPr>
                <w:noProof/>
                <w:sz w:val="20"/>
              </w:rPr>
            </w:pPr>
            <w:r w:rsidRPr="00710B91">
              <w:rPr>
                <w:noProof/>
                <w:sz w:val="20"/>
              </w:rPr>
              <w:t>Rok</w:t>
            </w:r>
            <w:r w:rsidRPr="00710B91">
              <w:rPr>
                <w:noProof/>
              </w:rPr>
              <w:t xml:space="preserve"> </w:t>
            </w:r>
            <w:r w:rsidRPr="00710B91">
              <w:rPr>
                <w:noProof/>
              </w:rPr>
              <w:br/>
            </w:r>
            <w:r w:rsidRPr="00710B91">
              <w:rPr>
                <w:b/>
                <w:noProof/>
                <w:sz w:val="20"/>
              </w:rPr>
              <w:t>2025</w:t>
            </w:r>
          </w:p>
        </w:tc>
        <w:tc>
          <w:tcPr>
            <w:tcW w:w="891" w:type="dxa"/>
            <w:vAlign w:val="center"/>
          </w:tcPr>
          <w:p w14:paraId="030CF2F8" w14:textId="77777777" w:rsidR="007D0D6D" w:rsidRPr="00710B91" w:rsidRDefault="007D0D6D" w:rsidP="007D0D6D">
            <w:pPr>
              <w:jc w:val="center"/>
              <w:rPr>
                <w:noProof/>
                <w:sz w:val="20"/>
              </w:rPr>
            </w:pPr>
            <w:r w:rsidRPr="00710B91">
              <w:rPr>
                <w:noProof/>
                <w:sz w:val="20"/>
              </w:rPr>
              <w:t>Rok</w:t>
            </w:r>
            <w:r w:rsidRPr="00710B91">
              <w:rPr>
                <w:noProof/>
              </w:rPr>
              <w:t xml:space="preserve"> </w:t>
            </w:r>
            <w:r w:rsidRPr="00710B91">
              <w:rPr>
                <w:noProof/>
              </w:rPr>
              <w:br/>
            </w:r>
            <w:r w:rsidRPr="00710B91">
              <w:rPr>
                <w:b/>
                <w:noProof/>
                <w:sz w:val="20"/>
              </w:rPr>
              <w:t>2026</w:t>
            </w:r>
          </w:p>
        </w:tc>
        <w:tc>
          <w:tcPr>
            <w:tcW w:w="891" w:type="dxa"/>
            <w:vAlign w:val="center"/>
          </w:tcPr>
          <w:p w14:paraId="22D1D0DD" w14:textId="77777777" w:rsidR="007D0D6D" w:rsidRPr="00710B91" w:rsidRDefault="007D0D6D" w:rsidP="007D0D6D">
            <w:pPr>
              <w:jc w:val="center"/>
              <w:rPr>
                <w:noProof/>
                <w:sz w:val="20"/>
              </w:rPr>
            </w:pPr>
            <w:r w:rsidRPr="00710B91">
              <w:rPr>
                <w:noProof/>
                <w:sz w:val="20"/>
              </w:rPr>
              <w:t>Rok</w:t>
            </w:r>
            <w:r w:rsidRPr="00710B91">
              <w:rPr>
                <w:noProof/>
              </w:rPr>
              <w:t xml:space="preserve"> </w:t>
            </w:r>
            <w:r w:rsidRPr="00710B91">
              <w:rPr>
                <w:noProof/>
              </w:rPr>
              <w:br/>
            </w:r>
            <w:r w:rsidRPr="00710B91">
              <w:rPr>
                <w:b/>
                <w:noProof/>
                <w:sz w:val="20"/>
              </w:rPr>
              <w:t>2027</w:t>
            </w:r>
          </w:p>
        </w:tc>
        <w:tc>
          <w:tcPr>
            <w:tcW w:w="1825" w:type="dxa"/>
            <w:vAlign w:val="center"/>
          </w:tcPr>
          <w:p w14:paraId="66466DAD" w14:textId="77777777" w:rsidR="007D0D6D" w:rsidRPr="00710B91" w:rsidRDefault="007D0D6D" w:rsidP="007D0D6D">
            <w:pPr>
              <w:jc w:val="center"/>
              <w:rPr>
                <w:b/>
                <w:noProof/>
                <w:sz w:val="20"/>
              </w:rPr>
            </w:pPr>
            <w:r w:rsidRPr="00710B91">
              <w:rPr>
                <w:b/>
                <w:noProof/>
                <w:sz w:val="20"/>
              </w:rPr>
              <w:t>OGÓŁEM 2024–2027</w:t>
            </w:r>
          </w:p>
        </w:tc>
      </w:tr>
      <w:tr w:rsidR="007D0D6D" w:rsidRPr="00710B91" w14:paraId="688FFABE" w14:textId="77777777" w:rsidTr="007D0D6D">
        <w:trPr>
          <w:trHeight w:val="294"/>
          <w:jc w:val="center"/>
        </w:trPr>
        <w:tc>
          <w:tcPr>
            <w:tcW w:w="4067" w:type="dxa"/>
            <w:vMerge w:val="restart"/>
            <w:vAlign w:val="center"/>
          </w:tcPr>
          <w:p w14:paraId="59EF82E4" w14:textId="77777777" w:rsidR="007D0D6D" w:rsidRPr="00710B91" w:rsidRDefault="007D0D6D" w:rsidP="007D0D6D">
            <w:pPr>
              <w:rPr>
                <w:noProof/>
              </w:rPr>
            </w:pPr>
            <w:r w:rsidRPr="00710B91">
              <w:rPr>
                <w:noProof/>
                <w:sz w:val="20"/>
              </w:rPr>
              <w:t>Tytuł 1: Wydatki na personel</w:t>
            </w:r>
          </w:p>
        </w:tc>
        <w:tc>
          <w:tcPr>
            <w:tcW w:w="1543" w:type="dxa"/>
            <w:vAlign w:val="center"/>
          </w:tcPr>
          <w:p w14:paraId="547D4915" w14:textId="77777777" w:rsidR="007D0D6D" w:rsidRPr="00710B91" w:rsidRDefault="007D0D6D" w:rsidP="007D0D6D">
            <w:pPr>
              <w:spacing w:before="20" w:after="20"/>
              <w:rPr>
                <w:noProof/>
              </w:rPr>
            </w:pPr>
            <w:r w:rsidRPr="00710B91">
              <w:rPr>
                <w:noProof/>
                <w:sz w:val="18"/>
              </w:rPr>
              <w:t>Środki na zobowiązania</w:t>
            </w:r>
          </w:p>
        </w:tc>
        <w:tc>
          <w:tcPr>
            <w:tcW w:w="607" w:type="dxa"/>
            <w:vAlign w:val="center"/>
          </w:tcPr>
          <w:p w14:paraId="656985D1" w14:textId="77777777" w:rsidR="007D0D6D" w:rsidRPr="00710B91" w:rsidRDefault="007D0D6D" w:rsidP="007D0D6D">
            <w:pPr>
              <w:spacing w:before="20" w:after="20"/>
              <w:jc w:val="center"/>
              <w:rPr>
                <w:noProof/>
                <w:sz w:val="14"/>
              </w:rPr>
            </w:pPr>
            <w:r w:rsidRPr="00710B91">
              <w:rPr>
                <w:noProof/>
                <w:sz w:val="14"/>
              </w:rPr>
              <w:t>(1)</w:t>
            </w:r>
          </w:p>
        </w:tc>
        <w:tc>
          <w:tcPr>
            <w:tcW w:w="891" w:type="dxa"/>
            <w:vAlign w:val="center"/>
          </w:tcPr>
          <w:p w14:paraId="1C3F7EF1" w14:textId="77777777" w:rsidR="007D0D6D" w:rsidRPr="00710B91" w:rsidRDefault="007D0D6D" w:rsidP="007D0D6D">
            <w:pPr>
              <w:spacing w:before="20" w:after="20"/>
              <w:jc w:val="right"/>
              <w:rPr>
                <w:noProof/>
                <w:sz w:val="20"/>
                <w:lang w:eastAsia="en-GB"/>
              </w:rPr>
            </w:pPr>
          </w:p>
        </w:tc>
        <w:tc>
          <w:tcPr>
            <w:tcW w:w="891" w:type="dxa"/>
            <w:vAlign w:val="center"/>
          </w:tcPr>
          <w:p w14:paraId="4AF59920" w14:textId="7E69E468" w:rsidR="007D0D6D" w:rsidRPr="00710B91" w:rsidRDefault="007D0D6D" w:rsidP="0083161E">
            <w:pPr>
              <w:spacing w:before="20" w:after="20"/>
              <w:jc w:val="right"/>
              <w:rPr>
                <w:noProof/>
                <w:sz w:val="20"/>
              </w:rPr>
            </w:pPr>
            <w:r w:rsidRPr="00710B91">
              <w:rPr>
                <w:noProof/>
                <w:sz w:val="20"/>
              </w:rPr>
              <w:t>0,086</w:t>
            </w:r>
          </w:p>
        </w:tc>
        <w:tc>
          <w:tcPr>
            <w:tcW w:w="891" w:type="dxa"/>
            <w:vAlign w:val="center"/>
          </w:tcPr>
          <w:p w14:paraId="4B003598" w14:textId="68B87787" w:rsidR="007D0D6D" w:rsidRPr="00710B91" w:rsidRDefault="007D0D6D" w:rsidP="0083161E">
            <w:pPr>
              <w:spacing w:before="20" w:after="20"/>
              <w:jc w:val="right"/>
              <w:rPr>
                <w:noProof/>
                <w:sz w:val="20"/>
              </w:rPr>
            </w:pPr>
            <w:r w:rsidRPr="00710B91">
              <w:rPr>
                <w:noProof/>
                <w:sz w:val="20"/>
              </w:rPr>
              <w:t>0,346</w:t>
            </w:r>
          </w:p>
        </w:tc>
        <w:tc>
          <w:tcPr>
            <w:tcW w:w="891" w:type="dxa"/>
          </w:tcPr>
          <w:p w14:paraId="6214E14F" w14:textId="4B3CCFF9" w:rsidR="007D0D6D" w:rsidRPr="00710B91" w:rsidRDefault="007D0D6D" w:rsidP="0083161E">
            <w:pPr>
              <w:spacing w:before="20" w:after="20"/>
              <w:jc w:val="right"/>
              <w:rPr>
                <w:noProof/>
                <w:sz w:val="20"/>
              </w:rPr>
            </w:pPr>
            <w:r w:rsidRPr="00710B91">
              <w:rPr>
                <w:noProof/>
                <w:sz w:val="20"/>
              </w:rPr>
              <w:t>0,519</w:t>
            </w:r>
          </w:p>
        </w:tc>
        <w:tc>
          <w:tcPr>
            <w:tcW w:w="1825" w:type="dxa"/>
            <w:vAlign w:val="center"/>
          </w:tcPr>
          <w:p w14:paraId="56146C6A" w14:textId="4709ABE6" w:rsidR="007D0D6D" w:rsidRPr="00710B91" w:rsidRDefault="0083161E" w:rsidP="0083161E">
            <w:pPr>
              <w:spacing w:before="20" w:after="20"/>
              <w:jc w:val="right"/>
              <w:rPr>
                <w:b/>
                <w:noProof/>
                <w:sz w:val="20"/>
              </w:rPr>
            </w:pPr>
            <w:r w:rsidRPr="00710B91">
              <w:rPr>
                <w:b/>
                <w:noProof/>
                <w:sz w:val="20"/>
              </w:rPr>
              <w:t>0,951</w:t>
            </w:r>
          </w:p>
        </w:tc>
      </w:tr>
      <w:tr w:rsidR="007D0D6D" w:rsidRPr="00710B91" w14:paraId="6E00BF7F" w14:textId="77777777" w:rsidTr="007D0D6D">
        <w:trPr>
          <w:trHeight w:val="297"/>
          <w:jc w:val="center"/>
        </w:trPr>
        <w:tc>
          <w:tcPr>
            <w:tcW w:w="4067" w:type="dxa"/>
            <w:vMerge/>
            <w:vAlign w:val="center"/>
          </w:tcPr>
          <w:p w14:paraId="76933BDD" w14:textId="77777777" w:rsidR="007D0D6D" w:rsidRPr="00710B91" w:rsidRDefault="007D0D6D" w:rsidP="007D0D6D">
            <w:pPr>
              <w:rPr>
                <w:noProof/>
                <w:lang w:eastAsia="en-GB"/>
              </w:rPr>
            </w:pPr>
          </w:p>
        </w:tc>
        <w:tc>
          <w:tcPr>
            <w:tcW w:w="1543" w:type="dxa"/>
            <w:vAlign w:val="center"/>
          </w:tcPr>
          <w:p w14:paraId="096C7C42" w14:textId="77777777" w:rsidR="007D0D6D" w:rsidRPr="00710B91" w:rsidRDefault="007D0D6D" w:rsidP="007D0D6D">
            <w:pPr>
              <w:spacing w:before="20" w:after="20"/>
              <w:rPr>
                <w:noProof/>
                <w:sz w:val="18"/>
              </w:rPr>
            </w:pPr>
            <w:r w:rsidRPr="00710B91">
              <w:rPr>
                <w:noProof/>
                <w:sz w:val="18"/>
              </w:rPr>
              <w:t>Środki na płatności</w:t>
            </w:r>
          </w:p>
        </w:tc>
        <w:tc>
          <w:tcPr>
            <w:tcW w:w="607" w:type="dxa"/>
            <w:vAlign w:val="center"/>
          </w:tcPr>
          <w:p w14:paraId="21E7A3E7" w14:textId="77777777" w:rsidR="007D0D6D" w:rsidRPr="00710B91" w:rsidRDefault="007D0D6D" w:rsidP="007D0D6D">
            <w:pPr>
              <w:spacing w:before="20" w:after="20"/>
              <w:jc w:val="center"/>
              <w:rPr>
                <w:noProof/>
                <w:sz w:val="14"/>
              </w:rPr>
            </w:pPr>
            <w:r w:rsidRPr="00710B91">
              <w:rPr>
                <w:noProof/>
                <w:sz w:val="14"/>
              </w:rPr>
              <w:t>(2)</w:t>
            </w:r>
          </w:p>
        </w:tc>
        <w:tc>
          <w:tcPr>
            <w:tcW w:w="891" w:type="dxa"/>
            <w:vAlign w:val="center"/>
          </w:tcPr>
          <w:p w14:paraId="4E87AA09" w14:textId="77777777" w:rsidR="007D0D6D" w:rsidRPr="00710B91" w:rsidRDefault="007D0D6D" w:rsidP="007D0D6D">
            <w:pPr>
              <w:spacing w:before="20" w:after="20"/>
              <w:jc w:val="right"/>
              <w:rPr>
                <w:noProof/>
                <w:sz w:val="20"/>
                <w:lang w:eastAsia="en-GB"/>
              </w:rPr>
            </w:pPr>
          </w:p>
        </w:tc>
        <w:tc>
          <w:tcPr>
            <w:tcW w:w="891" w:type="dxa"/>
            <w:vAlign w:val="center"/>
          </w:tcPr>
          <w:p w14:paraId="4593024C" w14:textId="1E50DE58" w:rsidR="007D0D6D" w:rsidRPr="00710B91" w:rsidRDefault="007D0D6D" w:rsidP="0083161E">
            <w:pPr>
              <w:spacing w:before="20" w:after="20"/>
              <w:jc w:val="right"/>
              <w:rPr>
                <w:noProof/>
                <w:sz w:val="20"/>
              </w:rPr>
            </w:pPr>
            <w:r w:rsidRPr="00710B91">
              <w:rPr>
                <w:noProof/>
                <w:sz w:val="20"/>
              </w:rPr>
              <w:t>0,086</w:t>
            </w:r>
          </w:p>
        </w:tc>
        <w:tc>
          <w:tcPr>
            <w:tcW w:w="891" w:type="dxa"/>
            <w:vAlign w:val="center"/>
          </w:tcPr>
          <w:p w14:paraId="33CBEE15" w14:textId="3C8CA519" w:rsidR="007D0D6D" w:rsidRPr="00710B91" w:rsidRDefault="007D0D6D" w:rsidP="007D0D6D">
            <w:pPr>
              <w:spacing w:before="20" w:after="20"/>
              <w:jc w:val="right"/>
              <w:rPr>
                <w:noProof/>
                <w:sz w:val="20"/>
              </w:rPr>
            </w:pPr>
            <w:r w:rsidRPr="00710B91">
              <w:rPr>
                <w:noProof/>
                <w:sz w:val="20"/>
              </w:rPr>
              <w:t>0,346</w:t>
            </w:r>
          </w:p>
        </w:tc>
        <w:tc>
          <w:tcPr>
            <w:tcW w:w="891" w:type="dxa"/>
          </w:tcPr>
          <w:p w14:paraId="3179789E" w14:textId="300207D7" w:rsidR="007D0D6D" w:rsidRPr="00710B91" w:rsidRDefault="007D0D6D" w:rsidP="0083161E">
            <w:pPr>
              <w:spacing w:before="20" w:after="20"/>
              <w:jc w:val="right"/>
              <w:rPr>
                <w:noProof/>
                <w:sz w:val="20"/>
              </w:rPr>
            </w:pPr>
            <w:r w:rsidRPr="00710B91">
              <w:rPr>
                <w:noProof/>
                <w:sz w:val="20"/>
              </w:rPr>
              <w:t>0,519</w:t>
            </w:r>
          </w:p>
        </w:tc>
        <w:tc>
          <w:tcPr>
            <w:tcW w:w="1825" w:type="dxa"/>
          </w:tcPr>
          <w:p w14:paraId="1C1508D6" w14:textId="49D818F4" w:rsidR="007D0D6D" w:rsidRPr="00710B91" w:rsidRDefault="0083161E" w:rsidP="0083161E">
            <w:pPr>
              <w:spacing w:before="20" w:after="20"/>
              <w:jc w:val="right"/>
              <w:rPr>
                <w:b/>
                <w:noProof/>
                <w:sz w:val="20"/>
              </w:rPr>
            </w:pPr>
            <w:r w:rsidRPr="00710B91">
              <w:rPr>
                <w:b/>
                <w:noProof/>
                <w:sz w:val="20"/>
              </w:rPr>
              <w:t>0,951</w:t>
            </w:r>
          </w:p>
        </w:tc>
      </w:tr>
      <w:tr w:rsidR="007D0D6D" w:rsidRPr="00710B91" w14:paraId="6258269B" w14:textId="77777777" w:rsidTr="007D0D6D">
        <w:trPr>
          <w:trHeight w:val="283"/>
          <w:jc w:val="center"/>
        </w:trPr>
        <w:tc>
          <w:tcPr>
            <w:tcW w:w="4067" w:type="dxa"/>
            <w:vMerge w:val="restart"/>
            <w:vAlign w:val="center"/>
          </w:tcPr>
          <w:p w14:paraId="2DBF6F76" w14:textId="290D7A60" w:rsidR="007D0D6D" w:rsidRPr="00710B91" w:rsidRDefault="007D0D6D" w:rsidP="007D0D6D">
            <w:pPr>
              <w:rPr>
                <w:noProof/>
              </w:rPr>
            </w:pPr>
            <w:r w:rsidRPr="00710B91">
              <w:rPr>
                <w:noProof/>
                <w:sz w:val="20"/>
              </w:rPr>
              <w:t>Tytuł 2: Wydatki na infrastrukturę</w:t>
            </w:r>
            <w:r w:rsidR="00710B91" w:rsidRPr="00710B91">
              <w:rPr>
                <w:noProof/>
                <w:sz w:val="20"/>
              </w:rPr>
              <w:t xml:space="preserve"> i</w:t>
            </w:r>
            <w:r w:rsidR="00710B91">
              <w:rPr>
                <w:noProof/>
                <w:sz w:val="20"/>
              </w:rPr>
              <w:t> </w:t>
            </w:r>
            <w:r w:rsidR="00710B91" w:rsidRPr="00710B91">
              <w:rPr>
                <w:noProof/>
                <w:sz w:val="20"/>
              </w:rPr>
              <w:t>wyd</w:t>
            </w:r>
            <w:r w:rsidRPr="00710B91">
              <w:rPr>
                <w:noProof/>
                <w:sz w:val="20"/>
              </w:rPr>
              <w:t>atki administracyjne</w:t>
            </w:r>
          </w:p>
        </w:tc>
        <w:tc>
          <w:tcPr>
            <w:tcW w:w="1543" w:type="dxa"/>
            <w:vAlign w:val="center"/>
          </w:tcPr>
          <w:p w14:paraId="2423D351" w14:textId="77777777" w:rsidR="007D0D6D" w:rsidRPr="00710B91" w:rsidRDefault="007D0D6D" w:rsidP="007D0D6D">
            <w:pPr>
              <w:spacing w:before="20" w:after="20"/>
              <w:rPr>
                <w:noProof/>
                <w:sz w:val="18"/>
              </w:rPr>
            </w:pPr>
            <w:r w:rsidRPr="00710B91">
              <w:rPr>
                <w:noProof/>
                <w:sz w:val="18"/>
              </w:rPr>
              <w:t>Środki na zobowiązania</w:t>
            </w:r>
          </w:p>
        </w:tc>
        <w:tc>
          <w:tcPr>
            <w:tcW w:w="607" w:type="dxa"/>
            <w:vAlign w:val="center"/>
          </w:tcPr>
          <w:p w14:paraId="0D6E8EEA" w14:textId="77777777" w:rsidR="007D0D6D" w:rsidRPr="00710B91" w:rsidRDefault="007D0D6D" w:rsidP="007D0D6D">
            <w:pPr>
              <w:spacing w:before="20" w:after="20"/>
              <w:jc w:val="center"/>
              <w:rPr>
                <w:noProof/>
                <w:sz w:val="14"/>
              </w:rPr>
            </w:pPr>
            <w:r w:rsidRPr="00710B91">
              <w:rPr>
                <w:noProof/>
                <w:sz w:val="14"/>
              </w:rPr>
              <w:t>(1a)</w:t>
            </w:r>
          </w:p>
        </w:tc>
        <w:tc>
          <w:tcPr>
            <w:tcW w:w="891" w:type="dxa"/>
            <w:vAlign w:val="center"/>
          </w:tcPr>
          <w:p w14:paraId="656D5B3B" w14:textId="77777777" w:rsidR="007D0D6D" w:rsidRPr="00710B91" w:rsidRDefault="007D0D6D" w:rsidP="007D0D6D">
            <w:pPr>
              <w:spacing w:before="20" w:after="20"/>
              <w:jc w:val="right"/>
              <w:rPr>
                <w:noProof/>
                <w:sz w:val="20"/>
                <w:lang w:eastAsia="en-GB"/>
              </w:rPr>
            </w:pPr>
          </w:p>
        </w:tc>
        <w:tc>
          <w:tcPr>
            <w:tcW w:w="891" w:type="dxa"/>
            <w:vAlign w:val="center"/>
          </w:tcPr>
          <w:p w14:paraId="2F51D76D" w14:textId="77777777" w:rsidR="007D0D6D" w:rsidRPr="00710B91" w:rsidRDefault="007D0D6D" w:rsidP="007D0D6D">
            <w:pPr>
              <w:spacing w:before="20" w:after="20"/>
              <w:jc w:val="right"/>
              <w:rPr>
                <w:noProof/>
                <w:sz w:val="20"/>
                <w:lang w:eastAsia="en-GB"/>
              </w:rPr>
            </w:pPr>
          </w:p>
        </w:tc>
        <w:tc>
          <w:tcPr>
            <w:tcW w:w="891" w:type="dxa"/>
            <w:vAlign w:val="center"/>
          </w:tcPr>
          <w:p w14:paraId="71C24723" w14:textId="77777777" w:rsidR="007D0D6D" w:rsidRPr="00710B91" w:rsidRDefault="007D0D6D" w:rsidP="007D0D6D">
            <w:pPr>
              <w:spacing w:before="20" w:after="20"/>
              <w:jc w:val="right"/>
              <w:rPr>
                <w:noProof/>
                <w:sz w:val="20"/>
                <w:lang w:eastAsia="en-GB"/>
              </w:rPr>
            </w:pPr>
          </w:p>
        </w:tc>
        <w:tc>
          <w:tcPr>
            <w:tcW w:w="891" w:type="dxa"/>
            <w:vAlign w:val="center"/>
          </w:tcPr>
          <w:p w14:paraId="4530020D" w14:textId="77777777" w:rsidR="007D0D6D" w:rsidRPr="00710B91" w:rsidRDefault="007D0D6D" w:rsidP="007D0D6D">
            <w:pPr>
              <w:spacing w:before="20" w:after="20"/>
              <w:jc w:val="right"/>
              <w:rPr>
                <w:noProof/>
                <w:sz w:val="20"/>
                <w:lang w:eastAsia="en-GB"/>
              </w:rPr>
            </w:pPr>
          </w:p>
        </w:tc>
        <w:tc>
          <w:tcPr>
            <w:tcW w:w="1825" w:type="dxa"/>
            <w:vAlign w:val="center"/>
          </w:tcPr>
          <w:p w14:paraId="5DCB7BC5" w14:textId="77777777" w:rsidR="007D0D6D" w:rsidRPr="00710B91" w:rsidRDefault="007D0D6D" w:rsidP="007D0D6D">
            <w:pPr>
              <w:spacing w:before="20" w:after="20"/>
              <w:jc w:val="right"/>
              <w:rPr>
                <w:b/>
                <w:noProof/>
                <w:sz w:val="20"/>
                <w:lang w:eastAsia="en-GB"/>
              </w:rPr>
            </w:pPr>
          </w:p>
        </w:tc>
      </w:tr>
      <w:tr w:rsidR="007D0D6D" w:rsidRPr="00710B91" w14:paraId="20C9857F" w14:textId="77777777" w:rsidTr="007D0D6D">
        <w:trPr>
          <w:trHeight w:val="453"/>
          <w:jc w:val="center"/>
        </w:trPr>
        <w:tc>
          <w:tcPr>
            <w:tcW w:w="4067" w:type="dxa"/>
            <w:vMerge/>
            <w:vAlign w:val="center"/>
          </w:tcPr>
          <w:p w14:paraId="6ACDF3AE" w14:textId="77777777" w:rsidR="007D0D6D" w:rsidRPr="00710B91" w:rsidRDefault="007D0D6D" w:rsidP="007D0D6D">
            <w:pPr>
              <w:rPr>
                <w:noProof/>
                <w:lang w:eastAsia="en-GB"/>
              </w:rPr>
            </w:pPr>
          </w:p>
        </w:tc>
        <w:tc>
          <w:tcPr>
            <w:tcW w:w="1543" w:type="dxa"/>
            <w:vAlign w:val="center"/>
          </w:tcPr>
          <w:p w14:paraId="7A0A3F36" w14:textId="77777777" w:rsidR="007D0D6D" w:rsidRPr="00710B91" w:rsidRDefault="007D0D6D" w:rsidP="007D0D6D">
            <w:pPr>
              <w:spacing w:before="20" w:after="20"/>
              <w:rPr>
                <w:noProof/>
                <w:sz w:val="18"/>
              </w:rPr>
            </w:pPr>
            <w:r w:rsidRPr="00710B91">
              <w:rPr>
                <w:noProof/>
                <w:sz w:val="18"/>
              </w:rPr>
              <w:t>Środki na płatności</w:t>
            </w:r>
          </w:p>
        </w:tc>
        <w:tc>
          <w:tcPr>
            <w:tcW w:w="607" w:type="dxa"/>
            <w:vAlign w:val="center"/>
          </w:tcPr>
          <w:p w14:paraId="7627F51F" w14:textId="77777777" w:rsidR="007D0D6D" w:rsidRPr="00710B91" w:rsidRDefault="007D0D6D" w:rsidP="007D0D6D">
            <w:pPr>
              <w:spacing w:before="20" w:after="20"/>
              <w:jc w:val="center"/>
              <w:rPr>
                <w:noProof/>
                <w:sz w:val="14"/>
              </w:rPr>
            </w:pPr>
            <w:r w:rsidRPr="00710B91">
              <w:rPr>
                <w:noProof/>
                <w:sz w:val="14"/>
              </w:rPr>
              <w:t>(2a)</w:t>
            </w:r>
          </w:p>
        </w:tc>
        <w:tc>
          <w:tcPr>
            <w:tcW w:w="891" w:type="dxa"/>
            <w:vAlign w:val="center"/>
          </w:tcPr>
          <w:p w14:paraId="75F3A5DD" w14:textId="77777777" w:rsidR="007D0D6D" w:rsidRPr="00710B91" w:rsidRDefault="007D0D6D" w:rsidP="007D0D6D">
            <w:pPr>
              <w:spacing w:before="20" w:after="20"/>
              <w:jc w:val="right"/>
              <w:rPr>
                <w:noProof/>
                <w:sz w:val="20"/>
                <w:lang w:eastAsia="en-GB"/>
              </w:rPr>
            </w:pPr>
          </w:p>
        </w:tc>
        <w:tc>
          <w:tcPr>
            <w:tcW w:w="891" w:type="dxa"/>
            <w:vAlign w:val="center"/>
          </w:tcPr>
          <w:p w14:paraId="1F2EF604" w14:textId="77777777" w:rsidR="007D0D6D" w:rsidRPr="00710B91" w:rsidRDefault="007D0D6D" w:rsidP="007D0D6D">
            <w:pPr>
              <w:spacing w:before="20" w:after="20"/>
              <w:jc w:val="right"/>
              <w:rPr>
                <w:noProof/>
                <w:sz w:val="20"/>
                <w:lang w:eastAsia="en-GB"/>
              </w:rPr>
            </w:pPr>
          </w:p>
        </w:tc>
        <w:tc>
          <w:tcPr>
            <w:tcW w:w="891" w:type="dxa"/>
            <w:vAlign w:val="center"/>
          </w:tcPr>
          <w:p w14:paraId="67A0AC20" w14:textId="77777777" w:rsidR="007D0D6D" w:rsidRPr="00710B91" w:rsidRDefault="007D0D6D" w:rsidP="007D0D6D">
            <w:pPr>
              <w:spacing w:before="20" w:after="20"/>
              <w:jc w:val="right"/>
              <w:rPr>
                <w:noProof/>
                <w:sz w:val="20"/>
                <w:lang w:eastAsia="en-GB"/>
              </w:rPr>
            </w:pPr>
          </w:p>
        </w:tc>
        <w:tc>
          <w:tcPr>
            <w:tcW w:w="891" w:type="dxa"/>
            <w:vAlign w:val="center"/>
          </w:tcPr>
          <w:p w14:paraId="19F83C11" w14:textId="77777777" w:rsidR="007D0D6D" w:rsidRPr="00710B91" w:rsidRDefault="007D0D6D" w:rsidP="007D0D6D">
            <w:pPr>
              <w:spacing w:before="20" w:after="20"/>
              <w:jc w:val="right"/>
              <w:rPr>
                <w:noProof/>
                <w:sz w:val="20"/>
                <w:lang w:eastAsia="en-GB"/>
              </w:rPr>
            </w:pPr>
          </w:p>
        </w:tc>
        <w:tc>
          <w:tcPr>
            <w:tcW w:w="1825" w:type="dxa"/>
            <w:vAlign w:val="center"/>
          </w:tcPr>
          <w:p w14:paraId="632515FD" w14:textId="77777777" w:rsidR="007D0D6D" w:rsidRPr="00710B91" w:rsidRDefault="007D0D6D" w:rsidP="007D0D6D">
            <w:pPr>
              <w:spacing w:before="20" w:after="20"/>
              <w:jc w:val="right"/>
              <w:rPr>
                <w:b/>
                <w:noProof/>
                <w:sz w:val="20"/>
                <w:lang w:eastAsia="en-GB"/>
              </w:rPr>
            </w:pPr>
          </w:p>
        </w:tc>
      </w:tr>
      <w:tr w:rsidR="007D0D6D" w:rsidRPr="00710B91" w14:paraId="63EB2CC3" w14:textId="77777777" w:rsidTr="007D0D6D">
        <w:trPr>
          <w:trHeight w:val="338"/>
          <w:jc w:val="center"/>
        </w:trPr>
        <w:tc>
          <w:tcPr>
            <w:tcW w:w="4067" w:type="dxa"/>
            <w:vMerge w:val="restart"/>
            <w:vAlign w:val="center"/>
          </w:tcPr>
          <w:p w14:paraId="6E1312E7" w14:textId="77777777" w:rsidR="007D0D6D" w:rsidRPr="00710B91" w:rsidRDefault="007D0D6D" w:rsidP="007D0D6D">
            <w:pPr>
              <w:rPr>
                <w:noProof/>
                <w:sz w:val="20"/>
              </w:rPr>
            </w:pPr>
            <w:r w:rsidRPr="00710B91">
              <w:rPr>
                <w:noProof/>
                <w:sz w:val="20"/>
              </w:rPr>
              <w:t>Tytuł 3: Wydatki operacyjne</w:t>
            </w:r>
          </w:p>
        </w:tc>
        <w:tc>
          <w:tcPr>
            <w:tcW w:w="1543" w:type="dxa"/>
            <w:vAlign w:val="center"/>
          </w:tcPr>
          <w:p w14:paraId="6CC929D7" w14:textId="77777777" w:rsidR="007D0D6D" w:rsidRPr="00710B91" w:rsidRDefault="007D0D6D" w:rsidP="007D0D6D">
            <w:pPr>
              <w:spacing w:before="40" w:after="40"/>
              <w:rPr>
                <w:noProof/>
                <w:sz w:val="18"/>
              </w:rPr>
            </w:pPr>
            <w:r w:rsidRPr="00710B91">
              <w:rPr>
                <w:noProof/>
                <w:sz w:val="18"/>
              </w:rPr>
              <w:t>Środki na zobowiązania</w:t>
            </w:r>
          </w:p>
        </w:tc>
        <w:tc>
          <w:tcPr>
            <w:tcW w:w="607" w:type="dxa"/>
            <w:vAlign w:val="center"/>
          </w:tcPr>
          <w:p w14:paraId="7C571C1B" w14:textId="77777777" w:rsidR="007D0D6D" w:rsidRPr="00710B91" w:rsidRDefault="007D0D6D" w:rsidP="007D0D6D">
            <w:pPr>
              <w:spacing w:before="40" w:after="40"/>
              <w:jc w:val="center"/>
              <w:rPr>
                <w:noProof/>
                <w:sz w:val="14"/>
              </w:rPr>
            </w:pPr>
            <w:r w:rsidRPr="00710B91">
              <w:rPr>
                <w:noProof/>
                <w:sz w:val="14"/>
              </w:rPr>
              <w:t>(3a)</w:t>
            </w:r>
          </w:p>
        </w:tc>
        <w:tc>
          <w:tcPr>
            <w:tcW w:w="891" w:type="dxa"/>
            <w:vAlign w:val="center"/>
          </w:tcPr>
          <w:p w14:paraId="34DE3384" w14:textId="77777777" w:rsidR="007D0D6D" w:rsidRPr="00710B91" w:rsidRDefault="007D0D6D" w:rsidP="007D0D6D">
            <w:pPr>
              <w:spacing w:before="40" w:after="40"/>
              <w:jc w:val="right"/>
              <w:rPr>
                <w:noProof/>
                <w:sz w:val="20"/>
                <w:lang w:eastAsia="en-GB"/>
              </w:rPr>
            </w:pPr>
          </w:p>
        </w:tc>
        <w:tc>
          <w:tcPr>
            <w:tcW w:w="891" w:type="dxa"/>
            <w:vAlign w:val="center"/>
          </w:tcPr>
          <w:p w14:paraId="4B6B2499" w14:textId="77777777" w:rsidR="007D0D6D" w:rsidRPr="00710B91" w:rsidRDefault="007D0D6D" w:rsidP="007D0D6D">
            <w:pPr>
              <w:spacing w:before="40" w:after="40"/>
              <w:jc w:val="right"/>
              <w:rPr>
                <w:noProof/>
                <w:sz w:val="20"/>
              </w:rPr>
            </w:pPr>
            <w:r w:rsidRPr="00710B91">
              <w:rPr>
                <w:noProof/>
                <w:sz w:val="20"/>
              </w:rPr>
              <w:t>0,250</w:t>
            </w:r>
          </w:p>
        </w:tc>
        <w:tc>
          <w:tcPr>
            <w:tcW w:w="891" w:type="dxa"/>
            <w:vAlign w:val="center"/>
          </w:tcPr>
          <w:p w14:paraId="6867CCA8" w14:textId="77777777" w:rsidR="007D0D6D" w:rsidRPr="00710B91" w:rsidRDefault="007D0D6D" w:rsidP="007D0D6D">
            <w:pPr>
              <w:spacing w:before="40" w:after="40"/>
              <w:jc w:val="right"/>
              <w:rPr>
                <w:noProof/>
                <w:sz w:val="20"/>
                <w:lang w:eastAsia="en-GB"/>
              </w:rPr>
            </w:pPr>
          </w:p>
        </w:tc>
        <w:tc>
          <w:tcPr>
            <w:tcW w:w="891" w:type="dxa"/>
            <w:vAlign w:val="center"/>
          </w:tcPr>
          <w:p w14:paraId="71234961" w14:textId="77777777" w:rsidR="007D0D6D" w:rsidRPr="00710B91" w:rsidRDefault="007D0D6D" w:rsidP="007D0D6D">
            <w:pPr>
              <w:spacing w:before="40" w:after="40"/>
              <w:jc w:val="right"/>
              <w:rPr>
                <w:b/>
                <w:noProof/>
                <w:sz w:val="20"/>
                <w:lang w:eastAsia="en-GB"/>
              </w:rPr>
            </w:pPr>
          </w:p>
        </w:tc>
        <w:tc>
          <w:tcPr>
            <w:tcW w:w="1825" w:type="dxa"/>
            <w:vAlign w:val="center"/>
          </w:tcPr>
          <w:p w14:paraId="71C31435" w14:textId="77777777" w:rsidR="007D0D6D" w:rsidRPr="00710B91" w:rsidRDefault="007D0D6D" w:rsidP="007D0D6D">
            <w:pPr>
              <w:spacing w:before="20" w:after="20"/>
              <w:jc w:val="right"/>
              <w:rPr>
                <w:b/>
                <w:noProof/>
                <w:sz w:val="20"/>
              </w:rPr>
            </w:pPr>
            <w:r w:rsidRPr="00710B91">
              <w:rPr>
                <w:b/>
                <w:noProof/>
                <w:sz w:val="20"/>
              </w:rPr>
              <w:t>0,250</w:t>
            </w:r>
          </w:p>
        </w:tc>
      </w:tr>
      <w:tr w:rsidR="007D0D6D" w:rsidRPr="00710B91" w14:paraId="69402574" w14:textId="77777777" w:rsidTr="007D0D6D">
        <w:trPr>
          <w:trHeight w:val="338"/>
          <w:jc w:val="center"/>
        </w:trPr>
        <w:tc>
          <w:tcPr>
            <w:tcW w:w="4067" w:type="dxa"/>
            <w:vMerge/>
            <w:vAlign w:val="center"/>
          </w:tcPr>
          <w:p w14:paraId="50212A40" w14:textId="77777777" w:rsidR="007D0D6D" w:rsidRPr="00710B91" w:rsidRDefault="007D0D6D" w:rsidP="007D0D6D">
            <w:pPr>
              <w:spacing w:before="60" w:after="60"/>
              <w:rPr>
                <w:b/>
                <w:noProof/>
                <w:sz w:val="20"/>
                <w:lang w:eastAsia="en-GB"/>
              </w:rPr>
            </w:pPr>
          </w:p>
        </w:tc>
        <w:tc>
          <w:tcPr>
            <w:tcW w:w="1543" w:type="dxa"/>
            <w:vAlign w:val="center"/>
          </w:tcPr>
          <w:p w14:paraId="235ECB4B" w14:textId="77777777" w:rsidR="007D0D6D" w:rsidRPr="00710B91" w:rsidRDefault="007D0D6D" w:rsidP="007D0D6D">
            <w:pPr>
              <w:spacing w:before="40" w:after="40"/>
              <w:rPr>
                <w:noProof/>
                <w:sz w:val="18"/>
              </w:rPr>
            </w:pPr>
            <w:r w:rsidRPr="00710B91">
              <w:rPr>
                <w:noProof/>
                <w:sz w:val="18"/>
              </w:rPr>
              <w:t>Środki na płatności</w:t>
            </w:r>
          </w:p>
        </w:tc>
        <w:tc>
          <w:tcPr>
            <w:tcW w:w="607" w:type="dxa"/>
            <w:vAlign w:val="center"/>
          </w:tcPr>
          <w:p w14:paraId="06A9C142" w14:textId="77777777" w:rsidR="007D0D6D" w:rsidRPr="00710B91" w:rsidRDefault="007D0D6D" w:rsidP="007D0D6D">
            <w:pPr>
              <w:spacing w:before="40" w:after="40"/>
              <w:jc w:val="center"/>
              <w:rPr>
                <w:noProof/>
                <w:sz w:val="14"/>
              </w:rPr>
            </w:pPr>
            <w:r w:rsidRPr="00710B91">
              <w:rPr>
                <w:noProof/>
                <w:sz w:val="14"/>
              </w:rPr>
              <w:t>(3b)</w:t>
            </w:r>
          </w:p>
        </w:tc>
        <w:tc>
          <w:tcPr>
            <w:tcW w:w="891" w:type="dxa"/>
            <w:vAlign w:val="center"/>
          </w:tcPr>
          <w:p w14:paraId="3967BF9E" w14:textId="77777777" w:rsidR="007D0D6D" w:rsidRPr="00710B91" w:rsidRDefault="007D0D6D" w:rsidP="007D0D6D">
            <w:pPr>
              <w:spacing w:before="40" w:after="40"/>
              <w:jc w:val="right"/>
              <w:rPr>
                <w:b/>
                <w:noProof/>
                <w:sz w:val="20"/>
                <w:lang w:eastAsia="en-GB"/>
              </w:rPr>
            </w:pPr>
          </w:p>
        </w:tc>
        <w:tc>
          <w:tcPr>
            <w:tcW w:w="891" w:type="dxa"/>
            <w:vAlign w:val="center"/>
          </w:tcPr>
          <w:p w14:paraId="5C2EE48B" w14:textId="77777777" w:rsidR="007D0D6D" w:rsidRPr="00710B91" w:rsidRDefault="007D0D6D" w:rsidP="007D0D6D">
            <w:pPr>
              <w:spacing w:before="40" w:after="40"/>
              <w:jc w:val="right"/>
              <w:rPr>
                <w:noProof/>
                <w:sz w:val="20"/>
              </w:rPr>
            </w:pPr>
            <w:r w:rsidRPr="00710B91">
              <w:rPr>
                <w:noProof/>
                <w:sz w:val="20"/>
              </w:rPr>
              <w:t>0,250</w:t>
            </w:r>
          </w:p>
        </w:tc>
        <w:tc>
          <w:tcPr>
            <w:tcW w:w="891" w:type="dxa"/>
            <w:vAlign w:val="center"/>
          </w:tcPr>
          <w:p w14:paraId="0E0281AA" w14:textId="77777777" w:rsidR="007D0D6D" w:rsidRPr="00710B91" w:rsidRDefault="007D0D6D" w:rsidP="007D0D6D">
            <w:pPr>
              <w:spacing w:before="40" w:after="40"/>
              <w:jc w:val="right"/>
              <w:rPr>
                <w:noProof/>
                <w:sz w:val="20"/>
                <w:lang w:eastAsia="en-GB"/>
              </w:rPr>
            </w:pPr>
          </w:p>
        </w:tc>
        <w:tc>
          <w:tcPr>
            <w:tcW w:w="891" w:type="dxa"/>
            <w:vAlign w:val="center"/>
          </w:tcPr>
          <w:p w14:paraId="11351015" w14:textId="77777777" w:rsidR="007D0D6D" w:rsidRPr="00710B91" w:rsidRDefault="007D0D6D" w:rsidP="007D0D6D">
            <w:pPr>
              <w:spacing w:before="40" w:after="40"/>
              <w:jc w:val="right"/>
              <w:rPr>
                <w:b/>
                <w:noProof/>
                <w:sz w:val="20"/>
                <w:lang w:eastAsia="en-GB"/>
              </w:rPr>
            </w:pPr>
          </w:p>
        </w:tc>
        <w:tc>
          <w:tcPr>
            <w:tcW w:w="1825" w:type="dxa"/>
            <w:vAlign w:val="center"/>
          </w:tcPr>
          <w:p w14:paraId="3BB6A762" w14:textId="77777777" w:rsidR="007D0D6D" w:rsidRPr="00710B91" w:rsidRDefault="007D0D6D" w:rsidP="007D0D6D">
            <w:pPr>
              <w:spacing w:before="20" w:after="20"/>
              <w:jc w:val="right"/>
              <w:rPr>
                <w:b/>
                <w:noProof/>
                <w:sz w:val="20"/>
              </w:rPr>
            </w:pPr>
            <w:r w:rsidRPr="00710B91">
              <w:rPr>
                <w:b/>
                <w:noProof/>
                <w:sz w:val="20"/>
              </w:rPr>
              <w:t>0,250</w:t>
            </w:r>
          </w:p>
        </w:tc>
      </w:tr>
      <w:tr w:rsidR="007D0D6D" w:rsidRPr="00710B91" w14:paraId="731F2023" w14:textId="77777777" w:rsidTr="007D0D6D">
        <w:trPr>
          <w:trHeight w:val="594"/>
          <w:jc w:val="center"/>
        </w:trPr>
        <w:tc>
          <w:tcPr>
            <w:tcW w:w="4067" w:type="dxa"/>
            <w:vMerge w:val="restart"/>
            <w:vAlign w:val="center"/>
          </w:tcPr>
          <w:p w14:paraId="5CE9BE96" w14:textId="77777777" w:rsidR="007D0D6D" w:rsidRPr="00710B91" w:rsidRDefault="007D0D6D" w:rsidP="007D0D6D">
            <w:pPr>
              <w:jc w:val="center"/>
              <w:rPr>
                <w:noProof/>
              </w:rPr>
            </w:pPr>
            <w:r w:rsidRPr="00710B91">
              <w:rPr>
                <w:b/>
                <w:noProof/>
                <w:sz w:val="22"/>
              </w:rPr>
              <w:t>OGÓŁEM środki</w:t>
            </w:r>
            <w:r w:rsidRPr="00710B91">
              <w:rPr>
                <w:noProof/>
              </w:rPr>
              <w:t xml:space="preserve"> </w:t>
            </w:r>
            <w:r w:rsidRPr="00710B91">
              <w:rPr>
                <w:noProof/>
              </w:rPr>
              <w:br/>
            </w:r>
            <w:r w:rsidRPr="00710B91">
              <w:rPr>
                <w:b/>
                <w:noProof/>
                <w:sz w:val="22"/>
              </w:rPr>
              <w:t xml:space="preserve">na rzecz </w:t>
            </w:r>
            <w:r w:rsidRPr="00710B91">
              <w:rPr>
                <w:b/>
                <w:noProof/>
              </w:rPr>
              <w:t>Eurojustu</w:t>
            </w:r>
          </w:p>
        </w:tc>
        <w:tc>
          <w:tcPr>
            <w:tcW w:w="1543" w:type="dxa"/>
            <w:vAlign w:val="center"/>
          </w:tcPr>
          <w:p w14:paraId="0E416C78" w14:textId="77777777" w:rsidR="007D0D6D" w:rsidRPr="00710B91" w:rsidRDefault="007D0D6D" w:rsidP="007D0D6D">
            <w:pPr>
              <w:rPr>
                <w:noProof/>
                <w:sz w:val="18"/>
              </w:rPr>
            </w:pPr>
            <w:r w:rsidRPr="00710B91">
              <w:rPr>
                <w:noProof/>
                <w:sz w:val="18"/>
              </w:rPr>
              <w:t>Środki na zobowiązania</w:t>
            </w:r>
          </w:p>
        </w:tc>
        <w:tc>
          <w:tcPr>
            <w:tcW w:w="607" w:type="dxa"/>
            <w:vAlign w:val="center"/>
          </w:tcPr>
          <w:p w14:paraId="7EEAE140" w14:textId="77777777" w:rsidR="007D0D6D" w:rsidRPr="00710B91" w:rsidRDefault="007D0D6D" w:rsidP="007D0D6D">
            <w:pPr>
              <w:jc w:val="center"/>
              <w:rPr>
                <w:noProof/>
                <w:sz w:val="14"/>
              </w:rPr>
            </w:pPr>
            <w:r w:rsidRPr="00710B91">
              <w:rPr>
                <w:noProof/>
                <w:sz w:val="14"/>
              </w:rPr>
              <w:t>=1+1a +3a</w:t>
            </w:r>
          </w:p>
        </w:tc>
        <w:tc>
          <w:tcPr>
            <w:tcW w:w="891" w:type="dxa"/>
            <w:vAlign w:val="center"/>
          </w:tcPr>
          <w:p w14:paraId="13D05428" w14:textId="77777777" w:rsidR="007D0D6D" w:rsidRPr="00710B91" w:rsidRDefault="007D0D6D" w:rsidP="007D0D6D">
            <w:pPr>
              <w:spacing w:before="20" w:after="20"/>
              <w:jc w:val="right"/>
              <w:rPr>
                <w:noProof/>
                <w:sz w:val="20"/>
                <w:szCs w:val="20"/>
                <w:lang w:eastAsia="en-GB"/>
              </w:rPr>
            </w:pPr>
          </w:p>
        </w:tc>
        <w:tc>
          <w:tcPr>
            <w:tcW w:w="891" w:type="dxa"/>
            <w:vAlign w:val="center"/>
          </w:tcPr>
          <w:p w14:paraId="3A393868" w14:textId="0CF504E9" w:rsidR="007D0D6D" w:rsidRPr="00710B91" w:rsidRDefault="007D0D6D" w:rsidP="0083161E">
            <w:pPr>
              <w:spacing w:before="20" w:after="20"/>
              <w:jc w:val="right"/>
              <w:rPr>
                <w:noProof/>
                <w:sz w:val="20"/>
                <w:szCs w:val="20"/>
              </w:rPr>
            </w:pPr>
            <w:r w:rsidRPr="00710B91">
              <w:rPr>
                <w:noProof/>
                <w:sz w:val="20"/>
              </w:rPr>
              <w:t>0,336</w:t>
            </w:r>
          </w:p>
        </w:tc>
        <w:tc>
          <w:tcPr>
            <w:tcW w:w="891" w:type="dxa"/>
            <w:vAlign w:val="center"/>
          </w:tcPr>
          <w:p w14:paraId="4035B843" w14:textId="099F0106" w:rsidR="007D0D6D" w:rsidRPr="00710B91" w:rsidRDefault="007D0D6D" w:rsidP="0083161E">
            <w:pPr>
              <w:spacing w:before="20" w:after="20"/>
              <w:jc w:val="right"/>
              <w:rPr>
                <w:noProof/>
                <w:sz w:val="20"/>
                <w:szCs w:val="20"/>
              </w:rPr>
            </w:pPr>
            <w:r w:rsidRPr="00710B91">
              <w:rPr>
                <w:noProof/>
                <w:sz w:val="20"/>
              </w:rPr>
              <w:t>0,346</w:t>
            </w:r>
          </w:p>
        </w:tc>
        <w:tc>
          <w:tcPr>
            <w:tcW w:w="891" w:type="dxa"/>
            <w:vAlign w:val="center"/>
          </w:tcPr>
          <w:p w14:paraId="67EAAAF1" w14:textId="31B18028" w:rsidR="007D0D6D" w:rsidRPr="00710B91" w:rsidRDefault="007D0D6D" w:rsidP="0083161E">
            <w:pPr>
              <w:spacing w:before="20" w:after="20"/>
              <w:jc w:val="right"/>
              <w:rPr>
                <w:noProof/>
                <w:sz w:val="20"/>
                <w:szCs w:val="20"/>
              </w:rPr>
            </w:pPr>
            <w:r w:rsidRPr="00710B91">
              <w:rPr>
                <w:noProof/>
                <w:sz w:val="20"/>
              </w:rPr>
              <w:t>0,519</w:t>
            </w:r>
          </w:p>
        </w:tc>
        <w:tc>
          <w:tcPr>
            <w:tcW w:w="1825" w:type="dxa"/>
            <w:vAlign w:val="center"/>
          </w:tcPr>
          <w:p w14:paraId="30ACE021" w14:textId="5FD9AF96" w:rsidR="007D0D6D" w:rsidRPr="00710B91" w:rsidRDefault="007D0D6D" w:rsidP="0083161E">
            <w:pPr>
              <w:spacing w:before="20" w:after="20"/>
              <w:jc w:val="right"/>
              <w:rPr>
                <w:b/>
                <w:noProof/>
                <w:sz w:val="20"/>
              </w:rPr>
            </w:pPr>
            <w:r w:rsidRPr="00710B91">
              <w:rPr>
                <w:b/>
                <w:noProof/>
                <w:sz w:val="20"/>
              </w:rPr>
              <w:t>1,201</w:t>
            </w:r>
          </w:p>
        </w:tc>
      </w:tr>
      <w:tr w:rsidR="007D0D6D" w:rsidRPr="00710B91" w14:paraId="4102BC39" w14:textId="77777777" w:rsidTr="007D0D6D">
        <w:trPr>
          <w:trHeight w:val="735"/>
          <w:jc w:val="center"/>
        </w:trPr>
        <w:tc>
          <w:tcPr>
            <w:tcW w:w="4067" w:type="dxa"/>
            <w:vMerge/>
            <w:vAlign w:val="center"/>
          </w:tcPr>
          <w:p w14:paraId="0C20C9DE" w14:textId="77777777" w:rsidR="007D0D6D" w:rsidRPr="00710B91" w:rsidRDefault="007D0D6D" w:rsidP="007D0D6D">
            <w:pPr>
              <w:rPr>
                <w:b/>
                <w:noProof/>
                <w:lang w:eastAsia="en-GB"/>
              </w:rPr>
            </w:pPr>
          </w:p>
        </w:tc>
        <w:tc>
          <w:tcPr>
            <w:tcW w:w="1543" w:type="dxa"/>
            <w:vAlign w:val="center"/>
          </w:tcPr>
          <w:p w14:paraId="60ECF388" w14:textId="77777777" w:rsidR="007D0D6D" w:rsidRPr="00710B91" w:rsidRDefault="007D0D6D" w:rsidP="007D0D6D">
            <w:pPr>
              <w:rPr>
                <w:noProof/>
                <w:sz w:val="18"/>
              </w:rPr>
            </w:pPr>
            <w:r w:rsidRPr="00710B91">
              <w:rPr>
                <w:noProof/>
                <w:sz w:val="18"/>
              </w:rPr>
              <w:t>Środki na płatności</w:t>
            </w:r>
          </w:p>
        </w:tc>
        <w:tc>
          <w:tcPr>
            <w:tcW w:w="607" w:type="dxa"/>
            <w:vAlign w:val="center"/>
          </w:tcPr>
          <w:p w14:paraId="7D4796D9" w14:textId="77777777" w:rsidR="007D0D6D" w:rsidRPr="00710B91" w:rsidRDefault="007D0D6D" w:rsidP="007D0D6D">
            <w:pPr>
              <w:jc w:val="center"/>
              <w:rPr>
                <w:noProof/>
                <w:sz w:val="14"/>
              </w:rPr>
            </w:pPr>
            <w:r w:rsidRPr="00710B91">
              <w:rPr>
                <w:noProof/>
                <w:sz w:val="14"/>
              </w:rPr>
              <w:t>=2+2a</w:t>
            </w:r>
          </w:p>
          <w:p w14:paraId="3E72F8FF" w14:textId="77777777" w:rsidR="007D0D6D" w:rsidRPr="00710B91" w:rsidRDefault="007D0D6D" w:rsidP="007D0D6D">
            <w:pPr>
              <w:jc w:val="center"/>
              <w:rPr>
                <w:noProof/>
                <w:sz w:val="14"/>
              </w:rPr>
            </w:pPr>
            <w:r w:rsidRPr="00710B91">
              <w:rPr>
                <w:noProof/>
                <w:sz w:val="14"/>
              </w:rPr>
              <w:t>+3b</w:t>
            </w:r>
          </w:p>
        </w:tc>
        <w:tc>
          <w:tcPr>
            <w:tcW w:w="891" w:type="dxa"/>
            <w:vAlign w:val="center"/>
          </w:tcPr>
          <w:p w14:paraId="5BC71358" w14:textId="77777777" w:rsidR="007D0D6D" w:rsidRPr="00710B91" w:rsidRDefault="007D0D6D" w:rsidP="007D0D6D">
            <w:pPr>
              <w:spacing w:before="20" w:after="20"/>
              <w:jc w:val="right"/>
              <w:rPr>
                <w:noProof/>
                <w:sz w:val="20"/>
                <w:szCs w:val="20"/>
                <w:lang w:eastAsia="en-GB"/>
              </w:rPr>
            </w:pPr>
          </w:p>
        </w:tc>
        <w:tc>
          <w:tcPr>
            <w:tcW w:w="891" w:type="dxa"/>
            <w:vAlign w:val="center"/>
          </w:tcPr>
          <w:p w14:paraId="7F3E0675" w14:textId="5FAEC22F" w:rsidR="007D0D6D" w:rsidRPr="00710B91" w:rsidRDefault="007D0D6D" w:rsidP="0083161E">
            <w:pPr>
              <w:spacing w:before="20" w:after="20"/>
              <w:jc w:val="right"/>
              <w:rPr>
                <w:noProof/>
                <w:sz w:val="20"/>
                <w:szCs w:val="20"/>
              </w:rPr>
            </w:pPr>
            <w:r w:rsidRPr="00710B91">
              <w:rPr>
                <w:noProof/>
                <w:sz w:val="20"/>
              </w:rPr>
              <w:t>0,336</w:t>
            </w:r>
          </w:p>
        </w:tc>
        <w:tc>
          <w:tcPr>
            <w:tcW w:w="891" w:type="dxa"/>
            <w:vAlign w:val="center"/>
          </w:tcPr>
          <w:p w14:paraId="098AC180" w14:textId="07704801" w:rsidR="007D0D6D" w:rsidRPr="00710B91" w:rsidRDefault="007D0D6D" w:rsidP="0083161E">
            <w:pPr>
              <w:spacing w:before="20" w:after="20"/>
              <w:jc w:val="right"/>
              <w:rPr>
                <w:noProof/>
                <w:sz w:val="20"/>
                <w:szCs w:val="20"/>
              </w:rPr>
            </w:pPr>
            <w:r w:rsidRPr="00710B91">
              <w:rPr>
                <w:noProof/>
                <w:sz w:val="20"/>
              </w:rPr>
              <w:t>0,346</w:t>
            </w:r>
          </w:p>
        </w:tc>
        <w:tc>
          <w:tcPr>
            <w:tcW w:w="891" w:type="dxa"/>
            <w:vAlign w:val="center"/>
          </w:tcPr>
          <w:p w14:paraId="2B2DFCE1" w14:textId="176036AD" w:rsidR="007D0D6D" w:rsidRPr="00710B91" w:rsidRDefault="007D0D6D" w:rsidP="0083161E">
            <w:pPr>
              <w:spacing w:before="20" w:after="20"/>
              <w:jc w:val="right"/>
              <w:rPr>
                <w:noProof/>
                <w:sz w:val="20"/>
              </w:rPr>
            </w:pPr>
            <w:r w:rsidRPr="00710B91">
              <w:rPr>
                <w:noProof/>
                <w:sz w:val="20"/>
              </w:rPr>
              <w:t>0,519</w:t>
            </w:r>
          </w:p>
        </w:tc>
        <w:tc>
          <w:tcPr>
            <w:tcW w:w="1825" w:type="dxa"/>
            <w:vAlign w:val="center"/>
          </w:tcPr>
          <w:p w14:paraId="1E4B121E" w14:textId="6606382D" w:rsidR="007D0D6D" w:rsidRPr="00710B91" w:rsidRDefault="007D0D6D" w:rsidP="007D0D6D">
            <w:pPr>
              <w:spacing w:before="20" w:after="20"/>
              <w:jc w:val="right"/>
              <w:rPr>
                <w:b/>
                <w:noProof/>
                <w:sz w:val="20"/>
              </w:rPr>
            </w:pPr>
            <w:r w:rsidRPr="00710B91">
              <w:rPr>
                <w:b/>
                <w:noProof/>
                <w:sz w:val="20"/>
              </w:rPr>
              <w:t>1,201</w:t>
            </w:r>
          </w:p>
        </w:tc>
      </w:tr>
    </w:tbl>
    <w:p w14:paraId="42B96533" w14:textId="77777777" w:rsidR="00534A42" w:rsidRPr="00710B91" w:rsidRDefault="00534A42" w:rsidP="006F6F3C">
      <w:pPr>
        <w:rPr>
          <w:noProof/>
        </w:rPr>
      </w:pPr>
    </w:p>
    <w:p w14:paraId="1BF468B8" w14:textId="77777777" w:rsidR="00534A42" w:rsidRPr="00710B91" w:rsidRDefault="00534A42">
      <w:pPr>
        <w:spacing w:before="0" w:after="200" w:line="276" w:lineRule="auto"/>
        <w:jc w:val="left"/>
        <w:rPr>
          <w:noProof/>
        </w:rPr>
      </w:pPr>
      <w:r w:rsidRPr="00710B91">
        <w:rPr>
          <w:noProof/>
        </w:rPr>
        <w:br w:type="page"/>
      </w:r>
    </w:p>
    <w:p w14:paraId="75F41920" w14:textId="0BC74799" w:rsidR="00534A42" w:rsidRPr="00710B91" w:rsidRDefault="00534A42" w:rsidP="00534A42">
      <w:pPr>
        <w:jc w:val="right"/>
        <w:rPr>
          <w:noProof/>
          <w:sz w:val="18"/>
          <w:szCs w:val="18"/>
        </w:rPr>
      </w:pPr>
      <w:r w:rsidRPr="00710B91">
        <w:rPr>
          <w:noProof/>
          <w:sz w:val="18"/>
          <w:szCs w:val="18"/>
        </w:rPr>
        <w:t>w mln EUR (do trzech miejsc po przecinku)</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744"/>
        <w:gridCol w:w="1080"/>
        <w:gridCol w:w="7817"/>
      </w:tblGrid>
      <w:tr w:rsidR="00BA350C" w:rsidRPr="00710B91" w14:paraId="16BE94A8" w14:textId="77777777" w:rsidTr="00BA350C">
        <w:trPr>
          <w:jc w:val="center"/>
        </w:trPr>
        <w:tc>
          <w:tcPr>
            <w:tcW w:w="4744" w:type="dxa"/>
            <w:shd w:val="thinDiagStripe" w:color="C0C0C0" w:fill="auto"/>
            <w:vAlign w:val="center"/>
          </w:tcPr>
          <w:p w14:paraId="5E77733C" w14:textId="77777777" w:rsidR="00BA350C" w:rsidRPr="00710B91" w:rsidRDefault="00BA350C" w:rsidP="00BA350C">
            <w:pPr>
              <w:spacing w:before="60" w:after="60"/>
              <w:jc w:val="center"/>
              <w:rPr>
                <w:b/>
                <w:noProof/>
              </w:rPr>
            </w:pPr>
            <w:r w:rsidRPr="00710B91">
              <w:rPr>
                <w:b/>
                <w:noProof/>
                <w:sz w:val="22"/>
              </w:rPr>
              <w:t>Dział wieloletnich</w:t>
            </w:r>
            <w:r w:rsidRPr="00710B91">
              <w:rPr>
                <w:noProof/>
              </w:rPr>
              <w:t xml:space="preserve"> </w:t>
            </w:r>
            <w:r w:rsidRPr="00710B91">
              <w:rPr>
                <w:noProof/>
              </w:rPr>
              <w:br/>
            </w:r>
            <w:r w:rsidRPr="00710B91">
              <w:rPr>
                <w:b/>
                <w:noProof/>
                <w:sz w:val="22"/>
              </w:rPr>
              <w:t xml:space="preserve">ram finansowych </w:t>
            </w:r>
          </w:p>
        </w:tc>
        <w:tc>
          <w:tcPr>
            <w:tcW w:w="1080" w:type="dxa"/>
            <w:vAlign w:val="center"/>
          </w:tcPr>
          <w:p w14:paraId="278CC05B" w14:textId="630BB2C6" w:rsidR="00BA350C" w:rsidRPr="00710B91" w:rsidRDefault="0054088F" w:rsidP="00BA350C">
            <w:pPr>
              <w:spacing w:before="60" w:after="60"/>
              <w:jc w:val="center"/>
              <w:rPr>
                <w:noProof/>
              </w:rPr>
            </w:pPr>
            <w:r w:rsidRPr="00710B91">
              <w:rPr>
                <w:noProof/>
              </w:rPr>
              <w:t>4</w:t>
            </w:r>
          </w:p>
        </w:tc>
        <w:tc>
          <w:tcPr>
            <w:tcW w:w="7817" w:type="dxa"/>
            <w:vAlign w:val="center"/>
          </w:tcPr>
          <w:p w14:paraId="5DBC2AB0" w14:textId="40C29375" w:rsidR="00BA350C" w:rsidRPr="00710B91" w:rsidRDefault="0054088F" w:rsidP="00BA350C">
            <w:pPr>
              <w:spacing w:before="60" w:after="60"/>
              <w:rPr>
                <w:noProof/>
              </w:rPr>
            </w:pPr>
            <w:r w:rsidRPr="00710B91">
              <w:rPr>
                <w:noProof/>
              </w:rPr>
              <w:t>Migracja</w:t>
            </w:r>
            <w:r w:rsidR="00710B91" w:rsidRPr="00710B91">
              <w:rPr>
                <w:noProof/>
              </w:rPr>
              <w:t xml:space="preserve"> i</w:t>
            </w:r>
            <w:r w:rsidR="00710B91">
              <w:rPr>
                <w:noProof/>
              </w:rPr>
              <w:t> </w:t>
            </w:r>
            <w:r w:rsidR="00710B91" w:rsidRPr="00710B91">
              <w:rPr>
                <w:noProof/>
              </w:rPr>
              <w:t>kon</w:t>
            </w:r>
            <w:r w:rsidRPr="00710B91">
              <w:rPr>
                <w:noProof/>
              </w:rPr>
              <w:t>trola graniczna</w:t>
            </w:r>
          </w:p>
        </w:tc>
      </w:tr>
    </w:tbl>
    <w:p w14:paraId="2859A808" w14:textId="77777777" w:rsidR="00BA350C" w:rsidRPr="00710B91" w:rsidRDefault="00BA350C" w:rsidP="00BA350C">
      <w:pPr>
        <w:rPr>
          <w:noProof/>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960"/>
        <w:gridCol w:w="1503"/>
        <w:gridCol w:w="591"/>
        <w:gridCol w:w="868"/>
        <w:gridCol w:w="868"/>
        <w:gridCol w:w="868"/>
        <w:gridCol w:w="868"/>
        <w:gridCol w:w="1777"/>
      </w:tblGrid>
      <w:tr w:rsidR="00BA350C" w:rsidRPr="00710B91" w14:paraId="2343113D" w14:textId="77777777" w:rsidTr="00BA350C">
        <w:trPr>
          <w:jc w:val="center"/>
        </w:trPr>
        <w:tc>
          <w:tcPr>
            <w:tcW w:w="3960" w:type="dxa"/>
            <w:vAlign w:val="center"/>
          </w:tcPr>
          <w:p w14:paraId="128FFAD3" w14:textId="77777777" w:rsidR="00BA350C" w:rsidRPr="00710B91" w:rsidRDefault="00BA350C" w:rsidP="00BA350C">
            <w:pPr>
              <w:jc w:val="center"/>
              <w:rPr>
                <w:b/>
                <w:noProof/>
              </w:rPr>
            </w:pPr>
            <w:r w:rsidRPr="00710B91">
              <w:rPr>
                <w:b/>
                <w:noProof/>
              </w:rPr>
              <w:t>eu-LISA</w:t>
            </w:r>
          </w:p>
        </w:tc>
        <w:tc>
          <w:tcPr>
            <w:tcW w:w="1503" w:type="dxa"/>
          </w:tcPr>
          <w:p w14:paraId="389621CE" w14:textId="77777777" w:rsidR="00BA350C" w:rsidRPr="00710B91" w:rsidRDefault="00BA350C" w:rsidP="00BA350C">
            <w:pPr>
              <w:rPr>
                <w:noProof/>
                <w:sz w:val="20"/>
              </w:rPr>
            </w:pPr>
          </w:p>
        </w:tc>
        <w:tc>
          <w:tcPr>
            <w:tcW w:w="591" w:type="dxa"/>
          </w:tcPr>
          <w:p w14:paraId="729BBBAB" w14:textId="77777777" w:rsidR="00BA350C" w:rsidRPr="00710B91" w:rsidRDefault="00BA350C" w:rsidP="00BA350C">
            <w:pPr>
              <w:jc w:val="center"/>
              <w:rPr>
                <w:noProof/>
                <w:sz w:val="20"/>
              </w:rPr>
            </w:pPr>
          </w:p>
        </w:tc>
        <w:tc>
          <w:tcPr>
            <w:tcW w:w="868" w:type="dxa"/>
            <w:vAlign w:val="center"/>
          </w:tcPr>
          <w:p w14:paraId="5B7B752C" w14:textId="77777777" w:rsidR="00BA350C" w:rsidRPr="00710B91" w:rsidRDefault="00BA350C" w:rsidP="00BA350C">
            <w:pPr>
              <w:jc w:val="center"/>
              <w:rPr>
                <w:noProof/>
                <w:sz w:val="20"/>
              </w:rPr>
            </w:pPr>
            <w:r w:rsidRPr="00710B91">
              <w:rPr>
                <w:noProof/>
                <w:sz w:val="20"/>
              </w:rPr>
              <w:t>Rok</w:t>
            </w:r>
            <w:r w:rsidRPr="00710B91">
              <w:rPr>
                <w:noProof/>
              </w:rPr>
              <w:t xml:space="preserve"> </w:t>
            </w:r>
            <w:r w:rsidRPr="00710B91">
              <w:rPr>
                <w:noProof/>
              </w:rPr>
              <w:br/>
            </w:r>
            <w:r w:rsidRPr="00710B91">
              <w:rPr>
                <w:b/>
                <w:noProof/>
                <w:sz w:val="20"/>
              </w:rPr>
              <w:t>2024</w:t>
            </w:r>
            <w:r w:rsidRPr="00710B91">
              <w:rPr>
                <w:rStyle w:val="FootnoteReference"/>
                <w:b/>
                <w:noProof/>
                <w:sz w:val="20"/>
              </w:rPr>
              <w:footnoteReference w:id="39"/>
            </w:r>
          </w:p>
        </w:tc>
        <w:tc>
          <w:tcPr>
            <w:tcW w:w="868" w:type="dxa"/>
            <w:vAlign w:val="center"/>
          </w:tcPr>
          <w:p w14:paraId="2A4B021C" w14:textId="77777777" w:rsidR="00BA350C" w:rsidRPr="00710B91" w:rsidRDefault="00BA350C" w:rsidP="00BA350C">
            <w:pPr>
              <w:jc w:val="center"/>
              <w:rPr>
                <w:noProof/>
                <w:sz w:val="20"/>
              </w:rPr>
            </w:pPr>
            <w:r w:rsidRPr="00710B91">
              <w:rPr>
                <w:noProof/>
                <w:sz w:val="20"/>
              </w:rPr>
              <w:t>Rok</w:t>
            </w:r>
            <w:r w:rsidRPr="00710B91">
              <w:rPr>
                <w:noProof/>
              </w:rPr>
              <w:t xml:space="preserve"> </w:t>
            </w:r>
            <w:r w:rsidRPr="00710B91">
              <w:rPr>
                <w:noProof/>
              </w:rPr>
              <w:br/>
            </w:r>
            <w:r w:rsidRPr="00710B91">
              <w:rPr>
                <w:b/>
                <w:noProof/>
                <w:sz w:val="20"/>
              </w:rPr>
              <w:t>2025</w:t>
            </w:r>
          </w:p>
        </w:tc>
        <w:tc>
          <w:tcPr>
            <w:tcW w:w="868" w:type="dxa"/>
            <w:vAlign w:val="center"/>
          </w:tcPr>
          <w:p w14:paraId="1A9CBFF2" w14:textId="77777777" w:rsidR="00BA350C" w:rsidRPr="00710B91" w:rsidRDefault="00BA350C" w:rsidP="00BA350C">
            <w:pPr>
              <w:jc w:val="center"/>
              <w:rPr>
                <w:noProof/>
                <w:sz w:val="20"/>
              </w:rPr>
            </w:pPr>
            <w:r w:rsidRPr="00710B91">
              <w:rPr>
                <w:noProof/>
                <w:sz w:val="20"/>
              </w:rPr>
              <w:t>Rok</w:t>
            </w:r>
            <w:r w:rsidRPr="00710B91">
              <w:rPr>
                <w:noProof/>
              </w:rPr>
              <w:t xml:space="preserve"> </w:t>
            </w:r>
            <w:r w:rsidRPr="00710B91">
              <w:rPr>
                <w:noProof/>
              </w:rPr>
              <w:br/>
            </w:r>
            <w:r w:rsidRPr="00710B91">
              <w:rPr>
                <w:b/>
                <w:noProof/>
                <w:sz w:val="20"/>
              </w:rPr>
              <w:t>2026</w:t>
            </w:r>
          </w:p>
        </w:tc>
        <w:tc>
          <w:tcPr>
            <w:tcW w:w="868" w:type="dxa"/>
            <w:vAlign w:val="center"/>
          </w:tcPr>
          <w:p w14:paraId="0A7C5D3E" w14:textId="77777777" w:rsidR="00BA350C" w:rsidRPr="00710B91" w:rsidRDefault="00BA350C" w:rsidP="00BA350C">
            <w:pPr>
              <w:jc w:val="center"/>
              <w:rPr>
                <w:noProof/>
                <w:sz w:val="20"/>
              </w:rPr>
            </w:pPr>
            <w:r w:rsidRPr="00710B91">
              <w:rPr>
                <w:noProof/>
                <w:sz w:val="20"/>
              </w:rPr>
              <w:t>Rok</w:t>
            </w:r>
            <w:r w:rsidRPr="00710B91">
              <w:rPr>
                <w:noProof/>
              </w:rPr>
              <w:t xml:space="preserve"> </w:t>
            </w:r>
            <w:r w:rsidRPr="00710B91">
              <w:rPr>
                <w:noProof/>
              </w:rPr>
              <w:br/>
            </w:r>
            <w:r w:rsidRPr="00710B91">
              <w:rPr>
                <w:b/>
                <w:noProof/>
                <w:sz w:val="20"/>
              </w:rPr>
              <w:t>2027</w:t>
            </w:r>
          </w:p>
        </w:tc>
        <w:tc>
          <w:tcPr>
            <w:tcW w:w="1777" w:type="dxa"/>
            <w:vAlign w:val="center"/>
          </w:tcPr>
          <w:p w14:paraId="6011BB15" w14:textId="77777777" w:rsidR="00BA350C" w:rsidRPr="00710B91" w:rsidRDefault="00BA350C" w:rsidP="00BA350C">
            <w:pPr>
              <w:jc w:val="center"/>
              <w:rPr>
                <w:b/>
                <w:noProof/>
                <w:sz w:val="20"/>
              </w:rPr>
            </w:pPr>
            <w:r w:rsidRPr="00710B91">
              <w:rPr>
                <w:b/>
                <w:noProof/>
                <w:sz w:val="20"/>
              </w:rPr>
              <w:t>OGÓŁEM 2024–2027</w:t>
            </w:r>
          </w:p>
        </w:tc>
      </w:tr>
      <w:tr w:rsidR="00BA350C" w:rsidRPr="00710B91" w14:paraId="561C4D02" w14:textId="77777777" w:rsidTr="00BA350C">
        <w:trPr>
          <w:trHeight w:val="277"/>
          <w:jc w:val="center"/>
        </w:trPr>
        <w:tc>
          <w:tcPr>
            <w:tcW w:w="3960" w:type="dxa"/>
            <w:vMerge w:val="restart"/>
            <w:vAlign w:val="center"/>
          </w:tcPr>
          <w:p w14:paraId="5EF90742" w14:textId="77777777" w:rsidR="00BA350C" w:rsidRPr="00710B91" w:rsidRDefault="00BA350C" w:rsidP="00BA350C">
            <w:pPr>
              <w:rPr>
                <w:noProof/>
              </w:rPr>
            </w:pPr>
            <w:r w:rsidRPr="00710B91">
              <w:rPr>
                <w:noProof/>
                <w:sz w:val="20"/>
              </w:rPr>
              <w:t>Tytuł 1: Wydatki na personel</w:t>
            </w:r>
          </w:p>
        </w:tc>
        <w:tc>
          <w:tcPr>
            <w:tcW w:w="1503" w:type="dxa"/>
            <w:vAlign w:val="center"/>
          </w:tcPr>
          <w:p w14:paraId="12984E5D" w14:textId="77777777" w:rsidR="00BA350C" w:rsidRPr="00710B91" w:rsidRDefault="00BA350C" w:rsidP="00BA350C">
            <w:pPr>
              <w:spacing w:before="20" w:after="20"/>
              <w:rPr>
                <w:noProof/>
              </w:rPr>
            </w:pPr>
            <w:r w:rsidRPr="00710B91">
              <w:rPr>
                <w:noProof/>
                <w:sz w:val="18"/>
              </w:rPr>
              <w:t>Środki na zobowiązania</w:t>
            </w:r>
          </w:p>
        </w:tc>
        <w:tc>
          <w:tcPr>
            <w:tcW w:w="591" w:type="dxa"/>
            <w:vAlign w:val="center"/>
          </w:tcPr>
          <w:p w14:paraId="78030206" w14:textId="77777777" w:rsidR="00BA350C" w:rsidRPr="00710B91" w:rsidRDefault="00BA350C" w:rsidP="00BA350C">
            <w:pPr>
              <w:spacing w:before="20" w:after="20"/>
              <w:jc w:val="center"/>
              <w:rPr>
                <w:noProof/>
                <w:sz w:val="14"/>
              </w:rPr>
            </w:pPr>
            <w:r w:rsidRPr="00710B91">
              <w:rPr>
                <w:noProof/>
                <w:sz w:val="14"/>
              </w:rPr>
              <w:t>(1)</w:t>
            </w:r>
          </w:p>
        </w:tc>
        <w:tc>
          <w:tcPr>
            <w:tcW w:w="868" w:type="dxa"/>
            <w:vAlign w:val="center"/>
          </w:tcPr>
          <w:p w14:paraId="2671A1E2" w14:textId="1C3D8831" w:rsidR="00BA350C" w:rsidRPr="00710B91" w:rsidRDefault="00BA350C" w:rsidP="00BA350C">
            <w:pPr>
              <w:spacing w:before="20" w:after="20"/>
              <w:jc w:val="right"/>
              <w:rPr>
                <w:noProof/>
                <w:sz w:val="20"/>
              </w:rPr>
            </w:pPr>
          </w:p>
        </w:tc>
        <w:tc>
          <w:tcPr>
            <w:tcW w:w="868" w:type="dxa"/>
            <w:vAlign w:val="center"/>
          </w:tcPr>
          <w:p w14:paraId="705C1EC2" w14:textId="103A01CF" w:rsidR="00BA350C" w:rsidRPr="00710B91" w:rsidRDefault="00BA350C" w:rsidP="00BA350C">
            <w:pPr>
              <w:spacing w:before="20" w:after="20"/>
              <w:jc w:val="right"/>
              <w:rPr>
                <w:noProof/>
                <w:sz w:val="20"/>
              </w:rPr>
            </w:pPr>
          </w:p>
        </w:tc>
        <w:tc>
          <w:tcPr>
            <w:tcW w:w="868" w:type="dxa"/>
            <w:vAlign w:val="center"/>
          </w:tcPr>
          <w:p w14:paraId="1914F981" w14:textId="61478805" w:rsidR="00BA350C" w:rsidRPr="00710B91" w:rsidRDefault="00BA350C" w:rsidP="00BA350C">
            <w:pPr>
              <w:spacing w:before="20" w:after="20"/>
              <w:jc w:val="right"/>
              <w:rPr>
                <w:noProof/>
                <w:sz w:val="20"/>
              </w:rPr>
            </w:pPr>
          </w:p>
        </w:tc>
        <w:tc>
          <w:tcPr>
            <w:tcW w:w="868" w:type="dxa"/>
            <w:vAlign w:val="center"/>
          </w:tcPr>
          <w:p w14:paraId="54B49B9C" w14:textId="7AF9EEB5" w:rsidR="00BA350C" w:rsidRPr="00710B91" w:rsidRDefault="00BA350C" w:rsidP="00BA350C">
            <w:pPr>
              <w:spacing w:before="20" w:after="20"/>
              <w:jc w:val="right"/>
              <w:rPr>
                <w:noProof/>
                <w:sz w:val="20"/>
              </w:rPr>
            </w:pPr>
          </w:p>
        </w:tc>
        <w:tc>
          <w:tcPr>
            <w:tcW w:w="1777" w:type="dxa"/>
            <w:vAlign w:val="center"/>
          </w:tcPr>
          <w:p w14:paraId="2FC29008" w14:textId="0A4B048B" w:rsidR="00BA350C" w:rsidRPr="00710B91" w:rsidRDefault="00BA350C" w:rsidP="00BA350C">
            <w:pPr>
              <w:spacing w:before="20" w:after="20"/>
              <w:jc w:val="right"/>
              <w:rPr>
                <w:b/>
                <w:noProof/>
                <w:sz w:val="20"/>
              </w:rPr>
            </w:pPr>
          </w:p>
        </w:tc>
      </w:tr>
      <w:tr w:rsidR="00BA350C" w:rsidRPr="00710B91" w14:paraId="39304A1A" w14:textId="77777777" w:rsidTr="00BA350C">
        <w:trPr>
          <w:jc w:val="center"/>
        </w:trPr>
        <w:tc>
          <w:tcPr>
            <w:tcW w:w="3960" w:type="dxa"/>
            <w:vMerge/>
            <w:vAlign w:val="center"/>
          </w:tcPr>
          <w:p w14:paraId="16C33838" w14:textId="77777777" w:rsidR="00BA350C" w:rsidRPr="00710B91" w:rsidRDefault="00BA350C" w:rsidP="00BA350C">
            <w:pPr>
              <w:rPr>
                <w:noProof/>
              </w:rPr>
            </w:pPr>
          </w:p>
        </w:tc>
        <w:tc>
          <w:tcPr>
            <w:tcW w:w="1503" w:type="dxa"/>
            <w:vAlign w:val="center"/>
          </w:tcPr>
          <w:p w14:paraId="5A5084CC" w14:textId="77777777" w:rsidR="00BA350C" w:rsidRPr="00710B91" w:rsidRDefault="00BA350C" w:rsidP="00BA350C">
            <w:pPr>
              <w:spacing w:before="20" w:after="20"/>
              <w:rPr>
                <w:noProof/>
                <w:sz w:val="18"/>
              </w:rPr>
            </w:pPr>
            <w:r w:rsidRPr="00710B91">
              <w:rPr>
                <w:noProof/>
                <w:sz w:val="18"/>
              </w:rPr>
              <w:t>Środki na płatności</w:t>
            </w:r>
          </w:p>
        </w:tc>
        <w:tc>
          <w:tcPr>
            <w:tcW w:w="591" w:type="dxa"/>
            <w:vAlign w:val="center"/>
          </w:tcPr>
          <w:p w14:paraId="5E0378C0" w14:textId="77777777" w:rsidR="00BA350C" w:rsidRPr="00710B91" w:rsidRDefault="00BA350C" w:rsidP="00BA350C">
            <w:pPr>
              <w:spacing w:before="20" w:after="20"/>
              <w:jc w:val="center"/>
              <w:rPr>
                <w:noProof/>
                <w:sz w:val="14"/>
              </w:rPr>
            </w:pPr>
            <w:r w:rsidRPr="00710B91">
              <w:rPr>
                <w:noProof/>
                <w:sz w:val="14"/>
              </w:rPr>
              <w:t>(2)</w:t>
            </w:r>
          </w:p>
        </w:tc>
        <w:tc>
          <w:tcPr>
            <w:tcW w:w="868" w:type="dxa"/>
            <w:vAlign w:val="center"/>
          </w:tcPr>
          <w:p w14:paraId="463C3424" w14:textId="7F9E93F1" w:rsidR="00BA350C" w:rsidRPr="00710B91" w:rsidRDefault="00BA350C" w:rsidP="00BA350C">
            <w:pPr>
              <w:spacing w:before="20" w:after="20"/>
              <w:jc w:val="right"/>
              <w:rPr>
                <w:noProof/>
                <w:sz w:val="20"/>
              </w:rPr>
            </w:pPr>
          </w:p>
        </w:tc>
        <w:tc>
          <w:tcPr>
            <w:tcW w:w="868" w:type="dxa"/>
            <w:vAlign w:val="center"/>
          </w:tcPr>
          <w:p w14:paraId="0EA9337B" w14:textId="0C9BEF98" w:rsidR="00BA350C" w:rsidRPr="00710B91" w:rsidRDefault="00BA350C" w:rsidP="00BA350C">
            <w:pPr>
              <w:spacing w:before="20" w:after="20"/>
              <w:jc w:val="right"/>
              <w:rPr>
                <w:noProof/>
                <w:sz w:val="20"/>
              </w:rPr>
            </w:pPr>
          </w:p>
        </w:tc>
        <w:tc>
          <w:tcPr>
            <w:tcW w:w="868" w:type="dxa"/>
            <w:vAlign w:val="center"/>
          </w:tcPr>
          <w:p w14:paraId="0C28A677" w14:textId="3CAB244A" w:rsidR="00BA350C" w:rsidRPr="00710B91" w:rsidRDefault="00BA350C" w:rsidP="00BA350C">
            <w:pPr>
              <w:spacing w:before="20" w:after="20"/>
              <w:jc w:val="right"/>
              <w:rPr>
                <w:noProof/>
                <w:sz w:val="20"/>
              </w:rPr>
            </w:pPr>
          </w:p>
        </w:tc>
        <w:tc>
          <w:tcPr>
            <w:tcW w:w="868" w:type="dxa"/>
            <w:vAlign w:val="center"/>
          </w:tcPr>
          <w:p w14:paraId="0E86E03A" w14:textId="477DB590" w:rsidR="00BA350C" w:rsidRPr="00710B91" w:rsidRDefault="00BA350C" w:rsidP="00BA350C">
            <w:pPr>
              <w:spacing w:before="20" w:after="20"/>
              <w:jc w:val="right"/>
              <w:rPr>
                <w:noProof/>
                <w:sz w:val="20"/>
              </w:rPr>
            </w:pPr>
          </w:p>
        </w:tc>
        <w:tc>
          <w:tcPr>
            <w:tcW w:w="1777" w:type="dxa"/>
          </w:tcPr>
          <w:p w14:paraId="6754BF00" w14:textId="1C641B72" w:rsidR="00BA350C" w:rsidRPr="00710B91" w:rsidRDefault="00BA350C" w:rsidP="00BA350C">
            <w:pPr>
              <w:spacing w:before="20" w:after="20"/>
              <w:jc w:val="right"/>
              <w:rPr>
                <w:b/>
                <w:noProof/>
                <w:sz w:val="20"/>
              </w:rPr>
            </w:pPr>
          </w:p>
        </w:tc>
      </w:tr>
      <w:tr w:rsidR="00BA350C" w:rsidRPr="00710B91" w14:paraId="2A9321C0" w14:textId="77777777" w:rsidTr="00BA350C">
        <w:trPr>
          <w:jc w:val="center"/>
        </w:trPr>
        <w:tc>
          <w:tcPr>
            <w:tcW w:w="3960" w:type="dxa"/>
            <w:vMerge w:val="restart"/>
            <w:vAlign w:val="center"/>
          </w:tcPr>
          <w:p w14:paraId="0C979EE4" w14:textId="45B541D4" w:rsidR="00BA350C" w:rsidRPr="00710B91" w:rsidRDefault="00BA350C" w:rsidP="00BA350C">
            <w:pPr>
              <w:rPr>
                <w:noProof/>
              </w:rPr>
            </w:pPr>
            <w:r w:rsidRPr="00710B91">
              <w:rPr>
                <w:noProof/>
                <w:sz w:val="20"/>
              </w:rPr>
              <w:t>Tytuł 2: Wydatki na infrastrukturę</w:t>
            </w:r>
            <w:r w:rsidR="00710B91" w:rsidRPr="00710B91">
              <w:rPr>
                <w:noProof/>
                <w:sz w:val="20"/>
              </w:rPr>
              <w:t xml:space="preserve"> i</w:t>
            </w:r>
            <w:r w:rsidR="00710B91">
              <w:rPr>
                <w:noProof/>
                <w:sz w:val="20"/>
              </w:rPr>
              <w:t> </w:t>
            </w:r>
            <w:r w:rsidR="00710B91" w:rsidRPr="00710B91">
              <w:rPr>
                <w:noProof/>
                <w:sz w:val="20"/>
              </w:rPr>
              <w:t>wyd</w:t>
            </w:r>
            <w:r w:rsidRPr="00710B91">
              <w:rPr>
                <w:noProof/>
                <w:sz w:val="20"/>
              </w:rPr>
              <w:t>atki administracyjne</w:t>
            </w:r>
          </w:p>
        </w:tc>
        <w:tc>
          <w:tcPr>
            <w:tcW w:w="1503" w:type="dxa"/>
            <w:vAlign w:val="center"/>
          </w:tcPr>
          <w:p w14:paraId="2FB74355" w14:textId="77777777" w:rsidR="00BA350C" w:rsidRPr="00710B91" w:rsidRDefault="00BA350C" w:rsidP="00BA350C">
            <w:pPr>
              <w:spacing w:before="20" w:after="20"/>
              <w:rPr>
                <w:noProof/>
                <w:sz w:val="18"/>
              </w:rPr>
            </w:pPr>
            <w:r w:rsidRPr="00710B91">
              <w:rPr>
                <w:noProof/>
                <w:sz w:val="18"/>
              </w:rPr>
              <w:t>Środki na zobowiązania</w:t>
            </w:r>
          </w:p>
        </w:tc>
        <w:tc>
          <w:tcPr>
            <w:tcW w:w="591" w:type="dxa"/>
            <w:vAlign w:val="center"/>
          </w:tcPr>
          <w:p w14:paraId="249ED7B1" w14:textId="77777777" w:rsidR="00BA350C" w:rsidRPr="00710B91" w:rsidRDefault="00BA350C" w:rsidP="00BA350C">
            <w:pPr>
              <w:spacing w:before="20" w:after="20"/>
              <w:jc w:val="center"/>
              <w:rPr>
                <w:noProof/>
                <w:sz w:val="14"/>
              </w:rPr>
            </w:pPr>
            <w:r w:rsidRPr="00710B91">
              <w:rPr>
                <w:noProof/>
                <w:sz w:val="14"/>
              </w:rPr>
              <w:t>(1a)</w:t>
            </w:r>
          </w:p>
        </w:tc>
        <w:tc>
          <w:tcPr>
            <w:tcW w:w="868" w:type="dxa"/>
            <w:vAlign w:val="center"/>
          </w:tcPr>
          <w:p w14:paraId="7CC56389" w14:textId="77777777" w:rsidR="00BA350C" w:rsidRPr="00710B91" w:rsidRDefault="00BA350C" w:rsidP="00BA350C">
            <w:pPr>
              <w:spacing w:before="20" w:after="20"/>
              <w:jc w:val="right"/>
              <w:rPr>
                <w:noProof/>
                <w:sz w:val="20"/>
              </w:rPr>
            </w:pPr>
          </w:p>
        </w:tc>
        <w:tc>
          <w:tcPr>
            <w:tcW w:w="868" w:type="dxa"/>
            <w:vAlign w:val="center"/>
          </w:tcPr>
          <w:p w14:paraId="3B886E7D" w14:textId="77777777" w:rsidR="00BA350C" w:rsidRPr="00710B91" w:rsidRDefault="00BA350C" w:rsidP="00BA350C">
            <w:pPr>
              <w:spacing w:before="20" w:after="20"/>
              <w:jc w:val="right"/>
              <w:rPr>
                <w:noProof/>
                <w:sz w:val="20"/>
              </w:rPr>
            </w:pPr>
          </w:p>
        </w:tc>
        <w:tc>
          <w:tcPr>
            <w:tcW w:w="868" w:type="dxa"/>
            <w:vAlign w:val="center"/>
          </w:tcPr>
          <w:p w14:paraId="7C0384A7" w14:textId="77777777" w:rsidR="00BA350C" w:rsidRPr="00710B91" w:rsidRDefault="00BA350C" w:rsidP="00BA350C">
            <w:pPr>
              <w:spacing w:before="20" w:after="20"/>
              <w:jc w:val="right"/>
              <w:rPr>
                <w:noProof/>
                <w:sz w:val="20"/>
              </w:rPr>
            </w:pPr>
          </w:p>
        </w:tc>
        <w:tc>
          <w:tcPr>
            <w:tcW w:w="868" w:type="dxa"/>
            <w:vAlign w:val="center"/>
          </w:tcPr>
          <w:p w14:paraId="2E04F34E" w14:textId="77777777" w:rsidR="00BA350C" w:rsidRPr="00710B91" w:rsidRDefault="00BA350C" w:rsidP="00BA350C">
            <w:pPr>
              <w:spacing w:before="20" w:after="20"/>
              <w:jc w:val="right"/>
              <w:rPr>
                <w:noProof/>
                <w:sz w:val="20"/>
              </w:rPr>
            </w:pPr>
          </w:p>
        </w:tc>
        <w:tc>
          <w:tcPr>
            <w:tcW w:w="1777" w:type="dxa"/>
            <w:vAlign w:val="center"/>
          </w:tcPr>
          <w:p w14:paraId="0EF6BBE6" w14:textId="77777777" w:rsidR="00BA350C" w:rsidRPr="00710B91" w:rsidRDefault="00BA350C" w:rsidP="00BA350C">
            <w:pPr>
              <w:spacing w:before="20" w:after="20"/>
              <w:jc w:val="right"/>
              <w:rPr>
                <w:b/>
                <w:noProof/>
                <w:sz w:val="20"/>
              </w:rPr>
            </w:pPr>
          </w:p>
        </w:tc>
      </w:tr>
      <w:tr w:rsidR="00BA350C" w:rsidRPr="00710B91" w14:paraId="292E0F8D" w14:textId="77777777" w:rsidTr="00BA350C">
        <w:trPr>
          <w:jc w:val="center"/>
        </w:trPr>
        <w:tc>
          <w:tcPr>
            <w:tcW w:w="3960" w:type="dxa"/>
            <w:vMerge/>
            <w:vAlign w:val="center"/>
          </w:tcPr>
          <w:p w14:paraId="69828941" w14:textId="77777777" w:rsidR="00BA350C" w:rsidRPr="00710B91" w:rsidRDefault="00BA350C" w:rsidP="00BA350C">
            <w:pPr>
              <w:rPr>
                <w:noProof/>
              </w:rPr>
            </w:pPr>
          </w:p>
        </w:tc>
        <w:tc>
          <w:tcPr>
            <w:tcW w:w="1503" w:type="dxa"/>
            <w:vAlign w:val="center"/>
          </w:tcPr>
          <w:p w14:paraId="4FD87FE5" w14:textId="77777777" w:rsidR="00BA350C" w:rsidRPr="00710B91" w:rsidRDefault="00BA350C" w:rsidP="00BA350C">
            <w:pPr>
              <w:spacing w:before="20" w:after="20"/>
              <w:rPr>
                <w:noProof/>
                <w:sz w:val="18"/>
              </w:rPr>
            </w:pPr>
            <w:r w:rsidRPr="00710B91">
              <w:rPr>
                <w:noProof/>
                <w:sz w:val="18"/>
              </w:rPr>
              <w:t>Środki na płatności</w:t>
            </w:r>
          </w:p>
        </w:tc>
        <w:tc>
          <w:tcPr>
            <w:tcW w:w="591" w:type="dxa"/>
            <w:vAlign w:val="center"/>
          </w:tcPr>
          <w:p w14:paraId="3FAF42A4" w14:textId="77777777" w:rsidR="00BA350C" w:rsidRPr="00710B91" w:rsidRDefault="00BA350C" w:rsidP="00BA350C">
            <w:pPr>
              <w:spacing w:before="20" w:after="20"/>
              <w:jc w:val="center"/>
              <w:rPr>
                <w:noProof/>
                <w:sz w:val="14"/>
              </w:rPr>
            </w:pPr>
            <w:r w:rsidRPr="00710B91">
              <w:rPr>
                <w:noProof/>
                <w:sz w:val="14"/>
              </w:rPr>
              <w:t>(2a)</w:t>
            </w:r>
          </w:p>
        </w:tc>
        <w:tc>
          <w:tcPr>
            <w:tcW w:w="868" w:type="dxa"/>
            <w:vAlign w:val="center"/>
          </w:tcPr>
          <w:p w14:paraId="419C6E3C" w14:textId="77777777" w:rsidR="00BA350C" w:rsidRPr="00710B91" w:rsidRDefault="00BA350C" w:rsidP="00BA350C">
            <w:pPr>
              <w:spacing w:before="20" w:after="20"/>
              <w:jc w:val="right"/>
              <w:rPr>
                <w:noProof/>
                <w:sz w:val="20"/>
              </w:rPr>
            </w:pPr>
          </w:p>
        </w:tc>
        <w:tc>
          <w:tcPr>
            <w:tcW w:w="868" w:type="dxa"/>
            <w:vAlign w:val="center"/>
          </w:tcPr>
          <w:p w14:paraId="293DD9C7" w14:textId="77777777" w:rsidR="00BA350C" w:rsidRPr="00710B91" w:rsidRDefault="00BA350C" w:rsidP="00BA350C">
            <w:pPr>
              <w:spacing w:before="20" w:after="20"/>
              <w:jc w:val="right"/>
              <w:rPr>
                <w:noProof/>
                <w:sz w:val="20"/>
              </w:rPr>
            </w:pPr>
          </w:p>
        </w:tc>
        <w:tc>
          <w:tcPr>
            <w:tcW w:w="868" w:type="dxa"/>
            <w:vAlign w:val="center"/>
          </w:tcPr>
          <w:p w14:paraId="44D862F0" w14:textId="77777777" w:rsidR="00BA350C" w:rsidRPr="00710B91" w:rsidRDefault="00BA350C" w:rsidP="00BA350C">
            <w:pPr>
              <w:spacing w:before="20" w:after="20"/>
              <w:jc w:val="right"/>
              <w:rPr>
                <w:noProof/>
                <w:sz w:val="20"/>
              </w:rPr>
            </w:pPr>
          </w:p>
        </w:tc>
        <w:tc>
          <w:tcPr>
            <w:tcW w:w="868" w:type="dxa"/>
            <w:vAlign w:val="center"/>
          </w:tcPr>
          <w:p w14:paraId="3C585B24" w14:textId="77777777" w:rsidR="00BA350C" w:rsidRPr="00710B91" w:rsidRDefault="00BA350C" w:rsidP="00BA350C">
            <w:pPr>
              <w:spacing w:before="20" w:after="20"/>
              <w:jc w:val="right"/>
              <w:rPr>
                <w:noProof/>
                <w:sz w:val="20"/>
              </w:rPr>
            </w:pPr>
          </w:p>
        </w:tc>
        <w:tc>
          <w:tcPr>
            <w:tcW w:w="1777" w:type="dxa"/>
            <w:vAlign w:val="center"/>
          </w:tcPr>
          <w:p w14:paraId="24AD58A2" w14:textId="77777777" w:rsidR="00BA350C" w:rsidRPr="00710B91" w:rsidRDefault="00BA350C" w:rsidP="00BA350C">
            <w:pPr>
              <w:spacing w:before="20" w:after="20"/>
              <w:jc w:val="right"/>
              <w:rPr>
                <w:b/>
                <w:noProof/>
                <w:sz w:val="20"/>
              </w:rPr>
            </w:pPr>
          </w:p>
        </w:tc>
      </w:tr>
      <w:tr w:rsidR="00BA350C" w:rsidRPr="00710B91" w14:paraId="0EE5091B" w14:textId="77777777" w:rsidTr="00BA350C">
        <w:trPr>
          <w:trHeight w:val="319"/>
          <w:jc w:val="center"/>
        </w:trPr>
        <w:tc>
          <w:tcPr>
            <w:tcW w:w="3960" w:type="dxa"/>
            <w:vMerge w:val="restart"/>
            <w:vAlign w:val="center"/>
          </w:tcPr>
          <w:p w14:paraId="67175FC0" w14:textId="77777777" w:rsidR="00BA350C" w:rsidRPr="00710B91" w:rsidRDefault="00BA350C" w:rsidP="00BA350C">
            <w:pPr>
              <w:pStyle w:val="CommentText"/>
              <w:rPr>
                <w:rFonts w:ascii="Times New Roman" w:hAnsi="Times New Roman" w:cs="Times New Roman"/>
                <w:noProof/>
              </w:rPr>
            </w:pPr>
            <w:r w:rsidRPr="00710B91">
              <w:rPr>
                <w:rFonts w:ascii="Times New Roman" w:hAnsi="Times New Roman"/>
                <w:noProof/>
              </w:rPr>
              <w:t>Tytuł 3: Wydatki operacyjne</w:t>
            </w:r>
          </w:p>
        </w:tc>
        <w:tc>
          <w:tcPr>
            <w:tcW w:w="1503" w:type="dxa"/>
            <w:vAlign w:val="center"/>
          </w:tcPr>
          <w:p w14:paraId="06C12630" w14:textId="77777777" w:rsidR="00BA350C" w:rsidRPr="00710B91" w:rsidRDefault="00BA350C" w:rsidP="00BA350C">
            <w:pPr>
              <w:spacing w:before="40" w:after="40"/>
              <w:rPr>
                <w:noProof/>
                <w:sz w:val="18"/>
              </w:rPr>
            </w:pPr>
            <w:r w:rsidRPr="00710B91">
              <w:rPr>
                <w:noProof/>
                <w:sz w:val="18"/>
              </w:rPr>
              <w:t>Środki na zobowiązania</w:t>
            </w:r>
          </w:p>
        </w:tc>
        <w:tc>
          <w:tcPr>
            <w:tcW w:w="591" w:type="dxa"/>
            <w:vAlign w:val="center"/>
          </w:tcPr>
          <w:p w14:paraId="3AE2C652" w14:textId="77777777" w:rsidR="00BA350C" w:rsidRPr="00710B91" w:rsidRDefault="00BA350C" w:rsidP="00BA350C">
            <w:pPr>
              <w:spacing w:before="40" w:after="40"/>
              <w:jc w:val="center"/>
              <w:rPr>
                <w:noProof/>
                <w:sz w:val="14"/>
              </w:rPr>
            </w:pPr>
            <w:r w:rsidRPr="00710B91">
              <w:rPr>
                <w:noProof/>
                <w:sz w:val="14"/>
              </w:rPr>
              <w:t>(3a)</w:t>
            </w:r>
          </w:p>
        </w:tc>
        <w:tc>
          <w:tcPr>
            <w:tcW w:w="868" w:type="dxa"/>
            <w:vAlign w:val="center"/>
          </w:tcPr>
          <w:p w14:paraId="28DF0B30" w14:textId="019E8415" w:rsidR="00BA350C" w:rsidRPr="00710B91" w:rsidRDefault="00BA350C" w:rsidP="00BA350C">
            <w:pPr>
              <w:spacing w:before="40" w:after="40"/>
              <w:jc w:val="right"/>
              <w:rPr>
                <w:noProof/>
                <w:sz w:val="20"/>
              </w:rPr>
            </w:pPr>
          </w:p>
        </w:tc>
        <w:tc>
          <w:tcPr>
            <w:tcW w:w="868" w:type="dxa"/>
            <w:vAlign w:val="center"/>
          </w:tcPr>
          <w:p w14:paraId="0FBCEA49" w14:textId="4D16B570" w:rsidR="00BA350C" w:rsidRPr="00710B91" w:rsidRDefault="0054088F" w:rsidP="0054088F">
            <w:pPr>
              <w:spacing w:before="40" w:after="40"/>
              <w:jc w:val="right"/>
              <w:rPr>
                <w:noProof/>
                <w:sz w:val="20"/>
              </w:rPr>
            </w:pPr>
            <w:r w:rsidRPr="00710B91">
              <w:rPr>
                <w:noProof/>
                <w:sz w:val="20"/>
              </w:rPr>
              <w:t>2,500</w:t>
            </w:r>
          </w:p>
        </w:tc>
        <w:tc>
          <w:tcPr>
            <w:tcW w:w="868" w:type="dxa"/>
            <w:vAlign w:val="center"/>
          </w:tcPr>
          <w:p w14:paraId="5D74AEAF" w14:textId="5E830FD8" w:rsidR="00BA350C" w:rsidRPr="00710B91" w:rsidRDefault="00BA350C" w:rsidP="00BA350C">
            <w:pPr>
              <w:spacing w:before="40" w:after="40"/>
              <w:jc w:val="right"/>
              <w:rPr>
                <w:noProof/>
                <w:sz w:val="20"/>
              </w:rPr>
            </w:pPr>
          </w:p>
        </w:tc>
        <w:tc>
          <w:tcPr>
            <w:tcW w:w="868" w:type="dxa"/>
            <w:vAlign w:val="center"/>
          </w:tcPr>
          <w:p w14:paraId="605E6A4E" w14:textId="7A27A8C9" w:rsidR="00BA350C" w:rsidRPr="00710B91" w:rsidRDefault="00BA350C" w:rsidP="00BA350C">
            <w:pPr>
              <w:spacing w:before="40" w:after="40"/>
              <w:jc w:val="right"/>
              <w:rPr>
                <w:b/>
                <w:noProof/>
                <w:sz w:val="20"/>
              </w:rPr>
            </w:pPr>
          </w:p>
        </w:tc>
        <w:tc>
          <w:tcPr>
            <w:tcW w:w="1777" w:type="dxa"/>
            <w:vAlign w:val="center"/>
          </w:tcPr>
          <w:p w14:paraId="21212068" w14:textId="6781D7E7" w:rsidR="00BA350C" w:rsidRPr="00710B91" w:rsidRDefault="0054088F" w:rsidP="00BA350C">
            <w:pPr>
              <w:spacing w:before="20" w:after="20"/>
              <w:jc w:val="right"/>
              <w:rPr>
                <w:b/>
                <w:noProof/>
                <w:sz w:val="20"/>
              </w:rPr>
            </w:pPr>
            <w:r w:rsidRPr="00710B91">
              <w:rPr>
                <w:b/>
                <w:noProof/>
                <w:sz w:val="20"/>
              </w:rPr>
              <w:t>2,500</w:t>
            </w:r>
          </w:p>
        </w:tc>
      </w:tr>
      <w:tr w:rsidR="00BA350C" w:rsidRPr="00710B91" w14:paraId="580622DB" w14:textId="77777777" w:rsidTr="00BA350C">
        <w:trPr>
          <w:trHeight w:val="319"/>
          <w:jc w:val="center"/>
        </w:trPr>
        <w:tc>
          <w:tcPr>
            <w:tcW w:w="3960" w:type="dxa"/>
            <w:vMerge/>
            <w:vAlign w:val="center"/>
          </w:tcPr>
          <w:p w14:paraId="039B03B0" w14:textId="77777777" w:rsidR="00BA350C" w:rsidRPr="00710B91" w:rsidRDefault="00BA350C" w:rsidP="00BA350C">
            <w:pPr>
              <w:spacing w:before="60" w:after="60"/>
              <w:rPr>
                <w:b/>
                <w:noProof/>
                <w:sz w:val="20"/>
              </w:rPr>
            </w:pPr>
          </w:p>
        </w:tc>
        <w:tc>
          <w:tcPr>
            <w:tcW w:w="1503" w:type="dxa"/>
            <w:vAlign w:val="center"/>
          </w:tcPr>
          <w:p w14:paraId="6CE93739" w14:textId="77777777" w:rsidR="00BA350C" w:rsidRPr="00710B91" w:rsidRDefault="00BA350C" w:rsidP="00BA350C">
            <w:pPr>
              <w:spacing w:before="40" w:after="40"/>
              <w:rPr>
                <w:noProof/>
                <w:sz w:val="18"/>
              </w:rPr>
            </w:pPr>
            <w:r w:rsidRPr="00710B91">
              <w:rPr>
                <w:noProof/>
                <w:sz w:val="18"/>
              </w:rPr>
              <w:t>Środki na płatności</w:t>
            </w:r>
          </w:p>
        </w:tc>
        <w:tc>
          <w:tcPr>
            <w:tcW w:w="591" w:type="dxa"/>
            <w:vAlign w:val="center"/>
          </w:tcPr>
          <w:p w14:paraId="49F88011" w14:textId="77777777" w:rsidR="00BA350C" w:rsidRPr="00710B91" w:rsidRDefault="00BA350C" w:rsidP="00BA350C">
            <w:pPr>
              <w:spacing w:before="40" w:after="40"/>
              <w:jc w:val="center"/>
              <w:rPr>
                <w:noProof/>
                <w:sz w:val="14"/>
              </w:rPr>
            </w:pPr>
            <w:r w:rsidRPr="00710B91">
              <w:rPr>
                <w:noProof/>
                <w:sz w:val="14"/>
              </w:rPr>
              <w:t>(3b)</w:t>
            </w:r>
          </w:p>
        </w:tc>
        <w:tc>
          <w:tcPr>
            <w:tcW w:w="868" w:type="dxa"/>
            <w:vAlign w:val="center"/>
          </w:tcPr>
          <w:p w14:paraId="5D55D77A" w14:textId="77777777" w:rsidR="00BA350C" w:rsidRPr="00710B91" w:rsidRDefault="00BA350C" w:rsidP="00BA350C">
            <w:pPr>
              <w:spacing w:before="40" w:after="40"/>
              <w:jc w:val="right"/>
              <w:rPr>
                <w:b/>
                <w:noProof/>
                <w:sz w:val="20"/>
              </w:rPr>
            </w:pPr>
          </w:p>
        </w:tc>
        <w:tc>
          <w:tcPr>
            <w:tcW w:w="868" w:type="dxa"/>
            <w:vAlign w:val="center"/>
          </w:tcPr>
          <w:p w14:paraId="41385237" w14:textId="352BDBE0" w:rsidR="00BA350C" w:rsidRPr="00710B91" w:rsidRDefault="00BA350C" w:rsidP="00BA350C">
            <w:pPr>
              <w:spacing w:before="40" w:after="40"/>
              <w:jc w:val="right"/>
              <w:rPr>
                <w:noProof/>
                <w:sz w:val="20"/>
              </w:rPr>
            </w:pPr>
          </w:p>
        </w:tc>
        <w:tc>
          <w:tcPr>
            <w:tcW w:w="868" w:type="dxa"/>
            <w:vAlign w:val="center"/>
          </w:tcPr>
          <w:p w14:paraId="28B6DB3A" w14:textId="50E620AF" w:rsidR="00BA350C" w:rsidRPr="00710B91" w:rsidRDefault="0054088F" w:rsidP="00BA350C">
            <w:pPr>
              <w:spacing w:before="40" w:after="40"/>
              <w:jc w:val="right"/>
              <w:rPr>
                <w:noProof/>
                <w:sz w:val="20"/>
              </w:rPr>
            </w:pPr>
            <w:r w:rsidRPr="00710B91">
              <w:rPr>
                <w:noProof/>
                <w:sz w:val="20"/>
              </w:rPr>
              <w:t>2,500</w:t>
            </w:r>
          </w:p>
        </w:tc>
        <w:tc>
          <w:tcPr>
            <w:tcW w:w="868" w:type="dxa"/>
            <w:vAlign w:val="center"/>
          </w:tcPr>
          <w:p w14:paraId="0A051258" w14:textId="6503AFCD" w:rsidR="00BA350C" w:rsidRPr="00710B91" w:rsidRDefault="00BA350C" w:rsidP="00BA350C">
            <w:pPr>
              <w:spacing w:before="40" w:after="40"/>
              <w:jc w:val="right"/>
              <w:rPr>
                <w:b/>
                <w:noProof/>
                <w:sz w:val="20"/>
              </w:rPr>
            </w:pPr>
          </w:p>
        </w:tc>
        <w:tc>
          <w:tcPr>
            <w:tcW w:w="1777" w:type="dxa"/>
            <w:vAlign w:val="center"/>
          </w:tcPr>
          <w:p w14:paraId="7F9D7E60" w14:textId="15334C0A" w:rsidR="00BA350C" w:rsidRPr="00710B91" w:rsidRDefault="0054088F" w:rsidP="00BA350C">
            <w:pPr>
              <w:spacing w:before="20" w:after="20"/>
              <w:jc w:val="right"/>
              <w:rPr>
                <w:b/>
                <w:noProof/>
                <w:sz w:val="20"/>
              </w:rPr>
            </w:pPr>
            <w:r w:rsidRPr="00710B91">
              <w:rPr>
                <w:b/>
                <w:noProof/>
                <w:sz w:val="20"/>
              </w:rPr>
              <w:t>2,500</w:t>
            </w:r>
          </w:p>
        </w:tc>
      </w:tr>
      <w:tr w:rsidR="00BA350C" w:rsidRPr="00710B91" w14:paraId="2E467871" w14:textId="77777777" w:rsidTr="00BA350C">
        <w:trPr>
          <w:jc w:val="center"/>
        </w:trPr>
        <w:tc>
          <w:tcPr>
            <w:tcW w:w="3960" w:type="dxa"/>
            <w:vMerge w:val="restart"/>
            <w:vAlign w:val="center"/>
          </w:tcPr>
          <w:p w14:paraId="7E7420AB" w14:textId="1D82FE72" w:rsidR="00BA350C" w:rsidRPr="00710B91" w:rsidRDefault="00BA350C" w:rsidP="0054088F">
            <w:pPr>
              <w:jc w:val="center"/>
              <w:rPr>
                <w:noProof/>
              </w:rPr>
            </w:pPr>
            <w:r w:rsidRPr="00710B91">
              <w:rPr>
                <w:b/>
                <w:noProof/>
                <w:sz w:val="22"/>
              </w:rPr>
              <w:t>OGÓŁEM środki</w:t>
            </w:r>
            <w:r w:rsidRPr="00710B91">
              <w:rPr>
                <w:noProof/>
              </w:rPr>
              <w:t xml:space="preserve"> </w:t>
            </w:r>
            <w:r w:rsidRPr="00710B91">
              <w:rPr>
                <w:noProof/>
              </w:rPr>
              <w:br/>
            </w:r>
            <w:r w:rsidRPr="00710B91">
              <w:rPr>
                <w:b/>
                <w:noProof/>
                <w:sz w:val="22"/>
              </w:rPr>
              <w:t xml:space="preserve">na rzecz </w:t>
            </w:r>
            <w:r w:rsidRPr="00710B91">
              <w:rPr>
                <w:b/>
                <w:noProof/>
              </w:rPr>
              <w:t>eu-LISA</w:t>
            </w:r>
          </w:p>
        </w:tc>
        <w:tc>
          <w:tcPr>
            <w:tcW w:w="1503" w:type="dxa"/>
            <w:vAlign w:val="center"/>
          </w:tcPr>
          <w:p w14:paraId="48163CA7" w14:textId="77777777" w:rsidR="00BA350C" w:rsidRPr="00710B91" w:rsidRDefault="00BA350C" w:rsidP="00BA350C">
            <w:pPr>
              <w:rPr>
                <w:noProof/>
                <w:sz w:val="18"/>
              </w:rPr>
            </w:pPr>
            <w:r w:rsidRPr="00710B91">
              <w:rPr>
                <w:noProof/>
                <w:sz w:val="18"/>
              </w:rPr>
              <w:t>Środki na zobowiązania</w:t>
            </w:r>
          </w:p>
        </w:tc>
        <w:tc>
          <w:tcPr>
            <w:tcW w:w="591" w:type="dxa"/>
            <w:vAlign w:val="center"/>
          </w:tcPr>
          <w:p w14:paraId="1821A850" w14:textId="77777777" w:rsidR="00BA350C" w:rsidRPr="00710B91" w:rsidRDefault="00BA350C" w:rsidP="00BA350C">
            <w:pPr>
              <w:jc w:val="center"/>
              <w:rPr>
                <w:noProof/>
                <w:sz w:val="14"/>
              </w:rPr>
            </w:pPr>
            <w:r w:rsidRPr="00710B91">
              <w:rPr>
                <w:noProof/>
                <w:sz w:val="14"/>
              </w:rPr>
              <w:t>=1+1a +3a</w:t>
            </w:r>
          </w:p>
        </w:tc>
        <w:tc>
          <w:tcPr>
            <w:tcW w:w="868" w:type="dxa"/>
            <w:vAlign w:val="center"/>
          </w:tcPr>
          <w:p w14:paraId="5E42D024" w14:textId="393DD31A" w:rsidR="00BA350C" w:rsidRPr="00710B91" w:rsidRDefault="00BA350C" w:rsidP="00BA350C">
            <w:pPr>
              <w:spacing w:before="20" w:after="20"/>
              <w:jc w:val="right"/>
              <w:rPr>
                <w:noProof/>
                <w:sz w:val="20"/>
                <w:szCs w:val="20"/>
              </w:rPr>
            </w:pPr>
          </w:p>
        </w:tc>
        <w:tc>
          <w:tcPr>
            <w:tcW w:w="868" w:type="dxa"/>
            <w:vAlign w:val="center"/>
          </w:tcPr>
          <w:p w14:paraId="4437CF11" w14:textId="037E1B3D" w:rsidR="00BA350C" w:rsidRPr="00710B91" w:rsidRDefault="0054088F" w:rsidP="00BA350C">
            <w:pPr>
              <w:spacing w:before="20" w:after="20"/>
              <w:jc w:val="right"/>
              <w:rPr>
                <w:noProof/>
                <w:sz w:val="20"/>
                <w:szCs w:val="20"/>
              </w:rPr>
            </w:pPr>
            <w:r w:rsidRPr="00710B91">
              <w:rPr>
                <w:noProof/>
                <w:sz w:val="20"/>
                <w:szCs w:val="20"/>
              </w:rPr>
              <w:t>2,500</w:t>
            </w:r>
          </w:p>
        </w:tc>
        <w:tc>
          <w:tcPr>
            <w:tcW w:w="868" w:type="dxa"/>
            <w:vAlign w:val="center"/>
          </w:tcPr>
          <w:p w14:paraId="2C0F9EC9" w14:textId="5915184F" w:rsidR="00BA350C" w:rsidRPr="00710B91" w:rsidRDefault="00BA350C" w:rsidP="00BA350C">
            <w:pPr>
              <w:spacing w:before="20" w:after="20"/>
              <w:jc w:val="right"/>
              <w:rPr>
                <w:noProof/>
                <w:sz w:val="20"/>
                <w:szCs w:val="20"/>
              </w:rPr>
            </w:pPr>
          </w:p>
        </w:tc>
        <w:tc>
          <w:tcPr>
            <w:tcW w:w="868" w:type="dxa"/>
            <w:vAlign w:val="center"/>
          </w:tcPr>
          <w:p w14:paraId="6E4B562A" w14:textId="0EA13258" w:rsidR="00BA350C" w:rsidRPr="00710B91" w:rsidRDefault="00BA350C" w:rsidP="00BA350C">
            <w:pPr>
              <w:spacing w:before="20" w:after="20"/>
              <w:jc w:val="right"/>
              <w:rPr>
                <w:noProof/>
                <w:sz w:val="20"/>
                <w:szCs w:val="20"/>
              </w:rPr>
            </w:pPr>
          </w:p>
        </w:tc>
        <w:tc>
          <w:tcPr>
            <w:tcW w:w="1777" w:type="dxa"/>
            <w:vAlign w:val="center"/>
          </w:tcPr>
          <w:p w14:paraId="5B357E98" w14:textId="3E88DA87" w:rsidR="00BA350C" w:rsidRPr="00710B91" w:rsidRDefault="0054088F" w:rsidP="00BA350C">
            <w:pPr>
              <w:spacing w:before="20" w:after="20"/>
              <w:jc w:val="right"/>
              <w:rPr>
                <w:b/>
                <w:noProof/>
                <w:sz w:val="20"/>
              </w:rPr>
            </w:pPr>
            <w:r w:rsidRPr="00710B91">
              <w:rPr>
                <w:b/>
                <w:noProof/>
                <w:sz w:val="20"/>
              </w:rPr>
              <w:t>2,500</w:t>
            </w:r>
          </w:p>
        </w:tc>
      </w:tr>
      <w:tr w:rsidR="00BA350C" w:rsidRPr="00710B91" w14:paraId="1BC7766B" w14:textId="77777777" w:rsidTr="00BA350C">
        <w:trPr>
          <w:jc w:val="center"/>
        </w:trPr>
        <w:tc>
          <w:tcPr>
            <w:tcW w:w="3960" w:type="dxa"/>
            <w:vMerge/>
            <w:vAlign w:val="center"/>
          </w:tcPr>
          <w:p w14:paraId="60875E1E" w14:textId="77777777" w:rsidR="00BA350C" w:rsidRPr="00710B91" w:rsidRDefault="00BA350C" w:rsidP="00BA350C">
            <w:pPr>
              <w:rPr>
                <w:b/>
                <w:noProof/>
              </w:rPr>
            </w:pPr>
          </w:p>
        </w:tc>
        <w:tc>
          <w:tcPr>
            <w:tcW w:w="1503" w:type="dxa"/>
            <w:vAlign w:val="center"/>
          </w:tcPr>
          <w:p w14:paraId="44328149" w14:textId="77777777" w:rsidR="00BA350C" w:rsidRPr="00710B91" w:rsidRDefault="00BA350C" w:rsidP="00BA350C">
            <w:pPr>
              <w:rPr>
                <w:noProof/>
                <w:sz w:val="18"/>
              </w:rPr>
            </w:pPr>
            <w:r w:rsidRPr="00710B91">
              <w:rPr>
                <w:noProof/>
                <w:sz w:val="18"/>
              </w:rPr>
              <w:t>Środki na płatności</w:t>
            </w:r>
          </w:p>
        </w:tc>
        <w:tc>
          <w:tcPr>
            <w:tcW w:w="591" w:type="dxa"/>
            <w:vAlign w:val="center"/>
          </w:tcPr>
          <w:p w14:paraId="6096A5EF" w14:textId="77777777" w:rsidR="00BA350C" w:rsidRPr="00710B91" w:rsidRDefault="00BA350C" w:rsidP="00BA350C">
            <w:pPr>
              <w:jc w:val="center"/>
              <w:rPr>
                <w:noProof/>
                <w:sz w:val="14"/>
              </w:rPr>
            </w:pPr>
            <w:r w:rsidRPr="00710B91">
              <w:rPr>
                <w:noProof/>
                <w:sz w:val="14"/>
              </w:rPr>
              <w:t>=2+2a</w:t>
            </w:r>
          </w:p>
          <w:p w14:paraId="0E68A88E" w14:textId="77777777" w:rsidR="00BA350C" w:rsidRPr="00710B91" w:rsidRDefault="00BA350C" w:rsidP="00BA350C">
            <w:pPr>
              <w:jc w:val="center"/>
              <w:rPr>
                <w:noProof/>
                <w:sz w:val="14"/>
              </w:rPr>
            </w:pPr>
            <w:r w:rsidRPr="00710B91">
              <w:rPr>
                <w:noProof/>
                <w:sz w:val="14"/>
              </w:rPr>
              <w:t>+3b</w:t>
            </w:r>
          </w:p>
        </w:tc>
        <w:tc>
          <w:tcPr>
            <w:tcW w:w="868" w:type="dxa"/>
            <w:vAlign w:val="center"/>
          </w:tcPr>
          <w:p w14:paraId="6017042F" w14:textId="13D84C23" w:rsidR="00BA350C" w:rsidRPr="00710B91" w:rsidRDefault="00BA350C" w:rsidP="00BA350C">
            <w:pPr>
              <w:spacing w:before="20" w:after="20"/>
              <w:jc w:val="right"/>
              <w:rPr>
                <w:noProof/>
                <w:sz w:val="20"/>
                <w:szCs w:val="20"/>
              </w:rPr>
            </w:pPr>
          </w:p>
        </w:tc>
        <w:tc>
          <w:tcPr>
            <w:tcW w:w="868" w:type="dxa"/>
            <w:vAlign w:val="center"/>
          </w:tcPr>
          <w:p w14:paraId="6E086C8B" w14:textId="14DB8A06" w:rsidR="00BA350C" w:rsidRPr="00710B91" w:rsidRDefault="00BA350C" w:rsidP="00BA350C">
            <w:pPr>
              <w:spacing w:before="20" w:after="20"/>
              <w:jc w:val="right"/>
              <w:rPr>
                <w:noProof/>
                <w:sz w:val="20"/>
                <w:szCs w:val="20"/>
              </w:rPr>
            </w:pPr>
          </w:p>
        </w:tc>
        <w:tc>
          <w:tcPr>
            <w:tcW w:w="868" w:type="dxa"/>
            <w:vAlign w:val="center"/>
          </w:tcPr>
          <w:p w14:paraId="5438F8CC" w14:textId="29C3F7B6" w:rsidR="00BA350C" w:rsidRPr="00710B91" w:rsidRDefault="0054088F" w:rsidP="00BA350C">
            <w:pPr>
              <w:spacing w:before="20" w:after="20"/>
              <w:jc w:val="right"/>
              <w:rPr>
                <w:noProof/>
                <w:sz w:val="20"/>
                <w:szCs w:val="20"/>
              </w:rPr>
            </w:pPr>
            <w:r w:rsidRPr="00710B91">
              <w:rPr>
                <w:noProof/>
                <w:sz w:val="20"/>
                <w:szCs w:val="20"/>
              </w:rPr>
              <w:t>2,500</w:t>
            </w:r>
          </w:p>
        </w:tc>
        <w:tc>
          <w:tcPr>
            <w:tcW w:w="868" w:type="dxa"/>
            <w:vAlign w:val="center"/>
          </w:tcPr>
          <w:p w14:paraId="28AD7DF5" w14:textId="19526D56" w:rsidR="00BA350C" w:rsidRPr="00710B91" w:rsidRDefault="00BA350C" w:rsidP="00BA350C">
            <w:pPr>
              <w:spacing w:before="20" w:after="20"/>
              <w:jc w:val="right"/>
              <w:rPr>
                <w:noProof/>
                <w:sz w:val="20"/>
                <w:szCs w:val="20"/>
              </w:rPr>
            </w:pPr>
          </w:p>
        </w:tc>
        <w:tc>
          <w:tcPr>
            <w:tcW w:w="1777" w:type="dxa"/>
            <w:vAlign w:val="center"/>
          </w:tcPr>
          <w:p w14:paraId="22C5DD4C" w14:textId="58236427" w:rsidR="00BA350C" w:rsidRPr="00710B91" w:rsidRDefault="0054088F" w:rsidP="00BA350C">
            <w:pPr>
              <w:spacing w:before="20" w:after="20"/>
              <w:jc w:val="right"/>
              <w:rPr>
                <w:b/>
                <w:noProof/>
                <w:sz w:val="20"/>
              </w:rPr>
            </w:pPr>
            <w:r w:rsidRPr="00710B91">
              <w:rPr>
                <w:b/>
                <w:noProof/>
                <w:sz w:val="20"/>
              </w:rPr>
              <w:t>2,500</w:t>
            </w:r>
          </w:p>
        </w:tc>
      </w:tr>
    </w:tbl>
    <w:p w14:paraId="0C726657" w14:textId="7C53137B" w:rsidR="00534A42" w:rsidRPr="00710B91" w:rsidRDefault="00534A42" w:rsidP="006F6F3C">
      <w:pPr>
        <w:rPr>
          <w:noProof/>
        </w:rPr>
      </w:pPr>
    </w:p>
    <w:p w14:paraId="1A1F52D1" w14:textId="77777777" w:rsidR="00534A42" w:rsidRPr="00710B91" w:rsidRDefault="00534A42">
      <w:pPr>
        <w:spacing w:before="0" w:after="200" w:line="276" w:lineRule="auto"/>
        <w:jc w:val="left"/>
        <w:rPr>
          <w:noProof/>
        </w:rPr>
      </w:pPr>
      <w:r w:rsidRPr="00710B91">
        <w:rPr>
          <w:noProof/>
        </w:rPr>
        <w:br w:type="page"/>
      </w:r>
    </w:p>
    <w:p w14:paraId="1674770A" w14:textId="77777777" w:rsidR="00534A42" w:rsidRPr="00710B91" w:rsidRDefault="00534A42" w:rsidP="00534A42">
      <w:pPr>
        <w:jc w:val="right"/>
        <w:rPr>
          <w:noProof/>
          <w:sz w:val="18"/>
          <w:szCs w:val="18"/>
        </w:rPr>
      </w:pPr>
      <w:r w:rsidRPr="00710B91">
        <w:rPr>
          <w:noProof/>
          <w:sz w:val="18"/>
          <w:szCs w:val="18"/>
        </w:rPr>
        <w:t>w mln EUR (do trzech miejsc po przecinku)</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744"/>
        <w:gridCol w:w="1080"/>
        <w:gridCol w:w="7817"/>
      </w:tblGrid>
      <w:tr w:rsidR="007D0D6D" w:rsidRPr="00710B91" w14:paraId="53D7661C" w14:textId="77777777" w:rsidTr="001F2A4B">
        <w:trPr>
          <w:jc w:val="center"/>
        </w:trPr>
        <w:tc>
          <w:tcPr>
            <w:tcW w:w="4744" w:type="dxa"/>
            <w:shd w:val="thinDiagStripe" w:color="C0C0C0" w:fill="auto"/>
            <w:vAlign w:val="center"/>
          </w:tcPr>
          <w:p w14:paraId="1B8A2A5C" w14:textId="77777777" w:rsidR="007D0D6D" w:rsidRPr="00710B91" w:rsidRDefault="007D0D6D" w:rsidP="001F2A4B">
            <w:pPr>
              <w:spacing w:before="60" w:after="60"/>
              <w:jc w:val="center"/>
              <w:rPr>
                <w:b/>
                <w:noProof/>
              </w:rPr>
            </w:pPr>
            <w:r w:rsidRPr="00710B91">
              <w:rPr>
                <w:noProof/>
              </w:rPr>
              <w:br w:type="page"/>
            </w:r>
            <w:r w:rsidRPr="00710B91">
              <w:rPr>
                <w:b/>
                <w:noProof/>
                <w:sz w:val="22"/>
              </w:rPr>
              <w:t>Dział wieloletnich</w:t>
            </w:r>
            <w:r w:rsidRPr="00710B91">
              <w:rPr>
                <w:noProof/>
              </w:rPr>
              <w:t xml:space="preserve"> </w:t>
            </w:r>
            <w:r w:rsidRPr="00710B91">
              <w:rPr>
                <w:noProof/>
              </w:rPr>
              <w:br/>
            </w:r>
            <w:r w:rsidRPr="00710B91">
              <w:rPr>
                <w:b/>
                <w:noProof/>
                <w:sz w:val="22"/>
              </w:rPr>
              <w:t xml:space="preserve">ram finansowych </w:t>
            </w:r>
          </w:p>
        </w:tc>
        <w:tc>
          <w:tcPr>
            <w:tcW w:w="1080" w:type="dxa"/>
            <w:shd w:val="thinDiagStripe" w:color="C0C0C0" w:fill="auto"/>
            <w:vAlign w:val="center"/>
          </w:tcPr>
          <w:p w14:paraId="1E87D5C1" w14:textId="77777777" w:rsidR="007D0D6D" w:rsidRPr="00710B91" w:rsidRDefault="007D0D6D" w:rsidP="001F2A4B">
            <w:pPr>
              <w:spacing w:before="60" w:after="60"/>
              <w:jc w:val="center"/>
              <w:rPr>
                <w:noProof/>
              </w:rPr>
            </w:pPr>
            <w:r w:rsidRPr="00710B91">
              <w:rPr>
                <w:b/>
                <w:noProof/>
                <w:sz w:val="22"/>
              </w:rPr>
              <w:t>7</w:t>
            </w:r>
          </w:p>
        </w:tc>
        <w:tc>
          <w:tcPr>
            <w:tcW w:w="7817" w:type="dxa"/>
            <w:vAlign w:val="center"/>
          </w:tcPr>
          <w:p w14:paraId="5C2007C8" w14:textId="77777777" w:rsidR="007D0D6D" w:rsidRPr="00710B91" w:rsidRDefault="007D0D6D" w:rsidP="001F2A4B">
            <w:pPr>
              <w:spacing w:before="60" w:after="60"/>
              <w:rPr>
                <w:noProof/>
                <w:szCs w:val="24"/>
              </w:rPr>
            </w:pPr>
            <w:r w:rsidRPr="00710B91">
              <w:rPr>
                <w:noProof/>
                <w:sz w:val="23"/>
                <w:szCs w:val="23"/>
              </w:rPr>
              <w:t>Europejska administracja publiczna</w:t>
            </w:r>
          </w:p>
        </w:tc>
      </w:tr>
    </w:tbl>
    <w:p w14:paraId="097533F1" w14:textId="77777777" w:rsidR="007D0D6D" w:rsidRPr="00710B91" w:rsidRDefault="007D0D6D" w:rsidP="006F6F3C">
      <w:pPr>
        <w:rPr>
          <w:noProof/>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960"/>
        <w:gridCol w:w="1560"/>
        <w:gridCol w:w="534"/>
        <w:gridCol w:w="868"/>
        <w:gridCol w:w="868"/>
        <w:gridCol w:w="868"/>
        <w:gridCol w:w="868"/>
        <w:gridCol w:w="1777"/>
      </w:tblGrid>
      <w:tr w:rsidR="007D0D6D" w:rsidRPr="00710B91" w14:paraId="149253FF" w14:textId="77777777" w:rsidTr="001F2A4B">
        <w:trPr>
          <w:jc w:val="center"/>
        </w:trPr>
        <w:tc>
          <w:tcPr>
            <w:tcW w:w="3960" w:type="dxa"/>
            <w:tcBorders>
              <w:top w:val="nil"/>
              <w:left w:val="nil"/>
              <w:right w:val="nil"/>
            </w:tcBorders>
            <w:vAlign w:val="center"/>
          </w:tcPr>
          <w:p w14:paraId="70564A03" w14:textId="77777777" w:rsidR="007D0D6D" w:rsidRPr="00710B91" w:rsidRDefault="007D0D6D" w:rsidP="001F2A4B">
            <w:pPr>
              <w:jc w:val="center"/>
              <w:rPr>
                <w:noProof/>
              </w:rPr>
            </w:pPr>
          </w:p>
        </w:tc>
        <w:tc>
          <w:tcPr>
            <w:tcW w:w="1560" w:type="dxa"/>
            <w:tcBorders>
              <w:top w:val="nil"/>
              <w:left w:val="nil"/>
              <w:right w:val="nil"/>
            </w:tcBorders>
          </w:tcPr>
          <w:p w14:paraId="39624E66" w14:textId="77777777" w:rsidR="007D0D6D" w:rsidRPr="00710B91" w:rsidRDefault="007D0D6D" w:rsidP="001F2A4B">
            <w:pPr>
              <w:rPr>
                <w:noProof/>
                <w:sz w:val="20"/>
              </w:rPr>
            </w:pPr>
          </w:p>
        </w:tc>
        <w:tc>
          <w:tcPr>
            <w:tcW w:w="534" w:type="dxa"/>
            <w:tcBorders>
              <w:top w:val="nil"/>
              <w:left w:val="nil"/>
            </w:tcBorders>
          </w:tcPr>
          <w:p w14:paraId="0B667BE5" w14:textId="77777777" w:rsidR="007D0D6D" w:rsidRPr="00710B91" w:rsidRDefault="007D0D6D" w:rsidP="001F2A4B">
            <w:pPr>
              <w:jc w:val="center"/>
              <w:rPr>
                <w:noProof/>
                <w:sz w:val="20"/>
              </w:rPr>
            </w:pPr>
          </w:p>
        </w:tc>
        <w:tc>
          <w:tcPr>
            <w:tcW w:w="868" w:type="dxa"/>
            <w:vAlign w:val="center"/>
          </w:tcPr>
          <w:p w14:paraId="75ABB5B0" w14:textId="77777777" w:rsidR="007D0D6D" w:rsidRPr="00710B91" w:rsidRDefault="007D0D6D" w:rsidP="001F2A4B">
            <w:pPr>
              <w:jc w:val="center"/>
              <w:rPr>
                <w:noProof/>
                <w:sz w:val="20"/>
              </w:rPr>
            </w:pPr>
            <w:r w:rsidRPr="00710B91">
              <w:rPr>
                <w:noProof/>
                <w:sz w:val="20"/>
              </w:rPr>
              <w:t>Rok</w:t>
            </w:r>
            <w:r w:rsidRPr="00710B91">
              <w:rPr>
                <w:noProof/>
              </w:rPr>
              <w:t xml:space="preserve"> </w:t>
            </w:r>
            <w:r w:rsidRPr="00710B91">
              <w:rPr>
                <w:noProof/>
              </w:rPr>
              <w:br/>
            </w:r>
            <w:r w:rsidRPr="00710B91">
              <w:rPr>
                <w:b/>
                <w:noProof/>
                <w:sz w:val="20"/>
              </w:rPr>
              <w:t>2024</w:t>
            </w:r>
          </w:p>
        </w:tc>
        <w:tc>
          <w:tcPr>
            <w:tcW w:w="868" w:type="dxa"/>
            <w:vAlign w:val="center"/>
          </w:tcPr>
          <w:p w14:paraId="5766154D" w14:textId="77777777" w:rsidR="007D0D6D" w:rsidRPr="00710B91" w:rsidRDefault="007D0D6D" w:rsidP="001F2A4B">
            <w:pPr>
              <w:jc w:val="center"/>
              <w:rPr>
                <w:noProof/>
                <w:sz w:val="20"/>
              </w:rPr>
            </w:pPr>
            <w:r w:rsidRPr="00710B91">
              <w:rPr>
                <w:noProof/>
                <w:sz w:val="20"/>
              </w:rPr>
              <w:t>Rok</w:t>
            </w:r>
            <w:r w:rsidRPr="00710B91">
              <w:rPr>
                <w:noProof/>
              </w:rPr>
              <w:t xml:space="preserve"> </w:t>
            </w:r>
            <w:r w:rsidRPr="00710B91">
              <w:rPr>
                <w:noProof/>
              </w:rPr>
              <w:br/>
            </w:r>
            <w:r w:rsidRPr="00710B91">
              <w:rPr>
                <w:b/>
                <w:noProof/>
                <w:sz w:val="20"/>
              </w:rPr>
              <w:t>2025</w:t>
            </w:r>
          </w:p>
        </w:tc>
        <w:tc>
          <w:tcPr>
            <w:tcW w:w="868" w:type="dxa"/>
            <w:vAlign w:val="center"/>
          </w:tcPr>
          <w:p w14:paraId="024C0843" w14:textId="77777777" w:rsidR="007D0D6D" w:rsidRPr="00710B91" w:rsidRDefault="007D0D6D" w:rsidP="001F2A4B">
            <w:pPr>
              <w:jc w:val="center"/>
              <w:rPr>
                <w:noProof/>
                <w:sz w:val="20"/>
              </w:rPr>
            </w:pPr>
            <w:r w:rsidRPr="00710B91">
              <w:rPr>
                <w:noProof/>
                <w:sz w:val="20"/>
              </w:rPr>
              <w:t>Rok</w:t>
            </w:r>
            <w:r w:rsidRPr="00710B91">
              <w:rPr>
                <w:noProof/>
              </w:rPr>
              <w:t xml:space="preserve"> </w:t>
            </w:r>
            <w:r w:rsidRPr="00710B91">
              <w:rPr>
                <w:noProof/>
              </w:rPr>
              <w:br/>
            </w:r>
            <w:r w:rsidRPr="00710B91">
              <w:rPr>
                <w:b/>
                <w:noProof/>
                <w:sz w:val="20"/>
              </w:rPr>
              <w:t>2026</w:t>
            </w:r>
          </w:p>
        </w:tc>
        <w:tc>
          <w:tcPr>
            <w:tcW w:w="868" w:type="dxa"/>
            <w:vAlign w:val="center"/>
          </w:tcPr>
          <w:p w14:paraId="39E5AB49" w14:textId="77777777" w:rsidR="007D0D6D" w:rsidRPr="00710B91" w:rsidRDefault="007D0D6D" w:rsidP="001F2A4B">
            <w:pPr>
              <w:jc w:val="center"/>
              <w:rPr>
                <w:noProof/>
                <w:sz w:val="20"/>
              </w:rPr>
            </w:pPr>
            <w:r w:rsidRPr="00710B91">
              <w:rPr>
                <w:noProof/>
                <w:sz w:val="20"/>
              </w:rPr>
              <w:t>Rok</w:t>
            </w:r>
            <w:r w:rsidRPr="00710B91">
              <w:rPr>
                <w:noProof/>
              </w:rPr>
              <w:t xml:space="preserve"> </w:t>
            </w:r>
            <w:r w:rsidRPr="00710B91">
              <w:rPr>
                <w:noProof/>
              </w:rPr>
              <w:br/>
            </w:r>
            <w:r w:rsidRPr="00710B91">
              <w:rPr>
                <w:b/>
                <w:noProof/>
                <w:sz w:val="20"/>
              </w:rPr>
              <w:t>2027</w:t>
            </w:r>
          </w:p>
        </w:tc>
        <w:tc>
          <w:tcPr>
            <w:tcW w:w="1777" w:type="dxa"/>
            <w:vAlign w:val="center"/>
          </w:tcPr>
          <w:p w14:paraId="3AE8EB29" w14:textId="77777777" w:rsidR="007D0D6D" w:rsidRPr="00710B91" w:rsidRDefault="007D0D6D" w:rsidP="001F2A4B">
            <w:pPr>
              <w:jc w:val="center"/>
              <w:rPr>
                <w:b/>
                <w:noProof/>
                <w:sz w:val="20"/>
              </w:rPr>
            </w:pPr>
            <w:r w:rsidRPr="00710B91">
              <w:rPr>
                <w:b/>
                <w:noProof/>
                <w:sz w:val="20"/>
              </w:rPr>
              <w:t>OGÓŁEM 2024–2027</w:t>
            </w:r>
          </w:p>
        </w:tc>
      </w:tr>
      <w:tr w:rsidR="007D0D6D" w:rsidRPr="00710B91" w14:paraId="27762BB3" w14:textId="77777777" w:rsidTr="001F2A4B">
        <w:trPr>
          <w:gridAfter w:val="7"/>
          <w:wAfter w:w="7343" w:type="dxa"/>
          <w:jc w:val="center"/>
        </w:trPr>
        <w:tc>
          <w:tcPr>
            <w:tcW w:w="3960" w:type="dxa"/>
            <w:vAlign w:val="center"/>
          </w:tcPr>
          <w:p w14:paraId="4CAD17C8" w14:textId="23C2A946" w:rsidR="007D0D6D" w:rsidRPr="00710B91" w:rsidRDefault="007D0D6D" w:rsidP="001F2A4B">
            <w:pPr>
              <w:spacing w:before="60" w:after="60"/>
              <w:jc w:val="center"/>
              <w:rPr>
                <w:b/>
                <w:noProof/>
              </w:rPr>
            </w:pPr>
            <w:r w:rsidRPr="00710B91">
              <w:rPr>
                <w:b/>
                <w:noProof/>
                <w:sz w:val="22"/>
              </w:rPr>
              <w:t>DG JUST (Dyrekcja Generalna ds. Sprawiedliwości</w:t>
            </w:r>
            <w:r w:rsidR="00710B91" w:rsidRPr="00710B91">
              <w:rPr>
                <w:b/>
                <w:noProof/>
                <w:sz w:val="22"/>
              </w:rPr>
              <w:t xml:space="preserve"> i</w:t>
            </w:r>
            <w:r w:rsidR="00710B91">
              <w:rPr>
                <w:b/>
                <w:noProof/>
                <w:sz w:val="22"/>
              </w:rPr>
              <w:t> </w:t>
            </w:r>
            <w:r w:rsidR="00710B91" w:rsidRPr="00710B91">
              <w:rPr>
                <w:b/>
                <w:noProof/>
                <w:sz w:val="22"/>
              </w:rPr>
              <w:t>Kon</w:t>
            </w:r>
            <w:r w:rsidRPr="00710B91">
              <w:rPr>
                <w:b/>
                <w:noProof/>
                <w:sz w:val="22"/>
              </w:rPr>
              <w:t>sumentów)</w:t>
            </w:r>
          </w:p>
        </w:tc>
      </w:tr>
      <w:tr w:rsidR="007D0D6D" w:rsidRPr="00710B91" w14:paraId="2254BB31" w14:textId="77777777" w:rsidTr="001F2A4B">
        <w:trPr>
          <w:trHeight w:val="313"/>
          <w:jc w:val="center"/>
        </w:trPr>
        <w:tc>
          <w:tcPr>
            <w:tcW w:w="6054" w:type="dxa"/>
            <w:gridSpan w:val="3"/>
            <w:vAlign w:val="center"/>
          </w:tcPr>
          <w:p w14:paraId="7B7735E9" w14:textId="77777777" w:rsidR="007D0D6D" w:rsidRPr="00710B91" w:rsidRDefault="007D0D6D" w:rsidP="001F2A4B">
            <w:pPr>
              <w:spacing w:before="20" w:after="20"/>
              <w:rPr>
                <w:noProof/>
              </w:rPr>
            </w:pPr>
            <w:r w:rsidRPr="00710B91">
              <w:rPr>
                <w:noProof/>
                <w:sz w:val="22"/>
              </w:rPr>
              <w:sym w:font="Wingdings" w:char="F09F"/>
            </w:r>
            <w:r w:rsidRPr="00710B91">
              <w:rPr>
                <w:noProof/>
                <w:sz w:val="22"/>
              </w:rPr>
              <w:t xml:space="preserve"> Zasoby ludzkie </w:t>
            </w:r>
          </w:p>
        </w:tc>
        <w:tc>
          <w:tcPr>
            <w:tcW w:w="868" w:type="dxa"/>
            <w:vAlign w:val="center"/>
          </w:tcPr>
          <w:p w14:paraId="275C1B37" w14:textId="77777777" w:rsidR="007D0D6D" w:rsidRPr="00710B91" w:rsidRDefault="007D0D6D" w:rsidP="001F2A4B">
            <w:pPr>
              <w:spacing w:before="20" w:after="20"/>
              <w:jc w:val="right"/>
              <w:rPr>
                <w:noProof/>
                <w:sz w:val="20"/>
              </w:rPr>
            </w:pPr>
            <w:r w:rsidRPr="00710B91">
              <w:rPr>
                <w:noProof/>
                <w:sz w:val="20"/>
              </w:rPr>
              <w:t>0,152</w:t>
            </w:r>
          </w:p>
        </w:tc>
        <w:tc>
          <w:tcPr>
            <w:tcW w:w="868" w:type="dxa"/>
            <w:vAlign w:val="center"/>
          </w:tcPr>
          <w:p w14:paraId="138CD24B" w14:textId="77777777" w:rsidR="007D0D6D" w:rsidRPr="00710B91" w:rsidRDefault="007D0D6D" w:rsidP="001F2A4B">
            <w:pPr>
              <w:spacing w:before="20" w:after="20"/>
              <w:jc w:val="right"/>
              <w:rPr>
                <w:noProof/>
                <w:sz w:val="20"/>
              </w:rPr>
            </w:pPr>
            <w:r w:rsidRPr="00710B91">
              <w:rPr>
                <w:noProof/>
                <w:sz w:val="20"/>
              </w:rPr>
              <w:t>0,152</w:t>
            </w:r>
          </w:p>
        </w:tc>
        <w:tc>
          <w:tcPr>
            <w:tcW w:w="868" w:type="dxa"/>
            <w:vAlign w:val="center"/>
          </w:tcPr>
          <w:p w14:paraId="1C6C3B66" w14:textId="77777777" w:rsidR="007D0D6D" w:rsidRPr="00710B91" w:rsidRDefault="007D0D6D" w:rsidP="001F2A4B">
            <w:pPr>
              <w:spacing w:before="20" w:after="20"/>
              <w:jc w:val="right"/>
              <w:rPr>
                <w:noProof/>
                <w:sz w:val="20"/>
              </w:rPr>
            </w:pPr>
            <w:r w:rsidRPr="00710B91">
              <w:rPr>
                <w:noProof/>
                <w:sz w:val="20"/>
              </w:rPr>
              <w:t>0,152</w:t>
            </w:r>
          </w:p>
        </w:tc>
        <w:tc>
          <w:tcPr>
            <w:tcW w:w="868" w:type="dxa"/>
            <w:vAlign w:val="center"/>
          </w:tcPr>
          <w:p w14:paraId="7F2F7BB6" w14:textId="77777777" w:rsidR="007D0D6D" w:rsidRPr="00710B91" w:rsidRDefault="007D0D6D" w:rsidP="001F2A4B">
            <w:pPr>
              <w:spacing w:before="20" w:after="20"/>
              <w:jc w:val="right"/>
              <w:rPr>
                <w:noProof/>
                <w:sz w:val="20"/>
              </w:rPr>
            </w:pPr>
            <w:r w:rsidRPr="00710B91">
              <w:rPr>
                <w:noProof/>
                <w:sz w:val="20"/>
              </w:rPr>
              <w:t>0,152</w:t>
            </w:r>
          </w:p>
        </w:tc>
        <w:tc>
          <w:tcPr>
            <w:tcW w:w="1777" w:type="dxa"/>
            <w:vAlign w:val="center"/>
          </w:tcPr>
          <w:p w14:paraId="5BA9F624" w14:textId="77777777" w:rsidR="007D0D6D" w:rsidRPr="00710B91" w:rsidRDefault="007D0D6D" w:rsidP="001F2A4B">
            <w:pPr>
              <w:spacing w:before="20" w:after="20"/>
              <w:jc w:val="right"/>
              <w:rPr>
                <w:b/>
                <w:noProof/>
                <w:sz w:val="20"/>
              </w:rPr>
            </w:pPr>
            <w:r w:rsidRPr="00710B91">
              <w:rPr>
                <w:b/>
                <w:noProof/>
                <w:sz w:val="20"/>
              </w:rPr>
              <w:t>0,608</w:t>
            </w:r>
          </w:p>
        </w:tc>
      </w:tr>
      <w:tr w:rsidR="007D0D6D" w:rsidRPr="00710B91" w14:paraId="548A769E" w14:textId="77777777" w:rsidTr="001F2A4B">
        <w:trPr>
          <w:trHeight w:val="351"/>
          <w:jc w:val="center"/>
        </w:trPr>
        <w:tc>
          <w:tcPr>
            <w:tcW w:w="6054" w:type="dxa"/>
            <w:gridSpan w:val="3"/>
            <w:vAlign w:val="center"/>
          </w:tcPr>
          <w:p w14:paraId="279E00CC" w14:textId="77777777" w:rsidR="007D0D6D" w:rsidRPr="00710B91" w:rsidRDefault="007D0D6D" w:rsidP="001F2A4B">
            <w:pPr>
              <w:spacing w:before="20" w:after="20"/>
              <w:rPr>
                <w:noProof/>
              </w:rPr>
            </w:pPr>
            <w:r w:rsidRPr="00710B91">
              <w:rPr>
                <w:noProof/>
                <w:sz w:val="22"/>
              </w:rPr>
              <w:sym w:font="Wingdings" w:char="F09F"/>
            </w:r>
            <w:r w:rsidRPr="00710B91">
              <w:rPr>
                <w:noProof/>
                <w:sz w:val="22"/>
              </w:rPr>
              <w:t xml:space="preserve"> Pozostałe wydatki administracyjne </w:t>
            </w:r>
          </w:p>
        </w:tc>
        <w:tc>
          <w:tcPr>
            <w:tcW w:w="868" w:type="dxa"/>
            <w:vAlign w:val="center"/>
          </w:tcPr>
          <w:p w14:paraId="73915C36" w14:textId="77777777" w:rsidR="007D0D6D" w:rsidRPr="00710B91" w:rsidRDefault="007D0D6D" w:rsidP="001F2A4B">
            <w:pPr>
              <w:spacing w:before="20" w:after="20"/>
              <w:jc w:val="right"/>
              <w:rPr>
                <w:b/>
                <w:noProof/>
                <w:sz w:val="20"/>
              </w:rPr>
            </w:pPr>
          </w:p>
        </w:tc>
        <w:tc>
          <w:tcPr>
            <w:tcW w:w="868" w:type="dxa"/>
            <w:vAlign w:val="center"/>
          </w:tcPr>
          <w:p w14:paraId="2A8B761C" w14:textId="77777777" w:rsidR="007D0D6D" w:rsidRPr="00710B91" w:rsidRDefault="007D0D6D" w:rsidP="001F2A4B">
            <w:pPr>
              <w:spacing w:before="20" w:after="20"/>
              <w:jc w:val="right"/>
              <w:rPr>
                <w:b/>
                <w:noProof/>
                <w:sz w:val="20"/>
              </w:rPr>
            </w:pPr>
          </w:p>
        </w:tc>
        <w:tc>
          <w:tcPr>
            <w:tcW w:w="868" w:type="dxa"/>
            <w:vAlign w:val="center"/>
          </w:tcPr>
          <w:p w14:paraId="433ED8A1" w14:textId="77777777" w:rsidR="007D0D6D" w:rsidRPr="00710B91" w:rsidRDefault="007D0D6D" w:rsidP="001F2A4B">
            <w:pPr>
              <w:spacing w:before="20" w:after="20"/>
              <w:jc w:val="right"/>
              <w:rPr>
                <w:b/>
                <w:noProof/>
                <w:sz w:val="20"/>
              </w:rPr>
            </w:pPr>
          </w:p>
        </w:tc>
        <w:tc>
          <w:tcPr>
            <w:tcW w:w="868" w:type="dxa"/>
            <w:vAlign w:val="center"/>
          </w:tcPr>
          <w:p w14:paraId="5D0964C4" w14:textId="77777777" w:rsidR="007D0D6D" w:rsidRPr="00710B91" w:rsidRDefault="007D0D6D" w:rsidP="001F2A4B">
            <w:pPr>
              <w:spacing w:before="20" w:after="20"/>
              <w:jc w:val="right"/>
              <w:rPr>
                <w:b/>
                <w:noProof/>
                <w:sz w:val="20"/>
              </w:rPr>
            </w:pPr>
          </w:p>
        </w:tc>
        <w:tc>
          <w:tcPr>
            <w:tcW w:w="1777" w:type="dxa"/>
            <w:vAlign w:val="center"/>
          </w:tcPr>
          <w:p w14:paraId="4C6B8998" w14:textId="77777777" w:rsidR="007D0D6D" w:rsidRPr="00710B91" w:rsidRDefault="007D0D6D" w:rsidP="001F2A4B">
            <w:pPr>
              <w:spacing w:before="20" w:after="20"/>
              <w:jc w:val="right"/>
              <w:rPr>
                <w:b/>
                <w:noProof/>
                <w:sz w:val="20"/>
              </w:rPr>
            </w:pPr>
          </w:p>
        </w:tc>
      </w:tr>
      <w:tr w:rsidR="007D0D6D" w:rsidRPr="00710B91" w14:paraId="33A0BCEC" w14:textId="77777777" w:rsidTr="001F2A4B">
        <w:trPr>
          <w:jc w:val="center"/>
        </w:trPr>
        <w:tc>
          <w:tcPr>
            <w:tcW w:w="3960" w:type="dxa"/>
            <w:vAlign w:val="center"/>
          </w:tcPr>
          <w:p w14:paraId="5EF5628A" w14:textId="77777777" w:rsidR="007D0D6D" w:rsidRPr="00710B91" w:rsidRDefault="007D0D6D" w:rsidP="001F2A4B">
            <w:pPr>
              <w:jc w:val="center"/>
              <w:rPr>
                <w:b/>
                <w:noProof/>
              </w:rPr>
            </w:pPr>
            <w:r w:rsidRPr="00710B91">
              <w:rPr>
                <w:b/>
                <w:noProof/>
                <w:sz w:val="22"/>
              </w:rPr>
              <w:t>OGÓŁEM DG JUST</w:t>
            </w:r>
          </w:p>
        </w:tc>
        <w:tc>
          <w:tcPr>
            <w:tcW w:w="2094" w:type="dxa"/>
            <w:gridSpan w:val="2"/>
            <w:vAlign w:val="center"/>
          </w:tcPr>
          <w:p w14:paraId="06D22B7E" w14:textId="77777777" w:rsidR="007D0D6D" w:rsidRPr="00710B91" w:rsidRDefault="007D0D6D" w:rsidP="001F2A4B">
            <w:pPr>
              <w:rPr>
                <w:noProof/>
                <w:sz w:val="14"/>
              </w:rPr>
            </w:pPr>
            <w:r w:rsidRPr="00710B91">
              <w:rPr>
                <w:noProof/>
                <w:sz w:val="18"/>
              </w:rPr>
              <w:t xml:space="preserve">Środki </w:t>
            </w:r>
          </w:p>
        </w:tc>
        <w:tc>
          <w:tcPr>
            <w:tcW w:w="868" w:type="dxa"/>
            <w:vAlign w:val="center"/>
          </w:tcPr>
          <w:p w14:paraId="47DB2EB4" w14:textId="77777777" w:rsidR="007D0D6D" w:rsidRPr="00710B91" w:rsidRDefault="007D0D6D" w:rsidP="001F2A4B">
            <w:pPr>
              <w:spacing w:before="60" w:after="60"/>
              <w:jc w:val="right"/>
              <w:rPr>
                <w:noProof/>
                <w:sz w:val="20"/>
              </w:rPr>
            </w:pPr>
            <w:r w:rsidRPr="00710B91">
              <w:rPr>
                <w:noProof/>
                <w:sz w:val="20"/>
              </w:rPr>
              <w:t>0,152</w:t>
            </w:r>
          </w:p>
        </w:tc>
        <w:tc>
          <w:tcPr>
            <w:tcW w:w="868" w:type="dxa"/>
            <w:vAlign w:val="center"/>
          </w:tcPr>
          <w:p w14:paraId="3E9B967E" w14:textId="77777777" w:rsidR="007D0D6D" w:rsidRPr="00710B91" w:rsidRDefault="007D0D6D" w:rsidP="001F2A4B">
            <w:pPr>
              <w:spacing w:before="20" w:after="20"/>
              <w:jc w:val="right"/>
              <w:rPr>
                <w:noProof/>
                <w:sz w:val="20"/>
              </w:rPr>
            </w:pPr>
            <w:r w:rsidRPr="00710B91">
              <w:rPr>
                <w:noProof/>
                <w:sz w:val="20"/>
              </w:rPr>
              <w:t>0,152</w:t>
            </w:r>
          </w:p>
        </w:tc>
        <w:tc>
          <w:tcPr>
            <w:tcW w:w="868" w:type="dxa"/>
            <w:vAlign w:val="center"/>
          </w:tcPr>
          <w:p w14:paraId="71E93736" w14:textId="77777777" w:rsidR="007D0D6D" w:rsidRPr="00710B91" w:rsidRDefault="007D0D6D" w:rsidP="001F2A4B">
            <w:pPr>
              <w:spacing w:before="20" w:after="20"/>
              <w:jc w:val="right"/>
              <w:rPr>
                <w:noProof/>
                <w:sz w:val="20"/>
              </w:rPr>
            </w:pPr>
            <w:r w:rsidRPr="00710B91">
              <w:rPr>
                <w:noProof/>
                <w:sz w:val="20"/>
              </w:rPr>
              <w:t>0,152</w:t>
            </w:r>
          </w:p>
        </w:tc>
        <w:tc>
          <w:tcPr>
            <w:tcW w:w="868" w:type="dxa"/>
            <w:vAlign w:val="center"/>
          </w:tcPr>
          <w:p w14:paraId="1AF811D9" w14:textId="77777777" w:rsidR="007D0D6D" w:rsidRPr="00710B91" w:rsidRDefault="007D0D6D" w:rsidP="001F2A4B">
            <w:pPr>
              <w:spacing w:before="20" w:after="20"/>
              <w:jc w:val="right"/>
              <w:rPr>
                <w:noProof/>
                <w:sz w:val="20"/>
              </w:rPr>
            </w:pPr>
            <w:r w:rsidRPr="00710B91">
              <w:rPr>
                <w:noProof/>
                <w:sz w:val="20"/>
              </w:rPr>
              <w:t>0,152</w:t>
            </w:r>
          </w:p>
        </w:tc>
        <w:tc>
          <w:tcPr>
            <w:tcW w:w="1777" w:type="dxa"/>
            <w:vAlign w:val="center"/>
          </w:tcPr>
          <w:p w14:paraId="39D175CB" w14:textId="77777777" w:rsidR="007D0D6D" w:rsidRPr="00710B91" w:rsidRDefault="007D0D6D" w:rsidP="001F2A4B">
            <w:pPr>
              <w:spacing w:before="20" w:after="20"/>
              <w:jc w:val="right"/>
              <w:rPr>
                <w:b/>
                <w:noProof/>
                <w:sz w:val="20"/>
              </w:rPr>
            </w:pPr>
            <w:r w:rsidRPr="00710B91">
              <w:rPr>
                <w:b/>
                <w:noProof/>
                <w:sz w:val="20"/>
              </w:rPr>
              <w:t>0,608</w:t>
            </w:r>
          </w:p>
        </w:tc>
      </w:tr>
    </w:tbl>
    <w:p w14:paraId="387C6AD9" w14:textId="77777777" w:rsidR="007D0D6D" w:rsidRPr="00710B91" w:rsidRDefault="007D0D6D" w:rsidP="006F6F3C">
      <w:pPr>
        <w:rPr>
          <w:noProof/>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960"/>
        <w:gridCol w:w="2094"/>
        <w:gridCol w:w="868"/>
        <w:gridCol w:w="868"/>
        <w:gridCol w:w="868"/>
        <w:gridCol w:w="868"/>
        <w:gridCol w:w="1777"/>
      </w:tblGrid>
      <w:tr w:rsidR="007D0D6D" w:rsidRPr="00710B91" w14:paraId="33FA0154" w14:textId="77777777" w:rsidTr="001F2A4B">
        <w:trPr>
          <w:jc w:val="center"/>
        </w:trPr>
        <w:tc>
          <w:tcPr>
            <w:tcW w:w="3960" w:type="dxa"/>
            <w:shd w:val="thinDiagStripe" w:color="C0C0C0" w:fill="auto"/>
            <w:vAlign w:val="center"/>
          </w:tcPr>
          <w:p w14:paraId="181BDAC1" w14:textId="77777777" w:rsidR="007D0D6D" w:rsidRPr="00710B91" w:rsidRDefault="007D0D6D" w:rsidP="001F2A4B">
            <w:pPr>
              <w:jc w:val="center"/>
              <w:rPr>
                <w:b/>
                <w:noProof/>
              </w:rPr>
            </w:pPr>
            <w:r w:rsidRPr="00710B91">
              <w:rPr>
                <w:b/>
                <w:noProof/>
                <w:sz w:val="22"/>
              </w:rPr>
              <w:t>OGÓŁEM środki</w:t>
            </w:r>
            <w:r w:rsidRPr="00710B91">
              <w:rPr>
                <w:noProof/>
              </w:rPr>
              <w:t xml:space="preserve"> </w:t>
            </w:r>
            <w:r w:rsidRPr="00710B91">
              <w:rPr>
                <w:noProof/>
              </w:rPr>
              <w:br/>
            </w:r>
            <w:r w:rsidRPr="00710B91">
              <w:rPr>
                <w:b/>
                <w:noProof/>
                <w:sz w:val="22"/>
              </w:rPr>
              <w:t>na DZIAŁ 7</w:t>
            </w:r>
            <w:r w:rsidRPr="00710B91">
              <w:rPr>
                <w:noProof/>
              </w:rPr>
              <w:t xml:space="preserve"> </w:t>
            </w:r>
            <w:r w:rsidRPr="00710B91">
              <w:rPr>
                <w:noProof/>
              </w:rPr>
              <w:br/>
            </w:r>
            <w:r w:rsidRPr="00710B91">
              <w:rPr>
                <w:noProof/>
                <w:sz w:val="22"/>
              </w:rPr>
              <w:t>wieloletnich ram finansowych</w:t>
            </w:r>
            <w:r w:rsidRPr="00710B91">
              <w:rPr>
                <w:b/>
                <w:noProof/>
                <w:sz w:val="22"/>
              </w:rPr>
              <w:t xml:space="preserve"> </w:t>
            </w:r>
          </w:p>
        </w:tc>
        <w:tc>
          <w:tcPr>
            <w:tcW w:w="2094" w:type="dxa"/>
            <w:vAlign w:val="center"/>
          </w:tcPr>
          <w:p w14:paraId="7FA3E25F" w14:textId="77777777" w:rsidR="007D0D6D" w:rsidRPr="00710B91" w:rsidRDefault="007D0D6D" w:rsidP="001F2A4B">
            <w:pPr>
              <w:spacing w:before="40" w:after="40"/>
              <w:rPr>
                <w:noProof/>
              </w:rPr>
            </w:pPr>
            <w:r w:rsidRPr="00710B91">
              <w:rPr>
                <w:noProof/>
                <w:sz w:val="18"/>
              </w:rPr>
              <w:t>(Środki na zobowiązania ogółem = środki na płatności ogółem)</w:t>
            </w:r>
          </w:p>
        </w:tc>
        <w:tc>
          <w:tcPr>
            <w:tcW w:w="868" w:type="dxa"/>
            <w:vAlign w:val="center"/>
          </w:tcPr>
          <w:p w14:paraId="4D30428F" w14:textId="77777777" w:rsidR="007D0D6D" w:rsidRPr="00710B91" w:rsidRDefault="007D0D6D" w:rsidP="001F2A4B">
            <w:pPr>
              <w:spacing w:before="20" w:after="20"/>
              <w:jc w:val="right"/>
              <w:rPr>
                <w:noProof/>
                <w:sz w:val="20"/>
              </w:rPr>
            </w:pPr>
            <w:r w:rsidRPr="00710B91">
              <w:rPr>
                <w:noProof/>
                <w:sz w:val="20"/>
              </w:rPr>
              <w:t>0,152</w:t>
            </w:r>
          </w:p>
        </w:tc>
        <w:tc>
          <w:tcPr>
            <w:tcW w:w="868" w:type="dxa"/>
            <w:vAlign w:val="center"/>
          </w:tcPr>
          <w:p w14:paraId="4F763F17" w14:textId="77777777" w:rsidR="007D0D6D" w:rsidRPr="00710B91" w:rsidRDefault="007D0D6D" w:rsidP="001F2A4B">
            <w:pPr>
              <w:spacing w:before="20" w:after="20"/>
              <w:jc w:val="right"/>
              <w:rPr>
                <w:noProof/>
                <w:sz w:val="20"/>
              </w:rPr>
            </w:pPr>
            <w:r w:rsidRPr="00710B91">
              <w:rPr>
                <w:noProof/>
                <w:sz w:val="20"/>
              </w:rPr>
              <w:t>0,152</w:t>
            </w:r>
          </w:p>
        </w:tc>
        <w:tc>
          <w:tcPr>
            <w:tcW w:w="868" w:type="dxa"/>
            <w:vAlign w:val="center"/>
          </w:tcPr>
          <w:p w14:paraId="065F38B7" w14:textId="77777777" w:rsidR="007D0D6D" w:rsidRPr="00710B91" w:rsidRDefault="007D0D6D" w:rsidP="001F2A4B">
            <w:pPr>
              <w:spacing w:before="20" w:after="20"/>
              <w:jc w:val="right"/>
              <w:rPr>
                <w:noProof/>
                <w:sz w:val="20"/>
              </w:rPr>
            </w:pPr>
            <w:r w:rsidRPr="00710B91">
              <w:rPr>
                <w:noProof/>
                <w:sz w:val="20"/>
              </w:rPr>
              <w:t>0,152</w:t>
            </w:r>
          </w:p>
        </w:tc>
        <w:tc>
          <w:tcPr>
            <w:tcW w:w="868" w:type="dxa"/>
            <w:vAlign w:val="center"/>
          </w:tcPr>
          <w:p w14:paraId="0E0F726A" w14:textId="77777777" w:rsidR="007D0D6D" w:rsidRPr="00710B91" w:rsidRDefault="007D0D6D" w:rsidP="001F2A4B">
            <w:pPr>
              <w:spacing w:before="20" w:after="20"/>
              <w:jc w:val="right"/>
              <w:rPr>
                <w:noProof/>
                <w:sz w:val="20"/>
              </w:rPr>
            </w:pPr>
            <w:r w:rsidRPr="00710B91">
              <w:rPr>
                <w:noProof/>
                <w:sz w:val="20"/>
              </w:rPr>
              <w:t>0,152</w:t>
            </w:r>
          </w:p>
        </w:tc>
        <w:tc>
          <w:tcPr>
            <w:tcW w:w="1777" w:type="dxa"/>
            <w:vAlign w:val="center"/>
          </w:tcPr>
          <w:p w14:paraId="01A50D40" w14:textId="77777777" w:rsidR="007D0D6D" w:rsidRPr="00710B91" w:rsidRDefault="007D0D6D" w:rsidP="001F2A4B">
            <w:pPr>
              <w:spacing w:before="20" w:after="20"/>
              <w:jc w:val="right"/>
              <w:rPr>
                <w:b/>
                <w:noProof/>
                <w:sz w:val="20"/>
              </w:rPr>
            </w:pPr>
            <w:r w:rsidRPr="00710B91">
              <w:rPr>
                <w:b/>
                <w:noProof/>
                <w:sz w:val="20"/>
              </w:rPr>
              <w:t>0,608</w:t>
            </w:r>
          </w:p>
        </w:tc>
      </w:tr>
    </w:tbl>
    <w:p w14:paraId="1911CC62" w14:textId="77777777" w:rsidR="007D0D6D" w:rsidRPr="00710B91" w:rsidRDefault="007D0D6D" w:rsidP="006F6F3C">
      <w:pPr>
        <w:rPr>
          <w:noProof/>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960"/>
        <w:gridCol w:w="1560"/>
        <w:gridCol w:w="534"/>
        <w:gridCol w:w="868"/>
        <w:gridCol w:w="868"/>
        <w:gridCol w:w="868"/>
        <w:gridCol w:w="868"/>
        <w:gridCol w:w="1777"/>
      </w:tblGrid>
      <w:tr w:rsidR="007D0D6D" w:rsidRPr="00710B91" w14:paraId="23E6A9D2" w14:textId="77777777" w:rsidTr="001F2A4B">
        <w:trPr>
          <w:jc w:val="center"/>
        </w:trPr>
        <w:tc>
          <w:tcPr>
            <w:tcW w:w="3960" w:type="dxa"/>
            <w:tcBorders>
              <w:top w:val="nil"/>
              <w:left w:val="nil"/>
              <w:right w:val="nil"/>
            </w:tcBorders>
            <w:vAlign w:val="center"/>
          </w:tcPr>
          <w:p w14:paraId="5ADA9AE9" w14:textId="77777777" w:rsidR="007D0D6D" w:rsidRPr="00710B91" w:rsidRDefault="007D0D6D" w:rsidP="001F2A4B">
            <w:pPr>
              <w:jc w:val="center"/>
              <w:rPr>
                <w:noProof/>
              </w:rPr>
            </w:pPr>
          </w:p>
        </w:tc>
        <w:tc>
          <w:tcPr>
            <w:tcW w:w="1560" w:type="dxa"/>
            <w:tcBorders>
              <w:top w:val="nil"/>
              <w:left w:val="nil"/>
              <w:right w:val="nil"/>
            </w:tcBorders>
          </w:tcPr>
          <w:p w14:paraId="0F75D3E5" w14:textId="77777777" w:rsidR="007D0D6D" w:rsidRPr="00710B91" w:rsidRDefault="007D0D6D" w:rsidP="001F2A4B">
            <w:pPr>
              <w:rPr>
                <w:noProof/>
                <w:sz w:val="20"/>
              </w:rPr>
            </w:pPr>
          </w:p>
        </w:tc>
        <w:tc>
          <w:tcPr>
            <w:tcW w:w="534" w:type="dxa"/>
            <w:tcBorders>
              <w:top w:val="nil"/>
              <w:left w:val="nil"/>
            </w:tcBorders>
          </w:tcPr>
          <w:p w14:paraId="364EC1EC" w14:textId="77777777" w:rsidR="007D0D6D" w:rsidRPr="00710B91" w:rsidRDefault="007D0D6D" w:rsidP="001F2A4B">
            <w:pPr>
              <w:jc w:val="center"/>
              <w:rPr>
                <w:noProof/>
                <w:sz w:val="20"/>
              </w:rPr>
            </w:pPr>
          </w:p>
        </w:tc>
        <w:tc>
          <w:tcPr>
            <w:tcW w:w="868" w:type="dxa"/>
            <w:vAlign w:val="center"/>
          </w:tcPr>
          <w:p w14:paraId="06724A63" w14:textId="77777777" w:rsidR="007D0D6D" w:rsidRPr="00710B91" w:rsidRDefault="007D0D6D" w:rsidP="001F2A4B">
            <w:pPr>
              <w:jc w:val="center"/>
              <w:rPr>
                <w:noProof/>
                <w:sz w:val="20"/>
              </w:rPr>
            </w:pPr>
            <w:r w:rsidRPr="00710B91">
              <w:rPr>
                <w:noProof/>
                <w:sz w:val="20"/>
              </w:rPr>
              <w:t>Rok</w:t>
            </w:r>
            <w:r w:rsidRPr="00710B91">
              <w:rPr>
                <w:noProof/>
              </w:rPr>
              <w:t xml:space="preserve"> </w:t>
            </w:r>
            <w:r w:rsidRPr="00710B91">
              <w:rPr>
                <w:noProof/>
              </w:rPr>
              <w:br/>
            </w:r>
            <w:r w:rsidRPr="00710B91">
              <w:rPr>
                <w:b/>
                <w:noProof/>
                <w:sz w:val="20"/>
              </w:rPr>
              <w:t>2024</w:t>
            </w:r>
          </w:p>
        </w:tc>
        <w:tc>
          <w:tcPr>
            <w:tcW w:w="868" w:type="dxa"/>
            <w:vAlign w:val="center"/>
          </w:tcPr>
          <w:p w14:paraId="699C6EA9" w14:textId="77777777" w:rsidR="007D0D6D" w:rsidRPr="00710B91" w:rsidRDefault="007D0D6D" w:rsidP="001F2A4B">
            <w:pPr>
              <w:jc w:val="center"/>
              <w:rPr>
                <w:noProof/>
                <w:sz w:val="20"/>
              </w:rPr>
            </w:pPr>
            <w:r w:rsidRPr="00710B91">
              <w:rPr>
                <w:noProof/>
                <w:sz w:val="20"/>
              </w:rPr>
              <w:t>Rok</w:t>
            </w:r>
            <w:r w:rsidRPr="00710B91">
              <w:rPr>
                <w:noProof/>
              </w:rPr>
              <w:t xml:space="preserve"> </w:t>
            </w:r>
            <w:r w:rsidRPr="00710B91">
              <w:rPr>
                <w:noProof/>
              </w:rPr>
              <w:br/>
            </w:r>
            <w:r w:rsidRPr="00710B91">
              <w:rPr>
                <w:b/>
                <w:noProof/>
                <w:sz w:val="20"/>
              </w:rPr>
              <w:t>2025</w:t>
            </w:r>
          </w:p>
        </w:tc>
        <w:tc>
          <w:tcPr>
            <w:tcW w:w="868" w:type="dxa"/>
            <w:vAlign w:val="center"/>
          </w:tcPr>
          <w:p w14:paraId="314E3A2A" w14:textId="77777777" w:rsidR="007D0D6D" w:rsidRPr="00710B91" w:rsidRDefault="007D0D6D" w:rsidP="001F2A4B">
            <w:pPr>
              <w:jc w:val="center"/>
              <w:rPr>
                <w:noProof/>
                <w:sz w:val="20"/>
              </w:rPr>
            </w:pPr>
            <w:r w:rsidRPr="00710B91">
              <w:rPr>
                <w:noProof/>
                <w:sz w:val="20"/>
              </w:rPr>
              <w:t>Rok</w:t>
            </w:r>
            <w:r w:rsidRPr="00710B91">
              <w:rPr>
                <w:noProof/>
              </w:rPr>
              <w:t xml:space="preserve"> </w:t>
            </w:r>
            <w:r w:rsidRPr="00710B91">
              <w:rPr>
                <w:noProof/>
              </w:rPr>
              <w:br/>
            </w:r>
            <w:r w:rsidRPr="00710B91">
              <w:rPr>
                <w:b/>
                <w:noProof/>
                <w:sz w:val="20"/>
              </w:rPr>
              <w:t>2026</w:t>
            </w:r>
          </w:p>
        </w:tc>
        <w:tc>
          <w:tcPr>
            <w:tcW w:w="868" w:type="dxa"/>
            <w:vAlign w:val="center"/>
          </w:tcPr>
          <w:p w14:paraId="211A1EE6" w14:textId="77777777" w:rsidR="007D0D6D" w:rsidRPr="00710B91" w:rsidRDefault="007D0D6D" w:rsidP="001F2A4B">
            <w:pPr>
              <w:jc w:val="center"/>
              <w:rPr>
                <w:noProof/>
                <w:sz w:val="20"/>
              </w:rPr>
            </w:pPr>
            <w:r w:rsidRPr="00710B91">
              <w:rPr>
                <w:noProof/>
                <w:sz w:val="20"/>
              </w:rPr>
              <w:t>Rok</w:t>
            </w:r>
            <w:r w:rsidRPr="00710B91">
              <w:rPr>
                <w:noProof/>
              </w:rPr>
              <w:t xml:space="preserve"> </w:t>
            </w:r>
            <w:r w:rsidRPr="00710B91">
              <w:rPr>
                <w:noProof/>
              </w:rPr>
              <w:br/>
            </w:r>
            <w:r w:rsidRPr="00710B91">
              <w:rPr>
                <w:b/>
                <w:noProof/>
                <w:sz w:val="20"/>
              </w:rPr>
              <w:t>2027</w:t>
            </w:r>
          </w:p>
        </w:tc>
        <w:tc>
          <w:tcPr>
            <w:tcW w:w="1777" w:type="dxa"/>
            <w:vAlign w:val="center"/>
          </w:tcPr>
          <w:p w14:paraId="02201588" w14:textId="77777777" w:rsidR="007D0D6D" w:rsidRPr="00710B91" w:rsidRDefault="007D0D6D" w:rsidP="001F2A4B">
            <w:pPr>
              <w:jc w:val="center"/>
              <w:rPr>
                <w:b/>
                <w:noProof/>
                <w:sz w:val="20"/>
              </w:rPr>
            </w:pPr>
            <w:r w:rsidRPr="00710B91">
              <w:rPr>
                <w:b/>
                <w:noProof/>
                <w:sz w:val="20"/>
              </w:rPr>
              <w:t>OGÓŁEM 2024–2027</w:t>
            </w:r>
          </w:p>
        </w:tc>
      </w:tr>
      <w:tr w:rsidR="007D0D6D" w:rsidRPr="00710B91" w14:paraId="0CA4A166" w14:textId="77777777" w:rsidTr="001F2A4B">
        <w:trPr>
          <w:jc w:val="center"/>
        </w:trPr>
        <w:tc>
          <w:tcPr>
            <w:tcW w:w="3960" w:type="dxa"/>
            <w:vMerge w:val="restart"/>
            <w:shd w:val="clear" w:color="auto" w:fill="C0C0C0"/>
            <w:vAlign w:val="center"/>
          </w:tcPr>
          <w:p w14:paraId="630DA598" w14:textId="1ED3EA26" w:rsidR="007D0D6D" w:rsidRPr="00710B91" w:rsidRDefault="007D0D6D" w:rsidP="001F2A4B">
            <w:pPr>
              <w:jc w:val="center"/>
              <w:rPr>
                <w:b/>
                <w:noProof/>
              </w:rPr>
            </w:pPr>
            <w:r w:rsidRPr="00710B91">
              <w:rPr>
                <w:b/>
                <w:noProof/>
                <w:sz w:val="22"/>
              </w:rPr>
              <w:t>OGÓŁEM środki</w:t>
            </w:r>
            <w:r w:rsidRPr="00710B91">
              <w:rPr>
                <w:noProof/>
              </w:rPr>
              <w:t xml:space="preserve"> </w:t>
            </w:r>
            <w:r w:rsidRPr="00710B91">
              <w:rPr>
                <w:noProof/>
              </w:rPr>
              <w:br/>
            </w:r>
            <w:r w:rsidRPr="00710B91">
              <w:rPr>
                <w:b/>
                <w:noProof/>
                <w:sz w:val="22"/>
              </w:rPr>
              <w:t>na DZIAŁY 1 do</w:t>
            </w:r>
            <w:r w:rsidR="00710B91" w:rsidRPr="00710B91">
              <w:rPr>
                <w:b/>
                <w:noProof/>
                <w:sz w:val="22"/>
              </w:rPr>
              <w:t> </w:t>
            </w:r>
            <w:r w:rsidRPr="00710B91">
              <w:rPr>
                <w:b/>
                <w:noProof/>
                <w:sz w:val="22"/>
              </w:rPr>
              <w:t>7</w:t>
            </w:r>
            <w:r w:rsidRPr="00710B91">
              <w:rPr>
                <w:noProof/>
              </w:rPr>
              <w:t xml:space="preserve"> </w:t>
            </w:r>
            <w:r w:rsidRPr="00710B91">
              <w:rPr>
                <w:noProof/>
              </w:rPr>
              <w:br/>
            </w:r>
            <w:r w:rsidRPr="00710B91">
              <w:rPr>
                <w:noProof/>
                <w:sz w:val="22"/>
              </w:rPr>
              <w:t>wieloletnich ram finansowych</w:t>
            </w:r>
            <w:r w:rsidRPr="00710B91">
              <w:rPr>
                <w:b/>
                <w:noProof/>
                <w:sz w:val="22"/>
              </w:rPr>
              <w:t xml:space="preserve"> </w:t>
            </w:r>
          </w:p>
        </w:tc>
        <w:tc>
          <w:tcPr>
            <w:tcW w:w="2094" w:type="dxa"/>
            <w:gridSpan w:val="2"/>
            <w:vAlign w:val="center"/>
          </w:tcPr>
          <w:p w14:paraId="1D96B3EE" w14:textId="77777777" w:rsidR="007D0D6D" w:rsidRPr="00710B91" w:rsidRDefault="007D0D6D" w:rsidP="001F2A4B">
            <w:pPr>
              <w:rPr>
                <w:noProof/>
                <w:sz w:val="14"/>
              </w:rPr>
            </w:pPr>
            <w:r w:rsidRPr="00710B91">
              <w:rPr>
                <w:noProof/>
                <w:sz w:val="18"/>
              </w:rPr>
              <w:t>Środki na zobowiązania</w:t>
            </w:r>
          </w:p>
        </w:tc>
        <w:tc>
          <w:tcPr>
            <w:tcW w:w="868" w:type="dxa"/>
          </w:tcPr>
          <w:p w14:paraId="398160AB" w14:textId="5CFB6FEB" w:rsidR="007D0D6D" w:rsidRPr="00710B91" w:rsidRDefault="007D0D6D" w:rsidP="001F2A4B">
            <w:pPr>
              <w:spacing w:before="60" w:after="60"/>
              <w:jc w:val="right"/>
              <w:rPr>
                <w:noProof/>
                <w:sz w:val="20"/>
                <w:szCs w:val="20"/>
              </w:rPr>
            </w:pPr>
            <w:r w:rsidRPr="00710B91">
              <w:rPr>
                <w:noProof/>
                <w:sz w:val="20"/>
                <w:szCs w:val="20"/>
              </w:rPr>
              <w:t>3,760</w:t>
            </w:r>
          </w:p>
        </w:tc>
        <w:tc>
          <w:tcPr>
            <w:tcW w:w="868" w:type="dxa"/>
          </w:tcPr>
          <w:p w14:paraId="3366443B" w14:textId="11723653" w:rsidR="007D0D6D" w:rsidRPr="00710B91" w:rsidRDefault="007D0D6D" w:rsidP="005E1965">
            <w:pPr>
              <w:spacing w:before="60" w:after="60"/>
              <w:jc w:val="right"/>
              <w:rPr>
                <w:noProof/>
                <w:sz w:val="20"/>
                <w:szCs w:val="20"/>
              </w:rPr>
            </w:pPr>
            <w:r w:rsidRPr="00710B91">
              <w:rPr>
                <w:noProof/>
                <w:sz w:val="20"/>
                <w:szCs w:val="20"/>
              </w:rPr>
              <w:t>7,104</w:t>
            </w:r>
          </w:p>
        </w:tc>
        <w:tc>
          <w:tcPr>
            <w:tcW w:w="868" w:type="dxa"/>
          </w:tcPr>
          <w:p w14:paraId="7554698A" w14:textId="1515DC44" w:rsidR="007D0D6D" w:rsidRPr="00710B91" w:rsidRDefault="007D0D6D" w:rsidP="005E1965">
            <w:pPr>
              <w:spacing w:before="60" w:after="60"/>
              <w:jc w:val="right"/>
              <w:rPr>
                <w:noProof/>
                <w:sz w:val="20"/>
                <w:szCs w:val="20"/>
              </w:rPr>
            </w:pPr>
            <w:r w:rsidRPr="00710B91">
              <w:rPr>
                <w:noProof/>
                <w:sz w:val="20"/>
                <w:szCs w:val="20"/>
              </w:rPr>
              <w:t>3,578</w:t>
            </w:r>
          </w:p>
        </w:tc>
        <w:tc>
          <w:tcPr>
            <w:tcW w:w="868" w:type="dxa"/>
          </w:tcPr>
          <w:p w14:paraId="4261D8BB" w14:textId="17012500" w:rsidR="007D0D6D" w:rsidRPr="00710B91" w:rsidRDefault="007D0D6D" w:rsidP="005E1965">
            <w:pPr>
              <w:spacing w:before="60" w:after="60"/>
              <w:jc w:val="right"/>
              <w:rPr>
                <w:noProof/>
                <w:sz w:val="20"/>
                <w:szCs w:val="20"/>
              </w:rPr>
            </w:pPr>
            <w:r w:rsidRPr="00710B91">
              <w:rPr>
                <w:noProof/>
                <w:sz w:val="20"/>
                <w:szCs w:val="20"/>
              </w:rPr>
              <w:t>3,751</w:t>
            </w:r>
          </w:p>
        </w:tc>
        <w:tc>
          <w:tcPr>
            <w:tcW w:w="1777" w:type="dxa"/>
          </w:tcPr>
          <w:p w14:paraId="3EC452AE" w14:textId="28CC95DC" w:rsidR="007D0D6D" w:rsidRPr="00710B91" w:rsidRDefault="007D0D6D" w:rsidP="005E1965">
            <w:pPr>
              <w:spacing w:before="60" w:after="60"/>
              <w:jc w:val="right"/>
              <w:rPr>
                <w:b/>
                <w:noProof/>
                <w:sz w:val="20"/>
                <w:szCs w:val="20"/>
              </w:rPr>
            </w:pPr>
            <w:r w:rsidRPr="00710B91">
              <w:rPr>
                <w:noProof/>
                <w:sz w:val="20"/>
                <w:szCs w:val="20"/>
              </w:rPr>
              <w:t>18,193</w:t>
            </w:r>
          </w:p>
        </w:tc>
      </w:tr>
      <w:tr w:rsidR="007D0D6D" w:rsidRPr="00710B91" w14:paraId="11BA7008" w14:textId="77777777" w:rsidTr="001F2A4B">
        <w:trPr>
          <w:jc w:val="center"/>
        </w:trPr>
        <w:tc>
          <w:tcPr>
            <w:tcW w:w="3960" w:type="dxa"/>
            <w:vMerge/>
            <w:vAlign w:val="center"/>
          </w:tcPr>
          <w:p w14:paraId="22D084C6" w14:textId="77777777" w:rsidR="007D0D6D" w:rsidRPr="00710B91" w:rsidRDefault="007D0D6D" w:rsidP="001F2A4B">
            <w:pPr>
              <w:rPr>
                <w:b/>
                <w:noProof/>
              </w:rPr>
            </w:pPr>
          </w:p>
        </w:tc>
        <w:tc>
          <w:tcPr>
            <w:tcW w:w="2094" w:type="dxa"/>
            <w:gridSpan w:val="2"/>
            <w:vAlign w:val="center"/>
          </w:tcPr>
          <w:p w14:paraId="348254AE" w14:textId="77777777" w:rsidR="007D0D6D" w:rsidRPr="00710B91" w:rsidRDefault="007D0D6D" w:rsidP="001F2A4B">
            <w:pPr>
              <w:rPr>
                <w:noProof/>
                <w:sz w:val="14"/>
              </w:rPr>
            </w:pPr>
            <w:r w:rsidRPr="00710B91">
              <w:rPr>
                <w:noProof/>
                <w:sz w:val="18"/>
              </w:rPr>
              <w:t>Środki na płatności</w:t>
            </w:r>
          </w:p>
        </w:tc>
        <w:tc>
          <w:tcPr>
            <w:tcW w:w="868" w:type="dxa"/>
          </w:tcPr>
          <w:p w14:paraId="06F76C42" w14:textId="16B048DE" w:rsidR="007D0D6D" w:rsidRPr="00710B91" w:rsidRDefault="007D0D6D" w:rsidP="001F2A4B">
            <w:pPr>
              <w:spacing w:before="60" w:after="60"/>
              <w:jc w:val="right"/>
              <w:rPr>
                <w:noProof/>
                <w:sz w:val="20"/>
                <w:szCs w:val="20"/>
              </w:rPr>
            </w:pPr>
            <w:r w:rsidRPr="00710B91">
              <w:rPr>
                <w:noProof/>
                <w:sz w:val="20"/>
                <w:szCs w:val="20"/>
              </w:rPr>
              <w:t>0,760</w:t>
            </w:r>
          </w:p>
        </w:tc>
        <w:tc>
          <w:tcPr>
            <w:tcW w:w="868" w:type="dxa"/>
          </w:tcPr>
          <w:p w14:paraId="5D00D9AB" w14:textId="745E2B9E" w:rsidR="007D0D6D" w:rsidRPr="00710B91" w:rsidRDefault="007D0D6D" w:rsidP="005E1965">
            <w:pPr>
              <w:spacing w:before="60" w:after="60"/>
              <w:jc w:val="right"/>
              <w:rPr>
                <w:noProof/>
                <w:sz w:val="20"/>
                <w:szCs w:val="20"/>
              </w:rPr>
            </w:pPr>
            <w:r w:rsidRPr="00710B91">
              <w:rPr>
                <w:noProof/>
                <w:sz w:val="20"/>
                <w:szCs w:val="20"/>
              </w:rPr>
              <w:t>4,704</w:t>
            </w:r>
          </w:p>
        </w:tc>
        <w:tc>
          <w:tcPr>
            <w:tcW w:w="868" w:type="dxa"/>
          </w:tcPr>
          <w:p w14:paraId="04AB7015" w14:textId="7B4C0E3E" w:rsidR="007D0D6D" w:rsidRPr="00710B91" w:rsidRDefault="005E1965" w:rsidP="005E1965">
            <w:pPr>
              <w:spacing w:before="60" w:after="60"/>
              <w:jc w:val="right"/>
              <w:rPr>
                <w:noProof/>
                <w:sz w:val="20"/>
                <w:szCs w:val="20"/>
              </w:rPr>
            </w:pPr>
            <w:r w:rsidRPr="00710B91">
              <w:rPr>
                <w:noProof/>
                <w:sz w:val="20"/>
                <w:szCs w:val="20"/>
              </w:rPr>
              <w:t>8,978</w:t>
            </w:r>
          </w:p>
        </w:tc>
        <w:tc>
          <w:tcPr>
            <w:tcW w:w="868" w:type="dxa"/>
          </w:tcPr>
          <w:p w14:paraId="3FF78BE1" w14:textId="1DA4187F" w:rsidR="007D0D6D" w:rsidRPr="00710B91" w:rsidRDefault="007D0D6D" w:rsidP="005E1965">
            <w:pPr>
              <w:spacing w:before="60" w:after="60"/>
              <w:jc w:val="right"/>
              <w:rPr>
                <w:noProof/>
                <w:sz w:val="20"/>
                <w:szCs w:val="20"/>
              </w:rPr>
            </w:pPr>
            <w:r w:rsidRPr="00710B91">
              <w:rPr>
                <w:noProof/>
                <w:sz w:val="20"/>
                <w:szCs w:val="20"/>
              </w:rPr>
              <w:t>3,751</w:t>
            </w:r>
          </w:p>
        </w:tc>
        <w:tc>
          <w:tcPr>
            <w:tcW w:w="1777" w:type="dxa"/>
          </w:tcPr>
          <w:p w14:paraId="16BDFDB3" w14:textId="222C620C" w:rsidR="007D0D6D" w:rsidRPr="00710B91" w:rsidRDefault="007D0D6D" w:rsidP="005E1965">
            <w:pPr>
              <w:spacing w:before="60" w:after="60"/>
              <w:jc w:val="right"/>
              <w:rPr>
                <w:b/>
                <w:noProof/>
                <w:sz w:val="20"/>
                <w:szCs w:val="20"/>
              </w:rPr>
            </w:pPr>
            <w:r w:rsidRPr="00710B91">
              <w:rPr>
                <w:noProof/>
                <w:sz w:val="20"/>
                <w:szCs w:val="20"/>
              </w:rPr>
              <w:t>18,193</w:t>
            </w:r>
          </w:p>
        </w:tc>
      </w:tr>
    </w:tbl>
    <w:p w14:paraId="386898A1" w14:textId="77777777" w:rsidR="007D0D6D" w:rsidRPr="00710B91" w:rsidRDefault="007D0D6D" w:rsidP="006F6F3C">
      <w:pPr>
        <w:rPr>
          <w:noProof/>
        </w:rPr>
      </w:pPr>
    </w:p>
    <w:p w14:paraId="1FB43B65" w14:textId="77777777" w:rsidR="007D0D6D" w:rsidRPr="00710B91" w:rsidRDefault="007D0D6D" w:rsidP="006F6F3C">
      <w:pPr>
        <w:rPr>
          <w:noProof/>
        </w:rPr>
      </w:pPr>
    </w:p>
    <w:p w14:paraId="6057628A" w14:textId="77777777" w:rsidR="007D0D6D" w:rsidRPr="00710B91" w:rsidRDefault="007D0D6D" w:rsidP="006F6F3C">
      <w:pPr>
        <w:rPr>
          <w:noProof/>
        </w:rPr>
      </w:pPr>
    </w:p>
    <w:p w14:paraId="136C219A" w14:textId="3F4DFE01" w:rsidR="007D0D6D" w:rsidRPr="00710B91" w:rsidRDefault="009A08E9" w:rsidP="009A08E9">
      <w:pPr>
        <w:pStyle w:val="ManualHeading3"/>
        <w:rPr>
          <w:bCs/>
          <w:noProof/>
          <w:szCs w:val="24"/>
        </w:rPr>
      </w:pPr>
      <w:bookmarkStart w:id="34" w:name="_Toc92899405"/>
      <w:r w:rsidRPr="009A08E9">
        <w:t>3.2.2.</w:t>
      </w:r>
      <w:r w:rsidRPr="009A08E9">
        <w:tab/>
      </w:r>
      <w:r w:rsidR="007D0D6D" w:rsidRPr="00710B91">
        <w:rPr>
          <w:noProof/>
        </w:rPr>
        <w:t>Szacunkowy wpływ na środki Eurojustu</w:t>
      </w:r>
      <w:bookmarkEnd w:id="34"/>
      <w:r w:rsidR="007D0D6D" w:rsidRPr="00710B91">
        <w:rPr>
          <w:noProof/>
        </w:rPr>
        <w:t xml:space="preserve"> </w:t>
      </w:r>
    </w:p>
    <w:p w14:paraId="3651BFC7" w14:textId="31F1275C" w:rsidR="007D0D6D" w:rsidRPr="00710B91" w:rsidRDefault="007D0D6D" w:rsidP="008326C2">
      <w:pPr>
        <w:pStyle w:val="ListDash1"/>
        <w:numPr>
          <w:ilvl w:val="0"/>
          <w:numId w:val="16"/>
        </w:numPr>
        <w:rPr>
          <w:noProof/>
        </w:rPr>
      </w:pPr>
      <w:r w:rsidRPr="00710B91">
        <w:rPr>
          <w:noProof/>
        </w:rPr>
        <w:sym w:font="Wingdings" w:char="F0A8"/>
      </w:r>
      <w:r w:rsidRPr="00710B91">
        <w:rPr>
          <w:noProof/>
        </w:rPr>
        <w:tab/>
        <w:t>Wniosek/inicjatywa nie wiąże się</w:t>
      </w:r>
      <w:r w:rsidR="00710B91" w:rsidRPr="00710B91">
        <w:rPr>
          <w:noProof/>
        </w:rPr>
        <w:t xml:space="preserve"> z</w:t>
      </w:r>
      <w:r w:rsidR="00710B91">
        <w:rPr>
          <w:noProof/>
        </w:rPr>
        <w:t> </w:t>
      </w:r>
      <w:r w:rsidR="00710B91" w:rsidRPr="00710B91">
        <w:rPr>
          <w:noProof/>
        </w:rPr>
        <w:t>kon</w:t>
      </w:r>
      <w:r w:rsidRPr="00710B91">
        <w:rPr>
          <w:noProof/>
        </w:rPr>
        <w:t xml:space="preserve">iecznością wykorzystania środków operacyjnych </w:t>
      </w:r>
    </w:p>
    <w:p w14:paraId="7936FCEC" w14:textId="6393D1D0" w:rsidR="007D0D6D" w:rsidRPr="00710B91" w:rsidRDefault="007D0D6D" w:rsidP="008326C2">
      <w:pPr>
        <w:pStyle w:val="ListDash1"/>
        <w:numPr>
          <w:ilvl w:val="0"/>
          <w:numId w:val="16"/>
        </w:numPr>
        <w:rPr>
          <w:noProof/>
        </w:rPr>
      </w:pPr>
      <w:r w:rsidRPr="00710B91">
        <w:rPr>
          <w:noProof/>
        </w:rPr>
        <w:sym w:font="Wingdings" w:char="F0FE"/>
      </w:r>
      <w:r w:rsidRPr="00710B91">
        <w:rPr>
          <w:noProof/>
        </w:rPr>
        <w:tab/>
        <w:t>Wniosek/inicjatywa wiąże się</w:t>
      </w:r>
      <w:r w:rsidR="00710B91" w:rsidRPr="00710B91">
        <w:rPr>
          <w:noProof/>
        </w:rPr>
        <w:t xml:space="preserve"> z</w:t>
      </w:r>
      <w:r w:rsidR="00710B91">
        <w:rPr>
          <w:noProof/>
        </w:rPr>
        <w:t> </w:t>
      </w:r>
      <w:r w:rsidR="00710B91" w:rsidRPr="00710B91">
        <w:rPr>
          <w:noProof/>
        </w:rPr>
        <w:t>kon</w:t>
      </w:r>
      <w:r w:rsidRPr="00710B91">
        <w:rPr>
          <w:noProof/>
        </w:rPr>
        <w:t>iecznością wykorzystania środków operacyjnych, jak określono poniżej:</w:t>
      </w:r>
    </w:p>
    <w:p w14:paraId="4D91DC73" w14:textId="77777777" w:rsidR="00A728BA" w:rsidRPr="00710B91" w:rsidRDefault="00A728BA" w:rsidP="00451258">
      <w:pPr>
        <w:rPr>
          <w:noProof/>
          <w:szCs w:val="24"/>
        </w:rPr>
      </w:pPr>
    </w:p>
    <w:p w14:paraId="6FC30536" w14:textId="7434BBE7" w:rsidR="007D0D6D" w:rsidRPr="00710B91" w:rsidRDefault="00A728BA" w:rsidP="007D0D6D">
      <w:pPr>
        <w:jc w:val="right"/>
        <w:rPr>
          <w:noProof/>
          <w:sz w:val="20"/>
        </w:rPr>
      </w:pPr>
      <w:r w:rsidRPr="00710B91">
        <w:rPr>
          <w:noProof/>
          <w:sz w:val="20"/>
        </w:rPr>
        <w:t>Środki na zobowiązania</w:t>
      </w:r>
      <w:r w:rsidR="00710B91" w:rsidRPr="00710B91">
        <w:rPr>
          <w:noProof/>
          <w:sz w:val="20"/>
        </w:rPr>
        <w:t xml:space="preserve"> w</w:t>
      </w:r>
      <w:r w:rsidR="00710B91">
        <w:rPr>
          <w:noProof/>
          <w:sz w:val="20"/>
        </w:rPr>
        <w:t> </w:t>
      </w:r>
      <w:r w:rsidR="00710B91" w:rsidRPr="00710B91">
        <w:rPr>
          <w:noProof/>
          <w:sz w:val="20"/>
        </w:rPr>
        <w:t>mln</w:t>
      </w:r>
      <w:r w:rsidRPr="00710B91">
        <w:rPr>
          <w:noProof/>
          <w:sz w:val="20"/>
        </w:rPr>
        <w:t xml:space="preserve"> EUR (do trzech miejsc po przecinku)</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489"/>
        <w:gridCol w:w="753"/>
        <w:gridCol w:w="734"/>
        <w:gridCol w:w="527"/>
        <w:gridCol w:w="754"/>
        <w:gridCol w:w="565"/>
        <w:gridCol w:w="753"/>
        <w:gridCol w:w="753"/>
        <w:gridCol w:w="754"/>
        <w:gridCol w:w="825"/>
        <w:gridCol w:w="870"/>
        <w:gridCol w:w="753"/>
        <w:gridCol w:w="942"/>
      </w:tblGrid>
      <w:tr w:rsidR="007D0D6D" w:rsidRPr="00710B91" w14:paraId="4612BE8A" w14:textId="77777777" w:rsidTr="007D0D6D">
        <w:trPr>
          <w:trHeight w:val="708"/>
          <w:jc w:val="center"/>
        </w:trPr>
        <w:tc>
          <w:tcPr>
            <w:tcW w:w="1489" w:type="dxa"/>
            <w:vMerge w:val="restart"/>
            <w:vAlign w:val="center"/>
          </w:tcPr>
          <w:p w14:paraId="27ABD5DD" w14:textId="136304A0" w:rsidR="007D0D6D" w:rsidRPr="00710B91" w:rsidRDefault="007D0D6D" w:rsidP="007D0D6D">
            <w:pPr>
              <w:ind w:right="-29"/>
              <w:jc w:val="center"/>
              <w:rPr>
                <w:b/>
                <w:noProof/>
                <w:sz w:val="18"/>
              </w:rPr>
            </w:pPr>
            <w:r w:rsidRPr="00710B91">
              <w:rPr>
                <w:b/>
                <w:noProof/>
                <w:sz w:val="18"/>
              </w:rPr>
              <w:t>Określić cele</w:t>
            </w:r>
            <w:r w:rsidR="00710B91" w:rsidRPr="00710B91">
              <w:rPr>
                <w:b/>
                <w:noProof/>
                <w:sz w:val="18"/>
              </w:rPr>
              <w:t xml:space="preserve"> i</w:t>
            </w:r>
            <w:r w:rsidR="00710B91">
              <w:rPr>
                <w:b/>
                <w:noProof/>
                <w:sz w:val="18"/>
              </w:rPr>
              <w:t> </w:t>
            </w:r>
            <w:r w:rsidR="00710B91" w:rsidRPr="00710B91">
              <w:rPr>
                <w:b/>
                <w:noProof/>
                <w:sz w:val="18"/>
              </w:rPr>
              <w:t>pro</w:t>
            </w:r>
            <w:r w:rsidRPr="00710B91">
              <w:rPr>
                <w:b/>
                <w:noProof/>
                <w:sz w:val="18"/>
              </w:rPr>
              <w:t xml:space="preserve">dukty </w:t>
            </w:r>
          </w:p>
          <w:p w14:paraId="063852D6" w14:textId="77777777" w:rsidR="007D0D6D" w:rsidRPr="00710B91" w:rsidRDefault="007D0D6D" w:rsidP="007D0D6D">
            <w:pPr>
              <w:ind w:right="-29"/>
              <w:jc w:val="center"/>
              <w:rPr>
                <w:b/>
                <w:noProof/>
                <w:sz w:val="18"/>
              </w:rPr>
            </w:pPr>
            <w:r w:rsidRPr="00710B91">
              <w:rPr>
                <w:b/>
                <w:noProof/>
                <w:sz w:val="18"/>
              </w:rPr>
              <w:t>Eurojust</w:t>
            </w:r>
          </w:p>
          <w:p w14:paraId="39CE7D29" w14:textId="77777777" w:rsidR="007D0D6D" w:rsidRPr="00710B91" w:rsidRDefault="007D0D6D" w:rsidP="007D0D6D">
            <w:pPr>
              <w:ind w:right="-29"/>
              <w:jc w:val="center"/>
              <w:rPr>
                <w:b/>
                <w:noProof/>
                <w:sz w:val="18"/>
                <w:lang w:eastAsia="en-GB"/>
              </w:rPr>
            </w:pPr>
          </w:p>
          <w:p w14:paraId="41A4682F" w14:textId="77777777" w:rsidR="007D0D6D" w:rsidRPr="00710B91" w:rsidRDefault="007D0D6D" w:rsidP="007D0D6D">
            <w:pPr>
              <w:ind w:right="-29"/>
              <w:jc w:val="center"/>
              <w:rPr>
                <w:noProof/>
                <w:sz w:val="18"/>
              </w:rPr>
            </w:pPr>
            <w:r w:rsidRPr="00710B91">
              <w:rPr>
                <w:noProof/>
                <w:sz w:val="18"/>
              </w:rPr>
              <w:sym w:font="Wingdings" w:char="F0F2"/>
            </w:r>
          </w:p>
        </w:tc>
        <w:tc>
          <w:tcPr>
            <w:tcW w:w="753" w:type="dxa"/>
            <w:vAlign w:val="center"/>
          </w:tcPr>
          <w:p w14:paraId="5B3DA831" w14:textId="77777777" w:rsidR="007D0D6D" w:rsidRPr="00710B91" w:rsidRDefault="007D0D6D" w:rsidP="007D0D6D">
            <w:pPr>
              <w:ind w:right="-29"/>
              <w:jc w:val="center"/>
              <w:rPr>
                <w:noProof/>
                <w:sz w:val="18"/>
                <w:lang w:eastAsia="en-GB"/>
              </w:rPr>
            </w:pPr>
          </w:p>
        </w:tc>
        <w:tc>
          <w:tcPr>
            <w:tcW w:w="733" w:type="dxa"/>
            <w:vAlign w:val="center"/>
          </w:tcPr>
          <w:p w14:paraId="676A46D3" w14:textId="77777777" w:rsidR="007D0D6D" w:rsidRPr="00710B91" w:rsidRDefault="007D0D6D" w:rsidP="007D0D6D">
            <w:pPr>
              <w:ind w:right="-29"/>
              <w:jc w:val="center"/>
              <w:rPr>
                <w:noProof/>
                <w:sz w:val="18"/>
                <w:lang w:eastAsia="en-GB"/>
              </w:rPr>
            </w:pPr>
          </w:p>
        </w:tc>
        <w:tc>
          <w:tcPr>
            <w:tcW w:w="1281" w:type="dxa"/>
            <w:gridSpan w:val="2"/>
            <w:tcBorders>
              <w:left w:val="nil"/>
            </w:tcBorders>
            <w:vAlign w:val="center"/>
          </w:tcPr>
          <w:p w14:paraId="732C037C" w14:textId="77777777" w:rsidR="007D0D6D" w:rsidRPr="00710B91" w:rsidRDefault="007D0D6D" w:rsidP="007D0D6D">
            <w:pPr>
              <w:ind w:right="-29"/>
              <w:jc w:val="center"/>
              <w:rPr>
                <w:noProof/>
                <w:sz w:val="18"/>
              </w:rPr>
            </w:pPr>
            <w:r w:rsidRPr="00710B91">
              <w:rPr>
                <w:noProof/>
                <w:sz w:val="20"/>
              </w:rPr>
              <w:t>Rok</w:t>
            </w:r>
            <w:r w:rsidRPr="00710B91">
              <w:rPr>
                <w:noProof/>
              </w:rPr>
              <w:t xml:space="preserve"> </w:t>
            </w:r>
            <w:r w:rsidRPr="00710B91">
              <w:rPr>
                <w:noProof/>
              </w:rPr>
              <w:br/>
            </w:r>
            <w:r w:rsidRPr="00710B91">
              <w:rPr>
                <w:b/>
                <w:noProof/>
                <w:sz w:val="20"/>
              </w:rPr>
              <w:t>2024</w:t>
            </w:r>
          </w:p>
        </w:tc>
        <w:tc>
          <w:tcPr>
            <w:tcW w:w="1318" w:type="dxa"/>
            <w:gridSpan w:val="2"/>
            <w:vAlign w:val="center"/>
          </w:tcPr>
          <w:p w14:paraId="7A8EAF65" w14:textId="77777777" w:rsidR="007D0D6D" w:rsidRPr="00710B91" w:rsidRDefault="007D0D6D" w:rsidP="007D0D6D">
            <w:pPr>
              <w:ind w:right="-29"/>
              <w:jc w:val="center"/>
              <w:rPr>
                <w:noProof/>
                <w:sz w:val="18"/>
              </w:rPr>
            </w:pPr>
            <w:r w:rsidRPr="00710B91">
              <w:rPr>
                <w:noProof/>
                <w:sz w:val="20"/>
              </w:rPr>
              <w:t>Rok</w:t>
            </w:r>
            <w:r w:rsidRPr="00710B91">
              <w:rPr>
                <w:noProof/>
              </w:rPr>
              <w:t xml:space="preserve"> </w:t>
            </w:r>
            <w:r w:rsidRPr="00710B91">
              <w:rPr>
                <w:noProof/>
              </w:rPr>
              <w:br/>
            </w:r>
            <w:r w:rsidRPr="00710B91">
              <w:rPr>
                <w:b/>
                <w:noProof/>
                <w:sz w:val="20"/>
              </w:rPr>
              <w:t>2025</w:t>
            </w:r>
          </w:p>
        </w:tc>
        <w:tc>
          <w:tcPr>
            <w:tcW w:w="1507" w:type="dxa"/>
            <w:gridSpan w:val="2"/>
            <w:vAlign w:val="center"/>
          </w:tcPr>
          <w:p w14:paraId="4EEB9F91" w14:textId="77777777" w:rsidR="007D0D6D" w:rsidRPr="00710B91" w:rsidRDefault="007D0D6D" w:rsidP="007D0D6D">
            <w:pPr>
              <w:ind w:right="-29"/>
              <w:jc w:val="center"/>
              <w:rPr>
                <w:noProof/>
                <w:sz w:val="18"/>
              </w:rPr>
            </w:pPr>
            <w:r w:rsidRPr="00710B91">
              <w:rPr>
                <w:noProof/>
                <w:sz w:val="20"/>
              </w:rPr>
              <w:t>Rok</w:t>
            </w:r>
            <w:r w:rsidRPr="00710B91">
              <w:rPr>
                <w:noProof/>
              </w:rPr>
              <w:t xml:space="preserve"> </w:t>
            </w:r>
            <w:r w:rsidRPr="00710B91">
              <w:rPr>
                <w:noProof/>
              </w:rPr>
              <w:br/>
            </w:r>
            <w:r w:rsidRPr="00710B91">
              <w:rPr>
                <w:b/>
                <w:noProof/>
                <w:sz w:val="20"/>
              </w:rPr>
              <w:t>2026</w:t>
            </w:r>
          </w:p>
        </w:tc>
        <w:tc>
          <w:tcPr>
            <w:tcW w:w="1695" w:type="dxa"/>
            <w:gridSpan w:val="2"/>
            <w:vAlign w:val="center"/>
          </w:tcPr>
          <w:p w14:paraId="40554A7A" w14:textId="77777777" w:rsidR="007D0D6D" w:rsidRPr="00710B91" w:rsidRDefault="007D0D6D" w:rsidP="007D0D6D">
            <w:pPr>
              <w:ind w:right="-29"/>
              <w:jc w:val="center"/>
              <w:rPr>
                <w:noProof/>
                <w:sz w:val="18"/>
              </w:rPr>
            </w:pPr>
            <w:r w:rsidRPr="00710B91">
              <w:rPr>
                <w:noProof/>
                <w:sz w:val="20"/>
              </w:rPr>
              <w:t>Rok</w:t>
            </w:r>
            <w:r w:rsidRPr="00710B91">
              <w:rPr>
                <w:noProof/>
              </w:rPr>
              <w:t xml:space="preserve"> </w:t>
            </w:r>
            <w:r w:rsidRPr="00710B91">
              <w:rPr>
                <w:noProof/>
              </w:rPr>
              <w:br/>
            </w:r>
            <w:r w:rsidRPr="00710B91">
              <w:rPr>
                <w:b/>
                <w:noProof/>
                <w:sz w:val="20"/>
              </w:rPr>
              <w:t>2027</w:t>
            </w:r>
          </w:p>
        </w:tc>
        <w:tc>
          <w:tcPr>
            <w:tcW w:w="1695" w:type="dxa"/>
            <w:gridSpan w:val="2"/>
            <w:tcBorders>
              <w:left w:val="nil"/>
              <w:bottom w:val="single" w:sz="4" w:space="0" w:color="auto"/>
            </w:tcBorders>
            <w:vAlign w:val="center"/>
          </w:tcPr>
          <w:p w14:paraId="23170B21" w14:textId="77777777" w:rsidR="007D0D6D" w:rsidRPr="00710B91" w:rsidRDefault="007D0D6D" w:rsidP="007D0D6D">
            <w:pPr>
              <w:ind w:right="-29"/>
              <w:jc w:val="center"/>
              <w:rPr>
                <w:noProof/>
                <w:sz w:val="18"/>
              </w:rPr>
            </w:pPr>
            <w:r w:rsidRPr="00710B91">
              <w:rPr>
                <w:b/>
                <w:noProof/>
                <w:sz w:val="18"/>
              </w:rPr>
              <w:t>OGÓŁEM 2024–2027</w:t>
            </w:r>
          </w:p>
        </w:tc>
      </w:tr>
      <w:tr w:rsidR="007D0D6D" w:rsidRPr="00710B91" w14:paraId="0D647B43" w14:textId="77777777" w:rsidTr="007D0D6D">
        <w:trPr>
          <w:gridAfter w:val="12"/>
          <w:wAfter w:w="8982" w:type="dxa"/>
          <w:trHeight w:val="457"/>
          <w:jc w:val="center"/>
        </w:trPr>
        <w:tc>
          <w:tcPr>
            <w:tcW w:w="1489" w:type="dxa"/>
            <w:vMerge/>
            <w:vAlign w:val="center"/>
          </w:tcPr>
          <w:p w14:paraId="58248DE5" w14:textId="77777777" w:rsidR="007D0D6D" w:rsidRPr="00710B91" w:rsidRDefault="007D0D6D" w:rsidP="007D0D6D">
            <w:pPr>
              <w:rPr>
                <w:noProof/>
                <w:sz w:val="18"/>
                <w:lang w:eastAsia="en-GB"/>
              </w:rPr>
            </w:pPr>
          </w:p>
        </w:tc>
      </w:tr>
      <w:tr w:rsidR="007D0D6D" w:rsidRPr="00710B91" w14:paraId="482AF793" w14:textId="77777777" w:rsidTr="007D0D6D">
        <w:trPr>
          <w:cantSplit/>
          <w:trHeight w:val="1159"/>
          <w:jc w:val="center"/>
        </w:trPr>
        <w:tc>
          <w:tcPr>
            <w:tcW w:w="1489" w:type="dxa"/>
            <w:vMerge/>
            <w:vAlign w:val="center"/>
          </w:tcPr>
          <w:p w14:paraId="62D9707C" w14:textId="77777777" w:rsidR="007D0D6D" w:rsidRPr="00710B91" w:rsidRDefault="007D0D6D" w:rsidP="007D0D6D">
            <w:pPr>
              <w:rPr>
                <w:noProof/>
                <w:sz w:val="18"/>
                <w:lang w:eastAsia="en-GB"/>
              </w:rPr>
            </w:pPr>
          </w:p>
        </w:tc>
        <w:tc>
          <w:tcPr>
            <w:tcW w:w="753" w:type="dxa"/>
            <w:vAlign w:val="center"/>
          </w:tcPr>
          <w:p w14:paraId="4ABD3943" w14:textId="77777777" w:rsidR="007D0D6D" w:rsidRPr="00710B91" w:rsidRDefault="007D0D6D" w:rsidP="007D0D6D">
            <w:pPr>
              <w:jc w:val="center"/>
              <w:rPr>
                <w:noProof/>
                <w:sz w:val="18"/>
              </w:rPr>
            </w:pPr>
            <w:r w:rsidRPr="00710B91">
              <w:rPr>
                <w:noProof/>
                <w:sz w:val="18"/>
              </w:rPr>
              <w:t>Rodzaj</w:t>
            </w:r>
          </w:p>
        </w:tc>
        <w:tc>
          <w:tcPr>
            <w:tcW w:w="733" w:type="dxa"/>
            <w:vAlign w:val="center"/>
          </w:tcPr>
          <w:p w14:paraId="584A8E9D" w14:textId="77777777" w:rsidR="007D0D6D" w:rsidRPr="00710B91" w:rsidRDefault="007D0D6D" w:rsidP="007D0D6D">
            <w:pPr>
              <w:jc w:val="center"/>
              <w:rPr>
                <w:noProof/>
              </w:rPr>
            </w:pPr>
            <w:r w:rsidRPr="00710B91">
              <w:rPr>
                <w:noProof/>
                <w:sz w:val="18"/>
              </w:rPr>
              <w:t>Średni koszt</w:t>
            </w:r>
          </w:p>
        </w:tc>
        <w:tc>
          <w:tcPr>
            <w:tcW w:w="527" w:type="dxa"/>
            <w:tcBorders>
              <w:left w:val="nil"/>
              <w:right w:val="dashSmallGap" w:sz="4" w:space="0" w:color="auto"/>
            </w:tcBorders>
            <w:shd w:val="pct10" w:color="auto" w:fill="auto"/>
            <w:textDirection w:val="btLr"/>
            <w:vAlign w:val="center"/>
          </w:tcPr>
          <w:p w14:paraId="3F4DFD9E" w14:textId="77777777" w:rsidR="007D0D6D" w:rsidRPr="00710B91" w:rsidRDefault="007D0D6D" w:rsidP="007D0D6D">
            <w:pPr>
              <w:ind w:left="113" w:right="113"/>
              <w:jc w:val="center"/>
              <w:rPr>
                <w:noProof/>
              </w:rPr>
            </w:pPr>
            <w:r w:rsidRPr="00710B91">
              <w:rPr>
                <w:noProof/>
                <w:sz w:val="18"/>
              </w:rPr>
              <w:t>Nr</w:t>
            </w:r>
          </w:p>
        </w:tc>
        <w:tc>
          <w:tcPr>
            <w:tcW w:w="753" w:type="dxa"/>
            <w:tcBorders>
              <w:left w:val="dashSmallGap" w:sz="4" w:space="0" w:color="auto"/>
            </w:tcBorders>
            <w:shd w:val="pct10" w:color="auto" w:fill="auto"/>
            <w:vAlign w:val="center"/>
          </w:tcPr>
          <w:p w14:paraId="2E077569" w14:textId="77777777" w:rsidR="007D0D6D" w:rsidRPr="00710B91" w:rsidRDefault="007D0D6D" w:rsidP="007D0D6D">
            <w:pPr>
              <w:jc w:val="center"/>
              <w:rPr>
                <w:noProof/>
                <w:sz w:val="18"/>
              </w:rPr>
            </w:pPr>
            <w:r w:rsidRPr="00710B91">
              <w:rPr>
                <w:noProof/>
                <w:sz w:val="18"/>
              </w:rPr>
              <w:t>Koszt</w:t>
            </w:r>
          </w:p>
        </w:tc>
        <w:tc>
          <w:tcPr>
            <w:tcW w:w="565" w:type="dxa"/>
            <w:tcBorders>
              <w:right w:val="dashSmallGap" w:sz="4" w:space="0" w:color="auto"/>
            </w:tcBorders>
            <w:shd w:val="pct10" w:color="auto" w:fill="auto"/>
            <w:textDirection w:val="btLr"/>
            <w:vAlign w:val="center"/>
          </w:tcPr>
          <w:p w14:paraId="6F2FFCE8" w14:textId="77777777" w:rsidR="007D0D6D" w:rsidRPr="00710B91" w:rsidRDefault="007D0D6D" w:rsidP="007D0D6D">
            <w:pPr>
              <w:ind w:left="113" w:right="113"/>
              <w:jc w:val="center"/>
              <w:rPr>
                <w:noProof/>
              </w:rPr>
            </w:pPr>
            <w:r w:rsidRPr="00710B91">
              <w:rPr>
                <w:noProof/>
                <w:sz w:val="18"/>
              </w:rPr>
              <w:t>Nr</w:t>
            </w:r>
          </w:p>
        </w:tc>
        <w:tc>
          <w:tcPr>
            <w:tcW w:w="753" w:type="dxa"/>
            <w:tcBorders>
              <w:left w:val="dashSmallGap" w:sz="4" w:space="0" w:color="auto"/>
            </w:tcBorders>
            <w:shd w:val="pct10" w:color="auto" w:fill="auto"/>
            <w:vAlign w:val="center"/>
          </w:tcPr>
          <w:p w14:paraId="1F06403A" w14:textId="77777777" w:rsidR="007D0D6D" w:rsidRPr="00710B91" w:rsidRDefault="007D0D6D" w:rsidP="007D0D6D">
            <w:pPr>
              <w:jc w:val="center"/>
              <w:rPr>
                <w:noProof/>
                <w:sz w:val="18"/>
              </w:rPr>
            </w:pPr>
            <w:r w:rsidRPr="00710B91">
              <w:rPr>
                <w:noProof/>
                <w:sz w:val="18"/>
              </w:rPr>
              <w:t>Koszt</w:t>
            </w:r>
          </w:p>
        </w:tc>
        <w:tc>
          <w:tcPr>
            <w:tcW w:w="753" w:type="dxa"/>
            <w:tcBorders>
              <w:right w:val="dashSmallGap" w:sz="4" w:space="0" w:color="auto"/>
            </w:tcBorders>
            <w:shd w:val="pct10" w:color="auto" w:fill="auto"/>
            <w:textDirection w:val="btLr"/>
            <w:vAlign w:val="center"/>
          </w:tcPr>
          <w:p w14:paraId="4DDAB2EF" w14:textId="77777777" w:rsidR="007D0D6D" w:rsidRPr="00710B91" w:rsidRDefault="007D0D6D" w:rsidP="007D0D6D">
            <w:pPr>
              <w:ind w:left="113" w:right="113"/>
              <w:jc w:val="center"/>
              <w:rPr>
                <w:noProof/>
              </w:rPr>
            </w:pPr>
            <w:r w:rsidRPr="00710B91">
              <w:rPr>
                <w:noProof/>
                <w:sz w:val="18"/>
              </w:rPr>
              <w:t>Nr</w:t>
            </w:r>
          </w:p>
        </w:tc>
        <w:tc>
          <w:tcPr>
            <w:tcW w:w="753" w:type="dxa"/>
            <w:tcBorders>
              <w:left w:val="dashSmallGap" w:sz="4" w:space="0" w:color="auto"/>
            </w:tcBorders>
            <w:shd w:val="pct10" w:color="auto" w:fill="auto"/>
            <w:vAlign w:val="center"/>
          </w:tcPr>
          <w:p w14:paraId="5A0F47B3" w14:textId="77777777" w:rsidR="007D0D6D" w:rsidRPr="00710B91" w:rsidRDefault="007D0D6D" w:rsidP="007D0D6D">
            <w:pPr>
              <w:jc w:val="center"/>
              <w:rPr>
                <w:noProof/>
                <w:sz w:val="18"/>
              </w:rPr>
            </w:pPr>
            <w:r w:rsidRPr="00710B91">
              <w:rPr>
                <w:noProof/>
                <w:sz w:val="18"/>
              </w:rPr>
              <w:t>Koszt</w:t>
            </w:r>
          </w:p>
        </w:tc>
        <w:tc>
          <w:tcPr>
            <w:tcW w:w="825" w:type="dxa"/>
            <w:tcBorders>
              <w:right w:val="dashSmallGap" w:sz="4" w:space="0" w:color="auto"/>
            </w:tcBorders>
            <w:shd w:val="pct10" w:color="auto" w:fill="auto"/>
            <w:textDirection w:val="btLr"/>
            <w:vAlign w:val="center"/>
          </w:tcPr>
          <w:p w14:paraId="173E85CE" w14:textId="77777777" w:rsidR="007D0D6D" w:rsidRPr="00710B91" w:rsidRDefault="007D0D6D" w:rsidP="007D0D6D">
            <w:pPr>
              <w:ind w:left="113" w:right="113"/>
              <w:jc w:val="center"/>
              <w:rPr>
                <w:noProof/>
              </w:rPr>
            </w:pPr>
            <w:r w:rsidRPr="00710B91">
              <w:rPr>
                <w:noProof/>
                <w:sz w:val="18"/>
              </w:rPr>
              <w:t>Nr</w:t>
            </w:r>
          </w:p>
        </w:tc>
        <w:tc>
          <w:tcPr>
            <w:tcW w:w="869" w:type="dxa"/>
            <w:tcBorders>
              <w:left w:val="dashSmallGap" w:sz="4" w:space="0" w:color="auto"/>
            </w:tcBorders>
            <w:shd w:val="pct10" w:color="auto" w:fill="auto"/>
            <w:vAlign w:val="center"/>
          </w:tcPr>
          <w:p w14:paraId="549FF944" w14:textId="77777777" w:rsidR="007D0D6D" w:rsidRPr="00710B91" w:rsidRDefault="007D0D6D" w:rsidP="007D0D6D">
            <w:pPr>
              <w:jc w:val="center"/>
              <w:rPr>
                <w:noProof/>
                <w:sz w:val="18"/>
              </w:rPr>
            </w:pPr>
            <w:r w:rsidRPr="00710B91">
              <w:rPr>
                <w:noProof/>
                <w:sz w:val="18"/>
              </w:rPr>
              <w:t>Koszt</w:t>
            </w:r>
          </w:p>
        </w:tc>
        <w:tc>
          <w:tcPr>
            <w:tcW w:w="753" w:type="dxa"/>
            <w:tcBorders>
              <w:right w:val="dashSmallGap" w:sz="4" w:space="0" w:color="auto"/>
            </w:tcBorders>
            <w:shd w:val="pct10" w:color="auto" w:fill="auto"/>
            <w:vAlign w:val="center"/>
          </w:tcPr>
          <w:p w14:paraId="182A7FD8" w14:textId="77777777" w:rsidR="007D0D6D" w:rsidRPr="00710B91" w:rsidRDefault="007D0D6D" w:rsidP="007D0D6D">
            <w:pPr>
              <w:jc w:val="center"/>
              <w:rPr>
                <w:noProof/>
                <w:sz w:val="18"/>
              </w:rPr>
            </w:pPr>
            <w:r w:rsidRPr="00710B91">
              <w:rPr>
                <w:noProof/>
                <w:sz w:val="18"/>
              </w:rPr>
              <w:t>Liczba ogółem</w:t>
            </w:r>
          </w:p>
        </w:tc>
        <w:tc>
          <w:tcPr>
            <w:tcW w:w="941" w:type="dxa"/>
            <w:tcBorders>
              <w:left w:val="dashSmallGap" w:sz="4" w:space="0" w:color="auto"/>
            </w:tcBorders>
            <w:shd w:val="pct10" w:color="auto" w:fill="auto"/>
            <w:vAlign w:val="center"/>
          </w:tcPr>
          <w:p w14:paraId="317748A7" w14:textId="77777777" w:rsidR="007D0D6D" w:rsidRPr="00710B91" w:rsidRDefault="007D0D6D" w:rsidP="007D0D6D">
            <w:pPr>
              <w:jc w:val="center"/>
              <w:rPr>
                <w:noProof/>
              </w:rPr>
            </w:pPr>
            <w:r w:rsidRPr="00710B91">
              <w:rPr>
                <w:noProof/>
                <w:sz w:val="18"/>
              </w:rPr>
              <w:t>Koszt ogółem</w:t>
            </w:r>
          </w:p>
        </w:tc>
      </w:tr>
      <w:tr w:rsidR="007D0D6D" w:rsidRPr="00710B91" w14:paraId="45DA371E" w14:textId="77777777" w:rsidTr="007D0D6D">
        <w:trPr>
          <w:trHeight w:val="1035"/>
          <w:jc w:val="center"/>
        </w:trPr>
        <w:tc>
          <w:tcPr>
            <w:tcW w:w="2976" w:type="dxa"/>
            <w:gridSpan w:val="3"/>
            <w:vAlign w:val="center"/>
          </w:tcPr>
          <w:p w14:paraId="33689221" w14:textId="6C8F684E" w:rsidR="007D0D6D" w:rsidRPr="00710B91" w:rsidRDefault="007D0D6D" w:rsidP="007D0D6D">
            <w:pPr>
              <w:spacing w:before="60" w:after="60"/>
              <w:ind w:right="-29"/>
              <w:jc w:val="center"/>
              <w:rPr>
                <w:noProof/>
                <w:sz w:val="18"/>
              </w:rPr>
            </w:pPr>
            <w:r w:rsidRPr="00710B91">
              <w:rPr>
                <w:noProof/>
                <w:sz w:val="18"/>
              </w:rPr>
              <w:t>CEL SZCZEGÓŁOWY nr</w:t>
            </w:r>
            <w:r w:rsidR="00710B91" w:rsidRPr="00710B91">
              <w:rPr>
                <w:noProof/>
                <w:sz w:val="18"/>
              </w:rPr>
              <w:t> </w:t>
            </w:r>
            <w:r w:rsidRPr="00710B91">
              <w:rPr>
                <w:noProof/>
                <w:sz w:val="18"/>
              </w:rPr>
              <w:t>1</w:t>
            </w:r>
          </w:p>
          <w:p w14:paraId="4DBAB9A7" w14:textId="77777777" w:rsidR="007D0D6D" w:rsidRPr="00710B91" w:rsidRDefault="007D0D6D" w:rsidP="007D0D6D">
            <w:pPr>
              <w:spacing w:before="60" w:after="60"/>
              <w:ind w:right="-29"/>
              <w:jc w:val="center"/>
              <w:rPr>
                <w:noProof/>
                <w:sz w:val="18"/>
              </w:rPr>
            </w:pPr>
            <w:r w:rsidRPr="00710B91">
              <w:rPr>
                <w:noProof/>
                <w:sz w:val="18"/>
              </w:rPr>
              <w:t>Opracowanie niezbędnych dostosowań technicznych odpowiednich systemów informatycznych Eurojustu</w:t>
            </w:r>
          </w:p>
        </w:tc>
        <w:tc>
          <w:tcPr>
            <w:tcW w:w="527" w:type="dxa"/>
            <w:tcBorders>
              <w:top w:val="nil"/>
              <w:left w:val="nil"/>
              <w:bottom w:val="nil"/>
              <w:right w:val="nil"/>
            </w:tcBorders>
          </w:tcPr>
          <w:p w14:paraId="0F712851" w14:textId="77777777" w:rsidR="007D0D6D" w:rsidRPr="00710B91" w:rsidRDefault="007D0D6D" w:rsidP="007D0D6D">
            <w:pPr>
              <w:spacing w:before="60" w:after="60"/>
              <w:ind w:right="-29"/>
              <w:jc w:val="center"/>
              <w:rPr>
                <w:noProof/>
                <w:sz w:val="18"/>
                <w:lang w:eastAsia="en-GB"/>
              </w:rPr>
            </w:pPr>
          </w:p>
        </w:tc>
        <w:tc>
          <w:tcPr>
            <w:tcW w:w="753" w:type="dxa"/>
            <w:tcBorders>
              <w:top w:val="nil"/>
              <w:left w:val="nil"/>
              <w:bottom w:val="nil"/>
              <w:right w:val="nil"/>
            </w:tcBorders>
          </w:tcPr>
          <w:p w14:paraId="03246D71" w14:textId="77777777" w:rsidR="007D0D6D" w:rsidRPr="00710B91" w:rsidRDefault="007D0D6D" w:rsidP="007D0D6D">
            <w:pPr>
              <w:spacing w:before="60" w:after="60"/>
              <w:ind w:right="-29"/>
              <w:jc w:val="center"/>
              <w:rPr>
                <w:noProof/>
                <w:sz w:val="18"/>
                <w:lang w:eastAsia="en-GB"/>
              </w:rPr>
            </w:pPr>
          </w:p>
        </w:tc>
        <w:tc>
          <w:tcPr>
            <w:tcW w:w="565" w:type="dxa"/>
            <w:tcBorders>
              <w:top w:val="nil"/>
              <w:left w:val="nil"/>
              <w:bottom w:val="nil"/>
              <w:right w:val="nil"/>
            </w:tcBorders>
          </w:tcPr>
          <w:p w14:paraId="27873C81" w14:textId="77777777" w:rsidR="007D0D6D" w:rsidRPr="00710B91" w:rsidRDefault="007D0D6D" w:rsidP="007D0D6D">
            <w:pPr>
              <w:spacing w:before="60" w:after="60"/>
              <w:ind w:right="-29"/>
              <w:jc w:val="center"/>
              <w:rPr>
                <w:noProof/>
                <w:sz w:val="18"/>
                <w:lang w:eastAsia="en-GB"/>
              </w:rPr>
            </w:pPr>
          </w:p>
        </w:tc>
        <w:tc>
          <w:tcPr>
            <w:tcW w:w="753" w:type="dxa"/>
            <w:tcBorders>
              <w:top w:val="nil"/>
              <w:left w:val="nil"/>
              <w:bottom w:val="nil"/>
              <w:right w:val="nil"/>
            </w:tcBorders>
          </w:tcPr>
          <w:p w14:paraId="0A28DA0A" w14:textId="77777777" w:rsidR="007D0D6D" w:rsidRPr="00710B91" w:rsidRDefault="007D0D6D" w:rsidP="007D0D6D">
            <w:pPr>
              <w:spacing w:before="60" w:after="60"/>
              <w:ind w:right="-29"/>
              <w:jc w:val="center"/>
              <w:rPr>
                <w:noProof/>
                <w:sz w:val="18"/>
                <w:lang w:eastAsia="en-GB"/>
              </w:rPr>
            </w:pPr>
          </w:p>
        </w:tc>
        <w:tc>
          <w:tcPr>
            <w:tcW w:w="753" w:type="dxa"/>
            <w:tcBorders>
              <w:top w:val="nil"/>
              <w:left w:val="nil"/>
              <w:bottom w:val="nil"/>
              <w:right w:val="nil"/>
            </w:tcBorders>
          </w:tcPr>
          <w:p w14:paraId="5C416C73" w14:textId="77777777" w:rsidR="007D0D6D" w:rsidRPr="00710B91" w:rsidRDefault="007D0D6D" w:rsidP="007D0D6D">
            <w:pPr>
              <w:spacing w:before="60" w:after="60"/>
              <w:ind w:right="-29"/>
              <w:jc w:val="center"/>
              <w:rPr>
                <w:noProof/>
                <w:sz w:val="18"/>
                <w:lang w:eastAsia="en-GB"/>
              </w:rPr>
            </w:pPr>
          </w:p>
        </w:tc>
        <w:tc>
          <w:tcPr>
            <w:tcW w:w="753" w:type="dxa"/>
            <w:tcBorders>
              <w:top w:val="nil"/>
              <w:left w:val="nil"/>
              <w:bottom w:val="nil"/>
              <w:right w:val="nil"/>
            </w:tcBorders>
          </w:tcPr>
          <w:p w14:paraId="54EA682B" w14:textId="77777777" w:rsidR="007D0D6D" w:rsidRPr="00710B91" w:rsidRDefault="007D0D6D" w:rsidP="007D0D6D">
            <w:pPr>
              <w:spacing w:before="60" w:after="60"/>
              <w:ind w:right="-29"/>
              <w:jc w:val="center"/>
              <w:rPr>
                <w:noProof/>
                <w:sz w:val="18"/>
                <w:lang w:eastAsia="en-GB"/>
              </w:rPr>
            </w:pPr>
          </w:p>
        </w:tc>
        <w:tc>
          <w:tcPr>
            <w:tcW w:w="825" w:type="dxa"/>
            <w:tcBorders>
              <w:top w:val="nil"/>
              <w:left w:val="nil"/>
              <w:bottom w:val="nil"/>
              <w:right w:val="nil"/>
            </w:tcBorders>
          </w:tcPr>
          <w:p w14:paraId="3FAB2525" w14:textId="77777777" w:rsidR="007D0D6D" w:rsidRPr="00710B91" w:rsidRDefault="007D0D6D" w:rsidP="007D0D6D">
            <w:pPr>
              <w:spacing w:before="60" w:after="60"/>
              <w:ind w:right="-29"/>
              <w:jc w:val="center"/>
              <w:rPr>
                <w:noProof/>
                <w:sz w:val="18"/>
                <w:lang w:eastAsia="en-GB"/>
              </w:rPr>
            </w:pPr>
          </w:p>
        </w:tc>
        <w:tc>
          <w:tcPr>
            <w:tcW w:w="869" w:type="dxa"/>
            <w:tcBorders>
              <w:top w:val="nil"/>
              <w:left w:val="nil"/>
              <w:bottom w:val="nil"/>
              <w:right w:val="nil"/>
            </w:tcBorders>
          </w:tcPr>
          <w:p w14:paraId="23BCC905" w14:textId="77777777" w:rsidR="007D0D6D" w:rsidRPr="00710B91" w:rsidRDefault="007D0D6D" w:rsidP="007D0D6D">
            <w:pPr>
              <w:spacing w:before="60" w:after="60"/>
              <w:ind w:right="-29"/>
              <w:jc w:val="center"/>
              <w:rPr>
                <w:noProof/>
                <w:sz w:val="18"/>
                <w:lang w:eastAsia="en-GB"/>
              </w:rPr>
            </w:pPr>
          </w:p>
        </w:tc>
        <w:tc>
          <w:tcPr>
            <w:tcW w:w="753" w:type="dxa"/>
            <w:tcBorders>
              <w:top w:val="nil"/>
              <w:left w:val="nil"/>
              <w:bottom w:val="nil"/>
              <w:right w:val="nil"/>
            </w:tcBorders>
          </w:tcPr>
          <w:p w14:paraId="1C7890B9" w14:textId="77777777" w:rsidR="007D0D6D" w:rsidRPr="00710B91" w:rsidRDefault="007D0D6D" w:rsidP="007D0D6D">
            <w:pPr>
              <w:spacing w:before="60" w:after="60"/>
              <w:ind w:right="-29"/>
              <w:jc w:val="center"/>
              <w:rPr>
                <w:noProof/>
                <w:sz w:val="18"/>
                <w:lang w:eastAsia="en-GB"/>
              </w:rPr>
            </w:pPr>
          </w:p>
        </w:tc>
        <w:tc>
          <w:tcPr>
            <w:tcW w:w="941" w:type="dxa"/>
            <w:tcBorders>
              <w:top w:val="nil"/>
              <w:left w:val="nil"/>
              <w:bottom w:val="nil"/>
              <w:right w:val="nil"/>
            </w:tcBorders>
          </w:tcPr>
          <w:p w14:paraId="5854BCC2" w14:textId="77777777" w:rsidR="007D0D6D" w:rsidRPr="00710B91" w:rsidRDefault="007D0D6D" w:rsidP="007D0D6D">
            <w:pPr>
              <w:spacing w:before="60" w:after="60"/>
              <w:ind w:right="-29"/>
              <w:jc w:val="center"/>
              <w:rPr>
                <w:noProof/>
                <w:sz w:val="18"/>
                <w:lang w:eastAsia="en-GB"/>
              </w:rPr>
            </w:pPr>
          </w:p>
        </w:tc>
      </w:tr>
      <w:tr w:rsidR="007D0D6D" w:rsidRPr="00710B91" w14:paraId="7C0E2BDB" w14:textId="77777777" w:rsidTr="007D0D6D">
        <w:trPr>
          <w:trHeight w:hRule="exact" w:val="1606"/>
          <w:jc w:val="center"/>
        </w:trPr>
        <w:tc>
          <w:tcPr>
            <w:tcW w:w="1489" w:type="dxa"/>
          </w:tcPr>
          <w:p w14:paraId="5F814F2A" w14:textId="77777777" w:rsidR="007D0D6D" w:rsidRPr="00710B91" w:rsidRDefault="007D0D6D" w:rsidP="007D0D6D">
            <w:pPr>
              <w:rPr>
                <w:noProof/>
                <w:sz w:val="18"/>
                <w:szCs w:val="18"/>
              </w:rPr>
            </w:pPr>
            <w:r w:rsidRPr="00710B91">
              <w:rPr>
                <w:noProof/>
                <w:sz w:val="18"/>
                <w:szCs w:val="18"/>
              </w:rPr>
              <w:t>Opracowanie</w:t>
            </w:r>
            <w:r w:rsidRPr="00710B91">
              <w:rPr>
                <w:noProof/>
                <w:sz w:val="18"/>
              </w:rPr>
              <w:t xml:space="preserve"> niezbędnych dostosowań technicznych odpowiednich systemów informatycznych Eurojustu</w:t>
            </w:r>
          </w:p>
          <w:p w14:paraId="7EC6F338" w14:textId="77777777" w:rsidR="007D0D6D" w:rsidRPr="00710B91" w:rsidRDefault="007D0D6D" w:rsidP="007D0D6D">
            <w:pPr>
              <w:ind w:right="-29"/>
              <w:jc w:val="center"/>
              <w:rPr>
                <w:noProof/>
                <w:sz w:val="18"/>
                <w:lang w:eastAsia="en-GB"/>
              </w:rPr>
            </w:pPr>
          </w:p>
        </w:tc>
        <w:tc>
          <w:tcPr>
            <w:tcW w:w="753" w:type="dxa"/>
          </w:tcPr>
          <w:p w14:paraId="316D99F0" w14:textId="77777777" w:rsidR="007D0D6D" w:rsidRPr="00710B91" w:rsidRDefault="007D0D6D" w:rsidP="007D0D6D">
            <w:pPr>
              <w:ind w:right="-29"/>
              <w:jc w:val="center"/>
              <w:rPr>
                <w:noProof/>
                <w:sz w:val="18"/>
                <w:lang w:eastAsia="en-GB"/>
              </w:rPr>
            </w:pPr>
          </w:p>
        </w:tc>
        <w:tc>
          <w:tcPr>
            <w:tcW w:w="733" w:type="dxa"/>
          </w:tcPr>
          <w:p w14:paraId="54B769EC" w14:textId="77777777" w:rsidR="007D0D6D" w:rsidRPr="00710B91" w:rsidRDefault="007D0D6D" w:rsidP="007D0D6D">
            <w:pPr>
              <w:ind w:right="-29"/>
              <w:jc w:val="center"/>
              <w:rPr>
                <w:noProof/>
                <w:sz w:val="18"/>
                <w:lang w:eastAsia="en-GB"/>
              </w:rPr>
            </w:pPr>
          </w:p>
        </w:tc>
        <w:tc>
          <w:tcPr>
            <w:tcW w:w="527" w:type="dxa"/>
            <w:tcBorders>
              <w:right w:val="dashSmallGap" w:sz="4" w:space="0" w:color="auto"/>
            </w:tcBorders>
          </w:tcPr>
          <w:p w14:paraId="1B67657E" w14:textId="77777777" w:rsidR="007D0D6D" w:rsidRPr="00710B91" w:rsidRDefault="007D0D6D" w:rsidP="007D0D6D">
            <w:pPr>
              <w:ind w:right="-29"/>
              <w:jc w:val="center"/>
              <w:rPr>
                <w:noProof/>
                <w:sz w:val="18"/>
                <w:lang w:eastAsia="en-GB"/>
              </w:rPr>
            </w:pPr>
          </w:p>
        </w:tc>
        <w:tc>
          <w:tcPr>
            <w:tcW w:w="753" w:type="dxa"/>
            <w:tcBorders>
              <w:left w:val="dashSmallGap" w:sz="4" w:space="0" w:color="auto"/>
            </w:tcBorders>
          </w:tcPr>
          <w:p w14:paraId="68AD55AF" w14:textId="77777777" w:rsidR="007D0D6D" w:rsidRPr="00710B91" w:rsidRDefault="007D0D6D" w:rsidP="007D0D6D">
            <w:pPr>
              <w:ind w:right="-29"/>
              <w:jc w:val="center"/>
              <w:rPr>
                <w:noProof/>
                <w:sz w:val="18"/>
                <w:lang w:eastAsia="en-GB"/>
              </w:rPr>
            </w:pPr>
          </w:p>
        </w:tc>
        <w:tc>
          <w:tcPr>
            <w:tcW w:w="565" w:type="dxa"/>
            <w:tcBorders>
              <w:right w:val="dashSmallGap" w:sz="4" w:space="0" w:color="auto"/>
            </w:tcBorders>
          </w:tcPr>
          <w:p w14:paraId="5CBCFC47" w14:textId="77777777" w:rsidR="007D0D6D" w:rsidRPr="00710B91" w:rsidRDefault="007D0D6D" w:rsidP="007D0D6D">
            <w:pPr>
              <w:ind w:right="-29"/>
              <w:jc w:val="center"/>
              <w:rPr>
                <w:noProof/>
                <w:sz w:val="18"/>
                <w:lang w:eastAsia="en-GB"/>
              </w:rPr>
            </w:pPr>
          </w:p>
        </w:tc>
        <w:tc>
          <w:tcPr>
            <w:tcW w:w="753" w:type="dxa"/>
            <w:tcBorders>
              <w:left w:val="dashSmallGap" w:sz="4" w:space="0" w:color="auto"/>
            </w:tcBorders>
          </w:tcPr>
          <w:p w14:paraId="59272A99" w14:textId="77777777" w:rsidR="007D0D6D" w:rsidRPr="00710B91" w:rsidRDefault="007D0D6D" w:rsidP="007D0D6D">
            <w:pPr>
              <w:ind w:right="-29"/>
              <w:jc w:val="center"/>
              <w:rPr>
                <w:noProof/>
                <w:sz w:val="18"/>
              </w:rPr>
            </w:pPr>
            <w:r w:rsidRPr="00710B91">
              <w:rPr>
                <w:noProof/>
                <w:sz w:val="18"/>
              </w:rPr>
              <w:t>0,250</w:t>
            </w:r>
          </w:p>
        </w:tc>
        <w:tc>
          <w:tcPr>
            <w:tcW w:w="753" w:type="dxa"/>
            <w:tcBorders>
              <w:right w:val="dashSmallGap" w:sz="4" w:space="0" w:color="auto"/>
            </w:tcBorders>
          </w:tcPr>
          <w:p w14:paraId="4E9A249F" w14:textId="77777777" w:rsidR="007D0D6D" w:rsidRPr="00710B91" w:rsidRDefault="007D0D6D" w:rsidP="007D0D6D">
            <w:pPr>
              <w:ind w:right="-29"/>
              <w:jc w:val="center"/>
              <w:rPr>
                <w:noProof/>
                <w:sz w:val="18"/>
                <w:lang w:eastAsia="en-GB"/>
              </w:rPr>
            </w:pPr>
          </w:p>
        </w:tc>
        <w:tc>
          <w:tcPr>
            <w:tcW w:w="753" w:type="dxa"/>
            <w:tcBorders>
              <w:left w:val="dashSmallGap" w:sz="4" w:space="0" w:color="auto"/>
            </w:tcBorders>
          </w:tcPr>
          <w:p w14:paraId="0A7BB6F7" w14:textId="77777777" w:rsidR="007D0D6D" w:rsidRPr="00710B91" w:rsidRDefault="007D0D6D" w:rsidP="007D0D6D">
            <w:pPr>
              <w:ind w:right="-29"/>
              <w:jc w:val="center"/>
              <w:rPr>
                <w:noProof/>
                <w:sz w:val="18"/>
                <w:lang w:eastAsia="en-GB"/>
              </w:rPr>
            </w:pPr>
          </w:p>
        </w:tc>
        <w:tc>
          <w:tcPr>
            <w:tcW w:w="825" w:type="dxa"/>
            <w:tcBorders>
              <w:right w:val="dashSmallGap" w:sz="4" w:space="0" w:color="auto"/>
            </w:tcBorders>
          </w:tcPr>
          <w:p w14:paraId="4726D4FB" w14:textId="77777777" w:rsidR="007D0D6D" w:rsidRPr="00710B91" w:rsidRDefault="007D0D6D" w:rsidP="007D0D6D">
            <w:pPr>
              <w:ind w:right="-29"/>
              <w:jc w:val="center"/>
              <w:rPr>
                <w:noProof/>
                <w:sz w:val="18"/>
                <w:lang w:eastAsia="en-GB"/>
              </w:rPr>
            </w:pPr>
          </w:p>
        </w:tc>
        <w:tc>
          <w:tcPr>
            <w:tcW w:w="869" w:type="dxa"/>
            <w:tcBorders>
              <w:left w:val="dashSmallGap" w:sz="4" w:space="0" w:color="auto"/>
            </w:tcBorders>
          </w:tcPr>
          <w:p w14:paraId="37C58451" w14:textId="77777777" w:rsidR="007D0D6D" w:rsidRPr="00710B91" w:rsidRDefault="007D0D6D" w:rsidP="007D0D6D">
            <w:pPr>
              <w:ind w:right="-29"/>
              <w:jc w:val="center"/>
              <w:rPr>
                <w:noProof/>
                <w:sz w:val="18"/>
                <w:lang w:eastAsia="en-GB"/>
              </w:rPr>
            </w:pPr>
          </w:p>
        </w:tc>
        <w:tc>
          <w:tcPr>
            <w:tcW w:w="753" w:type="dxa"/>
          </w:tcPr>
          <w:p w14:paraId="2F71D6D1" w14:textId="77777777" w:rsidR="007D0D6D" w:rsidRPr="00710B91" w:rsidRDefault="007D0D6D" w:rsidP="007D0D6D">
            <w:pPr>
              <w:ind w:right="-29"/>
              <w:jc w:val="center"/>
              <w:rPr>
                <w:noProof/>
                <w:sz w:val="18"/>
                <w:lang w:eastAsia="en-GB"/>
              </w:rPr>
            </w:pPr>
          </w:p>
        </w:tc>
        <w:tc>
          <w:tcPr>
            <w:tcW w:w="941" w:type="dxa"/>
          </w:tcPr>
          <w:p w14:paraId="3D4ADD07" w14:textId="77777777" w:rsidR="007D0D6D" w:rsidRPr="00710B91" w:rsidRDefault="007D0D6D" w:rsidP="007D0D6D">
            <w:pPr>
              <w:ind w:right="-29"/>
              <w:jc w:val="center"/>
              <w:rPr>
                <w:noProof/>
                <w:sz w:val="18"/>
              </w:rPr>
            </w:pPr>
            <w:r w:rsidRPr="00710B91">
              <w:rPr>
                <w:noProof/>
                <w:sz w:val="18"/>
              </w:rPr>
              <w:t>0,250</w:t>
            </w:r>
          </w:p>
        </w:tc>
      </w:tr>
      <w:tr w:rsidR="007D0D6D" w:rsidRPr="00710B91" w14:paraId="0E026A40" w14:textId="77777777" w:rsidTr="007D0D6D">
        <w:trPr>
          <w:trHeight w:hRule="exact" w:val="1606"/>
          <w:jc w:val="center"/>
        </w:trPr>
        <w:tc>
          <w:tcPr>
            <w:tcW w:w="1489" w:type="dxa"/>
            <w:vAlign w:val="center"/>
          </w:tcPr>
          <w:p w14:paraId="46B57A5A" w14:textId="77777777" w:rsidR="007D0D6D" w:rsidRPr="00710B91" w:rsidRDefault="007D0D6D" w:rsidP="007D0D6D">
            <w:pPr>
              <w:rPr>
                <w:noProof/>
                <w:sz w:val="18"/>
                <w:szCs w:val="18"/>
              </w:rPr>
            </w:pPr>
            <w:r w:rsidRPr="00710B91">
              <w:rPr>
                <w:noProof/>
                <w:sz w:val="18"/>
                <w:szCs w:val="18"/>
              </w:rPr>
              <w:t>Personel wewnętrzny potrzebny do opracowania dostosowań technicznych</w:t>
            </w:r>
          </w:p>
        </w:tc>
        <w:tc>
          <w:tcPr>
            <w:tcW w:w="753" w:type="dxa"/>
          </w:tcPr>
          <w:p w14:paraId="3B23AA09" w14:textId="77777777" w:rsidR="007D0D6D" w:rsidRPr="00710B91" w:rsidRDefault="007D0D6D" w:rsidP="007D0D6D">
            <w:pPr>
              <w:ind w:right="-29"/>
              <w:jc w:val="center"/>
              <w:rPr>
                <w:noProof/>
                <w:sz w:val="18"/>
                <w:lang w:eastAsia="en-GB"/>
              </w:rPr>
            </w:pPr>
          </w:p>
        </w:tc>
        <w:tc>
          <w:tcPr>
            <w:tcW w:w="733" w:type="dxa"/>
          </w:tcPr>
          <w:p w14:paraId="623EDEDA" w14:textId="77777777" w:rsidR="007D0D6D" w:rsidRPr="00710B91" w:rsidRDefault="007D0D6D" w:rsidP="007D0D6D">
            <w:pPr>
              <w:ind w:right="-29"/>
              <w:jc w:val="center"/>
              <w:rPr>
                <w:noProof/>
                <w:sz w:val="18"/>
                <w:lang w:eastAsia="en-GB"/>
              </w:rPr>
            </w:pPr>
          </w:p>
        </w:tc>
        <w:tc>
          <w:tcPr>
            <w:tcW w:w="527" w:type="dxa"/>
            <w:tcBorders>
              <w:right w:val="dashSmallGap" w:sz="4" w:space="0" w:color="auto"/>
            </w:tcBorders>
          </w:tcPr>
          <w:p w14:paraId="20F84B41" w14:textId="77777777" w:rsidR="007D0D6D" w:rsidRPr="00710B91" w:rsidRDefault="007D0D6D" w:rsidP="007D0D6D">
            <w:pPr>
              <w:ind w:right="-29"/>
              <w:jc w:val="center"/>
              <w:rPr>
                <w:noProof/>
                <w:sz w:val="18"/>
                <w:lang w:eastAsia="en-GB"/>
              </w:rPr>
            </w:pPr>
          </w:p>
        </w:tc>
        <w:tc>
          <w:tcPr>
            <w:tcW w:w="753" w:type="dxa"/>
            <w:tcBorders>
              <w:left w:val="dashSmallGap" w:sz="4" w:space="0" w:color="auto"/>
            </w:tcBorders>
          </w:tcPr>
          <w:p w14:paraId="706BD254" w14:textId="77777777" w:rsidR="007D0D6D" w:rsidRPr="00710B91" w:rsidRDefault="007D0D6D" w:rsidP="007D0D6D">
            <w:pPr>
              <w:ind w:right="-29"/>
              <w:jc w:val="center"/>
              <w:rPr>
                <w:noProof/>
                <w:sz w:val="18"/>
                <w:lang w:eastAsia="en-GB"/>
              </w:rPr>
            </w:pPr>
          </w:p>
        </w:tc>
        <w:tc>
          <w:tcPr>
            <w:tcW w:w="565" w:type="dxa"/>
            <w:tcBorders>
              <w:right w:val="dashSmallGap" w:sz="4" w:space="0" w:color="auto"/>
            </w:tcBorders>
          </w:tcPr>
          <w:p w14:paraId="7370D8EC" w14:textId="77777777" w:rsidR="007D0D6D" w:rsidRPr="00710B91" w:rsidRDefault="007D0D6D" w:rsidP="007D0D6D">
            <w:pPr>
              <w:ind w:right="-29"/>
              <w:jc w:val="center"/>
              <w:rPr>
                <w:noProof/>
                <w:sz w:val="18"/>
                <w:lang w:eastAsia="en-GB"/>
              </w:rPr>
            </w:pPr>
          </w:p>
        </w:tc>
        <w:tc>
          <w:tcPr>
            <w:tcW w:w="753" w:type="dxa"/>
            <w:tcBorders>
              <w:left w:val="dashSmallGap" w:sz="4" w:space="0" w:color="auto"/>
            </w:tcBorders>
          </w:tcPr>
          <w:p w14:paraId="4B3ED20A" w14:textId="2103D145" w:rsidR="007D0D6D" w:rsidRPr="00710B91" w:rsidRDefault="007D0D6D" w:rsidP="005E1965">
            <w:pPr>
              <w:ind w:right="-29"/>
              <w:jc w:val="center"/>
              <w:rPr>
                <w:noProof/>
                <w:sz w:val="18"/>
              </w:rPr>
            </w:pPr>
            <w:r w:rsidRPr="00710B91">
              <w:rPr>
                <w:noProof/>
                <w:sz w:val="18"/>
              </w:rPr>
              <w:t>0,086</w:t>
            </w:r>
          </w:p>
        </w:tc>
        <w:tc>
          <w:tcPr>
            <w:tcW w:w="753" w:type="dxa"/>
            <w:tcBorders>
              <w:right w:val="dashSmallGap" w:sz="4" w:space="0" w:color="auto"/>
            </w:tcBorders>
          </w:tcPr>
          <w:p w14:paraId="440CB0A9" w14:textId="77777777" w:rsidR="007D0D6D" w:rsidRPr="00710B91" w:rsidRDefault="007D0D6D" w:rsidP="007D0D6D">
            <w:pPr>
              <w:ind w:right="-29"/>
              <w:jc w:val="center"/>
              <w:rPr>
                <w:noProof/>
                <w:sz w:val="18"/>
                <w:lang w:eastAsia="en-GB"/>
              </w:rPr>
            </w:pPr>
          </w:p>
        </w:tc>
        <w:tc>
          <w:tcPr>
            <w:tcW w:w="753" w:type="dxa"/>
            <w:tcBorders>
              <w:left w:val="dashSmallGap" w:sz="4" w:space="0" w:color="auto"/>
            </w:tcBorders>
          </w:tcPr>
          <w:p w14:paraId="35E213DE" w14:textId="1034892C" w:rsidR="007D0D6D" w:rsidRPr="00710B91" w:rsidRDefault="006012BC" w:rsidP="006012BC">
            <w:pPr>
              <w:ind w:right="-29"/>
              <w:jc w:val="center"/>
              <w:rPr>
                <w:noProof/>
                <w:sz w:val="18"/>
              </w:rPr>
            </w:pPr>
            <w:r w:rsidRPr="00710B91">
              <w:rPr>
                <w:noProof/>
                <w:sz w:val="18"/>
              </w:rPr>
              <w:t>0,173</w:t>
            </w:r>
          </w:p>
        </w:tc>
        <w:tc>
          <w:tcPr>
            <w:tcW w:w="825" w:type="dxa"/>
            <w:tcBorders>
              <w:right w:val="dashSmallGap" w:sz="4" w:space="0" w:color="auto"/>
            </w:tcBorders>
          </w:tcPr>
          <w:p w14:paraId="3D2108A3" w14:textId="77777777" w:rsidR="007D0D6D" w:rsidRPr="00710B91" w:rsidRDefault="007D0D6D" w:rsidP="007D0D6D">
            <w:pPr>
              <w:ind w:right="-29"/>
              <w:jc w:val="center"/>
              <w:rPr>
                <w:noProof/>
                <w:sz w:val="18"/>
                <w:lang w:eastAsia="en-GB"/>
              </w:rPr>
            </w:pPr>
          </w:p>
        </w:tc>
        <w:tc>
          <w:tcPr>
            <w:tcW w:w="869" w:type="dxa"/>
            <w:tcBorders>
              <w:left w:val="dashSmallGap" w:sz="4" w:space="0" w:color="auto"/>
            </w:tcBorders>
          </w:tcPr>
          <w:p w14:paraId="375518A7" w14:textId="6E4D7EFF" w:rsidR="007D0D6D" w:rsidRPr="00710B91" w:rsidRDefault="006012BC" w:rsidP="007D0D6D">
            <w:pPr>
              <w:ind w:right="-29"/>
              <w:jc w:val="center"/>
              <w:rPr>
                <w:noProof/>
                <w:sz w:val="18"/>
              </w:rPr>
            </w:pPr>
            <w:r w:rsidRPr="00710B91">
              <w:rPr>
                <w:noProof/>
                <w:sz w:val="18"/>
              </w:rPr>
              <w:t>0,173</w:t>
            </w:r>
          </w:p>
        </w:tc>
        <w:tc>
          <w:tcPr>
            <w:tcW w:w="753" w:type="dxa"/>
          </w:tcPr>
          <w:p w14:paraId="569F846D" w14:textId="77777777" w:rsidR="007D0D6D" w:rsidRPr="00710B91" w:rsidRDefault="007D0D6D" w:rsidP="007D0D6D">
            <w:pPr>
              <w:ind w:right="-29"/>
              <w:jc w:val="center"/>
              <w:rPr>
                <w:noProof/>
                <w:sz w:val="18"/>
                <w:lang w:eastAsia="en-GB"/>
              </w:rPr>
            </w:pPr>
          </w:p>
        </w:tc>
        <w:tc>
          <w:tcPr>
            <w:tcW w:w="941" w:type="dxa"/>
          </w:tcPr>
          <w:p w14:paraId="40A8278F" w14:textId="255D7F85" w:rsidR="007D0D6D" w:rsidRPr="00710B91" w:rsidRDefault="007D0D6D" w:rsidP="006012BC">
            <w:pPr>
              <w:ind w:right="-29"/>
              <w:jc w:val="center"/>
              <w:rPr>
                <w:noProof/>
                <w:sz w:val="18"/>
              </w:rPr>
            </w:pPr>
            <w:r w:rsidRPr="00710B91">
              <w:rPr>
                <w:noProof/>
                <w:sz w:val="18"/>
              </w:rPr>
              <w:t>0,432</w:t>
            </w:r>
          </w:p>
        </w:tc>
      </w:tr>
      <w:tr w:rsidR="007D0D6D" w:rsidRPr="00710B91" w14:paraId="6788F53C" w14:textId="77777777" w:rsidTr="007D0D6D">
        <w:trPr>
          <w:trHeight w:val="449"/>
          <w:jc w:val="center"/>
        </w:trPr>
        <w:tc>
          <w:tcPr>
            <w:tcW w:w="2976" w:type="dxa"/>
            <w:gridSpan w:val="3"/>
            <w:tcBorders>
              <w:bottom w:val="single" w:sz="12" w:space="0" w:color="auto"/>
            </w:tcBorders>
            <w:vAlign w:val="center"/>
          </w:tcPr>
          <w:p w14:paraId="0DB2CFCD" w14:textId="4F836FEF" w:rsidR="007D0D6D" w:rsidRPr="00710B91" w:rsidRDefault="007D0D6D" w:rsidP="007D0D6D">
            <w:pPr>
              <w:ind w:right="-29"/>
              <w:jc w:val="center"/>
              <w:rPr>
                <w:noProof/>
                <w:sz w:val="18"/>
              </w:rPr>
            </w:pPr>
            <w:r w:rsidRPr="00710B91">
              <w:rPr>
                <w:noProof/>
                <w:sz w:val="18"/>
              </w:rPr>
              <w:t>Cel szczegółowy nr</w:t>
            </w:r>
            <w:r w:rsidR="00710B91" w:rsidRPr="00710B91">
              <w:rPr>
                <w:noProof/>
                <w:sz w:val="18"/>
              </w:rPr>
              <w:t> </w:t>
            </w:r>
            <w:r w:rsidRPr="00710B91">
              <w:rPr>
                <w:noProof/>
                <w:sz w:val="18"/>
              </w:rPr>
              <w:t>1 – suma cząstkowa</w:t>
            </w:r>
          </w:p>
        </w:tc>
        <w:tc>
          <w:tcPr>
            <w:tcW w:w="527" w:type="dxa"/>
            <w:tcBorders>
              <w:bottom w:val="single" w:sz="12" w:space="0" w:color="auto"/>
            </w:tcBorders>
          </w:tcPr>
          <w:p w14:paraId="1FDAA7F1" w14:textId="77777777" w:rsidR="007D0D6D" w:rsidRPr="00710B91" w:rsidRDefault="007D0D6D" w:rsidP="007D0D6D">
            <w:pPr>
              <w:ind w:right="-29"/>
              <w:jc w:val="center"/>
              <w:rPr>
                <w:noProof/>
                <w:sz w:val="18"/>
                <w:lang w:eastAsia="en-GB"/>
              </w:rPr>
            </w:pPr>
          </w:p>
        </w:tc>
        <w:tc>
          <w:tcPr>
            <w:tcW w:w="753" w:type="dxa"/>
            <w:tcBorders>
              <w:bottom w:val="single" w:sz="12" w:space="0" w:color="auto"/>
            </w:tcBorders>
          </w:tcPr>
          <w:p w14:paraId="2269926F" w14:textId="77777777" w:rsidR="007D0D6D" w:rsidRPr="00710B91" w:rsidRDefault="007D0D6D" w:rsidP="007D0D6D">
            <w:pPr>
              <w:ind w:right="-29"/>
              <w:jc w:val="center"/>
              <w:rPr>
                <w:noProof/>
                <w:sz w:val="18"/>
                <w:lang w:eastAsia="en-GB"/>
              </w:rPr>
            </w:pPr>
          </w:p>
        </w:tc>
        <w:tc>
          <w:tcPr>
            <w:tcW w:w="565" w:type="dxa"/>
            <w:tcBorders>
              <w:bottom w:val="single" w:sz="12" w:space="0" w:color="auto"/>
            </w:tcBorders>
          </w:tcPr>
          <w:p w14:paraId="4723638C" w14:textId="77777777" w:rsidR="007D0D6D" w:rsidRPr="00710B91" w:rsidRDefault="007D0D6D" w:rsidP="007D0D6D">
            <w:pPr>
              <w:ind w:right="-29"/>
              <w:jc w:val="center"/>
              <w:rPr>
                <w:noProof/>
                <w:sz w:val="18"/>
                <w:lang w:eastAsia="en-GB"/>
              </w:rPr>
            </w:pPr>
          </w:p>
        </w:tc>
        <w:tc>
          <w:tcPr>
            <w:tcW w:w="753" w:type="dxa"/>
            <w:tcBorders>
              <w:bottom w:val="single" w:sz="12" w:space="0" w:color="auto"/>
            </w:tcBorders>
          </w:tcPr>
          <w:p w14:paraId="33AEC6AE" w14:textId="32663F78" w:rsidR="007D0D6D" w:rsidRPr="00710B91" w:rsidRDefault="007D0D6D" w:rsidP="005E1965">
            <w:pPr>
              <w:ind w:right="-29"/>
              <w:jc w:val="center"/>
              <w:rPr>
                <w:noProof/>
                <w:sz w:val="18"/>
              </w:rPr>
            </w:pPr>
            <w:r w:rsidRPr="00710B91">
              <w:rPr>
                <w:noProof/>
                <w:sz w:val="18"/>
              </w:rPr>
              <w:t>0,336</w:t>
            </w:r>
          </w:p>
        </w:tc>
        <w:tc>
          <w:tcPr>
            <w:tcW w:w="753" w:type="dxa"/>
            <w:tcBorders>
              <w:bottom w:val="single" w:sz="12" w:space="0" w:color="auto"/>
            </w:tcBorders>
          </w:tcPr>
          <w:p w14:paraId="5308CC5D" w14:textId="77777777" w:rsidR="007D0D6D" w:rsidRPr="00710B91" w:rsidRDefault="007D0D6D" w:rsidP="007D0D6D">
            <w:pPr>
              <w:ind w:right="-29"/>
              <w:jc w:val="center"/>
              <w:rPr>
                <w:noProof/>
                <w:sz w:val="18"/>
                <w:lang w:eastAsia="en-GB"/>
              </w:rPr>
            </w:pPr>
          </w:p>
        </w:tc>
        <w:tc>
          <w:tcPr>
            <w:tcW w:w="753" w:type="dxa"/>
            <w:tcBorders>
              <w:bottom w:val="single" w:sz="12" w:space="0" w:color="auto"/>
            </w:tcBorders>
          </w:tcPr>
          <w:p w14:paraId="1394ECBF" w14:textId="74F08A7E" w:rsidR="007D0D6D" w:rsidRPr="00710B91" w:rsidRDefault="006012BC" w:rsidP="007D0D6D">
            <w:pPr>
              <w:ind w:right="-29"/>
              <w:jc w:val="center"/>
              <w:rPr>
                <w:noProof/>
                <w:sz w:val="18"/>
              </w:rPr>
            </w:pPr>
            <w:r w:rsidRPr="00710B91">
              <w:rPr>
                <w:noProof/>
                <w:sz w:val="18"/>
              </w:rPr>
              <w:t>0,173</w:t>
            </w:r>
          </w:p>
        </w:tc>
        <w:tc>
          <w:tcPr>
            <w:tcW w:w="825" w:type="dxa"/>
            <w:tcBorders>
              <w:bottom w:val="single" w:sz="12" w:space="0" w:color="auto"/>
            </w:tcBorders>
          </w:tcPr>
          <w:p w14:paraId="534B1083" w14:textId="77777777" w:rsidR="007D0D6D" w:rsidRPr="00710B91" w:rsidRDefault="007D0D6D" w:rsidP="007D0D6D">
            <w:pPr>
              <w:ind w:right="-29"/>
              <w:jc w:val="center"/>
              <w:rPr>
                <w:noProof/>
                <w:sz w:val="18"/>
                <w:lang w:eastAsia="en-GB"/>
              </w:rPr>
            </w:pPr>
          </w:p>
        </w:tc>
        <w:tc>
          <w:tcPr>
            <w:tcW w:w="869" w:type="dxa"/>
            <w:tcBorders>
              <w:bottom w:val="single" w:sz="12" w:space="0" w:color="auto"/>
            </w:tcBorders>
          </w:tcPr>
          <w:p w14:paraId="01C5431E" w14:textId="16B9D23B" w:rsidR="007D0D6D" w:rsidRPr="00710B91" w:rsidRDefault="006012BC" w:rsidP="007D0D6D">
            <w:pPr>
              <w:ind w:right="-29"/>
              <w:jc w:val="center"/>
              <w:rPr>
                <w:noProof/>
                <w:sz w:val="18"/>
              </w:rPr>
            </w:pPr>
            <w:r w:rsidRPr="00710B91">
              <w:rPr>
                <w:noProof/>
                <w:sz w:val="18"/>
              </w:rPr>
              <w:t>0,173</w:t>
            </w:r>
          </w:p>
        </w:tc>
        <w:tc>
          <w:tcPr>
            <w:tcW w:w="753" w:type="dxa"/>
            <w:tcBorders>
              <w:bottom w:val="single" w:sz="12" w:space="0" w:color="auto"/>
            </w:tcBorders>
          </w:tcPr>
          <w:p w14:paraId="07AC7AFE" w14:textId="77777777" w:rsidR="007D0D6D" w:rsidRPr="00710B91" w:rsidRDefault="007D0D6D" w:rsidP="007D0D6D">
            <w:pPr>
              <w:ind w:right="-29"/>
              <w:jc w:val="center"/>
              <w:rPr>
                <w:noProof/>
                <w:sz w:val="18"/>
                <w:lang w:eastAsia="en-GB"/>
              </w:rPr>
            </w:pPr>
          </w:p>
        </w:tc>
        <w:tc>
          <w:tcPr>
            <w:tcW w:w="941" w:type="dxa"/>
            <w:tcBorders>
              <w:bottom w:val="single" w:sz="12" w:space="0" w:color="auto"/>
            </w:tcBorders>
          </w:tcPr>
          <w:p w14:paraId="7EF71260" w14:textId="04C0EEA4" w:rsidR="007D0D6D" w:rsidRPr="00710B91" w:rsidRDefault="007D0D6D" w:rsidP="006012BC">
            <w:pPr>
              <w:ind w:right="-29"/>
              <w:jc w:val="center"/>
              <w:rPr>
                <w:noProof/>
                <w:sz w:val="18"/>
              </w:rPr>
            </w:pPr>
            <w:r w:rsidRPr="00710B91">
              <w:rPr>
                <w:noProof/>
                <w:sz w:val="18"/>
              </w:rPr>
              <w:t>0,682</w:t>
            </w:r>
          </w:p>
        </w:tc>
      </w:tr>
      <w:tr w:rsidR="007D0D6D" w:rsidRPr="00710B91" w14:paraId="47E68DDF" w14:textId="77777777" w:rsidTr="007D0D6D">
        <w:trPr>
          <w:trHeight w:val="831"/>
          <w:jc w:val="center"/>
        </w:trPr>
        <w:tc>
          <w:tcPr>
            <w:tcW w:w="2976" w:type="dxa"/>
            <w:gridSpan w:val="3"/>
            <w:vAlign w:val="center"/>
          </w:tcPr>
          <w:p w14:paraId="0C34DFFB" w14:textId="7E128A78" w:rsidR="007D0D6D" w:rsidRPr="00710B91" w:rsidRDefault="007D0D6D" w:rsidP="007D0D6D">
            <w:pPr>
              <w:spacing w:before="60" w:after="60"/>
              <w:ind w:right="-29"/>
              <w:jc w:val="center"/>
              <w:rPr>
                <w:noProof/>
                <w:sz w:val="18"/>
              </w:rPr>
            </w:pPr>
            <w:r w:rsidRPr="00710B91">
              <w:rPr>
                <w:noProof/>
                <w:sz w:val="18"/>
              </w:rPr>
              <w:t>CEL SZCZEGÓŁOWY nr</w:t>
            </w:r>
            <w:r w:rsidR="00710B91" w:rsidRPr="00710B91">
              <w:rPr>
                <w:noProof/>
                <w:sz w:val="18"/>
              </w:rPr>
              <w:t> </w:t>
            </w:r>
            <w:r w:rsidRPr="00710B91">
              <w:rPr>
                <w:noProof/>
                <w:sz w:val="18"/>
              </w:rPr>
              <w:t>2</w:t>
            </w:r>
          </w:p>
          <w:p w14:paraId="63816A36" w14:textId="5BA8BBBC" w:rsidR="007D0D6D" w:rsidRPr="00710B91" w:rsidRDefault="007D0D6D" w:rsidP="007D0D6D">
            <w:pPr>
              <w:spacing w:before="60" w:after="60"/>
              <w:ind w:right="-29"/>
              <w:jc w:val="center"/>
              <w:rPr>
                <w:noProof/>
                <w:sz w:val="18"/>
              </w:rPr>
            </w:pPr>
            <w:r w:rsidRPr="00710B91">
              <w:rPr>
                <w:noProof/>
                <w:sz w:val="18"/>
              </w:rPr>
              <w:t>Zapewnienie wsparcia administracyjnego użytkownikom platformy współpracy zespołów JIT</w:t>
            </w:r>
          </w:p>
        </w:tc>
        <w:tc>
          <w:tcPr>
            <w:tcW w:w="527" w:type="dxa"/>
            <w:tcBorders>
              <w:top w:val="nil"/>
              <w:left w:val="nil"/>
              <w:bottom w:val="nil"/>
              <w:right w:val="nil"/>
            </w:tcBorders>
          </w:tcPr>
          <w:p w14:paraId="76D48523" w14:textId="77777777" w:rsidR="007D0D6D" w:rsidRPr="00710B91" w:rsidRDefault="007D0D6D" w:rsidP="007D0D6D">
            <w:pPr>
              <w:spacing w:before="60" w:after="60"/>
              <w:ind w:right="-29"/>
              <w:jc w:val="center"/>
              <w:rPr>
                <w:noProof/>
                <w:sz w:val="18"/>
                <w:lang w:eastAsia="en-GB"/>
              </w:rPr>
            </w:pPr>
          </w:p>
        </w:tc>
        <w:tc>
          <w:tcPr>
            <w:tcW w:w="753" w:type="dxa"/>
            <w:tcBorders>
              <w:top w:val="nil"/>
              <w:left w:val="nil"/>
              <w:bottom w:val="nil"/>
              <w:right w:val="nil"/>
            </w:tcBorders>
          </w:tcPr>
          <w:p w14:paraId="520482A7" w14:textId="77777777" w:rsidR="007D0D6D" w:rsidRPr="00710B91" w:rsidRDefault="007D0D6D" w:rsidP="007D0D6D">
            <w:pPr>
              <w:spacing w:before="60" w:after="60"/>
              <w:ind w:right="-29"/>
              <w:jc w:val="center"/>
              <w:rPr>
                <w:noProof/>
                <w:sz w:val="18"/>
                <w:lang w:eastAsia="en-GB"/>
              </w:rPr>
            </w:pPr>
          </w:p>
        </w:tc>
        <w:tc>
          <w:tcPr>
            <w:tcW w:w="565" w:type="dxa"/>
            <w:tcBorders>
              <w:top w:val="nil"/>
              <w:left w:val="nil"/>
              <w:bottom w:val="nil"/>
              <w:right w:val="nil"/>
            </w:tcBorders>
          </w:tcPr>
          <w:p w14:paraId="12153316" w14:textId="77777777" w:rsidR="007D0D6D" w:rsidRPr="00710B91" w:rsidRDefault="007D0D6D" w:rsidP="007D0D6D">
            <w:pPr>
              <w:spacing w:before="60" w:after="60"/>
              <w:ind w:right="-29"/>
              <w:jc w:val="center"/>
              <w:rPr>
                <w:noProof/>
                <w:sz w:val="18"/>
                <w:lang w:eastAsia="en-GB"/>
              </w:rPr>
            </w:pPr>
          </w:p>
        </w:tc>
        <w:tc>
          <w:tcPr>
            <w:tcW w:w="753" w:type="dxa"/>
            <w:tcBorders>
              <w:top w:val="nil"/>
              <w:left w:val="nil"/>
              <w:bottom w:val="nil"/>
              <w:right w:val="nil"/>
            </w:tcBorders>
          </w:tcPr>
          <w:p w14:paraId="5255947B" w14:textId="77777777" w:rsidR="007D0D6D" w:rsidRPr="00710B91" w:rsidRDefault="007D0D6D" w:rsidP="007D0D6D">
            <w:pPr>
              <w:spacing w:before="60" w:after="60"/>
              <w:ind w:right="-29"/>
              <w:jc w:val="center"/>
              <w:rPr>
                <w:noProof/>
                <w:sz w:val="18"/>
                <w:lang w:eastAsia="en-GB"/>
              </w:rPr>
            </w:pPr>
          </w:p>
        </w:tc>
        <w:tc>
          <w:tcPr>
            <w:tcW w:w="753" w:type="dxa"/>
            <w:tcBorders>
              <w:top w:val="nil"/>
              <w:left w:val="nil"/>
              <w:bottom w:val="nil"/>
              <w:right w:val="nil"/>
            </w:tcBorders>
          </w:tcPr>
          <w:p w14:paraId="382E0315" w14:textId="77777777" w:rsidR="007D0D6D" w:rsidRPr="00710B91" w:rsidRDefault="007D0D6D" w:rsidP="007D0D6D">
            <w:pPr>
              <w:spacing w:before="60" w:after="60"/>
              <w:ind w:right="-29"/>
              <w:jc w:val="center"/>
              <w:rPr>
                <w:noProof/>
                <w:sz w:val="18"/>
                <w:lang w:eastAsia="en-GB"/>
              </w:rPr>
            </w:pPr>
          </w:p>
        </w:tc>
        <w:tc>
          <w:tcPr>
            <w:tcW w:w="753" w:type="dxa"/>
            <w:tcBorders>
              <w:top w:val="nil"/>
              <w:left w:val="nil"/>
              <w:bottom w:val="nil"/>
              <w:right w:val="nil"/>
            </w:tcBorders>
          </w:tcPr>
          <w:p w14:paraId="583912A5" w14:textId="77777777" w:rsidR="007D0D6D" w:rsidRPr="00710B91" w:rsidRDefault="007D0D6D" w:rsidP="007D0D6D">
            <w:pPr>
              <w:spacing w:before="60" w:after="60"/>
              <w:ind w:right="-29"/>
              <w:jc w:val="center"/>
              <w:rPr>
                <w:noProof/>
                <w:sz w:val="18"/>
                <w:lang w:eastAsia="en-GB"/>
              </w:rPr>
            </w:pPr>
          </w:p>
        </w:tc>
        <w:tc>
          <w:tcPr>
            <w:tcW w:w="825" w:type="dxa"/>
            <w:tcBorders>
              <w:top w:val="nil"/>
              <w:left w:val="nil"/>
              <w:bottom w:val="nil"/>
              <w:right w:val="nil"/>
            </w:tcBorders>
          </w:tcPr>
          <w:p w14:paraId="208D31DD" w14:textId="77777777" w:rsidR="007D0D6D" w:rsidRPr="00710B91" w:rsidRDefault="007D0D6D" w:rsidP="007D0D6D">
            <w:pPr>
              <w:spacing w:before="60" w:after="60"/>
              <w:ind w:right="-29"/>
              <w:jc w:val="center"/>
              <w:rPr>
                <w:noProof/>
                <w:sz w:val="18"/>
                <w:lang w:eastAsia="en-GB"/>
              </w:rPr>
            </w:pPr>
          </w:p>
        </w:tc>
        <w:tc>
          <w:tcPr>
            <w:tcW w:w="869" w:type="dxa"/>
            <w:tcBorders>
              <w:top w:val="nil"/>
              <w:left w:val="nil"/>
              <w:bottom w:val="nil"/>
              <w:right w:val="nil"/>
            </w:tcBorders>
          </w:tcPr>
          <w:p w14:paraId="63BEB0AB" w14:textId="77777777" w:rsidR="007D0D6D" w:rsidRPr="00710B91" w:rsidRDefault="007D0D6D" w:rsidP="007D0D6D">
            <w:pPr>
              <w:spacing w:before="60" w:after="60"/>
              <w:ind w:right="-29"/>
              <w:jc w:val="center"/>
              <w:rPr>
                <w:noProof/>
                <w:sz w:val="18"/>
                <w:lang w:eastAsia="en-GB"/>
              </w:rPr>
            </w:pPr>
          </w:p>
        </w:tc>
        <w:tc>
          <w:tcPr>
            <w:tcW w:w="753" w:type="dxa"/>
            <w:tcBorders>
              <w:top w:val="nil"/>
              <w:left w:val="nil"/>
              <w:bottom w:val="nil"/>
              <w:right w:val="nil"/>
            </w:tcBorders>
          </w:tcPr>
          <w:p w14:paraId="258C719B" w14:textId="77777777" w:rsidR="007D0D6D" w:rsidRPr="00710B91" w:rsidRDefault="007D0D6D" w:rsidP="007D0D6D">
            <w:pPr>
              <w:spacing w:before="60" w:after="60"/>
              <w:ind w:right="-29"/>
              <w:jc w:val="center"/>
              <w:rPr>
                <w:noProof/>
                <w:sz w:val="18"/>
                <w:lang w:eastAsia="en-GB"/>
              </w:rPr>
            </w:pPr>
          </w:p>
        </w:tc>
        <w:tc>
          <w:tcPr>
            <w:tcW w:w="941" w:type="dxa"/>
            <w:tcBorders>
              <w:top w:val="nil"/>
              <w:left w:val="nil"/>
              <w:bottom w:val="nil"/>
              <w:right w:val="nil"/>
            </w:tcBorders>
          </w:tcPr>
          <w:p w14:paraId="17EF06DA" w14:textId="77777777" w:rsidR="007D0D6D" w:rsidRPr="00710B91" w:rsidRDefault="007D0D6D" w:rsidP="007D0D6D">
            <w:pPr>
              <w:spacing w:before="60" w:after="60"/>
              <w:ind w:right="-29"/>
              <w:jc w:val="center"/>
              <w:rPr>
                <w:noProof/>
                <w:sz w:val="18"/>
                <w:lang w:eastAsia="en-GB"/>
              </w:rPr>
            </w:pPr>
          </w:p>
        </w:tc>
      </w:tr>
      <w:tr w:rsidR="007D0D6D" w:rsidRPr="00710B91" w14:paraId="2DC201EC" w14:textId="77777777" w:rsidTr="007D0D6D">
        <w:trPr>
          <w:trHeight w:hRule="exact" w:val="2089"/>
          <w:jc w:val="center"/>
        </w:trPr>
        <w:tc>
          <w:tcPr>
            <w:tcW w:w="1489" w:type="dxa"/>
          </w:tcPr>
          <w:p w14:paraId="72DD7216" w14:textId="77777777" w:rsidR="007D0D6D" w:rsidRPr="00710B91" w:rsidRDefault="007D0D6D" w:rsidP="007D0D6D">
            <w:pPr>
              <w:ind w:right="-29"/>
              <w:jc w:val="center"/>
              <w:rPr>
                <w:noProof/>
                <w:sz w:val="18"/>
              </w:rPr>
            </w:pPr>
            <w:r w:rsidRPr="00710B91">
              <w:rPr>
                <w:rFonts w:ascii="Roboto" w:hAnsi="Roboto"/>
                <w:noProof/>
                <w:sz w:val="18"/>
                <w:szCs w:val="18"/>
              </w:rPr>
              <w:t xml:space="preserve">Personel wewnętrzny potrzebny do </w:t>
            </w:r>
            <w:r w:rsidRPr="00710B91">
              <w:rPr>
                <w:noProof/>
                <w:sz w:val="18"/>
              </w:rPr>
              <w:t>zapewnienia wsparcia administracyjnego użytkownikom platformy współpracy zespołów JIT</w:t>
            </w:r>
          </w:p>
        </w:tc>
        <w:tc>
          <w:tcPr>
            <w:tcW w:w="753" w:type="dxa"/>
          </w:tcPr>
          <w:p w14:paraId="346E9A2C" w14:textId="77777777" w:rsidR="007D0D6D" w:rsidRPr="00710B91" w:rsidRDefault="007D0D6D" w:rsidP="007D0D6D">
            <w:pPr>
              <w:ind w:right="-29"/>
              <w:jc w:val="center"/>
              <w:rPr>
                <w:noProof/>
                <w:sz w:val="18"/>
                <w:lang w:eastAsia="en-GB"/>
              </w:rPr>
            </w:pPr>
          </w:p>
        </w:tc>
        <w:tc>
          <w:tcPr>
            <w:tcW w:w="733" w:type="dxa"/>
          </w:tcPr>
          <w:p w14:paraId="121D5E48" w14:textId="77777777" w:rsidR="007D0D6D" w:rsidRPr="00710B91" w:rsidRDefault="007D0D6D" w:rsidP="007D0D6D">
            <w:pPr>
              <w:ind w:right="-29"/>
              <w:jc w:val="center"/>
              <w:rPr>
                <w:noProof/>
                <w:sz w:val="18"/>
                <w:lang w:eastAsia="en-GB"/>
              </w:rPr>
            </w:pPr>
          </w:p>
        </w:tc>
        <w:tc>
          <w:tcPr>
            <w:tcW w:w="527" w:type="dxa"/>
            <w:tcBorders>
              <w:right w:val="dashSmallGap" w:sz="4" w:space="0" w:color="auto"/>
            </w:tcBorders>
          </w:tcPr>
          <w:p w14:paraId="0BB6B0E6" w14:textId="77777777" w:rsidR="007D0D6D" w:rsidRPr="00710B91" w:rsidRDefault="007D0D6D" w:rsidP="007D0D6D">
            <w:pPr>
              <w:ind w:right="-29"/>
              <w:jc w:val="center"/>
              <w:rPr>
                <w:noProof/>
                <w:sz w:val="18"/>
                <w:lang w:eastAsia="en-GB"/>
              </w:rPr>
            </w:pPr>
          </w:p>
        </w:tc>
        <w:tc>
          <w:tcPr>
            <w:tcW w:w="753" w:type="dxa"/>
            <w:tcBorders>
              <w:left w:val="dashSmallGap" w:sz="4" w:space="0" w:color="auto"/>
            </w:tcBorders>
          </w:tcPr>
          <w:p w14:paraId="7AAD18A1" w14:textId="77777777" w:rsidR="007D0D6D" w:rsidRPr="00710B91" w:rsidRDefault="007D0D6D" w:rsidP="007D0D6D">
            <w:pPr>
              <w:ind w:right="-29"/>
              <w:jc w:val="center"/>
              <w:rPr>
                <w:noProof/>
                <w:sz w:val="18"/>
                <w:lang w:eastAsia="en-GB"/>
              </w:rPr>
            </w:pPr>
          </w:p>
        </w:tc>
        <w:tc>
          <w:tcPr>
            <w:tcW w:w="565" w:type="dxa"/>
            <w:tcBorders>
              <w:right w:val="dashSmallGap" w:sz="4" w:space="0" w:color="auto"/>
            </w:tcBorders>
          </w:tcPr>
          <w:p w14:paraId="5D96D7B7" w14:textId="77777777" w:rsidR="007D0D6D" w:rsidRPr="00710B91" w:rsidRDefault="007D0D6D" w:rsidP="007D0D6D">
            <w:pPr>
              <w:ind w:right="-29"/>
              <w:jc w:val="center"/>
              <w:rPr>
                <w:noProof/>
                <w:sz w:val="18"/>
                <w:lang w:eastAsia="en-GB"/>
              </w:rPr>
            </w:pPr>
          </w:p>
        </w:tc>
        <w:tc>
          <w:tcPr>
            <w:tcW w:w="753" w:type="dxa"/>
            <w:tcBorders>
              <w:left w:val="dashSmallGap" w:sz="4" w:space="0" w:color="auto"/>
            </w:tcBorders>
          </w:tcPr>
          <w:p w14:paraId="7EDE71CD" w14:textId="77777777" w:rsidR="007D0D6D" w:rsidRPr="00710B91" w:rsidRDefault="007D0D6D" w:rsidP="007D0D6D">
            <w:pPr>
              <w:ind w:right="-29"/>
              <w:jc w:val="center"/>
              <w:rPr>
                <w:noProof/>
                <w:sz w:val="18"/>
                <w:lang w:eastAsia="en-GB"/>
              </w:rPr>
            </w:pPr>
          </w:p>
        </w:tc>
        <w:tc>
          <w:tcPr>
            <w:tcW w:w="753" w:type="dxa"/>
            <w:tcBorders>
              <w:right w:val="dashSmallGap" w:sz="4" w:space="0" w:color="auto"/>
            </w:tcBorders>
          </w:tcPr>
          <w:p w14:paraId="36C0BC03" w14:textId="77777777" w:rsidR="007D0D6D" w:rsidRPr="00710B91" w:rsidRDefault="007D0D6D" w:rsidP="007D0D6D">
            <w:pPr>
              <w:ind w:right="-29"/>
              <w:jc w:val="center"/>
              <w:rPr>
                <w:noProof/>
                <w:sz w:val="18"/>
                <w:lang w:eastAsia="en-GB"/>
              </w:rPr>
            </w:pPr>
          </w:p>
        </w:tc>
        <w:tc>
          <w:tcPr>
            <w:tcW w:w="753" w:type="dxa"/>
            <w:tcBorders>
              <w:left w:val="dashSmallGap" w:sz="4" w:space="0" w:color="auto"/>
            </w:tcBorders>
          </w:tcPr>
          <w:p w14:paraId="1AF9805B" w14:textId="249514F3" w:rsidR="007D0D6D" w:rsidRPr="00710B91" w:rsidRDefault="007D0D6D" w:rsidP="006012BC">
            <w:pPr>
              <w:ind w:right="-29"/>
              <w:jc w:val="center"/>
              <w:rPr>
                <w:noProof/>
                <w:sz w:val="18"/>
              </w:rPr>
            </w:pPr>
            <w:r w:rsidRPr="00710B91">
              <w:rPr>
                <w:noProof/>
                <w:sz w:val="18"/>
              </w:rPr>
              <w:t>0,173</w:t>
            </w:r>
          </w:p>
        </w:tc>
        <w:tc>
          <w:tcPr>
            <w:tcW w:w="825" w:type="dxa"/>
            <w:tcBorders>
              <w:right w:val="dashSmallGap" w:sz="4" w:space="0" w:color="auto"/>
            </w:tcBorders>
          </w:tcPr>
          <w:p w14:paraId="70BDDE8D" w14:textId="77777777" w:rsidR="007D0D6D" w:rsidRPr="00710B91" w:rsidRDefault="007D0D6D" w:rsidP="007D0D6D">
            <w:pPr>
              <w:ind w:right="-29"/>
              <w:jc w:val="center"/>
              <w:rPr>
                <w:noProof/>
                <w:sz w:val="18"/>
                <w:lang w:eastAsia="en-GB"/>
              </w:rPr>
            </w:pPr>
          </w:p>
        </w:tc>
        <w:tc>
          <w:tcPr>
            <w:tcW w:w="869" w:type="dxa"/>
            <w:tcBorders>
              <w:left w:val="dashSmallGap" w:sz="4" w:space="0" w:color="auto"/>
            </w:tcBorders>
          </w:tcPr>
          <w:p w14:paraId="3F0FA99B" w14:textId="08181B50" w:rsidR="007D0D6D" w:rsidRPr="00710B91" w:rsidRDefault="007D0D6D" w:rsidP="006012BC">
            <w:pPr>
              <w:ind w:right="-29"/>
              <w:jc w:val="center"/>
              <w:rPr>
                <w:noProof/>
                <w:sz w:val="18"/>
              </w:rPr>
            </w:pPr>
            <w:r w:rsidRPr="00710B91">
              <w:rPr>
                <w:noProof/>
                <w:sz w:val="18"/>
              </w:rPr>
              <w:t>0,346</w:t>
            </w:r>
          </w:p>
        </w:tc>
        <w:tc>
          <w:tcPr>
            <w:tcW w:w="753" w:type="dxa"/>
          </w:tcPr>
          <w:p w14:paraId="56EA65D1" w14:textId="77777777" w:rsidR="007D0D6D" w:rsidRPr="00710B91" w:rsidRDefault="007D0D6D" w:rsidP="007D0D6D">
            <w:pPr>
              <w:ind w:right="-29"/>
              <w:jc w:val="center"/>
              <w:rPr>
                <w:noProof/>
                <w:sz w:val="18"/>
                <w:lang w:eastAsia="en-GB"/>
              </w:rPr>
            </w:pPr>
          </w:p>
        </w:tc>
        <w:tc>
          <w:tcPr>
            <w:tcW w:w="941" w:type="dxa"/>
          </w:tcPr>
          <w:p w14:paraId="7950D9D7" w14:textId="55D539E7" w:rsidR="007D0D6D" w:rsidRPr="00710B91" w:rsidRDefault="007D0D6D" w:rsidP="006012BC">
            <w:pPr>
              <w:ind w:right="-29"/>
              <w:jc w:val="center"/>
              <w:rPr>
                <w:noProof/>
                <w:sz w:val="18"/>
              </w:rPr>
            </w:pPr>
            <w:r w:rsidRPr="00710B91">
              <w:rPr>
                <w:noProof/>
                <w:sz w:val="18"/>
              </w:rPr>
              <w:t>0,519</w:t>
            </w:r>
          </w:p>
        </w:tc>
      </w:tr>
      <w:tr w:rsidR="007D0D6D" w:rsidRPr="00710B91" w14:paraId="6058063C" w14:textId="77777777" w:rsidTr="007D0D6D">
        <w:trPr>
          <w:trHeight w:val="449"/>
          <w:jc w:val="center"/>
        </w:trPr>
        <w:tc>
          <w:tcPr>
            <w:tcW w:w="2976" w:type="dxa"/>
            <w:gridSpan w:val="3"/>
            <w:tcBorders>
              <w:bottom w:val="single" w:sz="12" w:space="0" w:color="auto"/>
            </w:tcBorders>
            <w:vAlign w:val="center"/>
          </w:tcPr>
          <w:p w14:paraId="06D0751B" w14:textId="2F7E2DEC" w:rsidR="007D0D6D" w:rsidRPr="00710B91" w:rsidRDefault="007D0D6D" w:rsidP="007D0D6D">
            <w:pPr>
              <w:ind w:right="-29"/>
              <w:jc w:val="center"/>
              <w:rPr>
                <w:noProof/>
                <w:sz w:val="18"/>
              </w:rPr>
            </w:pPr>
            <w:r w:rsidRPr="00710B91">
              <w:rPr>
                <w:noProof/>
                <w:sz w:val="18"/>
              </w:rPr>
              <w:t>Cel szczegółowy nr</w:t>
            </w:r>
            <w:r w:rsidR="00710B91" w:rsidRPr="00710B91">
              <w:rPr>
                <w:noProof/>
                <w:sz w:val="18"/>
              </w:rPr>
              <w:t> </w:t>
            </w:r>
            <w:r w:rsidRPr="00710B91">
              <w:rPr>
                <w:noProof/>
                <w:sz w:val="18"/>
              </w:rPr>
              <w:t>2 – suma cząstkowa</w:t>
            </w:r>
          </w:p>
        </w:tc>
        <w:tc>
          <w:tcPr>
            <w:tcW w:w="527" w:type="dxa"/>
            <w:tcBorders>
              <w:bottom w:val="single" w:sz="12" w:space="0" w:color="auto"/>
            </w:tcBorders>
          </w:tcPr>
          <w:p w14:paraId="06295365" w14:textId="77777777" w:rsidR="007D0D6D" w:rsidRPr="00710B91" w:rsidRDefault="007D0D6D" w:rsidP="007D0D6D">
            <w:pPr>
              <w:ind w:right="-29"/>
              <w:jc w:val="center"/>
              <w:rPr>
                <w:noProof/>
                <w:sz w:val="18"/>
                <w:lang w:eastAsia="en-GB"/>
              </w:rPr>
            </w:pPr>
          </w:p>
        </w:tc>
        <w:tc>
          <w:tcPr>
            <w:tcW w:w="753" w:type="dxa"/>
            <w:tcBorders>
              <w:bottom w:val="single" w:sz="12" w:space="0" w:color="auto"/>
            </w:tcBorders>
          </w:tcPr>
          <w:p w14:paraId="7A710136" w14:textId="77777777" w:rsidR="007D0D6D" w:rsidRPr="00710B91" w:rsidRDefault="007D0D6D" w:rsidP="007D0D6D">
            <w:pPr>
              <w:ind w:right="-29"/>
              <w:jc w:val="center"/>
              <w:rPr>
                <w:noProof/>
                <w:sz w:val="18"/>
                <w:lang w:eastAsia="en-GB"/>
              </w:rPr>
            </w:pPr>
          </w:p>
        </w:tc>
        <w:tc>
          <w:tcPr>
            <w:tcW w:w="565" w:type="dxa"/>
            <w:tcBorders>
              <w:bottom w:val="single" w:sz="12" w:space="0" w:color="auto"/>
            </w:tcBorders>
          </w:tcPr>
          <w:p w14:paraId="5C48654F" w14:textId="77777777" w:rsidR="007D0D6D" w:rsidRPr="00710B91" w:rsidRDefault="007D0D6D" w:rsidP="007D0D6D">
            <w:pPr>
              <w:ind w:right="-29"/>
              <w:jc w:val="center"/>
              <w:rPr>
                <w:noProof/>
                <w:sz w:val="18"/>
                <w:lang w:eastAsia="en-GB"/>
              </w:rPr>
            </w:pPr>
          </w:p>
        </w:tc>
        <w:tc>
          <w:tcPr>
            <w:tcW w:w="753" w:type="dxa"/>
            <w:tcBorders>
              <w:bottom w:val="single" w:sz="12" w:space="0" w:color="auto"/>
            </w:tcBorders>
          </w:tcPr>
          <w:p w14:paraId="606368BB" w14:textId="77777777" w:rsidR="007D0D6D" w:rsidRPr="00710B91" w:rsidRDefault="007D0D6D" w:rsidP="007D0D6D">
            <w:pPr>
              <w:ind w:right="-29"/>
              <w:jc w:val="center"/>
              <w:rPr>
                <w:noProof/>
                <w:sz w:val="18"/>
                <w:lang w:eastAsia="en-GB"/>
              </w:rPr>
            </w:pPr>
          </w:p>
        </w:tc>
        <w:tc>
          <w:tcPr>
            <w:tcW w:w="753" w:type="dxa"/>
            <w:tcBorders>
              <w:bottom w:val="single" w:sz="12" w:space="0" w:color="auto"/>
            </w:tcBorders>
          </w:tcPr>
          <w:p w14:paraId="60B5B063" w14:textId="77777777" w:rsidR="007D0D6D" w:rsidRPr="00710B91" w:rsidRDefault="007D0D6D" w:rsidP="007D0D6D">
            <w:pPr>
              <w:ind w:right="-29"/>
              <w:jc w:val="center"/>
              <w:rPr>
                <w:noProof/>
                <w:sz w:val="18"/>
                <w:lang w:eastAsia="en-GB"/>
              </w:rPr>
            </w:pPr>
          </w:p>
        </w:tc>
        <w:tc>
          <w:tcPr>
            <w:tcW w:w="753" w:type="dxa"/>
            <w:tcBorders>
              <w:bottom w:val="single" w:sz="12" w:space="0" w:color="auto"/>
            </w:tcBorders>
          </w:tcPr>
          <w:p w14:paraId="353CB9BB" w14:textId="515B91B1" w:rsidR="007D0D6D" w:rsidRPr="00710B91" w:rsidRDefault="007D0D6D" w:rsidP="006012BC">
            <w:pPr>
              <w:ind w:right="-29"/>
              <w:jc w:val="center"/>
              <w:rPr>
                <w:noProof/>
                <w:sz w:val="18"/>
              </w:rPr>
            </w:pPr>
            <w:r w:rsidRPr="00710B91">
              <w:rPr>
                <w:noProof/>
                <w:sz w:val="18"/>
              </w:rPr>
              <w:t>0,173</w:t>
            </w:r>
          </w:p>
        </w:tc>
        <w:tc>
          <w:tcPr>
            <w:tcW w:w="825" w:type="dxa"/>
            <w:tcBorders>
              <w:bottom w:val="single" w:sz="12" w:space="0" w:color="auto"/>
            </w:tcBorders>
          </w:tcPr>
          <w:p w14:paraId="75AE06C2" w14:textId="77777777" w:rsidR="007D0D6D" w:rsidRPr="00710B91" w:rsidRDefault="007D0D6D" w:rsidP="007D0D6D">
            <w:pPr>
              <w:ind w:right="-29"/>
              <w:jc w:val="center"/>
              <w:rPr>
                <w:noProof/>
                <w:sz w:val="18"/>
                <w:lang w:eastAsia="en-GB"/>
              </w:rPr>
            </w:pPr>
          </w:p>
        </w:tc>
        <w:tc>
          <w:tcPr>
            <w:tcW w:w="869" w:type="dxa"/>
            <w:tcBorders>
              <w:bottom w:val="single" w:sz="12" w:space="0" w:color="auto"/>
            </w:tcBorders>
          </w:tcPr>
          <w:p w14:paraId="304639C9" w14:textId="267B9BBF" w:rsidR="007D0D6D" w:rsidRPr="00710B91" w:rsidRDefault="007D0D6D" w:rsidP="006012BC">
            <w:pPr>
              <w:ind w:right="-29"/>
              <w:jc w:val="center"/>
              <w:rPr>
                <w:noProof/>
                <w:sz w:val="18"/>
              </w:rPr>
            </w:pPr>
            <w:r w:rsidRPr="00710B91">
              <w:rPr>
                <w:noProof/>
                <w:sz w:val="18"/>
              </w:rPr>
              <w:t>0,346</w:t>
            </w:r>
          </w:p>
        </w:tc>
        <w:tc>
          <w:tcPr>
            <w:tcW w:w="753" w:type="dxa"/>
            <w:tcBorders>
              <w:bottom w:val="single" w:sz="12" w:space="0" w:color="auto"/>
            </w:tcBorders>
          </w:tcPr>
          <w:p w14:paraId="1123B0DC" w14:textId="77777777" w:rsidR="007D0D6D" w:rsidRPr="00710B91" w:rsidRDefault="007D0D6D" w:rsidP="007D0D6D">
            <w:pPr>
              <w:ind w:right="-29"/>
              <w:jc w:val="center"/>
              <w:rPr>
                <w:noProof/>
                <w:sz w:val="18"/>
                <w:lang w:eastAsia="en-GB"/>
              </w:rPr>
            </w:pPr>
          </w:p>
        </w:tc>
        <w:tc>
          <w:tcPr>
            <w:tcW w:w="941" w:type="dxa"/>
            <w:tcBorders>
              <w:bottom w:val="single" w:sz="12" w:space="0" w:color="auto"/>
            </w:tcBorders>
          </w:tcPr>
          <w:p w14:paraId="21449D6C" w14:textId="449588E6" w:rsidR="007D0D6D" w:rsidRPr="00710B91" w:rsidRDefault="007D0D6D" w:rsidP="006012BC">
            <w:pPr>
              <w:ind w:right="-29"/>
              <w:jc w:val="center"/>
              <w:rPr>
                <w:noProof/>
                <w:sz w:val="18"/>
              </w:rPr>
            </w:pPr>
            <w:r w:rsidRPr="00710B91">
              <w:rPr>
                <w:noProof/>
                <w:sz w:val="18"/>
              </w:rPr>
              <w:t>0,519</w:t>
            </w:r>
          </w:p>
        </w:tc>
      </w:tr>
      <w:tr w:rsidR="007D0D6D" w:rsidRPr="00710B91" w14:paraId="661BF80E" w14:textId="77777777" w:rsidTr="007D0D6D">
        <w:trPr>
          <w:trHeight w:val="585"/>
          <w:jc w:val="center"/>
        </w:trPr>
        <w:tc>
          <w:tcPr>
            <w:tcW w:w="2976" w:type="dxa"/>
            <w:gridSpan w:val="3"/>
            <w:tcBorders>
              <w:top w:val="single" w:sz="12" w:space="0" w:color="auto"/>
              <w:left w:val="single" w:sz="12" w:space="0" w:color="auto"/>
              <w:bottom w:val="single" w:sz="12" w:space="0" w:color="auto"/>
            </w:tcBorders>
            <w:vAlign w:val="center"/>
          </w:tcPr>
          <w:p w14:paraId="2BF40902" w14:textId="77777777" w:rsidR="007D0D6D" w:rsidRPr="00710B91" w:rsidRDefault="007D0D6D" w:rsidP="007D0D6D">
            <w:pPr>
              <w:ind w:right="-29"/>
              <w:jc w:val="center"/>
              <w:rPr>
                <w:noProof/>
                <w:sz w:val="18"/>
              </w:rPr>
            </w:pPr>
            <w:r w:rsidRPr="00710B91">
              <w:rPr>
                <w:b/>
                <w:noProof/>
                <w:sz w:val="18"/>
              </w:rPr>
              <w:t>KOSZT OGÓŁEM</w:t>
            </w:r>
          </w:p>
        </w:tc>
        <w:tc>
          <w:tcPr>
            <w:tcW w:w="527" w:type="dxa"/>
            <w:tcBorders>
              <w:top w:val="single" w:sz="12" w:space="0" w:color="auto"/>
              <w:bottom w:val="single" w:sz="12" w:space="0" w:color="auto"/>
            </w:tcBorders>
          </w:tcPr>
          <w:p w14:paraId="4C0A6A11" w14:textId="77777777" w:rsidR="007D0D6D" w:rsidRPr="00710B91" w:rsidRDefault="007D0D6D" w:rsidP="007D0D6D">
            <w:pPr>
              <w:spacing w:before="180" w:after="180"/>
              <w:ind w:right="-29"/>
              <w:jc w:val="center"/>
              <w:rPr>
                <w:noProof/>
                <w:sz w:val="18"/>
                <w:lang w:eastAsia="en-GB"/>
              </w:rPr>
            </w:pPr>
          </w:p>
        </w:tc>
        <w:tc>
          <w:tcPr>
            <w:tcW w:w="753" w:type="dxa"/>
            <w:tcBorders>
              <w:top w:val="single" w:sz="12" w:space="0" w:color="auto"/>
              <w:bottom w:val="single" w:sz="12" w:space="0" w:color="auto"/>
            </w:tcBorders>
          </w:tcPr>
          <w:p w14:paraId="4693EDEF" w14:textId="77777777" w:rsidR="007D0D6D" w:rsidRPr="00710B91" w:rsidRDefault="007D0D6D" w:rsidP="007D0D6D">
            <w:pPr>
              <w:spacing w:before="180" w:after="180"/>
              <w:ind w:right="-29"/>
              <w:jc w:val="center"/>
              <w:rPr>
                <w:noProof/>
                <w:sz w:val="18"/>
                <w:lang w:eastAsia="en-GB"/>
              </w:rPr>
            </w:pPr>
          </w:p>
        </w:tc>
        <w:tc>
          <w:tcPr>
            <w:tcW w:w="565" w:type="dxa"/>
            <w:tcBorders>
              <w:top w:val="single" w:sz="12" w:space="0" w:color="auto"/>
              <w:bottom w:val="single" w:sz="12" w:space="0" w:color="auto"/>
            </w:tcBorders>
          </w:tcPr>
          <w:p w14:paraId="341BC8E9" w14:textId="77777777" w:rsidR="007D0D6D" w:rsidRPr="00710B91" w:rsidRDefault="007D0D6D" w:rsidP="007D0D6D">
            <w:pPr>
              <w:spacing w:before="180" w:after="180"/>
              <w:ind w:right="-29"/>
              <w:jc w:val="center"/>
              <w:rPr>
                <w:noProof/>
                <w:sz w:val="18"/>
                <w:lang w:eastAsia="en-GB"/>
              </w:rPr>
            </w:pPr>
          </w:p>
        </w:tc>
        <w:tc>
          <w:tcPr>
            <w:tcW w:w="753" w:type="dxa"/>
            <w:tcBorders>
              <w:top w:val="single" w:sz="12" w:space="0" w:color="auto"/>
              <w:bottom w:val="single" w:sz="12" w:space="0" w:color="auto"/>
            </w:tcBorders>
          </w:tcPr>
          <w:p w14:paraId="28F75961" w14:textId="77777777" w:rsidR="007D0D6D" w:rsidRPr="00710B91" w:rsidRDefault="007D0D6D" w:rsidP="007D0D6D">
            <w:pPr>
              <w:spacing w:before="180" w:after="180"/>
              <w:ind w:right="-29"/>
              <w:jc w:val="center"/>
              <w:rPr>
                <w:noProof/>
                <w:sz w:val="18"/>
                <w:lang w:eastAsia="en-GB"/>
              </w:rPr>
            </w:pPr>
          </w:p>
        </w:tc>
        <w:tc>
          <w:tcPr>
            <w:tcW w:w="753" w:type="dxa"/>
            <w:tcBorders>
              <w:top w:val="single" w:sz="12" w:space="0" w:color="auto"/>
              <w:bottom w:val="single" w:sz="12" w:space="0" w:color="auto"/>
            </w:tcBorders>
          </w:tcPr>
          <w:p w14:paraId="342CA3B3" w14:textId="77777777" w:rsidR="007D0D6D" w:rsidRPr="00710B91" w:rsidRDefault="007D0D6D" w:rsidP="007D0D6D">
            <w:pPr>
              <w:spacing w:before="180" w:after="180"/>
              <w:ind w:right="-29"/>
              <w:jc w:val="center"/>
              <w:rPr>
                <w:noProof/>
                <w:sz w:val="18"/>
                <w:lang w:eastAsia="en-GB"/>
              </w:rPr>
            </w:pPr>
          </w:p>
        </w:tc>
        <w:tc>
          <w:tcPr>
            <w:tcW w:w="753" w:type="dxa"/>
            <w:tcBorders>
              <w:top w:val="single" w:sz="12" w:space="0" w:color="auto"/>
              <w:bottom w:val="single" w:sz="12" w:space="0" w:color="auto"/>
            </w:tcBorders>
          </w:tcPr>
          <w:p w14:paraId="2F90CC1E" w14:textId="77777777" w:rsidR="007D0D6D" w:rsidRPr="00710B91" w:rsidRDefault="007D0D6D" w:rsidP="007D0D6D">
            <w:pPr>
              <w:spacing w:before="180" w:after="180"/>
              <w:ind w:right="-29"/>
              <w:jc w:val="center"/>
              <w:rPr>
                <w:noProof/>
                <w:sz w:val="18"/>
                <w:lang w:eastAsia="en-GB"/>
              </w:rPr>
            </w:pPr>
          </w:p>
        </w:tc>
        <w:tc>
          <w:tcPr>
            <w:tcW w:w="825" w:type="dxa"/>
            <w:tcBorders>
              <w:top w:val="single" w:sz="12" w:space="0" w:color="auto"/>
              <w:bottom w:val="single" w:sz="12" w:space="0" w:color="auto"/>
            </w:tcBorders>
          </w:tcPr>
          <w:p w14:paraId="60F35651" w14:textId="77777777" w:rsidR="007D0D6D" w:rsidRPr="00710B91" w:rsidRDefault="007D0D6D" w:rsidP="007D0D6D">
            <w:pPr>
              <w:spacing w:before="180" w:after="180"/>
              <w:ind w:right="-29"/>
              <w:jc w:val="center"/>
              <w:rPr>
                <w:noProof/>
                <w:sz w:val="18"/>
                <w:lang w:eastAsia="en-GB"/>
              </w:rPr>
            </w:pPr>
          </w:p>
        </w:tc>
        <w:tc>
          <w:tcPr>
            <w:tcW w:w="869" w:type="dxa"/>
            <w:tcBorders>
              <w:top w:val="single" w:sz="12" w:space="0" w:color="auto"/>
              <w:bottom w:val="single" w:sz="12" w:space="0" w:color="auto"/>
            </w:tcBorders>
          </w:tcPr>
          <w:p w14:paraId="72433CD6" w14:textId="77777777" w:rsidR="007D0D6D" w:rsidRPr="00710B91" w:rsidRDefault="007D0D6D" w:rsidP="007D0D6D">
            <w:pPr>
              <w:spacing w:before="180" w:after="180"/>
              <w:ind w:right="-29"/>
              <w:jc w:val="center"/>
              <w:rPr>
                <w:noProof/>
                <w:sz w:val="18"/>
                <w:lang w:eastAsia="en-GB"/>
              </w:rPr>
            </w:pPr>
          </w:p>
        </w:tc>
        <w:tc>
          <w:tcPr>
            <w:tcW w:w="753" w:type="dxa"/>
            <w:tcBorders>
              <w:top w:val="single" w:sz="12" w:space="0" w:color="auto"/>
              <w:bottom w:val="single" w:sz="12" w:space="0" w:color="auto"/>
            </w:tcBorders>
          </w:tcPr>
          <w:p w14:paraId="1881CEA9" w14:textId="77777777" w:rsidR="007D0D6D" w:rsidRPr="00710B91" w:rsidRDefault="007D0D6D" w:rsidP="007D0D6D">
            <w:pPr>
              <w:spacing w:before="180" w:after="180"/>
              <w:ind w:right="-29"/>
              <w:jc w:val="center"/>
              <w:rPr>
                <w:noProof/>
                <w:sz w:val="18"/>
                <w:lang w:eastAsia="en-GB"/>
              </w:rPr>
            </w:pPr>
          </w:p>
        </w:tc>
        <w:tc>
          <w:tcPr>
            <w:tcW w:w="941" w:type="dxa"/>
            <w:tcBorders>
              <w:top w:val="single" w:sz="12" w:space="0" w:color="auto"/>
              <w:bottom w:val="single" w:sz="12" w:space="0" w:color="auto"/>
              <w:right w:val="single" w:sz="12" w:space="0" w:color="auto"/>
            </w:tcBorders>
          </w:tcPr>
          <w:p w14:paraId="46E1F90B" w14:textId="2819C161" w:rsidR="007D0D6D" w:rsidRPr="00710B91" w:rsidRDefault="007D0D6D" w:rsidP="006012BC">
            <w:pPr>
              <w:spacing w:before="180" w:after="180"/>
              <w:ind w:right="-29"/>
              <w:jc w:val="center"/>
              <w:rPr>
                <w:noProof/>
                <w:sz w:val="18"/>
              </w:rPr>
            </w:pPr>
            <w:r w:rsidRPr="00710B91">
              <w:rPr>
                <w:noProof/>
                <w:sz w:val="18"/>
              </w:rPr>
              <w:t>1,201</w:t>
            </w:r>
          </w:p>
        </w:tc>
      </w:tr>
    </w:tbl>
    <w:p w14:paraId="5A0821DA" w14:textId="77777777" w:rsidR="007D0D6D" w:rsidRPr="00710B91" w:rsidRDefault="007D0D6D" w:rsidP="007D0D6D">
      <w:pPr>
        <w:rPr>
          <w:noProof/>
        </w:rPr>
      </w:pPr>
    </w:p>
    <w:p w14:paraId="05079033" w14:textId="77777777" w:rsidR="007D0D6D" w:rsidRPr="00710B91" w:rsidRDefault="007D0D6D" w:rsidP="007D0D6D">
      <w:pPr>
        <w:tabs>
          <w:tab w:val="left" w:pos="1707"/>
        </w:tabs>
        <w:rPr>
          <w:noProof/>
        </w:rPr>
      </w:pPr>
      <w:r w:rsidRPr="00710B91">
        <w:rPr>
          <w:noProof/>
        </w:rPr>
        <w:tab/>
      </w:r>
    </w:p>
    <w:p w14:paraId="0E33AC81" w14:textId="77777777" w:rsidR="00A728BA" w:rsidRPr="00710B91" w:rsidRDefault="007D0D6D" w:rsidP="007D0D6D">
      <w:pPr>
        <w:tabs>
          <w:tab w:val="left" w:pos="1707"/>
        </w:tabs>
        <w:rPr>
          <w:noProof/>
        </w:rPr>
        <w:sectPr w:rsidR="00A728BA" w:rsidRPr="00710B91" w:rsidSect="00DA1122">
          <w:headerReference w:type="default" r:id="rId15"/>
          <w:footerReference w:type="default" r:id="rId16"/>
          <w:headerReference w:type="first" r:id="rId17"/>
          <w:footerReference w:type="first" r:id="rId18"/>
          <w:pgSz w:w="16840" w:h="11907" w:orient="landscape" w:code="9"/>
          <w:pgMar w:top="1134" w:right="1418" w:bottom="567" w:left="1418" w:header="709" w:footer="709" w:gutter="0"/>
          <w:cols w:space="708"/>
          <w:docGrid w:linePitch="360"/>
        </w:sectPr>
      </w:pPr>
      <w:r w:rsidRPr="00710B91">
        <w:rPr>
          <w:noProof/>
        </w:rPr>
        <w:tab/>
      </w:r>
    </w:p>
    <w:p w14:paraId="6F6D7846" w14:textId="0C414703" w:rsidR="007D0D6D" w:rsidRPr="00710B91" w:rsidRDefault="009A08E9" w:rsidP="009A08E9">
      <w:pPr>
        <w:pStyle w:val="ManualHeading3"/>
        <w:rPr>
          <w:bCs/>
          <w:noProof/>
          <w:szCs w:val="24"/>
        </w:rPr>
      </w:pPr>
      <w:bookmarkStart w:id="35" w:name="_Toc92899406"/>
      <w:r w:rsidRPr="009A08E9">
        <w:t>3.2.3.</w:t>
      </w:r>
      <w:r w:rsidRPr="009A08E9">
        <w:tab/>
      </w:r>
      <w:r w:rsidR="007D0D6D" w:rsidRPr="00710B91">
        <w:rPr>
          <w:noProof/>
        </w:rPr>
        <w:t>Szacunkowy wpływ na środki eu-LISA</w:t>
      </w:r>
      <w:bookmarkEnd w:id="35"/>
      <w:r w:rsidR="007D0D6D" w:rsidRPr="00710B91">
        <w:rPr>
          <w:noProof/>
        </w:rPr>
        <w:t xml:space="preserve"> </w:t>
      </w:r>
    </w:p>
    <w:p w14:paraId="55AC0419" w14:textId="165E39E6" w:rsidR="007D0D6D" w:rsidRPr="00710B91" w:rsidRDefault="007D0D6D" w:rsidP="008326C2">
      <w:pPr>
        <w:pStyle w:val="ListDash1"/>
        <w:numPr>
          <w:ilvl w:val="0"/>
          <w:numId w:val="16"/>
        </w:numPr>
        <w:rPr>
          <w:noProof/>
        </w:rPr>
      </w:pPr>
      <w:r w:rsidRPr="00710B91">
        <w:rPr>
          <w:noProof/>
        </w:rPr>
        <w:sym w:font="Wingdings" w:char="F0A8"/>
      </w:r>
      <w:r w:rsidRPr="00710B91">
        <w:rPr>
          <w:noProof/>
        </w:rPr>
        <w:tab/>
        <w:t>Wniosek/inicjatywa nie wiąże się</w:t>
      </w:r>
      <w:r w:rsidR="00710B91" w:rsidRPr="00710B91">
        <w:rPr>
          <w:noProof/>
        </w:rPr>
        <w:t xml:space="preserve"> z</w:t>
      </w:r>
      <w:r w:rsidR="00710B91">
        <w:rPr>
          <w:noProof/>
        </w:rPr>
        <w:t> </w:t>
      </w:r>
      <w:r w:rsidR="00710B91" w:rsidRPr="00710B91">
        <w:rPr>
          <w:noProof/>
        </w:rPr>
        <w:t>kon</w:t>
      </w:r>
      <w:r w:rsidRPr="00710B91">
        <w:rPr>
          <w:noProof/>
        </w:rPr>
        <w:t xml:space="preserve">iecznością wykorzystania środków operacyjnych </w:t>
      </w:r>
    </w:p>
    <w:p w14:paraId="432617DC" w14:textId="4D67DE8C" w:rsidR="007D0D6D" w:rsidRPr="00710B91" w:rsidRDefault="007D0D6D" w:rsidP="008326C2">
      <w:pPr>
        <w:pStyle w:val="ListDash1"/>
        <w:numPr>
          <w:ilvl w:val="0"/>
          <w:numId w:val="16"/>
        </w:numPr>
        <w:rPr>
          <w:noProof/>
        </w:rPr>
      </w:pPr>
      <w:r w:rsidRPr="00710B91">
        <w:rPr>
          <w:noProof/>
        </w:rPr>
        <w:sym w:font="Wingdings" w:char="F0FE"/>
      </w:r>
      <w:r w:rsidRPr="00710B91">
        <w:rPr>
          <w:noProof/>
        </w:rPr>
        <w:tab/>
        <w:t>Wniosek/inicjatywa wiąże się</w:t>
      </w:r>
      <w:r w:rsidR="00710B91" w:rsidRPr="00710B91">
        <w:rPr>
          <w:noProof/>
        </w:rPr>
        <w:t xml:space="preserve"> z</w:t>
      </w:r>
      <w:r w:rsidR="00710B91">
        <w:rPr>
          <w:noProof/>
        </w:rPr>
        <w:t> </w:t>
      </w:r>
      <w:r w:rsidR="00710B91" w:rsidRPr="00710B91">
        <w:rPr>
          <w:noProof/>
        </w:rPr>
        <w:t>kon</w:t>
      </w:r>
      <w:r w:rsidRPr="00710B91">
        <w:rPr>
          <w:noProof/>
        </w:rPr>
        <w:t>iecznością wykorzystania środków operacyjnych, jak określono poniżej:</w:t>
      </w:r>
    </w:p>
    <w:p w14:paraId="276E3887" w14:textId="3810B230" w:rsidR="00A728BA" w:rsidRPr="00710B91" w:rsidRDefault="00534A42" w:rsidP="00534A42">
      <w:pPr>
        <w:ind w:firstLine="720"/>
        <w:jc w:val="right"/>
        <w:rPr>
          <w:noProof/>
          <w:sz w:val="20"/>
        </w:rPr>
      </w:pPr>
      <w:r w:rsidRPr="00710B91">
        <w:rPr>
          <w:noProof/>
          <w:sz w:val="20"/>
        </w:rPr>
        <w:t>Środki na zobowiązania</w:t>
      </w:r>
      <w:r w:rsidR="00710B91" w:rsidRPr="00710B91">
        <w:rPr>
          <w:noProof/>
          <w:sz w:val="20"/>
        </w:rPr>
        <w:t xml:space="preserve"> w</w:t>
      </w:r>
      <w:r w:rsidR="00710B91">
        <w:rPr>
          <w:noProof/>
          <w:sz w:val="20"/>
        </w:rPr>
        <w:t> </w:t>
      </w:r>
      <w:r w:rsidR="00710B91" w:rsidRPr="00710B91">
        <w:rPr>
          <w:noProof/>
          <w:sz w:val="20"/>
        </w:rPr>
        <w:t>mln</w:t>
      </w:r>
      <w:r w:rsidRPr="00710B91">
        <w:rPr>
          <w:noProof/>
          <w:sz w:val="20"/>
        </w:rPr>
        <w:t xml:space="preserve"> EUR (do trzech miejsc po przecinku)</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423"/>
        <w:gridCol w:w="720"/>
        <w:gridCol w:w="701"/>
        <w:gridCol w:w="504"/>
        <w:gridCol w:w="720"/>
        <w:gridCol w:w="540"/>
        <w:gridCol w:w="720"/>
        <w:gridCol w:w="720"/>
        <w:gridCol w:w="720"/>
        <w:gridCol w:w="789"/>
        <w:gridCol w:w="831"/>
        <w:gridCol w:w="720"/>
        <w:gridCol w:w="900"/>
      </w:tblGrid>
      <w:tr w:rsidR="001F2A4B" w:rsidRPr="00710B91" w14:paraId="6AFB06DD" w14:textId="77777777" w:rsidTr="001F2A4B">
        <w:trPr>
          <w:jc w:val="center"/>
        </w:trPr>
        <w:tc>
          <w:tcPr>
            <w:tcW w:w="1423" w:type="dxa"/>
            <w:vMerge w:val="restart"/>
            <w:vAlign w:val="center"/>
          </w:tcPr>
          <w:p w14:paraId="4A7B5235" w14:textId="1BA021EA" w:rsidR="001F2A4B" w:rsidRPr="00710B91" w:rsidRDefault="001F2A4B" w:rsidP="001F2A4B">
            <w:pPr>
              <w:ind w:right="-29"/>
              <w:jc w:val="center"/>
              <w:rPr>
                <w:b/>
                <w:noProof/>
                <w:sz w:val="18"/>
              </w:rPr>
            </w:pPr>
            <w:r w:rsidRPr="00710B91">
              <w:rPr>
                <w:b/>
                <w:noProof/>
                <w:sz w:val="18"/>
              </w:rPr>
              <w:t>Określić cele</w:t>
            </w:r>
            <w:r w:rsidR="00710B91" w:rsidRPr="00710B91">
              <w:rPr>
                <w:b/>
                <w:noProof/>
                <w:sz w:val="18"/>
              </w:rPr>
              <w:t xml:space="preserve"> i</w:t>
            </w:r>
            <w:r w:rsidR="00710B91">
              <w:rPr>
                <w:b/>
                <w:noProof/>
                <w:sz w:val="18"/>
              </w:rPr>
              <w:t> </w:t>
            </w:r>
            <w:r w:rsidR="00710B91" w:rsidRPr="00710B91">
              <w:rPr>
                <w:b/>
                <w:noProof/>
                <w:sz w:val="18"/>
              </w:rPr>
              <w:t>pro</w:t>
            </w:r>
            <w:r w:rsidRPr="00710B91">
              <w:rPr>
                <w:b/>
                <w:noProof/>
                <w:sz w:val="18"/>
              </w:rPr>
              <w:t xml:space="preserve">dukty </w:t>
            </w:r>
          </w:p>
          <w:p w14:paraId="780D99CF" w14:textId="77777777" w:rsidR="001F2A4B" w:rsidRPr="00710B91" w:rsidRDefault="001F2A4B" w:rsidP="001F2A4B">
            <w:pPr>
              <w:ind w:right="-29"/>
              <w:jc w:val="center"/>
              <w:rPr>
                <w:b/>
                <w:noProof/>
                <w:sz w:val="18"/>
              </w:rPr>
            </w:pPr>
            <w:r w:rsidRPr="00710B91">
              <w:rPr>
                <w:b/>
                <w:noProof/>
                <w:sz w:val="18"/>
              </w:rPr>
              <w:t>eu-LISA</w:t>
            </w:r>
          </w:p>
          <w:p w14:paraId="3CD2A33E" w14:textId="77777777" w:rsidR="001F2A4B" w:rsidRPr="00710B91" w:rsidRDefault="001F2A4B" w:rsidP="001F2A4B">
            <w:pPr>
              <w:ind w:right="-29"/>
              <w:jc w:val="center"/>
              <w:rPr>
                <w:b/>
                <w:noProof/>
                <w:sz w:val="18"/>
              </w:rPr>
            </w:pPr>
          </w:p>
          <w:p w14:paraId="77CD63E7" w14:textId="77777777" w:rsidR="001F2A4B" w:rsidRPr="00710B91" w:rsidRDefault="001F2A4B" w:rsidP="001F2A4B">
            <w:pPr>
              <w:ind w:right="-29"/>
              <w:jc w:val="center"/>
              <w:rPr>
                <w:noProof/>
                <w:sz w:val="18"/>
              </w:rPr>
            </w:pPr>
            <w:r w:rsidRPr="00710B91">
              <w:rPr>
                <w:noProof/>
                <w:sz w:val="18"/>
              </w:rPr>
              <w:sym w:font="Wingdings" w:char="F0F2"/>
            </w:r>
          </w:p>
        </w:tc>
        <w:tc>
          <w:tcPr>
            <w:tcW w:w="720" w:type="dxa"/>
            <w:vAlign w:val="center"/>
          </w:tcPr>
          <w:p w14:paraId="1D7E81B7" w14:textId="77777777" w:rsidR="001F2A4B" w:rsidRPr="00710B91" w:rsidRDefault="001F2A4B" w:rsidP="001F2A4B">
            <w:pPr>
              <w:ind w:right="-29"/>
              <w:jc w:val="center"/>
              <w:rPr>
                <w:noProof/>
                <w:sz w:val="18"/>
              </w:rPr>
            </w:pPr>
          </w:p>
        </w:tc>
        <w:tc>
          <w:tcPr>
            <w:tcW w:w="701" w:type="dxa"/>
            <w:vAlign w:val="center"/>
          </w:tcPr>
          <w:p w14:paraId="1943196F" w14:textId="77777777" w:rsidR="001F2A4B" w:rsidRPr="00710B91" w:rsidRDefault="001F2A4B" w:rsidP="001F2A4B">
            <w:pPr>
              <w:ind w:right="-29"/>
              <w:jc w:val="center"/>
              <w:rPr>
                <w:noProof/>
                <w:sz w:val="18"/>
              </w:rPr>
            </w:pPr>
          </w:p>
        </w:tc>
        <w:tc>
          <w:tcPr>
            <w:tcW w:w="1224" w:type="dxa"/>
            <w:gridSpan w:val="2"/>
            <w:tcBorders>
              <w:left w:val="nil"/>
            </w:tcBorders>
            <w:vAlign w:val="center"/>
          </w:tcPr>
          <w:p w14:paraId="3E336388" w14:textId="77777777" w:rsidR="001F2A4B" w:rsidRPr="00710B91" w:rsidRDefault="001F2A4B" w:rsidP="001F2A4B">
            <w:pPr>
              <w:ind w:right="-29"/>
              <w:jc w:val="center"/>
              <w:rPr>
                <w:noProof/>
                <w:sz w:val="18"/>
              </w:rPr>
            </w:pPr>
            <w:r w:rsidRPr="00710B91">
              <w:rPr>
                <w:noProof/>
                <w:sz w:val="20"/>
              </w:rPr>
              <w:t>Rok</w:t>
            </w:r>
            <w:r w:rsidRPr="00710B91">
              <w:rPr>
                <w:noProof/>
              </w:rPr>
              <w:t xml:space="preserve"> </w:t>
            </w:r>
            <w:r w:rsidRPr="00710B91">
              <w:rPr>
                <w:noProof/>
              </w:rPr>
              <w:br/>
            </w:r>
            <w:r w:rsidRPr="00710B91">
              <w:rPr>
                <w:b/>
                <w:noProof/>
                <w:sz w:val="20"/>
              </w:rPr>
              <w:t>2024</w:t>
            </w:r>
          </w:p>
        </w:tc>
        <w:tc>
          <w:tcPr>
            <w:tcW w:w="1260" w:type="dxa"/>
            <w:gridSpan w:val="2"/>
            <w:vAlign w:val="center"/>
          </w:tcPr>
          <w:p w14:paraId="547E38B0" w14:textId="77777777" w:rsidR="001F2A4B" w:rsidRPr="00710B91" w:rsidRDefault="001F2A4B" w:rsidP="001F2A4B">
            <w:pPr>
              <w:ind w:right="-29"/>
              <w:jc w:val="center"/>
              <w:rPr>
                <w:noProof/>
                <w:sz w:val="18"/>
              </w:rPr>
            </w:pPr>
            <w:r w:rsidRPr="00710B91">
              <w:rPr>
                <w:noProof/>
                <w:sz w:val="20"/>
              </w:rPr>
              <w:t>Rok</w:t>
            </w:r>
            <w:r w:rsidRPr="00710B91">
              <w:rPr>
                <w:noProof/>
              </w:rPr>
              <w:t xml:space="preserve"> </w:t>
            </w:r>
            <w:r w:rsidRPr="00710B91">
              <w:rPr>
                <w:noProof/>
              </w:rPr>
              <w:br/>
            </w:r>
            <w:r w:rsidRPr="00710B91">
              <w:rPr>
                <w:b/>
                <w:noProof/>
                <w:sz w:val="20"/>
              </w:rPr>
              <w:t>2025</w:t>
            </w:r>
          </w:p>
        </w:tc>
        <w:tc>
          <w:tcPr>
            <w:tcW w:w="1440" w:type="dxa"/>
            <w:gridSpan w:val="2"/>
            <w:vAlign w:val="center"/>
          </w:tcPr>
          <w:p w14:paraId="0951A171" w14:textId="77777777" w:rsidR="001F2A4B" w:rsidRPr="00710B91" w:rsidRDefault="001F2A4B" w:rsidP="001F2A4B">
            <w:pPr>
              <w:ind w:right="-29"/>
              <w:jc w:val="center"/>
              <w:rPr>
                <w:noProof/>
                <w:sz w:val="18"/>
              </w:rPr>
            </w:pPr>
            <w:r w:rsidRPr="00710B91">
              <w:rPr>
                <w:noProof/>
                <w:sz w:val="20"/>
              </w:rPr>
              <w:t>Rok</w:t>
            </w:r>
            <w:r w:rsidRPr="00710B91">
              <w:rPr>
                <w:noProof/>
              </w:rPr>
              <w:t xml:space="preserve"> </w:t>
            </w:r>
            <w:r w:rsidRPr="00710B91">
              <w:rPr>
                <w:noProof/>
              </w:rPr>
              <w:br/>
            </w:r>
            <w:r w:rsidRPr="00710B91">
              <w:rPr>
                <w:b/>
                <w:noProof/>
                <w:sz w:val="20"/>
              </w:rPr>
              <w:t>2026</w:t>
            </w:r>
          </w:p>
        </w:tc>
        <w:tc>
          <w:tcPr>
            <w:tcW w:w="1620" w:type="dxa"/>
            <w:gridSpan w:val="2"/>
            <w:vAlign w:val="center"/>
          </w:tcPr>
          <w:p w14:paraId="1BAB15F0" w14:textId="77777777" w:rsidR="001F2A4B" w:rsidRPr="00710B91" w:rsidRDefault="001F2A4B" w:rsidP="001F2A4B">
            <w:pPr>
              <w:ind w:right="-29"/>
              <w:jc w:val="center"/>
              <w:rPr>
                <w:noProof/>
                <w:sz w:val="18"/>
              </w:rPr>
            </w:pPr>
            <w:r w:rsidRPr="00710B91">
              <w:rPr>
                <w:noProof/>
                <w:sz w:val="20"/>
              </w:rPr>
              <w:t>Rok</w:t>
            </w:r>
            <w:r w:rsidRPr="00710B91">
              <w:rPr>
                <w:noProof/>
              </w:rPr>
              <w:t xml:space="preserve"> </w:t>
            </w:r>
            <w:r w:rsidRPr="00710B91">
              <w:rPr>
                <w:noProof/>
              </w:rPr>
              <w:br/>
            </w:r>
            <w:r w:rsidRPr="00710B91">
              <w:rPr>
                <w:b/>
                <w:noProof/>
                <w:sz w:val="20"/>
              </w:rPr>
              <w:t>2027</w:t>
            </w:r>
          </w:p>
        </w:tc>
        <w:tc>
          <w:tcPr>
            <w:tcW w:w="1620" w:type="dxa"/>
            <w:gridSpan w:val="2"/>
            <w:tcBorders>
              <w:left w:val="nil"/>
              <w:bottom w:val="single" w:sz="4" w:space="0" w:color="auto"/>
            </w:tcBorders>
            <w:vAlign w:val="center"/>
          </w:tcPr>
          <w:p w14:paraId="0D756046" w14:textId="77777777" w:rsidR="001F2A4B" w:rsidRPr="00710B91" w:rsidRDefault="001F2A4B" w:rsidP="001F2A4B">
            <w:pPr>
              <w:ind w:right="-29"/>
              <w:jc w:val="center"/>
              <w:rPr>
                <w:noProof/>
                <w:sz w:val="18"/>
              </w:rPr>
            </w:pPr>
            <w:r w:rsidRPr="00710B91">
              <w:rPr>
                <w:b/>
                <w:noProof/>
                <w:sz w:val="18"/>
              </w:rPr>
              <w:t>OGÓŁEM 2024–2027</w:t>
            </w:r>
          </w:p>
        </w:tc>
      </w:tr>
      <w:tr w:rsidR="001F2A4B" w:rsidRPr="00710B91" w14:paraId="1CACADAF" w14:textId="77777777" w:rsidTr="001F2A4B">
        <w:trPr>
          <w:gridAfter w:val="12"/>
          <w:wAfter w:w="8585" w:type="dxa"/>
          <w:trHeight w:val="447"/>
          <w:jc w:val="center"/>
        </w:trPr>
        <w:tc>
          <w:tcPr>
            <w:tcW w:w="1423" w:type="dxa"/>
            <w:vMerge/>
            <w:vAlign w:val="center"/>
          </w:tcPr>
          <w:p w14:paraId="3B433749" w14:textId="77777777" w:rsidR="001F2A4B" w:rsidRPr="00710B91" w:rsidRDefault="001F2A4B" w:rsidP="001F2A4B">
            <w:pPr>
              <w:rPr>
                <w:noProof/>
                <w:sz w:val="18"/>
              </w:rPr>
            </w:pPr>
          </w:p>
        </w:tc>
      </w:tr>
      <w:tr w:rsidR="001F2A4B" w:rsidRPr="00710B91" w14:paraId="3C50B70D" w14:textId="77777777" w:rsidTr="001F2A4B">
        <w:trPr>
          <w:cantSplit/>
          <w:trHeight w:val="1134"/>
          <w:jc w:val="center"/>
        </w:trPr>
        <w:tc>
          <w:tcPr>
            <w:tcW w:w="1423" w:type="dxa"/>
            <w:vMerge/>
            <w:vAlign w:val="center"/>
          </w:tcPr>
          <w:p w14:paraId="278FD4F6" w14:textId="77777777" w:rsidR="001F2A4B" w:rsidRPr="00710B91" w:rsidRDefault="001F2A4B" w:rsidP="001F2A4B">
            <w:pPr>
              <w:rPr>
                <w:noProof/>
                <w:sz w:val="18"/>
              </w:rPr>
            </w:pPr>
          </w:p>
        </w:tc>
        <w:tc>
          <w:tcPr>
            <w:tcW w:w="720" w:type="dxa"/>
            <w:vAlign w:val="center"/>
          </w:tcPr>
          <w:p w14:paraId="53E9B8A8" w14:textId="77777777" w:rsidR="001F2A4B" w:rsidRPr="00710B91" w:rsidRDefault="001F2A4B" w:rsidP="001F2A4B">
            <w:pPr>
              <w:jc w:val="center"/>
              <w:rPr>
                <w:noProof/>
                <w:sz w:val="18"/>
              </w:rPr>
            </w:pPr>
            <w:r w:rsidRPr="00710B91">
              <w:rPr>
                <w:noProof/>
                <w:sz w:val="18"/>
              </w:rPr>
              <w:t>Rodzaj</w:t>
            </w:r>
          </w:p>
        </w:tc>
        <w:tc>
          <w:tcPr>
            <w:tcW w:w="701" w:type="dxa"/>
            <w:vAlign w:val="center"/>
          </w:tcPr>
          <w:p w14:paraId="485DF653" w14:textId="77777777" w:rsidR="001F2A4B" w:rsidRPr="00710B91" w:rsidRDefault="001F2A4B" w:rsidP="001F2A4B">
            <w:pPr>
              <w:jc w:val="center"/>
              <w:rPr>
                <w:noProof/>
              </w:rPr>
            </w:pPr>
            <w:r w:rsidRPr="00710B91">
              <w:rPr>
                <w:noProof/>
                <w:sz w:val="18"/>
              </w:rPr>
              <w:t>Średni koszt</w:t>
            </w:r>
          </w:p>
        </w:tc>
        <w:tc>
          <w:tcPr>
            <w:tcW w:w="504" w:type="dxa"/>
            <w:tcBorders>
              <w:left w:val="nil"/>
              <w:right w:val="dashSmallGap" w:sz="4" w:space="0" w:color="auto"/>
            </w:tcBorders>
            <w:shd w:val="pct10" w:color="auto" w:fill="auto"/>
            <w:textDirection w:val="btLr"/>
            <w:vAlign w:val="center"/>
          </w:tcPr>
          <w:p w14:paraId="57BF9A34" w14:textId="77777777" w:rsidR="001F2A4B" w:rsidRPr="00710B91" w:rsidRDefault="001F2A4B" w:rsidP="001F2A4B">
            <w:pPr>
              <w:ind w:left="113" w:right="113"/>
              <w:jc w:val="center"/>
              <w:rPr>
                <w:noProof/>
              </w:rPr>
            </w:pPr>
            <w:r w:rsidRPr="00710B91">
              <w:rPr>
                <w:noProof/>
                <w:sz w:val="18"/>
              </w:rPr>
              <w:t>Nr</w:t>
            </w:r>
          </w:p>
        </w:tc>
        <w:tc>
          <w:tcPr>
            <w:tcW w:w="720" w:type="dxa"/>
            <w:tcBorders>
              <w:left w:val="dashSmallGap" w:sz="4" w:space="0" w:color="auto"/>
            </w:tcBorders>
            <w:shd w:val="pct10" w:color="auto" w:fill="auto"/>
            <w:vAlign w:val="center"/>
          </w:tcPr>
          <w:p w14:paraId="6C8BA4BD" w14:textId="77777777" w:rsidR="001F2A4B" w:rsidRPr="00710B91" w:rsidRDefault="001F2A4B" w:rsidP="001F2A4B">
            <w:pPr>
              <w:jc w:val="center"/>
              <w:rPr>
                <w:noProof/>
                <w:sz w:val="18"/>
              </w:rPr>
            </w:pPr>
            <w:r w:rsidRPr="00710B91">
              <w:rPr>
                <w:noProof/>
                <w:sz w:val="18"/>
              </w:rPr>
              <w:t>Koszt</w:t>
            </w:r>
          </w:p>
        </w:tc>
        <w:tc>
          <w:tcPr>
            <w:tcW w:w="540" w:type="dxa"/>
            <w:tcBorders>
              <w:right w:val="dashSmallGap" w:sz="4" w:space="0" w:color="auto"/>
            </w:tcBorders>
            <w:shd w:val="pct10" w:color="auto" w:fill="auto"/>
            <w:textDirection w:val="btLr"/>
            <w:vAlign w:val="center"/>
          </w:tcPr>
          <w:p w14:paraId="443BDD6C" w14:textId="77777777" w:rsidR="001F2A4B" w:rsidRPr="00710B91" w:rsidRDefault="001F2A4B" w:rsidP="001F2A4B">
            <w:pPr>
              <w:ind w:left="113" w:right="113"/>
              <w:jc w:val="center"/>
              <w:rPr>
                <w:noProof/>
              </w:rPr>
            </w:pPr>
            <w:r w:rsidRPr="00710B91">
              <w:rPr>
                <w:noProof/>
                <w:sz w:val="18"/>
              </w:rPr>
              <w:t>Nr</w:t>
            </w:r>
          </w:p>
        </w:tc>
        <w:tc>
          <w:tcPr>
            <w:tcW w:w="720" w:type="dxa"/>
            <w:tcBorders>
              <w:left w:val="dashSmallGap" w:sz="4" w:space="0" w:color="auto"/>
            </w:tcBorders>
            <w:shd w:val="pct10" w:color="auto" w:fill="auto"/>
            <w:vAlign w:val="center"/>
          </w:tcPr>
          <w:p w14:paraId="47AA4E54" w14:textId="77777777" w:rsidR="001F2A4B" w:rsidRPr="00710B91" w:rsidRDefault="001F2A4B" w:rsidP="001F2A4B">
            <w:pPr>
              <w:jc w:val="center"/>
              <w:rPr>
                <w:noProof/>
                <w:sz w:val="18"/>
              </w:rPr>
            </w:pPr>
            <w:r w:rsidRPr="00710B91">
              <w:rPr>
                <w:noProof/>
                <w:sz w:val="18"/>
              </w:rPr>
              <w:t>Koszt</w:t>
            </w:r>
          </w:p>
        </w:tc>
        <w:tc>
          <w:tcPr>
            <w:tcW w:w="720" w:type="dxa"/>
            <w:tcBorders>
              <w:right w:val="dashSmallGap" w:sz="4" w:space="0" w:color="auto"/>
            </w:tcBorders>
            <w:shd w:val="pct10" w:color="auto" w:fill="auto"/>
            <w:textDirection w:val="btLr"/>
            <w:vAlign w:val="center"/>
          </w:tcPr>
          <w:p w14:paraId="6B8BBB0A" w14:textId="77777777" w:rsidR="001F2A4B" w:rsidRPr="00710B91" w:rsidRDefault="001F2A4B" w:rsidP="001F2A4B">
            <w:pPr>
              <w:ind w:left="113" w:right="113"/>
              <w:jc w:val="center"/>
              <w:rPr>
                <w:noProof/>
              </w:rPr>
            </w:pPr>
            <w:r w:rsidRPr="00710B91">
              <w:rPr>
                <w:noProof/>
                <w:sz w:val="18"/>
              </w:rPr>
              <w:t>Nr</w:t>
            </w:r>
          </w:p>
        </w:tc>
        <w:tc>
          <w:tcPr>
            <w:tcW w:w="720" w:type="dxa"/>
            <w:tcBorders>
              <w:left w:val="dashSmallGap" w:sz="4" w:space="0" w:color="auto"/>
            </w:tcBorders>
            <w:shd w:val="pct10" w:color="auto" w:fill="auto"/>
            <w:vAlign w:val="center"/>
          </w:tcPr>
          <w:p w14:paraId="6A935642" w14:textId="77777777" w:rsidR="001F2A4B" w:rsidRPr="00710B91" w:rsidRDefault="001F2A4B" w:rsidP="001F2A4B">
            <w:pPr>
              <w:jc w:val="center"/>
              <w:rPr>
                <w:noProof/>
                <w:sz w:val="18"/>
              </w:rPr>
            </w:pPr>
            <w:r w:rsidRPr="00710B91">
              <w:rPr>
                <w:noProof/>
                <w:sz w:val="18"/>
              </w:rPr>
              <w:t>Koszt</w:t>
            </w:r>
          </w:p>
        </w:tc>
        <w:tc>
          <w:tcPr>
            <w:tcW w:w="789" w:type="dxa"/>
            <w:tcBorders>
              <w:right w:val="dashSmallGap" w:sz="4" w:space="0" w:color="auto"/>
            </w:tcBorders>
            <w:shd w:val="pct10" w:color="auto" w:fill="auto"/>
            <w:textDirection w:val="btLr"/>
            <w:vAlign w:val="center"/>
          </w:tcPr>
          <w:p w14:paraId="316103E9" w14:textId="77777777" w:rsidR="001F2A4B" w:rsidRPr="00710B91" w:rsidRDefault="001F2A4B" w:rsidP="001F2A4B">
            <w:pPr>
              <w:ind w:left="113" w:right="113"/>
              <w:jc w:val="center"/>
              <w:rPr>
                <w:noProof/>
              </w:rPr>
            </w:pPr>
            <w:r w:rsidRPr="00710B91">
              <w:rPr>
                <w:noProof/>
                <w:sz w:val="18"/>
              </w:rPr>
              <w:t>Nr</w:t>
            </w:r>
          </w:p>
        </w:tc>
        <w:tc>
          <w:tcPr>
            <w:tcW w:w="831" w:type="dxa"/>
            <w:tcBorders>
              <w:left w:val="dashSmallGap" w:sz="4" w:space="0" w:color="auto"/>
            </w:tcBorders>
            <w:shd w:val="pct10" w:color="auto" w:fill="auto"/>
            <w:vAlign w:val="center"/>
          </w:tcPr>
          <w:p w14:paraId="71DFC4A1" w14:textId="77777777" w:rsidR="001F2A4B" w:rsidRPr="00710B91" w:rsidRDefault="001F2A4B" w:rsidP="001F2A4B">
            <w:pPr>
              <w:jc w:val="center"/>
              <w:rPr>
                <w:noProof/>
                <w:sz w:val="18"/>
              </w:rPr>
            </w:pPr>
            <w:r w:rsidRPr="00710B91">
              <w:rPr>
                <w:noProof/>
                <w:sz w:val="18"/>
              </w:rPr>
              <w:t>Koszt</w:t>
            </w:r>
          </w:p>
        </w:tc>
        <w:tc>
          <w:tcPr>
            <w:tcW w:w="720" w:type="dxa"/>
            <w:tcBorders>
              <w:right w:val="dashSmallGap" w:sz="4" w:space="0" w:color="auto"/>
            </w:tcBorders>
            <w:shd w:val="pct10" w:color="auto" w:fill="auto"/>
            <w:vAlign w:val="center"/>
          </w:tcPr>
          <w:p w14:paraId="30873D2A" w14:textId="77777777" w:rsidR="001F2A4B" w:rsidRPr="00710B91" w:rsidRDefault="001F2A4B" w:rsidP="001F2A4B">
            <w:pPr>
              <w:jc w:val="center"/>
              <w:rPr>
                <w:noProof/>
                <w:sz w:val="18"/>
              </w:rPr>
            </w:pPr>
            <w:r w:rsidRPr="00710B91">
              <w:rPr>
                <w:noProof/>
                <w:sz w:val="18"/>
              </w:rPr>
              <w:t>Liczba ogółem</w:t>
            </w:r>
          </w:p>
        </w:tc>
        <w:tc>
          <w:tcPr>
            <w:tcW w:w="900" w:type="dxa"/>
            <w:tcBorders>
              <w:left w:val="dashSmallGap" w:sz="4" w:space="0" w:color="auto"/>
            </w:tcBorders>
            <w:shd w:val="pct10" w:color="auto" w:fill="auto"/>
            <w:vAlign w:val="center"/>
          </w:tcPr>
          <w:p w14:paraId="4F4244A8" w14:textId="77777777" w:rsidR="001F2A4B" w:rsidRPr="00710B91" w:rsidRDefault="001F2A4B" w:rsidP="001F2A4B">
            <w:pPr>
              <w:jc w:val="center"/>
              <w:rPr>
                <w:noProof/>
              </w:rPr>
            </w:pPr>
            <w:r w:rsidRPr="00710B91">
              <w:rPr>
                <w:noProof/>
                <w:sz w:val="18"/>
              </w:rPr>
              <w:t>Koszt całkowity</w:t>
            </w:r>
          </w:p>
        </w:tc>
      </w:tr>
      <w:tr w:rsidR="001F2A4B" w:rsidRPr="00710B91" w14:paraId="5541BDE1" w14:textId="77777777" w:rsidTr="001F2A4B">
        <w:trPr>
          <w:jc w:val="center"/>
        </w:trPr>
        <w:tc>
          <w:tcPr>
            <w:tcW w:w="2844" w:type="dxa"/>
            <w:gridSpan w:val="3"/>
            <w:vAlign w:val="center"/>
          </w:tcPr>
          <w:p w14:paraId="7F8B3547" w14:textId="24E22E31" w:rsidR="001F2A4B" w:rsidRPr="00710B91" w:rsidRDefault="001F2A4B" w:rsidP="001F2A4B">
            <w:pPr>
              <w:spacing w:before="60" w:after="60"/>
              <w:ind w:right="-29"/>
              <w:jc w:val="center"/>
              <w:rPr>
                <w:noProof/>
                <w:sz w:val="18"/>
              </w:rPr>
            </w:pPr>
            <w:r w:rsidRPr="00710B91">
              <w:rPr>
                <w:noProof/>
                <w:sz w:val="18"/>
              </w:rPr>
              <w:t>CEL SZCZEGÓŁOWY nr</w:t>
            </w:r>
            <w:r w:rsidR="00710B91" w:rsidRPr="00710B91">
              <w:rPr>
                <w:noProof/>
                <w:sz w:val="18"/>
              </w:rPr>
              <w:t> </w:t>
            </w:r>
            <w:r w:rsidRPr="00710B91">
              <w:rPr>
                <w:noProof/>
                <w:sz w:val="18"/>
              </w:rPr>
              <w:t>1</w:t>
            </w:r>
          </w:p>
          <w:p w14:paraId="1A87D08B" w14:textId="77777777" w:rsidR="001F2A4B" w:rsidRPr="00710B91" w:rsidRDefault="001F2A4B" w:rsidP="001F2A4B">
            <w:pPr>
              <w:spacing w:before="60" w:after="60"/>
              <w:ind w:right="-29"/>
              <w:jc w:val="center"/>
              <w:rPr>
                <w:noProof/>
                <w:sz w:val="18"/>
              </w:rPr>
            </w:pPr>
            <w:r w:rsidRPr="00710B91">
              <w:rPr>
                <w:noProof/>
                <w:sz w:val="18"/>
              </w:rPr>
              <w:t>Utworzenie platformy współpracy zespołów JIT</w:t>
            </w:r>
          </w:p>
        </w:tc>
        <w:tc>
          <w:tcPr>
            <w:tcW w:w="504" w:type="dxa"/>
            <w:tcBorders>
              <w:top w:val="nil"/>
              <w:left w:val="nil"/>
              <w:bottom w:val="nil"/>
              <w:right w:val="nil"/>
            </w:tcBorders>
          </w:tcPr>
          <w:p w14:paraId="67581FC3" w14:textId="77777777" w:rsidR="001F2A4B" w:rsidRPr="00710B91" w:rsidRDefault="001F2A4B" w:rsidP="001F2A4B">
            <w:pPr>
              <w:spacing w:before="60" w:after="60"/>
              <w:ind w:right="-29"/>
              <w:jc w:val="center"/>
              <w:rPr>
                <w:noProof/>
                <w:sz w:val="18"/>
              </w:rPr>
            </w:pPr>
          </w:p>
        </w:tc>
        <w:tc>
          <w:tcPr>
            <w:tcW w:w="720" w:type="dxa"/>
            <w:tcBorders>
              <w:top w:val="nil"/>
              <w:left w:val="nil"/>
              <w:bottom w:val="nil"/>
              <w:right w:val="nil"/>
            </w:tcBorders>
          </w:tcPr>
          <w:p w14:paraId="3AC76FAE" w14:textId="77777777" w:rsidR="001F2A4B" w:rsidRPr="00710B91" w:rsidRDefault="001F2A4B" w:rsidP="001F2A4B">
            <w:pPr>
              <w:spacing w:before="60" w:after="60"/>
              <w:ind w:right="-29"/>
              <w:jc w:val="center"/>
              <w:rPr>
                <w:noProof/>
                <w:sz w:val="18"/>
              </w:rPr>
            </w:pPr>
          </w:p>
        </w:tc>
        <w:tc>
          <w:tcPr>
            <w:tcW w:w="540" w:type="dxa"/>
            <w:tcBorders>
              <w:top w:val="nil"/>
              <w:left w:val="nil"/>
              <w:bottom w:val="nil"/>
              <w:right w:val="nil"/>
            </w:tcBorders>
          </w:tcPr>
          <w:p w14:paraId="10143903" w14:textId="77777777" w:rsidR="001F2A4B" w:rsidRPr="00710B91" w:rsidRDefault="001F2A4B" w:rsidP="001F2A4B">
            <w:pPr>
              <w:spacing w:before="60" w:after="60"/>
              <w:ind w:right="-29"/>
              <w:jc w:val="center"/>
              <w:rPr>
                <w:noProof/>
                <w:sz w:val="18"/>
              </w:rPr>
            </w:pPr>
          </w:p>
        </w:tc>
        <w:tc>
          <w:tcPr>
            <w:tcW w:w="720" w:type="dxa"/>
            <w:tcBorders>
              <w:top w:val="nil"/>
              <w:left w:val="nil"/>
              <w:bottom w:val="nil"/>
              <w:right w:val="nil"/>
            </w:tcBorders>
          </w:tcPr>
          <w:p w14:paraId="72DBD08C" w14:textId="77777777" w:rsidR="001F2A4B" w:rsidRPr="00710B91" w:rsidRDefault="001F2A4B" w:rsidP="001F2A4B">
            <w:pPr>
              <w:spacing w:before="60" w:after="60"/>
              <w:ind w:right="-29"/>
              <w:jc w:val="center"/>
              <w:rPr>
                <w:noProof/>
                <w:sz w:val="18"/>
              </w:rPr>
            </w:pPr>
          </w:p>
        </w:tc>
        <w:tc>
          <w:tcPr>
            <w:tcW w:w="720" w:type="dxa"/>
            <w:tcBorders>
              <w:top w:val="nil"/>
              <w:left w:val="nil"/>
              <w:bottom w:val="nil"/>
              <w:right w:val="nil"/>
            </w:tcBorders>
          </w:tcPr>
          <w:p w14:paraId="75DC8E5B" w14:textId="77777777" w:rsidR="001F2A4B" w:rsidRPr="00710B91" w:rsidRDefault="001F2A4B" w:rsidP="001F2A4B">
            <w:pPr>
              <w:spacing w:before="60" w:after="60"/>
              <w:ind w:right="-29"/>
              <w:jc w:val="center"/>
              <w:rPr>
                <w:noProof/>
                <w:sz w:val="18"/>
              </w:rPr>
            </w:pPr>
          </w:p>
        </w:tc>
        <w:tc>
          <w:tcPr>
            <w:tcW w:w="720" w:type="dxa"/>
            <w:tcBorders>
              <w:top w:val="nil"/>
              <w:left w:val="nil"/>
              <w:bottom w:val="nil"/>
              <w:right w:val="nil"/>
            </w:tcBorders>
          </w:tcPr>
          <w:p w14:paraId="294E30DF" w14:textId="77777777" w:rsidR="001F2A4B" w:rsidRPr="00710B91" w:rsidRDefault="001F2A4B" w:rsidP="001F2A4B">
            <w:pPr>
              <w:spacing w:before="60" w:after="60"/>
              <w:ind w:right="-29"/>
              <w:jc w:val="center"/>
              <w:rPr>
                <w:noProof/>
                <w:sz w:val="18"/>
              </w:rPr>
            </w:pPr>
          </w:p>
        </w:tc>
        <w:tc>
          <w:tcPr>
            <w:tcW w:w="789" w:type="dxa"/>
            <w:tcBorders>
              <w:top w:val="nil"/>
              <w:left w:val="nil"/>
              <w:bottom w:val="nil"/>
              <w:right w:val="nil"/>
            </w:tcBorders>
          </w:tcPr>
          <w:p w14:paraId="37B59F92" w14:textId="77777777" w:rsidR="001F2A4B" w:rsidRPr="00710B91" w:rsidRDefault="001F2A4B" w:rsidP="001F2A4B">
            <w:pPr>
              <w:spacing w:before="60" w:after="60"/>
              <w:ind w:right="-29"/>
              <w:jc w:val="center"/>
              <w:rPr>
                <w:noProof/>
                <w:sz w:val="18"/>
              </w:rPr>
            </w:pPr>
          </w:p>
        </w:tc>
        <w:tc>
          <w:tcPr>
            <w:tcW w:w="831" w:type="dxa"/>
            <w:tcBorders>
              <w:top w:val="nil"/>
              <w:left w:val="nil"/>
              <w:bottom w:val="nil"/>
              <w:right w:val="nil"/>
            </w:tcBorders>
          </w:tcPr>
          <w:p w14:paraId="4DB78598" w14:textId="77777777" w:rsidR="001F2A4B" w:rsidRPr="00710B91" w:rsidRDefault="001F2A4B" w:rsidP="001F2A4B">
            <w:pPr>
              <w:spacing w:before="60" w:after="60"/>
              <w:ind w:right="-29"/>
              <w:jc w:val="center"/>
              <w:rPr>
                <w:noProof/>
                <w:sz w:val="18"/>
              </w:rPr>
            </w:pPr>
          </w:p>
        </w:tc>
        <w:tc>
          <w:tcPr>
            <w:tcW w:w="720" w:type="dxa"/>
            <w:tcBorders>
              <w:top w:val="nil"/>
              <w:left w:val="nil"/>
              <w:bottom w:val="nil"/>
              <w:right w:val="nil"/>
            </w:tcBorders>
          </w:tcPr>
          <w:p w14:paraId="148D0518" w14:textId="77777777" w:rsidR="001F2A4B" w:rsidRPr="00710B91" w:rsidRDefault="001F2A4B" w:rsidP="001F2A4B">
            <w:pPr>
              <w:spacing w:before="60" w:after="60"/>
              <w:ind w:right="-29"/>
              <w:jc w:val="center"/>
              <w:rPr>
                <w:noProof/>
                <w:sz w:val="18"/>
              </w:rPr>
            </w:pPr>
          </w:p>
        </w:tc>
        <w:tc>
          <w:tcPr>
            <w:tcW w:w="900" w:type="dxa"/>
            <w:tcBorders>
              <w:top w:val="nil"/>
              <w:left w:val="nil"/>
              <w:bottom w:val="nil"/>
              <w:right w:val="nil"/>
            </w:tcBorders>
          </w:tcPr>
          <w:p w14:paraId="01091A47" w14:textId="77777777" w:rsidR="001F2A4B" w:rsidRPr="00710B91" w:rsidRDefault="001F2A4B" w:rsidP="001F2A4B">
            <w:pPr>
              <w:spacing w:before="60" w:after="60"/>
              <w:ind w:right="-29"/>
              <w:jc w:val="center"/>
              <w:rPr>
                <w:noProof/>
                <w:sz w:val="18"/>
              </w:rPr>
            </w:pPr>
          </w:p>
        </w:tc>
      </w:tr>
      <w:tr w:rsidR="001F2A4B" w:rsidRPr="00710B91" w14:paraId="276C59BC" w14:textId="77777777" w:rsidTr="001F2A4B">
        <w:trPr>
          <w:trHeight w:hRule="exact" w:val="1571"/>
          <w:jc w:val="center"/>
        </w:trPr>
        <w:tc>
          <w:tcPr>
            <w:tcW w:w="1423" w:type="dxa"/>
          </w:tcPr>
          <w:p w14:paraId="561E4165" w14:textId="1AFECF69" w:rsidR="001F2A4B" w:rsidRPr="00710B91" w:rsidRDefault="001F2A4B" w:rsidP="001F2A4B">
            <w:pPr>
              <w:rPr>
                <w:noProof/>
                <w:sz w:val="18"/>
                <w:szCs w:val="18"/>
              </w:rPr>
            </w:pPr>
            <w:r w:rsidRPr="00710B91">
              <w:rPr>
                <w:noProof/>
                <w:sz w:val="18"/>
                <w:szCs w:val="18"/>
              </w:rPr>
              <w:t>Usługi profesjonalne – koszty projektowania, utworzenia</w:t>
            </w:r>
            <w:r w:rsidR="00710B91" w:rsidRPr="00710B91">
              <w:rPr>
                <w:noProof/>
                <w:sz w:val="18"/>
                <w:szCs w:val="18"/>
              </w:rPr>
              <w:t xml:space="preserve"> i</w:t>
            </w:r>
            <w:r w:rsidR="00710B91">
              <w:rPr>
                <w:noProof/>
                <w:sz w:val="18"/>
                <w:szCs w:val="18"/>
              </w:rPr>
              <w:t> </w:t>
            </w:r>
            <w:r w:rsidR="00710B91" w:rsidRPr="00710B91">
              <w:rPr>
                <w:noProof/>
                <w:sz w:val="18"/>
                <w:szCs w:val="18"/>
              </w:rPr>
              <w:t>tes</w:t>
            </w:r>
            <w:r w:rsidRPr="00710B91">
              <w:rPr>
                <w:noProof/>
                <w:sz w:val="18"/>
                <w:szCs w:val="18"/>
              </w:rPr>
              <w:t>towania (wykonawcy)</w:t>
            </w:r>
          </w:p>
          <w:p w14:paraId="61BFB122" w14:textId="77777777" w:rsidR="001F2A4B" w:rsidRPr="00710B91" w:rsidRDefault="001F2A4B" w:rsidP="001F2A4B">
            <w:pPr>
              <w:ind w:right="-29"/>
              <w:jc w:val="center"/>
              <w:rPr>
                <w:noProof/>
                <w:sz w:val="18"/>
              </w:rPr>
            </w:pPr>
          </w:p>
        </w:tc>
        <w:tc>
          <w:tcPr>
            <w:tcW w:w="720" w:type="dxa"/>
          </w:tcPr>
          <w:p w14:paraId="11FB3F58" w14:textId="77777777" w:rsidR="001F2A4B" w:rsidRPr="00710B91" w:rsidRDefault="001F2A4B" w:rsidP="001F2A4B">
            <w:pPr>
              <w:ind w:right="-29"/>
              <w:jc w:val="center"/>
              <w:rPr>
                <w:noProof/>
                <w:sz w:val="18"/>
              </w:rPr>
            </w:pPr>
          </w:p>
        </w:tc>
        <w:tc>
          <w:tcPr>
            <w:tcW w:w="701" w:type="dxa"/>
          </w:tcPr>
          <w:p w14:paraId="6EB9CC36" w14:textId="77777777" w:rsidR="001F2A4B" w:rsidRPr="00710B91" w:rsidRDefault="001F2A4B" w:rsidP="001F2A4B">
            <w:pPr>
              <w:ind w:right="-29"/>
              <w:jc w:val="center"/>
              <w:rPr>
                <w:noProof/>
                <w:sz w:val="18"/>
              </w:rPr>
            </w:pPr>
          </w:p>
        </w:tc>
        <w:tc>
          <w:tcPr>
            <w:tcW w:w="504" w:type="dxa"/>
            <w:tcBorders>
              <w:right w:val="dashSmallGap" w:sz="4" w:space="0" w:color="auto"/>
            </w:tcBorders>
          </w:tcPr>
          <w:p w14:paraId="68DC2B20" w14:textId="77777777" w:rsidR="001F2A4B" w:rsidRPr="00710B91" w:rsidRDefault="001F2A4B" w:rsidP="001F2A4B">
            <w:pPr>
              <w:ind w:right="-29"/>
              <w:jc w:val="center"/>
              <w:rPr>
                <w:noProof/>
                <w:sz w:val="18"/>
              </w:rPr>
            </w:pPr>
          </w:p>
        </w:tc>
        <w:tc>
          <w:tcPr>
            <w:tcW w:w="720" w:type="dxa"/>
            <w:tcBorders>
              <w:left w:val="dashSmallGap" w:sz="4" w:space="0" w:color="auto"/>
            </w:tcBorders>
          </w:tcPr>
          <w:p w14:paraId="616F6009" w14:textId="77777777" w:rsidR="001F2A4B" w:rsidRPr="00710B91" w:rsidRDefault="001F2A4B" w:rsidP="001F2A4B">
            <w:pPr>
              <w:ind w:right="-29"/>
              <w:jc w:val="center"/>
              <w:rPr>
                <w:noProof/>
                <w:sz w:val="18"/>
              </w:rPr>
            </w:pPr>
            <w:r w:rsidRPr="00710B91">
              <w:rPr>
                <w:noProof/>
                <w:sz w:val="18"/>
              </w:rPr>
              <w:t>0,500</w:t>
            </w:r>
          </w:p>
        </w:tc>
        <w:tc>
          <w:tcPr>
            <w:tcW w:w="540" w:type="dxa"/>
            <w:tcBorders>
              <w:right w:val="dashSmallGap" w:sz="4" w:space="0" w:color="auto"/>
            </w:tcBorders>
          </w:tcPr>
          <w:p w14:paraId="08C42B50" w14:textId="77777777" w:rsidR="001F2A4B" w:rsidRPr="00710B91" w:rsidRDefault="001F2A4B" w:rsidP="001F2A4B">
            <w:pPr>
              <w:ind w:right="-29"/>
              <w:jc w:val="center"/>
              <w:rPr>
                <w:noProof/>
                <w:sz w:val="18"/>
              </w:rPr>
            </w:pPr>
          </w:p>
        </w:tc>
        <w:tc>
          <w:tcPr>
            <w:tcW w:w="720" w:type="dxa"/>
            <w:tcBorders>
              <w:left w:val="dashSmallGap" w:sz="4" w:space="0" w:color="auto"/>
            </w:tcBorders>
          </w:tcPr>
          <w:p w14:paraId="68BE6112" w14:textId="77777777" w:rsidR="001F2A4B" w:rsidRPr="00710B91" w:rsidRDefault="001F2A4B" w:rsidP="001F2A4B">
            <w:pPr>
              <w:ind w:right="-29"/>
              <w:jc w:val="center"/>
              <w:rPr>
                <w:noProof/>
                <w:sz w:val="18"/>
              </w:rPr>
            </w:pPr>
            <w:r w:rsidRPr="00710B91">
              <w:rPr>
                <w:noProof/>
                <w:sz w:val="18"/>
              </w:rPr>
              <w:t>0,200</w:t>
            </w:r>
          </w:p>
        </w:tc>
        <w:tc>
          <w:tcPr>
            <w:tcW w:w="720" w:type="dxa"/>
            <w:tcBorders>
              <w:right w:val="dashSmallGap" w:sz="4" w:space="0" w:color="auto"/>
            </w:tcBorders>
          </w:tcPr>
          <w:p w14:paraId="6A9ED48A" w14:textId="77777777" w:rsidR="001F2A4B" w:rsidRPr="00710B91" w:rsidRDefault="001F2A4B" w:rsidP="001F2A4B">
            <w:pPr>
              <w:ind w:right="-29"/>
              <w:jc w:val="center"/>
              <w:rPr>
                <w:noProof/>
                <w:sz w:val="18"/>
              </w:rPr>
            </w:pPr>
          </w:p>
        </w:tc>
        <w:tc>
          <w:tcPr>
            <w:tcW w:w="720" w:type="dxa"/>
            <w:tcBorders>
              <w:left w:val="dashSmallGap" w:sz="4" w:space="0" w:color="auto"/>
            </w:tcBorders>
          </w:tcPr>
          <w:p w14:paraId="6A4CACA3" w14:textId="77777777" w:rsidR="001F2A4B" w:rsidRPr="00710B91" w:rsidRDefault="001F2A4B" w:rsidP="001F2A4B">
            <w:pPr>
              <w:ind w:right="-29"/>
              <w:jc w:val="center"/>
              <w:rPr>
                <w:noProof/>
                <w:sz w:val="18"/>
              </w:rPr>
            </w:pPr>
          </w:p>
        </w:tc>
        <w:tc>
          <w:tcPr>
            <w:tcW w:w="789" w:type="dxa"/>
            <w:tcBorders>
              <w:right w:val="dashSmallGap" w:sz="4" w:space="0" w:color="auto"/>
            </w:tcBorders>
          </w:tcPr>
          <w:p w14:paraId="1A87E8BF" w14:textId="77777777" w:rsidR="001F2A4B" w:rsidRPr="00710B91" w:rsidRDefault="001F2A4B" w:rsidP="001F2A4B">
            <w:pPr>
              <w:ind w:right="-29"/>
              <w:jc w:val="center"/>
              <w:rPr>
                <w:noProof/>
                <w:sz w:val="18"/>
              </w:rPr>
            </w:pPr>
          </w:p>
        </w:tc>
        <w:tc>
          <w:tcPr>
            <w:tcW w:w="831" w:type="dxa"/>
            <w:tcBorders>
              <w:left w:val="dashSmallGap" w:sz="4" w:space="0" w:color="auto"/>
            </w:tcBorders>
          </w:tcPr>
          <w:p w14:paraId="6AF8A0B4" w14:textId="77777777" w:rsidR="001F2A4B" w:rsidRPr="00710B91" w:rsidRDefault="001F2A4B" w:rsidP="001F2A4B">
            <w:pPr>
              <w:ind w:right="-29"/>
              <w:jc w:val="center"/>
              <w:rPr>
                <w:noProof/>
                <w:sz w:val="18"/>
              </w:rPr>
            </w:pPr>
          </w:p>
        </w:tc>
        <w:tc>
          <w:tcPr>
            <w:tcW w:w="720" w:type="dxa"/>
          </w:tcPr>
          <w:p w14:paraId="5F3A17DE" w14:textId="77777777" w:rsidR="001F2A4B" w:rsidRPr="00710B91" w:rsidRDefault="001F2A4B" w:rsidP="001F2A4B">
            <w:pPr>
              <w:ind w:right="-29"/>
              <w:jc w:val="center"/>
              <w:rPr>
                <w:noProof/>
                <w:sz w:val="18"/>
              </w:rPr>
            </w:pPr>
          </w:p>
        </w:tc>
        <w:tc>
          <w:tcPr>
            <w:tcW w:w="900" w:type="dxa"/>
          </w:tcPr>
          <w:p w14:paraId="52B290DD" w14:textId="77777777" w:rsidR="001F2A4B" w:rsidRPr="00710B91" w:rsidRDefault="001F2A4B" w:rsidP="001F2A4B">
            <w:pPr>
              <w:ind w:right="-29"/>
              <w:jc w:val="center"/>
              <w:rPr>
                <w:noProof/>
                <w:sz w:val="18"/>
              </w:rPr>
            </w:pPr>
            <w:r w:rsidRPr="00710B91">
              <w:rPr>
                <w:noProof/>
                <w:sz w:val="18"/>
              </w:rPr>
              <w:t>0,700</w:t>
            </w:r>
          </w:p>
        </w:tc>
      </w:tr>
      <w:tr w:rsidR="001F2A4B" w:rsidRPr="00710B91" w14:paraId="64CE7892" w14:textId="77777777" w:rsidTr="001F2A4B">
        <w:trPr>
          <w:trHeight w:hRule="exact" w:val="1126"/>
          <w:jc w:val="center"/>
        </w:trPr>
        <w:tc>
          <w:tcPr>
            <w:tcW w:w="1423" w:type="dxa"/>
          </w:tcPr>
          <w:p w14:paraId="02BB46E9" w14:textId="08260EB2" w:rsidR="001F2A4B" w:rsidRPr="00710B91" w:rsidRDefault="001F2A4B" w:rsidP="001F2A4B">
            <w:pPr>
              <w:rPr>
                <w:noProof/>
                <w:sz w:val="18"/>
                <w:szCs w:val="18"/>
              </w:rPr>
            </w:pPr>
            <w:r w:rsidRPr="00710B91">
              <w:rPr>
                <w:noProof/>
                <w:sz w:val="18"/>
                <w:szCs w:val="18"/>
              </w:rPr>
              <w:t>Projektowanie zabezpieczeń, zarządzanie, testowanie</w:t>
            </w:r>
            <w:r w:rsidR="00710B91" w:rsidRPr="00710B91">
              <w:rPr>
                <w:noProof/>
                <w:sz w:val="18"/>
                <w:szCs w:val="18"/>
              </w:rPr>
              <w:t xml:space="preserve"> i</w:t>
            </w:r>
            <w:r w:rsidR="00710B91">
              <w:rPr>
                <w:noProof/>
                <w:sz w:val="18"/>
                <w:szCs w:val="18"/>
              </w:rPr>
              <w:t> </w:t>
            </w:r>
            <w:r w:rsidR="00710B91" w:rsidRPr="00710B91">
              <w:rPr>
                <w:noProof/>
                <w:sz w:val="18"/>
                <w:szCs w:val="18"/>
              </w:rPr>
              <w:t>zgo</w:t>
            </w:r>
            <w:r w:rsidRPr="00710B91">
              <w:rPr>
                <w:noProof/>
                <w:sz w:val="18"/>
                <w:szCs w:val="18"/>
              </w:rPr>
              <w:t>dność</w:t>
            </w:r>
          </w:p>
        </w:tc>
        <w:tc>
          <w:tcPr>
            <w:tcW w:w="720" w:type="dxa"/>
          </w:tcPr>
          <w:p w14:paraId="659C024D" w14:textId="77777777" w:rsidR="001F2A4B" w:rsidRPr="00710B91" w:rsidRDefault="001F2A4B" w:rsidP="001F2A4B">
            <w:pPr>
              <w:ind w:right="-29"/>
              <w:jc w:val="center"/>
              <w:rPr>
                <w:noProof/>
                <w:sz w:val="18"/>
              </w:rPr>
            </w:pPr>
          </w:p>
        </w:tc>
        <w:tc>
          <w:tcPr>
            <w:tcW w:w="701" w:type="dxa"/>
          </w:tcPr>
          <w:p w14:paraId="2D1143E1" w14:textId="77777777" w:rsidR="001F2A4B" w:rsidRPr="00710B91" w:rsidRDefault="001F2A4B" w:rsidP="001F2A4B">
            <w:pPr>
              <w:ind w:right="-29"/>
              <w:jc w:val="center"/>
              <w:rPr>
                <w:noProof/>
                <w:sz w:val="18"/>
              </w:rPr>
            </w:pPr>
          </w:p>
        </w:tc>
        <w:tc>
          <w:tcPr>
            <w:tcW w:w="504" w:type="dxa"/>
            <w:tcBorders>
              <w:right w:val="dashSmallGap" w:sz="4" w:space="0" w:color="auto"/>
            </w:tcBorders>
          </w:tcPr>
          <w:p w14:paraId="0A65DB8B" w14:textId="77777777" w:rsidR="001F2A4B" w:rsidRPr="00710B91" w:rsidRDefault="001F2A4B" w:rsidP="001F2A4B">
            <w:pPr>
              <w:ind w:right="-29"/>
              <w:jc w:val="center"/>
              <w:rPr>
                <w:noProof/>
                <w:sz w:val="18"/>
              </w:rPr>
            </w:pPr>
          </w:p>
        </w:tc>
        <w:tc>
          <w:tcPr>
            <w:tcW w:w="720" w:type="dxa"/>
            <w:tcBorders>
              <w:left w:val="dashSmallGap" w:sz="4" w:space="0" w:color="auto"/>
            </w:tcBorders>
          </w:tcPr>
          <w:p w14:paraId="00A41DF2" w14:textId="77777777" w:rsidR="001F2A4B" w:rsidRPr="00710B91" w:rsidRDefault="001F2A4B" w:rsidP="001F2A4B">
            <w:pPr>
              <w:ind w:right="-29"/>
              <w:jc w:val="center"/>
              <w:rPr>
                <w:noProof/>
                <w:sz w:val="18"/>
              </w:rPr>
            </w:pPr>
            <w:r w:rsidRPr="00710B91">
              <w:rPr>
                <w:noProof/>
                <w:sz w:val="18"/>
              </w:rPr>
              <w:t>1,000</w:t>
            </w:r>
          </w:p>
        </w:tc>
        <w:tc>
          <w:tcPr>
            <w:tcW w:w="540" w:type="dxa"/>
            <w:tcBorders>
              <w:right w:val="dashSmallGap" w:sz="4" w:space="0" w:color="auto"/>
            </w:tcBorders>
          </w:tcPr>
          <w:p w14:paraId="331D741A" w14:textId="77777777" w:rsidR="001F2A4B" w:rsidRPr="00710B91" w:rsidRDefault="001F2A4B" w:rsidP="001F2A4B">
            <w:pPr>
              <w:ind w:right="-29"/>
              <w:jc w:val="center"/>
              <w:rPr>
                <w:noProof/>
                <w:sz w:val="18"/>
              </w:rPr>
            </w:pPr>
          </w:p>
        </w:tc>
        <w:tc>
          <w:tcPr>
            <w:tcW w:w="720" w:type="dxa"/>
            <w:tcBorders>
              <w:left w:val="dashSmallGap" w:sz="4" w:space="0" w:color="auto"/>
            </w:tcBorders>
          </w:tcPr>
          <w:p w14:paraId="0BFBE337" w14:textId="77777777" w:rsidR="001F2A4B" w:rsidRPr="00710B91" w:rsidRDefault="001F2A4B" w:rsidP="001F2A4B">
            <w:pPr>
              <w:ind w:right="-29"/>
              <w:jc w:val="center"/>
              <w:rPr>
                <w:noProof/>
                <w:sz w:val="18"/>
              </w:rPr>
            </w:pPr>
          </w:p>
        </w:tc>
        <w:tc>
          <w:tcPr>
            <w:tcW w:w="720" w:type="dxa"/>
            <w:tcBorders>
              <w:right w:val="dashSmallGap" w:sz="4" w:space="0" w:color="auto"/>
            </w:tcBorders>
          </w:tcPr>
          <w:p w14:paraId="594864D2" w14:textId="77777777" w:rsidR="001F2A4B" w:rsidRPr="00710B91" w:rsidRDefault="001F2A4B" w:rsidP="001F2A4B">
            <w:pPr>
              <w:ind w:right="-29"/>
              <w:jc w:val="center"/>
              <w:rPr>
                <w:noProof/>
                <w:sz w:val="18"/>
              </w:rPr>
            </w:pPr>
          </w:p>
        </w:tc>
        <w:tc>
          <w:tcPr>
            <w:tcW w:w="720" w:type="dxa"/>
            <w:tcBorders>
              <w:left w:val="dashSmallGap" w:sz="4" w:space="0" w:color="auto"/>
            </w:tcBorders>
          </w:tcPr>
          <w:p w14:paraId="4950B873" w14:textId="77777777" w:rsidR="001F2A4B" w:rsidRPr="00710B91" w:rsidRDefault="001F2A4B" w:rsidP="001F2A4B">
            <w:pPr>
              <w:ind w:right="-29"/>
              <w:jc w:val="center"/>
              <w:rPr>
                <w:noProof/>
                <w:sz w:val="18"/>
              </w:rPr>
            </w:pPr>
          </w:p>
        </w:tc>
        <w:tc>
          <w:tcPr>
            <w:tcW w:w="789" w:type="dxa"/>
            <w:tcBorders>
              <w:right w:val="dashSmallGap" w:sz="4" w:space="0" w:color="auto"/>
            </w:tcBorders>
          </w:tcPr>
          <w:p w14:paraId="38C0E201" w14:textId="77777777" w:rsidR="001F2A4B" w:rsidRPr="00710B91" w:rsidRDefault="001F2A4B" w:rsidP="001F2A4B">
            <w:pPr>
              <w:ind w:right="-29"/>
              <w:jc w:val="center"/>
              <w:rPr>
                <w:noProof/>
                <w:sz w:val="18"/>
              </w:rPr>
            </w:pPr>
          </w:p>
        </w:tc>
        <w:tc>
          <w:tcPr>
            <w:tcW w:w="831" w:type="dxa"/>
            <w:tcBorders>
              <w:left w:val="dashSmallGap" w:sz="4" w:space="0" w:color="auto"/>
            </w:tcBorders>
          </w:tcPr>
          <w:p w14:paraId="5AAB0C1D" w14:textId="77777777" w:rsidR="001F2A4B" w:rsidRPr="00710B91" w:rsidRDefault="001F2A4B" w:rsidP="001F2A4B">
            <w:pPr>
              <w:ind w:right="-29"/>
              <w:jc w:val="center"/>
              <w:rPr>
                <w:noProof/>
                <w:sz w:val="18"/>
              </w:rPr>
            </w:pPr>
          </w:p>
        </w:tc>
        <w:tc>
          <w:tcPr>
            <w:tcW w:w="720" w:type="dxa"/>
          </w:tcPr>
          <w:p w14:paraId="6EFCA6E0" w14:textId="77777777" w:rsidR="001F2A4B" w:rsidRPr="00710B91" w:rsidRDefault="001F2A4B" w:rsidP="001F2A4B">
            <w:pPr>
              <w:ind w:right="-29"/>
              <w:jc w:val="center"/>
              <w:rPr>
                <w:noProof/>
                <w:sz w:val="18"/>
              </w:rPr>
            </w:pPr>
          </w:p>
        </w:tc>
        <w:tc>
          <w:tcPr>
            <w:tcW w:w="900" w:type="dxa"/>
          </w:tcPr>
          <w:p w14:paraId="6D9AC041" w14:textId="77777777" w:rsidR="001F2A4B" w:rsidRPr="00710B91" w:rsidRDefault="001F2A4B" w:rsidP="001F2A4B">
            <w:pPr>
              <w:ind w:right="-29"/>
              <w:jc w:val="center"/>
              <w:rPr>
                <w:noProof/>
                <w:sz w:val="18"/>
              </w:rPr>
            </w:pPr>
            <w:r w:rsidRPr="00710B91">
              <w:rPr>
                <w:noProof/>
                <w:sz w:val="18"/>
              </w:rPr>
              <w:t>1,000</w:t>
            </w:r>
          </w:p>
        </w:tc>
      </w:tr>
      <w:tr w:rsidR="001F2A4B" w:rsidRPr="00710B91" w14:paraId="42AF3FD2" w14:textId="77777777" w:rsidTr="001F2A4B">
        <w:trPr>
          <w:trHeight w:hRule="exact" w:val="1280"/>
          <w:jc w:val="center"/>
        </w:trPr>
        <w:tc>
          <w:tcPr>
            <w:tcW w:w="1423" w:type="dxa"/>
          </w:tcPr>
          <w:p w14:paraId="5FF455B9" w14:textId="60ADD933" w:rsidR="001F2A4B" w:rsidRPr="00710B91" w:rsidRDefault="001F2A4B" w:rsidP="001F2A4B">
            <w:pPr>
              <w:rPr>
                <w:noProof/>
                <w:sz w:val="18"/>
                <w:szCs w:val="18"/>
              </w:rPr>
            </w:pPr>
            <w:r w:rsidRPr="00710B91">
              <w:rPr>
                <w:noProof/>
                <w:sz w:val="18"/>
                <w:szCs w:val="18"/>
              </w:rPr>
              <w:t>Infrastruktura (sprzęt, oprogramowanie</w:t>
            </w:r>
            <w:r w:rsidR="00710B91" w:rsidRPr="00710B91">
              <w:rPr>
                <w:noProof/>
                <w:sz w:val="18"/>
                <w:szCs w:val="18"/>
              </w:rPr>
              <w:t xml:space="preserve"> i</w:t>
            </w:r>
            <w:r w:rsidR="00710B91">
              <w:rPr>
                <w:noProof/>
                <w:sz w:val="18"/>
                <w:szCs w:val="18"/>
              </w:rPr>
              <w:t> </w:t>
            </w:r>
            <w:r w:rsidR="00710B91" w:rsidRPr="00710B91">
              <w:rPr>
                <w:noProof/>
                <w:sz w:val="18"/>
                <w:szCs w:val="18"/>
              </w:rPr>
              <w:t>prz</w:t>
            </w:r>
            <w:r w:rsidRPr="00710B91">
              <w:rPr>
                <w:noProof/>
                <w:sz w:val="18"/>
                <w:szCs w:val="18"/>
              </w:rPr>
              <w:t xml:space="preserve">episy dotyczące sieci) </w:t>
            </w:r>
          </w:p>
          <w:p w14:paraId="3B898E7F" w14:textId="77777777" w:rsidR="001F2A4B" w:rsidRPr="00710B91" w:rsidRDefault="001F2A4B" w:rsidP="001F2A4B">
            <w:pPr>
              <w:ind w:right="-29"/>
              <w:jc w:val="center"/>
              <w:rPr>
                <w:noProof/>
                <w:sz w:val="18"/>
              </w:rPr>
            </w:pPr>
          </w:p>
        </w:tc>
        <w:tc>
          <w:tcPr>
            <w:tcW w:w="720" w:type="dxa"/>
          </w:tcPr>
          <w:p w14:paraId="272C7462" w14:textId="77777777" w:rsidR="001F2A4B" w:rsidRPr="00710B91" w:rsidRDefault="001F2A4B" w:rsidP="001F2A4B">
            <w:pPr>
              <w:ind w:right="-29"/>
              <w:jc w:val="center"/>
              <w:rPr>
                <w:noProof/>
                <w:sz w:val="18"/>
              </w:rPr>
            </w:pPr>
          </w:p>
        </w:tc>
        <w:tc>
          <w:tcPr>
            <w:tcW w:w="701" w:type="dxa"/>
          </w:tcPr>
          <w:p w14:paraId="6F7989B2" w14:textId="77777777" w:rsidR="001F2A4B" w:rsidRPr="00710B91" w:rsidRDefault="001F2A4B" w:rsidP="001F2A4B">
            <w:pPr>
              <w:ind w:right="-29"/>
              <w:jc w:val="center"/>
              <w:rPr>
                <w:noProof/>
                <w:sz w:val="18"/>
              </w:rPr>
            </w:pPr>
          </w:p>
        </w:tc>
        <w:tc>
          <w:tcPr>
            <w:tcW w:w="504" w:type="dxa"/>
            <w:tcBorders>
              <w:right w:val="dashSmallGap" w:sz="4" w:space="0" w:color="auto"/>
            </w:tcBorders>
          </w:tcPr>
          <w:p w14:paraId="24A4776A" w14:textId="77777777" w:rsidR="001F2A4B" w:rsidRPr="00710B91" w:rsidRDefault="001F2A4B" w:rsidP="001F2A4B">
            <w:pPr>
              <w:ind w:right="-29"/>
              <w:jc w:val="center"/>
              <w:rPr>
                <w:noProof/>
                <w:sz w:val="18"/>
              </w:rPr>
            </w:pPr>
          </w:p>
        </w:tc>
        <w:tc>
          <w:tcPr>
            <w:tcW w:w="720" w:type="dxa"/>
            <w:tcBorders>
              <w:left w:val="dashSmallGap" w:sz="4" w:space="0" w:color="auto"/>
            </w:tcBorders>
          </w:tcPr>
          <w:p w14:paraId="5485D9D3" w14:textId="77777777" w:rsidR="001F2A4B" w:rsidRPr="00710B91" w:rsidRDefault="001F2A4B" w:rsidP="001F2A4B">
            <w:pPr>
              <w:ind w:right="-29"/>
              <w:jc w:val="center"/>
              <w:rPr>
                <w:noProof/>
                <w:sz w:val="18"/>
              </w:rPr>
            </w:pPr>
            <w:r w:rsidRPr="00710B91">
              <w:rPr>
                <w:noProof/>
                <w:sz w:val="18"/>
              </w:rPr>
              <w:t>0,500</w:t>
            </w:r>
          </w:p>
        </w:tc>
        <w:tc>
          <w:tcPr>
            <w:tcW w:w="540" w:type="dxa"/>
            <w:tcBorders>
              <w:right w:val="dashSmallGap" w:sz="4" w:space="0" w:color="auto"/>
            </w:tcBorders>
          </w:tcPr>
          <w:p w14:paraId="2E0255F6" w14:textId="77777777" w:rsidR="001F2A4B" w:rsidRPr="00710B91" w:rsidRDefault="001F2A4B" w:rsidP="001F2A4B">
            <w:pPr>
              <w:ind w:right="-29"/>
              <w:jc w:val="center"/>
              <w:rPr>
                <w:noProof/>
                <w:sz w:val="18"/>
              </w:rPr>
            </w:pPr>
          </w:p>
        </w:tc>
        <w:tc>
          <w:tcPr>
            <w:tcW w:w="720" w:type="dxa"/>
            <w:tcBorders>
              <w:left w:val="dashSmallGap" w:sz="4" w:space="0" w:color="auto"/>
            </w:tcBorders>
          </w:tcPr>
          <w:p w14:paraId="2AA87DD5" w14:textId="77777777" w:rsidR="001F2A4B" w:rsidRPr="00710B91" w:rsidRDefault="001F2A4B" w:rsidP="001F2A4B">
            <w:pPr>
              <w:ind w:right="-29"/>
              <w:jc w:val="center"/>
              <w:rPr>
                <w:noProof/>
                <w:sz w:val="18"/>
              </w:rPr>
            </w:pPr>
            <w:r w:rsidRPr="00710B91">
              <w:rPr>
                <w:noProof/>
                <w:sz w:val="18"/>
              </w:rPr>
              <w:t>4,500</w:t>
            </w:r>
          </w:p>
        </w:tc>
        <w:tc>
          <w:tcPr>
            <w:tcW w:w="720" w:type="dxa"/>
            <w:tcBorders>
              <w:right w:val="dashSmallGap" w:sz="4" w:space="0" w:color="auto"/>
            </w:tcBorders>
          </w:tcPr>
          <w:p w14:paraId="1CF02873" w14:textId="77777777" w:rsidR="001F2A4B" w:rsidRPr="00710B91" w:rsidRDefault="001F2A4B" w:rsidP="001F2A4B">
            <w:pPr>
              <w:ind w:right="-29"/>
              <w:jc w:val="center"/>
              <w:rPr>
                <w:noProof/>
                <w:sz w:val="18"/>
              </w:rPr>
            </w:pPr>
          </w:p>
        </w:tc>
        <w:tc>
          <w:tcPr>
            <w:tcW w:w="720" w:type="dxa"/>
            <w:tcBorders>
              <w:left w:val="dashSmallGap" w:sz="4" w:space="0" w:color="auto"/>
            </w:tcBorders>
          </w:tcPr>
          <w:p w14:paraId="444C95F9" w14:textId="77777777" w:rsidR="001F2A4B" w:rsidRPr="00710B91" w:rsidRDefault="001F2A4B" w:rsidP="001F2A4B">
            <w:pPr>
              <w:ind w:right="-29"/>
              <w:jc w:val="center"/>
              <w:rPr>
                <w:noProof/>
                <w:sz w:val="18"/>
              </w:rPr>
            </w:pPr>
          </w:p>
        </w:tc>
        <w:tc>
          <w:tcPr>
            <w:tcW w:w="789" w:type="dxa"/>
            <w:tcBorders>
              <w:right w:val="dashSmallGap" w:sz="4" w:space="0" w:color="auto"/>
            </w:tcBorders>
          </w:tcPr>
          <w:p w14:paraId="49225543" w14:textId="77777777" w:rsidR="001F2A4B" w:rsidRPr="00710B91" w:rsidRDefault="001F2A4B" w:rsidP="001F2A4B">
            <w:pPr>
              <w:ind w:right="-29"/>
              <w:jc w:val="center"/>
              <w:rPr>
                <w:noProof/>
                <w:sz w:val="18"/>
              </w:rPr>
            </w:pPr>
          </w:p>
        </w:tc>
        <w:tc>
          <w:tcPr>
            <w:tcW w:w="831" w:type="dxa"/>
            <w:tcBorders>
              <w:left w:val="dashSmallGap" w:sz="4" w:space="0" w:color="auto"/>
            </w:tcBorders>
          </w:tcPr>
          <w:p w14:paraId="452DC315" w14:textId="77777777" w:rsidR="001F2A4B" w:rsidRPr="00710B91" w:rsidRDefault="001F2A4B" w:rsidP="001F2A4B">
            <w:pPr>
              <w:ind w:right="-29"/>
              <w:jc w:val="center"/>
              <w:rPr>
                <w:noProof/>
                <w:sz w:val="18"/>
              </w:rPr>
            </w:pPr>
          </w:p>
        </w:tc>
        <w:tc>
          <w:tcPr>
            <w:tcW w:w="720" w:type="dxa"/>
          </w:tcPr>
          <w:p w14:paraId="07A1CB02" w14:textId="77777777" w:rsidR="001F2A4B" w:rsidRPr="00710B91" w:rsidRDefault="001F2A4B" w:rsidP="001F2A4B">
            <w:pPr>
              <w:ind w:right="-29"/>
              <w:jc w:val="center"/>
              <w:rPr>
                <w:noProof/>
                <w:sz w:val="18"/>
              </w:rPr>
            </w:pPr>
          </w:p>
        </w:tc>
        <w:tc>
          <w:tcPr>
            <w:tcW w:w="900" w:type="dxa"/>
          </w:tcPr>
          <w:p w14:paraId="64F5BF0D" w14:textId="77777777" w:rsidR="001F2A4B" w:rsidRPr="00710B91" w:rsidRDefault="001F2A4B" w:rsidP="001F2A4B">
            <w:pPr>
              <w:ind w:right="-29"/>
              <w:jc w:val="center"/>
              <w:rPr>
                <w:noProof/>
                <w:sz w:val="18"/>
              </w:rPr>
            </w:pPr>
            <w:r w:rsidRPr="00710B91">
              <w:rPr>
                <w:noProof/>
                <w:sz w:val="18"/>
              </w:rPr>
              <w:t>5,000</w:t>
            </w:r>
          </w:p>
        </w:tc>
      </w:tr>
      <w:tr w:rsidR="001F2A4B" w:rsidRPr="00710B91" w14:paraId="348B830F" w14:textId="77777777" w:rsidTr="001F2A4B">
        <w:trPr>
          <w:trHeight w:hRule="exact" w:val="1840"/>
          <w:jc w:val="center"/>
        </w:trPr>
        <w:tc>
          <w:tcPr>
            <w:tcW w:w="1423" w:type="dxa"/>
            <w:vAlign w:val="center"/>
          </w:tcPr>
          <w:p w14:paraId="58303CEB" w14:textId="542D9BA3" w:rsidR="001F2A4B" w:rsidRPr="00710B91" w:rsidRDefault="001F2A4B" w:rsidP="001F2A4B">
            <w:pPr>
              <w:rPr>
                <w:noProof/>
                <w:sz w:val="18"/>
                <w:szCs w:val="18"/>
              </w:rPr>
            </w:pPr>
            <w:r w:rsidRPr="00710B91">
              <w:rPr>
                <w:noProof/>
                <w:sz w:val="18"/>
                <w:szCs w:val="18"/>
              </w:rPr>
              <w:t>Infrastruktura – opracowywanie środków kontroli bezpieczeństwa, analiza możliwości</w:t>
            </w:r>
            <w:r w:rsidR="00710B91" w:rsidRPr="00710B91">
              <w:rPr>
                <w:noProof/>
                <w:sz w:val="18"/>
                <w:szCs w:val="18"/>
              </w:rPr>
              <w:t xml:space="preserve"> w</w:t>
            </w:r>
            <w:r w:rsidR="00710B91">
              <w:rPr>
                <w:noProof/>
                <w:sz w:val="18"/>
                <w:szCs w:val="18"/>
              </w:rPr>
              <w:t> </w:t>
            </w:r>
            <w:r w:rsidR="00710B91" w:rsidRPr="00710B91">
              <w:rPr>
                <w:noProof/>
                <w:sz w:val="18"/>
                <w:szCs w:val="18"/>
              </w:rPr>
              <w:t>zak</w:t>
            </w:r>
            <w:r w:rsidRPr="00710B91">
              <w:rPr>
                <w:noProof/>
                <w:sz w:val="18"/>
                <w:szCs w:val="18"/>
              </w:rPr>
              <w:t>resie bezpieczeństwa, integracja</w:t>
            </w:r>
            <w:r w:rsidR="00710B91" w:rsidRPr="00710B91">
              <w:rPr>
                <w:noProof/>
                <w:sz w:val="18"/>
                <w:szCs w:val="18"/>
              </w:rPr>
              <w:t xml:space="preserve"> i</w:t>
            </w:r>
            <w:r w:rsidR="00710B91">
              <w:rPr>
                <w:noProof/>
                <w:sz w:val="18"/>
                <w:szCs w:val="18"/>
              </w:rPr>
              <w:t> </w:t>
            </w:r>
            <w:r w:rsidR="00710B91" w:rsidRPr="00710B91">
              <w:rPr>
                <w:noProof/>
                <w:sz w:val="18"/>
                <w:szCs w:val="18"/>
              </w:rPr>
              <w:t>mon</w:t>
            </w:r>
            <w:r w:rsidRPr="00710B91">
              <w:rPr>
                <w:noProof/>
                <w:sz w:val="18"/>
                <w:szCs w:val="18"/>
              </w:rPr>
              <w:t>itorowanie</w:t>
            </w:r>
          </w:p>
        </w:tc>
        <w:tc>
          <w:tcPr>
            <w:tcW w:w="720" w:type="dxa"/>
          </w:tcPr>
          <w:p w14:paraId="4D9DF736" w14:textId="77777777" w:rsidR="001F2A4B" w:rsidRPr="00710B91" w:rsidRDefault="001F2A4B" w:rsidP="001F2A4B">
            <w:pPr>
              <w:ind w:right="-29"/>
              <w:jc w:val="center"/>
              <w:rPr>
                <w:noProof/>
                <w:sz w:val="18"/>
              </w:rPr>
            </w:pPr>
          </w:p>
        </w:tc>
        <w:tc>
          <w:tcPr>
            <w:tcW w:w="701" w:type="dxa"/>
          </w:tcPr>
          <w:p w14:paraId="4021A56A" w14:textId="77777777" w:rsidR="001F2A4B" w:rsidRPr="00710B91" w:rsidRDefault="001F2A4B" w:rsidP="001F2A4B">
            <w:pPr>
              <w:ind w:right="-29"/>
              <w:jc w:val="center"/>
              <w:rPr>
                <w:noProof/>
                <w:sz w:val="18"/>
              </w:rPr>
            </w:pPr>
          </w:p>
        </w:tc>
        <w:tc>
          <w:tcPr>
            <w:tcW w:w="504" w:type="dxa"/>
            <w:tcBorders>
              <w:right w:val="dashSmallGap" w:sz="4" w:space="0" w:color="auto"/>
            </w:tcBorders>
          </w:tcPr>
          <w:p w14:paraId="65D3A255" w14:textId="77777777" w:rsidR="001F2A4B" w:rsidRPr="00710B91" w:rsidRDefault="001F2A4B" w:rsidP="001F2A4B">
            <w:pPr>
              <w:ind w:right="-29"/>
              <w:jc w:val="center"/>
              <w:rPr>
                <w:noProof/>
                <w:sz w:val="18"/>
              </w:rPr>
            </w:pPr>
          </w:p>
        </w:tc>
        <w:tc>
          <w:tcPr>
            <w:tcW w:w="720" w:type="dxa"/>
            <w:tcBorders>
              <w:left w:val="dashSmallGap" w:sz="4" w:space="0" w:color="auto"/>
            </w:tcBorders>
          </w:tcPr>
          <w:p w14:paraId="03077405" w14:textId="77777777" w:rsidR="001F2A4B" w:rsidRPr="00710B91" w:rsidRDefault="001F2A4B" w:rsidP="001F2A4B">
            <w:pPr>
              <w:ind w:right="-29"/>
              <w:jc w:val="center"/>
              <w:rPr>
                <w:noProof/>
                <w:sz w:val="18"/>
              </w:rPr>
            </w:pPr>
            <w:r w:rsidRPr="00710B91">
              <w:rPr>
                <w:noProof/>
                <w:sz w:val="18"/>
              </w:rPr>
              <w:t>1,000</w:t>
            </w:r>
          </w:p>
        </w:tc>
        <w:tc>
          <w:tcPr>
            <w:tcW w:w="540" w:type="dxa"/>
            <w:tcBorders>
              <w:right w:val="dashSmallGap" w:sz="4" w:space="0" w:color="auto"/>
            </w:tcBorders>
          </w:tcPr>
          <w:p w14:paraId="4FFA8ED3" w14:textId="77777777" w:rsidR="001F2A4B" w:rsidRPr="00710B91" w:rsidRDefault="001F2A4B" w:rsidP="001F2A4B">
            <w:pPr>
              <w:ind w:right="-29"/>
              <w:jc w:val="center"/>
              <w:rPr>
                <w:noProof/>
                <w:sz w:val="18"/>
              </w:rPr>
            </w:pPr>
          </w:p>
        </w:tc>
        <w:tc>
          <w:tcPr>
            <w:tcW w:w="720" w:type="dxa"/>
            <w:tcBorders>
              <w:left w:val="dashSmallGap" w:sz="4" w:space="0" w:color="auto"/>
            </w:tcBorders>
          </w:tcPr>
          <w:p w14:paraId="5A461888" w14:textId="77777777" w:rsidR="001F2A4B" w:rsidRPr="00710B91" w:rsidRDefault="001F2A4B" w:rsidP="001F2A4B">
            <w:pPr>
              <w:ind w:right="-29"/>
              <w:jc w:val="center"/>
              <w:rPr>
                <w:noProof/>
                <w:sz w:val="18"/>
              </w:rPr>
            </w:pPr>
            <w:r w:rsidRPr="00710B91">
              <w:rPr>
                <w:noProof/>
                <w:sz w:val="18"/>
              </w:rPr>
              <w:t>0,700</w:t>
            </w:r>
          </w:p>
        </w:tc>
        <w:tc>
          <w:tcPr>
            <w:tcW w:w="720" w:type="dxa"/>
            <w:tcBorders>
              <w:right w:val="dashSmallGap" w:sz="4" w:space="0" w:color="auto"/>
            </w:tcBorders>
          </w:tcPr>
          <w:p w14:paraId="4E280F1E" w14:textId="77777777" w:rsidR="001F2A4B" w:rsidRPr="00710B91" w:rsidRDefault="001F2A4B" w:rsidP="001F2A4B">
            <w:pPr>
              <w:ind w:right="-29"/>
              <w:jc w:val="center"/>
              <w:rPr>
                <w:noProof/>
                <w:sz w:val="18"/>
              </w:rPr>
            </w:pPr>
          </w:p>
        </w:tc>
        <w:tc>
          <w:tcPr>
            <w:tcW w:w="720" w:type="dxa"/>
            <w:tcBorders>
              <w:left w:val="dashSmallGap" w:sz="4" w:space="0" w:color="auto"/>
            </w:tcBorders>
          </w:tcPr>
          <w:p w14:paraId="71D8D972" w14:textId="77777777" w:rsidR="001F2A4B" w:rsidRPr="00710B91" w:rsidRDefault="001F2A4B" w:rsidP="001F2A4B">
            <w:pPr>
              <w:ind w:right="-29"/>
              <w:jc w:val="center"/>
              <w:rPr>
                <w:noProof/>
                <w:sz w:val="18"/>
              </w:rPr>
            </w:pPr>
          </w:p>
        </w:tc>
        <w:tc>
          <w:tcPr>
            <w:tcW w:w="789" w:type="dxa"/>
            <w:tcBorders>
              <w:right w:val="dashSmallGap" w:sz="4" w:space="0" w:color="auto"/>
            </w:tcBorders>
          </w:tcPr>
          <w:p w14:paraId="271AEBAB" w14:textId="77777777" w:rsidR="001F2A4B" w:rsidRPr="00710B91" w:rsidRDefault="001F2A4B" w:rsidP="001F2A4B">
            <w:pPr>
              <w:ind w:right="-29"/>
              <w:jc w:val="center"/>
              <w:rPr>
                <w:noProof/>
                <w:sz w:val="18"/>
              </w:rPr>
            </w:pPr>
          </w:p>
        </w:tc>
        <w:tc>
          <w:tcPr>
            <w:tcW w:w="831" w:type="dxa"/>
            <w:tcBorders>
              <w:left w:val="dashSmallGap" w:sz="4" w:space="0" w:color="auto"/>
            </w:tcBorders>
          </w:tcPr>
          <w:p w14:paraId="4ECFBF56" w14:textId="77777777" w:rsidR="001F2A4B" w:rsidRPr="00710B91" w:rsidRDefault="001F2A4B" w:rsidP="001F2A4B">
            <w:pPr>
              <w:ind w:right="-29"/>
              <w:jc w:val="center"/>
              <w:rPr>
                <w:noProof/>
                <w:sz w:val="18"/>
              </w:rPr>
            </w:pPr>
          </w:p>
        </w:tc>
        <w:tc>
          <w:tcPr>
            <w:tcW w:w="720" w:type="dxa"/>
          </w:tcPr>
          <w:p w14:paraId="12EC1346" w14:textId="77777777" w:rsidR="001F2A4B" w:rsidRPr="00710B91" w:rsidRDefault="001F2A4B" w:rsidP="001F2A4B">
            <w:pPr>
              <w:ind w:right="-29"/>
              <w:jc w:val="center"/>
              <w:rPr>
                <w:noProof/>
                <w:sz w:val="18"/>
              </w:rPr>
            </w:pPr>
          </w:p>
        </w:tc>
        <w:tc>
          <w:tcPr>
            <w:tcW w:w="900" w:type="dxa"/>
          </w:tcPr>
          <w:p w14:paraId="05AC0D6B" w14:textId="77777777" w:rsidR="001F2A4B" w:rsidRPr="00710B91" w:rsidRDefault="001F2A4B" w:rsidP="001F2A4B">
            <w:pPr>
              <w:ind w:right="-29"/>
              <w:jc w:val="center"/>
              <w:rPr>
                <w:noProof/>
                <w:sz w:val="18"/>
              </w:rPr>
            </w:pPr>
            <w:r w:rsidRPr="00710B91">
              <w:rPr>
                <w:noProof/>
                <w:sz w:val="18"/>
              </w:rPr>
              <w:t>1,700</w:t>
            </w:r>
          </w:p>
        </w:tc>
      </w:tr>
      <w:tr w:rsidR="001F2A4B" w:rsidRPr="00710B91" w14:paraId="0FC8A122" w14:textId="77777777" w:rsidTr="001F2A4B">
        <w:trPr>
          <w:trHeight w:hRule="exact" w:val="1433"/>
          <w:jc w:val="center"/>
        </w:trPr>
        <w:tc>
          <w:tcPr>
            <w:tcW w:w="1423" w:type="dxa"/>
            <w:vAlign w:val="center"/>
          </w:tcPr>
          <w:p w14:paraId="672FB156" w14:textId="77777777" w:rsidR="001F2A4B" w:rsidRPr="00710B91" w:rsidRDefault="001F2A4B" w:rsidP="001F2A4B">
            <w:pPr>
              <w:rPr>
                <w:noProof/>
                <w:sz w:val="18"/>
                <w:szCs w:val="18"/>
              </w:rPr>
            </w:pPr>
            <w:r w:rsidRPr="00710B91">
              <w:rPr>
                <w:noProof/>
                <w:sz w:val="18"/>
                <w:szCs w:val="18"/>
              </w:rPr>
              <w:t>Personel wewnętrzny potrzebny do opracowania platformy współpracy zespołów JIT</w:t>
            </w:r>
          </w:p>
        </w:tc>
        <w:tc>
          <w:tcPr>
            <w:tcW w:w="720" w:type="dxa"/>
          </w:tcPr>
          <w:p w14:paraId="2BB316BF" w14:textId="77777777" w:rsidR="001F2A4B" w:rsidRPr="00710B91" w:rsidRDefault="001F2A4B" w:rsidP="001F2A4B">
            <w:pPr>
              <w:ind w:right="-29"/>
              <w:jc w:val="center"/>
              <w:rPr>
                <w:noProof/>
                <w:sz w:val="18"/>
              </w:rPr>
            </w:pPr>
          </w:p>
        </w:tc>
        <w:tc>
          <w:tcPr>
            <w:tcW w:w="701" w:type="dxa"/>
          </w:tcPr>
          <w:p w14:paraId="107C6373" w14:textId="77777777" w:rsidR="001F2A4B" w:rsidRPr="00710B91" w:rsidRDefault="001F2A4B" w:rsidP="001F2A4B">
            <w:pPr>
              <w:ind w:right="-29"/>
              <w:jc w:val="center"/>
              <w:rPr>
                <w:noProof/>
                <w:sz w:val="18"/>
              </w:rPr>
            </w:pPr>
          </w:p>
        </w:tc>
        <w:tc>
          <w:tcPr>
            <w:tcW w:w="504" w:type="dxa"/>
            <w:tcBorders>
              <w:right w:val="dashSmallGap" w:sz="4" w:space="0" w:color="auto"/>
            </w:tcBorders>
          </w:tcPr>
          <w:p w14:paraId="0EFFDFE3" w14:textId="77777777" w:rsidR="001F2A4B" w:rsidRPr="00710B91" w:rsidRDefault="001F2A4B" w:rsidP="001F2A4B">
            <w:pPr>
              <w:ind w:right="-29"/>
              <w:jc w:val="center"/>
              <w:rPr>
                <w:noProof/>
                <w:sz w:val="18"/>
              </w:rPr>
            </w:pPr>
          </w:p>
        </w:tc>
        <w:tc>
          <w:tcPr>
            <w:tcW w:w="720" w:type="dxa"/>
            <w:tcBorders>
              <w:left w:val="dashSmallGap" w:sz="4" w:space="0" w:color="auto"/>
            </w:tcBorders>
          </w:tcPr>
          <w:p w14:paraId="093CC848" w14:textId="77777777" w:rsidR="001F2A4B" w:rsidRPr="00710B91" w:rsidRDefault="001F2A4B" w:rsidP="001F2A4B">
            <w:pPr>
              <w:ind w:right="-29"/>
              <w:jc w:val="center"/>
              <w:rPr>
                <w:noProof/>
                <w:sz w:val="18"/>
              </w:rPr>
            </w:pPr>
            <w:r w:rsidRPr="00710B91">
              <w:rPr>
                <w:noProof/>
                <w:sz w:val="18"/>
              </w:rPr>
              <w:t>0,608</w:t>
            </w:r>
          </w:p>
        </w:tc>
        <w:tc>
          <w:tcPr>
            <w:tcW w:w="540" w:type="dxa"/>
            <w:tcBorders>
              <w:right w:val="dashSmallGap" w:sz="4" w:space="0" w:color="auto"/>
            </w:tcBorders>
          </w:tcPr>
          <w:p w14:paraId="7BDC2A33" w14:textId="77777777" w:rsidR="001F2A4B" w:rsidRPr="00710B91" w:rsidRDefault="001F2A4B" w:rsidP="001F2A4B">
            <w:pPr>
              <w:ind w:right="-29"/>
              <w:jc w:val="center"/>
              <w:rPr>
                <w:noProof/>
                <w:sz w:val="18"/>
              </w:rPr>
            </w:pPr>
          </w:p>
        </w:tc>
        <w:tc>
          <w:tcPr>
            <w:tcW w:w="720" w:type="dxa"/>
            <w:tcBorders>
              <w:left w:val="dashSmallGap" w:sz="4" w:space="0" w:color="auto"/>
            </w:tcBorders>
          </w:tcPr>
          <w:p w14:paraId="484BE1A2" w14:textId="77777777" w:rsidR="001F2A4B" w:rsidRPr="00710B91" w:rsidRDefault="001F2A4B" w:rsidP="001F2A4B">
            <w:pPr>
              <w:ind w:right="-29"/>
              <w:jc w:val="center"/>
              <w:rPr>
                <w:noProof/>
                <w:sz w:val="18"/>
              </w:rPr>
            </w:pPr>
            <w:r w:rsidRPr="00710B91">
              <w:rPr>
                <w:noProof/>
                <w:sz w:val="18"/>
              </w:rPr>
              <w:t>1,216</w:t>
            </w:r>
          </w:p>
        </w:tc>
        <w:tc>
          <w:tcPr>
            <w:tcW w:w="720" w:type="dxa"/>
            <w:tcBorders>
              <w:right w:val="dashSmallGap" w:sz="4" w:space="0" w:color="auto"/>
            </w:tcBorders>
          </w:tcPr>
          <w:p w14:paraId="221BEE7A" w14:textId="77777777" w:rsidR="001F2A4B" w:rsidRPr="00710B91" w:rsidRDefault="001F2A4B" w:rsidP="001F2A4B">
            <w:pPr>
              <w:ind w:right="-29"/>
              <w:jc w:val="center"/>
              <w:rPr>
                <w:noProof/>
                <w:sz w:val="18"/>
              </w:rPr>
            </w:pPr>
          </w:p>
        </w:tc>
        <w:tc>
          <w:tcPr>
            <w:tcW w:w="720" w:type="dxa"/>
            <w:tcBorders>
              <w:left w:val="dashSmallGap" w:sz="4" w:space="0" w:color="auto"/>
            </w:tcBorders>
          </w:tcPr>
          <w:p w14:paraId="24988401" w14:textId="77777777" w:rsidR="001F2A4B" w:rsidRPr="00710B91" w:rsidRDefault="001F2A4B" w:rsidP="001F2A4B">
            <w:pPr>
              <w:ind w:right="-29"/>
              <w:jc w:val="center"/>
              <w:rPr>
                <w:noProof/>
                <w:sz w:val="18"/>
              </w:rPr>
            </w:pPr>
          </w:p>
        </w:tc>
        <w:tc>
          <w:tcPr>
            <w:tcW w:w="789" w:type="dxa"/>
            <w:tcBorders>
              <w:right w:val="dashSmallGap" w:sz="4" w:space="0" w:color="auto"/>
            </w:tcBorders>
          </w:tcPr>
          <w:p w14:paraId="0A0CF15C" w14:textId="77777777" w:rsidR="001F2A4B" w:rsidRPr="00710B91" w:rsidRDefault="001F2A4B" w:rsidP="001F2A4B">
            <w:pPr>
              <w:ind w:right="-29"/>
              <w:jc w:val="center"/>
              <w:rPr>
                <w:noProof/>
                <w:sz w:val="18"/>
              </w:rPr>
            </w:pPr>
          </w:p>
        </w:tc>
        <w:tc>
          <w:tcPr>
            <w:tcW w:w="831" w:type="dxa"/>
            <w:tcBorders>
              <w:left w:val="dashSmallGap" w:sz="4" w:space="0" w:color="auto"/>
            </w:tcBorders>
          </w:tcPr>
          <w:p w14:paraId="2D94057A" w14:textId="77777777" w:rsidR="001F2A4B" w:rsidRPr="00710B91" w:rsidRDefault="001F2A4B" w:rsidP="001F2A4B">
            <w:pPr>
              <w:ind w:right="-29"/>
              <w:jc w:val="center"/>
              <w:rPr>
                <w:noProof/>
                <w:sz w:val="18"/>
              </w:rPr>
            </w:pPr>
          </w:p>
        </w:tc>
        <w:tc>
          <w:tcPr>
            <w:tcW w:w="720" w:type="dxa"/>
          </w:tcPr>
          <w:p w14:paraId="22A2F5DC" w14:textId="77777777" w:rsidR="001F2A4B" w:rsidRPr="00710B91" w:rsidRDefault="001F2A4B" w:rsidP="001F2A4B">
            <w:pPr>
              <w:ind w:right="-29"/>
              <w:jc w:val="center"/>
              <w:rPr>
                <w:noProof/>
                <w:sz w:val="18"/>
              </w:rPr>
            </w:pPr>
          </w:p>
        </w:tc>
        <w:tc>
          <w:tcPr>
            <w:tcW w:w="900" w:type="dxa"/>
          </w:tcPr>
          <w:p w14:paraId="60BEB8E9" w14:textId="77777777" w:rsidR="001F2A4B" w:rsidRPr="00710B91" w:rsidRDefault="001F2A4B" w:rsidP="001F2A4B">
            <w:pPr>
              <w:ind w:right="-29"/>
              <w:jc w:val="center"/>
              <w:rPr>
                <w:noProof/>
                <w:sz w:val="18"/>
              </w:rPr>
            </w:pPr>
            <w:r w:rsidRPr="00710B91">
              <w:rPr>
                <w:noProof/>
                <w:sz w:val="18"/>
              </w:rPr>
              <w:t>1,824</w:t>
            </w:r>
          </w:p>
        </w:tc>
      </w:tr>
      <w:tr w:rsidR="001F2A4B" w:rsidRPr="00710B91" w14:paraId="6A431DBC" w14:textId="77777777" w:rsidTr="001F2A4B">
        <w:trPr>
          <w:jc w:val="center"/>
        </w:trPr>
        <w:tc>
          <w:tcPr>
            <w:tcW w:w="2844" w:type="dxa"/>
            <w:gridSpan w:val="3"/>
            <w:tcBorders>
              <w:bottom w:val="single" w:sz="12" w:space="0" w:color="auto"/>
            </w:tcBorders>
            <w:vAlign w:val="center"/>
          </w:tcPr>
          <w:p w14:paraId="1EDA4AB4" w14:textId="3341FC47" w:rsidR="001F2A4B" w:rsidRPr="00710B91" w:rsidRDefault="001F2A4B" w:rsidP="001F2A4B">
            <w:pPr>
              <w:ind w:right="-29"/>
              <w:jc w:val="center"/>
              <w:rPr>
                <w:noProof/>
                <w:sz w:val="18"/>
              </w:rPr>
            </w:pPr>
            <w:r w:rsidRPr="00710B91">
              <w:rPr>
                <w:noProof/>
                <w:sz w:val="18"/>
              </w:rPr>
              <w:t>Cel szczegółowy nr</w:t>
            </w:r>
            <w:r w:rsidR="00710B91" w:rsidRPr="00710B91">
              <w:rPr>
                <w:noProof/>
                <w:sz w:val="18"/>
              </w:rPr>
              <w:t> </w:t>
            </w:r>
            <w:r w:rsidRPr="00710B91">
              <w:rPr>
                <w:noProof/>
                <w:sz w:val="18"/>
              </w:rPr>
              <w:t>1 – suma cząstkowa</w:t>
            </w:r>
          </w:p>
        </w:tc>
        <w:tc>
          <w:tcPr>
            <w:tcW w:w="504" w:type="dxa"/>
            <w:tcBorders>
              <w:bottom w:val="single" w:sz="12" w:space="0" w:color="auto"/>
            </w:tcBorders>
          </w:tcPr>
          <w:p w14:paraId="37709B75" w14:textId="77777777" w:rsidR="001F2A4B" w:rsidRPr="00710B91" w:rsidRDefault="001F2A4B" w:rsidP="001F2A4B">
            <w:pPr>
              <w:ind w:right="-29"/>
              <w:jc w:val="center"/>
              <w:rPr>
                <w:noProof/>
                <w:sz w:val="18"/>
              </w:rPr>
            </w:pPr>
          </w:p>
        </w:tc>
        <w:tc>
          <w:tcPr>
            <w:tcW w:w="720" w:type="dxa"/>
            <w:tcBorders>
              <w:bottom w:val="single" w:sz="12" w:space="0" w:color="auto"/>
            </w:tcBorders>
          </w:tcPr>
          <w:p w14:paraId="76089697" w14:textId="77777777" w:rsidR="001F2A4B" w:rsidRPr="00710B91" w:rsidRDefault="001F2A4B" w:rsidP="001F2A4B">
            <w:pPr>
              <w:ind w:right="-29"/>
              <w:jc w:val="center"/>
              <w:rPr>
                <w:noProof/>
                <w:sz w:val="18"/>
              </w:rPr>
            </w:pPr>
            <w:r w:rsidRPr="00710B91">
              <w:rPr>
                <w:noProof/>
                <w:sz w:val="18"/>
              </w:rPr>
              <w:t>3,608</w:t>
            </w:r>
          </w:p>
        </w:tc>
        <w:tc>
          <w:tcPr>
            <w:tcW w:w="540" w:type="dxa"/>
            <w:tcBorders>
              <w:bottom w:val="single" w:sz="12" w:space="0" w:color="auto"/>
            </w:tcBorders>
          </w:tcPr>
          <w:p w14:paraId="42861CCF" w14:textId="77777777" w:rsidR="001F2A4B" w:rsidRPr="00710B91" w:rsidRDefault="001F2A4B" w:rsidP="001F2A4B">
            <w:pPr>
              <w:ind w:right="-29"/>
              <w:jc w:val="center"/>
              <w:rPr>
                <w:noProof/>
                <w:sz w:val="18"/>
              </w:rPr>
            </w:pPr>
          </w:p>
        </w:tc>
        <w:tc>
          <w:tcPr>
            <w:tcW w:w="720" w:type="dxa"/>
            <w:tcBorders>
              <w:bottom w:val="single" w:sz="12" w:space="0" w:color="auto"/>
            </w:tcBorders>
          </w:tcPr>
          <w:p w14:paraId="2E0C1814" w14:textId="77777777" w:rsidR="001F2A4B" w:rsidRPr="00710B91" w:rsidRDefault="001F2A4B" w:rsidP="001F2A4B">
            <w:pPr>
              <w:ind w:right="-29"/>
              <w:jc w:val="center"/>
              <w:rPr>
                <w:noProof/>
                <w:sz w:val="18"/>
              </w:rPr>
            </w:pPr>
            <w:r w:rsidRPr="00710B91">
              <w:rPr>
                <w:noProof/>
                <w:sz w:val="18"/>
              </w:rPr>
              <w:t>6,616</w:t>
            </w:r>
          </w:p>
        </w:tc>
        <w:tc>
          <w:tcPr>
            <w:tcW w:w="720" w:type="dxa"/>
            <w:tcBorders>
              <w:bottom w:val="single" w:sz="12" w:space="0" w:color="auto"/>
            </w:tcBorders>
          </w:tcPr>
          <w:p w14:paraId="210479CE" w14:textId="77777777" w:rsidR="001F2A4B" w:rsidRPr="00710B91" w:rsidRDefault="001F2A4B" w:rsidP="001F2A4B">
            <w:pPr>
              <w:ind w:right="-29"/>
              <w:jc w:val="center"/>
              <w:rPr>
                <w:noProof/>
                <w:sz w:val="18"/>
              </w:rPr>
            </w:pPr>
          </w:p>
        </w:tc>
        <w:tc>
          <w:tcPr>
            <w:tcW w:w="720" w:type="dxa"/>
            <w:tcBorders>
              <w:bottom w:val="single" w:sz="12" w:space="0" w:color="auto"/>
            </w:tcBorders>
          </w:tcPr>
          <w:p w14:paraId="43C192B3" w14:textId="77777777" w:rsidR="001F2A4B" w:rsidRPr="00710B91" w:rsidRDefault="001F2A4B" w:rsidP="001F2A4B">
            <w:pPr>
              <w:ind w:right="-29"/>
              <w:jc w:val="center"/>
              <w:rPr>
                <w:noProof/>
                <w:sz w:val="18"/>
              </w:rPr>
            </w:pPr>
          </w:p>
        </w:tc>
        <w:tc>
          <w:tcPr>
            <w:tcW w:w="789" w:type="dxa"/>
            <w:tcBorders>
              <w:bottom w:val="single" w:sz="12" w:space="0" w:color="auto"/>
            </w:tcBorders>
          </w:tcPr>
          <w:p w14:paraId="7425C613" w14:textId="77777777" w:rsidR="001F2A4B" w:rsidRPr="00710B91" w:rsidRDefault="001F2A4B" w:rsidP="001F2A4B">
            <w:pPr>
              <w:ind w:right="-29"/>
              <w:jc w:val="center"/>
              <w:rPr>
                <w:noProof/>
                <w:sz w:val="18"/>
              </w:rPr>
            </w:pPr>
          </w:p>
        </w:tc>
        <w:tc>
          <w:tcPr>
            <w:tcW w:w="831" w:type="dxa"/>
            <w:tcBorders>
              <w:bottom w:val="single" w:sz="12" w:space="0" w:color="auto"/>
            </w:tcBorders>
          </w:tcPr>
          <w:p w14:paraId="682CBA11" w14:textId="77777777" w:rsidR="001F2A4B" w:rsidRPr="00710B91" w:rsidRDefault="001F2A4B" w:rsidP="001F2A4B">
            <w:pPr>
              <w:ind w:right="-29"/>
              <w:jc w:val="center"/>
              <w:rPr>
                <w:noProof/>
                <w:sz w:val="18"/>
              </w:rPr>
            </w:pPr>
          </w:p>
        </w:tc>
        <w:tc>
          <w:tcPr>
            <w:tcW w:w="720" w:type="dxa"/>
            <w:tcBorders>
              <w:bottom w:val="single" w:sz="12" w:space="0" w:color="auto"/>
            </w:tcBorders>
          </w:tcPr>
          <w:p w14:paraId="16EAFF10" w14:textId="77777777" w:rsidR="001F2A4B" w:rsidRPr="00710B91" w:rsidRDefault="001F2A4B" w:rsidP="001F2A4B">
            <w:pPr>
              <w:ind w:right="-29"/>
              <w:jc w:val="center"/>
              <w:rPr>
                <w:noProof/>
                <w:sz w:val="18"/>
              </w:rPr>
            </w:pPr>
          </w:p>
        </w:tc>
        <w:tc>
          <w:tcPr>
            <w:tcW w:w="900" w:type="dxa"/>
            <w:tcBorders>
              <w:bottom w:val="single" w:sz="12" w:space="0" w:color="auto"/>
            </w:tcBorders>
          </w:tcPr>
          <w:p w14:paraId="5047B6F8" w14:textId="77777777" w:rsidR="001F2A4B" w:rsidRPr="00710B91" w:rsidRDefault="001F2A4B" w:rsidP="001F2A4B">
            <w:pPr>
              <w:ind w:right="-29"/>
              <w:jc w:val="center"/>
              <w:rPr>
                <w:noProof/>
                <w:sz w:val="18"/>
              </w:rPr>
            </w:pPr>
            <w:r w:rsidRPr="00710B91">
              <w:rPr>
                <w:noProof/>
                <w:sz w:val="18"/>
              </w:rPr>
              <w:t>10,224</w:t>
            </w:r>
          </w:p>
        </w:tc>
      </w:tr>
      <w:tr w:rsidR="001F2A4B" w:rsidRPr="00710B91" w14:paraId="0D70EAA5" w14:textId="77777777" w:rsidTr="001F2A4B">
        <w:trPr>
          <w:jc w:val="center"/>
        </w:trPr>
        <w:tc>
          <w:tcPr>
            <w:tcW w:w="2844" w:type="dxa"/>
            <w:gridSpan w:val="3"/>
            <w:vAlign w:val="center"/>
          </w:tcPr>
          <w:p w14:paraId="2BD8A6BD" w14:textId="68F6BEF2" w:rsidR="001F2A4B" w:rsidRPr="00710B91" w:rsidRDefault="001F2A4B" w:rsidP="001F2A4B">
            <w:pPr>
              <w:spacing w:before="60" w:after="60"/>
              <w:ind w:right="-29"/>
              <w:jc w:val="center"/>
              <w:rPr>
                <w:noProof/>
                <w:sz w:val="18"/>
              </w:rPr>
            </w:pPr>
            <w:r w:rsidRPr="00710B91">
              <w:rPr>
                <w:noProof/>
                <w:sz w:val="18"/>
              </w:rPr>
              <w:t>CEL SZCZEGÓŁOWY nr</w:t>
            </w:r>
            <w:r w:rsidR="00710B91" w:rsidRPr="00710B91">
              <w:rPr>
                <w:noProof/>
                <w:sz w:val="18"/>
              </w:rPr>
              <w:t> </w:t>
            </w:r>
            <w:r w:rsidRPr="00710B91">
              <w:rPr>
                <w:noProof/>
                <w:sz w:val="18"/>
              </w:rPr>
              <w:t>2</w:t>
            </w:r>
          </w:p>
          <w:p w14:paraId="31817AA6" w14:textId="63A039C1" w:rsidR="001F2A4B" w:rsidRPr="00710B91" w:rsidRDefault="001F2A4B" w:rsidP="001F2A4B">
            <w:pPr>
              <w:spacing w:before="60" w:after="60"/>
              <w:ind w:right="-29"/>
              <w:jc w:val="center"/>
              <w:rPr>
                <w:noProof/>
                <w:sz w:val="18"/>
              </w:rPr>
            </w:pPr>
            <w:r w:rsidRPr="00710B91">
              <w:rPr>
                <w:noProof/>
                <w:sz w:val="18"/>
              </w:rPr>
              <w:t>Utrzymanie</w:t>
            </w:r>
            <w:r w:rsidR="00710B91" w:rsidRPr="00710B91">
              <w:rPr>
                <w:noProof/>
                <w:sz w:val="18"/>
              </w:rPr>
              <w:t xml:space="preserve"> i</w:t>
            </w:r>
            <w:r w:rsidR="00710B91">
              <w:rPr>
                <w:noProof/>
                <w:sz w:val="18"/>
              </w:rPr>
              <w:t> </w:t>
            </w:r>
            <w:r w:rsidR="00710B91" w:rsidRPr="00710B91">
              <w:rPr>
                <w:noProof/>
                <w:sz w:val="18"/>
              </w:rPr>
              <w:t>obs</w:t>
            </w:r>
            <w:r w:rsidRPr="00710B91">
              <w:rPr>
                <w:noProof/>
                <w:sz w:val="18"/>
              </w:rPr>
              <w:t>ługa platformy współpracy zespołów JIT</w:t>
            </w:r>
          </w:p>
        </w:tc>
        <w:tc>
          <w:tcPr>
            <w:tcW w:w="504" w:type="dxa"/>
            <w:tcBorders>
              <w:top w:val="nil"/>
              <w:left w:val="nil"/>
              <w:bottom w:val="nil"/>
              <w:right w:val="nil"/>
            </w:tcBorders>
          </w:tcPr>
          <w:p w14:paraId="4F4B11EA" w14:textId="77777777" w:rsidR="001F2A4B" w:rsidRPr="00710B91" w:rsidRDefault="001F2A4B" w:rsidP="001F2A4B">
            <w:pPr>
              <w:spacing w:before="60" w:after="60"/>
              <w:ind w:right="-29"/>
              <w:jc w:val="center"/>
              <w:rPr>
                <w:noProof/>
                <w:sz w:val="18"/>
              </w:rPr>
            </w:pPr>
          </w:p>
        </w:tc>
        <w:tc>
          <w:tcPr>
            <w:tcW w:w="720" w:type="dxa"/>
            <w:tcBorders>
              <w:top w:val="nil"/>
              <w:left w:val="nil"/>
              <w:bottom w:val="nil"/>
              <w:right w:val="nil"/>
            </w:tcBorders>
          </w:tcPr>
          <w:p w14:paraId="0DFB0F29" w14:textId="77777777" w:rsidR="001F2A4B" w:rsidRPr="00710B91" w:rsidRDefault="001F2A4B" w:rsidP="001F2A4B">
            <w:pPr>
              <w:spacing w:before="60" w:after="60"/>
              <w:ind w:right="-29"/>
              <w:jc w:val="center"/>
              <w:rPr>
                <w:noProof/>
                <w:sz w:val="18"/>
              </w:rPr>
            </w:pPr>
          </w:p>
        </w:tc>
        <w:tc>
          <w:tcPr>
            <w:tcW w:w="540" w:type="dxa"/>
            <w:tcBorders>
              <w:top w:val="nil"/>
              <w:left w:val="nil"/>
              <w:bottom w:val="nil"/>
              <w:right w:val="nil"/>
            </w:tcBorders>
          </w:tcPr>
          <w:p w14:paraId="73814081" w14:textId="77777777" w:rsidR="001F2A4B" w:rsidRPr="00710B91" w:rsidRDefault="001F2A4B" w:rsidP="001F2A4B">
            <w:pPr>
              <w:spacing w:before="60" w:after="60"/>
              <w:ind w:right="-29"/>
              <w:jc w:val="center"/>
              <w:rPr>
                <w:noProof/>
                <w:sz w:val="18"/>
              </w:rPr>
            </w:pPr>
          </w:p>
        </w:tc>
        <w:tc>
          <w:tcPr>
            <w:tcW w:w="720" w:type="dxa"/>
            <w:tcBorders>
              <w:top w:val="nil"/>
              <w:left w:val="nil"/>
              <w:bottom w:val="nil"/>
              <w:right w:val="nil"/>
            </w:tcBorders>
          </w:tcPr>
          <w:p w14:paraId="40947FF0" w14:textId="77777777" w:rsidR="001F2A4B" w:rsidRPr="00710B91" w:rsidRDefault="001F2A4B" w:rsidP="001F2A4B">
            <w:pPr>
              <w:spacing w:before="60" w:after="60"/>
              <w:ind w:right="-29"/>
              <w:jc w:val="center"/>
              <w:rPr>
                <w:noProof/>
                <w:sz w:val="18"/>
              </w:rPr>
            </w:pPr>
          </w:p>
        </w:tc>
        <w:tc>
          <w:tcPr>
            <w:tcW w:w="720" w:type="dxa"/>
            <w:tcBorders>
              <w:top w:val="nil"/>
              <w:left w:val="nil"/>
              <w:bottom w:val="nil"/>
              <w:right w:val="nil"/>
            </w:tcBorders>
          </w:tcPr>
          <w:p w14:paraId="1BFCE365" w14:textId="77777777" w:rsidR="001F2A4B" w:rsidRPr="00710B91" w:rsidRDefault="001F2A4B" w:rsidP="001F2A4B">
            <w:pPr>
              <w:spacing w:before="60" w:after="60"/>
              <w:ind w:right="-29"/>
              <w:jc w:val="center"/>
              <w:rPr>
                <w:noProof/>
                <w:sz w:val="18"/>
              </w:rPr>
            </w:pPr>
          </w:p>
        </w:tc>
        <w:tc>
          <w:tcPr>
            <w:tcW w:w="720" w:type="dxa"/>
            <w:tcBorders>
              <w:top w:val="nil"/>
              <w:left w:val="nil"/>
              <w:bottom w:val="nil"/>
              <w:right w:val="nil"/>
            </w:tcBorders>
          </w:tcPr>
          <w:p w14:paraId="4FAC5EED" w14:textId="77777777" w:rsidR="001F2A4B" w:rsidRPr="00710B91" w:rsidRDefault="001F2A4B" w:rsidP="001F2A4B">
            <w:pPr>
              <w:spacing w:before="60" w:after="60"/>
              <w:ind w:right="-29"/>
              <w:jc w:val="center"/>
              <w:rPr>
                <w:noProof/>
                <w:sz w:val="18"/>
              </w:rPr>
            </w:pPr>
          </w:p>
        </w:tc>
        <w:tc>
          <w:tcPr>
            <w:tcW w:w="789" w:type="dxa"/>
            <w:tcBorders>
              <w:top w:val="nil"/>
              <w:left w:val="nil"/>
              <w:bottom w:val="nil"/>
              <w:right w:val="nil"/>
            </w:tcBorders>
          </w:tcPr>
          <w:p w14:paraId="22C27DA5" w14:textId="77777777" w:rsidR="001F2A4B" w:rsidRPr="00710B91" w:rsidRDefault="001F2A4B" w:rsidP="001F2A4B">
            <w:pPr>
              <w:spacing w:before="60" w:after="60"/>
              <w:ind w:right="-29"/>
              <w:jc w:val="center"/>
              <w:rPr>
                <w:noProof/>
                <w:sz w:val="18"/>
              </w:rPr>
            </w:pPr>
          </w:p>
        </w:tc>
        <w:tc>
          <w:tcPr>
            <w:tcW w:w="831" w:type="dxa"/>
            <w:tcBorders>
              <w:top w:val="nil"/>
              <w:left w:val="nil"/>
              <w:bottom w:val="nil"/>
              <w:right w:val="nil"/>
            </w:tcBorders>
          </w:tcPr>
          <w:p w14:paraId="1A5AEABA" w14:textId="77777777" w:rsidR="001F2A4B" w:rsidRPr="00710B91" w:rsidRDefault="001F2A4B" w:rsidP="001F2A4B">
            <w:pPr>
              <w:spacing w:before="60" w:after="60"/>
              <w:ind w:right="-29"/>
              <w:jc w:val="center"/>
              <w:rPr>
                <w:noProof/>
                <w:sz w:val="18"/>
              </w:rPr>
            </w:pPr>
          </w:p>
        </w:tc>
        <w:tc>
          <w:tcPr>
            <w:tcW w:w="720" w:type="dxa"/>
            <w:tcBorders>
              <w:top w:val="nil"/>
              <w:left w:val="nil"/>
              <w:bottom w:val="nil"/>
              <w:right w:val="nil"/>
            </w:tcBorders>
          </w:tcPr>
          <w:p w14:paraId="2CEB957F" w14:textId="77777777" w:rsidR="001F2A4B" w:rsidRPr="00710B91" w:rsidRDefault="001F2A4B" w:rsidP="001F2A4B">
            <w:pPr>
              <w:spacing w:before="60" w:after="60"/>
              <w:ind w:right="-29"/>
              <w:jc w:val="center"/>
              <w:rPr>
                <w:noProof/>
                <w:sz w:val="18"/>
              </w:rPr>
            </w:pPr>
          </w:p>
        </w:tc>
        <w:tc>
          <w:tcPr>
            <w:tcW w:w="900" w:type="dxa"/>
            <w:tcBorders>
              <w:top w:val="nil"/>
              <w:left w:val="nil"/>
              <w:bottom w:val="nil"/>
              <w:right w:val="nil"/>
            </w:tcBorders>
          </w:tcPr>
          <w:p w14:paraId="64D2FE41" w14:textId="77777777" w:rsidR="001F2A4B" w:rsidRPr="00710B91" w:rsidRDefault="001F2A4B" w:rsidP="001F2A4B">
            <w:pPr>
              <w:spacing w:before="60" w:after="60"/>
              <w:ind w:right="-29"/>
              <w:jc w:val="center"/>
              <w:rPr>
                <w:noProof/>
                <w:sz w:val="18"/>
              </w:rPr>
            </w:pPr>
          </w:p>
        </w:tc>
      </w:tr>
      <w:tr w:rsidR="001F2A4B" w:rsidRPr="00710B91" w14:paraId="632DD4CF" w14:textId="77777777" w:rsidTr="001F2A4B">
        <w:trPr>
          <w:trHeight w:hRule="exact" w:val="691"/>
          <w:jc w:val="center"/>
        </w:trPr>
        <w:tc>
          <w:tcPr>
            <w:tcW w:w="1423" w:type="dxa"/>
          </w:tcPr>
          <w:p w14:paraId="3FE6660D" w14:textId="77777777" w:rsidR="001F2A4B" w:rsidRPr="00710B91" w:rsidRDefault="001F2A4B" w:rsidP="001F2A4B">
            <w:pPr>
              <w:ind w:right="-29"/>
              <w:rPr>
                <w:noProof/>
                <w:sz w:val="18"/>
              </w:rPr>
            </w:pPr>
            <w:r w:rsidRPr="00710B91">
              <w:rPr>
                <w:noProof/>
                <w:sz w:val="18"/>
                <w:szCs w:val="18"/>
              </w:rPr>
              <w:t>Infrastruktura – kontrole bezpieczeństwa</w:t>
            </w:r>
          </w:p>
        </w:tc>
        <w:tc>
          <w:tcPr>
            <w:tcW w:w="720" w:type="dxa"/>
          </w:tcPr>
          <w:p w14:paraId="04E5DDB6" w14:textId="77777777" w:rsidR="001F2A4B" w:rsidRPr="00710B91" w:rsidRDefault="001F2A4B" w:rsidP="001F2A4B">
            <w:pPr>
              <w:ind w:right="-29"/>
              <w:jc w:val="center"/>
              <w:rPr>
                <w:noProof/>
                <w:sz w:val="18"/>
              </w:rPr>
            </w:pPr>
          </w:p>
        </w:tc>
        <w:tc>
          <w:tcPr>
            <w:tcW w:w="701" w:type="dxa"/>
          </w:tcPr>
          <w:p w14:paraId="0177528F" w14:textId="77777777" w:rsidR="001F2A4B" w:rsidRPr="00710B91" w:rsidRDefault="001F2A4B" w:rsidP="001F2A4B">
            <w:pPr>
              <w:ind w:right="-29"/>
              <w:jc w:val="center"/>
              <w:rPr>
                <w:noProof/>
                <w:sz w:val="18"/>
              </w:rPr>
            </w:pPr>
          </w:p>
        </w:tc>
        <w:tc>
          <w:tcPr>
            <w:tcW w:w="504" w:type="dxa"/>
          </w:tcPr>
          <w:p w14:paraId="59A6D758" w14:textId="77777777" w:rsidR="001F2A4B" w:rsidRPr="00710B91" w:rsidRDefault="001F2A4B" w:rsidP="001F2A4B">
            <w:pPr>
              <w:ind w:right="-29"/>
              <w:jc w:val="center"/>
              <w:rPr>
                <w:noProof/>
                <w:sz w:val="18"/>
              </w:rPr>
            </w:pPr>
          </w:p>
        </w:tc>
        <w:tc>
          <w:tcPr>
            <w:tcW w:w="720" w:type="dxa"/>
          </w:tcPr>
          <w:p w14:paraId="70A028ED" w14:textId="77777777" w:rsidR="001F2A4B" w:rsidRPr="00710B91" w:rsidRDefault="001F2A4B" w:rsidP="001F2A4B">
            <w:pPr>
              <w:ind w:right="-29"/>
              <w:jc w:val="center"/>
              <w:rPr>
                <w:noProof/>
                <w:sz w:val="18"/>
              </w:rPr>
            </w:pPr>
          </w:p>
        </w:tc>
        <w:tc>
          <w:tcPr>
            <w:tcW w:w="540" w:type="dxa"/>
          </w:tcPr>
          <w:p w14:paraId="4B4F0F39" w14:textId="77777777" w:rsidR="001F2A4B" w:rsidRPr="00710B91" w:rsidRDefault="001F2A4B" w:rsidP="001F2A4B">
            <w:pPr>
              <w:ind w:right="-29"/>
              <w:jc w:val="center"/>
              <w:rPr>
                <w:noProof/>
                <w:sz w:val="18"/>
              </w:rPr>
            </w:pPr>
          </w:p>
        </w:tc>
        <w:tc>
          <w:tcPr>
            <w:tcW w:w="720" w:type="dxa"/>
          </w:tcPr>
          <w:p w14:paraId="3307D2C0" w14:textId="77777777" w:rsidR="001F2A4B" w:rsidRPr="00710B91" w:rsidRDefault="001F2A4B" w:rsidP="001F2A4B">
            <w:pPr>
              <w:ind w:right="-29"/>
              <w:jc w:val="center"/>
              <w:rPr>
                <w:noProof/>
                <w:sz w:val="18"/>
              </w:rPr>
            </w:pPr>
          </w:p>
        </w:tc>
        <w:tc>
          <w:tcPr>
            <w:tcW w:w="720" w:type="dxa"/>
          </w:tcPr>
          <w:p w14:paraId="4E2CEFCF" w14:textId="77777777" w:rsidR="001F2A4B" w:rsidRPr="00710B91" w:rsidRDefault="001F2A4B" w:rsidP="001F2A4B">
            <w:pPr>
              <w:ind w:right="-29"/>
              <w:jc w:val="center"/>
              <w:rPr>
                <w:noProof/>
                <w:sz w:val="18"/>
              </w:rPr>
            </w:pPr>
          </w:p>
        </w:tc>
        <w:tc>
          <w:tcPr>
            <w:tcW w:w="720" w:type="dxa"/>
          </w:tcPr>
          <w:p w14:paraId="2CF8ACCB" w14:textId="77777777" w:rsidR="001F2A4B" w:rsidRPr="00710B91" w:rsidRDefault="001F2A4B" w:rsidP="001F2A4B">
            <w:pPr>
              <w:ind w:right="-29"/>
              <w:jc w:val="center"/>
              <w:rPr>
                <w:noProof/>
                <w:sz w:val="18"/>
              </w:rPr>
            </w:pPr>
            <w:r w:rsidRPr="00710B91">
              <w:rPr>
                <w:noProof/>
                <w:sz w:val="18"/>
              </w:rPr>
              <w:t>0,700</w:t>
            </w:r>
          </w:p>
        </w:tc>
        <w:tc>
          <w:tcPr>
            <w:tcW w:w="789" w:type="dxa"/>
          </w:tcPr>
          <w:p w14:paraId="5B09C45B" w14:textId="77777777" w:rsidR="001F2A4B" w:rsidRPr="00710B91" w:rsidRDefault="001F2A4B" w:rsidP="001F2A4B">
            <w:pPr>
              <w:ind w:right="-29"/>
              <w:jc w:val="center"/>
              <w:rPr>
                <w:noProof/>
                <w:sz w:val="18"/>
              </w:rPr>
            </w:pPr>
          </w:p>
        </w:tc>
        <w:tc>
          <w:tcPr>
            <w:tcW w:w="831" w:type="dxa"/>
          </w:tcPr>
          <w:p w14:paraId="20BEC462" w14:textId="77777777" w:rsidR="001F2A4B" w:rsidRPr="00710B91" w:rsidRDefault="001F2A4B" w:rsidP="001F2A4B">
            <w:pPr>
              <w:ind w:right="-29"/>
              <w:jc w:val="center"/>
              <w:rPr>
                <w:noProof/>
                <w:sz w:val="18"/>
              </w:rPr>
            </w:pPr>
            <w:r w:rsidRPr="00710B91">
              <w:rPr>
                <w:noProof/>
                <w:sz w:val="18"/>
              </w:rPr>
              <w:t>0,700</w:t>
            </w:r>
          </w:p>
        </w:tc>
        <w:tc>
          <w:tcPr>
            <w:tcW w:w="720" w:type="dxa"/>
          </w:tcPr>
          <w:p w14:paraId="5180979A" w14:textId="77777777" w:rsidR="001F2A4B" w:rsidRPr="00710B91" w:rsidRDefault="001F2A4B" w:rsidP="001F2A4B">
            <w:pPr>
              <w:ind w:right="-29"/>
              <w:jc w:val="center"/>
              <w:rPr>
                <w:noProof/>
                <w:sz w:val="18"/>
              </w:rPr>
            </w:pPr>
          </w:p>
        </w:tc>
        <w:tc>
          <w:tcPr>
            <w:tcW w:w="900" w:type="dxa"/>
          </w:tcPr>
          <w:p w14:paraId="4D44CB08" w14:textId="77777777" w:rsidR="001F2A4B" w:rsidRPr="00710B91" w:rsidRDefault="001F2A4B" w:rsidP="001F2A4B">
            <w:pPr>
              <w:ind w:right="-29"/>
              <w:jc w:val="center"/>
              <w:rPr>
                <w:noProof/>
                <w:sz w:val="18"/>
              </w:rPr>
            </w:pPr>
            <w:r w:rsidRPr="00710B91">
              <w:rPr>
                <w:noProof/>
                <w:sz w:val="18"/>
              </w:rPr>
              <w:t>1,400</w:t>
            </w:r>
          </w:p>
        </w:tc>
      </w:tr>
      <w:tr w:rsidR="001F2A4B" w:rsidRPr="00710B91" w14:paraId="62F02033" w14:textId="77777777" w:rsidTr="001F2A4B">
        <w:trPr>
          <w:trHeight w:hRule="exact" w:val="700"/>
          <w:jc w:val="center"/>
        </w:trPr>
        <w:tc>
          <w:tcPr>
            <w:tcW w:w="1423" w:type="dxa"/>
          </w:tcPr>
          <w:p w14:paraId="704A0068" w14:textId="3C992766" w:rsidR="001F2A4B" w:rsidRPr="00710B91" w:rsidRDefault="001F2A4B" w:rsidP="001F2A4B">
            <w:pPr>
              <w:ind w:right="-29"/>
              <w:rPr>
                <w:noProof/>
                <w:sz w:val="18"/>
                <w:szCs w:val="18"/>
              </w:rPr>
            </w:pPr>
            <w:r w:rsidRPr="00710B91">
              <w:rPr>
                <w:noProof/>
                <w:sz w:val="18"/>
                <w:szCs w:val="18"/>
              </w:rPr>
              <w:t>Bezpieczeństwo</w:t>
            </w:r>
            <w:r w:rsidR="00710B91" w:rsidRPr="00710B91">
              <w:rPr>
                <w:noProof/>
                <w:sz w:val="18"/>
                <w:szCs w:val="18"/>
              </w:rPr>
              <w:t xml:space="preserve"> i</w:t>
            </w:r>
            <w:r w:rsidR="00710B91">
              <w:rPr>
                <w:noProof/>
                <w:sz w:val="18"/>
                <w:szCs w:val="18"/>
              </w:rPr>
              <w:t> </w:t>
            </w:r>
            <w:r w:rsidR="00710B91" w:rsidRPr="00710B91">
              <w:rPr>
                <w:noProof/>
                <w:sz w:val="18"/>
                <w:szCs w:val="18"/>
              </w:rPr>
              <w:t>zar</w:t>
            </w:r>
            <w:r w:rsidRPr="00710B91">
              <w:rPr>
                <w:noProof/>
                <w:sz w:val="18"/>
                <w:szCs w:val="18"/>
              </w:rPr>
              <w:t>ządzanie</w:t>
            </w:r>
          </w:p>
        </w:tc>
        <w:tc>
          <w:tcPr>
            <w:tcW w:w="720" w:type="dxa"/>
          </w:tcPr>
          <w:p w14:paraId="61FE959B" w14:textId="77777777" w:rsidR="001F2A4B" w:rsidRPr="00710B91" w:rsidRDefault="001F2A4B" w:rsidP="001F2A4B">
            <w:pPr>
              <w:ind w:right="-29"/>
              <w:jc w:val="center"/>
              <w:rPr>
                <w:noProof/>
                <w:sz w:val="18"/>
              </w:rPr>
            </w:pPr>
          </w:p>
        </w:tc>
        <w:tc>
          <w:tcPr>
            <w:tcW w:w="701" w:type="dxa"/>
          </w:tcPr>
          <w:p w14:paraId="7EBE5703" w14:textId="77777777" w:rsidR="001F2A4B" w:rsidRPr="00710B91" w:rsidRDefault="001F2A4B" w:rsidP="001F2A4B">
            <w:pPr>
              <w:ind w:right="-29"/>
              <w:jc w:val="center"/>
              <w:rPr>
                <w:noProof/>
                <w:sz w:val="18"/>
              </w:rPr>
            </w:pPr>
          </w:p>
        </w:tc>
        <w:tc>
          <w:tcPr>
            <w:tcW w:w="504" w:type="dxa"/>
          </w:tcPr>
          <w:p w14:paraId="671D0A05" w14:textId="77777777" w:rsidR="001F2A4B" w:rsidRPr="00710B91" w:rsidRDefault="001F2A4B" w:rsidP="001F2A4B">
            <w:pPr>
              <w:ind w:right="-29"/>
              <w:jc w:val="center"/>
              <w:rPr>
                <w:noProof/>
                <w:sz w:val="18"/>
              </w:rPr>
            </w:pPr>
          </w:p>
        </w:tc>
        <w:tc>
          <w:tcPr>
            <w:tcW w:w="720" w:type="dxa"/>
          </w:tcPr>
          <w:p w14:paraId="60164C70" w14:textId="77777777" w:rsidR="001F2A4B" w:rsidRPr="00710B91" w:rsidRDefault="001F2A4B" w:rsidP="001F2A4B">
            <w:pPr>
              <w:ind w:right="-29"/>
              <w:jc w:val="center"/>
              <w:rPr>
                <w:noProof/>
                <w:sz w:val="18"/>
              </w:rPr>
            </w:pPr>
          </w:p>
        </w:tc>
        <w:tc>
          <w:tcPr>
            <w:tcW w:w="540" w:type="dxa"/>
          </w:tcPr>
          <w:p w14:paraId="527F50BC" w14:textId="77777777" w:rsidR="001F2A4B" w:rsidRPr="00710B91" w:rsidRDefault="001F2A4B" w:rsidP="001F2A4B">
            <w:pPr>
              <w:ind w:right="-29"/>
              <w:jc w:val="center"/>
              <w:rPr>
                <w:noProof/>
                <w:sz w:val="18"/>
              </w:rPr>
            </w:pPr>
          </w:p>
        </w:tc>
        <w:tc>
          <w:tcPr>
            <w:tcW w:w="720" w:type="dxa"/>
          </w:tcPr>
          <w:p w14:paraId="79491349" w14:textId="77777777" w:rsidR="001F2A4B" w:rsidRPr="00710B91" w:rsidRDefault="001F2A4B" w:rsidP="001F2A4B">
            <w:pPr>
              <w:ind w:right="-29"/>
              <w:jc w:val="center"/>
              <w:rPr>
                <w:noProof/>
                <w:sz w:val="18"/>
              </w:rPr>
            </w:pPr>
          </w:p>
        </w:tc>
        <w:tc>
          <w:tcPr>
            <w:tcW w:w="720" w:type="dxa"/>
          </w:tcPr>
          <w:p w14:paraId="0375D34E" w14:textId="77777777" w:rsidR="001F2A4B" w:rsidRPr="00710B91" w:rsidRDefault="001F2A4B" w:rsidP="001F2A4B">
            <w:pPr>
              <w:ind w:right="-29"/>
              <w:jc w:val="center"/>
              <w:rPr>
                <w:noProof/>
                <w:sz w:val="18"/>
              </w:rPr>
            </w:pPr>
          </w:p>
        </w:tc>
        <w:tc>
          <w:tcPr>
            <w:tcW w:w="720" w:type="dxa"/>
          </w:tcPr>
          <w:p w14:paraId="5A380D82" w14:textId="77777777" w:rsidR="001F2A4B" w:rsidRPr="00710B91" w:rsidRDefault="001F2A4B" w:rsidP="001F2A4B">
            <w:pPr>
              <w:ind w:right="-29"/>
              <w:jc w:val="center"/>
              <w:rPr>
                <w:noProof/>
                <w:sz w:val="18"/>
              </w:rPr>
            </w:pPr>
            <w:r w:rsidRPr="00710B91">
              <w:rPr>
                <w:noProof/>
                <w:sz w:val="18"/>
              </w:rPr>
              <w:t>0,300</w:t>
            </w:r>
          </w:p>
        </w:tc>
        <w:tc>
          <w:tcPr>
            <w:tcW w:w="789" w:type="dxa"/>
          </w:tcPr>
          <w:p w14:paraId="336B1A94" w14:textId="77777777" w:rsidR="001F2A4B" w:rsidRPr="00710B91" w:rsidRDefault="001F2A4B" w:rsidP="001F2A4B">
            <w:pPr>
              <w:ind w:right="-29"/>
              <w:jc w:val="center"/>
              <w:rPr>
                <w:noProof/>
                <w:sz w:val="18"/>
              </w:rPr>
            </w:pPr>
          </w:p>
        </w:tc>
        <w:tc>
          <w:tcPr>
            <w:tcW w:w="831" w:type="dxa"/>
          </w:tcPr>
          <w:p w14:paraId="2EE77E40" w14:textId="77777777" w:rsidR="001F2A4B" w:rsidRPr="00710B91" w:rsidRDefault="001F2A4B" w:rsidP="001F2A4B">
            <w:pPr>
              <w:ind w:right="-29"/>
              <w:jc w:val="center"/>
              <w:rPr>
                <w:noProof/>
                <w:sz w:val="18"/>
              </w:rPr>
            </w:pPr>
            <w:r w:rsidRPr="00710B91">
              <w:rPr>
                <w:noProof/>
                <w:sz w:val="18"/>
              </w:rPr>
              <w:t>0,300</w:t>
            </w:r>
          </w:p>
        </w:tc>
        <w:tc>
          <w:tcPr>
            <w:tcW w:w="720" w:type="dxa"/>
          </w:tcPr>
          <w:p w14:paraId="01E338F7" w14:textId="77777777" w:rsidR="001F2A4B" w:rsidRPr="00710B91" w:rsidRDefault="001F2A4B" w:rsidP="001F2A4B">
            <w:pPr>
              <w:ind w:right="-29"/>
              <w:jc w:val="center"/>
              <w:rPr>
                <w:noProof/>
                <w:sz w:val="18"/>
              </w:rPr>
            </w:pPr>
          </w:p>
        </w:tc>
        <w:tc>
          <w:tcPr>
            <w:tcW w:w="900" w:type="dxa"/>
          </w:tcPr>
          <w:p w14:paraId="050D1BCC" w14:textId="77777777" w:rsidR="001F2A4B" w:rsidRPr="00710B91" w:rsidRDefault="001F2A4B" w:rsidP="001F2A4B">
            <w:pPr>
              <w:ind w:right="-29"/>
              <w:jc w:val="center"/>
              <w:rPr>
                <w:noProof/>
                <w:sz w:val="18"/>
              </w:rPr>
            </w:pPr>
            <w:r w:rsidRPr="00710B91">
              <w:rPr>
                <w:noProof/>
                <w:sz w:val="18"/>
              </w:rPr>
              <w:t>0,600</w:t>
            </w:r>
          </w:p>
        </w:tc>
      </w:tr>
      <w:tr w:rsidR="001F2A4B" w:rsidRPr="00710B91" w14:paraId="3ABAA067" w14:textId="77777777" w:rsidTr="001F2A4B">
        <w:trPr>
          <w:trHeight w:hRule="exact" w:val="2269"/>
          <w:jc w:val="center"/>
        </w:trPr>
        <w:tc>
          <w:tcPr>
            <w:tcW w:w="1423" w:type="dxa"/>
          </w:tcPr>
          <w:p w14:paraId="3110331D" w14:textId="7CE2C761" w:rsidR="001F2A4B" w:rsidRPr="00710B91" w:rsidRDefault="001F2A4B" w:rsidP="001F2A4B">
            <w:pPr>
              <w:ind w:right="-29"/>
              <w:rPr>
                <w:noProof/>
                <w:sz w:val="18"/>
                <w:szCs w:val="18"/>
              </w:rPr>
            </w:pPr>
            <w:r w:rsidRPr="00710B91">
              <w:rPr>
                <w:noProof/>
                <w:sz w:val="18"/>
                <w:szCs w:val="18"/>
              </w:rPr>
              <w:t>Utrzymanie obejmujące naprawy</w:t>
            </w:r>
            <w:r w:rsidR="00710B91" w:rsidRPr="00710B91">
              <w:rPr>
                <w:noProof/>
                <w:sz w:val="18"/>
                <w:szCs w:val="18"/>
              </w:rPr>
              <w:t xml:space="preserve"> i</w:t>
            </w:r>
            <w:r w:rsidR="00710B91">
              <w:rPr>
                <w:noProof/>
                <w:sz w:val="18"/>
                <w:szCs w:val="18"/>
              </w:rPr>
              <w:t> </w:t>
            </w:r>
            <w:r w:rsidR="00710B91" w:rsidRPr="00710B91">
              <w:rPr>
                <w:noProof/>
                <w:sz w:val="18"/>
                <w:szCs w:val="18"/>
              </w:rPr>
              <w:t>dos</w:t>
            </w:r>
            <w:r w:rsidRPr="00710B91">
              <w:rPr>
                <w:noProof/>
                <w:sz w:val="18"/>
                <w:szCs w:val="18"/>
              </w:rPr>
              <w:t>tosowanie –</w:t>
            </w:r>
            <w:r w:rsidR="00710B91" w:rsidRPr="00710B91">
              <w:rPr>
                <w:noProof/>
                <w:sz w:val="18"/>
                <w:szCs w:val="18"/>
              </w:rPr>
              <w:t xml:space="preserve"> w</w:t>
            </w:r>
            <w:r w:rsidR="00710B91">
              <w:rPr>
                <w:noProof/>
                <w:sz w:val="18"/>
                <w:szCs w:val="18"/>
              </w:rPr>
              <w:t> </w:t>
            </w:r>
            <w:r w:rsidR="00710B91" w:rsidRPr="00710B91">
              <w:rPr>
                <w:noProof/>
                <w:sz w:val="18"/>
                <w:szCs w:val="18"/>
              </w:rPr>
              <w:t>tym</w:t>
            </w:r>
            <w:r w:rsidRPr="00710B91">
              <w:rPr>
                <w:noProof/>
                <w:sz w:val="18"/>
                <w:szCs w:val="18"/>
              </w:rPr>
              <w:t xml:space="preserve"> oprogramowanie, licencje</w:t>
            </w:r>
            <w:r w:rsidR="00710B91" w:rsidRPr="00710B91">
              <w:rPr>
                <w:noProof/>
                <w:sz w:val="18"/>
                <w:szCs w:val="18"/>
              </w:rPr>
              <w:t xml:space="preserve"> i</w:t>
            </w:r>
            <w:r w:rsidR="00710B91">
              <w:rPr>
                <w:noProof/>
                <w:sz w:val="18"/>
                <w:szCs w:val="18"/>
              </w:rPr>
              <w:t> </w:t>
            </w:r>
            <w:r w:rsidR="00710B91" w:rsidRPr="00710B91">
              <w:rPr>
                <w:noProof/>
                <w:sz w:val="18"/>
                <w:szCs w:val="18"/>
              </w:rPr>
              <w:t>hos</w:t>
            </w:r>
            <w:r w:rsidRPr="00710B91">
              <w:rPr>
                <w:noProof/>
                <w:sz w:val="18"/>
                <w:szCs w:val="18"/>
              </w:rPr>
              <w:t>ting, zabezpieczenia</w:t>
            </w:r>
            <w:r w:rsidR="00710B91" w:rsidRPr="00710B91">
              <w:rPr>
                <w:noProof/>
                <w:sz w:val="18"/>
                <w:szCs w:val="18"/>
              </w:rPr>
              <w:t xml:space="preserve"> i</w:t>
            </w:r>
            <w:r w:rsidR="00710B91">
              <w:rPr>
                <w:noProof/>
                <w:sz w:val="18"/>
                <w:szCs w:val="18"/>
              </w:rPr>
              <w:t> </w:t>
            </w:r>
            <w:r w:rsidR="00710B91" w:rsidRPr="00710B91">
              <w:rPr>
                <w:noProof/>
                <w:sz w:val="18"/>
                <w:szCs w:val="18"/>
              </w:rPr>
              <w:t>zmi</w:t>
            </w:r>
            <w:r w:rsidRPr="00710B91">
              <w:rPr>
                <w:noProof/>
                <w:sz w:val="18"/>
                <w:szCs w:val="18"/>
              </w:rPr>
              <w:t>any techniczne</w:t>
            </w:r>
          </w:p>
        </w:tc>
        <w:tc>
          <w:tcPr>
            <w:tcW w:w="720" w:type="dxa"/>
          </w:tcPr>
          <w:p w14:paraId="5585ADFC" w14:textId="77777777" w:rsidR="001F2A4B" w:rsidRPr="00710B91" w:rsidRDefault="001F2A4B" w:rsidP="001F2A4B">
            <w:pPr>
              <w:ind w:right="-29"/>
              <w:jc w:val="center"/>
              <w:rPr>
                <w:noProof/>
                <w:sz w:val="18"/>
              </w:rPr>
            </w:pPr>
          </w:p>
        </w:tc>
        <w:tc>
          <w:tcPr>
            <w:tcW w:w="701" w:type="dxa"/>
          </w:tcPr>
          <w:p w14:paraId="04707D35" w14:textId="77777777" w:rsidR="001F2A4B" w:rsidRPr="00710B91" w:rsidRDefault="001F2A4B" w:rsidP="001F2A4B">
            <w:pPr>
              <w:ind w:right="-29"/>
              <w:jc w:val="center"/>
              <w:rPr>
                <w:noProof/>
                <w:sz w:val="18"/>
              </w:rPr>
            </w:pPr>
          </w:p>
        </w:tc>
        <w:tc>
          <w:tcPr>
            <w:tcW w:w="504" w:type="dxa"/>
          </w:tcPr>
          <w:p w14:paraId="6A8019DE" w14:textId="77777777" w:rsidR="001F2A4B" w:rsidRPr="00710B91" w:rsidRDefault="001F2A4B" w:rsidP="001F2A4B">
            <w:pPr>
              <w:ind w:right="-29"/>
              <w:jc w:val="center"/>
              <w:rPr>
                <w:noProof/>
                <w:sz w:val="18"/>
              </w:rPr>
            </w:pPr>
          </w:p>
        </w:tc>
        <w:tc>
          <w:tcPr>
            <w:tcW w:w="720" w:type="dxa"/>
          </w:tcPr>
          <w:p w14:paraId="4F6D3BA7" w14:textId="77777777" w:rsidR="001F2A4B" w:rsidRPr="00710B91" w:rsidRDefault="001F2A4B" w:rsidP="001F2A4B">
            <w:pPr>
              <w:ind w:right="-29"/>
              <w:jc w:val="center"/>
              <w:rPr>
                <w:noProof/>
                <w:sz w:val="18"/>
              </w:rPr>
            </w:pPr>
          </w:p>
        </w:tc>
        <w:tc>
          <w:tcPr>
            <w:tcW w:w="540" w:type="dxa"/>
          </w:tcPr>
          <w:p w14:paraId="2C9665FD" w14:textId="77777777" w:rsidR="001F2A4B" w:rsidRPr="00710B91" w:rsidRDefault="001F2A4B" w:rsidP="001F2A4B">
            <w:pPr>
              <w:ind w:right="-29"/>
              <w:jc w:val="center"/>
              <w:rPr>
                <w:noProof/>
                <w:sz w:val="18"/>
              </w:rPr>
            </w:pPr>
          </w:p>
        </w:tc>
        <w:tc>
          <w:tcPr>
            <w:tcW w:w="720" w:type="dxa"/>
          </w:tcPr>
          <w:p w14:paraId="20D3591A" w14:textId="77777777" w:rsidR="001F2A4B" w:rsidRPr="00710B91" w:rsidRDefault="001F2A4B" w:rsidP="001F2A4B">
            <w:pPr>
              <w:ind w:right="-29"/>
              <w:jc w:val="center"/>
              <w:rPr>
                <w:noProof/>
                <w:sz w:val="18"/>
              </w:rPr>
            </w:pPr>
          </w:p>
        </w:tc>
        <w:tc>
          <w:tcPr>
            <w:tcW w:w="720" w:type="dxa"/>
          </w:tcPr>
          <w:p w14:paraId="670E0B24" w14:textId="77777777" w:rsidR="001F2A4B" w:rsidRPr="00710B91" w:rsidRDefault="001F2A4B" w:rsidP="001F2A4B">
            <w:pPr>
              <w:ind w:right="-29"/>
              <w:jc w:val="center"/>
              <w:rPr>
                <w:noProof/>
                <w:sz w:val="18"/>
              </w:rPr>
            </w:pPr>
          </w:p>
        </w:tc>
        <w:tc>
          <w:tcPr>
            <w:tcW w:w="720" w:type="dxa"/>
          </w:tcPr>
          <w:p w14:paraId="20CE55F9" w14:textId="77777777" w:rsidR="001F2A4B" w:rsidRPr="00710B91" w:rsidRDefault="001F2A4B" w:rsidP="001F2A4B">
            <w:pPr>
              <w:ind w:right="-29"/>
              <w:jc w:val="center"/>
              <w:rPr>
                <w:noProof/>
                <w:sz w:val="18"/>
              </w:rPr>
            </w:pPr>
            <w:r w:rsidRPr="00710B91">
              <w:rPr>
                <w:noProof/>
                <w:sz w:val="18"/>
              </w:rPr>
              <w:t>0,700</w:t>
            </w:r>
          </w:p>
        </w:tc>
        <w:tc>
          <w:tcPr>
            <w:tcW w:w="789" w:type="dxa"/>
          </w:tcPr>
          <w:p w14:paraId="26C4E888" w14:textId="77777777" w:rsidR="001F2A4B" w:rsidRPr="00710B91" w:rsidRDefault="001F2A4B" w:rsidP="001F2A4B">
            <w:pPr>
              <w:ind w:right="-29"/>
              <w:jc w:val="center"/>
              <w:rPr>
                <w:noProof/>
                <w:sz w:val="18"/>
              </w:rPr>
            </w:pPr>
          </w:p>
        </w:tc>
        <w:tc>
          <w:tcPr>
            <w:tcW w:w="831" w:type="dxa"/>
          </w:tcPr>
          <w:p w14:paraId="6B197049" w14:textId="77777777" w:rsidR="001F2A4B" w:rsidRPr="00710B91" w:rsidRDefault="001F2A4B" w:rsidP="001F2A4B">
            <w:pPr>
              <w:ind w:right="-29"/>
              <w:jc w:val="center"/>
              <w:rPr>
                <w:noProof/>
                <w:sz w:val="18"/>
              </w:rPr>
            </w:pPr>
            <w:r w:rsidRPr="00710B91">
              <w:rPr>
                <w:noProof/>
                <w:sz w:val="18"/>
              </w:rPr>
              <w:t>0,700</w:t>
            </w:r>
          </w:p>
        </w:tc>
        <w:tc>
          <w:tcPr>
            <w:tcW w:w="720" w:type="dxa"/>
          </w:tcPr>
          <w:p w14:paraId="49F59A47" w14:textId="77777777" w:rsidR="001F2A4B" w:rsidRPr="00710B91" w:rsidRDefault="001F2A4B" w:rsidP="001F2A4B">
            <w:pPr>
              <w:ind w:right="-29"/>
              <w:jc w:val="center"/>
              <w:rPr>
                <w:noProof/>
                <w:sz w:val="18"/>
              </w:rPr>
            </w:pPr>
          </w:p>
        </w:tc>
        <w:tc>
          <w:tcPr>
            <w:tcW w:w="900" w:type="dxa"/>
          </w:tcPr>
          <w:p w14:paraId="6E2C7613" w14:textId="77777777" w:rsidR="001F2A4B" w:rsidRPr="00710B91" w:rsidRDefault="001F2A4B" w:rsidP="001F2A4B">
            <w:pPr>
              <w:ind w:right="-29"/>
              <w:jc w:val="center"/>
              <w:rPr>
                <w:noProof/>
                <w:sz w:val="18"/>
              </w:rPr>
            </w:pPr>
            <w:r w:rsidRPr="00710B91">
              <w:rPr>
                <w:noProof/>
                <w:sz w:val="18"/>
              </w:rPr>
              <w:t>1,400</w:t>
            </w:r>
          </w:p>
        </w:tc>
      </w:tr>
      <w:tr w:rsidR="001F2A4B" w:rsidRPr="00710B91" w14:paraId="0C18AF15" w14:textId="77777777" w:rsidTr="001F2A4B">
        <w:trPr>
          <w:trHeight w:hRule="exact" w:val="1422"/>
          <w:jc w:val="center"/>
        </w:trPr>
        <w:tc>
          <w:tcPr>
            <w:tcW w:w="1423" w:type="dxa"/>
          </w:tcPr>
          <w:p w14:paraId="24A85FAB" w14:textId="77777777" w:rsidR="001F2A4B" w:rsidRPr="00710B91" w:rsidRDefault="001F2A4B" w:rsidP="001F2A4B">
            <w:pPr>
              <w:ind w:right="-29"/>
              <w:rPr>
                <w:noProof/>
                <w:sz w:val="18"/>
                <w:szCs w:val="18"/>
              </w:rPr>
            </w:pPr>
            <w:r w:rsidRPr="00710B91">
              <w:rPr>
                <w:noProof/>
                <w:sz w:val="18"/>
                <w:szCs w:val="18"/>
              </w:rPr>
              <w:t>Personel wewnętrzny potrzebny do utrzymania platformy współpracy zespołów JIT</w:t>
            </w:r>
          </w:p>
        </w:tc>
        <w:tc>
          <w:tcPr>
            <w:tcW w:w="720" w:type="dxa"/>
          </w:tcPr>
          <w:p w14:paraId="6A6AEB33" w14:textId="77777777" w:rsidR="001F2A4B" w:rsidRPr="00710B91" w:rsidRDefault="001F2A4B" w:rsidP="001F2A4B">
            <w:pPr>
              <w:ind w:right="-29"/>
              <w:jc w:val="center"/>
              <w:rPr>
                <w:noProof/>
                <w:sz w:val="18"/>
              </w:rPr>
            </w:pPr>
          </w:p>
        </w:tc>
        <w:tc>
          <w:tcPr>
            <w:tcW w:w="701" w:type="dxa"/>
          </w:tcPr>
          <w:p w14:paraId="22CDF9B1" w14:textId="77777777" w:rsidR="001F2A4B" w:rsidRPr="00710B91" w:rsidRDefault="001F2A4B" w:rsidP="001F2A4B">
            <w:pPr>
              <w:ind w:right="-29"/>
              <w:jc w:val="center"/>
              <w:rPr>
                <w:noProof/>
                <w:sz w:val="18"/>
              </w:rPr>
            </w:pPr>
          </w:p>
        </w:tc>
        <w:tc>
          <w:tcPr>
            <w:tcW w:w="504" w:type="dxa"/>
          </w:tcPr>
          <w:p w14:paraId="52F0BFEF" w14:textId="77777777" w:rsidR="001F2A4B" w:rsidRPr="00710B91" w:rsidRDefault="001F2A4B" w:rsidP="001F2A4B">
            <w:pPr>
              <w:ind w:right="-29"/>
              <w:jc w:val="center"/>
              <w:rPr>
                <w:noProof/>
                <w:sz w:val="18"/>
              </w:rPr>
            </w:pPr>
          </w:p>
        </w:tc>
        <w:tc>
          <w:tcPr>
            <w:tcW w:w="720" w:type="dxa"/>
          </w:tcPr>
          <w:p w14:paraId="79001C59" w14:textId="77777777" w:rsidR="001F2A4B" w:rsidRPr="00710B91" w:rsidRDefault="001F2A4B" w:rsidP="001F2A4B">
            <w:pPr>
              <w:ind w:right="-29"/>
              <w:jc w:val="center"/>
              <w:rPr>
                <w:noProof/>
                <w:sz w:val="18"/>
              </w:rPr>
            </w:pPr>
          </w:p>
        </w:tc>
        <w:tc>
          <w:tcPr>
            <w:tcW w:w="540" w:type="dxa"/>
          </w:tcPr>
          <w:p w14:paraId="144C6B16" w14:textId="77777777" w:rsidR="001F2A4B" w:rsidRPr="00710B91" w:rsidRDefault="001F2A4B" w:rsidP="001F2A4B">
            <w:pPr>
              <w:ind w:right="-29"/>
              <w:jc w:val="center"/>
              <w:rPr>
                <w:noProof/>
                <w:sz w:val="18"/>
              </w:rPr>
            </w:pPr>
          </w:p>
        </w:tc>
        <w:tc>
          <w:tcPr>
            <w:tcW w:w="720" w:type="dxa"/>
          </w:tcPr>
          <w:p w14:paraId="52B4DC12" w14:textId="77777777" w:rsidR="001F2A4B" w:rsidRPr="00710B91" w:rsidRDefault="001F2A4B" w:rsidP="001F2A4B">
            <w:pPr>
              <w:ind w:right="-29"/>
              <w:jc w:val="center"/>
              <w:rPr>
                <w:noProof/>
                <w:sz w:val="18"/>
              </w:rPr>
            </w:pPr>
          </w:p>
        </w:tc>
        <w:tc>
          <w:tcPr>
            <w:tcW w:w="720" w:type="dxa"/>
          </w:tcPr>
          <w:p w14:paraId="7F6B7767" w14:textId="77777777" w:rsidR="001F2A4B" w:rsidRPr="00710B91" w:rsidRDefault="001F2A4B" w:rsidP="001F2A4B">
            <w:pPr>
              <w:ind w:right="-29"/>
              <w:jc w:val="center"/>
              <w:rPr>
                <w:noProof/>
                <w:sz w:val="18"/>
              </w:rPr>
            </w:pPr>
          </w:p>
        </w:tc>
        <w:tc>
          <w:tcPr>
            <w:tcW w:w="720" w:type="dxa"/>
          </w:tcPr>
          <w:p w14:paraId="58D09497" w14:textId="77777777" w:rsidR="001F2A4B" w:rsidRPr="00710B91" w:rsidRDefault="001F2A4B" w:rsidP="001F2A4B">
            <w:pPr>
              <w:ind w:right="-29"/>
              <w:jc w:val="center"/>
              <w:rPr>
                <w:noProof/>
                <w:sz w:val="18"/>
              </w:rPr>
            </w:pPr>
            <w:r w:rsidRPr="00710B91">
              <w:rPr>
                <w:noProof/>
                <w:sz w:val="18"/>
              </w:rPr>
              <w:t>1,380</w:t>
            </w:r>
          </w:p>
        </w:tc>
        <w:tc>
          <w:tcPr>
            <w:tcW w:w="789" w:type="dxa"/>
          </w:tcPr>
          <w:p w14:paraId="54E14D88" w14:textId="77777777" w:rsidR="001F2A4B" w:rsidRPr="00710B91" w:rsidRDefault="001F2A4B" w:rsidP="001F2A4B">
            <w:pPr>
              <w:ind w:right="-29"/>
              <w:jc w:val="center"/>
              <w:rPr>
                <w:noProof/>
                <w:sz w:val="18"/>
              </w:rPr>
            </w:pPr>
          </w:p>
        </w:tc>
        <w:tc>
          <w:tcPr>
            <w:tcW w:w="831" w:type="dxa"/>
          </w:tcPr>
          <w:p w14:paraId="62682ABA" w14:textId="77777777" w:rsidR="001F2A4B" w:rsidRPr="00710B91" w:rsidRDefault="001F2A4B" w:rsidP="001F2A4B">
            <w:pPr>
              <w:ind w:right="-29"/>
              <w:jc w:val="center"/>
              <w:rPr>
                <w:noProof/>
                <w:sz w:val="18"/>
              </w:rPr>
            </w:pPr>
            <w:r w:rsidRPr="00710B91">
              <w:rPr>
                <w:noProof/>
                <w:sz w:val="18"/>
              </w:rPr>
              <w:t>1,380</w:t>
            </w:r>
          </w:p>
        </w:tc>
        <w:tc>
          <w:tcPr>
            <w:tcW w:w="720" w:type="dxa"/>
          </w:tcPr>
          <w:p w14:paraId="513C16FB" w14:textId="77777777" w:rsidR="001F2A4B" w:rsidRPr="00710B91" w:rsidRDefault="001F2A4B" w:rsidP="001F2A4B">
            <w:pPr>
              <w:ind w:right="-29"/>
              <w:jc w:val="center"/>
              <w:rPr>
                <w:noProof/>
                <w:sz w:val="18"/>
              </w:rPr>
            </w:pPr>
          </w:p>
        </w:tc>
        <w:tc>
          <w:tcPr>
            <w:tcW w:w="900" w:type="dxa"/>
          </w:tcPr>
          <w:p w14:paraId="094A8D3A" w14:textId="77777777" w:rsidR="001F2A4B" w:rsidRPr="00710B91" w:rsidRDefault="001F2A4B" w:rsidP="001F2A4B">
            <w:pPr>
              <w:ind w:right="-29"/>
              <w:jc w:val="center"/>
              <w:rPr>
                <w:noProof/>
                <w:sz w:val="18"/>
              </w:rPr>
            </w:pPr>
            <w:r w:rsidRPr="00710B91">
              <w:rPr>
                <w:noProof/>
                <w:sz w:val="18"/>
              </w:rPr>
              <w:t>2,760</w:t>
            </w:r>
          </w:p>
        </w:tc>
      </w:tr>
      <w:tr w:rsidR="001F2A4B" w:rsidRPr="00710B91" w14:paraId="5815B26F" w14:textId="77777777" w:rsidTr="001F2A4B">
        <w:trPr>
          <w:jc w:val="center"/>
        </w:trPr>
        <w:tc>
          <w:tcPr>
            <w:tcW w:w="2844" w:type="dxa"/>
            <w:gridSpan w:val="3"/>
            <w:tcBorders>
              <w:bottom w:val="single" w:sz="12" w:space="0" w:color="auto"/>
            </w:tcBorders>
            <w:vAlign w:val="center"/>
          </w:tcPr>
          <w:p w14:paraId="2A017745" w14:textId="1D4A8989" w:rsidR="001F2A4B" w:rsidRPr="00710B91" w:rsidRDefault="001F2A4B" w:rsidP="001F2A4B">
            <w:pPr>
              <w:jc w:val="center"/>
              <w:rPr>
                <w:noProof/>
                <w:sz w:val="18"/>
              </w:rPr>
            </w:pPr>
            <w:r w:rsidRPr="00710B91">
              <w:rPr>
                <w:noProof/>
                <w:sz w:val="18"/>
              </w:rPr>
              <w:t>Cel szczegółowy nr</w:t>
            </w:r>
            <w:r w:rsidR="00710B91" w:rsidRPr="00710B91">
              <w:rPr>
                <w:noProof/>
                <w:sz w:val="18"/>
              </w:rPr>
              <w:t> </w:t>
            </w:r>
            <w:r w:rsidRPr="00710B91">
              <w:rPr>
                <w:noProof/>
                <w:sz w:val="18"/>
              </w:rPr>
              <w:t>2 – suma cząstkowa</w:t>
            </w:r>
          </w:p>
        </w:tc>
        <w:tc>
          <w:tcPr>
            <w:tcW w:w="504" w:type="dxa"/>
            <w:tcBorders>
              <w:bottom w:val="single" w:sz="12" w:space="0" w:color="auto"/>
            </w:tcBorders>
          </w:tcPr>
          <w:p w14:paraId="15496637" w14:textId="77777777" w:rsidR="001F2A4B" w:rsidRPr="00710B91" w:rsidRDefault="001F2A4B" w:rsidP="001F2A4B">
            <w:pPr>
              <w:ind w:right="-29"/>
              <w:jc w:val="center"/>
              <w:rPr>
                <w:noProof/>
                <w:sz w:val="18"/>
              </w:rPr>
            </w:pPr>
          </w:p>
        </w:tc>
        <w:tc>
          <w:tcPr>
            <w:tcW w:w="720" w:type="dxa"/>
            <w:tcBorders>
              <w:bottom w:val="single" w:sz="12" w:space="0" w:color="auto"/>
            </w:tcBorders>
          </w:tcPr>
          <w:p w14:paraId="3BE2FEC8" w14:textId="77777777" w:rsidR="001F2A4B" w:rsidRPr="00710B91" w:rsidRDefault="001F2A4B" w:rsidP="001F2A4B">
            <w:pPr>
              <w:ind w:right="-29"/>
              <w:jc w:val="center"/>
              <w:rPr>
                <w:noProof/>
                <w:sz w:val="18"/>
              </w:rPr>
            </w:pPr>
          </w:p>
        </w:tc>
        <w:tc>
          <w:tcPr>
            <w:tcW w:w="540" w:type="dxa"/>
            <w:tcBorders>
              <w:bottom w:val="single" w:sz="12" w:space="0" w:color="auto"/>
            </w:tcBorders>
          </w:tcPr>
          <w:p w14:paraId="0E551E58" w14:textId="77777777" w:rsidR="001F2A4B" w:rsidRPr="00710B91" w:rsidRDefault="001F2A4B" w:rsidP="001F2A4B">
            <w:pPr>
              <w:ind w:right="-29"/>
              <w:jc w:val="center"/>
              <w:rPr>
                <w:noProof/>
                <w:sz w:val="18"/>
              </w:rPr>
            </w:pPr>
          </w:p>
        </w:tc>
        <w:tc>
          <w:tcPr>
            <w:tcW w:w="720" w:type="dxa"/>
            <w:tcBorders>
              <w:bottom w:val="single" w:sz="12" w:space="0" w:color="auto"/>
            </w:tcBorders>
          </w:tcPr>
          <w:p w14:paraId="7279C7B8" w14:textId="77777777" w:rsidR="001F2A4B" w:rsidRPr="00710B91" w:rsidRDefault="001F2A4B" w:rsidP="001F2A4B">
            <w:pPr>
              <w:ind w:right="-29"/>
              <w:jc w:val="center"/>
              <w:rPr>
                <w:noProof/>
                <w:sz w:val="18"/>
              </w:rPr>
            </w:pPr>
          </w:p>
        </w:tc>
        <w:tc>
          <w:tcPr>
            <w:tcW w:w="720" w:type="dxa"/>
            <w:tcBorders>
              <w:bottom w:val="single" w:sz="12" w:space="0" w:color="auto"/>
            </w:tcBorders>
          </w:tcPr>
          <w:p w14:paraId="44EFCF0F" w14:textId="77777777" w:rsidR="001F2A4B" w:rsidRPr="00710B91" w:rsidRDefault="001F2A4B" w:rsidP="001F2A4B">
            <w:pPr>
              <w:ind w:right="-29"/>
              <w:jc w:val="center"/>
              <w:rPr>
                <w:noProof/>
                <w:sz w:val="18"/>
              </w:rPr>
            </w:pPr>
          </w:p>
        </w:tc>
        <w:tc>
          <w:tcPr>
            <w:tcW w:w="720" w:type="dxa"/>
            <w:tcBorders>
              <w:bottom w:val="single" w:sz="12" w:space="0" w:color="auto"/>
            </w:tcBorders>
          </w:tcPr>
          <w:p w14:paraId="3EE75DF9" w14:textId="77777777" w:rsidR="001F2A4B" w:rsidRPr="00710B91" w:rsidRDefault="001F2A4B" w:rsidP="001F2A4B">
            <w:pPr>
              <w:ind w:right="-29"/>
              <w:jc w:val="center"/>
              <w:rPr>
                <w:noProof/>
                <w:sz w:val="18"/>
              </w:rPr>
            </w:pPr>
            <w:r w:rsidRPr="00710B91">
              <w:rPr>
                <w:noProof/>
                <w:sz w:val="18"/>
              </w:rPr>
              <w:t>3,080</w:t>
            </w:r>
          </w:p>
        </w:tc>
        <w:tc>
          <w:tcPr>
            <w:tcW w:w="789" w:type="dxa"/>
            <w:tcBorders>
              <w:bottom w:val="single" w:sz="12" w:space="0" w:color="auto"/>
            </w:tcBorders>
          </w:tcPr>
          <w:p w14:paraId="4D0CE609" w14:textId="77777777" w:rsidR="001F2A4B" w:rsidRPr="00710B91" w:rsidRDefault="001F2A4B" w:rsidP="001F2A4B">
            <w:pPr>
              <w:ind w:right="-29"/>
              <w:jc w:val="center"/>
              <w:rPr>
                <w:noProof/>
                <w:sz w:val="18"/>
              </w:rPr>
            </w:pPr>
          </w:p>
        </w:tc>
        <w:tc>
          <w:tcPr>
            <w:tcW w:w="831" w:type="dxa"/>
            <w:tcBorders>
              <w:bottom w:val="single" w:sz="12" w:space="0" w:color="auto"/>
            </w:tcBorders>
          </w:tcPr>
          <w:p w14:paraId="02E1B32D" w14:textId="77777777" w:rsidR="001F2A4B" w:rsidRPr="00710B91" w:rsidRDefault="001F2A4B" w:rsidP="001F2A4B">
            <w:pPr>
              <w:ind w:right="-29"/>
              <w:jc w:val="center"/>
              <w:rPr>
                <w:noProof/>
                <w:sz w:val="18"/>
              </w:rPr>
            </w:pPr>
            <w:r w:rsidRPr="00710B91">
              <w:rPr>
                <w:noProof/>
                <w:sz w:val="18"/>
              </w:rPr>
              <w:t>3,080</w:t>
            </w:r>
          </w:p>
        </w:tc>
        <w:tc>
          <w:tcPr>
            <w:tcW w:w="720" w:type="dxa"/>
            <w:tcBorders>
              <w:bottom w:val="single" w:sz="12" w:space="0" w:color="auto"/>
            </w:tcBorders>
          </w:tcPr>
          <w:p w14:paraId="27A378E6" w14:textId="77777777" w:rsidR="001F2A4B" w:rsidRPr="00710B91" w:rsidRDefault="001F2A4B" w:rsidP="001F2A4B">
            <w:pPr>
              <w:ind w:right="-29"/>
              <w:jc w:val="center"/>
              <w:rPr>
                <w:noProof/>
                <w:sz w:val="18"/>
              </w:rPr>
            </w:pPr>
          </w:p>
        </w:tc>
        <w:tc>
          <w:tcPr>
            <w:tcW w:w="900" w:type="dxa"/>
            <w:tcBorders>
              <w:bottom w:val="single" w:sz="12" w:space="0" w:color="auto"/>
            </w:tcBorders>
          </w:tcPr>
          <w:p w14:paraId="4561E832" w14:textId="77777777" w:rsidR="001F2A4B" w:rsidRPr="00710B91" w:rsidRDefault="001F2A4B" w:rsidP="001F2A4B">
            <w:pPr>
              <w:ind w:right="-29"/>
              <w:jc w:val="center"/>
              <w:rPr>
                <w:noProof/>
                <w:sz w:val="18"/>
              </w:rPr>
            </w:pPr>
            <w:r w:rsidRPr="00710B91">
              <w:rPr>
                <w:noProof/>
                <w:sz w:val="18"/>
              </w:rPr>
              <w:t>6,160</w:t>
            </w:r>
          </w:p>
        </w:tc>
      </w:tr>
      <w:tr w:rsidR="001F2A4B" w:rsidRPr="00710B91" w14:paraId="0133A2E3" w14:textId="77777777" w:rsidTr="001F2A4B">
        <w:trPr>
          <w:jc w:val="center"/>
        </w:trPr>
        <w:tc>
          <w:tcPr>
            <w:tcW w:w="2844" w:type="dxa"/>
            <w:gridSpan w:val="3"/>
            <w:tcBorders>
              <w:top w:val="single" w:sz="12" w:space="0" w:color="auto"/>
              <w:left w:val="single" w:sz="12" w:space="0" w:color="auto"/>
              <w:bottom w:val="single" w:sz="12" w:space="0" w:color="auto"/>
            </w:tcBorders>
            <w:vAlign w:val="center"/>
          </w:tcPr>
          <w:p w14:paraId="536B3838" w14:textId="77777777" w:rsidR="001F2A4B" w:rsidRPr="00710B91" w:rsidRDefault="001F2A4B" w:rsidP="001F2A4B">
            <w:pPr>
              <w:ind w:right="-29"/>
              <w:jc w:val="center"/>
              <w:rPr>
                <w:noProof/>
                <w:sz w:val="18"/>
              </w:rPr>
            </w:pPr>
            <w:r w:rsidRPr="00710B91">
              <w:rPr>
                <w:b/>
                <w:noProof/>
                <w:sz w:val="18"/>
              </w:rPr>
              <w:t>KOSZT OGÓŁEM</w:t>
            </w:r>
          </w:p>
        </w:tc>
        <w:tc>
          <w:tcPr>
            <w:tcW w:w="504" w:type="dxa"/>
            <w:tcBorders>
              <w:top w:val="single" w:sz="12" w:space="0" w:color="auto"/>
              <w:bottom w:val="single" w:sz="12" w:space="0" w:color="auto"/>
            </w:tcBorders>
          </w:tcPr>
          <w:p w14:paraId="5358ABC3" w14:textId="77777777" w:rsidR="001F2A4B" w:rsidRPr="00710B91" w:rsidRDefault="001F2A4B" w:rsidP="001F2A4B">
            <w:pPr>
              <w:spacing w:before="180" w:after="180"/>
              <w:ind w:right="-29"/>
              <w:jc w:val="center"/>
              <w:rPr>
                <w:noProof/>
                <w:sz w:val="18"/>
              </w:rPr>
            </w:pPr>
          </w:p>
        </w:tc>
        <w:tc>
          <w:tcPr>
            <w:tcW w:w="720" w:type="dxa"/>
            <w:tcBorders>
              <w:top w:val="single" w:sz="12" w:space="0" w:color="auto"/>
              <w:bottom w:val="single" w:sz="12" w:space="0" w:color="auto"/>
            </w:tcBorders>
          </w:tcPr>
          <w:p w14:paraId="0BC23581" w14:textId="77777777" w:rsidR="001F2A4B" w:rsidRPr="00710B91" w:rsidRDefault="001F2A4B" w:rsidP="001F2A4B">
            <w:pPr>
              <w:spacing w:before="180" w:after="180"/>
              <w:ind w:right="-29"/>
              <w:jc w:val="center"/>
              <w:rPr>
                <w:noProof/>
                <w:sz w:val="18"/>
              </w:rPr>
            </w:pPr>
            <w:r w:rsidRPr="00710B91">
              <w:rPr>
                <w:noProof/>
                <w:sz w:val="18"/>
              </w:rPr>
              <w:t>3,608</w:t>
            </w:r>
          </w:p>
        </w:tc>
        <w:tc>
          <w:tcPr>
            <w:tcW w:w="540" w:type="dxa"/>
            <w:tcBorders>
              <w:top w:val="single" w:sz="12" w:space="0" w:color="auto"/>
              <w:bottom w:val="single" w:sz="12" w:space="0" w:color="auto"/>
            </w:tcBorders>
          </w:tcPr>
          <w:p w14:paraId="348B4B4A" w14:textId="77777777" w:rsidR="001F2A4B" w:rsidRPr="00710B91" w:rsidRDefault="001F2A4B" w:rsidP="001F2A4B">
            <w:pPr>
              <w:spacing w:before="180" w:after="180"/>
              <w:ind w:right="-29"/>
              <w:jc w:val="center"/>
              <w:rPr>
                <w:noProof/>
                <w:sz w:val="18"/>
              </w:rPr>
            </w:pPr>
          </w:p>
        </w:tc>
        <w:tc>
          <w:tcPr>
            <w:tcW w:w="720" w:type="dxa"/>
            <w:tcBorders>
              <w:top w:val="single" w:sz="12" w:space="0" w:color="auto"/>
              <w:bottom w:val="single" w:sz="12" w:space="0" w:color="auto"/>
            </w:tcBorders>
          </w:tcPr>
          <w:p w14:paraId="5ED41CEA" w14:textId="77777777" w:rsidR="001F2A4B" w:rsidRPr="00710B91" w:rsidRDefault="001F2A4B" w:rsidP="001F2A4B">
            <w:pPr>
              <w:spacing w:before="180" w:after="180"/>
              <w:ind w:right="-29"/>
              <w:jc w:val="center"/>
              <w:rPr>
                <w:noProof/>
                <w:sz w:val="18"/>
              </w:rPr>
            </w:pPr>
            <w:r w:rsidRPr="00710B91">
              <w:rPr>
                <w:noProof/>
                <w:sz w:val="18"/>
              </w:rPr>
              <w:t>6,616</w:t>
            </w:r>
          </w:p>
        </w:tc>
        <w:tc>
          <w:tcPr>
            <w:tcW w:w="720" w:type="dxa"/>
            <w:tcBorders>
              <w:top w:val="single" w:sz="12" w:space="0" w:color="auto"/>
              <w:bottom w:val="single" w:sz="12" w:space="0" w:color="auto"/>
            </w:tcBorders>
          </w:tcPr>
          <w:p w14:paraId="0A661E58" w14:textId="77777777" w:rsidR="001F2A4B" w:rsidRPr="00710B91" w:rsidRDefault="001F2A4B" w:rsidP="001F2A4B">
            <w:pPr>
              <w:spacing w:before="180" w:after="180"/>
              <w:ind w:right="-29"/>
              <w:jc w:val="center"/>
              <w:rPr>
                <w:noProof/>
                <w:sz w:val="18"/>
              </w:rPr>
            </w:pPr>
          </w:p>
        </w:tc>
        <w:tc>
          <w:tcPr>
            <w:tcW w:w="720" w:type="dxa"/>
            <w:tcBorders>
              <w:top w:val="single" w:sz="12" w:space="0" w:color="auto"/>
              <w:bottom w:val="single" w:sz="12" w:space="0" w:color="auto"/>
            </w:tcBorders>
          </w:tcPr>
          <w:p w14:paraId="0AA6C793" w14:textId="77777777" w:rsidR="001F2A4B" w:rsidRPr="00710B91" w:rsidRDefault="001F2A4B" w:rsidP="001F2A4B">
            <w:pPr>
              <w:spacing w:before="180" w:after="180"/>
              <w:ind w:right="-29"/>
              <w:jc w:val="center"/>
              <w:rPr>
                <w:noProof/>
                <w:sz w:val="18"/>
              </w:rPr>
            </w:pPr>
            <w:r w:rsidRPr="00710B91">
              <w:rPr>
                <w:noProof/>
                <w:sz w:val="18"/>
              </w:rPr>
              <w:t>3,080</w:t>
            </w:r>
          </w:p>
        </w:tc>
        <w:tc>
          <w:tcPr>
            <w:tcW w:w="789" w:type="dxa"/>
            <w:tcBorders>
              <w:top w:val="single" w:sz="12" w:space="0" w:color="auto"/>
              <w:bottom w:val="single" w:sz="12" w:space="0" w:color="auto"/>
            </w:tcBorders>
          </w:tcPr>
          <w:p w14:paraId="3B430F52" w14:textId="77777777" w:rsidR="001F2A4B" w:rsidRPr="00710B91" w:rsidRDefault="001F2A4B" w:rsidP="001F2A4B">
            <w:pPr>
              <w:spacing w:before="180" w:after="180"/>
              <w:ind w:right="-29"/>
              <w:jc w:val="center"/>
              <w:rPr>
                <w:noProof/>
                <w:sz w:val="18"/>
              </w:rPr>
            </w:pPr>
          </w:p>
        </w:tc>
        <w:tc>
          <w:tcPr>
            <w:tcW w:w="831" w:type="dxa"/>
            <w:tcBorders>
              <w:top w:val="single" w:sz="12" w:space="0" w:color="auto"/>
              <w:bottom w:val="single" w:sz="12" w:space="0" w:color="auto"/>
            </w:tcBorders>
          </w:tcPr>
          <w:p w14:paraId="16AF8A1E" w14:textId="77777777" w:rsidR="001F2A4B" w:rsidRPr="00710B91" w:rsidRDefault="001F2A4B" w:rsidP="001F2A4B">
            <w:pPr>
              <w:spacing w:before="180" w:after="180"/>
              <w:ind w:right="-29"/>
              <w:jc w:val="center"/>
              <w:rPr>
                <w:noProof/>
                <w:sz w:val="18"/>
              </w:rPr>
            </w:pPr>
            <w:r w:rsidRPr="00710B91">
              <w:rPr>
                <w:noProof/>
                <w:sz w:val="18"/>
              </w:rPr>
              <w:t>3,080</w:t>
            </w:r>
          </w:p>
        </w:tc>
        <w:tc>
          <w:tcPr>
            <w:tcW w:w="720" w:type="dxa"/>
            <w:tcBorders>
              <w:top w:val="single" w:sz="12" w:space="0" w:color="auto"/>
              <w:bottom w:val="single" w:sz="12" w:space="0" w:color="auto"/>
            </w:tcBorders>
          </w:tcPr>
          <w:p w14:paraId="675265C1" w14:textId="77777777" w:rsidR="001F2A4B" w:rsidRPr="00710B91" w:rsidRDefault="001F2A4B" w:rsidP="001F2A4B">
            <w:pPr>
              <w:spacing w:before="180" w:after="180"/>
              <w:ind w:right="-29"/>
              <w:jc w:val="center"/>
              <w:rPr>
                <w:noProof/>
                <w:sz w:val="18"/>
              </w:rPr>
            </w:pPr>
          </w:p>
        </w:tc>
        <w:tc>
          <w:tcPr>
            <w:tcW w:w="900" w:type="dxa"/>
            <w:tcBorders>
              <w:top w:val="single" w:sz="12" w:space="0" w:color="auto"/>
              <w:bottom w:val="single" w:sz="12" w:space="0" w:color="auto"/>
              <w:right w:val="single" w:sz="12" w:space="0" w:color="auto"/>
            </w:tcBorders>
          </w:tcPr>
          <w:p w14:paraId="5F169A8B" w14:textId="77777777" w:rsidR="001F2A4B" w:rsidRPr="00710B91" w:rsidRDefault="001F2A4B" w:rsidP="001F2A4B">
            <w:pPr>
              <w:spacing w:before="180" w:after="180"/>
              <w:ind w:right="-29"/>
              <w:jc w:val="center"/>
              <w:rPr>
                <w:noProof/>
                <w:sz w:val="18"/>
              </w:rPr>
            </w:pPr>
            <w:r w:rsidRPr="00710B91">
              <w:rPr>
                <w:noProof/>
                <w:sz w:val="18"/>
              </w:rPr>
              <w:t>16,384</w:t>
            </w:r>
          </w:p>
        </w:tc>
      </w:tr>
    </w:tbl>
    <w:p w14:paraId="34FC9085" w14:textId="77777777" w:rsidR="001F2A4B" w:rsidRPr="00710B91" w:rsidRDefault="001F2A4B" w:rsidP="001F2A4B">
      <w:pPr>
        <w:tabs>
          <w:tab w:val="left" w:pos="1733"/>
        </w:tabs>
        <w:rPr>
          <w:noProof/>
          <w:sz w:val="18"/>
        </w:rPr>
      </w:pPr>
    </w:p>
    <w:p w14:paraId="5840FEAE" w14:textId="434369DE" w:rsidR="001F2A4B" w:rsidRPr="00710B91" w:rsidRDefault="009A08E9" w:rsidP="009A08E9">
      <w:pPr>
        <w:pStyle w:val="ManualHeading3"/>
        <w:rPr>
          <w:bCs/>
          <w:noProof/>
          <w:szCs w:val="24"/>
        </w:rPr>
      </w:pPr>
      <w:bookmarkStart w:id="36" w:name="_Toc92899407"/>
      <w:r w:rsidRPr="009A08E9">
        <w:t>3.2.4.</w:t>
      </w:r>
      <w:r w:rsidRPr="009A08E9">
        <w:tab/>
      </w:r>
      <w:r w:rsidR="001F2A4B" w:rsidRPr="00710B91">
        <w:rPr>
          <w:noProof/>
        </w:rPr>
        <w:t>Szacunkowy wpływ na zasoby ludzkie Eurojustu</w:t>
      </w:r>
      <w:bookmarkEnd w:id="36"/>
      <w:r w:rsidR="001F2A4B" w:rsidRPr="00710B91">
        <w:rPr>
          <w:noProof/>
        </w:rPr>
        <w:t xml:space="preserve"> </w:t>
      </w:r>
    </w:p>
    <w:p w14:paraId="50773FAD" w14:textId="5F43B353" w:rsidR="001F2A4B" w:rsidRPr="00710B91" w:rsidRDefault="009A08E9" w:rsidP="009A08E9">
      <w:pPr>
        <w:pStyle w:val="ManualHeading4"/>
        <w:rPr>
          <w:bCs/>
          <w:noProof/>
          <w:szCs w:val="24"/>
        </w:rPr>
      </w:pPr>
      <w:r w:rsidRPr="009A08E9">
        <w:t>3.2.4.1.</w:t>
      </w:r>
      <w:r w:rsidRPr="009A08E9">
        <w:tab/>
      </w:r>
      <w:r w:rsidR="001F2A4B" w:rsidRPr="00710B91">
        <w:rPr>
          <w:noProof/>
        </w:rPr>
        <w:t xml:space="preserve">Streszczenie </w:t>
      </w:r>
    </w:p>
    <w:p w14:paraId="09D2A592" w14:textId="779A745D" w:rsidR="001F2A4B" w:rsidRPr="00710B91" w:rsidRDefault="001F2A4B" w:rsidP="008326C2">
      <w:pPr>
        <w:pStyle w:val="ListDash1"/>
        <w:numPr>
          <w:ilvl w:val="0"/>
          <w:numId w:val="16"/>
        </w:numPr>
        <w:rPr>
          <w:noProof/>
        </w:rPr>
      </w:pPr>
      <w:r w:rsidRPr="00710B91">
        <w:rPr>
          <w:noProof/>
        </w:rPr>
        <w:sym w:font="Wingdings" w:char="F0A8"/>
      </w:r>
      <w:r w:rsidRPr="00710B91">
        <w:rPr>
          <w:noProof/>
        </w:rPr>
        <w:tab/>
        <w:t>Wniosek/inicjatywa nie wiąże się</w:t>
      </w:r>
      <w:r w:rsidR="00710B91" w:rsidRPr="00710B91">
        <w:rPr>
          <w:noProof/>
        </w:rPr>
        <w:t xml:space="preserve"> z</w:t>
      </w:r>
      <w:r w:rsidR="00710B91">
        <w:rPr>
          <w:noProof/>
        </w:rPr>
        <w:t> </w:t>
      </w:r>
      <w:r w:rsidR="00710B91" w:rsidRPr="00710B91">
        <w:rPr>
          <w:noProof/>
        </w:rPr>
        <w:t>kon</w:t>
      </w:r>
      <w:r w:rsidRPr="00710B91">
        <w:rPr>
          <w:noProof/>
        </w:rPr>
        <w:t xml:space="preserve">iecznością wykorzystania środków administracyjnych </w:t>
      </w:r>
    </w:p>
    <w:p w14:paraId="71267DB8" w14:textId="54830590" w:rsidR="001F2A4B" w:rsidRPr="00710B91" w:rsidRDefault="001F2A4B" w:rsidP="008326C2">
      <w:pPr>
        <w:pStyle w:val="ListDash1"/>
        <w:numPr>
          <w:ilvl w:val="0"/>
          <w:numId w:val="16"/>
        </w:numPr>
        <w:rPr>
          <w:noProof/>
        </w:rPr>
      </w:pPr>
      <w:r w:rsidRPr="00710B91">
        <w:rPr>
          <w:noProof/>
        </w:rPr>
        <w:sym w:font="Wingdings" w:char="F0FE"/>
      </w:r>
      <w:r w:rsidRPr="00710B91">
        <w:rPr>
          <w:noProof/>
        </w:rPr>
        <w:tab/>
        <w:t>Wniosek/inicjatywa wiąże się</w:t>
      </w:r>
      <w:r w:rsidR="00710B91" w:rsidRPr="00710B91">
        <w:rPr>
          <w:noProof/>
        </w:rPr>
        <w:t xml:space="preserve"> z</w:t>
      </w:r>
      <w:r w:rsidR="00710B91">
        <w:rPr>
          <w:noProof/>
        </w:rPr>
        <w:t> </w:t>
      </w:r>
      <w:r w:rsidR="00710B91" w:rsidRPr="00710B91">
        <w:rPr>
          <w:noProof/>
        </w:rPr>
        <w:t>kon</w:t>
      </w:r>
      <w:r w:rsidRPr="00710B91">
        <w:rPr>
          <w:noProof/>
        </w:rPr>
        <w:t>iecznością wykorzystania środków administracyjnych, jak określono poniżej</w:t>
      </w:r>
      <w:r w:rsidRPr="00710B91">
        <w:rPr>
          <w:rStyle w:val="FootnoteReference"/>
          <w:noProof/>
        </w:rPr>
        <w:footnoteReference w:id="40"/>
      </w:r>
      <w:r w:rsidRPr="00710B91">
        <w:rPr>
          <w:noProof/>
        </w:rPr>
        <w:t>:</w:t>
      </w:r>
    </w:p>
    <w:p w14:paraId="6CB1F813" w14:textId="77777777" w:rsidR="001F2A4B" w:rsidRPr="00710B91" w:rsidRDefault="001F2A4B" w:rsidP="00534A42">
      <w:pPr>
        <w:jc w:val="right"/>
        <w:rPr>
          <w:noProof/>
          <w:sz w:val="20"/>
        </w:rPr>
      </w:pPr>
      <w:r w:rsidRPr="00710B91">
        <w:rPr>
          <w:noProof/>
          <w:sz w:val="20"/>
        </w:rPr>
        <w:t>w mln EUR (do trzech miejsc po przecinku)</w:t>
      </w:r>
    </w:p>
    <w:tbl>
      <w:tblPr>
        <w:tblW w:w="7380" w:type="dxa"/>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1E0" w:firstRow="1" w:lastRow="1" w:firstColumn="1" w:lastColumn="1" w:noHBand="0" w:noVBand="0"/>
      </w:tblPr>
      <w:tblGrid>
        <w:gridCol w:w="1980"/>
        <w:gridCol w:w="1080"/>
        <w:gridCol w:w="1080"/>
        <w:gridCol w:w="1080"/>
        <w:gridCol w:w="1080"/>
        <w:gridCol w:w="1080"/>
      </w:tblGrid>
      <w:tr w:rsidR="001F2A4B" w:rsidRPr="00710B91" w14:paraId="2EEF94FB" w14:textId="77777777" w:rsidTr="001F2A4B">
        <w:trPr>
          <w:trHeight w:val="585"/>
          <w:jc w:val="center"/>
        </w:trPr>
        <w:tc>
          <w:tcPr>
            <w:tcW w:w="1980" w:type="dxa"/>
          </w:tcPr>
          <w:p w14:paraId="0286D10A" w14:textId="77777777" w:rsidR="001F2A4B" w:rsidRPr="00710B91" w:rsidRDefault="001F2A4B" w:rsidP="001F2A4B">
            <w:pPr>
              <w:spacing w:before="60" w:after="60"/>
              <w:rPr>
                <w:b/>
                <w:noProof/>
                <w:sz w:val="20"/>
              </w:rPr>
            </w:pPr>
            <w:r w:rsidRPr="00710B91">
              <w:rPr>
                <w:b/>
                <w:noProof/>
                <w:sz w:val="20"/>
              </w:rPr>
              <w:t>Eurojust</w:t>
            </w:r>
          </w:p>
        </w:tc>
        <w:tc>
          <w:tcPr>
            <w:tcW w:w="1080" w:type="dxa"/>
            <w:vAlign w:val="center"/>
          </w:tcPr>
          <w:p w14:paraId="090E21E9" w14:textId="77777777" w:rsidR="001F2A4B" w:rsidRPr="00710B91" w:rsidRDefault="001F2A4B" w:rsidP="001F2A4B">
            <w:pPr>
              <w:spacing w:before="60" w:after="60"/>
              <w:jc w:val="center"/>
              <w:rPr>
                <w:noProof/>
                <w:sz w:val="20"/>
              </w:rPr>
            </w:pPr>
            <w:r w:rsidRPr="00710B91">
              <w:rPr>
                <w:noProof/>
                <w:sz w:val="20"/>
              </w:rPr>
              <w:t>Rok</w:t>
            </w:r>
            <w:r w:rsidRPr="00710B91">
              <w:rPr>
                <w:noProof/>
              </w:rPr>
              <w:t xml:space="preserve"> </w:t>
            </w:r>
            <w:r w:rsidRPr="00710B91">
              <w:rPr>
                <w:noProof/>
              </w:rPr>
              <w:br/>
            </w:r>
            <w:r w:rsidRPr="00710B91">
              <w:rPr>
                <w:b/>
                <w:noProof/>
                <w:sz w:val="20"/>
              </w:rPr>
              <w:t>2024</w:t>
            </w:r>
          </w:p>
        </w:tc>
        <w:tc>
          <w:tcPr>
            <w:tcW w:w="1080" w:type="dxa"/>
            <w:vAlign w:val="center"/>
          </w:tcPr>
          <w:p w14:paraId="7E37A0BD" w14:textId="77777777" w:rsidR="001F2A4B" w:rsidRPr="00710B91" w:rsidRDefault="001F2A4B" w:rsidP="001F2A4B">
            <w:pPr>
              <w:spacing w:before="60" w:after="60"/>
              <w:jc w:val="center"/>
              <w:rPr>
                <w:noProof/>
                <w:sz w:val="20"/>
              </w:rPr>
            </w:pPr>
            <w:r w:rsidRPr="00710B91">
              <w:rPr>
                <w:noProof/>
                <w:sz w:val="20"/>
              </w:rPr>
              <w:t>Rok</w:t>
            </w:r>
            <w:r w:rsidRPr="00710B91">
              <w:rPr>
                <w:noProof/>
              </w:rPr>
              <w:t xml:space="preserve"> </w:t>
            </w:r>
            <w:r w:rsidRPr="00710B91">
              <w:rPr>
                <w:noProof/>
              </w:rPr>
              <w:br/>
            </w:r>
            <w:r w:rsidRPr="00710B91">
              <w:rPr>
                <w:b/>
                <w:noProof/>
                <w:sz w:val="20"/>
              </w:rPr>
              <w:t>2025</w:t>
            </w:r>
          </w:p>
        </w:tc>
        <w:tc>
          <w:tcPr>
            <w:tcW w:w="1080" w:type="dxa"/>
            <w:vAlign w:val="center"/>
          </w:tcPr>
          <w:p w14:paraId="371E733B" w14:textId="77777777" w:rsidR="001F2A4B" w:rsidRPr="00710B91" w:rsidRDefault="001F2A4B" w:rsidP="001F2A4B">
            <w:pPr>
              <w:spacing w:before="60" w:after="60"/>
              <w:jc w:val="center"/>
              <w:rPr>
                <w:noProof/>
                <w:sz w:val="20"/>
              </w:rPr>
            </w:pPr>
            <w:r w:rsidRPr="00710B91">
              <w:rPr>
                <w:noProof/>
                <w:sz w:val="20"/>
              </w:rPr>
              <w:t>Rok</w:t>
            </w:r>
            <w:r w:rsidRPr="00710B91">
              <w:rPr>
                <w:noProof/>
              </w:rPr>
              <w:t xml:space="preserve"> </w:t>
            </w:r>
            <w:r w:rsidRPr="00710B91">
              <w:rPr>
                <w:noProof/>
              </w:rPr>
              <w:br/>
            </w:r>
            <w:r w:rsidRPr="00710B91">
              <w:rPr>
                <w:b/>
                <w:noProof/>
                <w:sz w:val="20"/>
              </w:rPr>
              <w:t>2026</w:t>
            </w:r>
          </w:p>
        </w:tc>
        <w:tc>
          <w:tcPr>
            <w:tcW w:w="1080" w:type="dxa"/>
            <w:vAlign w:val="center"/>
          </w:tcPr>
          <w:p w14:paraId="26375D73" w14:textId="77777777" w:rsidR="001F2A4B" w:rsidRPr="00710B91" w:rsidRDefault="001F2A4B" w:rsidP="001F2A4B">
            <w:pPr>
              <w:spacing w:before="60" w:after="60"/>
              <w:jc w:val="center"/>
              <w:rPr>
                <w:noProof/>
                <w:sz w:val="20"/>
              </w:rPr>
            </w:pPr>
            <w:r w:rsidRPr="00710B91">
              <w:rPr>
                <w:noProof/>
                <w:sz w:val="20"/>
              </w:rPr>
              <w:t>Rok</w:t>
            </w:r>
            <w:r w:rsidRPr="00710B91">
              <w:rPr>
                <w:noProof/>
              </w:rPr>
              <w:t xml:space="preserve"> </w:t>
            </w:r>
            <w:r w:rsidRPr="00710B91">
              <w:rPr>
                <w:noProof/>
              </w:rPr>
              <w:br/>
            </w:r>
            <w:r w:rsidRPr="00710B91">
              <w:rPr>
                <w:b/>
                <w:noProof/>
                <w:sz w:val="20"/>
              </w:rPr>
              <w:t>2027</w:t>
            </w:r>
          </w:p>
        </w:tc>
        <w:tc>
          <w:tcPr>
            <w:tcW w:w="1080" w:type="dxa"/>
            <w:vAlign w:val="center"/>
          </w:tcPr>
          <w:p w14:paraId="3508D567" w14:textId="77777777" w:rsidR="001F2A4B" w:rsidRPr="00710B91" w:rsidRDefault="001F2A4B" w:rsidP="001F2A4B">
            <w:pPr>
              <w:spacing w:before="60" w:after="60"/>
              <w:jc w:val="center"/>
              <w:rPr>
                <w:b/>
                <w:noProof/>
                <w:sz w:val="20"/>
              </w:rPr>
            </w:pPr>
            <w:r w:rsidRPr="00710B91">
              <w:rPr>
                <w:b/>
                <w:noProof/>
                <w:sz w:val="18"/>
              </w:rPr>
              <w:t>OGÓŁEM 2024–2027</w:t>
            </w:r>
          </w:p>
        </w:tc>
      </w:tr>
    </w:tbl>
    <w:p w14:paraId="38331C61" w14:textId="77777777" w:rsidR="001F2A4B" w:rsidRPr="00710B91" w:rsidRDefault="001F2A4B" w:rsidP="001F2A4B">
      <w:pPr>
        <w:rPr>
          <w:noProof/>
          <w:sz w:val="20"/>
        </w:rPr>
      </w:pPr>
    </w:p>
    <w:tbl>
      <w:tblPr>
        <w:tblW w:w="7380" w:type="dxa"/>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1E0" w:firstRow="1" w:lastRow="1" w:firstColumn="1" w:lastColumn="1" w:noHBand="0" w:noVBand="0"/>
      </w:tblPr>
      <w:tblGrid>
        <w:gridCol w:w="1980"/>
        <w:gridCol w:w="1080"/>
        <w:gridCol w:w="1080"/>
        <w:gridCol w:w="1080"/>
        <w:gridCol w:w="1080"/>
        <w:gridCol w:w="1080"/>
      </w:tblGrid>
      <w:tr w:rsidR="001F2A4B" w:rsidRPr="00710B91" w14:paraId="5252794B" w14:textId="77777777" w:rsidTr="001F2A4B">
        <w:trPr>
          <w:trHeight w:val="585"/>
          <w:jc w:val="center"/>
        </w:trPr>
        <w:tc>
          <w:tcPr>
            <w:tcW w:w="1980" w:type="dxa"/>
            <w:shd w:val="clear" w:color="auto" w:fill="D9D9D9" w:themeFill="background1" w:themeFillShade="D9"/>
            <w:vAlign w:val="center"/>
          </w:tcPr>
          <w:p w14:paraId="1BD47BC0" w14:textId="77777777" w:rsidR="001F2A4B" w:rsidRPr="00710B91" w:rsidRDefault="001F2A4B" w:rsidP="001F2A4B">
            <w:pPr>
              <w:spacing w:before="60" w:after="60"/>
              <w:jc w:val="center"/>
              <w:rPr>
                <w:noProof/>
              </w:rPr>
            </w:pPr>
            <w:r w:rsidRPr="00710B91">
              <w:rPr>
                <w:noProof/>
                <w:sz w:val="18"/>
              </w:rPr>
              <w:t>Pracownicy zatrudnieni na czas określony (grupy zaszeregowania AD)</w:t>
            </w:r>
          </w:p>
        </w:tc>
        <w:tc>
          <w:tcPr>
            <w:tcW w:w="1080" w:type="dxa"/>
            <w:vAlign w:val="center"/>
          </w:tcPr>
          <w:p w14:paraId="419C254E" w14:textId="77777777" w:rsidR="001F2A4B" w:rsidRPr="00710B91" w:rsidRDefault="001F2A4B" w:rsidP="001F2A4B">
            <w:pPr>
              <w:spacing w:before="60" w:after="60"/>
              <w:jc w:val="right"/>
              <w:rPr>
                <w:noProof/>
                <w:sz w:val="20"/>
              </w:rPr>
            </w:pPr>
          </w:p>
        </w:tc>
        <w:tc>
          <w:tcPr>
            <w:tcW w:w="1080" w:type="dxa"/>
            <w:vAlign w:val="center"/>
          </w:tcPr>
          <w:p w14:paraId="1E4FEFCA" w14:textId="707E80BF" w:rsidR="001F2A4B" w:rsidRPr="00710B91" w:rsidRDefault="001F2A4B" w:rsidP="0019688C">
            <w:pPr>
              <w:spacing w:before="60" w:after="60"/>
              <w:jc w:val="right"/>
              <w:rPr>
                <w:noProof/>
                <w:sz w:val="20"/>
              </w:rPr>
            </w:pPr>
            <w:r w:rsidRPr="00710B91">
              <w:rPr>
                <w:noProof/>
                <w:sz w:val="20"/>
              </w:rPr>
              <w:t>0,086</w:t>
            </w:r>
          </w:p>
        </w:tc>
        <w:tc>
          <w:tcPr>
            <w:tcW w:w="1080" w:type="dxa"/>
            <w:vAlign w:val="center"/>
          </w:tcPr>
          <w:p w14:paraId="7BAED2AC" w14:textId="3EBEEE86" w:rsidR="001F2A4B" w:rsidRPr="00710B91" w:rsidRDefault="001F2A4B" w:rsidP="006012BC">
            <w:pPr>
              <w:spacing w:before="60" w:after="60"/>
              <w:jc w:val="right"/>
              <w:rPr>
                <w:noProof/>
                <w:sz w:val="20"/>
              </w:rPr>
            </w:pPr>
            <w:r w:rsidRPr="00710B91">
              <w:rPr>
                <w:noProof/>
                <w:sz w:val="20"/>
              </w:rPr>
              <w:t>0,346</w:t>
            </w:r>
          </w:p>
        </w:tc>
        <w:tc>
          <w:tcPr>
            <w:tcW w:w="1080" w:type="dxa"/>
            <w:vAlign w:val="center"/>
          </w:tcPr>
          <w:p w14:paraId="7CD51CD2" w14:textId="498D3567" w:rsidR="001F2A4B" w:rsidRPr="00710B91" w:rsidRDefault="001F2A4B" w:rsidP="006012BC">
            <w:pPr>
              <w:spacing w:before="60" w:after="60"/>
              <w:jc w:val="right"/>
              <w:rPr>
                <w:noProof/>
                <w:sz w:val="20"/>
              </w:rPr>
            </w:pPr>
            <w:r w:rsidRPr="00710B91">
              <w:rPr>
                <w:noProof/>
                <w:sz w:val="20"/>
              </w:rPr>
              <w:t>0,519</w:t>
            </w:r>
          </w:p>
        </w:tc>
        <w:tc>
          <w:tcPr>
            <w:tcW w:w="1080" w:type="dxa"/>
            <w:vAlign w:val="center"/>
          </w:tcPr>
          <w:p w14:paraId="16BFACBD" w14:textId="3CD37EDE" w:rsidR="001F2A4B" w:rsidRPr="00710B91" w:rsidRDefault="006012BC" w:rsidP="006012BC">
            <w:pPr>
              <w:spacing w:before="60" w:after="60"/>
              <w:jc w:val="right"/>
              <w:rPr>
                <w:b/>
                <w:noProof/>
                <w:sz w:val="20"/>
              </w:rPr>
            </w:pPr>
            <w:r w:rsidRPr="00710B91">
              <w:rPr>
                <w:b/>
                <w:noProof/>
                <w:sz w:val="20"/>
              </w:rPr>
              <w:t>0,951</w:t>
            </w:r>
          </w:p>
        </w:tc>
      </w:tr>
      <w:tr w:rsidR="001F2A4B" w:rsidRPr="00710B91" w14:paraId="2423F25A" w14:textId="77777777" w:rsidTr="001F2A4B">
        <w:trPr>
          <w:trHeight w:val="585"/>
          <w:jc w:val="center"/>
        </w:trPr>
        <w:tc>
          <w:tcPr>
            <w:tcW w:w="1980" w:type="dxa"/>
            <w:shd w:val="clear" w:color="auto" w:fill="BFBFBF" w:themeFill="background1" w:themeFillShade="BF"/>
            <w:vAlign w:val="center"/>
          </w:tcPr>
          <w:p w14:paraId="410419A6" w14:textId="77777777" w:rsidR="001F2A4B" w:rsidRPr="00710B91" w:rsidRDefault="001F2A4B" w:rsidP="001F2A4B">
            <w:pPr>
              <w:spacing w:before="60" w:after="60"/>
              <w:ind w:left="72"/>
              <w:rPr>
                <w:noProof/>
              </w:rPr>
            </w:pPr>
            <w:r w:rsidRPr="00710B91">
              <w:rPr>
                <w:noProof/>
                <w:sz w:val="20"/>
              </w:rPr>
              <w:t>Pracownicy zatrudnieni na czas określony (grupy zaszeregowania AST)</w:t>
            </w:r>
          </w:p>
        </w:tc>
        <w:tc>
          <w:tcPr>
            <w:tcW w:w="1080" w:type="dxa"/>
            <w:vAlign w:val="center"/>
          </w:tcPr>
          <w:p w14:paraId="5558C241" w14:textId="77777777" w:rsidR="001F2A4B" w:rsidRPr="00710B91" w:rsidRDefault="001F2A4B" w:rsidP="001F2A4B">
            <w:pPr>
              <w:spacing w:before="60" w:after="60"/>
              <w:jc w:val="right"/>
              <w:rPr>
                <w:noProof/>
                <w:sz w:val="20"/>
              </w:rPr>
            </w:pPr>
          </w:p>
        </w:tc>
        <w:tc>
          <w:tcPr>
            <w:tcW w:w="1080" w:type="dxa"/>
            <w:vAlign w:val="center"/>
          </w:tcPr>
          <w:p w14:paraId="4921265B" w14:textId="77777777" w:rsidR="001F2A4B" w:rsidRPr="00710B91" w:rsidRDefault="001F2A4B" w:rsidP="001F2A4B">
            <w:pPr>
              <w:spacing w:before="60" w:after="60"/>
              <w:jc w:val="right"/>
              <w:rPr>
                <w:noProof/>
                <w:sz w:val="20"/>
              </w:rPr>
            </w:pPr>
          </w:p>
        </w:tc>
        <w:tc>
          <w:tcPr>
            <w:tcW w:w="1080" w:type="dxa"/>
            <w:vAlign w:val="center"/>
          </w:tcPr>
          <w:p w14:paraId="17C95CBC" w14:textId="77777777" w:rsidR="001F2A4B" w:rsidRPr="00710B91" w:rsidRDefault="001F2A4B" w:rsidP="001F2A4B">
            <w:pPr>
              <w:spacing w:before="60" w:after="60"/>
              <w:jc w:val="right"/>
              <w:rPr>
                <w:noProof/>
                <w:sz w:val="20"/>
              </w:rPr>
            </w:pPr>
          </w:p>
        </w:tc>
        <w:tc>
          <w:tcPr>
            <w:tcW w:w="1080" w:type="dxa"/>
            <w:vAlign w:val="center"/>
          </w:tcPr>
          <w:p w14:paraId="22F74C73" w14:textId="77777777" w:rsidR="001F2A4B" w:rsidRPr="00710B91" w:rsidRDefault="001F2A4B" w:rsidP="001F2A4B">
            <w:pPr>
              <w:spacing w:before="60" w:after="60"/>
              <w:jc w:val="right"/>
              <w:rPr>
                <w:noProof/>
                <w:sz w:val="20"/>
              </w:rPr>
            </w:pPr>
          </w:p>
        </w:tc>
        <w:tc>
          <w:tcPr>
            <w:tcW w:w="1080" w:type="dxa"/>
            <w:vAlign w:val="center"/>
          </w:tcPr>
          <w:p w14:paraId="043C9B71" w14:textId="77777777" w:rsidR="001F2A4B" w:rsidRPr="00710B91" w:rsidRDefault="001F2A4B" w:rsidP="001F2A4B">
            <w:pPr>
              <w:spacing w:before="60" w:after="60"/>
              <w:jc w:val="right"/>
              <w:rPr>
                <w:b/>
                <w:noProof/>
                <w:sz w:val="20"/>
              </w:rPr>
            </w:pPr>
          </w:p>
        </w:tc>
      </w:tr>
      <w:tr w:rsidR="001F2A4B" w:rsidRPr="00710B91" w14:paraId="049AF482" w14:textId="77777777" w:rsidTr="001F2A4B">
        <w:trPr>
          <w:trHeight w:val="585"/>
          <w:jc w:val="center"/>
        </w:trPr>
        <w:tc>
          <w:tcPr>
            <w:tcW w:w="1980" w:type="dxa"/>
            <w:shd w:val="clear" w:color="auto" w:fill="BFBFBF" w:themeFill="background1" w:themeFillShade="BF"/>
            <w:vAlign w:val="center"/>
          </w:tcPr>
          <w:p w14:paraId="1215384C" w14:textId="77777777" w:rsidR="001F2A4B" w:rsidRPr="00710B91" w:rsidRDefault="001F2A4B" w:rsidP="001F2A4B">
            <w:pPr>
              <w:spacing w:before="60" w:after="60"/>
              <w:ind w:left="72"/>
              <w:rPr>
                <w:noProof/>
              </w:rPr>
            </w:pPr>
            <w:r w:rsidRPr="00710B91">
              <w:rPr>
                <w:noProof/>
                <w:sz w:val="20"/>
              </w:rPr>
              <w:t>Personel kontraktowy</w:t>
            </w:r>
          </w:p>
        </w:tc>
        <w:tc>
          <w:tcPr>
            <w:tcW w:w="1080" w:type="dxa"/>
            <w:shd w:val="clear" w:color="auto" w:fill="FFFFFF" w:themeFill="background1"/>
            <w:vAlign w:val="center"/>
          </w:tcPr>
          <w:p w14:paraId="531D67AB" w14:textId="77777777" w:rsidR="001F2A4B" w:rsidRPr="00710B91" w:rsidRDefault="001F2A4B" w:rsidP="001F2A4B">
            <w:pPr>
              <w:spacing w:before="60" w:after="60"/>
              <w:jc w:val="right"/>
              <w:rPr>
                <w:noProof/>
                <w:sz w:val="20"/>
              </w:rPr>
            </w:pPr>
          </w:p>
        </w:tc>
        <w:tc>
          <w:tcPr>
            <w:tcW w:w="1080" w:type="dxa"/>
            <w:shd w:val="clear" w:color="auto" w:fill="FFFFFF" w:themeFill="background1"/>
            <w:vAlign w:val="center"/>
          </w:tcPr>
          <w:p w14:paraId="2A1EDD78" w14:textId="77777777" w:rsidR="001F2A4B" w:rsidRPr="00710B91" w:rsidRDefault="001F2A4B" w:rsidP="001F2A4B">
            <w:pPr>
              <w:spacing w:before="60" w:after="60"/>
              <w:jc w:val="right"/>
              <w:rPr>
                <w:noProof/>
                <w:sz w:val="20"/>
              </w:rPr>
            </w:pPr>
          </w:p>
        </w:tc>
        <w:tc>
          <w:tcPr>
            <w:tcW w:w="1080" w:type="dxa"/>
            <w:shd w:val="clear" w:color="auto" w:fill="FFFFFF" w:themeFill="background1"/>
            <w:vAlign w:val="center"/>
          </w:tcPr>
          <w:p w14:paraId="7D230FF8" w14:textId="77777777" w:rsidR="001F2A4B" w:rsidRPr="00710B91" w:rsidRDefault="001F2A4B" w:rsidP="001F2A4B">
            <w:pPr>
              <w:spacing w:before="60" w:after="60"/>
              <w:jc w:val="right"/>
              <w:rPr>
                <w:noProof/>
                <w:sz w:val="20"/>
              </w:rPr>
            </w:pPr>
          </w:p>
        </w:tc>
        <w:tc>
          <w:tcPr>
            <w:tcW w:w="1080" w:type="dxa"/>
            <w:shd w:val="clear" w:color="auto" w:fill="FFFFFF" w:themeFill="background1"/>
            <w:vAlign w:val="center"/>
          </w:tcPr>
          <w:p w14:paraId="452892F5" w14:textId="77777777" w:rsidR="001F2A4B" w:rsidRPr="00710B91" w:rsidRDefault="001F2A4B" w:rsidP="001F2A4B">
            <w:pPr>
              <w:spacing w:before="60" w:after="60"/>
              <w:jc w:val="right"/>
              <w:rPr>
                <w:noProof/>
                <w:sz w:val="20"/>
              </w:rPr>
            </w:pPr>
          </w:p>
        </w:tc>
        <w:tc>
          <w:tcPr>
            <w:tcW w:w="1080" w:type="dxa"/>
            <w:shd w:val="clear" w:color="auto" w:fill="FFFFFF" w:themeFill="background1"/>
            <w:vAlign w:val="center"/>
          </w:tcPr>
          <w:p w14:paraId="409A9034" w14:textId="77777777" w:rsidR="001F2A4B" w:rsidRPr="00710B91" w:rsidRDefault="001F2A4B" w:rsidP="001F2A4B">
            <w:pPr>
              <w:spacing w:before="60" w:after="60"/>
              <w:jc w:val="right"/>
              <w:rPr>
                <w:b/>
                <w:noProof/>
                <w:sz w:val="20"/>
              </w:rPr>
            </w:pPr>
          </w:p>
        </w:tc>
      </w:tr>
      <w:tr w:rsidR="001F2A4B" w:rsidRPr="00710B91" w14:paraId="7B7CEEF9" w14:textId="77777777" w:rsidTr="001F2A4B">
        <w:trPr>
          <w:trHeight w:val="585"/>
          <w:jc w:val="center"/>
        </w:trPr>
        <w:tc>
          <w:tcPr>
            <w:tcW w:w="1980" w:type="dxa"/>
            <w:shd w:val="clear" w:color="auto" w:fill="CCCCCC"/>
            <w:vAlign w:val="center"/>
          </w:tcPr>
          <w:p w14:paraId="47A2DBFE" w14:textId="77777777" w:rsidR="001F2A4B" w:rsidRPr="00710B91" w:rsidRDefault="001F2A4B" w:rsidP="001F2A4B">
            <w:pPr>
              <w:spacing w:before="60" w:after="60"/>
              <w:jc w:val="center"/>
              <w:rPr>
                <w:noProof/>
              </w:rPr>
            </w:pPr>
            <w:r w:rsidRPr="00710B91">
              <w:rPr>
                <w:noProof/>
                <w:sz w:val="18"/>
              </w:rPr>
              <w:t>Oddelegowani eksperci krajowi</w:t>
            </w:r>
          </w:p>
        </w:tc>
        <w:tc>
          <w:tcPr>
            <w:tcW w:w="1080" w:type="dxa"/>
            <w:shd w:val="clear" w:color="auto" w:fill="FFFFFF" w:themeFill="background1"/>
            <w:vAlign w:val="center"/>
          </w:tcPr>
          <w:p w14:paraId="4DDE8507" w14:textId="77777777" w:rsidR="001F2A4B" w:rsidRPr="00710B91" w:rsidRDefault="001F2A4B" w:rsidP="001F2A4B">
            <w:pPr>
              <w:spacing w:before="60" w:after="60"/>
              <w:jc w:val="right"/>
              <w:rPr>
                <w:noProof/>
                <w:sz w:val="20"/>
              </w:rPr>
            </w:pPr>
          </w:p>
        </w:tc>
        <w:tc>
          <w:tcPr>
            <w:tcW w:w="1080" w:type="dxa"/>
            <w:shd w:val="clear" w:color="auto" w:fill="FFFFFF" w:themeFill="background1"/>
            <w:vAlign w:val="center"/>
          </w:tcPr>
          <w:p w14:paraId="6CA22AA4" w14:textId="77777777" w:rsidR="001F2A4B" w:rsidRPr="00710B91" w:rsidRDefault="001F2A4B" w:rsidP="001F2A4B">
            <w:pPr>
              <w:spacing w:before="60" w:after="60"/>
              <w:jc w:val="right"/>
              <w:rPr>
                <w:noProof/>
                <w:sz w:val="20"/>
              </w:rPr>
            </w:pPr>
          </w:p>
        </w:tc>
        <w:tc>
          <w:tcPr>
            <w:tcW w:w="1080" w:type="dxa"/>
            <w:shd w:val="clear" w:color="auto" w:fill="FFFFFF" w:themeFill="background1"/>
            <w:vAlign w:val="center"/>
          </w:tcPr>
          <w:p w14:paraId="244AD243" w14:textId="77777777" w:rsidR="001F2A4B" w:rsidRPr="00710B91" w:rsidRDefault="001F2A4B" w:rsidP="001F2A4B">
            <w:pPr>
              <w:spacing w:before="60" w:after="60"/>
              <w:jc w:val="right"/>
              <w:rPr>
                <w:noProof/>
                <w:sz w:val="20"/>
              </w:rPr>
            </w:pPr>
          </w:p>
        </w:tc>
        <w:tc>
          <w:tcPr>
            <w:tcW w:w="1080" w:type="dxa"/>
            <w:shd w:val="clear" w:color="auto" w:fill="FFFFFF" w:themeFill="background1"/>
            <w:vAlign w:val="center"/>
          </w:tcPr>
          <w:p w14:paraId="65711168" w14:textId="77777777" w:rsidR="001F2A4B" w:rsidRPr="00710B91" w:rsidRDefault="001F2A4B" w:rsidP="001F2A4B">
            <w:pPr>
              <w:spacing w:before="60" w:after="60"/>
              <w:jc w:val="right"/>
              <w:rPr>
                <w:noProof/>
                <w:sz w:val="20"/>
              </w:rPr>
            </w:pPr>
          </w:p>
        </w:tc>
        <w:tc>
          <w:tcPr>
            <w:tcW w:w="1080" w:type="dxa"/>
            <w:shd w:val="clear" w:color="auto" w:fill="FFFFFF" w:themeFill="background1"/>
            <w:vAlign w:val="center"/>
          </w:tcPr>
          <w:p w14:paraId="3DB59E0B" w14:textId="77777777" w:rsidR="001F2A4B" w:rsidRPr="00710B91" w:rsidRDefault="001F2A4B" w:rsidP="001F2A4B">
            <w:pPr>
              <w:spacing w:before="60" w:after="60"/>
              <w:jc w:val="right"/>
              <w:rPr>
                <w:b/>
                <w:noProof/>
                <w:sz w:val="20"/>
              </w:rPr>
            </w:pPr>
          </w:p>
        </w:tc>
      </w:tr>
    </w:tbl>
    <w:p w14:paraId="02E8C4A4" w14:textId="77777777" w:rsidR="001F2A4B" w:rsidRPr="00710B91" w:rsidRDefault="001F2A4B" w:rsidP="001F2A4B">
      <w:pPr>
        <w:rPr>
          <w:noProof/>
          <w:sz w:val="20"/>
        </w:rPr>
      </w:pPr>
    </w:p>
    <w:tbl>
      <w:tblPr>
        <w:tblW w:w="7380" w:type="dxa"/>
        <w:jc w:val="center"/>
        <w:tblLayout w:type="fixed"/>
        <w:tblLook w:val="01E0" w:firstRow="1" w:lastRow="1" w:firstColumn="1" w:lastColumn="1" w:noHBand="0" w:noVBand="0"/>
      </w:tblPr>
      <w:tblGrid>
        <w:gridCol w:w="1980"/>
        <w:gridCol w:w="1080"/>
        <w:gridCol w:w="1080"/>
        <w:gridCol w:w="1080"/>
        <w:gridCol w:w="1080"/>
        <w:gridCol w:w="1080"/>
      </w:tblGrid>
      <w:tr w:rsidR="001F2A4B" w:rsidRPr="00710B91" w14:paraId="5A17695E" w14:textId="77777777" w:rsidTr="001F2A4B">
        <w:trPr>
          <w:trHeight w:val="585"/>
          <w:jc w:val="center"/>
        </w:trPr>
        <w:tc>
          <w:tcPr>
            <w:tcW w:w="1980" w:type="dxa"/>
            <w:tcBorders>
              <w:top w:val="single" w:sz="12" w:space="0" w:color="auto"/>
              <w:left w:val="single" w:sz="12" w:space="0" w:color="auto"/>
              <w:bottom w:val="single" w:sz="12" w:space="0" w:color="auto"/>
              <w:right w:val="single" w:sz="2" w:space="0" w:color="auto"/>
            </w:tcBorders>
            <w:vAlign w:val="center"/>
          </w:tcPr>
          <w:p w14:paraId="36CC768F" w14:textId="77777777" w:rsidR="001F2A4B" w:rsidRPr="00710B91" w:rsidRDefault="001F2A4B" w:rsidP="001F2A4B">
            <w:pPr>
              <w:spacing w:before="60" w:after="60"/>
              <w:jc w:val="center"/>
              <w:rPr>
                <w:noProof/>
                <w:sz w:val="20"/>
              </w:rPr>
            </w:pPr>
            <w:r w:rsidRPr="00710B91">
              <w:rPr>
                <w:b/>
                <w:noProof/>
                <w:sz w:val="20"/>
              </w:rPr>
              <w:t>OGÓŁEM</w:t>
            </w:r>
          </w:p>
        </w:tc>
        <w:tc>
          <w:tcPr>
            <w:tcW w:w="1080" w:type="dxa"/>
            <w:tcBorders>
              <w:top w:val="single" w:sz="12" w:space="0" w:color="auto"/>
              <w:left w:val="single" w:sz="2" w:space="0" w:color="auto"/>
              <w:bottom w:val="single" w:sz="12" w:space="0" w:color="auto"/>
              <w:right w:val="single" w:sz="2" w:space="0" w:color="auto"/>
            </w:tcBorders>
            <w:vAlign w:val="center"/>
          </w:tcPr>
          <w:p w14:paraId="5CED2185" w14:textId="77777777" w:rsidR="001F2A4B" w:rsidRPr="00710B91" w:rsidRDefault="001F2A4B" w:rsidP="001F2A4B">
            <w:pPr>
              <w:spacing w:before="60" w:after="60"/>
              <w:jc w:val="right"/>
              <w:rPr>
                <w:b/>
                <w:noProof/>
                <w:sz w:val="20"/>
              </w:rPr>
            </w:pPr>
          </w:p>
        </w:tc>
        <w:tc>
          <w:tcPr>
            <w:tcW w:w="1080" w:type="dxa"/>
            <w:tcBorders>
              <w:top w:val="single" w:sz="12" w:space="0" w:color="auto"/>
              <w:left w:val="single" w:sz="2" w:space="0" w:color="auto"/>
              <w:bottom w:val="single" w:sz="12" w:space="0" w:color="auto"/>
              <w:right w:val="single" w:sz="2" w:space="0" w:color="auto"/>
            </w:tcBorders>
            <w:vAlign w:val="center"/>
          </w:tcPr>
          <w:p w14:paraId="102BC66F" w14:textId="5BFA469F" w:rsidR="001F2A4B" w:rsidRPr="00710B91" w:rsidRDefault="001F2A4B" w:rsidP="0019688C">
            <w:pPr>
              <w:spacing w:before="60" w:after="60"/>
              <w:jc w:val="right"/>
              <w:rPr>
                <w:b/>
                <w:noProof/>
                <w:sz w:val="20"/>
              </w:rPr>
            </w:pPr>
            <w:r w:rsidRPr="00710B91">
              <w:rPr>
                <w:b/>
                <w:noProof/>
                <w:sz w:val="20"/>
              </w:rPr>
              <w:t>0,086</w:t>
            </w:r>
          </w:p>
        </w:tc>
        <w:tc>
          <w:tcPr>
            <w:tcW w:w="1080" w:type="dxa"/>
            <w:tcBorders>
              <w:top w:val="single" w:sz="12" w:space="0" w:color="auto"/>
              <w:left w:val="single" w:sz="2" w:space="0" w:color="auto"/>
              <w:bottom w:val="single" w:sz="12" w:space="0" w:color="auto"/>
              <w:right w:val="single" w:sz="2" w:space="0" w:color="auto"/>
            </w:tcBorders>
            <w:vAlign w:val="center"/>
          </w:tcPr>
          <w:p w14:paraId="7A683F00" w14:textId="5BAD2585" w:rsidR="001F2A4B" w:rsidRPr="00710B91" w:rsidRDefault="006012BC" w:rsidP="0019688C">
            <w:pPr>
              <w:spacing w:before="60" w:after="60"/>
              <w:jc w:val="right"/>
              <w:rPr>
                <w:b/>
                <w:noProof/>
                <w:sz w:val="20"/>
              </w:rPr>
            </w:pPr>
            <w:r w:rsidRPr="00710B91">
              <w:rPr>
                <w:b/>
                <w:noProof/>
                <w:sz w:val="20"/>
              </w:rPr>
              <w:t>0,346</w:t>
            </w:r>
          </w:p>
        </w:tc>
        <w:tc>
          <w:tcPr>
            <w:tcW w:w="1080" w:type="dxa"/>
            <w:tcBorders>
              <w:top w:val="single" w:sz="12" w:space="0" w:color="auto"/>
              <w:left w:val="single" w:sz="2" w:space="0" w:color="auto"/>
              <w:bottom w:val="single" w:sz="12" w:space="0" w:color="auto"/>
              <w:right w:val="single" w:sz="2" w:space="0" w:color="auto"/>
            </w:tcBorders>
            <w:vAlign w:val="center"/>
          </w:tcPr>
          <w:p w14:paraId="0C45E96D" w14:textId="497D0A67" w:rsidR="001F2A4B" w:rsidRPr="00710B91" w:rsidRDefault="006012BC" w:rsidP="001F2A4B">
            <w:pPr>
              <w:spacing w:before="60" w:after="60"/>
              <w:jc w:val="right"/>
              <w:rPr>
                <w:b/>
                <w:noProof/>
                <w:sz w:val="20"/>
              </w:rPr>
            </w:pPr>
            <w:r w:rsidRPr="00710B91">
              <w:rPr>
                <w:b/>
                <w:noProof/>
                <w:sz w:val="20"/>
              </w:rPr>
              <w:t>0,519</w:t>
            </w:r>
          </w:p>
        </w:tc>
        <w:tc>
          <w:tcPr>
            <w:tcW w:w="1080" w:type="dxa"/>
            <w:tcBorders>
              <w:top w:val="single" w:sz="12" w:space="0" w:color="auto"/>
              <w:left w:val="single" w:sz="2" w:space="0" w:color="auto"/>
              <w:bottom w:val="single" w:sz="12" w:space="0" w:color="auto"/>
              <w:right w:val="single" w:sz="12" w:space="0" w:color="auto"/>
            </w:tcBorders>
            <w:vAlign w:val="center"/>
          </w:tcPr>
          <w:p w14:paraId="7118A8FA" w14:textId="55BAD9A7" w:rsidR="001F2A4B" w:rsidRPr="00710B91" w:rsidRDefault="006012BC" w:rsidP="001F2A4B">
            <w:pPr>
              <w:spacing w:before="60" w:after="60"/>
              <w:jc w:val="right"/>
              <w:rPr>
                <w:b/>
                <w:noProof/>
                <w:sz w:val="20"/>
              </w:rPr>
            </w:pPr>
            <w:r w:rsidRPr="00710B91">
              <w:rPr>
                <w:b/>
                <w:noProof/>
                <w:sz w:val="20"/>
              </w:rPr>
              <w:t>0,951</w:t>
            </w:r>
          </w:p>
        </w:tc>
      </w:tr>
    </w:tbl>
    <w:p w14:paraId="4F322060" w14:textId="77777777" w:rsidR="001F2A4B" w:rsidRPr="00710B91" w:rsidRDefault="001F2A4B" w:rsidP="001F2A4B">
      <w:pPr>
        <w:rPr>
          <w:noProof/>
          <w:u w:val="single"/>
        </w:rPr>
      </w:pPr>
    </w:p>
    <w:p w14:paraId="5110EBEC" w14:textId="74983D46" w:rsidR="001F2A4B" w:rsidRPr="00710B91" w:rsidRDefault="001F2A4B" w:rsidP="001F2A4B">
      <w:pPr>
        <w:rPr>
          <w:noProof/>
          <w:szCs w:val="24"/>
        </w:rPr>
      </w:pPr>
      <w:r w:rsidRPr="00710B91">
        <w:rPr>
          <w:noProof/>
        </w:rPr>
        <w:t>Wymagania dotyczące pracowników</w:t>
      </w:r>
      <w:r w:rsidRPr="00710B91">
        <w:rPr>
          <w:rStyle w:val="FootnoteReference"/>
          <w:noProof/>
          <w:szCs w:val="24"/>
        </w:rPr>
        <w:footnoteReference w:id="41"/>
      </w:r>
      <w:r w:rsidRPr="00710B91">
        <w:rPr>
          <w:noProof/>
        </w:rPr>
        <w:t xml:space="preserve"> (EPC):</w:t>
      </w:r>
    </w:p>
    <w:tbl>
      <w:tblPr>
        <w:tblW w:w="7380" w:type="dxa"/>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1E0" w:firstRow="1" w:lastRow="1" w:firstColumn="1" w:lastColumn="1" w:noHBand="0" w:noVBand="0"/>
      </w:tblPr>
      <w:tblGrid>
        <w:gridCol w:w="1980"/>
        <w:gridCol w:w="1080"/>
        <w:gridCol w:w="1080"/>
        <w:gridCol w:w="1080"/>
        <w:gridCol w:w="1080"/>
        <w:gridCol w:w="1080"/>
      </w:tblGrid>
      <w:tr w:rsidR="001F2A4B" w:rsidRPr="00710B91" w14:paraId="645FC0AD" w14:textId="77777777" w:rsidTr="001F2A4B">
        <w:trPr>
          <w:trHeight w:val="585"/>
          <w:jc w:val="center"/>
        </w:trPr>
        <w:tc>
          <w:tcPr>
            <w:tcW w:w="1980" w:type="dxa"/>
          </w:tcPr>
          <w:p w14:paraId="1137AFE7" w14:textId="77777777" w:rsidR="001F2A4B" w:rsidRPr="00710B91" w:rsidRDefault="001F2A4B" w:rsidP="001F2A4B">
            <w:pPr>
              <w:spacing w:before="60" w:after="60"/>
              <w:rPr>
                <w:noProof/>
                <w:sz w:val="20"/>
              </w:rPr>
            </w:pPr>
            <w:r w:rsidRPr="00710B91">
              <w:rPr>
                <w:b/>
                <w:noProof/>
                <w:sz w:val="20"/>
              </w:rPr>
              <w:t>Eurojust</w:t>
            </w:r>
          </w:p>
        </w:tc>
        <w:tc>
          <w:tcPr>
            <w:tcW w:w="1080" w:type="dxa"/>
            <w:vAlign w:val="center"/>
          </w:tcPr>
          <w:p w14:paraId="2063EB5D" w14:textId="77777777" w:rsidR="001F2A4B" w:rsidRPr="00710B91" w:rsidRDefault="001F2A4B" w:rsidP="001F2A4B">
            <w:pPr>
              <w:spacing w:before="60" w:after="60"/>
              <w:jc w:val="center"/>
              <w:rPr>
                <w:noProof/>
                <w:sz w:val="20"/>
              </w:rPr>
            </w:pPr>
            <w:r w:rsidRPr="00710B91">
              <w:rPr>
                <w:noProof/>
                <w:sz w:val="20"/>
              </w:rPr>
              <w:t>Rok</w:t>
            </w:r>
            <w:r w:rsidRPr="00710B91">
              <w:rPr>
                <w:noProof/>
              </w:rPr>
              <w:t xml:space="preserve"> </w:t>
            </w:r>
            <w:r w:rsidRPr="00710B91">
              <w:rPr>
                <w:noProof/>
              </w:rPr>
              <w:br/>
            </w:r>
            <w:r w:rsidRPr="00710B91">
              <w:rPr>
                <w:b/>
                <w:noProof/>
                <w:sz w:val="20"/>
              </w:rPr>
              <w:t>2024</w:t>
            </w:r>
          </w:p>
        </w:tc>
        <w:tc>
          <w:tcPr>
            <w:tcW w:w="1080" w:type="dxa"/>
            <w:vAlign w:val="center"/>
          </w:tcPr>
          <w:p w14:paraId="34491C56" w14:textId="77777777" w:rsidR="001F2A4B" w:rsidRPr="00710B91" w:rsidRDefault="001F2A4B" w:rsidP="001F2A4B">
            <w:pPr>
              <w:spacing w:before="60" w:after="60"/>
              <w:jc w:val="center"/>
              <w:rPr>
                <w:noProof/>
                <w:sz w:val="20"/>
              </w:rPr>
            </w:pPr>
            <w:r w:rsidRPr="00710B91">
              <w:rPr>
                <w:noProof/>
                <w:sz w:val="20"/>
              </w:rPr>
              <w:t>Rok</w:t>
            </w:r>
            <w:r w:rsidRPr="00710B91">
              <w:rPr>
                <w:noProof/>
              </w:rPr>
              <w:t xml:space="preserve"> </w:t>
            </w:r>
            <w:r w:rsidRPr="00710B91">
              <w:rPr>
                <w:noProof/>
              </w:rPr>
              <w:br/>
            </w:r>
            <w:r w:rsidRPr="00710B91">
              <w:rPr>
                <w:b/>
                <w:noProof/>
                <w:sz w:val="20"/>
              </w:rPr>
              <w:t>2025</w:t>
            </w:r>
          </w:p>
        </w:tc>
        <w:tc>
          <w:tcPr>
            <w:tcW w:w="1080" w:type="dxa"/>
            <w:vAlign w:val="center"/>
          </w:tcPr>
          <w:p w14:paraId="73D0E901" w14:textId="77777777" w:rsidR="001F2A4B" w:rsidRPr="00710B91" w:rsidRDefault="001F2A4B" w:rsidP="001F2A4B">
            <w:pPr>
              <w:spacing w:before="60" w:after="60"/>
              <w:jc w:val="center"/>
              <w:rPr>
                <w:noProof/>
                <w:sz w:val="20"/>
              </w:rPr>
            </w:pPr>
            <w:r w:rsidRPr="00710B91">
              <w:rPr>
                <w:noProof/>
                <w:sz w:val="20"/>
              </w:rPr>
              <w:t>Rok</w:t>
            </w:r>
            <w:r w:rsidRPr="00710B91">
              <w:rPr>
                <w:noProof/>
              </w:rPr>
              <w:t xml:space="preserve"> </w:t>
            </w:r>
            <w:r w:rsidRPr="00710B91">
              <w:rPr>
                <w:noProof/>
              </w:rPr>
              <w:br/>
            </w:r>
            <w:r w:rsidRPr="00710B91">
              <w:rPr>
                <w:b/>
                <w:noProof/>
                <w:sz w:val="20"/>
              </w:rPr>
              <w:t>2026</w:t>
            </w:r>
          </w:p>
        </w:tc>
        <w:tc>
          <w:tcPr>
            <w:tcW w:w="1080" w:type="dxa"/>
            <w:vAlign w:val="center"/>
          </w:tcPr>
          <w:p w14:paraId="3087BC6E" w14:textId="77777777" w:rsidR="001F2A4B" w:rsidRPr="00710B91" w:rsidRDefault="001F2A4B" w:rsidP="001F2A4B">
            <w:pPr>
              <w:spacing w:before="60" w:after="60"/>
              <w:jc w:val="center"/>
              <w:rPr>
                <w:noProof/>
                <w:sz w:val="20"/>
              </w:rPr>
            </w:pPr>
            <w:r w:rsidRPr="00710B91">
              <w:rPr>
                <w:noProof/>
                <w:sz w:val="20"/>
              </w:rPr>
              <w:t>Rok</w:t>
            </w:r>
            <w:r w:rsidRPr="00710B91">
              <w:rPr>
                <w:noProof/>
              </w:rPr>
              <w:t xml:space="preserve"> </w:t>
            </w:r>
            <w:r w:rsidRPr="00710B91">
              <w:rPr>
                <w:noProof/>
              </w:rPr>
              <w:br/>
            </w:r>
            <w:r w:rsidRPr="00710B91">
              <w:rPr>
                <w:b/>
                <w:noProof/>
                <w:sz w:val="20"/>
              </w:rPr>
              <w:t>2027</w:t>
            </w:r>
          </w:p>
        </w:tc>
        <w:tc>
          <w:tcPr>
            <w:tcW w:w="1080" w:type="dxa"/>
            <w:vAlign w:val="center"/>
          </w:tcPr>
          <w:p w14:paraId="6254A58B" w14:textId="77777777" w:rsidR="001F2A4B" w:rsidRPr="00710B91" w:rsidRDefault="001F2A4B" w:rsidP="001F2A4B">
            <w:pPr>
              <w:spacing w:before="60" w:after="60"/>
              <w:jc w:val="center"/>
              <w:rPr>
                <w:b/>
                <w:noProof/>
                <w:sz w:val="20"/>
              </w:rPr>
            </w:pPr>
            <w:r w:rsidRPr="00710B91">
              <w:rPr>
                <w:b/>
                <w:noProof/>
                <w:sz w:val="18"/>
              </w:rPr>
              <w:t>OGÓŁEM 2024–2027</w:t>
            </w:r>
          </w:p>
        </w:tc>
      </w:tr>
    </w:tbl>
    <w:p w14:paraId="486F9E5D" w14:textId="77777777" w:rsidR="001F2A4B" w:rsidRPr="00710B91" w:rsidRDefault="001F2A4B" w:rsidP="001F2A4B">
      <w:pPr>
        <w:rPr>
          <w:noProof/>
          <w:sz w:val="20"/>
        </w:rPr>
      </w:pPr>
    </w:p>
    <w:tbl>
      <w:tblPr>
        <w:tblW w:w="7380" w:type="dxa"/>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1E0" w:firstRow="1" w:lastRow="1" w:firstColumn="1" w:lastColumn="1" w:noHBand="0" w:noVBand="0"/>
      </w:tblPr>
      <w:tblGrid>
        <w:gridCol w:w="1980"/>
        <w:gridCol w:w="1080"/>
        <w:gridCol w:w="1080"/>
        <w:gridCol w:w="1080"/>
        <w:gridCol w:w="1080"/>
        <w:gridCol w:w="1080"/>
      </w:tblGrid>
      <w:tr w:rsidR="001F2A4B" w:rsidRPr="00710B91" w14:paraId="6BA3B4C8" w14:textId="77777777" w:rsidTr="001F2A4B">
        <w:trPr>
          <w:trHeight w:val="585"/>
          <w:jc w:val="center"/>
        </w:trPr>
        <w:tc>
          <w:tcPr>
            <w:tcW w:w="1980" w:type="dxa"/>
            <w:shd w:val="clear" w:color="auto" w:fill="D9D9D9" w:themeFill="background1" w:themeFillShade="D9"/>
            <w:vAlign w:val="center"/>
          </w:tcPr>
          <w:p w14:paraId="7D1B36BD" w14:textId="77777777" w:rsidR="001F2A4B" w:rsidRPr="00710B91" w:rsidRDefault="001F2A4B" w:rsidP="001F2A4B">
            <w:pPr>
              <w:spacing w:before="60" w:after="60"/>
              <w:jc w:val="center"/>
              <w:rPr>
                <w:noProof/>
              </w:rPr>
            </w:pPr>
            <w:r w:rsidRPr="00710B91">
              <w:rPr>
                <w:noProof/>
                <w:sz w:val="18"/>
              </w:rPr>
              <w:t>Pracownicy zatrudnieni na czas określony (grupy zaszeregowania AD)</w:t>
            </w:r>
          </w:p>
        </w:tc>
        <w:tc>
          <w:tcPr>
            <w:tcW w:w="1080" w:type="dxa"/>
            <w:vAlign w:val="center"/>
          </w:tcPr>
          <w:p w14:paraId="180FF283" w14:textId="77777777" w:rsidR="001F2A4B" w:rsidRPr="00710B91" w:rsidRDefault="001F2A4B" w:rsidP="001F2A4B">
            <w:pPr>
              <w:spacing w:before="60" w:after="60"/>
              <w:jc w:val="right"/>
              <w:rPr>
                <w:noProof/>
                <w:sz w:val="20"/>
              </w:rPr>
            </w:pPr>
          </w:p>
        </w:tc>
        <w:tc>
          <w:tcPr>
            <w:tcW w:w="1080" w:type="dxa"/>
            <w:vAlign w:val="center"/>
          </w:tcPr>
          <w:p w14:paraId="36D75D30" w14:textId="77777777" w:rsidR="001F2A4B" w:rsidRPr="00710B91" w:rsidRDefault="001F2A4B" w:rsidP="001F2A4B">
            <w:pPr>
              <w:spacing w:before="60" w:after="60"/>
              <w:jc w:val="right"/>
              <w:rPr>
                <w:noProof/>
                <w:sz w:val="20"/>
              </w:rPr>
            </w:pPr>
            <w:r w:rsidRPr="00710B91">
              <w:rPr>
                <w:noProof/>
                <w:sz w:val="20"/>
              </w:rPr>
              <w:t>1</w:t>
            </w:r>
          </w:p>
        </w:tc>
        <w:tc>
          <w:tcPr>
            <w:tcW w:w="1080" w:type="dxa"/>
            <w:vAlign w:val="center"/>
          </w:tcPr>
          <w:p w14:paraId="7F1ECCDB" w14:textId="77777777" w:rsidR="001F2A4B" w:rsidRPr="00710B91" w:rsidRDefault="001F2A4B" w:rsidP="001F2A4B">
            <w:pPr>
              <w:spacing w:before="60" w:after="60"/>
              <w:jc w:val="right"/>
              <w:rPr>
                <w:noProof/>
                <w:sz w:val="20"/>
              </w:rPr>
            </w:pPr>
            <w:r w:rsidRPr="00710B91">
              <w:rPr>
                <w:noProof/>
                <w:sz w:val="20"/>
              </w:rPr>
              <w:t>3</w:t>
            </w:r>
          </w:p>
        </w:tc>
        <w:tc>
          <w:tcPr>
            <w:tcW w:w="1080" w:type="dxa"/>
            <w:vAlign w:val="center"/>
          </w:tcPr>
          <w:p w14:paraId="5BA5E644" w14:textId="77777777" w:rsidR="001F2A4B" w:rsidRPr="00710B91" w:rsidRDefault="001F2A4B" w:rsidP="001F2A4B">
            <w:pPr>
              <w:spacing w:before="60" w:after="60"/>
              <w:jc w:val="right"/>
              <w:rPr>
                <w:noProof/>
                <w:sz w:val="20"/>
              </w:rPr>
            </w:pPr>
            <w:r w:rsidRPr="00710B91">
              <w:rPr>
                <w:noProof/>
                <w:sz w:val="20"/>
              </w:rPr>
              <w:t>3</w:t>
            </w:r>
          </w:p>
        </w:tc>
        <w:tc>
          <w:tcPr>
            <w:tcW w:w="1080" w:type="dxa"/>
            <w:vAlign w:val="center"/>
          </w:tcPr>
          <w:p w14:paraId="067FB086" w14:textId="17FB14C9" w:rsidR="001F2A4B" w:rsidRPr="00710B91" w:rsidRDefault="00E274F4" w:rsidP="001F2A4B">
            <w:pPr>
              <w:spacing w:before="60" w:after="60"/>
              <w:jc w:val="right"/>
              <w:rPr>
                <w:b/>
                <w:noProof/>
                <w:sz w:val="20"/>
              </w:rPr>
            </w:pPr>
            <w:r w:rsidRPr="00710B91">
              <w:rPr>
                <w:b/>
                <w:noProof/>
                <w:sz w:val="20"/>
              </w:rPr>
              <w:t>3</w:t>
            </w:r>
          </w:p>
        </w:tc>
      </w:tr>
      <w:tr w:rsidR="001F2A4B" w:rsidRPr="00710B91" w14:paraId="1E276E39" w14:textId="77777777" w:rsidTr="001F2A4B">
        <w:trPr>
          <w:trHeight w:val="585"/>
          <w:jc w:val="center"/>
        </w:trPr>
        <w:tc>
          <w:tcPr>
            <w:tcW w:w="1980" w:type="dxa"/>
            <w:shd w:val="clear" w:color="auto" w:fill="BFBFBF" w:themeFill="background1" w:themeFillShade="BF"/>
            <w:vAlign w:val="center"/>
          </w:tcPr>
          <w:p w14:paraId="025B4E07" w14:textId="77777777" w:rsidR="001F2A4B" w:rsidRPr="00710B91" w:rsidRDefault="001F2A4B" w:rsidP="001F2A4B">
            <w:pPr>
              <w:spacing w:before="60" w:after="60"/>
              <w:ind w:left="72"/>
              <w:rPr>
                <w:noProof/>
              </w:rPr>
            </w:pPr>
            <w:r w:rsidRPr="00710B91">
              <w:rPr>
                <w:noProof/>
                <w:sz w:val="20"/>
              </w:rPr>
              <w:t>Pracownicy zatrudnieni na czas określony (grupy zaszeregowania AST)</w:t>
            </w:r>
          </w:p>
        </w:tc>
        <w:tc>
          <w:tcPr>
            <w:tcW w:w="1080" w:type="dxa"/>
            <w:vAlign w:val="center"/>
          </w:tcPr>
          <w:p w14:paraId="03CD0F47" w14:textId="77777777" w:rsidR="001F2A4B" w:rsidRPr="00710B91" w:rsidRDefault="001F2A4B" w:rsidP="001F2A4B">
            <w:pPr>
              <w:spacing w:before="60" w:after="60"/>
              <w:jc w:val="right"/>
              <w:rPr>
                <w:noProof/>
                <w:sz w:val="20"/>
              </w:rPr>
            </w:pPr>
          </w:p>
        </w:tc>
        <w:tc>
          <w:tcPr>
            <w:tcW w:w="1080" w:type="dxa"/>
            <w:vAlign w:val="center"/>
          </w:tcPr>
          <w:p w14:paraId="6CCFDB21" w14:textId="77777777" w:rsidR="001F2A4B" w:rsidRPr="00710B91" w:rsidRDefault="001F2A4B" w:rsidP="001F2A4B">
            <w:pPr>
              <w:spacing w:before="60" w:after="60"/>
              <w:jc w:val="right"/>
              <w:rPr>
                <w:noProof/>
                <w:sz w:val="20"/>
              </w:rPr>
            </w:pPr>
          </w:p>
        </w:tc>
        <w:tc>
          <w:tcPr>
            <w:tcW w:w="1080" w:type="dxa"/>
            <w:vAlign w:val="center"/>
          </w:tcPr>
          <w:p w14:paraId="7D1664A1" w14:textId="77777777" w:rsidR="001F2A4B" w:rsidRPr="00710B91" w:rsidRDefault="001F2A4B" w:rsidP="001F2A4B">
            <w:pPr>
              <w:spacing w:before="60" w:after="60"/>
              <w:jc w:val="right"/>
              <w:rPr>
                <w:noProof/>
                <w:sz w:val="20"/>
              </w:rPr>
            </w:pPr>
          </w:p>
        </w:tc>
        <w:tc>
          <w:tcPr>
            <w:tcW w:w="1080" w:type="dxa"/>
            <w:vAlign w:val="center"/>
          </w:tcPr>
          <w:p w14:paraId="5F1F7BE2" w14:textId="77777777" w:rsidR="001F2A4B" w:rsidRPr="00710B91" w:rsidRDefault="001F2A4B" w:rsidP="001F2A4B">
            <w:pPr>
              <w:spacing w:before="60" w:after="60"/>
              <w:jc w:val="right"/>
              <w:rPr>
                <w:noProof/>
                <w:sz w:val="20"/>
              </w:rPr>
            </w:pPr>
          </w:p>
        </w:tc>
        <w:tc>
          <w:tcPr>
            <w:tcW w:w="1080" w:type="dxa"/>
            <w:vAlign w:val="center"/>
          </w:tcPr>
          <w:p w14:paraId="55E06FA2" w14:textId="77777777" w:rsidR="001F2A4B" w:rsidRPr="00710B91" w:rsidRDefault="001F2A4B" w:rsidP="001F2A4B">
            <w:pPr>
              <w:spacing w:before="60" w:after="60"/>
              <w:jc w:val="right"/>
              <w:rPr>
                <w:b/>
                <w:noProof/>
                <w:sz w:val="20"/>
              </w:rPr>
            </w:pPr>
          </w:p>
        </w:tc>
      </w:tr>
      <w:tr w:rsidR="001F2A4B" w:rsidRPr="00710B91" w14:paraId="3B7AB4A2" w14:textId="77777777" w:rsidTr="001F2A4B">
        <w:trPr>
          <w:trHeight w:val="585"/>
          <w:jc w:val="center"/>
        </w:trPr>
        <w:tc>
          <w:tcPr>
            <w:tcW w:w="1980" w:type="dxa"/>
            <w:shd w:val="clear" w:color="auto" w:fill="BFBFBF" w:themeFill="background1" w:themeFillShade="BF"/>
            <w:vAlign w:val="center"/>
          </w:tcPr>
          <w:p w14:paraId="69BC4869" w14:textId="77777777" w:rsidR="001F2A4B" w:rsidRPr="00710B91" w:rsidRDefault="001F2A4B" w:rsidP="001F2A4B">
            <w:pPr>
              <w:spacing w:before="60" w:after="60"/>
              <w:ind w:left="72"/>
              <w:rPr>
                <w:noProof/>
              </w:rPr>
            </w:pPr>
            <w:r w:rsidRPr="00710B91">
              <w:rPr>
                <w:noProof/>
                <w:sz w:val="20"/>
              </w:rPr>
              <w:t>Personel kontraktowy</w:t>
            </w:r>
          </w:p>
        </w:tc>
        <w:tc>
          <w:tcPr>
            <w:tcW w:w="1080" w:type="dxa"/>
            <w:shd w:val="clear" w:color="auto" w:fill="FFFFFF" w:themeFill="background1"/>
            <w:vAlign w:val="center"/>
          </w:tcPr>
          <w:p w14:paraId="7732DDD3" w14:textId="77777777" w:rsidR="001F2A4B" w:rsidRPr="00710B91" w:rsidRDefault="001F2A4B" w:rsidP="001F2A4B">
            <w:pPr>
              <w:spacing w:before="60" w:after="60"/>
              <w:jc w:val="right"/>
              <w:rPr>
                <w:noProof/>
                <w:sz w:val="20"/>
              </w:rPr>
            </w:pPr>
          </w:p>
        </w:tc>
        <w:tc>
          <w:tcPr>
            <w:tcW w:w="1080" w:type="dxa"/>
            <w:shd w:val="clear" w:color="auto" w:fill="FFFFFF" w:themeFill="background1"/>
            <w:vAlign w:val="center"/>
          </w:tcPr>
          <w:p w14:paraId="7574E741" w14:textId="77777777" w:rsidR="001F2A4B" w:rsidRPr="00710B91" w:rsidRDefault="001F2A4B" w:rsidP="001F2A4B">
            <w:pPr>
              <w:spacing w:before="60" w:after="60"/>
              <w:jc w:val="right"/>
              <w:rPr>
                <w:noProof/>
                <w:sz w:val="20"/>
              </w:rPr>
            </w:pPr>
          </w:p>
        </w:tc>
        <w:tc>
          <w:tcPr>
            <w:tcW w:w="1080" w:type="dxa"/>
            <w:shd w:val="clear" w:color="auto" w:fill="FFFFFF" w:themeFill="background1"/>
            <w:vAlign w:val="center"/>
          </w:tcPr>
          <w:p w14:paraId="20D88F58" w14:textId="77777777" w:rsidR="001F2A4B" w:rsidRPr="00710B91" w:rsidRDefault="001F2A4B" w:rsidP="001F2A4B">
            <w:pPr>
              <w:spacing w:before="60" w:after="60"/>
              <w:jc w:val="right"/>
              <w:rPr>
                <w:noProof/>
                <w:sz w:val="20"/>
              </w:rPr>
            </w:pPr>
          </w:p>
        </w:tc>
        <w:tc>
          <w:tcPr>
            <w:tcW w:w="1080" w:type="dxa"/>
            <w:shd w:val="clear" w:color="auto" w:fill="FFFFFF" w:themeFill="background1"/>
            <w:vAlign w:val="center"/>
          </w:tcPr>
          <w:p w14:paraId="2EFFD7A5" w14:textId="77777777" w:rsidR="001F2A4B" w:rsidRPr="00710B91" w:rsidRDefault="001F2A4B" w:rsidP="001F2A4B">
            <w:pPr>
              <w:spacing w:before="60" w:after="60"/>
              <w:jc w:val="right"/>
              <w:rPr>
                <w:noProof/>
                <w:sz w:val="20"/>
              </w:rPr>
            </w:pPr>
          </w:p>
        </w:tc>
        <w:tc>
          <w:tcPr>
            <w:tcW w:w="1080" w:type="dxa"/>
            <w:shd w:val="clear" w:color="auto" w:fill="FFFFFF" w:themeFill="background1"/>
            <w:vAlign w:val="center"/>
          </w:tcPr>
          <w:p w14:paraId="2800A305" w14:textId="77777777" w:rsidR="001F2A4B" w:rsidRPr="00710B91" w:rsidRDefault="001F2A4B" w:rsidP="001F2A4B">
            <w:pPr>
              <w:spacing w:before="60" w:after="60"/>
              <w:jc w:val="right"/>
              <w:rPr>
                <w:b/>
                <w:noProof/>
                <w:sz w:val="20"/>
              </w:rPr>
            </w:pPr>
          </w:p>
        </w:tc>
      </w:tr>
      <w:tr w:rsidR="001F2A4B" w:rsidRPr="00710B91" w14:paraId="17AE2D19" w14:textId="77777777" w:rsidTr="001F2A4B">
        <w:trPr>
          <w:trHeight w:val="585"/>
          <w:jc w:val="center"/>
        </w:trPr>
        <w:tc>
          <w:tcPr>
            <w:tcW w:w="1980" w:type="dxa"/>
            <w:shd w:val="clear" w:color="auto" w:fill="CCCCCC"/>
            <w:vAlign w:val="center"/>
          </w:tcPr>
          <w:p w14:paraId="6D707F12" w14:textId="77777777" w:rsidR="001F2A4B" w:rsidRPr="00710B91" w:rsidRDefault="001F2A4B" w:rsidP="001F2A4B">
            <w:pPr>
              <w:spacing w:before="60" w:after="60"/>
              <w:jc w:val="center"/>
              <w:rPr>
                <w:noProof/>
              </w:rPr>
            </w:pPr>
            <w:r w:rsidRPr="00710B91">
              <w:rPr>
                <w:noProof/>
                <w:sz w:val="18"/>
              </w:rPr>
              <w:t>Oddelegowani eksperci krajowi</w:t>
            </w:r>
          </w:p>
        </w:tc>
        <w:tc>
          <w:tcPr>
            <w:tcW w:w="1080" w:type="dxa"/>
            <w:vAlign w:val="center"/>
          </w:tcPr>
          <w:p w14:paraId="0FC7B5AD" w14:textId="77777777" w:rsidR="001F2A4B" w:rsidRPr="00710B91" w:rsidRDefault="001F2A4B" w:rsidP="001F2A4B">
            <w:pPr>
              <w:spacing w:before="60" w:after="60"/>
              <w:jc w:val="right"/>
              <w:rPr>
                <w:noProof/>
                <w:sz w:val="20"/>
              </w:rPr>
            </w:pPr>
          </w:p>
        </w:tc>
        <w:tc>
          <w:tcPr>
            <w:tcW w:w="1080" w:type="dxa"/>
            <w:vAlign w:val="center"/>
          </w:tcPr>
          <w:p w14:paraId="7B91631E" w14:textId="77777777" w:rsidR="001F2A4B" w:rsidRPr="00710B91" w:rsidRDefault="001F2A4B" w:rsidP="001F2A4B">
            <w:pPr>
              <w:spacing w:before="60" w:after="60"/>
              <w:jc w:val="right"/>
              <w:rPr>
                <w:noProof/>
                <w:sz w:val="20"/>
              </w:rPr>
            </w:pPr>
          </w:p>
        </w:tc>
        <w:tc>
          <w:tcPr>
            <w:tcW w:w="1080" w:type="dxa"/>
            <w:vAlign w:val="center"/>
          </w:tcPr>
          <w:p w14:paraId="13947BB9" w14:textId="77777777" w:rsidR="001F2A4B" w:rsidRPr="00710B91" w:rsidRDefault="001F2A4B" w:rsidP="001F2A4B">
            <w:pPr>
              <w:spacing w:before="60" w:after="60"/>
              <w:jc w:val="right"/>
              <w:rPr>
                <w:noProof/>
                <w:sz w:val="20"/>
              </w:rPr>
            </w:pPr>
          </w:p>
        </w:tc>
        <w:tc>
          <w:tcPr>
            <w:tcW w:w="1080" w:type="dxa"/>
            <w:vAlign w:val="center"/>
          </w:tcPr>
          <w:p w14:paraId="425B2B91" w14:textId="77777777" w:rsidR="001F2A4B" w:rsidRPr="00710B91" w:rsidRDefault="001F2A4B" w:rsidP="001F2A4B">
            <w:pPr>
              <w:spacing w:before="60" w:after="60"/>
              <w:jc w:val="right"/>
              <w:rPr>
                <w:noProof/>
                <w:sz w:val="20"/>
              </w:rPr>
            </w:pPr>
          </w:p>
        </w:tc>
        <w:tc>
          <w:tcPr>
            <w:tcW w:w="1080" w:type="dxa"/>
            <w:vAlign w:val="center"/>
          </w:tcPr>
          <w:p w14:paraId="3EA33ED4" w14:textId="77777777" w:rsidR="001F2A4B" w:rsidRPr="00710B91" w:rsidRDefault="001F2A4B" w:rsidP="001F2A4B">
            <w:pPr>
              <w:spacing w:before="60" w:after="60"/>
              <w:jc w:val="right"/>
              <w:rPr>
                <w:b/>
                <w:noProof/>
                <w:sz w:val="20"/>
              </w:rPr>
            </w:pPr>
          </w:p>
        </w:tc>
      </w:tr>
    </w:tbl>
    <w:p w14:paraId="1004E902" w14:textId="77777777" w:rsidR="001F2A4B" w:rsidRPr="00710B91" w:rsidRDefault="001F2A4B" w:rsidP="001F2A4B">
      <w:pPr>
        <w:rPr>
          <w:noProof/>
          <w:sz w:val="20"/>
        </w:rPr>
      </w:pPr>
    </w:p>
    <w:tbl>
      <w:tblPr>
        <w:tblW w:w="7380" w:type="dxa"/>
        <w:jc w:val="center"/>
        <w:tblLayout w:type="fixed"/>
        <w:tblLook w:val="01E0" w:firstRow="1" w:lastRow="1" w:firstColumn="1" w:lastColumn="1" w:noHBand="0" w:noVBand="0"/>
      </w:tblPr>
      <w:tblGrid>
        <w:gridCol w:w="1980"/>
        <w:gridCol w:w="1080"/>
        <w:gridCol w:w="1080"/>
        <w:gridCol w:w="1080"/>
        <w:gridCol w:w="1080"/>
        <w:gridCol w:w="1080"/>
      </w:tblGrid>
      <w:tr w:rsidR="001F2A4B" w:rsidRPr="00710B91" w14:paraId="0EB957CA" w14:textId="77777777" w:rsidTr="001F2A4B">
        <w:trPr>
          <w:trHeight w:val="585"/>
          <w:jc w:val="center"/>
        </w:trPr>
        <w:tc>
          <w:tcPr>
            <w:tcW w:w="1980" w:type="dxa"/>
            <w:tcBorders>
              <w:top w:val="single" w:sz="12" w:space="0" w:color="auto"/>
              <w:left w:val="single" w:sz="12" w:space="0" w:color="auto"/>
              <w:bottom w:val="single" w:sz="12" w:space="0" w:color="auto"/>
              <w:right w:val="single" w:sz="2" w:space="0" w:color="auto"/>
            </w:tcBorders>
            <w:vAlign w:val="center"/>
          </w:tcPr>
          <w:p w14:paraId="276BABCC" w14:textId="77777777" w:rsidR="001F2A4B" w:rsidRPr="00710B91" w:rsidRDefault="001F2A4B" w:rsidP="001F2A4B">
            <w:pPr>
              <w:spacing w:before="60" w:after="60"/>
              <w:jc w:val="center"/>
              <w:rPr>
                <w:noProof/>
                <w:sz w:val="20"/>
              </w:rPr>
            </w:pPr>
            <w:r w:rsidRPr="00710B91">
              <w:rPr>
                <w:b/>
                <w:noProof/>
                <w:sz w:val="20"/>
              </w:rPr>
              <w:t>OGÓŁEM</w:t>
            </w:r>
          </w:p>
        </w:tc>
        <w:tc>
          <w:tcPr>
            <w:tcW w:w="1080" w:type="dxa"/>
            <w:tcBorders>
              <w:top w:val="single" w:sz="12" w:space="0" w:color="auto"/>
              <w:left w:val="single" w:sz="2" w:space="0" w:color="auto"/>
              <w:bottom w:val="single" w:sz="12" w:space="0" w:color="auto"/>
              <w:right w:val="single" w:sz="2" w:space="0" w:color="auto"/>
            </w:tcBorders>
            <w:vAlign w:val="center"/>
          </w:tcPr>
          <w:p w14:paraId="68AA822E" w14:textId="77777777" w:rsidR="001F2A4B" w:rsidRPr="00710B91" w:rsidRDefault="001F2A4B" w:rsidP="001F2A4B">
            <w:pPr>
              <w:spacing w:before="60" w:after="60"/>
              <w:jc w:val="right"/>
              <w:rPr>
                <w:b/>
                <w:noProof/>
                <w:sz w:val="20"/>
              </w:rPr>
            </w:pPr>
          </w:p>
        </w:tc>
        <w:tc>
          <w:tcPr>
            <w:tcW w:w="1080" w:type="dxa"/>
            <w:tcBorders>
              <w:top w:val="single" w:sz="12" w:space="0" w:color="auto"/>
              <w:left w:val="single" w:sz="2" w:space="0" w:color="auto"/>
              <w:bottom w:val="single" w:sz="12" w:space="0" w:color="auto"/>
              <w:right w:val="single" w:sz="2" w:space="0" w:color="auto"/>
            </w:tcBorders>
            <w:vAlign w:val="center"/>
          </w:tcPr>
          <w:p w14:paraId="70510D14" w14:textId="77777777" w:rsidR="001F2A4B" w:rsidRPr="00710B91" w:rsidRDefault="001F2A4B" w:rsidP="001F2A4B">
            <w:pPr>
              <w:spacing w:before="60" w:after="60"/>
              <w:jc w:val="right"/>
              <w:rPr>
                <w:b/>
                <w:noProof/>
                <w:sz w:val="20"/>
              </w:rPr>
            </w:pPr>
            <w:r w:rsidRPr="00710B91">
              <w:rPr>
                <w:b/>
                <w:noProof/>
                <w:sz w:val="20"/>
              </w:rPr>
              <w:t>1</w:t>
            </w:r>
          </w:p>
        </w:tc>
        <w:tc>
          <w:tcPr>
            <w:tcW w:w="1080" w:type="dxa"/>
            <w:tcBorders>
              <w:top w:val="single" w:sz="12" w:space="0" w:color="auto"/>
              <w:left w:val="single" w:sz="2" w:space="0" w:color="auto"/>
              <w:bottom w:val="single" w:sz="12" w:space="0" w:color="auto"/>
              <w:right w:val="single" w:sz="2" w:space="0" w:color="auto"/>
            </w:tcBorders>
            <w:vAlign w:val="center"/>
          </w:tcPr>
          <w:p w14:paraId="706FA775" w14:textId="77777777" w:rsidR="001F2A4B" w:rsidRPr="00710B91" w:rsidRDefault="001F2A4B" w:rsidP="001F2A4B">
            <w:pPr>
              <w:spacing w:before="60" w:after="60"/>
              <w:jc w:val="right"/>
              <w:rPr>
                <w:b/>
                <w:noProof/>
                <w:sz w:val="20"/>
              </w:rPr>
            </w:pPr>
            <w:r w:rsidRPr="00710B91">
              <w:rPr>
                <w:b/>
                <w:noProof/>
                <w:sz w:val="20"/>
              </w:rPr>
              <w:t>3</w:t>
            </w:r>
          </w:p>
        </w:tc>
        <w:tc>
          <w:tcPr>
            <w:tcW w:w="1080" w:type="dxa"/>
            <w:tcBorders>
              <w:top w:val="single" w:sz="12" w:space="0" w:color="auto"/>
              <w:left w:val="single" w:sz="2" w:space="0" w:color="auto"/>
              <w:bottom w:val="single" w:sz="12" w:space="0" w:color="auto"/>
              <w:right w:val="single" w:sz="2" w:space="0" w:color="auto"/>
            </w:tcBorders>
            <w:vAlign w:val="center"/>
          </w:tcPr>
          <w:p w14:paraId="067822A0" w14:textId="77777777" w:rsidR="001F2A4B" w:rsidRPr="00710B91" w:rsidRDefault="001F2A4B" w:rsidP="001F2A4B">
            <w:pPr>
              <w:spacing w:before="60" w:after="60"/>
              <w:jc w:val="right"/>
              <w:rPr>
                <w:b/>
                <w:noProof/>
                <w:sz w:val="20"/>
              </w:rPr>
            </w:pPr>
            <w:r w:rsidRPr="00710B91">
              <w:rPr>
                <w:b/>
                <w:noProof/>
                <w:sz w:val="20"/>
              </w:rPr>
              <w:t>3</w:t>
            </w:r>
          </w:p>
        </w:tc>
        <w:tc>
          <w:tcPr>
            <w:tcW w:w="1080" w:type="dxa"/>
            <w:tcBorders>
              <w:top w:val="single" w:sz="12" w:space="0" w:color="auto"/>
              <w:left w:val="single" w:sz="2" w:space="0" w:color="auto"/>
              <w:bottom w:val="single" w:sz="12" w:space="0" w:color="auto"/>
              <w:right w:val="single" w:sz="12" w:space="0" w:color="auto"/>
            </w:tcBorders>
            <w:vAlign w:val="center"/>
          </w:tcPr>
          <w:p w14:paraId="49D515FD" w14:textId="6126D247" w:rsidR="001F2A4B" w:rsidRPr="00710B91" w:rsidRDefault="00E274F4" w:rsidP="001F2A4B">
            <w:pPr>
              <w:spacing w:before="60" w:after="60"/>
              <w:jc w:val="right"/>
              <w:rPr>
                <w:b/>
                <w:noProof/>
                <w:sz w:val="20"/>
              </w:rPr>
            </w:pPr>
            <w:r w:rsidRPr="00710B91">
              <w:rPr>
                <w:b/>
                <w:noProof/>
                <w:sz w:val="20"/>
              </w:rPr>
              <w:t>3</w:t>
            </w:r>
          </w:p>
        </w:tc>
      </w:tr>
    </w:tbl>
    <w:p w14:paraId="7769A1CB" w14:textId="77777777" w:rsidR="001F2A4B" w:rsidRPr="00710B91" w:rsidRDefault="001F2A4B" w:rsidP="001F2A4B">
      <w:pPr>
        <w:rPr>
          <w:noProof/>
          <w:u w:val="single"/>
        </w:rPr>
      </w:pPr>
    </w:p>
    <w:p w14:paraId="2A70D88A" w14:textId="77777777" w:rsidR="001F2A4B" w:rsidRPr="00710B91" w:rsidRDefault="001F2A4B" w:rsidP="001F2A4B">
      <w:pPr>
        <w:rPr>
          <w:noProof/>
          <w:szCs w:val="24"/>
          <w:u w:val="single"/>
        </w:rPr>
      </w:pPr>
      <w:r w:rsidRPr="00710B91">
        <w:rPr>
          <w:noProof/>
        </w:rPr>
        <w:t xml:space="preserve">Daty rekrutacji planowane są początek roku. Nie przyjęto żadnych założeń dotyczących potencjalnego wzrostu indeksacji wynagrodzeń lub współczynnika korygującego mającego zastosowanie do Niderlandów. </w:t>
      </w:r>
    </w:p>
    <w:p w14:paraId="46300046" w14:textId="2646F803" w:rsidR="001F2A4B" w:rsidRPr="00710B91" w:rsidRDefault="001F2A4B" w:rsidP="001F2A4B">
      <w:pPr>
        <w:rPr>
          <w:noProof/>
        </w:rPr>
      </w:pPr>
      <w:r w:rsidRPr="00710B91">
        <w:rPr>
          <w:noProof/>
        </w:rPr>
        <w:t>Personel potrzebny do realizacji CELU SZCZEGÓŁOWEGO nr</w:t>
      </w:r>
      <w:r w:rsidR="00710B91" w:rsidRPr="00710B91">
        <w:rPr>
          <w:noProof/>
        </w:rPr>
        <w:t> </w:t>
      </w:r>
      <w:r w:rsidRPr="00710B91">
        <w:rPr>
          <w:noProof/>
        </w:rPr>
        <w:t>1 – opracowanie niezbędnych dostosowań technicznych odpowiednich systemów informatycznych Eurojustu:</w:t>
      </w:r>
    </w:p>
    <w:tbl>
      <w:tblPr>
        <w:tblW w:w="4643" w:type="pct"/>
        <w:jc w:val="center"/>
        <w:tblLook w:val="04A0" w:firstRow="1" w:lastRow="0" w:firstColumn="1" w:lastColumn="0" w:noHBand="0" w:noVBand="1"/>
      </w:tblPr>
      <w:tblGrid>
        <w:gridCol w:w="5161"/>
        <w:gridCol w:w="1445"/>
        <w:gridCol w:w="2018"/>
      </w:tblGrid>
      <w:tr w:rsidR="001F2A4B" w:rsidRPr="00710B91" w14:paraId="2BA4D576" w14:textId="77777777" w:rsidTr="001F2A4B">
        <w:trPr>
          <w:trHeight w:val="552"/>
          <w:jc w:val="center"/>
        </w:trPr>
        <w:tc>
          <w:tcPr>
            <w:tcW w:w="2992" w:type="pct"/>
            <w:tcBorders>
              <w:top w:val="single" w:sz="4" w:space="0" w:color="auto"/>
              <w:left w:val="single" w:sz="4" w:space="0" w:color="auto"/>
              <w:bottom w:val="single" w:sz="4" w:space="0" w:color="auto"/>
              <w:right w:val="single" w:sz="8" w:space="0" w:color="auto"/>
            </w:tcBorders>
            <w:shd w:val="clear" w:color="auto" w:fill="auto"/>
            <w:vAlign w:val="center"/>
            <w:hideMark/>
          </w:tcPr>
          <w:p w14:paraId="3A87449D" w14:textId="77777777" w:rsidR="001F2A4B" w:rsidRPr="00710B91" w:rsidRDefault="001F2A4B" w:rsidP="001F2A4B">
            <w:pPr>
              <w:rPr>
                <w:b/>
                <w:bCs/>
                <w:noProof/>
                <w:sz w:val="18"/>
                <w:szCs w:val="18"/>
              </w:rPr>
            </w:pPr>
            <w:r w:rsidRPr="00710B91">
              <w:rPr>
                <w:b/>
                <w:bCs/>
                <w:noProof/>
                <w:sz w:val="18"/>
                <w:szCs w:val="18"/>
              </w:rPr>
              <w:t>Profil</w:t>
            </w:r>
          </w:p>
        </w:tc>
        <w:tc>
          <w:tcPr>
            <w:tcW w:w="838" w:type="pct"/>
            <w:tcBorders>
              <w:top w:val="single" w:sz="4" w:space="0" w:color="auto"/>
              <w:left w:val="single" w:sz="8" w:space="0" w:color="auto"/>
              <w:bottom w:val="single" w:sz="4" w:space="0" w:color="auto"/>
              <w:right w:val="single" w:sz="4" w:space="0" w:color="auto"/>
            </w:tcBorders>
            <w:shd w:val="clear" w:color="auto" w:fill="auto"/>
            <w:vAlign w:val="center"/>
            <w:hideMark/>
          </w:tcPr>
          <w:p w14:paraId="726003F0" w14:textId="77777777" w:rsidR="001F2A4B" w:rsidRPr="00710B91" w:rsidRDefault="001F2A4B" w:rsidP="001F2A4B">
            <w:pPr>
              <w:jc w:val="center"/>
              <w:rPr>
                <w:noProof/>
                <w:sz w:val="18"/>
                <w:szCs w:val="18"/>
              </w:rPr>
            </w:pPr>
            <w:r w:rsidRPr="00710B91">
              <w:rPr>
                <w:noProof/>
                <w:sz w:val="18"/>
                <w:szCs w:val="18"/>
              </w:rPr>
              <w:t>Liczba</w:t>
            </w:r>
          </w:p>
        </w:tc>
        <w:tc>
          <w:tcPr>
            <w:tcW w:w="1170" w:type="pct"/>
            <w:tcBorders>
              <w:top w:val="single" w:sz="4" w:space="0" w:color="auto"/>
              <w:left w:val="nil"/>
              <w:bottom w:val="single" w:sz="4" w:space="0" w:color="auto"/>
              <w:right w:val="single" w:sz="4" w:space="0" w:color="auto"/>
            </w:tcBorders>
            <w:shd w:val="clear" w:color="auto" w:fill="auto"/>
            <w:vAlign w:val="center"/>
            <w:hideMark/>
          </w:tcPr>
          <w:p w14:paraId="68840446" w14:textId="77777777" w:rsidR="001F2A4B" w:rsidRPr="00710B91" w:rsidRDefault="001F2A4B" w:rsidP="001F2A4B">
            <w:pPr>
              <w:jc w:val="center"/>
              <w:rPr>
                <w:noProof/>
                <w:sz w:val="18"/>
                <w:szCs w:val="18"/>
              </w:rPr>
            </w:pPr>
            <w:r w:rsidRPr="00710B91">
              <w:rPr>
                <w:noProof/>
                <w:sz w:val="18"/>
                <w:szCs w:val="18"/>
              </w:rPr>
              <w:t>Rodzaj</w:t>
            </w:r>
          </w:p>
        </w:tc>
      </w:tr>
      <w:tr w:rsidR="001F2A4B" w:rsidRPr="00710B91" w14:paraId="183C4F16" w14:textId="77777777" w:rsidTr="001F2A4B">
        <w:trPr>
          <w:trHeight w:val="288"/>
          <w:jc w:val="center"/>
        </w:trPr>
        <w:tc>
          <w:tcPr>
            <w:tcW w:w="2992" w:type="pct"/>
            <w:tcBorders>
              <w:top w:val="nil"/>
              <w:left w:val="single" w:sz="4" w:space="0" w:color="auto"/>
              <w:bottom w:val="single" w:sz="4" w:space="0" w:color="auto"/>
              <w:right w:val="single" w:sz="8" w:space="0" w:color="auto"/>
            </w:tcBorders>
            <w:shd w:val="clear" w:color="auto" w:fill="auto"/>
            <w:vAlign w:val="center"/>
            <w:hideMark/>
          </w:tcPr>
          <w:p w14:paraId="6D9DD626" w14:textId="77777777" w:rsidR="001F2A4B" w:rsidRPr="00710B91" w:rsidRDefault="001F2A4B" w:rsidP="001F2A4B">
            <w:pPr>
              <w:rPr>
                <w:noProof/>
                <w:sz w:val="18"/>
                <w:szCs w:val="18"/>
              </w:rPr>
            </w:pPr>
            <w:r w:rsidRPr="00710B91">
              <w:rPr>
                <w:noProof/>
                <w:sz w:val="18"/>
                <w:szCs w:val="18"/>
              </w:rPr>
              <w:t>Urzędnik ds. technologii informacji – architektura</w:t>
            </w:r>
          </w:p>
        </w:tc>
        <w:tc>
          <w:tcPr>
            <w:tcW w:w="838" w:type="pct"/>
            <w:tcBorders>
              <w:top w:val="nil"/>
              <w:left w:val="nil"/>
              <w:bottom w:val="single" w:sz="4" w:space="0" w:color="auto"/>
              <w:right w:val="single" w:sz="4" w:space="0" w:color="auto"/>
            </w:tcBorders>
            <w:shd w:val="clear" w:color="auto" w:fill="auto"/>
            <w:vAlign w:val="center"/>
            <w:hideMark/>
          </w:tcPr>
          <w:p w14:paraId="5B2D582E" w14:textId="77777777" w:rsidR="001F2A4B" w:rsidRPr="00710B91" w:rsidRDefault="001F2A4B" w:rsidP="001F2A4B">
            <w:pPr>
              <w:jc w:val="center"/>
              <w:rPr>
                <w:noProof/>
                <w:sz w:val="18"/>
                <w:szCs w:val="18"/>
              </w:rPr>
            </w:pPr>
            <w:r w:rsidRPr="00710B91">
              <w:rPr>
                <w:noProof/>
                <w:sz w:val="18"/>
                <w:szCs w:val="18"/>
              </w:rPr>
              <w:t>1</w:t>
            </w:r>
          </w:p>
        </w:tc>
        <w:tc>
          <w:tcPr>
            <w:tcW w:w="1170" w:type="pct"/>
            <w:tcBorders>
              <w:top w:val="nil"/>
              <w:left w:val="nil"/>
              <w:bottom w:val="single" w:sz="4" w:space="0" w:color="auto"/>
              <w:right w:val="single" w:sz="4" w:space="0" w:color="auto"/>
            </w:tcBorders>
            <w:shd w:val="clear" w:color="auto" w:fill="auto"/>
            <w:vAlign w:val="center"/>
            <w:hideMark/>
          </w:tcPr>
          <w:p w14:paraId="759CB799" w14:textId="77777777" w:rsidR="001F2A4B" w:rsidRPr="00710B91" w:rsidRDefault="001F2A4B" w:rsidP="001F2A4B">
            <w:pPr>
              <w:jc w:val="center"/>
              <w:rPr>
                <w:noProof/>
                <w:sz w:val="18"/>
                <w:szCs w:val="18"/>
              </w:rPr>
            </w:pPr>
            <w:r w:rsidRPr="00710B91">
              <w:rPr>
                <w:noProof/>
                <w:sz w:val="18"/>
                <w:szCs w:val="18"/>
              </w:rPr>
              <w:t>Personel zatrudniony na czas określony (grupa funkcyjna AD)</w:t>
            </w:r>
          </w:p>
        </w:tc>
      </w:tr>
      <w:tr w:rsidR="001F2A4B" w:rsidRPr="00710B91" w14:paraId="2BEE2A3B" w14:textId="77777777" w:rsidTr="001F2A4B">
        <w:trPr>
          <w:trHeight w:val="288"/>
          <w:jc w:val="center"/>
        </w:trPr>
        <w:tc>
          <w:tcPr>
            <w:tcW w:w="2992" w:type="pct"/>
            <w:tcBorders>
              <w:top w:val="single" w:sz="4" w:space="0" w:color="auto"/>
              <w:left w:val="single" w:sz="4" w:space="0" w:color="auto"/>
              <w:bottom w:val="single" w:sz="4" w:space="0" w:color="auto"/>
              <w:right w:val="single" w:sz="8" w:space="0" w:color="auto"/>
            </w:tcBorders>
            <w:shd w:val="clear" w:color="auto" w:fill="auto"/>
            <w:vAlign w:val="center"/>
          </w:tcPr>
          <w:p w14:paraId="5CB2C50C" w14:textId="77777777" w:rsidR="001F2A4B" w:rsidRPr="00710B91" w:rsidRDefault="001F2A4B" w:rsidP="001F2A4B">
            <w:pPr>
              <w:rPr>
                <w:b/>
                <w:noProof/>
                <w:sz w:val="18"/>
                <w:szCs w:val="18"/>
              </w:rPr>
            </w:pPr>
            <w:r w:rsidRPr="00710B91">
              <w:rPr>
                <w:b/>
                <w:noProof/>
                <w:sz w:val="18"/>
                <w:szCs w:val="18"/>
              </w:rPr>
              <w:t>OGÓŁEM</w:t>
            </w:r>
          </w:p>
        </w:tc>
        <w:tc>
          <w:tcPr>
            <w:tcW w:w="838" w:type="pct"/>
            <w:tcBorders>
              <w:top w:val="single" w:sz="4" w:space="0" w:color="auto"/>
              <w:left w:val="nil"/>
              <w:bottom w:val="single" w:sz="4" w:space="0" w:color="auto"/>
              <w:right w:val="single" w:sz="4" w:space="0" w:color="auto"/>
            </w:tcBorders>
            <w:shd w:val="clear" w:color="auto" w:fill="auto"/>
            <w:vAlign w:val="center"/>
          </w:tcPr>
          <w:p w14:paraId="513E5731" w14:textId="77777777" w:rsidR="001F2A4B" w:rsidRPr="00710B91" w:rsidRDefault="001F2A4B" w:rsidP="001F2A4B">
            <w:pPr>
              <w:jc w:val="center"/>
              <w:rPr>
                <w:b/>
                <w:noProof/>
                <w:sz w:val="18"/>
                <w:szCs w:val="18"/>
              </w:rPr>
            </w:pPr>
            <w:r w:rsidRPr="00710B91">
              <w:rPr>
                <w:b/>
                <w:noProof/>
                <w:sz w:val="18"/>
                <w:szCs w:val="18"/>
              </w:rPr>
              <w:t>1</w:t>
            </w:r>
          </w:p>
        </w:tc>
        <w:tc>
          <w:tcPr>
            <w:tcW w:w="1170" w:type="pct"/>
            <w:tcBorders>
              <w:top w:val="single" w:sz="4" w:space="0" w:color="auto"/>
              <w:left w:val="nil"/>
              <w:bottom w:val="single" w:sz="4" w:space="0" w:color="auto"/>
              <w:right w:val="single" w:sz="4" w:space="0" w:color="auto"/>
            </w:tcBorders>
            <w:shd w:val="clear" w:color="auto" w:fill="auto"/>
          </w:tcPr>
          <w:p w14:paraId="5FA3D9FA" w14:textId="77777777" w:rsidR="001F2A4B" w:rsidRPr="00710B91" w:rsidRDefault="001F2A4B" w:rsidP="001F2A4B">
            <w:pPr>
              <w:jc w:val="center"/>
              <w:rPr>
                <w:noProof/>
                <w:sz w:val="18"/>
                <w:szCs w:val="18"/>
              </w:rPr>
            </w:pPr>
            <w:r w:rsidRPr="00710B91">
              <w:rPr>
                <w:noProof/>
                <w:sz w:val="18"/>
                <w:szCs w:val="18"/>
              </w:rPr>
              <w:t>-</w:t>
            </w:r>
          </w:p>
        </w:tc>
      </w:tr>
    </w:tbl>
    <w:p w14:paraId="6AD6EE2D" w14:textId="77777777" w:rsidR="001F2A4B" w:rsidRPr="00710B91" w:rsidRDefault="001F2A4B" w:rsidP="001F2A4B">
      <w:pPr>
        <w:rPr>
          <w:noProof/>
        </w:rPr>
      </w:pPr>
    </w:p>
    <w:p w14:paraId="527C1EE5" w14:textId="6115878A" w:rsidR="001F2A4B" w:rsidRPr="00710B91" w:rsidRDefault="001F2A4B" w:rsidP="001F2A4B">
      <w:pPr>
        <w:rPr>
          <w:noProof/>
        </w:rPr>
      </w:pPr>
      <w:r w:rsidRPr="00710B91">
        <w:rPr>
          <w:noProof/>
        </w:rPr>
        <w:t>Personel potrzebny do realizacji CELU SZCZEGÓŁOWEGO nr</w:t>
      </w:r>
      <w:r w:rsidR="00710B91" w:rsidRPr="00710B91">
        <w:rPr>
          <w:noProof/>
        </w:rPr>
        <w:t> </w:t>
      </w:r>
      <w:r w:rsidRPr="00710B91">
        <w:rPr>
          <w:noProof/>
        </w:rPr>
        <w:t>2 – zapewnienie wsparcia administracyjnego użytkownikom platformy współpracy zespołów JIT:</w:t>
      </w:r>
    </w:p>
    <w:tbl>
      <w:tblPr>
        <w:tblW w:w="4643" w:type="pct"/>
        <w:jc w:val="center"/>
        <w:tblLook w:val="04A0" w:firstRow="1" w:lastRow="0" w:firstColumn="1" w:lastColumn="0" w:noHBand="0" w:noVBand="1"/>
      </w:tblPr>
      <w:tblGrid>
        <w:gridCol w:w="5161"/>
        <w:gridCol w:w="1445"/>
        <w:gridCol w:w="2018"/>
      </w:tblGrid>
      <w:tr w:rsidR="001F2A4B" w:rsidRPr="00710B91" w14:paraId="0C0B2F52" w14:textId="77777777" w:rsidTr="001F2A4B">
        <w:trPr>
          <w:trHeight w:val="552"/>
          <w:jc w:val="center"/>
        </w:trPr>
        <w:tc>
          <w:tcPr>
            <w:tcW w:w="2992" w:type="pct"/>
            <w:tcBorders>
              <w:top w:val="single" w:sz="4" w:space="0" w:color="auto"/>
              <w:left w:val="single" w:sz="4" w:space="0" w:color="auto"/>
              <w:bottom w:val="single" w:sz="4" w:space="0" w:color="auto"/>
              <w:right w:val="single" w:sz="8" w:space="0" w:color="auto"/>
            </w:tcBorders>
            <w:shd w:val="clear" w:color="auto" w:fill="auto"/>
            <w:vAlign w:val="center"/>
            <w:hideMark/>
          </w:tcPr>
          <w:p w14:paraId="7EBA1C6B" w14:textId="77777777" w:rsidR="001F2A4B" w:rsidRPr="00710B91" w:rsidRDefault="001F2A4B" w:rsidP="001F2A4B">
            <w:pPr>
              <w:rPr>
                <w:b/>
                <w:bCs/>
                <w:noProof/>
                <w:sz w:val="18"/>
                <w:szCs w:val="18"/>
              </w:rPr>
            </w:pPr>
            <w:r w:rsidRPr="00710B91">
              <w:rPr>
                <w:b/>
                <w:bCs/>
                <w:noProof/>
                <w:sz w:val="18"/>
                <w:szCs w:val="18"/>
              </w:rPr>
              <w:t>Profil</w:t>
            </w:r>
          </w:p>
        </w:tc>
        <w:tc>
          <w:tcPr>
            <w:tcW w:w="838" w:type="pct"/>
            <w:tcBorders>
              <w:top w:val="single" w:sz="4" w:space="0" w:color="auto"/>
              <w:left w:val="single" w:sz="8" w:space="0" w:color="auto"/>
              <w:bottom w:val="single" w:sz="4" w:space="0" w:color="auto"/>
              <w:right w:val="single" w:sz="4" w:space="0" w:color="auto"/>
            </w:tcBorders>
            <w:shd w:val="clear" w:color="auto" w:fill="auto"/>
            <w:vAlign w:val="center"/>
            <w:hideMark/>
          </w:tcPr>
          <w:p w14:paraId="44E11DEC" w14:textId="77777777" w:rsidR="001F2A4B" w:rsidRPr="00710B91" w:rsidRDefault="001F2A4B" w:rsidP="001F2A4B">
            <w:pPr>
              <w:jc w:val="center"/>
              <w:rPr>
                <w:noProof/>
                <w:sz w:val="18"/>
                <w:szCs w:val="18"/>
              </w:rPr>
            </w:pPr>
            <w:r w:rsidRPr="00710B91">
              <w:rPr>
                <w:noProof/>
                <w:sz w:val="18"/>
                <w:szCs w:val="18"/>
              </w:rPr>
              <w:t>Liczba</w:t>
            </w:r>
          </w:p>
        </w:tc>
        <w:tc>
          <w:tcPr>
            <w:tcW w:w="1170" w:type="pct"/>
            <w:tcBorders>
              <w:top w:val="single" w:sz="4" w:space="0" w:color="auto"/>
              <w:left w:val="nil"/>
              <w:bottom w:val="single" w:sz="4" w:space="0" w:color="auto"/>
              <w:right w:val="single" w:sz="4" w:space="0" w:color="auto"/>
            </w:tcBorders>
            <w:shd w:val="clear" w:color="auto" w:fill="auto"/>
            <w:vAlign w:val="center"/>
            <w:hideMark/>
          </w:tcPr>
          <w:p w14:paraId="0B45B3B0" w14:textId="77777777" w:rsidR="001F2A4B" w:rsidRPr="00710B91" w:rsidRDefault="001F2A4B" w:rsidP="001F2A4B">
            <w:pPr>
              <w:jc w:val="center"/>
              <w:rPr>
                <w:noProof/>
                <w:sz w:val="18"/>
                <w:szCs w:val="18"/>
              </w:rPr>
            </w:pPr>
            <w:r w:rsidRPr="00710B91">
              <w:rPr>
                <w:noProof/>
                <w:sz w:val="18"/>
                <w:szCs w:val="18"/>
              </w:rPr>
              <w:t>Rodzaj</w:t>
            </w:r>
          </w:p>
        </w:tc>
      </w:tr>
      <w:tr w:rsidR="001F2A4B" w:rsidRPr="00710B91" w14:paraId="18903D44" w14:textId="77777777" w:rsidTr="001F2A4B">
        <w:trPr>
          <w:trHeight w:val="288"/>
          <w:jc w:val="center"/>
        </w:trPr>
        <w:tc>
          <w:tcPr>
            <w:tcW w:w="2992" w:type="pct"/>
            <w:tcBorders>
              <w:top w:val="nil"/>
              <w:left w:val="single" w:sz="4" w:space="0" w:color="auto"/>
              <w:bottom w:val="single" w:sz="4" w:space="0" w:color="auto"/>
              <w:right w:val="single" w:sz="8" w:space="0" w:color="auto"/>
            </w:tcBorders>
            <w:shd w:val="clear" w:color="auto" w:fill="auto"/>
            <w:vAlign w:val="center"/>
            <w:hideMark/>
          </w:tcPr>
          <w:p w14:paraId="2423221A" w14:textId="77777777" w:rsidR="001F2A4B" w:rsidRPr="00710B91" w:rsidRDefault="001F2A4B" w:rsidP="001F2A4B">
            <w:pPr>
              <w:rPr>
                <w:noProof/>
                <w:sz w:val="18"/>
                <w:szCs w:val="18"/>
              </w:rPr>
            </w:pPr>
            <w:r w:rsidRPr="00710B91">
              <w:rPr>
                <w:noProof/>
                <w:sz w:val="18"/>
                <w:szCs w:val="18"/>
              </w:rPr>
              <w:t>Wsparcie administracyjne</w:t>
            </w:r>
          </w:p>
        </w:tc>
        <w:tc>
          <w:tcPr>
            <w:tcW w:w="838" w:type="pct"/>
            <w:tcBorders>
              <w:top w:val="nil"/>
              <w:left w:val="nil"/>
              <w:bottom w:val="single" w:sz="4" w:space="0" w:color="auto"/>
              <w:right w:val="single" w:sz="4" w:space="0" w:color="auto"/>
            </w:tcBorders>
            <w:shd w:val="clear" w:color="auto" w:fill="auto"/>
            <w:vAlign w:val="center"/>
            <w:hideMark/>
          </w:tcPr>
          <w:p w14:paraId="72DFF398" w14:textId="77777777" w:rsidR="001F2A4B" w:rsidRPr="00710B91" w:rsidRDefault="001F2A4B" w:rsidP="001F2A4B">
            <w:pPr>
              <w:jc w:val="center"/>
              <w:rPr>
                <w:noProof/>
                <w:sz w:val="18"/>
                <w:szCs w:val="18"/>
              </w:rPr>
            </w:pPr>
            <w:r w:rsidRPr="00710B91">
              <w:rPr>
                <w:noProof/>
                <w:sz w:val="18"/>
                <w:szCs w:val="18"/>
              </w:rPr>
              <w:t>2</w:t>
            </w:r>
          </w:p>
        </w:tc>
        <w:tc>
          <w:tcPr>
            <w:tcW w:w="1170" w:type="pct"/>
            <w:tcBorders>
              <w:top w:val="nil"/>
              <w:left w:val="nil"/>
              <w:bottom w:val="single" w:sz="4" w:space="0" w:color="auto"/>
              <w:right w:val="single" w:sz="4" w:space="0" w:color="auto"/>
            </w:tcBorders>
            <w:shd w:val="clear" w:color="auto" w:fill="auto"/>
            <w:vAlign w:val="center"/>
            <w:hideMark/>
          </w:tcPr>
          <w:p w14:paraId="1490F83F" w14:textId="77777777" w:rsidR="001F2A4B" w:rsidRPr="00710B91" w:rsidRDefault="001F2A4B" w:rsidP="001F2A4B">
            <w:pPr>
              <w:jc w:val="center"/>
              <w:rPr>
                <w:noProof/>
                <w:sz w:val="18"/>
                <w:szCs w:val="18"/>
              </w:rPr>
            </w:pPr>
            <w:r w:rsidRPr="00710B91">
              <w:rPr>
                <w:noProof/>
                <w:sz w:val="18"/>
                <w:szCs w:val="18"/>
              </w:rPr>
              <w:t>Personel zatrudniony na czas określony (grupa funkcyjna AD)</w:t>
            </w:r>
          </w:p>
        </w:tc>
      </w:tr>
      <w:tr w:rsidR="001F2A4B" w:rsidRPr="00710B91" w14:paraId="780BF9EB" w14:textId="77777777" w:rsidTr="001F2A4B">
        <w:trPr>
          <w:trHeight w:val="288"/>
          <w:jc w:val="center"/>
        </w:trPr>
        <w:tc>
          <w:tcPr>
            <w:tcW w:w="2992" w:type="pct"/>
            <w:tcBorders>
              <w:top w:val="single" w:sz="4" w:space="0" w:color="auto"/>
              <w:left w:val="single" w:sz="4" w:space="0" w:color="auto"/>
              <w:bottom w:val="single" w:sz="4" w:space="0" w:color="auto"/>
              <w:right w:val="single" w:sz="8" w:space="0" w:color="auto"/>
            </w:tcBorders>
            <w:shd w:val="clear" w:color="auto" w:fill="auto"/>
            <w:vAlign w:val="center"/>
          </w:tcPr>
          <w:p w14:paraId="708B0BE7" w14:textId="77777777" w:rsidR="001F2A4B" w:rsidRPr="00710B91" w:rsidRDefault="001F2A4B" w:rsidP="001F2A4B">
            <w:pPr>
              <w:rPr>
                <w:b/>
                <w:noProof/>
                <w:sz w:val="18"/>
                <w:szCs w:val="18"/>
              </w:rPr>
            </w:pPr>
            <w:r w:rsidRPr="00710B91">
              <w:rPr>
                <w:b/>
                <w:noProof/>
                <w:sz w:val="18"/>
                <w:szCs w:val="18"/>
              </w:rPr>
              <w:t>OGÓŁEM</w:t>
            </w:r>
          </w:p>
        </w:tc>
        <w:tc>
          <w:tcPr>
            <w:tcW w:w="838" w:type="pct"/>
            <w:tcBorders>
              <w:top w:val="single" w:sz="4" w:space="0" w:color="auto"/>
              <w:left w:val="nil"/>
              <w:bottom w:val="single" w:sz="4" w:space="0" w:color="auto"/>
              <w:right w:val="single" w:sz="4" w:space="0" w:color="auto"/>
            </w:tcBorders>
            <w:shd w:val="clear" w:color="auto" w:fill="auto"/>
            <w:vAlign w:val="center"/>
          </w:tcPr>
          <w:p w14:paraId="21549195" w14:textId="77777777" w:rsidR="001F2A4B" w:rsidRPr="00710B91" w:rsidRDefault="001F2A4B" w:rsidP="001F2A4B">
            <w:pPr>
              <w:jc w:val="center"/>
              <w:rPr>
                <w:b/>
                <w:noProof/>
                <w:sz w:val="18"/>
                <w:szCs w:val="18"/>
              </w:rPr>
            </w:pPr>
            <w:r w:rsidRPr="00710B91">
              <w:rPr>
                <w:b/>
                <w:noProof/>
                <w:sz w:val="18"/>
                <w:szCs w:val="18"/>
              </w:rPr>
              <w:t>2</w:t>
            </w:r>
          </w:p>
        </w:tc>
        <w:tc>
          <w:tcPr>
            <w:tcW w:w="1170" w:type="pct"/>
            <w:tcBorders>
              <w:top w:val="single" w:sz="4" w:space="0" w:color="auto"/>
              <w:left w:val="nil"/>
              <w:bottom w:val="single" w:sz="4" w:space="0" w:color="auto"/>
              <w:right w:val="single" w:sz="4" w:space="0" w:color="auto"/>
            </w:tcBorders>
            <w:shd w:val="clear" w:color="auto" w:fill="auto"/>
          </w:tcPr>
          <w:p w14:paraId="4461D3ED" w14:textId="77777777" w:rsidR="001F2A4B" w:rsidRPr="00710B91" w:rsidRDefault="001F2A4B" w:rsidP="001F2A4B">
            <w:pPr>
              <w:jc w:val="center"/>
              <w:rPr>
                <w:noProof/>
                <w:sz w:val="18"/>
                <w:szCs w:val="18"/>
              </w:rPr>
            </w:pPr>
            <w:r w:rsidRPr="00710B91">
              <w:rPr>
                <w:noProof/>
                <w:sz w:val="18"/>
                <w:szCs w:val="18"/>
              </w:rPr>
              <w:t>-</w:t>
            </w:r>
          </w:p>
        </w:tc>
      </w:tr>
    </w:tbl>
    <w:p w14:paraId="7E7FAFDE" w14:textId="77777777" w:rsidR="001F2A4B" w:rsidRPr="00710B91" w:rsidRDefault="001F2A4B" w:rsidP="001F2A4B">
      <w:pPr>
        <w:rPr>
          <w:noProof/>
        </w:rPr>
      </w:pPr>
    </w:p>
    <w:p w14:paraId="038ACF76" w14:textId="77777777" w:rsidR="001F2A4B" w:rsidRPr="00710B91" w:rsidRDefault="001F2A4B" w:rsidP="001F2A4B">
      <w:pPr>
        <w:rPr>
          <w:noProof/>
        </w:rPr>
      </w:pPr>
      <w:r w:rsidRPr="00710B91">
        <w:rPr>
          <w:noProof/>
        </w:rPr>
        <w:t>Opis profili:</w:t>
      </w:r>
    </w:p>
    <w:tbl>
      <w:tblPr>
        <w:tblW w:w="4701" w:type="pct"/>
        <w:jc w:val="center"/>
        <w:tblLook w:val="04A0" w:firstRow="1" w:lastRow="0" w:firstColumn="1" w:lastColumn="0" w:noHBand="0" w:noVBand="1"/>
      </w:tblPr>
      <w:tblGrid>
        <w:gridCol w:w="8732"/>
      </w:tblGrid>
      <w:tr w:rsidR="001F2A4B" w:rsidRPr="00710B91" w14:paraId="2E0E8528" w14:textId="77777777" w:rsidTr="001F2A4B">
        <w:trPr>
          <w:trHeight w:val="288"/>
          <w:jc w:val="center"/>
        </w:trPr>
        <w:tc>
          <w:tcPr>
            <w:tcW w:w="5000" w:type="pct"/>
            <w:tcBorders>
              <w:top w:val="single" w:sz="4" w:space="0" w:color="auto"/>
              <w:left w:val="single" w:sz="4" w:space="0" w:color="auto"/>
              <w:bottom w:val="single" w:sz="4" w:space="0" w:color="auto"/>
              <w:right w:val="single" w:sz="8" w:space="0" w:color="auto"/>
            </w:tcBorders>
            <w:shd w:val="clear" w:color="auto" w:fill="auto"/>
            <w:vAlign w:val="center"/>
            <w:hideMark/>
          </w:tcPr>
          <w:p w14:paraId="7F45A66C" w14:textId="2040C233" w:rsidR="001F2A4B" w:rsidRPr="00710B91" w:rsidRDefault="001F2A4B" w:rsidP="001F2A4B">
            <w:pPr>
              <w:rPr>
                <w:noProof/>
                <w:sz w:val="18"/>
                <w:szCs w:val="18"/>
              </w:rPr>
            </w:pPr>
            <w:r w:rsidRPr="00710B91">
              <w:rPr>
                <w:noProof/>
                <w:sz w:val="18"/>
                <w:szCs w:val="18"/>
              </w:rPr>
              <w:t>Urzędnik ds. technologii informacji – architektura – współpraca</w:t>
            </w:r>
            <w:r w:rsidR="00710B91" w:rsidRPr="00710B91">
              <w:rPr>
                <w:noProof/>
                <w:sz w:val="18"/>
                <w:szCs w:val="18"/>
              </w:rPr>
              <w:t xml:space="preserve"> z</w:t>
            </w:r>
            <w:r w:rsidR="00710B91">
              <w:rPr>
                <w:noProof/>
                <w:sz w:val="18"/>
                <w:szCs w:val="18"/>
              </w:rPr>
              <w:t> </w:t>
            </w:r>
            <w:r w:rsidR="00710B91" w:rsidRPr="00710B91">
              <w:rPr>
                <w:noProof/>
                <w:sz w:val="18"/>
                <w:szCs w:val="18"/>
              </w:rPr>
              <w:t>wyk</w:t>
            </w:r>
            <w:r w:rsidRPr="00710B91">
              <w:rPr>
                <w:noProof/>
                <w:sz w:val="18"/>
                <w:szCs w:val="18"/>
              </w:rPr>
              <w:t>onawcami</w:t>
            </w:r>
            <w:r w:rsidR="00710B91" w:rsidRPr="00710B91">
              <w:rPr>
                <w:noProof/>
                <w:sz w:val="18"/>
                <w:szCs w:val="18"/>
              </w:rPr>
              <w:t xml:space="preserve"> w</w:t>
            </w:r>
            <w:r w:rsidR="00710B91">
              <w:rPr>
                <w:noProof/>
                <w:sz w:val="18"/>
                <w:szCs w:val="18"/>
              </w:rPr>
              <w:t> </w:t>
            </w:r>
            <w:r w:rsidR="00710B91" w:rsidRPr="00710B91">
              <w:rPr>
                <w:noProof/>
                <w:sz w:val="18"/>
                <w:szCs w:val="18"/>
              </w:rPr>
              <w:t>zak</w:t>
            </w:r>
            <w:r w:rsidRPr="00710B91">
              <w:rPr>
                <w:noProof/>
                <w:sz w:val="18"/>
                <w:szCs w:val="18"/>
              </w:rPr>
              <w:t>resie dokumentacji projektowej</w:t>
            </w:r>
            <w:r w:rsidR="00710B91" w:rsidRPr="00710B91">
              <w:rPr>
                <w:noProof/>
                <w:sz w:val="18"/>
                <w:szCs w:val="18"/>
              </w:rPr>
              <w:t xml:space="preserve"> i</w:t>
            </w:r>
            <w:r w:rsidR="00710B91">
              <w:rPr>
                <w:noProof/>
                <w:sz w:val="18"/>
                <w:szCs w:val="18"/>
              </w:rPr>
              <w:t> </w:t>
            </w:r>
            <w:r w:rsidR="00710B91" w:rsidRPr="00710B91">
              <w:rPr>
                <w:noProof/>
                <w:sz w:val="18"/>
                <w:szCs w:val="18"/>
              </w:rPr>
              <w:t>wal</w:t>
            </w:r>
            <w:r w:rsidRPr="00710B91">
              <w:rPr>
                <w:noProof/>
                <w:sz w:val="18"/>
                <w:szCs w:val="18"/>
              </w:rPr>
              <w:t>idacji (na poziomie rozwiązań</w:t>
            </w:r>
            <w:r w:rsidR="00710B91" w:rsidRPr="00710B91">
              <w:rPr>
                <w:noProof/>
                <w:sz w:val="18"/>
                <w:szCs w:val="18"/>
              </w:rPr>
              <w:t xml:space="preserve"> i</w:t>
            </w:r>
            <w:r w:rsidR="00710B91">
              <w:rPr>
                <w:noProof/>
                <w:sz w:val="18"/>
                <w:szCs w:val="18"/>
              </w:rPr>
              <w:t> </w:t>
            </w:r>
            <w:r w:rsidR="00710B91" w:rsidRPr="00710B91">
              <w:rPr>
                <w:noProof/>
                <w:sz w:val="18"/>
                <w:szCs w:val="18"/>
              </w:rPr>
              <w:t>apl</w:t>
            </w:r>
            <w:r w:rsidRPr="00710B91">
              <w:rPr>
                <w:noProof/>
                <w:sz w:val="18"/>
                <w:szCs w:val="18"/>
              </w:rPr>
              <w:t>ikacji). Zaangażowany również we wszelkie przypadki biznesowe/przypadki użycia/oceny architektoniczne oraz akty wykonawcze</w:t>
            </w:r>
            <w:r w:rsidR="00710B91" w:rsidRPr="00710B91">
              <w:rPr>
                <w:noProof/>
                <w:sz w:val="18"/>
                <w:szCs w:val="18"/>
              </w:rPr>
              <w:t xml:space="preserve"> i</w:t>
            </w:r>
            <w:r w:rsidR="00710B91">
              <w:rPr>
                <w:noProof/>
                <w:sz w:val="18"/>
                <w:szCs w:val="18"/>
              </w:rPr>
              <w:t> </w:t>
            </w:r>
            <w:r w:rsidR="00710B91" w:rsidRPr="00710B91">
              <w:rPr>
                <w:noProof/>
                <w:sz w:val="18"/>
                <w:szCs w:val="18"/>
              </w:rPr>
              <w:t>del</w:t>
            </w:r>
            <w:r w:rsidRPr="00710B91">
              <w:rPr>
                <w:noProof/>
                <w:sz w:val="18"/>
                <w:szCs w:val="18"/>
              </w:rPr>
              <w:t>egowane.</w:t>
            </w:r>
          </w:p>
        </w:tc>
      </w:tr>
      <w:tr w:rsidR="001F2A4B" w:rsidRPr="00710B91" w14:paraId="56BB144A" w14:textId="77777777" w:rsidTr="001F2A4B">
        <w:trPr>
          <w:trHeight w:val="288"/>
          <w:jc w:val="center"/>
        </w:trPr>
        <w:tc>
          <w:tcPr>
            <w:tcW w:w="5000" w:type="pct"/>
            <w:tcBorders>
              <w:top w:val="nil"/>
              <w:left w:val="single" w:sz="4" w:space="0" w:color="auto"/>
              <w:bottom w:val="single" w:sz="4" w:space="0" w:color="auto"/>
              <w:right w:val="single" w:sz="8" w:space="0" w:color="auto"/>
            </w:tcBorders>
            <w:shd w:val="clear" w:color="auto" w:fill="auto"/>
            <w:vAlign w:val="center"/>
            <w:hideMark/>
          </w:tcPr>
          <w:p w14:paraId="7E17162F" w14:textId="38F04C4B" w:rsidR="001F2A4B" w:rsidRPr="00710B91" w:rsidRDefault="001F2A4B" w:rsidP="006012BC">
            <w:pPr>
              <w:rPr>
                <w:noProof/>
                <w:sz w:val="18"/>
                <w:szCs w:val="18"/>
              </w:rPr>
            </w:pPr>
            <w:r w:rsidRPr="00710B91">
              <w:rPr>
                <w:noProof/>
                <w:sz w:val="18"/>
                <w:szCs w:val="18"/>
              </w:rPr>
              <w:t>Wsparcie administracyjne – zarządzanie poszczególnymi przestrzeniami współpracy zespołu JIT</w:t>
            </w:r>
            <w:r w:rsidR="00710B91" w:rsidRPr="00710B91">
              <w:rPr>
                <w:noProof/>
                <w:sz w:val="18"/>
                <w:szCs w:val="18"/>
              </w:rPr>
              <w:t xml:space="preserve"> w</w:t>
            </w:r>
            <w:r w:rsidR="00710B91">
              <w:rPr>
                <w:noProof/>
                <w:sz w:val="18"/>
                <w:szCs w:val="18"/>
              </w:rPr>
              <w:t> </w:t>
            </w:r>
            <w:r w:rsidR="00710B91" w:rsidRPr="00710B91">
              <w:rPr>
                <w:noProof/>
                <w:sz w:val="18"/>
                <w:szCs w:val="18"/>
              </w:rPr>
              <w:t>imi</w:t>
            </w:r>
            <w:r w:rsidRPr="00710B91">
              <w:rPr>
                <w:noProof/>
                <w:sz w:val="18"/>
                <w:szCs w:val="18"/>
              </w:rPr>
              <w:t>eniu członków zespołu JIT, tworzenie kont, umożliwianie dostępu osobom upoważnionym przez organy krajowe, szkolenia</w:t>
            </w:r>
            <w:r w:rsidR="00710B91" w:rsidRPr="00710B91">
              <w:rPr>
                <w:noProof/>
                <w:sz w:val="18"/>
                <w:szCs w:val="18"/>
              </w:rPr>
              <w:t xml:space="preserve"> i</w:t>
            </w:r>
            <w:r w:rsidR="00710B91">
              <w:rPr>
                <w:noProof/>
                <w:sz w:val="18"/>
                <w:szCs w:val="18"/>
              </w:rPr>
              <w:t> </w:t>
            </w:r>
            <w:r w:rsidR="00710B91" w:rsidRPr="00710B91">
              <w:rPr>
                <w:noProof/>
                <w:sz w:val="18"/>
                <w:szCs w:val="18"/>
              </w:rPr>
              <w:t>sam</w:t>
            </w:r>
            <w:r w:rsidRPr="00710B91">
              <w:rPr>
                <w:noProof/>
                <w:sz w:val="18"/>
                <w:szCs w:val="18"/>
              </w:rPr>
              <w:t>ouczki dla użytkowników, zamieszczanie narzędzi</w:t>
            </w:r>
            <w:r w:rsidR="00710B91" w:rsidRPr="00710B91">
              <w:rPr>
                <w:noProof/>
                <w:sz w:val="18"/>
                <w:szCs w:val="18"/>
              </w:rPr>
              <w:t xml:space="preserve"> i</w:t>
            </w:r>
            <w:r w:rsidR="00710B91">
              <w:rPr>
                <w:noProof/>
                <w:sz w:val="18"/>
                <w:szCs w:val="18"/>
              </w:rPr>
              <w:t> </w:t>
            </w:r>
            <w:r w:rsidR="00710B91" w:rsidRPr="00710B91">
              <w:rPr>
                <w:noProof/>
                <w:sz w:val="18"/>
                <w:szCs w:val="18"/>
              </w:rPr>
              <w:t>mat</w:t>
            </w:r>
            <w:r w:rsidRPr="00710B91">
              <w:rPr>
                <w:noProof/>
                <w:sz w:val="18"/>
                <w:szCs w:val="18"/>
              </w:rPr>
              <w:t>eriałów na platformie, wspieranie użytkowników.</w:t>
            </w:r>
          </w:p>
        </w:tc>
      </w:tr>
    </w:tbl>
    <w:p w14:paraId="6206479A" w14:textId="6C504A6A" w:rsidR="001F2A4B" w:rsidRPr="00710B91" w:rsidRDefault="009A08E9" w:rsidP="009A08E9">
      <w:pPr>
        <w:pStyle w:val="ManualHeading3"/>
        <w:rPr>
          <w:bCs/>
          <w:noProof/>
          <w:szCs w:val="24"/>
        </w:rPr>
      </w:pPr>
      <w:bookmarkStart w:id="37" w:name="_Toc92899408"/>
      <w:r w:rsidRPr="009A08E9">
        <w:t>3.2.5.</w:t>
      </w:r>
      <w:r w:rsidRPr="009A08E9">
        <w:tab/>
      </w:r>
      <w:r w:rsidR="001F2A4B" w:rsidRPr="00710B91">
        <w:rPr>
          <w:noProof/>
        </w:rPr>
        <w:t>Szacunkowy wpływ na zasoby ludzkie eu-LISA</w:t>
      </w:r>
      <w:bookmarkEnd w:id="37"/>
      <w:r w:rsidR="001F2A4B" w:rsidRPr="00710B91">
        <w:rPr>
          <w:noProof/>
        </w:rPr>
        <w:t xml:space="preserve"> </w:t>
      </w:r>
    </w:p>
    <w:p w14:paraId="25F5CE4A" w14:textId="06A7BED3" w:rsidR="001F2A4B" w:rsidRPr="00710B91" w:rsidRDefault="009A08E9" w:rsidP="009A08E9">
      <w:pPr>
        <w:pStyle w:val="ManualHeading4"/>
        <w:rPr>
          <w:bCs/>
          <w:noProof/>
          <w:szCs w:val="24"/>
        </w:rPr>
      </w:pPr>
      <w:r w:rsidRPr="009A08E9">
        <w:t>3.2.5.1.</w:t>
      </w:r>
      <w:r w:rsidRPr="009A08E9">
        <w:tab/>
      </w:r>
      <w:r w:rsidR="001F2A4B" w:rsidRPr="00710B91">
        <w:rPr>
          <w:noProof/>
        </w:rPr>
        <w:t xml:space="preserve">Streszczenie </w:t>
      </w:r>
    </w:p>
    <w:p w14:paraId="61F7C393" w14:textId="1E3C572B" w:rsidR="001F2A4B" w:rsidRPr="00710B91" w:rsidRDefault="001F2A4B" w:rsidP="008326C2">
      <w:pPr>
        <w:pStyle w:val="ListDash1"/>
        <w:numPr>
          <w:ilvl w:val="0"/>
          <w:numId w:val="16"/>
        </w:numPr>
        <w:rPr>
          <w:noProof/>
        </w:rPr>
      </w:pPr>
      <w:r w:rsidRPr="00710B91">
        <w:rPr>
          <w:noProof/>
        </w:rPr>
        <w:sym w:font="Wingdings" w:char="F0A8"/>
      </w:r>
      <w:r w:rsidRPr="00710B91">
        <w:rPr>
          <w:noProof/>
        </w:rPr>
        <w:tab/>
        <w:t>Wniosek/inicjatywa nie wiąże się</w:t>
      </w:r>
      <w:r w:rsidR="00710B91" w:rsidRPr="00710B91">
        <w:rPr>
          <w:noProof/>
        </w:rPr>
        <w:t xml:space="preserve"> z</w:t>
      </w:r>
      <w:r w:rsidR="00710B91">
        <w:rPr>
          <w:noProof/>
        </w:rPr>
        <w:t> </w:t>
      </w:r>
      <w:r w:rsidR="00710B91" w:rsidRPr="00710B91">
        <w:rPr>
          <w:noProof/>
        </w:rPr>
        <w:t>kon</w:t>
      </w:r>
      <w:r w:rsidRPr="00710B91">
        <w:rPr>
          <w:noProof/>
        </w:rPr>
        <w:t xml:space="preserve">iecznością wykorzystania środków administracyjnych </w:t>
      </w:r>
    </w:p>
    <w:p w14:paraId="7916BE4F" w14:textId="229C059A" w:rsidR="001F2A4B" w:rsidRPr="00710B91" w:rsidRDefault="001F2A4B" w:rsidP="008326C2">
      <w:pPr>
        <w:pStyle w:val="ListDash1"/>
        <w:numPr>
          <w:ilvl w:val="0"/>
          <w:numId w:val="16"/>
        </w:numPr>
        <w:rPr>
          <w:noProof/>
        </w:rPr>
      </w:pPr>
      <w:r w:rsidRPr="00710B91">
        <w:rPr>
          <w:noProof/>
        </w:rPr>
        <w:sym w:font="Wingdings" w:char="F0FE"/>
      </w:r>
      <w:r w:rsidRPr="00710B91">
        <w:rPr>
          <w:noProof/>
        </w:rPr>
        <w:tab/>
        <w:t>Wniosek/inicjatywa wiąże się</w:t>
      </w:r>
      <w:r w:rsidR="00710B91" w:rsidRPr="00710B91">
        <w:rPr>
          <w:noProof/>
        </w:rPr>
        <w:t xml:space="preserve"> z</w:t>
      </w:r>
      <w:r w:rsidR="00710B91">
        <w:rPr>
          <w:noProof/>
        </w:rPr>
        <w:t> </w:t>
      </w:r>
      <w:r w:rsidR="00710B91" w:rsidRPr="00710B91">
        <w:rPr>
          <w:noProof/>
        </w:rPr>
        <w:t>kon</w:t>
      </w:r>
      <w:r w:rsidRPr="00710B91">
        <w:rPr>
          <w:noProof/>
        </w:rPr>
        <w:t>iecznością wykorzystania środków administracyjnych, jak określono poniżej</w:t>
      </w:r>
      <w:r w:rsidRPr="00710B91">
        <w:rPr>
          <w:rStyle w:val="FootnoteReference"/>
          <w:noProof/>
        </w:rPr>
        <w:footnoteReference w:id="42"/>
      </w:r>
      <w:r w:rsidRPr="00710B91">
        <w:rPr>
          <w:noProof/>
        </w:rPr>
        <w:t>:</w:t>
      </w:r>
    </w:p>
    <w:p w14:paraId="788FC9B7" w14:textId="77777777" w:rsidR="001F2A4B" w:rsidRPr="00710B91" w:rsidRDefault="001F2A4B" w:rsidP="00534A42">
      <w:pPr>
        <w:jc w:val="right"/>
        <w:rPr>
          <w:noProof/>
          <w:sz w:val="20"/>
        </w:rPr>
      </w:pPr>
      <w:r w:rsidRPr="00710B91">
        <w:rPr>
          <w:noProof/>
          <w:sz w:val="20"/>
        </w:rPr>
        <w:t>w mln EUR (do trzech miejsc po przecinku)</w:t>
      </w:r>
    </w:p>
    <w:tbl>
      <w:tblPr>
        <w:tblW w:w="7380" w:type="dxa"/>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1E0" w:firstRow="1" w:lastRow="1" w:firstColumn="1" w:lastColumn="1" w:noHBand="0" w:noVBand="0"/>
      </w:tblPr>
      <w:tblGrid>
        <w:gridCol w:w="1980"/>
        <w:gridCol w:w="1080"/>
        <w:gridCol w:w="1080"/>
        <w:gridCol w:w="1080"/>
        <w:gridCol w:w="1080"/>
        <w:gridCol w:w="1080"/>
      </w:tblGrid>
      <w:tr w:rsidR="001F2A4B" w:rsidRPr="00710B91" w14:paraId="4936AC1A" w14:textId="77777777" w:rsidTr="001F2A4B">
        <w:trPr>
          <w:trHeight w:val="585"/>
          <w:jc w:val="center"/>
        </w:trPr>
        <w:tc>
          <w:tcPr>
            <w:tcW w:w="1980" w:type="dxa"/>
          </w:tcPr>
          <w:p w14:paraId="3F3A7CC6" w14:textId="77777777" w:rsidR="001F2A4B" w:rsidRPr="00710B91" w:rsidRDefault="001F2A4B" w:rsidP="001F2A4B">
            <w:pPr>
              <w:spacing w:before="60" w:after="60"/>
              <w:rPr>
                <w:b/>
                <w:noProof/>
                <w:sz w:val="20"/>
              </w:rPr>
            </w:pPr>
            <w:r w:rsidRPr="00710B91">
              <w:rPr>
                <w:b/>
                <w:noProof/>
                <w:sz w:val="20"/>
              </w:rPr>
              <w:t>eu-LISA</w:t>
            </w:r>
          </w:p>
        </w:tc>
        <w:tc>
          <w:tcPr>
            <w:tcW w:w="1080" w:type="dxa"/>
            <w:vAlign w:val="center"/>
          </w:tcPr>
          <w:p w14:paraId="41D1852E" w14:textId="77777777" w:rsidR="001F2A4B" w:rsidRPr="00710B91" w:rsidRDefault="001F2A4B" w:rsidP="001F2A4B">
            <w:pPr>
              <w:spacing w:before="60" w:after="60"/>
              <w:jc w:val="center"/>
              <w:rPr>
                <w:noProof/>
                <w:sz w:val="20"/>
              </w:rPr>
            </w:pPr>
            <w:r w:rsidRPr="00710B91">
              <w:rPr>
                <w:noProof/>
                <w:sz w:val="20"/>
              </w:rPr>
              <w:t>Rok</w:t>
            </w:r>
            <w:r w:rsidRPr="00710B91">
              <w:rPr>
                <w:noProof/>
              </w:rPr>
              <w:t xml:space="preserve"> </w:t>
            </w:r>
            <w:r w:rsidRPr="00710B91">
              <w:rPr>
                <w:noProof/>
              </w:rPr>
              <w:br/>
            </w:r>
            <w:r w:rsidRPr="00710B91">
              <w:rPr>
                <w:b/>
                <w:noProof/>
                <w:sz w:val="20"/>
              </w:rPr>
              <w:t>2024</w:t>
            </w:r>
          </w:p>
        </w:tc>
        <w:tc>
          <w:tcPr>
            <w:tcW w:w="1080" w:type="dxa"/>
            <w:vAlign w:val="center"/>
          </w:tcPr>
          <w:p w14:paraId="1DEF19F8" w14:textId="77777777" w:rsidR="001F2A4B" w:rsidRPr="00710B91" w:rsidRDefault="001F2A4B" w:rsidP="001F2A4B">
            <w:pPr>
              <w:spacing w:before="60" w:after="60"/>
              <w:jc w:val="center"/>
              <w:rPr>
                <w:noProof/>
                <w:sz w:val="20"/>
              </w:rPr>
            </w:pPr>
            <w:r w:rsidRPr="00710B91">
              <w:rPr>
                <w:noProof/>
                <w:sz w:val="20"/>
              </w:rPr>
              <w:t>Rok</w:t>
            </w:r>
            <w:r w:rsidRPr="00710B91">
              <w:rPr>
                <w:noProof/>
              </w:rPr>
              <w:t xml:space="preserve"> </w:t>
            </w:r>
            <w:r w:rsidRPr="00710B91">
              <w:rPr>
                <w:noProof/>
              </w:rPr>
              <w:br/>
            </w:r>
            <w:r w:rsidRPr="00710B91">
              <w:rPr>
                <w:b/>
                <w:noProof/>
                <w:sz w:val="20"/>
              </w:rPr>
              <w:t>2025</w:t>
            </w:r>
          </w:p>
        </w:tc>
        <w:tc>
          <w:tcPr>
            <w:tcW w:w="1080" w:type="dxa"/>
            <w:vAlign w:val="center"/>
          </w:tcPr>
          <w:p w14:paraId="78C3F3EA" w14:textId="77777777" w:rsidR="001F2A4B" w:rsidRPr="00710B91" w:rsidRDefault="001F2A4B" w:rsidP="001F2A4B">
            <w:pPr>
              <w:spacing w:before="60" w:after="60"/>
              <w:jc w:val="center"/>
              <w:rPr>
                <w:noProof/>
                <w:sz w:val="20"/>
              </w:rPr>
            </w:pPr>
            <w:r w:rsidRPr="00710B91">
              <w:rPr>
                <w:noProof/>
                <w:sz w:val="20"/>
              </w:rPr>
              <w:t>Rok</w:t>
            </w:r>
            <w:r w:rsidRPr="00710B91">
              <w:rPr>
                <w:noProof/>
              </w:rPr>
              <w:t xml:space="preserve"> </w:t>
            </w:r>
            <w:r w:rsidRPr="00710B91">
              <w:rPr>
                <w:noProof/>
              </w:rPr>
              <w:br/>
            </w:r>
            <w:r w:rsidRPr="00710B91">
              <w:rPr>
                <w:b/>
                <w:noProof/>
                <w:sz w:val="20"/>
              </w:rPr>
              <w:t>2026</w:t>
            </w:r>
          </w:p>
        </w:tc>
        <w:tc>
          <w:tcPr>
            <w:tcW w:w="1080" w:type="dxa"/>
            <w:vAlign w:val="center"/>
          </w:tcPr>
          <w:p w14:paraId="10715A63" w14:textId="77777777" w:rsidR="001F2A4B" w:rsidRPr="00710B91" w:rsidRDefault="001F2A4B" w:rsidP="001F2A4B">
            <w:pPr>
              <w:spacing w:before="60" w:after="60"/>
              <w:jc w:val="center"/>
              <w:rPr>
                <w:noProof/>
                <w:sz w:val="20"/>
              </w:rPr>
            </w:pPr>
            <w:r w:rsidRPr="00710B91">
              <w:rPr>
                <w:noProof/>
                <w:sz w:val="20"/>
              </w:rPr>
              <w:t>Rok</w:t>
            </w:r>
            <w:r w:rsidRPr="00710B91">
              <w:rPr>
                <w:noProof/>
              </w:rPr>
              <w:t xml:space="preserve"> </w:t>
            </w:r>
            <w:r w:rsidRPr="00710B91">
              <w:rPr>
                <w:noProof/>
              </w:rPr>
              <w:br/>
            </w:r>
            <w:r w:rsidRPr="00710B91">
              <w:rPr>
                <w:b/>
                <w:noProof/>
                <w:sz w:val="20"/>
              </w:rPr>
              <w:t>2027</w:t>
            </w:r>
          </w:p>
        </w:tc>
        <w:tc>
          <w:tcPr>
            <w:tcW w:w="1080" w:type="dxa"/>
            <w:vAlign w:val="center"/>
          </w:tcPr>
          <w:p w14:paraId="67A53D89" w14:textId="77777777" w:rsidR="001F2A4B" w:rsidRPr="00710B91" w:rsidRDefault="001F2A4B" w:rsidP="001F2A4B">
            <w:pPr>
              <w:spacing w:before="60" w:after="60"/>
              <w:jc w:val="center"/>
              <w:rPr>
                <w:b/>
                <w:noProof/>
                <w:sz w:val="20"/>
              </w:rPr>
            </w:pPr>
            <w:r w:rsidRPr="00710B91">
              <w:rPr>
                <w:b/>
                <w:noProof/>
                <w:sz w:val="18"/>
              </w:rPr>
              <w:t>OGÓŁEM 2024–2027</w:t>
            </w:r>
          </w:p>
        </w:tc>
      </w:tr>
    </w:tbl>
    <w:p w14:paraId="51753A89" w14:textId="77777777" w:rsidR="001F2A4B" w:rsidRPr="00710B91" w:rsidRDefault="001F2A4B" w:rsidP="001F2A4B">
      <w:pPr>
        <w:rPr>
          <w:noProof/>
          <w:sz w:val="20"/>
        </w:rPr>
      </w:pPr>
    </w:p>
    <w:tbl>
      <w:tblPr>
        <w:tblW w:w="7380" w:type="dxa"/>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1E0" w:firstRow="1" w:lastRow="1" w:firstColumn="1" w:lastColumn="1" w:noHBand="0" w:noVBand="0"/>
      </w:tblPr>
      <w:tblGrid>
        <w:gridCol w:w="1980"/>
        <w:gridCol w:w="1080"/>
        <w:gridCol w:w="1080"/>
        <w:gridCol w:w="1080"/>
        <w:gridCol w:w="1080"/>
        <w:gridCol w:w="1080"/>
      </w:tblGrid>
      <w:tr w:rsidR="001F2A4B" w:rsidRPr="00710B91" w14:paraId="1CBCD02A" w14:textId="77777777" w:rsidTr="001F2A4B">
        <w:trPr>
          <w:trHeight w:val="585"/>
          <w:jc w:val="center"/>
        </w:trPr>
        <w:tc>
          <w:tcPr>
            <w:tcW w:w="1980" w:type="dxa"/>
            <w:shd w:val="clear" w:color="auto" w:fill="D9D9D9" w:themeFill="background1" w:themeFillShade="D9"/>
            <w:vAlign w:val="center"/>
          </w:tcPr>
          <w:p w14:paraId="1953727D" w14:textId="77777777" w:rsidR="001F2A4B" w:rsidRPr="00710B91" w:rsidRDefault="001F2A4B" w:rsidP="001F2A4B">
            <w:pPr>
              <w:spacing w:before="60" w:after="60"/>
              <w:jc w:val="center"/>
              <w:rPr>
                <w:noProof/>
              </w:rPr>
            </w:pPr>
            <w:r w:rsidRPr="00710B91">
              <w:rPr>
                <w:noProof/>
                <w:sz w:val="18"/>
              </w:rPr>
              <w:t>Pracownicy zatrudnieni na czas określony (grupy zaszeregowania AD)</w:t>
            </w:r>
          </w:p>
        </w:tc>
        <w:tc>
          <w:tcPr>
            <w:tcW w:w="1080" w:type="dxa"/>
            <w:vAlign w:val="center"/>
          </w:tcPr>
          <w:p w14:paraId="315BDB49" w14:textId="77777777" w:rsidR="001F2A4B" w:rsidRPr="00710B91" w:rsidRDefault="001F2A4B" w:rsidP="001F2A4B">
            <w:pPr>
              <w:spacing w:before="60" w:after="60"/>
              <w:jc w:val="right"/>
              <w:rPr>
                <w:noProof/>
                <w:sz w:val="20"/>
              </w:rPr>
            </w:pPr>
            <w:r w:rsidRPr="00710B91">
              <w:rPr>
                <w:noProof/>
                <w:sz w:val="20"/>
              </w:rPr>
              <w:t>0,608</w:t>
            </w:r>
          </w:p>
        </w:tc>
        <w:tc>
          <w:tcPr>
            <w:tcW w:w="1080" w:type="dxa"/>
            <w:vAlign w:val="center"/>
          </w:tcPr>
          <w:p w14:paraId="2BF84A00" w14:textId="77777777" w:rsidR="001F2A4B" w:rsidRPr="00710B91" w:rsidRDefault="001F2A4B" w:rsidP="001F2A4B">
            <w:pPr>
              <w:spacing w:before="60" w:after="60"/>
              <w:jc w:val="right"/>
              <w:rPr>
                <w:noProof/>
                <w:sz w:val="20"/>
              </w:rPr>
            </w:pPr>
            <w:r w:rsidRPr="00710B91">
              <w:rPr>
                <w:noProof/>
                <w:sz w:val="20"/>
              </w:rPr>
              <w:t>1,216</w:t>
            </w:r>
          </w:p>
        </w:tc>
        <w:tc>
          <w:tcPr>
            <w:tcW w:w="1080" w:type="dxa"/>
            <w:vAlign w:val="center"/>
          </w:tcPr>
          <w:p w14:paraId="6F3BAA9A" w14:textId="77777777" w:rsidR="001F2A4B" w:rsidRPr="00710B91" w:rsidRDefault="001F2A4B" w:rsidP="001F2A4B">
            <w:pPr>
              <w:spacing w:before="60" w:after="60"/>
              <w:jc w:val="right"/>
              <w:rPr>
                <w:noProof/>
                <w:sz w:val="20"/>
              </w:rPr>
            </w:pPr>
            <w:r w:rsidRPr="00710B91">
              <w:rPr>
                <w:noProof/>
                <w:sz w:val="20"/>
              </w:rPr>
              <w:t>1,216</w:t>
            </w:r>
          </w:p>
        </w:tc>
        <w:tc>
          <w:tcPr>
            <w:tcW w:w="1080" w:type="dxa"/>
            <w:vAlign w:val="center"/>
          </w:tcPr>
          <w:p w14:paraId="5F0CD685" w14:textId="77777777" w:rsidR="001F2A4B" w:rsidRPr="00710B91" w:rsidRDefault="001F2A4B" w:rsidP="001F2A4B">
            <w:pPr>
              <w:spacing w:before="60" w:after="60"/>
              <w:jc w:val="right"/>
              <w:rPr>
                <w:noProof/>
                <w:sz w:val="20"/>
              </w:rPr>
            </w:pPr>
            <w:r w:rsidRPr="00710B91">
              <w:rPr>
                <w:noProof/>
                <w:sz w:val="20"/>
              </w:rPr>
              <w:t>1,216</w:t>
            </w:r>
          </w:p>
        </w:tc>
        <w:tc>
          <w:tcPr>
            <w:tcW w:w="1080" w:type="dxa"/>
            <w:vAlign w:val="center"/>
          </w:tcPr>
          <w:p w14:paraId="0A8EA0D5" w14:textId="77777777" w:rsidR="001F2A4B" w:rsidRPr="00710B91" w:rsidRDefault="001F2A4B" w:rsidP="001F2A4B">
            <w:pPr>
              <w:spacing w:before="60" w:after="60"/>
              <w:jc w:val="right"/>
              <w:rPr>
                <w:b/>
                <w:noProof/>
                <w:sz w:val="20"/>
              </w:rPr>
            </w:pPr>
            <w:r w:rsidRPr="00710B91">
              <w:rPr>
                <w:b/>
                <w:noProof/>
                <w:sz w:val="20"/>
              </w:rPr>
              <w:t>4,256</w:t>
            </w:r>
          </w:p>
        </w:tc>
      </w:tr>
      <w:tr w:rsidR="001F2A4B" w:rsidRPr="00710B91" w14:paraId="3342C3D0" w14:textId="77777777" w:rsidTr="001F2A4B">
        <w:trPr>
          <w:trHeight w:val="585"/>
          <w:jc w:val="center"/>
        </w:trPr>
        <w:tc>
          <w:tcPr>
            <w:tcW w:w="1980" w:type="dxa"/>
            <w:shd w:val="clear" w:color="auto" w:fill="BFBFBF" w:themeFill="background1" w:themeFillShade="BF"/>
            <w:vAlign w:val="center"/>
          </w:tcPr>
          <w:p w14:paraId="128AAB5C" w14:textId="77777777" w:rsidR="001F2A4B" w:rsidRPr="00710B91" w:rsidRDefault="001F2A4B" w:rsidP="001F2A4B">
            <w:pPr>
              <w:spacing w:before="60" w:after="60"/>
              <w:ind w:left="72"/>
              <w:rPr>
                <w:noProof/>
              </w:rPr>
            </w:pPr>
            <w:r w:rsidRPr="00710B91">
              <w:rPr>
                <w:noProof/>
                <w:sz w:val="20"/>
              </w:rPr>
              <w:t>Pracownicy zatrudnieni na czas określony (grupy zaszeregowania AST)</w:t>
            </w:r>
          </w:p>
        </w:tc>
        <w:tc>
          <w:tcPr>
            <w:tcW w:w="1080" w:type="dxa"/>
            <w:vAlign w:val="center"/>
          </w:tcPr>
          <w:p w14:paraId="6CDCA290" w14:textId="77777777" w:rsidR="001F2A4B" w:rsidRPr="00710B91" w:rsidRDefault="001F2A4B" w:rsidP="001F2A4B">
            <w:pPr>
              <w:spacing w:before="60" w:after="60"/>
              <w:jc w:val="right"/>
              <w:rPr>
                <w:noProof/>
                <w:sz w:val="20"/>
              </w:rPr>
            </w:pPr>
          </w:p>
        </w:tc>
        <w:tc>
          <w:tcPr>
            <w:tcW w:w="1080" w:type="dxa"/>
            <w:vAlign w:val="center"/>
          </w:tcPr>
          <w:p w14:paraId="67556CB7" w14:textId="77777777" w:rsidR="001F2A4B" w:rsidRPr="00710B91" w:rsidRDefault="001F2A4B" w:rsidP="001F2A4B">
            <w:pPr>
              <w:spacing w:before="60" w:after="60"/>
              <w:jc w:val="right"/>
              <w:rPr>
                <w:noProof/>
                <w:sz w:val="20"/>
              </w:rPr>
            </w:pPr>
          </w:p>
        </w:tc>
        <w:tc>
          <w:tcPr>
            <w:tcW w:w="1080" w:type="dxa"/>
            <w:vAlign w:val="center"/>
          </w:tcPr>
          <w:p w14:paraId="533892CE" w14:textId="77777777" w:rsidR="001F2A4B" w:rsidRPr="00710B91" w:rsidRDefault="001F2A4B" w:rsidP="001F2A4B">
            <w:pPr>
              <w:spacing w:before="60" w:after="60"/>
              <w:jc w:val="right"/>
              <w:rPr>
                <w:noProof/>
                <w:sz w:val="20"/>
              </w:rPr>
            </w:pPr>
          </w:p>
        </w:tc>
        <w:tc>
          <w:tcPr>
            <w:tcW w:w="1080" w:type="dxa"/>
            <w:vAlign w:val="center"/>
          </w:tcPr>
          <w:p w14:paraId="3C64B902" w14:textId="77777777" w:rsidR="001F2A4B" w:rsidRPr="00710B91" w:rsidRDefault="001F2A4B" w:rsidP="001F2A4B">
            <w:pPr>
              <w:spacing w:before="60" w:after="60"/>
              <w:jc w:val="right"/>
              <w:rPr>
                <w:noProof/>
                <w:sz w:val="20"/>
              </w:rPr>
            </w:pPr>
          </w:p>
        </w:tc>
        <w:tc>
          <w:tcPr>
            <w:tcW w:w="1080" w:type="dxa"/>
            <w:vAlign w:val="center"/>
          </w:tcPr>
          <w:p w14:paraId="7F1A6933" w14:textId="77777777" w:rsidR="001F2A4B" w:rsidRPr="00710B91" w:rsidRDefault="001F2A4B" w:rsidP="001F2A4B">
            <w:pPr>
              <w:spacing w:before="60" w:after="60"/>
              <w:jc w:val="right"/>
              <w:rPr>
                <w:b/>
                <w:noProof/>
                <w:sz w:val="20"/>
              </w:rPr>
            </w:pPr>
          </w:p>
        </w:tc>
      </w:tr>
      <w:tr w:rsidR="001F2A4B" w:rsidRPr="00710B91" w14:paraId="515511D2" w14:textId="77777777" w:rsidTr="001F2A4B">
        <w:trPr>
          <w:trHeight w:val="585"/>
          <w:jc w:val="center"/>
        </w:trPr>
        <w:tc>
          <w:tcPr>
            <w:tcW w:w="1980" w:type="dxa"/>
            <w:shd w:val="clear" w:color="auto" w:fill="BFBFBF" w:themeFill="background1" w:themeFillShade="BF"/>
            <w:vAlign w:val="center"/>
          </w:tcPr>
          <w:p w14:paraId="235EC6D3" w14:textId="77777777" w:rsidR="001F2A4B" w:rsidRPr="00710B91" w:rsidRDefault="001F2A4B" w:rsidP="001F2A4B">
            <w:pPr>
              <w:spacing w:before="60" w:after="60"/>
              <w:ind w:left="72"/>
              <w:rPr>
                <w:noProof/>
              </w:rPr>
            </w:pPr>
            <w:r w:rsidRPr="00710B91">
              <w:rPr>
                <w:noProof/>
                <w:sz w:val="20"/>
              </w:rPr>
              <w:t>Personel kontraktowy</w:t>
            </w:r>
          </w:p>
        </w:tc>
        <w:tc>
          <w:tcPr>
            <w:tcW w:w="1080" w:type="dxa"/>
            <w:shd w:val="clear" w:color="auto" w:fill="FFFFFF" w:themeFill="background1"/>
            <w:vAlign w:val="center"/>
          </w:tcPr>
          <w:p w14:paraId="05FE5257" w14:textId="77777777" w:rsidR="001F2A4B" w:rsidRPr="00710B91" w:rsidRDefault="001F2A4B" w:rsidP="001F2A4B">
            <w:pPr>
              <w:spacing w:before="60" w:after="60"/>
              <w:jc w:val="right"/>
              <w:rPr>
                <w:noProof/>
                <w:sz w:val="20"/>
              </w:rPr>
            </w:pPr>
          </w:p>
        </w:tc>
        <w:tc>
          <w:tcPr>
            <w:tcW w:w="1080" w:type="dxa"/>
            <w:shd w:val="clear" w:color="auto" w:fill="FFFFFF" w:themeFill="background1"/>
            <w:vAlign w:val="center"/>
          </w:tcPr>
          <w:p w14:paraId="08A9843D" w14:textId="77777777" w:rsidR="001F2A4B" w:rsidRPr="00710B91" w:rsidRDefault="001F2A4B" w:rsidP="001F2A4B">
            <w:pPr>
              <w:spacing w:before="60" w:after="60"/>
              <w:jc w:val="right"/>
              <w:rPr>
                <w:noProof/>
                <w:sz w:val="20"/>
              </w:rPr>
            </w:pPr>
          </w:p>
        </w:tc>
        <w:tc>
          <w:tcPr>
            <w:tcW w:w="1080" w:type="dxa"/>
            <w:shd w:val="clear" w:color="auto" w:fill="FFFFFF" w:themeFill="background1"/>
            <w:vAlign w:val="center"/>
          </w:tcPr>
          <w:p w14:paraId="6A42C736" w14:textId="77777777" w:rsidR="001F2A4B" w:rsidRPr="00710B91" w:rsidRDefault="001F2A4B" w:rsidP="001F2A4B">
            <w:pPr>
              <w:spacing w:before="60" w:after="60"/>
              <w:jc w:val="right"/>
              <w:rPr>
                <w:noProof/>
                <w:sz w:val="20"/>
              </w:rPr>
            </w:pPr>
            <w:r w:rsidRPr="00710B91">
              <w:rPr>
                <w:noProof/>
                <w:sz w:val="20"/>
              </w:rPr>
              <w:t>0,164</w:t>
            </w:r>
          </w:p>
        </w:tc>
        <w:tc>
          <w:tcPr>
            <w:tcW w:w="1080" w:type="dxa"/>
            <w:shd w:val="clear" w:color="auto" w:fill="FFFFFF" w:themeFill="background1"/>
            <w:vAlign w:val="center"/>
          </w:tcPr>
          <w:p w14:paraId="1EE16585" w14:textId="77777777" w:rsidR="001F2A4B" w:rsidRPr="00710B91" w:rsidRDefault="001F2A4B" w:rsidP="001F2A4B">
            <w:pPr>
              <w:spacing w:before="60" w:after="60"/>
              <w:jc w:val="right"/>
              <w:rPr>
                <w:noProof/>
                <w:sz w:val="20"/>
              </w:rPr>
            </w:pPr>
            <w:r w:rsidRPr="00710B91">
              <w:rPr>
                <w:noProof/>
                <w:sz w:val="20"/>
              </w:rPr>
              <w:t>0,164</w:t>
            </w:r>
          </w:p>
        </w:tc>
        <w:tc>
          <w:tcPr>
            <w:tcW w:w="1080" w:type="dxa"/>
            <w:shd w:val="clear" w:color="auto" w:fill="FFFFFF" w:themeFill="background1"/>
            <w:vAlign w:val="center"/>
          </w:tcPr>
          <w:p w14:paraId="48005F4E" w14:textId="77777777" w:rsidR="001F2A4B" w:rsidRPr="00710B91" w:rsidRDefault="001F2A4B" w:rsidP="001F2A4B">
            <w:pPr>
              <w:spacing w:before="60" w:after="60"/>
              <w:jc w:val="right"/>
              <w:rPr>
                <w:b/>
                <w:noProof/>
                <w:sz w:val="20"/>
              </w:rPr>
            </w:pPr>
            <w:r w:rsidRPr="00710B91">
              <w:rPr>
                <w:b/>
                <w:noProof/>
                <w:sz w:val="20"/>
              </w:rPr>
              <w:t>0,328</w:t>
            </w:r>
          </w:p>
        </w:tc>
      </w:tr>
      <w:tr w:rsidR="001F2A4B" w:rsidRPr="00710B91" w14:paraId="3E470654" w14:textId="77777777" w:rsidTr="001F2A4B">
        <w:trPr>
          <w:trHeight w:val="585"/>
          <w:jc w:val="center"/>
        </w:trPr>
        <w:tc>
          <w:tcPr>
            <w:tcW w:w="1980" w:type="dxa"/>
            <w:shd w:val="clear" w:color="auto" w:fill="CCCCCC"/>
            <w:vAlign w:val="center"/>
          </w:tcPr>
          <w:p w14:paraId="47998100" w14:textId="77777777" w:rsidR="001F2A4B" w:rsidRPr="00710B91" w:rsidRDefault="001F2A4B" w:rsidP="001F2A4B">
            <w:pPr>
              <w:spacing w:before="60" w:after="60"/>
              <w:jc w:val="center"/>
              <w:rPr>
                <w:noProof/>
              </w:rPr>
            </w:pPr>
            <w:r w:rsidRPr="00710B91">
              <w:rPr>
                <w:noProof/>
                <w:sz w:val="18"/>
              </w:rPr>
              <w:t>Oddelegowani eksperci krajowi</w:t>
            </w:r>
          </w:p>
        </w:tc>
        <w:tc>
          <w:tcPr>
            <w:tcW w:w="1080" w:type="dxa"/>
            <w:shd w:val="clear" w:color="auto" w:fill="FFFFFF" w:themeFill="background1"/>
            <w:vAlign w:val="center"/>
          </w:tcPr>
          <w:p w14:paraId="66F6C36D" w14:textId="77777777" w:rsidR="001F2A4B" w:rsidRPr="00710B91" w:rsidRDefault="001F2A4B" w:rsidP="001F2A4B">
            <w:pPr>
              <w:spacing w:before="60" w:after="60"/>
              <w:jc w:val="right"/>
              <w:rPr>
                <w:noProof/>
                <w:sz w:val="20"/>
              </w:rPr>
            </w:pPr>
          </w:p>
        </w:tc>
        <w:tc>
          <w:tcPr>
            <w:tcW w:w="1080" w:type="dxa"/>
            <w:shd w:val="clear" w:color="auto" w:fill="FFFFFF" w:themeFill="background1"/>
            <w:vAlign w:val="center"/>
          </w:tcPr>
          <w:p w14:paraId="23B4120D" w14:textId="77777777" w:rsidR="001F2A4B" w:rsidRPr="00710B91" w:rsidRDefault="001F2A4B" w:rsidP="001F2A4B">
            <w:pPr>
              <w:spacing w:before="60" w:after="60"/>
              <w:jc w:val="right"/>
              <w:rPr>
                <w:noProof/>
                <w:sz w:val="20"/>
              </w:rPr>
            </w:pPr>
          </w:p>
        </w:tc>
        <w:tc>
          <w:tcPr>
            <w:tcW w:w="1080" w:type="dxa"/>
            <w:shd w:val="clear" w:color="auto" w:fill="FFFFFF" w:themeFill="background1"/>
            <w:vAlign w:val="center"/>
          </w:tcPr>
          <w:p w14:paraId="4E255450" w14:textId="77777777" w:rsidR="001F2A4B" w:rsidRPr="00710B91" w:rsidRDefault="001F2A4B" w:rsidP="001F2A4B">
            <w:pPr>
              <w:spacing w:before="60" w:after="60"/>
              <w:jc w:val="right"/>
              <w:rPr>
                <w:noProof/>
                <w:sz w:val="20"/>
              </w:rPr>
            </w:pPr>
          </w:p>
        </w:tc>
        <w:tc>
          <w:tcPr>
            <w:tcW w:w="1080" w:type="dxa"/>
            <w:shd w:val="clear" w:color="auto" w:fill="FFFFFF" w:themeFill="background1"/>
            <w:vAlign w:val="center"/>
          </w:tcPr>
          <w:p w14:paraId="092067DE" w14:textId="77777777" w:rsidR="001F2A4B" w:rsidRPr="00710B91" w:rsidRDefault="001F2A4B" w:rsidP="001F2A4B">
            <w:pPr>
              <w:spacing w:before="60" w:after="60"/>
              <w:jc w:val="right"/>
              <w:rPr>
                <w:noProof/>
                <w:sz w:val="20"/>
              </w:rPr>
            </w:pPr>
          </w:p>
        </w:tc>
        <w:tc>
          <w:tcPr>
            <w:tcW w:w="1080" w:type="dxa"/>
            <w:shd w:val="clear" w:color="auto" w:fill="FFFFFF" w:themeFill="background1"/>
            <w:vAlign w:val="center"/>
          </w:tcPr>
          <w:p w14:paraId="3B3D6B38" w14:textId="77777777" w:rsidR="001F2A4B" w:rsidRPr="00710B91" w:rsidRDefault="001F2A4B" w:rsidP="001F2A4B">
            <w:pPr>
              <w:spacing w:before="60" w:after="60"/>
              <w:jc w:val="right"/>
              <w:rPr>
                <w:b/>
                <w:noProof/>
                <w:sz w:val="20"/>
              </w:rPr>
            </w:pPr>
          </w:p>
        </w:tc>
      </w:tr>
    </w:tbl>
    <w:p w14:paraId="45CAAD31" w14:textId="77777777" w:rsidR="001F2A4B" w:rsidRPr="00710B91" w:rsidRDefault="001F2A4B" w:rsidP="001F2A4B">
      <w:pPr>
        <w:rPr>
          <w:noProof/>
          <w:sz w:val="20"/>
        </w:rPr>
      </w:pPr>
    </w:p>
    <w:tbl>
      <w:tblPr>
        <w:tblW w:w="7380" w:type="dxa"/>
        <w:jc w:val="center"/>
        <w:tblLayout w:type="fixed"/>
        <w:tblLook w:val="01E0" w:firstRow="1" w:lastRow="1" w:firstColumn="1" w:lastColumn="1" w:noHBand="0" w:noVBand="0"/>
      </w:tblPr>
      <w:tblGrid>
        <w:gridCol w:w="1980"/>
        <w:gridCol w:w="1080"/>
        <w:gridCol w:w="1080"/>
        <w:gridCol w:w="1080"/>
        <w:gridCol w:w="1080"/>
        <w:gridCol w:w="1080"/>
      </w:tblGrid>
      <w:tr w:rsidR="001F2A4B" w:rsidRPr="00710B91" w14:paraId="6FA59F0D" w14:textId="77777777" w:rsidTr="001F2A4B">
        <w:trPr>
          <w:trHeight w:val="585"/>
          <w:jc w:val="center"/>
        </w:trPr>
        <w:tc>
          <w:tcPr>
            <w:tcW w:w="1980" w:type="dxa"/>
            <w:tcBorders>
              <w:top w:val="single" w:sz="12" w:space="0" w:color="auto"/>
              <w:left w:val="single" w:sz="12" w:space="0" w:color="auto"/>
              <w:bottom w:val="single" w:sz="12" w:space="0" w:color="auto"/>
              <w:right w:val="single" w:sz="2" w:space="0" w:color="auto"/>
            </w:tcBorders>
            <w:vAlign w:val="center"/>
          </w:tcPr>
          <w:p w14:paraId="0B630121" w14:textId="77777777" w:rsidR="001F2A4B" w:rsidRPr="00710B91" w:rsidRDefault="001F2A4B" w:rsidP="001F2A4B">
            <w:pPr>
              <w:spacing w:before="60" w:after="60"/>
              <w:jc w:val="center"/>
              <w:rPr>
                <w:noProof/>
                <w:sz w:val="20"/>
              </w:rPr>
            </w:pPr>
            <w:r w:rsidRPr="00710B91">
              <w:rPr>
                <w:b/>
                <w:noProof/>
                <w:sz w:val="20"/>
              </w:rPr>
              <w:t>OGÓŁEM</w:t>
            </w:r>
          </w:p>
        </w:tc>
        <w:tc>
          <w:tcPr>
            <w:tcW w:w="1080" w:type="dxa"/>
            <w:tcBorders>
              <w:top w:val="single" w:sz="12" w:space="0" w:color="auto"/>
              <w:left w:val="single" w:sz="2" w:space="0" w:color="auto"/>
              <w:bottom w:val="single" w:sz="12" w:space="0" w:color="auto"/>
              <w:right w:val="single" w:sz="2" w:space="0" w:color="auto"/>
            </w:tcBorders>
            <w:vAlign w:val="center"/>
          </w:tcPr>
          <w:p w14:paraId="702EF7AC" w14:textId="77777777" w:rsidR="001F2A4B" w:rsidRPr="00710B91" w:rsidRDefault="001F2A4B" w:rsidP="001F2A4B">
            <w:pPr>
              <w:spacing w:before="60" w:after="60"/>
              <w:jc w:val="right"/>
              <w:rPr>
                <w:b/>
                <w:noProof/>
                <w:sz w:val="20"/>
              </w:rPr>
            </w:pPr>
            <w:r w:rsidRPr="00710B91">
              <w:rPr>
                <w:b/>
                <w:noProof/>
                <w:sz w:val="20"/>
              </w:rPr>
              <w:t>0,608</w:t>
            </w:r>
          </w:p>
        </w:tc>
        <w:tc>
          <w:tcPr>
            <w:tcW w:w="1080" w:type="dxa"/>
            <w:tcBorders>
              <w:top w:val="single" w:sz="12" w:space="0" w:color="auto"/>
              <w:left w:val="single" w:sz="2" w:space="0" w:color="auto"/>
              <w:bottom w:val="single" w:sz="12" w:space="0" w:color="auto"/>
              <w:right w:val="single" w:sz="2" w:space="0" w:color="auto"/>
            </w:tcBorders>
            <w:vAlign w:val="center"/>
          </w:tcPr>
          <w:p w14:paraId="54E07386" w14:textId="77777777" w:rsidR="001F2A4B" w:rsidRPr="00710B91" w:rsidRDefault="001F2A4B" w:rsidP="001F2A4B">
            <w:pPr>
              <w:spacing w:before="60" w:after="60"/>
              <w:jc w:val="right"/>
              <w:rPr>
                <w:b/>
                <w:noProof/>
                <w:sz w:val="20"/>
              </w:rPr>
            </w:pPr>
            <w:r w:rsidRPr="00710B91">
              <w:rPr>
                <w:b/>
                <w:noProof/>
                <w:sz w:val="20"/>
              </w:rPr>
              <w:t>1,216</w:t>
            </w:r>
          </w:p>
        </w:tc>
        <w:tc>
          <w:tcPr>
            <w:tcW w:w="1080" w:type="dxa"/>
            <w:tcBorders>
              <w:top w:val="single" w:sz="12" w:space="0" w:color="auto"/>
              <w:left w:val="single" w:sz="2" w:space="0" w:color="auto"/>
              <w:bottom w:val="single" w:sz="12" w:space="0" w:color="auto"/>
              <w:right w:val="single" w:sz="2" w:space="0" w:color="auto"/>
            </w:tcBorders>
            <w:vAlign w:val="center"/>
          </w:tcPr>
          <w:p w14:paraId="41BCC734" w14:textId="77777777" w:rsidR="001F2A4B" w:rsidRPr="00710B91" w:rsidRDefault="001F2A4B" w:rsidP="001F2A4B">
            <w:pPr>
              <w:spacing w:before="60" w:after="60"/>
              <w:jc w:val="right"/>
              <w:rPr>
                <w:b/>
                <w:noProof/>
                <w:sz w:val="20"/>
              </w:rPr>
            </w:pPr>
            <w:r w:rsidRPr="00710B91">
              <w:rPr>
                <w:b/>
                <w:noProof/>
                <w:sz w:val="20"/>
              </w:rPr>
              <w:t>1,380</w:t>
            </w:r>
          </w:p>
        </w:tc>
        <w:tc>
          <w:tcPr>
            <w:tcW w:w="1080" w:type="dxa"/>
            <w:tcBorders>
              <w:top w:val="single" w:sz="12" w:space="0" w:color="auto"/>
              <w:left w:val="single" w:sz="2" w:space="0" w:color="auto"/>
              <w:bottom w:val="single" w:sz="12" w:space="0" w:color="auto"/>
              <w:right w:val="single" w:sz="2" w:space="0" w:color="auto"/>
            </w:tcBorders>
            <w:vAlign w:val="center"/>
          </w:tcPr>
          <w:p w14:paraId="0232E279" w14:textId="77777777" w:rsidR="001F2A4B" w:rsidRPr="00710B91" w:rsidRDefault="001F2A4B" w:rsidP="001F2A4B">
            <w:pPr>
              <w:spacing w:before="60" w:after="60"/>
              <w:jc w:val="right"/>
              <w:rPr>
                <w:b/>
                <w:noProof/>
                <w:sz w:val="20"/>
              </w:rPr>
            </w:pPr>
            <w:r w:rsidRPr="00710B91">
              <w:rPr>
                <w:b/>
                <w:noProof/>
                <w:sz w:val="20"/>
              </w:rPr>
              <w:t>1,380</w:t>
            </w:r>
          </w:p>
        </w:tc>
        <w:tc>
          <w:tcPr>
            <w:tcW w:w="1080" w:type="dxa"/>
            <w:tcBorders>
              <w:top w:val="single" w:sz="12" w:space="0" w:color="auto"/>
              <w:left w:val="single" w:sz="2" w:space="0" w:color="auto"/>
              <w:bottom w:val="single" w:sz="12" w:space="0" w:color="auto"/>
              <w:right w:val="single" w:sz="12" w:space="0" w:color="auto"/>
            </w:tcBorders>
            <w:vAlign w:val="center"/>
          </w:tcPr>
          <w:p w14:paraId="7526E17E" w14:textId="77777777" w:rsidR="001F2A4B" w:rsidRPr="00710B91" w:rsidRDefault="001F2A4B" w:rsidP="001F2A4B">
            <w:pPr>
              <w:spacing w:before="60" w:after="60"/>
              <w:jc w:val="right"/>
              <w:rPr>
                <w:b/>
                <w:noProof/>
                <w:sz w:val="20"/>
              </w:rPr>
            </w:pPr>
            <w:r w:rsidRPr="00710B91">
              <w:rPr>
                <w:b/>
                <w:noProof/>
                <w:sz w:val="20"/>
              </w:rPr>
              <w:t>4,584</w:t>
            </w:r>
          </w:p>
        </w:tc>
      </w:tr>
    </w:tbl>
    <w:p w14:paraId="3FD3A571" w14:textId="77777777" w:rsidR="001F2A4B" w:rsidRPr="00710B91" w:rsidRDefault="001F2A4B" w:rsidP="001F2A4B">
      <w:pPr>
        <w:rPr>
          <w:noProof/>
          <w:u w:val="single"/>
        </w:rPr>
      </w:pPr>
    </w:p>
    <w:p w14:paraId="357EB34C" w14:textId="7568B49F" w:rsidR="001F2A4B" w:rsidRPr="00710B91" w:rsidRDefault="001F2A4B" w:rsidP="001F2A4B">
      <w:pPr>
        <w:rPr>
          <w:noProof/>
          <w:szCs w:val="24"/>
        </w:rPr>
      </w:pPr>
      <w:r w:rsidRPr="00710B91">
        <w:rPr>
          <w:noProof/>
        </w:rPr>
        <w:t>Wymagania dotyczące pracowników</w:t>
      </w:r>
      <w:r w:rsidRPr="00710B91">
        <w:rPr>
          <w:rStyle w:val="FootnoteReference"/>
          <w:noProof/>
          <w:szCs w:val="24"/>
        </w:rPr>
        <w:footnoteReference w:id="43"/>
      </w:r>
      <w:r w:rsidRPr="00710B91">
        <w:rPr>
          <w:noProof/>
        </w:rPr>
        <w:t xml:space="preserve"> (EPC):</w:t>
      </w:r>
    </w:p>
    <w:tbl>
      <w:tblPr>
        <w:tblW w:w="7380" w:type="dxa"/>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1E0" w:firstRow="1" w:lastRow="1" w:firstColumn="1" w:lastColumn="1" w:noHBand="0" w:noVBand="0"/>
      </w:tblPr>
      <w:tblGrid>
        <w:gridCol w:w="1980"/>
        <w:gridCol w:w="1080"/>
        <w:gridCol w:w="1080"/>
        <w:gridCol w:w="1080"/>
        <w:gridCol w:w="1080"/>
        <w:gridCol w:w="1080"/>
      </w:tblGrid>
      <w:tr w:rsidR="001F2A4B" w:rsidRPr="00710B91" w14:paraId="014F57E1" w14:textId="77777777" w:rsidTr="001F2A4B">
        <w:trPr>
          <w:trHeight w:val="585"/>
          <w:jc w:val="center"/>
        </w:trPr>
        <w:tc>
          <w:tcPr>
            <w:tcW w:w="1980" w:type="dxa"/>
          </w:tcPr>
          <w:p w14:paraId="58B13CE1" w14:textId="77777777" w:rsidR="001F2A4B" w:rsidRPr="00710B91" w:rsidRDefault="001F2A4B" w:rsidP="001F2A4B">
            <w:pPr>
              <w:spacing w:before="60" w:after="60"/>
              <w:rPr>
                <w:b/>
                <w:noProof/>
                <w:sz w:val="20"/>
              </w:rPr>
            </w:pPr>
            <w:r w:rsidRPr="00710B91">
              <w:rPr>
                <w:b/>
                <w:noProof/>
                <w:sz w:val="20"/>
              </w:rPr>
              <w:t>eu-LISA</w:t>
            </w:r>
          </w:p>
        </w:tc>
        <w:tc>
          <w:tcPr>
            <w:tcW w:w="1080" w:type="dxa"/>
            <w:vAlign w:val="center"/>
          </w:tcPr>
          <w:p w14:paraId="22796E83" w14:textId="77777777" w:rsidR="001F2A4B" w:rsidRPr="00710B91" w:rsidRDefault="001F2A4B" w:rsidP="001F2A4B">
            <w:pPr>
              <w:spacing w:before="60" w:after="60"/>
              <w:jc w:val="center"/>
              <w:rPr>
                <w:noProof/>
                <w:sz w:val="20"/>
              </w:rPr>
            </w:pPr>
            <w:r w:rsidRPr="00710B91">
              <w:rPr>
                <w:noProof/>
                <w:sz w:val="20"/>
              </w:rPr>
              <w:t>Rok</w:t>
            </w:r>
            <w:r w:rsidRPr="00710B91">
              <w:rPr>
                <w:noProof/>
              </w:rPr>
              <w:t xml:space="preserve"> </w:t>
            </w:r>
            <w:r w:rsidRPr="00710B91">
              <w:rPr>
                <w:noProof/>
              </w:rPr>
              <w:br/>
            </w:r>
            <w:r w:rsidRPr="00710B91">
              <w:rPr>
                <w:b/>
                <w:noProof/>
                <w:sz w:val="20"/>
              </w:rPr>
              <w:t>2024</w:t>
            </w:r>
          </w:p>
        </w:tc>
        <w:tc>
          <w:tcPr>
            <w:tcW w:w="1080" w:type="dxa"/>
            <w:vAlign w:val="center"/>
          </w:tcPr>
          <w:p w14:paraId="27916B36" w14:textId="77777777" w:rsidR="001F2A4B" w:rsidRPr="00710B91" w:rsidRDefault="001F2A4B" w:rsidP="001F2A4B">
            <w:pPr>
              <w:spacing w:before="60" w:after="60"/>
              <w:jc w:val="center"/>
              <w:rPr>
                <w:noProof/>
                <w:sz w:val="20"/>
              </w:rPr>
            </w:pPr>
            <w:r w:rsidRPr="00710B91">
              <w:rPr>
                <w:noProof/>
                <w:sz w:val="20"/>
              </w:rPr>
              <w:t>Rok</w:t>
            </w:r>
            <w:r w:rsidRPr="00710B91">
              <w:rPr>
                <w:noProof/>
              </w:rPr>
              <w:t xml:space="preserve"> </w:t>
            </w:r>
            <w:r w:rsidRPr="00710B91">
              <w:rPr>
                <w:noProof/>
              </w:rPr>
              <w:br/>
            </w:r>
            <w:r w:rsidRPr="00710B91">
              <w:rPr>
                <w:b/>
                <w:noProof/>
                <w:sz w:val="20"/>
              </w:rPr>
              <w:t>2025</w:t>
            </w:r>
          </w:p>
        </w:tc>
        <w:tc>
          <w:tcPr>
            <w:tcW w:w="1080" w:type="dxa"/>
            <w:vAlign w:val="center"/>
          </w:tcPr>
          <w:p w14:paraId="10CAC55F" w14:textId="77777777" w:rsidR="001F2A4B" w:rsidRPr="00710B91" w:rsidRDefault="001F2A4B" w:rsidP="001F2A4B">
            <w:pPr>
              <w:spacing w:before="60" w:after="60"/>
              <w:jc w:val="center"/>
              <w:rPr>
                <w:noProof/>
                <w:sz w:val="20"/>
              </w:rPr>
            </w:pPr>
            <w:r w:rsidRPr="00710B91">
              <w:rPr>
                <w:noProof/>
                <w:sz w:val="20"/>
              </w:rPr>
              <w:t>Rok</w:t>
            </w:r>
            <w:r w:rsidRPr="00710B91">
              <w:rPr>
                <w:noProof/>
              </w:rPr>
              <w:t xml:space="preserve"> </w:t>
            </w:r>
            <w:r w:rsidRPr="00710B91">
              <w:rPr>
                <w:noProof/>
              </w:rPr>
              <w:br/>
            </w:r>
            <w:r w:rsidRPr="00710B91">
              <w:rPr>
                <w:b/>
                <w:noProof/>
                <w:sz w:val="20"/>
              </w:rPr>
              <w:t>2026</w:t>
            </w:r>
          </w:p>
        </w:tc>
        <w:tc>
          <w:tcPr>
            <w:tcW w:w="1080" w:type="dxa"/>
            <w:vAlign w:val="center"/>
          </w:tcPr>
          <w:p w14:paraId="4E027D51" w14:textId="77777777" w:rsidR="001F2A4B" w:rsidRPr="00710B91" w:rsidRDefault="001F2A4B" w:rsidP="001F2A4B">
            <w:pPr>
              <w:spacing w:before="60" w:after="60"/>
              <w:jc w:val="center"/>
              <w:rPr>
                <w:noProof/>
                <w:sz w:val="20"/>
              </w:rPr>
            </w:pPr>
            <w:r w:rsidRPr="00710B91">
              <w:rPr>
                <w:noProof/>
                <w:sz w:val="20"/>
              </w:rPr>
              <w:t>Rok</w:t>
            </w:r>
            <w:r w:rsidRPr="00710B91">
              <w:rPr>
                <w:noProof/>
              </w:rPr>
              <w:t xml:space="preserve"> </w:t>
            </w:r>
            <w:r w:rsidRPr="00710B91">
              <w:rPr>
                <w:noProof/>
              </w:rPr>
              <w:br/>
            </w:r>
            <w:r w:rsidRPr="00710B91">
              <w:rPr>
                <w:b/>
                <w:noProof/>
                <w:sz w:val="20"/>
              </w:rPr>
              <w:t>2027</w:t>
            </w:r>
          </w:p>
        </w:tc>
        <w:tc>
          <w:tcPr>
            <w:tcW w:w="1080" w:type="dxa"/>
            <w:vAlign w:val="center"/>
          </w:tcPr>
          <w:p w14:paraId="508E61EB" w14:textId="77777777" w:rsidR="001F2A4B" w:rsidRPr="00710B91" w:rsidRDefault="001F2A4B" w:rsidP="001F2A4B">
            <w:pPr>
              <w:spacing w:before="60" w:after="60"/>
              <w:jc w:val="center"/>
              <w:rPr>
                <w:b/>
                <w:noProof/>
                <w:sz w:val="20"/>
              </w:rPr>
            </w:pPr>
            <w:r w:rsidRPr="00710B91">
              <w:rPr>
                <w:b/>
                <w:noProof/>
                <w:sz w:val="18"/>
              </w:rPr>
              <w:t>OGÓŁEM 2024–2027</w:t>
            </w:r>
          </w:p>
        </w:tc>
      </w:tr>
    </w:tbl>
    <w:p w14:paraId="5BEB0E9B" w14:textId="77777777" w:rsidR="001F2A4B" w:rsidRPr="00710B91" w:rsidRDefault="001F2A4B" w:rsidP="001F2A4B">
      <w:pPr>
        <w:rPr>
          <w:noProof/>
          <w:sz w:val="20"/>
        </w:rPr>
      </w:pPr>
    </w:p>
    <w:tbl>
      <w:tblPr>
        <w:tblW w:w="7380" w:type="dxa"/>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1E0" w:firstRow="1" w:lastRow="1" w:firstColumn="1" w:lastColumn="1" w:noHBand="0" w:noVBand="0"/>
      </w:tblPr>
      <w:tblGrid>
        <w:gridCol w:w="1980"/>
        <w:gridCol w:w="1080"/>
        <w:gridCol w:w="1080"/>
        <w:gridCol w:w="1080"/>
        <w:gridCol w:w="1080"/>
        <w:gridCol w:w="1080"/>
      </w:tblGrid>
      <w:tr w:rsidR="001F2A4B" w:rsidRPr="00710B91" w14:paraId="74E89D31" w14:textId="77777777" w:rsidTr="001F2A4B">
        <w:trPr>
          <w:trHeight w:val="585"/>
          <w:jc w:val="center"/>
        </w:trPr>
        <w:tc>
          <w:tcPr>
            <w:tcW w:w="1980" w:type="dxa"/>
            <w:shd w:val="clear" w:color="auto" w:fill="D9D9D9" w:themeFill="background1" w:themeFillShade="D9"/>
            <w:vAlign w:val="center"/>
          </w:tcPr>
          <w:p w14:paraId="639C2F2B" w14:textId="77777777" w:rsidR="001F2A4B" w:rsidRPr="00710B91" w:rsidRDefault="001F2A4B" w:rsidP="001F2A4B">
            <w:pPr>
              <w:spacing w:before="60" w:after="60"/>
              <w:jc w:val="center"/>
              <w:rPr>
                <w:noProof/>
              </w:rPr>
            </w:pPr>
            <w:r w:rsidRPr="00710B91">
              <w:rPr>
                <w:noProof/>
                <w:sz w:val="18"/>
              </w:rPr>
              <w:t>Pracownicy zatrudnieni na czas określony (grupy zaszeregowania AD)</w:t>
            </w:r>
          </w:p>
        </w:tc>
        <w:tc>
          <w:tcPr>
            <w:tcW w:w="1080" w:type="dxa"/>
            <w:vAlign w:val="center"/>
          </w:tcPr>
          <w:p w14:paraId="79CA6846" w14:textId="77777777" w:rsidR="001F2A4B" w:rsidRPr="00710B91" w:rsidRDefault="001F2A4B" w:rsidP="001F2A4B">
            <w:pPr>
              <w:spacing w:before="60" w:after="60"/>
              <w:jc w:val="right"/>
              <w:rPr>
                <w:noProof/>
                <w:sz w:val="20"/>
              </w:rPr>
            </w:pPr>
            <w:r w:rsidRPr="00710B91">
              <w:rPr>
                <w:noProof/>
                <w:sz w:val="20"/>
              </w:rPr>
              <w:t>4</w:t>
            </w:r>
          </w:p>
        </w:tc>
        <w:tc>
          <w:tcPr>
            <w:tcW w:w="1080" w:type="dxa"/>
            <w:vAlign w:val="center"/>
          </w:tcPr>
          <w:p w14:paraId="650F3598" w14:textId="77777777" w:rsidR="001F2A4B" w:rsidRPr="00710B91" w:rsidRDefault="001F2A4B" w:rsidP="001F2A4B">
            <w:pPr>
              <w:spacing w:before="60" w:after="60"/>
              <w:jc w:val="right"/>
              <w:rPr>
                <w:noProof/>
                <w:sz w:val="20"/>
              </w:rPr>
            </w:pPr>
            <w:r w:rsidRPr="00710B91">
              <w:rPr>
                <w:noProof/>
                <w:sz w:val="20"/>
              </w:rPr>
              <w:t>8</w:t>
            </w:r>
          </w:p>
        </w:tc>
        <w:tc>
          <w:tcPr>
            <w:tcW w:w="1080" w:type="dxa"/>
            <w:vAlign w:val="center"/>
          </w:tcPr>
          <w:p w14:paraId="13880547" w14:textId="77777777" w:rsidR="001F2A4B" w:rsidRPr="00710B91" w:rsidRDefault="001F2A4B" w:rsidP="001F2A4B">
            <w:pPr>
              <w:spacing w:before="60" w:after="60"/>
              <w:jc w:val="right"/>
              <w:rPr>
                <w:noProof/>
                <w:sz w:val="20"/>
              </w:rPr>
            </w:pPr>
            <w:r w:rsidRPr="00710B91">
              <w:rPr>
                <w:noProof/>
                <w:sz w:val="20"/>
              </w:rPr>
              <w:t>8</w:t>
            </w:r>
          </w:p>
        </w:tc>
        <w:tc>
          <w:tcPr>
            <w:tcW w:w="1080" w:type="dxa"/>
            <w:vAlign w:val="center"/>
          </w:tcPr>
          <w:p w14:paraId="643F2E56" w14:textId="77777777" w:rsidR="001F2A4B" w:rsidRPr="00710B91" w:rsidRDefault="001F2A4B" w:rsidP="001F2A4B">
            <w:pPr>
              <w:spacing w:before="60" w:after="60"/>
              <w:jc w:val="right"/>
              <w:rPr>
                <w:noProof/>
                <w:sz w:val="20"/>
              </w:rPr>
            </w:pPr>
            <w:r w:rsidRPr="00710B91">
              <w:rPr>
                <w:noProof/>
                <w:sz w:val="20"/>
              </w:rPr>
              <w:t>8</w:t>
            </w:r>
          </w:p>
        </w:tc>
        <w:tc>
          <w:tcPr>
            <w:tcW w:w="1080" w:type="dxa"/>
            <w:vAlign w:val="center"/>
          </w:tcPr>
          <w:p w14:paraId="66E18643" w14:textId="3E744F30" w:rsidR="001F2A4B" w:rsidRPr="00710B91" w:rsidRDefault="00E274F4" w:rsidP="00E274F4">
            <w:pPr>
              <w:spacing w:before="60" w:after="60"/>
              <w:jc w:val="right"/>
              <w:rPr>
                <w:b/>
                <w:noProof/>
                <w:sz w:val="20"/>
              </w:rPr>
            </w:pPr>
            <w:r w:rsidRPr="00710B91">
              <w:rPr>
                <w:b/>
                <w:noProof/>
                <w:sz w:val="20"/>
              </w:rPr>
              <w:t>8</w:t>
            </w:r>
          </w:p>
        </w:tc>
      </w:tr>
      <w:tr w:rsidR="001F2A4B" w:rsidRPr="00710B91" w14:paraId="0D86EBCA" w14:textId="77777777" w:rsidTr="001F2A4B">
        <w:trPr>
          <w:trHeight w:val="585"/>
          <w:jc w:val="center"/>
        </w:trPr>
        <w:tc>
          <w:tcPr>
            <w:tcW w:w="1980" w:type="dxa"/>
            <w:shd w:val="clear" w:color="auto" w:fill="BFBFBF" w:themeFill="background1" w:themeFillShade="BF"/>
            <w:vAlign w:val="center"/>
          </w:tcPr>
          <w:p w14:paraId="1AE34D60" w14:textId="77777777" w:rsidR="001F2A4B" w:rsidRPr="00710B91" w:rsidRDefault="001F2A4B" w:rsidP="001F2A4B">
            <w:pPr>
              <w:spacing w:before="60" w:after="60"/>
              <w:ind w:left="72"/>
              <w:rPr>
                <w:noProof/>
              </w:rPr>
            </w:pPr>
            <w:r w:rsidRPr="00710B91">
              <w:rPr>
                <w:noProof/>
                <w:sz w:val="20"/>
              </w:rPr>
              <w:t>Pracownicy zatrudnieni na czas określony (grupy zaszeregowania AST)</w:t>
            </w:r>
          </w:p>
        </w:tc>
        <w:tc>
          <w:tcPr>
            <w:tcW w:w="1080" w:type="dxa"/>
            <w:vAlign w:val="center"/>
          </w:tcPr>
          <w:p w14:paraId="1D1C16FF" w14:textId="77777777" w:rsidR="001F2A4B" w:rsidRPr="00710B91" w:rsidRDefault="001F2A4B" w:rsidP="001F2A4B">
            <w:pPr>
              <w:spacing w:before="60" w:after="60"/>
              <w:jc w:val="right"/>
              <w:rPr>
                <w:noProof/>
                <w:sz w:val="20"/>
              </w:rPr>
            </w:pPr>
          </w:p>
        </w:tc>
        <w:tc>
          <w:tcPr>
            <w:tcW w:w="1080" w:type="dxa"/>
            <w:vAlign w:val="center"/>
          </w:tcPr>
          <w:p w14:paraId="59AAF42D" w14:textId="77777777" w:rsidR="001F2A4B" w:rsidRPr="00710B91" w:rsidRDefault="001F2A4B" w:rsidP="001F2A4B">
            <w:pPr>
              <w:spacing w:before="60" w:after="60"/>
              <w:jc w:val="right"/>
              <w:rPr>
                <w:noProof/>
                <w:sz w:val="20"/>
              </w:rPr>
            </w:pPr>
          </w:p>
        </w:tc>
        <w:tc>
          <w:tcPr>
            <w:tcW w:w="1080" w:type="dxa"/>
            <w:vAlign w:val="center"/>
          </w:tcPr>
          <w:p w14:paraId="0E663D64" w14:textId="77777777" w:rsidR="001F2A4B" w:rsidRPr="00710B91" w:rsidRDefault="001F2A4B" w:rsidP="001F2A4B">
            <w:pPr>
              <w:spacing w:before="60" w:after="60"/>
              <w:jc w:val="right"/>
              <w:rPr>
                <w:noProof/>
                <w:sz w:val="20"/>
              </w:rPr>
            </w:pPr>
          </w:p>
        </w:tc>
        <w:tc>
          <w:tcPr>
            <w:tcW w:w="1080" w:type="dxa"/>
            <w:vAlign w:val="center"/>
          </w:tcPr>
          <w:p w14:paraId="034DCD0B" w14:textId="77777777" w:rsidR="001F2A4B" w:rsidRPr="00710B91" w:rsidRDefault="001F2A4B" w:rsidP="001F2A4B">
            <w:pPr>
              <w:spacing w:before="60" w:after="60"/>
              <w:jc w:val="right"/>
              <w:rPr>
                <w:noProof/>
                <w:sz w:val="20"/>
              </w:rPr>
            </w:pPr>
          </w:p>
        </w:tc>
        <w:tc>
          <w:tcPr>
            <w:tcW w:w="1080" w:type="dxa"/>
            <w:vAlign w:val="center"/>
          </w:tcPr>
          <w:p w14:paraId="5ABFDCD0" w14:textId="77777777" w:rsidR="001F2A4B" w:rsidRPr="00710B91" w:rsidRDefault="001F2A4B" w:rsidP="001F2A4B">
            <w:pPr>
              <w:spacing w:before="60" w:after="60"/>
              <w:jc w:val="right"/>
              <w:rPr>
                <w:b/>
                <w:noProof/>
                <w:sz w:val="20"/>
              </w:rPr>
            </w:pPr>
          </w:p>
        </w:tc>
      </w:tr>
      <w:tr w:rsidR="001F2A4B" w:rsidRPr="00710B91" w14:paraId="694BA10B" w14:textId="77777777" w:rsidTr="001F2A4B">
        <w:trPr>
          <w:trHeight w:val="585"/>
          <w:jc w:val="center"/>
        </w:trPr>
        <w:tc>
          <w:tcPr>
            <w:tcW w:w="1980" w:type="dxa"/>
            <w:shd w:val="clear" w:color="auto" w:fill="BFBFBF" w:themeFill="background1" w:themeFillShade="BF"/>
            <w:vAlign w:val="center"/>
          </w:tcPr>
          <w:p w14:paraId="0C104ECC" w14:textId="77777777" w:rsidR="001F2A4B" w:rsidRPr="00710B91" w:rsidRDefault="001F2A4B" w:rsidP="001F2A4B">
            <w:pPr>
              <w:spacing w:before="60" w:after="60"/>
              <w:ind w:left="72"/>
              <w:rPr>
                <w:noProof/>
              </w:rPr>
            </w:pPr>
            <w:r w:rsidRPr="00710B91">
              <w:rPr>
                <w:noProof/>
                <w:sz w:val="20"/>
              </w:rPr>
              <w:t>Personel kontraktowy</w:t>
            </w:r>
          </w:p>
        </w:tc>
        <w:tc>
          <w:tcPr>
            <w:tcW w:w="1080" w:type="dxa"/>
            <w:shd w:val="clear" w:color="auto" w:fill="FFFFFF" w:themeFill="background1"/>
            <w:vAlign w:val="center"/>
          </w:tcPr>
          <w:p w14:paraId="68AB943D" w14:textId="77777777" w:rsidR="001F2A4B" w:rsidRPr="00710B91" w:rsidRDefault="001F2A4B" w:rsidP="001F2A4B">
            <w:pPr>
              <w:spacing w:before="60" w:after="60"/>
              <w:jc w:val="right"/>
              <w:rPr>
                <w:noProof/>
                <w:sz w:val="20"/>
              </w:rPr>
            </w:pPr>
          </w:p>
        </w:tc>
        <w:tc>
          <w:tcPr>
            <w:tcW w:w="1080" w:type="dxa"/>
            <w:shd w:val="clear" w:color="auto" w:fill="FFFFFF" w:themeFill="background1"/>
            <w:vAlign w:val="center"/>
          </w:tcPr>
          <w:p w14:paraId="1962E7D7" w14:textId="77777777" w:rsidR="001F2A4B" w:rsidRPr="00710B91" w:rsidRDefault="001F2A4B" w:rsidP="001F2A4B">
            <w:pPr>
              <w:spacing w:before="60" w:after="60"/>
              <w:jc w:val="right"/>
              <w:rPr>
                <w:noProof/>
                <w:sz w:val="20"/>
              </w:rPr>
            </w:pPr>
          </w:p>
        </w:tc>
        <w:tc>
          <w:tcPr>
            <w:tcW w:w="1080" w:type="dxa"/>
            <w:shd w:val="clear" w:color="auto" w:fill="FFFFFF" w:themeFill="background1"/>
            <w:vAlign w:val="center"/>
          </w:tcPr>
          <w:p w14:paraId="0264EA5E" w14:textId="77777777" w:rsidR="001F2A4B" w:rsidRPr="00710B91" w:rsidRDefault="001F2A4B" w:rsidP="001F2A4B">
            <w:pPr>
              <w:spacing w:before="60" w:after="60"/>
              <w:jc w:val="right"/>
              <w:rPr>
                <w:noProof/>
                <w:sz w:val="20"/>
              </w:rPr>
            </w:pPr>
            <w:r w:rsidRPr="00710B91">
              <w:rPr>
                <w:noProof/>
                <w:sz w:val="20"/>
              </w:rPr>
              <w:t>2</w:t>
            </w:r>
          </w:p>
        </w:tc>
        <w:tc>
          <w:tcPr>
            <w:tcW w:w="1080" w:type="dxa"/>
            <w:shd w:val="clear" w:color="auto" w:fill="FFFFFF" w:themeFill="background1"/>
            <w:vAlign w:val="center"/>
          </w:tcPr>
          <w:p w14:paraId="747FC1A8" w14:textId="77777777" w:rsidR="001F2A4B" w:rsidRPr="00710B91" w:rsidRDefault="001F2A4B" w:rsidP="001F2A4B">
            <w:pPr>
              <w:spacing w:before="60" w:after="60"/>
              <w:jc w:val="right"/>
              <w:rPr>
                <w:noProof/>
                <w:sz w:val="20"/>
              </w:rPr>
            </w:pPr>
            <w:r w:rsidRPr="00710B91">
              <w:rPr>
                <w:noProof/>
                <w:sz w:val="20"/>
              </w:rPr>
              <w:t>2</w:t>
            </w:r>
          </w:p>
        </w:tc>
        <w:tc>
          <w:tcPr>
            <w:tcW w:w="1080" w:type="dxa"/>
            <w:shd w:val="clear" w:color="auto" w:fill="FFFFFF" w:themeFill="background1"/>
            <w:vAlign w:val="center"/>
          </w:tcPr>
          <w:p w14:paraId="64353BFF" w14:textId="04F8ACB9" w:rsidR="001F2A4B" w:rsidRPr="00710B91" w:rsidRDefault="00E274F4" w:rsidP="001F2A4B">
            <w:pPr>
              <w:spacing w:before="60" w:after="60"/>
              <w:jc w:val="right"/>
              <w:rPr>
                <w:b/>
                <w:noProof/>
                <w:sz w:val="20"/>
              </w:rPr>
            </w:pPr>
            <w:r w:rsidRPr="00710B91">
              <w:rPr>
                <w:b/>
                <w:noProof/>
                <w:sz w:val="20"/>
              </w:rPr>
              <w:t>2</w:t>
            </w:r>
          </w:p>
        </w:tc>
      </w:tr>
      <w:tr w:rsidR="001F2A4B" w:rsidRPr="00710B91" w14:paraId="5A2D4FDA" w14:textId="77777777" w:rsidTr="001F2A4B">
        <w:trPr>
          <w:trHeight w:val="585"/>
          <w:jc w:val="center"/>
        </w:trPr>
        <w:tc>
          <w:tcPr>
            <w:tcW w:w="1980" w:type="dxa"/>
            <w:shd w:val="clear" w:color="auto" w:fill="CCCCCC"/>
            <w:vAlign w:val="center"/>
          </w:tcPr>
          <w:p w14:paraId="156E030F" w14:textId="77777777" w:rsidR="001F2A4B" w:rsidRPr="00710B91" w:rsidRDefault="001F2A4B" w:rsidP="001F2A4B">
            <w:pPr>
              <w:spacing w:before="60" w:after="60"/>
              <w:jc w:val="center"/>
              <w:rPr>
                <w:noProof/>
              </w:rPr>
            </w:pPr>
            <w:r w:rsidRPr="00710B91">
              <w:rPr>
                <w:noProof/>
                <w:sz w:val="18"/>
              </w:rPr>
              <w:t>Oddelegowani eksperci krajowi</w:t>
            </w:r>
          </w:p>
        </w:tc>
        <w:tc>
          <w:tcPr>
            <w:tcW w:w="1080" w:type="dxa"/>
            <w:vAlign w:val="center"/>
          </w:tcPr>
          <w:p w14:paraId="387804AE" w14:textId="77777777" w:rsidR="001F2A4B" w:rsidRPr="00710B91" w:rsidRDefault="001F2A4B" w:rsidP="001F2A4B">
            <w:pPr>
              <w:spacing w:before="60" w:after="60"/>
              <w:jc w:val="right"/>
              <w:rPr>
                <w:noProof/>
                <w:sz w:val="20"/>
              </w:rPr>
            </w:pPr>
          </w:p>
        </w:tc>
        <w:tc>
          <w:tcPr>
            <w:tcW w:w="1080" w:type="dxa"/>
            <w:vAlign w:val="center"/>
          </w:tcPr>
          <w:p w14:paraId="6F5863D2" w14:textId="77777777" w:rsidR="001F2A4B" w:rsidRPr="00710B91" w:rsidRDefault="001F2A4B" w:rsidP="001F2A4B">
            <w:pPr>
              <w:spacing w:before="60" w:after="60"/>
              <w:jc w:val="right"/>
              <w:rPr>
                <w:noProof/>
                <w:sz w:val="20"/>
              </w:rPr>
            </w:pPr>
          </w:p>
        </w:tc>
        <w:tc>
          <w:tcPr>
            <w:tcW w:w="1080" w:type="dxa"/>
            <w:vAlign w:val="center"/>
          </w:tcPr>
          <w:p w14:paraId="2CFA5C9C" w14:textId="77777777" w:rsidR="001F2A4B" w:rsidRPr="00710B91" w:rsidRDefault="001F2A4B" w:rsidP="001F2A4B">
            <w:pPr>
              <w:spacing w:before="60" w:after="60"/>
              <w:jc w:val="right"/>
              <w:rPr>
                <w:noProof/>
                <w:sz w:val="20"/>
              </w:rPr>
            </w:pPr>
          </w:p>
        </w:tc>
        <w:tc>
          <w:tcPr>
            <w:tcW w:w="1080" w:type="dxa"/>
            <w:vAlign w:val="center"/>
          </w:tcPr>
          <w:p w14:paraId="1BBFA71D" w14:textId="77777777" w:rsidR="001F2A4B" w:rsidRPr="00710B91" w:rsidRDefault="001F2A4B" w:rsidP="001F2A4B">
            <w:pPr>
              <w:spacing w:before="60" w:after="60"/>
              <w:jc w:val="right"/>
              <w:rPr>
                <w:noProof/>
                <w:sz w:val="20"/>
              </w:rPr>
            </w:pPr>
          </w:p>
        </w:tc>
        <w:tc>
          <w:tcPr>
            <w:tcW w:w="1080" w:type="dxa"/>
            <w:vAlign w:val="center"/>
          </w:tcPr>
          <w:p w14:paraId="227AC03B" w14:textId="77777777" w:rsidR="001F2A4B" w:rsidRPr="00710B91" w:rsidRDefault="001F2A4B" w:rsidP="001F2A4B">
            <w:pPr>
              <w:spacing w:before="60" w:after="60"/>
              <w:jc w:val="right"/>
              <w:rPr>
                <w:b/>
                <w:noProof/>
                <w:sz w:val="20"/>
              </w:rPr>
            </w:pPr>
          </w:p>
        </w:tc>
      </w:tr>
    </w:tbl>
    <w:p w14:paraId="175D55C9" w14:textId="77777777" w:rsidR="001F2A4B" w:rsidRPr="00710B91" w:rsidRDefault="001F2A4B" w:rsidP="001F2A4B">
      <w:pPr>
        <w:rPr>
          <w:noProof/>
          <w:sz w:val="20"/>
        </w:rPr>
      </w:pPr>
    </w:p>
    <w:tbl>
      <w:tblPr>
        <w:tblW w:w="7380" w:type="dxa"/>
        <w:jc w:val="center"/>
        <w:tblLayout w:type="fixed"/>
        <w:tblLook w:val="01E0" w:firstRow="1" w:lastRow="1" w:firstColumn="1" w:lastColumn="1" w:noHBand="0" w:noVBand="0"/>
      </w:tblPr>
      <w:tblGrid>
        <w:gridCol w:w="1980"/>
        <w:gridCol w:w="1080"/>
        <w:gridCol w:w="1080"/>
        <w:gridCol w:w="1080"/>
        <w:gridCol w:w="1080"/>
        <w:gridCol w:w="1080"/>
      </w:tblGrid>
      <w:tr w:rsidR="001F2A4B" w:rsidRPr="00710B91" w14:paraId="763DB6A1" w14:textId="77777777" w:rsidTr="001F2A4B">
        <w:trPr>
          <w:trHeight w:val="585"/>
          <w:jc w:val="center"/>
        </w:trPr>
        <w:tc>
          <w:tcPr>
            <w:tcW w:w="1980" w:type="dxa"/>
            <w:tcBorders>
              <w:top w:val="single" w:sz="12" w:space="0" w:color="auto"/>
              <w:left w:val="single" w:sz="12" w:space="0" w:color="auto"/>
              <w:bottom w:val="single" w:sz="12" w:space="0" w:color="auto"/>
              <w:right w:val="single" w:sz="2" w:space="0" w:color="auto"/>
            </w:tcBorders>
            <w:vAlign w:val="center"/>
          </w:tcPr>
          <w:p w14:paraId="72B0AF99" w14:textId="77777777" w:rsidR="001F2A4B" w:rsidRPr="00710B91" w:rsidRDefault="001F2A4B" w:rsidP="001F2A4B">
            <w:pPr>
              <w:spacing w:before="60" w:after="60"/>
              <w:jc w:val="center"/>
              <w:rPr>
                <w:noProof/>
                <w:sz w:val="20"/>
              </w:rPr>
            </w:pPr>
            <w:r w:rsidRPr="00710B91">
              <w:rPr>
                <w:b/>
                <w:noProof/>
                <w:sz w:val="20"/>
              </w:rPr>
              <w:t>OGÓŁEM</w:t>
            </w:r>
          </w:p>
        </w:tc>
        <w:tc>
          <w:tcPr>
            <w:tcW w:w="1080" w:type="dxa"/>
            <w:tcBorders>
              <w:top w:val="single" w:sz="12" w:space="0" w:color="auto"/>
              <w:left w:val="single" w:sz="2" w:space="0" w:color="auto"/>
              <w:bottom w:val="single" w:sz="12" w:space="0" w:color="auto"/>
              <w:right w:val="single" w:sz="2" w:space="0" w:color="auto"/>
            </w:tcBorders>
            <w:vAlign w:val="center"/>
          </w:tcPr>
          <w:p w14:paraId="7F4D6788" w14:textId="77777777" w:rsidR="001F2A4B" w:rsidRPr="00710B91" w:rsidRDefault="001F2A4B" w:rsidP="001F2A4B">
            <w:pPr>
              <w:spacing w:before="60" w:after="60"/>
              <w:jc w:val="right"/>
              <w:rPr>
                <w:b/>
                <w:noProof/>
                <w:sz w:val="20"/>
              </w:rPr>
            </w:pPr>
            <w:r w:rsidRPr="00710B91">
              <w:rPr>
                <w:b/>
                <w:noProof/>
                <w:sz w:val="20"/>
              </w:rPr>
              <w:t>4</w:t>
            </w:r>
          </w:p>
        </w:tc>
        <w:tc>
          <w:tcPr>
            <w:tcW w:w="1080" w:type="dxa"/>
            <w:tcBorders>
              <w:top w:val="single" w:sz="12" w:space="0" w:color="auto"/>
              <w:left w:val="single" w:sz="2" w:space="0" w:color="auto"/>
              <w:bottom w:val="single" w:sz="12" w:space="0" w:color="auto"/>
              <w:right w:val="single" w:sz="2" w:space="0" w:color="auto"/>
            </w:tcBorders>
            <w:vAlign w:val="center"/>
          </w:tcPr>
          <w:p w14:paraId="5789BC6C" w14:textId="77777777" w:rsidR="001F2A4B" w:rsidRPr="00710B91" w:rsidRDefault="001F2A4B" w:rsidP="001F2A4B">
            <w:pPr>
              <w:spacing w:before="60" w:after="60"/>
              <w:jc w:val="right"/>
              <w:rPr>
                <w:b/>
                <w:noProof/>
                <w:sz w:val="20"/>
              </w:rPr>
            </w:pPr>
            <w:r w:rsidRPr="00710B91">
              <w:rPr>
                <w:b/>
                <w:noProof/>
                <w:sz w:val="20"/>
              </w:rPr>
              <w:t>8</w:t>
            </w:r>
          </w:p>
        </w:tc>
        <w:tc>
          <w:tcPr>
            <w:tcW w:w="1080" w:type="dxa"/>
            <w:tcBorders>
              <w:top w:val="single" w:sz="12" w:space="0" w:color="auto"/>
              <w:left w:val="single" w:sz="2" w:space="0" w:color="auto"/>
              <w:bottom w:val="single" w:sz="12" w:space="0" w:color="auto"/>
              <w:right w:val="single" w:sz="2" w:space="0" w:color="auto"/>
            </w:tcBorders>
            <w:vAlign w:val="center"/>
          </w:tcPr>
          <w:p w14:paraId="5A0E6A5A" w14:textId="77777777" w:rsidR="001F2A4B" w:rsidRPr="00710B91" w:rsidRDefault="001F2A4B" w:rsidP="001F2A4B">
            <w:pPr>
              <w:spacing w:before="60" w:after="60"/>
              <w:jc w:val="right"/>
              <w:rPr>
                <w:b/>
                <w:noProof/>
                <w:sz w:val="20"/>
              </w:rPr>
            </w:pPr>
            <w:r w:rsidRPr="00710B91">
              <w:rPr>
                <w:b/>
                <w:noProof/>
                <w:sz w:val="20"/>
              </w:rPr>
              <w:t>10</w:t>
            </w:r>
          </w:p>
        </w:tc>
        <w:tc>
          <w:tcPr>
            <w:tcW w:w="1080" w:type="dxa"/>
            <w:tcBorders>
              <w:top w:val="single" w:sz="12" w:space="0" w:color="auto"/>
              <w:left w:val="single" w:sz="2" w:space="0" w:color="auto"/>
              <w:bottom w:val="single" w:sz="12" w:space="0" w:color="auto"/>
              <w:right w:val="single" w:sz="2" w:space="0" w:color="auto"/>
            </w:tcBorders>
            <w:vAlign w:val="center"/>
          </w:tcPr>
          <w:p w14:paraId="7612E6D8" w14:textId="77777777" w:rsidR="001F2A4B" w:rsidRPr="00710B91" w:rsidRDefault="001F2A4B" w:rsidP="001F2A4B">
            <w:pPr>
              <w:spacing w:before="60" w:after="60"/>
              <w:jc w:val="right"/>
              <w:rPr>
                <w:b/>
                <w:noProof/>
                <w:sz w:val="20"/>
              </w:rPr>
            </w:pPr>
            <w:r w:rsidRPr="00710B91">
              <w:rPr>
                <w:b/>
                <w:noProof/>
                <w:sz w:val="20"/>
              </w:rPr>
              <w:t>10</w:t>
            </w:r>
          </w:p>
        </w:tc>
        <w:tc>
          <w:tcPr>
            <w:tcW w:w="1080" w:type="dxa"/>
            <w:tcBorders>
              <w:top w:val="single" w:sz="12" w:space="0" w:color="auto"/>
              <w:left w:val="single" w:sz="2" w:space="0" w:color="auto"/>
              <w:bottom w:val="single" w:sz="12" w:space="0" w:color="auto"/>
              <w:right w:val="single" w:sz="12" w:space="0" w:color="auto"/>
            </w:tcBorders>
            <w:vAlign w:val="center"/>
          </w:tcPr>
          <w:p w14:paraId="4E2ED8BD" w14:textId="553C2161" w:rsidR="001F2A4B" w:rsidRPr="00710B91" w:rsidRDefault="00E274F4" w:rsidP="00E274F4">
            <w:pPr>
              <w:spacing w:before="60" w:after="60"/>
              <w:jc w:val="right"/>
              <w:rPr>
                <w:b/>
                <w:noProof/>
                <w:sz w:val="20"/>
              </w:rPr>
            </w:pPr>
            <w:r w:rsidRPr="00710B91">
              <w:rPr>
                <w:b/>
                <w:noProof/>
                <w:sz w:val="20"/>
              </w:rPr>
              <w:t>10</w:t>
            </w:r>
          </w:p>
        </w:tc>
      </w:tr>
    </w:tbl>
    <w:p w14:paraId="389434E0" w14:textId="77777777" w:rsidR="001F2A4B" w:rsidRPr="00710B91" w:rsidRDefault="001F2A4B" w:rsidP="001F2A4B">
      <w:pPr>
        <w:rPr>
          <w:noProof/>
          <w:u w:val="single"/>
        </w:rPr>
      </w:pPr>
    </w:p>
    <w:p w14:paraId="28BD4EEB" w14:textId="33EA7734" w:rsidR="001F2A4B" w:rsidRPr="00710B91" w:rsidRDefault="001F2A4B" w:rsidP="001F2A4B">
      <w:pPr>
        <w:rPr>
          <w:noProof/>
          <w:szCs w:val="24"/>
          <w:u w:val="single"/>
        </w:rPr>
      </w:pPr>
      <w:r w:rsidRPr="00710B91">
        <w:rPr>
          <w:noProof/>
        </w:rPr>
        <w:t>Daty rekrutacji planowane są początek roku. Nie przyjęto żadnych założeń dotyczących potencjalnego wzrostu indeksacji wynagrodzeń lub współczynnika korygującego mającego zastosowanie do Estonii</w:t>
      </w:r>
      <w:r w:rsidR="00710B91" w:rsidRPr="00710B91">
        <w:rPr>
          <w:noProof/>
        </w:rPr>
        <w:t xml:space="preserve"> i</w:t>
      </w:r>
      <w:r w:rsidR="00710B91">
        <w:rPr>
          <w:noProof/>
        </w:rPr>
        <w:t> </w:t>
      </w:r>
      <w:r w:rsidR="00710B91" w:rsidRPr="00710B91">
        <w:rPr>
          <w:noProof/>
        </w:rPr>
        <w:t>Fra</w:t>
      </w:r>
      <w:r w:rsidRPr="00710B91">
        <w:rPr>
          <w:noProof/>
        </w:rPr>
        <w:t xml:space="preserve">ncji. </w:t>
      </w:r>
    </w:p>
    <w:p w14:paraId="0189432C" w14:textId="4A776F8C" w:rsidR="001F2A4B" w:rsidRPr="00710B91" w:rsidRDefault="001F2A4B" w:rsidP="001F2A4B">
      <w:pPr>
        <w:rPr>
          <w:noProof/>
        </w:rPr>
      </w:pPr>
      <w:r w:rsidRPr="00710B91">
        <w:rPr>
          <w:noProof/>
        </w:rPr>
        <w:t>Personel potrzebny do realizacji CELU SZCZEGÓŁOWEGO nr</w:t>
      </w:r>
      <w:r w:rsidR="00710B91" w:rsidRPr="00710B91">
        <w:rPr>
          <w:noProof/>
        </w:rPr>
        <w:t> </w:t>
      </w:r>
      <w:r w:rsidRPr="00710B91">
        <w:rPr>
          <w:noProof/>
        </w:rPr>
        <w:t>1 – opracowanie platformy współpracy zespołów JIT:</w:t>
      </w:r>
    </w:p>
    <w:tbl>
      <w:tblPr>
        <w:tblW w:w="4643" w:type="pct"/>
        <w:jc w:val="center"/>
        <w:tblLook w:val="04A0" w:firstRow="1" w:lastRow="0" w:firstColumn="1" w:lastColumn="0" w:noHBand="0" w:noVBand="1"/>
      </w:tblPr>
      <w:tblGrid>
        <w:gridCol w:w="5161"/>
        <w:gridCol w:w="1445"/>
        <w:gridCol w:w="2018"/>
      </w:tblGrid>
      <w:tr w:rsidR="001F2A4B" w:rsidRPr="00710B91" w14:paraId="494CDF7C" w14:textId="77777777" w:rsidTr="001F2A4B">
        <w:trPr>
          <w:trHeight w:val="552"/>
          <w:jc w:val="center"/>
        </w:trPr>
        <w:tc>
          <w:tcPr>
            <w:tcW w:w="2992" w:type="pct"/>
            <w:tcBorders>
              <w:top w:val="single" w:sz="4" w:space="0" w:color="auto"/>
              <w:left w:val="single" w:sz="4" w:space="0" w:color="auto"/>
              <w:bottom w:val="single" w:sz="4" w:space="0" w:color="auto"/>
              <w:right w:val="single" w:sz="8" w:space="0" w:color="auto"/>
            </w:tcBorders>
            <w:shd w:val="clear" w:color="auto" w:fill="auto"/>
            <w:vAlign w:val="center"/>
            <w:hideMark/>
          </w:tcPr>
          <w:p w14:paraId="09E2B280" w14:textId="77777777" w:rsidR="001F2A4B" w:rsidRPr="00710B91" w:rsidRDefault="001F2A4B" w:rsidP="001F2A4B">
            <w:pPr>
              <w:rPr>
                <w:b/>
                <w:bCs/>
                <w:noProof/>
                <w:sz w:val="18"/>
                <w:szCs w:val="18"/>
              </w:rPr>
            </w:pPr>
            <w:r w:rsidRPr="00710B91">
              <w:rPr>
                <w:b/>
                <w:bCs/>
                <w:noProof/>
                <w:sz w:val="18"/>
                <w:szCs w:val="18"/>
              </w:rPr>
              <w:t>Profil</w:t>
            </w:r>
          </w:p>
        </w:tc>
        <w:tc>
          <w:tcPr>
            <w:tcW w:w="838" w:type="pct"/>
            <w:tcBorders>
              <w:top w:val="single" w:sz="4" w:space="0" w:color="auto"/>
              <w:left w:val="single" w:sz="8" w:space="0" w:color="auto"/>
              <w:bottom w:val="single" w:sz="4" w:space="0" w:color="auto"/>
              <w:right w:val="single" w:sz="4" w:space="0" w:color="auto"/>
            </w:tcBorders>
            <w:shd w:val="clear" w:color="auto" w:fill="auto"/>
            <w:vAlign w:val="center"/>
            <w:hideMark/>
          </w:tcPr>
          <w:p w14:paraId="58E67EDD" w14:textId="77777777" w:rsidR="001F2A4B" w:rsidRPr="00710B91" w:rsidRDefault="001F2A4B" w:rsidP="001F2A4B">
            <w:pPr>
              <w:jc w:val="center"/>
              <w:rPr>
                <w:noProof/>
                <w:sz w:val="18"/>
                <w:szCs w:val="18"/>
              </w:rPr>
            </w:pPr>
            <w:r w:rsidRPr="00710B91">
              <w:rPr>
                <w:noProof/>
                <w:sz w:val="18"/>
                <w:szCs w:val="18"/>
              </w:rPr>
              <w:t>Liczba</w:t>
            </w:r>
          </w:p>
        </w:tc>
        <w:tc>
          <w:tcPr>
            <w:tcW w:w="1170" w:type="pct"/>
            <w:tcBorders>
              <w:top w:val="single" w:sz="4" w:space="0" w:color="auto"/>
              <w:left w:val="nil"/>
              <w:bottom w:val="single" w:sz="4" w:space="0" w:color="auto"/>
              <w:right w:val="single" w:sz="4" w:space="0" w:color="auto"/>
            </w:tcBorders>
            <w:shd w:val="clear" w:color="auto" w:fill="auto"/>
            <w:vAlign w:val="center"/>
            <w:hideMark/>
          </w:tcPr>
          <w:p w14:paraId="1D9DC9A1" w14:textId="77777777" w:rsidR="001F2A4B" w:rsidRPr="00710B91" w:rsidRDefault="001F2A4B" w:rsidP="001F2A4B">
            <w:pPr>
              <w:jc w:val="center"/>
              <w:rPr>
                <w:noProof/>
                <w:sz w:val="18"/>
                <w:szCs w:val="18"/>
              </w:rPr>
            </w:pPr>
            <w:r w:rsidRPr="00710B91">
              <w:rPr>
                <w:noProof/>
                <w:sz w:val="18"/>
                <w:szCs w:val="18"/>
              </w:rPr>
              <w:t>Rodzaj</w:t>
            </w:r>
          </w:p>
        </w:tc>
      </w:tr>
      <w:tr w:rsidR="001F2A4B" w:rsidRPr="00710B91" w14:paraId="66660273" w14:textId="77777777" w:rsidTr="001F2A4B">
        <w:trPr>
          <w:trHeight w:val="288"/>
          <w:jc w:val="center"/>
        </w:trPr>
        <w:tc>
          <w:tcPr>
            <w:tcW w:w="2992" w:type="pct"/>
            <w:tcBorders>
              <w:top w:val="nil"/>
              <w:left w:val="single" w:sz="4" w:space="0" w:color="auto"/>
              <w:bottom w:val="single" w:sz="4" w:space="0" w:color="auto"/>
              <w:right w:val="single" w:sz="8" w:space="0" w:color="auto"/>
            </w:tcBorders>
            <w:shd w:val="clear" w:color="auto" w:fill="auto"/>
            <w:vAlign w:val="center"/>
            <w:hideMark/>
          </w:tcPr>
          <w:p w14:paraId="25266227" w14:textId="77777777" w:rsidR="001F2A4B" w:rsidRPr="00710B91" w:rsidRDefault="001F2A4B" w:rsidP="001F2A4B">
            <w:pPr>
              <w:rPr>
                <w:noProof/>
                <w:sz w:val="18"/>
                <w:szCs w:val="18"/>
              </w:rPr>
            </w:pPr>
            <w:r w:rsidRPr="00710B91">
              <w:rPr>
                <w:noProof/>
                <w:sz w:val="18"/>
                <w:szCs w:val="18"/>
              </w:rPr>
              <w:t>Urzędnik ds. technologii informacji – architektura</w:t>
            </w:r>
          </w:p>
        </w:tc>
        <w:tc>
          <w:tcPr>
            <w:tcW w:w="838" w:type="pct"/>
            <w:tcBorders>
              <w:top w:val="nil"/>
              <w:left w:val="nil"/>
              <w:bottom w:val="single" w:sz="4" w:space="0" w:color="auto"/>
              <w:right w:val="single" w:sz="4" w:space="0" w:color="auto"/>
            </w:tcBorders>
            <w:shd w:val="clear" w:color="auto" w:fill="auto"/>
            <w:vAlign w:val="center"/>
            <w:hideMark/>
          </w:tcPr>
          <w:p w14:paraId="4C903E4B" w14:textId="77777777" w:rsidR="001F2A4B" w:rsidRPr="00710B91" w:rsidRDefault="001F2A4B" w:rsidP="001F2A4B">
            <w:pPr>
              <w:jc w:val="center"/>
              <w:rPr>
                <w:noProof/>
                <w:sz w:val="18"/>
                <w:szCs w:val="18"/>
              </w:rPr>
            </w:pPr>
            <w:r w:rsidRPr="00710B91">
              <w:rPr>
                <w:noProof/>
                <w:sz w:val="18"/>
                <w:szCs w:val="18"/>
              </w:rPr>
              <w:t>1</w:t>
            </w:r>
          </w:p>
        </w:tc>
        <w:tc>
          <w:tcPr>
            <w:tcW w:w="1170" w:type="pct"/>
            <w:tcBorders>
              <w:top w:val="nil"/>
              <w:left w:val="nil"/>
              <w:bottom w:val="single" w:sz="4" w:space="0" w:color="auto"/>
              <w:right w:val="single" w:sz="4" w:space="0" w:color="auto"/>
            </w:tcBorders>
            <w:shd w:val="clear" w:color="auto" w:fill="auto"/>
            <w:vAlign w:val="center"/>
            <w:hideMark/>
          </w:tcPr>
          <w:p w14:paraId="54B2B210" w14:textId="77777777" w:rsidR="001F2A4B" w:rsidRPr="00710B91" w:rsidRDefault="001F2A4B" w:rsidP="001F2A4B">
            <w:pPr>
              <w:jc w:val="center"/>
              <w:rPr>
                <w:noProof/>
                <w:sz w:val="18"/>
                <w:szCs w:val="18"/>
              </w:rPr>
            </w:pPr>
            <w:r w:rsidRPr="00710B91">
              <w:rPr>
                <w:noProof/>
                <w:sz w:val="18"/>
                <w:szCs w:val="18"/>
              </w:rPr>
              <w:t>Personel zatrudniony na czas określony (grupa funkcyjna AD)</w:t>
            </w:r>
          </w:p>
        </w:tc>
      </w:tr>
      <w:tr w:rsidR="001F2A4B" w:rsidRPr="00710B91" w14:paraId="7CE0B82C" w14:textId="77777777" w:rsidTr="001F2A4B">
        <w:trPr>
          <w:trHeight w:val="288"/>
          <w:jc w:val="center"/>
        </w:trPr>
        <w:tc>
          <w:tcPr>
            <w:tcW w:w="2992" w:type="pct"/>
            <w:tcBorders>
              <w:top w:val="nil"/>
              <w:left w:val="single" w:sz="4" w:space="0" w:color="auto"/>
              <w:bottom w:val="single" w:sz="4" w:space="0" w:color="auto"/>
              <w:right w:val="single" w:sz="8" w:space="0" w:color="auto"/>
            </w:tcBorders>
            <w:shd w:val="clear" w:color="auto" w:fill="auto"/>
            <w:vAlign w:val="center"/>
            <w:hideMark/>
          </w:tcPr>
          <w:p w14:paraId="7278F288" w14:textId="77777777" w:rsidR="001F2A4B" w:rsidRPr="00710B91" w:rsidRDefault="001F2A4B" w:rsidP="001F2A4B">
            <w:pPr>
              <w:rPr>
                <w:noProof/>
                <w:sz w:val="18"/>
                <w:szCs w:val="18"/>
              </w:rPr>
            </w:pPr>
            <w:r w:rsidRPr="00710B91">
              <w:rPr>
                <w:noProof/>
                <w:sz w:val="18"/>
                <w:szCs w:val="18"/>
              </w:rPr>
              <w:t>Zarządzanie testami</w:t>
            </w:r>
          </w:p>
        </w:tc>
        <w:tc>
          <w:tcPr>
            <w:tcW w:w="838" w:type="pct"/>
            <w:tcBorders>
              <w:top w:val="nil"/>
              <w:left w:val="nil"/>
              <w:bottom w:val="single" w:sz="4" w:space="0" w:color="auto"/>
              <w:right w:val="single" w:sz="4" w:space="0" w:color="auto"/>
            </w:tcBorders>
            <w:shd w:val="clear" w:color="auto" w:fill="auto"/>
            <w:vAlign w:val="center"/>
          </w:tcPr>
          <w:p w14:paraId="24FD35CE" w14:textId="77777777" w:rsidR="001F2A4B" w:rsidRPr="00710B91" w:rsidRDefault="001F2A4B" w:rsidP="001F2A4B">
            <w:pPr>
              <w:jc w:val="center"/>
              <w:rPr>
                <w:noProof/>
                <w:sz w:val="18"/>
                <w:szCs w:val="18"/>
              </w:rPr>
            </w:pPr>
            <w:r w:rsidRPr="00710B91">
              <w:rPr>
                <w:noProof/>
                <w:sz w:val="18"/>
                <w:szCs w:val="18"/>
              </w:rPr>
              <w:t xml:space="preserve">1 </w:t>
            </w:r>
          </w:p>
        </w:tc>
        <w:tc>
          <w:tcPr>
            <w:tcW w:w="1170" w:type="pct"/>
            <w:tcBorders>
              <w:top w:val="nil"/>
              <w:left w:val="nil"/>
              <w:bottom w:val="single" w:sz="4" w:space="0" w:color="auto"/>
              <w:right w:val="single" w:sz="4" w:space="0" w:color="auto"/>
            </w:tcBorders>
            <w:shd w:val="clear" w:color="auto" w:fill="auto"/>
          </w:tcPr>
          <w:p w14:paraId="2105F6FB" w14:textId="77777777" w:rsidR="001F2A4B" w:rsidRPr="00710B91" w:rsidRDefault="001F2A4B" w:rsidP="001F2A4B">
            <w:pPr>
              <w:jc w:val="center"/>
              <w:rPr>
                <w:noProof/>
                <w:sz w:val="18"/>
                <w:szCs w:val="18"/>
              </w:rPr>
            </w:pPr>
            <w:r w:rsidRPr="00710B91">
              <w:rPr>
                <w:noProof/>
                <w:sz w:val="18"/>
                <w:szCs w:val="18"/>
              </w:rPr>
              <w:t>Personel zatrudniony na czas określony (grupa funkcyjna AD)</w:t>
            </w:r>
          </w:p>
        </w:tc>
      </w:tr>
      <w:tr w:rsidR="001F2A4B" w:rsidRPr="00710B91" w14:paraId="33BA276D" w14:textId="77777777" w:rsidTr="001F2A4B">
        <w:trPr>
          <w:trHeight w:val="288"/>
          <w:jc w:val="center"/>
        </w:trPr>
        <w:tc>
          <w:tcPr>
            <w:tcW w:w="2992" w:type="pct"/>
            <w:tcBorders>
              <w:top w:val="single" w:sz="4" w:space="0" w:color="auto"/>
              <w:left w:val="single" w:sz="4" w:space="0" w:color="auto"/>
              <w:bottom w:val="single" w:sz="4" w:space="0" w:color="auto"/>
              <w:right w:val="single" w:sz="8" w:space="0" w:color="auto"/>
            </w:tcBorders>
            <w:shd w:val="clear" w:color="auto" w:fill="auto"/>
            <w:vAlign w:val="center"/>
            <w:hideMark/>
          </w:tcPr>
          <w:p w14:paraId="54066AA4" w14:textId="77777777" w:rsidR="001F2A4B" w:rsidRPr="00710B91" w:rsidRDefault="001F2A4B" w:rsidP="001F2A4B">
            <w:pPr>
              <w:rPr>
                <w:noProof/>
                <w:sz w:val="18"/>
                <w:szCs w:val="18"/>
              </w:rPr>
            </w:pPr>
            <w:r w:rsidRPr="00710B91">
              <w:rPr>
                <w:noProof/>
                <w:sz w:val="18"/>
                <w:szCs w:val="18"/>
              </w:rPr>
              <w:t>Zarządzanie siecią</w:t>
            </w:r>
          </w:p>
        </w:tc>
        <w:tc>
          <w:tcPr>
            <w:tcW w:w="838" w:type="pct"/>
            <w:tcBorders>
              <w:top w:val="single" w:sz="4" w:space="0" w:color="auto"/>
              <w:left w:val="nil"/>
              <w:bottom w:val="single" w:sz="4" w:space="0" w:color="auto"/>
              <w:right w:val="single" w:sz="4" w:space="0" w:color="auto"/>
            </w:tcBorders>
            <w:shd w:val="clear" w:color="auto" w:fill="auto"/>
            <w:vAlign w:val="center"/>
          </w:tcPr>
          <w:p w14:paraId="1535FCC2" w14:textId="77777777" w:rsidR="001F2A4B" w:rsidRPr="00710B91" w:rsidRDefault="001F2A4B" w:rsidP="001F2A4B">
            <w:pPr>
              <w:jc w:val="center"/>
              <w:rPr>
                <w:noProof/>
                <w:sz w:val="18"/>
                <w:szCs w:val="18"/>
              </w:rPr>
            </w:pPr>
            <w:r w:rsidRPr="00710B91">
              <w:rPr>
                <w:noProof/>
                <w:sz w:val="18"/>
                <w:szCs w:val="18"/>
              </w:rPr>
              <w:t>1</w:t>
            </w:r>
          </w:p>
        </w:tc>
        <w:tc>
          <w:tcPr>
            <w:tcW w:w="1170" w:type="pct"/>
            <w:tcBorders>
              <w:top w:val="single" w:sz="4" w:space="0" w:color="auto"/>
              <w:left w:val="nil"/>
              <w:bottom w:val="single" w:sz="4" w:space="0" w:color="auto"/>
              <w:right w:val="single" w:sz="4" w:space="0" w:color="auto"/>
            </w:tcBorders>
            <w:shd w:val="clear" w:color="auto" w:fill="auto"/>
          </w:tcPr>
          <w:p w14:paraId="532E5686" w14:textId="77777777" w:rsidR="001F2A4B" w:rsidRPr="00710B91" w:rsidRDefault="001F2A4B" w:rsidP="001F2A4B">
            <w:pPr>
              <w:jc w:val="center"/>
              <w:rPr>
                <w:noProof/>
                <w:sz w:val="18"/>
                <w:szCs w:val="18"/>
              </w:rPr>
            </w:pPr>
            <w:r w:rsidRPr="00710B91">
              <w:rPr>
                <w:noProof/>
                <w:sz w:val="18"/>
                <w:szCs w:val="18"/>
              </w:rPr>
              <w:t>Personel zatrudniony na czas określony (grupa funkcyjna AD)</w:t>
            </w:r>
          </w:p>
        </w:tc>
      </w:tr>
      <w:tr w:rsidR="001F2A4B" w:rsidRPr="00710B91" w14:paraId="4BA2F530" w14:textId="77777777" w:rsidTr="001F2A4B">
        <w:trPr>
          <w:trHeight w:val="288"/>
          <w:jc w:val="center"/>
        </w:trPr>
        <w:tc>
          <w:tcPr>
            <w:tcW w:w="2992" w:type="pct"/>
            <w:tcBorders>
              <w:top w:val="nil"/>
              <w:left w:val="single" w:sz="4" w:space="0" w:color="auto"/>
              <w:bottom w:val="single" w:sz="4" w:space="0" w:color="auto"/>
              <w:right w:val="single" w:sz="8" w:space="0" w:color="auto"/>
            </w:tcBorders>
            <w:shd w:val="clear" w:color="auto" w:fill="auto"/>
            <w:vAlign w:val="center"/>
            <w:hideMark/>
          </w:tcPr>
          <w:p w14:paraId="078744C9" w14:textId="77777777" w:rsidR="001F2A4B" w:rsidRPr="00710B91" w:rsidRDefault="001F2A4B" w:rsidP="001F2A4B">
            <w:pPr>
              <w:rPr>
                <w:noProof/>
                <w:sz w:val="18"/>
                <w:szCs w:val="18"/>
              </w:rPr>
            </w:pPr>
            <w:r w:rsidRPr="00710B91">
              <w:rPr>
                <w:noProof/>
                <w:sz w:val="18"/>
                <w:szCs w:val="18"/>
              </w:rPr>
              <w:t xml:space="preserve">Zarządzanie bezpieczeństwem </w:t>
            </w:r>
          </w:p>
        </w:tc>
        <w:tc>
          <w:tcPr>
            <w:tcW w:w="838" w:type="pct"/>
            <w:tcBorders>
              <w:top w:val="nil"/>
              <w:left w:val="single" w:sz="8" w:space="0" w:color="auto"/>
              <w:bottom w:val="single" w:sz="4" w:space="0" w:color="auto"/>
              <w:right w:val="single" w:sz="4" w:space="0" w:color="auto"/>
            </w:tcBorders>
            <w:shd w:val="clear" w:color="auto" w:fill="auto"/>
            <w:vAlign w:val="center"/>
            <w:hideMark/>
          </w:tcPr>
          <w:p w14:paraId="6B6691BB" w14:textId="77777777" w:rsidR="001F2A4B" w:rsidRPr="00710B91" w:rsidRDefault="001F2A4B" w:rsidP="001F2A4B">
            <w:pPr>
              <w:jc w:val="center"/>
              <w:rPr>
                <w:noProof/>
                <w:sz w:val="18"/>
                <w:szCs w:val="18"/>
              </w:rPr>
            </w:pPr>
            <w:r w:rsidRPr="00710B91">
              <w:rPr>
                <w:noProof/>
                <w:sz w:val="18"/>
                <w:szCs w:val="18"/>
              </w:rPr>
              <w:t>1</w:t>
            </w:r>
          </w:p>
        </w:tc>
        <w:tc>
          <w:tcPr>
            <w:tcW w:w="1170" w:type="pct"/>
            <w:tcBorders>
              <w:top w:val="nil"/>
              <w:left w:val="nil"/>
              <w:bottom w:val="single" w:sz="4" w:space="0" w:color="auto"/>
              <w:right w:val="single" w:sz="4" w:space="0" w:color="auto"/>
            </w:tcBorders>
            <w:shd w:val="clear" w:color="auto" w:fill="auto"/>
            <w:hideMark/>
          </w:tcPr>
          <w:p w14:paraId="58F1B469" w14:textId="77777777" w:rsidR="001F2A4B" w:rsidRPr="00710B91" w:rsidRDefault="001F2A4B" w:rsidP="001F2A4B">
            <w:pPr>
              <w:jc w:val="center"/>
              <w:rPr>
                <w:noProof/>
                <w:sz w:val="18"/>
                <w:szCs w:val="18"/>
              </w:rPr>
            </w:pPr>
            <w:r w:rsidRPr="00710B91">
              <w:rPr>
                <w:noProof/>
                <w:sz w:val="18"/>
                <w:szCs w:val="18"/>
              </w:rPr>
              <w:t>Personel zatrudniony na czas określony (grupa funkcyjna AD)</w:t>
            </w:r>
          </w:p>
        </w:tc>
      </w:tr>
      <w:tr w:rsidR="001F2A4B" w:rsidRPr="00710B91" w14:paraId="2840F1D1" w14:textId="77777777" w:rsidTr="001F2A4B">
        <w:trPr>
          <w:trHeight w:val="300"/>
          <w:jc w:val="center"/>
        </w:trPr>
        <w:tc>
          <w:tcPr>
            <w:tcW w:w="2992" w:type="pct"/>
            <w:tcBorders>
              <w:top w:val="nil"/>
              <w:left w:val="single" w:sz="4" w:space="0" w:color="auto"/>
              <w:bottom w:val="single" w:sz="4" w:space="0" w:color="auto"/>
              <w:right w:val="single" w:sz="8" w:space="0" w:color="auto"/>
            </w:tcBorders>
            <w:shd w:val="clear" w:color="auto" w:fill="auto"/>
            <w:vAlign w:val="center"/>
          </w:tcPr>
          <w:p w14:paraId="45A5127F" w14:textId="77777777" w:rsidR="001F2A4B" w:rsidRPr="00710B91" w:rsidRDefault="001F2A4B" w:rsidP="001F2A4B">
            <w:pPr>
              <w:rPr>
                <w:noProof/>
                <w:sz w:val="18"/>
                <w:szCs w:val="18"/>
              </w:rPr>
            </w:pPr>
            <w:r w:rsidRPr="00710B91">
              <w:rPr>
                <w:noProof/>
                <w:sz w:val="18"/>
                <w:szCs w:val="18"/>
              </w:rPr>
              <w:t>Zarządzanie infrastrukturą</w:t>
            </w:r>
          </w:p>
        </w:tc>
        <w:tc>
          <w:tcPr>
            <w:tcW w:w="838" w:type="pct"/>
            <w:tcBorders>
              <w:top w:val="nil"/>
              <w:left w:val="nil"/>
              <w:bottom w:val="single" w:sz="4" w:space="0" w:color="auto"/>
              <w:right w:val="single" w:sz="4" w:space="0" w:color="auto"/>
            </w:tcBorders>
            <w:shd w:val="clear" w:color="auto" w:fill="auto"/>
            <w:vAlign w:val="center"/>
          </w:tcPr>
          <w:p w14:paraId="68C366BB" w14:textId="77777777" w:rsidR="001F2A4B" w:rsidRPr="00710B91" w:rsidRDefault="001F2A4B" w:rsidP="001F2A4B">
            <w:pPr>
              <w:jc w:val="center"/>
              <w:rPr>
                <w:noProof/>
                <w:sz w:val="18"/>
                <w:szCs w:val="18"/>
              </w:rPr>
            </w:pPr>
            <w:r w:rsidRPr="00710B91">
              <w:rPr>
                <w:noProof/>
                <w:sz w:val="18"/>
                <w:szCs w:val="18"/>
              </w:rPr>
              <w:t>0,5</w:t>
            </w:r>
          </w:p>
        </w:tc>
        <w:tc>
          <w:tcPr>
            <w:tcW w:w="1170" w:type="pct"/>
            <w:tcBorders>
              <w:top w:val="nil"/>
              <w:left w:val="nil"/>
              <w:bottom w:val="single" w:sz="4" w:space="0" w:color="auto"/>
              <w:right w:val="single" w:sz="4" w:space="0" w:color="auto"/>
            </w:tcBorders>
            <w:shd w:val="clear" w:color="auto" w:fill="auto"/>
          </w:tcPr>
          <w:p w14:paraId="2B48F08C" w14:textId="77777777" w:rsidR="001F2A4B" w:rsidRPr="00710B91" w:rsidRDefault="001F2A4B" w:rsidP="001F2A4B">
            <w:pPr>
              <w:jc w:val="center"/>
              <w:rPr>
                <w:noProof/>
                <w:sz w:val="18"/>
                <w:szCs w:val="18"/>
              </w:rPr>
            </w:pPr>
            <w:r w:rsidRPr="00710B91">
              <w:rPr>
                <w:noProof/>
                <w:sz w:val="18"/>
                <w:szCs w:val="18"/>
              </w:rPr>
              <w:t>Personel zatrudniony na czas określony (grupa funkcyjna AD)</w:t>
            </w:r>
          </w:p>
        </w:tc>
      </w:tr>
      <w:tr w:rsidR="001F2A4B" w:rsidRPr="00710B91" w14:paraId="57D928D9" w14:textId="77777777" w:rsidTr="001F2A4B">
        <w:trPr>
          <w:trHeight w:val="552"/>
          <w:jc w:val="center"/>
        </w:trPr>
        <w:tc>
          <w:tcPr>
            <w:tcW w:w="2992" w:type="pct"/>
            <w:tcBorders>
              <w:top w:val="nil"/>
              <w:left w:val="single" w:sz="4" w:space="0" w:color="auto"/>
              <w:bottom w:val="single" w:sz="4" w:space="0" w:color="auto"/>
              <w:right w:val="single" w:sz="8" w:space="0" w:color="auto"/>
            </w:tcBorders>
            <w:shd w:val="clear" w:color="auto" w:fill="auto"/>
            <w:vAlign w:val="center"/>
            <w:hideMark/>
          </w:tcPr>
          <w:p w14:paraId="5E89B94A" w14:textId="593A5836" w:rsidR="001F2A4B" w:rsidRPr="00710B91" w:rsidRDefault="001F2A4B" w:rsidP="001F2A4B">
            <w:pPr>
              <w:rPr>
                <w:noProof/>
                <w:sz w:val="18"/>
                <w:szCs w:val="18"/>
              </w:rPr>
            </w:pPr>
            <w:r w:rsidRPr="00710B91">
              <w:rPr>
                <w:noProof/>
                <w:sz w:val="18"/>
                <w:szCs w:val="18"/>
              </w:rPr>
              <w:t>Zarządzanie programami</w:t>
            </w:r>
            <w:r w:rsidR="00710B91" w:rsidRPr="00710B91">
              <w:rPr>
                <w:noProof/>
                <w:sz w:val="18"/>
                <w:szCs w:val="18"/>
              </w:rPr>
              <w:t xml:space="preserve"> i</w:t>
            </w:r>
            <w:r w:rsidR="00710B91">
              <w:rPr>
                <w:noProof/>
                <w:sz w:val="18"/>
                <w:szCs w:val="18"/>
              </w:rPr>
              <w:t> </w:t>
            </w:r>
            <w:r w:rsidR="00710B91" w:rsidRPr="00710B91">
              <w:rPr>
                <w:noProof/>
                <w:sz w:val="18"/>
                <w:szCs w:val="18"/>
              </w:rPr>
              <w:t>pro</w:t>
            </w:r>
            <w:r w:rsidRPr="00710B91">
              <w:rPr>
                <w:noProof/>
                <w:sz w:val="18"/>
                <w:szCs w:val="18"/>
              </w:rPr>
              <w:t xml:space="preserve">jektami </w:t>
            </w:r>
          </w:p>
        </w:tc>
        <w:tc>
          <w:tcPr>
            <w:tcW w:w="838" w:type="pct"/>
            <w:tcBorders>
              <w:top w:val="nil"/>
              <w:left w:val="nil"/>
              <w:bottom w:val="single" w:sz="4" w:space="0" w:color="auto"/>
              <w:right w:val="single" w:sz="4" w:space="0" w:color="auto"/>
            </w:tcBorders>
            <w:shd w:val="clear" w:color="auto" w:fill="auto"/>
            <w:vAlign w:val="center"/>
            <w:hideMark/>
          </w:tcPr>
          <w:p w14:paraId="649627F8" w14:textId="77777777" w:rsidR="001F2A4B" w:rsidRPr="00710B91" w:rsidRDefault="001F2A4B" w:rsidP="001F2A4B">
            <w:pPr>
              <w:jc w:val="center"/>
              <w:rPr>
                <w:noProof/>
                <w:sz w:val="18"/>
                <w:szCs w:val="18"/>
              </w:rPr>
            </w:pPr>
            <w:r w:rsidRPr="00710B91">
              <w:rPr>
                <w:noProof/>
                <w:sz w:val="18"/>
                <w:szCs w:val="18"/>
              </w:rPr>
              <w:t>1</w:t>
            </w:r>
          </w:p>
        </w:tc>
        <w:tc>
          <w:tcPr>
            <w:tcW w:w="1170" w:type="pct"/>
            <w:tcBorders>
              <w:top w:val="nil"/>
              <w:left w:val="nil"/>
              <w:bottom w:val="single" w:sz="4" w:space="0" w:color="auto"/>
              <w:right w:val="single" w:sz="4" w:space="0" w:color="auto"/>
            </w:tcBorders>
            <w:shd w:val="clear" w:color="auto" w:fill="auto"/>
            <w:hideMark/>
          </w:tcPr>
          <w:p w14:paraId="6F8837FF" w14:textId="77777777" w:rsidR="001F2A4B" w:rsidRPr="00710B91" w:rsidRDefault="001F2A4B" w:rsidP="001F2A4B">
            <w:pPr>
              <w:jc w:val="center"/>
              <w:rPr>
                <w:noProof/>
                <w:sz w:val="18"/>
                <w:szCs w:val="18"/>
              </w:rPr>
            </w:pPr>
            <w:r w:rsidRPr="00710B91">
              <w:rPr>
                <w:noProof/>
                <w:sz w:val="18"/>
                <w:szCs w:val="18"/>
              </w:rPr>
              <w:t>Personel zatrudniony na czas określony (grupa funkcyjna AD)</w:t>
            </w:r>
          </w:p>
        </w:tc>
      </w:tr>
      <w:tr w:rsidR="001F2A4B" w:rsidRPr="00710B91" w14:paraId="71FADC25" w14:textId="77777777" w:rsidTr="001F2A4B">
        <w:trPr>
          <w:trHeight w:val="288"/>
          <w:jc w:val="center"/>
        </w:trPr>
        <w:tc>
          <w:tcPr>
            <w:tcW w:w="2992" w:type="pct"/>
            <w:tcBorders>
              <w:top w:val="nil"/>
              <w:left w:val="single" w:sz="4" w:space="0" w:color="auto"/>
              <w:bottom w:val="single" w:sz="4" w:space="0" w:color="auto"/>
              <w:right w:val="single" w:sz="8" w:space="0" w:color="auto"/>
            </w:tcBorders>
            <w:shd w:val="clear" w:color="auto" w:fill="auto"/>
            <w:vAlign w:val="center"/>
            <w:hideMark/>
          </w:tcPr>
          <w:p w14:paraId="4100E65F" w14:textId="60F52AE5" w:rsidR="001F2A4B" w:rsidRPr="00710B91" w:rsidRDefault="001F2A4B" w:rsidP="001F2A4B">
            <w:pPr>
              <w:rPr>
                <w:noProof/>
                <w:sz w:val="18"/>
                <w:szCs w:val="18"/>
              </w:rPr>
            </w:pPr>
            <w:r w:rsidRPr="00710B91">
              <w:rPr>
                <w:noProof/>
                <w:sz w:val="18"/>
                <w:szCs w:val="18"/>
              </w:rPr>
              <w:t>Administrowanie systemami</w:t>
            </w:r>
            <w:r w:rsidR="00710B91" w:rsidRPr="00710B91">
              <w:rPr>
                <w:noProof/>
                <w:sz w:val="18"/>
                <w:szCs w:val="18"/>
              </w:rPr>
              <w:t xml:space="preserve"> i</w:t>
            </w:r>
            <w:r w:rsidR="00710B91">
              <w:rPr>
                <w:noProof/>
                <w:sz w:val="18"/>
                <w:szCs w:val="18"/>
              </w:rPr>
              <w:t> </w:t>
            </w:r>
            <w:r w:rsidR="00710B91" w:rsidRPr="00710B91">
              <w:rPr>
                <w:noProof/>
                <w:sz w:val="18"/>
                <w:szCs w:val="18"/>
              </w:rPr>
              <w:t>apl</w:t>
            </w:r>
            <w:r w:rsidRPr="00710B91">
              <w:rPr>
                <w:noProof/>
                <w:sz w:val="18"/>
                <w:szCs w:val="18"/>
              </w:rPr>
              <w:t xml:space="preserve">ikacjami </w:t>
            </w:r>
          </w:p>
        </w:tc>
        <w:tc>
          <w:tcPr>
            <w:tcW w:w="838" w:type="pct"/>
            <w:tcBorders>
              <w:top w:val="nil"/>
              <w:left w:val="nil"/>
              <w:bottom w:val="single" w:sz="4" w:space="0" w:color="auto"/>
              <w:right w:val="single" w:sz="4" w:space="0" w:color="auto"/>
            </w:tcBorders>
            <w:shd w:val="clear" w:color="auto" w:fill="auto"/>
            <w:vAlign w:val="center"/>
          </w:tcPr>
          <w:p w14:paraId="5A92A6AC" w14:textId="77777777" w:rsidR="001F2A4B" w:rsidRPr="00710B91" w:rsidRDefault="001F2A4B" w:rsidP="001F2A4B">
            <w:pPr>
              <w:jc w:val="center"/>
              <w:rPr>
                <w:noProof/>
                <w:sz w:val="18"/>
                <w:szCs w:val="18"/>
              </w:rPr>
            </w:pPr>
            <w:r w:rsidRPr="00710B91">
              <w:rPr>
                <w:noProof/>
                <w:sz w:val="18"/>
                <w:szCs w:val="18"/>
              </w:rPr>
              <w:t>0,5</w:t>
            </w:r>
          </w:p>
        </w:tc>
        <w:tc>
          <w:tcPr>
            <w:tcW w:w="1170" w:type="pct"/>
            <w:tcBorders>
              <w:top w:val="nil"/>
              <w:left w:val="nil"/>
              <w:bottom w:val="single" w:sz="4" w:space="0" w:color="auto"/>
              <w:right w:val="single" w:sz="4" w:space="0" w:color="auto"/>
            </w:tcBorders>
            <w:shd w:val="clear" w:color="auto" w:fill="auto"/>
          </w:tcPr>
          <w:p w14:paraId="4710FE5C" w14:textId="77777777" w:rsidR="001F2A4B" w:rsidRPr="00710B91" w:rsidRDefault="001F2A4B" w:rsidP="001F2A4B">
            <w:pPr>
              <w:jc w:val="center"/>
              <w:rPr>
                <w:noProof/>
                <w:sz w:val="18"/>
                <w:szCs w:val="18"/>
              </w:rPr>
            </w:pPr>
            <w:r w:rsidRPr="00710B91">
              <w:rPr>
                <w:noProof/>
                <w:sz w:val="18"/>
                <w:szCs w:val="18"/>
              </w:rPr>
              <w:t>Personel zatrudniony na czas określony (grupa funkcyjna AD)</w:t>
            </w:r>
          </w:p>
        </w:tc>
      </w:tr>
      <w:tr w:rsidR="001F2A4B" w:rsidRPr="00710B91" w14:paraId="1A39E3B7" w14:textId="77777777" w:rsidTr="001F2A4B">
        <w:trPr>
          <w:trHeight w:val="288"/>
          <w:jc w:val="center"/>
        </w:trPr>
        <w:tc>
          <w:tcPr>
            <w:tcW w:w="2992" w:type="pct"/>
            <w:tcBorders>
              <w:top w:val="nil"/>
              <w:left w:val="single" w:sz="4" w:space="0" w:color="auto"/>
              <w:bottom w:val="single" w:sz="4" w:space="0" w:color="auto"/>
              <w:right w:val="single" w:sz="8" w:space="0" w:color="auto"/>
            </w:tcBorders>
            <w:shd w:val="clear" w:color="auto" w:fill="auto"/>
            <w:vAlign w:val="center"/>
          </w:tcPr>
          <w:p w14:paraId="3FDC77A5" w14:textId="209A468E" w:rsidR="001F2A4B" w:rsidRPr="00710B91" w:rsidRDefault="001F2A4B" w:rsidP="001F2A4B">
            <w:pPr>
              <w:rPr>
                <w:noProof/>
                <w:sz w:val="18"/>
                <w:szCs w:val="18"/>
              </w:rPr>
            </w:pPr>
            <w:r w:rsidRPr="00710B91">
              <w:rPr>
                <w:noProof/>
                <w:sz w:val="18"/>
                <w:szCs w:val="18"/>
              </w:rPr>
              <w:t>Usługi przekrojowe (finanse</w:t>
            </w:r>
            <w:r w:rsidR="00710B91" w:rsidRPr="00710B91">
              <w:rPr>
                <w:noProof/>
                <w:sz w:val="18"/>
                <w:szCs w:val="18"/>
              </w:rPr>
              <w:t xml:space="preserve"> i</w:t>
            </w:r>
            <w:r w:rsidR="00710B91">
              <w:rPr>
                <w:noProof/>
                <w:sz w:val="18"/>
                <w:szCs w:val="18"/>
              </w:rPr>
              <w:t> </w:t>
            </w:r>
            <w:r w:rsidR="00710B91" w:rsidRPr="00710B91">
              <w:rPr>
                <w:noProof/>
                <w:sz w:val="18"/>
                <w:szCs w:val="18"/>
              </w:rPr>
              <w:t>zam</w:t>
            </w:r>
            <w:r w:rsidRPr="00710B91">
              <w:rPr>
                <w:noProof/>
                <w:sz w:val="18"/>
                <w:szCs w:val="18"/>
              </w:rPr>
              <w:t>ówienia publiczne oraz zasoby ludzkie)</w:t>
            </w:r>
          </w:p>
        </w:tc>
        <w:tc>
          <w:tcPr>
            <w:tcW w:w="838" w:type="pct"/>
            <w:tcBorders>
              <w:top w:val="nil"/>
              <w:left w:val="nil"/>
              <w:bottom w:val="single" w:sz="4" w:space="0" w:color="auto"/>
              <w:right w:val="single" w:sz="4" w:space="0" w:color="auto"/>
            </w:tcBorders>
            <w:shd w:val="clear" w:color="auto" w:fill="auto"/>
            <w:vAlign w:val="center"/>
          </w:tcPr>
          <w:p w14:paraId="07E6C6B1" w14:textId="77777777" w:rsidR="001F2A4B" w:rsidRPr="00710B91" w:rsidRDefault="001F2A4B" w:rsidP="001F2A4B">
            <w:pPr>
              <w:jc w:val="center"/>
              <w:rPr>
                <w:noProof/>
                <w:sz w:val="18"/>
                <w:szCs w:val="18"/>
              </w:rPr>
            </w:pPr>
            <w:r w:rsidRPr="00710B91">
              <w:rPr>
                <w:noProof/>
                <w:sz w:val="18"/>
                <w:szCs w:val="18"/>
              </w:rPr>
              <w:t>1</w:t>
            </w:r>
          </w:p>
        </w:tc>
        <w:tc>
          <w:tcPr>
            <w:tcW w:w="1170" w:type="pct"/>
            <w:tcBorders>
              <w:top w:val="nil"/>
              <w:left w:val="nil"/>
              <w:bottom w:val="single" w:sz="4" w:space="0" w:color="auto"/>
              <w:right w:val="single" w:sz="4" w:space="0" w:color="auto"/>
            </w:tcBorders>
            <w:shd w:val="clear" w:color="auto" w:fill="auto"/>
          </w:tcPr>
          <w:p w14:paraId="3B612E4C" w14:textId="77777777" w:rsidR="001F2A4B" w:rsidRPr="00710B91" w:rsidRDefault="001F2A4B" w:rsidP="001F2A4B">
            <w:pPr>
              <w:jc w:val="center"/>
              <w:rPr>
                <w:noProof/>
                <w:sz w:val="18"/>
                <w:szCs w:val="18"/>
              </w:rPr>
            </w:pPr>
            <w:r w:rsidRPr="00710B91">
              <w:rPr>
                <w:noProof/>
                <w:sz w:val="18"/>
                <w:szCs w:val="18"/>
              </w:rPr>
              <w:t>Personel zatrudniony na czas określony (grupa funkcyjna AD)</w:t>
            </w:r>
          </w:p>
        </w:tc>
      </w:tr>
      <w:tr w:rsidR="001F2A4B" w:rsidRPr="00710B91" w14:paraId="5A86A918" w14:textId="77777777" w:rsidTr="001F2A4B">
        <w:trPr>
          <w:trHeight w:val="288"/>
          <w:jc w:val="center"/>
        </w:trPr>
        <w:tc>
          <w:tcPr>
            <w:tcW w:w="2992" w:type="pct"/>
            <w:tcBorders>
              <w:top w:val="single" w:sz="4" w:space="0" w:color="auto"/>
              <w:left w:val="single" w:sz="4" w:space="0" w:color="auto"/>
              <w:bottom w:val="single" w:sz="4" w:space="0" w:color="auto"/>
              <w:right w:val="single" w:sz="4" w:space="0" w:color="auto"/>
            </w:tcBorders>
            <w:shd w:val="clear" w:color="auto" w:fill="auto"/>
            <w:vAlign w:val="center"/>
          </w:tcPr>
          <w:p w14:paraId="39E1AF9C" w14:textId="368AE5A8" w:rsidR="001F2A4B" w:rsidRPr="00710B91" w:rsidRDefault="001F2A4B" w:rsidP="001F2A4B">
            <w:pPr>
              <w:rPr>
                <w:noProof/>
                <w:sz w:val="18"/>
                <w:szCs w:val="18"/>
              </w:rPr>
            </w:pPr>
            <w:r w:rsidRPr="00710B91">
              <w:rPr>
                <w:noProof/>
                <w:sz w:val="18"/>
                <w:szCs w:val="18"/>
              </w:rPr>
              <w:t>Zarządzanie relacjami biznesowymi</w:t>
            </w:r>
            <w:r w:rsidR="00710B91" w:rsidRPr="00710B91">
              <w:rPr>
                <w:noProof/>
                <w:sz w:val="18"/>
                <w:szCs w:val="18"/>
              </w:rPr>
              <w:t xml:space="preserve"> i</w:t>
            </w:r>
            <w:r w:rsidR="00710B91">
              <w:rPr>
                <w:noProof/>
                <w:sz w:val="18"/>
                <w:szCs w:val="18"/>
              </w:rPr>
              <w:t> </w:t>
            </w:r>
            <w:r w:rsidR="00710B91" w:rsidRPr="00710B91">
              <w:rPr>
                <w:noProof/>
                <w:sz w:val="18"/>
                <w:szCs w:val="18"/>
              </w:rPr>
              <w:t>kwe</w:t>
            </w:r>
            <w:r w:rsidRPr="00710B91">
              <w:rPr>
                <w:noProof/>
                <w:sz w:val="18"/>
                <w:szCs w:val="18"/>
              </w:rPr>
              <w:t>stiami związanymi</w:t>
            </w:r>
            <w:r w:rsidR="00710B91" w:rsidRPr="00710B91">
              <w:rPr>
                <w:noProof/>
                <w:sz w:val="18"/>
                <w:szCs w:val="18"/>
              </w:rPr>
              <w:t xml:space="preserve"> z</w:t>
            </w:r>
            <w:r w:rsidR="00710B91">
              <w:rPr>
                <w:noProof/>
                <w:sz w:val="18"/>
                <w:szCs w:val="18"/>
              </w:rPr>
              <w:t> </w:t>
            </w:r>
            <w:r w:rsidR="00710B91" w:rsidRPr="00710B91">
              <w:rPr>
                <w:noProof/>
                <w:sz w:val="18"/>
                <w:szCs w:val="18"/>
              </w:rPr>
              <w:t>zai</w:t>
            </w:r>
            <w:r w:rsidRPr="00710B91">
              <w:rPr>
                <w:noProof/>
                <w:sz w:val="18"/>
                <w:szCs w:val="18"/>
              </w:rPr>
              <w:t>nteresowanymi stronami</w:t>
            </w:r>
          </w:p>
        </w:tc>
        <w:tc>
          <w:tcPr>
            <w:tcW w:w="838" w:type="pct"/>
            <w:tcBorders>
              <w:top w:val="single" w:sz="4" w:space="0" w:color="auto"/>
              <w:left w:val="single" w:sz="4" w:space="0" w:color="auto"/>
              <w:bottom w:val="single" w:sz="4" w:space="0" w:color="auto"/>
              <w:right w:val="single" w:sz="4" w:space="0" w:color="auto"/>
            </w:tcBorders>
            <w:shd w:val="clear" w:color="auto" w:fill="auto"/>
            <w:vAlign w:val="center"/>
          </w:tcPr>
          <w:p w14:paraId="221ABC21" w14:textId="77777777" w:rsidR="001F2A4B" w:rsidRPr="00710B91" w:rsidRDefault="001F2A4B" w:rsidP="001F2A4B">
            <w:pPr>
              <w:jc w:val="center"/>
              <w:rPr>
                <w:noProof/>
                <w:sz w:val="18"/>
                <w:szCs w:val="18"/>
              </w:rPr>
            </w:pPr>
            <w:r w:rsidRPr="00710B91">
              <w:rPr>
                <w:noProof/>
                <w:sz w:val="18"/>
                <w:szCs w:val="18"/>
              </w:rPr>
              <w:t>1</w:t>
            </w:r>
          </w:p>
        </w:tc>
        <w:tc>
          <w:tcPr>
            <w:tcW w:w="1170" w:type="pct"/>
            <w:tcBorders>
              <w:top w:val="single" w:sz="4" w:space="0" w:color="auto"/>
              <w:left w:val="single" w:sz="4" w:space="0" w:color="auto"/>
              <w:bottom w:val="single" w:sz="4" w:space="0" w:color="auto"/>
              <w:right w:val="single" w:sz="4" w:space="0" w:color="auto"/>
            </w:tcBorders>
            <w:shd w:val="clear" w:color="auto" w:fill="auto"/>
          </w:tcPr>
          <w:p w14:paraId="76B00A43" w14:textId="77777777" w:rsidR="001F2A4B" w:rsidRPr="00710B91" w:rsidRDefault="001F2A4B" w:rsidP="001F2A4B">
            <w:pPr>
              <w:jc w:val="center"/>
              <w:rPr>
                <w:noProof/>
                <w:sz w:val="18"/>
                <w:szCs w:val="18"/>
              </w:rPr>
            </w:pPr>
            <w:r w:rsidRPr="00710B91">
              <w:rPr>
                <w:noProof/>
                <w:sz w:val="18"/>
                <w:szCs w:val="18"/>
              </w:rPr>
              <w:t>Personel zatrudniony na czas określony (grupa funkcyjna AD)</w:t>
            </w:r>
          </w:p>
        </w:tc>
      </w:tr>
      <w:tr w:rsidR="001F2A4B" w:rsidRPr="00710B91" w14:paraId="68F8B67B" w14:textId="77777777" w:rsidTr="001F2A4B">
        <w:trPr>
          <w:trHeight w:val="288"/>
          <w:jc w:val="center"/>
        </w:trPr>
        <w:tc>
          <w:tcPr>
            <w:tcW w:w="2992" w:type="pct"/>
            <w:tcBorders>
              <w:top w:val="single" w:sz="4" w:space="0" w:color="auto"/>
              <w:left w:val="single" w:sz="4" w:space="0" w:color="auto"/>
              <w:bottom w:val="single" w:sz="4" w:space="0" w:color="auto"/>
              <w:right w:val="single" w:sz="8" w:space="0" w:color="auto"/>
            </w:tcBorders>
            <w:shd w:val="clear" w:color="auto" w:fill="auto"/>
            <w:vAlign w:val="center"/>
          </w:tcPr>
          <w:p w14:paraId="7B11E830" w14:textId="77777777" w:rsidR="001F2A4B" w:rsidRPr="00710B91" w:rsidRDefault="001F2A4B" w:rsidP="001F2A4B">
            <w:pPr>
              <w:rPr>
                <w:b/>
                <w:noProof/>
                <w:sz w:val="18"/>
                <w:szCs w:val="18"/>
              </w:rPr>
            </w:pPr>
            <w:r w:rsidRPr="00710B91">
              <w:rPr>
                <w:b/>
                <w:noProof/>
                <w:sz w:val="18"/>
                <w:szCs w:val="18"/>
              </w:rPr>
              <w:t>OGÓŁEM</w:t>
            </w:r>
          </w:p>
        </w:tc>
        <w:tc>
          <w:tcPr>
            <w:tcW w:w="838" w:type="pct"/>
            <w:tcBorders>
              <w:top w:val="single" w:sz="4" w:space="0" w:color="auto"/>
              <w:left w:val="nil"/>
              <w:bottom w:val="single" w:sz="4" w:space="0" w:color="auto"/>
              <w:right w:val="single" w:sz="4" w:space="0" w:color="auto"/>
            </w:tcBorders>
            <w:shd w:val="clear" w:color="auto" w:fill="auto"/>
            <w:vAlign w:val="center"/>
          </w:tcPr>
          <w:p w14:paraId="79057DE8" w14:textId="77777777" w:rsidR="001F2A4B" w:rsidRPr="00710B91" w:rsidRDefault="001F2A4B" w:rsidP="001F2A4B">
            <w:pPr>
              <w:jc w:val="center"/>
              <w:rPr>
                <w:b/>
                <w:noProof/>
                <w:sz w:val="18"/>
                <w:szCs w:val="18"/>
              </w:rPr>
            </w:pPr>
            <w:r w:rsidRPr="00710B91">
              <w:rPr>
                <w:b/>
                <w:noProof/>
                <w:sz w:val="18"/>
                <w:szCs w:val="18"/>
              </w:rPr>
              <w:t>8</w:t>
            </w:r>
          </w:p>
        </w:tc>
        <w:tc>
          <w:tcPr>
            <w:tcW w:w="1170" w:type="pct"/>
            <w:tcBorders>
              <w:top w:val="single" w:sz="4" w:space="0" w:color="auto"/>
              <w:left w:val="nil"/>
              <w:bottom w:val="single" w:sz="4" w:space="0" w:color="auto"/>
              <w:right w:val="single" w:sz="4" w:space="0" w:color="auto"/>
            </w:tcBorders>
            <w:shd w:val="clear" w:color="auto" w:fill="auto"/>
          </w:tcPr>
          <w:p w14:paraId="62BC32E0" w14:textId="77777777" w:rsidR="001F2A4B" w:rsidRPr="00710B91" w:rsidRDefault="001F2A4B" w:rsidP="001F2A4B">
            <w:pPr>
              <w:jc w:val="center"/>
              <w:rPr>
                <w:noProof/>
                <w:sz w:val="18"/>
                <w:szCs w:val="18"/>
              </w:rPr>
            </w:pPr>
            <w:r w:rsidRPr="00710B91">
              <w:rPr>
                <w:noProof/>
                <w:sz w:val="18"/>
                <w:szCs w:val="18"/>
              </w:rPr>
              <w:t>-</w:t>
            </w:r>
          </w:p>
        </w:tc>
      </w:tr>
    </w:tbl>
    <w:p w14:paraId="287D773C" w14:textId="77777777" w:rsidR="001F2A4B" w:rsidRPr="00710B91" w:rsidRDefault="001F2A4B" w:rsidP="001F2A4B">
      <w:pPr>
        <w:rPr>
          <w:noProof/>
        </w:rPr>
      </w:pPr>
    </w:p>
    <w:p w14:paraId="7053F782" w14:textId="18514403" w:rsidR="001F2A4B" w:rsidRPr="00710B91" w:rsidRDefault="001F2A4B" w:rsidP="001F2A4B">
      <w:pPr>
        <w:rPr>
          <w:noProof/>
        </w:rPr>
      </w:pPr>
      <w:r w:rsidRPr="00710B91">
        <w:rPr>
          <w:noProof/>
        </w:rPr>
        <w:t>Personel potrzebny do realizacji CELU SZCZEGÓŁOWEGO nr</w:t>
      </w:r>
      <w:r w:rsidR="00710B91" w:rsidRPr="00710B91">
        <w:rPr>
          <w:noProof/>
        </w:rPr>
        <w:t> </w:t>
      </w:r>
      <w:r w:rsidRPr="00710B91">
        <w:rPr>
          <w:noProof/>
        </w:rPr>
        <w:t>2 – utrzymanie</w:t>
      </w:r>
      <w:r w:rsidR="00710B91" w:rsidRPr="00710B91">
        <w:rPr>
          <w:noProof/>
        </w:rPr>
        <w:t xml:space="preserve"> i</w:t>
      </w:r>
      <w:r w:rsidR="00710B91">
        <w:rPr>
          <w:noProof/>
        </w:rPr>
        <w:t> </w:t>
      </w:r>
      <w:r w:rsidR="00710B91" w:rsidRPr="00710B91">
        <w:rPr>
          <w:noProof/>
        </w:rPr>
        <w:t>obs</w:t>
      </w:r>
      <w:r w:rsidRPr="00710B91">
        <w:rPr>
          <w:noProof/>
        </w:rPr>
        <w:t>ługa platformy współpracy zespołów JIT:</w:t>
      </w:r>
    </w:p>
    <w:tbl>
      <w:tblPr>
        <w:tblW w:w="4643" w:type="pct"/>
        <w:jc w:val="center"/>
        <w:tblLook w:val="04A0" w:firstRow="1" w:lastRow="0" w:firstColumn="1" w:lastColumn="0" w:noHBand="0" w:noVBand="1"/>
      </w:tblPr>
      <w:tblGrid>
        <w:gridCol w:w="5161"/>
        <w:gridCol w:w="1445"/>
        <w:gridCol w:w="2018"/>
      </w:tblGrid>
      <w:tr w:rsidR="001F2A4B" w:rsidRPr="00710B91" w14:paraId="36E68F32" w14:textId="77777777" w:rsidTr="001F2A4B">
        <w:trPr>
          <w:trHeight w:val="552"/>
          <w:jc w:val="center"/>
        </w:trPr>
        <w:tc>
          <w:tcPr>
            <w:tcW w:w="2992" w:type="pct"/>
            <w:tcBorders>
              <w:top w:val="single" w:sz="4" w:space="0" w:color="auto"/>
              <w:left w:val="single" w:sz="4" w:space="0" w:color="auto"/>
              <w:bottom w:val="single" w:sz="4" w:space="0" w:color="auto"/>
              <w:right w:val="single" w:sz="8" w:space="0" w:color="auto"/>
            </w:tcBorders>
            <w:shd w:val="clear" w:color="auto" w:fill="auto"/>
            <w:vAlign w:val="center"/>
            <w:hideMark/>
          </w:tcPr>
          <w:p w14:paraId="604B37B3" w14:textId="77777777" w:rsidR="001F2A4B" w:rsidRPr="00710B91" w:rsidRDefault="001F2A4B" w:rsidP="001F2A4B">
            <w:pPr>
              <w:rPr>
                <w:b/>
                <w:bCs/>
                <w:noProof/>
                <w:sz w:val="18"/>
                <w:szCs w:val="18"/>
              </w:rPr>
            </w:pPr>
            <w:r w:rsidRPr="00710B91">
              <w:rPr>
                <w:b/>
                <w:bCs/>
                <w:noProof/>
                <w:sz w:val="18"/>
                <w:szCs w:val="18"/>
              </w:rPr>
              <w:t>Profil</w:t>
            </w:r>
          </w:p>
        </w:tc>
        <w:tc>
          <w:tcPr>
            <w:tcW w:w="838" w:type="pct"/>
            <w:tcBorders>
              <w:top w:val="single" w:sz="4" w:space="0" w:color="auto"/>
              <w:left w:val="single" w:sz="8" w:space="0" w:color="auto"/>
              <w:bottom w:val="single" w:sz="4" w:space="0" w:color="auto"/>
              <w:right w:val="single" w:sz="4" w:space="0" w:color="auto"/>
            </w:tcBorders>
            <w:shd w:val="clear" w:color="auto" w:fill="auto"/>
            <w:vAlign w:val="center"/>
            <w:hideMark/>
          </w:tcPr>
          <w:p w14:paraId="40A4C96F" w14:textId="77777777" w:rsidR="001F2A4B" w:rsidRPr="00710B91" w:rsidRDefault="001F2A4B" w:rsidP="001F2A4B">
            <w:pPr>
              <w:jc w:val="center"/>
              <w:rPr>
                <w:noProof/>
                <w:sz w:val="18"/>
                <w:szCs w:val="18"/>
              </w:rPr>
            </w:pPr>
            <w:r w:rsidRPr="00710B91">
              <w:rPr>
                <w:noProof/>
                <w:sz w:val="18"/>
                <w:szCs w:val="18"/>
              </w:rPr>
              <w:t>Liczba</w:t>
            </w:r>
          </w:p>
        </w:tc>
        <w:tc>
          <w:tcPr>
            <w:tcW w:w="1170" w:type="pct"/>
            <w:tcBorders>
              <w:top w:val="single" w:sz="4" w:space="0" w:color="auto"/>
              <w:left w:val="nil"/>
              <w:bottom w:val="single" w:sz="4" w:space="0" w:color="auto"/>
              <w:right w:val="single" w:sz="4" w:space="0" w:color="auto"/>
            </w:tcBorders>
            <w:shd w:val="clear" w:color="auto" w:fill="auto"/>
            <w:vAlign w:val="center"/>
            <w:hideMark/>
          </w:tcPr>
          <w:p w14:paraId="0CD08763" w14:textId="77777777" w:rsidR="001F2A4B" w:rsidRPr="00710B91" w:rsidRDefault="001F2A4B" w:rsidP="001F2A4B">
            <w:pPr>
              <w:jc w:val="center"/>
              <w:rPr>
                <w:noProof/>
                <w:sz w:val="18"/>
                <w:szCs w:val="18"/>
              </w:rPr>
            </w:pPr>
            <w:r w:rsidRPr="00710B91">
              <w:rPr>
                <w:noProof/>
                <w:sz w:val="18"/>
                <w:szCs w:val="18"/>
              </w:rPr>
              <w:t>Rodzaj</w:t>
            </w:r>
          </w:p>
        </w:tc>
      </w:tr>
      <w:tr w:rsidR="001F2A4B" w:rsidRPr="00710B91" w14:paraId="46F21246" w14:textId="77777777" w:rsidTr="001F2A4B">
        <w:trPr>
          <w:trHeight w:val="288"/>
          <w:jc w:val="center"/>
        </w:trPr>
        <w:tc>
          <w:tcPr>
            <w:tcW w:w="2992" w:type="pct"/>
            <w:tcBorders>
              <w:top w:val="nil"/>
              <w:left w:val="single" w:sz="4" w:space="0" w:color="auto"/>
              <w:bottom w:val="single" w:sz="4" w:space="0" w:color="auto"/>
              <w:right w:val="single" w:sz="8" w:space="0" w:color="auto"/>
            </w:tcBorders>
            <w:shd w:val="clear" w:color="auto" w:fill="auto"/>
            <w:vAlign w:val="center"/>
            <w:hideMark/>
          </w:tcPr>
          <w:p w14:paraId="46104DC6" w14:textId="77777777" w:rsidR="001F2A4B" w:rsidRPr="00710B91" w:rsidRDefault="001F2A4B" w:rsidP="001F2A4B">
            <w:pPr>
              <w:rPr>
                <w:noProof/>
                <w:sz w:val="18"/>
                <w:szCs w:val="18"/>
              </w:rPr>
            </w:pPr>
            <w:r w:rsidRPr="00710B91">
              <w:rPr>
                <w:noProof/>
                <w:sz w:val="18"/>
                <w:szCs w:val="18"/>
              </w:rPr>
              <w:t>Urzędnik ds. technologii informacji – architektura</w:t>
            </w:r>
          </w:p>
        </w:tc>
        <w:tc>
          <w:tcPr>
            <w:tcW w:w="838" w:type="pct"/>
            <w:tcBorders>
              <w:top w:val="nil"/>
              <w:left w:val="nil"/>
              <w:bottom w:val="single" w:sz="4" w:space="0" w:color="auto"/>
              <w:right w:val="single" w:sz="4" w:space="0" w:color="auto"/>
            </w:tcBorders>
            <w:shd w:val="clear" w:color="auto" w:fill="auto"/>
            <w:vAlign w:val="center"/>
            <w:hideMark/>
          </w:tcPr>
          <w:p w14:paraId="7A84923F" w14:textId="77777777" w:rsidR="001F2A4B" w:rsidRPr="00710B91" w:rsidRDefault="001F2A4B" w:rsidP="001F2A4B">
            <w:pPr>
              <w:jc w:val="center"/>
              <w:rPr>
                <w:noProof/>
                <w:sz w:val="18"/>
                <w:szCs w:val="18"/>
              </w:rPr>
            </w:pPr>
            <w:r w:rsidRPr="00710B91">
              <w:rPr>
                <w:noProof/>
                <w:sz w:val="18"/>
                <w:szCs w:val="18"/>
              </w:rPr>
              <w:t>0,5</w:t>
            </w:r>
          </w:p>
        </w:tc>
        <w:tc>
          <w:tcPr>
            <w:tcW w:w="1170" w:type="pct"/>
            <w:tcBorders>
              <w:top w:val="nil"/>
              <w:left w:val="nil"/>
              <w:bottom w:val="single" w:sz="4" w:space="0" w:color="auto"/>
              <w:right w:val="single" w:sz="4" w:space="0" w:color="auto"/>
            </w:tcBorders>
            <w:shd w:val="clear" w:color="auto" w:fill="auto"/>
            <w:vAlign w:val="center"/>
            <w:hideMark/>
          </w:tcPr>
          <w:p w14:paraId="4AEB7B9D" w14:textId="77777777" w:rsidR="001F2A4B" w:rsidRPr="00710B91" w:rsidRDefault="001F2A4B" w:rsidP="001F2A4B">
            <w:pPr>
              <w:jc w:val="center"/>
              <w:rPr>
                <w:noProof/>
                <w:sz w:val="18"/>
                <w:szCs w:val="18"/>
              </w:rPr>
            </w:pPr>
            <w:r w:rsidRPr="00710B91">
              <w:rPr>
                <w:noProof/>
                <w:sz w:val="18"/>
                <w:szCs w:val="18"/>
              </w:rPr>
              <w:t>Personel zatrudniony na czas określony (grupa funkcyjna AD)</w:t>
            </w:r>
          </w:p>
        </w:tc>
      </w:tr>
      <w:tr w:rsidR="001F2A4B" w:rsidRPr="00710B91" w14:paraId="30715062" w14:textId="77777777" w:rsidTr="001F2A4B">
        <w:trPr>
          <w:trHeight w:val="288"/>
          <w:jc w:val="center"/>
        </w:trPr>
        <w:tc>
          <w:tcPr>
            <w:tcW w:w="2992" w:type="pct"/>
            <w:tcBorders>
              <w:top w:val="nil"/>
              <w:left w:val="single" w:sz="4" w:space="0" w:color="auto"/>
              <w:bottom w:val="single" w:sz="4" w:space="0" w:color="auto"/>
              <w:right w:val="single" w:sz="8" w:space="0" w:color="auto"/>
            </w:tcBorders>
            <w:shd w:val="clear" w:color="auto" w:fill="auto"/>
            <w:vAlign w:val="center"/>
            <w:hideMark/>
          </w:tcPr>
          <w:p w14:paraId="4FB3D1E8" w14:textId="77777777" w:rsidR="001F2A4B" w:rsidRPr="00710B91" w:rsidRDefault="001F2A4B" w:rsidP="001F2A4B">
            <w:pPr>
              <w:rPr>
                <w:noProof/>
                <w:sz w:val="18"/>
                <w:szCs w:val="18"/>
              </w:rPr>
            </w:pPr>
            <w:r w:rsidRPr="00710B91">
              <w:rPr>
                <w:noProof/>
                <w:sz w:val="18"/>
                <w:szCs w:val="18"/>
              </w:rPr>
              <w:t>Zarządzanie testami</w:t>
            </w:r>
          </w:p>
        </w:tc>
        <w:tc>
          <w:tcPr>
            <w:tcW w:w="838" w:type="pct"/>
            <w:tcBorders>
              <w:top w:val="nil"/>
              <w:left w:val="nil"/>
              <w:bottom w:val="single" w:sz="4" w:space="0" w:color="auto"/>
              <w:right w:val="single" w:sz="4" w:space="0" w:color="auto"/>
            </w:tcBorders>
            <w:shd w:val="clear" w:color="auto" w:fill="auto"/>
            <w:vAlign w:val="center"/>
          </w:tcPr>
          <w:p w14:paraId="4088A040" w14:textId="77777777" w:rsidR="001F2A4B" w:rsidRPr="00710B91" w:rsidRDefault="001F2A4B" w:rsidP="001F2A4B">
            <w:pPr>
              <w:jc w:val="center"/>
              <w:rPr>
                <w:noProof/>
                <w:sz w:val="18"/>
                <w:szCs w:val="18"/>
              </w:rPr>
            </w:pPr>
            <w:r w:rsidRPr="00710B91">
              <w:rPr>
                <w:noProof/>
                <w:sz w:val="18"/>
                <w:szCs w:val="18"/>
              </w:rPr>
              <w:t>0,5</w:t>
            </w:r>
          </w:p>
        </w:tc>
        <w:tc>
          <w:tcPr>
            <w:tcW w:w="1170" w:type="pct"/>
            <w:tcBorders>
              <w:top w:val="nil"/>
              <w:left w:val="nil"/>
              <w:bottom w:val="single" w:sz="4" w:space="0" w:color="auto"/>
              <w:right w:val="single" w:sz="4" w:space="0" w:color="auto"/>
            </w:tcBorders>
            <w:shd w:val="clear" w:color="auto" w:fill="auto"/>
          </w:tcPr>
          <w:p w14:paraId="54789176" w14:textId="77777777" w:rsidR="001F2A4B" w:rsidRPr="00710B91" w:rsidRDefault="001F2A4B" w:rsidP="001F2A4B">
            <w:pPr>
              <w:jc w:val="center"/>
              <w:rPr>
                <w:noProof/>
                <w:sz w:val="18"/>
                <w:szCs w:val="18"/>
              </w:rPr>
            </w:pPr>
            <w:r w:rsidRPr="00710B91">
              <w:rPr>
                <w:noProof/>
                <w:sz w:val="18"/>
                <w:szCs w:val="18"/>
              </w:rPr>
              <w:t>Personel zatrudniony na czas określony (grupa funkcyjna AD)</w:t>
            </w:r>
          </w:p>
        </w:tc>
      </w:tr>
      <w:tr w:rsidR="001F2A4B" w:rsidRPr="00710B91" w14:paraId="7A2879D4" w14:textId="77777777" w:rsidTr="001F2A4B">
        <w:trPr>
          <w:trHeight w:val="288"/>
          <w:jc w:val="center"/>
        </w:trPr>
        <w:tc>
          <w:tcPr>
            <w:tcW w:w="2992" w:type="pct"/>
            <w:tcBorders>
              <w:top w:val="single" w:sz="4" w:space="0" w:color="auto"/>
              <w:left w:val="single" w:sz="4" w:space="0" w:color="auto"/>
              <w:bottom w:val="single" w:sz="4" w:space="0" w:color="auto"/>
              <w:right w:val="single" w:sz="8" w:space="0" w:color="auto"/>
            </w:tcBorders>
            <w:shd w:val="clear" w:color="auto" w:fill="auto"/>
            <w:vAlign w:val="center"/>
            <w:hideMark/>
          </w:tcPr>
          <w:p w14:paraId="06258464" w14:textId="75F2777F" w:rsidR="001F2A4B" w:rsidRPr="00710B91" w:rsidRDefault="001F2A4B" w:rsidP="001F2A4B">
            <w:pPr>
              <w:rPr>
                <w:noProof/>
                <w:sz w:val="18"/>
                <w:szCs w:val="18"/>
              </w:rPr>
            </w:pPr>
            <w:r w:rsidRPr="00710B91">
              <w:rPr>
                <w:noProof/>
                <w:sz w:val="18"/>
                <w:szCs w:val="18"/>
              </w:rPr>
              <w:t>Zarządzanie wersjami</w:t>
            </w:r>
            <w:r w:rsidR="00710B91" w:rsidRPr="00710B91">
              <w:rPr>
                <w:noProof/>
                <w:sz w:val="18"/>
                <w:szCs w:val="18"/>
              </w:rPr>
              <w:t xml:space="preserve"> i</w:t>
            </w:r>
            <w:r w:rsidR="00710B91">
              <w:rPr>
                <w:noProof/>
                <w:sz w:val="18"/>
                <w:szCs w:val="18"/>
              </w:rPr>
              <w:t> </w:t>
            </w:r>
            <w:r w:rsidR="00710B91" w:rsidRPr="00710B91">
              <w:rPr>
                <w:noProof/>
                <w:sz w:val="18"/>
                <w:szCs w:val="18"/>
              </w:rPr>
              <w:t>zmi</w:t>
            </w:r>
            <w:r w:rsidRPr="00710B91">
              <w:rPr>
                <w:noProof/>
                <w:sz w:val="18"/>
                <w:szCs w:val="18"/>
              </w:rPr>
              <w:t xml:space="preserve">aną </w:t>
            </w:r>
          </w:p>
        </w:tc>
        <w:tc>
          <w:tcPr>
            <w:tcW w:w="838" w:type="pct"/>
            <w:tcBorders>
              <w:top w:val="single" w:sz="4" w:space="0" w:color="auto"/>
              <w:left w:val="nil"/>
              <w:bottom w:val="single" w:sz="4" w:space="0" w:color="auto"/>
              <w:right w:val="single" w:sz="4" w:space="0" w:color="auto"/>
            </w:tcBorders>
            <w:shd w:val="clear" w:color="auto" w:fill="auto"/>
            <w:vAlign w:val="center"/>
          </w:tcPr>
          <w:p w14:paraId="68549A10" w14:textId="77777777" w:rsidR="001F2A4B" w:rsidRPr="00710B91" w:rsidRDefault="001F2A4B" w:rsidP="001F2A4B">
            <w:pPr>
              <w:jc w:val="center"/>
              <w:rPr>
                <w:noProof/>
                <w:sz w:val="18"/>
                <w:szCs w:val="18"/>
              </w:rPr>
            </w:pPr>
            <w:r w:rsidRPr="00710B91">
              <w:rPr>
                <w:noProof/>
                <w:sz w:val="18"/>
                <w:szCs w:val="18"/>
              </w:rPr>
              <w:t>0,5 </w:t>
            </w:r>
          </w:p>
        </w:tc>
        <w:tc>
          <w:tcPr>
            <w:tcW w:w="1170" w:type="pct"/>
            <w:tcBorders>
              <w:top w:val="single" w:sz="4" w:space="0" w:color="auto"/>
              <w:left w:val="nil"/>
              <w:bottom w:val="single" w:sz="4" w:space="0" w:color="auto"/>
              <w:right w:val="single" w:sz="4" w:space="0" w:color="auto"/>
            </w:tcBorders>
            <w:shd w:val="clear" w:color="auto" w:fill="auto"/>
          </w:tcPr>
          <w:p w14:paraId="10A73853" w14:textId="77777777" w:rsidR="001F2A4B" w:rsidRPr="00710B91" w:rsidRDefault="001F2A4B" w:rsidP="001F2A4B">
            <w:pPr>
              <w:jc w:val="center"/>
              <w:rPr>
                <w:noProof/>
                <w:sz w:val="18"/>
                <w:szCs w:val="18"/>
              </w:rPr>
            </w:pPr>
            <w:r w:rsidRPr="00710B91">
              <w:rPr>
                <w:noProof/>
                <w:sz w:val="18"/>
                <w:szCs w:val="18"/>
              </w:rPr>
              <w:t>Personel zatrudniony na czas określony (grupa funkcyjna AD)</w:t>
            </w:r>
          </w:p>
        </w:tc>
      </w:tr>
      <w:tr w:rsidR="001F2A4B" w:rsidRPr="00710B91" w14:paraId="3F3A86F0" w14:textId="77777777" w:rsidTr="001F2A4B">
        <w:trPr>
          <w:trHeight w:val="288"/>
          <w:jc w:val="center"/>
        </w:trPr>
        <w:tc>
          <w:tcPr>
            <w:tcW w:w="2992" w:type="pct"/>
            <w:tcBorders>
              <w:top w:val="nil"/>
              <w:left w:val="single" w:sz="4" w:space="0" w:color="auto"/>
              <w:bottom w:val="single" w:sz="4" w:space="0" w:color="auto"/>
              <w:right w:val="single" w:sz="8" w:space="0" w:color="auto"/>
            </w:tcBorders>
            <w:shd w:val="clear" w:color="auto" w:fill="auto"/>
            <w:vAlign w:val="center"/>
            <w:hideMark/>
          </w:tcPr>
          <w:p w14:paraId="7DD6A443" w14:textId="77777777" w:rsidR="001F2A4B" w:rsidRPr="00710B91" w:rsidRDefault="001F2A4B" w:rsidP="001F2A4B">
            <w:pPr>
              <w:rPr>
                <w:noProof/>
                <w:sz w:val="18"/>
                <w:szCs w:val="18"/>
              </w:rPr>
            </w:pPr>
            <w:r w:rsidRPr="00710B91">
              <w:rPr>
                <w:noProof/>
                <w:sz w:val="18"/>
                <w:szCs w:val="18"/>
              </w:rPr>
              <w:t>Zarządzanie siecią</w:t>
            </w:r>
          </w:p>
        </w:tc>
        <w:tc>
          <w:tcPr>
            <w:tcW w:w="838" w:type="pct"/>
            <w:tcBorders>
              <w:top w:val="nil"/>
              <w:left w:val="single" w:sz="8" w:space="0" w:color="auto"/>
              <w:bottom w:val="single" w:sz="4" w:space="0" w:color="auto"/>
              <w:right w:val="single" w:sz="4" w:space="0" w:color="auto"/>
            </w:tcBorders>
            <w:shd w:val="clear" w:color="auto" w:fill="auto"/>
            <w:vAlign w:val="center"/>
            <w:hideMark/>
          </w:tcPr>
          <w:p w14:paraId="2E688E0F" w14:textId="77777777" w:rsidR="001F2A4B" w:rsidRPr="00710B91" w:rsidRDefault="001F2A4B" w:rsidP="001F2A4B">
            <w:pPr>
              <w:jc w:val="center"/>
              <w:rPr>
                <w:noProof/>
                <w:sz w:val="18"/>
                <w:szCs w:val="18"/>
              </w:rPr>
            </w:pPr>
            <w:r w:rsidRPr="00710B91">
              <w:rPr>
                <w:noProof/>
                <w:sz w:val="18"/>
                <w:szCs w:val="18"/>
              </w:rPr>
              <w:t>1</w:t>
            </w:r>
          </w:p>
        </w:tc>
        <w:tc>
          <w:tcPr>
            <w:tcW w:w="1170" w:type="pct"/>
            <w:tcBorders>
              <w:top w:val="nil"/>
              <w:left w:val="nil"/>
              <w:bottom w:val="single" w:sz="4" w:space="0" w:color="auto"/>
              <w:right w:val="single" w:sz="4" w:space="0" w:color="auto"/>
            </w:tcBorders>
            <w:shd w:val="clear" w:color="auto" w:fill="auto"/>
            <w:hideMark/>
          </w:tcPr>
          <w:p w14:paraId="7C1EA8B1" w14:textId="77777777" w:rsidR="001F2A4B" w:rsidRPr="00710B91" w:rsidRDefault="001F2A4B" w:rsidP="001F2A4B">
            <w:pPr>
              <w:jc w:val="center"/>
              <w:rPr>
                <w:noProof/>
                <w:sz w:val="18"/>
                <w:szCs w:val="18"/>
              </w:rPr>
            </w:pPr>
            <w:r w:rsidRPr="00710B91">
              <w:rPr>
                <w:noProof/>
                <w:sz w:val="18"/>
                <w:szCs w:val="18"/>
              </w:rPr>
              <w:t>Personel zatrudniony na czas określony (grupa funkcyjna AD)</w:t>
            </w:r>
          </w:p>
        </w:tc>
      </w:tr>
      <w:tr w:rsidR="001F2A4B" w:rsidRPr="00710B91" w14:paraId="603C3526" w14:textId="77777777" w:rsidTr="001F2A4B">
        <w:trPr>
          <w:trHeight w:val="300"/>
          <w:jc w:val="center"/>
        </w:trPr>
        <w:tc>
          <w:tcPr>
            <w:tcW w:w="2992" w:type="pct"/>
            <w:tcBorders>
              <w:top w:val="nil"/>
              <w:left w:val="single" w:sz="4" w:space="0" w:color="auto"/>
              <w:bottom w:val="single" w:sz="4" w:space="0" w:color="auto"/>
              <w:right w:val="single" w:sz="8" w:space="0" w:color="auto"/>
            </w:tcBorders>
            <w:shd w:val="clear" w:color="auto" w:fill="auto"/>
            <w:vAlign w:val="center"/>
          </w:tcPr>
          <w:p w14:paraId="435769BF" w14:textId="77777777" w:rsidR="001F2A4B" w:rsidRPr="00710B91" w:rsidRDefault="001F2A4B" w:rsidP="001F2A4B">
            <w:pPr>
              <w:rPr>
                <w:noProof/>
                <w:sz w:val="18"/>
                <w:szCs w:val="18"/>
              </w:rPr>
            </w:pPr>
            <w:r w:rsidRPr="00710B91">
              <w:rPr>
                <w:noProof/>
                <w:sz w:val="18"/>
                <w:szCs w:val="18"/>
              </w:rPr>
              <w:t xml:space="preserve">Zarządzanie bezpieczeństwem </w:t>
            </w:r>
          </w:p>
        </w:tc>
        <w:tc>
          <w:tcPr>
            <w:tcW w:w="838" w:type="pct"/>
            <w:tcBorders>
              <w:top w:val="nil"/>
              <w:left w:val="nil"/>
              <w:bottom w:val="single" w:sz="4" w:space="0" w:color="auto"/>
              <w:right w:val="single" w:sz="4" w:space="0" w:color="auto"/>
            </w:tcBorders>
            <w:shd w:val="clear" w:color="auto" w:fill="auto"/>
            <w:vAlign w:val="center"/>
          </w:tcPr>
          <w:p w14:paraId="0B80A5F2" w14:textId="77777777" w:rsidR="001F2A4B" w:rsidRPr="00710B91" w:rsidRDefault="001F2A4B" w:rsidP="001F2A4B">
            <w:pPr>
              <w:jc w:val="center"/>
              <w:rPr>
                <w:noProof/>
                <w:sz w:val="18"/>
                <w:szCs w:val="18"/>
              </w:rPr>
            </w:pPr>
            <w:r w:rsidRPr="00710B91">
              <w:rPr>
                <w:noProof/>
                <w:sz w:val="18"/>
                <w:szCs w:val="18"/>
              </w:rPr>
              <w:t>1</w:t>
            </w:r>
          </w:p>
        </w:tc>
        <w:tc>
          <w:tcPr>
            <w:tcW w:w="1170" w:type="pct"/>
            <w:tcBorders>
              <w:top w:val="nil"/>
              <w:left w:val="nil"/>
              <w:bottom w:val="single" w:sz="4" w:space="0" w:color="auto"/>
              <w:right w:val="single" w:sz="4" w:space="0" w:color="auto"/>
            </w:tcBorders>
            <w:shd w:val="clear" w:color="auto" w:fill="auto"/>
          </w:tcPr>
          <w:p w14:paraId="616AFB6B" w14:textId="77777777" w:rsidR="001F2A4B" w:rsidRPr="00710B91" w:rsidRDefault="001F2A4B" w:rsidP="001F2A4B">
            <w:pPr>
              <w:jc w:val="center"/>
              <w:rPr>
                <w:noProof/>
                <w:sz w:val="18"/>
                <w:szCs w:val="18"/>
              </w:rPr>
            </w:pPr>
            <w:r w:rsidRPr="00710B91">
              <w:rPr>
                <w:noProof/>
                <w:sz w:val="18"/>
                <w:szCs w:val="18"/>
              </w:rPr>
              <w:t>Personel zatrudniony na czas określony (grupa funkcyjna AD)</w:t>
            </w:r>
          </w:p>
        </w:tc>
      </w:tr>
      <w:tr w:rsidR="001F2A4B" w:rsidRPr="00710B91" w14:paraId="3D6CF749" w14:textId="77777777" w:rsidTr="001F2A4B">
        <w:trPr>
          <w:trHeight w:val="552"/>
          <w:jc w:val="center"/>
        </w:trPr>
        <w:tc>
          <w:tcPr>
            <w:tcW w:w="2992" w:type="pct"/>
            <w:tcBorders>
              <w:top w:val="nil"/>
              <w:left w:val="single" w:sz="4" w:space="0" w:color="auto"/>
              <w:bottom w:val="single" w:sz="4" w:space="0" w:color="auto"/>
              <w:right w:val="single" w:sz="8" w:space="0" w:color="auto"/>
            </w:tcBorders>
            <w:shd w:val="clear" w:color="auto" w:fill="auto"/>
            <w:vAlign w:val="center"/>
            <w:hideMark/>
          </w:tcPr>
          <w:p w14:paraId="00CFE79F" w14:textId="77777777" w:rsidR="001F2A4B" w:rsidRPr="00710B91" w:rsidRDefault="001F2A4B" w:rsidP="001F2A4B">
            <w:pPr>
              <w:rPr>
                <w:noProof/>
                <w:sz w:val="18"/>
                <w:szCs w:val="18"/>
              </w:rPr>
            </w:pPr>
            <w:r w:rsidRPr="00710B91">
              <w:rPr>
                <w:noProof/>
                <w:sz w:val="18"/>
                <w:szCs w:val="18"/>
              </w:rPr>
              <w:t xml:space="preserve">Operator wsparcia pierwszego poziomu (24x7) </w:t>
            </w:r>
          </w:p>
        </w:tc>
        <w:tc>
          <w:tcPr>
            <w:tcW w:w="838" w:type="pct"/>
            <w:tcBorders>
              <w:top w:val="nil"/>
              <w:left w:val="nil"/>
              <w:bottom w:val="single" w:sz="4" w:space="0" w:color="auto"/>
              <w:right w:val="single" w:sz="4" w:space="0" w:color="auto"/>
            </w:tcBorders>
            <w:shd w:val="clear" w:color="auto" w:fill="auto"/>
            <w:vAlign w:val="center"/>
            <w:hideMark/>
          </w:tcPr>
          <w:p w14:paraId="42F5790E" w14:textId="77777777" w:rsidR="001F2A4B" w:rsidRPr="00710B91" w:rsidRDefault="001F2A4B" w:rsidP="001F2A4B">
            <w:pPr>
              <w:jc w:val="center"/>
              <w:rPr>
                <w:noProof/>
                <w:sz w:val="18"/>
                <w:szCs w:val="18"/>
              </w:rPr>
            </w:pPr>
            <w:r w:rsidRPr="00710B91">
              <w:rPr>
                <w:noProof/>
                <w:sz w:val="18"/>
                <w:szCs w:val="18"/>
              </w:rPr>
              <w:t>1</w:t>
            </w:r>
          </w:p>
        </w:tc>
        <w:tc>
          <w:tcPr>
            <w:tcW w:w="1170" w:type="pct"/>
            <w:tcBorders>
              <w:top w:val="nil"/>
              <w:left w:val="nil"/>
              <w:bottom w:val="single" w:sz="4" w:space="0" w:color="auto"/>
              <w:right w:val="single" w:sz="4" w:space="0" w:color="auto"/>
            </w:tcBorders>
            <w:shd w:val="clear" w:color="auto" w:fill="auto"/>
            <w:hideMark/>
          </w:tcPr>
          <w:p w14:paraId="5E31F410" w14:textId="77777777" w:rsidR="001F2A4B" w:rsidRPr="00710B91" w:rsidRDefault="001F2A4B" w:rsidP="001F2A4B">
            <w:pPr>
              <w:jc w:val="center"/>
              <w:rPr>
                <w:noProof/>
                <w:sz w:val="18"/>
                <w:szCs w:val="18"/>
              </w:rPr>
            </w:pPr>
            <w:r w:rsidRPr="00710B91">
              <w:rPr>
                <w:noProof/>
                <w:sz w:val="18"/>
                <w:szCs w:val="18"/>
              </w:rPr>
              <w:t>Personel kontraktowy</w:t>
            </w:r>
          </w:p>
        </w:tc>
      </w:tr>
      <w:tr w:rsidR="001F2A4B" w:rsidRPr="00710B91" w14:paraId="4ECEC5DD" w14:textId="77777777" w:rsidTr="001F2A4B">
        <w:trPr>
          <w:trHeight w:val="288"/>
          <w:jc w:val="center"/>
        </w:trPr>
        <w:tc>
          <w:tcPr>
            <w:tcW w:w="2992" w:type="pct"/>
            <w:tcBorders>
              <w:top w:val="nil"/>
              <w:left w:val="single" w:sz="4" w:space="0" w:color="auto"/>
              <w:bottom w:val="single" w:sz="4" w:space="0" w:color="auto"/>
              <w:right w:val="single" w:sz="8" w:space="0" w:color="auto"/>
            </w:tcBorders>
            <w:shd w:val="clear" w:color="auto" w:fill="auto"/>
            <w:vAlign w:val="center"/>
            <w:hideMark/>
          </w:tcPr>
          <w:p w14:paraId="18576D76" w14:textId="77777777" w:rsidR="001F2A4B" w:rsidRPr="00710B91" w:rsidRDefault="001F2A4B" w:rsidP="001F2A4B">
            <w:pPr>
              <w:rPr>
                <w:noProof/>
                <w:sz w:val="18"/>
                <w:szCs w:val="18"/>
              </w:rPr>
            </w:pPr>
            <w:r w:rsidRPr="00710B91">
              <w:rPr>
                <w:noProof/>
                <w:sz w:val="18"/>
                <w:szCs w:val="18"/>
              </w:rPr>
              <w:t>Administrator wsparcia drugiego poziomu (24x7)</w:t>
            </w:r>
          </w:p>
        </w:tc>
        <w:tc>
          <w:tcPr>
            <w:tcW w:w="838" w:type="pct"/>
            <w:tcBorders>
              <w:top w:val="nil"/>
              <w:left w:val="nil"/>
              <w:bottom w:val="single" w:sz="4" w:space="0" w:color="auto"/>
              <w:right w:val="single" w:sz="4" w:space="0" w:color="auto"/>
            </w:tcBorders>
            <w:shd w:val="clear" w:color="auto" w:fill="auto"/>
            <w:vAlign w:val="center"/>
          </w:tcPr>
          <w:p w14:paraId="6D0EF559" w14:textId="77777777" w:rsidR="001F2A4B" w:rsidRPr="00710B91" w:rsidRDefault="001F2A4B" w:rsidP="001F2A4B">
            <w:pPr>
              <w:jc w:val="center"/>
              <w:rPr>
                <w:noProof/>
                <w:sz w:val="18"/>
                <w:szCs w:val="18"/>
              </w:rPr>
            </w:pPr>
            <w:r w:rsidRPr="00710B91">
              <w:rPr>
                <w:noProof/>
                <w:sz w:val="18"/>
                <w:szCs w:val="18"/>
              </w:rPr>
              <w:t> 1</w:t>
            </w:r>
          </w:p>
        </w:tc>
        <w:tc>
          <w:tcPr>
            <w:tcW w:w="1170" w:type="pct"/>
            <w:tcBorders>
              <w:top w:val="nil"/>
              <w:left w:val="nil"/>
              <w:bottom w:val="single" w:sz="4" w:space="0" w:color="auto"/>
              <w:right w:val="single" w:sz="4" w:space="0" w:color="auto"/>
            </w:tcBorders>
            <w:shd w:val="clear" w:color="auto" w:fill="auto"/>
          </w:tcPr>
          <w:p w14:paraId="71E73AFC" w14:textId="77777777" w:rsidR="001F2A4B" w:rsidRPr="00710B91" w:rsidRDefault="001F2A4B" w:rsidP="001F2A4B">
            <w:pPr>
              <w:jc w:val="center"/>
              <w:rPr>
                <w:noProof/>
                <w:sz w:val="18"/>
                <w:szCs w:val="18"/>
              </w:rPr>
            </w:pPr>
            <w:r w:rsidRPr="00710B91">
              <w:rPr>
                <w:noProof/>
                <w:sz w:val="18"/>
                <w:szCs w:val="18"/>
              </w:rPr>
              <w:t>Personel kontraktowy</w:t>
            </w:r>
          </w:p>
        </w:tc>
      </w:tr>
      <w:tr w:rsidR="001F2A4B" w:rsidRPr="00710B91" w14:paraId="4D50C62A" w14:textId="77777777" w:rsidTr="001F2A4B">
        <w:trPr>
          <w:trHeight w:val="288"/>
          <w:jc w:val="center"/>
        </w:trPr>
        <w:tc>
          <w:tcPr>
            <w:tcW w:w="2992" w:type="pct"/>
            <w:tcBorders>
              <w:top w:val="nil"/>
              <w:left w:val="single" w:sz="4" w:space="0" w:color="auto"/>
              <w:bottom w:val="single" w:sz="4" w:space="0" w:color="auto"/>
              <w:right w:val="single" w:sz="8" w:space="0" w:color="auto"/>
            </w:tcBorders>
            <w:shd w:val="clear" w:color="auto" w:fill="auto"/>
            <w:vAlign w:val="center"/>
          </w:tcPr>
          <w:p w14:paraId="6D8993E9" w14:textId="77777777" w:rsidR="001F2A4B" w:rsidRPr="00710B91" w:rsidRDefault="001F2A4B" w:rsidP="001F2A4B">
            <w:pPr>
              <w:rPr>
                <w:noProof/>
                <w:sz w:val="18"/>
                <w:szCs w:val="18"/>
              </w:rPr>
            </w:pPr>
            <w:r w:rsidRPr="00710B91">
              <w:rPr>
                <w:noProof/>
                <w:sz w:val="18"/>
                <w:szCs w:val="18"/>
              </w:rPr>
              <w:t>Zarządzanie infrastrukturą</w:t>
            </w:r>
          </w:p>
        </w:tc>
        <w:tc>
          <w:tcPr>
            <w:tcW w:w="838" w:type="pct"/>
            <w:tcBorders>
              <w:top w:val="nil"/>
              <w:left w:val="nil"/>
              <w:bottom w:val="single" w:sz="4" w:space="0" w:color="auto"/>
              <w:right w:val="single" w:sz="4" w:space="0" w:color="auto"/>
            </w:tcBorders>
            <w:shd w:val="clear" w:color="auto" w:fill="auto"/>
            <w:vAlign w:val="center"/>
          </w:tcPr>
          <w:p w14:paraId="51FC4FAC" w14:textId="77777777" w:rsidR="001F2A4B" w:rsidRPr="00710B91" w:rsidRDefault="001F2A4B" w:rsidP="001F2A4B">
            <w:pPr>
              <w:jc w:val="center"/>
              <w:rPr>
                <w:noProof/>
                <w:sz w:val="18"/>
                <w:szCs w:val="18"/>
              </w:rPr>
            </w:pPr>
            <w:r w:rsidRPr="00710B91">
              <w:rPr>
                <w:noProof/>
                <w:sz w:val="18"/>
                <w:szCs w:val="18"/>
              </w:rPr>
              <w:t>0,5</w:t>
            </w:r>
          </w:p>
        </w:tc>
        <w:tc>
          <w:tcPr>
            <w:tcW w:w="1170" w:type="pct"/>
            <w:tcBorders>
              <w:top w:val="nil"/>
              <w:left w:val="nil"/>
              <w:bottom w:val="single" w:sz="4" w:space="0" w:color="auto"/>
              <w:right w:val="single" w:sz="4" w:space="0" w:color="auto"/>
            </w:tcBorders>
            <w:shd w:val="clear" w:color="auto" w:fill="auto"/>
          </w:tcPr>
          <w:p w14:paraId="57896767" w14:textId="77777777" w:rsidR="001F2A4B" w:rsidRPr="00710B91" w:rsidRDefault="001F2A4B" w:rsidP="001F2A4B">
            <w:pPr>
              <w:jc w:val="center"/>
              <w:rPr>
                <w:noProof/>
                <w:sz w:val="18"/>
                <w:szCs w:val="18"/>
              </w:rPr>
            </w:pPr>
            <w:r w:rsidRPr="00710B91">
              <w:rPr>
                <w:noProof/>
                <w:sz w:val="18"/>
                <w:szCs w:val="18"/>
              </w:rPr>
              <w:t>Personel zatrudniony na czas określony (grupa funkcyjna AD)</w:t>
            </w:r>
          </w:p>
        </w:tc>
      </w:tr>
      <w:tr w:rsidR="001F2A4B" w:rsidRPr="00710B91" w14:paraId="412717C5" w14:textId="77777777" w:rsidTr="001F2A4B">
        <w:trPr>
          <w:trHeight w:val="288"/>
          <w:jc w:val="center"/>
        </w:trPr>
        <w:tc>
          <w:tcPr>
            <w:tcW w:w="2992" w:type="pct"/>
            <w:tcBorders>
              <w:top w:val="single" w:sz="4" w:space="0" w:color="auto"/>
              <w:left w:val="single" w:sz="4" w:space="0" w:color="auto"/>
              <w:bottom w:val="single" w:sz="4" w:space="0" w:color="auto"/>
              <w:right w:val="single" w:sz="4" w:space="0" w:color="auto"/>
            </w:tcBorders>
            <w:shd w:val="clear" w:color="auto" w:fill="auto"/>
            <w:vAlign w:val="center"/>
          </w:tcPr>
          <w:p w14:paraId="2ECF1ABE" w14:textId="77777777" w:rsidR="001F2A4B" w:rsidRPr="00710B91" w:rsidRDefault="001F2A4B" w:rsidP="001F2A4B">
            <w:pPr>
              <w:rPr>
                <w:noProof/>
                <w:sz w:val="18"/>
                <w:szCs w:val="18"/>
              </w:rPr>
            </w:pPr>
            <w:r w:rsidRPr="00710B91">
              <w:rPr>
                <w:noProof/>
                <w:sz w:val="18"/>
                <w:szCs w:val="18"/>
              </w:rPr>
              <w:t>Właściciel produktu/usługi</w:t>
            </w:r>
          </w:p>
        </w:tc>
        <w:tc>
          <w:tcPr>
            <w:tcW w:w="838" w:type="pct"/>
            <w:tcBorders>
              <w:top w:val="single" w:sz="4" w:space="0" w:color="auto"/>
              <w:left w:val="single" w:sz="4" w:space="0" w:color="auto"/>
              <w:bottom w:val="single" w:sz="4" w:space="0" w:color="auto"/>
              <w:right w:val="single" w:sz="4" w:space="0" w:color="auto"/>
            </w:tcBorders>
            <w:shd w:val="clear" w:color="auto" w:fill="auto"/>
            <w:vAlign w:val="center"/>
          </w:tcPr>
          <w:p w14:paraId="5A41AA90" w14:textId="77777777" w:rsidR="001F2A4B" w:rsidRPr="00710B91" w:rsidRDefault="001F2A4B" w:rsidP="001F2A4B">
            <w:pPr>
              <w:jc w:val="center"/>
              <w:rPr>
                <w:noProof/>
                <w:sz w:val="18"/>
                <w:szCs w:val="18"/>
              </w:rPr>
            </w:pPr>
            <w:r w:rsidRPr="00710B91">
              <w:rPr>
                <w:noProof/>
                <w:sz w:val="18"/>
                <w:szCs w:val="18"/>
              </w:rPr>
              <w:t>1</w:t>
            </w:r>
          </w:p>
        </w:tc>
        <w:tc>
          <w:tcPr>
            <w:tcW w:w="1170" w:type="pct"/>
            <w:tcBorders>
              <w:top w:val="single" w:sz="4" w:space="0" w:color="auto"/>
              <w:left w:val="single" w:sz="4" w:space="0" w:color="auto"/>
              <w:bottom w:val="single" w:sz="4" w:space="0" w:color="auto"/>
              <w:right w:val="single" w:sz="4" w:space="0" w:color="auto"/>
            </w:tcBorders>
            <w:shd w:val="clear" w:color="auto" w:fill="auto"/>
          </w:tcPr>
          <w:p w14:paraId="2439315A" w14:textId="77777777" w:rsidR="001F2A4B" w:rsidRPr="00710B91" w:rsidRDefault="001F2A4B" w:rsidP="001F2A4B">
            <w:pPr>
              <w:jc w:val="center"/>
              <w:rPr>
                <w:noProof/>
                <w:sz w:val="18"/>
                <w:szCs w:val="18"/>
              </w:rPr>
            </w:pPr>
            <w:r w:rsidRPr="00710B91">
              <w:rPr>
                <w:noProof/>
                <w:sz w:val="18"/>
                <w:szCs w:val="18"/>
              </w:rPr>
              <w:t>Personel zatrudniony na czas określony (grupa funkcyjna AD)</w:t>
            </w:r>
          </w:p>
        </w:tc>
      </w:tr>
      <w:tr w:rsidR="001F2A4B" w:rsidRPr="00710B91" w14:paraId="0D905BB1" w14:textId="77777777" w:rsidTr="001F2A4B">
        <w:trPr>
          <w:trHeight w:val="288"/>
          <w:jc w:val="center"/>
        </w:trPr>
        <w:tc>
          <w:tcPr>
            <w:tcW w:w="2992" w:type="pct"/>
            <w:tcBorders>
              <w:top w:val="single" w:sz="4" w:space="0" w:color="auto"/>
              <w:left w:val="single" w:sz="4" w:space="0" w:color="auto"/>
              <w:bottom w:val="single" w:sz="4" w:space="0" w:color="auto"/>
              <w:right w:val="single" w:sz="4" w:space="0" w:color="auto"/>
            </w:tcBorders>
            <w:shd w:val="clear" w:color="auto" w:fill="auto"/>
            <w:vAlign w:val="center"/>
          </w:tcPr>
          <w:p w14:paraId="13C7C4C0" w14:textId="370AD62A" w:rsidR="001F2A4B" w:rsidRPr="00710B91" w:rsidRDefault="001F2A4B" w:rsidP="001F2A4B">
            <w:pPr>
              <w:rPr>
                <w:noProof/>
                <w:sz w:val="18"/>
                <w:szCs w:val="18"/>
              </w:rPr>
            </w:pPr>
            <w:r w:rsidRPr="00710B91">
              <w:rPr>
                <w:noProof/>
                <w:sz w:val="18"/>
                <w:szCs w:val="18"/>
              </w:rPr>
              <w:t>Administrowanie systemami</w:t>
            </w:r>
            <w:r w:rsidR="00710B91" w:rsidRPr="00710B91">
              <w:rPr>
                <w:noProof/>
                <w:sz w:val="18"/>
                <w:szCs w:val="18"/>
              </w:rPr>
              <w:t xml:space="preserve"> i</w:t>
            </w:r>
            <w:r w:rsidR="00710B91">
              <w:rPr>
                <w:noProof/>
                <w:sz w:val="18"/>
                <w:szCs w:val="18"/>
              </w:rPr>
              <w:t> </w:t>
            </w:r>
            <w:r w:rsidR="00710B91" w:rsidRPr="00710B91">
              <w:rPr>
                <w:noProof/>
                <w:sz w:val="18"/>
                <w:szCs w:val="18"/>
              </w:rPr>
              <w:t>apl</w:t>
            </w:r>
            <w:r w:rsidRPr="00710B91">
              <w:rPr>
                <w:noProof/>
                <w:sz w:val="18"/>
                <w:szCs w:val="18"/>
              </w:rPr>
              <w:t xml:space="preserve">ikacjami </w:t>
            </w:r>
          </w:p>
        </w:tc>
        <w:tc>
          <w:tcPr>
            <w:tcW w:w="838" w:type="pct"/>
            <w:tcBorders>
              <w:top w:val="single" w:sz="4" w:space="0" w:color="auto"/>
              <w:left w:val="single" w:sz="4" w:space="0" w:color="auto"/>
              <w:bottom w:val="single" w:sz="4" w:space="0" w:color="auto"/>
              <w:right w:val="single" w:sz="4" w:space="0" w:color="auto"/>
            </w:tcBorders>
            <w:shd w:val="clear" w:color="auto" w:fill="auto"/>
            <w:vAlign w:val="center"/>
          </w:tcPr>
          <w:p w14:paraId="71D3A79A" w14:textId="77777777" w:rsidR="001F2A4B" w:rsidRPr="00710B91" w:rsidRDefault="001F2A4B" w:rsidP="001F2A4B">
            <w:pPr>
              <w:jc w:val="center"/>
              <w:rPr>
                <w:noProof/>
                <w:sz w:val="18"/>
                <w:szCs w:val="18"/>
              </w:rPr>
            </w:pPr>
            <w:r w:rsidRPr="00710B91">
              <w:rPr>
                <w:noProof/>
                <w:sz w:val="18"/>
                <w:szCs w:val="18"/>
              </w:rPr>
              <w:t>1</w:t>
            </w:r>
          </w:p>
        </w:tc>
        <w:tc>
          <w:tcPr>
            <w:tcW w:w="1170" w:type="pct"/>
            <w:tcBorders>
              <w:top w:val="single" w:sz="4" w:space="0" w:color="auto"/>
              <w:left w:val="single" w:sz="4" w:space="0" w:color="auto"/>
              <w:bottom w:val="single" w:sz="4" w:space="0" w:color="auto"/>
              <w:right w:val="single" w:sz="4" w:space="0" w:color="auto"/>
            </w:tcBorders>
            <w:shd w:val="clear" w:color="auto" w:fill="auto"/>
          </w:tcPr>
          <w:p w14:paraId="5FD1C571" w14:textId="77777777" w:rsidR="001F2A4B" w:rsidRPr="00710B91" w:rsidRDefault="001F2A4B" w:rsidP="001F2A4B">
            <w:pPr>
              <w:jc w:val="center"/>
              <w:rPr>
                <w:noProof/>
                <w:sz w:val="18"/>
                <w:szCs w:val="18"/>
              </w:rPr>
            </w:pPr>
            <w:r w:rsidRPr="00710B91">
              <w:rPr>
                <w:noProof/>
                <w:sz w:val="18"/>
                <w:szCs w:val="18"/>
              </w:rPr>
              <w:t>Personel zatrudniony na czas określony (grupa funkcyjna AD)</w:t>
            </w:r>
          </w:p>
        </w:tc>
      </w:tr>
      <w:tr w:rsidR="001F2A4B" w:rsidRPr="00710B91" w14:paraId="74EF7E90" w14:textId="77777777" w:rsidTr="001F2A4B">
        <w:trPr>
          <w:trHeight w:val="288"/>
          <w:jc w:val="center"/>
        </w:trPr>
        <w:tc>
          <w:tcPr>
            <w:tcW w:w="2992" w:type="pct"/>
            <w:tcBorders>
              <w:top w:val="single" w:sz="4" w:space="0" w:color="auto"/>
              <w:left w:val="single" w:sz="4" w:space="0" w:color="auto"/>
              <w:bottom w:val="single" w:sz="4" w:space="0" w:color="auto"/>
              <w:right w:val="single" w:sz="4" w:space="0" w:color="auto"/>
            </w:tcBorders>
            <w:shd w:val="clear" w:color="auto" w:fill="auto"/>
            <w:vAlign w:val="center"/>
          </w:tcPr>
          <w:p w14:paraId="761A4E65" w14:textId="6E74BACD" w:rsidR="001F2A4B" w:rsidRPr="00710B91" w:rsidRDefault="001F2A4B" w:rsidP="001F2A4B">
            <w:pPr>
              <w:rPr>
                <w:noProof/>
                <w:sz w:val="18"/>
                <w:szCs w:val="18"/>
              </w:rPr>
            </w:pPr>
            <w:r w:rsidRPr="00710B91">
              <w:rPr>
                <w:noProof/>
                <w:sz w:val="18"/>
                <w:szCs w:val="18"/>
              </w:rPr>
              <w:t>Usługi przekrojowe (finanse</w:t>
            </w:r>
            <w:r w:rsidR="00710B91" w:rsidRPr="00710B91">
              <w:rPr>
                <w:noProof/>
                <w:sz w:val="18"/>
                <w:szCs w:val="18"/>
              </w:rPr>
              <w:t xml:space="preserve"> i</w:t>
            </w:r>
            <w:r w:rsidR="00710B91">
              <w:rPr>
                <w:noProof/>
                <w:sz w:val="18"/>
                <w:szCs w:val="18"/>
              </w:rPr>
              <w:t> </w:t>
            </w:r>
            <w:r w:rsidR="00710B91" w:rsidRPr="00710B91">
              <w:rPr>
                <w:noProof/>
                <w:sz w:val="18"/>
                <w:szCs w:val="18"/>
              </w:rPr>
              <w:t>zam</w:t>
            </w:r>
            <w:r w:rsidRPr="00710B91">
              <w:rPr>
                <w:noProof/>
                <w:sz w:val="18"/>
                <w:szCs w:val="18"/>
              </w:rPr>
              <w:t>ówienia publiczne oraz zasoby ludzkie)</w:t>
            </w:r>
          </w:p>
        </w:tc>
        <w:tc>
          <w:tcPr>
            <w:tcW w:w="838" w:type="pct"/>
            <w:tcBorders>
              <w:top w:val="single" w:sz="4" w:space="0" w:color="auto"/>
              <w:left w:val="single" w:sz="4" w:space="0" w:color="auto"/>
              <w:bottom w:val="single" w:sz="4" w:space="0" w:color="auto"/>
              <w:right w:val="single" w:sz="4" w:space="0" w:color="auto"/>
            </w:tcBorders>
            <w:shd w:val="clear" w:color="auto" w:fill="auto"/>
            <w:vAlign w:val="center"/>
          </w:tcPr>
          <w:p w14:paraId="6A3E6243" w14:textId="77777777" w:rsidR="001F2A4B" w:rsidRPr="00710B91" w:rsidRDefault="001F2A4B" w:rsidP="001F2A4B">
            <w:pPr>
              <w:jc w:val="center"/>
              <w:rPr>
                <w:noProof/>
                <w:sz w:val="18"/>
                <w:szCs w:val="18"/>
              </w:rPr>
            </w:pPr>
            <w:r w:rsidRPr="00710B91">
              <w:rPr>
                <w:noProof/>
                <w:sz w:val="18"/>
                <w:szCs w:val="18"/>
              </w:rPr>
              <w:t>1</w:t>
            </w:r>
          </w:p>
        </w:tc>
        <w:tc>
          <w:tcPr>
            <w:tcW w:w="1170" w:type="pct"/>
            <w:tcBorders>
              <w:top w:val="single" w:sz="4" w:space="0" w:color="auto"/>
              <w:left w:val="single" w:sz="4" w:space="0" w:color="auto"/>
              <w:bottom w:val="single" w:sz="4" w:space="0" w:color="auto"/>
              <w:right w:val="single" w:sz="4" w:space="0" w:color="auto"/>
            </w:tcBorders>
            <w:shd w:val="clear" w:color="auto" w:fill="auto"/>
          </w:tcPr>
          <w:p w14:paraId="764CA1FE" w14:textId="77777777" w:rsidR="001F2A4B" w:rsidRPr="00710B91" w:rsidRDefault="001F2A4B" w:rsidP="001F2A4B">
            <w:pPr>
              <w:jc w:val="center"/>
              <w:rPr>
                <w:noProof/>
                <w:sz w:val="18"/>
                <w:szCs w:val="18"/>
              </w:rPr>
            </w:pPr>
            <w:r w:rsidRPr="00710B91">
              <w:rPr>
                <w:noProof/>
                <w:sz w:val="18"/>
                <w:szCs w:val="18"/>
              </w:rPr>
              <w:t>Personel zatrudniony na czas określony (grupa funkcyjna AD)</w:t>
            </w:r>
          </w:p>
        </w:tc>
      </w:tr>
      <w:tr w:rsidR="001F2A4B" w:rsidRPr="00710B91" w14:paraId="1D51E4C3" w14:textId="77777777" w:rsidTr="001F2A4B">
        <w:trPr>
          <w:trHeight w:val="288"/>
          <w:jc w:val="center"/>
        </w:trPr>
        <w:tc>
          <w:tcPr>
            <w:tcW w:w="2992" w:type="pct"/>
            <w:tcBorders>
              <w:top w:val="single" w:sz="4" w:space="0" w:color="auto"/>
              <w:left w:val="single" w:sz="4" w:space="0" w:color="auto"/>
              <w:bottom w:val="single" w:sz="4" w:space="0" w:color="auto"/>
              <w:right w:val="single" w:sz="4" w:space="0" w:color="auto"/>
            </w:tcBorders>
            <w:shd w:val="clear" w:color="auto" w:fill="auto"/>
            <w:vAlign w:val="center"/>
          </w:tcPr>
          <w:p w14:paraId="22D74CBB" w14:textId="6F94DF2F" w:rsidR="001F2A4B" w:rsidRPr="00710B91" w:rsidRDefault="001F2A4B" w:rsidP="001F2A4B">
            <w:pPr>
              <w:rPr>
                <w:noProof/>
                <w:sz w:val="18"/>
                <w:szCs w:val="18"/>
              </w:rPr>
            </w:pPr>
            <w:r w:rsidRPr="00710B91">
              <w:rPr>
                <w:noProof/>
                <w:sz w:val="18"/>
                <w:szCs w:val="18"/>
              </w:rPr>
              <w:t>Zarządzanie relacjami biznesowymi</w:t>
            </w:r>
            <w:r w:rsidR="00710B91" w:rsidRPr="00710B91">
              <w:rPr>
                <w:noProof/>
                <w:sz w:val="18"/>
                <w:szCs w:val="18"/>
              </w:rPr>
              <w:t xml:space="preserve"> i</w:t>
            </w:r>
            <w:r w:rsidR="00710B91">
              <w:rPr>
                <w:noProof/>
                <w:sz w:val="18"/>
                <w:szCs w:val="18"/>
              </w:rPr>
              <w:t> </w:t>
            </w:r>
            <w:r w:rsidR="00710B91" w:rsidRPr="00710B91">
              <w:rPr>
                <w:noProof/>
                <w:sz w:val="18"/>
                <w:szCs w:val="18"/>
              </w:rPr>
              <w:t>kwe</w:t>
            </w:r>
            <w:r w:rsidRPr="00710B91">
              <w:rPr>
                <w:noProof/>
                <w:sz w:val="18"/>
                <w:szCs w:val="18"/>
              </w:rPr>
              <w:t>stiami związanymi</w:t>
            </w:r>
            <w:r w:rsidR="00710B91" w:rsidRPr="00710B91">
              <w:rPr>
                <w:noProof/>
                <w:sz w:val="18"/>
                <w:szCs w:val="18"/>
              </w:rPr>
              <w:t xml:space="preserve"> z</w:t>
            </w:r>
            <w:r w:rsidR="00710B91">
              <w:rPr>
                <w:noProof/>
                <w:sz w:val="18"/>
                <w:szCs w:val="18"/>
              </w:rPr>
              <w:t> </w:t>
            </w:r>
            <w:r w:rsidR="00710B91" w:rsidRPr="00710B91">
              <w:rPr>
                <w:noProof/>
                <w:sz w:val="18"/>
                <w:szCs w:val="18"/>
              </w:rPr>
              <w:t>zai</w:t>
            </w:r>
            <w:r w:rsidRPr="00710B91">
              <w:rPr>
                <w:noProof/>
                <w:sz w:val="18"/>
                <w:szCs w:val="18"/>
              </w:rPr>
              <w:t>nteresowanymi stronami</w:t>
            </w:r>
          </w:p>
        </w:tc>
        <w:tc>
          <w:tcPr>
            <w:tcW w:w="838" w:type="pct"/>
            <w:tcBorders>
              <w:top w:val="single" w:sz="4" w:space="0" w:color="auto"/>
              <w:left w:val="single" w:sz="4" w:space="0" w:color="auto"/>
              <w:bottom w:val="single" w:sz="4" w:space="0" w:color="auto"/>
              <w:right w:val="single" w:sz="4" w:space="0" w:color="auto"/>
            </w:tcBorders>
            <w:shd w:val="clear" w:color="auto" w:fill="auto"/>
            <w:vAlign w:val="center"/>
          </w:tcPr>
          <w:p w14:paraId="38A7637F" w14:textId="77777777" w:rsidR="001F2A4B" w:rsidRPr="00710B91" w:rsidRDefault="001F2A4B" w:rsidP="001F2A4B">
            <w:pPr>
              <w:jc w:val="center"/>
              <w:rPr>
                <w:noProof/>
                <w:sz w:val="18"/>
                <w:szCs w:val="18"/>
              </w:rPr>
            </w:pPr>
            <w:r w:rsidRPr="00710B91">
              <w:rPr>
                <w:noProof/>
                <w:sz w:val="18"/>
                <w:szCs w:val="18"/>
              </w:rPr>
              <w:t>1</w:t>
            </w:r>
          </w:p>
        </w:tc>
        <w:tc>
          <w:tcPr>
            <w:tcW w:w="1170" w:type="pct"/>
            <w:tcBorders>
              <w:top w:val="single" w:sz="4" w:space="0" w:color="auto"/>
              <w:left w:val="single" w:sz="4" w:space="0" w:color="auto"/>
              <w:bottom w:val="single" w:sz="4" w:space="0" w:color="auto"/>
              <w:right w:val="single" w:sz="4" w:space="0" w:color="auto"/>
            </w:tcBorders>
            <w:shd w:val="clear" w:color="auto" w:fill="auto"/>
          </w:tcPr>
          <w:p w14:paraId="08A0D682" w14:textId="77777777" w:rsidR="001F2A4B" w:rsidRPr="00710B91" w:rsidRDefault="001F2A4B" w:rsidP="001F2A4B">
            <w:pPr>
              <w:jc w:val="center"/>
              <w:rPr>
                <w:noProof/>
                <w:sz w:val="18"/>
                <w:szCs w:val="18"/>
              </w:rPr>
            </w:pPr>
            <w:r w:rsidRPr="00710B91">
              <w:rPr>
                <w:noProof/>
                <w:sz w:val="18"/>
                <w:szCs w:val="18"/>
              </w:rPr>
              <w:t>Personel zatrudniony na czas określony (grupa funkcyjna AD)</w:t>
            </w:r>
          </w:p>
        </w:tc>
      </w:tr>
      <w:tr w:rsidR="001F2A4B" w:rsidRPr="00710B91" w14:paraId="1859CC8A" w14:textId="77777777" w:rsidTr="001F2A4B">
        <w:trPr>
          <w:trHeight w:val="288"/>
          <w:jc w:val="center"/>
        </w:trPr>
        <w:tc>
          <w:tcPr>
            <w:tcW w:w="2992" w:type="pct"/>
            <w:tcBorders>
              <w:top w:val="single" w:sz="4" w:space="0" w:color="auto"/>
              <w:left w:val="single" w:sz="4" w:space="0" w:color="auto"/>
              <w:bottom w:val="single" w:sz="4" w:space="0" w:color="auto"/>
              <w:right w:val="single" w:sz="8" w:space="0" w:color="auto"/>
            </w:tcBorders>
            <w:shd w:val="clear" w:color="auto" w:fill="auto"/>
            <w:vAlign w:val="center"/>
          </w:tcPr>
          <w:p w14:paraId="69C1D4C5" w14:textId="77777777" w:rsidR="001F2A4B" w:rsidRPr="00710B91" w:rsidRDefault="001F2A4B" w:rsidP="001F2A4B">
            <w:pPr>
              <w:rPr>
                <w:b/>
                <w:noProof/>
                <w:sz w:val="18"/>
                <w:szCs w:val="18"/>
              </w:rPr>
            </w:pPr>
            <w:r w:rsidRPr="00710B91">
              <w:rPr>
                <w:b/>
                <w:noProof/>
                <w:sz w:val="18"/>
                <w:szCs w:val="18"/>
              </w:rPr>
              <w:t>OGÓŁEM</w:t>
            </w:r>
          </w:p>
        </w:tc>
        <w:tc>
          <w:tcPr>
            <w:tcW w:w="838" w:type="pct"/>
            <w:tcBorders>
              <w:top w:val="single" w:sz="4" w:space="0" w:color="auto"/>
              <w:left w:val="nil"/>
              <w:bottom w:val="single" w:sz="4" w:space="0" w:color="auto"/>
              <w:right w:val="single" w:sz="4" w:space="0" w:color="auto"/>
            </w:tcBorders>
            <w:shd w:val="clear" w:color="auto" w:fill="auto"/>
            <w:vAlign w:val="center"/>
          </w:tcPr>
          <w:p w14:paraId="4C0C71CB" w14:textId="77777777" w:rsidR="001F2A4B" w:rsidRPr="00710B91" w:rsidRDefault="001F2A4B" w:rsidP="001F2A4B">
            <w:pPr>
              <w:jc w:val="center"/>
              <w:rPr>
                <w:b/>
                <w:noProof/>
                <w:sz w:val="18"/>
                <w:szCs w:val="18"/>
              </w:rPr>
            </w:pPr>
            <w:r w:rsidRPr="00710B91">
              <w:rPr>
                <w:b/>
                <w:noProof/>
                <w:sz w:val="18"/>
                <w:szCs w:val="18"/>
              </w:rPr>
              <w:t>10</w:t>
            </w:r>
          </w:p>
        </w:tc>
        <w:tc>
          <w:tcPr>
            <w:tcW w:w="1170" w:type="pct"/>
            <w:tcBorders>
              <w:top w:val="single" w:sz="4" w:space="0" w:color="auto"/>
              <w:left w:val="nil"/>
              <w:bottom w:val="single" w:sz="4" w:space="0" w:color="auto"/>
              <w:right w:val="single" w:sz="4" w:space="0" w:color="auto"/>
            </w:tcBorders>
            <w:shd w:val="clear" w:color="auto" w:fill="auto"/>
          </w:tcPr>
          <w:p w14:paraId="147645A0" w14:textId="77777777" w:rsidR="001F2A4B" w:rsidRPr="00710B91" w:rsidRDefault="001F2A4B" w:rsidP="001F2A4B">
            <w:pPr>
              <w:jc w:val="center"/>
              <w:rPr>
                <w:noProof/>
                <w:sz w:val="18"/>
                <w:szCs w:val="18"/>
              </w:rPr>
            </w:pPr>
            <w:r w:rsidRPr="00710B91">
              <w:rPr>
                <w:noProof/>
                <w:sz w:val="18"/>
                <w:szCs w:val="18"/>
              </w:rPr>
              <w:t>-</w:t>
            </w:r>
          </w:p>
        </w:tc>
      </w:tr>
    </w:tbl>
    <w:p w14:paraId="48089390" w14:textId="77777777" w:rsidR="001F2A4B" w:rsidRPr="00710B91" w:rsidRDefault="001F2A4B" w:rsidP="001F2A4B">
      <w:pPr>
        <w:rPr>
          <w:noProof/>
        </w:rPr>
      </w:pPr>
    </w:p>
    <w:p w14:paraId="0C11D574" w14:textId="77777777" w:rsidR="001F2A4B" w:rsidRPr="00710B91" w:rsidRDefault="001F2A4B" w:rsidP="001F2A4B">
      <w:pPr>
        <w:rPr>
          <w:noProof/>
        </w:rPr>
      </w:pPr>
      <w:r w:rsidRPr="00710B91">
        <w:rPr>
          <w:noProof/>
        </w:rPr>
        <w:t>Opis profili:</w:t>
      </w:r>
    </w:p>
    <w:tbl>
      <w:tblPr>
        <w:tblW w:w="4701" w:type="pct"/>
        <w:jc w:val="center"/>
        <w:tblLook w:val="04A0" w:firstRow="1" w:lastRow="0" w:firstColumn="1" w:lastColumn="0" w:noHBand="0" w:noVBand="1"/>
      </w:tblPr>
      <w:tblGrid>
        <w:gridCol w:w="8732"/>
      </w:tblGrid>
      <w:tr w:rsidR="001F2A4B" w:rsidRPr="00710B91" w14:paraId="7E655B0E" w14:textId="77777777" w:rsidTr="001F2A4B">
        <w:trPr>
          <w:trHeight w:val="288"/>
          <w:jc w:val="center"/>
        </w:trPr>
        <w:tc>
          <w:tcPr>
            <w:tcW w:w="1159" w:type="pct"/>
            <w:tcBorders>
              <w:top w:val="single" w:sz="4" w:space="0" w:color="auto"/>
              <w:left w:val="single" w:sz="4" w:space="0" w:color="auto"/>
              <w:bottom w:val="single" w:sz="4" w:space="0" w:color="auto"/>
              <w:right w:val="single" w:sz="8" w:space="0" w:color="auto"/>
            </w:tcBorders>
            <w:shd w:val="clear" w:color="auto" w:fill="auto"/>
            <w:vAlign w:val="center"/>
            <w:hideMark/>
          </w:tcPr>
          <w:p w14:paraId="23368A53" w14:textId="3FB30591" w:rsidR="001F2A4B" w:rsidRPr="00710B91" w:rsidRDefault="001F2A4B" w:rsidP="001F2A4B">
            <w:pPr>
              <w:rPr>
                <w:noProof/>
                <w:sz w:val="18"/>
                <w:szCs w:val="18"/>
              </w:rPr>
            </w:pPr>
            <w:r w:rsidRPr="00710B91">
              <w:rPr>
                <w:noProof/>
                <w:sz w:val="18"/>
                <w:szCs w:val="18"/>
              </w:rPr>
              <w:t>Urzędnik ds. technologii informacji – architektura – współpraca</w:t>
            </w:r>
            <w:r w:rsidR="00710B91" w:rsidRPr="00710B91">
              <w:rPr>
                <w:noProof/>
                <w:sz w:val="18"/>
                <w:szCs w:val="18"/>
              </w:rPr>
              <w:t xml:space="preserve"> z</w:t>
            </w:r>
            <w:r w:rsidR="00710B91">
              <w:rPr>
                <w:noProof/>
                <w:sz w:val="18"/>
                <w:szCs w:val="18"/>
              </w:rPr>
              <w:t> </w:t>
            </w:r>
            <w:r w:rsidR="00710B91" w:rsidRPr="00710B91">
              <w:rPr>
                <w:noProof/>
                <w:sz w:val="18"/>
                <w:szCs w:val="18"/>
              </w:rPr>
              <w:t>wyk</w:t>
            </w:r>
            <w:r w:rsidRPr="00710B91">
              <w:rPr>
                <w:noProof/>
                <w:sz w:val="18"/>
                <w:szCs w:val="18"/>
              </w:rPr>
              <w:t>onawcami</w:t>
            </w:r>
            <w:r w:rsidR="00710B91" w:rsidRPr="00710B91">
              <w:rPr>
                <w:noProof/>
                <w:sz w:val="18"/>
                <w:szCs w:val="18"/>
              </w:rPr>
              <w:t xml:space="preserve"> w</w:t>
            </w:r>
            <w:r w:rsidR="00710B91">
              <w:rPr>
                <w:noProof/>
                <w:sz w:val="18"/>
                <w:szCs w:val="18"/>
              </w:rPr>
              <w:t> </w:t>
            </w:r>
            <w:r w:rsidR="00710B91" w:rsidRPr="00710B91">
              <w:rPr>
                <w:noProof/>
                <w:sz w:val="18"/>
                <w:szCs w:val="18"/>
              </w:rPr>
              <w:t>zak</w:t>
            </w:r>
            <w:r w:rsidRPr="00710B91">
              <w:rPr>
                <w:noProof/>
                <w:sz w:val="18"/>
                <w:szCs w:val="18"/>
              </w:rPr>
              <w:t>resie dokumentacji projektowej</w:t>
            </w:r>
            <w:r w:rsidR="00710B91" w:rsidRPr="00710B91">
              <w:rPr>
                <w:noProof/>
                <w:sz w:val="18"/>
                <w:szCs w:val="18"/>
              </w:rPr>
              <w:t xml:space="preserve"> i</w:t>
            </w:r>
            <w:r w:rsidR="00710B91">
              <w:rPr>
                <w:noProof/>
                <w:sz w:val="18"/>
                <w:szCs w:val="18"/>
              </w:rPr>
              <w:t> </w:t>
            </w:r>
            <w:r w:rsidR="00710B91" w:rsidRPr="00710B91">
              <w:rPr>
                <w:noProof/>
                <w:sz w:val="18"/>
                <w:szCs w:val="18"/>
              </w:rPr>
              <w:t>wal</w:t>
            </w:r>
            <w:r w:rsidRPr="00710B91">
              <w:rPr>
                <w:noProof/>
                <w:sz w:val="18"/>
                <w:szCs w:val="18"/>
              </w:rPr>
              <w:t>idacji (na poziomie rozwiązań</w:t>
            </w:r>
            <w:r w:rsidR="00710B91" w:rsidRPr="00710B91">
              <w:rPr>
                <w:noProof/>
                <w:sz w:val="18"/>
                <w:szCs w:val="18"/>
              </w:rPr>
              <w:t xml:space="preserve"> i</w:t>
            </w:r>
            <w:r w:rsidR="00710B91">
              <w:rPr>
                <w:noProof/>
                <w:sz w:val="18"/>
                <w:szCs w:val="18"/>
              </w:rPr>
              <w:t> </w:t>
            </w:r>
            <w:r w:rsidR="00710B91" w:rsidRPr="00710B91">
              <w:rPr>
                <w:noProof/>
                <w:sz w:val="18"/>
                <w:szCs w:val="18"/>
              </w:rPr>
              <w:t>apl</w:t>
            </w:r>
            <w:r w:rsidRPr="00710B91">
              <w:rPr>
                <w:noProof/>
                <w:sz w:val="18"/>
                <w:szCs w:val="18"/>
              </w:rPr>
              <w:t>ikacji). Zaangażowany również we wszelkie przypadki biznesowe/przypadki użycia/oceny architektoniczne oraz akty wykonawcze</w:t>
            </w:r>
            <w:r w:rsidR="00710B91" w:rsidRPr="00710B91">
              <w:rPr>
                <w:noProof/>
                <w:sz w:val="18"/>
                <w:szCs w:val="18"/>
              </w:rPr>
              <w:t xml:space="preserve"> i</w:t>
            </w:r>
            <w:r w:rsidR="00710B91">
              <w:rPr>
                <w:noProof/>
                <w:sz w:val="18"/>
                <w:szCs w:val="18"/>
              </w:rPr>
              <w:t> </w:t>
            </w:r>
            <w:r w:rsidR="00710B91" w:rsidRPr="00710B91">
              <w:rPr>
                <w:noProof/>
                <w:sz w:val="18"/>
                <w:szCs w:val="18"/>
              </w:rPr>
              <w:t>del</w:t>
            </w:r>
            <w:r w:rsidRPr="00710B91">
              <w:rPr>
                <w:noProof/>
                <w:sz w:val="18"/>
                <w:szCs w:val="18"/>
              </w:rPr>
              <w:t>egowane.</w:t>
            </w:r>
          </w:p>
        </w:tc>
      </w:tr>
      <w:tr w:rsidR="001F2A4B" w:rsidRPr="00710B91" w14:paraId="22896204" w14:textId="77777777" w:rsidTr="001F2A4B">
        <w:trPr>
          <w:trHeight w:val="288"/>
          <w:jc w:val="center"/>
        </w:trPr>
        <w:tc>
          <w:tcPr>
            <w:tcW w:w="1159" w:type="pct"/>
            <w:tcBorders>
              <w:top w:val="nil"/>
              <w:left w:val="single" w:sz="4" w:space="0" w:color="auto"/>
              <w:bottom w:val="single" w:sz="4" w:space="0" w:color="auto"/>
              <w:right w:val="single" w:sz="8" w:space="0" w:color="auto"/>
            </w:tcBorders>
            <w:shd w:val="clear" w:color="auto" w:fill="auto"/>
            <w:vAlign w:val="center"/>
            <w:hideMark/>
          </w:tcPr>
          <w:p w14:paraId="11631E2D" w14:textId="77777777" w:rsidR="001F2A4B" w:rsidRPr="00710B91" w:rsidRDefault="001F2A4B" w:rsidP="001F2A4B">
            <w:pPr>
              <w:rPr>
                <w:noProof/>
                <w:sz w:val="18"/>
                <w:szCs w:val="18"/>
              </w:rPr>
            </w:pPr>
            <w:r w:rsidRPr="00710B91">
              <w:rPr>
                <w:noProof/>
                <w:sz w:val="18"/>
                <w:szCs w:val="18"/>
              </w:rPr>
              <w:t>Zarządzanie testami – testowanie ogólnego rozwiązania</w:t>
            </w:r>
          </w:p>
        </w:tc>
      </w:tr>
      <w:tr w:rsidR="001F2A4B" w:rsidRPr="00710B91" w14:paraId="145689AD" w14:textId="77777777" w:rsidTr="001F2A4B">
        <w:trPr>
          <w:trHeight w:val="288"/>
          <w:jc w:val="center"/>
        </w:trPr>
        <w:tc>
          <w:tcPr>
            <w:tcW w:w="1159" w:type="pct"/>
            <w:tcBorders>
              <w:top w:val="nil"/>
              <w:left w:val="single" w:sz="4" w:space="0" w:color="auto"/>
              <w:bottom w:val="single" w:sz="4" w:space="0" w:color="auto"/>
              <w:right w:val="single" w:sz="8" w:space="0" w:color="auto"/>
            </w:tcBorders>
            <w:shd w:val="clear" w:color="auto" w:fill="auto"/>
            <w:vAlign w:val="center"/>
            <w:hideMark/>
          </w:tcPr>
          <w:p w14:paraId="0B81F9BD" w14:textId="4A1A362A" w:rsidR="001F2A4B" w:rsidRPr="00710B91" w:rsidRDefault="001F2A4B" w:rsidP="001F2A4B">
            <w:pPr>
              <w:rPr>
                <w:noProof/>
                <w:sz w:val="18"/>
                <w:szCs w:val="18"/>
              </w:rPr>
            </w:pPr>
            <w:r w:rsidRPr="00710B91">
              <w:rPr>
                <w:noProof/>
                <w:sz w:val="18"/>
                <w:szCs w:val="18"/>
              </w:rPr>
              <w:t>Zarządzanie wersjami</w:t>
            </w:r>
            <w:r w:rsidR="00710B91" w:rsidRPr="00710B91">
              <w:rPr>
                <w:noProof/>
                <w:sz w:val="18"/>
                <w:szCs w:val="18"/>
              </w:rPr>
              <w:t xml:space="preserve"> i</w:t>
            </w:r>
            <w:r w:rsidR="00710B91">
              <w:rPr>
                <w:noProof/>
                <w:sz w:val="18"/>
                <w:szCs w:val="18"/>
              </w:rPr>
              <w:t> </w:t>
            </w:r>
            <w:r w:rsidR="00710B91" w:rsidRPr="00710B91">
              <w:rPr>
                <w:noProof/>
                <w:sz w:val="18"/>
                <w:szCs w:val="18"/>
              </w:rPr>
              <w:t>zmi</w:t>
            </w:r>
            <w:r w:rsidRPr="00710B91">
              <w:rPr>
                <w:noProof/>
                <w:sz w:val="18"/>
                <w:szCs w:val="18"/>
              </w:rPr>
              <w:t>aną – zapewnienie zarządzania przejściem,</w:t>
            </w:r>
            <w:r w:rsidR="00710B91" w:rsidRPr="00710B91">
              <w:rPr>
                <w:noProof/>
                <w:sz w:val="18"/>
                <w:szCs w:val="18"/>
              </w:rPr>
              <w:t xml:space="preserve"> w</w:t>
            </w:r>
            <w:r w:rsidR="00710B91">
              <w:rPr>
                <w:noProof/>
                <w:sz w:val="18"/>
                <w:szCs w:val="18"/>
              </w:rPr>
              <w:t> </w:t>
            </w:r>
            <w:r w:rsidR="00710B91" w:rsidRPr="00710B91">
              <w:rPr>
                <w:noProof/>
                <w:sz w:val="18"/>
                <w:szCs w:val="18"/>
              </w:rPr>
              <w:t>tym w</w:t>
            </w:r>
            <w:r w:rsidR="00710B91">
              <w:rPr>
                <w:noProof/>
                <w:sz w:val="18"/>
                <w:szCs w:val="18"/>
              </w:rPr>
              <w:t> </w:t>
            </w:r>
            <w:r w:rsidR="00710B91" w:rsidRPr="00710B91">
              <w:rPr>
                <w:noProof/>
                <w:sz w:val="18"/>
                <w:szCs w:val="18"/>
              </w:rPr>
              <w:t>odn</w:t>
            </w:r>
            <w:r w:rsidRPr="00710B91">
              <w:rPr>
                <w:noProof/>
                <w:sz w:val="18"/>
                <w:szCs w:val="18"/>
              </w:rPr>
              <w:t>iesieniu do cyklu rozwoju oprogramowania (SDLC)</w:t>
            </w:r>
          </w:p>
        </w:tc>
      </w:tr>
      <w:tr w:rsidR="001F2A4B" w:rsidRPr="00710B91" w14:paraId="461D5125" w14:textId="77777777" w:rsidTr="001F2A4B">
        <w:trPr>
          <w:trHeight w:val="288"/>
          <w:jc w:val="center"/>
        </w:trPr>
        <w:tc>
          <w:tcPr>
            <w:tcW w:w="1159" w:type="pct"/>
            <w:tcBorders>
              <w:top w:val="nil"/>
              <w:left w:val="single" w:sz="4" w:space="0" w:color="auto"/>
              <w:bottom w:val="single" w:sz="4" w:space="0" w:color="auto"/>
              <w:right w:val="single" w:sz="8" w:space="0" w:color="auto"/>
            </w:tcBorders>
            <w:shd w:val="clear" w:color="auto" w:fill="auto"/>
            <w:vAlign w:val="center"/>
            <w:hideMark/>
          </w:tcPr>
          <w:p w14:paraId="56EC664C" w14:textId="7E97DB20" w:rsidR="001F2A4B" w:rsidRPr="00710B91" w:rsidRDefault="001F2A4B" w:rsidP="001F2A4B">
            <w:pPr>
              <w:rPr>
                <w:noProof/>
                <w:sz w:val="18"/>
                <w:szCs w:val="18"/>
              </w:rPr>
            </w:pPr>
            <w:r w:rsidRPr="00710B91">
              <w:rPr>
                <w:noProof/>
                <w:sz w:val="18"/>
                <w:szCs w:val="18"/>
              </w:rPr>
              <w:t>Zarządzanie siecią – administrowanie siecią</w:t>
            </w:r>
            <w:r w:rsidR="00710B91" w:rsidRPr="00710B91">
              <w:rPr>
                <w:noProof/>
                <w:sz w:val="18"/>
                <w:szCs w:val="18"/>
              </w:rPr>
              <w:t xml:space="preserve"> i</w:t>
            </w:r>
            <w:r w:rsidR="00710B91">
              <w:rPr>
                <w:noProof/>
                <w:sz w:val="18"/>
                <w:szCs w:val="18"/>
              </w:rPr>
              <w:t> </w:t>
            </w:r>
            <w:r w:rsidR="00710B91" w:rsidRPr="00710B91">
              <w:rPr>
                <w:noProof/>
                <w:sz w:val="18"/>
                <w:szCs w:val="18"/>
              </w:rPr>
              <w:t>jej</w:t>
            </w:r>
            <w:r w:rsidRPr="00710B91">
              <w:rPr>
                <w:noProof/>
                <w:sz w:val="18"/>
                <w:szCs w:val="18"/>
              </w:rPr>
              <w:t xml:space="preserve"> projektowanie</w:t>
            </w:r>
          </w:p>
        </w:tc>
      </w:tr>
      <w:tr w:rsidR="001F2A4B" w:rsidRPr="00710B91" w14:paraId="4A3D20DB" w14:textId="77777777" w:rsidTr="001F2A4B">
        <w:trPr>
          <w:trHeight w:val="288"/>
          <w:jc w:val="center"/>
        </w:trPr>
        <w:tc>
          <w:tcPr>
            <w:tcW w:w="1159" w:type="pct"/>
            <w:tcBorders>
              <w:top w:val="nil"/>
              <w:left w:val="single" w:sz="4" w:space="0" w:color="auto"/>
              <w:bottom w:val="single" w:sz="4" w:space="0" w:color="auto"/>
              <w:right w:val="single" w:sz="8" w:space="0" w:color="auto"/>
            </w:tcBorders>
            <w:shd w:val="clear" w:color="auto" w:fill="auto"/>
            <w:vAlign w:val="center"/>
            <w:hideMark/>
          </w:tcPr>
          <w:p w14:paraId="6DBEC29E" w14:textId="00703E6A" w:rsidR="001F2A4B" w:rsidRPr="00710B91" w:rsidRDefault="001F2A4B" w:rsidP="001F2A4B">
            <w:pPr>
              <w:rPr>
                <w:noProof/>
                <w:sz w:val="18"/>
                <w:szCs w:val="18"/>
              </w:rPr>
            </w:pPr>
            <w:r w:rsidRPr="00710B91">
              <w:rPr>
                <w:noProof/>
                <w:sz w:val="18"/>
                <w:szCs w:val="18"/>
              </w:rPr>
              <w:t>Zarządzanie bezpieczeństwem – praca nad architekturą bezpieczeństwa</w:t>
            </w:r>
            <w:r w:rsidR="00710B91" w:rsidRPr="00710B91">
              <w:rPr>
                <w:noProof/>
                <w:sz w:val="18"/>
                <w:szCs w:val="18"/>
              </w:rPr>
              <w:t xml:space="preserve"> i</w:t>
            </w:r>
            <w:r w:rsidR="00710B91">
              <w:rPr>
                <w:noProof/>
                <w:sz w:val="18"/>
                <w:szCs w:val="18"/>
              </w:rPr>
              <w:t> </w:t>
            </w:r>
            <w:r w:rsidR="00710B91" w:rsidRPr="00710B91">
              <w:rPr>
                <w:noProof/>
                <w:sz w:val="18"/>
                <w:szCs w:val="18"/>
              </w:rPr>
              <w:t>wsz</w:t>
            </w:r>
            <w:r w:rsidRPr="00710B91">
              <w:rPr>
                <w:noProof/>
                <w:sz w:val="18"/>
                <w:szCs w:val="18"/>
              </w:rPr>
              <w:t>ystkimi kontrolami bezpieczeństwa/rozwiązaniami</w:t>
            </w:r>
            <w:r w:rsidR="00710B91" w:rsidRPr="00710B91">
              <w:rPr>
                <w:noProof/>
                <w:sz w:val="18"/>
                <w:szCs w:val="18"/>
              </w:rPr>
              <w:t xml:space="preserve"> w</w:t>
            </w:r>
            <w:r w:rsidR="00710B91">
              <w:rPr>
                <w:noProof/>
                <w:sz w:val="18"/>
                <w:szCs w:val="18"/>
              </w:rPr>
              <w:t> </w:t>
            </w:r>
            <w:r w:rsidR="00710B91" w:rsidRPr="00710B91">
              <w:rPr>
                <w:noProof/>
                <w:sz w:val="18"/>
                <w:szCs w:val="18"/>
              </w:rPr>
              <w:t>zak</w:t>
            </w:r>
            <w:r w:rsidRPr="00710B91">
              <w:rPr>
                <w:noProof/>
                <w:sz w:val="18"/>
                <w:szCs w:val="18"/>
              </w:rPr>
              <w:t>resie bezpieczeństwa, które należy wdrożyć,</w:t>
            </w:r>
            <w:r w:rsidR="00710B91" w:rsidRPr="00710B91">
              <w:rPr>
                <w:noProof/>
                <w:sz w:val="18"/>
                <w:szCs w:val="18"/>
              </w:rPr>
              <w:t xml:space="preserve"> w</w:t>
            </w:r>
            <w:r w:rsidR="00710B91">
              <w:rPr>
                <w:noProof/>
                <w:sz w:val="18"/>
                <w:szCs w:val="18"/>
              </w:rPr>
              <w:t> </w:t>
            </w:r>
            <w:r w:rsidR="00710B91" w:rsidRPr="00710B91">
              <w:rPr>
                <w:noProof/>
                <w:sz w:val="18"/>
                <w:szCs w:val="18"/>
              </w:rPr>
              <w:t>tym</w:t>
            </w:r>
            <w:r w:rsidRPr="00710B91">
              <w:rPr>
                <w:noProof/>
                <w:sz w:val="18"/>
                <w:szCs w:val="18"/>
              </w:rPr>
              <w:t xml:space="preserve"> ochroną danych.</w:t>
            </w:r>
          </w:p>
        </w:tc>
      </w:tr>
      <w:tr w:rsidR="001F2A4B" w:rsidRPr="00710B91" w14:paraId="0F3CFC81" w14:textId="77777777" w:rsidTr="001F2A4B">
        <w:tblPrEx>
          <w:tblCellMar>
            <w:left w:w="63" w:type="dxa"/>
            <w:right w:w="63" w:type="dxa"/>
          </w:tblCellMar>
        </w:tblPrEx>
        <w:trPr>
          <w:trHeight w:val="177"/>
          <w:jc w:val="center"/>
        </w:trPr>
        <w:tc>
          <w:tcPr>
            <w:tcW w:w="1159" w:type="pct"/>
            <w:tcBorders>
              <w:top w:val="nil"/>
              <w:left w:val="single" w:sz="2" w:space="0" w:color="auto"/>
              <w:bottom w:val="single" w:sz="2" w:space="0" w:color="auto"/>
              <w:right w:val="single" w:sz="4" w:space="0" w:color="auto"/>
            </w:tcBorders>
            <w:shd w:val="clear" w:color="auto" w:fill="auto"/>
            <w:vAlign w:val="center"/>
            <w:hideMark/>
          </w:tcPr>
          <w:p w14:paraId="26225C55" w14:textId="3EDBB15A" w:rsidR="001F2A4B" w:rsidRPr="00710B91" w:rsidRDefault="001F2A4B" w:rsidP="001F2A4B">
            <w:pPr>
              <w:rPr>
                <w:noProof/>
                <w:sz w:val="18"/>
                <w:szCs w:val="18"/>
              </w:rPr>
            </w:pPr>
            <w:r w:rsidRPr="00710B91">
              <w:rPr>
                <w:noProof/>
                <w:sz w:val="18"/>
                <w:szCs w:val="18"/>
              </w:rPr>
              <w:t>Operator wsparcia pierwszego poziomu (24x7) – zapewnienie wsparcia pierwszego poziomu na rzecz platformy współpracy zespołów JIT, zgodnie</w:t>
            </w:r>
            <w:r w:rsidR="00710B91" w:rsidRPr="00710B91">
              <w:rPr>
                <w:noProof/>
                <w:sz w:val="18"/>
                <w:szCs w:val="18"/>
              </w:rPr>
              <w:t xml:space="preserve"> z</w:t>
            </w:r>
            <w:r w:rsidR="00710B91">
              <w:rPr>
                <w:noProof/>
                <w:sz w:val="18"/>
                <w:szCs w:val="18"/>
              </w:rPr>
              <w:t> </w:t>
            </w:r>
            <w:r w:rsidR="00710B91" w:rsidRPr="00710B91">
              <w:rPr>
                <w:noProof/>
                <w:sz w:val="18"/>
                <w:szCs w:val="18"/>
              </w:rPr>
              <w:t>umo</w:t>
            </w:r>
            <w:r w:rsidRPr="00710B91">
              <w:rPr>
                <w:noProof/>
                <w:sz w:val="18"/>
                <w:szCs w:val="18"/>
              </w:rPr>
              <w:t>wą</w:t>
            </w:r>
            <w:r w:rsidR="00710B91" w:rsidRPr="00710B91">
              <w:rPr>
                <w:noProof/>
                <w:sz w:val="18"/>
                <w:szCs w:val="18"/>
              </w:rPr>
              <w:t xml:space="preserve"> o</w:t>
            </w:r>
            <w:r w:rsidR="00710B91">
              <w:rPr>
                <w:noProof/>
                <w:sz w:val="18"/>
                <w:szCs w:val="18"/>
              </w:rPr>
              <w:t> </w:t>
            </w:r>
            <w:r w:rsidR="00710B91" w:rsidRPr="00710B91">
              <w:rPr>
                <w:noProof/>
                <w:sz w:val="18"/>
                <w:szCs w:val="18"/>
              </w:rPr>
              <w:t>gwa</w:t>
            </w:r>
            <w:r w:rsidRPr="00710B91">
              <w:rPr>
                <w:noProof/>
                <w:sz w:val="18"/>
                <w:szCs w:val="18"/>
              </w:rPr>
              <w:t>rantowanym poziomie usług</w:t>
            </w:r>
          </w:p>
        </w:tc>
      </w:tr>
      <w:tr w:rsidR="001F2A4B" w:rsidRPr="00710B91" w14:paraId="3631326B" w14:textId="77777777" w:rsidTr="001F2A4B">
        <w:trPr>
          <w:trHeight w:val="300"/>
          <w:jc w:val="center"/>
        </w:trPr>
        <w:tc>
          <w:tcPr>
            <w:tcW w:w="1159" w:type="pct"/>
            <w:tcBorders>
              <w:top w:val="nil"/>
              <w:left w:val="single" w:sz="4" w:space="0" w:color="auto"/>
              <w:bottom w:val="single" w:sz="4" w:space="0" w:color="auto"/>
              <w:right w:val="single" w:sz="8" w:space="0" w:color="auto"/>
            </w:tcBorders>
            <w:shd w:val="clear" w:color="auto" w:fill="auto"/>
            <w:vAlign w:val="center"/>
            <w:hideMark/>
          </w:tcPr>
          <w:p w14:paraId="31AF8940" w14:textId="0F65EB0D" w:rsidR="001F2A4B" w:rsidRPr="00710B91" w:rsidRDefault="001F2A4B" w:rsidP="001F2A4B">
            <w:pPr>
              <w:rPr>
                <w:noProof/>
                <w:sz w:val="18"/>
                <w:szCs w:val="18"/>
              </w:rPr>
            </w:pPr>
            <w:r w:rsidRPr="00710B91">
              <w:rPr>
                <w:noProof/>
                <w:sz w:val="18"/>
                <w:szCs w:val="18"/>
              </w:rPr>
              <w:t>Administrator wsparcia drugiego poziomu (24x7) – zapewnienie wsparcia drugiego poziomu na rzecz platformy współpracy zespołów JIT, zgodnie</w:t>
            </w:r>
            <w:r w:rsidR="00710B91" w:rsidRPr="00710B91">
              <w:rPr>
                <w:noProof/>
                <w:sz w:val="18"/>
                <w:szCs w:val="18"/>
              </w:rPr>
              <w:t xml:space="preserve"> z</w:t>
            </w:r>
            <w:r w:rsidR="00710B91">
              <w:rPr>
                <w:noProof/>
                <w:sz w:val="18"/>
                <w:szCs w:val="18"/>
              </w:rPr>
              <w:t> </w:t>
            </w:r>
            <w:r w:rsidR="00710B91" w:rsidRPr="00710B91">
              <w:rPr>
                <w:noProof/>
                <w:sz w:val="18"/>
                <w:szCs w:val="18"/>
              </w:rPr>
              <w:t>umo</w:t>
            </w:r>
            <w:r w:rsidRPr="00710B91">
              <w:rPr>
                <w:noProof/>
                <w:sz w:val="18"/>
                <w:szCs w:val="18"/>
              </w:rPr>
              <w:t>wą</w:t>
            </w:r>
            <w:r w:rsidR="00710B91" w:rsidRPr="00710B91">
              <w:rPr>
                <w:noProof/>
                <w:sz w:val="18"/>
                <w:szCs w:val="18"/>
              </w:rPr>
              <w:t xml:space="preserve"> o</w:t>
            </w:r>
            <w:r w:rsidR="00710B91">
              <w:rPr>
                <w:noProof/>
                <w:sz w:val="18"/>
                <w:szCs w:val="18"/>
              </w:rPr>
              <w:t> </w:t>
            </w:r>
            <w:r w:rsidR="00710B91" w:rsidRPr="00710B91">
              <w:rPr>
                <w:noProof/>
                <w:sz w:val="18"/>
                <w:szCs w:val="18"/>
              </w:rPr>
              <w:t>gwa</w:t>
            </w:r>
            <w:r w:rsidRPr="00710B91">
              <w:rPr>
                <w:noProof/>
                <w:sz w:val="18"/>
                <w:szCs w:val="18"/>
              </w:rPr>
              <w:t>rantowanym poziomie usług</w:t>
            </w:r>
          </w:p>
        </w:tc>
      </w:tr>
      <w:tr w:rsidR="001F2A4B" w:rsidRPr="00710B91" w14:paraId="6A15BB4A" w14:textId="77777777" w:rsidTr="001F2A4B">
        <w:trPr>
          <w:trHeight w:val="300"/>
          <w:jc w:val="center"/>
        </w:trPr>
        <w:tc>
          <w:tcPr>
            <w:tcW w:w="1159" w:type="pct"/>
            <w:tcBorders>
              <w:top w:val="nil"/>
              <w:left w:val="single" w:sz="4" w:space="0" w:color="auto"/>
              <w:bottom w:val="single" w:sz="4" w:space="0" w:color="auto"/>
              <w:right w:val="single" w:sz="8" w:space="0" w:color="auto"/>
            </w:tcBorders>
            <w:shd w:val="clear" w:color="auto" w:fill="auto"/>
            <w:vAlign w:val="center"/>
          </w:tcPr>
          <w:p w14:paraId="1868085E" w14:textId="77777777" w:rsidR="001F2A4B" w:rsidRPr="00710B91" w:rsidRDefault="001F2A4B" w:rsidP="001F2A4B">
            <w:pPr>
              <w:rPr>
                <w:noProof/>
                <w:sz w:val="18"/>
                <w:szCs w:val="18"/>
              </w:rPr>
            </w:pPr>
            <w:r w:rsidRPr="00710B91">
              <w:rPr>
                <w:noProof/>
                <w:sz w:val="18"/>
                <w:szCs w:val="18"/>
              </w:rPr>
              <w:t>Zarządzanie infrastrukturą – odpowiadanie za infrastrukturę</w:t>
            </w:r>
          </w:p>
        </w:tc>
      </w:tr>
      <w:tr w:rsidR="001F2A4B" w:rsidRPr="00710B91" w14:paraId="5CDB7F65" w14:textId="77777777" w:rsidTr="001F2A4B">
        <w:trPr>
          <w:trHeight w:val="552"/>
          <w:jc w:val="center"/>
        </w:trPr>
        <w:tc>
          <w:tcPr>
            <w:tcW w:w="1159" w:type="pct"/>
            <w:tcBorders>
              <w:top w:val="nil"/>
              <w:left w:val="single" w:sz="4" w:space="0" w:color="auto"/>
              <w:bottom w:val="single" w:sz="4" w:space="0" w:color="auto"/>
              <w:right w:val="single" w:sz="8" w:space="0" w:color="auto"/>
            </w:tcBorders>
            <w:shd w:val="clear" w:color="auto" w:fill="auto"/>
            <w:vAlign w:val="center"/>
            <w:hideMark/>
          </w:tcPr>
          <w:p w14:paraId="5EBEE81D" w14:textId="61B54EBA" w:rsidR="001F2A4B" w:rsidRPr="00710B91" w:rsidRDefault="001F2A4B" w:rsidP="001F2A4B">
            <w:pPr>
              <w:rPr>
                <w:noProof/>
                <w:sz w:val="18"/>
                <w:szCs w:val="18"/>
              </w:rPr>
            </w:pPr>
            <w:r w:rsidRPr="00710B91">
              <w:rPr>
                <w:noProof/>
                <w:sz w:val="18"/>
                <w:szCs w:val="18"/>
              </w:rPr>
              <w:t>Zarządzanie programami</w:t>
            </w:r>
            <w:r w:rsidR="00710B91" w:rsidRPr="00710B91">
              <w:rPr>
                <w:noProof/>
                <w:sz w:val="18"/>
                <w:szCs w:val="18"/>
              </w:rPr>
              <w:t xml:space="preserve"> i</w:t>
            </w:r>
            <w:r w:rsidR="00710B91">
              <w:rPr>
                <w:noProof/>
                <w:sz w:val="18"/>
                <w:szCs w:val="18"/>
              </w:rPr>
              <w:t> </w:t>
            </w:r>
            <w:r w:rsidR="00710B91" w:rsidRPr="00710B91">
              <w:rPr>
                <w:noProof/>
                <w:sz w:val="18"/>
                <w:szCs w:val="18"/>
              </w:rPr>
              <w:t>pro</w:t>
            </w:r>
            <w:r w:rsidRPr="00710B91">
              <w:rPr>
                <w:noProof/>
                <w:sz w:val="18"/>
                <w:szCs w:val="18"/>
              </w:rPr>
              <w:t>jektami – dbanie</w:t>
            </w:r>
            <w:r w:rsidR="00710B91" w:rsidRPr="00710B91">
              <w:rPr>
                <w:noProof/>
                <w:sz w:val="18"/>
                <w:szCs w:val="18"/>
              </w:rPr>
              <w:t xml:space="preserve"> o</w:t>
            </w:r>
            <w:r w:rsidR="00710B91">
              <w:rPr>
                <w:noProof/>
                <w:sz w:val="18"/>
                <w:szCs w:val="18"/>
              </w:rPr>
              <w:t> </w:t>
            </w:r>
            <w:r w:rsidR="00710B91" w:rsidRPr="00710B91">
              <w:rPr>
                <w:noProof/>
                <w:sz w:val="18"/>
                <w:szCs w:val="18"/>
              </w:rPr>
              <w:t>koo</w:t>
            </w:r>
            <w:r w:rsidRPr="00710B91">
              <w:rPr>
                <w:noProof/>
                <w:sz w:val="18"/>
                <w:szCs w:val="18"/>
              </w:rPr>
              <w:t>rdynację całościowego zarządzania programami/projektami</w:t>
            </w:r>
          </w:p>
        </w:tc>
      </w:tr>
      <w:tr w:rsidR="001F2A4B" w:rsidRPr="00710B91" w14:paraId="518E38EC" w14:textId="77777777" w:rsidTr="001F2A4B">
        <w:trPr>
          <w:trHeight w:val="288"/>
          <w:jc w:val="center"/>
        </w:trPr>
        <w:tc>
          <w:tcPr>
            <w:tcW w:w="1159" w:type="pct"/>
            <w:tcBorders>
              <w:top w:val="nil"/>
              <w:left w:val="single" w:sz="4" w:space="0" w:color="auto"/>
              <w:bottom w:val="single" w:sz="4" w:space="0" w:color="auto"/>
              <w:right w:val="single" w:sz="8" w:space="0" w:color="auto"/>
            </w:tcBorders>
            <w:shd w:val="clear" w:color="auto" w:fill="auto"/>
            <w:vAlign w:val="center"/>
            <w:hideMark/>
          </w:tcPr>
          <w:p w14:paraId="6BB31DE1" w14:textId="77777777" w:rsidR="001F2A4B" w:rsidRPr="00710B91" w:rsidRDefault="001F2A4B" w:rsidP="001F2A4B">
            <w:pPr>
              <w:rPr>
                <w:noProof/>
                <w:sz w:val="18"/>
                <w:szCs w:val="18"/>
              </w:rPr>
            </w:pPr>
            <w:r w:rsidRPr="00710B91">
              <w:rPr>
                <w:noProof/>
                <w:sz w:val="18"/>
                <w:szCs w:val="18"/>
              </w:rPr>
              <w:t>Właściciel produktu/usługi – odpowiadanie za produkt, gdy jest on gotowy do użytku</w:t>
            </w:r>
          </w:p>
        </w:tc>
      </w:tr>
      <w:tr w:rsidR="001F2A4B" w:rsidRPr="00710B91" w14:paraId="75D834CB" w14:textId="77777777" w:rsidTr="001F2A4B">
        <w:trPr>
          <w:trHeight w:val="288"/>
          <w:jc w:val="center"/>
        </w:trPr>
        <w:tc>
          <w:tcPr>
            <w:tcW w:w="1159" w:type="pct"/>
            <w:tcBorders>
              <w:top w:val="nil"/>
              <w:left w:val="single" w:sz="4" w:space="0" w:color="auto"/>
              <w:bottom w:val="single" w:sz="4" w:space="0" w:color="auto"/>
              <w:right w:val="single" w:sz="8" w:space="0" w:color="auto"/>
            </w:tcBorders>
            <w:shd w:val="clear" w:color="auto" w:fill="auto"/>
            <w:vAlign w:val="center"/>
            <w:hideMark/>
          </w:tcPr>
          <w:p w14:paraId="582A9D0F" w14:textId="1DAA7B46" w:rsidR="001F2A4B" w:rsidRPr="00710B91" w:rsidRDefault="001F2A4B" w:rsidP="001F2A4B">
            <w:pPr>
              <w:rPr>
                <w:noProof/>
                <w:sz w:val="18"/>
                <w:szCs w:val="18"/>
              </w:rPr>
            </w:pPr>
            <w:r w:rsidRPr="00710B91">
              <w:rPr>
                <w:noProof/>
                <w:sz w:val="18"/>
                <w:szCs w:val="18"/>
              </w:rPr>
              <w:t>Administrowanie systemami</w:t>
            </w:r>
            <w:r w:rsidR="00710B91" w:rsidRPr="00710B91">
              <w:rPr>
                <w:noProof/>
                <w:sz w:val="18"/>
                <w:szCs w:val="18"/>
              </w:rPr>
              <w:t xml:space="preserve"> i</w:t>
            </w:r>
            <w:r w:rsidR="00710B91">
              <w:rPr>
                <w:noProof/>
                <w:sz w:val="18"/>
                <w:szCs w:val="18"/>
              </w:rPr>
              <w:t> </w:t>
            </w:r>
            <w:r w:rsidR="00710B91" w:rsidRPr="00710B91">
              <w:rPr>
                <w:noProof/>
                <w:sz w:val="18"/>
                <w:szCs w:val="18"/>
              </w:rPr>
              <w:t>apl</w:t>
            </w:r>
            <w:r w:rsidRPr="00710B91">
              <w:rPr>
                <w:noProof/>
                <w:sz w:val="18"/>
                <w:szCs w:val="18"/>
              </w:rPr>
              <w:t>ikacjami – zajmowanie się budową infrastruktury</w:t>
            </w:r>
            <w:r w:rsidR="00710B91" w:rsidRPr="00710B91">
              <w:rPr>
                <w:noProof/>
                <w:sz w:val="18"/>
                <w:szCs w:val="18"/>
              </w:rPr>
              <w:t xml:space="preserve"> i</w:t>
            </w:r>
            <w:r w:rsidR="00710B91">
              <w:rPr>
                <w:noProof/>
                <w:sz w:val="18"/>
                <w:szCs w:val="18"/>
              </w:rPr>
              <w:t> </w:t>
            </w:r>
            <w:r w:rsidR="00710B91" w:rsidRPr="00710B91">
              <w:rPr>
                <w:noProof/>
                <w:sz w:val="18"/>
                <w:szCs w:val="18"/>
              </w:rPr>
              <w:t>dal</w:t>
            </w:r>
            <w:r w:rsidRPr="00710B91">
              <w:rPr>
                <w:noProof/>
                <w:sz w:val="18"/>
                <w:szCs w:val="18"/>
              </w:rPr>
              <w:t>szym administrowaniem infrastrukturą (sprzęt, oprogramowanie, aplikacje)</w:t>
            </w:r>
          </w:p>
        </w:tc>
      </w:tr>
      <w:tr w:rsidR="001F2A4B" w:rsidRPr="00710B91" w14:paraId="5AFE460B" w14:textId="77777777" w:rsidTr="001F2A4B">
        <w:trPr>
          <w:trHeight w:val="288"/>
          <w:jc w:val="center"/>
        </w:trPr>
        <w:tc>
          <w:tcPr>
            <w:tcW w:w="1159" w:type="pct"/>
            <w:tcBorders>
              <w:top w:val="nil"/>
              <w:left w:val="single" w:sz="4" w:space="0" w:color="auto"/>
              <w:bottom w:val="single" w:sz="4" w:space="0" w:color="auto"/>
              <w:right w:val="single" w:sz="8" w:space="0" w:color="auto"/>
            </w:tcBorders>
            <w:shd w:val="clear" w:color="auto" w:fill="auto"/>
            <w:vAlign w:val="center"/>
          </w:tcPr>
          <w:p w14:paraId="026E429E" w14:textId="50F7C967" w:rsidR="001F2A4B" w:rsidRPr="00710B91" w:rsidRDefault="001F2A4B" w:rsidP="001F2A4B">
            <w:pPr>
              <w:rPr>
                <w:noProof/>
                <w:sz w:val="18"/>
                <w:szCs w:val="18"/>
              </w:rPr>
            </w:pPr>
            <w:r w:rsidRPr="00710B91">
              <w:rPr>
                <w:noProof/>
                <w:sz w:val="18"/>
                <w:szCs w:val="18"/>
              </w:rPr>
              <w:t>Usługi przekrojowe (finanse</w:t>
            </w:r>
            <w:r w:rsidR="00710B91" w:rsidRPr="00710B91">
              <w:rPr>
                <w:noProof/>
                <w:sz w:val="18"/>
                <w:szCs w:val="18"/>
              </w:rPr>
              <w:t xml:space="preserve"> i</w:t>
            </w:r>
            <w:r w:rsidR="00710B91">
              <w:rPr>
                <w:noProof/>
                <w:sz w:val="18"/>
                <w:szCs w:val="18"/>
              </w:rPr>
              <w:t> </w:t>
            </w:r>
            <w:r w:rsidR="00710B91" w:rsidRPr="00710B91">
              <w:rPr>
                <w:noProof/>
                <w:sz w:val="18"/>
                <w:szCs w:val="18"/>
              </w:rPr>
              <w:t>zam</w:t>
            </w:r>
            <w:r w:rsidRPr="00710B91">
              <w:rPr>
                <w:noProof/>
                <w:sz w:val="18"/>
                <w:szCs w:val="18"/>
              </w:rPr>
              <w:t>ówienia publiczne oraz zasoby ludzkie) – praca nad aspektami horyzontalnymi związanymi</w:t>
            </w:r>
            <w:r w:rsidR="00710B91" w:rsidRPr="00710B91">
              <w:rPr>
                <w:noProof/>
                <w:sz w:val="18"/>
                <w:szCs w:val="18"/>
              </w:rPr>
              <w:t xml:space="preserve"> z</w:t>
            </w:r>
            <w:r w:rsidR="00710B91">
              <w:rPr>
                <w:noProof/>
                <w:sz w:val="18"/>
                <w:szCs w:val="18"/>
              </w:rPr>
              <w:t> </w:t>
            </w:r>
            <w:r w:rsidR="00710B91" w:rsidRPr="00710B91">
              <w:rPr>
                <w:noProof/>
                <w:sz w:val="18"/>
                <w:szCs w:val="18"/>
              </w:rPr>
              <w:t>usł</w:t>
            </w:r>
            <w:r w:rsidRPr="00710B91">
              <w:rPr>
                <w:noProof/>
                <w:sz w:val="18"/>
                <w:szCs w:val="18"/>
              </w:rPr>
              <w:t>ugami przekrojowymi.</w:t>
            </w:r>
          </w:p>
        </w:tc>
      </w:tr>
      <w:tr w:rsidR="001F2A4B" w:rsidRPr="00710B91" w14:paraId="7D4A6025" w14:textId="77777777" w:rsidTr="001F2A4B">
        <w:trPr>
          <w:trHeight w:val="288"/>
          <w:jc w:val="center"/>
        </w:trPr>
        <w:tc>
          <w:tcPr>
            <w:tcW w:w="1159" w:type="pct"/>
            <w:tcBorders>
              <w:top w:val="nil"/>
              <w:left w:val="single" w:sz="4" w:space="0" w:color="auto"/>
              <w:bottom w:val="single" w:sz="4" w:space="0" w:color="auto"/>
              <w:right w:val="single" w:sz="8" w:space="0" w:color="auto"/>
            </w:tcBorders>
            <w:shd w:val="clear" w:color="auto" w:fill="auto"/>
            <w:vAlign w:val="center"/>
          </w:tcPr>
          <w:p w14:paraId="67D1F900" w14:textId="73BEC928" w:rsidR="001F2A4B" w:rsidRPr="00710B91" w:rsidRDefault="001F2A4B" w:rsidP="001F2A4B">
            <w:pPr>
              <w:rPr>
                <w:noProof/>
                <w:sz w:val="18"/>
                <w:szCs w:val="18"/>
              </w:rPr>
            </w:pPr>
            <w:r w:rsidRPr="00710B91">
              <w:rPr>
                <w:noProof/>
                <w:sz w:val="18"/>
                <w:szCs w:val="18"/>
              </w:rPr>
              <w:t>Zarządzanie relacjami biznesowymi</w:t>
            </w:r>
            <w:r w:rsidR="00710B91" w:rsidRPr="00710B91">
              <w:rPr>
                <w:noProof/>
                <w:sz w:val="18"/>
                <w:szCs w:val="18"/>
              </w:rPr>
              <w:t xml:space="preserve"> i</w:t>
            </w:r>
            <w:r w:rsidR="00710B91">
              <w:rPr>
                <w:noProof/>
                <w:sz w:val="18"/>
                <w:szCs w:val="18"/>
              </w:rPr>
              <w:t> </w:t>
            </w:r>
            <w:r w:rsidR="00710B91" w:rsidRPr="00710B91">
              <w:rPr>
                <w:noProof/>
                <w:sz w:val="18"/>
                <w:szCs w:val="18"/>
              </w:rPr>
              <w:t>kwe</w:t>
            </w:r>
            <w:r w:rsidRPr="00710B91">
              <w:rPr>
                <w:noProof/>
                <w:sz w:val="18"/>
                <w:szCs w:val="18"/>
              </w:rPr>
              <w:t>stiami związanymi</w:t>
            </w:r>
            <w:r w:rsidR="00710B91" w:rsidRPr="00710B91">
              <w:rPr>
                <w:noProof/>
                <w:sz w:val="18"/>
                <w:szCs w:val="18"/>
              </w:rPr>
              <w:t xml:space="preserve"> z</w:t>
            </w:r>
            <w:r w:rsidR="00710B91">
              <w:rPr>
                <w:noProof/>
                <w:sz w:val="18"/>
                <w:szCs w:val="18"/>
              </w:rPr>
              <w:t> </w:t>
            </w:r>
            <w:r w:rsidR="00710B91" w:rsidRPr="00710B91">
              <w:rPr>
                <w:noProof/>
                <w:sz w:val="18"/>
                <w:szCs w:val="18"/>
              </w:rPr>
              <w:t>zai</w:t>
            </w:r>
            <w:r w:rsidRPr="00710B91">
              <w:rPr>
                <w:noProof/>
                <w:sz w:val="18"/>
                <w:szCs w:val="18"/>
              </w:rPr>
              <w:t>nteresowanymi stronami – praca nad wymaganiami biznesowymi, aktami wykonawczymi, spotkaniami</w:t>
            </w:r>
            <w:r w:rsidR="00710B91" w:rsidRPr="00710B91">
              <w:rPr>
                <w:noProof/>
                <w:sz w:val="18"/>
                <w:szCs w:val="18"/>
              </w:rPr>
              <w:t xml:space="preserve"> z</w:t>
            </w:r>
            <w:r w:rsidR="00710B91">
              <w:rPr>
                <w:noProof/>
                <w:sz w:val="18"/>
                <w:szCs w:val="18"/>
              </w:rPr>
              <w:t> </w:t>
            </w:r>
            <w:r w:rsidR="00710B91" w:rsidRPr="00710B91">
              <w:rPr>
                <w:noProof/>
                <w:sz w:val="18"/>
                <w:szCs w:val="18"/>
              </w:rPr>
              <w:t>zai</w:t>
            </w:r>
            <w:r w:rsidRPr="00710B91">
              <w:rPr>
                <w:noProof/>
                <w:sz w:val="18"/>
                <w:szCs w:val="18"/>
              </w:rPr>
              <w:t>nteresowanymi stronami (np. grupa doradcza, grupa ekspertów itp.).</w:t>
            </w:r>
          </w:p>
        </w:tc>
      </w:tr>
    </w:tbl>
    <w:p w14:paraId="295761E8" w14:textId="77777777" w:rsidR="001F2A4B" w:rsidRPr="00710B91" w:rsidRDefault="001F2A4B" w:rsidP="001F2A4B">
      <w:pPr>
        <w:rPr>
          <w:noProof/>
        </w:rPr>
      </w:pPr>
    </w:p>
    <w:p w14:paraId="1853BB81" w14:textId="2A652E23" w:rsidR="001F2A4B" w:rsidRPr="00710B91" w:rsidRDefault="009A08E9" w:rsidP="009A08E9">
      <w:pPr>
        <w:pStyle w:val="ManualHeading4"/>
        <w:rPr>
          <w:bCs/>
          <w:noProof/>
          <w:szCs w:val="24"/>
        </w:rPr>
      </w:pPr>
      <w:r w:rsidRPr="009A08E9">
        <w:t>3.2.5.2.</w:t>
      </w:r>
      <w:r w:rsidRPr="009A08E9">
        <w:tab/>
      </w:r>
      <w:r w:rsidR="001F2A4B" w:rsidRPr="00710B91">
        <w:rPr>
          <w:noProof/>
        </w:rPr>
        <w:t>Szacowane zapotrzebowanie na zasoby ludzkie macierzystej DG</w:t>
      </w:r>
    </w:p>
    <w:p w14:paraId="5F4CFC82" w14:textId="50CF6BE4" w:rsidR="001F2A4B" w:rsidRPr="00710B91" w:rsidRDefault="001F2A4B" w:rsidP="008326C2">
      <w:pPr>
        <w:pStyle w:val="ListDash1"/>
        <w:numPr>
          <w:ilvl w:val="0"/>
          <w:numId w:val="16"/>
        </w:numPr>
        <w:rPr>
          <w:noProof/>
        </w:rPr>
      </w:pPr>
      <w:r w:rsidRPr="00710B91">
        <w:rPr>
          <w:noProof/>
        </w:rPr>
        <w:sym w:font="Wingdings" w:char="F0A8"/>
      </w:r>
      <w:r w:rsidRPr="00710B91">
        <w:rPr>
          <w:noProof/>
        </w:rPr>
        <w:tab/>
        <w:t>Wniosek/inicjatywa nie wiąże się</w:t>
      </w:r>
      <w:r w:rsidR="00710B91" w:rsidRPr="00710B91">
        <w:rPr>
          <w:noProof/>
        </w:rPr>
        <w:t xml:space="preserve"> z</w:t>
      </w:r>
      <w:r w:rsidR="00710B91">
        <w:rPr>
          <w:noProof/>
        </w:rPr>
        <w:t> </w:t>
      </w:r>
      <w:r w:rsidR="00710B91" w:rsidRPr="00710B91">
        <w:rPr>
          <w:noProof/>
        </w:rPr>
        <w:t>kon</w:t>
      </w:r>
      <w:r w:rsidRPr="00710B91">
        <w:rPr>
          <w:noProof/>
        </w:rPr>
        <w:t xml:space="preserve">iecznością wykorzystania zasobów ludzkich. </w:t>
      </w:r>
    </w:p>
    <w:p w14:paraId="277FED5B" w14:textId="7AA2A800" w:rsidR="001F2A4B" w:rsidRPr="00710B91" w:rsidRDefault="001F2A4B" w:rsidP="008326C2">
      <w:pPr>
        <w:pStyle w:val="ListDash1"/>
        <w:numPr>
          <w:ilvl w:val="0"/>
          <w:numId w:val="16"/>
        </w:numPr>
        <w:rPr>
          <w:noProof/>
        </w:rPr>
      </w:pPr>
      <w:r w:rsidRPr="00710B91">
        <w:rPr>
          <w:noProof/>
        </w:rPr>
        <w:sym w:font="Wingdings" w:char="F0FE"/>
      </w:r>
      <w:r w:rsidRPr="00710B91">
        <w:rPr>
          <w:noProof/>
        </w:rPr>
        <w:tab/>
        <w:t>Wniosek/inicjatywa wiąże się</w:t>
      </w:r>
      <w:r w:rsidR="00710B91" w:rsidRPr="00710B91">
        <w:rPr>
          <w:noProof/>
        </w:rPr>
        <w:t xml:space="preserve"> z</w:t>
      </w:r>
      <w:r w:rsidR="00710B91">
        <w:rPr>
          <w:noProof/>
        </w:rPr>
        <w:t> </w:t>
      </w:r>
      <w:r w:rsidR="00710B91" w:rsidRPr="00710B91">
        <w:rPr>
          <w:noProof/>
        </w:rPr>
        <w:t>kon</w:t>
      </w:r>
      <w:r w:rsidRPr="00710B91">
        <w:rPr>
          <w:noProof/>
        </w:rPr>
        <w:t>iecznością wykorzystania zasobów ludzkich, jak określono poniżej:</w:t>
      </w:r>
    </w:p>
    <w:p w14:paraId="71C185A3" w14:textId="5E195318" w:rsidR="001F2A4B" w:rsidRPr="00710B91" w:rsidRDefault="001F2A4B" w:rsidP="001F2A4B">
      <w:pPr>
        <w:spacing w:after="60"/>
        <w:jc w:val="right"/>
        <w:rPr>
          <w:i/>
          <w:noProof/>
          <w:sz w:val="20"/>
        </w:rPr>
      </w:pPr>
      <w:r w:rsidRPr="00710B91">
        <w:rPr>
          <w:i/>
          <w:noProof/>
          <w:sz w:val="20"/>
        </w:rPr>
        <w:t>Wartości szacunkowe należy wyrazić</w:t>
      </w:r>
      <w:r w:rsidR="00710B91" w:rsidRPr="00710B91">
        <w:rPr>
          <w:i/>
          <w:noProof/>
          <w:sz w:val="20"/>
        </w:rPr>
        <w:t xml:space="preserve"> w</w:t>
      </w:r>
      <w:r w:rsidR="00710B91">
        <w:rPr>
          <w:i/>
          <w:noProof/>
          <w:sz w:val="20"/>
        </w:rPr>
        <w:t> </w:t>
      </w:r>
      <w:r w:rsidR="00710B91" w:rsidRPr="00710B91">
        <w:rPr>
          <w:i/>
          <w:noProof/>
          <w:sz w:val="20"/>
        </w:rPr>
        <w:t>peł</w:t>
      </w:r>
      <w:r w:rsidRPr="00710B91">
        <w:rPr>
          <w:i/>
          <w:noProof/>
          <w:sz w:val="20"/>
        </w:rPr>
        <w:t>nych kwotach (lub najwyżej</w:t>
      </w:r>
      <w:r w:rsidR="00710B91" w:rsidRPr="00710B91">
        <w:rPr>
          <w:i/>
          <w:noProof/>
          <w:sz w:val="20"/>
        </w:rPr>
        <w:t xml:space="preserve"> z</w:t>
      </w:r>
      <w:r w:rsidR="00710B91">
        <w:rPr>
          <w:i/>
          <w:noProof/>
          <w:sz w:val="20"/>
        </w:rPr>
        <w:t> </w:t>
      </w:r>
      <w:r w:rsidR="00710B91" w:rsidRPr="00710B91">
        <w:rPr>
          <w:i/>
          <w:noProof/>
          <w:sz w:val="20"/>
        </w:rPr>
        <w:t>dok</w:t>
      </w:r>
      <w:r w:rsidRPr="00710B91">
        <w:rPr>
          <w:i/>
          <w:noProof/>
          <w:sz w:val="20"/>
        </w:rPr>
        <w:t>ładnością do jednego miejsca po przecinku)</w:t>
      </w:r>
    </w:p>
    <w:tbl>
      <w:tblPr>
        <w:tblW w:w="3999"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1E0" w:firstRow="1" w:lastRow="1" w:firstColumn="1" w:lastColumn="1" w:noHBand="0" w:noVBand="0"/>
      </w:tblPr>
      <w:tblGrid>
        <w:gridCol w:w="2043"/>
        <w:gridCol w:w="2059"/>
        <w:gridCol w:w="756"/>
        <w:gridCol w:w="756"/>
        <w:gridCol w:w="816"/>
        <w:gridCol w:w="998"/>
      </w:tblGrid>
      <w:tr w:rsidR="001F2A4B" w:rsidRPr="00710B91" w14:paraId="6C0D81B5" w14:textId="77777777" w:rsidTr="001F2A4B">
        <w:trPr>
          <w:trHeight w:val="289"/>
          <w:jc w:val="center"/>
        </w:trPr>
        <w:tc>
          <w:tcPr>
            <w:tcW w:w="2761" w:type="pct"/>
            <w:gridSpan w:val="2"/>
            <w:shd w:val="clear" w:color="auto" w:fill="auto"/>
          </w:tcPr>
          <w:p w14:paraId="2830A64B" w14:textId="77777777" w:rsidR="001F2A4B" w:rsidRPr="00710B91" w:rsidRDefault="001F2A4B" w:rsidP="001F2A4B">
            <w:pPr>
              <w:pStyle w:val="Text1"/>
              <w:spacing w:before="40" w:after="40"/>
              <w:ind w:left="0"/>
              <w:jc w:val="center"/>
              <w:rPr>
                <w:i/>
                <w:noProof/>
                <w:sz w:val="20"/>
              </w:rPr>
            </w:pPr>
          </w:p>
        </w:tc>
        <w:tc>
          <w:tcPr>
            <w:tcW w:w="509" w:type="pct"/>
            <w:shd w:val="clear" w:color="auto" w:fill="auto"/>
            <w:vAlign w:val="center"/>
          </w:tcPr>
          <w:p w14:paraId="6D684A42" w14:textId="77777777" w:rsidR="001F2A4B" w:rsidRPr="00710B91" w:rsidRDefault="001F2A4B" w:rsidP="001F2A4B">
            <w:pPr>
              <w:spacing w:before="20" w:after="20"/>
              <w:jc w:val="center"/>
              <w:rPr>
                <w:noProof/>
                <w:sz w:val="20"/>
              </w:rPr>
            </w:pPr>
            <w:r w:rsidRPr="00710B91">
              <w:rPr>
                <w:noProof/>
                <w:sz w:val="20"/>
              </w:rPr>
              <w:t>Rok</w:t>
            </w:r>
            <w:r w:rsidRPr="00710B91">
              <w:rPr>
                <w:noProof/>
              </w:rPr>
              <w:t xml:space="preserve"> </w:t>
            </w:r>
            <w:r w:rsidRPr="00710B91">
              <w:rPr>
                <w:noProof/>
              </w:rPr>
              <w:br/>
            </w:r>
            <w:r w:rsidRPr="00710B91">
              <w:rPr>
                <w:b/>
                <w:noProof/>
                <w:sz w:val="20"/>
              </w:rPr>
              <w:t>2024</w:t>
            </w:r>
          </w:p>
        </w:tc>
        <w:tc>
          <w:tcPr>
            <w:tcW w:w="509" w:type="pct"/>
            <w:shd w:val="clear" w:color="auto" w:fill="auto"/>
            <w:vAlign w:val="center"/>
          </w:tcPr>
          <w:p w14:paraId="54F5BCF6" w14:textId="77777777" w:rsidR="001F2A4B" w:rsidRPr="00710B91" w:rsidRDefault="001F2A4B" w:rsidP="001F2A4B">
            <w:pPr>
              <w:spacing w:before="20" w:after="20"/>
              <w:jc w:val="center"/>
              <w:rPr>
                <w:noProof/>
                <w:sz w:val="20"/>
              </w:rPr>
            </w:pPr>
            <w:r w:rsidRPr="00710B91">
              <w:rPr>
                <w:noProof/>
                <w:sz w:val="20"/>
              </w:rPr>
              <w:t>Rok</w:t>
            </w:r>
            <w:r w:rsidRPr="00710B91">
              <w:rPr>
                <w:noProof/>
              </w:rPr>
              <w:t xml:space="preserve"> </w:t>
            </w:r>
            <w:r w:rsidRPr="00710B91">
              <w:rPr>
                <w:noProof/>
              </w:rPr>
              <w:br/>
            </w:r>
            <w:r w:rsidRPr="00710B91">
              <w:rPr>
                <w:b/>
                <w:noProof/>
                <w:sz w:val="20"/>
              </w:rPr>
              <w:t>2025</w:t>
            </w:r>
          </w:p>
        </w:tc>
        <w:tc>
          <w:tcPr>
            <w:tcW w:w="549" w:type="pct"/>
            <w:shd w:val="clear" w:color="auto" w:fill="auto"/>
            <w:vAlign w:val="center"/>
          </w:tcPr>
          <w:p w14:paraId="725F144A" w14:textId="77777777" w:rsidR="001F2A4B" w:rsidRPr="00710B91" w:rsidRDefault="001F2A4B" w:rsidP="001F2A4B">
            <w:pPr>
              <w:spacing w:before="20" w:after="20"/>
              <w:jc w:val="center"/>
              <w:rPr>
                <w:noProof/>
                <w:sz w:val="20"/>
              </w:rPr>
            </w:pPr>
            <w:r w:rsidRPr="00710B91">
              <w:rPr>
                <w:noProof/>
                <w:sz w:val="20"/>
              </w:rPr>
              <w:t>Rok</w:t>
            </w:r>
            <w:r w:rsidRPr="00710B91">
              <w:rPr>
                <w:noProof/>
              </w:rPr>
              <w:t xml:space="preserve"> </w:t>
            </w:r>
            <w:r w:rsidRPr="00710B91">
              <w:rPr>
                <w:noProof/>
              </w:rPr>
              <w:br/>
            </w:r>
            <w:r w:rsidRPr="00710B91">
              <w:rPr>
                <w:b/>
                <w:noProof/>
                <w:sz w:val="20"/>
              </w:rPr>
              <w:t>2026</w:t>
            </w:r>
          </w:p>
        </w:tc>
        <w:tc>
          <w:tcPr>
            <w:tcW w:w="672" w:type="pct"/>
            <w:shd w:val="clear" w:color="auto" w:fill="auto"/>
            <w:vAlign w:val="center"/>
          </w:tcPr>
          <w:p w14:paraId="449A3C71" w14:textId="77777777" w:rsidR="001F2A4B" w:rsidRPr="00710B91" w:rsidRDefault="001F2A4B" w:rsidP="001F2A4B">
            <w:pPr>
              <w:spacing w:before="20" w:after="20"/>
              <w:jc w:val="center"/>
              <w:rPr>
                <w:noProof/>
                <w:sz w:val="20"/>
              </w:rPr>
            </w:pPr>
            <w:r w:rsidRPr="00710B91">
              <w:rPr>
                <w:noProof/>
                <w:sz w:val="20"/>
              </w:rPr>
              <w:t>Rok</w:t>
            </w:r>
            <w:r w:rsidRPr="00710B91">
              <w:rPr>
                <w:noProof/>
              </w:rPr>
              <w:t xml:space="preserve"> </w:t>
            </w:r>
            <w:r w:rsidRPr="00710B91">
              <w:rPr>
                <w:noProof/>
              </w:rPr>
              <w:br/>
            </w:r>
            <w:r w:rsidRPr="00710B91">
              <w:rPr>
                <w:b/>
                <w:noProof/>
                <w:sz w:val="20"/>
              </w:rPr>
              <w:t>2027</w:t>
            </w:r>
          </w:p>
        </w:tc>
      </w:tr>
      <w:tr w:rsidR="001F2A4B" w:rsidRPr="00710B91" w14:paraId="21A22DA4" w14:textId="77777777" w:rsidTr="001F2A4B">
        <w:trPr>
          <w:trHeight w:val="289"/>
          <w:jc w:val="center"/>
        </w:trPr>
        <w:tc>
          <w:tcPr>
            <w:tcW w:w="2761" w:type="pct"/>
            <w:gridSpan w:val="2"/>
            <w:shd w:val="clear" w:color="auto" w:fill="auto"/>
            <w:vAlign w:val="center"/>
          </w:tcPr>
          <w:p w14:paraId="5D35E19B" w14:textId="5E14DD80" w:rsidR="001F2A4B" w:rsidRPr="00710B91" w:rsidRDefault="001F2A4B" w:rsidP="008326C2">
            <w:pPr>
              <w:pStyle w:val="Text1"/>
              <w:numPr>
                <w:ilvl w:val="0"/>
                <w:numId w:val="17"/>
              </w:numPr>
              <w:tabs>
                <w:tab w:val="left" w:pos="208"/>
              </w:tabs>
              <w:spacing w:beforeLines="20" w:before="48" w:afterLines="20" w:after="48"/>
              <w:ind w:left="208" w:hanging="120"/>
              <w:jc w:val="left"/>
              <w:rPr>
                <w:b/>
                <w:noProof/>
                <w:sz w:val="20"/>
              </w:rPr>
            </w:pPr>
            <w:r w:rsidRPr="00710B91">
              <w:rPr>
                <w:b/>
                <w:noProof/>
                <w:sz w:val="20"/>
              </w:rPr>
              <w:t>Stanowiska przewidziane</w:t>
            </w:r>
            <w:r w:rsidR="00710B91" w:rsidRPr="00710B91">
              <w:rPr>
                <w:b/>
                <w:noProof/>
                <w:sz w:val="20"/>
              </w:rPr>
              <w:t xml:space="preserve"> w</w:t>
            </w:r>
            <w:r w:rsidR="00710B91">
              <w:rPr>
                <w:b/>
                <w:noProof/>
                <w:sz w:val="20"/>
              </w:rPr>
              <w:t> </w:t>
            </w:r>
            <w:r w:rsidR="00710B91" w:rsidRPr="00710B91">
              <w:rPr>
                <w:b/>
                <w:noProof/>
                <w:sz w:val="20"/>
              </w:rPr>
              <w:t>pla</w:t>
            </w:r>
            <w:r w:rsidRPr="00710B91">
              <w:rPr>
                <w:b/>
                <w:noProof/>
                <w:sz w:val="20"/>
              </w:rPr>
              <w:t>nie zatrudnienia (stanowiska urzędników</w:t>
            </w:r>
            <w:r w:rsidR="00710B91" w:rsidRPr="00710B91">
              <w:rPr>
                <w:b/>
                <w:noProof/>
                <w:sz w:val="20"/>
              </w:rPr>
              <w:t xml:space="preserve"> i</w:t>
            </w:r>
            <w:r w:rsidR="00710B91">
              <w:rPr>
                <w:b/>
                <w:noProof/>
                <w:sz w:val="20"/>
              </w:rPr>
              <w:t> </w:t>
            </w:r>
            <w:r w:rsidR="00710B91" w:rsidRPr="00710B91">
              <w:rPr>
                <w:b/>
                <w:noProof/>
                <w:sz w:val="20"/>
              </w:rPr>
              <w:t>pra</w:t>
            </w:r>
            <w:r w:rsidRPr="00710B91">
              <w:rPr>
                <w:b/>
                <w:noProof/>
                <w:sz w:val="20"/>
              </w:rPr>
              <w:t>cowników zatrudnionych na czas określony)</w:t>
            </w:r>
          </w:p>
        </w:tc>
        <w:tc>
          <w:tcPr>
            <w:tcW w:w="509" w:type="pct"/>
            <w:shd w:val="clear" w:color="auto" w:fill="auto"/>
            <w:vAlign w:val="center"/>
          </w:tcPr>
          <w:p w14:paraId="771CE407" w14:textId="77777777" w:rsidR="001F2A4B" w:rsidRPr="00710B91" w:rsidRDefault="001F2A4B" w:rsidP="001F2A4B">
            <w:pPr>
              <w:spacing w:beforeLines="20" w:before="48" w:afterLines="20" w:after="48"/>
              <w:jc w:val="center"/>
              <w:rPr>
                <w:noProof/>
                <w:sz w:val="20"/>
              </w:rPr>
            </w:pPr>
          </w:p>
        </w:tc>
        <w:tc>
          <w:tcPr>
            <w:tcW w:w="509" w:type="pct"/>
            <w:shd w:val="clear" w:color="auto" w:fill="auto"/>
            <w:vAlign w:val="center"/>
          </w:tcPr>
          <w:p w14:paraId="2A64CFE3" w14:textId="77777777" w:rsidR="001F2A4B" w:rsidRPr="00710B91" w:rsidRDefault="001F2A4B" w:rsidP="001F2A4B">
            <w:pPr>
              <w:spacing w:beforeLines="20" w:before="48" w:afterLines="20" w:after="48"/>
              <w:jc w:val="center"/>
              <w:rPr>
                <w:noProof/>
                <w:sz w:val="20"/>
              </w:rPr>
            </w:pPr>
          </w:p>
        </w:tc>
        <w:tc>
          <w:tcPr>
            <w:tcW w:w="549" w:type="pct"/>
            <w:shd w:val="clear" w:color="auto" w:fill="auto"/>
            <w:vAlign w:val="center"/>
          </w:tcPr>
          <w:p w14:paraId="78880E4E" w14:textId="77777777" w:rsidR="001F2A4B" w:rsidRPr="00710B91" w:rsidRDefault="001F2A4B" w:rsidP="001F2A4B">
            <w:pPr>
              <w:spacing w:beforeLines="20" w:before="48" w:afterLines="20" w:after="48"/>
              <w:jc w:val="center"/>
              <w:rPr>
                <w:noProof/>
                <w:sz w:val="20"/>
              </w:rPr>
            </w:pPr>
          </w:p>
        </w:tc>
        <w:tc>
          <w:tcPr>
            <w:tcW w:w="672" w:type="pct"/>
            <w:shd w:val="clear" w:color="auto" w:fill="auto"/>
            <w:vAlign w:val="center"/>
          </w:tcPr>
          <w:p w14:paraId="1699B42F" w14:textId="77777777" w:rsidR="001F2A4B" w:rsidRPr="00710B91" w:rsidRDefault="001F2A4B" w:rsidP="001F2A4B">
            <w:pPr>
              <w:spacing w:beforeLines="20" w:before="48" w:afterLines="20" w:after="48"/>
              <w:jc w:val="center"/>
              <w:rPr>
                <w:noProof/>
                <w:sz w:val="20"/>
              </w:rPr>
            </w:pPr>
          </w:p>
        </w:tc>
      </w:tr>
      <w:tr w:rsidR="001F2A4B" w:rsidRPr="00710B91" w14:paraId="27FB0F07" w14:textId="77777777" w:rsidTr="001F2A4B">
        <w:trPr>
          <w:trHeight w:val="289"/>
          <w:jc w:val="center"/>
        </w:trPr>
        <w:tc>
          <w:tcPr>
            <w:tcW w:w="2761" w:type="pct"/>
            <w:gridSpan w:val="2"/>
            <w:shd w:val="clear" w:color="auto" w:fill="auto"/>
            <w:vAlign w:val="center"/>
          </w:tcPr>
          <w:p w14:paraId="65BDB9C1" w14:textId="36F17581" w:rsidR="001F2A4B" w:rsidRPr="00710B91" w:rsidRDefault="001F2A4B" w:rsidP="001F2A4B">
            <w:pPr>
              <w:pStyle w:val="Text1"/>
              <w:spacing w:beforeLines="20" w:before="48" w:afterLines="20" w:after="48"/>
              <w:ind w:left="984"/>
              <w:jc w:val="left"/>
              <w:rPr>
                <w:b/>
                <w:noProof/>
                <w:sz w:val="20"/>
              </w:rPr>
            </w:pPr>
            <w:r w:rsidRPr="00710B91">
              <w:rPr>
                <w:noProof/>
                <w:sz w:val="20"/>
              </w:rPr>
              <w:t>20 01 02 01</w:t>
            </w:r>
            <w:r w:rsidR="00710B91" w:rsidRPr="00710B91">
              <w:rPr>
                <w:noProof/>
                <w:sz w:val="20"/>
              </w:rPr>
              <w:t xml:space="preserve"> i</w:t>
            </w:r>
            <w:r w:rsidR="00710B91">
              <w:rPr>
                <w:noProof/>
                <w:sz w:val="20"/>
              </w:rPr>
              <w:t> </w:t>
            </w:r>
            <w:r w:rsidR="00710B91" w:rsidRPr="00710B91">
              <w:rPr>
                <w:noProof/>
                <w:sz w:val="20"/>
              </w:rPr>
              <w:t>2</w:t>
            </w:r>
            <w:r w:rsidRPr="00710B91">
              <w:rPr>
                <w:noProof/>
                <w:sz w:val="20"/>
              </w:rPr>
              <w:t>0 01 02 02 (w centrali</w:t>
            </w:r>
            <w:r w:rsidR="00710B91" w:rsidRPr="00710B91">
              <w:rPr>
                <w:noProof/>
                <w:sz w:val="20"/>
              </w:rPr>
              <w:t xml:space="preserve"> i</w:t>
            </w:r>
            <w:r w:rsidR="00710B91">
              <w:rPr>
                <w:noProof/>
                <w:sz w:val="20"/>
              </w:rPr>
              <w:t> </w:t>
            </w:r>
            <w:r w:rsidR="00710B91" w:rsidRPr="00710B91">
              <w:rPr>
                <w:noProof/>
                <w:sz w:val="20"/>
              </w:rPr>
              <w:t>w</w:t>
            </w:r>
            <w:r w:rsidR="00710B91">
              <w:rPr>
                <w:noProof/>
                <w:sz w:val="20"/>
              </w:rPr>
              <w:t> </w:t>
            </w:r>
            <w:r w:rsidR="00710B91" w:rsidRPr="00710B91">
              <w:rPr>
                <w:noProof/>
                <w:sz w:val="20"/>
              </w:rPr>
              <w:t>biu</w:t>
            </w:r>
            <w:r w:rsidRPr="00710B91">
              <w:rPr>
                <w:noProof/>
                <w:sz w:val="20"/>
              </w:rPr>
              <w:t>rach przedstawicielstw Komisji)</w:t>
            </w:r>
          </w:p>
        </w:tc>
        <w:tc>
          <w:tcPr>
            <w:tcW w:w="509" w:type="pct"/>
            <w:shd w:val="clear" w:color="auto" w:fill="auto"/>
            <w:vAlign w:val="center"/>
          </w:tcPr>
          <w:p w14:paraId="3A8BFE66" w14:textId="77777777" w:rsidR="001F2A4B" w:rsidRPr="00710B91" w:rsidRDefault="001F2A4B" w:rsidP="001F2A4B">
            <w:pPr>
              <w:spacing w:beforeLines="20" w:before="48" w:afterLines="20" w:after="48"/>
              <w:jc w:val="center"/>
              <w:rPr>
                <w:noProof/>
                <w:sz w:val="20"/>
              </w:rPr>
            </w:pPr>
            <w:r w:rsidRPr="00710B91">
              <w:rPr>
                <w:noProof/>
                <w:sz w:val="20"/>
              </w:rPr>
              <w:t>1</w:t>
            </w:r>
          </w:p>
        </w:tc>
        <w:tc>
          <w:tcPr>
            <w:tcW w:w="509" w:type="pct"/>
            <w:shd w:val="clear" w:color="auto" w:fill="auto"/>
            <w:vAlign w:val="center"/>
          </w:tcPr>
          <w:p w14:paraId="27AB6E5E" w14:textId="77777777" w:rsidR="001F2A4B" w:rsidRPr="00710B91" w:rsidRDefault="001F2A4B" w:rsidP="001F2A4B">
            <w:pPr>
              <w:spacing w:beforeLines="20" w:before="48" w:afterLines="20" w:after="48"/>
              <w:jc w:val="center"/>
              <w:rPr>
                <w:noProof/>
                <w:sz w:val="20"/>
              </w:rPr>
            </w:pPr>
            <w:r w:rsidRPr="00710B91">
              <w:rPr>
                <w:noProof/>
                <w:sz w:val="20"/>
              </w:rPr>
              <w:t>1</w:t>
            </w:r>
          </w:p>
        </w:tc>
        <w:tc>
          <w:tcPr>
            <w:tcW w:w="549" w:type="pct"/>
            <w:shd w:val="clear" w:color="auto" w:fill="auto"/>
            <w:vAlign w:val="center"/>
          </w:tcPr>
          <w:p w14:paraId="76B5C16B" w14:textId="77777777" w:rsidR="001F2A4B" w:rsidRPr="00710B91" w:rsidRDefault="001F2A4B" w:rsidP="001F2A4B">
            <w:pPr>
              <w:spacing w:beforeLines="20" w:before="48" w:afterLines="20" w:after="48"/>
              <w:jc w:val="center"/>
              <w:rPr>
                <w:noProof/>
                <w:sz w:val="20"/>
              </w:rPr>
            </w:pPr>
            <w:r w:rsidRPr="00710B91">
              <w:rPr>
                <w:noProof/>
                <w:sz w:val="20"/>
              </w:rPr>
              <w:t>1</w:t>
            </w:r>
          </w:p>
        </w:tc>
        <w:tc>
          <w:tcPr>
            <w:tcW w:w="672" w:type="pct"/>
            <w:shd w:val="clear" w:color="auto" w:fill="auto"/>
            <w:vAlign w:val="center"/>
          </w:tcPr>
          <w:p w14:paraId="35CA2BB2" w14:textId="77777777" w:rsidR="001F2A4B" w:rsidRPr="00710B91" w:rsidRDefault="001F2A4B" w:rsidP="001F2A4B">
            <w:pPr>
              <w:spacing w:beforeLines="20" w:before="48" w:afterLines="20" w:after="48"/>
              <w:jc w:val="center"/>
              <w:rPr>
                <w:noProof/>
                <w:sz w:val="20"/>
              </w:rPr>
            </w:pPr>
            <w:r w:rsidRPr="00710B91">
              <w:rPr>
                <w:noProof/>
                <w:sz w:val="20"/>
              </w:rPr>
              <w:t>1</w:t>
            </w:r>
          </w:p>
        </w:tc>
      </w:tr>
      <w:tr w:rsidR="001F2A4B" w:rsidRPr="00710B91" w14:paraId="2D893361" w14:textId="77777777" w:rsidTr="001F2A4B">
        <w:trPr>
          <w:trHeight w:val="289"/>
          <w:jc w:val="center"/>
        </w:trPr>
        <w:tc>
          <w:tcPr>
            <w:tcW w:w="2761" w:type="pct"/>
            <w:gridSpan w:val="2"/>
            <w:shd w:val="clear" w:color="auto" w:fill="auto"/>
            <w:vAlign w:val="center"/>
          </w:tcPr>
          <w:p w14:paraId="657C3E55" w14:textId="77777777" w:rsidR="001F2A4B" w:rsidRPr="00710B91" w:rsidRDefault="001F2A4B" w:rsidP="001F2A4B">
            <w:pPr>
              <w:pStyle w:val="Text1"/>
              <w:spacing w:beforeLines="20" w:before="48" w:afterLines="20" w:after="48"/>
              <w:ind w:left="984"/>
              <w:jc w:val="left"/>
              <w:rPr>
                <w:noProof/>
                <w:sz w:val="20"/>
              </w:rPr>
            </w:pPr>
            <w:r w:rsidRPr="00710B91">
              <w:rPr>
                <w:noProof/>
                <w:sz w:val="20"/>
              </w:rPr>
              <w:t>20 01 02 03 (w delegaturach)</w:t>
            </w:r>
          </w:p>
        </w:tc>
        <w:tc>
          <w:tcPr>
            <w:tcW w:w="509" w:type="pct"/>
            <w:shd w:val="clear" w:color="auto" w:fill="auto"/>
            <w:vAlign w:val="center"/>
          </w:tcPr>
          <w:p w14:paraId="6A7024F5" w14:textId="77777777" w:rsidR="001F2A4B" w:rsidRPr="00710B91" w:rsidRDefault="001F2A4B" w:rsidP="001F2A4B">
            <w:pPr>
              <w:spacing w:beforeLines="20" w:before="48" w:afterLines="20" w:after="48"/>
              <w:jc w:val="center"/>
              <w:rPr>
                <w:noProof/>
                <w:sz w:val="20"/>
              </w:rPr>
            </w:pPr>
          </w:p>
        </w:tc>
        <w:tc>
          <w:tcPr>
            <w:tcW w:w="509" w:type="pct"/>
            <w:shd w:val="clear" w:color="auto" w:fill="auto"/>
            <w:vAlign w:val="center"/>
          </w:tcPr>
          <w:p w14:paraId="6B46C24A" w14:textId="77777777" w:rsidR="001F2A4B" w:rsidRPr="00710B91" w:rsidRDefault="001F2A4B" w:rsidP="001F2A4B">
            <w:pPr>
              <w:spacing w:beforeLines="20" w:before="48" w:afterLines="20" w:after="48"/>
              <w:jc w:val="center"/>
              <w:rPr>
                <w:noProof/>
                <w:sz w:val="20"/>
              </w:rPr>
            </w:pPr>
          </w:p>
        </w:tc>
        <w:tc>
          <w:tcPr>
            <w:tcW w:w="549" w:type="pct"/>
            <w:shd w:val="clear" w:color="auto" w:fill="auto"/>
            <w:vAlign w:val="center"/>
          </w:tcPr>
          <w:p w14:paraId="14987152" w14:textId="77777777" w:rsidR="001F2A4B" w:rsidRPr="00710B91" w:rsidRDefault="001F2A4B" w:rsidP="001F2A4B">
            <w:pPr>
              <w:spacing w:beforeLines="20" w:before="48" w:afterLines="20" w:after="48"/>
              <w:jc w:val="center"/>
              <w:rPr>
                <w:noProof/>
                <w:sz w:val="20"/>
              </w:rPr>
            </w:pPr>
          </w:p>
        </w:tc>
        <w:tc>
          <w:tcPr>
            <w:tcW w:w="672" w:type="pct"/>
            <w:shd w:val="clear" w:color="auto" w:fill="auto"/>
            <w:vAlign w:val="center"/>
          </w:tcPr>
          <w:p w14:paraId="37400193" w14:textId="77777777" w:rsidR="001F2A4B" w:rsidRPr="00710B91" w:rsidRDefault="001F2A4B" w:rsidP="001F2A4B">
            <w:pPr>
              <w:spacing w:beforeLines="20" w:before="48" w:afterLines="20" w:after="48"/>
              <w:jc w:val="center"/>
              <w:rPr>
                <w:noProof/>
                <w:sz w:val="20"/>
              </w:rPr>
            </w:pPr>
          </w:p>
        </w:tc>
      </w:tr>
      <w:tr w:rsidR="001F2A4B" w:rsidRPr="00710B91" w14:paraId="2841A5FB" w14:textId="77777777" w:rsidTr="001F2A4B">
        <w:trPr>
          <w:trHeight w:val="953"/>
          <w:jc w:val="center"/>
        </w:trPr>
        <w:tc>
          <w:tcPr>
            <w:tcW w:w="2761" w:type="pct"/>
            <w:gridSpan w:val="2"/>
            <w:shd w:val="clear" w:color="auto" w:fill="auto"/>
            <w:vAlign w:val="center"/>
          </w:tcPr>
          <w:p w14:paraId="0384D4F4" w14:textId="77777777" w:rsidR="001F2A4B" w:rsidRPr="00710B91" w:rsidRDefault="001F2A4B" w:rsidP="001F2A4B">
            <w:pPr>
              <w:pStyle w:val="Text1"/>
              <w:spacing w:beforeLines="20" w:before="48" w:afterLines="20" w:after="48"/>
              <w:ind w:left="984"/>
              <w:jc w:val="left"/>
              <w:rPr>
                <w:noProof/>
                <w:sz w:val="20"/>
              </w:rPr>
            </w:pPr>
            <w:r w:rsidRPr="00710B91">
              <w:rPr>
                <w:noProof/>
                <w:sz w:val="20"/>
              </w:rPr>
              <w:t>01 01 01 01 (pośrednie badania naukowe)</w:t>
            </w:r>
          </w:p>
        </w:tc>
        <w:tc>
          <w:tcPr>
            <w:tcW w:w="509" w:type="pct"/>
            <w:shd w:val="clear" w:color="auto" w:fill="auto"/>
            <w:vAlign w:val="center"/>
          </w:tcPr>
          <w:p w14:paraId="19EA3769" w14:textId="77777777" w:rsidR="001F2A4B" w:rsidRPr="00710B91" w:rsidRDefault="001F2A4B" w:rsidP="001F2A4B">
            <w:pPr>
              <w:spacing w:beforeLines="20" w:before="48" w:afterLines="20" w:after="48"/>
              <w:jc w:val="center"/>
              <w:rPr>
                <w:noProof/>
                <w:sz w:val="20"/>
              </w:rPr>
            </w:pPr>
          </w:p>
        </w:tc>
        <w:tc>
          <w:tcPr>
            <w:tcW w:w="509" w:type="pct"/>
            <w:shd w:val="clear" w:color="auto" w:fill="auto"/>
            <w:vAlign w:val="center"/>
          </w:tcPr>
          <w:p w14:paraId="495C7569" w14:textId="77777777" w:rsidR="001F2A4B" w:rsidRPr="00710B91" w:rsidRDefault="001F2A4B" w:rsidP="001F2A4B">
            <w:pPr>
              <w:spacing w:beforeLines="20" w:before="48" w:afterLines="20" w:after="48"/>
              <w:jc w:val="center"/>
              <w:rPr>
                <w:noProof/>
                <w:sz w:val="20"/>
              </w:rPr>
            </w:pPr>
          </w:p>
        </w:tc>
        <w:tc>
          <w:tcPr>
            <w:tcW w:w="549" w:type="pct"/>
            <w:shd w:val="clear" w:color="auto" w:fill="auto"/>
            <w:vAlign w:val="center"/>
          </w:tcPr>
          <w:p w14:paraId="7B1114CF" w14:textId="77777777" w:rsidR="001F2A4B" w:rsidRPr="00710B91" w:rsidRDefault="001F2A4B" w:rsidP="001F2A4B">
            <w:pPr>
              <w:spacing w:beforeLines="20" w:before="48" w:afterLines="20" w:after="48"/>
              <w:jc w:val="center"/>
              <w:rPr>
                <w:noProof/>
                <w:sz w:val="20"/>
              </w:rPr>
            </w:pPr>
          </w:p>
        </w:tc>
        <w:tc>
          <w:tcPr>
            <w:tcW w:w="672" w:type="pct"/>
            <w:shd w:val="clear" w:color="auto" w:fill="auto"/>
            <w:vAlign w:val="center"/>
          </w:tcPr>
          <w:p w14:paraId="595836F8" w14:textId="77777777" w:rsidR="001F2A4B" w:rsidRPr="00710B91" w:rsidRDefault="001F2A4B" w:rsidP="001F2A4B">
            <w:pPr>
              <w:spacing w:beforeLines="20" w:before="48" w:afterLines="20" w:after="48"/>
              <w:jc w:val="center"/>
              <w:rPr>
                <w:noProof/>
                <w:sz w:val="20"/>
              </w:rPr>
            </w:pPr>
          </w:p>
        </w:tc>
      </w:tr>
      <w:tr w:rsidR="001F2A4B" w:rsidRPr="00710B91" w14:paraId="7CA5E120" w14:textId="77777777" w:rsidTr="001F2A4B">
        <w:trPr>
          <w:trHeight w:val="289"/>
          <w:jc w:val="center"/>
        </w:trPr>
        <w:tc>
          <w:tcPr>
            <w:tcW w:w="2761" w:type="pct"/>
            <w:gridSpan w:val="2"/>
            <w:shd w:val="clear" w:color="auto" w:fill="auto"/>
            <w:vAlign w:val="center"/>
          </w:tcPr>
          <w:p w14:paraId="79895882" w14:textId="77777777" w:rsidR="001F2A4B" w:rsidRPr="00710B91" w:rsidRDefault="001F2A4B" w:rsidP="001F2A4B">
            <w:pPr>
              <w:pStyle w:val="Text1"/>
              <w:spacing w:beforeLines="20" w:before="48" w:afterLines="20" w:after="48"/>
              <w:ind w:left="984"/>
              <w:jc w:val="left"/>
              <w:rPr>
                <w:noProof/>
                <w:sz w:val="20"/>
              </w:rPr>
            </w:pPr>
            <w:r w:rsidRPr="00710B91">
              <w:rPr>
                <w:noProof/>
                <w:sz w:val="20"/>
              </w:rPr>
              <w:t>10 01 05 01 (bezpośrednie badania naukowe)</w:t>
            </w:r>
          </w:p>
        </w:tc>
        <w:tc>
          <w:tcPr>
            <w:tcW w:w="509" w:type="pct"/>
            <w:shd w:val="clear" w:color="auto" w:fill="auto"/>
            <w:vAlign w:val="center"/>
          </w:tcPr>
          <w:p w14:paraId="25157AA0" w14:textId="77777777" w:rsidR="001F2A4B" w:rsidRPr="00710B91" w:rsidRDefault="001F2A4B" w:rsidP="001F2A4B">
            <w:pPr>
              <w:spacing w:beforeLines="20" w:before="48" w:afterLines="20" w:after="48"/>
              <w:jc w:val="center"/>
              <w:rPr>
                <w:noProof/>
                <w:sz w:val="20"/>
              </w:rPr>
            </w:pPr>
          </w:p>
        </w:tc>
        <w:tc>
          <w:tcPr>
            <w:tcW w:w="509" w:type="pct"/>
            <w:shd w:val="clear" w:color="auto" w:fill="auto"/>
            <w:vAlign w:val="center"/>
          </w:tcPr>
          <w:p w14:paraId="440E084B" w14:textId="77777777" w:rsidR="001F2A4B" w:rsidRPr="00710B91" w:rsidRDefault="001F2A4B" w:rsidP="001F2A4B">
            <w:pPr>
              <w:spacing w:beforeLines="20" w:before="48" w:afterLines="20" w:after="48"/>
              <w:jc w:val="center"/>
              <w:rPr>
                <w:noProof/>
                <w:sz w:val="20"/>
              </w:rPr>
            </w:pPr>
          </w:p>
        </w:tc>
        <w:tc>
          <w:tcPr>
            <w:tcW w:w="549" w:type="pct"/>
            <w:shd w:val="clear" w:color="auto" w:fill="auto"/>
            <w:vAlign w:val="center"/>
          </w:tcPr>
          <w:p w14:paraId="6960F99D" w14:textId="77777777" w:rsidR="001F2A4B" w:rsidRPr="00710B91" w:rsidRDefault="001F2A4B" w:rsidP="001F2A4B">
            <w:pPr>
              <w:spacing w:beforeLines="20" w:before="48" w:afterLines="20" w:after="48"/>
              <w:jc w:val="center"/>
              <w:rPr>
                <w:noProof/>
                <w:sz w:val="20"/>
              </w:rPr>
            </w:pPr>
          </w:p>
        </w:tc>
        <w:tc>
          <w:tcPr>
            <w:tcW w:w="672" w:type="pct"/>
            <w:shd w:val="clear" w:color="auto" w:fill="auto"/>
            <w:vAlign w:val="center"/>
          </w:tcPr>
          <w:p w14:paraId="4854EA1B" w14:textId="77777777" w:rsidR="001F2A4B" w:rsidRPr="00710B91" w:rsidRDefault="001F2A4B" w:rsidP="001F2A4B">
            <w:pPr>
              <w:spacing w:beforeLines="20" w:before="48" w:afterLines="20" w:after="48"/>
              <w:jc w:val="center"/>
              <w:rPr>
                <w:noProof/>
                <w:sz w:val="20"/>
              </w:rPr>
            </w:pPr>
          </w:p>
        </w:tc>
      </w:tr>
      <w:tr w:rsidR="001F2A4B" w:rsidRPr="00710B91" w14:paraId="36800DD2" w14:textId="77777777" w:rsidTr="001F2A4B">
        <w:trPr>
          <w:trHeight w:val="289"/>
          <w:jc w:val="center"/>
        </w:trPr>
        <w:tc>
          <w:tcPr>
            <w:tcW w:w="2761" w:type="pct"/>
            <w:gridSpan w:val="2"/>
            <w:shd w:val="clear" w:color="auto" w:fill="auto"/>
            <w:vAlign w:val="center"/>
          </w:tcPr>
          <w:p w14:paraId="02BA883B" w14:textId="77777777" w:rsidR="001F2A4B" w:rsidRPr="00710B91" w:rsidRDefault="001F2A4B" w:rsidP="001F2A4B">
            <w:pPr>
              <w:pStyle w:val="Text1"/>
              <w:spacing w:beforeLines="20" w:before="48" w:afterLines="20" w:after="48"/>
              <w:ind w:left="984"/>
              <w:jc w:val="left"/>
              <w:rPr>
                <w:noProof/>
                <w:sz w:val="20"/>
              </w:rPr>
            </w:pPr>
          </w:p>
        </w:tc>
        <w:tc>
          <w:tcPr>
            <w:tcW w:w="509" w:type="pct"/>
            <w:shd w:val="clear" w:color="auto" w:fill="auto"/>
            <w:vAlign w:val="center"/>
          </w:tcPr>
          <w:p w14:paraId="4908FFCC" w14:textId="77777777" w:rsidR="001F2A4B" w:rsidRPr="00710B91" w:rsidRDefault="001F2A4B" w:rsidP="001F2A4B">
            <w:pPr>
              <w:spacing w:beforeLines="20" w:before="48" w:afterLines="20" w:after="48"/>
              <w:jc w:val="center"/>
              <w:rPr>
                <w:noProof/>
                <w:sz w:val="20"/>
              </w:rPr>
            </w:pPr>
          </w:p>
        </w:tc>
        <w:tc>
          <w:tcPr>
            <w:tcW w:w="509" w:type="pct"/>
            <w:shd w:val="clear" w:color="auto" w:fill="auto"/>
            <w:vAlign w:val="center"/>
          </w:tcPr>
          <w:p w14:paraId="794A1012" w14:textId="77777777" w:rsidR="001F2A4B" w:rsidRPr="00710B91" w:rsidRDefault="001F2A4B" w:rsidP="001F2A4B">
            <w:pPr>
              <w:spacing w:beforeLines="20" w:before="48" w:afterLines="20" w:after="48"/>
              <w:jc w:val="center"/>
              <w:rPr>
                <w:noProof/>
                <w:sz w:val="20"/>
              </w:rPr>
            </w:pPr>
          </w:p>
        </w:tc>
        <w:tc>
          <w:tcPr>
            <w:tcW w:w="549" w:type="pct"/>
            <w:shd w:val="clear" w:color="auto" w:fill="auto"/>
            <w:vAlign w:val="center"/>
          </w:tcPr>
          <w:p w14:paraId="29578704" w14:textId="77777777" w:rsidR="001F2A4B" w:rsidRPr="00710B91" w:rsidRDefault="001F2A4B" w:rsidP="001F2A4B">
            <w:pPr>
              <w:spacing w:beforeLines="20" w:before="48" w:afterLines="20" w:after="48"/>
              <w:jc w:val="center"/>
              <w:rPr>
                <w:noProof/>
                <w:sz w:val="20"/>
              </w:rPr>
            </w:pPr>
          </w:p>
        </w:tc>
        <w:tc>
          <w:tcPr>
            <w:tcW w:w="672" w:type="pct"/>
            <w:shd w:val="clear" w:color="auto" w:fill="auto"/>
            <w:vAlign w:val="center"/>
          </w:tcPr>
          <w:p w14:paraId="1DE35D53" w14:textId="77777777" w:rsidR="001F2A4B" w:rsidRPr="00710B91" w:rsidRDefault="001F2A4B" w:rsidP="001F2A4B">
            <w:pPr>
              <w:spacing w:beforeLines="20" w:before="48" w:afterLines="20" w:after="48"/>
              <w:jc w:val="center"/>
              <w:rPr>
                <w:noProof/>
                <w:sz w:val="20"/>
              </w:rPr>
            </w:pPr>
          </w:p>
        </w:tc>
      </w:tr>
      <w:tr w:rsidR="001F2A4B" w:rsidRPr="00710B91" w14:paraId="27217865" w14:textId="77777777" w:rsidTr="001F2A4B">
        <w:trPr>
          <w:trHeight w:val="289"/>
          <w:jc w:val="center"/>
        </w:trPr>
        <w:tc>
          <w:tcPr>
            <w:tcW w:w="2761" w:type="pct"/>
            <w:gridSpan w:val="2"/>
            <w:shd w:val="clear" w:color="auto" w:fill="auto"/>
            <w:vAlign w:val="center"/>
          </w:tcPr>
          <w:p w14:paraId="699F14DE" w14:textId="77777777" w:rsidR="001F2A4B" w:rsidRPr="00710B91" w:rsidRDefault="001F2A4B" w:rsidP="001F2A4B">
            <w:pPr>
              <w:pStyle w:val="Text1"/>
              <w:spacing w:beforeLines="20" w:before="48" w:afterLines="20" w:after="48"/>
              <w:ind w:left="208" w:hanging="120"/>
              <w:jc w:val="left"/>
              <w:rPr>
                <w:noProof/>
                <w:sz w:val="20"/>
              </w:rPr>
            </w:pPr>
            <w:r w:rsidRPr="00710B91">
              <w:rPr>
                <w:b/>
                <w:noProof/>
                <w:sz w:val="20"/>
              </w:rPr>
              <w:sym w:font="Wingdings" w:char="F09F"/>
            </w:r>
            <w:r w:rsidRPr="00710B91">
              <w:rPr>
                <w:b/>
                <w:noProof/>
                <w:sz w:val="20"/>
              </w:rPr>
              <w:t xml:space="preserve"> Personel zewnętrzny (w ekwiwalentach pełnego czasu pracy: EPC)</w:t>
            </w:r>
            <w:r w:rsidRPr="00710B91">
              <w:rPr>
                <w:rStyle w:val="FootnoteReference"/>
                <w:b/>
                <w:noProof/>
                <w:sz w:val="20"/>
              </w:rPr>
              <w:footnoteReference w:id="44"/>
            </w:r>
          </w:p>
        </w:tc>
        <w:tc>
          <w:tcPr>
            <w:tcW w:w="509" w:type="pct"/>
            <w:shd w:val="clear" w:color="auto" w:fill="auto"/>
            <w:vAlign w:val="center"/>
          </w:tcPr>
          <w:p w14:paraId="16F071DA" w14:textId="77777777" w:rsidR="001F2A4B" w:rsidRPr="00710B91" w:rsidRDefault="001F2A4B" w:rsidP="001F2A4B">
            <w:pPr>
              <w:spacing w:beforeLines="20" w:before="48" w:afterLines="20" w:after="48"/>
              <w:jc w:val="center"/>
              <w:rPr>
                <w:noProof/>
                <w:sz w:val="20"/>
              </w:rPr>
            </w:pPr>
          </w:p>
        </w:tc>
        <w:tc>
          <w:tcPr>
            <w:tcW w:w="509" w:type="pct"/>
            <w:shd w:val="clear" w:color="auto" w:fill="auto"/>
            <w:vAlign w:val="center"/>
          </w:tcPr>
          <w:p w14:paraId="214C6C93" w14:textId="77777777" w:rsidR="001F2A4B" w:rsidRPr="00710B91" w:rsidRDefault="001F2A4B" w:rsidP="001F2A4B">
            <w:pPr>
              <w:spacing w:beforeLines="20" w:before="48" w:afterLines="20" w:after="48"/>
              <w:jc w:val="center"/>
              <w:rPr>
                <w:noProof/>
                <w:sz w:val="20"/>
              </w:rPr>
            </w:pPr>
          </w:p>
        </w:tc>
        <w:tc>
          <w:tcPr>
            <w:tcW w:w="549" w:type="pct"/>
            <w:shd w:val="clear" w:color="auto" w:fill="auto"/>
            <w:vAlign w:val="center"/>
          </w:tcPr>
          <w:p w14:paraId="0BEDF59C" w14:textId="77777777" w:rsidR="001F2A4B" w:rsidRPr="00710B91" w:rsidRDefault="001F2A4B" w:rsidP="001F2A4B">
            <w:pPr>
              <w:spacing w:beforeLines="20" w:before="48" w:afterLines="20" w:after="48"/>
              <w:jc w:val="center"/>
              <w:rPr>
                <w:noProof/>
                <w:sz w:val="20"/>
              </w:rPr>
            </w:pPr>
          </w:p>
        </w:tc>
        <w:tc>
          <w:tcPr>
            <w:tcW w:w="672" w:type="pct"/>
            <w:shd w:val="clear" w:color="auto" w:fill="auto"/>
            <w:vAlign w:val="center"/>
          </w:tcPr>
          <w:p w14:paraId="42F4099C" w14:textId="77777777" w:rsidR="001F2A4B" w:rsidRPr="00710B91" w:rsidRDefault="001F2A4B" w:rsidP="001F2A4B">
            <w:pPr>
              <w:spacing w:beforeLines="20" w:before="48" w:afterLines="20" w:after="48"/>
              <w:jc w:val="center"/>
              <w:rPr>
                <w:noProof/>
                <w:sz w:val="20"/>
              </w:rPr>
            </w:pPr>
          </w:p>
        </w:tc>
      </w:tr>
      <w:tr w:rsidR="001F2A4B" w:rsidRPr="00710B91" w14:paraId="2C0E9D5E" w14:textId="77777777" w:rsidTr="001F2A4B">
        <w:trPr>
          <w:trHeight w:val="289"/>
          <w:jc w:val="center"/>
        </w:trPr>
        <w:tc>
          <w:tcPr>
            <w:tcW w:w="2761" w:type="pct"/>
            <w:gridSpan w:val="2"/>
            <w:shd w:val="clear" w:color="auto" w:fill="auto"/>
            <w:vAlign w:val="center"/>
          </w:tcPr>
          <w:p w14:paraId="4A14828C" w14:textId="31103C6F" w:rsidR="001F2A4B" w:rsidRPr="00710B91" w:rsidRDefault="001F2A4B" w:rsidP="001F2A4B">
            <w:pPr>
              <w:pStyle w:val="Text1"/>
              <w:spacing w:beforeLines="20" w:before="48" w:afterLines="20" w:after="48"/>
              <w:ind w:left="986"/>
              <w:jc w:val="left"/>
              <w:rPr>
                <w:b/>
                <w:noProof/>
                <w:sz w:val="20"/>
              </w:rPr>
            </w:pPr>
            <w:r w:rsidRPr="00710B91">
              <w:rPr>
                <w:noProof/>
                <w:sz w:val="20"/>
              </w:rPr>
              <w:t>20 02 01 (CA, SNE, INT</w:t>
            </w:r>
            <w:r w:rsidR="00710B91" w:rsidRPr="00710B91">
              <w:rPr>
                <w:noProof/>
                <w:sz w:val="20"/>
              </w:rPr>
              <w:t xml:space="preserve"> z</w:t>
            </w:r>
            <w:r w:rsidR="00710B91">
              <w:rPr>
                <w:noProof/>
                <w:sz w:val="20"/>
              </w:rPr>
              <w:t> </w:t>
            </w:r>
            <w:r w:rsidR="00710B91" w:rsidRPr="00710B91">
              <w:rPr>
                <w:noProof/>
                <w:sz w:val="20"/>
              </w:rPr>
              <w:t>glo</w:t>
            </w:r>
            <w:r w:rsidRPr="00710B91">
              <w:rPr>
                <w:noProof/>
                <w:sz w:val="20"/>
              </w:rPr>
              <w:t>balnej koperty finansowej)</w:t>
            </w:r>
          </w:p>
        </w:tc>
        <w:tc>
          <w:tcPr>
            <w:tcW w:w="509" w:type="pct"/>
            <w:shd w:val="clear" w:color="auto" w:fill="auto"/>
            <w:vAlign w:val="center"/>
          </w:tcPr>
          <w:p w14:paraId="0FE1161F" w14:textId="77777777" w:rsidR="001F2A4B" w:rsidRPr="00710B91" w:rsidRDefault="001F2A4B" w:rsidP="001F2A4B">
            <w:pPr>
              <w:spacing w:beforeLines="20" w:before="48" w:afterLines="20" w:after="48"/>
              <w:jc w:val="center"/>
              <w:rPr>
                <w:noProof/>
                <w:sz w:val="20"/>
              </w:rPr>
            </w:pPr>
          </w:p>
        </w:tc>
        <w:tc>
          <w:tcPr>
            <w:tcW w:w="509" w:type="pct"/>
            <w:shd w:val="clear" w:color="auto" w:fill="auto"/>
            <w:vAlign w:val="center"/>
          </w:tcPr>
          <w:p w14:paraId="491A4DE5" w14:textId="77777777" w:rsidR="001F2A4B" w:rsidRPr="00710B91" w:rsidRDefault="001F2A4B" w:rsidP="001F2A4B">
            <w:pPr>
              <w:spacing w:beforeLines="20" w:before="48" w:afterLines="20" w:after="48"/>
              <w:jc w:val="center"/>
              <w:rPr>
                <w:noProof/>
                <w:sz w:val="20"/>
              </w:rPr>
            </w:pPr>
          </w:p>
        </w:tc>
        <w:tc>
          <w:tcPr>
            <w:tcW w:w="549" w:type="pct"/>
            <w:shd w:val="clear" w:color="auto" w:fill="auto"/>
            <w:vAlign w:val="center"/>
          </w:tcPr>
          <w:p w14:paraId="112B3198" w14:textId="77777777" w:rsidR="001F2A4B" w:rsidRPr="00710B91" w:rsidRDefault="001F2A4B" w:rsidP="001F2A4B">
            <w:pPr>
              <w:spacing w:beforeLines="20" w:before="48" w:afterLines="20" w:after="48"/>
              <w:jc w:val="center"/>
              <w:rPr>
                <w:noProof/>
                <w:sz w:val="20"/>
              </w:rPr>
            </w:pPr>
          </w:p>
        </w:tc>
        <w:tc>
          <w:tcPr>
            <w:tcW w:w="672" w:type="pct"/>
            <w:shd w:val="clear" w:color="auto" w:fill="auto"/>
            <w:vAlign w:val="center"/>
          </w:tcPr>
          <w:p w14:paraId="411A612C" w14:textId="77777777" w:rsidR="001F2A4B" w:rsidRPr="00710B91" w:rsidRDefault="001F2A4B" w:rsidP="001F2A4B">
            <w:pPr>
              <w:spacing w:beforeLines="20" w:before="48" w:afterLines="20" w:after="48"/>
              <w:jc w:val="center"/>
              <w:rPr>
                <w:noProof/>
                <w:sz w:val="20"/>
              </w:rPr>
            </w:pPr>
          </w:p>
        </w:tc>
      </w:tr>
      <w:tr w:rsidR="001F2A4B" w:rsidRPr="00710B91" w14:paraId="475010C1" w14:textId="77777777" w:rsidTr="001F2A4B">
        <w:trPr>
          <w:trHeight w:val="289"/>
          <w:jc w:val="center"/>
        </w:trPr>
        <w:tc>
          <w:tcPr>
            <w:tcW w:w="2761" w:type="pct"/>
            <w:gridSpan w:val="2"/>
            <w:shd w:val="clear" w:color="auto" w:fill="auto"/>
            <w:vAlign w:val="center"/>
          </w:tcPr>
          <w:p w14:paraId="47B7E475" w14:textId="7595C4ED" w:rsidR="001F2A4B" w:rsidRPr="00710B91" w:rsidRDefault="001F2A4B" w:rsidP="001F2A4B">
            <w:pPr>
              <w:pStyle w:val="Text1"/>
              <w:spacing w:beforeLines="20" w:before="48" w:afterLines="20" w:after="48"/>
              <w:ind w:left="986"/>
              <w:jc w:val="left"/>
              <w:rPr>
                <w:noProof/>
                <w:sz w:val="20"/>
              </w:rPr>
            </w:pPr>
            <w:r w:rsidRPr="00710B91">
              <w:rPr>
                <w:noProof/>
                <w:sz w:val="20"/>
              </w:rPr>
              <w:t>20 02 03 (CA, LA, SNE, INT i JPD</w:t>
            </w:r>
            <w:r w:rsidR="00710B91" w:rsidRPr="00710B91">
              <w:rPr>
                <w:noProof/>
                <w:sz w:val="20"/>
              </w:rPr>
              <w:t xml:space="preserve"> w</w:t>
            </w:r>
            <w:r w:rsidR="00710B91">
              <w:rPr>
                <w:noProof/>
                <w:sz w:val="20"/>
              </w:rPr>
              <w:t> </w:t>
            </w:r>
            <w:r w:rsidR="00710B91" w:rsidRPr="00710B91">
              <w:rPr>
                <w:noProof/>
                <w:sz w:val="20"/>
              </w:rPr>
              <w:t>del</w:t>
            </w:r>
            <w:r w:rsidRPr="00710B91">
              <w:rPr>
                <w:noProof/>
                <w:sz w:val="20"/>
              </w:rPr>
              <w:t>egaturach)</w:t>
            </w:r>
          </w:p>
        </w:tc>
        <w:tc>
          <w:tcPr>
            <w:tcW w:w="509" w:type="pct"/>
            <w:shd w:val="clear" w:color="auto" w:fill="auto"/>
            <w:vAlign w:val="center"/>
          </w:tcPr>
          <w:p w14:paraId="74C43704" w14:textId="77777777" w:rsidR="001F2A4B" w:rsidRPr="00710B91" w:rsidRDefault="001F2A4B" w:rsidP="001F2A4B">
            <w:pPr>
              <w:spacing w:beforeLines="20" w:before="48" w:afterLines="20" w:after="48"/>
              <w:jc w:val="center"/>
              <w:rPr>
                <w:noProof/>
                <w:sz w:val="20"/>
              </w:rPr>
            </w:pPr>
          </w:p>
        </w:tc>
        <w:tc>
          <w:tcPr>
            <w:tcW w:w="509" w:type="pct"/>
            <w:shd w:val="clear" w:color="auto" w:fill="auto"/>
            <w:vAlign w:val="center"/>
          </w:tcPr>
          <w:p w14:paraId="267F7E7B" w14:textId="77777777" w:rsidR="001F2A4B" w:rsidRPr="00710B91" w:rsidRDefault="001F2A4B" w:rsidP="001F2A4B">
            <w:pPr>
              <w:spacing w:beforeLines="20" w:before="48" w:afterLines="20" w:after="48"/>
              <w:jc w:val="center"/>
              <w:rPr>
                <w:noProof/>
                <w:sz w:val="20"/>
              </w:rPr>
            </w:pPr>
          </w:p>
        </w:tc>
        <w:tc>
          <w:tcPr>
            <w:tcW w:w="549" w:type="pct"/>
            <w:shd w:val="clear" w:color="auto" w:fill="auto"/>
            <w:vAlign w:val="center"/>
          </w:tcPr>
          <w:p w14:paraId="0423E910" w14:textId="77777777" w:rsidR="001F2A4B" w:rsidRPr="00710B91" w:rsidRDefault="001F2A4B" w:rsidP="001F2A4B">
            <w:pPr>
              <w:spacing w:beforeLines="20" w:before="48" w:afterLines="20" w:after="48"/>
              <w:jc w:val="center"/>
              <w:rPr>
                <w:noProof/>
                <w:sz w:val="20"/>
              </w:rPr>
            </w:pPr>
          </w:p>
        </w:tc>
        <w:tc>
          <w:tcPr>
            <w:tcW w:w="672" w:type="pct"/>
            <w:shd w:val="clear" w:color="auto" w:fill="auto"/>
            <w:vAlign w:val="center"/>
          </w:tcPr>
          <w:p w14:paraId="70B0BD03" w14:textId="77777777" w:rsidR="001F2A4B" w:rsidRPr="00710B91" w:rsidRDefault="001F2A4B" w:rsidP="001F2A4B">
            <w:pPr>
              <w:spacing w:beforeLines="20" w:before="48" w:afterLines="20" w:after="48"/>
              <w:jc w:val="center"/>
              <w:rPr>
                <w:noProof/>
                <w:sz w:val="20"/>
              </w:rPr>
            </w:pPr>
          </w:p>
        </w:tc>
      </w:tr>
      <w:tr w:rsidR="001F2A4B" w:rsidRPr="00710B91" w14:paraId="68645E8D" w14:textId="77777777" w:rsidTr="001F2A4B">
        <w:trPr>
          <w:trHeight w:val="289"/>
          <w:jc w:val="center"/>
        </w:trPr>
        <w:tc>
          <w:tcPr>
            <w:tcW w:w="1375" w:type="pct"/>
            <w:vMerge w:val="restart"/>
            <w:shd w:val="clear" w:color="auto" w:fill="auto"/>
            <w:vAlign w:val="center"/>
          </w:tcPr>
          <w:p w14:paraId="659F8EE8" w14:textId="77777777" w:rsidR="001F2A4B" w:rsidRPr="00710B91" w:rsidRDefault="001F2A4B" w:rsidP="001F2A4B">
            <w:pPr>
              <w:pStyle w:val="Text1"/>
              <w:spacing w:beforeLines="20" w:before="48" w:afterLines="20" w:after="48"/>
              <w:ind w:left="986"/>
              <w:jc w:val="left"/>
              <w:rPr>
                <w:b/>
                <w:noProof/>
                <w:sz w:val="20"/>
              </w:rPr>
            </w:pPr>
            <w:r w:rsidRPr="00710B91">
              <w:rPr>
                <w:noProof/>
                <w:sz w:val="20"/>
              </w:rPr>
              <w:t>Linia budżetowa (określić)</w:t>
            </w:r>
            <w:r w:rsidRPr="00710B91">
              <w:rPr>
                <w:b/>
                <w:noProof/>
                <w:sz w:val="20"/>
              </w:rPr>
              <w:t xml:space="preserve"> </w:t>
            </w:r>
            <w:r w:rsidRPr="00710B91">
              <w:rPr>
                <w:rStyle w:val="FootnoteReference"/>
                <w:b/>
                <w:noProof/>
                <w:sz w:val="20"/>
              </w:rPr>
              <w:footnoteReference w:id="45"/>
            </w:r>
          </w:p>
        </w:tc>
        <w:tc>
          <w:tcPr>
            <w:tcW w:w="1386" w:type="pct"/>
            <w:shd w:val="clear" w:color="auto" w:fill="auto"/>
            <w:vAlign w:val="center"/>
          </w:tcPr>
          <w:p w14:paraId="353A4F78" w14:textId="73089B59" w:rsidR="001F2A4B" w:rsidRPr="00710B91" w:rsidRDefault="001F2A4B" w:rsidP="001F2A4B">
            <w:pPr>
              <w:pStyle w:val="Text1"/>
              <w:spacing w:beforeLines="20" w:before="48" w:afterLines="20" w:after="48"/>
              <w:ind w:left="598"/>
              <w:jc w:val="left"/>
              <w:rPr>
                <w:b/>
                <w:noProof/>
                <w:sz w:val="20"/>
              </w:rPr>
            </w:pPr>
            <w:r w:rsidRPr="00710B91">
              <w:rPr>
                <w:noProof/>
                <w:sz w:val="20"/>
              </w:rPr>
              <w:t>–</w:t>
            </w:r>
            <w:r w:rsidR="00710B91" w:rsidRPr="00710B91">
              <w:rPr>
                <w:noProof/>
                <w:sz w:val="20"/>
              </w:rPr>
              <w:t xml:space="preserve"> w</w:t>
            </w:r>
            <w:r w:rsidR="00710B91">
              <w:rPr>
                <w:noProof/>
                <w:sz w:val="20"/>
              </w:rPr>
              <w:t> </w:t>
            </w:r>
            <w:r w:rsidR="00710B91" w:rsidRPr="00710B91">
              <w:rPr>
                <w:noProof/>
                <w:sz w:val="20"/>
              </w:rPr>
              <w:t>cen</w:t>
            </w:r>
            <w:r w:rsidRPr="00710B91">
              <w:rPr>
                <w:noProof/>
                <w:sz w:val="20"/>
              </w:rPr>
              <w:t>trali</w:t>
            </w:r>
            <w:r w:rsidRPr="00710B91">
              <w:rPr>
                <w:rStyle w:val="FootnoteReference"/>
                <w:noProof/>
                <w:sz w:val="20"/>
              </w:rPr>
              <w:footnoteReference w:id="46"/>
            </w:r>
            <w:r w:rsidRPr="00710B91">
              <w:rPr>
                <w:noProof/>
              </w:rPr>
              <w:t xml:space="preserve"> </w:t>
            </w:r>
            <w:r w:rsidRPr="00710B91">
              <w:rPr>
                <w:noProof/>
              </w:rPr>
              <w:br/>
            </w:r>
          </w:p>
        </w:tc>
        <w:tc>
          <w:tcPr>
            <w:tcW w:w="509" w:type="pct"/>
            <w:shd w:val="clear" w:color="auto" w:fill="auto"/>
            <w:vAlign w:val="center"/>
          </w:tcPr>
          <w:p w14:paraId="19078BBB" w14:textId="77777777" w:rsidR="001F2A4B" w:rsidRPr="00710B91" w:rsidRDefault="001F2A4B" w:rsidP="001F2A4B">
            <w:pPr>
              <w:pStyle w:val="Text1"/>
              <w:spacing w:beforeLines="20" w:before="48" w:afterLines="20" w:after="48"/>
              <w:rPr>
                <w:noProof/>
                <w:sz w:val="20"/>
              </w:rPr>
            </w:pPr>
          </w:p>
        </w:tc>
        <w:tc>
          <w:tcPr>
            <w:tcW w:w="509" w:type="pct"/>
            <w:shd w:val="clear" w:color="auto" w:fill="auto"/>
            <w:vAlign w:val="center"/>
          </w:tcPr>
          <w:p w14:paraId="5188564E" w14:textId="77777777" w:rsidR="001F2A4B" w:rsidRPr="00710B91" w:rsidRDefault="001F2A4B" w:rsidP="001F2A4B">
            <w:pPr>
              <w:spacing w:beforeLines="20" w:before="48" w:afterLines="20" w:after="48"/>
              <w:jc w:val="center"/>
              <w:rPr>
                <w:noProof/>
                <w:sz w:val="20"/>
              </w:rPr>
            </w:pPr>
          </w:p>
        </w:tc>
        <w:tc>
          <w:tcPr>
            <w:tcW w:w="549" w:type="pct"/>
            <w:shd w:val="clear" w:color="auto" w:fill="auto"/>
            <w:vAlign w:val="center"/>
          </w:tcPr>
          <w:p w14:paraId="7663D236" w14:textId="77777777" w:rsidR="001F2A4B" w:rsidRPr="00710B91" w:rsidRDefault="001F2A4B" w:rsidP="001F2A4B">
            <w:pPr>
              <w:spacing w:beforeLines="20" w:before="48" w:afterLines="20" w:after="48"/>
              <w:jc w:val="center"/>
              <w:rPr>
                <w:noProof/>
                <w:sz w:val="20"/>
              </w:rPr>
            </w:pPr>
          </w:p>
        </w:tc>
        <w:tc>
          <w:tcPr>
            <w:tcW w:w="672" w:type="pct"/>
            <w:shd w:val="clear" w:color="auto" w:fill="auto"/>
            <w:vAlign w:val="center"/>
          </w:tcPr>
          <w:p w14:paraId="6E8466B0" w14:textId="77777777" w:rsidR="001F2A4B" w:rsidRPr="00710B91" w:rsidRDefault="001F2A4B" w:rsidP="001F2A4B">
            <w:pPr>
              <w:spacing w:beforeLines="20" w:before="48" w:afterLines="20" w:after="48"/>
              <w:jc w:val="center"/>
              <w:rPr>
                <w:noProof/>
                <w:sz w:val="20"/>
              </w:rPr>
            </w:pPr>
          </w:p>
        </w:tc>
      </w:tr>
      <w:tr w:rsidR="001F2A4B" w:rsidRPr="00710B91" w14:paraId="49C4413F" w14:textId="77777777" w:rsidTr="001F2A4B">
        <w:trPr>
          <w:trHeight w:val="289"/>
          <w:jc w:val="center"/>
        </w:trPr>
        <w:tc>
          <w:tcPr>
            <w:tcW w:w="1375" w:type="pct"/>
            <w:vMerge/>
            <w:shd w:val="clear" w:color="auto" w:fill="auto"/>
            <w:vAlign w:val="center"/>
          </w:tcPr>
          <w:p w14:paraId="6D8C47B9" w14:textId="77777777" w:rsidR="001F2A4B" w:rsidRPr="00710B91" w:rsidRDefault="001F2A4B" w:rsidP="001F2A4B">
            <w:pPr>
              <w:rPr>
                <w:b/>
                <w:noProof/>
                <w:sz w:val="20"/>
              </w:rPr>
            </w:pPr>
          </w:p>
        </w:tc>
        <w:tc>
          <w:tcPr>
            <w:tcW w:w="1386" w:type="pct"/>
            <w:shd w:val="clear" w:color="auto" w:fill="auto"/>
            <w:vAlign w:val="center"/>
          </w:tcPr>
          <w:p w14:paraId="39A871C1" w14:textId="33FD5F50" w:rsidR="001F2A4B" w:rsidRPr="00710B91" w:rsidRDefault="001F2A4B" w:rsidP="001F2A4B">
            <w:pPr>
              <w:pStyle w:val="Text1"/>
              <w:spacing w:beforeLines="20" w:before="48" w:afterLines="20" w:after="48"/>
              <w:ind w:left="598"/>
              <w:jc w:val="left"/>
              <w:rPr>
                <w:b/>
                <w:noProof/>
                <w:sz w:val="20"/>
              </w:rPr>
            </w:pPr>
            <w:r w:rsidRPr="00710B91">
              <w:rPr>
                <w:noProof/>
                <w:sz w:val="20"/>
              </w:rPr>
              <w:t>-</w:t>
            </w:r>
            <w:r w:rsidR="00710B91" w:rsidRPr="00710B91">
              <w:rPr>
                <w:noProof/>
                <w:sz w:val="20"/>
              </w:rPr>
              <w:t xml:space="preserve"> w</w:t>
            </w:r>
            <w:r w:rsidR="00710B91">
              <w:rPr>
                <w:noProof/>
                <w:sz w:val="20"/>
              </w:rPr>
              <w:t> </w:t>
            </w:r>
            <w:r w:rsidR="00710B91" w:rsidRPr="00710B91">
              <w:rPr>
                <w:noProof/>
                <w:sz w:val="20"/>
              </w:rPr>
              <w:t>del</w:t>
            </w:r>
            <w:r w:rsidRPr="00710B91">
              <w:rPr>
                <w:noProof/>
                <w:sz w:val="20"/>
              </w:rPr>
              <w:t xml:space="preserve">egaturach </w:t>
            </w:r>
          </w:p>
        </w:tc>
        <w:tc>
          <w:tcPr>
            <w:tcW w:w="509" w:type="pct"/>
            <w:shd w:val="clear" w:color="auto" w:fill="auto"/>
            <w:vAlign w:val="center"/>
          </w:tcPr>
          <w:p w14:paraId="0E20C22C" w14:textId="77777777" w:rsidR="001F2A4B" w:rsidRPr="00710B91" w:rsidRDefault="001F2A4B" w:rsidP="001F2A4B">
            <w:pPr>
              <w:pStyle w:val="Text1"/>
              <w:spacing w:beforeLines="20" w:before="48" w:afterLines="20" w:after="48"/>
              <w:rPr>
                <w:noProof/>
                <w:sz w:val="20"/>
              </w:rPr>
            </w:pPr>
          </w:p>
        </w:tc>
        <w:tc>
          <w:tcPr>
            <w:tcW w:w="509" w:type="pct"/>
            <w:shd w:val="clear" w:color="auto" w:fill="auto"/>
            <w:vAlign w:val="center"/>
          </w:tcPr>
          <w:p w14:paraId="19C5C949" w14:textId="77777777" w:rsidR="001F2A4B" w:rsidRPr="00710B91" w:rsidRDefault="001F2A4B" w:rsidP="001F2A4B">
            <w:pPr>
              <w:spacing w:beforeLines="20" w:before="48" w:afterLines="20" w:after="48"/>
              <w:jc w:val="center"/>
              <w:rPr>
                <w:noProof/>
                <w:sz w:val="20"/>
              </w:rPr>
            </w:pPr>
          </w:p>
        </w:tc>
        <w:tc>
          <w:tcPr>
            <w:tcW w:w="549" w:type="pct"/>
            <w:shd w:val="clear" w:color="auto" w:fill="auto"/>
            <w:vAlign w:val="center"/>
          </w:tcPr>
          <w:p w14:paraId="53C7AAF1" w14:textId="77777777" w:rsidR="001F2A4B" w:rsidRPr="00710B91" w:rsidRDefault="001F2A4B" w:rsidP="001F2A4B">
            <w:pPr>
              <w:spacing w:beforeLines="20" w:before="48" w:afterLines="20" w:after="48"/>
              <w:jc w:val="center"/>
              <w:rPr>
                <w:noProof/>
                <w:sz w:val="20"/>
              </w:rPr>
            </w:pPr>
          </w:p>
        </w:tc>
        <w:tc>
          <w:tcPr>
            <w:tcW w:w="672" w:type="pct"/>
            <w:shd w:val="clear" w:color="auto" w:fill="auto"/>
            <w:vAlign w:val="center"/>
          </w:tcPr>
          <w:p w14:paraId="2DF5CCF3" w14:textId="77777777" w:rsidR="001F2A4B" w:rsidRPr="00710B91" w:rsidRDefault="001F2A4B" w:rsidP="001F2A4B">
            <w:pPr>
              <w:spacing w:beforeLines="20" w:before="48" w:afterLines="20" w:after="48"/>
              <w:jc w:val="center"/>
              <w:rPr>
                <w:noProof/>
                <w:sz w:val="20"/>
              </w:rPr>
            </w:pPr>
          </w:p>
        </w:tc>
      </w:tr>
      <w:tr w:rsidR="001F2A4B" w:rsidRPr="00710B91" w14:paraId="30498B8A" w14:textId="77777777" w:rsidTr="001F2A4B">
        <w:trPr>
          <w:trHeight w:val="289"/>
          <w:jc w:val="center"/>
        </w:trPr>
        <w:tc>
          <w:tcPr>
            <w:tcW w:w="2761" w:type="pct"/>
            <w:gridSpan w:val="2"/>
            <w:shd w:val="clear" w:color="auto" w:fill="auto"/>
            <w:vAlign w:val="center"/>
          </w:tcPr>
          <w:p w14:paraId="0907E5DB" w14:textId="77777777" w:rsidR="001F2A4B" w:rsidRPr="00710B91" w:rsidRDefault="001F2A4B" w:rsidP="001F2A4B">
            <w:pPr>
              <w:pStyle w:val="Text1"/>
              <w:spacing w:beforeLines="20" w:before="48" w:afterLines="20" w:after="48"/>
              <w:ind w:left="986"/>
              <w:jc w:val="left"/>
              <w:rPr>
                <w:noProof/>
                <w:sz w:val="20"/>
              </w:rPr>
            </w:pPr>
            <w:r w:rsidRPr="00710B91">
              <w:rPr>
                <w:b/>
                <w:noProof/>
                <w:sz w:val="20"/>
              </w:rPr>
              <w:t>01 01 01 02</w:t>
            </w:r>
            <w:r w:rsidRPr="00710B91">
              <w:rPr>
                <w:noProof/>
                <w:sz w:val="20"/>
              </w:rPr>
              <w:t xml:space="preserve"> (CA, SNE, INT – pośrednie badania naukowe)</w:t>
            </w:r>
          </w:p>
        </w:tc>
        <w:tc>
          <w:tcPr>
            <w:tcW w:w="509" w:type="pct"/>
            <w:shd w:val="clear" w:color="auto" w:fill="auto"/>
            <w:vAlign w:val="center"/>
          </w:tcPr>
          <w:p w14:paraId="0F09BF7B" w14:textId="77777777" w:rsidR="001F2A4B" w:rsidRPr="00710B91" w:rsidRDefault="001F2A4B" w:rsidP="001F2A4B">
            <w:pPr>
              <w:spacing w:beforeLines="20" w:before="48" w:afterLines="20" w:after="48"/>
              <w:jc w:val="center"/>
              <w:rPr>
                <w:noProof/>
                <w:sz w:val="20"/>
              </w:rPr>
            </w:pPr>
          </w:p>
        </w:tc>
        <w:tc>
          <w:tcPr>
            <w:tcW w:w="509" w:type="pct"/>
            <w:shd w:val="clear" w:color="auto" w:fill="auto"/>
            <w:vAlign w:val="center"/>
          </w:tcPr>
          <w:p w14:paraId="040378A6" w14:textId="77777777" w:rsidR="001F2A4B" w:rsidRPr="00710B91" w:rsidRDefault="001F2A4B" w:rsidP="001F2A4B">
            <w:pPr>
              <w:spacing w:beforeLines="20" w:before="48" w:afterLines="20" w:after="48"/>
              <w:jc w:val="center"/>
              <w:rPr>
                <w:noProof/>
                <w:sz w:val="20"/>
              </w:rPr>
            </w:pPr>
          </w:p>
        </w:tc>
        <w:tc>
          <w:tcPr>
            <w:tcW w:w="549" w:type="pct"/>
            <w:shd w:val="clear" w:color="auto" w:fill="auto"/>
            <w:vAlign w:val="center"/>
          </w:tcPr>
          <w:p w14:paraId="14383D2B" w14:textId="77777777" w:rsidR="001F2A4B" w:rsidRPr="00710B91" w:rsidRDefault="001F2A4B" w:rsidP="001F2A4B">
            <w:pPr>
              <w:spacing w:beforeLines="20" w:before="48" w:afterLines="20" w:after="48"/>
              <w:jc w:val="center"/>
              <w:rPr>
                <w:noProof/>
                <w:sz w:val="20"/>
              </w:rPr>
            </w:pPr>
          </w:p>
        </w:tc>
        <w:tc>
          <w:tcPr>
            <w:tcW w:w="672" w:type="pct"/>
            <w:shd w:val="clear" w:color="auto" w:fill="auto"/>
            <w:vAlign w:val="center"/>
          </w:tcPr>
          <w:p w14:paraId="4C8F4B53" w14:textId="77777777" w:rsidR="001F2A4B" w:rsidRPr="00710B91" w:rsidRDefault="001F2A4B" w:rsidP="001F2A4B">
            <w:pPr>
              <w:spacing w:beforeLines="20" w:before="48" w:afterLines="20" w:after="48"/>
              <w:jc w:val="center"/>
              <w:rPr>
                <w:noProof/>
                <w:sz w:val="20"/>
              </w:rPr>
            </w:pPr>
          </w:p>
        </w:tc>
      </w:tr>
      <w:tr w:rsidR="001F2A4B" w:rsidRPr="00710B91" w14:paraId="0F0A2E40" w14:textId="77777777" w:rsidTr="001F2A4B">
        <w:trPr>
          <w:trHeight w:val="289"/>
          <w:jc w:val="center"/>
        </w:trPr>
        <w:tc>
          <w:tcPr>
            <w:tcW w:w="2761" w:type="pct"/>
            <w:gridSpan w:val="2"/>
            <w:shd w:val="clear" w:color="auto" w:fill="auto"/>
            <w:vAlign w:val="center"/>
          </w:tcPr>
          <w:p w14:paraId="107B058D" w14:textId="77777777" w:rsidR="001F2A4B" w:rsidRPr="00710B91" w:rsidRDefault="001F2A4B" w:rsidP="001F2A4B">
            <w:pPr>
              <w:pStyle w:val="Text1"/>
              <w:spacing w:beforeLines="20" w:before="48" w:afterLines="20" w:after="48"/>
              <w:ind w:left="986"/>
              <w:jc w:val="left"/>
              <w:rPr>
                <w:noProof/>
                <w:sz w:val="20"/>
              </w:rPr>
            </w:pPr>
            <w:r w:rsidRPr="00710B91">
              <w:rPr>
                <w:noProof/>
                <w:sz w:val="20"/>
              </w:rPr>
              <w:t>10 01 05 02 (CA, INT, SNE – bezpośrednie badania naukowe)</w:t>
            </w:r>
          </w:p>
        </w:tc>
        <w:tc>
          <w:tcPr>
            <w:tcW w:w="509" w:type="pct"/>
            <w:shd w:val="clear" w:color="auto" w:fill="auto"/>
            <w:vAlign w:val="center"/>
          </w:tcPr>
          <w:p w14:paraId="5A90B296" w14:textId="77777777" w:rsidR="001F2A4B" w:rsidRPr="00710B91" w:rsidRDefault="001F2A4B" w:rsidP="001F2A4B">
            <w:pPr>
              <w:spacing w:beforeLines="20" w:before="48" w:afterLines="20" w:after="48"/>
              <w:jc w:val="center"/>
              <w:rPr>
                <w:noProof/>
                <w:sz w:val="20"/>
              </w:rPr>
            </w:pPr>
          </w:p>
        </w:tc>
        <w:tc>
          <w:tcPr>
            <w:tcW w:w="509" w:type="pct"/>
            <w:shd w:val="clear" w:color="auto" w:fill="auto"/>
            <w:vAlign w:val="center"/>
          </w:tcPr>
          <w:p w14:paraId="7C1FFF74" w14:textId="77777777" w:rsidR="001F2A4B" w:rsidRPr="00710B91" w:rsidRDefault="001F2A4B" w:rsidP="001F2A4B">
            <w:pPr>
              <w:spacing w:beforeLines="20" w:before="48" w:afterLines="20" w:after="48"/>
              <w:jc w:val="center"/>
              <w:rPr>
                <w:noProof/>
                <w:sz w:val="20"/>
              </w:rPr>
            </w:pPr>
          </w:p>
        </w:tc>
        <w:tc>
          <w:tcPr>
            <w:tcW w:w="549" w:type="pct"/>
            <w:shd w:val="clear" w:color="auto" w:fill="auto"/>
            <w:vAlign w:val="center"/>
          </w:tcPr>
          <w:p w14:paraId="7297F29C" w14:textId="77777777" w:rsidR="001F2A4B" w:rsidRPr="00710B91" w:rsidRDefault="001F2A4B" w:rsidP="001F2A4B">
            <w:pPr>
              <w:spacing w:beforeLines="20" w:before="48" w:afterLines="20" w:after="48"/>
              <w:jc w:val="center"/>
              <w:rPr>
                <w:noProof/>
                <w:sz w:val="20"/>
              </w:rPr>
            </w:pPr>
          </w:p>
        </w:tc>
        <w:tc>
          <w:tcPr>
            <w:tcW w:w="672" w:type="pct"/>
            <w:shd w:val="clear" w:color="auto" w:fill="auto"/>
            <w:vAlign w:val="center"/>
          </w:tcPr>
          <w:p w14:paraId="4A43330C" w14:textId="77777777" w:rsidR="001F2A4B" w:rsidRPr="00710B91" w:rsidRDefault="001F2A4B" w:rsidP="001F2A4B">
            <w:pPr>
              <w:spacing w:beforeLines="20" w:before="48" w:afterLines="20" w:after="48"/>
              <w:jc w:val="center"/>
              <w:rPr>
                <w:noProof/>
                <w:sz w:val="20"/>
              </w:rPr>
            </w:pPr>
          </w:p>
        </w:tc>
      </w:tr>
      <w:tr w:rsidR="001F2A4B" w:rsidRPr="00710B91" w14:paraId="432C6463" w14:textId="77777777" w:rsidTr="001F2A4B">
        <w:trPr>
          <w:trHeight w:val="289"/>
          <w:jc w:val="center"/>
        </w:trPr>
        <w:tc>
          <w:tcPr>
            <w:tcW w:w="2761" w:type="pct"/>
            <w:gridSpan w:val="2"/>
            <w:tcBorders>
              <w:bottom w:val="double" w:sz="4" w:space="0" w:color="auto"/>
            </w:tcBorders>
            <w:shd w:val="clear" w:color="auto" w:fill="auto"/>
            <w:vAlign w:val="center"/>
          </w:tcPr>
          <w:p w14:paraId="149D0D64" w14:textId="77777777" w:rsidR="001F2A4B" w:rsidRPr="00710B91" w:rsidRDefault="001F2A4B" w:rsidP="001F2A4B">
            <w:pPr>
              <w:pStyle w:val="Text1"/>
              <w:spacing w:beforeLines="20" w:before="48" w:afterLines="20" w:after="48"/>
              <w:ind w:left="984"/>
              <w:jc w:val="left"/>
              <w:rPr>
                <w:noProof/>
                <w:sz w:val="20"/>
              </w:rPr>
            </w:pPr>
            <w:r w:rsidRPr="00710B91">
              <w:rPr>
                <w:noProof/>
                <w:sz w:val="20"/>
              </w:rPr>
              <w:t>Inna linia budżetowa (określić)</w:t>
            </w:r>
          </w:p>
        </w:tc>
        <w:tc>
          <w:tcPr>
            <w:tcW w:w="509" w:type="pct"/>
            <w:tcBorders>
              <w:bottom w:val="double" w:sz="4" w:space="0" w:color="auto"/>
            </w:tcBorders>
            <w:shd w:val="clear" w:color="auto" w:fill="auto"/>
            <w:vAlign w:val="center"/>
          </w:tcPr>
          <w:p w14:paraId="68177B62" w14:textId="77777777" w:rsidR="001F2A4B" w:rsidRPr="00710B91" w:rsidRDefault="001F2A4B" w:rsidP="001F2A4B">
            <w:pPr>
              <w:spacing w:beforeLines="20" w:before="48" w:afterLines="20" w:after="48"/>
              <w:jc w:val="center"/>
              <w:rPr>
                <w:noProof/>
                <w:sz w:val="20"/>
              </w:rPr>
            </w:pPr>
          </w:p>
        </w:tc>
        <w:tc>
          <w:tcPr>
            <w:tcW w:w="509" w:type="pct"/>
            <w:tcBorders>
              <w:bottom w:val="double" w:sz="4" w:space="0" w:color="auto"/>
            </w:tcBorders>
            <w:shd w:val="clear" w:color="auto" w:fill="auto"/>
            <w:vAlign w:val="center"/>
          </w:tcPr>
          <w:p w14:paraId="67E5586F" w14:textId="77777777" w:rsidR="001F2A4B" w:rsidRPr="00710B91" w:rsidRDefault="001F2A4B" w:rsidP="001F2A4B">
            <w:pPr>
              <w:spacing w:beforeLines="20" w:before="48" w:afterLines="20" w:after="48"/>
              <w:jc w:val="center"/>
              <w:rPr>
                <w:noProof/>
                <w:sz w:val="20"/>
              </w:rPr>
            </w:pPr>
          </w:p>
        </w:tc>
        <w:tc>
          <w:tcPr>
            <w:tcW w:w="549" w:type="pct"/>
            <w:tcBorders>
              <w:bottom w:val="double" w:sz="4" w:space="0" w:color="auto"/>
            </w:tcBorders>
            <w:shd w:val="clear" w:color="auto" w:fill="auto"/>
            <w:vAlign w:val="center"/>
          </w:tcPr>
          <w:p w14:paraId="647E8180" w14:textId="77777777" w:rsidR="001F2A4B" w:rsidRPr="00710B91" w:rsidRDefault="001F2A4B" w:rsidP="001F2A4B">
            <w:pPr>
              <w:spacing w:beforeLines="20" w:before="48" w:afterLines="20" w:after="48"/>
              <w:jc w:val="center"/>
              <w:rPr>
                <w:noProof/>
                <w:sz w:val="20"/>
              </w:rPr>
            </w:pPr>
          </w:p>
        </w:tc>
        <w:tc>
          <w:tcPr>
            <w:tcW w:w="672" w:type="pct"/>
            <w:tcBorders>
              <w:bottom w:val="double" w:sz="4" w:space="0" w:color="auto"/>
            </w:tcBorders>
            <w:shd w:val="clear" w:color="auto" w:fill="auto"/>
            <w:vAlign w:val="center"/>
          </w:tcPr>
          <w:p w14:paraId="643AE9E8" w14:textId="77777777" w:rsidR="001F2A4B" w:rsidRPr="00710B91" w:rsidRDefault="001F2A4B" w:rsidP="001F2A4B">
            <w:pPr>
              <w:spacing w:beforeLines="20" w:before="48" w:afterLines="20" w:after="48"/>
              <w:jc w:val="center"/>
              <w:rPr>
                <w:noProof/>
                <w:sz w:val="20"/>
              </w:rPr>
            </w:pPr>
          </w:p>
        </w:tc>
      </w:tr>
      <w:tr w:rsidR="001F2A4B" w:rsidRPr="00710B91" w14:paraId="3CC70ADA" w14:textId="77777777" w:rsidTr="001F2A4B">
        <w:trPr>
          <w:trHeight w:val="289"/>
          <w:jc w:val="center"/>
        </w:trPr>
        <w:tc>
          <w:tcPr>
            <w:tcW w:w="2761" w:type="pct"/>
            <w:gridSpan w:val="2"/>
            <w:tcBorders>
              <w:top w:val="double" w:sz="4" w:space="0" w:color="auto"/>
            </w:tcBorders>
            <w:shd w:val="clear" w:color="auto" w:fill="auto"/>
            <w:vAlign w:val="center"/>
          </w:tcPr>
          <w:p w14:paraId="19141484" w14:textId="77777777" w:rsidR="001F2A4B" w:rsidRPr="00710B91" w:rsidRDefault="001F2A4B" w:rsidP="001F2A4B">
            <w:pPr>
              <w:pStyle w:val="Text1"/>
              <w:spacing w:beforeLines="20" w:before="48" w:afterLines="20" w:after="48"/>
              <w:ind w:left="986"/>
              <w:jc w:val="left"/>
              <w:rPr>
                <w:noProof/>
                <w:sz w:val="20"/>
              </w:rPr>
            </w:pPr>
            <w:r w:rsidRPr="00710B91">
              <w:rPr>
                <w:b/>
                <w:noProof/>
                <w:sz w:val="20"/>
              </w:rPr>
              <w:t>OGÓŁEM</w:t>
            </w:r>
          </w:p>
        </w:tc>
        <w:tc>
          <w:tcPr>
            <w:tcW w:w="509" w:type="pct"/>
            <w:tcBorders>
              <w:top w:val="double" w:sz="4" w:space="0" w:color="auto"/>
            </w:tcBorders>
            <w:shd w:val="clear" w:color="auto" w:fill="auto"/>
            <w:vAlign w:val="center"/>
          </w:tcPr>
          <w:p w14:paraId="3263CAAB" w14:textId="77777777" w:rsidR="001F2A4B" w:rsidRPr="00710B91" w:rsidRDefault="001F2A4B" w:rsidP="001F2A4B">
            <w:pPr>
              <w:spacing w:beforeLines="20" w:before="48" w:afterLines="20" w:after="48"/>
              <w:jc w:val="center"/>
              <w:rPr>
                <w:b/>
                <w:noProof/>
                <w:sz w:val="20"/>
              </w:rPr>
            </w:pPr>
            <w:r w:rsidRPr="00710B91">
              <w:rPr>
                <w:b/>
                <w:noProof/>
                <w:sz w:val="20"/>
              </w:rPr>
              <w:t>1</w:t>
            </w:r>
          </w:p>
        </w:tc>
        <w:tc>
          <w:tcPr>
            <w:tcW w:w="509" w:type="pct"/>
            <w:tcBorders>
              <w:top w:val="double" w:sz="4" w:space="0" w:color="auto"/>
            </w:tcBorders>
            <w:shd w:val="clear" w:color="auto" w:fill="auto"/>
            <w:vAlign w:val="center"/>
          </w:tcPr>
          <w:p w14:paraId="3962DD3C" w14:textId="77777777" w:rsidR="001F2A4B" w:rsidRPr="00710B91" w:rsidRDefault="001F2A4B" w:rsidP="001F2A4B">
            <w:pPr>
              <w:spacing w:beforeLines="20" w:before="48" w:afterLines="20" w:after="48"/>
              <w:jc w:val="center"/>
              <w:rPr>
                <w:b/>
                <w:noProof/>
                <w:sz w:val="20"/>
              </w:rPr>
            </w:pPr>
            <w:r w:rsidRPr="00710B91">
              <w:rPr>
                <w:b/>
                <w:noProof/>
                <w:sz w:val="20"/>
              </w:rPr>
              <w:t>1</w:t>
            </w:r>
          </w:p>
        </w:tc>
        <w:tc>
          <w:tcPr>
            <w:tcW w:w="549" w:type="pct"/>
            <w:tcBorders>
              <w:top w:val="double" w:sz="4" w:space="0" w:color="auto"/>
            </w:tcBorders>
            <w:shd w:val="clear" w:color="auto" w:fill="auto"/>
            <w:vAlign w:val="center"/>
          </w:tcPr>
          <w:p w14:paraId="20CE1BD8" w14:textId="77777777" w:rsidR="001F2A4B" w:rsidRPr="00710B91" w:rsidRDefault="001F2A4B" w:rsidP="001F2A4B">
            <w:pPr>
              <w:spacing w:beforeLines="20" w:before="48" w:afterLines="20" w:after="48"/>
              <w:jc w:val="center"/>
              <w:rPr>
                <w:b/>
                <w:noProof/>
                <w:sz w:val="20"/>
              </w:rPr>
            </w:pPr>
            <w:r w:rsidRPr="00710B91">
              <w:rPr>
                <w:b/>
                <w:noProof/>
                <w:sz w:val="20"/>
              </w:rPr>
              <w:t>1</w:t>
            </w:r>
          </w:p>
        </w:tc>
        <w:tc>
          <w:tcPr>
            <w:tcW w:w="672" w:type="pct"/>
            <w:tcBorders>
              <w:top w:val="double" w:sz="4" w:space="0" w:color="auto"/>
            </w:tcBorders>
            <w:shd w:val="clear" w:color="auto" w:fill="auto"/>
            <w:vAlign w:val="center"/>
          </w:tcPr>
          <w:p w14:paraId="1E0EE72A" w14:textId="77777777" w:rsidR="001F2A4B" w:rsidRPr="00710B91" w:rsidRDefault="001F2A4B" w:rsidP="001F2A4B">
            <w:pPr>
              <w:spacing w:beforeLines="20" w:before="48" w:afterLines="20" w:after="48"/>
              <w:jc w:val="center"/>
              <w:rPr>
                <w:b/>
                <w:noProof/>
                <w:sz w:val="20"/>
              </w:rPr>
            </w:pPr>
            <w:r w:rsidRPr="00710B91">
              <w:rPr>
                <w:b/>
                <w:noProof/>
                <w:sz w:val="20"/>
              </w:rPr>
              <w:t>1</w:t>
            </w:r>
          </w:p>
        </w:tc>
      </w:tr>
    </w:tbl>
    <w:p w14:paraId="3AF829CF" w14:textId="0E631114" w:rsidR="00DD5AE5" w:rsidRPr="00710B91" w:rsidRDefault="001F2A4B" w:rsidP="00DD5AE5">
      <w:pPr>
        <w:pStyle w:val="Text1"/>
        <w:rPr>
          <w:noProof/>
          <w:sz w:val="22"/>
        </w:rPr>
      </w:pPr>
      <w:r w:rsidRPr="00710B91">
        <w:rPr>
          <w:noProof/>
          <w:sz w:val="22"/>
        </w:rPr>
        <w:t>Potrzeby</w:t>
      </w:r>
      <w:r w:rsidR="00710B91" w:rsidRPr="00710B91">
        <w:rPr>
          <w:noProof/>
          <w:sz w:val="22"/>
        </w:rPr>
        <w:t xml:space="preserve"> w</w:t>
      </w:r>
      <w:r w:rsidR="00710B91">
        <w:rPr>
          <w:noProof/>
          <w:sz w:val="22"/>
        </w:rPr>
        <w:t> </w:t>
      </w:r>
      <w:r w:rsidR="00710B91" w:rsidRPr="00710B91">
        <w:rPr>
          <w:noProof/>
          <w:sz w:val="22"/>
        </w:rPr>
        <w:t>zak</w:t>
      </w:r>
      <w:r w:rsidRPr="00710B91">
        <w:rPr>
          <w:noProof/>
          <w:sz w:val="22"/>
        </w:rPr>
        <w:t>resie zasobów ludzkich zostaną pokryte</w:t>
      </w:r>
      <w:r w:rsidR="00710B91" w:rsidRPr="00710B91">
        <w:rPr>
          <w:noProof/>
          <w:sz w:val="22"/>
        </w:rPr>
        <w:t xml:space="preserve"> z</w:t>
      </w:r>
      <w:r w:rsidR="00710B91">
        <w:rPr>
          <w:noProof/>
          <w:sz w:val="22"/>
        </w:rPr>
        <w:t> </w:t>
      </w:r>
      <w:r w:rsidR="00710B91" w:rsidRPr="00710B91">
        <w:rPr>
          <w:noProof/>
          <w:sz w:val="22"/>
        </w:rPr>
        <w:t>zas</w:t>
      </w:r>
      <w:r w:rsidRPr="00710B91">
        <w:rPr>
          <w:noProof/>
          <w:sz w:val="22"/>
        </w:rPr>
        <w:t>obów dyrekcji generalnej już przydzielonych na zarządzanie tym działaniem lub przesuniętych</w:t>
      </w:r>
      <w:r w:rsidR="00710B91" w:rsidRPr="00710B91">
        <w:rPr>
          <w:noProof/>
          <w:sz w:val="22"/>
        </w:rPr>
        <w:t xml:space="preserve"> w</w:t>
      </w:r>
      <w:r w:rsidR="00710B91">
        <w:rPr>
          <w:noProof/>
          <w:sz w:val="22"/>
        </w:rPr>
        <w:t> </w:t>
      </w:r>
      <w:r w:rsidR="00710B91" w:rsidRPr="00710B91">
        <w:rPr>
          <w:noProof/>
          <w:sz w:val="22"/>
        </w:rPr>
        <w:t>ram</w:t>
      </w:r>
      <w:r w:rsidRPr="00710B91">
        <w:rPr>
          <w:noProof/>
          <w:sz w:val="22"/>
        </w:rPr>
        <w:t>ach dyrekcji generalnej, uzupełnionych</w:t>
      </w:r>
      <w:r w:rsidR="00710B91" w:rsidRPr="00710B91">
        <w:rPr>
          <w:noProof/>
          <w:sz w:val="22"/>
        </w:rPr>
        <w:t xml:space="preserve"> w</w:t>
      </w:r>
      <w:r w:rsidR="00710B91">
        <w:rPr>
          <w:noProof/>
          <w:sz w:val="22"/>
        </w:rPr>
        <w:t> </w:t>
      </w:r>
      <w:r w:rsidR="00710B91" w:rsidRPr="00710B91">
        <w:rPr>
          <w:noProof/>
          <w:sz w:val="22"/>
        </w:rPr>
        <w:t>raz</w:t>
      </w:r>
      <w:r w:rsidRPr="00710B91">
        <w:rPr>
          <w:noProof/>
          <w:sz w:val="22"/>
        </w:rPr>
        <w:t>ie potrzeby wszelkimi dodatkowymi zasobami, które mogą zostać przydzielone zarządzającej dyrekcji generalnej</w:t>
      </w:r>
      <w:r w:rsidR="00710B91" w:rsidRPr="00710B91">
        <w:rPr>
          <w:noProof/>
          <w:sz w:val="22"/>
        </w:rPr>
        <w:t xml:space="preserve"> w</w:t>
      </w:r>
      <w:r w:rsidR="00710B91">
        <w:rPr>
          <w:noProof/>
          <w:sz w:val="22"/>
        </w:rPr>
        <w:t> </w:t>
      </w:r>
      <w:r w:rsidR="00710B91" w:rsidRPr="00710B91">
        <w:rPr>
          <w:noProof/>
          <w:sz w:val="22"/>
        </w:rPr>
        <w:t>ram</w:t>
      </w:r>
      <w:r w:rsidRPr="00710B91">
        <w:rPr>
          <w:noProof/>
          <w:sz w:val="22"/>
        </w:rPr>
        <w:t>ach procedury rocznego przydziału środków oraz</w:t>
      </w:r>
      <w:r w:rsidR="00710B91" w:rsidRPr="00710B91">
        <w:rPr>
          <w:noProof/>
          <w:sz w:val="22"/>
        </w:rPr>
        <w:t xml:space="preserve"> w</w:t>
      </w:r>
      <w:r w:rsidR="00710B91">
        <w:rPr>
          <w:noProof/>
          <w:sz w:val="22"/>
        </w:rPr>
        <w:t> </w:t>
      </w:r>
      <w:r w:rsidR="00710B91" w:rsidRPr="00710B91">
        <w:rPr>
          <w:noProof/>
          <w:sz w:val="22"/>
        </w:rPr>
        <w:t>świ</w:t>
      </w:r>
      <w:r w:rsidRPr="00710B91">
        <w:rPr>
          <w:noProof/>
          <w:sz w:val="22"/>
        </w:rPr>
        <w:t>etle istniejących ograniczeń budżetowych.</w:t>
      </w:r>
    </w:p>
    <w:p w14:paraId="5D68B128" w14:textId="77777777" w:rsidR="001F2A4B" w:rsidRPr="00710B91" w:rsidRDefault="001F2A4B" w:rsidP="001F2A4B">
      <w:pPr>
        <w:rPr>
          <w:noProof/>
          <w:sz w:val="20"/>
        </w:rPr>
      </w:pPr>
      <w:r w:rsidRPr="00710B91">
        <w:rPr>
          <w:noProof/>
          <w:sz w:val="20"/>
        </w:rPr>
        <w:t>Opis zadań do wykonania:</w:t>
      </w:r>
    </w:p>
    <w:tbl>
      <w:tblPr>
        <w:tblW w:w="10440" w:type="dxa"/>
        <w:tblInd w:w="-432"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1E0" w:firstRow="1" w:lastRow="1" w:firstColumn="1" w:lastColumn="1" w:noHBand="0" w:noVBand="0"/>
      </w:tblPr>
      <w:tblGrid>
        <w:gridCol w:w="3240"/>
        <w:gridCol w:w="7200"/>
      </w:tblGrid>
      <w:tr w:rsidR="001F2A4B" w:rsidRPr="00710B91" w14:paraId="139EDF59" w14:textId="77777777" w:rsidTr="001F2A4B">
        <w:tc>
          <w:tcPr>
            <w:tcW w:w="3240" w:type="dxa"/>
          </w:tcPr>
          <w:p w14:paraId="146125E6" w14:textId="2BBC597C" w:rsidR="001F2A4B" w:rsidRPr="00710B91" w:rsidRDefault="001F2A4B" w:rsidP="001F2A4B">
            <w:pPr>
              <w:rPr>
                <w:noProof/>
                <w:sz w:val="20"/>
              </w:rPr>
            </w:pPr>
            <w:r w:rsidRPr="00710B91">
              <w:rPr>
                <w:noProof/>
                <w:sz w:val="20"/>
              </w:rPr>
              <w:t>Urzędnicy</w:t>
            </w:r>
            <w:r w:rsidR="00710B91" w:rsidRPr="00710B91">
              <w:rPr>
                <w:noProof/>
                <w:sz w:val="20"/>
              </w:rPr>
              <w:t xml:space="preserve"> i</w:t>
            </w:r>
            <w:r w:rsidR="00710B91">
              <w:rPr>
                <w:noProof/>
                <w:sz w:val="20"/>
              </w:rPr>
              <w:t> </w:t>
            </w:r>
            <w:r w:rsidR="00710B91" w:rsidRPr="00710B91">
              <w:rPr>
                <w:noProof/>
                <w:sz w:val="20"/>
              </w:rPr>
              <w:t>pra</w:t>
            </w:r>
            <w:r w:rsidRPr="00710B91">
              <w:rPr>
                <w:noProof/>
                <w:sz w:val="20"/>
              </w:rPr>
              <w:t>cownicy zatrudnieni na czas określony</w:t>
            </w:r>
          </w:p>
        </w:tc>
        <w:tc>
          <w:tcPr>
            <w:tcW w:w="7200" w:type="dxa"/>
          </w:tcPr>
          <w:p w14:paraId="6DF79E47" w14:textId="644402F6" w:rsidR="001F2A4B" w:rsidRPr="00710B91" w:rsidRDefault="001F2A4B" w:rsidP="008326C2">
            <w:pPr>
              <w:pStyle w:val="ListParagraph"/>
              <w:numPr>
                <w:ilvl w:val="0"/>
                <w:numId w:val="18"/>
              </w:numPr>
              <w:spacing w:before="120" w:after="120" w:line="240" w:lineRule="auto"/>
              <w:jc w:val="both"/>
              <w:rPr>
                <w:rFonts w:ascii="Times New Roman" w:hAnsi="Times New Roman" w:cs="Times New Roman"/>
                <w:noProof/>
                <w:sz w:val="20"/>
              </w:rPr>
            </w:pPr>
            <w:r w:rsidRPr="00710B91">
              <w:rPr>
                <w:rFonts w:ascii="Times New Roman" w:hAnsi="Times New Roman"/>
                <w:noProof/>
                <w:sz w:val="20"/>
              </w:rPr>
              <w:t>reprezentowanie Komisji</w:t>
            </w:r>
            <w:r w:rsidR="00710B91" w:rsidRPr="00710B91">
              <w:rPr>
                <w:rFonts w:ascii="Times New Roman" w:hAnsi="Times New Roman"/>
                <w:noProof/>
                <w:sz w:val="20"/>
              </w:rPr>
              <w:t xml:space="preserve"> w</w:t>
            </w:r>
            <w:r w:rsidR="00710B91">
              <w:rPr>
                <w:rFonts w:ascii="Times New Roman" w:hAnsi="Times New Roman"/>
                <w:noProof/>
                <w:sz w:val="20"/>
              </w:rPr>
              <w:t> </w:t>
            </w:r>
            <w:r w:rsidR="00710B91" w:rsidRPr="00710B91">
              <w:rPr>
                <w:rFonts w:ascii="Times New Roman" w:hAnsi="Times New Roman"/>
                <w:noProof/>
                <w:sz w:val="20"/>
              </w:rPr>
              <w:t>Kom</w:t>
            </w:r>
            <w:r w:rsidRPr="00710B91">
              <w:rPr>
                <w:rFonts w:ascii="Times New Roman" w:hAnsi="Times New Roman"/>
                <w:noProof/>
                <w:sz w:val="20"/>
              </w:rPr>
              <w:t>isji ds. Zarządzania Programem</w:t>
            </w:r>
            <w:r w:rsidR="00710B91" w:rsidRPr="00710B91">
              <w:rPr>
                <w:rFonts w:ascii="Times New Roman" w:hAnsi="Times New Roman"/>
                <w:noProof/>
                <w:sz w:val="20"/>
              </w:rPr>
              <w:t xml:space="preserve"> i</w:t>
            </w:r>
            <w:r w:rsidR="00710B91">
              <w:rPr>
                <w:rFonts w:ascii="Times New Roman" w:hAnsi="Times New Roman"/>
                <w:noProof/>
                <w:sz w:val="20"/>
              </w:rPr>
              <w:t> </w:t>
            </w:r>
            <w:r w:rsidR="00710B91" w:rsidRPr="00710B91">
              <w:rPr>
                <w:rFonts w:ascii="Times New Roman" w:hAnsi="Times New Roman"/>
                <w:noProof/>
                <w:sz w:val="20"/>
              </w:rPr>
              <w:t>w</w:t>
            </w:r>
            <w:r w:rsidR="00710B91">
              <w:rPr>
                <w:rFonts w:ascii="Times New Roman" w:hAnsi="Times New Roman"/>
                <w:noProof/>
                <w:sz w:val="20"/>
              </w:rPr>
              <w:t> </w:t>
            </w:r>
            <w:r w:rsidR="00710B91" w:rsidRPr="00710B91">
              <w:rPr>
                <w:rFonts w:ascii="Times New Roman" w:hAnsi="Times New Roman"/>
                <w:noProof/>
                <w:sz w:val="20"/>
              </w:rPr>
              <w:t>gru</w:t>
            </w:r>
            <w:r w:rsidRPr="00710B91">
              <w:rPr>
                <w:rFonts w:ascii="Times New Roman" w:hAnsi="Times New Roman"/>
                <w:noProof/>
                <w:sz w:val="20"/>
              </w:rPr>
              <w:t>pie doradczej;</w:t>
            </w:r>
          </w:p>
          <w:p w14:paraId="4F7FECB3" w14:textId="3D3F68BB" w:rsidR="001F2A4B" w:rsidRPr="00710B91" w:rsidRDefault="001F2A4B" w:rsidP="008326C2">
            <w:pPr>
              <w:pStyle w:val="ListParagraph"/>
              <w:numPr>
                <w:ilvl w:val="0"/>
                <w:numId w:val="18"/>
              </w:numPr>
              <w:spacing w:before="120" w:after="120" w:line="240" w:lineRule="auto"/>
              <w:jc w:val="both"/>
              <w:rPr>
                <w:rFonts w:ascii="Times New Roman" w:hAnsi="Times New Roman" w:cs="Times New Roman"/>
                <w:noProof/>
                <w:sz w:val="20"/>
              </w:rPr>
            </w:pPr>
            <w:r w:rsidRPr="00710B91">
              <w:rPr>
                <w:rFonts w:ascii="Times New Roman" w:hAnsi="Times New Roman"/>
                <w:noProof/>
                <w:sz w:val="20"/>
              </w:rPr>
              <w:t>przeprowadzenie procesu zbierania wymagań biznesowych na etapie projektowania projektu;</w:t>
            </w:r>
          </w:p>
          <w:p w14:paraId="44A1A4ED" w14:textId="2EB12CC6" w:rsidR="00157B46" w:rsidRPr="00710B91" w:rsidRDefault="006012BC" w:rsidP="008326C2">
            <w:pPr>
              <w:pStyle w:val="ListParagraph"/>
              <w:numPr>
                <w:ilvl w:val="0"/>
                <w:numId w:val="18"/>
              </w:numPr>
              <w:spacing w:before="120" w:after="120" w:line="240" w:lineRule="auto"/>
              <w:jc w:val="both"/>
              <w:rPr>
                <w:rFonts w:ascii="Times New Roman" w:hAnsi="Times New Roman" w:cs="Times New Roman"/>
                <w:noProof/>
                <w:sz w:val="20"/>
              </w:rPr>
            </w:pPr>
            <w:r w:rsidRPr="00710B91">
              <w:rPr>
                <w:rFonts w:ascii="Times New Roman" w:hAnsi="Times New Roman"/>
                <w:noProof/>
                <w:sz w:val="20"/>
              </w:rPr>
              <w:t>przygotowywanie</w:t>
            </w:r>
            <w:r w:rsidR="00710B91" w:rsidRPr="00710B91">
              <w:rPr>
                <w:rFonts w:ascii="Times New Roman" w:hAnsi="Times New Roman"/>
                <w:noProof/>
                <w:sz w:val="20"/>
              </w:rPr>
              <w:t xml:space="preserve"> i</w:t>
            </w:r>
            <w:r w:rsidR="00710B91">
              <w:rPr>
                <w:rFonts w:ascii="Times New Roman" w:hAnsi="Times New Roman"/>
                <w:noProof/>
                <w:sz w:val="20"/>
              </w:rPr>
              <w:t> </w:t>
            </w:r>
            <w:r w:rsidR="00710B91" w:rsidRPr="00710B91">
              <w:rPr>
                <w:rFonts w:ascii="Times New Roman" w:hAnsi="Times New Roman"/>
                <w:noProof/>
                <w:sz w:val="20"/>
              </w:rPr>
              <w:t>neg</w:t>
            </w:r>
            <w:r w:rsidRPr="00710B91">
              <w:rPr>
                <w:rFonts w:ascii="Times New Roman" w:hAnsi="Times New Roman"/>
                <w:noProof/>
                <w:sz w:val="20"/>
              </w:rPr>
              <w:t>ocjowanie wymaganych aktów wykonawczych;</w:t>
            </w:r>
          </w:p>
          <w:p w14:paraId="79A85FDF" w14:textId="77777777" w:rsidR="001F2A4B" w:rsidRPr="00710B91" w:rsidRDefault="001F2A4B" w:rsidP="008326C2">
            <w:pPr>
              <w:pStyle w:val="ListParagraph"/>
              <w:numPr>
                <w:ilvl w:val="0"/>
                <w:numId w:val="18"/>
              </w:numPr>
              <w:spacing w:before="120" w:after="120" w:line="240" w:lineRule="auto"/>
              <w:jc w:val="both"/>
              <w:rPr>
                <w:rFonts w:ascii="Times New Roman" w:hAnsi="Times New Roman" w:cs="Times New Roman"/>
                <w:noProof/>
                <w:sz w:val="20"/>
              </w:rPr>
            </w:pPr>
            <w:r w:rsidRPr="00710B91">
              <w:rPr>
                <w:rFonts w:ascii="Times New Roman" w:hAnsi="Times New Roman"/>
                <w:noProof/>
                <w:sz w:val="20"/>
              </w:rPr>
              <w:t>zarządzanie posiedzeniami odpowiedniej grupy ekspertów;</w:t>
            </w:r>
          </w:p>
          <w:p w14:paraId="4B72EDD7" w14:textId="77777777" w:rsidR="001F2A4B" w:rsidRPr="00710B91" w:rsidRDefault="001F2A4B" w:rsidP="008326C2">
            <w:pPr>
              <w:pStyle w:val="ListParagraph"/>
              <w:numPr>
                <w:ilvl w:val="0"/>
                <w:numId w:val="18"/>
              </w:numPr>
              <w:spacing w:before="120" w:after="120" w:line="240" w:lineRule="auto"/>
              <w:jc w:val="both"/>
              <w:rPr>
                <w:rFonts w:ascii="Times New Roman" w:hAnsi="Times New Roman" w:cs="Times New Roman"/>
                <w:noProof/>
                <w:sz w:val="20"/>
              </w:rPr>
            </w:pPr>
            <w:r w:rsidRPr="00710B91">
              <w:rPr>
                <w:rFonts w:ascii="Times New Roman" w:hAnsi="Times New Roman"/>
                <w:noProof/>
                <w:sz w:val="20"/>
              </w:rPr>
              <w:t>wspieranie agencji eu-LISA na etapie opracowywania projektu;</w:t>
            </w:r>
          </w:p>
          <w:p w14:paraId="131B2674" w14:textId="6748EB0A" w:rsidR="001F2A4B" w:rsidRPr="00710B91" w:rsidRDefault="001F2A4B" w:rsidP="008326C2">
            <w:pPr>
              <w:pStyle w:val="ListParagraph"/>
              <w:numPr>
                <w:ilvl w:val="0"/>
                <w:numId w:val="18"/>
              </w:numPr>
              <w:spacing w:before="120" w:after="120" w:line="240" w:lineRule="auto"/>
              <w:jc w:val="both"/>
              <w:rPr>
                <w:noProof/>
                <w:sz w:val="20"/>
              </w:rPr>
            </w:pPr>
            <w:r w:rsidRPr="00710B91">
              <w:rPr>
                <w:rFonts w:ascii="Times New Roman" w:hAnsi="Times New Roman"/>
                <w:noProof/>
                <w:sz w:val="20"/>
              </w:rPr>
              <w:t>monitorowanie działania</w:t>
            </w:r>
            <w:r w:rsidR="00710B91" w:rsidRPr="00710B91">
              <w:rPr>
                <w:rFonts w:ascii="Times New Roman" w:hAnsi="Times New Roman"/>
                <w:noProof/>
                <w:sz w:val="20"/>
              </w:rPr>
              <w:t xml:space="preserve"> i</w:t>
            </w:r>
            <w:r w:rsidR="00710B91">
              <w:rPr>
                <w:rFonts w:ascii="Times New Roman" w:hAnsi="Times New Roman"/>
                <w:noProof/>
                <w:sz w:val="20"/>
              </w:rPr>
              <w:t> </w:t>
            </w:r>
            <w:r w:rsidR="00710B91" w:rsidRPr="00710B91">
              <w:rPr>
                <w:rFonts w:ascii="Times New Roman" w:hAnsi="Times New Roman"/>
                <w:noProof/>
                <w:sz w:val="20"/>
              </w:rPr>
              <w:t>utr</w:t>
            </w:r>
            <w:r w:rsidRPr="00710B91">
              <w:rPr>
                <w:rFonts w:ascii="Times New Roman" w:hAnsi="Times New Roman"/>
                <w:noProof/>
                <w:sz w:val="20"/>
              </w:rPr>
              <w:t>zymywania platformy.</w:t>
            </w:r>
          </w:p>
        </w:tc>
      </w:tr>
      <w:tr w:rsidR="001F2A4B" w:rsidRPr="00710B91" w14:paraId="21574221" w14:textId="77777777" w:rsidTr="001F2A4B">
        <w:tc>
          <w:tcPr>
            <w:tcW w:w="3240" w:type="dxa"/>
          </w:tcPr>
          <w:p w14:paraId="50EB1D71" w14:textId="77777777" w:rsidR="001F2A4B" w:rsidRPr="00710B91" w:rsidRDefault="001F2A4B" w:rsidP="001F2A4B">
            <w:pPr>
              <w:spacing w:before="60" w:after="60"/>
              <w:rPr>
                <w:noProof/>
                <w:sz w:val="20"/>
              </w:rPr>
            </w:pPr>
            <w:r w:rsidRPr="00710B91">
              <w:rPr>
                <w:noProof/>
                <w:sz w:val="20"/>
              </w:rPr>
              <w:t>Personel zewnętrzny</w:t>
            </w:r>
          </w:p>
        </w:tc>
        <w:tc>
          <w:tcPr>
            <w:tcW w:w="7200" w:type="dxa"/>
          </w:tcPr>
          <w:p w14:paraId="66D55629" w14:textId="77777777" w:rsidR="001F2A4B" w:rsidRPr="00710B91" w:rsidRDefault="001F2A4B" w:rsidP="001F2A4B">
            <w:pPr>
              <w:rPr>
                <w:noProof/>
                <w:sz w:val="20"/>
              </w:rPr>
            </w:pPr>
            <w:r w:rsidRPr="00710B91">
              <w:rPr>
                <w:noProof/>
                <w:sz w:val="20"/>
              </w:rPr>
              <w:t>Nie dotyczy</w:t>
            </w:r>
          </w:p>
        </w:tc>
      </w:tr>
    </w:tbl>
    <w:p w14:paraId="2B90C0A9" w14:textId="77777777" w:rsidR="001F2A4B" w:rsidRPr="00710B91" w:rsidRDefault="001F2A4B" w:rsidP="001F2A4B">
      <w:pPr>
        <w:rPr>
          <w:noProof/>
        </w:rPr>
      </w:pPr>
    </w:p>
    <w:p w14:paraId="6B3BD09C" w14:textId="042D0233" w:rsidR="001F2A4B" w:rsidRPr="00710B91" w:rsidRDefault="001F2A4B" w:rsidP="001F2A4B">
      <w:pPr>
        <w:rPr>
          <w:noProof/>
        </w:rPr>
      </w:pPr>
      <w:r w:rsidRPr="00710B91">
        <w:rPr>
          <w:noProof/>
        </w:rPr>
        <w:t>Opis metody obliczenia kosztów ekwiwalentów pełnego czasu pracy powinien zostać zamieszczony</w:t>
      </w:r>
      <w:r w:rsidR="00710B91" w:rsidRPr="00710B91">
        <w:rPr>
          <w:noProof/>
        </w:rPr>
        <w:t xml:space="preserve"> w</w:t>
      </w:r>
      <w:r w:rsidR="00710B91">
        <w:rPr>
          <w:noProof/>
        </w:rPr>
        <w:t> </w:t>
      </w:r>
      <w:r w:rsidR="00710B91" w:rsidRPr="00710B91">
        <w:rPr>
          <w:noProof/>
        </w:rPr>
        <w:t>zał</w:t>
      </w:r>
      <w:r w:rsidRPr="00710B91">
        <w:rPr>
          <w:noProof/>
        </w:rPr>
        <w:t>ączniku V pkt</w:t>
      </w:r>
      <w:r w:rsidR="00710B91" w:rsidRPr="00710B91">
        <w:rPr>
          <w:noProof/>
        </w:rPr>
        <w:t> </w:t>
      </w:r>
      <w:r w:rsidRPr="00710B91">
        <w:rPr>
          <w:noProof/>
        </w:rPr>
        <w:t xml:space="preserve">3. </w:t>
      </w:r>
    </w:p>
    <w:p w14:paraId="70BED9DE" w14:textId="4B8E3A73" w:rsidR="001F2A4B" w:rsidRPr="00710B91" w:rsidRDefault="009A08E9" w:rsidP="009A08E9">
      <w:pPr>
        <w:pStyle w:val="ManualHeading3"/>
        <w:rPr>
          <w:bCs/>
          <w:noProof/>
          <w:szCs w:val="24"/>
        </w:rPr>
      </w:pPr>
      <w:bookmarkStart w:id="38" w:name="_Toc92899409"/>
      <w:r w:rsidRPr="009A08E9">
        <w:t>3.2.6.</w:t>
      </w:r>
      <w:r w:rsidRPr="009A08E9">
        <w:tab/>
      </w:r>
      <w:r w:rsidR="001F2A4B" w:rsidRPr="00710B91">
        <w:rPr>
          <w:noProof/>
        </w:rPr>
        <w:t>Zgodność</w:t>
      </w:r>
      <w:r w:rsidR="00710B91" w:rsidRPr="00710B91">
        <w:rPr>
          <w:noProof/>
        </w:rPr>
        <w:t xml:space="preserve"> z</w:t>
      </w:r>
      <w:r w:rsidR="00710B91">
        <w:rPr>
          <w:noProof/>
        </w:rPr>
        <w:t> </w:t>
      </w:r>
      <w:r w:rsidR="00710B91" w:rsidRPr="00710B91">
        <w:rPr>
          <w:noProof/>
        </w:rPr>
        <w:t>obo</w:t>
      </w:r>
      <w:r w:rsidR="001F2A4B" w:rsidRPr="00710B91">
        <w:rPr>
          <w:noProof/>
        </w:rPr>
        <w:t>wiązującymi wieloletnimi ramami finansowymi</w:t>
      </w:r>
      <w:bookmarkEnd w:id="38"/>
      <w:r w:rsidR="001F2A4B" w:rsidRPr="00710B91">
        <w:rPr>
          <w:noProof/>
        </w:rPr>
        <w:t xml:space="preserve"> </w:t>
      </w:r>
    </w:p>
    <w:p w14:paraId="2C441064" w14:textId="40F30142" w:rsidR="001F2A4B" w:rsidRPr="00710B91" w:rsidRDefault="00C768E9" w:rsidP="008326C2">
      <w:pPr>
        <w:pStyle w:val="ListDash1"/>
        <w:numPr>
          <w:ilvl w:val="0"/>
          <w:numId w:val="16"/>
        </w:numPr>
        <w:rPr>
          <w:noProof/>
        </w:rPr>
      </w:pPr>
      <w:r w:rsidRPr="00710B91">
        <w:rPr>
          <w:noProof/>
        </w:rPr>
        <w:sym w:font="Wingdings" w:char="F0FE"/>
      </w:r>
      <w:r w:rsidRPr="00710B91">
        <w:rPr>
          <w:noProof/>
        </w:rPr>
        <w:tab/>
        <w:t>Wniosek/inicjatywa może zostać częściowo sfinansowany(a) przez przegrupowanie środków</w:t>
      </w:r>
      <w:r w:rsidR="00710B91" w:rsidRPr="00710B91">
        <w:rPr>
          <w:noProof/>
        </w:rPr>
        <w:t xml:space="preserve"> w</w:t>
      </w:r>
      <w:r w:rsidR="00710B91">
        <w:rPr>
          <w:noProof/>
        </w:rPr>
        <w:t> </w:t>
      </w:r>
      <w:r w:rsidR="00710B91" w:rsidRPr="00710B91">
        <w:rPr>
          <w:noProof/>
        </w:rPr>
        <w:t>ram</w:t>
      </w:r>
      <w:r w:rsidRPr="00710B91">
        <w:rPr>
          <w:noProof/>
        </w:rPr>
        <w:t>ach odpowiedniego działu wieloletnich ram finansowych (WRF).</w:t>
      </w:r>
    </w:p>
    <w:p w14:paraId="56E5B8FD" w14:textId="0FC80609" w:rsidR="005D7DEA" w:rsidRPr="00710B91" w:rsidRDefault="00C768E9" w:rsidP="004E2EBA">
      <w:pPr>
        <w:pStyle w:val="Text1"/>
        <w:pBdr>
          <w:top w:val="single" w:sz="4" w:space="1" w:color="auto"/>
          <w:left w:val="single" w:sz="4" w:space="4" w:color="auto"/>
          <w:bottom w:val="single" w:sz="4" w:space="1" w:color="auto"/>
          <w:right w:val="single" w:sz="4" w:space="4" w:color="auto"/>
        </w:pBdr>
        <w:rPr>
          <w:noProof/>
          <w:szCs w:val="24"/>
        </w:rPr>
      </w:pPr>
      <w:r w:rsidRPr="00710B91">
        <w:rPr>
          <w:noProof/>
        </w:rPr>
        <w:t>W odniesieniu do środków przeznaczonych na agencję eu-LISA wniosek wiąże się</w:t>
      </w:r>
      <w:r w:rsidR="00710B91" w:rsidRPr="00710B91">
        <w:rPr>
          <w:noProof/>
        </w:rPr>
        <w:t xml:space="preserve"> z</w:t>
      </w:r>
      <w:r w:rsidR="00710B91">
        <w:rPr>
          <w:noProof/>
        </w:rPr>
        <w:t> </w:t>
      </w:r>
      <w:r w:rsidR="00710B91" w:rsidRPr="00710B91">
        <w:rPr>
          <w:noProof/>
        </w:rPr>
        <w:t>kon</w:t>
      </w:r>
      <w:r w:rsidRPr="00710B91">
        <w:rPr>
          <w:noProof/>
        </w:rPr>
        <w:t>iecznością wykorzystania działu 1 WRF – programu „Cyfrowa Europa” (linia budżetowa 02.04) – jak również marginesu</w:t>
      </w:r>
      <w:r w:rsidR="00710B91" w:rsidRPr="00710B91">
        <w:rPr>
          <w:noProof/>
        </w:rPr>
        <w:t xml:space="preserve"> w</w:t>
      </w:r>
      <w:r w:rsidR="00710B91">
        <w:rPr>
          <w:noProof/>
        </w:rPr>
        <w:t> </w:t>
      </w:r>
      <w:r w:rsidR="00710B91" w:rsidRPr="00710B91">
        <w:rPr>
          <w:noProof/>
        </w:rPr>
        <w:t>ram</w:t>
      </w:r>
      <w:r w:rsidRPr="00710B91">
        <w:rPr>
          <w:noProof/>
        </w:rPr>
        <w:t>ach działu 4 WRF.</w:t>
      </w:r>
    </w:p>
    <w:p w14:paraId="3FEF884E" w14:textId="366A8A09" w:rsidR="001F2A4B" w:rsidRPr="00710B91" w:rsidRDefault="00C768E9" w:rsidP="008326C2">
      <w:pPr>
        <w:pStyle w:val="ListDash1"/>
        <w:numPr>
          <w:ilvl w:val="0"/>
          <w:numId w:val="16"/>
        </w:numPr>
        <w:rPr>
          <w:noProof/>
        </w:rPr>
      </w:pPr>
      <w:r w:rsidRPr="00710B91">
        <w:rPr>
          <w:noProof/>
        </w:rPr>
        <w:sym w:font="Wingdings" w:char="F0FE"/>
      </w:r>
      <w:r w:rsidRPr="00710B91">
        <w:rPr>
          <w:noProof/>
        </w:rPr>
        <w:tab/>
        <w:t>Wniosek/inicjatywa wymaga zastosowania nieprzydzielonego marginesu środków</w:t>
      </w:r>
      <w:r w:rsidR="00710B91" w:rsidRPr="00710B91">
        <w:rPr>
          <w:noProof/>
        </w:rPr>
        <w:t xml:space="preserve"> w</w:t>
      </w:r>
      <w:r w:rsidR="00710B91">
        <w:rPr>
          <w:noProof/>
        </w:rPr>
        <w:t> </w:t>
      </w:r>
      <w:r w:rsidR="00710B91" w:rsidRPr="00710B91">
        <w:rPr>
          <w:noProof/>
        </w:rPr>
        <w:t>ram</w:t>
      </w:r>
      <w:r w:rsidRPr="00710B91">
        <w:rPr>
          <w:noProof/>
        </w:rPr>
        <w:t>ach odpowiedniego działu WRF lub zastosowania specjalnych instrumentów zdefiniowanych</w:t>
      </w:r>
      <w:r w:rsidR="00710B91" w:rsidRPr="00710B91">
        <w:rPr>
          <w:noProof/>
        </w:rPr>
        <w:t xml:space="preserve"> w</w:t>
      </w:r>
      <w:r w:rsidR="00710B91">
        <w:rPr>
          <w:noProof/>
        </w:rPr>
        <w:t> </w:t>
      </w:r>
      <w:r w:rsidR="00710B91" w:rsidRPr="00710B91">
        <w:rPr>
          <w:noProof/>
        </w:rPr>
        <w:t>roz</w:t>
      </w:r>
      <w:r w:rsidRPr="00710B91">
        <w:rPr>
          <w:noProof/>
        </w:rPr>
        <w:t>porządzeniu</w:t>
      </w:r>
      <w:r w:rsidR="00710B91" w:rsidRPr="00710B91">
        <w:rPr>
          <w:noProof/>
        </w:rPr>
        <w:t xml:space="preserve"> w</w:t>
      </w:r>
      <w:r w:rsidR="00710B91">
        <w:rPr>
          <w:noProof/>
        </w:rPr>
        <w:t> </w:t>
      </w:r>
      <w:r w:rsidR="00710B91" w:rsidRPr="00710B91">
        <w:rPr>
          <w:noProof/>
        </w:rPr>
        <w:t>spr</w:t>
      </w:r>
      <w:r w:rsidRPr="00710B91">
        <w:rPr>
          <w:noProof/>
        </w:rPr>
        <w:t>awie WRF.</w:t>
      </w:r>
    </w:p>
    <w:p w14:paraId="1A88F34C" w14:textId="2B8D71EE" w:rsidR="001F2A4B" w:rsidRPr="00710B91" w:rsidRDefault="00C768E9" w:rsidP="001F2A4B">
      <w:pPr>
        <w:pStyle w:val="Text1"/>
        <w:pBdr>
          <w:top w:val="single" w:sz="4" w:space="1" w:color="auto"/>
          <w:left w:val="single" w:sz="4" w:space="4" w:color="auto"/>
          <w:bottom w:val="single" w:sz="4" w:space="1" w:color="auto"/>
          <w:right w:val="single" w:sz="4" w:space="4" w:color="auto"/>
        </w:pBdr>
        <w:rPr>
          <w:noProof/>
          <w:sz w:val="20"/>
        </w:rPr>
      </w:pPr>
      <w:r w:rsidRPr="00710B91">
        <w:rPr>
          <w:noProof/>
        </w:rPr>
        <w:t>W odniesieniu do środków przeznaczonych na Eurojust wniosek wiąże się</w:t>
      </w:r>
      <w:r w:rsidR="00710B91" w:rsidRPr="00710B91">
        <w:rPr>
          <w:noProof/>
        </w:rPr>
        <w:t xml:space="preserve"> z</w:t>
      </w:r>
      <w:r w:rsidR="00710B91">
        <w:rPr>
          <w:noProof/>
        </w:rPr>
        <w:t> </w:t>
      </w:r>
      <w:r w:rsidR="00710B91" w:rsidRPr="00710B91">
        <w:rPr>
          <w:noProof/>
        </w:rPr>
        <w:t>kon</w:t>
      </w:r>
      <w:r w:rsidRPr="00710B91">
        <w:rPr>
          <w:noProof/>
        </w:rPr>
        <w:t>iecznością wykorzystania nieprzydzielonego marginesu środków</w:t>
      </w:r>
      <w:r w:rsidR="00710B91" w:rsidRPr="00710B91">
        <w:rPr>
          <w:noProof/>
        </w:rPr>
        <w:t xml:space="preserve"> w</w:t>
      </w:r>
      <w:r w:rsidR="00710B91">
        <w:rPr>
          <w:noProof/>
        </w:rPr>
        <w:t> </w:t>
      </w:r>
      <w:r w:rsidR="00710B91" w:rsidRPr="00710B91">
        <w:rPr>
          <w:noProof/>
        </w:rPr>
        <w:t>ram</w:t>
      </w:r>
      <w:r w:rsidRPr="00710B91">
        <w:rPr>
          <w:noProof/>
        </w:rPr>
        <w:t>ach działu 2b WRF.</w:t>
      </w:r>
    </w:p>
    <w:p w14:paraId="12EA6D86" w14:textId="05709845" w:rsidR="001F2A4B" w:rsidRPr="00710B91" w:rsidRDefault="009A08E9" w:rsidP="009A08E9">
      <w:pPr>
        <w:pStyle w:val="ManualHeading3"/>
        <w:rPr>
          <w:bCs/>
          <w:noProof/>
          <w:szCs w:val="24"/>
        </w:rPr>
      </w:pPr>
      <w:bookmarkStart w:id="39" w:name="_Toc92899410"/>
      <w:r w:rsidRPr="009A08E9">
        <w:t>3.2.7.</w:t>
      </w:r>
      <w:r w:rsidRPr="009A08E9">
        <w:tab/>
      </w:r>
      <w:r w:rsidR="001F2A4B" w:rsidRPr="00710B91">
        <w:rPr>
          <w:noProof/>
        </w:rPr>
        <w:t>Udział osób trzecich</w:t>
      </w:r>
      <w:r w:rsidR="00710B91" w:rsidRPr="00710B91">
        <w:rPr>
          <w:noProof/>
        </w:rPr>
        <w:t xml:space="preserve"> w</w:t>
      </w:r>
      <w:r w:rsidR="00710B91">
        <w:rPr>
          <w:noProof/>
        </w:rPr>
        <w:t> </w:t>
      </w:r>
      <w:r w:rsidR="00710B91" w:rsidRPr="00710B91">
        <w:rPr>
          <w:noProof/>
        </w:rPr>
        <w:t>fin</w:t>
      </w:r>
      <w:r w:rsidR="001F2A4B" w:rsidRPr="00710B91">
        <w:rPr>
          <w:noProof/>
        </w:rPr>
        <w:t>ansowaniu</w:t>
      </w:r>
      <w:bookmarkEnd w:id="39"/>
      <w:r w:rsidR="001F2A4B" w:rsidRPr="00710B91">
        <w:rPr>
          <w:noProof/>
        </w:rPr>
        <w:t xml:space="preserve"> </w:t>
      </w:r>
    </w:p>
    <w:p w14:paraId="46786906" w14:textId="77777777" w:rsidR="001F2A4B" w:rsidRPr="00710B91" w:rsidRDefault="001F2A4B" w:rsidP="008326C2">
      <w:pPr>
        <w:pStyle w:val="ListDash1"/>
        <w:numPr>
          <w:ilvl w:val="0"/>
          <w:numId w:val="16"/>
        </w:numPr>
        <w:rPr>
          <w:noProof/>
        </w:rPr>
      </w:pPr>
      <w:r w:rsidRPr="00710B91">
        <w:rPr>
          <w:noProof/>
        </w:rPr>
        <w:sym w:font="Wingdings" w:char="F0FE"/>
      </w:r>
      <w:r w:rsidRPr="00710B91">
        <w:rPr>
          <w:noProof/>
        </w:rPr>
        <w:t xml:space="preserve"> Wniosek/inicjatywa nie przewiduje współfinansowania ze strony osób trzecich. </w:t>
      </w:r>
    </w:p>
    <w:p w14:paraId="1461DFA0" w14:textId="6EC885C7" w:rsidR="001F2A4B" w:rsidRPr="00710B91" w:rsidRDefault="001F2A4B" w:rsidP="008326C2">
      <w:pPr>
        <w:pStyle w:val="ListDash1"/>
        <w:numPr>
          <w:ilvl w:val="0"/>
          <w:numId w:val="16"/>
        </w:numPr>
        <w:rPr>
          <w:noProof/>
        </w:rPr>
      </w:pPr>
      <w:r w:rsidRPr="00710B91">
        <w:rPr>
          <w:noProof/>
        </w:rPr>
        <w:sym w:font="Wingdings" w:char="F0A8"/>
      </w:r>
      <w:r w:rsidRPr="00710B91">
        <w:rPr>
          <w:noProof/>
        </w:rPr>
        <w:t xml:space="preserve"> Wniosek/inicjatywa przewiduje współfinansowanie szacowane zgodnie</w:t>
      </w:r>
      <w:r w:rsidR="00710B91" w:rsidRPr="00710B91">
        <w:rPr>
          <w:noProof/>
        </w:rPr>
        <w:t xml:space="preserve"> z</w:t>
      </w:r>
      <w:r w:rsidR="00710B91">
        <w:rPr>
          <w:noProof/>
        </w:rPr>
        <w:t> </w:t>
      </w:r>
      <w:r w:rsidR="00710B91" w:rsidRPr="00710B91">
        <w:rPr>
          <w:noProof/>
        </w:rPr>
        <w:t>pon</w:t>
      </w:r>
      <w:r w:rsidRPr="00710B91">
        <w:rPr>
          <w:noProof/>
        </w:rPr>
        <w:t>iższym:</w:t>
      </w:r>
    </w:p>
    <w:p w14:paraId="09CCCBCE" w14:textId="77777777" w:rsidR="001F2A4B" w:rsidRPr="00710B91" w:rsidRDefault="001F2A4B" w:rsidP="001F2A4B">
      <w:pPr>
        <w:jc w:val="right"/>
        <w:rPr>
          <w:noProof/>
          <w:sz w:val="20"/>
        </w:rPr>
      </w:pPr>
      <w:r w:rsidRPr="00710B91">
        <w:rPr>
          <w:noProof/>
          <w:sz w:val="20"/>
        </w:rPr>
        <w:t>w mln EUR (do trzech miejsc po przecinku)</w:t>
      </w:r>
    </w:p>
    <w:tbl>
      <w:tblPr>
        <w:tblW w:w="0" w:type="auto"/>
        <w:tblInd w:w="-43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2340"/>
        <w:gridCol w:w="964"/>
        <w:gridCol w:w="964"/>
        <w:gridCol w:w="964"/>
        <w:gridCol w:w="964"/>
        <w:gridCol w:w="964"/>
        <w:gridCol w:w="964"/>
        <w:gridCol w:w="964"/>
        <w:gridCol w:w="1158"/>
      </w:tblGrid>
      <w:tr w:rsidR="001F2A4B" w:rsidRPr="00710B91" w14:paraId="640B9DF6" w14:textId="77777777" w:rsidTr="001F2A4B">
        <w:trPr>
          <w:cantSplit/>
        </w:trPr>
        <w:tc>
          <w:tcPr>
            <w:tcW w:w="2340" w:type="dxa"/>
          </w:tcPr>
          <w:p w14:paraId="10B346AD" w14:textId="77777777" w:rsidR="001F2A4B" w:rsidRPr="00710B91" w:rsidRDefault="001F2A4B" w:rsidP="001F2A4B">
            <w:pPr>
              <w:spacing w:before="60" w:after="60"/>
              <w:rPr>
                <w:noProof/>
                <w:sz w:val="20"/>
              </w:rPr>
            </w:pPr>
          </w:p>
        </w:tc>
        <w:tc>
          <w:tcPr>
            <w:tcW w:w="964" w:type="dxa"/>
            <w:vAlign w:val="center"/>
          </w:tcPr>
          <w:p w14:paraId="48AB0E19" w14:textId="77777777" w:rsidR="001F2A4B" w:rsidRPr="00710B91" w:rsidRDefault="001F2A4B" w:rsidP="001F2A4B">
            <w:pPr>
              <w:jc w:val="center"/>
              <w:rPr>
                <w:noProof/>
                <w:sz w:val="20"/>
              </w:rPr>
            </w:pPr>
            <w:r w:rsidRPr="00710B91">
              <w:rPr>
                <w:noProof/>
                <w:sz w:val="20"/>
              </w:rPr>
              <w:t>Rok</w:t>
            </w:r>
            <w:r w:rsidRPr="00710B91">
              <w:rPr>
                <w:noProof/>
              </w:rPr>
              <w:t xml:space="preserve"> </w:t>
            </w:r>
            <w:r w:rsidRPr="00710B91">
              <w:rPr>
                <w:noProof/>
              </w:rPr>
              <w:br/>
            </w:r>
            <w:r w:rsidRPr="00710B91">
              <w:rPr>
                <w:b/>
                <w:noProof/>
                <w:sz w:val="20"/>
              </w:rPr>
              <w:t>N</w:t>
            </w:r>
          </w:p>
        </w:tc>
        <w:tc>
          <w:tcPr>
            <w:tcW w:w="964" w:type="dxa"/>
            <w:vAlign w:val="center"/>
          </w:tcPr>
          <w:p w14:paraId="6548B836" w14:textId="77777777" w:rsidR="001F2A4B" w:rsidRPr="00710B91" w:rsidRDefault="001F2A4B" w:rsidP="001F2A4B">
            <w:pPr>
              <w:jc w:val="center"/>
              <w:rPr>
                <w:noProof/>
                <w:sz w:val="20"/>
              </w:rPr>
            </w:pPr>
            <w:r w:rsidRPr="00710B91">
              <w:rPr>
                <w:noProof/>
                <w:sz w:val="20"/>
              </w:rPr>
              <w:t>Rok</w:t>
            </w:r>
            <w:r w:rsidRPr="00710B91">
              <w:rPr>
                <w:noProof/>
              </w:rPr>
              <w:t xml:space="preserve"> </w:t>
            </w:r>
            <w:r w:rsidRPr="00710B91">
              <w:rPr>
                <w:noProof/>
              </w:rPr>
              <w:br/>
            </w:r>
            <w:r w:rsidRPr="00710B91">
              <w:rPr>
                <w:b/>
                <w:noProof/>
                <w:sz w:val="20"/>
              </w:rPr>
              <w:t>N+1</w:t>
            </w:r>
          </w:p>
        </w:tc>
        <w:tc>
          <w:tcPr>
            <w:tcW w:w="964" w:type="dxa"/>
            <w:vAlign w:val="center"/>
          </w:tcPr>
          <w:p w14:paraId="31CFD55F" w14:textId="77777777" w:rsidR="001F2A4B" w:rsidRPr="00710B91" w:rsidRDefault="001F2A4B" w:rsidP="001F2A4B">
            <w:pPr>
              <w:jc w:val="center"/>
              <w:rPr>
                <w:noProof/>
                <w:sz w:val="20"/>
              </w:rPr>
            </w:pPr>
            <w:r w:rsidRPr="00710B91">
              <w:rPr>
                <w:noProof/>
                <w:sz w:val="20"/>
              </w:rPr>
              <w:t>Rok</w:t>
            </w:r>
            <w:r w:rsidRPr="00710B91">
              <w:rPr>
                <w:noProof/>
              </w:rPr>
              <w:t xml:space="preserve"> </w:t>
            </w:r>
            <w:r w:rsidRPr="00710B91">
              <w:rPr>
                <w:noProof/>
              </w:rPr>
              <w:br/>
            </w:r>
            <w:r w:rsidRPr="00710B91">
              <w:rPr>
                <w:b/>
                <w:noProof/>
                <w:sz w:val="20"/>
              </w:rPr>
              <w:t>N+2</w:t>
            </w:r>
          </w:p>
        </w:tc>
        <w:tc>
          <w:tcPr>
            <w:tcW w:w="964" w:type="dxa"/>
            <w:vAlign w:val="center"/>
          </w:tcPr>
          <w:p w14:paraId="0D396A9E" w14:textId="77777777" w:rsidR="001F2A4B" w:rsidRPr="00710B91" w:rsidRDefault="001F2A4B" w:rsidP="001F2A4B">
            <w:pPr>
              <w:jc w:val="center"/>
              <w:rPr>
                <w:noProof/>
                <w:sz w:val="20"/>
              </w:rPr>
            </w:pPr>
            <w:r w:rsidRPr="00710B91">
              <w:rPr>
                <w:noProof/>
                <w:sz w:val="20"/>
              </w:rPr>
              <w:t>Rok</w:t>
            </w:r>
            <w:r w:rsidRPr="00710B91">
              <w:rPr>
                <w:noProof/>
              </w:rPr>
              <w:t xml:space="preserve"> </w:t>
            </w:r>
            <w:r w:rsidRPr="00710B91">
              <w:rPr>
                <w:noProof/>
              </w:rPr>
              <w:br/>
            </w:r>
            <w:r w:rsidRPr="00710B91">
              <w:rPr>
                <w:b/>
                <w:noProof/>
                <w:sz w:val="20"/>
              </w:rPr>
              <w:t>N+3</w:t>
            </w:r>
          </w:p>
        </w:tc>
        <w:tc>
          <w:tcPr>
            <w:tcW w:w="2892" w:type="dxa"/>
            <w:gridSpan w:val="3"/>
            <w:vAlign w:val="center"/>
          </w:tcPr>
          <w:p w14:paraId="6EBBDF5A" w14:textId="3E205AD7" w:rsidR="001F2A4B" w:rsidRPr="00710B91" w:rsidRDefault="001F2A4B" w:rsidP="001F2A4B">
            <w:pPr>
              <w:jc w:val="center"/>
              <w:rPr>
                <w:b/>
                <w:noProof/>
                <w:sz w:val="20"/>
              </w:rPr>
            </w:pPr>
            <w:r w:rsidRPr="00710B91">
              <w:rPr>
                <w:noProof/>
                <w:sz w:val="20"/>
              </w:rPr>
              <w:t>Wprowadzić taką liczbę kolumn dla poszczególnych lat, jaka jest niezbędna, by odzwierciedlić cały okres wpływu (por. pkt</w:t>
            </w:r>
            <w:r w:rsidR="00710B91" w:rsidRPr="00710B91">
              <w:rPr>
                <w:noProof/>
                <w:sz w:val="20"/>
              </w:rPr>
              <w:t> </w:t>
            </w:r>
            <w:r w:rsidRPr="00710B91">
              <w:rPr>
                <w:noProof/>
                <w:sz w:val="20"/>
              </w:rPr>
              <w:t>1.6)</w:t>
            </w:r>
          </w:p>
        </w:tc>
        <w:tc>
          <w:tcPr>
            <w:tcW w:w="1158" w:type="dxa"/>
            <w:vAlign w:val="center"/>
          </w:tcPr>
          <w:p w14:paraId="38746320" w14:textId="77777777" w:rsidR="001F2A4B" w:rsidRPr="00710B91" w:rsidRDefault="001F2A4B" w:rsidP="001F2A4B">
            <w:pPr>
              <w:spacing w:before="60" w:after="60"/>
              <w:jc w:val="center"/>
              <w:rPr>
                <w:noProof/>
                <w:sz w:val="20"/>
              </w:rPr>
            </w:pPr>
            <w:r w:rsidRPr="00710B91">
              <w:rPr>
                <w:noProof/>
                <w:sz w:val="20"/>
              </w:rPr>
              <w:t>Ogółem</w:t>
            </w:r>
          </w:p>
        </w:tc>
      </w:tr>
      <w:tr w:rsidR="001F2A4B" w:rsidRPr="00710B91" w14:paraId="7FD80F81" w14:textId="77777777" w:rsidTr="001F2A4B">
        <w:trPr>
          <w:cantSplit/>
        </w:trPr>
        <w:tc>
          <w:tcPr>
            <w:tcW w:w="2340" w:type="dxa"/>
          </w:tcPr>
          <w:p w14:paraId="2CB7D051" w14:textId="77777777" w:rsidR="001F2A4B" w:rsidRPr="00710B91" w:rsidRDefault="001F2A4B" w:rsidP="001F2A4B">
            <w:pPr>
              <w:rPr>
                <w:noProof/>
              </w:rPr>
            </w:pPr>
            <w:r w:rsidRPr="00710B91">
              <w:rPr>
                <w:noProof/>
                <w:sz w:val="20"/>
              </w:rPr>
              <w:t>Określić organ współfinansujący</w:t>
            </w:r>
            <w:r w:rsidRPr="00710B91">
              <w:rPr>
                <w:i/>
                <w:noProof/>
                <w:sz w:val="20"/>
              </w:rPr>
              <w:t xml:space="preserve"> </w:t>
            </w:r>
          </w:p>
        </w:tc>
        <w:tc>
          <w:tcPr>
            <w:tcW w:w="964" w:type="dxa"/>
            <w:vAlign w:val="center"/>
          </w:tcPr>
          <w:p w14:paraId="22BF871F" w14:textId="77777777" w:rsidR="001F2A4B" w:rsidRPr="00710B91" w:rsidRDefault="001F2A4B" w:rsidP="001F2A4B">
            <w:pPr>
              <w:spacing w:before="60" w:after="60"/>
              <w:jc w:val="center"/>
              <w:rPr>
                <w:noProof/>
                <w:sz w:val="20"/>
              </w:rPr>
            </w:pPr>
          </w:p>
        </w:tc>
        <w:tc>
          <w:tcPr>
            <w:tcW w:w="964" w:type="dxa"/>
            <w:vAlign w:val="center"/>
          </w:tcPr>
          <w:p w14:paraId="28AF85FB" w14:textId="77777777" w:rsidR="001F2A4B" w:rsidRPr="00710B91" w:rsidRDefault="001F2A4B" w:rsidP="001F2A4B">
            <w:pPr>
              <w:spacing w:before="60" w:after="60"/>
              <w:jc w:val="center"/>
              <w:rPr>
                <w:noProof/>
                <w:sz w:val="20"/>
              </w:rPr>
            </w:pPr>
          </w:p>
        </w:tc>
        <w:tc>
          <w:tcPr>
            <w:tcW w:w="964" w:type="dxa"/>
            <w:vAlign w:val="center"/>
          </w:tcPr>
          <w:p w14:paraId="70B3C03A" w14:textId="77777777" w:rsidR="001F2A4B" w:rsidRPr="00710B91" w:rsidRDefault="001F2A4B" w:rsidP="001F2A4B">
            <w:pPr>
              <w:spacing w:before="60" w:after="60"/>
              <w:jc w:val="center"/>
              <w:rPr>
                <w:noProof/>
                <w:sz w:val="20"/>
              </w:rPr>
            </w:pPr>
          </w:p>
        </w:tc>
        <w:tc>
          <w:tcPr>
            <w:tcW w:w="964" w:type="dxa"/>
            <w:vAlign w:val="center"/>
          </w:tcPr>
          <w:p w14:paraId="3AE26D4D" w14:textId="77777777" w:rsidR="001F2A4B" w:rsidRPr="00710B91" w:rsidRDefault="001F2A4B" w:rsidP="001F2A4B">
            <w:pPr>
              <w:spacing w:before="60" w:after="60"/>
              <w:jc w:val="center"/>
              <w:rPr>
                <w:noProof/>
                <w:sz w:val="20"/>
              </w:rPr>
            </w:pPr>
          </w:p>
        </w:tc>
        <w:tc>
          <w:tcPr>
            <w:tcW w:w="964" w:type="dxa"/>
            <w:vAlign w:val="center"/>
          </w:tcPr>
          <w:p w14:paraId="1B88031C" w14:textId="77777777" w:rsidR="001F2A4B" w:rsidRPr="00710B91" w:rsidRDefault="001F2A4B" w:rsidP="001F2A4B">
            <w:pPr>
              <w:spacing w:before="60" w:after="60"/>
              <w:jc w:val="center"/>
              <w:rPr>
                <w:noProof/>
                <w:sz w:val="20"/>
              </w:rPr>
            </w:pPr>
          </w:p>
        </w:tc>
        <w:tc>
          <w:tcPr>
            <w:tcW w:w="964" w:type="dxa"/>
            <w:vAlign w:val="center"/>
          </w:tcPr>
          <w:p w14:paraId="4BEBFE5F" w14:textId="77777777" w:rsidR="001F2A4B" w:rsidRPr="00710B91" w:rsidRDefault="001F2A4B" w:rsidP="001F2A4B">
            <w:pPr>
              <w:spacing w:before="60" w:after="60"/>
              <w:jc w:val="center"/>
              <w:rPr>
                <w:noProof/>
                <w:sz w:val="20"/>
              </w:rPr>
            </w:pPr>
          </w:p>
        </w:tc>
        <w:tc>
          <w:tcPr>
            <w:tcW w:w="964" w:type="dxa"/>
            <w:vAlign w:val="center"/>
          </w:tcPr>
          <w:p w14:paraId="378A5B01" w14:textId="77777777" w:rsidR="001F2A4B" w:rsidRPr="00710B91" w:rsidRDefault="001F2A4B" w:rsidP="001F2A4B">
            <w:pPr>
              <w:spacing w:before="60" w:after="60"/>
              <w:jc w:val="center"/>
              <w:rPr>
                <w:noProof/>
                <w:sz w:val="20"/>
              </w:rPr>
            </w:pPr>
          </w:p>
        </w:tc>
        <w:tc>
          <w:tcPr>
            <w:tcW w:w="1158" w:type="dxa"/>
            <w:vAlign w:val="center"/>
          </w:tcPr>
          <w:p w14:paraId="51D1FCB2" w14:textId="77777777" w:rsidR="001F2A4B" w:rsidRPr="00710B91" w:rsidRDefault="001F2A4B" w:rsidP="001F2A4B">
            <w:pPr>
              <w:spacing w:before="60" w:after="60"/>
              <w:jc w:val="center"/>
              <w:rPr>
                <w:noProof/>
                <w:sz w:val="20"/>
              </w:rPr>
            </w:pPr>
          </w:p>
        </w:tc>
      </w:tr>
      <w:tr w:rsidR="001F2A4B" w:rsidRPr="00710B91" w14:paraId="6AB90C77" w14:textId="77777777" w:rsidTr="001F2A4B">
        <w:trPr>
          <w:cantSplit/>
        </w:trPr>
        <w:tc>
          <w:tcPr>
            <w:tcW w:w="2340" w:type="dxa"/>
          </w:tcPr>
          <w:p w14:paraId="1ED7B5B6" w14:textId="77777777" w:rsidR="001F2A4B" w:rsidRPr="00710B91" w:rsidRDefault="001F2A4B" w:rsidP="001F2A4B">
            <w:pPr>
              <w:spacing w:before="60" w:after="60"/>
              <w:rPr>
                <w:noProof/>
                <w:sz w:val="20"/>
              </w:rPr>
            </w:pPr>
            <w:r w:rsidRPr="00710B91">
              <w:rPr>
                <w:noProof/>
                <w:sz w:val="20"/>
              </w:rPr>
              <w:t xml:space="preserve">OGÓŁEM środki objęte współfinansowaniem </w:t>
            </w:r>
          </w:p>
        </w:tc>
        <w:tc>
          <w:tcPr>
            <w:tcW w:w="964" w:type="dxa"/>
            <w:vAlign w:val="center"/>
          </w:tcPr>
          <w:p w14:paraId="5462C5AE" w14:textId="77777777" w:rsidR="001F2A4B" w:rsidRPr="00710B91" w:rsidRDefault="001F2A4B" w:rsidP="001F2A4B">
            <w:pPr>
              <w:spacing w:before="60" w:after="60"/>
              <w:jc w:val="center"/>
              <w:rPr>
                <w:noProof/>
                <w:sz w:val="20"/>
              </w:rPr>
            </w:pPr>
          </w:p>
        </w:tc>
        <w:tc>
          <w:tcPr>
            <w:tcW w:w="964" w:type="dxa"/>
            <w:vAlign w:val="center"/>
          </w:tcPr>
          <w:p w14:paraId="6C4697BF" w14:textId="77777777" w:rsidR="001F2A4B" w:rsidRPr="00710B91" w:rsidRDefault="001F2A4B" w:rsidP="001F2A4B">
            <w:pPr>
              <w:spacing w:before="60" w:after="60"/>
              <w:jc w:val="center"/>
              <w:rPr>
                <w:noProof/>
                <w:sz w:val="20"/>
              </w:rPr>
            </w:pPr>
          </w:p>
        </w:tc>
        <w:tc>
          <w:tcPr>
            <w:tcW w:w="964" w:type="dxa"/>
            <w:vAlign w:val="center"/>
          </w:tcPr>
          <w:p w14:paraId="6B387E09" w14:textId="77777777" w:rsidR="001F2A4B" w:rsidRPr="00710B91" w:rsidRDefault="001F2A4B" w:rsidP="001F2A4B">
            <w:pPr>
              <w:spacing w:before="60" w:after="60"/>
              <w:jc w:val="center"/>
              <w:rPr>
                <w:noProof/>
                <w:sz w:val="20"/>
              </w:rPr>
            </w:pPr>
          </w:p>
        </w:tc>
        <w:tc>
          <w:tcPr>
            <w:tcW w:w="964" w:type="dxa"/>
            <w:vAlign w:val="center"/>
          </w:tcPr>
          <w:p w14:paraId="7147FEA7" w14:textId="77777777" w:rsidR="001F2A4B" w:rsidRPr="00710B91" w:rsidRDefault="001F2A4B" w:rsidP="001F2A4B">
            <w:pPr>
              <w:spacing w:before="60" w:after="60"/>
              <w:jc w:val="center"/>
              <w:rPr>
                <w:noProof/>
                <w:sz w:val="20"/>
              </w:rPr>
            </w:pPr>
          </w:p>
        </w:tc>
        <w:tc>
          <w:tcPr>
            <w:tcW w:w="964" w:type="dxa"/>
            <w:vAlign w:val="center"/>
          </w:tcPr>
          <w:p w14:paraId="72012F59" w14:textId="77777777" w:rsidR="001F2A4B" w:rsidRPr="00710B91" w:rsidRDefault="001F2A4B" w:rsidP="001F2A4B">
            <w:pPr>
              <w:spacing w:before="60" w:after="60"/>
              <w:jc w:val="center"/>
              <w:rPr>
                <w:noProof/>
                <w:sz w:val="20"/>
              </w:rPr>
            </w:pPr>
          </w:p>
        </w:tc>
        <w:tc>
          <w:tcPr>
            <w:tcW w:w="964" w:type="dxa"/>
            <w:vAlign w:val="center"/>
          </w:tcPr>
          <w:p w14:paraId="32824BB7" w14:textId="77777777" w:rsidR="001F2A4B" w:rsidRPr="00710B91" w:rsidRDefault="001F2A4B" w:rsidP="001F2A4B">
            <w:pPr>
              <w:spacing w:before="60" w:after="60"/>
              <w:jc w:val="center"/>
              <w:rPr>
                <w:noProof/>
                <w:sz w:val="20"/>
              </w:rPr>
            </w:pPr>
          </w:p>
        </w:tc>
        <w:tc>
          <w:tcPr>
            <w:tcW w:w="964" w:type="dxa"/>
            <w:vAlign w:val="center"/>
          </w:tcPr>
          <w:p w14:paraId="4B9F71FD" w14:textId="77777777" w:rsidR="001F2A4B" w:rsidRPr="00710B91" w:rsidRDefault="001F2A4B" w:rsidP="001F2A4B">
            <w:pPr>
              <w:spacing w:before="60" w:after="60"/>
              <w:jc w:val="center"/>
              <w:rPr>
                <w:noProof/>
                <w:sz w:val="20"/>
              </w:rPr>
            </w:pPr>
          </w:p>
        </w:tc>
        <w:tc>
          <w:tcPr>
            <w:tcW w:w="1158" w:type="dxa"/>
            <w:vAlign w:val="center"/>
          </w:tcPr>
          <w:p w14:paraId="3EE4CDD4" w14:textId="77777777" w:rsidR="001F2A4B" w:rsidRPr="00710B91" w:rsidRDefault="001F2A4B" w:rsidP="001F2A4B">
            <w:pPr>
              <w:spacing w:before="60" w:after="60"/>
              <w:jc w:val="center"/>
              <w:rPr>
                <w:noProof/>
                <w:sz w:val="20"/>
              </w:rPr>
            </w:pPr>
          </w:p>
        </w:tc>
      </w:tr>
    </w:tbl>
    <w:p w14:paraId="582011E3" w14:textId="77777777" w:rsidR="001F2A4B" w:rsidRPr="00710B91" w:rsidRDefault="00A728BA" w:rsidP="00451258">
      <w:pPr>
        <w:rPr>
          <w:noProof/>
          <w:szCs w:val="24"/>
        </w:rPr>
      </w:pPr>
      <w:r w:rsidRPr="00710B91">
        <w:rPr>
          <w:noProof/>
        </w:rPr>
        <w:br w:type="page"/>
      </w:r>
    </w:p>
    <w:p w14:paraId="615B1771" w14:textId="7E7C6661" w:rsidR="001D0AF2" w:rsidRPr="00710B91" w:rsidRDefault="009A08E9" w:rsidP="009A08E9">
      <w:pPr>
        <w:pStyle w:val="ManualHeading2"/>
        <w:rPr>
          <w:noProof/>
        </w:rPr>
      </w:pPr>
      <w:bookmarkStart w:id="40" w:name="_Toc92899411"/>
      <w:r w:rsidRPr="009A08E9">
        <w:t>3.3.</w:t>
      </w:r>
      <w:r w:rsidRPr="009A08E9">
        <w:tab/>
      </w:r>
      <w:r w:rsidR="00A728BA" w:rsidRPr="00710B91">
        <w:rPr>
          <w:noProof/>
        </w:rPr>
        <w:t>Szacunkowy wpływ na dochody</w:t>
      </w:r>
      <w:bookmarkEnd w:id="40"/>
      <w:r w:rsidR="00A728BA" w:rsidRPr="00710B91">
        <w:rPr>
          <w:noProof/>
        </w:rPr>
        <w:t xml:space="preserve"> </w:t>
      </w:r>
    </w:p>
    <w:p w14:paraId="7E9F2C0E" w14:textId="77777777" w:rsidR="00A728BA" w:rsidRPr="00710B91" w:rsidRDefault="00827D15" w:rsidP="006F6F3C">
      <w:pPr>
        <w:pStyle w:val="ListDash1"/>
        <w:rPr>
          <w:noProof/>
        </w:rPr>
      </w:pPr>
      <w:r w:rsidRPr="00710B91">
        <w:rPr>
          <w:noProof/>
        </w:rPr>
        <w:sym w:font="Wingdings" w:char="F0FE"/>
      </w:r>
      <w:r w:rsidRPr="00710B91">
        <w:rPr>
          <w:noProof/>
        </w:rPr>
        <w:tab/>
        <w:t>Wniosek/inicjatywa nie ma wpływu finansowego na dochody.</w:t>
      </w:r>
    </w:p>
    <w:p w14:paraId="3B6A0567" w14:textId="77777777" w:rsidR="00A728BA" w:rsidRPr="00710B91" w:rsidRDefault="00A728BA" w:rsidP="006F6F3C">
      <w:pPr>
        <w:pStyle w:val="ListDash1"/>
        <w:rPr>
          <w:noProof/>
        </w:rPr>
      </w:pPr>
      <w:r w:rsidRPr="00710B91">
        <w:rPr>
          <w:noProof/>
        </w:rPr>
        <w:sym w:font="Wingdings" w:char="F0A8"/>
      </w:r>
      <w:r w:rsidRPr="00710B91">
        <w:rPr>
          <w:noProof/>
        </w:rPr>
        <w:tab/>
        <w:t>Wniosek/inicjatywa ma wpływ finansowy określony poniżej:</w:t>
      </w:r>
    </w:p>
    <w:p w14:paraId="6D5E250B" w14:textId="77777777" w:rsidR="00A728BA" w:rsidRPr="00710B91" w:rsidRDefault="00A728BA" w:rsidP="00A728BA">
      <w:pPr>
        <w:pStyle w:val="ListNumberLevel3"/>
        <w:rPr>
          <w:noProof/>
        </w:rPr>
      </w:pPr>
      <w:r w:rsidRPr="00710B91">
        <w:rPr>
          <w:noProof/>
        </w:rPr>
        <w:sym w:font="Wingdings" w:char="F0A8"/>
      </w:r>
      <w:r w:rsidRPr="00710B91">
        <w:rPr>
          <w:noProof/>
        </w:rPr>
        <w:tab/>
        <w:t xml:space="preserve">wpływ na zasoby własne </w:t>
      </w:r>
    </w:p>
    <w:p w14:paraId="4FC01506" w14:textId="77777777" w:rsidR="00A728BA" w:rsidRPr="00710B91" w:rsidRDefault="00A728BA" w:rsidP="00A728BA">
      <w:pPr>
        <w:pStyle w:val="ListNumberLevel3"/>
        <w:rPr>
          <w:noProof/>
        </w:rPr>
      </w:pPr>
      <w:r w:rsidRPr="00710B91">
        <w:rPr>
          <w:noProof/>
        </w:rPr>
        <w:sym w:font="Wingdings" w:char="F0A8"/>
      </w:r>
      <w:r w:rsidRPr="00710B91">
        <w:rPr>
          <w:noProof/>
        </w:rPr>
        <w:tab/>
        <w:t>wpływ na dochody inne</w:t>
      </w:r>
    </w:p>
    <w:p w14:paraId="16F3751A" w14:textId="77777777" w:rsidR="00A728BA" w:rsidRPr="00710B91" w:rsidRDefault="00A728BA" w:rsidP="006F6F3C">
      <w:pPr>
        <w:pStyle w:val="ListNumberLevel3"/>
        <w:rPr>
          <w:noProof/>
        </w:rPr>
      </w:pPr>
      <w:r w:rsidRPr="00710B91">
        <w:rPr>
          <w:noProof/>
        </w:rPr>
        <w:t xml:space="preserve">Wskazać, czy dochody są przypisane do linii budżetowej po stronie wydatków </w:t>
      </w:r>
      <w:r w:rsidRPr="00710B91">
        <w:rPr>
          <w:noProof/>
        </w:rPr>
        <w:sym w:font="Wingdings" w:char="F0A8"/>
      </w:r>
      <w:r w:rsidRPr="00710B91">
        <w:rPr>
          <w:noProof/>
        </w:rPr>
        <w:tab/>
      </w:r>
    </w:p>
    <w:p w14:paraId="14E02BD5" w14:textId="2A5E5B5A" w:rsidR="00A728BA" w:rsidRPr="00710B91" w:rsidRDefault="00A728BA" w:rsidP="006F6F3C">
      <w:pPr>
        <w:ind w:left="4320"/>
        <w:rPr>
          <w:i/>
          <w:noProof/>
          <w:sz w:val="20"/>
        </w:rPr>
      </w:pPr>
      <w:r w:rsidRPr="00710B91">
        <w:rPr>
          <w:noProof/>
        </w:rPr>
        <w:t>w mln EUR (do trzech miejsc po przecinku)</w:t>
      </w:r>
    </w:p>
    <w:tbl>
      <w:tblPr>
        <w:tblW w:w="10620"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44"/>
        <w:gridCol w:w="1325"/>
        <w:gridCol w:w="1031"/>
        <w:gridCol w:w="900"/>
        <w:gridCol w:w="900"/>
        <w:gridCol w:w="1080"/>
        <w:gridCol w:w="1080"/>
        <w:gridCol w:w="1080"/>
        <w:gridCol w:w="1080"/>
      </w:tblGrid>
      <w:tr w:rsidR="00A728BA" w:rsidRPr="00710B91" w14:paraId="59607D8F" w14:textId="77777777" w:rsidTr="006F6F3C">
        <w:trPr>
          <w:trHeight w:val="388"/>
        </w:trPr>
        <w:tc>
          <w:tcPr>
            <w:tcW w:w="2144" w:type="dxa"/>
            <w:vMerge w:val="restart"/>
            <w:vAlign w:val="center"/>
          </w:tcPr>
          <w:p w14:paraId="76FE457F" w14:textId="77777777" w:rsidR="00A728BA" w:rsidRPr="00710B91" w:rsidRDefault="00A728BA" w:rsidP="006F6F3C">
            <w:pPr>
              <w:spacing w:before="40" w:after="40"/>
              <w:rPr>
                <w:noProof/>
                <w:sz w:val="18"/>
              </w:rPr>
            </w:pPr>
            <w:r w:rsidRPr="00710B91">
              <w:rPr>
                <w:noProof/>
                <w:sz w:val="18"/>
              </w:rPr>
              <w:t>Linia budżetowa po stronie dochodów</w:t>
            </w:r>
          </w:p>
        </w:tc>
        <w:tc>
          <w:tcPr>
            <w:tcW w:w="1325" w:type="dxa"/>
            <w:vMerge w:val="restart"/>
            <w:vAlign w:val="center"/>
          </w:tcPr>
          <w:p w14:paraId="13BCFF0B" w14:textId="792C8A02" w:rsidR="00A728BA" w:rsidRPr="00710B91" w:rsidRDefault="00A728BA" w:rsidP="006F6F3C">
            <w:pPr>
              <w:jc w:val="center"/>
              <w:rPr>
                <w:noProof/>
                <w:sz w:val="18"/>
              </w:rPr>
            </w:pPr>
            <w:r w:rsidRPr="00710B91">
              <w:rPr>
                <w:noProof/>
                <w:sz w:val="18"/>
              </w:rPr>
              <w:t>Środki zapisane</w:t>
            </w:r>
            <w:r w:rsidR="00710B91" w:rsidRPr="00710B91">
              <w:rPr>
                <w:noProof/>
                <w:sz w:val="18"/>
              </w:rPr>
              <w:t xml:space="preserve"> w</w:t>
            </w:r>
            <w:r w:rsidR="00710B91">
              <w:rPr>
                <w:noProof/>
                <w:sz w:val="18"/>
              </w:rPr>
              <w:t> </w:t>
            </w:r>
            <w:r w:rsidR="00710B91" w:rsidRPr="00710B91">
              <w:rPr>
                <w:noProof/>
                <w:sz w:val="18"/>
              </w:rPr>
              <w:t>bud</w:t>
            </w:r>
            <w:r w:rsidRPr="00710B91">
              <w:rPr>
                <w:noProof/>
                <w:sz w:val="18"/>
              </w:rPr>
              <w:t>żecie na bieżący rok budżetowy</w:t>
            </w:r>
          </w:p>
        </w:tc>
        <w:tc>
          <w:tcPr>
            <w:tcW w:w="7151" w:type="dxa"/>
            <w:gridSpan w:val="7"/>
            <w:vAlign w:val="center"/>
          </w:tcPr>
          <w:p w14:paraId="5490FDAB" w14:textId="77777777" w:rsidR="00A728BA" w:rsidRPr="00710B91" w:rsidRDefault="00A728BA" w:rsidP="006F6F3C">
            <w:pPr>
              <w:jc w:val="center"/>
              <w:rPr>
                <w:noProof/>
                <w:sz w:val="18"/>
              </w:rPr>
            </w:pPr>
            <w:r w:rsidRPr="00710B91">
              <w:rPr>
                <w:noProof/>
                <w:sz w:val="18"/>
              </w:rPr>
              <w:t>Wpływ wniosku/inicjatywy</w:t>
            </w:r>
            <w:r w:rsidRPr="00710B91">
              <w:rPr>
                <w:rStyle w:val="FootnoteReference"/>
                <w:noProof/>
                <w:sz w:val="18"/>
              </w:rPr>
              <w:footnoteReference w:id="47"/>
            </w:r>
          </w:p>
        </w:tc>
      </w:tr>
      <w:tr w:rsidR="00A728BA" w:rsidRPr="00710B91" w14:paraId="5FC7BC42" w14:textId="77777777" w:rsidTr="006F6F3C">
        <w:trPr>
          <w:trHeight w:val="388"/>
        </w:trPr>
        <w:tc>
          <w:tcPr>
            <w:tcW w:w="2144" w:type="dxa"/>
            <w:vMerge/>
          </w:tcPr>
          <w:p w14:paraId="65BDBB20" w14:textId="77777777" w:rsidR="00A728BA" w:rsidRPr="00710B91" w:rsidRDefault="00A728BA" w:rsidP="006F6F3C">
            <w:pPr>
              <w:spacing w:before="40" w:after="40"/>
              <w:rPr>
                <w:noProof/>
                <w:sz w:val="18"/>
              </w:rPr>
            </w:pPr>
          </w:p>
        </w:tc>
        <w:tc>
          <w:tcPr>
            <w:tcW w:w="1325" w:type="dxa"/>
            <w:vMerge/>
          </w:tcPr>
          <w:p w14:paraId="3AC0B535" w14:textId="77777777" w:rsidR="00A728BA" w:rsidRPr="00710B91" w:rsidRDefault="00A728BA" w:rsidP="006F6F3C">
            <w:pPr>
              <w:spacing w:beforeLines="40" w:before="96" w:afterLines="40" w:after="96"/>
              <w:rPr>
                <w:i/>
                <w:noProof/>
                <w:sz w:val="18"/>
              </w:rPr>
            </w:pPr>
          </w:p>
        </w:tc>
        <w:tc>
          <w:tcPr>
            <w:tcW w:w="1031" w:type="dxa"/>
            <w:vAlign w:val="center"/>
          </w:tcPr>
          <w:p w14:paraId="0DF49264" w14:textId="77777777" w:rsidR="00A728BA" w:rsidRPr="00710B91" w:rsidRDefault="00A728BA" w:rsidP="006F6F3C">
            <w:pPr>
              <w:jc w:val="center"/>
              <w:rPr>
                <w:noProof/>
                <w:sz w:val="18"/>
              </w:rPr>
            </w:pPr>
            <w:r w:rsidRPr="00710B91">
              <w:rPr>
                <w:noProof/>
                <w:sz w:val="18"/>
              </w:rPr>
              <w:t>Rok</w:t>
            </w:r>
            <w:r w:rsidRPr="00710B91">
              <w:rPr>
                <w:noProof/>
              </w:rPr>
              <w:t xml:space="preserve"> </w:t>
            </w:r>
            <w:r w:rsidRPr="00710B91">
              <w:rPr>
                <w:noProof/>
              </w:rPr>
              <w:br/>
            </w:r>
            <w:r w:rsidRPr="00710B91">
              <w:rPr>
                <w:b/>
                <w:noProof/>
                <w:sz w:val="18"/>
              </w:rPr>
              <w:t>N</w:t>
            </w:r>
          </w:p>
        </w:tc>
        <w:tc>
          <w:tcPr>
            <w:tcW w:w="900" w:type="dxa"/>
            <w:vAlign w:val="center"/>
          </w:tcPr>
          <w:p w14:paraId="7AA0BB86" w14:textId="77777777" w:rsidR="00A728BA" w:rsidRPr="00710B91" w:rsidRDefault="00A728BA" w:rsidP="006F6F3C">
            <w:pPr>
              <w:jc w:val="center"/>
              <w:rPr>
                <w:noProof/>
                <w:sz w:val="18"/>
              </w:rPr>
            </w:pPr>
            <w:r w:rsidRPr="00710B91">
              <w:rPr>
                <w:noProof/>
                <w:sz w:val="18"/>
              </w:rPr>
              <w:t>Rok</w:t>
            </w:r>
            <w:r w:rsidRPr="00710B91">
              <w:rPr>
                <w:noProof/>
              </w:rPr>
              <w:t xml:space="preserve"> </w:t>
            </w:r>
            <w:r w:rsidRPr="00710B91">
              <w:rPr>
                <w:noProof/>
              </w:rPr>
              <w:br/>
            </w:r>
            <w:r w:rsidRPr="00710B91">
              <w:rPr>
                <w:b/>
                <w:noProof/>
                <w:sz w:val="18"/>
              </w:rPr>
              <w:t>N+1</w:t>
            </w:r>
          </w:p>
        </w:tc>
        <w:tc>
          <w:tcPr>
            <w:tcW w:w="900" w:type="dxa"/>
            <w:vAlign w:val="center"/>
          </w:tcPr>
          <w:p w14:paraId="0347028A" w14:textId="77777777" w:rsidR="00A728BA" w:rsidRPr="00710B91" w:rsidRDefault="00A728BA" w:rsidP="006F6F3C">
            <w:pPr>
              <w:jc w:val="center"/>
              <w:rPr>
                <w:noProof/>
                <w:sz w:val="18"/>
              </w:rPr>
            </w:pPr>
            <w:r w:rsidRPr="00710B91">
              <w:rPr>
                <w:noProof/>
                <w:sz w:val="18"/>
              </w:rPr>
              <w:t>Rok</w:t>
            </w:r>
            <w:r w:rsidRPr="00710B91">
              <w:rPr>
                <w:noProof/>
              </w:rPr>
              <w:t xml:space="preserve"> </w:t>
            </w:r>
            <w:r w:rsidRPr="00710B91">
              <w:rPr>
                <w:noProof/>
              </w:rPr>
              <w:br/>
            </w:r>
            <w:r w:rsidRPr="00710B91">
              <w:rPr>
                <w:b/>
                <w:noProof/>
                <w:sz w:val="18"/>
              </w:rPr>
              <w:t>N+2</w:t>
            </w:r>
          </w:p>
        </w:tc>
        <w:tc>
          <w:tcPr>
            <w:tcW w:w="1080" w:type="dxa"/>
            <w:vAlign w:val="center"/>
          </w:tcPr>
          <w:p w14:paraId="5639092D" w14:textId="77777777" w:rsidR="00A728BA" w:rsidRPr="00710B91" w:rsidRDefault="00A728BA" w:rsidP="006F6F3C">
            <w:pPr>
              <w:jc w:val="center"/>
              <w:rPr>
                <w:noProof/>
                <w:sz w:val="18"/>
              </w:rPr>
            </w:pPr>
            <w:r w:rsidRPr="00710B91">
              <w:rPr>
                <w:noProof/>
                <w:sz w:val="18"/>
              </w:rPr>
              <w:t>Rok</w:t>
            </w:r>
            <w:r w:rsidRPr="00710B91">
              <w:rPr>
                <w:noProof/>
              </w:rPr>
              <w:t xml:space="preserve"> </w:t>
            </w:r>
            <w:r w:rsidRPr="00710B91">
              <w:rPr>
                <w:noProof/>
              </w:rPr>
              <w:br/>
            </w:r>
            <w:r w:rsidRPr="00710B91">
              <w:rPr>
                <w:b/>
                <w:noProof/>
                <w:sz w:val="18"/>
              </w:rPr>
              <w:t>N+3</w:t>
            </w:r>
          </w:p>
        </w:tc>
        <w:tc>
          <w:tcPr>
            <w:tcW w:w="3240" w:type="dxa"/>
            <w:gridSpan w:val="3"/>
            <w:vAlign w:val="center"/>
          </w:tcPr>
          <w:p w14:paraId="6521E129" w14:textId="77685531" w:rsidR="00A728BA" w:rsidRPr="00710B91" w:rsidRDefault="00A728BA" w:rsidP="006F6F3C">
            <w:pPr>
              <w:jc w:val="center"/>
              <w:rPr>
                <w:b/>
                <w:noProof/>
                <w:sz w:val="18"/>
              </w:rPr>
            </w:pPr>
            <w:r w:rsidRPr="00710B91">
              <w:rPr>
                <w:noProof/>
                <w:sz w:val="18"/>
              </w:rPr>
              <w:t>Wprowadzić taką liczbę kolumn dla poszczególnych lat, jaka jest niezbędna, by odzwierciedlić cały okres wpływu (por. pkt</w:t>
            </w:r>
            <w:r w:rsidR="00710B91" w:rsidRPr="00710B91">
              <w:rPr>
                <w:noProof/>
                <w:sz w:val="18"/>
              </w:rPr>
              <w:t> </w:t>
            </w:r>
            <w:r w:rsidRPr="00710B91">
              <w:rPr>
                <w:noProof/>
                <w:sz w:val="18"/>
              </w:rPr>
              <w:t>1.6)</w:t>
            </w:r>
          </w:p>
        </w:tc>
      </w:tr>
      <w:tr w:rsidR="00A728BA" w:rsidRPr="00710B91" w14:paraId="2ACA2DFE" w14:textId="77777777" w:rsidTr="006F6F3C">
        <w:trPr>
          <w:trHeight w:val="388"/>
        </w:trPr>
        <w:tc>
          <w:tcPr>
            <w:tcW w:w="2144" w:type="dxa"/>
            <w:vAlign w:val="center"/>
          </w:tcPr>
          <w:p w14:paraId="0C8E0C11" w14:textId="77777777" w:rsidR="00A728BA" w:rsidRPr="00710B91" w:rsidRDefault="00A728BA" w:rsidP="006F6F3C">
            <w:pPr>
              <w:spacing w:before="40" w:after="40"/>
              <w:rPr>
                <w:noProof/>
                <w:sz w:val="18"/>
              </w:rPr>
            </w:pPr>
            <w:r w:rsidRPr="00710B91">
              <w:rPr>
                <w:noProof/>
                <w:sz w:val="18"/>
              </w:rPr>
              <w:t>Artykuł …</w:t>
            </w:r>
          </w:p>
        </w:tc>
        <w:tc>
          <w:tcPr>
            <w:tcW w:w="1325" w:type="dxa"/>
          </w:tcPr>
          <w:p w14:paraId="4071A4B8" w14:textId="77777777" w:rsidR="00A728BA" w:rsidRPr="00710B91" w:rsidRDefault="00A728BA" w:rsidP="006F6F3C">
            <w:pPr>
              <w:spacing w:beforeLines="40" w:before="96" w:afterLines="40" w:after="96"/>
              <w:jc w:val="center"/>
              <w:rPr>
                <w:i/>
                <w:noProof/>
                <w:sz w:val="18"/>
              </w:rPr>
            </w:pPr>
          </w:p>
        </w:tc>
        <w:tc>
          <w:tcPr>
            <w:tcW w:w="1031" w:type="dxa"/>
          </w:tcPr>
          <w:p w14:paraId="62C8F7B1" w14:textId="77777777" w:rsidR="00A728BA" w:rsidRPr="00710B91" w:rsidRDefault="00A728BA" w:rsidP="006F6F3C">
            <w:pPr>
              <w:spacing w:beforeLines="40" w:before="96" w:afterLines="40" w:after="96"/>
              <w:jc w:val="center"/>
              <w:rPr>
                <w:noProof/>
                <w:sz w:val="18"/>
              </w:rPr>
            </w:pPr>
          </w:p>
        </w:tc>
        <w:tc>
          <w:tcPr>
            <w:tcW w:w="900" w:type="dxa"/>
          </w:tcPr>
          <w:p w14:paraId="52D31AC4" w14:textId="77777777" w:rsidR="00A728BA" w:rsidRPr="00710B91" w:rsidRDefault="00A728BA" w:rsidP="006F6F3C">
            <w:pPr>
              <w:spacing w:beforeLines="40" w:before="96" w:afterLines="40" w:after="96"/>
              <w:jc w:val="center"/>
              <w:rPr>
                <w:noProof/>
                <w:sz w:val="18"/>
              </w:rPr>
            </w:pPr>
          </w:p>
        </w:tc>
        <w:tc>
          <w:tcPr>
            <w:tcW w:w="900" w:type="dxa"/>
          </w:tcPr>
          <w:p w14:paraId="07B6A666" w14:textId="77777777" w:rsidR="00A728BA" w:rsidRPr="00710B91" w:rsidRDefault="00A728BA" w:rsidP="006F6F3C">
            <w:pPr>
              <w:spacing w:beforeLines="40" w:before="96" w:afterLines="40" w:after="96"/>
              <w:jc w:val="center"/>
              <w:rPr>
                <w:noProof/>
                <w:sz w:val="18"/>
              </w:rPr>
            </w:pPr>
          </w:p>
        </w:tc>
        <w:tc>
          <w:tcPr>
            <w:tcW w:w="1080" w:type="dxa"/>
          </w:tcPr>
          <w:p w14:paraId="051A5EB1" w14:textId="77777777" w:rsidR="00A728BA" w:rsidRPr="00710B91" w:rsidRDefault="00A728BA" w:rsidP="006F6F3C">
            <w:pPr>
              <w:spacing w:beforeLines="40" w:before="96" w:afterLines="40" w:after="96"/>
              <w:jc w:val="center"/>
              <w:rPr>
                <w:noProof/>
                <w:sz w:val="18"/>
              </w:rPr>
            </w:pPr>
          </w:p>
        </w:tc>
        <w:tc>
          <w:tcPr>
            <w:tcW w:w="1080" w:type="dxa"/>
          </w:tcPr>
          <w:p w14:paraId="5FAF524A" w14:textId="77777777" w:rsidR="00A728BA" w:rsidRPr="00710B91" w:rsidRDefault="00A728BA" w:rsidP="006F6F3C">
            <w:pPr>
              <w:spacing w:beforeLines="40" w:before="96" w:afterLines="40" w:after="96"/>
              <w:jc w:val="center"/>
              <w:rPr>
                <w:noProof/>
                <w:sz w:val="18"/>
              </w:rPr>
            </w:pPr>
          </w:p>
        </w:tc>
        <w:tc>
          <w:tcPr>
            <w:tcW w:w="1080" w:type="dxa"/>
          </w:tcPr>
          <w:p w14:paraId="63F4BE3E" w14:textId="77777777" w:rsidR="00A728BA" w:rsidRPr="00710B91" w:rsidRDefault="00A728BA" w:rsidP="006F6F3C">
            <w:pPr>
              <w:spacing w:beforeLines="40" w:before="96" w:afterLines="40" w:after="96"/>
              <w:jc w:val="center"/>
              <w:rPr>
                <w:noProof/>
                <w:sz w:val="18"/>
              </w:rPr>
            </w:pPr>
          </w:p>
        </w:tc>
        <w:tc>
          <w:tcPr>
            <w:tcW w:w="1080" w:type="dxa"/>
          </w:tcPr>
          <w:p w14:paraId="3F3336CD" w14:textId="77777777" w:rsidR="00A728BA" w:rsidRPr="00710B91" w:rsidRDefault="00A728BA" w:rsidP="006F6F3C">
            <w:pPr>
              <w:spacing w:beforeLines="40" w:before="96" w:afterLines="40" w:after="96"/>
              <w:jc w:val="center"/>
              <w:rPr>
                <w:noProof/>
                <w:sz w:val="18"/>
              </w:rPr>
            </w:pPr>
          </w:p>
        </w:tc>
      </w:tr>
    </w:tbl>
    <w:p w14:paraId="295322BF" w14:textId="77777777" w:rsidR="00A728BA" w:rsidRPr="00710B91" w:rsidRDefault="00A728BA" w:rsidP="006F6F3C">
      <w:pPr>
        <w:pStyle w:val="Text1"/>
        <w:rPr>
          <w:noProof/>
          <w:sz w:val="20"/>
        </w:rPr>
      </w:pPr>
      <w:r w:rsidRPr="00710B91">
        <w:rPr>
          <w:noProof/>
          <w:sz w:val="20"/>
        </w:rPr>
        <w:t>W przypadku wpływu na dochody przeznaczone na określony cel należy wskazać linie budżetowe po stronie wydatków, które ten wpływ obejmie.</w:t>
      </w:r>
    </w:p>
    <w:p w14:paraId="7568B913" w14:textId="77777777" w:rsidR="00A728BA" w:rsidRPr="00710B91" w:rsidRDefault="00A728BA" w:rsidP="006F6F3C">
      <w:pPr>
        <w:pStyle w:val="Text1"/>
        <w:pBdr>
          <w:top w:val="single" w:sz="4" w:space="1" w:color="auto"/>
          <w:left w:val="single" w:sz="4" w:space="4" w:color="auto"/>
          <w:bottom w:val="single" w:sz="4" w:space="1" w:color="auto"/>
          <w:right w:val="single" w:sz="4" w:space="4" w:color="auto"/>
        </w:pBdr>
        <w:rPr>
          <w:noProof/>
        </w:rPr>
      </w:pPr>
    </w:p>
    <w:p w14:paraId="4D90F6E0" w14:textId="77777777" w:rsidR="00A728BA" w:rsidRPr="00710B91" w:rsidRDefault="00A728BA" w:rsidP="006F6F3C">
      <w:pPr>
        <w:pStyle w:val="Text1"/>
        <w:rPr>
          <w:noProof/>
          <w:sz w:val="20"/>
        </w:rPr>
      </w:pPr>
      <w:r w:rsidRPr="00710B91">
        <w:rPr>
          <w:noProof/>
          <w:sz w:val="20"/>
        </w:rPr>
        <w:t>Pozostałe uwagi (np. metoda/wzór użyte do obliczenia wpływu na dochody albo inne informacje).</w:t>
      </w:r>
    </w:p>
    <w:p w14:paraId="4D5BDBA5" w14:textId="77777777" w:rsidR="00A728BA" w:rsidRPr="00710B91" w:rsidRDefault="00A728BA" w:rsidP="006F6F3C">
      <w:pPr>
        <w:pStyle w:val="Text1"/>
        <w:pBdr>
          <w:top w:val="single" w:sz="4" w:space="1" w:color="auto"/>
          <w:left w:val="single" w:sz="4" w:space="4" w:color="auto"/>
          <w:bottom w:val="single" w:sz="4" w:space="1" w:color="auto"/>
          <w:right w:val="single" w:sz="4" w:space="4" w:color="auto"/>
        </w:pBdr>
        <w:rPr>
          <w:noProof/>
        </w:rPr>
      </w:pPr>
    </w:p>
    <w:sectPr w:rsidR="00A728BA" w:rsidRPr="00710B91" w:rsidSect="00DA1122">
      <w:headerReference w:type="default" r:id="rId19"/>
      <w:footerReference w:type="default" r:id="rId20"/>
      <w:headerReference w:type="first" r:id="rId21"/>
      <w:footerReference w:type="first" r:id="rId22"/>
      <w:pgSz w:w="11907" w:h="16840" w:code="9"/>
      <w:pgMar w:top="1134" w:right="1418" w:bottom="1134"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62554EB" w14:textId="77777777" w:rsidR="00710B91" w:rsidRPr="00710B91" w:rsidRDefault="00710B91" w:rsidP="00023765">
      <w:pPr>
        <w:spacing w:before="0" w:after="0"/>
      </w:pPr>
      <w:r w:rsidRPr="00710B91">
        <w:separator/>
      </w:r>
    </w:p>
  </w:endnote>
  <w:endnote w:type="continuationSeparator" w:id="0">
    <w:p w14:paraId="6C474B94" w14:textId="77777777" w:rsidR="00710B91" w:rsidRPr="00710B91" w:rsidRDefault="00710B91" w:rsidP="00023765">
      <w:pPr>
        <w:spacing w:before="0" w:after="0"/>
      </w:pPr>
      <w:r w:rsidRPr="00710B91">
        <w:continuationSeparator/>
      </w:r>
    </w:p>
  </w:endnote>
  <w:endnote w:type="continuationNotice" w:id="1">
    <w:p w14:paraId="4B5C33B4" w14:textId="77777777" w:rsidR="00710B91" w:rsidRPr="00710B91" w:rsidRDefault="00710B91">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00000000" w:usb1="E9DFFFFF" w:usb2="0000003F" w:usb3="00000000" w:csb0="003F01FF" w:csb1="00000000"/>
  </w:font>
  <w:font w:name="EUAlbertina">
    <w:altName w:val="Times New Roman"/>
    <w:charset w:val="00"/>
    <w:family w:val="auto"/>
    <w:pitch w:val="variable"/>
    <w:sig w:usb0="00000001" w:usb1="1000E0FB" w:usb2="00000000" w:usb3="00000000" w:csb0="0000009F" w:csb1="00000000"/>
  </w:font>
  <w:font w:name="Roboto">
    <w:altName w:val="Times New Roman"/>
    <w:charset w:val="00"/>
    <w:family w:val="auto"/>
    <w:pitch w:val="variable"/>
    <w:sig w:usb0="00000001" w:usb1="5000205B" w:usb2="0000002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C1FFB60" w14:textId="37F8EFD0" w:rsidR="008B1529" w:rsidRPr="00DA1122" w:rsidRDefault="00DA1122" w:rsidP="00DA1122">
    <w:pPr>
      <w:pStyle w:val="Footer"/>
      <w:rPr>
        <w:rFonts w:ascii="Arial" w:hAnsi="Arial" w:cs="Arial"/>
        <w:b/>
        <w:sz w:val="48"/>
      </w:rPr>
    </w:pPr>
    <w:r w:rsidRPr="00DA1122">
      <w:rPr>
        <w:rFonts w:ascii="Arial" w:hAnsi="Arial" w:cs="Arial"/>
        <w:b/>
        <w:sz w:val="48"/>
      </w:rPr>
      <w:t>PL</w:t>
    </w:r>
    <w:r w:rsidRPr="00DA1122">
      <w:rPr>
        <w:rFonts w:ascii="Arial" w:hAnsi="Arial" w:cs="Arial"/>
        <w:b/>
        <w:sz w:val="48"/>
      </w:rPr>
      <w:tab/>
    </w:r>
    <w:r w:rsidRPr="00DA1122">
      <w:rPr>
        <w:rFonts w:ascii="Arial" w:hAnsi="Arial" w:cs="Arial"/>
        <w:b/>
        <w:sz w:val="48"/>
      </w:rPr>
      <w:tab/>
    </w:r>
    <w:r w:rsidRPr="00DA1122">
      <w:tab/>
    </w:r>
    <w:r w:rsidRPr="00DA1122">
      <w:rPr>
        <w:rFonts w:ascii="Arial" w:hAnsi="Arial" w:cs="Arial"/>
        <w:b/>
        <w:sz w:val="48"/>
      </w:rPr>
      <w:t>PL</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D05E7D2" w14:textId="0EBE274A" w:rsidR="00DA1122" w:rsidRPr="00DA1122" w:rsidRDefault="00DA1122" w:rsidP="00DA1122">
    <w:pPr>
      <w:pStyle w:val="Footer"/>
      <w:rPr>
        <w:rFonts w:ascii="Arial" w:hAnsi="Arial" w:cs="Arial"/>
        <w:b/>
        <w:sz w:val="48"/>
      </w:rPr>
    </w:pPr>
    <w:r w:rsidRPr="00DA1122">
      <w:rPr>
        <w:rFonts w:ascii="Arial" w:hAnsi="Arial" w:cs="Arial"/>
        <w:b/>
        <w:sz w:val="48"/>
      </w:rPr>
      <w:t>PL</w:t>
    </w:r>
    <w:r w:rsidRPr="00DA1122">
      <w:rPr>
        <w:rFonts w:ascii="Arial" w:hAnsi="Arial" w:cs="Arial"/>
        <w:b/>
        <w:sz w:val="48"/>
      </w:rPr>
      <w:tab/>
    </w:r>
    <w:r>
      <w:fldChar w:fldCharType="begin"/>
    </w:r>
    <w:r>
      <w:instrText xml:space="preserve"> PAGE  \* MERGEFORMAT </w:instrText>
    </w:r>
    <w:r>
      <w:fldChar w:fldCharType="separate"/>
    </w:r>
    <w:r w:rsidR="00FE2898">
      <w:rPr>
        <w:noProof/>
      </w:rPr>
      <w:t>38</w:t>
    </w:r>
    <w:r>
      <w:fldChar w:fldCharType="end"/>
    </w:r>
    <w:r>
      <w:tab/>
    </w:r>
    <w:r w:rsidRPr="00DA1122">
      <w:tab/>
    </w:r>
    <w:r w:rsidRPr="00DA1122">
      <w:rPr>
        <w:rFonts w:ascii="Arial" w:hAnsi="Arial" w:cs="Arial"/>
        <w:b/>
        <w:sz w:val="48"/>
      </w:rPr>
      <w:t>PL</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CD4F64B" w14:textId="77777777" w:rsidR="00DA1122" w:rsidRPr="00DA1122" w:rsidRDefault="00DA1122" w:rsidP="00DA1122">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4AAA20F" w14:textId="19B57E32" w:rsidR="00DA1122" w:rsidRPr="00DA1122" w:rsidRDefault="00DA1122" w:rsidP="00DA1122">
    <w:pPr>
      <w:pStyle w:val="FooterLandscape"/>
      <w:rPr>
        <w:rFonts w:ascii="Arial" w:hAnsi="Arial" w:cs="Arial"/>
        <w:b/>
        <w:sz w:val="48"/>
      </w:rPr>
    </w:pPr>
    <w:r w:rsidRPr="00DA1122">
      <w:rPr>
        <w:rFonts w:ascii="Arial" w:hAnsi="Arial" w:cs="Arial"/>
        <w:b/>
        <w:sz w:val="48"/>
      </w:rPr>
      <w:t>PL</w:t>
    </w:r>
    <w:r w:rsidRPr="00DA1122">
      <w:rPr>
        <w:rFonts w:ascii="Arial" w:hAnsi="Arial" w:cs="Arial"/>
        <w:b/>
        <w:sz w:val="48"/>
      </w:rPr>
      <w:tab/>
    </w:r>
    <w:r>
      <w:fldChar w:fldCharType="begin"/>
    </w:r>
    <w:r>
      <w:instrText xml:space="preserve"> PAGE  \* MERGEFORMAT </w:instrText>
    </w:r>
    <w:r>
      <w:fldChar w:fldCharType="separate"/>
    </w:r>
    <w:r>
      <w:rPr>
        <w:noProof/>
      </w:rPr>
      <w:t>0</w:t>
    </w:r>
    <w:r>
      <w:fldChar w:fldCharType="end"/>
    </w:r>
    <w:r>
      <w:tab/>
    </w:r>
    <w:r w:rsidRPr="00DA1122">
      <w:tab/>
    </w:r>
    <w:r w:rsidRPr="00DA1122">
      <w:rPr>
        <w:rFonts w:ascii="Arial" w:hAnsi="Arial" w:cs="Arial"/>
        <w:b/>
        <w:sz w:val="48"/>
      </w:rPr>
      <w:t>PL</w:t>
    </w: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5F67F4F" w14:textId="77777777" w:rsidR="00DA1122" w:rsidRPr="00DA1122" w:rsidRDefault="00DA1122" w:rsidP="00DA1122">
    <w:pPr>
      <w:pStyle w:val="FooterLandscape"/>
    </w:pPr>
  </w:p>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AEFB338" w14:textId="04A72517" w:rsidR="00DA1122" w:rsidRPr="00DA1122" w:rsidRDefault="00DA1122" w:rsidP="00DA1122">
    <w:pPr>
      <w:pStyle w:val="Footer"/>
      <w:rPr>
        <w:rFonts w:ascii="Arial" w:hAnsi="Arial" w:cs="Arial"/>
        <w:b/>
        <w:sz w:val="48"/>
      </w:rPr>
    </w:pPr>
    <w:r w:rsidRPr="00DA1122">
      <w:rPr>
        <w:rFonts w:ascii="Arial" w:hAnsi="Arial" w:cs="Arial"/>
        <w:b/>
        <w:sz w:val="48"/>
      </w:rPr>
      <w:t>PL</w:t>
    </w:r>
    <w:r w:rsidRPr="00DA1122">
      <w:rPr>
        <w:rFonts w:ascii="Arial" w:hAnsi="Arial" w:cs="Arial"/>
        <w:b/>
        <w:sz w:val="48"/>
      </w:rPr>
      <w:tab/>
    </w:r>
    <w:r>
      <w:fldChar w:fldCharType="begin"/>
    </w:r>
    <w:r>
      <w:instrText xml:space="preserve"> PAGE  \* MERGEFORMAT </w:instrText>
    </w:r>
    <w:r>
      <w:fldChar w:fldCharType="separate"/>
    </w:r>
    <w:r>
      <w:rPr>
        <w:noProof/>
      </w:rPr>
      <w:t>0</w:t>
    </w:r>
    <w:r>
      <w:fldChar w:fldCharType="end"/>
    </w:r>
    <w:r>
      <w:tab/>
    </w:r>
    <w:r w:rsidRPr="00DA1122">
      <w:tab/>
    </w:r>
    <w:r w:rsidRPr="00DA1122">
      <w:rPr>
        <w:rFonts w:ascii="Arial" w:hAnsi="Arial" w:cs="Arial"/>
        <w:b/>
        <w:sz w:val="48"/>
      </w:rPr>
      <w:t>PL</w:t>
    </w:r>
  </w:p>
</w:ftr>
</file>

<file path=word/footer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14242F7" w14:textId="77777777" w:rsidR="00DA1122" w:rsidRPr="00DA1122" w:rsidRDefault="00DA1122" w:rsidP="00DA112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47A1FF9" w14:textId="77777777" w:rsidR="00710B91" w:rsidRPr="00710B91" w:rsidRDefault="00710B91" w:rsidP="00023765">
      <w:pPr>
        <w:spacing w:before="0" w:after="0"/>
      </w:pPr>
      <w:r w:rsidRPr="00710B91">
        <w:separator/>
      </w:r>
    </w:p>
  </w:footnote>
  <w:footnote w:type="continuationSeparator" w:id="0">
    <w:p w14:paraId="69FA094F" w14:textId="77777777" w:rsidR="00710B91" w:rsidRPr="00710B91" w:rsidRDefault="00710B91" w:rsidP="00023765">
      <w:pPr>
        <w:spacing w:before="0" w:after="0"/>
      </w:pPr>
      <w:r w:rsidRPr="00710B91">
        <w:continuationSeparator/>
      </w:r>
    </w:p>
  </w:footnote>
  <w:footnote w:type="continuationNotice" w:id="1">
    <w:p w14:paraId="24B643B5" w14:textId="77777777" w:rsidR="00710B91" w:rsidRPr="00710B91" w:rsidRDefault="00710B91">
      <w:pPr>
        <w:spacing w:before="0" w:after="0"/>
      </w:pPr>
    </w:p>
  </w:footnote>
  <w:footnote w:id="2">
    <w:p w14:paraId="7A6AE0CD" w14:textId="08BEB050" w:rsidR="00710B91" w:rsidRPr="00710B91" w:rsidRDefault="00710B91" w:rsidP="004B5A3A">
      <w:pPr>
        <w:pStyle w:val="FootnoteText"/>
      </w:pPr>
      <w:r w:rsidRPr="00710B91">
        <w:rPr>
          <w:rStyle w:val="FootnoteReference"/>
        </w:rPr>
        <w:footnoteRef/>
      </w:r>
      <w:r w:rsidRPr="00710B91">
        <w:tab/>
        <w:t>Dz.U. C 197 z</w:t>
      </w:r>
      <w:r>
        <w:t> </w:t>
      </w:r>
      <w:r w:rsidRPr="00710B91">
        <w:t>12.7.2000, s. 3.</w:t>
      </w:r>
    </w:p>
  </w:footnote>
  <w:footnote w:id="3">
    <w:p w14:paraId="713F23B0" w14:textId="3CB732C0" w:rsidR="00710B91" w:rsidRPr="00710B91" w:rsidRDefault="00710B91" w:rsidP="004B5A3A">
      <w:pPr>
        <w:pStyle w:val="FootnoteText"/>
      </w:pPr>
      <w:r w:rsidRPr="00710B91">
        <w:rPr>
          <w:rStyle w:val="FootnoteReference"/>
        </w:rPr>
        <w:footnoteRef/>
      </w:r>
      <w:r w:rsidRPr="00710B91">
        <w:tab/>
        <w:t>Dz.U. L 162 z</w:t>
      </w:r>
      <w:r>
        <w:t> </w:t>
      </w:r>
      <w:r w:rsidRPr="00710B91">
        <w:t>20.6.2002, s. 1.</w:t>
      </w:r>
    </w:p>
  </w:footnote>
  <w:footnote w:id="4">
    <w:p w14:paraId="1E4903A9" w14:textId="023686DA" w:rsidR="00710B91" w:rsidRPr="00710B91" w:rsidRDefault="00710B91" w:rsidP="004B5A3A">
      <w:pPr>
        <w:pStyle w:val="FootnoteText"/>
      </w:pPr>
      <w:r w:rsidRPr="00710B91">
        <w:rPr>
          <w:rStyle w:val="FootnoteReference"/>
        </w:rPr>
        <w:footnoteRef/>
      </w:r>
      <w:r w:rsidRPr="00710B91">
        <w:tab/>
        <w:t>CET nr 182.</w:t>
      </w:r>
    </w:p>
  </w:footnote>
  <w:footnote w:id="5">
    <w:p w14:paraId="721E3372" w14:textId="203950FE" w:rsidR="00710B91" w:rsidRPr="00710B91" w:rsidRDefault="00710B91" w:rsidP="004B5A3A">
      <w:pPr>
        <w:pStyle w:val="FootnoteText"/>
      </w:pPr>
      <w:r w:rsidRPr="00710B91">
        <w:rPr>
          <w:rStyle w:val="FootnoteReference"/>
        </w:rPr>
        <w:footnoteRef/>
      </w:r>
      <w:r w:rsidRPr="00710B91">
        <w:tab/>
        <w:t>Dz.U. L 181 z</w:t>
      </w:r>
      <w:r>
        <w:t> </w:t>
      </w:r>
      <w:r w:rsidRPr="00710B91">
        <w:t>19.7.2003, s. 34.</w:t>
      </w:r>
    </w:p>
  </w:footnote>
  <w:footnote w:id="6">
    <w:p w14:paraId="0BA8A071" w14:textId="1F5CAB1D" w:rsidR="00710B91" w:rsidRPr="00710B91" w:rsidRDefault="00710B91" w:rsidP="004B5A3A">
      <w:pPr>
        <w:pStyle w:val="FootnoteText"/>
      </w:pPr>
      <w:r w:rsidRPr="00710B91">
        <w:rPr>
          <w:rStyle w:val="FootnoteReference"/>
        </w:rPr>
        <w:footnoteRef/>
      </w:r>
      <w:r w:rsidRPr="00710B91">
        <w:tab/>
      </w:r>
      <w:r w:rsidRPr="00710B91">
        <w:fldChar w:fldCharType="begin"/>
      </w:r>
      <w:r w:rsidRPr="00710B91">
        <w:instrText xml:space="preserve">"https://www.eurojust.europa.eu/sites/default/files/Partners/JITs/2018-02_2nd-Report-JIT-Evaluation_EN.pdf" </w:instrText>
      </w:r>
      <w:r w:rsidRPr="00710B91">
        <w:fldChar w:fldCharType="separate"/>
      </w:r>
      <w:r w:rsidRPr="00710B91">
        <w:rPr>
          <w:rStyle w:val="Hyperlink"/>
        </w:rPr>
        <w:t>https://www.eurojust.europa.eu/sites/default/files/Partners/JITs/2018-02_2nd-Report-JIT-Evaluation_EN.pdf</w:t>
      </w:r>
      <w:r w:rsidRPr="00710B91">
        <w:rPr>
          <w:rStyle w:val="Hyperlink"/>
        </w:rPr>
        <w:fldChar w:fldCharType="end"/>
      </w:r>
    </w:p>
  </w:footnote>
  <w:footnote w:id="7">
    <w:p w14:paraId="5F1FC49F" w14:textId="75D2F6ED" w:rsidR="00710B91" w:rsidRPr="00710B91" w:rsidRDefault="00710B91" w:rsidP="004B5A3A">
      <w:pPr>
        <w:pStyle w:val="FootnoteText"/>
      </w:pPr>
      <w:r w:rsidRPr="00710B91">
        <w:rPr>
          <w:rStyle w:val="FootnoteReference"/>
        </w:rPr>
        <w:footnoteRef/>
      </w:r>
      <w:r w:rsidRPr="00710B91">
        <w:tab/>
      </w:r>
      <w:hyperlink r:id="rId1" w:history="1">
        <w:r w:rsidRPr="00710B91">
          <w:rPr>
            <w:rStyle w:val="Hyperlink"/>
          </w:rPr>
          <w:t>https://op.europa.eu/pl/publication-detail/-/publication/e38795b5-f633-11ea-991b-01aa75ed71a1</w:t>
        </w:r>
      </w:hyperlink>
    </w:p>
  </w:footnote>
  <w:footnote w:id="8">
    <w:p w14:paraId="1385524A" w14:textId="4AD3C2B2" w:rsidR="00710B91" w:rsidRPr="00710B91" w:rsidRDefault="00710B91" w:rsidP="006C5E83">
      <w:pPr>
        <w:pStyle w:val="FootnoteText"/>
      </w:pPr>
      <w:r w:rsidRPr="00710B91">
        <w:rPr>
          <w:rStyle w:val="FootnoteReference"/>
        </w:rPr>
        <w:footnoteRef/>
      </w:r>
      <w:r w:rsidRPr="00710B91">
        <w:tab/>
        <w:t>Komunikat Komisji „Cyfryzacja wymiaru sprawiedliwości w</w:t>
      </w:r>
      <w:r>
        <w:t> </w:t>
      </w:r>
      <w:r w:rsidRPr="00710B91">
        <w:t>Unii Europejskiej. Wachlarz możliwości”, COM(2020) 710 final z</w:t>
      </w:r>
      <w:r>
        <w:t> </w:t>
      </w:r>
      <w:r w:rsidRPr="00710B91">
        <w:t>2.12.2020.</w:t>
      </w:r>
    </w:p>
  </w:footnote>
  <w:footnote w:id="9">
    <w:p w14:paraId="60C70318" w14:textId="56008E3F" w:rsidR="00710B91" w:rsidRPr="00710B91" w:rsidRDefault="00710B91" w:rsidP="00D05E41">
      <w:pPr>
        <w:pStyle w:val="FootnoteText"/>
      </w:pPr>
      <w:r w:rsidRPr="00710B91">
        <w:rPr>
          <w:rStyle w:val="FootnoteReference"/>
        </w:rPr>
        <w:footnoteRef/>
      </w:r>
      <w:r w:rsidRPr="00710B91">
        <w:tab/>
        <w:t>Dyrektywa Parlamentu Europejskiego i</w:t>
      </w:r>
      <w:r>
        <w:t> </w:t>
      </w:r>
      <w:r w:rsidRPr="00710B91">
        <w:t>Rady (UE) 2016/680 z</w:t>
      </w:r>
      <w:r>
        <w:t> </w:t>
      </w:r>
      <w:r w:rsidRPr="00710B91">
        <w:t>dnia 27 kwietnia 2016 r. w</w:t>
      </w:r>
      <w:r>
        <w:t> </w:t>
      </w:r>
      <w:r w:rsidRPr="00710B91">
        <w:t>sprawie ochrony osób fizycznych w</w:t>
      </w:r>
      <w:r>
        <w:t> </w:t>
      </w:r>
      <w:r w:rsidRPr="00710B91">
        <w:t>związku z</w:t>
      </w:r>
      <w:r>
        <w:t> </w:t>
      </w:r>
      <w:r w:rsidRPr="00710B91">
        <w:t>przetwarzaniem danych osobowych przez właściwe organy do celów zapobiegania przestępczości, prowadzenia postępowań przygotowawczych, wykrywania i</w:t>
      </w:r>
      <w:r>
        <w:t> </w:t>
      </w:r>
      <w:r w:rsidRPr="00710B91">
        <w:t>ścigania czynów zabronionych i</w:t>
      </w:r>
      <w:r>
        <w:t> </w:t>
      </w:r>
      <w:r w:rsidRPr="00710B91">
        <w:t>wykonywania kar, w</w:t>
      </w:r>
      <w:r>
        <w:t> </w:t>
      </w:r>
      <w:r w:rsidRPr="00710B91">
        <w:t>sprawie swobodnego przepływu takich danych.</w:t>
      </w:r>
    </w:p>
  </w:footnote>
  <w:footnote w:id="10">
    <w:p w14:paraId="4DCE88CF" w14:textId="49E9A29E" w:rsidR="00710B91" w:rsidRPr="00710B91" w:rsidRDefault="00710B91" w:rsidP="0005122E">
      <w:pPr>
        <w:pStyle w:val="FootnoteText"/>
      </w:pPr>
      <w:r w:rsidRPr="00710B91">
        <w:rPr>
          <w:rStyle w:val="FootnoteReference"/>
        </w:rPr>
        <w:footnoteRef/>
      </w:r>
      <w:r w:rsidRPr="00710B91">
        <w:tab/>
        <w:t>Komunikat Komisji „Cyfryzacja wymiaru sprawiedliwości w</w:t>
      </w:r>
      <w:r>
        <w:t> </w:t>
      </w:r>
      <w:r w:rsidRPr="00710B91">
        <w:t>Unii Europejskiej. Wachlarz możliwości”, COM(2020) 710 final z</w:t>
      </w:r>
      <w:r>
        <w:t> </w:t>
      </w:r>
      <w:r w:rsidRPr="00710B91">
        <w:t>2.12.2020.</w:t>
      </w:r>
    </w:p>
  </w:footnote>
  <w:footnote w:id="11">
    <w:p w14:paraId="4120EA23" w14:textId="4D03B3F8" w:rsidR="00710B91" w:rsidRPr="00710B91" w:rsidRDefault="00710B91" w:rsidP="006C5E83">
      <w:pPr>
        <w:pStyle w:val="FootnoteText"/>
      </w:pPr>
      <w:r w:rsidRPr="00710B91">
        <w:rPr>
          <w:rStyle w:val="FootnoteReference"/>
        </w:rPr>
        <w:footnoteRef/>
      </w:r>
      <w:r w:rsidRPr="00710B91">
        <w:tab/>
        <w:t>Komunikat Komisji „Program prac Komisji na 2021 r. Dynamiczna Unia w</w:t>
      </w:r>
      <w:r>
        <w:t> </w:t>
      </w:r>
      <w:r w:rsidRPr="00710B91">
        <w:t>niestabilnym świecie”, COM(2020) 690 final.</w:t>
      </w:r>
    </w:p>
  </w:footnote>
  <w:footnote w:id="12">
    <w:p w14:paraId="76A02FB0" w14:textId="31C86E3C" w:rsidR="00710B91" w:rsidRPr="00710B91" w:rsidRDefault="00710B91" w:rsidP="006C5E83">
      <w:pPr>
        <w:pStyle w:val="FootnoteText"/>
      </w:pPr>
      <w:r w:rsidRPr="00710B91">
        <w:rPr>
          <w:rStyle w:val="FootnoteReference"/>
        </w:rPr>
        <w:footnoteRef/>
      </w:r>
      <w:r w:rsidRPr="00710B91">
        <w:tab/>
        <w:t>Komunikat Komisji w</w:t>
      </w:r>
      <w:r>
        <w:t> </w:t>
      </w:r>
      <w:r w:rsidRPr="00710B91">
        <w:t>sprawie strategii UE w</w:t>
      </w:r>
      <w:r>
        <w:t> </w:t>
      </w:r>
      <w:r w:rsidRPr="00710B91">
        <w:t>zakresie unii bezpieczeństwa, COM(2020) 605 final.</w:t>
      </w:r>
    </w:p>
  </w:footnote>
  <w:footnote w:id="13">
    <w:p w14:paraId="27ADB104" w14:textId="1FF9EAF1" w:rsidR="00710B91" w:rsidRPr="00710B91" w:rsidRDefault="00710B91" w:rsidP="006C5E83">
      <w:pPr>
        <w:pStyle w:val="FootnoteText"/>
      </w:pPr>
      <w:r w:rsidRPr="00710B91">
        <w:rPr>
          <w:rStyle w:val="FootnoteReference"/>
        </w:rPr>
        <w:footnoteRef/>
      </w:r>
      <w:r w:rsidRPr="00710B91">
        <w:tab/>
        <w:t>Komunikat Komisji w</w:t>
      </w:r>
      <w:r>
        <w:t> </w:t>
      </w:r>
      <w:r w:rsidRPr="00710B91">
        <w:t>sprawie planu dla UE w</w:t>
      </w:r>
      <w:r>
        <w:t> </w:t>
      </w:r>
      <w:r w:rsidRPr="00710B91">
        <w:t>dziedzinie zwalczania terroryzmu, COM(2020) 795 final.</w:t>
      </w:r>
    </w:p>
  </w:footnote>
  <w:footnote w:id="14">
    <w:p w14:paraId="058B0F01" w14:textId="5BEF6DB5" w:rsidR="00710B91" w:rsidRPr="00710B91" w:rsidRDefault="00710B91" w:rsidP="006C5E83">
      <w:pPr>
        <w:pStyle w:val="FootnoteText"/>
      </w:pPr>
      <w:r w:rsidRPr="00710B91">
        <w:rPr>
          <w:rStyle w:val="FootnoteReference"/>
        </w:rPr>
        <w:footnoteRef/>
      </w:r>
      <w:r w:rsidRPr="00710B91">
        <w:tab/>
        <w:t>Komunikat Komisji w</w:t>
      </w:r>
      <w:r>
        <w:t> </w:t>
      </w:r>
      <w:r w:rsidRPr="00710B91">
        <w:t>sprawie unijnej strategii zwalczania przestępczości zorganizowanej 2021–2025, COM(2021) 170 final.</w:t>
      </w:r>
    </w:p>
  </w:footnote>
  <w:footnote w:id="15">
    <w:p w14:paraId="076345EB" w14:textId="2516744D" w:rsidR="00710B91" w:rsidRPr="00710B91" w:rsidRDefault="00710B91" w:rsidP="0005122E">
      <w:pPr>
        <w:pStyle w:val="FootnoteText"/>
      </w:pPr>
      <w:r w:rsidRPr="00710B91">
        <w:rPr>
          <w:rStyle w:val="FootnoteReference"/>
        </w:rPr>
        <w:footnoteRef/>
      </w:r>
      <w:r w:rsidRPr="00710B91">
        <w:tab/>
        <w:t>Sprawozdanie końcowe pt. „Transgraniczny cyfrowy wymiar sprawiedliwości w</w:t>
      </w:r>
      <w:r>
        <w:t> </w:t>
      </w:r>
      <w:r w:rsidRPr="00710B91">
        <w:t xml:space="preserve">sprawach karnych”, </w:t>
      </w:r>
      <w:hyperlink r:id="rId2" w:history="1">
        <w:r w:rsidRPr="00710B91">
          <w:rPr>
            <w:rStyle w:val="Hyperlink"/>
          </w:rPr>
          <w:t>https://op.europa.eu/en/publication-detail/-/publication/e38795b5-f633-11ea-991b-01aa75ed71a1/language-en</w:t>
        </w:r>
      </w:hyperlink>
    </w:p>
  </w:footnote>
  <w:footnote w:id="16">
    <w:p w14:paraId="7AFD5AB8" w14:textId="18BE9E42" w:rsidR="00710B91" w:rsidRPr="00710B91" w:rsidRDefault="00710B91">
      <w:pPr>
        <w:pStyle w:val="FootnoteText"/>
      </w:pPr>
      <w:r w:rsidRPr="00710B91">
        <w:rPr>
          <w:rStyle w:val="FootnoteReference"/>
        </w:rPr>
        <w:footnoteRef/>
      </w:r>
      <w:r w:rsidRPr="00710B91">
        <w:tab/>
        <w:t>SWD(2021) 390.</w:t>
      </w:r>
    </w:p>
  </w:footnote>
  <w:footnote w:id="17">
    <w:p w14:paraId="067DFE40" w14:textId="60F8465C" w:rsidR="00710B91" w:rsidRPr="00710B91" w:rsidRDefault="00710B91" w:rsidP="0005122E">
      <w:pPr>
        <w:pStyle w:val="FootnoteText"/>
      </w:pPr>
      <w:r w:rsidRPr="00710B91">
        <w:rPr>
          <w:rStyle w:val="FootnoteReference"/>
        </w:rPr>
        <w:footnoteRef/>
      </w:r>
      <w:r w:rsidRPr="00710B91">
        <w:tab/>
        <w:t>Dz.U. C 326 z</w:t>
      </w:r>
      <w:r>
        <w:t> </w:t>
      </w:r>
      <w:r w:rsidRPr="00710B91">
        <w:t>26.10.2012, s. 391.</w:t>
      </w:r>
    </w:p>
  </w:footnote>
  <w:footnote w:id="18">
    <w:p w14:paraId="2A8F815E" w14:textId="11B44152" w:rsidR="00710B91" w:rsidRPr="00710B91" w:rsidRDefault="00710B91">
      <w:pPr>
        <w:pStyle w:val="FootnoteText"/>
      </w:pPr>
      <w:r w:rsidRPr="00710B91">
        <w:rPr>
          <w:rStyle w:val="FootnoteReference"/>
        </w:rPr>
        <w:footnoteRef/>
      </w:r>
      <w:r w:rsidRPr="00710B91">
        <w:tab/>
        <w:t>COM(2021) 21 final – wniosek dotyczący dyrektywy Parlamentu Europejskiego i</w:t>
      </w:r>
      <w:r>
        <w:t> </w:t>
      </w:r>
      <w:r w:rsidRPr="00710B91">
        <w:t>Rady zmieniającej dyrektywę 2014/41/UE w</w:t>
      </w:r>
      <w:r>
        <w:t> </w:t>
      </w:r>
      <w:r w:rsidRPr="00710B91">
        <w:t>zakresie jej dostosowania do przepisów UE dotyczących ochrony danych osobowych.</w:t>
      </w:r>
    </w:p>
  </w:footnote>
  <w:footnote w:id="19">
    <w:p w14:paraId="7FF09666" w14:textId="77777777" w:rsidR="00710B91" w:rsidRPr="00710B91" w:rsidRDefault="00710B91" w:rsidP="00AA7946">
      <w:pPr>
        <w:pStyle w:val="FootnoteText"/>
      </w:pPr>
      <w:r w:rsidRPr="00710B91">
        <w:rPr>
          <w:rStyle w:val="FootnoteReference"/>
        </w:rPr>
        <w:footnoteRef/>
      </w:r>
      <w:r w:rsidRPr="00710B91">
        <w:tab/>
      </w:r>
      <w:hyperlink r:id="rId3" w:history="1">
        <w:r w:rsidRPr="00710B91">
          <w:rPr>
            <w:rStyle w:val="Hyperlink"/>
          </w:rPr>
          <w:t>https://europa.eu/european-union/sites/default/files/docs/body/joint_statement_and_common_approach_2012_en.pdf</w:t>
        </w:r>
      </w:hyperlink>
      <w:r w:rsidRPr="00710B91">
        <w:t xml:space="preserve"> </w:t>
      </w:r>
    </w:p>
  </w:footnote>
  <w:footnote w:id="20">
    <w:p w14:paraId="1BECC6AD" w14:textId="334817F1" w:rsidR="00710B91" w:rsidRPr="00710B91" w:rsidRDefault="00710B91" w:rsidP="007F1E96">
      <w:pPr>
        <w:pStyle w:val="FootnoteText"/>
      </w:pPr>
      <w:r w:rsidRPr="00710B91">
        <w:rPr>
          <w:rStyle w:val="FootnoteReference"/>
        </w:rPr>
        <w:footnoteRef/>
      </w:r>
      <w:r w:rsidRPr="00710B91">
        <w:tab/>
        <w:t>Decyzja ramowa Rady 2002/465/WSiSW z</w:t>
      </w:r>
      <w:r>
        <w:t> </w:t>
      </w:r>
      <w:r w:rsidRPr="00710B91">
        <w:t>dnia 13 czerwca 2002 r. w</w:t>
      </w:r>
      <w:r>
        <w:t> </w:t>
      </w:r>
      <w:r w:rsidRPr="00710B91">
        <w:t>sprawie wspólnych zespołów dochodzeniowo-śledczych (Dz.U. L 162 z</w:t>
      </w:r>
      <w:r>
        <w:t> </w:t>
      </w:r>
      <w:r w:rsidRPr="00710B91">
        <w:t>20.6.2002, s. 1).</w:t>
      </w:r>
    </w:p>
  </w:footnote>
  <w:footnote w:id="21">
    <w:p w14:paraId="658E8927" w14:textId="22F9E3D3" w:rsidR="00710B91" w:rsidRPr="00710B91" w:rsidRDefault="00710B91" w:rsidP="00305EAE">
      <w:pPr>
        <w:pStyle w:val="FootnoteText"/>
      </w:pPr>
      <w:r w:rsidRPr="00710B91">
        <w:rPr>
          <w:rStyle w:val="FootnoteReference"/>
        </w:rPr>
        <w:footnoteRef/>
      </w:r>
      <w:r w:rsidRPr="00710B91">
        <w:tab/>
        <w:t>Dz.U. C 197 z</w:t>
      </w:r>
      <w:r>
        <w:t> </w:t>
      </w:r>
      <w:r w:rsidRPr="00710B91">
        <w:t>12.7.2000, s. 3.</w:t>
      </w:r>
    </w:p>
  </w:footnote>
  <w:footnote w:id="22">
    <w:p w14:paraId="283080C0" w14:textId="747A77AC" w:rsidR="00710B91" w:rsidRPr="00710B91" w:rsidRDefault="00710B91">
      <w:pPr>
        <w:pStyle w:val="FootnoteText"/>
      </w:pPr>
      <w:r w:rsidRPr="00710B91">
        <w:rPr>
          <w:rStyle w:val="FootnoteReference"/>
        </w:rPr>
        <w:footnoteRef/>
      </w:r>
      <w:r w:rsidRPr="00710B91">
        <w:tab/>
        <w:t>CET nr 182.</w:t>
      </w:r>
    </w:p>
  </w:footnote>
  <w:footnote w:id="23">
    <w:p w14:paraId="67C80895" w14:textId="0B982992" w:rsidR="00710B91" w:rsidRPr="00710B91" w:rsidRDefault="00710B91">
      <w:pPr>
        <w:pStyle w:val="FootnoteText"/>
      </w:pPr>
      <w:r w:rsidRPr="00710B91">
        <w:rPr>
          <w:rStyle w:val="FootnoteReference"/>
        </w:rPr>
        <w:footnoteRef/>
      </w:r>
      <w:r w:rsidRPr="00710B91">
        <w:tab/>
        <w:t>Dz.U. L 181 z</w:t>
      </w:r>
      <w:r>
        <w:t> </w:t>
      </w:r>
      <w:r w:rsidRPr="00710B91">
        <w:t>19.7.2003, s. 34.</w:t>
      </w:r>
    </w:p>
  </w:footnote>
  <w:footnote w:id="24">
    <w:p w14:paraId="3C9AD0F9" w14:textId="552B7D9B" w:rsidR="00710B91" w:rsidRPr="00710B91" w:rsidRDefault="00710B91" w:rsidP="00953CA7">
      <w:pPr>
        <w:pStyle w:val="FootnoteText"/>
      </w:pPr>
      <w:r w:rsidRPr="00710B91">
        <w:rPr>
          <w:rStyle w:val="FootnoteReference"/>
        </w:rPr>
        <w:footnoteRef/>
      </w:r>
      <w:r w:rsidRPr="00710B91">
        <w:tab/>
        <w:t>Rozporządzenie Parlamentu Europejskiego i</w:t>
      </w:r>
      <w:r>
        <w:t> </w:t>
      </w:r>
      <w:r w:rsidRPr="00710B91">
        <w:t>Rady (UE) 2018/1726 z</w:t>
      </w:r>
      <w:r>
        <w:t> </w:t>
      </w:r>
      <w:r w:rsidRPr="00710B91">
        <w:t>dnia 14 listopada 2018 r. w</w:t>
      </w:r>
      <w:r>
        <w:t> </w:t>
      </w:r>
      <w:r w:rsidRPr="00710B91">
        <w:t>sprawie Agencji Unii Europejskiej ds. Zarządzania Operacyjnego Wielkoskalowymi Systemami Informatycznymi w</w:t>
      </w:r>
      <w:r>
        <w:t> </w:t>
      </w:r>
      <w:r w:rsidRPr="00710B91">
        <w:t>Przestrzeni Wolności, Bezpieczeństwa i</w:t>
      </w:r>
      <w:r>
        <w:t> </w:t>
      </w:r>
      <w:r w:rsidRPr="00710B91">
        <w:t>Sprawiedliwości (eu-LISA), zmiany rozporządzenia (WE) nr 1987/2006 i</w:t>
      </w:r>
      <w:r>
        <w:t> </w:t>
      </w:r>
      <w:r w:rsidRPr="00710B91">
        <w:t>decyzji Rady 2007/533/WSiSW oraz uchylenia rozporządzenia (UE) nr 1077/2011 (Dz.U. L 295 z</w:t>
      </w:r>
      <w:r>
        <w:t> </w:t>
      </w:r>
      <w:r w:rsidRPr="00710B91">
        <w:t>21.11.2018, s. 99).</w:t>
      </w:r>
    </w:p>
  </w:footnote>
  <w:footnote w:id="25">
    <w:p w14:paraId="21F8EBD1" w14:textId="2BA8522D" w:rsidR="00710B91" w:rsidRPr="00710B91" w:rsidRDefault="00710B91" w:rsidP="001D502A">
      <w:pPr>
        <w:pStyle w:val="FootnoteText"/>
      </w:pPr>
      <w:r w:rsidRPr="00710B91">
        <w:rPr>
          <w:rStyle w:val="FootnoteReference"/>
        </w:rPr>
        <w:footnoteRef/>
      </w:r>
      <w:r w:rsidRPr="00710B91">
        <w:tab/>
        <w:t>Rada Unii Europejskiej, Wynik obrad Komitetu ds. art. 36 z</w:t>
      </w:r>
      <w:r>
        <w:t> </w:t>
      </w:r>
      <w:r w:rsidRPr="00710B91">
        <w:t>dnia 7 i</w:t>
      </w:r>
      <w:r>
        <w:t> </w:t>
      </w:r>
      <w:r w:rsidRPr="00710B91">
        <w:t>8 lipca 2005 r., pkt 7 porządku obrad: wspólne zespoły dochodzeniowo-śledcze – wniosek o</w:t>
      </w:r>
      <w:r>
        <w:t> </w:t>
      </w:r>
      <w:r w:rsidRPr="00710B91">
        <w:t xml:space="preserve">powołanie ekspertów krajowych, 11037/05. </w:t>
      </w:r>
    </w:p>
  </w:footnote>
  <w:footnote w:id="26">
    <w:p w14:paraId="3BC29FBF" w14:textId="25C9744A" w:rsidR="00710B91" w:rsidRPr="00710B91" w:rsidRDefault="00710B91" w:rsidP="00360CE8">
      <w:pPr>
        <w:pStyle w:val="FootnoteText"/>
      </w:pPr>
      <w:r w:rsidRPr="00710B91">
        <w:rPr>
          <w:rStyle w:val="FootnoteReference"/>
        </w:rPr>
        <w:footnoteRef/>
      </w:r>
      <w:r w:rsidRPr="00710B91">
        <w:tab/>
        <w:t>Dyrektywa Parlamentu Europejskiego i</w:t>
      </w:r>
      <w:r>
        <w:t> </w:t>
      </w:r>
      <w:r w:rsidRPr="00710B91">
        <w:t>Rady (UE) 2016/680 z</w:t>
      </w:r>
      <w:r>
        <w:t> </w:t>
      </w:r>
      <w:r w:rsidRPr="00710B91">
        <w:t>dnia 27 kwietnia 2016 r. w</w:t>
      </w:r>
      <w:r>
        <w:t> </w:t>
      </w:r>
      <w:r w:rsidRPr="00710B91">
        <w:t>sprawie ochrony osób fizycznych w</w:t>
      </w:r>
      <w:r>
        <w:t> </w:t>
      </w:r>
      <w:r w:rsidRPr="00710B91">
        <w:t>związku z</w:t>
      </w:r>
      <w:r>
        <w:t> </w:t>
      </w:r>
      <w:r w:rsidRPr="00710B91">
        <w:t>przetwarzaniem danych osobowych przez właściwe organy do celów zapobiegania przestępczości, prowadzenia postępowań przygotowawczych, wykrywania i</w:t>
      </w:r>
      <w:r>
        <w:t> </w:t>
      </w:r>
      <w:r w:rsidRPr="00710B91">
        <w:t>ścigania czynów zabronionych i</w:t>
      </w:r>
      <w:r>
        <w:t> </w:t>
      </w:r>
      <w:r w:rsidRPr="00710B91">
        <w:t>wykonywania kar, w</w:t>
      </w:r>
      <w:r>
        <w:t> </w:t>
      </w:r>
      <w:r w:rsidRPr="00710B91">
        <w:t>sprawie swobodnego przepływu takich danych oraz uchylająca decyzję ramową Rady 2008/977/WSiSW (Dz.U. L 119 z</w:t>
      </w:r>
      <w:r>
        <w:t> </w:t>
      </w:r>
      <w:r w:rsidRPr="00710B91">
        <w:t>4.5.2016, s. 89).</w:t>
      </w:r>
    </w:p>
  </w:footnote>
  <w:footnote w:id="27">
    <w:p w14:paraId="54DAA02E" w14:textId="6BC9605C" w:rsidR="00710B91" w:rsidRPr="00710B91" w:rsidRDefault="00710B91" w:rsidP="00772464">
      <w:pPr>
        <w:pStyle w:val="FootnoteText"/>
      </w:pPr>
      <w:r w:rsidRPr="00710B91">
        <w:rPr>
          <w:rStyle w:val="FootnoteReference"/>
        </w:rPr>
        <w:footnoteRef/>
      </w:r>
      <w:r w:rsidRPr="00710B91">
        <w:tab/>
        <w:t>Rozporządzenie Parlamentu Europejskiego i</w:t>
      </w:r>
      <w:r>
        <w:t> </w:t>
      </w:r>
      <w:r w:rsidRPr="00710B91">
        <w:t>Rady (UE) 2018/1725 z</w:t>
      </w:r>
      <w:r>
        <w:t> </w:t>
      </w:r>
      <w:r w:rsidRPr="00710B91">
        <w:t>dnia 23 października 2018 r. w</w:t>
      </w:r>
      <w:r>
        <w:t> </w:t>
      </w:r>
      <w:r w:rsidRPr="00710B91">
        <w:t>sprawie ochrony osób fizycznych w</w:t>
      </w:r>
      <w:r>
        <w:t> </w:t>
      </w:r>
      <w:r w:rsidRPr="00710B91">
        <w:t>związku z</w:t>
      </w:r>
      <w:r>
        <w:t> </w:t>
      </w:r>
      <w:r w:rsidRPr="00710B91">
        <w:t>przetwarzaniem danych osobowych przez instytucje, organy i</w:t>
      </w:r>
      <w:r>
        <w:t> </w:t>
      </w:r>
      <w:r w:rsidRPr="00710B91">
        <w:t>jednostki organizacyjne Unii i</w:t>
      </w:r>
      <w:r>
        <w:t> </w:t>
      </w:r>
      <w:r w:rsidRPr="00710B91">
        <w:t>swobodnego przepływu takich danych oraz uchylenia rozporządzenia (WE) nr 45/2001 i</w:t>
      </w:r>
      <w:r>
        <w:t> </w:t>
      </w:r>
      <w:r w:rsidRPr="00710B91">
        <w:t>decyzji nr 1247/2002/WE (Dz.U. L 295 z</w:t>
      </w:r>
      <w:r>
        <w:t> </w:t>
      </w:r>
      <w:r w:rsidRPr="00710B91">
        <w:t>21.11.2018, s. 39).</w:t>
      </w:r>
    </w:p>
  </w:footnote>
  <w:footnote w:id="28">
    <w:p w14:paraId="25429C01" w14:textId="6129419E" w:rsidR="00710B91" w:rsidRPr="00710B91" w:rsidRDefault="00710B91" w:rsidP="009E5224">
      <w:pPr>
        <w:pStyle w:val="FootnoteText"/>
      </w:pPr>
      <w:r w:rsidRPr="00710B91">
        <w:rPr>
          <w:rStyle w:val="FootnoteReference"/>
        </w:rPr>
        <w:footnoteRef/>
      </w:r>
      <w:r w:rsidRPr="00710B91">
        <w:tab/>
        <w:t>Rozporządzenie Parlamentu Europejskiego i</w:t>
      </w:r>
      <w:r>
        <w:t> </w:t>
      </w:r>
      <w:r w:rsidRPr="00710B91">
        <w:t>Rady (UE) nr 182/2011 z</w:t>
      </w:r>
      <w:r>
        <w:t> </w:t>
      </w:r>
      <w:r w:rsidRPr="00710B91">
        <w:t>dnia 16 lutego 2011 r. ustanawiające przepisy i</w:t>
      </w:r>
      <w:r>
        <w:t> </w:t>
      </w:r>
      <w:r w:rsidRPr="00710B91">
        <w:t>zasady ogólne dotyczące trybu kontroli przez państwa członkowskie wykonywania uprawnień wykonawczych przez Komisję (Dz.U. L 55 z</w:t>
      </w:r>
      <w:r>
        <w:t> </w:t>
      </w:r>
      <w:r w:rsidRPr="00710B91">
        <w:t>28.2.2011, s. 13).</w:t>
      </w:r>
    </w:p>
  </w:footnote>
  <w:footnote w:id="29">
    <w:p w14:paraId="6D22F364" w14:textId="7D0EE6FE" w:rsidR="00710B91" w:rsidRPr="00710B91" w:rsidRDefault="00710B91" w:rsidP="00521C02">
      <w:pPr>
        <w:pStyle w:val="FootnoteText"/>
      </w:pPr>
      <w:r w:rsidRPr="00710B91">
        <w:rPr>
          <w:rStyle w:val="FootnoteReference"/>
        </w:rPr>
        <w:footnoteRef/>
      </w:r>
      <w:r w:rsidRPr="00710B91">
        <w:tab/>
        <w:t>Rozporządzenie Rady (EWG, Euratom, EWWiS) nr 259/68 z</w:t>
      </w:r>
      <w:r>
        <w:t> </w:t>
      </w:r>
      <w:r w:rsidRPr="00710B91">
        <w:t>dnia 29 lutego 1968 r. ustanawiające regulamin pracowniczy urzędników Wspólnot Europejskich i</w:t>
      </w:r>
      <w:r>
        <w:t> </w:t>
      </w:r>
      <w:r w:rsidRPr="00710B91">
        <w:t>warunki zatrudnienia innych pracowników Wspólnot oraz ustanawiające specjalne środki stosowane tymczasowo wobec urzędników Komisji (Dz.U. L 56 z</w:t>
      </w:r>
      <w:r>
        <w:t> </w:t>
      </w:r>
      <w:r w:rsidRPr="00710B91">
        <w:t>4.3.1968, s. 1).</w:t>
      </w:r>
    </w:p>
  </w:footnote>
  <w:footnote w:id="30">
    <w:p w14:paraId="70E03D15" w14:textId="369A5573" w:rsidR="00710B91" w:rsidRPr="00710B91" w:rsidRDefault="00710B91" w:rsidP="00521C02">
      <w:pPr>
        <w:pStyle w:val="FootnoteText"/>
      </w:pPr>
      <w:r w:rsidRPr="00710B91">
        <w:rPr>
          <w:rStyle w:val="FootnoteReference"/>
        </w:rPr>
        <w:footnoteRef/>
      </w:r>
      <w:r w:rsidRPr="00710B91">
        <w:tab/>
        <w:t>Rozporządzenie Parlamentu Europejskiego i</w:t>
      </w:r>
      <w:r>
        <w:t> </w:t>
      </w:r>
      <w:r w:rsidRPr="00710B91">
        <w:t>Rady (UE) 2018/1727 z</w:t>
      </w:r>
      <w:r>
        <w:t> </w:t>
      </w:r>
      <w:r w:rsidRPr="00710B91">
        <w:t>dnia 14 listopada 2018 r. w</w:t>
      </w:r>
      <w:r>
        <w:t> </w:t>
      </w:r>
      <w:r w:rsidRPr="00710B91">
        <w:t>sprawie Agencji Unii Europejskiej ds. Współpracy Wymiarów Sprawiedliwości w</w:t>
      </w:r>
      <w:r>
        <w:t> </w:t>
      </w:r>
      <w:r w:rsidRPr="00710B91">
        <w:t>Sprawach Karnych (Eurojust) (Dz.U. L 295 z</w:t>
      </w:r>
      <w:r>
        <w:t> </w:t>
      </w:r>
      <w:r w:rsidRPr="00710B91">
        <w:t>21.11.2018, s. 138).</w:t>
      </w:r>
    </w:p>
  </w:footnote>
  <w:footnote w:id="31">
    <w:p w14:paraId="4EFE48F8" w14:textId="2D83DC56" w:rsidR="00710B91" w:rsidRPr="00710B91" w:rsidRDefault="00710B91">
      <w:pPr>
        <w:pStyle w:val="FootnoteText"/>
      </w:pPr>
      <w:r w:rsidRPr="00710B91">
        <w:rPr>
          <w:rStyle w:val="FootnoteReference"/>
        </w:rPr>
        <w:footnoteRef/>
      </w:r>
      <w:r w:rsidRPr="00710B91">
        <w:tab/>
        <w:t>Rozporządzenie Parlamentu Europejskiego i</w:t>
      </w:r>
      <w:r>
        <w:t> </w:t>
      </w:r>
      <w:r w:rsidRPr="00710B91">
        <w:t>Rady (UE) 2016/794 z</w:t>
      </w:r>
      <w:r>
        <w:t> </w:t>
      </w:r>
      <w:r w:rsidRPr="00710B91">
        <w:t>dnia 11 maja 2016 r. w</w:t>
      </w:r>
      <w:r>
        <w:t> </w:t>
      </w:r>
      <w:r w:rsidRPr="00710B91">
        <w:t>sprawie Agencji Unii Europejskiej ds. Współpracy Organów Ścigania (Europol) (Dz.U. L 135 z</w:t>
      </w:r>
      <w:r>
        <w:t> </w:t>
      </w:r>
      <w:r w:rsidRPr="00710B91">
        <w:t>24.5.2016, s. 53).</w:t>
      </w:r>
    </w:p>
  </w:footnote>
  <w:footnote w:id="32">
    <w:p w14:paraId="06984802" w14:textId="285C97E3" w:rsidR="00710B91" w:rsidRPr="00710B91" w:rsidRDefault="00710B91" w:rsidP="00521C02">
      <w:pPr>
        <w:pStyle w:val="FootnoteText"/>
      </w:pPr>
      <w:r w:rsidRPr="00710B91">
        <w:rPr>
          <w:rStyle w:val="FootnoteReference"/>
        </w:rPr>
        <w:footnoteRef/>
      </w:r>
      <w:r w:rsidRPr="00710B91">
        <w:tab/>
        <w:t>Rozporządzenie Parlamentu Europejskiego i</w:t>
      </w:r>
      <w:r>
        <w:t> </w:t>
      </w:r>
      <w:r w:rsidRPr="00710B91">
        <w:t>Rady (UE, Euratom) nr 883/2013 z</w:t>
      </w:r>
      <w:r>
        <w:t> </w:t>
      </w:r>
      <w:r w:rsidRPr="00710B91">
        <w:t>dnia 11 września 2013 r. dotyczące dochodzeń prowadzonych przez Europejski Urząd ds. Zwalczania Nadużyć Finansowych (OLAF) oraz uchylające rozporządzenie (WE) nr 1073/1999 Parlamentu Europejskiego i</w:t>
      </w:r>
      <w:r>
        <w:t> </w:t>
      </w:r>
      <w:r w:rsidRPr="00710B91">
        <w:t>Rady i</w:t>
      </w:r>
      <w:r>
        <w:t> </w:t>
      </w:r>
      <w:r w:rsidRPr="00710B91">
        <w:t>rozporządzenie Rady (Euratom) nr 1074/1999 (Dz.U. L 248 z</w:t>
      </w:r>
      <w:r>
        <w:t> </w:t>
      </w:r>
      <w:r w:rsidRPr="00710B91">
        <w:t>18.9.2013, s. 1).</w:t>
      </w:r>
    </w:p>
  </w:footnote>
  <w:footnote w:id="33">
    <w:p w14:paraId="1B0F2595" w14:textId="10665132" w:rsidR="00710B91" w:rsidRPr="00710B91" w:rsidRDefault="00710B91" w:rsidP="006F6F3C">
      <w:pPr>
        <w:pStyle w:val="FootnoteText"/>
        <w:rPr>
          <w:szCs w:val="24"/>
        </w:rPr>
      </w:pPr>
      <w:r w:rsidRPr="00710B91">
        <w:rPr>
          <w:rStyle w:val="FootnoteReference"/>
        </w:rPr>
        <w:footnoteRef/>
      </w:r>
      <w:r w:rsidRPr="00710B91">
        <w:tab/>
        <w:t>O którym mowa w</w:t>
      </w:r>
      <w:r>
        <w:t> </w:t>
      </w:r>
      <w:r w:rsidRPr="00710B91">
        <w:t>art. 58 ust. 2 lit. a) lub b) rozporządzenia finansowego.</w:t>
      </w:r>
    </w:p>
  </w:footnote>
  <w:footnote w:id="34">
    <w:p w14:paraId="34950788" w14:textId="77777777" w:rsidR="00710B91" w:rsidRPr="00710B91" w:rsidRDefault="00710B91" w:rsidP="006F6F3C">
      <w:pPr>
        <w:pStyle w:val="FootnoteText"/>
        <w:rPr>
          <w:szCs w:val="24"/>
        </w:rPr>
      </w:pPr>
      <w:r w:rsidRPr="00710B91">
        <w:rPr>
          <w:rStyle w:val="FootnoteReference"/>
        </w:rPr>
        <w:footnoteRef/>
      </w:r>
      <w:r w:rsidRPr="00710B91">
        <w:tab/>
        <w:t>Zróżn. = środki zróżnicowane/niezróżn. = środki niezróżnicowane</w:t>
      </w:r>
    </w:p>
  </w:footnote>
  <w:footnote w:id="35">
    <w:p w14:paraId="544EAD85" w14:textId="77777777" w:rsidR="00710B91" w:rsidRPr="00710B91" w:rsidRDefault="00710B91" w:rsidP="006F6F3C">
      <w:pPr>
        <w:pStyle w:val="FootnoteText"/>
        <w:rPr>
          <w:szCs w:val="24"/>
        </w:rPr>
      </w:pPr>
      <w:r w:rsidRPr="00710B91">
        <w:rPr>
          <w:rStyle w:val="FootnoteReference"/>
        </w:rPr>
        <w:footnoteRef/>
      </w:r>
      <w:r w:rsidRPr="00710B91">
        <w:tab/>
        <w:t xml:space="preserve">EFTA: Europejskie Stowarzyszenie Wolnego Handlu </w:t>
      </w:r>
    </w:p>
  </w:footnote>
  <w:footnote w:id="36">
    <w:p w14:paraId="69639B3C" w14:textId="79108920" w:rsidR="00710B91" w:rsidRPr="00710B91" w:rsidRDefault="00710B91" w:rsidP="006F6F3C">
      <w:pPr>
        <w:pStyle w:val="FootnoteText"/>
        <w:rPr>
          <w:szCs w:val="24"/>
        </w:rPr>
      </w:pPr>
      <w:r w:rsidRPr="00710B91">
        <w:rPr>
          <w:rStyle w:val="FootnoteReference"/>
        </w:rPr>
        <w:footnoteRef/>
      </w:r>
      <w:r w:rsidRPr="00710B91">
        <w:tab/>
        <w:t>Kraje kandydujące oraz w</w:t>
      </w:r>
      <w:r>
        <w:t> </w:t>
      </w:r>
      <w:r w:rsidRPr="00710B91">
        <w:t>stosownych przypadkach potencjalne kraje kandydujące Bałkanów Zachodnich.</w:t>
      </w:r>
    </w:p>
  </w:footnote>
  <w:footnote w:id="37">
    <w:p w14:paraId="37DF1F46" w14:textId="154FF8B4" w:rsidR="00710B91" w:rsidRPr="00710B91" w:rsidRDefault="00710B91" w:rsidP="00BA350C">
      <w:pPr>
        <w:pStyle w:val="FootnoteText"/>
        <w:rPr>
          <w:szCs w:val="24"/>
        </w:rPr>
      </w:pPr>
      <w:r w:rsidRPr="00710B91">
        <w:rPr>
          <w:rStyle w:val="FootnoteReference"/>
        </w:rPr>
        <w:footnoteRef/>
      </w:r>
      <w:r w:rsidRPr="00710B91">
        <w:tab/>
        <w:t>Rok 2024 jest rokiem, w</w:t>
      </w:r>
      <w:r>
        <w:t> </w:t>
      </w:r>
      <w:r w:rsidRPr="00710B91">
        <w:t>którym rozpoczyna się realizację wniosku – po planowanym przyjęciu w</w:t>
      </w:r>
      <w:r>
        <w:t> </w:t>
      </w:r>
      <w:r w:rsidRPr="00710B91">
        <w:t>2023 r.</w:t>
      </w:r>
    </w:p>
  </w:footnote>
  <w:footnote w:id="38">
    <w:p w14:paraId="2D47376C" w14:textId="2F2F612C" w:rsidR="00710B91" w:rsidRPr="00710B91" w:rsidRDefault="00710B91" w:rsidP="007D0D6D">
      <w:pPr>
        <w:pStyle w:val="FootnoteText"/>
        <w:rPr>
          <w:szCs w:val="24"/>
        </w:rPr>
      </w:pPr>
      <w:r w:rsidRPr="00710B91">
        <w:rPr>
          <w:rStyle w:val="FootnoteReference"/>
        </w:rPr>
        <w:footnoteRef/>
      </w:r>
      <w:r w:rsidRPr="00710B91">
        <w:tab/>
        <w:t>Rok 2024 jest rokiem, w</w:t>
      </w:r>
      <w:r>
        <w:t> </w:t>
      </w:r>
      <w:r w:rsidRPr="00710B91">
        <w:t>którym rozpoczyna się realizację wniosku – po planowanym przyjęciu w</w:t>
      </w:r>
      <w:r>
        <w:t> </w:t>
      </w:r>
      <w:r w:rsidRPr="00710B91">
        <w:t>2023 r.</w:t>
      </w:r>
    </w:p>
  </w:footnote>
  <w:footnote w:id="39">
    <w:p w14:paraId="4E169720" w14:textId="4362A52A" w:rsidR="00710B91" w:rsidRPr="00710B91" w:rsidRDefault="00710B91" w:rsidP="00BA350C">
      <w:pPr>
        <w:pStyle w:val="FootnoteText"/>
        <w:rPr>
          <w:szCs w:val="24"/>
        </w:rPr>
      </w:pPr>
      <w:r w:rsidRPr="00710B91">
        <w:rPr>
          <w:rStyle w:val="FootnoteReference"/>
        </w:rPr>
        <w:footnoteRef/>
      </w:r>
      <w:r w:rsidRPr="00710B91">
        <w:tab/>
        <w:t>Rok 2024 jest rokiem, w</w:t>
      </w:r>
      <w:r>
        <w:t> </w:t>
      </w:r>
      <w:r w:rsidRPr="00710B91">
        <w:t>którym rozpoczyna się realizację wniosku – po planowanym przyjęciu w</w:t>
      </w:r>
      <w:r>
        <w:t> </w:t>
      </w:r>
      <w:r w:rsidRPr="00710B91">
        <w:t>2023 r.</w:t>
      </w:r>
    </w:p>
  </w:footnote>
  <w:footnote w:id="40">
    <w:p w14:paraId="650C0AB6" w14:textId="40346BEA" w:rsidR="00710B91" w:rsidRPr="00710B91" w:rsidRDefault="00710B91" w:rsidP="007C6231">
      <w:pPr>
        <w:pStyle w:val="FootnoteText"/>
      </w:pPr>
      <w:r w:rsidRPr="00710B91">
        <w:rPr>
          <w:rStyle w:val="FootnoteReference"/>
        </w:rPr>
        <w:footnoteRef/>
      </w:r>
      <w:r w:rsidRPr="00710B91">
        <w:tab/>
        <w:t>Szacunki dotyczące kosztów personelu są łączne i</w:t>
      </w:r>
      <w:r>
        <w:t> </w:t>
      </w:r>
      <w:r w:rsidRPr="00710B91">
        <w:t>zostały sporządzone na podstawie średnich kosztów pracowników zatrudnionych na czas określony, indeksowanych za pomocą współczynnika korygującego mającego zastosowanie do Niderlandów od lipca 2020 r. (113,9 %).</w:t>
      </w:r>
    </w:p>
  </w:footnote>
  <w:footnote w:id="41">
    <w:p w14:paraId="4DC48BC0" w14:textId="0AF6C1AE" w:rsidR="00710B91" w:rsidRPr="00710B91" w:rsidRDefault="00710B91" w:rsidP="007C6231">
      <w:pPr>
        <w:pStyle w:val="FootnoteText"/>
      </w:pPr>
      <w:r w:rsidRPr="00710B91">
        <w:rPr>
          <w:rStyle w:val="FootnoteReference"/>
        </w:rPr>
        <w:footnoteRef/>
      </w:r>
      <w:r w:rsidRPr="00710B91">
        <w:tab/>
        <w:t>Łączne. Liczba wskazana w</w:t>
      </w:r>
      <w:r>
        <w:t> </w:t>
      </w:r>
      <w:r w:rsidRPr="00710B91">
        <w:t>każdym roku to liczba pracowników zatrudnionych w</w:t>
      </w:r>
      <w:r>
        <w:t> </w:t>
      </w:r>
      <w:r w:rsidRPr="00710B91">
        <w:t>poprzednim roku (poprzednich latach) oraz nowo zatrudnionych pracowników.</w:t>
      </w:r>
    </w:p>
  </w:footnote>
  <w:footnote w:id="42">
    <w:p w14:paraId="445BE9CC" w14:textId="6B18B714" w:rsidR="00710B91" w:rsidRPr="00710B91" w:rsidRDefault="00710B91" w:rsidP="007C6231">
      <w:pPr>
        <w:pStyle w:val="FootnoteText"/>
      </w:pPr>
      <w:r w:rsidRPr="00710B91">
        <w:rPr>
          <w:rStyle w:val="FootnoteReference"/>
        </w:rPr>
        <w:footnoteRef/>
      </w:r>
      <w:r w:rsidRPr="00710B91">
        <w:tab/>
        <w:t>Szacunki dotyczące kosztów personelu są łączne i</w:t>
      </w:r>
      <w:r>
        <w:t> </w:t>
      </w:r>
      <w:r w:rsidRPr="00710B91">
        <w:t>zostały sporządzone na podstawie średnich kosztów pracowników zatrudnionych na czas określony i</w:t>
      </w:r>
      <w:r>
        <w:t> </w:t>
      </w:r>
      <w:r w:rsidRPr="00710B91">
        <w:t>pracowników kontraktowych.</w:t>
      </w:r>
    </w:p>
  </w:footnote>
  <w:footnote w:id="43">
    <w:p w14:paraId="4CE6363D" w14:textId="4EC673F9" w:rsidR="00710B91" w:rsidRPr="00710B91" w:rsidRDefault="00710B91" w:rsidP="007C6231">
      <w:pPr>
        <w:pStyle w:val="FootnoteText"/>
      </w:pPr>
      <w:r w:rsidRPr="00710B91">
        <w:rPr>
          <w:rStyle w:val="FootnoteReference"/>
        </w:rPr>
        <w:footnoteRef/>
      </w:r>
      <w:r w:rsidRPr="00710B91">
        <w:tab/>
        <w:t>Łączne. Liczba wskazana w</w:t>
      </w:r>
      <w:r>
        <w:t> </w:t>
      </w:r>
      <w:r w:rsidRPr="00710B91">
        <w:t>każdym roku to liczba pracowników zatrudnionych w</w:t>
      </w:r>
      <w:r>
        <w:t> </w:t>
      </w:r>
      <w:r w:rsidRPr="00710B91">
        <w:t>poprzednim roku (poprzednich latach) oraz nowo zatrudnionych pracowników.</w:t>
      </w:r>
    </w:p>
  </w:footnote>
  <w:footnote w:id="44">
    <w:p w14:paraId="6A71E15C" w14:textId="10059088" w:rsidR="00710B91" w:rsidRPr="00710B91" w:rsidRDefault="00710B91" w:rsidP="001F2A4B">
      <w:pPr>
        <w:pStyle w:val="FootnoteText"/>
        <w:rPr>
          <w:szCs w:val="24"/>
        </w:rPr>
      </w:pPr>
      <w:r w:rsidRPr="00710B91">
        <w:rPr>
          <w:rStyle w:val="FootnoteReference"/>
        </w:rPr>
        <w:footnoteRef/>
      </w:r>
      <w:r w:rsidRPr="00710B91">
        <w:tab/>
        <w:t>CA = personel kontraktowy; LA = personel miejscowy; SNE = oddelegowany ekspert krajowy; INT = personel tymczasowy; JPD = młodszy specjalista w</w:t>
      </w:r>
      <w:r>
        <w:t> </w:t>
      </w:r>
      <w:r w:rsidRPr="00710B91">
        <w:t xml:space="preserve">delegaturze. </w:t>
      </w:r>
    </w:p>
  </w:footnote>
  <w:footnote w:id="45">
    <w:p w14:paraId="2DDF8234" w14:textId="77777777" w:rsidR="00710B91" w:rsidRPr="00710B91" w:rsidRDefault="00710B91" w:rsidP="001F2A4B">
      <w:pPr>
        <w:pStyle w:val="FootnoteText"/>
        <w:rPr>
          <w:szCs w:val="24"/>
        </w:rPr>
      </w:pPr>
      <w:r w:rsidRPr="00710B91">
        <w:rPr>
          <w:rStyle w:val="FootnoteReference"/>
        </w:rPr>
        <w:footnoteRef/>
      </w:r>
      <w:r w:rsidRPr="00710B91">
        <w:tab/>
        <w:t>W ramach pułapu cząstkowego na personel zewnętrzny ze środków operacyjnych (dawne linie „BA”).</w:t>
      </w:r>
    </w:p>
  </w:footnote>
  <w:footnote w:id="46">
    <w:p w14:paraId="7292E16D" w14:textId="06D62E2E" w:rsidR="00710B91" w:rsidRPr="00710B91" w:rsidRDefault="00710B91" w:rsidP="001F2A4B">
      <w:pPr>
        <w:pStyle w:val="FootnoteText"/>
      </w:pPr>
      <w:r w:rsidRPr="00710B91">
        <w:rPr>
          <w:rStyle w:val="FootnoteReference"/>
        </w:rPr>
        <w:footnoteRef/>
      </w:r>
      <w:r w:rsidRPr="00710B91">
        <w:tab/>
        <w:t>Głównie w</w:t>
      </w:r>
      <w:r>
        <w:t> </w:t>
      </w:r>
      <w:r w:rsidRPr="00710B91">
        <w:t>odniesieniu do funduszy polityki spójności UE, Europejskiego Funduszu Rolnego na rzecz Rozwoju Obszarów Wiejskich (EFRROW) oraz Europejskiego Funduszu Morskiego, Rybackiego i</w:t>
      </w:r>
      <w:r>
        <w:t> </w:t>
      </w:r>
      <w:r w:rsidRPr="00710B91">
        <w:t>Akwakultury (EFMRA).</w:t>
      </w:r>
    </w:p>
    <w:p w14:paraId="07DEF8F4" w14:textId="77777777" w:rsidR="00710B91" w:rsidRPr="00710B91" w:rsidRDefault="00710B91" w:rsidP="001F2A4B">
      <w:pPr>
        <w:pStyle w:val="FootnoteText"/>
        <w:rPr>
          <w:szCs w:val="24"/>
        </w:rPr>
      </w:pPr>
    </w:p>
  </w:footnote>
  <w:footnote w:id="47">
    <w:p w14:paraId="1FEFB44C" w14:textId="107EC46B" w:rsidR="00710B91" w:rsidRPr="00710B91" w:rsidRDefault="00710B91" w:rsidP="006F6F3C">
      <w:pPr>
        <w:pStyle w:val="FootnoteText"/>
        <w:rPr>
          <w:szCs w:val="24"/>
        </w:rPr>
      </w:pPr>
      <w:r w:rsidRPr="00710B91">
        <w:rPr>
          <w:rStyle w:val="FootnoteReference"/>
        </w:rPr>
        <w:footnoteRef/>
      </w:r>
      <w:r w:rsidRPr="00710B91">
        <w:tab/>
        <w:t>W przypadku tradycyjnych zasobów własnych (opłaty celne, opłaty wyrównawcze od cukru) należy wskazać kwoty netto, tzn. kwoty brutto po odliczeniu 20 % na poczet kosztów poboru.</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3C695B9" w14:textId="77777777" w:rsidR="00DA1122" w:rsidRPr="00DA1122" w:rsidRDefault="00DA1122" w:rsidP="00DA1122">
    <w:pPr>
      <w:pStyle w:val="HeaderLandscape"/>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AEB350C" w14:textId="77777777" w:rsidR="00DA1122" w:rsidRPr="00DA1122" w:rsidRDefault="00DA1122" w:rsidP="00DA1122">
    <w:pPr>
      <w:pStyle w:val="HeaderLandscape"/>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6189C1B" w14:textId="77777777" w:rsidR="00DA1122" w:rsidRPr="00DA1122" w:rsidRDefault="00DA1122" w:rsidP="00DA1122">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D8CDC47" w14:textId="77777777" w:rsidR="00DA1122" w:rsidRPr="00DA1122" w:rsidRDefault="00DA1122" w:rsidP="00DA112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1"/>
    <w:multiLevelType w:val="singleLevel"/>
    <w:tmpl w:val="FAC02B32"/>
    <w:lvl w:ilvl="0">
      <w:start w:val="1"/>
      <w:numFmt w:val="bullet"/>
      <w:pStyle w:val="ListBullet4"/>
      <w:lvlText w:val=""/>
      <w:lvlJc w:val="left"/>
      <w:pPr>
        <w:tabs>
          <w:tab w:val="num" w:pos="1209"/>
        </w:tabs>
        <w:ind w:left="1209" w:hanging="360"/>
      </w:pPr>
      <w:rPr>
        <w:rFonts w:ascii="Symbol" w:hAnsi="Symbol" w:hint="default"/>
      </w:rPr>
    </w:lvl>
  </w:abstractNum>
  <w:abstractNum w:abstractNumId="1" w15:restartNumberingAfterBreak="0">
    <w:nsid w:val="FFFFFF82"/>
    <w:multiLevelType w:val="singleLevel"/>
    <w:tmpl w:val="0DBE9A4C"/>
    <w:lvl w:ilvl="0">
      <w:start w:val="1"/>
      <w:numFmt w:val="bullet"/>
      <w:pStyle w:val="ListBullet3"/>
      <w:lvlText w:val=""/>
      <w:lvlJc w:val="left"/>
      <w:pPr>
        <w:tabs>
          <w:tab w:val="num" w:pos="926"/>
        </w:tabs>
        <w:ind w:left="926" w:hanging="360"/>
      </w:pPr>
      <w:rPr>
        <w:rFonts w:ascii="Symbol" w:hAnsi="Symbol" w:hint="default"/>
      </w:rPr>
    </w:lvl>
  </w:abstractNum>
  <w:abstractNum w:abstractNumId="2" w15:restartNumberingAfterBreak="0">
    <w:nsid w:val="FFFFFF83"/>
    <w:multiLevelType w:val="singleLevel"/>
    <w:tmpl w:val="676866EE"/>
    <w:lvl w:ilvl="0">
      <w:start w:val="1"/>
      <w:numFmt w:val="bullet"/>
      <w:pStyle w:val="ListBullet2"/>
      <w:lvlText w:val=""/>
      <w:lvlJc w:val="left"/>
      <w:pPr>
        <w:tabs>
          <w:tab w:val="num" w:pos="643"/>
        </w:tabs>
        <w:ind w:left="643" w:hanging="360"/>
      </w:pPr>
      <w:rPr>
        <w:rFonts w:ascii="Symbol" w:hAnsi="Symbol" w:hint="default"/>
      </w:rPr>
    </w:lvl>
  </w:abstractNum>
  <w:abstractNum w:abstractNumId="3" w15:restartNumberingAfterBreak="0">
    <w:nsid w:val="FFFFFF89"/>
    <w:multiLevelType w:val="singleLevel"/>
    <w:tmpl w:val="53901F70"/>
    <w:lvl w:ilvl="0">
      <w:start w:val="1"/>
      <w:numFmt w:val="bullet"/>
      <w:pStyle w:val="ListBullet"/>
      <w:lvlText w:val=""/>
      <w:lvlJc w:val="left"/>
      <w:pPr>
        <w:tabs>
          <w:tab w:val="num" w:pos="360"/>
        </w:tabs>
        <w:ind w:left="360" w:hanging="360"/>
      </w:pPr>
      <w:rPr>
        <w:rFonts w:ascii="Symbol" w:hAnsi="Symbol" w:hint="default"/>
      </w:rPr>
    </w:lvl>
  </w:abstractNum>
  <w:abstractNum w:abstractNumId="4" w15:restartNumberingAfterBreak="0">
    <w:nsid w:val="062C6A95"/>
    <w:multiLevelType w:val="singleLevel"/>
    <w:tmpl w:val="02BAFA82"/>
    <w:name w:val="List Bullet 1"/>
    <w:lvl w:ilvl="0">
      <w:start w:val="1"/>
      <w:numFmt w:val="bullet"/>
      <w:lvlRestart w:val="0"/>
      <w:pStyle w:val="ListBullet1"/>
      <w:lvlText w:val=""/>
      <w:lvlJc w:val="left"/>
      <w:pPr>
        <w:tabs>
          <w:tab w:val="num" w:pos="1134"/>
        </w:tabs>
        <w:ind w:left="1134" w:hanging="283"/>
      </w:pPr>
      <w:rPr>
        <w:rFonts w:ascii="Symbol" w:hAnsi="Symbol" w:hint="default"/>
      </w:rPr>
    </w:lvl>
  </w:abstractNum>
  <w:abstractNum w:abstractNumId="5" w15:restartNumberingAfterBreak="0">
    <w:nsid w:val="128364B0"/>
    <w:multiLevelType w:val="singleLevel"/>
    <w:tmpl w:val="D084FB54"/>
    <w:lvl w:ilvl="0">
      <w:start w:val="1"/>
      <w:numFmt w:val="bullet"/>
      <w:pStyle w:val="ListDash3"/>
      <w:lvlText w:val="–"/>
      <w:lvlJc w:val="left"/>
      <w:pPr>
        <w:tabs>
          <w:tab w:val="num" w:pos="1134"/>
        </w:tabs>
        <w:ind w:left="1134" w:hanging="283"/>
      </w:pPr>
      <w:rPr>
        <w:rFonts w:ascii="Times New Roman" w:hAnsi="Times New Roman"/>
      </w:rPr>
    </w:lvl>
  </w:abstractNum>
  <w:abstractNum w:abstractNumId="6" w15:restartNumberingAfterBreak="0">
    <w:nsid w:val="13E4330B"/>
    <w:multiLevelType w:val="multilevel"/>
    <w:tmpl w:val="875C4416"/>
    <w:name w:val="List Dash 3"/>
    <w:lvl w:ilvl="0">
      <w:start w:val="1"/>
      <w:numFmt w:val="decimal"/>
      <w:pStyle w:val="ListNumber1"/>
      <w:lvlText w:val="(%1)"/>
      <w:lvlJc w:val="left"/>
      <w:pPr>
        <w:tabs>
          <w:tab w:val="num" w:pos="1560"/>
        </w:tabs>
        <w:ind w:left="1560" w:hanging="709"/>
      </w:pPr>
      <w:rPr>
        <w:rFonts w:cs="Times New Roman"/>
      </w:rPr>
    </w:lvl>
    <w:lvl w:ilvl="1">
      <w:start w:val="1"/>
      <w:numFmt w:val="lowerLetter"/>
      <w:pStyle w:val="ListNumber1Level2"/>
      <w:lvlText w:val="(%2)"/>
      <w:lvlJc w:val="left"/>
      <w:pPr>
        <w:tabs>
          <w:tab w:val="num" w:pos="2268"/>
        </w:tabs>
        <w:ind w:left="2268" w:hanging="708"/>
      </w:pPr>
      <w:rPr>
        <w:rFonts w:cs="Times New Roman"/>
      </w:rPr>
    </w:lvl>
    <w:lvl w:ilvl="2">
      <w:start w:val="1"/>
      <w:numFmt w:val="bullet"/>
      <w:pStyle w:val="ListNumber1Level3"/>
      <w:lvlText w:val="–"/>
      <w:lvlJc w:val="left"/>
      <w:pPr>
        <w:tabs>
          <w:tab w:val="num" w:pos="2977"/>
        </w:tabs>
        <w:ind w:left="2977" w:hanging="709"/>
      </w:pPr>
      <w:rPr>
        <w:rFonts w:ascii="Times New Roman" w:hAnsi="Times New Roman"/>
      </w:rPr>
    </w:lvl>
    <w:lvl w:ilvl="3">
      <w:start w:val="1"/>
      <w:numFmt w:val="bullet"/>
      <w:pStyle w:val="ListNumber1Level4"/>
      <w:lvlText w:val=""/>
      <w:lvlJc w:val="left"/>
      <w:pPr>
        <w:tabs>
          <w:tab w:val="num" w:pos="3686"/>
        </w:tabs>
        <w:ind w:left="3686" w:hanging="709"/>
      </w:pPr>
      <w:rPr>
        <w:rFonts w:ascii="Symbol" w:hAnsi="Symbol" w:hint="default"/>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7" w15:restartNumberingAfterBreak="0">
    <w:nsid w:val="1B3C78B8"/>
    <w:multiLevelType w:val="multilevel"/>
    <w:tmpl w:val="2ED4F4D0"/>
    <w:name w:val="Point"/>
    <w:lvl w:ilvl="0">
      <w:start w:val="1"/>
      <w:numFmt w:val="decimal"/>
      <w:lvlRestart w:val="0"/>
      <w:pStyle w:val="Point0number"/>
      <w:lvlText w:val="(%1)"/>
      <w:lvlJc w:val="left"/>
      <w:pPr>
        <w:tabs>
          <w:tab w:val="num" w:pos="850"/>
        </w:tabs>
        <w:ind w:left="850" w:hanging="850"/>
      </w:pPr>
    </w:lvl>
    <w:lvl w:ilvl="1">
      <w:start w:val="1"/>
      <w:numFmt w:val="lowerLetter"/>
      <w:pStyle w:val="Point0letter"/>
      <w:lvlText w:val="(%2)"/>
      <w:lvlJc w:val="left"/>
      <w:pPr>
        <w:tabs>
          <w:tab w:val="num" w:pos="850"/>
        </w:tabs>
        <w:ind w:left="850" w:hanging="850"/>
      </w:pPr>
    </w:lvl>
    <w:lvl w:ilvl="2">
      <w:start w:val="1"/>
      <w:numFmt w:val="decimal"/>
      <w:pStyle w:val="Point1number"/>
      <w:lvlText w:val="(%3)"/>
      <w:lvlJc w:val="left"/>
      <w:pPr>
        <w:tabs>
          <w:tab w:val="num" w:pos="1417"/>
        </w:tabs>
        <w:ind w:left="1417" w:hanging="567"/>
      </w:pPr>
    </w:lvl>
    <w:lvl w:ilvl="3">
      <w:start w:val="1"/>
      <w:numFmt w:val="lowerLetter"/>
      <w:pStyle w:val="Point1letter"/>
      <w:lvlText w:val="(%4)"/>
      <w:lvlJc w:val="left"/>
      <w:pPr>
        <w:tabs>
          <w:tab w:val="num" w:pos="1417"/>
        </w:tabs>
        <w:ind w:left="1417" w:hanging="567"/>
      </w:pPr>
    </w:lvl>
    <w:lvl w:ilvl="4">
      <w:start w:val="1"/>
      <w:numFmt w:val="decimal"/>
      <w:pStyle w:val="Point2number"/>
      <w:lvlText w:val="(%5)"/>
      <w:lvlJc w:val="left"/>
      <w:pPr>
        <w:tabs>
          <w:tab w:val="num" w:pos="1984"/>
        </w:tabs>
        <w:ind w:left="1984" w:hanging="567"/>
      </w:pPr>
    </w:lvl>
    <w:lvl w:ilvl="5">
      <w:start w:val="1"/>
      <w:numFmt w:val="lowerLetter"/>
      <w:pStyle w:val="Point2letter"/>
      <w:lvlText w:val="(%6)"/>
      <w:lvlJc w:val="left"/>
      <w:pPr>
        <w:tabs>
          <w:tab w:val="num" w:pos="1984"/>
        </w:tabs>
        <w:ind w:left="1984" w:hanging="567"/>
      </w:pPr>
    </w:lvl>
    <w:lvl w:ilvl="6">
      <w:start w:val="1"/>
      <w:numFmt w:val="decimal"/>
      <w:pStyle w:val="Point3number"/>
      <w:lvlText w:val="(%7)"/>
      <w:lvlJc w:val="left"/>
      <w:pPr>
        <w:tabs>
          <w:tab w:val="num" w:pos="2551"/>
        </w:tabs>
        <w:ind w:left="2551" w:hanging="567"/>
      </w:pPr>
    </w:lvl>
    <w:lvl w:ilvl="7">
      <w:start w:val="1"/>
      <w:numFmt w:val="lowerLetter"/>
      <w:pStyle w:val="Point3letter"/>
      <w:lvlText w:val="(%8)"/>
      <w:lvlJc w:val="left"/>
      <w:pPr>
        <w:tabs>
          <w:tab w:val="num" w:pos="2551"/>
        </w:tabs>
        <w:ind w:left="2551" w:hanging="567"/>
      </w:pPr>
    </w:lvl>
    <w:lvl w:ilvl="8">
      <w:start w:val="1"/>
      <w:numFmt w:val="lowerLetter"/>
      <w:pStyle w:val="Point4letter"/>
      <w:lvlText w:val="(%9)"/>
      <w:lvlJc w:val="left"/>
      <w:pPr>
        <w:tabs>
          <w:tab w:val="num" w:pos="3118"/>
        </w:tabs>
        <w:ind w:left="3118" w:hanging="567"/>
      </w:pPr>
    </w:lvl>
  </w:abstractNum>
  <w:abstractNum w:abstractNumId="8" w15:restartNumberingAfterBreak="0">
    <w:nsid w:val="22E44180"/>
    <w:multiLevelType w:val="multilevel"/>
    <w:tmpl w:val="DFC88CEC"/>
    <w:lvl w:ilvl="0">
      <w:start w:val="1"/>
      <w:numFmt w:val="decimal"/>
      <w:lvlRestart w:val="0"/>
      <w:pStyle w:val="NumPar1"/>
      <w:lvlText w:val="%1."/>
      <w:lvlJc w:val="left"/>
      <w:pPr>
        <w:tabs>
          <w:tab w:val="num" w:pos="850"/>
        </w:tabs>
        <w:ind w:left="850" w:hanging="850"/>
      </w:pPr>
    </w:lvl>
    <w:lvl w:ilvl="1">
      <w:start w:val="1"/>
      <w:numFmt w:val="decimal"/>
      <w:pStyle w:val="NumPar2"/>
      <w:lvlText w:val="%1.%2."/>
      <w:lvlJc w:val="left"/>
      <w:pPr>
        <w:tabs>
          <w:tab w:val="num" w:pos="850"/>
        </w:tabs>
        <w:ind w:left="850" w:hanging="850"/>
      </w:pPr>
    </w:lvl>
    <w:lvl w:ilvl="2">
      <w:start w:val="1"/>
      <w:numFmt w:val="decimal"/>
      <w:pStyle w:val="NumPar3"/>
      <w:lvlText w:val="%1.%2.%3."/>
      <w:lvlJc w:val="left"/>
      <w:pPr>
        <w:tabs>
          <w:tab w:val="num" w:pos="850"/>
        </w:tabs>
        <w:ind w:left="850" w:hanging="850"/>
      </w:pPr>
    </w:lvl>
    <w:lvl w:ilvl="3">
      <w:start w:val="1"/>
      <w:numFmt w:val="decimal"/>
      <w:pStyle w:val="NumPar4"/>
      <w:lvlText w:val="%1.%2.%3.%4."/>
      <w:lvlJc w:val="left"/>
      <w:pPr>
        <w:tabs>
          <w:tab w:val="num" w:pos="850"/>
        </w:tabs>
        <w:ind w:left="850" w:hanging="850"/>
      </w:pPr>
    </w:lvl>
    <w:lvl w:ilvl="4">
      <w:start w:val="1"/>
      <w:numFmt w:val="decimal"/>
      <w:pStyle w:val="NumPar5"/>
      <w:lvlText w:val="%1.%2.%3.%4.%5."/>
      <w:lvlJc w:val="left"/>
      <w:pPr>
        <w:tabs>
          <w:tab w:val="num" w:pos="1417"/>
        </w:tabs>
        <w:ind w:left="1417" w:hanging="1417"/>
      </w:pPr>
    </w:lvl>
    <w:lvl w:ilvl="5">
      <w:start w:val="1"/>
      <w:numFmt w:val="decimal"/>
      <w:pStyle w:val="NumPar6"/>
      <w:lvlText w:val="%1.%2.%3.%4.%5.%6."/>
      <w:lvlJc w:val="left"/>
      <w:pPr>
        <w:tabs>
          <w:tab w:val="num" w:pos="1417"/>
        </w:tabs>
        <w:ind w:left="1417" w:hanging="1417"/>
      </w:pPr>
    </w:lvl>
    <w:lvl w:ilvl="6">
      <w:start w:val="1"/>
      <w:numFmt w:val="decimal"/>
      <w:pStyle w:val="NumPar7"/>
      <w:lvlText w:val="%1.%2.%3.%4.%5.%6.%7."/>
      <w:lvlJc w:val="left"/>
      <w:pPr>
        <w:tabs>
          <w:tab w:val="num" w:pos="1417"/>
        </w:tabs>
        <w:ind w:left="1417" w:hanging="1417"/>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9" w15:restartNumberingAfterBreak="0">
    <w:nsid w:val="2437163A"/>
    <w:multiLevelType w:val="hybridMultilevel"/>
    <w:tmpl w:val="BC98C4B6"/>
    <w:lvl w:ilvl="0" w:tplc="0A0CAFFE">
      <w:numFmt w:val="bullet"/>
      <w:lvlText w:val="•"/>
      <w:lvlJc w:val="left"/>
      <w:pPr>
        <w:ind w:left="720" w:hanging="720"/>
      </w:pPr>
      <w:rPr>
        <w:rFonts w:ascii="Times New Roman" w:eastAsiaTheme="minorHAnsi" w:hAnsi="Times New Roman" w:cs="Times New Roman"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2CB72C6E"/>
    <w:multiLevelType w:val="singleLevel"/>
    <w:tmpl w:val="10ACD464"/>
    <w:name w:val="Bullet 3"/>
    <w:lvl w:ilvl="0">
      <w:start w:val="1"/>
      <w:numFmt w:val="bullet"/>
      <w:lvlRestart w:val="0"/>
      <w:pStyle w:val="Bullet3"/>
      <w:lvlText w:val=""/>
      <w:lvlJc w:val="left"/>
      <w:pPr>
        <w:tabs>
          <w:tab w:val="num" w:pos="2551"/>
        </w:tabs>
        <w:ind w:left="2551" w:hanging="567"/>
      </w:pPr>
      <w:rPr>
        <w:rFonts w:ascii="Symbol" w:hAnsi="Symbol" w:hint="default"/>
      </w:rPr>
    </w:lvl>
  </w:abstractNum>
  <w:abstractNum w:abstractNumId="11" w15:restartNumberingAfterBreak="0">
    <w:nsid w:val="2CE9221F"/>
    <w:multiLevelType w:val="singleLevel"/>
    <w:tmpl w:val="9B4AFB48"/>
    <w:name w:val="Tiret 3"/>
    <w:lvl w:ilvl="0">
      <w:start w:val="1"/>
      <w:numFmt w:val="bullet"/>
      <w:lvlRestart w:val="0"/>
      <w:pStyle w:val="Tiret3"/>
      <w:lvlText w:val="–"/>
      <w:lvlJc w:val="left"/>
      <w:pPr>
        <w:tabs>
          <w:tab w:val="num" w:pos="2551"/>
        </w:tabs>
        <w:ind w:left="2551" w:hanging="567"/>
      </w:pPr>
    </w:lvl>
  </w:abstractNum>
  <w:abstractNum w:abstractNumId="12" w15:restartNumberingAfterBreak="0">
    <w:nsid w:val="2D820C1F"/>
    <w:multiLevelType w:val="singleLevel"/>
    <w:tmpl w:val="7896AADE"/>
    <w:name w:val="List Dash"/>
    <w:lvl w:ilvl="0">
      <w:start w:val="1"/>
      <w:numFmt w:val="bullet"/>
      <w:lvlRestart w:val="0"/>
      <w:pStyle w:val="ListDash"/>
      <w:lvlText w:val="–"/>
      <w:lvlJc w:val="left"/>
      <w:pPr>
        <w:tabs>
          <w:tab w:val="num" w:pos="283"/>
        </w:tabs>
        <w:ind w:left="283" w:hanging="283"/>
      </w:pPr>
      <w:rPr>
        <w:rFonts w:ascii="Times New Roman" w:hAnsi="Times New Roman" w:cs="Times New Roman"/>
      </w:rPr>
    </w:lvl>
  </w:abstractNum>
  <w:abstractNum w:abstractNumId="13" w15:restartNumberingAfterBreak="0">
    <w:nsid w:val="2F191641"/>
    <w:multiLevelType w:val="multilevel"/>
    <w:tmpl w:val="B67C4E92"/>
    <w:lvl w:ilvl="0">
      <w:start w:val="1"/>
      <w:numFmt w:val="decimal"/>
      <w:pStyle w:val="ListNumber3"/>
      <w:lvlText w:val="(%1)"/>
      <w:lvlJc w:val="left"/>
      <w:pPr>
        <w:tabs>
          <w:tab w:val="num" w:pos="1560"/>
        </w:tabs>
        <w:ind w:left="1560" w:hanging="709"/>
      </w:pPr>
      <w:rPr>
        <w:rFonts w:cs="Times New Roman"/>
      </w:rPr>
    </w:lvl>
    <w:lvl w:ilvl="1">
      <w:start w:val="1"/>
      <w:numFmt w:val="lowerLetter"/>
      <w:pStyle w:val="ListNumber3Level2"/>
      <w:lvlText w:val="(%2)"/>
      <w:lvlJc w:val="left"/>
      <w:pPr>
        <w:tabs>
          <w:tab w:val="num" w:pos="2268"/>
        </w:tabs>
        <w:ind w:left="2268" w:hanging="708"/>
      </w:pPr>
      <w:rPr>
        <w:rFonts w:cs="Times New Roman"/>
      </w:rPr>
    </w:lvl>
    <w:lvl w:ilvl="2">
      <w:start w:val="1"/>
      <w:numFmt w:val="bullet"/>
      <w:pStyle w:val="ListNumber3Level3"/>
      <w:lvlText w:val="–"/>
      <w:lvlJc w:val="left"/>
      <w:pPr>
        <w:tabs>
          <w:tab w:val="num" w:pos="2977"/>
        </w:tabs>
        <w:ind w:left="2977" w:hanging="709"/>
      </w:pPr>
      <w:rPr>
        <w:rFonts w:ascii="Times New Roman" w:hAnsi="Times New Roman"/>
      </w:rPr>
    </w:lvl>
    <w:lvl w:ilvl="3">
      <w:start w:val="1"/>
      <w:numFmt w:val="bullet"/>
      <w:pStyle w:val="ListNumber3Level4"/>
      <w:lvlText w:val=""/>
      <w:lvlJc w:val="left"/>
      <w:pPr>
        <w:tabs>
          <w:tab w:val="num" w:pos="3686"/>
        </w:tabs>
        <w:ind w:left="3686" w:hanging="709"/>
      </w:pPr>
      <w:rPr>
        <w:rFonts w:ascii="Symbol" w:hAnsi="Symbol" w:hint="default"/>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14" w15:restartNumberingAfterBreak="0">
    <w:nsid w:val="31CD398A"/>
    <w:multiLevelType w:val="singleLevel"/>
    <w:tmpl w:val="0276BF00"/>
    <w:lvl w:ilvl="0">
      <w:start w:val="1"/>
      <w:numFmt w:val="bullet"/>
      <w:pStyle w:val="ListDash4"/>
      <w:lvlText w:val="–"/>
      <w:lvlJc w:val="left"/>
      <w:pPr>
        <w:tabs>
          <w:tab w:val="num" w:pos="1134"/>
        </w:tabs>
        <w:ind w:left="1134" w:hanging="283"/>
      </w:pPr>
      <w:rPr>
        <w:rFonts w:ascii="Times New Roman" w:hAnsi="Times New Roman"/>
      </w:rPr>
    </w:lvl>
  </w:abstractNum>
  <w:abstractNum w:abstractNumId="15" w15:restartNumberingAfterBreak="0">
    <w:nsid w:val="398C015E"/>
    <w:multiLevelType w:val="multilevel"/>
    <w:tmpl w:val="027A66BA"/>
    <w:name w:val="List Dash 4"/>
    <w:lvl w:ilvl="0">
      <w:start w:val="1"/>
      <w:numFmt w:val="decimal"/>
      <w:pStyle w:val="ListNumber2"/>
      <w:lvlText w:val="(%1)"/>
      <w:lvlJc w:val="left"/>
      <w:pPr>
        <w:tabs>
          <w:tab w:val="num" w:pos="1560"/>
        </w:tabs>
        <w:ind w:left="1560" w:hanging="709"/>
      </w:pPr>
      <w:rPr>
        <w:rFonts w:cs="Times New Roman"/>
      </w:rPr>
    </w:lvl>
    <w:lvl w:ilvl="1">
      <w:start w:val="1"/>
      <w:numFmt w:val="lowerLetter"/>
      <w:pStyle w:val="ListNumber2Level2"/>
      <w:lvlText w:val="(%2)"/>
      <w:lvlJc w:val="left"/>
      <w:pPr>
        <w:tabs>
          <w:tab w:val="num" w:pos="2268"/>
        </w:tabs>
        <w:ind w:left="2268" w:hanging="708"/>
      </w:pPr>
      <w:rPr>
        <w:rFonts w:cs="Times New Roman"/>
      </w:rPr>
    </w:lvl>
    <w:lvl w:ilvl="2">
      <w:start w:val="1"/>
      <w:numFmt w:val="bullet"/>
      <w:pStyle w:val="ListNumber2Level3"/>
      <w:lvlText w:val="–"/>
      <w:lvlJc w:val="left"/>
      <w:pPr>
        <w:tabs>
          <w:tab w:val="num" w:pos="2977"/>
        </w:tabs>
        <w:ind w:left="2977" w:hanging="709"/>
      </w:pPr>
      <w:rPr>
        <w:rFonts w:ascii="Times New Roman" w:hAnsi="Times New Roman"/>
      </w:rPr>
    </w:lvl>
    <w:lvl w:ilvl="3">
      <w:start w:val="1"/>
      <w:numFmt w:val="bullet"/>
      <w:pStyle w:val="ListNumber2Level4"/>
      <w:lvlText w:val=""/>
      <w:lvlJc w:val="left"/>
      <w:pPr>
        <w:tabs>
          <w:tab w:val="num" w:pos="3686"/>
        </w:tabs>
        <w:ind w:left="3686" w:hanging="709"/>
      </w:pPr>
      <w:rPr>
        <w:rFonts w:ascii="Symbol" w:hAnsi="Symbol" w:hint="default"/>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16" w15:restartNumberingAfterBreak="0">
    <w:nsid w:val="42713452"/>
    <w:multiLevelType w:val="singleLevel"/>
    <w:tmpl w:val="3B8CC7EA"/>
    <w:name w:val="Tiret 1"/>
    <w:lvl w:ilvl="0">
      <w:start w:val="1"/>
      <w:numFmt w:val="bullet"/>
      <w:lvlRestart w:val="0"/>
      <w:pStyle w:val="Tiret1"/>
      <w:lvlText w:val="–"/>
      <w:lvlJc w:val="left"/>
      <w:pPr>
        <w:tabs>
          <w:tab w:val="num" w:pos="1417"/>
        </w:tabs>
        <w:ind w:left="1417" w:hanging="567"/>
      </w:pPr>
    </w:lvl>
  </w:abstractNum>
  <w:abstractNum w:abstractNumId="17" w15:restartNumberingAfterBreak="0">
    <w:nsid w:val="42FC0772"/>
    <w:multiLevelType w:val="singleLevel"/>
    <w:tmpl w:val="4128FCF8"/>
    <w:name w:val="Tiret 4"/>
    <w:lvl w:ilvl="0">
      <w:start w:val="1"/>
      <w:numFmt w:val="bullet"/>
      <w:lvlRestart w:val="0"/>
      <w:pStyle w:val="Tiret4"/>
      <w:lvlText w:val="–"/>
      <w:lvlJc w:val="left"/>
      <w:pPr>
        <w:tabs>
          <w:tab w:val="num" w:pos="3118"/>
        </w:tabs>
        <w:ind w:left="3118" w:hanging="567"/>
      </w:pPr>
    </w:lvl>
  </w:abstractNum>
  <w:abstractNum w:abstractNumId="18" w15:restartNumberingAfterBreak="0">
    <w:nsid w:val="42FC077D"/>
    <w:multiLevelType w:val="singleLevel"/>
    <w:tmpl w:val="4128FD03"/>
    <w:name w:val="Tiret 5"/>
    <w:lvl w:ilvl="0">
      <w:start w:val="1"/>
      <w:numFmt w:val="bullet"/>
      <w:lvlRestart w:val="0"/>
      <w:pStyle w:val="Tiret5"/>
      <w:lvlText w:val="–"/>
      <w:lvlJc w:val="left"/>
      <w:pPr>
        <w:tabs>
          <w:tab w:val="num" w:pos="3685"/>
        </w:tabs>
        <w:ind w:left="3685" w:hanging="567"/>
      </w:pPr>
    </w:lvl>
  </w:abstractNum>
  <w:abstractNum w:abstractNumId="19" w15:restartNumberingAfterBreak="0">
    <w:nsid w:val="4552127F"/>
    <w:multiLevelType w:val="singleLevel"/>
    <w:tmpl w:val="057A5296"/>
    <w:name w:val="Bullet 0"/>
    <w:lvl w:ilvl="0">
      <w:start w:val="1"/>
      <w:numFmt w:val="bullet"/>
      <w:lvlRestart w:val="0"/>
      <w:pStyle w:val="Bullet0"/>
      <w:lvlText w:val=""/>
      <w:lvlJc w:val="left"/>
      <w:pPr>
        <w:tabs>
          <w:tab w:val="num" w:pos="850"/>
        </w:tabs>
        <w:ind w:left="850" w:hanging="850"/>
      </w:pPr>
      <w:rPr>
        <w:rFonts w:ascii="Symbol" w:hAnsi="Symbol" w:hint="default"/>
      </w:rPr>
    </w:lvl>
  </w:abstractNum>
  <w:abstractNum w:abstractNumId="20" w15:restartNumberingAfterBreak="0">
    <w:nsid w:val="489D74ED"/>
    <w:multiLevelType w:val="singleLevel"/>
    <w:tmpl w:val="C2E2F936"/>
    <w:name w:val="List Dash 2"/>
    <w:lvl w:ilvl="0">
      <w:start w:val="1"/>
      <w:numFmt w:val="bullet"/>
      <w:lvlRestart w:val="0"/>
      <w:pStyle w:val="ListDash2"/>
      <w:lvlText w:val="–"/>
      <w:lvlJc w:val="left"/>
      <w:pPr>
        <w:tabs>
          <w:tab w:val="num" w:pos="1134"/>
        </w:tabs>
        <w:ind w:left="1134" w:hanging="283"/>
      </w:pPr>
      <w:rPr>
        <w:rFonts w:ascii="Times New Roman" w:hAnsi="Times New Roman" w:cs="Times New Roman"/>
      </w:rPr>
    </w:lvl>
  </w:abstractNum>
  <w:abstractNum w:abstractNumId="21" w15:restartNumberingAfterBreak="0">
    <w:nsid w:val="4D0C058A"/>
    <w:multiLevelType w:val="singleLevel"/>
    <w:tmpl w:val="BAE8D90E"/>
    <w:name w:val="List Dash 1"/>
    <w:lvl w:ilvl="0">
      <w:start w:val="1"/>
      <w:numFmt w:val="bullet"/>
      <w:lvlRestart w:val="0"/>
      <w:pStyle w:val="ListDash1"/>
      <w:lvlText w:val="–"/>
      <w:lvlJc w:val="left"/>
      <w:pPr>
        <w:tabs>
          <w:tab w:val="num" w:pos="1134"/>
        </w:tabs>
        <w:ind w:left="1134" w:hanging="283"/>
      </w:pPr>
      <w:rPr>
        <w:rFonts w:ascii="Times New Roman" w:hAnsi="Times New Roman" w:cs="Times New Roman"/>
      </w:rPr>
    </w:lvl>
  </w:abstractNum>
  <w:abstractNum w:abstractNumId="22" w15:restartNumberingAfterBreak="0">
    <w:nsid w:val="542A1204"/>
    <w:multiLevelType w:val="multilevel"/>
    <w:tmpl w:val="BC1E8404"/>
    <w:lvl w:ilvl="0">
      <w:start w:val="1"/>
      <w:numFmt w:val="decimal"/>
      <w:pStyle w:val="ListNumber4"/>
      <w:lvlText w:val="(%1)"/>
      <w:lvlJc w:val="left"/>
      <w:pPr>
        <w:tabs>
          <w:tab w:val="num" w:pos="1560"/>
        </w:tabs>
        <w:ind w:left="1560" w:hanging="709"/>
      </w:pPr>
      <w:rPr>
        <w:rFonts w:cs="Times New Roman"/>
      </w:rPr>
    </w:lvl>
    <w:lvl w:ilvl="1">
      <w:start w:val="1"/>
      <w:numFmt w:val="lowerLetter"/>
      <w:pStyle w:val="ListNumber4Level2"/>
      <w:lvlText w:val="(%2)"/>
      <w:lvlJc w:val="left"/>
      <w:pPr>
        <w:tabs>
          <w:tab w:val="num" w:pos="2268"/>
        </w:tabs>
        <w:ind w:left="2268" w:hanging="708"/>
      </w:pPr>
      <w:rPr>
        <w:rFonts w:cs="Times New Roman"/>
      </w:rPr>
    </w:lvl>
    <w:lvl w:ilvl="2">
      <w:start w:val="1"/>
      <w:numFmt w:val="bullet"/>
      <w:pStyle w:val="ListNumber4Level3"/>
      <w:lvlText w:val="–"/>
      <w:lvlJc w:val="left"/>
      <w:pPr>
        <w:tabs>
          <w:tab w:val="num" w:pos="2977"/>
        </w:tabs>
        <w:ind w:left="2977" w:hanging="709"/>
      </w:pPr>
      <w:rPr>
        <w:rFonts w:ascii="Times New Roman" w:hAnsi="Times New Roman"/>
      </w:rPr>
    </w:lvl>
    <w:lvl w:ilvl="3">
      <w:start w:val="1"/>
      <w:numFmt w:val="bullet"/>
      <w:pStyle w:val="ListNumber4Level4"/>
      <w:lvlText w:val=""/>
      <w:lvlJc w:val="left"/>
      <w:pPr>
        <w:tabs>
          <w:tab w:val="num" w:pos="3686"/>
        </w:tabs>
        <w:ind w:left="3686" w:hanging="709"/>
      </w:pPr>
      <w:rPr>
        <w:rFonts w:ascii="Symbol" w:hAnsi="Symbol" w:hint="default"/>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23" w15:restartNumberingAfterBreak="0">
    <w:nsid w:val="556E1D63"/>
    <w:multiLevelType w:val="singleLevel"/>
    <w:tmpl w:val="493AAFF0"/>
    <w:name w:val="Bullet 4"/>
    <w:lvl w:ilvl="0">
      <w:start w:val="1"/>
      <w:numFmt w:val="bullet"/>
      <w:lvlRestart w:val="0"/>
      <w:pStyle w:val="Bullet4"/>
      <w:lvlText w:val=""/>
      <w:lvlJc w:val="left"/>
      <w:pPr>
        <w:tabs>
          <w:tab w:val="num" w:pos="3118"/>
        </w:tabs>
        <w:ind w:left="3118" w:hanging="567"/>
      </w:pPr>
      <w:rPr>
        <w:rFonts w:ascii="Symbol" w:hAnsi="Symbol" w:hint="default"/>
      </w:rPr>
    </w:lvl>
  </w:abstractNum>
  <w:abstractNum w:abstractNumId="24" w15:restartNumberingAfterBreak="0">
    <w:nsid w:val="5B395AAA"/>
    <w:multiLevelType w:val="singleLevel"/>
    <w:tmpl w:val="96D02E8A"/>
    <w:name w:val="Bullet 1"/>
    <w:lvl w:ilvl="0">
      <w:start w:val="1"/>
      <w:numFmt w:val="bullet"/>
      <w:lvlRestart w:val="0"/>
      <w:pStyle w:val="Bullet1"/>
      <w:lvlText w:val=""/>
      <w:lvlJc w:val="left"/>
      <w:pPr>
        <w:tabs>
          <w:tab w:val="num" w:pos="1417"/>
        </w:tabs>
        <w:ind w:left="1417" w:hanging="567"/>
      </w:pPr>
      <w:rPr>
        <w:rFonts w:ascii="Symbol" w:hAnsi="Symbol" w:hint="default"/>
      </w:rPr>
    </w:lvl>
  </w:abstractNum>
  <w:abstractNum w:abstractNumId="25" w15:restartNumberingAfterBreak="0">
    <w:nsid w:val="5C056EE5"/>
    <w:multiLevelType w:val="singleLevel"/>
    <w:tmpl w:val="3378D27C"/>
    <w:name w:val="Bullet 2"/>
    <w:lvl w:ilvl="0">
      <w:start w:val="1"/>
      <w:numFmt w:val="bullet"/>
      <w:lvlRestart w:val="0"/>
      <w:pStyle w:val="Bullet2"/>
      <w:lvlText w:val=""/>
      <w:lvlJc w:val="left"/>
      <w:pPr>
        <w:tabs>
          <w:tab w:val="num" w:pos="1984"/>
        </w:tabs>
        <w:ind w:left="1984" w:hanging="567"/>
      </w:pPr>
      <w:rPr>
        <w:rFonts w:ascii="Symbol" w:hAnsi="Symbol" w:hint="default"/>
      </w:rPr>
    </w:lvl>
  </w:abstractNum>
  <w:abstractNum w:abstractNumId="26" w15:restartNumberingAfterBreak="0">
    <w:nsid w:val="5CA31A15"/>
    <w:multiLevelType w:val="singleLevel"/>
    <w:tmpl w:val="CB981644"/>
    <w:name w:val="Tiret 0"/>
    <w:lvl w:ilvl="0">
      <w:start w:val="1"/>
      <w:numFmt w:val="bullet"/>
      <w:lvlRestart w:val="0"/>
      <w:pStyle w:val="Tiret0"/>
      <w:lvlText w:val="–"/>
      <w:lvlJc w:val="left"/>
      <w:pPr>
        <w:tabs>
          <w:tab w:val="num" w:pos="850"/>
        </w:tabs>
        <w:ind w:left="850" w:hanging="850"/>
      </w:pPr>
    </w:lvl>
  </w:abstractNum>
  <w:abstractNum w:abstractNumId="27" w15:restartNumberingAfterBreak="0">
    <w:nsid w:val="608C30E1"/>
    <w:multiLevelType w:val="hybridMultilevel"/>
    <w:tmpl w:val="DD98B9F8"/>
    <w:lvl w:ilvl="0" w:tplc="08090001">
      <w:start w:val="1"/>
      <w:numFmt w:val="bullet"/>
      <w:lvlText w:val=""/>
      <w:lvlJc w:val="left"/>
      <w:pPr>
        <w:ind w:left="1044" w:hanging="360"/>
      </w:pPr>
      <w:rPr>
        <w:rFonts w:ascii="Symbol" w:hAnsi="Symbol" w:hint="default"/>
      </w:rPr>
    </w:lvl>
    <w:lvl w:ilvl="1" w:tplc="08090003" w:tentative="1">
      <w:start w:val="1"/>
      <w:numFmt w:val="bullet"/>
      <w:lvlText w:val="o"/>
      <w:lvlJc w:val="left"/>
      <w:pPr>
        <w:ind w:left="1764" w:hanging="360"/>
      </w:pPr>
      <w:rPr>
        <w:rFonts w:ascii="Courier New" w:hAnsi="Courier New" w:cs="Courier New" w:hint="default"/>
      </w:rPr>
    </w:lvl>
    <w:lvl w:ilvl="2" w:tplc="08090005" w:tentative="1">
      <w:start w:val="1"/>
      <w:numFmt w:val="bullet"/>
      <w:lvlText w:val=""/>
      <w:lvlJc w:val="left"/>
      <w:pPr>
        <w:ind w:left="2484" w:hanging="360"/>
      </w:pPr>
      <w:rPr>
        <w:rFonts w:ascii="Wingdings" w:hAnsi="Wingdings" w:hint="default"/>
      </w:rPr>
    </w:lvl>
    <w:lvl w:ilvl="3" w:tplc="08090001" w:tentative="1">
      <w:start w:val="1"/>
      <w:numFmt w:val="bullet"/>
      <w:lvlText w:val=""/>
      <w:lvlJc w:val="left"/>
      <w:pPr>
        <w:ind w:left="3204" w:hanging="360"/>
      </w:pPr>
      <w:rPr>
        <w:rFonts w:ascii="Symbol" w:hAnsi="Symbol" w:hint="default"/>
      </w:rPr>
    </w:lvl>
    <w:lvl w:ilvl="4" w:tplc="08090003" w:tentative="1">
      <w:start w:val="1"/>
      <w:numFmt w:val="bullet"/>
      <w:lvlText w:val="o"/>
      <w:lvlJc w:val="left"/>
      <w:pPr>
        <w:ind w:left="3924" w:hanging="360"/>
      </w:pPr>
      <w:rPr>
        <w:rFonts w:ascii="Courier New" w:hAnsi="Courier New" w:cs="Courier New" w:hint="default"/>
      </w:rPr>
    </w:lvl>
    <w:lvl w:ilvl="5" w:tplc="08090005" w:tentative="1">
      <w:start w:val="1"/>
      <w:numFmt w:val="bullet"/>
      <w:lvlText w:val=""/>
      <w:lvlJc w:val="left"/>
      <w:pPr>
        <w:ind w:left="4644" w:hanging="360"/>
      </w:pPr>
      <w:rPr>
        <w:rFonts w:ascii="Wingdings" w:hAnsi="Wingdings" w:hint="default"/>
      </w:rPr>
    </w:lvl>
    <w:lvl w:ilvl="6" w:tplc="08090001" w:tentative="1">
      <w:start w:val="1"/>
      <w:numFmt w:val="bullet"/>
      <w:lvlText w:val=""/>
      <w:lvlJc w:val="left"/>
      <w:pPr>
        <w:ind w:left="5364" w:hanging="360"/>
      </w:pPr>
      <w:rPr>
        <w:rFonts w:ascii="Symbol" w:hAnsi="Symbol" w:hint="default"/>
      </w:rPr>
    </w:lvl>
    <w:lvl w:ilvl="7" w:tplc="08090003" w:tentative="1">
      <w:start w:val="1"/>
      <w:numFmt w:val="bullet"/>
      <w:lvlText w:val="o"/>
      <w:lvlJc w:val="left"/>
      <w:pPr>
        <w:ind w:left="6084" w:hanging="360"/>
      </w:pPr>
      <w:rPr>
        <w:rFonts w:ascii="Courier New" w:hAnsi="Courier New" w:cs="Courier New" w:hint="default"/>
      </w:rPr>
    </w:lvl>
    <w:lvl w:ilvl="8" w:tplc="08090005" w:tentative="1">
      <w:start w:val="1"/>
      <w:numFmt w:val="bullet"/>
      <w:lvlText w:val=""/>
      <w:lvlJc w:val="left"/>
      <w:pPr>
        <w:ind w:left="6804" w:hanging="360"/>
      </w:pPr>
      <w:rPr>
        <w:rFonts w:ascii="Wingdings" w:hAnsi="Wingdings" w:hint="default"/>
      </w:rPr>
    </w:lvl>
  </w:abstractNum>
  <w:abstractNum w:abstractNumId="28" w15:restartNumberingAfterBreak="0">
    <w:nsid w:val="62A8042C"/>
    <w:multiLevelType w:val="singleLevel"/>
    <w:tmpl w:val="CCF20C06"/>
    <w:lvl w:ilvl="0">
      <w:start w:val="1"/>
      <w:numFmt w:val="bullet"/>
      <w:lvlText w:val="–"/>
      <w:lvlJc w:val="left"/>
      <w:pPr>
        <w:tabs>
          <w:tab w:val="num" w:pos="1134"/>
        </w:tabs>
        <w:ind w:left="1134" w:hanging="283"/>
      </w:pPr>
      <w:rPr>
        <w:rFonts w:ascii="Times New Roman" w:hAnsi="Times New Roman"/>
      </w:rPr>
    </w:lvl>
  </w:abstractNum>
  <w:abstractNum w:abstractNumId="29" w15:restartNumberingAfterBreak="0">
    <w:nsid w:val="64A12FA4"/>
    <w:multiLevelType w:val="multilevel"/>
    <w:tmpl w:val="428ECF3E"/>
    <w:lvl w:ilvl="0">
      <w:start w:val="1"/>
      <w:numFmt w:val="decimal"/>
      <w:lvlRestart w:val="0"/>
      <w:pStyle w:val="Heading1"/>
      <w:lvlText w:val="%1."/>
      <w:lvlJc w:val="left"/>
      <w:pPr>
        <w:tabs>
          <w:tab w:val="num" w:pos="850"/>
        </w:tabs>
        <w:ind w:left="850" w:hanging="850"/>
      </w:pPr>
    </w:lvl>
    <w:lvl w:ilvl="1">
      <w:start w:val="1"/>
      <w:numFmt w:val="decimal"/>
      <w:pStyle w:val="Heading2"/>
      <w:lvlText w:val="%1.%2."/>
      <w:lvlJc w:val="left"/>
      <w:pPr>
        <w:tabs>
          <w:tab w:val="num" w:pos="850"/>
        </w:tabs>
        <w:ind w:left="850" w:hanging="850"/>
      </w:pPr>
    </w:lvl>
    <w:lvl w:ilvl="2">
      <w:start w:val="1"/>
      <w:numFmt w:val="decimal"/>
      <w:pStyle w:val="Heading3"/>
      <w:lvlText w:val="%1.%2.%3."/>
      <w:lvlJc w:val="left"/>
      <w:pPr>
        <w:tabs>
          <w:tab w:val="num" w:pos="850"/>
        </w:tabs>
        <w:ind w:left="850" w:hanging="850"/>
      </w:pPr>
    </w:lvl>
    <w:lvl w:ilvl="3">
      <w:start w:val="1"/>
      <w:numFmt w:val="decimal"/>
      <w:pStyle w:val="Heading4"/>
      <w:lvlText w:val="%1.%2.%3.%4."/>
      <w:lvlJc w:val="left"/>
      <w:pPr>
        <w:tabs>
          <w:tab w:val="num" w:pos="850"/>
        </w:tabs>
        <w:ind w:left="850" w:hanging="850"/>
      </w:pPr>
    </w:lvl>
    <w:lvl w:ilvl="4">
      <w:start w:val="1"/>
      <w:numFmt w:val="decimal"/>
      <w:pStyle w:val="Heading5"/>
      <w:lvlText w:val="%1.%2.%3.%4.%5."/>
      <w:lvlJc w:val="left"/>
      <w:pPr>
        <w:tabs>
          <w:tab w:val="num" w:pos="1417"/>
        </w:tabs>
        <w:ind w:left="1417" w:hanging="1417"/>
      </w:pPr>
    </w:lvl>
    <w:lvl w:ilvl="5">
      <w:start w:val="1"/>
      <w:numFmt w:val="decimal"/>
      <w:pStyle w:val="Heading6"/>
      <w:lvlText w:val="%1.%2.%3.%4.%5.%6."/>
      <w:lvlJc w:val="left"/>
      <w:pPr>
        <w:tabs>
          <w:tab w:val="num" w:pos="1417"/>
        </w:tabs>
        <w:ind w:left="1417" w:hanging="1417"/>
      </w:pPr>
    </w:lvl>
    <w:lvl w:ilvl="6">
      <w:start w:val="1"/>
      <w:numFmt w:val="decimal"/>
      <w:pStyle w:val="Heading7"/>
      <w:lvlText w:val="%1.%2.%3.%4.%5.%6.%7."/>
      <w:lvlJc w:val="left"/>
      <w:pPr>
        <w:tabs>
          <w:tab w:val="num" w:pos="1417"/>
        </w:tabs>
        <w:ind w:left="1417" w:hanging="1417"/>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0" w15:restartNumberingAfterBreak="0">
    <w:nsid w:val="67B856F6"/>
    <w:multiLevelType w:val="singleLevel"/>
    <w:tmpl w:val="0AB28E9C"/>
    <w:name w:val="Tiret 2"/>
    <w:lvl w:ilvl="0">
      <w:start w:val="1"/>
      <w:numFmt w:val="bullet"/>
      <w:lvlRestart w:val="0"/>
      <w:pStyle w:val="Tiret2"/>
      <w:lvlText w:val="–"/>
      <w:lvlJc w:val="left"/>
      <w:pPr>
        <w:tabs>
          <w:tab w:val="num" w:pos="1984"/>
        </w:tabs>
        <w:ind w:left="1984" w:hanging="567"/>
      </w:pPr>
    </w:lvl>
  </w:abstractNum>
  <w:abstractNum w:abstractNumId="31" w15:restartNumberingAfterBreak="0">
    <w:nsid w:val="71F06166"/>
    <w:multiLevelType w:val="multilevel"/>
    <w:tmpl w:val="C08066D2"/>
    <w:name w:val="0.6719891"/>
    <w:lvl w:ilvl="0">
      <w:start w:val="1"/>
      <w:numFmt w:val="decimal"/>
      <w:lvlRestart w:val="0"/>
      <w:pStyle w:val="ListNumber"/>
      <w:lvlText w:val="(%1)"/>
      <w:lvlJc w:val="left"/>
      <w:pPr>
        <w:tabs>
          <w:tab w:val="num" w:pos="709"/>
        </w:tabs>
        <w:ind w:left="709" w:hanging="709"/>
      </w:pPr>
    </w:lvl>
    <w:lvl w:ilvl="1">
      <w:start w:val="1"/>
      <w:numFmt w:val="lowerLetter"/>
      <w:pStyle w:val="ListNumberLevel2"/>
      <w:lvlText w:val="(%2)"/>
      <w:lvlJc w:val="left"/>
      <w:pPr>
        <w:tabs>
          <w:tab w:val="num" w:pos="1417"/>
        </w:tabs>
        <w:ind w:left="1417" w:hanging="708"/>
      </w:pPr>
    </w:lvl>
    <w:lvl w:ilvl="2">
      <w:start w:val="1"/>
      <w:numFmt w:val="bullet"/>
      <w:pStyle w:val="ListNumberLevel3"/>
      <w:lvlText w:val="–"/>
      <w:lvlJc w:val="left"/>
      <w:pPr>
        <w:tabs>
          <w:tab w:val="num" w:pos="2126"/>
        </w:tabs>
        <w:ind w:left="2126" w:hanging="709"/>
      </w:pPr>
      <w:rPr>
        <w:rFonts w:ascii="Times New Roman" w:hAnsi="Times New Roman" w:cs="Times New Roman"/>
      </w:rPr>
    </w:lvl>
    <w:lvl w:ilvl="3">
      <w:start w:val="1"/>
      <w:numFmt w:val="bullet"/>
      <w:pStyle w:val="ListNumberLevel4"/>
      <w:lvlText w:val=""/>
      <w:lvlJc w:val="left"/>
      <w:pPr>
        <w:tabs>
          <w:tab w:val="num" w:pos="2835"/>
        </w:tabs>
        <w:ind w:left="2835" w:hanging="709"/>
      </w:pPr>
      <w:rPr>
        <w:rFonts w:ascii="Symbol" w:hAnsi="Symbol" w:hint="default"/>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2" w15:restartNumberingAfterBreak="0">
    <w:nsid w:val="7CBE4812"/>
    <w:multiLevelType w:val="singleLevel"/>
    <w:tmpl w:val="23C821E4"/>
    <w:name w:val="Considérant"/>
    <w:lvl w:ilvl="0">
      <w:start w:val="1"/>
      <w:numFmt w:val="decimal"/>
      <w:lvlRestart w:val="0"/>
      <w:pStyle w:val="Considrant"/>
      <w:lvlText w:val="(%1)"/>
      <w:lvlJc w:val="left"/>
      <w:pPr>
        <w:tabs>
          <w:tab w:val="num" w:pos="709"/>
        </w:tabs>
        <w:ind w:left="709" w:hanging="709"/>
      </w:pPr>
    </w:lvl>
  </w:abstractNum>
  <w:num w:numId="1">
    <w:abstractNumId w:val="3"/>
  </w:num>
  <w:num w:numId="2">
    <w:abstractNumId w:val="2"/>
  </w:num>
  <w:num w:numId="3">
    <w:abstractNumId w:val="1"/>
  </w:num>
  <w:num w:numId="4">
    <w:abstractNumId w:val="0"/>
  </w:num>
  <w:num w:numId="5">
    <w:abstractNumId w:val="4"/>
  </w:num>
  <w:num w:numId="6">
    <w:abstractNumId w:val="12"/>
  </w:num>
  <w:num w:numId="7">
    <w:abstractNumId w:val="21"/>
  </w:num>
  <w:num w:numId="8">
    <w:abstractNumId w:val="20"/>
  </w:num>
  <w:num w:numId="9">
    <w:abstractNumId w:val="31"/>
  </w:num>
  <w:num w:numId="10">
    <w:abstractNumId w:val="5"/>
  </w:num>
  <w:num w:numId="11">
    <w:abstractNumId w:val="14"/>
  </w:num>
  <w:num w:numId="12">
    <w:abstractNumId w:val="6"/>
  </w:num>
  <w:num w:numId="13">
    <w:abstractNumId w:val="15"/>
  </w:num>
  <w:num w:numId="14">
    <w:abstractNumId w:val="13"/>
  </w:num>
  <w:num w:numId="15">
    <w:abstractNumId w:val="22"/>
  </w:num>
  <w:num w:numId="16">
    <w:abstractNumId w:val="28"/>
  </w:num>
  <w:num w:numId="17">
    <w:abstractNumId w:val="27"/>
  </w:num>
  <w:num w:numId="18">
    <w:abstractNumId w:val="9"/>
  </w:num>
  <w:num w:numId="19">
    <w:abstractNumId w:val="32"/>
    <w:lvlOverride w:ilvl="0">
      <w:startOverride w:val="1"/>
    </w:lvlOverride>
  </w:num>
  <w:num w:numId="20">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9"/>
    <w:lvlOverride w:ilvl="0">
      <w:startOverride w:val="1"/>
    </w:lvlOverride>
  </w:num>
  <w:num w:numId="22">
    <w:abstractNumId w:val="16"/>
    <w:lvlOverride w:ilvl="0">
      <w:startOverride w:val="1"/>
    </w:lvlOverride>
  </w:num>
  <w:num w:numId="23">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8"/>
  </w:num>
  <w:num w:numId="27">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8"/>
  </w:num>
  <w:num w:numId="29">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8"/>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8"/>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26"/>
  </w:num>
  <w:num w:numId="47">
    <w:abstractNumId w:val="16"/>
  </w:num>
  <w:num w:numId="48">
    <w:abstractNumId w:val="30"/>
  </w:num>
  <w:num w:numId="49">
    <w:abstractNumId w:val="11"/>
  </w:num>
  <w:num w:numId="50">
    <w:abstractNumId w:val="17"/>
  </w:num>
  <w:num w:numId="51">
    <w:abstractNumId w:val="8"/>
  </w:num>
  <w:num w:numId="52">
    <w:abstractNumId w:val="29"/>
  </w:num>
  <w:num w:numId="53">
    <w:abstractNumId w:val="7"/>
  </w:num>
  <w:num w:numId="54">
    <w:abstractNumId w:val="19"/>
  </w:num>
  <w:num w:numId="55">
    <w:abstractNumId w:val="24"/>
  </w:num>
  <w:num w:numId="56">
    <w:abstractNumId w:val="25"/>
  </w:num>
  <w:num w:numId="57">
    <w:abstractNumId w:val="10"/>
  </w:num>
  <w:num w:numId="58">
    <w:abstractNumId w:val="23"/>
  </w:num>
  <w:num w:numId="59">
    <w:abstractNumId w:val="32"/>
  </w:num>
  <w:num w:numId="60">
    <w:abstractNumId w:val="29"/>
  </w:num>
  <w:num w:numId="61">
    <w:abstractNumId w:val="29"/>
  </w:num>
  <w:num w:numId="62">
    <w:abstractNumId w:val="29"/>
  </w:num>
  <w:num w:numId="63">
    <w:abstractNumId w:val="18"/>
  </w:num>
  <w:num w:numId="64">
    <w:abstractNumId w:val="8"/>
  </w:num>
  <w:num w:numId="65">
    <w:abstractNumId w:val="8"/>
  </w:num>
  <w:num w:numId="66">
    <w:abstractNumId w:val="8"/>
  </w:num>
  <w:numIdMacAtCleanup w:val="5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hideSpellingErrors/>
  <w:hideGrammaticalErrors/>
  <w:activeWritingStyle w:appName="MSWord" w:lang="fr-FR" w:vendorID="64" w:dllVersion="131078" w:nlCheck="1" w:checkStyle="0"/>
  <w:activeWritingStyle w:appName="MSWord" w:lang="en-GB" w:vendorID="64" w:dllVersion="131078" w:nlCheck="1" w:checkStyle="1"/>
  <w:activeWritingStyle w:appName="MSWord" w:lang="en-US" w:vendorID="64" w:dllVersion="131078" w:nlCheck="1" w:checkStyle="1"/>
  <w:activeWritingStyle w:appName="MSWord" w:lang="fr-BE" w:vendorID="64" w:dllVersion="131078" w:nlCheck="1" w:checkStyle="0"/>
  <w:activeWritingStyle w:appName="MSWord" w:lang="es-CR" w:vendorID="64" w:dllVersion="131078" w:nlCheck="1" w:checkStyle="0"/>
  <w:activeWritingStyle w:appName="MSWord" w:lang="en-IE" w:vendorID="64" w:dllVersion="131078" w:nlCheck="1" w:checkStyle="1"/>
  <w:attachedTemplate r:id="rId1"/>
  <w:revisionView w:markup="0"/>
  <w:defaultTabStop w:val="720"/>
  <w:hyphenationZone w:val="425"/>
  <w:characterSpacingControl w:val="doNotCompress"/>
  <w:hdrShapeDefaults>
    <o:shapedefaults v:ext="edit" spidmax="96257"/>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R_RefLast" w:val="0"/>
    <w:docVar w:name="DQCDateTime" w:val="2022-01-14 14:50:12"/>
    <w:docVar w:name="DQCResult_Distribution" w:val="0;2"/>
    <w:docVar w:name="DQCResult_DocumentContent" w:val="0;0"/>
    <w:docVar w:name="DQCResult_DocumentSize" w:val="0;0"/>
    <w:docVar w:name="DQCResult_DocumentVersions" w:val="0;0"/>
    <w:docVar w:name="DQCResult_InvalidFootnotes" w:val="0;0"/>
    <w:docVar w:name="DQCResult_LinkedStyles" w:val="0;0"/>
    <w:docVar w:name="DQCResult_ModifiedMargins" w:val="0;53"/>
    <w:docVar w:name="DQCResult_ModifiedMarkers" w:val="0;0"/>
    <w:docVar w:name="DQCResult_ModifiedNumbering" w:val="0;0"/>
    <w:docVar w:name="DQCResult_Objects" w:val="0;0"/>
    <w:docVar w:name="DQCResult_Sections" w:val="0;0"/>
    <w:docVar w:name="DQCResult_StructureCheck" w:val="0;0"/>
    <w:docVar w:name="DQCResult_SuperfluousWhitespace" w:val="0;21"/>
    <w:docVar w:name="DQCResult_UnknownFonts" w:val="0;0"/>
    <w:docVar w:name="DQCResult_UnknownStyles" w:val="0;6"/>
    <w:docVar w:name="DQCStatus" w:val="Green"/>
    <w:docVar w:name="DQCVersion" w:val="3"/>
    <w:docVar w:name="DQCWithWarnings" w:val="0"/>
    <w:docVar w:name="LW_CORRIGENDUM" w:val="&lt;UNUSED&gt;"/>
    <w:docVar w:name="LW_COVERPAGE_EXISTS" w:val="True"/>
    <w:docVar w:name="LW_COVERPAGE_GUID" w:val="0FB18FE1-5959-4CF3-A018-CDF27D9933E9"/>
    <w:docVar w:name="LW_COVERPAGE_TYPE" w:val="1"/>
    <w:docVar w:name="LW_CROSSREFERENCE" w:val="{SWD(2021) 390 final}"/>
    <w:docVar w:name="LW_DocType" w:val="COM"/>
    <w:docVar w:name="LW_EMISSION" w:val="1.12.2021"/>
    <w:docVar w:name="LW_EMISSION_ISODATE" w:val="2021-12-01"/>
    <w:docVar w:name="LW_EMISSION_LOCATION" w:val="BRX"/>
    <w:docVar w:name="LW_EMISSION_PREFIX" w:val="Bruksela, dnia "/>
    <w:docVar w:name="LW_EMISSION_SUFFIX" w:val=" r."/>
    <w:docVar w:name="LW_ID_DOCMODEL" w:val="SJ-023"/>
    <w:docVar w:name="LW_ID_DOCSIGNATURE" w:val="SJ-023"/>
    <w:docVar w:name="LW_ID_DOCSTRUCTURE" w:val="COM/PL/ORG"/>
    <w:docVar w:name="LW_ID_DOCTYPE" w:val="SJ-023"/>
    <w:docVar w:name="LW_ID_EXP.MOTIFS.NEW" w:val="EM_PL_"/>
    <w:docVar w:name="LW_ID_STATUT" w:val="SJ-023"/>
    <w:docVar w:name="LW_INTERETEEE.CP" w:val="&lt;UNUSED&gt;"/>
    <w:docVar w:name="LW_LANGUE" w:val="PL"/>
    <w:docVar w:name="LW_LEVEL_OF_SENSITIVITY" w:val="Standard treatment"/>
    <w:docVar w:name="LW_NOM.INST" w:val="KOMISJA EUROPEJSKA"/>
    <w:docVar w:name="LW_NOM.INST_JOINTDOC" w:val="&lt;EMPTY&gt;"/>
    <w:docVar w:name="LW_PART_NBR" w:val="1"/>
    <w:docVar w:name="LW_PART_NBR_TOTAL" w:val="1"/>
    <w:docVar w:name="LW_REF.II.NEW.CP" w:val="COD"/>
    <w:docVar w:name="LW_REF.II.NEW.CP_NUMBER" w:val="0391"/>
    <w:docVar w:name="LW_REF.II.NEW.CP_YEAR" w:val="2021"/>
    <w:docVar w:name="LW_REF.INST.NEW" w:val="COM"/>
    <w:docVar w:name="LW_REF.INST.NEW_ADOPTED" w:val="final"/>
    <w:docVar w:name="LW_REF.INST.NEW_TEXT" w:val="(2021) 756"/>
    <w:docVar w:name="LW_REF.INTERNE" w:val="&lt;UNUSED&gt;"/>
    <w:docVar w:name="LW_SENSITIVITY" w:val="&lt;?xml version=&quot;1.0&quot; encoding=&quot;utf-8&quot;?&gt;_x000d__x000a_&lt;SensitivityLevel xmlns:xsi=&quot;http://www.w3.org/2001/XMLSchema-instance&quot; xmlns:xsd=&quot;http://www.w3.org/2001/XMLSchema&quot; id=&quot;standard&quot;&gt;_x000d__x000a_  &lt;nicename EN=&quot;Standard treatment&quot; FR=&quot;Traitement standard&quot; /&gt;_x000d__x000a_  &lt;documentProperty&gt;Standard treatment&lt;/documentProperty&gt;_x000d__x000a_  &lt;markingConfig isAvailable=&quot;false&quot; isMandatory=&quot;false&quot; sensitiveMarkingMandatory=&quot;false&quot; specialMarkingMandatory=&quot;true&quot; isOptionDisplayInHeaderAvailable=&quot;true&quot; sensitiveMarkingListSee=&quot;SensitiveMarkings&quot; specialMarkingListSee=&quot;SpecialMarkings&quot; sensitiveFootnoteTextSee=&quot;sensitiveFootnote&quot; specialFootnoteTextSee=&quot;specialFootnote&quot; /&gt;_x000d__x000a_  &lt;chosenMainMarking xsi:nil=&quot;true&quot; /&gt;_x000d__x000a_  &lt;dateMarking xsi:nil=&quot;true&quot; /&gt;_x000d__x000a_  &lt;releasableToConfig isAvailable=&quot;false&quot; institutionListSee=&quot;DefaultInstitutions&quot; /&gt;_x000d__x000a_  &lt;chosenReleasableTo xsi:nil=&quot;true&quot; /&gt;_x000d__x000a_  &lt;detached xsi:nil=&quot;true&quot; /&gt;_x000d__x000a_  &lt;declassify xsi:nil=&quot;true&quot; /&gt;_x000d__x000a_  &lt;headerTexts xsi:nil=&quot;true&quot; /&gt;_x000d__x000a_  &lt;footerTexts xsi:nil=&quot;true&quot; /&gt;_x000d__x000a_  &lt;isRestricted&gt;false&lt;/isRestricted&gt;_x000d__x000a_&lt;/SensitivityLevel&gt;"/>
    <w:docVar w:name="LW_STATUT.CP" w:val="Wniosek"/>
    <w:docVar w:name="LW_SUPERTITRE" w:val="&lt;UNUSED&gt;"/>
    <w:docVar w:name="LW_TITRE.OBJ.CP" w:val="ustanawiające platformę współpracy mającą na celu wspieranie funkcjonowania wspólnych zespołów dochodzeniowo-śledczych i zmieniające rozporządzenie (UE) 2018/1726 _x000b_"/>
    <w:docVar w:name="LW_TYPE.DOC.CP" w:val="ROZPORZĄDZENIE PARLAMENTU EUROPEJSKIEGO I RADY"/>
    <w:docVar w:name="LwApiVersions" w:val="LW4CoDe 1.23.2.0; LW 8.0, Build 20211117"/>
  </w:docVars>
  <w:rsids>
    <w:rsidRoot w:val="00023765"/>
    <w:rsid w:val="000020FA"/>
    <w:rsid w:val="00002AC9"/>
    <w:rsid w:val="000068B5"/>
    <w:rsid w:val="00007E7F"/>
    <w:rsid w:val="00010EF6"/>
    <w:rsid w:val="00023350"/>
    <w:rsid w:val="00023765"/>
    <w:rsid w:val="00026F71"/>
    <w:rsid w:val="00031F5E"/>
    <w:rsid w:val="0004403A"/>
    <w:rsid w:val="0004758C"/>
    <w:rsid w:val="0005122E"/>
    <w:rsid w:val="00061D20"/>
    <w:rsid w:val="00062DA1"/>
    <w:rsid w:val="00063235"/>
    <w:rsid w:val="00065D0D"/>
    <w:rsid w:val="0007123C"/>
    <w:rsid w:val="00082910"/>
    <w:rsid w:val="00082C22"/>
    <w:rsid w:val="0009049E"/>
    <w:rsid w:val="0009491D"/>
    <w:rsid w:val="000A0847"/>
    <w:rsid w:val="000A6303"/>
    <w:rsid w:val="000A7517"/>
    <w:rsid w:val="000A7A97"/>
    <w:rsid w:val="000B2150"/>
    <w:rsid w:val="000B24FB"/>
    <w:rsid w:val="000C0B18"/>
    <w:rsid w:val="000C27B7"/>
    <w:rsid w:val="000C61BC"/>
    <w:rsid w:val="000C6893"/>
    <w:rsid w:val="000D1376"/>
    <w:rsid w:val="000D1CE7"/>
    <w:rsid w:val="000D617F"/>
    <w:rsid w:val="000D6C36"/>
    <w:rsid w:val="000D6EAD"/>
    <w:rsid w:val="000D7CD2"/>
    <w:rsid w:val="000E1154"/>
    <w:rsid w:val="000E133A"/>
    <w:rsid w:val="000E198E"/>
    <w:rsid w:val="000E56BB"/>
    <w:rsid w:val="000E57BD"/>
    <w:rsid w:val="000F4A33"/>
    <w:rsid w:val="00102D67"/>
    <w:rsid w:val="00104556"/>
    <w:rsid w:val="00124055"/>
    <w:rsid w:val="0013349A"/>
    <w:rsid w:val="00133B4C"/>
    <w:rsid w:val="00134383"/>
    <w:rsid w:val="00134EFC"/>
    <w:rsid w:val="00137D6B"/>
    <w:rsid w:val="00137E27"/>
    <w:rsid w:val="00140823"/>
    <w:rsid w:val="00141429"/>
    <w:rsid w:val="0014350F"/>
    <w:rsid w:val="00150ABA"/>
    <w:rsid w:val="00150B76"/>
    <w:rsid w:val="00150CA7"/>
    <w:rsid w:val="001558C0"/>
    <w:rsid w:val="00157B46"/>
    <w:rsid w:val="00160ED8"/>
    <w:rsid w:val="001630C6"/>
    <w:rsid w:val="00164410"/>
    <w:rsid w:val="00175330"/>
    <w:rsid w:val="00180D75"/>
    <w:rsid w:val="0018394E"/>
    <w:rsid w:val="00184DD7"/>
    <w:rsid w:val="00184F66"/>
    <w:rsid w:val="001852F8"/>
    <w:rsid w:val="0018580B"/>
    <w:rsid w:val="0019066F"/>
    <w:rsid w:val="00196025"/>
    <w:rsid w:val="0019688C"/>
    <w:rsid w:val="001A2D31"/>
    <w:rsid w:val="001B1D89"/>
    <w:rsid w:val="001B36C5"/>
    <w:rsid w:val="001C2816"/>
    <w:rsid w:val="001C3781"/>
    <w:rsid w:val="001C4687"/>
    <w:rsid w:val="001C4D4F"/>
    <w:rsid w:val="001C5856"/>
    <w:rsid w:val="001D0063"/>
    <w:rsid w:val="001D0AF2"/>
    <w:rsid w:val="001D502A"/>
    <w:rsid w:val="001E3418"/>
    <w:rsid w:val="001E42E9"/>
    <w:rsid w:val="001F00D4"/>
    <w:rsid w:val="001F2A4B"/>
    <w:rsid w:val="001F2AA5"/>
    <w:rsid w:val="001F4F9C"/>
    <w:rsid w:val="00203B0D"/>
    <w:rsid w:val="00204DB4"/>
    <w:rsid w:val="00210E5C"/>
    <w:rsid w:val="00216F9F"/>
    <w:rsid w:val="00220EB4"/>
    <w:rsid w:val="00232E98"/>
    <w:rsid w:val="00234292"/>
    <w:rsid w:val="00237CBC"/>
    <w:rsid w:val="00240975"/>
    <w:rsid w:val="00241A92"/>
    <w:rsid w:val="00243EE0"/>
    <w:rsid w:val="002457C2"/>
    <w:rsid w:val="00246491"/>
    <w:rsid w:val="00247059"/>
    <w:rsid w:val="00250023"/>
    <w:rsid w:val="002576ED"/>
    <w:rsid w:val="00261621"/>
    <w:rsid w:val="00262615"/>
    <w:rsid w:val="00267396"/>
    <w:rsid w:val="00271736"/>
    <w:rsid w:val="00273D4C"/>
    <w:rsid w:val="00274D75"/>
    <w:rsid w:val="00280101"/>
    <w:rsid w:val="00282425"/>
    <w:rsid w:val="00283965"/>
    <w:rsid w:val="00285578"/>
    <w:rsid w:val="00285CDB"/>
    <w:rsid w:val="002900F8"/>
    <w:rsid w:val="00290ECE"/>
    <w:rsid w:val="00293718"/>
    <w:rsid w:val="00297503"/>
    <w:rsid w:val="002A1B02"/>
    <w:rsid w:val="002A4E9C"/>
    <w:rsid w:val="002B6DC7"/>
    <w:rsid w:val="002C0D43"/>
    <w:rsid w:val="002C0F8B"/>
    <w:rsid w:val="002C155B"/>
    <w:rsid w:val="002C7FD4"/>
    <w:rsid w:val="002D400B"/>
    <w:rsid w:val="002D7511"/>
    <w:rsid w:val="002E0B09"/>
    <w:rsid w:val="002E1FF3"/>
    <w:rsid w:val="002E2814"/>
    <w:rsid w:val="002F002D"/>
    <w:rsid w:val="0030009B"/>
    <w:rsid w:val="00303F00"/>
    <w:rsid w:val="00305EAE"/>
    <w:rsid w:val="00307794"/>
    <w:rsid w:val="00323A91"/>
    <w:rsid w:val="00323D6F"/>
    <w:rsid w:val="003300B8"/>
    <w:rsid w:val="0033049C"/>
    <w:rsid w:val="00340C88"/>
    <w:rsid w:val="003430CA"/>
    <w:rsid w:val="003459E0"/>
    <w:rsid w:val="00346631"/>
    <w:rsid w:val="003521F6"/>
    <w:rsid w:val="00352767"/>
    <w:rsid w:val="00353EB3"/>
    <w:rsid w:val="0035675B"/>
    <w:rsid w:val="003572FD"/>
    <w:rsid w:val="00357952"/>
    <w:rsid w:val="00360CE8"/>
    <w:rsid w:val="00362A73"/>
    <w:rsid w:val="00362E57"/>
    <w:rsid w:val="00371F63"/>
    <w:rsid w:val="00375910"/>
    <w:rsid w:val="00384D5C"/>
    <w:rsid w:val="00386822"/>
    <w:rsid w:val="003870D9"/>
    <w:rsid w:val="00390D14"/>
    <w:rsid w:val="00391272"/>
    <w:rsid w:val="00397079"/>
    <w:rsid w:val="00397886"/>
    <w:rsid w:val="003A2B85"/>
    <w:rsid w:val="003A4CD0"/>
    <w:rsid w:val="003A6652"/>
    <w:rsid w:val="003B4555"/>
    <w:rsid w:val="003B7958"/>
    <w:rsid w:val="003C3678"/>
    <w:rsid w:val="003D13A4"/>
    <w:rsid w:val="003D3D11"/>
    <w:rsid w:val="003E216B"/>
    <w:rsid w:val="003F09F6"/>
    <w:rsid w:val="003F56BE"/>
    <w:rsid w:val="003F5CBB"/>
    <w:rsid w:val="003F78E5"/>
    <w:rsid w:val="004006A2"/>
    <w:rsid w:val="00401712"/>
    <w:rsid w:val="00405D79"/>
    <w:rsid w:val="00406463"/>
    <w:rsid w:val="004100F5"/>
    <w:rsid w:val="004129CA"/>
    <w:rsid w:val="00412EFD"/>
    <w:rsid w:val="00413943"/>
    <w:rsid w:val="00414091"/>
    <w:rsid w:val="00420CBA"/>
    <w:rsid w:val="0042623A"/>
    <w:rsid w:val="004308EC"/>
    <w:rsid w:val="00430F58"/>
    <w:rsid w:val="00433B71"/>
    <w:rsid w:val="00434820"/>
    <w:rsid w:val="00434D59"/>
    <w:rsid w:val="00435107"/>
    <w:rsid w:val="004357E3"/>
    <w:rsid w:val="00440A1A"/>
    <w:rsid w:val="00441844"/>
    <w:rsid w:val="00444961"/>
    <w:rsid w:val="0045101D"/>
    <w:rsid w:val="00451258"/>
    <w:rsid w:val="00454590"/>
    <w:rsid w:val="00454897"/>
    <w:rsid w:val="00454ED0"/>
    <w:rsid w:val="004552EA"/>
    <w:rsid w:val="00456CE1"/>
    <w:rsid w:val="00456CFE"/>
    <w:rsid w:val="00456D6B"/>
    <w:rsid w:val="004570B2"/>
    <w:rsid w:val="004611C4"/>
    <w:rsid w:val="00462FE9"/>
    <w:rsid w:val="004631A6"/>
    <w:rsid w:val="0046361E"/>
    <w:rsid w:val="00467301"/>
    <w:rsid w:val="0047059E"/>
    <w:rsid w:val="00470859"/>
    <w:rsid w:val="0047179C"/>
    <w:rsid w:val="00474597"/>
    <w:rsid w:val="004806FA"/>
    <w:rsid w:val="00481ACA"/>
    <w:rsid w:val="004835AD"/>
    <w:rsid w:val="0048469F"/>
    <w:rsid w:val="004927F4"/>
    <w:rsid w:val="00493A4A"/>
    <w:rsid w:val="0049520D"/>
    <w:rsid w:val="00495478"/>
    <w:rsid w:val="004955F6"/>
    <w:rsid w:val="0049644C"/>
    <w:rsid w:val="00496D4D"/>
    <w:rsid w:val="004A5FE2"/>
    <w:rsid w:val="004A6023"/>
    <w:rsid w:val="004B17A7"/>
    <w:rsid w:val="004B461A"/>
    <w:rsid w:val="004B5A3A"/>
    <w:rsid w:val="004B610A"/>
    <w:rsid w:val="004C0D10"/>
    <w:rsid w:val="004C1102"/>
    <w:rsid w:val="004C1E38"/>
    <w:rsid w:val="004C496F"/>
    <w:rsid w:val="004C574E"/>
    <w:rsid w:val="004D3BB6"/>
    <w:rsid w:val="004D6540"/>
    <w:rsid w:val="004D7086"/>
    <w:rsid w:val="004E0628"/>
    <w:rsid w:val="004E2EBA"/>
    <w:rsid w:val="004E4529"/>
    <w:rsid w:val="004E4B37"/>
    <w:rsid w:val="004F0CD2"/>
    <w:rsid w:val="004F3897"/>
    <w:rsid w:val="004F40F5"/>
    <w:rsid w:val="004F6426"/>
    <w:rsid w:val="005069E9"/>
    <w:rsid w:val="0050768A"/>
    <w:rsid w:val="00510586"/>
    <w:rsid w:val="00510836"/>
    <w:rsid w:val="005108EE"/>
    <w:rsid w:val="00511BCB"/>
    <w:rsid w:val="00513AEA"/>
    <w:rsid w:val="00513CBE"/>
    <w:rsid w:val="005176A8"/>
    <w:rsid w:val="00517B27"/>
    <w:rsid w:val="00517DB1"/>
    <w:rsid w:val="00520756"/>
    <w:rsid w:val="00521C02"/>
    <w:rsid w:val="00526BA8"/>
    <w:rsid w:val="00527709"/>
    <w:rsid w:val="005329C8"/>
    <w:rsid w:val="00532C40"/>
    <w:rsid w:val="00533A71"/>
    <w:rsid w:val="00533EB2"/>
    <w:rsid w:val="00534A42"/>
    <w:rsid w:val="005369AB"/>
    <w:rsid w:val="0054088F"/>
    <w:rsid w:val="00541FDA"/>
    <w:rsid w:val="00545B34"/>
    <w:rsid w:val="00554B15"/>
    <w:rsid w:val="00554BC8"/>
    <w:rsid w:val="00555151"/>
    <w:rsid w:val="00557702"/>
    <w:rsid w:val="00562648"/>
    <w:rsid w:val="00563428"/>
    <w:rsid w:val="005635A6"/>
    <w:rsid w:val="00564055"/>
    <w:rsid w:val="005641B5"/>
    <w:rsid w:val="00564436"/>
    <w:rsid w:val="005660D1"/>
    <w:rsid w:val="00575002"/>
    <w:rsid w:val="005816C7"/>
    <w:rsid w:val="00584271"/>
    <w:rsid w:val="005902D0"/>
    <w:rsid w:val="00591527"/>
    <w:rsid w:val="005924CB"/>
    <w:rsid w:val="005A08A0"/>
    <w:rsid w:val="005A34B4"/>
    <w:rsid w:val="005A6282"/>
    <w:rsid w:val="005A76C0"/>
    <w:rsid w:val="005B6A42"/>
    <w:rsid w:val="005B75AF"/>
    <w:rsid w:val="005C2C7A"/>
    <w:rsid w:val="005C551F"/>
    <w:rsid w:val="005C6307"/>
    <w:rsid w:val="005C68FE"/>
    <w:rsid w:val="005C731D"/>
    <w:rsid w:val="005C75ED"/>
    <w:rsid w:val="005D395B"/>
    <w:rsid w:val="005D45FE"/>
    <w:rsid w:val="005D7DEA"/>
    <w:rsid w:val="005E18BE"/>
    <w:rsid w:val="005E1965"/>
    <w:rsid w:val="005E3C23"/>
    <w:rsid w:val="005E52D2"/>
    <w:rsid w:val="005E61E0"/>
    <w:rsid w:val="005E6576"/>
    <w:rsid w:val="005F1357"/>
    <w:rsid w:val="005F154C"/>
    <w:rsid w:val="006012BC"/>
    <w:rsid w:val="0060277D"/>
    <w:rsid w:val="00603F42"/>
    <w:rsid w:val="00613DCA"/>
    <w:rsid w:val="00613DD6"/>
    <w:rsid w:val="0061472E"/>
    <w:rsid w:val="0061713F"/>
    <w:rsid w:val="00620FA0"/>
    <w:rsid w:val="006215DF"/>
    <w:rsid w:val="00623173"/>
    <w:rsid w:val="0062592F"/>
    <w:rsid w:val="006259C1"/>
    <w:rsid w:val="00631AC1"/>
    <w:rsid w:val="006341AB"/>
    <w:rsid w:val="00635AB7"/>
    <w:rsid w:val="006370A6"/>
    <w:rsid w:val="006464B1"/>
    <w:rsid w:val="00653AD2"/>
    <w:rsid w:val="00654838"/>
    <w:rsid w:val="0066059C"/>
    <w:rsid w:val="00660B36"/>
    <w:rsid w:val="006623A8"/>
    <w:rsid w:val="00662FF1"/>
    <w:rsid w:val="006640FC"/>
    <w:rsid w:val="00664895"/>
    <w:rsid w:val="00666DCD"/>
    <w:rsid w:val="00670F7E"/>
    <w:rsid w:val="00672C67"/>
    <w:rsid w:val="00675B4B"/>
    <w:rsid w:val="00676834"/>
    <w:rsid w:val="00682B89"/>
    <w:rsid w:val="006866DC"/>
    <w:rsid w:val="0069125C"/>
    <w:rsid w:val="00696B34"/>
    <w:rsid w:val="006A2F8A"/>
    <w:rsid w:val="006A5B31"/>
    <w:rsid w:val="006A71D0"/>
    <w:rsid w:val="006A71F8"/>
    <w:rsid w:val="006B5B92"/>
    <w:rsid w:val="006B7969"/>
    <w:rsid w:val="006C1B56"/>
    <w:rsid w:val="006C3A4F"/>
    <w:rsid w:val="006C5E83"/>
    <w:rsid w:val="006C7A1E"/>
    <w:rsid w:val="006C7C24"/>
    <w:rsid w:val="006C7F91"/>
    <w:rsid w:val="006D1DF0"/>
    <w:rsid w:val="006D4B18"/>
    <w:rsid w:val="006D5852"/>
    <w:rsid w:val="006D62E2"/>
    <w:rsid w:val="006D6771"/>
    <w:rsid w:val="006E14A7"/>
    <w:rsid w:val="006E16B8"/>
    <w:rsid w:val="006E5F33"/>
    <w:rsid w:val="006F064E"/>
    <w:rsid w:val="006F6196"/>
    <w:rsid w:val="006F67F4"/>
    <w:rsid w:val="006F6F3C"/>
    <w:rsid w:val="00700D35"/>
    <w:rsid w:val="0070128F"/>
    <w:rsid w:val="00703A73"/>
    <w:rsid w:val="0070791F"/>
    <w:rsid w:val="00710B91"/>
    <w:rsid w:val="00711890"/>
    <w:rsid w:val="0071711A"/>
    <w:rsid w:val="0071793F"/>
    <w:rsid w:val="00720867"/>
    <w:rsid w:val="00721049"/>
    <w:rsid w:val="00722F5D"/>
    <w:rsid w:val="0073437D"/>
    <w:rsid w:val="00736DD4"/>
    <w:rsid w:val="00737E58"/>
    <w:rsid w:val="00747AE5"/>
    <w:rsid w:val="007500D8"/>
    <w:rsid w:val="007556AF"/>
    <w:rsid w:val="00755E87"/>
    <w:rsid w:val="0075687F"/>
    <w:rsid w:val="00761DF5"/>
    <w:rsid w:val="00762B7E"/>
    <w:rsid w:val="00762BE7"/>
    <w:rsid w:val="0076379A"/>
    <w:rsid w:val="00765958"/>
    <w:rsid w:val="007720B6"/>
    <w:rsid w:val="00772464"/>
    <w:rsid w:val="00774094"/>
    <w:rsid w:val="00774EDA"/>
    <w:rsid w:val="00775937"/>
    <w:rsid w:val="00776399"/>
    <w:rsid w:val="00777794"/>
    <w:rsid w:val="00783B21"/>
    <w:rsid w:val="007851CD"/>
    <w:rsid w:val="007852F7"/>
    <w:rsid w:val="007915C4"/>
    <w:rsid w:val="0079536D"/>
    <w:rsid w:val="007B292E"/>
    <w:rsid w:val="007B551B"/>
    <w:rsid w:val="007B599B"/>
    <w:rsid w:val="007C05CE"/>
    <w:rsid w:val="007C06F6"/>
    <w:rsid w:val="007C2B62"/>
    <w:rsid w:val="007C487D"/>
    <w:rsid w:val="007C48D0"/>
    <w:rsid w:val="007C59AC"/>
    <w:rsid w:val="007C6231"/>
    <w:rsid w:val="007D0C2F"/>
    <w:rsid w:val="007D0D6D"/>
    <w:rsid w:val="007D23C1"/>
    <w:rsid w:val="007D29A9"/>
    <w:rsid w:val="007D5107"/>
    <w:rsid w:val="007D53C1"/>
    <w:rsid w:val="007E3A9D"/>
    <w:rsid w:val="007E46C5"/>
    <w:rsid w:val="007F1961"/>
    <w:rsid w:val="007F1D3F"/>
    <w:rsid w:val="007F1E96"/>
    <w:rsid w:val="007F2EF5"/>
    <w:rsid w:val="007F399E"/>
    <w:rsid w:val="007F468D"/>
    <w:rsid w:val="007F6A55"/>
    <w:rsid w:val="007F7644"/>
    <w:rsid w:val="00801A82"/>
    <w:rsid w:val="008028AE"/>
    <w:rsid w:val="00804AAC"/>
    <w:rsid w:val="008062B0"/>
    <w:rsid w:val="0080767A"/>
    <w:rsid w:val="00812835"/>
    <w:rsid w:val="0082020C"/>
    <w:rsid w:val="00820692"/>
    <w:rsid w:val="008211C3"/>
    <w:rsid w:val="00821B97"/>
    <w:rsid w:val="00822D06"/>
    <w:rsid w:val="00823869"/>
    <w:rsid w:val="00825F8E"/>
    <w:rsid w:val="00826D6D"/>
    <w:rsid w:val="0082782B"/>
    <w:rsid w:val="00827D15"/>
    <w:rsid w:val="0083016B"/>
    <w:rsid w:val="00830C1A"/>
    <w:rsid w:val="00830C5B"/>
    <w:rsid w:val="0083161E"/>
    <w:rsid w:val="008326C2"/>
    <w:rsid w:val="00834BB6"/>
    <w:rsid w:val="00835FF1"/>
    <w:rsid w:val="0084051F"/>
    <w:rsid w:val="008408C2"/>
    <w:rsid w:val="00840CC4"/>
    <w:rsid w:val="00842863"/>
    <w:rsid w:val="00844440"/>
    <w:rsid w:val="00846C88"/>
    <w:rsid w:val="00847A12"/>
    <w:rsid w:val="00853827"/>
    <w:rsid w:val="00854FD3"/>
    <w:rsid w:val="008608A7"/>
    <w:rsid w:val="008619FF"/>
    <w:rsid w:val="00867725"/>
    <w:rsid w:val="00870C87"/>
    <w:rsid w:val="00871A61"/>
    <w:rsid w:val="00873355"/>
    <w:rsid w:val="00874F12"/>
    <w:rsid w:val="00877CE9"/>
    <w:rsid w:val="0088487B"/>
    <w:rsid w:val="00891299"/>
    <w:rsid w:val="00893BEC"/>
    <w:rsid w:val="008A09E7"/>
    <w:rsid w:val="008A4348"/>
    <w:rsid w:val="008B1529"/>
    <w:rsid w:val="008B31CD"/>
    <w:rsid w:val="008B70A9"/>
    <w:rsid w:val="008C4DE3"/>
    <w:rsid w:val="008C57E4"/>
    <w:rsid w:val="008D147D"/>
    <w:rsid w:val="008D443E"/>
    <w:rsid w:val="008D537D"/>
    <w:rsid w:val="008E12C9"/>
    <w:rsid w:val="008E1B20"/>
    <w:rsid w:val="008E2629"/>
    <w:rsid w:val="008E2911"/>
    <w:rsid w:val="008E2BB8"/>
    <w:rsid w:val="008E2D5F"/>
    <w:rsid w:val="008E4C48"/>
    <w:rsid w:val="008E6433"/>
    <w:rsid w:val="008E66C7"/>
    <w:rsid w:val="008E6CA9"/>
    <w:rsid w:val="008E7EBE"/>
    <w:rsid w:val="008F03B6"/>
    <w:rsid w:val="008F1E59"/>
    <w:rsid w:val="008F4959"/>
    <w:rsid w:val="008F6492"/>
    <w:rsid w:val="00900F4E"/>
    <w:rsid w:val="009113C5"/>
    <w:rsid w:val="009153CF"/>
    <w:rsid w:val="00916885"/>
    <w:rsid w:val="00920E47"/>
    <w:rsid w:val="009236FF"/>
    <w:rsid w:val="00923F69"/>
    <w:rsid w:val="0092448E"/>
    <w:rsid w:val="00930B28"/>
    <w:rsid w:val="00932315"/>
    <w:rsid w:val="00934885"/>
    <w:rsid w:val="00935E0F"/>
    <w:rsid w:val="00936578"/>
    <w:rsid w:val="00942A57"/>
    <w:rsid w:val="00945506"/>
    <w:rsid w:val="0095117C"/>
    <w:rsid w:val="00953CA7"/>
    <w:rsid w:val="00957E49"/>
    <w:rsid w:val="009628E7"/>
    <w:rsid w:val="009643BD"/>
    <w:rsid w:val="009721F4"/>
    <w:rsid w:val="009821D2"/>
    <w:rsid w:val="00984BBF"/>
    <w:rsid w:val="00986B33"/>
    <w:rsid w:val="00987AD5"/>
    <w:rsid w:val="00995061"/>
    <w:rsid w:val="00995AC2"/>
    <w:rsid w:val="009A013D"/>
    <w:rsid w:val="009A0509"/>
    <w:rsid w:val="009A0645"/>
    <w:rsid w:val="009A08E9"/>
    <w:rsid w:val="009A229C"/>
    <w:rsid w:val="009A4645"/>
    <w:rsid w:val="009A4BCC"/>
    <w:rsid w:val="009B7138"/>
    <w:rsid w:val="009B774E"/>
    <w:rsid w:val="009C3751"/>
    <w:rsid w:val="009C40B5"/>
    <w:rsid w:val="009C7292"/>
    <w:rsid w:val="009D4563"/>
    <w:rsid w:val="009D79B9"/>
    <w:rsid w:val="009E00D6"/>
    <w:rsid w:val="009E050B"/>
    <w:rsid w:val="009E5224"/>
    <w:rsid w:val="009E5FDC"/>
    <w:rsid w:val="009E7B10"/>
    <w:rsid w:val="009F1E5B"/>
    <w:rsid w:val="009F38B5"/>
    <w:rsid w:val="00A0346D"/>
    <w:rsid w:val="00A1011C"/>
    <w:rsid w:val="00A10366"/>
    <w:rsid w:val="00A10B82"/>
    <w:rsid w:val="00A12D6F"/>
    <w:rsid w:val="00A13626"/>
    <w:rsid w:val="00A17714"/>
    <w:rsid w:val="00A23CC3"/>
    <w:rsid w:val="00A2464B"/>
    <w:rsid w:val="00A30A0D"/>
    <w:rsid w:val="00A31EEB"/>
    <w:rsid w:val="00A33E0D"/>
    <w:rsid w:val="00A368BD"/>
    <w:rsid w:val="00A45C71"/>
    <w:rsid w:val="00A46581"/>
    <w:rsid w:val="00A47AA8"/>
    <w:rsid w:val="00A5040E"/>
    <w:rsid w:val="00A51C30"/>
    <w:rsid w:val="00A528FE"/>
    <w:rsid w:val="00A57240"/>
    <w:rsid w:val="00A64C46"/>
    <w:rsid w:val="00A6636D"/>
    <w:rsid w:val="00A66506"/>
    <w:rsid w:val="00A67E8D"/>
    <w:rsid w:val="00A70E68"/>
    <w:rsid w:val="00A71DFF"/>
    <w:rsid w:val="00A728BA"/>
    <w:rsid w:val="00A72E34"/>
    <w:rsid w:val="00A75F7F"/>
    <w:rsid w:val="00A87A7B"/>
    <w:rsid w:val="00A928B4"/>
    <w:rsid w:val="00A96509"/>
    <w:rsid w:val="00AA1970"/>
    <w:rsid w:val="00AA34E7"/>
    <w:rsid w:val="00AA506F"/>
    <w:rsid w:val="00AA7946"/>
    <w:rsid w:val="00AB5596"/>
    <w:rsid w:val="00AC3496"/>
    <w:rsid w:val="00AC3666"/>
    <w:rsid w:val="00AC5F9D"/>
    <w:rsid w:val="00AD2FC4"/>
    <w:rsid w:val="00AD558C"/>
    <w:rsid w:val="00AE0E7E"/>
    <w:rsid w:val="00AE2A52"/>
    <w:rsid w:val="00AE5BAA"/>
    <w:rsid w:val="00AE6740"/>
    <w:rsid w:val="00AF0B66"/>
    <w:rsid w:val="00AF3F0A"/>
    <w:rsid w:val="00AF41E6"/>
    <w:rsid w:val="00AF55A6"/>
    <w:rsid w:val="00B01DFB"/>
    <w:rsid w:val="00B01E83"/>
    <w:rsid w:val="00B027C1"/>
    <w:rsid w:val="00B03198"/>
    <w:rsid w:val="00B11EF6"/>
    <w:rsid w:val="00B139D0"/>
    <w:rsid w:val="00B177D9"/>
    <w:rsid w:val="00B21503"/>
    <w:rsid w:val="00B34BC4"/>
    <w:rsid w:val="00B40203"/>
    <w:rsid w:val="00B4196E"/>
    <w:rsid w:val="00B42E09"/>
    <w:rsid w:val="00B473AA"/>
    <w:rsid w:val="00B50E7E"/>
    <w:rsid w:val="00B51F8E"/>
    <w:rsid w:val="00B61AE7"/>
    <w:rsid w:val="00B61B1C"/>
    <w:rsid w:val="00B61C37"/>
    <w:rsid w:val="00B649FF"/>
    <w:rsid w:val="00B65981"/>
    <w:rsid w:val="00B66B33"/>
    <w:rsid w:val="00B67BB1"/>
    <w:rsid w:val="00B70CA4"/>
    <w:rsid w:val="00B71157"/>
    <w:rsid w:val="00B75B85"/>
    <w:rsid w:val="00B76F83"/>
    <w:rsid w:val="00B84289"/>
    <w:rsid w:val="00B87889"/>
    <w:rsid w:val="00B93D26"/>
    <w:rsid w:val="00B942F8"/>
    <w:rsid w:val="00B94F2D"/>
    <w:rsid w:val="00BA0496"/>
    <w:rsid w:val="00BA0FD4"/>
    <w:rsid w:val="00BA199B"/>
    <w:rsid w:val="00BA1C03"/>
    <w:rsid w:val="00BA350C"/>
    <w:rsid w:val="00BA5EB3"/>
    <w:rsid w:val="00BC0AC8"/>
    <w:rsid w:val="00BC52CE"/>
    <w:rsid w:val="00BD1F32"/>
    <w:rsid w:val="00BD40A2"/>
    <w:rsid w:val="00BD47C4"/>
    <w:rsid w:val="00BD58C9"/>
    <w:rsid w:val="00BD5DC3"/>
    <w:rsid w:val="00BE246D"/>
    <w:rsid w:val="00BE600C"/>
    <w:rsid w:val="00BE6C41"/>
    <w:rsid w:val="00BF17AA"/>
    <w:rsid w:val="00BF1DE1"/>
    <w:rsid w:val="00BF4CDC"/>
    <w:rsid w:val="00C0180C"/>
    <w:rsid w:val="00C01E5F"/>
    <w:rsid w:val="00C04941"/>
    <w:rsid w:val="00C10BDA"/>
    <w:rsid w:val="00C1246E"/>
    <w:rsid w:val="00C136A6"/>
    <w:rsid w:val="00C1410D"/>
    <w:rsid w:val="00C16FC0"/>
    <w:rsid w:val="00C200BA"/>
    <w:rsid w:val="00C23E2A"/>
    <w:rsid w:val="00C23F5D"/>
    <w:rsid w:val="00C24556"/>
    <w:rsid w:val="00C24D2B"/>
    <w:rsid w:val="00C2677A"/>
    <w:rsid w:val="00C300EC"/>
    <w:rsid w:val="00C349D6"/>
    <w:rsid w:val="00C3576B"/>
    <w:rsid w:val="00C35D4F"/>
    <w:rsid w:val="00C37B19"/>
    <w:rsid w:val="00C4379A"/>
    <w:rsid w:val="00C46B81"/>
    <w:rsid w:val="00C476F4"/>
    <w:rsid w:val="00C52B23"/>
    <w:rsid w:val="00C6019E"/>
    <w:rsid w:val="00C61BC1"/>
    <w:rsid w:val="00C61DB6"/>
    <w:rsid w:val="00C63A20"/>
    <w:rsid w:val="00C66019"/>
    <w:rsid w:val="00C664CF"/>
    <w:rsid w:val="00C66DA9"/>
    <w:rsid w:val="00C72249"/>
    <w:rsid w:val="00C73098"/>
    <w:rsid w:val="00C73FE6"/>
    <w:rsid w:val="00C75CE5"/>
    <w:rsid w:val="00C768E9"/>
    <w:rsid w:val="00C801A6"/>
    <w:rsid w:val="00C80E7F"/>
    <w:rsid w:val="00C90F04"/>
    <w:rsid w:val="00C9325C"/>
    <w:rsid w:val="00C950B9"/>
    <w:rsid w:val="00C968BB"/>
    <w:rsid w:val="00C97019"/>
    <w:rsid w:val="00CA22C6"/>
    <w:rsid w:val="00CA2C7C"/>
    <w:rsid w:val="00CA4FEC"/>
    <w:rsid w:val="00CA7CD4"/>
    <w:rsid w:val="00CB0EC3"/>
    <w:rsid w:val="00CB58EC"/>
    <w:rsid w:val="00CC21BF"/>
    <w:rsid w:val="00CC3969"/>
    <w:rsid w:val="00CD1A82"/>
    <w:rsid w:val="00CD2820"/>
    <w:rsid w:val="00CD2B01"/>
    <w:rsid w:val="00CD4C4B"/>
    <w:rsid w:val="00CD62D3"/>
    <w:rsid w:val="00CD6FBB"/>
    <w:rsid w:val="00CE5799"/>
    <w:rsid w:val="00CF090D"/>
    <w:rsid w:val="00CF4FB9"/>
    <w:rsid w:val="00CF6773"/>
    <w:rsid w:val="00D007B7"/>
    <w:rsid w:val="00D00A0E"/>
    <w:rsid w:val="00D01C13"/>
    <w:rsid w:val="00D0296E"/>
    <w:rsid w:val="00D02CB0"/>
    <w:rsid w:val="00D03109"/>
    <w:rsid w:val="00D036FA"/>
    <w:rsid w:val="00D05E41"/>
    <w:rsid w:val="00D10D3F"/>
    <w:rsid w:val="00D12BC9"/>
    <w:rsid w:val="00D20AE8"/>
    <w:rsid w:val="00D22923"/>
    <w:rsid w:val="00D244B0"/>
    <w:rsid w:val="00D31EE3"/>
    <w:rsid w:val="00D355D3"/>
    <w:rsid w:val="00D35927"/>
    <w:rsid w:val="00D373D5"/>
    <w:rsid w:val="00D40DD1"/>
    <w:rsid w:val="00D4222F"/>
    <w:rsid w:val="00D5180D"/>
    <w:rsid w:val="00D66604"/>
    <w:rsid w:val="00D67AFD"/>
    <w:rsid w:val="00D7622C"/>
    <w:rsid w:val="00D80610"/>
    <w:rsid w:val="00D80D6E"/>
    <w:rsid w:val="00D815AA"/>
    <w:rsid w:val="00D822B0"/>
    <w:rsid w:val="00D8293E"/>
    <w:rsid w:val="00D83B97"/>
    <w:rsid w:val="00D927AD"/>
    <w:rsid w:val="00D93C9D"/>
    <w:rsid w:val="00D96D70"/>
    <w:rsid w:val="00DA1122"/>
    <w:rsid w:val="00DA1192"/>
    <w:rsid w:val="00DA228C"/>
    <w:rsid w:val="00DA4A72"/>
    <w:rsid w:val="00DB0D69"/>
    <w:rsid w:val="00DB4D5B"/>
    <w:rsid w:val="00DB7D8F"/>
    <w:rsid w:val="00DB7E84"/>
    <w:rsid w:val="00DC0E9F"/>
    <w:rsid w:val="00DC700A"/>
    <w:rsid w:val="00DD006B"/>
    <w:rsid w:val="00DD33A2"/>
    <w:rsid w:val="00DD5AE5"/>
    <w:rsid w:val="00DE04AA"/>
    <w:rsid w:val="00DE07FA"/>
    <w:rsid w:val="00DE0B30"/>
    <w:rsid w:val="00DE20A1"/>
    <w:rsid w:val="00DE241C"/>
    <w:rsid w:val="00DE6312"/>
    <w:rsid w:val="00DF4900"/>
    <w:rsid w:val="00DF6212"/>
    <w:rsid w:val="00DF6809"/>
    <w:rsid w:val="00DF78AA"/>
    <w:rsid w:val="00E00C2B"/>
    <w:rsid w:val="00E059AA"/>
    <w:rsid w:val="00E12601"/>
    <w:rsid w:val="00E13F8D"/>
    <w:rsid w:val="00E2148B"/>
    <w:rsid w:val="00E21F7D"/>
    <w:rsid w:val="00E236FB"/>
    <w:rsid w:val="00E24090"/>
    <w:rsid w:val="00E245B5"/>
    <w:rsid w:val="00E26DA1"/>
    <w:rsid w:val="00E27052"/>
    <w:rsid w:val="00E272F5"/>
    <w:rsid w:val="00E274F4"/>
    <w:rsid w:val="00E30D38"/>
    <w:rsid w:val="00E34B71"/>
    <w:rsid w:val="00E36A9E"/>
    <w:rsid w:val="00E40458"/>
    <w:rsid w:val="00E40992"/>
    <w:rsid w:val="00E42E6B"/>
    <w:rsid w:val="00E448D2"/>
    <w:rsid w:val="00E45304"/>
    <w:rsid w:val="00E45E3F"/>
    <w:rsid w:val="00E46217"/>
    <w:rsid w:val="00E46CE3"/>
    <w:rsid w:val="00E5115A"/>
    <w:rsid w:val="00E550BA"/>
    <w:rsid w:val="00E655E4"/>
    <w:rsid w:val="00E66111"/>
    <w:rsid w:val="00E70012"/>
    <w:rsid w:val="00E70CE7"/>
    <w:rsid w:val="00E7216E"/>
    <w:rsid w:val="00E7252B"/>
    <w:rsid w:val="00E73C78"/>
    <w:rsid w:val="00E80969"/>
    <w:rsid w:val="00E81D0D"/>
    <w:rsid w:val="00E85BBB"/>
    <w:rsid w:val="00E87075"/>
    <w:rsid w:val="00E87992"/>
    <w:rsid w:val="00E900EC"/>
    <w:rsid w:val="00E90FA0"/>
    <w:rsid w:val="00EB0217"/>
    <w:rsid w:val="00EB3036"/>
    <w:rsid w:val="00EB3C7D"/>
    <w:rsid w:val="00EB3E40"/>
    <w:rsid w:val="00EB506F"/>
    <w:rsid w:val="00EB635B"/>
    <w:rsid w:val="00EC1BF8"/>
    <w:rsid w:val="00EC4B79"/>
    <w:rsid w:val="00ED2CDE"/>
    <w:rsid w:val="00ED382A"/>
    <w:rsid w:val="00ED7130"/>
    <w:rsid w:val="00ED7685"/>
    <w:rsid w:val="00EE1E01"/>
    <w:rsid w:val="00EE2BED"/>
    <w:rsid w:val="00EF1D08"/>
    <w:rsid w:val="00EF5991"/>
    <w:rsid w:val="00F05290"/>
    <w:rsid w:val="00F13475"/>
    <w:rsid w:val="00F144C3"/>
    <w:rsid w:val="00F15FAF"/>
    <w:rsid w:val="00F17AC3"/>
    <w:rsid w:val="00F17E54"/>
    <w:rsid w:val="00F20062"/>
    <w:rsid w:val="00F20CDA"/>
    <w:rsid w:val="00F21606"/>
    <w:rsid w:val="00F26D6C"/>
    <w:rsid w:val="00F27E70"/>
    <w:rsid w:val="00F32AA6"/>
    <w:rsid w:val="00F3452D"/>
    <w:rsid w:val="00F37046"/>
    <w:rsid w:val="00F40134"/>
    <w:rsid w:val="00F426BD"/>
    <w:rsid w:val="00F4410A"/>
    <w:rsid w:val="00F44AE3"/>
    <w:rsid w:val="00F54DD9"/>
    <w:rsid w:val="00F60235"/>
    <w:rsid w:val="00F61B7B"/>
    <w:rsid w:val="00F61DC5"/>
    <w:rsid w:val="00F63882"/>
    <w:rsid w:val="00F644E8"/>
    <w:rsid w:val="00F6632E"/>
    <w:rsid w:val="00F66D8A"/>
    <w:rsid w:val="00F77216"/>
    <w:rsid w:val="00F80966"/>
    <w:rsid w:val="00F817D1"/>
    <w:rsid w:val="00F82140"/>
    <w:rsid w:val="00F82EBF"/>
    <w:rsid w:val="00F8301F"/>
    <w:rsid w:val="00F84240"/>
    <w:rsid w:val="00F85DA8"/>
    <w:rsid w:val="00F93057"/>
    <w:rsid w:val="00F94233"/>
    <w:rsid w:val="00F94D64"/>
    <w:rsid w:val="00F9519D"/>
    <w:rsid w:val="00F9758E"/>
    <w:rsid w:val="00FA151B"/>
    <w:rsid w:val="00FA347D"/>
    <w:rsid w:val="00FA442F"/>
    <w:rsid w:val="00FA5B70"/>
    <w:rsid w:val="00FB1F4F"/>
    <w:rsid w:val="00FB4073"/>
    <w:rsid w:val="00FC23F9"/>
    <w:rsid w:val="00FC3EF9"/>
    <w:rsid w:val="00FC6F47"/>
    <w:rsid w:val="00FD0C57"/>
    <w:rsid w:val="00FD1072"/>
    <w:rsid w:val="00FD4E1E"/>
    <w:rsid w:val="00FD59AC"/>
    <w:rsid w:val="00FE2898"/>
    <w:rsid w:val="00FE33A7"/>
    <w:rsid w:val="00FE57F7"/>
    <w:rsid w:val="00FF2D19"/>
    <w:rsid w:val="00FF3B47"/>
    <w:rsid w:val="00FF717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96257"/>
    <o:shapelayout v:ext="edit">
      <o:idmap v:ext="edit" data="1"/>
    </o:shapelayout>
  </w:shapeDefaults>
  <w:decimalSymbol w:val=","/>
  <w:listSeparator w:val=";"/>
  <w14:docId w14:val="4C99C987"/>
  <w15:docId w15:val="{BEC0CAD6-9F0B-45CE-8756-87DF8085F1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iPriority="0"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before="120" w:after="120" w:line="240" w:lineRule="auto"/>
      <w:jc w:val="both"/>
    </w:pPr>
    <w:rPr>
      <w:rFonts w:ascii="Times New Roman" w:hAnsi="Times New Roman" w:cs="Times New Roman"/>
      <w:sz w:val="24"/>
      <w:lang w:val="pl-PL"/>
    </w:rPr>
  </w:style>
  <w:style w:type="paragraph" w:styleId="Heading1">
    <w:name w:val="heading 1"/>
    <w:basedOn w:val="Normal"/>
    <w:next w:val="Text1"/>
    <w:link w:val="Heading1Char"/>
    <w:uiPriority w:val="9"/>
    <w:qFormat/>
    <w:rsid w:val="009B7138"/>
    <w:pPr>
      <w:keepNext/>
      <w:numPr>
        <w:numId w:val="62"/>
      </w:numPr>
      <w:spacing w:before="360"/>
      <w:outlineLvl w:val="0"/>
    </w:pPr>
    <w:rPr>
      <w:rFonts w:eastAsiaTheme="majorEastAsia"/>
      <w:b/>
      <w:bCs/>
      <w:smallCaps/>
      <w:szCs w:val="28"/>
    </w:rPr>
  </w:style>
  <w:style w:type="paragraph" w:styleId="Heading2">
    <w:name w:val="heading 2"/>
    <w:basedOn w:val="Normal"/>
    <w:next w:val="Text1"/>
    <w:link w:val="Heading2Char"/>
    <w:uiPriority w:val="9"/>
    <w:semiHidden/>
    <w:unhideWhenUsed/>
    <w:qFormat/>
    <w:rsid w:val="009B7138"/>
    <w:pPr>
      <w:keepNext/>
      <w:numPr>
        <w:ilvl w:val="1"/>
        <w:numId w:val="62"/>
      </w:numPr>
      <w:outlineLvl w:val="1"/>
    </w:pPr>
    <w:rPr>
      <w:rFonts w:eastAsiaTheme="majorEastAsia"/>
      <w:b/>
      <w:bCs/>
      <w:szCs w:val="26"/>
    </w:rPr>
  </w:style>
  <w:style w:type="paragraph" w:styleId="Heading3">
    <w:name w:val="heading 3"/>
    <w:basedOn w:val="Normal"/>
    <w:next w:val="Text1"/>
    <w:link w:val="Heading3Char"/>
    <w:uiPriority w:val="9"/>
    <w:semiHidden/>
    <w:unhideWhenUsed/>
    <w:qFormat/>
    <w:rsid w:val="009B7138"/>
    <w:pPr>
      <w:keepNext/>
      <w:numPr>
        <w:ilvl w:val="2"/>
        <w:numId w:val="62"/>
      </w:numPr>
      <w:outlineLvl w:val="2"/>
    </w:pPr>
    <w:rPr>
      <w:rFonts w:eastAsiaTheme="majorEastAsia"/>
      <w:bCs/>
      <w:i/>
    </w:rPr>
  </w:style>
  <w:style w:type="paragraph" w:styleId="Heading4">
    <w:name w:val="heading 4"/>
    <w:basedOn w:val="Normal"/>
    <w:next w:val="Text1"/>
    <w:link w:val="Heading4Char"/>
    <w:uiPriority w:val="9"/>
    <w:semiHidden/>
    <w:unhideWhenUsed/>
    <w:qFormat/>
    <w:rsid w:val="009B7138"/>
    <w:pPr>
      <w:keepNext/>
      <w:numPr>
        <w:ilvl w:val="3"/>
        <w:numId w:val="62"/>
      </w:numPr>
      <w:outlineLvl w:val="3"/>
    </w:pPr>
    <w:rPr>
      <w:rFonts w:eastAsiaTheme="majorEastAsia"/>
      <w:bCs/>
      <w:iCs/>
    </w:rPr>
  </w:style>
  <w:style w:type="paragraph" w:styleId="Heading5">
    <w:name w:val="heading 5"/>
    <w:basedOn w:val="Normal"/>
    <w:next w:val="Text2"/>
    <w:link w:val="Heading5Char"/>
    <w:uiPriority w:val="9"/>
    <w:semiHidden/>
    <w:unhideWhenUsed/>
    <w:qFormat/>
    <w:rsid w:val="004C0D10"/>
    <w:pPr>
      <w:keepNext/>
      <w:numPr>
        <w:ilvl w:val="4"/>
        <w:numId w:val="62"/>
      </w:numPr>
      <w:outlineLvl w:val="4"/>
    </w:pPr>
    <w:rPr>
      <w:rFonts w:eastAsiaTheme="majorEastAsia"/>
    </w:rPr>
  </w:style>
  <w:style w:type="paragraph" w:styleId="Heading6">
    <w:name w:val="heading 6"/>
    <w:basedOn w:val="Normal"/>
    <w:next w:val="Text2"/>
    <w:link w:val="Heading6Char"/>
    <w:uiPriority w:val="9"/>
    <w:semiHidden/>
    <w:unhideWhenUsed/>
    <w:qFormat/>
    <w:rsid w:val="004C0D10"/>
    <w:pPr>
      <w:keepNext/>
      <w:numPr>
        <w:ilvl w:val="5"/>
        <w:numId w:val="62"/>
      </w:numPr>
      <w:outlineLvl w:val="5"/>
    </w:pPr>
    <w:rPr>
      <w:rFonts w:eastAsiaTheme="majorEastAsia"/>
      <w:iCs/>
    </w:rPr>
  </w:style>
  <w:style w:type="paragraph" w:styleId="Heading7">
    <w:name w:val="heading 7"/>
    <w:basedOn w:val="Normal"/>
    <w:next w:val="Text2"/>
    <w:link w:val="Heading7Char"/>
    <w:uiPriority w:val="9"/>
    <w:semiHidden/>
    <w:unhideWhenUsed/>
    <w:qFormat/>
    <w:rsid w:val="004C0D10"/>
    <w:pPr>
      <w:keepNext/>
      <w:numPr>
        <w:ilvl w:val="6"/>
        <w:numId w:val="62"/>
      </w:numPr>
      <w:outlineLvl w:val="6"/>
    </w:pPr>
    <w:rPr>
      <w:rFonts w:eastAsiaTheme="majorEastAsia"/>
      <w:iC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Bullet">
    <w:name w:val="List Bullet"/>
    <w:basedOn w:val="Normal"/>
    <w:unhideWhenUsed/>
    <w:rsid w:val="006B5B92"/>
    <w:pPr>
      <w:numPr>
        <w:numId w:val="1"/>
      </w:numPr>
      <w:contextualSpacing/>
    </w:pPr>
  </w:style>
  <w:style w:type="paragraph" w:styleId="ListBullet2">
    <w:name w:val="List Bullet 2"/>
    <w:basedOn w:val="Normal"/>
    <w:unhideWhenUsed/>
    <w:rsid w:val="006B5B92"/>
    <w:pPr>
      <w:numPr>
        <w:numId w:val="2"/>
      </w:numPr>
      <w:contextualSpacing/>
    </w:pPr>
  </w:style>
  <w:style w:type="paragraph" w:styleId="ListBullet3">
    <w:name w:val="List Bullet 3"/>
    <w:basedOn w:val="Normal"/>
    <w:unhideWhenUsed/>
    <w:rsid w:val="006B5B92"/>
    <w:pPr>
      <w:numPr>
        <w:numId w:val="3"/>
      </w:numPr>
      <w:contextualSpacing/>
    </w:pPr>
  </w:style>
  <w:style w:type="paragraph" w:styleId="ListBullet4">
    <w:name w:val="List Bullet 4"/>
    <w:basedOn w:val="Normal"/>
    <w:unhideWhenUsed/>
    <w:rsid w:val="006B5B92"/>
    <w:pPr>
      <w:numPr>
        <w:numId w:val="4"/>
      </w:numPr>
      <w:contextualSpacing/>
    </w:pPr>
  </w:style>
  <w:style w:type="paragraph" w:customStyle="1" w:styleId="ti-section-1">
    <w:name w:val="ti-section-1"/>
    <w:basedOn w:val="Normal"/>
    <w:rsid w:val="00521C02"/>
    <w:pPr>
      <w:spacing w:before="100" w:beforeAutospacing="1" w:after="100" w:afterAutospacing="1"/>
      <w:jc w:val="left"/>
    </w:pPr>
    <w:rPr>
      <w:rFonts w:eastAsia="Times New Roman"/>
      <w:szCs w:val="24"/>
      <w:lang w:eastAsia="en-GB"/>
    </w:rPr>
  </w:style>
  <w:style w:type="paragraph" w:customStyle="1" w:styleId="sti-art">
    <w:name w:val="sti-art"/>
    <w:basedOn w:val="Normal"/>
    <w:rsid w:val="00521C02"/>
    <w:pPr>
      <w:spacing w:before="100" w:beforeAutospacing="1" w:after="100" w:afterAutospacing="1"/>
      <w:jc w:val="left"/>
    </w:pPr>
    <w:rPr>
      <w:rFonts w:eastAsia="Times New Roman"/>
      <w:szCs w:val="24"/>
      <w:lang w:eastAsia="en-GB"/>
    </w:rPr>
  </w:style>
  <w:style w:type="paragraph" w:styleId="ListParagraph">
    <w:name w:val="List Paragraph"/>
    <w:aliases w:val="List,List1,List11,List111,List1111,1st level - Bullet List Paragraph,List Paragraph1,Lettre d'introduction,Paragrafo elenco,Normal bullet 2,Medium Grid 1 - Accent 21,List Paragraph11,FooterText,Paragraphe de liste1,Bullet list,List11111"/>
    <w:basedOn w:val="Normal"/>
    <w:link w:val="ListParagraphChar"/>
    <w:uiPriority w:val="34"/>
    <w:qFormat/>
    <w:rsid w:val="00521C02"/>
    <w:pPr>
      <w:spacing w:before="0" w:after="160" w:line="259" w:lineRule="auto"/>
      <w:ind w:left="720"/>
      <w:contextualSpacing/>
      <w:jc w:val="left"/>
    </w:pPr>
    <w:rPr>
      <w:rFonts w:asciiTheme="minorHAnsi" w:hAnsiTheme="minorHAnsi" w:cstheme="minorBidi"/>
      <w:sz w:val="22"/>
    </w:rPr>
  </w:style>
  <w:style w:type="character" w:styleId="CommentReference">
    <w:name w:val="annotation reference"/>
    <w:basedOn w:val="DefaultParagraphFont"/>
    <w:unhideWhenUsed/>
    <w:rsid w:val="00521C02"/>
    <w:rPr>
      <w:sz w:val="16"/>
      <w:szCs w:val="16"/>
    </w:rPr>
  </w:style>
  <w:style w:type="paragraph" w:styleId="CommentText">
    <w:name w:val="annotation text"/>
    <w:basedOn w:val="Normal"/>
    <w:link w:val="CommentTextChar"/>
    <w:unhideWhenUsed/>
    <w:rsid w:val="00521C02"/>
    <w:pPr>
      <w:spacing w:before="0" w:after="160"/>
      <w:jc w:val="left"/>
    </w:pPr>
    <w:rPr>
      <w:rFonts w:asciiTheme="minorHAnsi" w:hAnsiTheme="minorHAnsi" w:cstheme="minorBidi"/>
      <w:sz w:val="20"/>
      <w:szCs w:val="20"/>
    </w:rPr>
  </w:style>
  <w:style w:type="character" w:customStyle="1" w:styleId="CommentTextChar">
    <w:name w:val="Comment Text Char"/>
    <w:basedOn w:val="DefaultParagraphFont"/>
    <w:link w:val="CommentText"/>
    <w:rsid w:val="00521C02"/>
    <w:rPr>
      <w:sz w:val="20"/>
      <w:szCs w:val="20"/>
      <w:lang w:val="pl-PL"/>
    </w:rPr>
  </w:style>
  <w:style w:type="paragraph" w:customStyle="1" w:styleId="Normal2">
    <w:name w:val="Normal2"/>
    <w:basedOn w:val="Normal"/>
    <w:rsid w:val="00521C02"/>
    <w:pPr>
      <w:spacing w:before="100" w:beforeAutospacing="1" w:after="100" w:afterAutospacing="1"/>
      <w:jc w:val="left"/>
    </w:pPr>
    <w:rPr>
      <w:rFonts w:eastAsia="Times New Roman"/>
      <w:szCs w:val="24"/>
    </w:rPr>
  </w:style>
  <w:style w:type="paragraph" w:styleId="BalloonText">
    <w:name w:val="Balloon Text"/>
    <w:basedOn w:val="Normal"/>
    <w:link w:val="BalloonTextChar"/>
    <w:unhideWhenUsed/>
    <w:rsid w:val="00521C02"/>
    <w:pPr>
      <w:spacing w:before="0" w:after="0"/>
    </w:pPr>
    <w:rPr>
      <w:rFonts w:ascii="Segoe UI" w:hAnsi="Segoe UI" w:cs="Segoe UI"/>
      <w:sz w:val="18"/>
      <w:szCs w:val="18"/>
    </w:rPr>
  </w:style>
  <w:style w:type="character" w:customStyle="1" w:styleId="BalloonTextChar">
    <w:name w:val="Balloon Text Char"/>
    <w:basedOn w:val="DefaultParagraphFont"/>
    <w:link w:val="BalloonText"/>
    <w:rsid w:val="00521C02"/>
    <w:rPr>
      <w:rFonts w:ascii="Segoe UI" w:hAnsi="Segoe UI" w:cs="Segoe UI"/>
      <w:sz w:val="18"/>
      <w:szCs w:val="18"/>
      <w:lang w:val="pl-PL"/>
    </w:rPr>
  </w:style>
  <w:style w:type="paragraph" w:styleId="CommentSubject">
    <w:name w:val="annotation subject"/>
    <w:basedOn w:val="CommentText"/>
    <w:next w:val="CommentText"/>
    <w:link w:val="CommentSubjectChar"/>
    <w:unhideWhenUsed/>
    <w:rsid w:val="00DA228C"/>
    <w:pPr>
      <w:spacing w:before="120" w:after="120"/>
      <w:jc w:val="both"/>
    </w:pPr>
    <w:rPr>
      <w:rFonts w:ascii="Times New Roman" w:hAnsi="Times New Roman" w:cs="Times New Roman"/>
      <w:b/>
      <w:bCs/>
    </w:rPr>
  </w:style>
  <w:style w:type="character" w:customStyle="1" w:styleId="CommentSubjectChar">
    <w:name w:val="Comment Subject Char"/>
    <w:basedOn w:val="CommentTextChar"/>
    <w:link w:val="CommentSubject"/>
    <w:rsid w:val="00DA228C"/>
    <w:rPr>
      <w:rFonts w:ascii="Times New Roman" w:hAnsi="Times New Roman" w:cs="Times New Roman"/>
      <w:b/>
      <w:bCs/>
      <w:sz w:val="20"/>
      <w:szCs w:val="20"/>
      <w:lang w:val="pl-PL"/>
    </w:rPr>
  </w:style>
  <w:style w:type="paragraph" w:styleId="Revision">
    <w:name w:val="Revision"/>
    <w:hidden/>
    <w:uiPriority w:val="99"/>
    <w:semiHidden/>
    <w:rsid w:val="0033049C"/>
    <w:pPr>
      <w:spacing w:after="0" w:line="240" w:lineRule="auto"/>
    </w:pPr>
    <w:rPr>
      <w:rFonts w:ascii="Times New Roman" w:hAnsi="Times New Roman" w:cs="Times New Roman"/>
      <w:sz w:val="24"/>
    </w:rPr>
  </w:style>
  <w:style w:type="character" w:styleId="Hyperlink">
    <w:name w:val="Hyperlink"/>
    <w:basedOn w:val="DefaultParagraphFont"/>
    <w:uiPriority w:val="99"/>
    <w:rsid w:val="00FE57F7"/>
    <w:rPr>
      <w:color w:val="0000FF" w:themeColor="hyperlink"/>
      <w:u w:val="single"/>
    </w:rPr>
  </w:style>
  <w:style w:type="paragraph" w:customStyle="1" w:styleId="ListBullet3Level4">
    <w:name w:val="List Bullet 3 (Level 4)"/>
    <w:basedOn w:val="Text3"/>
    <w:uiPriority w:val="1"/>
    <w:semiHidden/>
    <w:unhideWhenUsed/>
    <w:rsid w:val="00662FF1"/>
    <w:pPr>
      <w:tabs>
        <w:tab w:val="num" w:pos="3050"/>
      </w:tabs>
      <w:spacing w:before="0" w:after="240"/>
      <w:ind w:left="3050" w:hanging="283"/>
    </w:pPr>
    <w:rPr>
      <w:rFonts w:eastAsia="Times New Roman"/>
      <w:szCs w:val="20"/>
    </w:rPr>
  </w:style>
  <w:style w:type="paragraph" w:customStyle="1" w:styleId="ListBullet3Level3">
    <w:name w:val="List Bullet 3 (Level 3)"/>
    <w:basedOn w:val="Text3"/>
    <w:uiPriority w:val="1"/>
    <w:semiHidden/>
    <w:unhideWhenUsed/>
    <w:rsid w:val="00662FF1"/>
    <w:pPr>
      <w:tabs>
        <w:tab w:val="num" w:pos="2767"/>
      </w:tabs>
      <w:spacing w:before="0" w:after="240"/>
      <w:ind w:left="2767" w:hanging="284"/>
    </w:pPr>
    <w:rPr>
      <w:rFonts w:eastAsia="Times New Roman"/>
      <w:szCs w:val="20"/>
    </w:rPr>
  </w:style>
  <w:style w:type="paragraph" w:customStyle="1" w:styleId="ListBullet3Level2">
    <w:name w:val="List Bullet 3 (Level 2)"/>
    <w:basedOn w:val="Text3"/>
    <w:uiPriority w:val="1"/>
    <w:rsid w:val="00662FF1"/>
    <w:pPr>
      <w:tabs>
        <w:tab w:val="num" w:pos="2483"/>
      </w:tabs>
      <w:spacing w:before="0" w:after="240"/>
      <w:ind w:left="2483" w:hanging="283"/>
    </w:pPr>
    <w:rPr>
      <w:rFonts w:eastAsia="Times New Roman"/>
      <w:szCs w:val="20"/>
    </w:rPr>
  </w:style>
  <w:style w:type="paragraph" w:styleId="NormalWeb">
    <w:name w:val="Normal (Web)"/>
    <w:basedOn w:val="Normal"/>
    <w:uiPriority w:val="99"/>
    <w:semiHidden/>
    <w:unhideWhenUsed/>
    <w:rsid w:val="003F09F6"/>
    <w:rPr>
      <w:szCs w:val="24"/>
    </w:rPr>
  </w:style>
  <w:style w:type="paragraph" w:styleId="EndnoteText">
    <w:name w:val="endnote text"/>
    <w:basedOn w:val="Normal"/>
    <w:link w:val="EndnoteTextChar"/>
    <w:uiPriority w:val="99"/>
    <w:semiHidden/>
    <w:unhideWhenUsed/>
    <w:rsid w:val="00776399"/>
    <w:pPr>
      <w:spacing w:before="0" w:after="0"/>
    </w:pPr>
    <w:rPr>
      <w:sz w:val="20"/>
      <w:szCs w:val="20"/>
    </w:rPr>
  </w:style>
  <w:style w:type="character" w:customStyle="1" w:styleId="EndnoteTextChar">
    <w:name w:val="Endnote Text Char"/>
    <w:basedOn w:val="DefaultParagraphFont"/>
    <w:link w:val="EndnoteText"/>
    <w:uiPriority w:val="99"/>
    <w:semiHidden/>
    <w:rsid w:val="00776399"/>
    <w:rPr>
      <w:rFonts w:ascii="Times New Roman" w:hAnsi="Times New Roman" w:cs="Times New Roman"/>
      <w:sz w:val="20"/>
      <w:szCs w:val="20"/>
      <w:lang w:val="pl-PL"/>
    </w:rPr>
  </w:style>
  <w:style w:type="character" w:styleId="EndnoteReference">
    <w:name w:val="endnote reference"/>
    <w:basedOn w:val="DefaultParagraphFont"/>
    <w:uiPriority w:val="99"/>
    <w:semiHidden/>
    <w:unhideWhenUsed/>
    <w:rsid w:val="00776399"/>
    <w:rPr>
      <w:vertAlign w:val="superscript"/>
    </w:rPr>
  </w:style>
  <w:style w:type="character" w:styleId="FollowedHyperlink">
    <w:name w:val="FollowedHyperlink"/>
    <w:basedOn w:val="DefaultParagraphFont"/>
    <w:unhideWhenUsed/>
    <w:rsid w:val="00CD1A82"/>
    <w:rPr>
      <w:color w:val="800080" w:themeColor="followedHyperlink"/>
      <w:u w:val="single"/>
    </w:rPr>
  </w:style>
  <w:style w:type="character" w:customStyle="1" w:styleId="ListParagraphChar">
    <w:name w:val="List Paragraph Char"/>
    <w:aliases w:val="List Char,List1 Char,List11 Char,List111 Char,List1111 Char,1st level - Bullet List Paragraph Char,List Paragraph1 Char,Lettre d'introduction Char,Paragrafo elenco Char,Normal bullet 2 Char,Medium Grid 1 - Accent 21 Char"/>
    <w:basedOn w:val="DefaultParagraphFont"/>
    <w:link w:val="ListParagraph"/>
    <w:uiPriority w:val="34"/>
    <w:qFormat/>
    <w:rsid w:val="004C496F"/>
    <w:rPr>
      <w:lang w:val="pl-PL"/>
    </w:rPr>
  </w:style>
  <w:style w:type="character" w:customStyle="1" w:styleId="Text2Char1">
    <w:name w:val="Text 2 Char1"/>
    <w:rsid w:val="0005122E"/>
    <w:rPr>
      <w:rFonts w:ascii="Times New Roman" w:hAnsi="Times New Roman" w:cs="Times New Roman"/>
      <w:sz w:val="24"/>
      <w:lang w:val="pl-PL"/>
    </w:rPr>
  </w:style>
  <w:style w:type="paragraph" w:styleId="ListNumber">
    <w:name w:val="List Number"/>
    <w:basedOn w:val="Normal"/>
    <w:rsid w:val="00A728BA"/>
    <w:pPr>
      <w:numPr>
        <w:numId w:val="9"/>
      </w:numPr>
    </w:pPr>
    <w:rPr>
      <w:rFonts w:eastAsia="Times New Roman"/>
      <w:lang w:eastAsia="de-DE"/>
    </w:rPr>
  </w:style>
  <w:style w:type="paragraph" w:customStyle="1" w:styleId="ListBullet1">
    <w:name w:val="List Bullet 1"/>
    <w:basedOn w:val="Normal"/>
    <w:rsid w:val="00A728BA"/>
    <w:pPr>
      <w:numPr>
        <w:numId w:val="5"/>
      </w:numPr>
    </w:pPr>
    <w:rPr>
      <w:rFonts w:eastAsia="Times New Roman"/>
      <w:lang w:eastAsia="de-DE"/>
    </w:rPr>
  </w:style>
  <w:style w:type="paragraph" w:customStyle="1" w:styleId="ListDash">
    <w:name w:val="List Dash"/>
    <w:basedOn w:val="Normal"/>
    <w:rsid w:val="00A728BA"/>
    <w:pPr>
      <w:numPr>
        <w:numId w:val="6"/>
      </w:numPr>
    </w:pPr>
    <w:rPr>
      <w:rFonts w:eastAsia="Times New Roman"/>
      <w:lang w:eastAsia="de-DE"/>
    </w:rPr>
  </w:style>
  <w:style w:type="paragraph" w:customStyle="1" w:styleId="ListDash1">
    <w:name w:val="List Dash 1"/>
    <w:basedOn w:val="Normal"/>
    <w:rsid w:val="00A728BA"/>
    <w:pPr>
      <w:numPr>
        <w:numId w:val="7"/>
      </w:numPr>
    </w:pPr>
    <w:rPr>
      <w:rFonts w:eastAsia="Times New Roman"/>
      <w:lang w:eastAsia="de-DE"/>
    </w:rPr>
  </w:style>
  <w:style w:type="paragraph" w:customStyle="1" w:styleId="ListDash2">
    <w:name w:val="List Dash 2"/>
    <w:basedOn w:val="Normal"/>
    <w:rsid w:val="00A728BA"/>
    <w:pPr>
      <w:numPr>
        <w:numId w:val="8"/>
      </w:numPr>
    </w:pPr>
    <w:rPr>
      <w:rFonts w:eastAsia="Times New Roman"/>
      <w:lang w:eastAsia="de-DE"/>
    </w:rPr>
  </w:style>
  <w:style w:type="paragraph" w:customStyle="1" w:styleId="ListNumberLevel2">
    <w:name w:val="List Number (Level 2)"/>
    <w:basedOn w:val="Normal"/>
    <w:rsid w:val="00A728BA"/>
    <w:pPr>
      <w:numPr>
        <w:ilvl w:val="1"/>
        <w:numId w:val="9"/>
      </w:numPr>
    </w:pPr>
    <w:rPr>
      <w:rFonts w:eastAsia="Times New Roman"/>
      <w:lang w:eastAsia="de-DE"/>
    </w:rPr>
  </w:style>
  <w:style w:type="paragraph" w:customStyle="1" w:styleId="ListNumberLevel3">
    <w:name w:val="List Number (Level 3)"/>
    <w:basedOn w:val="Normal"/>
    <w:rsid w:val="00A728BA"/>
    <w:pPr>
      <w:numPr>
        <w:ilvl w:val="2"/>
        <w:numId w:val="9"/>
      </w:numPr>
    </w:pPr>
    <w:rPr>
      <w:rFonts w:eastAsia="Times New Roman"/>
      <w:lang w:eastAsia="de-DE"/>
    </w:rPr>
  </w:style>
  <w:style w:type="paragraph" w:customStyle="1" w:styleId="ListNumberLevel4">
    <w:name w:val="List Number (Level 4)"/>
    <w:basedOn w:val="Normal"/>
    <w:rsid w:val="00A728BA"/>
    <w:pPr>
      <w:numPr>
        <w:ilvl w:val="3"/>
        <w:numId w:val="9"/>
      </w:numPr>
    </w:pPr>
    <w:rPr>
      <w:rFonts w:eastAsia="Times New Roman"/>
      <w:lang w:eastAsia="de-DE"/>
    </w:rPr>
  </w:style>
  <w:style w:type="table" w:styleId="TableGrid">
    <w:name w:val="Table Grid"/>
    <w:basedOn w:val="TableNormal"/>
    <w:uiPriority w:val="39"/>
    <w:rsid w:val="00A728BA"/>
    <w:pPr>
      <w:spacing w:before="120" w:after="120" w:line="240" w:lineRule="auto"/>
      <w:jc w:val="both"/>
    </w:pPr>
    <w:rPr>
      <w:rFonts w:ascii="Times New Roman" w:eastAsia="Times New Roman" w:hAnsi="Times New Roman" w:cs="Times New Roman"/>
      <w:sz w:val="20"/>
      <w:szCs w:val="20"/>
      <w:lang w:eastAsia="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Number2">
    <w:name w:val="List Number 2"/>
    <w:basedOn w:val="Normal"/>
    <w:rsid w:val="00A728BA"/>
    <w:pPr>
      <w:numPr>
        <w:numId w:val="13"/>
      </w:numPr>
    </w:pPr>
    <w:rPr>
      <w:rFonts w:eastAsia="Times New Roman"/>
      <w:lang w:eastAsia="en-GB"/>
    </w:rPr>
  </w:style>
  <w:style w:type="paragraph" w:styleId="ListNumber3">
    <w:name w:val="List Number 3"/>
    <w:basedOn w:val="Normal"/>
    <w:rsid w:val="00A728BA"/>
    <w:pPr>
      <w:numPr>
        <w:numId w:val="14"/>
      </w:numPr>
    </w:pPr>
    <w:rPr>
      <w:rFonts w:eastAsia="Times New Roman"/>
      <w:lang w:eastAsia="en-GB"/>
    </w:rPr>
  </w:style>
  <w:style w:type="paragraph" w:styleId="ListNumber4">
    <w:name w:val="List Number 4"/>
    <w:basedOn w:val="Normal"/>
    <w:rsid w:val="00A728BA"/>
    <w:pPr>
      <w:numPr>
        <w:numId w:val="15"/>
      </w:numPr>
    </w:pPr>
    <w:rPr>
      <w:rFonts w:eastAsia="Times New Roman"/>
      <w:lang w:eastAsia="en-GB"/>
    </w:rPr>
  </w:style>
  <w:style w:type="paragraph" w:customStyle="1" w:styleId="ListDash3">
    <w:name w:val="List Dash 3"/>
    <w:basedOn w:val="Normal"/>
    <w:rsid w:val="00A728BA"/>
    <w:pPr>
      <w:numPr>
        <w:numId w:val="10"/>
      </w:numPr>
    </w:pPr>
    <w:rPr>
      <w:rFonts w:eastAsia="Times New Roman"/>
      <w:lang w:eastAsia="en-GB"/>
    </w:rPr>
  </w:style>
  <w:style w:type="paragraph" w:customStyle="1" w:styleId="ListDash4">
    <w:name w:val="List Dash 4"/>
    <w:basedOn w:val="Normal"/>
    <w:rsid w:val="00A728BA"/>
    <w:pPr>
      <w:numPr>
        <w:numId w:val="11"/>
      </w:numPr>
    </w:pPr>
    <w:rPr>
      <w:rFonts w:eastAsia="Times New Roman"/>
      <w:lang w:eastAsia="en-GB"/>
    </w:rPr>
  </w:style>
  <w:style w:type="paragraph" w:customStyle="1" w:styleId="ListNumber1">
    <w:name w:val="List Number 1"/>
    <w:basedOn w:val="Text1"/>
    <w:rsid w:val="00A728BA"/>
    <w:pPr>
      <w:numPr>
        <w:numId w:val="12"/>
      </w:numPr>
    </w:pPr>
    <w:rPr>
      <w:rFonts w:eastAsia="Times New Roman"/>
      <w:lang w:eastAsia="en-GB"/>
    </w:rPr>
  </w:style>
  <w:style w:type="paragraph" w:customStyle="1" w:styleId="ListNumber1Level2">
    <w:name w:val="List Number 1 (Level 2)"/>
    <w:basedOn w:val="Text1"/>
    <w:rsid w:val="00A728BA"/>
    <w:pPr>
      <w:numPr>
        <w:ilvl w:val="1"/>
        <w:numId w:val="12"/>
      </w:numPr>
    </w:pPr>
    <w:rPr>
      <w:rFonts w:eastAsia="Times New Roman"/>
      <w:lang w:eastAsia="en-GB"/>
    </w:rPr>
  </w:style>
  <w:style w:type="paragraph" w:customStyle="1" w:styleId="ListNumber2Level2">
    <w:name w:val="List Number 2 (Level 2)"/>
    <w:basedOn w:val="Text2"/>
    <w:rsid w:val="00A728BA"/>
    <w:pPr>
      <w:numPr>
        <w:ilvl w:val="1"/>
        <w:numId w:val="13"/>
      </w:numPr>
    </w:pPr>
    <w:rPr>
      <w:rFonts w:eastAsia="Times New Roman"/>
      <w:lang w:eastAsia="en-GB"/>
    </w:rPr>
  </w:style>
  <w:style w:type="paragraph" w:customStyle="1" w:styleId="ListNumber3Level2">
    <w:name w:val="List Number 3 (Level 2)"/>
    <w:basedOn w:val="Text3"/>
    <w:rsid w:val="00A728BA"/>
    <w:pPr>
      <w:numPr>
        <w:ilvl w:val="1"/>
        <w:numId w:val="14"/>
      </w:numPr>
    </w:pPr>
    <w:rPr>
      <w:rFonts w:eastAsia="Times New Roman"/>
      <w:lang w:eastAsia="en-GB"/>
    </w:rPr>
  </w:style>
  <w:style w:type="paragraph" w:customStyle="1" w:styleId="ListNumber4Level2">
    <w:name w:val="List Number 4 (Level 2)"/>
    <w:basedOn w:val="Text4"/>
    <w:rsid w:val="00A728BA"/>
    <w:pPr>
      <w:numPr>
        <w:ilvl w:val="1"/>
        <w:numId w:val="15"/>
      </w:numPr>
    </w:pPr>
    <w:rPr>
      <w:rFonts w:eastAsia="Times New Roman"/>
      <w:lang w:eastAsia="en-GB"/>
    </w:rPr>
  </w:style>
  <w:style w:type="paragraph" w:customStyle="1" w:styleId="ListNumber1Level3">
    <w:name w:val="List Number 1 (Level 3)"/>
    <w:basedOn w:val="Text1"/>
    <w:rsid w:val="00A728BA"/>
    <w:pPr>
      <w:numPr>
        <w:ilvl w:val="2"/>
        <w:numId w:val="12"/>
      </w:numPr>
    </w:pPr>
    <w:rPr>
      <w:rFonts w:eastAsia="Times New Roman"/>
      <w:lang w:eastAsia="en-GB"/>
    </w:rPr>
  </w:style>
  <w:style w:type="paragraph" w:customStyle="1" w:styleId="ListNumber2Level3">
    <w:name w:val="List Number 2 (Level 3)"/>
    <w:basedOn w:val="Text2"/>
    <w:rsid w:val="00A728BA"/>
    <w:pPr>
      <w:numPr>
        <w:ilvl w:val="2"/>
        <w:numId w:val="13"/>
      </w:numPr>
    </w:pPr>
    <w:rPr>
      <w:rFonts w:eastAsia="Times New Roman"/>
      <w:lang w:eastAsia="en-GB"/>
    </w:rPr>
  </w:style>
  <w:style w:type="paragraph" w:customStyle="1" w:styleId="ListNumber3Level3">
    <w:name w:val="List Number 3 (Level 3)"/>
    <w:basedOn w:val="Text3"/>
    <w:rsid w:val="00A728BA"/>
    <w:pPr>
      <w:numPr>
        <w:ilvl w:val="2"/>
        <w:numId w:val="14"/>
      </w:numPr>
    </w:pPr>
    <w:rPr>
      <w:rFonts w:eastAsia="Times New Roman"/>
      <w:lang w:eastAsia="en-GB"/>
    </w:rPr>
  </w:style>
  <w:style w:type="paragraph" w:customStyle="1" w:styleId="ListNumber4Level3">
    <w:name w:val="List Number 4 (Level 3)"/>
    <w:basedOn w:val="Text4"/>
    <w:rsid w:val="00A728BA"/>
    <w:pPr>
      <w:numPr>
        <w:ilvl w:val="2"/>
        <w:numId w:val="15"/>
      </w:numPr>
    </w:pPr>
    <w:rPr>
      <w:rFonts w:eastAsia="Times New Roman"/>
      <w:lang w:eastAsia="en-GB"/>
    </w:rPr>
  </w:style>
  <w:style w:type="paragraph" w:customStyle="1" w:styleId="ListNumber1Level4">
    <w:name w:val="List Number 1 (Level 4)"/>
    <w:basedOn w:val="Text1"/>
    <w:rsid w:val="00A728BA"/>
    <w:pPr>
      <w:numPr>
        <w:ilvl w:val="3"/>
        <w:numId w:val="12"/>
      </w:numPr>
    </w:pPr>
    <w:rPr>
      <w:rFonts w:eastAsia="Times New Roman"/>
      <w:lang w:eastAsia="en-GB"/>
    </w:rPr>
  </w:style>
  <w:style w:type="paragraph" w:customStyle="1" w:styleId="ListNumber2Level4">
    <w:name w:val="List Number 2 (Level 4)"/>
    <w:basedOn w:val="Text2"/>
    <w:rsid w:val="00A728BA"/>
    <w:pPr>
      <w:numPr>
        <w:ilvl w:val="3"/>
        <w:numId w:val="13"/>
      </w:numPr>
    </w:pPr>
    <w:rPr>
      <w:rFonts w:eastAsia="Times New Roman"/>
      <w:lang w:eastAsia="en-GB"/>
    </w:rPr>
  </w:style>
  <w:style w:type="paragraph" w:customStyle="1" w:styleId="ListNumber3Level4">
    <w:name w:val="List Number 3 (Level 4)"/>
    <w:basedOn w:val="Text3"/>
    <w:rsid w:val="00A728BA"/>
    <w:pPr>
      <w:numPr>
        <w:ilvl w:val="3"/>
        <w:numId w:val="14"/>
      </w:numPr>
    </w:pPr>
    <w:rPr>
      <w:rFonts w:eastAsia="Times New Roman"/>
      <w:lang w:eastAsia="en-GB"/>
    </w:rPr>
  </w:style>
  <w:style w:type="paragraph" w:customStyle="1" w:styleId="ListNumber4Level4">
    <w:name w:val="List Number 4 (Level 4)"/>
    <w:basedOn w:val="Text4"/>
    <w:rsid w:val="00A728BA"/>
    <w:pPr>
      <w:numPr>
        <w:ilvl w:val="3"/>
        <w:numId w:val="15"/>
      </w:numPr>
    </w:pPr>
    <w:rPr>
      <w:rFonts w:eastAsia="Times New Roman"/>
      <w:lang w:eastAsia="en-GB"/>
    </w:rPr>
  </w:style>
  <w:style w:type="paragraph" w:customStyle="1" w:styleId="Annexetitreacte">
    <w:name w:val="Annexe titre (acte)"/>
    <w:basedOn w:val="Normal"/>
    <w:next w:val="Normal"/>
    <w:rsid w:val="00A728BA"/>
    <w:pPr>
      <w:jc w:val="center"/>
    </w:pPr>
    <w:rPr>
      <w:rFonts w:eastAsia="Times New Roman"/>
      <w:b/>
      <w:u w:val="single"/>
      <w:lang w:eastAsia="en-GB"/>
    </w:rPr>
  </w:style>
  <w:style w:type="paragraph" w:customStyle="1" w:styleId="Annexetitreexposglobal">
    <w:name w:val="Annexe titre (exposé global)"/>
    <w:basedOn w:val="Normal"/>
    <w:next w:val="Normal"/>
    <w:rsid w:val="00A728BA"/>
    <w:pPr>
      <w:jc w:val="center"/>
    </w:pPr>
    <w:rPr>
      <w:rFonts w:eastAsia="Times New Roman"/>
      <w:b/>
      <w:u w:val="single"/>
      <w:lang w:eastAsia="en-GB"/>
    </w:rPr>
  </w:style>
  <w:style w:type="paragraph" w:customStyle="1" w:styleId="Annexetitrefichefinacte">
    <w:name w:val="Annexe titre (fiche fin. acte)"/>
    <w:basedOn w:val="Normal"/>
    <w:next w:val="Normal"/>
    <w:rsid w:val="00A728BA"/>
    <w:pPr>
      <w:jc w:val="center"/>
    </w:pPr>
    <w:rPr>
      <w:rFonts w:eastAsia="Times New Roman"/>
      <w:b/>
      <w:u w:val="single"/>
      <w:lang w:eastAsia="en-GB"/>
    </w:rPr>
  </w:style>
  <w:style w:type="paragraph" w:customStyle="1" w:styleId="Annexetitrefichefinglobale">
    <w:name w:val="Annexe titre (fiche fin. globale)"/>
    <w:basedOn w:val="Normal"/>
    <w:next w:val="Normal"/>
    <w:rsid w:val="00A728BA"/>
    <w:pPr>
      <w:jc w:val="center"/>
    </w:pPr>
    <w:rPr>
      <w:rFonts w:eastAsia="Times New Roman"/>
      <w:b/>
      <w:u w:val="single"/>
      <w:lang w:eastAsia="en-GB"/>
    </w:rPr>
  </w:style>
  <w:style w:type="paragraph" w:customStyle="1" w:styleId="Annexetitreglobale">
    <w:name w:val="Annexe titre (globale)"/>
    <w:basedOn w:val="Normal"/>
    <w:next w:val="Normal"/>
    <w:rsid w:val="00A728BA"/>
    <w:pPr>
      <w:jc w:val="center"/>
    </w:pPr>
    <w:rPr>
      <w:rFonts w:eastAsia="Times New Roman"/>
      <w:b/>
      <w:u w:val="single"/>
      <w:lang w:eastAsia="en-GB"/>
    </w:rPr>
  </w:style>
  <w:style w:type="paragraph" w:customStyle="1" w:styleId="Exposdesmotifstitreglobal">
    <w:name w:val="Exposé des motifs titre (global)"/>
    <w:basedOn w:val="Normal"/>
    <w:next w:val="Normal"/>
    <w:rsid w:val="00A728BA"/>
    <w:pPr>
      <w:jc w:val="center"/>
    </w:pPr>
    <w:rPr>
      <w:rFonts w:eastAsia="Times New Roman"/>
      <w:b/>
      <w:u w:val="single"/>
      <w:lang w:eastAsia="en-GB"/>
    </w:rPr>
  </w:style>
  <w:style w:type="paragraph" w:customStyle="1" w:styleId="Langueoriginale">
    <w:name w:val="Langue originale"/>
    <w:basedOn w:val="Normal"/>
    <w:rsid w:val="00A728BA"/>
    <w:pPr>
      <w:spacing w:before="360"/>
      <w:jc w:val="center"/>
    </w:pPr>
    <w:rPr>
      <w:rFonts w:eastAsia="Times New Roman"/>
      <w:caps/>
      <w:lang w:eastAsia="en-GB"/>
    </w:rPr>
  </w:style>
  <w:style w:type="paragraph" w:customStyle="1" w:styleId="Phrasefinale">
    <w:name w:val="Phrase finale"/>
    <w:basedOn w:val="Normal"/>
    <w:next w:val="Normal"/>
    <w:rsid w:val="00A728BA"/>
    <w:pPr>
      <w:spacing w:before="360" w:after="0"/>
      <w:jc w:val="center"/>
    </w:pPr>
    <w:rPr>
      <w:rFonts w:eastAsia="Times New Roman"/>
      <w:lang w:eastAsia="en-GB"/>
    </w:rPr>
  </w:style>
  <w:style w:type="paragraph" w:customStyle="1" w:styleId="Prliminairetitre">
    <w:name w:val="Préliminaire titre"/>
    <w:basedOn w:val="Normal"/>
    <w:next w:val="Normal"/>
    <w:rsid w:val="00A728BA"/>
    <w:pPr>
      <w:spacing w:before="360" w:after="360"/>
      <w:jc w:val="center"/>
    </w:pPr>
    <w:rPr>
      <w:rFonts w:eastAsia="Times New Roman"/>
      <w:b/>
      <w:lang w:eastAsia="en-GB"/>
    </w:rPr>
  </w:style>
  <w:style w:type="paragraph" w:customStyle="1" w:styleId="Prliminairetype">
    <w:name w:val="Préliminaire type"/>
    <w:basedOn w:val="Normal"/>
    <w:next w:val="Normal"/>
    <w:rsid w:val="00A728BA"/>
    <w:pPr>
      <w:spacing w:before="360" w:after="0"/>
      <w:jc w:val="center"/>
    </w:pPr>
    <w:rPr>
      <w:rFonts w:eastAsia="Times New Roman"/>
      <w:b/>
      <w:lang w:eastAsia="en-GB"/>
    </w:rPr>
  </w:style>
  <w:style w:type="paragraph" w:customStyle="1" w:styleId="Rfrenceinstitutionelle">
    <w:name w:val="Référence institutionelle"/>
    <w:basedOn w:val="Normal"/>
    <w:next w:val="Statut"/>
    <w:rsid w:val="00A728BA"/>
    <w:pPr>
      <w:spacing w:before="0" w:after="240"/>
      <w:ind w:left="5103"/>
      <w:jc w:val="left"/>
    </w:pPr>
    <w:rPr>
      <w:rFonts w:eastAsia="Times New Roman"/>
      <w:lang w:eastAsia="en-GB"/>
    </w:rPr>
  </w:style>
  <w:style w:type="paragraph" w:customStyle="1" w:styleId="Rfrenceinterinstitutionelle">
    <w:name w:val="Référence interinstitutionelle"/>
    <w:basedOn w:val="Normal"/>
    <w:next w:val="Statut"/>
    <w:rsid w:val="00A728BA"/>
    <w:pPr>
      <w:spacing w:before="0" w:after="0"/>
      <w:ind w:left="5103"/>
      <w:jc w:val="left"/>
    </w:pPr>
    <w:rPr>
      <w:rFonts w:eastAsia="Times New Roman"/>
      <w:lang w:eastAsia="en-GB"/>
    </w:rPr>
  </w:style>
  <w:style w:type="paragraph" w:customStyle="1" w:styleId="Rfrenceinterinstitutionelleprliminaire">
    <w:name w:val="Référence interinstitutionelle (préliminaire)"/>
    <w:basedOn w:val="Normal"/>
    <w:next w:val="Normal"/>
    <w:rsid w:val="00A728BA"/>
    <w:pPr>
      <w:spacing w:before="0" w:after="0"/>
      <w:ind w:left="5103"/>
      <w:jc w:val="left"/>
    </w:pPr>
    <w:rPr>
      <w:rFonts w:eastAsia="Times New Roman"/>
      <w:lang w:eastAsia="en-GB"/>
    </w:rPr>
  </w:style>
  <w:style w:type="paragraph" w:customStyle="1" w:styleId="Sous-titreobjetprliminaire">
    <w:name w:val="Sous-titre objet (préliminaire)"/>
    <w:basedOn w:val="Normal"/>
    <w:rsid w:val="00A728BA"/>
    <w:pPr>
      <w:spacing w:before="0" w:after="0"/>
      <w:jc w:val="center"/>
    </w:pPr>
    <w:rPr>
      <w:rFonts w:eastAsia="Times New Roman"/>
      <w:b/>
      <w:lang w:eastAsia="en-GB"/>
    </w:rPr>
  </w:style>
  <w:style w:type="paragraph" w:customStyle="1" w:styleId="Statutprliminaire">
    <w:name w:val="Statut (préliminaire)"/>
    <w:basedOn w:val="Normal"/>
    <w:next w:val="Normal"/>
    <w:rsid w:val="00A728BA"/>
    <w:pPr>
      <w:spacing w:before="360" w:after="0"/>
      <w:jc w:val="center"/>
    </w:pPr>
    <w:rPr>
      <w:rFonts w:eastAsia="Times New Roman"/>
      <w:lang w:eastAsia="en-GB"/>
    </w:rPr>
  </w:style>
  <w:style w:type="paragraph" w:customStyle="1" w:styleId="Titreobjetprliminaire">
    <w:name w:val="Titre objet (préliminaire)"/>
    <w:basedOn w:val="Normal"/>
    <w:next w:val="Normal"/>
    <w:rsid w:val="00A728BA"/>
    <w:pPr>
      <w:spacing w:before="360" w:after="360"/>
      <w:jc w:val="center"/>
    </w:pPr>
    <w:rPr>
      <w:rFonts w:eastAsia="Times New Roman"/>
      <w:b/>
      <w:lang w:eastAsia="en-GB"/>
    </w:rPr>
  </w:style>
  <w:style w:type="paragraph" w:customStyle="1" w:styleId="Typedudocumentprliminaire">
    <w:name w:val="Type du document (préliminaire)"/>
    <w:basedOn w:val="Normal"/>
    <w:next w:val="Normal"/>
    <w:rsid w:val="00A728BA"/>
    <w:pPr>
      <w:spacing w:before="360" w:after="0"/>
      <w:jc w:val="center"/>
    </w:pPr>
    <w:rPr>
      <w:rFonts w:eastAsia="Times New Roman"/>
      <w:b/>
      <w:lang w:eastAsia="en-GB"/>
    </w:rPr>
  </w:style>
  <w:style w:type="paragraph" w:customStyle="1" w:styleId="Fichefinancirestandardtitre">
    <w:name w:val="Fiche financière (standard) titre"/>
    <w:basedOn w:val="Normal"/>
    <w:next w:val="Normal"/>
    <w:rsid w:val="00A728BA"/>
    <w:pPr>
      <w:jc w:val="center"/>
    </w:pPr>
    <w:rPr>
      <w:rFonts w:eastAsia="Times New Roman"/>
      <w:b/>
      <w:u w:val="single"/>
      <w:lang w:eastAsia="en-GB"/>
    </w:rPr>
  </w:style>
  <w:style w:type="paragraph" w:customStyle="1" w:styleId="Fichefinancirestandardtitreacte">
    <w:name w:val="Fiche financière (standard) titre (acte)"/>
    <w:basedOn w:val="Normal"/>
    <w:next w:val="Normal"/>
    <w:rsid w:val="00A728BA"/>
    <w:pPr>
      <w:jc w:val="center"/>
    </w:pPr>
    <w:rPr>
      <w:rFonts w:eastAsia="Times New Roman"/>
      <w:b/>
      <w:u w:val="single"/>
      <w:lang w:eastAsia="en-GB"/>
    </w:rPr>
  </w:style>
  <w:style w:type="paragraph" w:customStyle="1" w:styleId="Fichefinanciretravailtitre">
    <w:name w:val="Fiche financière (travail) titre"/>
    <w:basedOn w:val="Normal"/>
    <w:next w:val="Normal"/>
    <w:rsid w:val="00A728BA"/>
    <w:pPr>
      <w:jc w:val="center"/>
    </w:pPr>
    <w:rPr>
      <w:rFonts w:eastAsia="Times New Roman"/>
      <w:b/>
      <w:u w:val="single"/>
      <w:lang w:eastAsia="en-GB"/>
    </w:rPr>
  </w:style>
  <w:style w:type="paragraph" w:customStyle="1" w:styleId="Fichefinanciretravailtitreacte">
    <w:name w:val="Fiche financière (travail) titre (acte)"/>
    <w:basedOn w:val="Normal"/>
    <w:next w:val="Normal"/>
    <w:rsid w:val="00A728BA"/>
    <w:pPr>
      <w:jc w:val="center"/>
    </w:pPr>
    <w:rPr>
      <w:rFonts w:eastAsia="Times New Roman"/>
      <w:b/>
      <w:u w:val="single"/>
      <w:lang w:eastAsia="en-GB"/>
    </w:rPr>
  </w:style>
  <w:style w:type="paragraph" w:customStyle="1" w:styleId="Fichefinancireattributiontitre">
    <w:name w:val="Fiche financière (attribution) titre"/>
    <w:basedOn w:val="Normal"/>
    <w:next w:val="Normal"/>
    <w:rsid w:val="00A728BA"/>
    <w:pPr>
      <w:jc w:val="center"/>
    </w:pPr>
    <w:rPr>
      <w:rFonts w:eastAsia="Times New Roman"/>
      <w:b/>
      <w:u w:val="single"/>
      <w:lang w:eastAsia="en-GB"/>
    </w:rPr>
  </w:style>
  <w:style w:type="paragraph" w:customStyle="1" w:styleId="Fichefinancireattributiontitreacte">
    <w:name w:val="Fiche financière (attribution) titre (acte)"/>
    <w:basedOn w:val="Normal"/>
    <w:next w:val="Normal"/>
    <w:rsid w:val="00A728BA"/>
    <w:pPr>
      <w:jc w:val="center"/>
    </w:pPr>
    <w:rPr>
      <w:rFonts w:eastAsia="Times New Roman"/>
      <w:b/>
      <w:u w:val="single"/>
      <w:lang w:eastAsia="en-GB"/>
    </w:rPr>
  </w:style>
  <w:style w:type="paragraph" w:styleId="Caption">
    <w:name w:val="caption"/>
    <w:basedOn w:val="Normal"/>
    <w:next w:val="Normal"/>
    <w:qFormat/>
    <w:rsid w:val="00A728BA"/>
    <w:rPr>
      <w:rFonts w:eastAsia="Times New Roman"/>
      <w:b/>
      <w:bCs/>
      <w:sz w:val="20"/>
      <w:szCs w:val="20"/>
      <w:lang w:eastAsia="en-GB"/>
    </w:rPr>
  </w:style>
  <w:style w:type="paragraph" w:styleId="TableofFigures">
    <w:name w:val="table of figures"/>
    <w:basedOn w:val="Normal"/>
    <w:next w:val="Normal"/>
    <w:rsid w:val="00A728BA"/>
    <w:rPr>
      <w:rFonts w:eastAsia="Times New Roman"/>
      <w:lang w:eastAsia="en-GB"/>
    </w:rPr>
  </w:style>
  <w:style w:type="character" w:styleId="PageNumber">
    <w:name w:val="page number"/>
    <w:rsid w:val="00A728BA"/>
  </w:style>
  <w:style w:type="character" w:customStyle="1" w:styleId="tw4winMark">
    <w:name w:val="tw4winMark"/>
    <w:rsid w:val="00A728BA"/>
    <w:rPr>
      <w:vanish/>
      <w:color w:val="800080"/>
      <w:vertAlign w:val="subscript"/>
    </w:rPr>
  </w:style>
  <w:style w:type="paragraph" w:customStyle="1" w:styleId="Sous-titreobjet">
    <w:name w:val="Sous-titre objet"/>
    <w:basedOn w:val="Normal"/>
    <w:rsid w:val="00A728BA"/>
    <w:pPr>
      <w:spacing w:before="0" w:after="0"/>
      <w:jc w:val="center"/>
    </w:pPr>
    <w:rPr>
      <w:rFonts w:eastAsia="Times New Roman"/>
      <w:b/>
      <w:lang w:eastAsia="en-GB"/>
    </w:rPr>
  </w:style>
  <w:style w:type="paragraph" w:customStyle="1" w:styleId="Sous-titreobjetPagedecouverture">
    <w:name w:val="Sous-titre objet (Page de couverture)"/>
    <w:basedOn w:val="Sous-titreobjet"/>
    <w:rsid w:val="00A728BA"/>
  </w:style>
  <w:style w:type="paragraph" w:customStyle="1" w:styleId="FooterCoverPage">
    <w:name w:val="Footer Cover Page"/>
    <w:basedOn w:val="Normal"/>
    <w:link w:val="FooterCoverPageChar"/>
    <w:rsid w:val="00A728BA"/>
    <w:pPr>
      <w:tabs>
        <w:tab w:val="center" w:pos="4535"/>
        <w:tab w:val="right" w:pos="9071"/>
        <w:tab w:val="right" w:pos="9921"/>
      </w:tabs>
      <w:spacing w:before="360" w:after="0"/>
      <w:ind w:left="-850" w:right="-850"/>
      <w:jc w:val="left"/>
    </w:pPr>
    <w:rPr>
      <w:rFonts w:eastAsia="Calibri"/>
      <w:lang w:eastAsia="en-GB"/>
    </w:rPr>
  </w:style>
  <w:style w:type="character" w:customStyle="1" w:styleId="TOCHeadingChar">
    <w:name w:val="TOC Heading Char"/>
    <w:uiPriority w:val="39"/>
    <w:rsid w:val="00A728BA"/>
    <w:rPr>
      <w:rFonts w:ascii="Times New Roman" w:hAnsi="Times New Roman" w:cs="Times New Roman"/>
      <w:b/>
      <w:sz w:val="28"/>
      <w:lang w:val="pl-PL"/>
    </w:rPr>
  </w:style>
  <w:style w:type="character" w:customStyle="1" w:styleId="FooterCoverPageChar">
    <w:name w:val="Footer Cover Page Char"/>
    <w:link w:val="FooterCoverPage"/>
    <w:rsid w:val="00A728BA"/>
    <w:rPr>
      <w:rFonts w:ascii="Times New Roman" w:eastAsia="Calibri" w:hAnsi="Times New Roman" w:cs="Times New Roman"/>
      <w:sz w:val="24"/>
      <w:lang w:val="pl-PL" w:eastAsia="en-GB"/>
    </w:rPr>
  </w:style>
  <w:style w:type="paragraph" w:customStyle="1" w:styleId="HeaderCoverPage">
    <w:name w:val="Header Cover Page"/>
    <w:basedOn w:val="Normal"/>
    <w:link w:val="HeaderCoverPageChar"/>
    <w:rsid w:val="00A728BA"/>
    <w:pPr>
      <w:tabs>
        <w:tab w:val="center" w:pos="4535"/>
        <w:tab w:val="right" w:pos="9071"/>
      </w:tabs>
      <w:spacing w:before="0"/>
    </w:pPr>
    <w:rPr>
      <w:rFonts w:eastAsia="Calibri"/>
      <w:lang w:eastAsia="en-GB"/>
    </w:rPr>
  </w:style>
  <w:style w:type="character" w:customStyle="1" w:styleId="HeaderCoverPageChar">
    <w:name w:val="Header Cover Page Char"/>
    <w:link w:val="HeaderCoverPage"/>
    <w:rsid w:val="00A728BA"/>
    <w:rPr>
      <w:rFonts w:ascii="Times New Roman" w:eastAsia="Calibri" w:hAnsi="Times New Roman" w:cs="Times New Roman"/>
      <w:sz w:val="24"/>
      <w:lang w:val="pl-PL" w:eastAsia="en-GB"/>
    </w:rPr>
  </w:style>
  <w:style w:type="paragraph" w:customStyle="1" w:styleId="Numpar">
    <w:name w:val="Num par"/>
    <w:basedOn w:val="Point0number"/>
    <w:rsid w:val="00C9325C"/>
    <w:rPr>
      <w:lang w:eastAsia="en-GB"/>
    </w:rPr>
  </w:style>
  <w:style w:type="paragraph" w:styleId="Header">
    <w:name w:val="header"/>
    <w:basedOn w:val="Normal"/>
    <w:link w:val="HeaderChar"/>
    <w:uiPriority w:val="99"/>
    <w:unhideWhenUsed/>
    <w:rsid w:val="00DA1122"/>
    <w:pPr>
      <w:tabs>
        <w:tab w:val="center" w:pos="4535"/>
        <w:tab w:val="right" w:pos="9071"/>
      </w:tabs>
      <w:spacing w:before="0"/>
    </w:pPr>
  </w:style>
  <w:style w:type="character" w:customStyle="1" w:styleId="HeaderChar">
    <w:name w:val="Header Char"/>
    <w:basedOn w:val="DefaultParagraphFont"/>
    <w:link w:val="Header"/>
    <w:uiPriority w:val="99"/>
    <w:rsid w:val="00DA1122"/>
    <w:rPr>
      <w:rFonts w:ascii="Times New Roman" w:hAnsi="Times New Roman" w:cs="Times New Roman"/>
      <w:sz w:val="24"/>
      <w:lang w:val="pl-PL"/>
    </w:rPr>
  </w:style>
  <w:style w:type="paragraph" w:styleId="Footer">
    <w:name w:val="footer"/>
    <w:basedOn w:val="Normal"/>
    <w:link w:val="FooterChar"/>
    <w:uiPriority w:val="99"/>
    <w:unhideWhenUsed/>
    <w:rsid w:val="00DA1122"/>
    <w:pPr>
      <w:tabs>
        <w:tab w:val="center" w:pos="4535"/>
        <w:tab w:val="right" w:pos="9071"/>
        <w:tab w:val="right" w:pos="9921"/>
      </w:tabs>
      <w:spacing w:before="360" w:after="0"/>
      <w:ind w:left="-850" w:right="-850"/>
      <w:jc w:val="left"/>
    </w:pPr>
  </w:style>
  <w:style w:type="character" w:customStyle="1" w:styleId="FooterChar">
    <w:name w:val="Footer Char"/>
    <w:basedOn w:val="DefaultParagraphFont"/>
    <w:link w:val="Footer"/>
    <w:uiPriority w:val="99"/>
    <w:rsid w:val="00DA1122"/>
    <w:rPr>
      <w:rFonts w:ascii="Times New Roman" w:hAnsi="Times New Roman" w:cs="Times New Roman"/>
      <w:sz w:val="24"/>
      <w:lang w:val="pl-PL"/>
    </w:rPr>
  </w:style>
  <w:style w:type="paragraph" w:styleId="FootnoteText">
    <w:name w:val="footnote text"/>
    <w:basedOn w:val="Normal"/>
    <w:link w:val="FootnoteTextChar"/>
    <w:uiPriority w:val="99"/>
    <w:semiHidden/>
    <w:unhideWhenUsed/>
    <w:rsid w:val="009B7138"/>
    <w:pPr>
      <w:spacing w:before="0" w:after="0"/>
      <w:ind w:left="720" w:hanging="720"/>
    </w:pPr>
    <w:rPr>
      <w:sz w:val="20"/>
      <w:szCs w:val="20"/>
    </w:rPr>
  </w:style>
  <w:style w:type="character" w:customStyle="1" w:styleId="FootnoteTextChar">
    <w:name w:val="Footnote Text Char"/>
    <w:basedOn w:val="DefaultParagraphFont"/>
    <w:link w:val="FootnoteText"/>
    <w:uiPriority w:val="99"/>
    <w:semiHidden/>
    <w:rsid w:val="009B7138"/>
    <w:rPr>
      <w:rFonts w:ascii="Times New Roman" w:hAnsi="Times New Roman" w:cs="Times New Roman"/>
      <w:sz w:val="20"/>
      <w:szCs w:val="20"/>
      <w:shd w:val="clear" w:color="auto" w:fill="auto"/>
      <w:lang w:val="en-GB"/>
    </w:rPr>
  </w:style>
  <w:style w:type="character" w:customStyle="1" w:styleId="Heading1Char">
    <w:name w:val="Heading 1 Char"/>
    <w:basedOn w:val="DefaultParagraphFont"/>
    <w:link w:val="Heading1"/>
    <w:uiPriority w:val="9"/>
    <w:rsid w:val="009B7138"/>
    <w:rPr>
      <w:rFonts w:ascii="Times New Roman" w:eastAsiaTheme="majorEastAsia" w:hAnsi="Times New Roman" w:cs="Times New Roman"/>
      <w:b/>
      <w:bCs/>
      <w:smallCaps/>
      <w:sz w:val="24"/>
      <w:szCs w:val="28"/>
      <w:lang w:val="en-GB"/>
    </w:rPr>
  </w:style>
  <w:style w:type="character" w:customStyle="1" w:styleId="Heading2Char">
    <w:name w:val="Heading 2 Char"/>
    <w:basedOn w:val="DefaultParagraphFont"/>
    <w:link w:val="Heading2"/>
    <w:uiPriority w:val="9"/>
    <w:semiHidden/>
    <w:rsid w:val="009B7138"/>
    <w:rPr>
      <w:rFonts w:ascii="Times New Roman" w:eastAsiaTheme="majorEastAsia" w:hAnsi="Times New Roman" w:cs="Times New Roman"/>
      <w:b/>
      <w:bCs/>
      <w:sz w:val="24"/>
      <w:szCs w:val="26"/>
      <w:lang w:val="en-GB"/>
    </w:rPr>
  </w:style>
  <w:style w:type="character" w:customStyle="1" w:styleId="Heading3Char">
    <w:name w:val="Heading 3 Char"/>
    <w:basedOn w:val="DefaultParagraphFont"/>
    <w:link w:val="Heading3"/>
    <w:uiPriority w:val="9"/>
    <w:semiHidden/>
    <w:rsid w:val="009B7138"/>
    <w:rPr>
      <w:rFonts w:ascii="Times New Roman" w:eastAsiaTheme="majorEastAsia" w:hAnsi="Times New Roman" w:cs="Times New Roman"/>
      <w:bCs/>
      <w:i/>
      <w:sz w:val="24"/>
      <w:lang w:val="en-GB"/>
    </w:rPr>
  </w:style>
  <w:style w:type="character" w:customStyle="1" w:styleId="Heading4Char">
    <w:name w:val="Heading 4 Char"/>
    <w:basedOn w:val="DefaultParagraphFont"/>
    <w:link w:val="Heading4"/>
    <w:uiPriority w:val="9"/>
    <w:semiHidden/>
    <w:rsid w:val="009B7138"/>
    <w:rPr>
      <w:rFonts w:ascii="Times New Roman" w:eastAsiaTheme="majorEastAsia" w:hAnsi="Times New Roman" w:cs="Times New Roman"/>
      <w:bCs/>
      <w:iCs/>
      <w:sz w:val="24"/>
      <w:lang w:val="en-GB"/>
    </w:rPr>
  </w:style>
  <w:style w:type="paragraph" w:styleId="TOCHeading">
    <w:name w:val="TOC Heading"/>
    <w:basedOn w:val="Normal"/>
    <w:next w:val="Normal"/>
    <w:uiPriority w:val="39"/>
    <w:semiHidden/>
    <w:unhideWhenUsed/>
    <w:qFormat/>
    <w:rsid w:val="009B7138"/>
    <w:pPr>
      <w:spacing w:after="240"/>
      <w:jc w:val="center"/>
    </w:pPr>
    <w:rPr>
      <w:b/>
      <w:sz w:val="28"/>
    </w:rPr>
  </w:style>
  <w:style w:type="paragraph" w:styleId="TOC1">
    <w:name w:val="toc 1"/>
    <w:basedOn w:val="Normal"/>
    <w:next w:val="Normal"/>
    <w:uiPriority w:val="39"/>
    <w:semiHidden/>
    <w:unhideWhenUsed/>
    <w:rsid w:val="009B7138"/>
    <w:pPr>
      <w:tabs>
        <w:tab w:val="right" w:leader="dot" w:pos="9071"/>
      </w:tabs>
      <w:spacing w:before="60"/>
      <w:ind w:left="850" w:hanging="850"/>
      <w:jc w:val="left"/>
    </w:pPr>
  </w:style>
  <w:style w:type="paragraph" w:styleId="TOC2">
    <w:name w:val="toc 2"/>
    <w:basedOn w:val="Normal"/>
    <w:next w:val="Normal"/>
    <w:uiPriority w:val="39"/>
    <w:semiHidden/>
    <w:unhideWhenUsed/>
    <w:rsid w:val="009B7138"/>
    <w:pPr>
      <w:tabs>
        <w:tab w:val="right" w:leader="dot" w:pos="9071"/>
      </w:tabs>
      <w:spacing w:before="60"/>
      <w:ind w:left="850" w:hanging="850"/>
      <w:jc w:val="left"/>
    </w:pPr>
  </w:style>
  <w:style w:type="paragraph" w:styleId="TOC3">
    <w:name w:val="toc 3"/>
    <w:basedOn w:val="Normal"/>
    <w:next w:val="Normal"/>
    <w:uiPriority w:val="39"/>
    <w:semiHidden/>
    <w:unhideWhenUsed/>
    <w:rsid w:val="009B7138"/>
    <w:pPr>
      <w:tabs>
        <w:tab w:val="right" w:leader="dot" w:pos="9071"/>
      </w:tabs>
      <w:spacing w:before="60"/>
      <w:ind w:left="850" w:hanging="850"/>
      <w:jc w:val="left"/>
    </w:pPr>
  </w:style>
  <w:style w:type="paragraph" w:styleId="TOC4">
    <w:name w:val="toc 4"/>
    <w:basedOn w:val="Normal"/>
    <w:next w:val="Normal"/>
    <w:uiPriority w:val="39"/>
    <w:semiHidden/>
    <w:unhideWhenUsed/>
    <w:rsid w:val="009B7138"/>
    <w:pPr>
      <w:tabs>
        <w:tab w:val="right" w:leader="dot" w:pos="9071"/>
      </w:tabs>
      <w:spacing w:before="60"/>
      <w:ind w:left="850" w:hanging="850"/>
      <w:jc w:val="left"/>
    </w:pPr>
  </w:style>
  <w:style w:type="paragraph" w:styleId="TOC5">
    <w:name w:val="toc 5"/>
    <w:basedOn w:val="Normal"/>
    <w:next w:val="Normal"/>
    <w:uiPriority w:val="39"/>
    <w:semiHidden/>
    <w:unhideWhenUsed/>
    <w:rsid w:val="009B7138"/>
    <w:pPr>
      <w:tabs>
        <w:tab w:val="right" w:leader="dot" w:pos="9071"/>
      </w:tabs>
      <w:spacing w:before="300"/>
      <w:jc w:val="left"/>
    </w:pPr>
  </w:style>
  <w:style w:type="paragraph" w:styleId="TOC6">
    <w:name w:val="toc 6"/>
    <w:basedOn w:val="Normal"/>
    <w:next w:val="Normal"/>
    <w:uiPriority w:val="39"/>
    <w:semiHidden/>
    <w:unhideWhenUsed/>
    <w:rsid w:val="009B7138"/>
    <w:pPr>
      <w:tabs>
        <w:tab w:val="right" w:leader="dot" w:pos="9071"/>
      </w:tabs>
      <w:spacing w:before="240"/>
      <w:jc w:val="left"/>
    </w:pPr>
  </w:style>
  <w:style w:type="paragraph" w:styleId="TOC7">
    <w:name w:val="toc 7"/>
    <w:basedOn w:val="Normal"/>
    <w:next w:val="Normal"/>
    <w:uiPriority w:val="39"/>
    <w:semiHidden/>
    <w:unhideWhenUsed/>
    <w:rsid w:val="009B7138"/>
    <w:pPr>
      <w:tabs>
        <w:tab w:val="right" w:leader="dot" w:pos="9071"/>
      </w:tabs>
      <w:spacing w:before="180"/>
      <w:jc w:val="left"/>
    </w:pPr>
  </w:style>
  <w:style w:type="paragraph" w:styleId="TOC8">
    <w:name w:val="toc 8"/>
    <w:basedOn w:val="Normal"/>
    <w:next w:val="Normal"/>
    <w:uiPriority w:val="39"/>
    <w:semiHidden/>
    <w:unhideWhenUsed/>
    <w:rsid w:val="009B7138"/>
    <w:pPr>
      <w:tabs>
        <w:tab w:val="right" w:leader="dot" w:pos="9071"/>
      </w:tabs>
      <w:jc w:val="left"/>
    </w:pPr>
  </w:style>
  <w:style w:type="paragraph" w:styleId="TOC9">
    <w:name w:val="toc 9"/>
    <w:basedOn w:val="Normal"/>
    <w:next w:val="Normal"/>
    <w:uiPriority w:val="39"/>
    <w:semiHidden/>
    <w:unhideWhenUsed/>
    <w:rsid w:val="009B7138"/>
    <w:pPr>
      <w:tabs>
        <w:tab w:val="right" w:leader="dot" w:pos="9071"/>
      </w:tabs>
    </w:pPr>
  </w:style>
  <w:style w:type="paragraph" w:customStyle="1" w:styleId="HeaderLandscape">
    <w:name w:val="HeaderLandscape"/>
    <w:basedOn w:val="Normal"/>
    <w:rsid w:val="00DA1122"/>
    <w:pPr>
      <w:tabs>
        <w:tab w:val="center" w:pos="7285"/>
        <w:tab w:val="right" w:pos="14003"/>
      </w:tabs>
      <w:spacing w:before="0"/>
    </w:pPr>
  </w:style>
  <w:style w:type="paragraph" w:customStyle="1" w:styleId="FooterLandscape">
    <w:name w:val="FooterLandscape"/>
    <w:basedOn w:val="Normal"/>
    <w:rsid w:val="00DA1122"/>
    <w:pPr>
      <w:tabs>
        <w:tab w:val="center" w:pos="7285"/>
        <w:tab w:val="center" w:pos="10913"/>
        <w:tab w:val="right" w:pos="15137"/>
      </w:tabs>
      <w:spacing w:before="360" w:after="0"/>
      <w:ind w:left="-567" w:right="-567"/>
      <w:jc w:val="left"/>
    </w:pPr>
  </w:style>
  <w:style w:type="character" w:styleId="FootnoteReference">
    <w:name w:val="footnote reference"/>
    <w:basedOn w:val="DefaultParagraphFont"/>
    <w:uiPriority w:val="99"/>
    <w:semiHidden/>
    <w:unhideWhenUsed/>
    <w:rsid w:val="009B7138"/>
    <w:rPr>
      <w:shd w:val="clear" w:color="auto" w:fill="auto"/>
      <w:vertAlign w:val="superscript"/>
    </w:rPr>
  </w:style>
  <w:style w:type="paragraph" w:customStyle="1" w:styleId="HeaderSensitivity">
    <w:name w:val="Header Sensitivity"/>
    <w:basedOn w:val="Normal"/>
    <w:rsid w:val="00DA1122"/>
    <w:pPr>
      <w:pBdr>
        <w:top w:val="single" w:sz="4" w:space="1" w:color="auto"/>
        <w:left w:val="single" w:sz="4" w:space="4" w:color="auto"/>
        <w:bottom w:val="single" w:sz="4" w:space="1" w:color="auto"/>
        <w:right w:val="single" w:sz="4" w:space="4" w:color="auto"/>
      </w:pBdr>
      <w:spacing w:before="0"/>
      <w:ind w:left="113" w:right="113"/>
      <w:jc w:val="center"/>
    </w:pPr>
    <w:rPr>
      <w:b/>
      <w:sz w:val="32"/>
    </w:rPr>
  </w:style>
  <w:style w:type="paragraph" w:customStyle="1" w:styleId="HeaderSensitivityRight">
    <w:name w:val="Header Sensitivity Right"/>
    <w:basedOn w:val="Normal"/>
    <w:rsid w:val="00DA1122"/>
    <w:pPr>
      <w:spacing w:before="0"/>
      <w:jc w:val="right"/>
    </w:pPr>
    <w:rPr>
      <w:sz w:val="28"/>
    </w:rPr>
  </w:style>
  <w:style w:type="paragraph" w:customStyle="1" w:styleId="FooterSensitivity">
    <w:name w:val="Footer Sensitivity"/>
    <w:basedOn w:val="Normal"/>
    <w:rsid w:val="00DA1122"/>
    <w:pPr>
      <w:pBdr>
        <w:top w:val="single" w:sz="4" w:space="1" w:color="auto"/>
        <w:left w:val="single" w:sz="4" w:space="4" w:color="auto"/>
        <w:bottom w:val="single" w:sz="4" w:space="1" w:color="auto"/>
        <w:right w:val="single" w:sz="4" w:space="4" w:color="auto"/>
      </w:pBdr>
      <w:spacing w:before="360" w:after="0"/>
      <w:ind w:left="113" w:right="113"/>
      <w:jc w:val="center"/>
    </w:pPr>
    <w:rPr>
      <w:b/>
      <w:sz w:val="32"/>
    </w:rPr>
  </w:style>
  <w:style w:type="paragraph" w:customStyle="1" w:styleId="Text1">
    <w:name w:val="Text 1"/>
    <w:basedOn w:val="Normal"/>
    <w:rsid w:val="009B7138"/>
    <w:pPr>
      <w:ind w:left="850"/>
    </w:pPr>
  </w:style>
  <w:style w:type="paragraph" w:customStyle="1" w:styleId="Text2">
    <w:name w:val="Text 2"/>
    <w:basedOn w:val="Normal"/>
    <w:rsid w:val="009B7138"/>
    <w:pPr>
      <w:ind w:left="1417"/>
    </w:pPr>
  </w:style>
  <w:style w:type="paragraph" w:customStyle="1" w:styleId="Text3">
    <w:name w:val="Text 3"/>
    <w:basedOn w:val="Normal"/>
    <w:rsid w:val="009B7138"/>
    <w:pPr>
      <w:ind w:left="1984"/>
    </w:pPr>
  </w:style>
  <w:style w:type="paragraph" w:customStyle="1" w:styleId="Text4">
    <w:name w:val="Text 4"/>
    <w:basedOn w:val="Normal"/>
    <w:rsid w:val="009B7138"/>
    <w:pPr>
      <w:ind w:left="2551"/>
    </w:pPr>
  </w:style>
  <w:style w:type="paragraph" w:customStyle="1" w:styleId="NormalCentered">
    <w:name w:val="Normal Centered"/>
    <w:basedOn w:val="Normal"/>
    <w:rsid w:val="009B7138"/>
    <w:pPr>
      <w:jc w:val="center"/>
    </w:pPr>
  </w:style>
  <w:style w:type="paragraph" w:customStyle="1" w:styleId="NormalLeft">
    <w:name w:val="Normal Left"/>
    <w:basedOn w:val="Normal"/>
    <w:rsid w:val="009B7138"/>
    <w:pPr>
      <w:jc w:val="left"/>
    </w:pPr>
  </w:style>
  <w:style w:type="paragraph" w:customStyle="1" w:styleId="NormalRight">
    <w:name w:val="Normal Right"/>
    <w:basedOn w:val="Normal"/>
    <w:rsid w:val="009B7138"/>
    <w:pPr>
      <w:jc w:val="right"/>
    </w:pPr>
  </w:style>
  <w:style w:type="paragraph" w:customStyle="1" w:styleId="QuotedText">
    <w:name w:val="Quoted Text"/>
    <w:basedOn w:val="Normal"/>
    <w:rsid w:val="009B7138"/>
    <w:pPr>
      <w:ind w:left="1417"/>
    </w:pPr>
  </w:style>
  <w:style w:type="paragraph" w:customStyle="1" w:styleId="Point0">
    <w:name w:val="Point 0"/>
    <w:basedOn w:val="Normal"/>
    <w:rsid w:val="009B7138"/>
    <w:pPr>
      <w:ind w:left="850" w:hanging="850"/>
    </w:pPr>
  </w:style>
  <w:style w:type="paragraph" w:customStyle="1" w:styleId="Point1">
    <w:name w:val="Point 1"/>
    <w:basedOn w:val="Normal"/>
    <w:rsid w:val="009B7138"/>
    <w:pPr>
      <w:ind w:left="1417" w:hanging="567"/>
    </w:pPr>
  </w:style>
  <w:style w:type="paragraph" w:customStyle="1" w:styleId="Point2">
    <w:name w:val="Point 2"/>
    <w:basedOn w:val="Normal"/>
    <w:rsid w:val="009B7138"/>
    <w:pPr>
      <w:ind w:left="1984" w:hanging="567"/>
    </w:pPr>
  </w:style>
  <w:style w:type="paragraph" w:customStyle="1" w:styleId="Point3">
    <w:name w:val="Point 3"/>
    <w:basedOn w:val="Normal"/>
    <w:rsid w:val="009B7138"/>
    <w:pPr>
      <w:ind w:left="2551" w:hanging="567"/>
    </w:pPr>
  </w:style>
  <w:style w:type="paragraph" w:customStyle="1" w:styleId="Point4">
    <w:name w:val="Point 4"/>
    <w:basedOn w:val="Normal"/>
    <w:rsid w:val="009B7138"/>
    <w:pPr>
      <w:ind w:left="3118" w:hanging="567"/>
    </w:pPr>
  </w:style>
  <w:style w:type="paragraph" w:customStyle="1" w:styleId="Tiret0">
    <w:name w:val="Tiret 0"/>
    <w:basedOn w:val="Point0"/>
    <w:rsid w:val="009B7138"/>
    <w:pPr>
      <w:numPr>
        <w:numId w:val="46"/>
      </w:numPr>
    </w:pPr>
  </w:style>
  <w:style w:type="paragraph" w:customStyle="1" w:styleId="Tiret1">
    <w:name w:val="Tiret 1"/>
    <w:basedOn w:val="Point1"/>
    <w:rsid w:val="009B7138"/>
    <w:pPr>
      <w:numPr>
        <w:numId w:val="47"/>
      </w:numPr>
    </w:pPr>
  </w:style>
  <w:style w:type="paragraph" w:customStyle="1" w:styleId="Tiret2">
    <w:name w:val="Tiret 2"/>
    <w:basedOn w:val="Point2"/>
    <w:rsid w:val="009B7138"/>
    <w:pPr>
      <w:numPr>
        <w:numId w:val="48"/>
      </w:numPr>
    </w:pPr>
  </w:style>
  <w:style w:type="paragraph" w:customStyle="1" w:styleId="Tiret3">
    <w:name w:val="Tiret 3"/>
    <w:basedOn w:val="Point3"/>
    <w:rsid w:val="009B7138"/>
    <w:pPr>
      <w:numPr>
        <w:numId w:val="49"/>
      </w:numPr>
    </w:pPr>
  </w:style>
  <w:style w:type="paragraph" w:customStyle="1" w:styleId="Tiret4">
    <w:name w:val="Tiret 4"/>
    <w:basedOn w:val="Point4"/>
    <w:rsid w:val="009B7138"/>
    <w:pPr>
      <w:numPr>
        <w:numId w:val="50"/>
      </w:numPr>
    </w:pPr>
  </w:style>
  <w:style w:type="paragraph" w:customStyle="1" w:styleId="PointDouble0">
    <w:name w:val="PointDouble 0"/>
    <w:basedOn w:val="Normal"/>
    <w:rsid w:val="009B7138"/>
    <w:pPr>
      <w:tabs>
        <w:tab w:val="left" w:pos="850"/>
      </w:tabs>
      <w:ind w:left="1417" w:hanging="1417"/>
    </w:pPr>
  </w:style>
  <w:style w:type="paragraph" w:customStyle="1" w:styleId="PointDouble1">
    <w:name w:val="PointDouble 1"/>
    <w:basedOn w:val="Normal"/>
    <w:rsid w:val="009B7138"/>
    <w:pPr>
      <w:tabs>
        <w:tab w:val="left" w:pos="1417"/>
      </w:tabs>
      <w:ind w:left="1984" w:hanging="1134"/>
    </w:pPr>
  </w:style>
  <w:style w:type="paragraph" w:customStyle="1" w:styleId="PointDouble2">
    <w:name w:val="PointDouble 2"/>
    <w:basedOn w:val="Normal"/>
    <w:rsid w:val="009B7138"/>
    <w:pPr>
      <w:tabs>
        <w:tab w:val="left" w:pos="1984"/>
      </w:tabs>
      <w:ind w:left="2551" w:hanging="1134"/>
    </w:pPr>
  </w:style>
  <w:style w:type="paragraph" w:customStyle="1" w:styleId="PointDouble3">
    <w:name w:val="PointDouble 3"/>
    <w:basedOn w:val="Normal"/>
    <w:rsid w:val="009B7138"/>
    <w:pPr>
      <w:tabs>
        <w:tab w:val="left" w:pos="2551"/>
      </w:tabs>
      <w:ind w:left="3118" w:hanging="1134"/>
    </w:pPr>
  </w:style>
  <w:style w:type="paragraph" w:customStyle="1" w:styleId="PointDouble4">
    <w:name w:val="PointDouble 4"/>
    <w:basedOn w:val="Normal"/>
    <w:rsid w:val="009B7138"/>
    <w:pPr>
      <w:tabs>
        <w:tab w:val="left" w:pos="3118"/>
      </w:tabs>
      <w:ind w:left="3685" w:hanging="1134"/>
    </w:pPr>
  </w:style>
  <w:style w:type="paragraph" w:customStyle="1" w:styleId="PointTriple0">
    <w:name w:val="PointTriple 0"/>
    <w:basedOn w:val="Normal"/>
    <w:rsid w:val="009B7138"/>
    <w:pPr>
      <w:tabs>
        <w:tab w:val="left" w:pos="850"/>
        <w:tab w:val="left" w:pos="1417"/>
      </w:tabs>
      <w:ind w:left="1984" w:hanging="1984"/>
    </w:pPr>
  </w:style>
  <w:style w:type="paragraph" w:customStyle="1" w:styleId="PointTriple1">
    <w:name w:val="PointTriple 1"/>
    <w:basedOn w:val="Normal"/>
    <w:rsid w:val="009B7138"/>
    <w:pPr>
      <w:tabs>
        <w:tab w:val="left" w:pos="1417"/>
        <w:tab w:val="left" w:pos="1984"/>
      </w:tabs>
      <w:ind w:left="2551" w:hanging="1701"/>
    </w:pPr>
  </w:style>
  <w:style w:type="paragraph" w:customStyle="1" w:styleId="PointTriple2">
    <w:name w:val="PointTriple 2"/>
    <w:basedOn w:val="Normal"/>
    <w:rsid w:val="009B7138"/>
    <w:pPr>
      <w:tabs>
        <w:tab w:val="left" w:pos="1984"/>
        <w:tab w:val="left" w:pos="2551"/>
      </w:tabs>
      <w:ind w:left="3118" w:hanging="1701"/>
    </w:pPr>
  </w:style>
  <w:style w:type="paragraph" w:customStyle="1" w:styleId="PointTriple3">
    <w:name w:val="PointTriple 3"/>
    <w:basedOn w:val="Normal"/>
    <w:rsid w:val="009B7138"/>
    <w:pPr>
      <w:tabs>
        <w:tab w:val="left" w:pos="2551"/>
        <w:tab w:val="left" w:pos="3118"/>
      </w:tabs>
      <w:ind w:left="3685" w:hanging="1701"/>
    </w:pPr>
  </w:style>
  <w:style w:type="paragraph" w:customStyle="1" w:styleId="PointTriple4">
    <w:name w:val="PointTriple 4"/>
    <w:basedOn w:val="Normal"/>
    <w:rsid w:val="009B7138"/>
    <w:pPr>
      <w:tabs>
        <w:tab w:val="left" w:pos="3118"/>
        <w:tab w:val="left" w:pos="3685"/>
      </w:tabs>
      <w:ind w:left="4252" w:hanging="1701"/>
    </w:pPr>
  </w:style>
  <w:style w:type="paragraph" w:customStyle="1" w:styleId="NumPar1">
    <w:name w:val="NumPar 1"/>
    <w:basedOn w:val="Normal"/>
    <w:next w:val="Text1"/>
    <w:rsid w:val="009B7138"/>
    <w:pPr>
      <w:numPr>
        <w:numId w:val="66"/>
      </w:numPr>
    </w:pPr>
  </w:style>
  <w:style w:type="paragraph" w:customStyle="1" w:styleId="NumPar2">
    <w:name w:val="NumPar 2"/>
    <w:basedOn w:val="Normal"/>
    <w:next w:val="Text1"/>
    <w:rsid w:val="009B7138"/>
    <w:pPr>
      <w:numPr>
        <w:ilvl w:val="1"/>
        <w:numId w:val="66"/>
      </w:numPr>
    </w:pPr>
  </w:style>
  <w:style w:type="paragraph" w:customStyle="1" w:styleId="NumPar3">
    <w:name w:val="NumPar 3"/>
    <w:basedOn w:val="Normal"/>
    <w:next w:val="Text1"/>
    <w:rsid w:val="009B7138"/>
    <w:pPr>
      <w:numPr>
        <w:ilvl w:val="2"/>
        <w:numId w:val="66"/>
      </w:numPr>
    </w:pPr>
  </w:style>
  <w:style w:type="paragraph" w:customStyle="1" w:styleId="NumPar4">
    <w:name w:val="NumPar 4"/>
    <w:basedOn w:val="Normal"/>
    <w:next w:val="Text1"/>
    <w:rsid w:val="009B7138"/>
    <w:pPr>
      <w:numPr>
        <w:ilvl w:val="3"/>
        <w:numId w:val="66"/>
      </w:numPr>
    </w:pPr>
  </w:style>
  <w:style w:type="paragraph" w:customStyle="1" w:styleId="ManualNumPar1">
    <w:name w:val="Manual NumPar 1"/>
    <w:basedOn w:val="Normal"/>
    <w:next w:val="Text1"/>
    <w:rsid w:val="009B7138"/>
    <w:pPr>
      <w:ind w:left="850" w:hanging="850"/>
    </w:pPr>
  </w:style>
  <w:style w:type="paragraph" w:customStyle="1" w:styleId="ManualNumPar2">
    <w:name w:val="Manual NumPar 2"/>
    <w:basedOn w:val="Normal"/>
    <w:next w:val="Text1"/>
    <w:rsid w:val="009B7138"/>
    <w:pPr>
      <w:ind w:left="850" w:hanging="850"/>
    </w:pPr>
  </w:style>
  <w:style w:type="paragraph" w:customStyle="1" w:styleId="ManualNumPar3">
    <w:name w:val="Manual NumPar 3"/>
    <w:basedOn w:val="Normal"/>
    <w:next w:val="Text1"/>
    <w:rsid w:val="009B7138"/>
    <w:pPr>
      <w:ind w:left="850" w:hanging="850"/>
    </w:pPr>
  </w:style>
  <w:style w:type="paragraph" w:customStyle="1" w:styleId="ManualNumPar4">
    <w:name w:val="Manual NumPar 4"/>
    <w:basedOn w:val="Normal"/>
    <w:next w:val="Text1"/>
    <w:rsid w:val="009B7138"/>
    <w:pPr>
      <w:ind w:left="850" w:hanging="850"/>
    </w:pPr>
  </w:style>
  <w:style w:type="paragraph" w:customStyle="1" w:styleId="QuotedNumPar">
    <w:name w:val="Quoted NumPar"/>
    <w:basedOn w:val="Normal"/>
    <w:rsid w:val="009B7138"/>
    <w:pPr>
      <w:ind w:left="1417" w:hanging="567"/>
    </w:pPr>
  </w:style>
  <w:style w:type="paragraph" w:customStyle="1" w:styleId="ManualHeading1">
    <w:name w:val="Manual Heading 1"/>
    <w:basedOn w:val="Normal"/>
    <w:next w:val="Text1"/>
    <w:rsid w:val="009B7138"/>
    <w:pPr>
      <w:keepNext/>
      <w:tabs>
        <w:tab w:val="left" w:pos="850"/>
      </w:tabs>
      <w:spacing w:before="360"/>
      <w:ind w:left="850" w:hanging="850"/>
      <w:outlineLvl w:val="0"/>
    </w:pPr>
    <w:rPr>
      <w:b/>
      <w:smallCaps/>
    </w:rPr>
  </w:style>
  <w:style w:type="paragraph" w:customStyle="1" w:styleId="ManualHeading2">
    <w:name w:val="Manual Heading 2"/>
    <w:basedOn w:val="Normal"/>
    <w:next w:val="Text1"/>
    <w:rsid w:val="009B7138"/>
    <w:pPr>
      <w:keepNext/>
      <w:tabs>
        <w:tab w:val="left" w:pos="850"/>
      </w:tabs>
      <w:ind w:left="850" w:hanging="850"/>
      <w:outlineLvl w:val="1"/>
    </w:pPr>
    <w:rPr>
      <w:b/>
    </w:rPr>
  </w:style>
  <w:style w:type="paragraph" w:customStyle="1" w:styleId="ManualHeading3">
    <w:name w:val="Manual Heading 3"/>
    <w:basedOn w:val="Normal"/>
    <w:next w:val="Text1"/>
    <w:rsid w:val="009B7138"/>
    <w:pPr>
      <w:keepNext/>
      <w:tabs>
        <w:tab w:val="left" w:pos="850"/>
      </w:tabs>
      <w:ind w:left="850" w:hanging="850"/>
      <w:outlineLvl w:val="2"/>
    </w:pPr>
    <w:rPr>
      <w:i/>
    </w:rPr>
  </w:style>
  <w:style w:type="paragraph" w:customStyle="1" w:styleId="ManualHeading4">
    <w:name w:val="Manual Heading 4"/>
    <w:basedOn w:val="Normal"/>
    <w:next w:val="Text1"/>
    <w:rsid w:val="009B7138"/>
    <w:pPr>
      <w:keepNext/>
      <w:tabs>
        <w:tab w:val="left" w:pos="850"/>
      </w:tabs>
      <w:ind w:left="850" w:hanging="850"/>
      <w:outlineLvl w:val="3"/>
    </w:pPr>
  </w:style>
  <w:style w:type="paragraph" w:customStyle="1" w:styleId="ChapterTitle">
    <w:name w:val="ChapterTitle"/>
    <w:basedOn w:val="Normal"/>
    <w:next w:val="Normal"/>
    <w:rsid w:val="009B7138"/>
    <w:pPr>
      <w:keepNext/>
      <w:spacing w:after="360"/>
      <w:jc w:val="center"/>
    </w:pPr>
    <w:rPr>
      <w:b/>
      <w:sz w:val="32"/>
    </w:rPr>
  </w:style>
  <w:style w:type="paragraph" w:customStyle="1" w:styleId="PartTitle">
    <w:name w:val="PartTitle"/>
    <w:basedOn w:val="Normal"/>
    <w:next w:val="ChapterTitle"/>
    <w:rsid w:val="009B7138"/>
    <w:pPr>
      <w:keepNext/>
      <w:pageBreakBefore/>
      <w:spacing w:after="360"/>
      <w:jc w:val="center"/>
    </w:pPr>
    <w:rPr>
      <w:b/>
      <w:sz w:val="36"/>
    </w:rPr>
  </w:style>
  <w:style w:type="paragraph" w:customStyle="1" w:styleId="SectionTitle">
    <w:name w:val="SectionTitle"/>
    <w:basedOn w:val="Normal"/>
    <w:next w:val="Heading1"/>
    <w:rsid w:val="009B7138"/>
    <w:pPr>
      <w:keepNext/>
      <w:spacing w:after="360"/>
      <w:jc w:val="center"/>
    </w:pPr>
    <w:rPr>
      <w:b/>
      <w:smallCaps/>
      <w:sz w:val="28"/>
    </w:rPr>
  </w:style>
  <w:style w:type="paragraph" w:customStyle="1" w:styleId="TableTitle">
    <w:name w:val="Table Title"/>
    <w:basedOn w:val="Normal"/>
    <w:next w:val="Normal"/>
    <w:rsid w:val="009B7138"/>
    <w:pPr>
      <w:jc w:val="center"/>
    </w:pPr>
    <w:rPr>
      <w:b/>
    </w:rPr>
  </w:style>
  <w:style w:type="character" w:customStyle="1" w:styleId="Marker">
    <w:name w:val="Marker"/>
    <w:basedOn w:val="DefaultParagraphFont"/>
    <w:rsid w:val="00CB58EC"/>
    <w:rPr>
      <w:color w:val="0000FF"/>
      <w:shd w:val="clear" w:color="auto" w:fill="auto"/>
    </w:rPr>
  </w:style>
  <w:style w:type="character" w:customStyle="1" w:styleId="Marker1">
    <w:name w:val="Marker1"/>
    <w:basedOn w:val="DefaultParagraphFont"/>
    <w:rsid w:val="009B7138"/>
    <w:rPr>
      <w:color w:val="008000"/>
      <w:shd w:val="clear" w:color="auto" w:fill="auto"/>
    </w:rPr>
  </w:style>
  <w:style w:type="character" w:customStyle="1" w:styleId="Marker2">
    <w:name w:val="Marker2"/>
    <w:basedOn w:val="DefaultParagraphFont"/>
    <w:rsid w:val="009B7138"/>
    <w:rPr>
      <w:color w:val="FF0000"/>
      <w:shd w:val="clear" w:color="auto" w:fill="auto"/>
    </w:rPr>
  </w:style>
  <w:style w:type="paragraph" w:customStyle="1" w:styleId="Point0number">
    <w:name w:val="Point 0 (number)"/>
    <w:basedOn w:val="Normal"/>
    <w:rsid w:val="009B7138"/>
    <w:pPr>
      <w:numPr>
        <w:numId w:val="53"/>
      </w:numPr>
    </w:pPr>
  </w:style>
  <w:style w:type="paragraph" w:customStyle="1" w:styleId="Point1number">
    <w:name w:val="Point 1 (number)"/>
    <w:basedOn w:val="Normal"/>
    <w:rsid w:val="009B7138"/>
    <w:pPr>
      <w:numPr>
        <w:ilvl w:val="2"/>
        <w:numId w:val="53"/>
      </w:numPr>
    </w:pPr>
  </w:style>
  <w:style w:type="paragraph" w:customStyle="1" w:styleId="Point2number">
    <w:name w:val="Point 2 (number)"/>
    <w:basedOn w:val="Normal"/>
    <w:rsid w:val="009B7138"/>
    <w:pPr>
      <w:numPr>
        <w:ilvl w:val="4"/>
        <w:numId w:val="53"/>
      </w:numPr>
    </w:pPr>
  </w:style>
  <w:style w:type="paragraph" w:customStyle="1" w:styleId="Point3number">
    <w:name w:val="Point 3 (number)"/>
    <w:basedOn w:val="Normal"/>
    <w:rsid w:val="009B7138"/>
    <w:pPr>
      <w:numPr>
        <w:ilvl w:val="6"/>
        <w:numId w:val="53"/>
      </w:numPr>
    </w:pPr>
  </w:style>
  <w:style w:type="paragraph" w:customStyle="1" w:styleId="Point0letter">
    <w:name w:val="Point 0 (letter)"/>
    <w:basedOn w:val="Normal"/>
    <w:rsid w:val="009B7138"/>
    <w:pPr>
      <w:numPr>
        <w:ilvl w:val="1"/>
        <w:numId w:val="53"/>
      </w:numPr>
    </w:pPr>
  </w:style>
  <w:style w:type="paragraph" w:customStyle="1" w:styleId="Point1letter">
    <w:name w:val="Point 1 (letter)"/>
    <w:basedOn w:val="Normal"/>
    <w:rsid w:val="009B7138"/>
    <w:pPr>
      <w:numPr>
        <w:ilvl w:val="3"/>
        <w:numId w:val="53"/>
      </w:numPr>
    </w:pPr>
  </w:style>
  <w:style w:type="paragraph" w:customStyle="1" w:styleId="Point2letter">
    <w:name w:val="Point 2 (letter)"/>
    <w:basedOn w:val="Normal"/>
    <w:rsid w:val="009B7138"/>
    <w:pPr>
      <w:numPr>
        <w:ilvl w:val="5"/>
        <w:numId w:val="53"/>
      </w:numPr>
    </w:pPr>
  </w:style>
  <w:style w:type="paragraph" w:customStyle="1" w:styleId="Point3letter">
    <w:name w:val="Point 3 (letter)"/>
    <w:basedOn w:val="Normal"/>
    <w:rsid w:val="009B7138"/>
    <w:pPr>
      <w:numPr>
        <w:ilvl w:val="7"/>
        <w:numId w:val="53"/>
      </w:numPr>
    </w:pPr>
  </w:style>
  <w:style w:type="paragraph" w:customStyle="1" w:styleId="Point4letter">
    <w:name w:val="Point 4 (letter)"/>
    <w:basedOn w:val="Normal"/>
    <w:rsid w:val="009B7138"/>
    <w:pPr>
      <w:numPr>
        <w:ilvl w:val="8"/>
        <w:numId w:val="53"/>
      </w:numPr>
    </w:pPr>
  </w:style>
  <w:style w:type="paragraph" w:customStyle="1" w:styleId="Bullet0">
    <w:name w:val="Bullet 0"/>
    <w:basedOn w:val="Normal"/>
    <w:rsid w:val="009B7138"/>
    <w:pPr>
      <w:numPr>
        <w:numId w:val="54"/>
      </w:numPr>
    </w:pPr>
  </w:style>
  <w:style w:type="paragraph" w:customStyle="1" w:styleId="Bullet1">
    <w:name w:val="Bullet 1"/>
    <w:basedOn w:val="Normal"/>
    <w:rsid w:val="009B7138"/>
    <w:pPr>
      <w:numPr>
        <w:numId w:val="55"/>
      </w:numPr>
    </w:pPr>
  </w:style>
  <w:style w:type="paragraph" w:customStyle="1" w:styleId="Bullet2">
    <w:name w:val="Bullet 2"/>
    <w:basedOn w:val="Normal"/>
    <w:rsid w:val="009B7138"/>
    <w:pPr>
      <w:numPr>
        <w:numId w:val="56"/>
      </w:numPr>
    </w:pPr>
  </w:style>
  <w:style w:type="paragraph" w:customStyle="1" w:styleId="Bullet3">
    <w:name w:val="Bullet 3"/>
    <w:basedOn w:val="Normal"/>
    <w:rsid w:val="009B7138"/>
    <w:pPr>
      <w:numPr>
        <w:numId w:val="57"/>
      </w:numPr>
    </w:pPr>
  </w:style>
  <w:style w:type="paragraph" w:customStyle="1" w:styleId="Bullet4">
    <w:name w:val="Bullet 4"/>
    <w:basedOn w:val="Normal"/>
    <w:rsid w:val="009B7138"/>
    <w:pPr>
      <w:numPr>
        <w:numId w:val="58"/>
      </w:numPr>
    </w:pPr>
  </w:style>
  <w:style w:type="paragraph" w:customStyle="1" w:styleId="Langue">
    <w:name w:val="Langue"/>
    <w:basedOn w:val="Normal"/>
    <w:next w:val="Rfrenceinterne"/>
    <w:rsid w:val="009B7138"/>
    <w:pPr>
      <w:framePr w:wrap="around" w:vAnchor="page" w:hAnchor="text" w:xAlign="center" w:y="14741"/>
      <w:spacing w:before="0" w:after="600"/>
      <w:jc w:val="center"/>
    </w:pPr>
    <w:rPr>
      <w:b/>
      <w:caps/>
    </w:rPr>
  </w:style>
  <w:style w:type="paragraph" w:customStyle="1" w:styleId="Nomdelinstitution">
    <w:name w:val="Nom de l'institution"/>
    <w:basedOn w:val="Normal"/>
    <w:next w:val="Emission"/>
    <w:rsid w:val="009B7138"/>
    <w:pPr>
      <w:spacing w:before="0" w:after="0"/>
      <w:jc w:val="left"/>
    </w:pPr>
    <w:rPr>
      <w:rFonts w:ascii="Arial" w:hAnsi="Arial" w:cs="Arial"/>
    </w:rPr>
  </w:style>
  <w:style w:type="paragraph" w:customStyle="1" w:styleId="Emission">
    <w:name w:val="Emission"/>
    <w:basedOn w:val="Normal"/>
    <w:next w:val="Rfrenceinstitutionnelle"/>
    <w:rsid w:val="009B7138"/>
    <w:pPr>
      <w:spacing w:before="0" w:after="0"/>
      <w:ind w:left="5103"/>
      <w:jc w:val="left"/>
    </w:pPr>
  </w:style>
  <w:style w:type="paragraph" w:customStyle="1" w:styleId="Rfrenceinstitutionnelle">
    <w:name w:val="Référence institutionnelle"/>
    <w:basedOn w:val="Normal"/>
    <w:next w:val="Confidentialit"/>
    <w:rsid w:val="009B7138"/>
    <w:pPr>
      <w:spacing w:before="0" w:after="240"/>
      <w:ind w:left="5103"/>
      <w:jc w:val="left"/>
    </w:pPr>
  </w:style>
  <w:style w:type="paragraph" w:customStyle="1" w:styleId="Pagedecouverture">
    <w:name w:val="Page de couverture"/>
    <w:basedOn w:val="Normal"/>
    <w:next w:val="Normal"/>
    <w:rsid w:val="009B7138"/>
    <w:pPr>
      <w:spacing w:before="0" w:after="0"/>
    </w:pPr>
  </w:style>
  <w:style w:type="paragraph" w:customStyle="1" w:styleId="Declassification">
    <w:name w:val="Declassification"/>
    <w:basedOn w:val="Normal"/>
    <w:next w:val="Normal"/>
    <w:rsid w:val="009B7138"/>
    <w:pPr>
      <w:spacing w:before="0" w:after="0"/>
    </w:pPr>
  </w:style>
  <w:style w:type="paragraph" w:customStyle="1" w:styleId="Disclaimer">
    <w:name w:val="Disclaimer"/>
    <w:basedOn w:val="Normal"/>
    <w:rsid w:val="009B7138"/>
    <w:pPr>
      <w:framePr w:w="8220" w:wrap="notBeside" w:hAnchor="margin" w:xAlign="center" w:y="10401"/>
      <w:pBdr>
        <w:top w:val="single" w:sz="6" w:space="4" w:color="auto"/>
        <w:left w:val="single" w:sz="6" w:space="7" w:color="auto"/>
        <w:bottom w:val="single" w:sz="6" w:space="4" w:color="auto"/>
        <w:right w:val="single" w:sz="6" w:space="7" w:color="auto"/>
      </w:pBdr>
      <w:shd w:val="clear" w:color="FFFFFF" w:fill="auto"/>
    </w:pPr>
  </w:style>
  <w:style w:type="paragraph" w:customStyle="1" w:styleId="SecurityMarking">
    <w:name w:val="SecurityMarking"/>
    <w:basedOn w:val="Normal"/>
    <w:rsid w:val="009B7138"/>
    <w:pPr>
      <w:spacing w:before="0" w:after="0" w:line="276" w:lineRule="auto"/>
      <w:ind w:left="5103"/>
      <w:jc w:val="left"/>
    </w:pPr>
    <w:rPr>
      <w:sz w:val="28"/>
    </w:rPr>
  </w:style>
  <w:style w:type="paragraph" w:customStyle="1" w:styleId="DateMarking">
    <w:name w:val="DateMarking"/>
    <w:basedOn w:val="Normal"/>
    <w:rsid w:val="009B7138"/>
    <w:pPr>
      <w:spacing w:before="0" w:after="0" w:line="276" w:lineRule="auto"/>
      <w:ind w:left="5103"/>
      <w:jc w:val="left"/>
    </w:pPr>
    <w:rPr>
      <w:i/>
      <w:sz w:val="28"/>
    </w:rPr>
  </w:style>
  <w:style w:type="paragraph" w:customStyle="1" w:styleId="ReleasableTo">
    <w:name w:val="ReleasableTo"/>
    <w:basedOn w:val="Normal"/>
    <w:rsid w:val="009B7138"/>
    <w:pPr>
      <w:spacing w:before="0" w:after="0" w:line="276" w:lineRule="auto"/>
      <w:ind w:left="5103"/>
      <w:jc w:val="left"/>
    </w:pPr>
    <w:rPr>
      <w:i/>
      <w:sz w:val="28"/>
    </w:rPr>
  </w:style>
  <w:style w:type="paragraph" w:customStyle="1" w:styleId="Annexetitreexpos">
    <w:name w:val="Annexe titre (exposé)"/>
    <w:basedOn w:val="Normal"/>
    <w:next w:val="Normal"/>
    <w:rsid w:val="009B7138"/>
    <w:pPr>
      <w:jc w:val="center"/>
    </w:pPr>
    <w:rPr>
      <w:b/>
      <w:u w:val="single"/>
    </w:rPr>
  </w:style>
  <w:style w:type="paragraph" w:customStyle="1" w:styleId="Annexetitre">
    <w:name w:val="Annexe titre"/>
    <w:basedOn w:val="Normal"/>
    <w:next w:val="Normal"/>
    <w:rsid w:val="009B7138"/>
    <w:pPr>
      <w:jc w:val="center"/>
    </w:pPr>
    <w:rPr>
      <w:b/>
      <w:u w:val="single"/>
    </w:rPr>
  </w:style>
  <w:style w:type="paragraph" w:customStyle="1" w:styleId="Annexetitrefichefinancire">
    <w:name w:val="Annexe titre (fiche financière)"/>
    <w:basedOn w:val="Normal"/>
    <w:next w:val="Normal"/>
    <w:rsid w:val="009B7138"/>
    <w:pPr>
      <w:jc w:val="center"/>
    </w:pPr>
    <w:rPr>
      <w:b/>
      <w:u w:val="single"/>
    </w:rPr>
  </w:style>
  <w:style w:type="paragraph" w:customStyle="1" w:styleId="Applicationdirecte">
    <w:name w:val="Application directe"/>
    <w:basedOn w:val="Normal"/>
    <w:next w:val="Fait"/>
    <w:rsid w:val="009B7138"/>
    <w:pPr>
      <w:spacing w:before="480"/>
    </w:pPr>
  </w:style>
  <w:style w:type="paragraph" w:customStyle="1" w:styleId="Avertissementtitre">
    <w:name w:val="Avertissement titre"/>
    <w:basedOn w:val="Normal"/>
    <w:next w:val="Normal"/>
    <w:rsid w:val="009B7138"/>
    <w:pPr>
      <w:keepNext/>
      <w:spacing w:before="480"/>
    </w:pPr>
    <w:rPr>
      <w:u w:val="single"/>
    </w:rPr>
  </w:style>
  <w:style w:type="paragraph" w:customStyle="1" w:styleId="Confidence">
    <w:name w:val="Confidence"/>
    <w:basedOn w:val="Normal"/>
    <w:next w:val="Normal"/>
    <w:rsid w:val="009B7138"/>
    <w:pPr>
      <w:spacing w:before="360"/>
      <w:jc w:val="center"/>
    </w:pPr>
  </w:style>
  <w:style w:type="paragraph" w:customStyle="1" w:styleId="Confidentialit">
    <w:name w:val="Confidentialité"/>
    <w:basedOn w:val="Normal"/>
    <w:next w:val="TypedudocumentPagedecouverture"/>
    <w:rsid w:val="009B7138"/>
    <w:pPr>
      <w:spacing w:before="240" w:after="240"/>
      <w:ind w:left="5103"/>
      <w:jc w:val="left"/>
    </w:pPr>
    <w:rPr>
      <w:i/>
      <w:sz w:val="32"/>
    </w:rPr>
  </w:style>
  <w:style w:type="paragraph" w:customStyle="1" w:styleId="Considrant">
    <w:name w:val="Considérant"/>
    <w:basedOn w:val="Normal"/>
    <w:rsid w:val="009B7138"/>
    <w:pPr>
      <w:numPr>
        <w:numId w:val="59"/>
      </w:numPr>
    </w:pPr>
  </w:style>
  <w:style w:type="paragraph" w:customStyle="1" w:styleId="Corrigendum">
    <w:name w:val="Corrigendum"/>
    <w:basedOn w:val="Normal"/>
    <w:next w:val="Normal"/>
    <w:rsid w:val="009B7138"/>
    <w:pPr>
      <w:spacing w:before="0" w:after="240"/>
      <w:jc w:val="left"/>
    </w:pPr>
  </w:style>
  <w:style w:type="paragraph" w:customStyle="1" w:styleId="Datedadoption">
    <w:name w:val="Date d'adoption"/>
    <w:basedOn w:val="Normal"/>
    <w:next w:val="Titreobjet"/>
    <w:rsid w:val="009B7138"/>
    <w:pPr>
      <w:spacing w:before="360" w:after="0"/>
      <w:jc w:val="center"/>
    </w:pPr>
    <w:rPr>
      <w:b/>
    </w:rPr>
  </w:style>
  <w:style w:type="paragraph" w:customStyle="1" w:styleId="Exposdesmotifstitre">
    <w:name w:val="Exposé des motifs titre"/>
    <w:basedOn w:val="Normal"/>
    <w:next w:val="Normal"/>
    <w:rsid w:val="009B7138"/>
    <w:pPr>
      <w:jc w:val="center"/>
    </w:pPr>
    <w:rPr>
      <w:b/>
      <w:u w:val="single"/>
    </w:rPr>
  </w:style>
  <w:style w:type="paragraph" w:customStyle="1" w:styleId="Fait">
    <w:name w:val="Fait à"/>
    <w:basedOn w:val="Normal"/>
    <w:next w:val="Institutionquisigne"/>
    <w:rsid w:val="009B7138"/>
    <w:pPr>
      <w:keepNext/>
      <w:spacing w:after="0"/>
    </w:pPr>
  </w:style>
  <w:style w:type="paragraph" w:customStyle="1" w:styleId="Formuledadoption">
    <w:name w:val="Formule d'adoption"/>
    <w:basedOn w:val="Normal"/>
    <w:next w:val="Titrearticle"/>
    <w:rsid w:val="009B7138"/>
    <w:pPr>
      <w:keepNext/>
    </w:pPr>
  </w:style>
  <w:style w:type="paragraph" w:customStyle="1" w:styleId="Institutionquiagit">
    <w:name w:val="Institution qui agit"/>
    <w:basedOn w:val="Normal"/>
    <w:next w:val="Normal"/>
    <w:rsid w:val="009B7138"/>
    <w:pPr>
      <w:keepNext/>
      <w:spacing w:before="600"/>
    </w:pPr>
  </w:style>
  <w:style w:type="paragraph" w:customStyle="1" w:styleId="Institutionquisigne">
    <w:name w:val="Institution qui signe"/>
    <w:basedOn w:val="Normal"/>
    <w:next w:val="Personnequisigne"/>
    <w:rsid w:val="009B7138"/>
    <w:pPr>
      <w:keepNext/>
      <w:tabs>
        <w:tab w:val="left" w:pos="4252"/>
      </w:tabs>
      <w:spacing w:before="720" w:after="0"/>
    </w:pPr>
    <w:rPr>
      <w:i/>
    </w:rPr>
  </w:style>
  <w:style w:type="paragraph" w:customStyle="1" w:styleId="ManualConsidrant">
    <w:name w:val="Manual Considérant"/>
    <w:basedOn w:val="Normal"/>
    <w:rsid w:val="009B7138"/>
    <w:pPr>
      <w:ind w:left="709" w:hanging="709"/>
    </w:pPr>
  </w:style>
  <w:style w:type="paragraph" w:customStyle="1" w:styleId="Personnequisigne">
    <w:name w:val="Personne qui signe"/>
    <w:basedOn w:val="Normal"/>
    <w:next w:val="Institutionquisigne"/>
    <w:rsid w:val="009B7138"/>
    <w:pPr>
      <w:tabs>
        <w:tab w:val="left" w:pos="4252"/>
      </w:tabs>
      <w:spacing w:before="0" w:after="0"/>
      <w:jc w:val="left"/>
    </w:pPr>
    <w:rPr>
      <w:i/>
    </w:rPr>
  </w:style>
  <w:style w:type="paragraph" w:customStyle="1" w:styleId="Rfrenceinterinstitutionnelle">
    <w:name w:val="Référence interinstitutionnelle"/>
    <w:basedOn w:val="Normal"/>
    <w:next w:val="Statut"/>
    <w:rsid w:val="009B7138"/>
    <w:pPr>
      <w:spacing w:before="0" w:after="0"/>
      <w:ind w:left="5103"/>
      <w:jc w:val="left"/>
    </w:pPr>
  </w:style>
  <w:style w:type="paragraph" w:customStyle="1" w:styleId="Rfrenceinterne">
    <w:name w:val="Référence interne"/>
    <w:basedOn w:val="Normal"/>
    <w:next w:val="Rfrenceinterinstitutionnelle"/>
    <w:rsid w:val="009B7138"/>
    <w:pPr>
      <w:spacing w:before="0" w:after="0"/>
      <w:ind w:left="5103"/>
      <w:jc w:val="left"/>
    </w:pPr>
  </w:style>
  <w:style w:type="paragraph" w:customStyle="1" w:styleId="Statut">
    <w:name w:val="Statut"/>
    <w:basedOn w:val="Normal"/>
    <w:next w:val="Typedudocument"/>
    <w:rsid w:val="009B7138"/>
    <w:pPr>
      <w:spacing w:before="360" w:after="0"/>
      <w:jc w:val="center"/>
    </w:pPr>
  </w:style>
  <w:style w:type="paragraph" w:customStyle="1" w:styleId="Titrearticle">
    <w:name w:val="Titre article"/>
    <w:basedOn w:val="Normal"/>
    <w:next w:val="Normal"/>
    <w:rsid w:val="009B7138"/>
    <w:pPr>
      <w:keepNext/>
      <w:spacing w:before="360"/>
      <w:jc w:val="center"/>
    </w:pPr>
    <w:rPr>
      <w:i/>
    </w:rPr>
  </w:style>
  <w:style w:type="paragraph" w:customStyle="1" w:styleId="Titreobjet">
    <w:name w:val="Titre objet"/>
    <w:basedOn w:val="Normal"/>
    <w:next w:val="IntrtEEE"/>
    <w:rsid w:val="009B7138"/>
    <w:pPr>
      <w:spacing w:before="360" w:after="360"/>
      <w:jc w:val="center"/>
    </w:pPr>
    <w:rPr>
      <w:b/>
    </w:rPr>
  </w:style>
  <w:style w:type="paragraph" w:customStyle="1" w:styleId="Typedudocument">
    <w:name w:val="Type du document"/>
    <w:basedOn w:val="Normal"/>
    <w:next w:val="Titreobjet"/>
    <w:rsid w:val="009B7138"/>
    <w:pPr>
      <w:spacing w:before="360" w:after="0"/>
      <w:jc w:val="center"/>
    </w:pPr>
    <w:rPr>
      <w:b/>
    </w:rPr>
  </w:style>
  <w:style w:type="character" w:customStyle="1" w:styleId="Added">
    <w:name w:val="Added"/>
    <w:basedOn w:val="DefaultParagraphFont"/>
    <w:rsid w:val="009B7138"/>
    <w:rPr>
      <w:b/>
      <w:u w:val="single"/>
      <w:shd w:val="clear" w:color="auto" w:fill="auto"/>
    </w:rPr>
  </w:style>
  <w:style w:type="character" w:customStyle="1" w:styleId="Deleted">
    <w:name w:val="Deleted"/>
    <w:basedOn w:val="DefaultParagraphFont"/>
    <w:rsid w:val="009B7138"/>
    <w:rPr>
      <w:strike/>
      <w:dstrike w:val="0"/>
      <w:shd w:val="clear" w:color="auto" w:fill="auto"/>
    </w:rPr>
  </w:style>
  <w:style w:type="paragraph" w:customStyle="1" w:styleId="Address">
    <w:name w:val="Address"/>
    <w:basedOn w:val="Normal"/>
    <w:next w:val="Normal"/>
    <w:rsid w:val="009B7138"/>
    <w:pPr>
      <w:keepLines/>
      <w:spacing w:line="360" w:lineRule="auto"/>
      <w:ind w:left="3402"/>
      <w:jc w:val="left"/>
    </w:pPr>
  </w:style>
  <w:style w:type="paragraph" w:customStyle="1" w:styleId="Objetexterne">
    <w:name w:val="Objet externe"/>
    <w:basedOn w:val="Normal"/>
    <w:next w:val="Normal"/>
    <w:rsid w:val="009B7138"/>
    <w:rPr>
      <w:i/>
      <w:caps/>
    </w:rPr>
  </w:style>
  <w:style w:type="paragraph" w:customStyle="1" w:styleId="Supertitre">
    <w:name w:val="Supertitre"/>
    <w:basedOn w:val="Normal"/>
    <w:next w:val="Normal"/>
    <w:rsid w:val="009B7138"/>
    <w:pPr>
      <w:spacing w:before="0" w:after="600"/>
      <w:jc w:val="center"/>
    </w:pPr>
    <w:rPr>
      <w:b/>
    </w:rPr>
  </w:style>
  <w:style w:type="paragraph" w:customStyle="1" w:styleId="Languesfaisantfoi">
    <w:name w:val="Langues faisant foi"/>
    <w:basedOn w:val="Normal"/>
    <w:next w:val="Normal"/>
    <w:rsid w:val="009B7138"/>
    <w:pPr>
      <w:spacing w:before="360" w:after="0"/>
      <w:jc w:val="center"/>
    </w:pPr>
  </w:style>
  <w:style w:type="paragraph" w:customStyle="1" w:styleId="Rfrencecroise">
    <w:name w:val="Référence croisée"/>
    <w:basedOn w:val="Normal"/>
    <w:rsid w:val="009B7138"/>
    <w:pPr>
      <w:spacing w:before="0" w:after="0"/>
      <w:jc w:val="center"/>
    </w:pPr>
  </w:style>
  <w:style w:type="paragraph" w:customStyle="1" w:styleId="Fichefinanciretitre">
    <w:name w:val="Fiche financière titre"/>
    <w:basedOn w:val="Normal"/>
    <w:next w:val="Normal"/>
    <w:rsid w:val="009B7138"/>
    <w:pPr>
      <w:jc w:val="center"/>
    </w:pPr>
    <w:rPr>
      <w:b/>
      <w:u w:val="single"/>
    </w:rPr>
  </w:style>
  <w:style w:type="paragraph" w:customStyle="1" w:styleId="DatedadoptionPagedecouverture">
    <w:name w:val="Date d'adoption (Page de couverture)"/>
    <w:basedOn w:val="Datedadoption"/>
    <w:next w:val="TitreobjetPagedecouverture"/>
    <w:rsid w:val="009B7138"/>
  </w:style>
  <w:style w:type="paragraph" w:customStyle="1" w:styleId="RfrenceinterinstitutionnellePagedecouverture">
    <w:name w:val="Référence interinstitutionnelle (Page de couverture)"/>
    <w:basedOn w:val="Rfrenceinterinstitutionnelle"/>
    <w:next w:val="Confidentialit"/>
    <w:rsid w:val="009B7138"/>
  </w:style>
  <w:style w:type="paragraph" w:customStyle="1" w:styleId="StatutPagedecouverture">
    <w:name w:val="Statut (Page de couverture)"/>
    <w:basedOn w:val="Statut"/>
    <w:next w:val="TypedudocumentPagedecouverture"/>
    <w:rsid w:val="009B7138"/>
  </w:style>
  <w:style w:type="paragraph" w:customStyle="1" w:styleId="TitreobjetPagedecouverture">
    <w:name w:val="Titre objet (Page de couverture)"/>
    <w:basedOn w:val="Titreobjet"/>
    <w:next w:val="IntrtEEEPagedecouverture"/>
    <w:rsid w:val="009B7138"/>
  </w:style>
  <w:style w:type="paragraph" w:customStyle="1" w:styleId="TypedudocumentPagedecouverture">
    <w:name w:val="Type du document (Page de couverture)"/>
    <w:basedOn w:val="Typedudocument"/>
    <w:next w:val="TitreobjetPagedecouverture"/>
    <w:rsid w:val="009B7138"/>
  </w:style>
  <w:style w:type="paragraph" w:customStyle="1" w:styleId="Volume">
    <w:name w:val="Volume"/>
    <w:basedOn w:val="Normal"/>
    <w:next w:val="Confidentialit"/>
    <w:rsid w:val="009B7138"/>
    <w:pPr>
      <w:spacing w:before="0" w:after="240"/>
      <w:ind w:left="5103"/>
      <w:jc w:val="left"/>
    </w:pPr>
  </w:style>
  <w:style w:type="paragraph" w:customStyle="1" w:styleId="IntrtEEE">
    <w:name w:val="Intérêt EEE"/>
    <w:basedOn w:val="Languesfaisantfoi"/>
    <w:next w:val="Normal"/>
    <w:rsid w:val="009B7138"/>
    <w:pPr>
      <w:spacing w:after="240"/>
    </w:pPr>
  </w:style>
  <w:style w:type="paragraph" w:customStyle="1" w:styleId="Accompagnant">
    <w:name w:val="Accompagnant"/>
    <w:basedOn w:val="Normal"/>
    <w:next w:val="Typeacteprincipal"/>
    <w:rsid w:val="009B7138"/>
    <w:pPr>
      <w:spacing w:before="0" w:after="240"/>
      <w:jc w:val="center"/>
    </w:pPr>
    <w:rPr>
      <w:b/>
      <w:i/>
    </w:rPr>
  </w:style>
  <w:style w:type="paragraph" w:customStyle="1" w:styleId="Typeacteprincipal">
    <w:name w:val="Type acte principal"/>
    <w:basedOn w:val="Normal"/>
    <w:next w:val="Objetacteprincipal"/>
    <w:rsid w:val="009B7138"/>
    <w:pPr>
      <w:spacing w:before="0" w:after="240"/>
      <w:jc w:val="center"/>
    </w:pPr>
    <w:rPr>
      <w:b/>
    </w:rPr>
  </w:style>
  <w:style w:type="paragraph" w:customStyle="1" w:styleId="Objetacteprincipal">
    <w:name w:val="Objet acte principal"/>
    <w:basedOn w:val="Normal"/>
    <w:next w:val="Titrearticle"/>
    <w:rsid w:val="009B7138"/>
    <w:pPr>
      <w:spacing w:before="0" w:after="360"/>
      <w:jc w:val="center"/>
    </w:pPr>
    <w:rPr>
      <w:b/>
    </w:rPr>
  </w:style>
  <w:style w:type="paragraph" w:customStyle="1" w:styleId="IntrtEEEPagedecouverture">
    <w:name w:val="Intérêt EEE (Page de couverture)"/>
    <w:basedOn w:val="IntrtEEE"/>
    <w:next w:val="Rfrencecroise"/>
    <w:rsid w:val="009B7138"/>
  </w:style>
  <w:style w:type="paragraph" w:customStyle="1" w:styleId="AccompagnantPagedecouverture">
    <w:name w:val="Accompagnant (Page de couverture)"/>
    <w:basedOn w:val="Accompagnant"/>
    <w:next w:val="TypeacteprincipalPagedecouverture"/>
    <w:rsid w:val="009B7138"/>
  </w:style>
  <w:style w:type="paragraph" w:customStyle="1" w:styleId="TypeacteprincipalPagedecouverture">
    <w:name w:val="Type acte principal (Page de couverture)"/>
    <w:basedOn w:val="Typeacteprincipal"/>
    <w:next w:val="ObjetacteprincipalPagedecouverture"/>
    <w:rsid w:val="009B7138"/>
  </w:style>
  <w:style w:type="paragraph" w:customStyle="1" w:styleId="ObjetacteprincipalPagedecouverture">
    <w:name w:val="Objet acte principal (Page de couverture)"/>
    <w:basedOn w:val="Objetacteprincipal"/>
    <w:next w:val="Rfrencecroise"/>
    <w:rsid w:val="009B7138"/>
  </w:style>
  <w:style w:type="paragraph" w:customStyle="1" w:styleId="LanguesfaisantfoiPagedecouverture">
    <w:name w:val="Langues faisant foi (Page de couverture)"/>
    <w:basedOn w:val="Normal"/>
    <w:next w:val="Normal"/>
    <w:rsid w:val="009B7138"/>
    <w:pPr>
      <w:spacing w:before="360" w:after="0"/>
      <w:jc w:val="center"/>
    </w:pPr>
  </w:style>
  <w:style w:type="character" w:customStyle="1" w:styleId="Heading5Char">
    <w:name w:val="Heading 5 Char"/>
    <w:basedOn w:val="DefaultParagraphFont"/>
    <w:link w:val="Heading5"/>
    <w:uiPriority w:val="9"/>
    <w:semiHidden/>
    <w:rsid w:val="004C0D10"/>
    <w:rPr>
      <w:rFonts w:ascii="Times New Roman" w:eastAsiaTheme="majorEastAsia" w:hAnsi="Times New Roman" w:cs="Times New Roman"/>
      <w:sz w:val="24"/>
      <w:lang w:val="pl-PL"/>
    </w:rPr>
  </w:style>
  <w:style w:type="character" w:customStyle="1" w:styleId="Heading6Char">
    <w:name w:val="Heading 6 Char"/>
    <w:basedOn w:val="DefaultParagraphFont"/>
    <w:link w:val="Heading6"/>
    <w:uiPriority w:val="9"/>
    <w:semiHidden/>
    <w:rsid w:val="004C0D10"/>
    <w:rPr>
      <w:rFonts w:ascii="Times New Roman" w:eastAsiaTheme="majorEastAsia" w:hAnsi="Times New Roman" w:cs="Times New Roman"/>
      <w:iCs/>
      <w:sz w:val="24"/>
      <w:lang w:val="pl-PL"/>
    </w:rPr>
  </w:style>
  <w:style w:type="character" w:customStyle="1" w:styleId="Heading7Char">
    <w:name w:val="Heading 7 Char"/>
    <w:basedOn w:val="DefaultParagraphFont"/>
    <w:link w:val="Heading7"/>
    <w:uiPriority w:val="9"/>
    <w:semiHidden/>
    <w:rsid w:val="004C0D10"/>
    <w:rPr>
      <w:rFonts w:ascii="Times New Roman" w:eastAsiaTheme="majorEastAsia" w:hAnsi="Times New Roman" w:cs="Times New Roman"/>
      <w:iCs/>
      <w:sz w:val="24"/>
      <w:lang w:val="pl-PL"/>
    </w:rPr>
  </w:style>
  <w:style w:type="paragraph" w:customStyle="1" w:styleId="ManualHeading5">
    <w:name w:val="Manual Heading 5"/>
    <w:basedOn w:val="Normal"/>
    <w:next w:val="Text2"/>
    <w:rsid w:val="004C0D10"/>
    <w:pPr>
      <w:keepNext/>
      <w:tabs>
        <w:tab w:val="left" w:pos="1417"/>
      </w:tabs>
      <w:ind w:left="1417" w:hanging="1417"/>
      <w:outlineLvl w:val="4"/>
    </w:pPr>
  </w:style>
  <w:style w:type="paragraph" w:customStyle="1" w:styleId="ManualHeading6">
    <w:name w:val="Manual Heading 6"/>
    <w:basedOn w:val="Normal"/>
    <w:next w:val="Text2"/>
    <w:rsid w:val="004C0D10"/>
    <w:pPr>
      <w:keepNext/>
      <w:tabs>
        <w:tab w:val="left" w:pos="1417"/>
      </w:tabs>
      <w:ind w:left="1417" w:hanging="1417"/>
      <w:outlineLvl w:val="5"/>
    </w:pPr>
  </w:style>
  <w:style w:type="paragraph" w:customStyle="1" w:styleId="ManualHeading7">
    <w:name w:val="Manual Heading 7"/>
    <w:basedOn w:val="Normal"/>
    <w:next w:val="Text2"/>
    <w:rsid w:val="004C0D10"/>
    <w:pPr>
      <w:keepNext/>
      <w:tabs>
        <w:tab w:val="left" w:pos="1417"/>
      </w:tabs>
      <w:ind w:left="1417" w:hanging="1417"/>
      <w:outlineLvl w:val="6"/>
    </w:pPr>
  </w:style>
  <w:style w:type="paragraph" w:customStyle="1" w:styleId="Text5">
    <w:name w:val="Text 5"/>
    <w:basedOn w:val="Normal"/>
    <w:rsid w:val="004C0D10"/>
    <w:pPr>
      <w:ind w:left="3118"/>
    </w:pPr>
  </w:style>
  <w:style w:type="paragraph" w:customStyle="1" w:styleId="Text6">
    <w:name w:val="Text 6"/>
    <w:basedOn w:val="Normal"/>
    <w:rsid w:val="004C0D10"/>
    <w:pPr>
      <w:ind w:left="3685"/>
    </w:pPr>
  </w:style>
  <w:style w:type="paragraph" w:customStyle="1" w:styleId="Point5">
    <w:name w:val="Point 5"/>
    <w:basedOn w:val="Normal"/>
    <w:rsid w:val="004C0D10"/>
    <w:pPr>
      <w:ind w:left="3685" w:hanging="567"/>
    </w:pPr>
  </w:style>
  <w:style w:type="paragraph" w:customStyle="1" w:styleId="Tiret5">
    <w:name w:val="Tiret 5"/>
    <w:basedOn w:val="Point5"/>
    <w:rsid w:val="004C0D10"/>
    <w:pPr>
      <w:numPr>
        <w:numId w:val="63"/>
      </w:numPr>
    </w:pPr>
  </w:style>
  <w:style w:type="paragraph" w:customStyle="1" w:styleId="NumPar5">
    <w:name w:val="NumPar 5"/>
    <w:basedOn w:val="Normal"/>
    <w:next w:val="Text2"/>
    <w:rsid w:val="004C0D10"/>
    <w:pPr>
      <w:numPr>
        <w:ilvl w:val="4"/>
        <w:numId w:val="66"/>
      </w:numPr>
    </w:pPr>
  </w:style>
  <w:style w:type="paragraph" w:customStyle="1" w:styleId="NumPar6">
    <w:name w:val="NumPar 6"/>
    <w:basedOn w:val="Normal"/>
    <w:next w:val="Text2"/>
    <w:rsid w:val="004C0D10"/>
    <w:pPr>
      <w:numPr>
        <w:ilvl w:val="5"/>
        <w:numId w:val="66"/>
      </w:numPr>
    </w:pPr>
  </w:style>
  <w:style w:type="paragraph" w:customStyle="1" w:styleId="NumPar7">
    <w:name w:val="NumPar 7"/>
    <w:basedOn w:val="Normal"/>
    <w:next w:val="Text2"/>
    <w:rsid w:val="004C0D10"/>
    <w:pPr>
      <w:numPr>
        <w:ilvl w:val="6"/>
        <w:numId w:val="66"/>
      </w:numPr>
    </w:pPr>
  </w:style>
  <w:style w:type="paragraph" w:customStyle="1" w:styleId="ManualNumPar5">
    <w:name w:val="Manual NumPar 5"/>
    <w:basedOn w:val="Normal"/>
    <w:next w:val="Text2"/>
    <w:rsid w:val="004C0D10"/>
    <w:pPr>
      <w:ind w:left="1417" w:hanging="1417"/>
    </w:pPr>
  </w:style>
  <w:style w:type="paragraph" w:customStyle="1" w:styleId="ManualNumPar6">
    <w:name w:val="Manual NumPar 6"/>
    <w:basedOn w:val="Normal"/>
    <w:next w:val="Text2"/>
    <w:rsid w:val="004C0D10"/>
    <w:pPr>
      <w:ind w:left="1417" w:hanging="1417"/>
    </w:pPr>
  </w:style>
  <w:style w:type="paragraph" w:customStyle="1" w:styleId="ManualNumPar7">
    <w:name w:val="Manual NumPar 7"/>
    <w:basedOn w:val="Normal"/>
    <w:next w:val="Text2"/>
    <w:rsid w:val="004C0D10"/>
    <w:pPr>
      <w:ind w:left="1417" w:hanging="1417"/>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8255286">
      <w:bodyDiv w:val="1"/>
      <w:marLeft w:val="0"/>
      <w:marRight w:val="0"/>
      <w:marTop w:val="0"/>
      <w:marBottom w:val="0"/>
      <w:divBdr>
        <w:top w:val="none" w:sz="0" w:space="0" w:color="auto"/>
        <w:left w:val="none" w:sz="0" w:space="0" w:color="auto"/>
        <w:bottom w:val="none" w:sz="0" w:space="0" w:color="auto"/>
        <w:right w:val="none" w:sz="0" w:space="0" w:color="auto"/>
      </w:divBdr>
    </w:div>
    <w:div w:id="331950287">
      <w:bodyDiv w:val="1"/>
      <w:marLeft w:val="0"/>
      <w:marRight w:val="0"/>
      <w:marTop w:val="0"/>
      <w:marBottom w:val="0"/>
      <w:divBdr>
        <w:top w:val="none" w:sz="0" w:space="0" w:color="auto"/>
        <w:left w:val="none" w:sz="0" w:space="0" w:color="auto"/>
        <w:bottom w:val="none" w:sz="0" w:space="0" w:color="auto"/>
        <w:right w:val="none" w:sz="0" w:space="0" w:color="auto"/>
      </w:divBdr>
    </w:div>
    <w:div w:id="332883174">
      <w:bodyDiv w:val="1"/>
      <w:marLeft w:val="0"/>
      <w:marRight w:val="0"/>
      <w:marTop w:val="0"/>
      <w:marBottom w:val="0"/>
      <w:divBdr>
        <w:top w:val="none" w:sz="0" w:space="0" w:color="auto"/>
        <w:left w:val="none" w:sz="0" w:space="0" w:color="auto"/>
        <w:bottom w:val="none" w:sz="0" w:space="0" w:color="auto"/>
        <w:right w:val="none" w:sz="0" w:space="0" w:color="auto"/>
      </w:divBdr>
    </w:div>
    <w:div w:id="476991786">
      <w:bodyDiv w:val="1"/>
      <w:marLeft w:val="0"/>
      <w:marRight w:val="0"/>
      <w:marTop w:val="0"/>
      <w:marBottom w:val="0"/>
      <w:divBdr>
        <w:top w:val="none" w:sz="0" w:space="0" w:color="auto"/>
        <w:left w:val="none" w:sz="0" w:space="0" w:color="auto"/>
        <w:bottom w:val="none" w:sz="0" w:space="0" w:color="auto"/>
        <w:right w:val="none" w:sz="0" w:space="0" w:color="auto"/>
      </w:divBdr>
    </w:div>
    <w:div w:id="526649154">
      <w:bodyDiv w:val="1"/>
      <w:marLeft w:val="0"/>
      <w:marRight w:val="0"/>
      <w:marTop w:val="0"/>
      <w:marBottom w:val="0"/>
      <w:divBdr>
        <w:top w:val="none" w:sz="0" w:space="0" w:color="auto"/>
        <w:left w:val="none" w:sz="0" w:space="0" w:color="auto"/>
        <w:bottom w:val="none" w:sz="0" w:space="0" w:color="auto"/>
        <w:right w:val="none" w:sz="0" w:space="0" w:color="auto"/>
      </w:divBdr>
    </w:div>
    <w:div w:id="611791434">
      <w:bodyDiv w:val="1"/>
      <w:marLeft w:val="0"/>
      <w:marRight w:val="0"/>
      <w:marTop w:val="0"/>
      <w:marBottom w:val="0"/>
      <w:divBdr>
        <w:top w:val="none" w:sz="0" w:space="0" w:color="auto"/>
        <w:left w:val="none" w:sz="0" w:space="0" w:color="auto"/>
        <w:bottom w:val="none" w:sz="0" w:space="0" w:color="auto"/>
        <w:right w:val="none" w:sz="0" w:space="0" w:color="auto"/>
      </w:divBdr>
    </w:div>
    <w:div w:id="644893055">
      <w:bodyDiv w:val="1"/>
      <w:marLeft w:val="0"/>
      <w:marRight w:val="0"/>
      <w:marTop w:val="0"/>
      <w:marBottom w:val="0"/>
      <w:divBdr>
        <w:top w:val="none" w:sz="0" w:space="0" w:color="auto"/>
        <w:left w:val="none" w:sz="0" w:space="0" w:color="auto"/>
        <w:bottom w:val="none" w:sz="0" w:space="0" w:color="auto"/>
        <w:right w:val="none" w:sz="0" w:space="0" w:color="auto"/>
      </w:divBdr>
    </w:div>
    <w:div w:id="649024096">
      <w:bodyDiv w:val="1"/>
      <w:marLeft w:val="0"/>
      <w:marRight w:val="0"/>
      <w:marTop w:val="0"/>
      <w:marBottom w:val="0"/>
      <w:divBdr>
        <w:top w:val="none" w:sz="0" w:space="0" w:color="auto"/>
        <w:left w:val="none" w:sz="0" w:space="0" w:color="auto"/>
        <w:bottom w:val="none" w:sz="0" w:space="0" w:color="auto"/>
        <w:right w:val="none" w:sz="0" w:space="0" w:color="auto"/>
      </w:divBdr>
    </w:div>
    <w:div w:id="653219887">
      <w:bodyDiv w:val="1"/>
      <w:marLeft w:val="0"/>
      <w:marRight w:val="0"/>
      <w:marTop w:val="0"/>
      <w:marBottom w:val="0"/>
      <w:divBdr>
        <w:top w:val="none" w:sz="0" w:space="0" w:color="auto"/>
        <w:left w:val="none" w:sz="0" w:space="0" w:color="auto"/>
        <w:bottom w:val="none" w:sz="0" w:space="0" w:color="auto"/>
        <w:right w:val="none" w:sz="0" w:space="0" w:color="auto"/>
      </w:divBdr>
    </w:div>
    <w:div w:id="823592076">
      <w:bodyDiv w:val="1"/>
      <w:marLeft w:val="0"/>
      <w:marRight w:val="0"/>
      <w:marTop w:val="0"/>
      <w:marBottom w:val="0"/>
      <w:divBdr>
        <w:top w:val="none" w:sz="0" w:space="0" w:color="auto"/>
        <w:left w:val="none" w:sz="0" w:space="0" w:color="auto"/>
        <w:bottom w:val="none" w:sz="0" w:space="0" w:color="auto"/>
        <w:right w:val="none" w:sz="0" w:space="0" w:color="auto"/>
      </w:divBdr>
    </w:div>
    <w:div w:id="893393498">
      <w:bodyDiv w:val="1"/>
      <w:marLeft w:val="0"/>
      <w:marRight w:val="0"/>
      <w:marTop w:val="0"/>
      <w:marBottom w:val="0"/>
      <w:divBdr>
        <w:top w:val="none" w:sz="0" w:space="0" w:color="auto"/>
        <w:left w:val="none" w:sz="0" w:space="0" w:color="auto"/>
        <w:bottom w:val="none" w:sz="0" w:space="0" w:color="auto"/>
        <w:right w:val="none" w:sz="0" w:space="0" w:color="auto"/>
      </w:divBdr>
    </w:div>
    <w:div w:id="1130636561">
      <w:bodyDiv w:val="1"/>
      <w:marLeft w:val="0"/>
      <w:marRight w:val="0"/>
      <w:marTop w:val="0"/>
      <w:marBottom w:val="0"/>
      <w:divBdr>
        <w:top w:val="none" w:sz="0" w:space="0" w:color="auto"/>
        <w:left w:val="none" w:sz="0" w:space="0" w:color="auto"/>
        <w:bottom w:val="none" w:sz="0" w:space="0" w:color="auto"/>
        <w:right w:val="none" w:sz="0" w:space="0" w:color="auto"/>
      </w:divBdr>
    </w:div>
    <w:div w:id="1570187173">
      <w:bodyDiv w:val="1"/>
      <w:marLeft w:val="0"/>
      <w:marRight w:val="0"/>
      <w:marTop w:val="0"/>
      <w:marBottom w:val="0"/>
      <w:divBdr>
        <w:top w:val="none" w:sz="0" w:space="0" w:color="auto"/>
        <w:left w:val="none" w:sz="0" w:space="0" w:color="auto"/>
        <w:bottom w:val="none" w:sz="0" w:space="0" w:color="auto"/>
        <w:right w:val="none" w:sz="0" w:space="0" w:color="auto"/>
      </w:divBdr>
    </w:div>
    <w:div w:id="1624992377">
      <w:bodyDiv w:val="1"/>
      <w:marLeft w:val="0"/>
      <w:marRight w:val="0"/>
      <w:marTop w:val="0"/>
      <w:marBottom w:val="0"/>
      <w:divBdr>
        <w:top w:val="none" w:sz="0" w:space="0" w:color="auto"/>
        <w:left w:val="none" w:sz="0" w:space="0" w:color="auto"/>
        <w:bottom w:val="none" w:sz="0" w:space="0" w:color="auto"/>
        <w:right w:val="none" w:sz="0" w:space="0" w:color="auto"/>
      </w:divBdr>
    </w:div>
    <w:div w:id="1670211163">
      <w:bodyDiv w:val="1"/>
      <w:marLeft w:val="0"/>
      <w:marRight w:val="0"/>
      <w:marTop w:val="0"/>
      <w:marBottom w:val="0"/>
      <w:divBdr>
        <w:top w:val="none" w:sz="0" w:space="0" w:color="auto"/>
        <w:left w:val="none" w:sz="0" w:space="0" w:color="auto"/>
        <w:bottom w:val="none" w:sz="0" w:space="0" w:color="auto"/>
        <w:right w:val="none" w:sz="0" w:space="0" w:color="auto"/>
      </w:divBdr>
    </w:div>
    <w:div w:id="1740983780">
      <w:bodyDiv w:val="1"/>
      <w:marLeft w:val="0"/>
      <w:marRight w:val="0"/>
      <w:marTop w:val="0"/>
      <w:marBottom w:val="0"/>
      <w:divBdr>
        <w:top w:val="none" w:sz="0" w:space="0" w:color="auto"/>
        <w:left w:val="none" w:sz="0" w:space="0" w:color="auto"/>
        <w:bottom w:val="none" w:sz="0" w:space="0" w:color="auto"/>
        <w:right w:val="none" w:sz="0" w:space="0" w:color="auto"/>
      </w:divBdr>
    </w:div>
    <w:div w:id="1867209817">
      <w:bodyDiv w:val="1"/>
      <w:marLeft w:val="0"/>
      <w:marRight w:val="0"/>
      <w:marTop w:val="0"/>
      <w:marBottom w:val="0"/>
      <w:divBdr>
        <w:top w:val="none" w:sz="0" w:space="0" w:color="auto"/>
        <w:left w:val="none" w:sz="0" w:space="0" w:color="auto"/>
        <w:bottom w:val="none" w:sz="0" w:space="0" w:color="auto"/>
        <w:right w:val="none" w:sz="0" w:space="0" w:color="auto"/>
      </w:divBdr>
    </w:div>
    <w:div w:id="2092849895">
      <w:bodyDiv w:val="1"/>
      <w:marLeft w:val="0"/>
      <w:marRight w:val="0"/>
      <w:marTop w:val="0"/>
      <w:marBottom w:val="0"/>
      <w:divBdr>
        <w:top w:val="none" w:sz="0" w:space="0" w:color="auto"/>
        <w:left w:val="none" w:sz="0" w:space="0" w:color="auto"/>
        <w:bottom w:val="none" w:sz="0" w:space="0" w:color="auto"/>
        <w:right w:val="none" w:sz="0" w:space="0" w:color="auto"/>
      </w:divBdr>
    </w:div>
    <w:div w:id="20934295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18" Type="http://schemas.openxmlformats.org/officeDocument/2006/relationships/footer" Target="footer5.xml"/><Relationship Id="rId3" Type="http://schemas.openxmlformats.org/officeDocument/2006/relationships/customXml" Target="../customXml/item3.xml"/><Relationship Id="rId21" Type="http://schemas.openxmlformats.org/officeDocument/2006/relationships/header" Target="header4.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footer" Target="footer4.xml"/><Relationship Id="rId20" Type="http://schemas.openxmlformats.org/officeDocument/2006/relationships/footer" Target="footer6.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eader" Target="header1.xm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3.xml"/><Relationship Id="rId22" Type="http://schemas.openxmlformats.org/officeDocument/2006/relationships/footer" Target="footer7.xml"/></Relationships>
</file>

<file path=word/_rels/footnotes.xml.rels><?xml version="1.0" encoding="UTF-8" standalone="yes"?>
<Relationships xmlns="http://schemas.openxmlformats.org/package/2006/relationships"><Relationship Id="rId3" Type="http://schemas.openxmlformats.org/officeDocument/2006/relationships/hyperlink" Target="https://europa.eu/european-union/sites/default/files/docs/body/joint_statement_and_common_approach_2012_pl.pdf" TargetMode="External"/><Relationship Id="rId2" Type="http://schemas.openxmlformats.org/officeDocument/2006/relationships/hyperlink" Target="https://op.europa.eu/en/publication-detail/-/publication/e38795b5-f633-11ea-991b-01aa75ed71a1/language-en" TargetMode="External"/><Relationship Id="rId1" Type="http://schemas.openxmlformats.org/officeDocument/2006/relationships/hyperlink" Target="https://op.europa.eu/pl/publication-detail/-/publication/e38795b5-f633-11ea-991b-01aa75ed71a1"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ublic\Documents\Templates\COM.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5BA651337B45042BEEAF7CB51107EA1" ma:contentTypeVersion="0" ma:contentTypeDescription="Create a new document." ma:contentTypeScope="" ma:versionID="08aece385fef9cd7c280fa6747578771">
  <xsd:schema xmlns:xsd="http://www.w3.org/2001/XMLSchema" xmlns:xs="http://www.w3.org/2001/XMLSchema" xmlns:p="http://schemas.microsoft.com/office/2006/metadata/properties" targetNamespace="http://schemas.microsoft.com/office/2006/metadata/properties" ma:root="true" ma:fieldsID="944a80ad9ab26509bbfd677365c9b991">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 StyleName="" Version="0"/>
</file>

<file path=customXml/itemProps1.xml><?xml version="1.0" encoding="utf-8"?>
<ds:datastoreItem xmlns:ds="http://schemas.openxmlformats.org/officeDocument/2006/customXml" ds:itemID="{17307120-8C85-427D-B908-F3541975F4A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2FB34529-5847-4F8E-8F83-8ACC3B6891D2}">
  <ds:schemaRefs>
    <ds:schemaRef ds:uri="http://schemas.microsoft.com/sharepoint/v3/contenttype/forms"/>
  </ds:schemaRefs>
</ds:datastoreItem>
</file>

<file path=customXml/itemProps3.xml><?xml version="1.0" encoding="utf-8"?>
<ds:datastoreItem xmlns:ds="http://schemas.openxmlformats.org/officeDocument/2006/customXml" ds:itemID="{9FCAECBF-25C7-402A-8EA2-64CE79CF59FD}">
  <ds:schemaRef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schemas.microsoft.com/office/2006/metadata/properties"/>
    <ds:schemaRef ds:uri="http://purl.org/dc/terms/"/>
    <ds:schemaRef ds:uri="http://www.w3.org/XML/1998/namespace"/>
    <ds:schemaRef ds:uri="http://purl.org/dc/dcmitype/"/>
  </ds:schemaRefs>
</ds:datastoreItem>
</file>

<file path=customXml/itemProps4.xml><?xml version="1.0" encoding="utf-8"?>
<ds:datastoreItem xmlns:ds="http://schemas.openxmlformats.org/officeDocument/2006/customXml" ds:itemID="{F344400F-D30F-42A1-83A3-C90F546868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COM.dotm</Template>
  <TotalTime>7</TotalTime>
  <Pages>65</Pages>
  <Words>16927</Words>
  <Characters>117474</Characters>
  <Application>Microsoft Office Word</Application>
  <DocSecurity>0</DocSecurity>
  <Lines>3455</Lines>
  <Paragraphs>1476</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132925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EC CoDe</cp:lastModifiedBy>
  <cp:revision>37</cp:revision>
  <dcterms:created xsi:type="dcterms:W3CDTF">2022-01-12T16:06:00Z</dcterms:created>
  <dcterms:modified xsi:type="dcterms:W3CDTF">2022-01-14T13:50:00Z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ategory">
    <vt:lpwstr>COM/PL/ORG</vt:lpwstr>
  </property>
  <property fmtid="{D5CDD505-2E9C-101B-9397-08002B2CF9AE}" pid="3" name="Version">
    <vt:lpwstr>7.0.9.0</vt:lpwstr>
  </property>
  <property fmtid="{D5CDD505-2E9C-101B-9397-08002B2CF9AE}" pid="4" name="Last edited using">
    <vt:lpwstr>LW 7.0.1, Build 20200226</vt:lpwstr>
  </property>
  <property fmtid="{D5CDD505-2E9C-101B-9397-08002B2CF9AE}" pid="5" name="Created using">
    <vt:lpwstr>LW 7.0.1, Build 20200226</vt:lpwstr>
  </property>
  <property fmtid="{D5CDD505-2E9C-101B-9397-08002B2CF9AE}" pid="6" name="Part">
    <vt:lpwstr>1</vt:lpwstr>
  </property>
  <property fmtid="{D5CDD505-2E9C-101B-9397-08002B2CF9AE}" pid="7" name="Total parts">
    <vt:lpwstr>1</vt:lpwstr>
  </property>
  <property fmtid="{D5CDD505-2E9C-101B-9397-08002B2CF9AE}" pid="8" name="Level of sensitivity">
    <vt:lpwstr>Standard treatment</vt:lpwstr>
  </property>
  <property fmtid="{D5CDD505-2E9C-101B-9397-08002B2CF9AE}" pid="9" name="LWTemplateID">
    <vt:lpwstr>SJ-023</vt:lpwstr>
  </property>
  <property fmtid="{D5CDD505-2E9C-101B-9397-08002B2CF9AE}" pid="10" name="IsMyDocuments">
    <vt:bool>true</vt:bool>
  </property>
  <property fmtid="{D5CDD505-2E9C-101B-9397-08002B2CF9AE}" pid="11" name="ContentTypeId">
    <vt:lpwstr>0x01010005BA651337B45042BEEAF7CB51107EA1</vt:lpwstr>
  </property>
  <property fmtid="{D5CDD505-2E9C-101B-9397-08002B2CF9AE}" pid="12" name="DQCStatus">
    <vt:lpwstr>Green (DQC version 03)</vt:lpwstr>
  </property>
</Properties>
</file>