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03AEB" w14:textId="1F68264D" w:rsidR="00BC2AA6" w:rsidRDefault="00E0099F" w:rsidP="00E0099F">
      <w:pPr>
        <w:pStyle w:val="Pagedecouverture"/>
        <w:rPr>
          <w:noProof/>
        </w:rPr>
      </w:pPr>
      <w:r>
        <w:rPr>
          <w:noProof/>
        </w:rPr>
        <w:pict w14:anchorId="22F6C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92A8BC9-A109-47F8-81F0-6CB92F7A51A0" style="width:455.25pt;height:355.5pt">
            <v:imagedata r:id="rId8" o:title=""/>
          </v:shape>
        </w:pict>
      </w:r>
    </w:p>
    <w:p w14:paraId="5BC13E8F" w14:textId="77777777" w:rsidR="00BC2AA6" w:rsidRDefault="00BC2AA6" w:rsidP="00BC2AA6">
      <w:pPr>
        <w:rPr>
          <w:noProof/>
        </w:rPr>
        <w:sectPr w:rsidR="00BC2AA6" w:rsidSect="00E0099F">
          <w:footerReference w:type="default" r:id="rId9"/>
          <w:pgSz w:w="11907" w:h="16839"/>
          <w:pgMar w:top="1134" w:right="1417" w:bottom="1134" w:left="1417" w:header="709" w:footer="709" w:gutter="0"/>
          <w:pgNumType w:start="0"/>
          <w:cols w:space="720"/>
          <w:docGrid w:linePitch="360"/>
        </w:sectPr>
      </w:pPr>
    </w:p>
    <w:p w14:paraId="1F89D116" w14:textId="77777777" w:rsidR="00BC2AA6" w:rsidRPr="00880551" w:rsidRDefault="00BC2AA6" w:rsidP="00880551">
      <w:pPr>
        <w:pStyle w:val="Exposdesmotifstitre"/>
        <w:rPr>
          <w:noProof/>
        </w:rPr>
      </w:pPr>
      <w:bookmarkStart w:id="0" w:name="_GoBack"/>
      <w:bookmarkEnd w:id="0"/>
      <w:r w:rsidRPr="006F770D">
        <w:rPr>
          <w:noProof/>
        </w:rPr>
        <w:lastRenderedPageBreak/>
        <w:t>EXPLANATORY MEMORANDUM</w:t>
      </w:r>
    </w:p>
    <w:p w14:paraId="05270A5E" w14:textId="77777777" w:rsidR="00BC2AA6" w:rsidRPr="006F770D" w:rsidRDefault="00BC2AA6" w:rsidP="00BB6B30">
      <w:pPr>
        <w:pStyle w:val="ManualHeading1"/>
        <w:rPr>
          <w:noProof/>
        </w:rPr>
      </w:pPr>
      <w:r w:rsidRPr="00C567EE">
        <w:rPr>
          <w:noProof/>
        </w:rPr>
        <w:t>1.</w:t>
      </w:r>
      <w:r w:rsidRPr="00C567EE">
        <w:rPr>
          <w:noProof/>
        </w:rPr>
        <w:tab/>
      </w:r>
      <w:r w:rsidRPr="006F770D">
        <w:rPr>
          <w:noProof/>
        </w:rPr>
        <w:t>CONTEXT OF THE PROPOSAL</w:t>
      </w:r>
    </w:p>
    <w:p w14:paraId="45C575AA" w14:textId="77777777" w:rsidR="00BC2AA6" w:rsidRPr="00044058" w:rsidRDefault="00BC2AA6"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433FD978" w14:textId="7D07BB94" w:rsidR="00880551" w:rsidRDefault="0092227D" w:rsidP="00880551">
      <w:pPr>
        <w:pStyle w:val="Text1"/>
        <w:ind w:left="0"/>
        <w:rPr>
          <w:rFonts w:eastAsia="Times New Roman"/>
          <w:noProof/>
          <w:szCs w:val="20"/>
        </w:rPr>
      </w:pPr>
      <w:r>
        <w:rPr>
          <w:noProof/>
        </w:rPr>
        <w:t>Since 1977, the VAT Directive</w:t>
      </w:r>
      <w:r w:rsidR="005711DB">
        <w:rPr>
          <w:rStyle w:val="FootnoteReference"/>
          <w:noProof/>
        </w:rPr>
        <w:footnoteReference w:id="1"/>
      </w:r>
      <w:r>
        <w:rPr>
          <w:noProof/>
        </w:rPr>
        <w:t xml:space="preserve"> </w:t>
      </w:r>
      <w:r w:rsidR="000E62B6">
        <w:rPr>
          <w:noProof/>
        </w:rPr>
        <w:t xml:space="preserve">has </w:t>
      </w:r>
      <w:r w:rsidR="00880551">
        <w:rPr>
          <w:noProof/>
        </w:rPr>
        <w:t>provide</w:t>
      </w:r>
      <w:r w:rsidR="000E62B6">
        <w:rPr>
          <w:noProof/>
        </w:rPr>
        <w:t>d</w:t>
      </w:r>
      <w:r w:rsidR="00880551">
        <w:rPr>
          <w:noProof/>
        </w:rPr>
        <w:t xml:space="preserve"> for an exemption for supplies to the armed forces of any </w:t>
      </w:r>
      <w:r w:rsidR="00E718AD">
        <w:rPr>
          <w:noProof/>
        </w:rPr>
        <w:t>S</w:t>
      </w:r>
      <w:r w:rsidR="00880551">
        <w:rPr>
          <w:noProof/>
        </w:rPr>
        <w:t xml:space="preserve">tate party to the North Atlantic Treaty that are taking part in a common defence effort outside their own </w:t>
      </w:r>
      <w:r w:rsidR="00E718AD">
        <w:rPr>
          <w:noProof/>
        </w:rPr>
        <w:t>S</w:t>
      </w:r>
      <w:r w:rsidR="00880551">
        <w:rPr>
          <w:noProof/>
        </w:rPr>
        <w:t xml:space="preserve">tate. This exemption was established </w:t>
      </w:r>
      <w:r w:rsidR="00880551">
        <w:rPr>
          <w:rFonts w:eastAsia="Times New Roman"/>
          <w:noProof/>
          <w:szCs w:val="20"/>
        </w:rPr>
        <w:t xml:space="preserve">to address situations in which the circle of revenue and expenditure flow is broken, because VAT on such supplies would normally constitute revenue for the </w:t>
      </w:r>
      <w:r w:rsidR="00E718AD">
        <w:rPr>
          <w:rFonts w:eastAsia="Times New Roman"/>
          <w:noProof/>
          <w:szCs w:val="20"/>
        </w:rPr>
        <w:t>S</w:t>
      </w:r>
      <w:r w:rsidR="00880551">
        <w:rPr>
          <w:rFonts w:eastAsia="Times New Roman"/>
          <w:noProof/>
          <w:szCs w:val="20"/>
        </w:rPr>
        <w:t>tate in which the armed forces are located, rather than their own.</w:t>
      </w:r>
      <w:r w:rsidR="00C226D8">
        <w:rPr>
          <w:rFonts w:eastAsia="Times New Roman"/>
          <w:noProof/>
          <w:szCs w:val="20"/>
        </w:rPr>
        <w:t xml:space="preserve"> It is among the exemptions to be found in Article</w:t>
      </w:r>
      <w:r w:rsidR="00C226D8">
        <w:rPr>
          <w:noProof/>
        </w:rPr>
        <w:t> </w:t>
      </w:r>
      <w:r w:rsidR="00C226D8">
        <w:rPr>
          <w:rFonts w:eastAsia="Times New Roman"/>
          <w:noProof/>
          <w:szCs w:val="20"/>
        </w:rPr>
        <w:t>151 of the VAT Directive.</w:t>
      </w:r>
    </w:p>
    <w:p w14:paraId="03869ADA" w14:textId="284F29F0" w:rsidR="00880551" w:rsidRDefault="00880551" w:rsidP="00880551">
      <w:pPr>
        <w:pStyle w:val="Text1"/>
        <w:ind w:left="0"/>
        <w:rPr>
          <w:noProof/>
        </w:rPr>
      </w:pPr>
      <w:r>
        <w:rPr>
          <w:noProof/>
        </w:rPr>
        <w:t>The Excise Directive</w:t>
      </w:r>
      <w:r>
        <w:rPr>
          <w:rStyle w:val="FootnoteReference"/>
          <w:noProof/>
        </w:rPr>
        <w:footnoteReference w:id="2"/>
      </w:r>
      <w:r>
        <w:rPr>
          <w:noProof/>
        </w:rPr>
        <w:t xml:space="preserve"> </w:t>
      </w:r>
      <w:r w:rsidR="000E62B6">
        <w:rPr>
          <w:noProof/>
        </w:rPr>
        <w:t xml:space="preserve">has </w:t>
      </w:r>
      <w:r>
        <w:rPr>
          <w:noProof/>
        </w:rPr>
        <w:t>provide</w:t>
      </w:r>
      <w:r w:rsidR="000E62B6">
        <w:rPr>
          <w:noProof/>
        </w:rPr>
        <w:t>d</w:t>
      </w:r>
      <w:r>
        <w:rPr>
          <w:noProof/>
        </w:rPr>
        <w:t xml:space="preserve"> for a similar exemption from excise duty</w:t>
      </w:r>
      <w:r>
        <w:rPr>
          <w:rStyle w:val="FootnoteReference"/>
          <w:noProof/>
        </w:rPr>
        <w:footnoteReference w:id="3"/>
      </w:r>
      <w:r>
        <w:rPr>
          <w:noProof/>
        </w:rPr>
        <w:t xml:space="preserve"> </w:t>
      </w:r>
      <w:r w:rsidR="00A16CA4">
        <w:rPr>
          <w:noProof/>
        </w:rPr>
        <w:t xml:space="preserve">since 1993 </w:t>
      </w:r>
      <w:r>
        <w:rPr>
          <w:noProof/>
        </w:rPr>
        <w:t>for movements of excise goods to the armed forces of any North Atlantic Treaty Organisation (NATO) member.</w:t>
      </w:r>
    </w:p>
    <w:p w14:paraId="5DEF50E5" w14:textId="364EB19B" w:rsidR="005711DB" w:rsidRDefault="005711DB" w:rsidP="005711DB">
      <w:pPr>
        <w:pStyle w:val="Text1"/>
        <w:ind w:left="0"/>
        <w:rPr>
          <w:noProof/>
        </w:rPr>
      </w:pPr>
      <w:r>
        <w:rPr>
          <w:noProof/>
        </w:rPr>
        <w:t>In December 2019</w:t>
      </w:r>
      <w:r>
        <w:rPr>
          <w:rStyle w:val="FootnoteReference"/>
          <w:noProof/>
        </w:rPr>
        <w:footnoteReference w:id="4"/>
      </w:r>
      <w:r>
        <w:rPr>
          <w:noProof/>
        </w:rPr>
        <w:t xml:space="preserve">, the Council adopted amendments to the VAT and Excise Directives, introducing exemptions with regard to defence efforts carried out by </w:t>
      </w:r>
      <w:r w:rsidR="00E718AD">
        <w:rPr>
          <w:noProof/>
        </w:rPr>
        <w:t xml:space="preserve">the </w:t>
      </w:r>
      <w:r>
        <w:rPr>
          <w:noProof/>
        </w:rPr>
        <w:t xml:space="preserve">armed forces of </w:t>
      </w:r>
      <w:r w:rsidR="00E718AD">
        <w:rPr>
          <w:noProof/>
        </w:rPr>
        <w:t xml:space="preserve">a </w:t>
      </w:r>
      <w:r>
        <w:rPr>
          <w:noProof/>
        </w:rPr>
        <w:t>Member State</w:t>
      </w:r>
      <w:r w:rsidR="00E718AD">
        <w:rPr>
          <w:noProof/>
        </w:rPr>
        <w:t xml:space="preserve"> in another Member State</w:t>
      </w:r>
      <w:r>
        <w:rPr>
          <w:noProof/>
        </w:rPr>
        <w:t xml:space="preserve"> for the implementation of a Union activity under the </w:t>
      </w:r>
      <w:r w:rsidRPr="005711DB">
        <w:rPr>
          <w:noProof/>
        </w:rPr>
        <w:t>common security and defence policy (CSDP), which was established as the European security and defence policy (ESDP) in 2000</w:t>
      </w:r>
      <w:r>
        <w:rPr>
          <w:noProof/>
        </w:rPr>
        <w:t xml:space="preserve">. The </w:t>
      </w:r>
      <w:r w:rsidR="00946B0F">
        <w:rPr>
          <w:noProof/>
        </w:rPr>
        <w:t xml:space="preserve">date of </w:t>
      </w:r>
      <w:r>
        <w:rPr>
          <w:noProof/>
        </w:rPr>
        <w:t>entry into application of the new measures by the Member States is 1 July 2022.</w:t>
      </w:r>
    </w:p>
    <w:p w14:paraId="70D8C0D9" w14:textId="4E09E8EF" w:rsidR="00852492" w:rsidRDefault="00852492" w:rsidP="004D179F">
      <w:pPr>
        <w:pStyle w:val="Text1"/>
        <w:ind w:left="0"/>
        <w:rPr>
          <w:noProof/>
        </w:rPr>
      </w:pPr>
      <w:r>
        <w:rPr>
          <w:noProof/>
        </w:rPr>
        <w:t>In July 2021</w:t>
      </w:r>
      <w:r>
        <w:rPr>
          <w:rStyle w:val="FootnoteReference"/>
          <w:noProof/>
        </w:rPr>
        <w:footnoteReference w:id="5"/>
      </w:r>
      <w:r>
        <w:rPr>
          <w:noProof/>
        </w:rPr>
        <w:t>, the Council adopted amendments to the VAT Directive</w:t>
      </w:r>
      <w:r w:rsidR="004D179F">
        <w:rPr>
          <w:noProof/>
        </w:rPr>
        <w:t xml:space="preserve">, introducing </w:t>
      </w:r>
      <w:r w:rsidR="000B004A">
        <w:rPr>
          <w:noProof/>
        </w:rPr>
        <w:t xml:space="preserve">further </w:t>
      </w:r>
      <w:r w:rsidR="004D179F">
        <w:rPr>
          <w:noProof/>
        </w:rPr>
        <w:t xml:space="preserve">exemptions with regard to measures taken at Union level in response to the COVID-19 pandemic. Member States </w:t>
      </w:r>
      <w:r w:rsidR="00E718AD">
        <w:rPr>
          <w:noProof/>
        </w:rPr>
        <w:t xml:space="preserve">are </w:t>
      </w:r>
      <w:r w:rsidR="00C226D8">
        <w:rPr>
          <w:noProof/>
        </w:rPr>
        <w:t xml:space="preserve">set to </w:t>
      </w:r>
      <w:r w:rsidR="004D179F">
        <w:rPr>
          <w:noProof/>
        </w:rPr>
        <w:t>apply these new exemptions from 1</w:t>
      </w:r>
      <w:r w:rsidR="00E718AD">
        <w:rPr>
          <w:noProof/>
        </w:rPr>
        <w:t> </w:t>
      </w:r>
      <w:r w:rsidR="004D179F">
        <w:rPr>
          <w:noProof/>
        </w:rPr>
        <w:t>January 2021 retroactively.</w:t>
      </w:r>
    </w:p>
    <w:p w14:paraId="40FF47C5" w14:textId="04004D85" w:rsidR="00BC2AA6" w:rsidRPr="005711DB" w:rsidRDefault="00E04524" w:rsidP="005711DB">
      <w:pPr>
        <w:pStyle w:val="Text1"/>
        <w:ind w:left="0"/>
        <w:rPr>
          <w:noProof/>
        </w:rPr>
      </w:pPr>
      <w:r>
        <w:rPr>
          <w:noProof/>
          <w:lang w:eastAsia="en-GB"/>
        </w:rPr>
        <w:t xml:space="preserve">The </w:t>
      </w:r>
      <w:r w:rsidR="005711DB">
        <w:rPr>
          <w:noProof/>
          <w:lang w:eastAsia="en-GB"/>
        </w:rPr>
        <w:t xml:space="preserve">measures </w:t>
      </w:r>
      <w:r>
        <w:rPr>
          <w:noProof/>
          <w:lang w:eastAsia="en-GB"/>
        </w:rPr>
        <w:t xml:space="preserve">provided for in the </w:t>
      </w:r>
      <w:r w:rsidR="00C51E66">
        <w:rPr>
          <w:noProof/>
        </w:rPr>
        <w:t>VAT Implementing Regulation</w:t>
      </w:r>
      <w:r w:rsidR="00C51E66">
        <w:rPr>
          <w:rStyle w:val="FootnoteReference"/>
          <w:noProof/>
        </w:rPr>
        <w:footnoteReference w:id="6"/>
      </w:r>
      <w:r w:rsidR="00C51E66">
        <w:rPr>
          <w:noProof/>
        </w:rPr>
        <w:t xml:space="preserve"> </w:t>
      </w:r>
      <w:r w:rsidR="00F949F1">
        <w:rPr>
          <w:noProof/>
        </w:rPr>
        <w:t xml:space="preserve">implementing the </w:t>
      </w:r>
      <w:r w:rsidR="00F949F1">
        <w:rPr>
          <w:noProof/>
          <w:lang w:eastAsia="en-GB"/>
        </w:rPr>
        <w:t>exemptions laid down in Article</w:t>
      </w:r>
      <w:r w:rsidR="00F949F1">
        <w:rPr>
          <w:noProof/>
        </w:rPr>
        <w:t> </w:t>
      </w:r>
      <w:r w:rsidR="00F949F1">
        <w:rPr>
          <w:noProof/>
          <w:lang w:eastAsia="en-GB"/>
        </w:rPr>
        <w:t xml:space="preserve">151 of the VAT Directive </w:t>
      </w:r>
      <w:r>
        <w:rPr>
          <w:noProof/>
        </w:rPr>
        <w:t xml:space="preserve">therefore need to be </w:t>
      </w:r>
      <w:r w:rsidR="005711DB">
        <w:rPr>
          <w:noProof/>
        </w:rPr>
        <w:t>adapted correspondingly</w:t>
      </w:r>
      <w:r w:rsidR="00880551">
        <w:rPr>
          <w:noProof/>
        </w:rPr>
        <w:t>.</w:t>
      </w:r>
    </w:p>
    <w:p w14:paraId="1C711D98" w14:textId="77777777" w:rsidR="00D314F7" w:rsidRPr="00D314F7" w:rsidRDefault="00BC2AA6" w:rsidP="00D314F7">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3A891F92" w14:textId="304CBC38" w:rsidR="00D06031" w:rsidRDefault="007D6351" w:rsidP="008D398D">
      <w:pPr>
        <w:spacing w:before="0"/>
        <w:rPr>
          <w:noProof/>
          <w:color w:val="000000"/>
          <w:szCs w:val="24"/>
          <w:lang w:eastAsia="en-GB"/>
        </w:rPr>
      </w:pPr>
      <w:r>
        <w:rPr>
          <w:noProof/>
        </w:rPr>
        <w:t xml:space="preserve">The proposal is closely linked with the </w:t>
      </w:r>
      <w:r w:rsidR="00B03F05">
        <w:rPr>
          <w:noProof/>
        </w:rPr>
        <w:t xml:space="preserve">amendments to the VAT </w:t>
      </w:r>
      <w:r w:rsidR="00D314F7">
        <w:rPr>
          <w:noProof/>
        </w:rPr>
        <w:t>and Excise Directive</w:t>
      </w:r>
      <w:r w:rsidR="00B03F05">
        <w:rPr>
          <w:noProof/>
        </w:rPr>
        <w:t>s</w:t>
      </w:r>
      <w:r w:rsidR="00D314F7">
        <w:rPr>
          <w:noProof/>
        </w:rPr>
        <w:t xml:space="preserve"> </w:t>
      </w:r>
      <w:r>
        <w:rPr>
          <w:noProof/>
        </w:rPr>
        <w:t>adopted in December 2019</w:t>
      </w:r>
      <w:r w:rsidR="00B03F05">
        <w:rPr>
          <w:noProof/>
        </w:rPr>
        <w:t xml:space="preserve">, complementing </w:t>
      </w:r>
      <w:r w:rsidR="00D06031">
        <w:rPr>
          <w:noProof/>
        </w:rPr>
        <w:t xml:space="preserve">the 2016 VAT </w:t>
      </w:r>
      <w:r w:rsidR="007C3C95">
        <w:rPr>
          <w:noProof/>
        </w:rPr>
        <w:t>A</w:t>
      </w:r>
      <w:r w:rsidR="00D06031">
        <w:rPr>
          <w:noProof/>
        </w:rPr>
        <w:t xml:space="preserve">ction </w:t>
      </w:r>
      <w:r w:rsidR="007C3C95">
        <w:rPr>
          <w:noProof/>
        </w:rPr>
        <w:t>P</w:t>
      </w:r>
      <w:r w:rsidR="00D06031">
        <w:rPr>
          <w:noProof/>
        </w:rPr>
        <w:t>lan</w:t>
      </w:r>
      <w:r w:rsidR="00D06031">
        <w:rPr>
          <w:rStyle w:val="FootnoteReference"/>
          <w:noProof/>
        </w:rPr>
        <w:footnoteReference w:id="7"/>
      </w:r>
      <w:r w:rsidR="00D06031">
        <w:rPr>
          <w:noProof/>
        </w:rPr>
        <w:t xml:space="preserve"> setting out ways to modernise the VAT system so as to make it simpler, more fraud-proof and business-friendly.</w:t>
      </w:r>
      <w:r w:rsidR="004D179F">
        <w:rPr>
          <w:noProof/>
        </w:rPr>
        <w:t xml:space="preserve"> </w:t>
      </w:r>
      <w:r w:rsidR="000C109C">
        <w:rPr>
          <w:noProof/>
        </w:rPr>
        <w:t xml:space="preserve">It </w:t>
      </w:r>
      <w:r w:rsidR="004D179F">
        <w:rPr>
          <w:noProof/>
        </w:rPr>
        <w:t xml:space="preserve">is </w:t>
      </w:r>
      <w:r w:rsidR="000C109C">
        <w:rPr>
          <w:noProof/>
        </w:rPr>
        <w:t xml:space="preserve">also </w:t>
      </w:r>
      <w:r w:rsidR="008D398D">
        <w:rPr>
          <w:noProof/>
        </w:rPr>
        <w:t xml:space="preserve">closely </w:t>
      </w:r>
      <w:r w:rsidR="00086F5E">
        <w:rPr>
          <w:noProof/>
        </w:rPr>
        <w:t xml:space="preserve">linked with the </w:t>
      </w:r>
      <w:r w:rsidR="006A6A5B" w:rsidRPr="006A6A5B">
        <w:rPr>
          <w:noProof/>
        </w:rPr>
        <w:t>amendments to the VAT Directive</w:t>
      </w:r>
      <w:r w:rsidR="006A6A5B">
        <w:rPr>
          <w:noProof/>
        </w:rPr>
        <w:t xml:space="preserve"> adopted in July 2021</w:t>
      </w:r>
      <w:r w:rsidR="006A6A5B" w:rsidRPr="006A6A5B">
        <w:rPr>
          <w:noProof/>
        </w:rPr>
        <w:t xml:space="preserve">, introducing exemptions with regard to </w:t>
      </w:r>
      <w:r w:rsidR="006A6A5B">
        <w:rPr>
          <w:noProof/>
        </w:rPr>
        <w:t xml:space="preserve">Union </w:t>
      </w:r>
      <w:r w:rsidR="006A6A5B" w:rsidRPr="006A6A5B">
        <w:rPr>
          <w:noProof/>
        </w:rPr>
        <w:t>measures in response to the COVID-19 pandemic</w:t>
      </w:r>
      <w:r w:rsidR="006A6A5B">
        <w:rPr>
          <w:noProof/>
        </w:rPr>
        <w:t xml:space="preserve"> addressing </w:t>
      </w:r>
      <w:r w:rsidR="00B922B2">
        <w:rPr>
          <w:noProof/>
        </w:rPr>
        <w:t>the effects of th</w:t>
      </w:r>
      <w:r w:rsidR="006A6A5B">
        <w:rPr>
          <w:noProof/>
        </w:rPr>
        <w:t xml:space="preserve">e ongoing </w:t>
      </w:r>
      <w:r w:rsidR="00B922B2">
        <w:rPr>
          <w:noProof/>
        </w:rPr>
        <w:t>health crisis.</w:t>
      </w:r>
    </w:p>
    <w:p w14:paraId="398CE53A" w14:textId="277BAD39" w:rsidR="00BC2AA6" w:rsidRPr="00252A7D" w:rsidRDefault="00B922B2" w:rsidP="00495903">
      <w:pPr>
        <w:spacing w:before="0"/>
        <w:rPr>
          <w:noProof/>
          <w:color w:val="000000"/>
          <w:szCs w:val="24"/>
          <w:lang w:eastAsia="en-GB"/>
        </w:rPr>
      </w:pPr>
      <w:r>
        <w:rPr>
          <w:noProof/>
          <w:color w:val="000000"/>
          <w:szCs w:val="24"/>
          <w:lang w:eastAsia="en-GB"/>
        </w:rPr>
        <w:t xml:space="preserve">The objective of the proposal is to provide for </w:t>
      </w:r>
      <w:r w:rsidR="00D314F7">
        <w:rPr>
          <w:noProof/>
          <w:color w:val="000000"/>
          <w:szCs w:val="24"/>
          <w:lang w:eastAsia="en-GB"/>
        </w:rPr>
        <w:t xml:space="preserve">measures </w:t>
      </w:r>
      <w:r w:rsidR="00BC3C9D">
        <w:rPr>
          <w:noProof/>
          <w:color w:val="000000"/>
          <w:szCs w:val="24"/>
          <w:lang w:eastAsia="en-GB"/>
        </w:rPr>
        <w:t xml:space="preserve">necessary </w:t>
      </w:r>
      <w:r w:rsidR="00495903">
        <w:rPr>
          <w:noProof/>
          <w:color w:val="000000"/>
          <w:szCs w:val="24"/>
          <w:lang w:eastAsia="en-GB"/>
        </w:rPr>
        <w:t xml:space="preserve">to implement the </w:t>
      </w:r>
      <w:r w:rsidR="00D314F7">
        <w:rPr>
          <w:noProof/>
          <w:color w:val="000000"/>
          <w:szCs w:val="24"/>
          <w:lang w:eastAsia="en-GB"/>
        </w:rPr>
        <w:t>new exemptions pursuant to Article 151(1)</w:t>
      </w:r>
      <w:r>
        <w:rPr>
          <w:noProof/>
          <w:color w:val="000000"/>
          <w:szCs w:val="24"/>
          <w:lang w:eastAsia="en-GB"/>
        </w:rPr>
        <w:t xml:space="preserve">(ab), </w:t>
      </w:r>
      <w:r w:rsidR="00D314F7">
        <w:rPr>
          <w:noProof/>
          <w:color w:val="000000"/>
          <w:szCs w:val="24"/>
          <w:lang w:eastAsia="en-GB"/>
        </w:rPr>
        <w:t>(ba) and (bb) of the VAT Directive as well as Article 12(1)(ba) of the Excise Directive.</w:t>
      </w:r>
    </w:p>
    <w:p w14:paraId="6D42BCF5" w14:textId="77777777" w:rsidR="00BC2AA6" w:rsidRPr="002D5EE2" w:rsidRDefault="00BC2AA6" w:rsidP="00A4693B">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3457E982" w14:textId="77777777" w:rsidR="00770E04" w:rsidRDefault="00770E04" w:rsidP="00770E04">
      <w:pPr>
        <w:rPr>
          <w:noProof/>
        </w:rPr>
      </w:pPr>
      <w:r>
        <w:rPr>
          <w:noProof/>
        </w:rPr>
        <w:t xml:space="preserve">The proposal is consistent with the </w:t>
      </w:r>
      <w:r w:rsidR="00CD277A">
        <w:rPr>
          <w:noProof/>
        </w:rPr>
        <w:t>global strategy for the European Union’s foreign and security policy (EUGS)</w:t>
      </w:r>
      <w:r w:rsidR="00CD277A">
        <w:rPr>
          <w:rStyle w:val="FootnoteReference"/>
          <w:noProof/>
        </w:rPr>
        <w:footnoteReference w:id="8"/>
      </w:r>
      <w:r>
        <w:rPr>
          <w:noProof/>
        </w:rPr>
        <w:t xml:space="preserve"> and the implementation plan on security and defence</w:t>
      </w:r>
      <w:r>
        <w:rPr>
          <w:rStyle w:val="FootnoteReference"/>
          <w:noProof/>
        </w:rPr>
        <w:footnoteReference w:id="9"/>
      </w:r>
      <w:r>
        <w:rPr>
          <w:noProof/>
        </w:rPr>
        <w:t>, which sets out proposals to implement the EUGS in the area of security and defence.</w:t>
      </w:r>
    </w:p>
    <w:p w14:paraId="2BA5E649" w14:textId="77777777" w:rsidR="00770E04" w:rsidRDefault="00770E04" w:rsidP="00770E04">
      <w:pPr>
        <w:pBdr>
          <w:top w:val="nil"/>
          <w:left w:val="nil"/>
          <w:bottom w:val="nil"/>
          <w:right w:val="nil"/>
          <w:between w:val="nil"/>
          <w:bar w:val="nil"/>
        </w:pBdr>
        <w:spacing w:before="0"/>
        <w:rPr>
          <w:noProof/>
        </w:rPr>
      </w:pPr>
      <w:r>
        <w:rPr>
          <w:noProof/>
        </w:rPr>
        <w:t>It implements the Commission’s commitment in the action plan on military mobility</w:t>
      </w:r>
      <w:r w:rsidR="004A3B27">
        <w:rPr>
          <w:rStyle w:val="FootnoteReference"/>
          <w:rFonts w:eastAsia="Arial Unicode MS"/>
          <w:noProof/>
        </w:rPr>
        <w:footnoteReference w:id="10"/>
      </w:r>
      <w:r>
        <w:rPr>
          <w:noProof/>
        </w:rPr>
        <w:t xml:space="preserve"> to assess the feasibility of aligning the VAT treatment of defence efforts in the EU framework and under the NATO umbrella.</w:t>
      </w:r>
    </w:p>
    <w:p w14:paraId="168051FE" w14:textId="02866BB3" w:rsidR="00BC2AA6" w:rsidRDefault="00770E04" w:rsidP="0029266A">
      <w:pPr>
        <w:pBdr>
          <w:top w:val="nil"/>
          <w:left w:val="nil"/>
          <w:bottom w:val="nil"/>
          <w:right w:val="nil"/>
          <w:between w:val="nil"/>
          <w:bar w:val="nil"/>
        </w:pBdr>
        <w:spacing w:before="0" w:after="240"/>
        <w:rPr>
          <w:noProof/>
        </w:rPr>
      </w:pPr>
      <w:r>
        <w:rPr>
          <w:noProof/>
        </w:rPr>
        <w:t>The proposal is also consistent with the European defence action plan</w:t>
      </w:r>
      <w:r>
        <w:rPr>
          <w:rStyle w:val="FootnoteReference"/>
          <w:noProof/>
        </w:rPr>
        <w:footnoteReference w:id="11"/>
      </w:r>
      <w:r>
        <w:rPr>
          <w:noProof/>
        </w:rPr>
        <w:t>, which includes the launch of a European Defence Fund</w:t>
      </w:r>
      <w:r>
        <w:rPr>
          <w:rStyle w:val="FootnoteReference"/>
          <w:noProof/>
        </w:rPr>
        <w:footnoteReference w:id="12"/>
      </w:r>
      <w:r>
        <w:rPr>
          <w:noProof/>
        </w:rPr>
        <w:t>, and the Athena mechanism</w:t>
      </w:r>
      <w:r>
        <w:rPr>
          <w:rStyle w:val="FootnoteReference"/>
          <w:noProof/>
        </w:rPr>
        <w:footnoteReference w:id="13"/>
      </w:r>
      <w:r>
        <w:rPr>
          <w:noProof/>
        </w:rPr>
        <w:t>, which (pursuant to Article 41(2) TEU) handles the financing of common costs of EU military missions and operations in the framework of the CSDP.</w:t>
      </w:r>
    </w:p>
    <w:p w14:paraId="1D448130" w14:textId="7C713328" w:rsidR="009F4A50" w:rsidRPr="002D5EE2" w:rsidRDefault="006201C7" w:rsidP="00495903">
      <w:pPr>
        <w:pBdr>
          <w:top w:val="nil"/>
          <w:left w:val="nil"/>
          <w:bottom w:val="nil"/>
          <w:right w:val="nil"/>
          <w:between w:val="nil"/>
          <w:bar w:val="nil"/>
        </w:pBdr>
        <w:spacing w:before="0" w:after="240"/>
        <w:rPr>
          <w:rFonts w:eastAsia="Arial Unicode MS"/>
          <w:noProof/>
        </w:rPr>
      </w:pPr>
      <w:r>
        <w:rPr>
          <w:noProof/>
        </w:rPr>
        <w:t>T</w:t>
      </w:r>
      <w:r w:rsidR="009F4A50">
        <w:rPr>
          <w:noProof/>
        </w:rPr>
        <w:t>he proposal is also in line with Union initiatives taken in response to the COVID-19 pandemic</w:t>
      </w:r>
      <w:r w:rsidR="00495903">
        <w:rPr>
          <w:noProof/>
        </w:rPr>
        <w:t xml:space="preserve"> and it </w:t>
      </w:r>
      <w:r w:rsidR="006619B6">
        <w:rPr>
          <w:noProof/>
        </w:rPr>
        <w:t>particularly support</w:t>
      </w:r>
      <w:r w:rsidR="00495903">
        <w:rPr>
          <w:noProof/>
        </w:rPr>
        <w:t>s</w:t>
      </w:r>
      <w:r w:rsidR="006619B6">
        <w:rPr>
          <w:noProof/>
        </w:rPr>
        <w:t xml:space="preserve"> u</w:t>
      </w:r>
      <w:r w:rsidR="009F4A50">
        <w:rPr>
          <w:noProof/>
        </w:rPr>
        <w:t>rgent measures taken under the Emergency Support Instrument</w:t>
      </w:r>
      <w:r w:rsidR="00B915D4">
        <w:rPr>
          <w:noProof/>
        </w:rPr>
        <w:t xml:space="preserve"> </w:t>
      </w:r>
      <w:r w:rsidR="00B915D4">
        <w:rPr>
          <w:rFonts w:eastAsia="Arial Unicode MS"/>
          <w:noProof/>
        </w:rPr>
        <w:t>(ESI</w:t>
      </w:r>
      <w:r w:rsidR="00B915D4">
        <w:rPr>
          <w:rStyle w:val="FootnoteReference"/>
          <w:rFonts w:eastAsia="Arial Unicode MS"/>
          <w:noProof/>
        </w:rPr>
        <w:footnoteReference w:id="14"/>
      </w:r>
      <w:r w:rsidR="00B915D4">
        <w:rPr>
          <w:rFonts w:eastAsia="Arial Unicode MS"/>
          <w:noProof/>
          <w:color w:val="000000" w:themeColor="text1"/>
        </w:rPr>
        <w:t>)</w:t>
      </w:r>
      <w:r w:rsidR="009F4A50">
        <w:rPr>
          <w:noProof/>
        </w:rPr>
        <w:t xml:space="preserve"> in order to address the effects of the ongoing health crisis.</w:t>
      </w:r>
      <w:r w:rsidR="00BD16F7">
        <w:rPr>
          <w:noProof/>
        </w:rPr>
        <w:t xml:space="preserve"> </w:t>
      </w:r>
    </w:p>
    <w:p w14:paraId="53D63E16" w14:textId="77777777" w:rsidR="00BC2AA6" w:rsidRPr="002D5EE2" w:rsidRDefault="00BC2AA6" w:rsidP="00550536">
      <w:pPr>
        <w:pStyle w:val="ManualHeading1"/>
        <w:rPr>
          <w:noProof/>
        </w:rPr>
      </w:pPr>
      <w:r w:rsidRPr="002D5EE2">
        <w:rPr>
          <w:noProof/>
        </w:rPr>
        <w:t>2.</w:t>
      </w:r>
      <w:r w:rsidRPr="002D5EE2">
        <w:rPr>
          <w:noProof/>
        </w:rPr>
        <w:tab/>
        <w:t>LEGAL BASIS, SUBSIDIARITY AND PROPORTIONALITY</w:t>
      </w:r>
    </w:p>
    <w:p w14:paraId="5D18B066" w14:textId="77777777" w:rsidR="00BC2AA6" w:rsidRPr="002D5EE2" w:rsidRDefault="00BC2AA6"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1734342A" w14:textId="77777777" w:rsidR="00BC2AA6" w:rsidRPr="002D5EE2" w:rsidRDefault="00B14524" w:rsidP="00550536">
      <w:pPr>
        <w:pBdr>
          <w:top w:val="nil"/>
          <w:left w:val="nil"/>
          <w:bottom w:val="nil"/>
          <w:right w:val="nil"/>
          <w:between w:val="nil"/>
          <w:bar w:val="nil"/>
        </w:pBdr>
        <w:spacing w:before="0" w:after="240"/>
        <w:rPr>
          <w:rFonts w:eastAsia="Arial Unicode MS"/>
          <w:noProof/>
        </w:rPr>
      </w:pPr>
      <w:r>
        <w:rPr>
          <w:noProof/>
        </w:rPr>
        <w:t>The proposal is based on Article 397 of the VAT Directive. This article provides that the Council, acting unanimously on a proposal from the Commission, shall adopt the measures necessary to implement the VAT Directive.</w:t>
      </w:r>
    </w:p>
    <w:p w14:paraId="48C1F371" w14:textId="77777777" w:rsidR="00BC2AA6" w:rsidRPr="002D5EE2" w:rsidRDefault="00BC2AA6"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53A51B21" w14:textId="35659E2A" w:rsidR="00BC2AA6" w:rsidRPr="00044058" w:rsidRDefault="00300EDA" w:rsidP="00B55FE2">
      <w:pPr>
        <w:pBdr>
          <w:top w:val="nil"/>
          <w:left w:val="nil"/>
          <w:bottom w:val="nil"/>
          <w:right w:val="nil"/>
          <w:between w:val="nil"/>
          <w:bar w:val="nil"/>
        </w:pBdr>
        <w:spacing w:before="0" w:after="240"/>
        <w:rPr>
          <w:rFonts w:eastAsia="Arial Unicode MS"/>
          <w:noProof/>
        </w:rPr>
      </w:pPr>
      <w:r>
        <w:rPr>
          <w:noProof/>
        </w:rPr>
        <w:t>In order to complement the alignment in the VAT and excise</w:t>
      </w:r>
      <w:r>
        <w:rPr>
          <w:noProof/>
        </w:rPr>
        <w:noBreakHyphen/>
        <w:t xml:space="preserve">duty treatment of defence efforts </w:t>
      </w:r>
      <w:r w:rsidRPr="00123B81">
        <w:rPr>
          <w:noProof/>
        </w:rPr>
        <w:t>in the EU and under NATO</w:t>
      </w:r>
      <w:r>
        <w:rPr>
          <w:noProof/>
        </w:rPr>
        <w:t xml:space="preserve"> frameworks established by the amendments </w:t>
      </w:r>
      <w:r w:rsidR="00B10268">
        <w:rPr>
          <w:noProof/>
        </w:rPr>
        <w:t xml:space="preserve">made </w:t>
      </w:r>
      <w:r>
        <w:rPr>
          <w:noProof/>
        </w:rPr>
        <w:t xml:space="preserve">to the VAT and Excise Directives, </w:t>
      </w:r>
      <w:r w:rsidR="00B55FE2">
        <w:rPr>
          <w:noProof/>
        </w:rPr>
        <w:t xml:space="preserve">as well as to enable the practical application of the exemptions introduced in the VAT Directive in order to support Union measures responding to the COVID-19 pandemic, </w:t>
      </w:r>
      <w:r>
        <w:rPr>
          <w:noProof/>
        </w:rPr>
        <w:t>a corresponding adjustment of the VAT Implementing Regulation is required. Member States could not address it by acting alone. The adjustment requires a proposal by the Commission to amend the VAT Implementing Regulation.</w:t>
      </w:r>
    </w:p>
    <w:p w14:paraId="000E9C1B" w14:textId="77777777" w:rsidR="00BC2AA6" w:rsidRDefault="00BC2AA6"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4B87667D" w14:textId="2C593D74" w:rsidR="00BC2AA6" w:rsidRPr="00044058" w:rsidRDefault="00F62462" w:rsidP="000A57F4">
      <w:pPr>
        <w:pBdr>
          <w:top w:val="nil"/>
          <w:left w:val="nil"/>
          <w:bottom w:val="nil"/>
          <w:right w:val="nil"/>
          <w:between w:val="nil"/>
          <w:bar w:val="nil"/>
        </w:pBdr>
        <w:spacing w:before="0" w:after="240"/>
        <w:rPr>
          <w:rFonts w:eastAsia="Arial Unicode MS"/>
          <w:noProof/>
        </w:rPr>
      </w:pPr>
      <w:r>
        <w:rPr>
          <w:noProof/>
        </w:rPr>
        <w:t xml:space="preserve">The proposal is consistent with the principle of proportionality, as it does not go beyond what is necessary to meet the objectives of the Treaties linked to the smooth functioning of the single market and the progressive framing of a common defence policy under the CSDP. </w:t>
      </w:r>
      <w:r w:rsidR="00D67CA8">
        <w:rPr>
          <w:noProof/>
        </w:rPr>
        <w:t xml:space="preserve">This proposal concerns practical aspects resulting from the alignment of the </w:t>
      </w:r>
      <w:r>
        <w:rPr>
          <w:noProof/>
        </w:rPr>
        <w:t>scope of exemptions for Union and NATO defence efforts</w:t>
      </w:r>
      <w:r w:rsidR="00D67CA8">
        <w:rPr>
          <w:noProof/>
        </w:rPr>
        <w:t xml:space="preserve"> </w:t>
      </w:r>
      <w:r w:rsidR="006E1B1A">
        <w:rPr>
          <w:noProof/>
        </w:rPr>
        <w:t xml:space="preserve">as well as the introduction of new exemptions </w:t>
      </w:r>
      <w:r w:rsidR="00DF4943">
        <w:rPr>
          <w:noProof/>
        </w:rPr>
        <w:t xml:space="preserve">concerning Union measures taken in response to the COVID-19 pandemic, </w:t>
      </w:r>
      <w:r w:rsidR="00A13A96">
        <w:rPr>
          <w:noProof/>
        </w:rPr>
        <w:t xml:space="preserve">as </w:t>
      </w:r>
      <w:r w:rsidR="00D67CA8">
        <w:rPr>
          <w:noProof/>
        </w:rPr>
        <w:t>already adopted by the Council</w:t>
      </w:r>
      <w:r w:rsidR="00A13A96">
        <w:rPr>
          <w:noProof/>
        </w:rPr>
        <w:t xml:space="preserve">, which </w:t>
      </w:r>
      <w:r w:rsidR="00D67CA8">
        <w:rPr>
          <w:noProof/>
        </w:rPr>
        <w:t xml:space="preserve">will have </w:t>
      </w:r>
      <w:r w:rsidR="00671685">
        <w:rPr>
          <w:noProof/>
        </w:rPr>
        <w:t xml:space="preserve">only minimal </w:t>
      </w:r>
      <w:r>
        <w:rPr>
          <w:noProof/>
        </w:rPr>
        <w:t>effect on the tax base.</w:t>
      </w:r>
      <w:r w:rsidR="00B915D4">
        <w:rPr>
          <w:noProof/>
        </w:rPr>
        <w:t xml:space="preserve"> </w:t>
      </w:r>
    </w:p>
    <w:p w14:paraId="2473A979" w14:textId="77777777" w:rsidR="00BC2AA6" w:rsidRDefault="00BC2AA6"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043942D4" w14:textId="77777777" w:rsidR="00BC2AA6" w:rsidRDefault="00671685" w:rsidP="00550536">
      <w:pPr>
        <w:pBdr>
          <w:top w:val="nil"/>
          <w:left w:val="nil"/>
          <w:bottom w:val="nil"/>
          <w:right w:val="nil"/>
          <w:between w:val="nil"/>
          <w:bar w:val="nil"/>
        </w:pBdr>
        <w:spacing w:before="0" w:after="240"/>
        <w:rPr>
          <w:noProof/>
        </w:rPr>
      </w:pPr>
      <w:r>
        <w:rPr>
          <w:noProof/>
        </w:rPr>
        <w:t>An Implementing Regulation is proposed in view of amending the VAT Implementing Regulation.</w:t>
      </w:r>
    </w:p>
    <w:p w14:paraId="6FD22E7A" w14:textId="34568EBD" w:rsidR="004A3B27" w:rsidRPr="00044058" w:rsidRDefault="004A3B27" w:rsidP="008D398D">
      <w:pPr>
        <w:pStyle w:val="ManualHeading1"/>
        <w:rPr>
          <w:rFonts w:eastAsia="Arial Unicode MS"/>
          <w:noProof/>
        </w:rPr>
      </w:pPr>
      <w:r w:rsidRPr="00550536">
        <w:rPr>
          <w:noProof/>
        </w:rPr>
        <w:t>3.</w:t>
      </w:r>
      <w:r w:rsidRPr="00550536">
        <w:rPr>
          <w:noProof/>
        </w:rPr>
        <w:tab/>
        <w:t>RESULTS OF EX-POST EVALUATIONS</w:t>
      </w:r>
      <w:r>
        <w:rPr>
          <w:noProof/>
        </w:rPr>
        <w:t xml:space="preserve"> AND</w:t>
      </w:r>
      <w:r w:rsidRPr="00550536">
        <w:rPr>
          <w:noProof/>
        </w:rPr>
        <w:t xml:space="preserve"> STAKEHOLDER CONS</w:t>
      </w:r>
      <w:r>
        <w:rPr>
          <w:noProof/>
        </w:rPr>
        <w:t>ULTATIONS</w:t>
      </w:r>
      <w:r w:rsidR="00DF4943">
        <w:rPr>
          <w:noProof/>
        </w:rPr>
        <w:t xml:space="preserve"> </w:t>
      </w:r>
    </w:p>
    <w:p w14:paraId="6D4DE5A5" w14:textId="77777777" w:rsidR="004A3B27" w:rsidRDefault="004A3B27" w:rsidP="004A3B27">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606FD75C" w14:textId="251030A4" w:rsidR="004A3B27" w:rsidRDefault="004A3B27" w:rsidP="004A3B27">
      <w:pPr>
        <w:pBdr>
          <w:top w:val="nil"/>
          <w:left w:val="nil"/>
          <w:bottom w:val="nil"/>
          <w:right w:val="nil"/>
          <w:between w:val="nil"/>
          <w:bar w:val="nil"/>
        </w:pBdr>
        <w:spacing w:before="0" w:after="240"/>
        <w:rPr>
          <w:noProof/>
        </w:rPr>
      </w:pPr>
      <w:r>
        <w:rPr>
          <w:noProof/>
        </w:rPr>
        <w:t>Member States were consulted in the group on the future of VAT</w:t>
      </w:r>
      <w:r>
        <w:rPr>
          <w:rStyle w:val="FootnoteReference"/>
          <w:noProof/>
        </w:rPr>
        <w:footnoteReference w:id="15"/>
      </w:r>
      <w:r>
        <w:rPr>
          <w:noProof/>
        </w:rPr>
        <w:t xml:space="preserve"> and broadly confirmed the need to act at EU level by introducing a VAT exemption for supplies linked to defence effort in the EU framework similar to that for supplies linked to NATO defence effort under Article 151(1)(c) and (d) of the VAT Directive. </w:t>
      </w:r>
    </w:p>
    <w:p w14:paraId="4FEB3AB1" w14:textId="77777777" w:rsidR="005A7D1D" w:rsidRDefault="002759A8" w:rsidP="002759A8">
      <w:pPr>
        <w:pBdr>
          <w:top w:val="nil"/>
          <w:left w:val="nil"/>
          <w:bottom w:val="nil"/>
          <w:right w:val="nil"/>
          <w:between w:val="nil"/>
          <w:bar w:val="nil"/>
        </w:pBdr>
        <w:spacing w:before="0" w:after="240"/>
        <w:rPr>
          <w:rFonts w:eastAsia="Arial Unicode MS"/>
          <w:noProof/>
        </w:rPr>
      </w:pPr>
      <w:r>
        <w:rPr>
          <w:rFonts w:eastAsia="Arial Unicode MS"/>
          <w:noProof/>
        </w:rPr>
        <w:t>As regards the measures in response to the COVID-19 pandemic, no</w:t>
      </w:r>
      <w:r w:rsidR="008D398D" w:rsidRPr="008D398D">
        <w:rPr>
          <w:rFonts w:eastAsia="Arial Unicode MS"/>
          <w:noProof/>
        </w:rPr>
        <w:t xml:space="preserve"> stakeholder </w:t>
      </w:r>
      <w:r>
        <w:rPr>
          <w:rFonts w:eastAsia="Arial Unicode MS"/>
          <w:noProof/>
        </w:rPr>
        <w:t>consultation has been conducted</w:t>
      </w:r>
      <w:r w:rsidR="008D398D" w:rsidRPr="008D398D">
        <w:rPr>
          <w:rFonts w:eastAsia="Arial Unicode MS"/>
          <w:noProof/>
        </w:rPr>
        <w:t xml:space="preserve"> due to the urge</w:t>
      </w:r>
      <w:r>
        <w:rPr>
          <w:rFonts w:eastAsia="Arial Unicode MS"/>
          <w:noProof/>
        </w:rPr>
        <w:t xml:space="preserve">nt character of this initiative. </w:t>
      </w:r>
    </w:p>
    <w:p w14:paraId="22F511EE" w14:textId="15461409" w:rsidR="008D398D" w:rsidRPr="00044058" w:rsidRDefault="002759A8" w:rsidP="002759A8">
      <w:pPr>
        <w:pBdr>
          <w:top w:val="nil"/>
          <w:left w:val="nil"/>
          <w:bottom w:val="nil"/>
          <w:right w:val="nil"/>
          <w:between w:val="nil"/>
          <w:bar w:val="nil"/>
        </w:pBdr>
        <w:spacing w:before="0" w:after="240"/>
        <w:rPr>
          <w:rFonts w:eastAsia="Arial Unicode MS"/>
          <w:noProof/>
        </w:rPr>
      </w:pPr>
      <w:r>
        <w:rPr>
          <w:noProof/>
        </w:rPr>
        <w:t xml:space="preserve">The current proposal </w:t>
      </w:r>
      <w:r w:rsidR="00F03EF7">
        <w:rPr>
          <w:noProof/>
        </w:rPr>
        <w:t xml:space="preserve">only </w:t>
      </w:r>
      <w:r>
        <w:rPr>
          <w:noProof/>
        </w:rPr>
        <w:t xml:space="preserve">implements the necessary </w:t>
      </w:r>
      <w:r w:rsidR="00F03EF7">
        <w:rPr>
          <w:noProof/>
        </w:rPr>
        <w:t xml:space="preserve">practical </w:t>
      </w:r>
      <w:r>
        <w:rPr>
          <w:noProof/>
        </w:rPr>
        <w:t>arrangements for the smooth application of the</w:t>
      </w:r>
      <w:r w:rsidR="000B004A">
        <w:rPr>
          <w:noProof/>
        </w:rPr>
        <w:t>se</w:t>
      </w:r>
      <w:r>
        <w:rPr>
          <w:noProof/>
        </w:rPr>
        <w:t xml:space="preserve"> new VAT exemptions in practice.</w:t>
      </w:r>
    </w:p>
    <w:p w14:paraId="3DA5DE55" w14:textId="77777777" w:rsidR="004A3B27" w:rsidRDefault="004A3B27" w:rsidP="004A3B27">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1F4F2AAA" w14:textId="57B4C954" w:rsidR="004A3B27" w:rsidRPr="00044058" w:rsidRDefault="00C86BE3" w:rsidP="002759A8">
      <w:pPr>
        <w:pBdr>
          <w:top w:val="nil"/>
          <w:left w:val="nil"/>
          <w:bottom w:val="nil"/>
          <w:right w:val="nil"/>
          <w:between w:val="nil"/>
          <w:bar w:val="nil"/>
        </w:pBdr>
        <w:spacing w:before="0" w:after="240"/>
        <w:rPr>
          <w:rFonts w:eastAsia="Arial Unicode MS"/>
          <w:noProof/>
        </w:rPr>
      </w:pPr>
      <w:r>
        <w:rPr>
          <w:noProof/>
        </w:rPr>
        <w:t xml:space="preserve">Before it proposed to introduce the </w:t>
      </w:r>
      <w:r w:rsidR="006B1CA9" w:rsidRPr="006B1CA9">
        <w:rPr>
          <w:noProof/>
        </w:rPr>
        <w:t>VAT exemption for supplies linked to defence effort in the EU framework</w:t>
      </w:r>
      <w:r>
        <w:rPr>
          <w:noProof/>
        </w:rPr>
        <w:t xml:space="preserve">, the Commission collected </w:t>
      </w:r>
      <w:r w:rsidR="004A3B27">
        <w:rPr>
          <w:noProof/>
        </w:rPr>
        <w:t>expertise through consultation with representatives of the</w:t>
      </w:r>
      <w:r w:rsidR="00C7323F" w:rsidRPr="00C7323F">
        <w:rPr>
          <w:noProof/>
        </w:rPr>
        <w:t xml:space="preserve"> European External Action Service</w:t>
      </w:r>
      <w:r w:rsidR="00C7323F">
        <w:rPr>
          <w:noProof/>
        </w:rPr>
        <w:t xml:space="preserve"> (</w:t>
      </w:r>
      <w:r w:rsidR="004A3B27">
        <w:rPr>
          <w:noProof/>
        </w:rPr>
        <w:t>EEAS</w:t>
      </w:r>
      <w:r w:rsidR="00C7323F">
        <w:rPr>
          <w:noProof/>
        </w:rPr>
        <w:t>)</w:t>
      </w:r>
      <w:r w:rsidR="00CD277A">
        <w:rPr>
          <w:rStyle w:val="FootnoteReference"/>
          <w:noProof/>
        </w:rPr>
        <w:footnoteReference w:id="16"/>
      </w:r>
      <w:r w:rsidR="004A3B27">
        <w:rPr>
          <w:noProof/>
        </w:rPr>
        <w:t xml:space="preserve">, the </w:t>
      </w:r>
      <w:r w:rsidR="00C7323F">
        <w:rPr>
          <w:noProof/>
        </w:rPr>
        <w:t>European Defence Agency (</w:t>
      </w:r>
      <w:r w:rsidR="004A3B27">
        <w:rPr>
          <w:noProof/>
        </w:rPr>
        <w:t>EDA</w:t>
      </w:r>
      <w:r w:rsidR="00C7323F">
        <w:rPr>
          <w:noProof/>
        </w:rPr>
        <w:t>)</w:t>
      </w:r>
      <w:r w:rsidR="00C7323F">
        <w:rPr>
          <w:rStyle w:val="FootnoteReference"/>
          <w:noProof/>
        </w:rPr>
        <w:footnoteReference w:id="17"/>
      </w:r>
      <w:r w:rsidR="004A3B27">
        <w:rPr>
          <w:noProof/>
        </w:rPr>
        <w:t xml:space="preserve"> and defence experts supporting the members of the group on the future of VAT</w:t>
      </w:r>
      <w:r w:rsidR="006B1CA9">
        <w:rPr>
          <w:noProof/>
        </w:rPr>
        <w:t>. For the exemption proposed</w:t>
      </w:r>
      <w:r w:rsidR="004A3B27">
        <w:rPr>
          <w:noProof/>
        </w:rPr>
        <w:t xml:space="preserve"> </w:t>
      </w:r>
      <w:r w:rsidR="006B1CA9">
        <w:rPr>
          <w:rFonts w:eastAsia="Arial Unicode MS"/>
          <w:noProof/>
        </w:rPr>
        <w:t xml:space="preserve">in response to the COVID-19 pandemic, </w:t>
      </w:r>
      <w:r w:rsidR="00CA7BE9">
        <w:rPr>
          <w:rFonts w:eastAsia="Arial Unicode MS"/>
          <w:noProof/>
        </w:rPr>
        <w:t>t</w:t>
      </w:r>
      <w:r w:rsidR="006B1CA9">
        <w:rPr>
          <w:rFonts w:eastAsia="Arial Unicode MS"/>
          <w:noProof/>
        </w:rPr>
        <w:t>he Commission</w:t>
      </w:r>
      <w:r>
        <w:rPr>
          <w:noProof/>
        </w:rPr>
        <w:t xml:space="preserve"> </w:t>
      </w:r>
      <w:r w:rsidR="002759A8" w:rsidRPr="002759A8">
        <w:rPr>
          <w:noProof/>
        </w:rPr>
        <w:t xml:space="preserve">relied on information publicly available </w:t>
      </w:r>
      <w:r>
        <w:rPr>
          <w:noProof/>
        </w:rPr>
        <w:t xml:space="preserve">as to </w:t>
      </w:r>
      <w:r w:rsidR="002759A8" w:rsidRPr="002759A8">
        <w:rPr>
          <w:noProof/>
        </w:rPr>
        <w:t>the epidemiological situation as well as relevant available scientific evidence w</w:t>
      </w:r>
      <w:r w:rsidR="002759A8">
        <w:rPr>
          <w:noProof/>
        </w:rPr>
        <w:t>ith regard to the ongoing COVID-</w:t>
      </w:r>
      <w:r w:rsidR="002759A8" w:rsidRPr="002759A8">
        <w:rPr>
          <w:noProof/>
        </w:rPr>
        <w:t>19 pandemic.</w:t>
      </w:r>
      <w:r>
        <w:rPr>
          <w:noProof/>
        </w:rPr>
        <w:t xml:space="preserve"> For this proposal</w:t>
      </w:r>
      <w:r w:rsidR="000A57F4">
        <w:rPr>
          <w:noProof/>
        </w:rPr>
        <w:t>,</w:t>
      </w:r>
      <w:r w:rsidR="000B004A">
        <w:rPr>
          <w:noProof/>
        </w:rPr>
        <w:t xml:space="preserve"> which implements these exemptions</w:t>
      </w:r>
      <w:r>
        <w:rPr>
          <w:noProof/>
        </w:rPr>
        <w:t>, no further expertise was needed.</w:t>
      </w:r>
    </w:p>
    <w:p w14:paraId="3B246FAF" w14:textId="77777777" w:rsidR="004A3B27" w:rsidRDefault="004A3B27" w:rsidP="004A3B27">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14:paraId="7FDD61B0" w14:textId="77777777" w:rsidR="004A3B27" w:rsidRPr="00044058" w:rsidRDefault="004A3B27" w:rsidP="004A3B27">
      <w:pPr>
        <w:rPr>
          <w:rFonts w:eastAsia="Arial Unicode MS"/>
          <w:noProof/>
        </w:rPr>
      </w:pPr>
      <w:r>
        <w:rPr>
          <w:noProof/>
        </w:rPr>
        <w:t>The proposal is not linked to REFIT and has no particular impact on micro</w:t>
      </w:r>
      <w:r>
        <w:rPr>
          <w:noProof/>
        </w:rPr>
        <w:noBreakHyphen/>
        <w:t>enterprises or SMEs.</w:t>
      </w:r>
    </w:p>
    <w:p w14:paraId="6AF9AA53" w14:textId="77777777" w:rsidR="004A3B27" w:rsidRDefault="004A3B27" w:rsidP="004A3B27">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07082911" w14:textId="77777777" w:rsidR="004A3B27" w:rsidRPr="00044058" w:rsidRDefault="004A3B27" w:rsidP="004A3B27">
      <w:pPr>
        <w:pBdr>
          <w:top w:val="nil"/>
          <w:left w:val="nil"/>
          <w:bottom w:val="nil"/>
          <w:right w:val="nil"/>
          <w:between w:val="nil"/>
          <w:bar w:val="nil"/>
        </w:pBdr>
        <w:spacing w:before="0" w:after="240"/>
        <w:rPr>
          <w:rFonts w:eastAsia="Arial Unicode MS"/>
          <w:noProof/>
        </w:rPr>
      </w:pPr>
      <w:r>
        <w:rPr>
          <w:noProof/>
        </w:rPr>
        <w:t>The proposal has no consequences for the protection of fundamental rights.</w:t>
      </w:r>
    </w:p>
    <w:p w14:paraId="5F1C2ED7" w14:textId="77777777" w:rsidR="00BC2AA6" w:rsidRDefault="00BC2AA6" w:rsidP="00550536">
      <w:pPr>
        <w:pStyle w:val="ManualHeading1"/>
        <w:rPr>
          <w:noProof/>
        </w:rPr>
      </w:pPr>
      <w:r w:rsidRPr="00550536">
        <w:rPr>
          <w:noProof/>
        </w:rPr>
        <w:t>4.</w:t>
      </w:r>
      <w:r w:rsidRPr="00550536">
        <w:rPr>
          <w:noProof/>
        </w:rPr>
        <w:tab/>
        <w:t>BUDGETARY IMPLICATIONS</w:t>
      </w:r>
    </w:p>
    <w:p w14:paraId="7AFDE01F" w14:textId="0202435A" w:rsidR="00BC2AA6" w:rsidRPr="00044058" w:rsidRDefault="00C46B44" w:rsidP="00476866">
      <w:pPr>
        <w:rPr>
          <w:rFonts w:eastAsia="Arial Unicode MS"/>
          <w:noProof/>
        </w:rPr>
      </w:pPr>
      <w:r>
        <w:rPr>
          <w:noProof/>
        </w:rPr>
        <w:t xml:space="preserve">This proposal </w:t>
      </w:r>
      <w:r w:rsidR="00476866">
        <w:rPr>
          <w:noProof/>
        </w:rPr>
        <w:t xml:space="preserve">just amends the exemption certificate necessary to apply the VAT exemptions in practice but does not amend the scope of the exemptions as such. </w:t>
      </w:r>
      <w:r w:rsidR="00BA7924">
        <w:rPr>
          <w:noProof/>
        </w:rPr>
        <w:t>Therefore, there are no implications for the Union budget.</w:t>
      </w:r>
    </w:p>
    <w:p w14:paraId="788C066F" w14:textId="77777777" w:rsidR="00BC2AA6" w:rsidRPr="00550536" w:rsidRDefault="00BC2AA6" w:rsidP="00550536">
      <w:pPr>
        <w:pStyle w:val="ManualHeading1"/>
        <w:rPr>
          <w:noProof/>
        </w:rPr>
      </w:pPr>
      <w:r w:rsidRPr="00550536">
        <w:rPr>
          <w:noProof/>
        </w:rPr>
        <w:t>5.</w:t>
      </w:r>
      <w:r w:rsidRPr="00550536">
        <w:rPr>
          <w:noProof/>
        </w:rPr>
        <w:tab/>
        <w:t>OTHER ELEMENTS</w:t>
      </w:r>
    </w:p>
    <w:p w14:paraId="2EDFD639" w14:textId="77777777" w:rsidR="00BC2AA6" w:rsidRDefault="00BC2AA6" w:rsidP="00A469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5C2A12F6" w14:textId="77777777" w:rsidR="00BC2AA6" w:rsidRPr="00044058" w:rsidRDefault="00F15391" w:rsidP="00044058">
      <w:pPr>
        <w:pBdr>
          <w:top w:val="nil"/>
          <w:left w:val="nil"/>
          <w:bottom w:val="nil"/>
          <w:right w:val="nil"/>
          <w:between w:val="nil"/>
          <w:bar w:val="nil"/>
        </w:pBdr>
        <w:spacing w:before="0" w:after="240"/>
        <w:rPr>
          <w:rFonts w:eastAsia="Arial Unicode MS"/>
          <w:noProof/>
        </w:rPr>
      </w:pPr>
      <w:r>
        <w:rPr>
          <w:noProof/>
        </w:rPr>
        <w:t>The Commission will monitor implementation of the proposed measures as part of its responsibilities for ensuring the correct application of EU VAT and excise legislation.</w:t>
      </w:r>
    </w:p>
    <w:p w14:paraId="5526416E" w14:textId="77777777" w:rsidR="00BC2AA6" w:rsidRDefault="00BC2AA6"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14:paraId="69601E28" w14:textId="3F7E7F16" w:rsidR="00BC2AA6" w:rsidRDefault="00B6121E" w:rsidP="009941AD">
      <w:pPr>
        <w:pBdr>
          <w:top w:val="nil"/>
          <w:left w:val="nil"/>
          <w:bottom w:val="nil"/>
          <w:right w:val="nil"/>
          <w:between w:val="nil"/>
          <w:bar w:val="nil"/>
        </w:pBdr>
        <w:spacing w:before="0" w:after="240"/>
        <w:rPr>
          <w:noProof/>
        </w:rPr>
      </w:pPr>
      <w:r>
        <w:rPr>
          <w:noProof/>
        </w:rPr>
        <w:t>Article</w:t>
      </w:r>
      <w:r w:rsidR="006E64AC">
        <w:rPr>
          <w:noProof/>
        </w:rPr>
        <w:t>s</w:t>
      </w:r>
      <w:r>
        <w:rPr>
          <w:noProof/>
        </w:rPr>
        <w:t> </w:t>
      </w:r>
      <w:r w:rsidR="00A13A96">
        <w:rPr>
          <w:noProof/>
        </w:rPr>
        <w:t>1</w:t>
      </w:r>
      <w:r w:rsidR="006E64AC">
        <w:rPr>
          <w:noProof/>
        </w:rPr>
        <w:t xml:space="preserve"> and 2</w:t>
      </w:r>
      <w:r w:rsidR="00A13A96">
        <w:rPr>
          <w:noProof/>
        </w:rPr>
        <w:t xml:space="preserve"> </w:t>
      </w:r>
      <w:r w:rsidR="0072126C">
        <w:rPr>
          <w:noProof/>
        </w:rPr>
        <w:t xml:space="preserve">of the proposal replace the </w:t>
      </w:r>
      <w:r w:rsidR="00A13A96">
        <w:rPr>
          <w:noProof/>
        </w:rPr>
        <w:t>VAT and/or excise duty exemption certificate provided for in Annex</w:t>
      </w:r>
      <w:r w:rsidR="002D416D">
        <w:rPr>
          <w:noProof/>
        </w:rPr>
        <w:t> </w:t>
      </w:r>
      <w:r w:rsidR="00A13A96">
        <w:rPr>
          <w:noProof/>
        </w:rPr>
        <w:t xml:space="preserve">II </w:t>
      </w:r>
      <w:r w:rsidR="00B00447">
        <w:rPr>
          <w:noProof/>
        </w:rPr>
        <w:t>to</w:t>
      </w:r>
      <w:r w:rsidR="004C162A">
        <w:rPr>
          <w:noProof/>
        </w:rPr>
        <w:t xml:space="preserve"> the VAT Implementing Regulation </w:t>
      </w:r>
      <w:r w:rsidR="0072126C">
        <w:rPr>
          <w:noProof/>
        </w:rPr>
        <w:t xml:space="preserve">by a new version which also covers goods and services intended for the official use of </w:t>
      </w:r>
      <w:r w:rsidR="0072126C" w:rsidRPr="0072126C">
        <w:rPr>
          <w:noProof/>
        </w:rPr>
        <w:t xml:space="preserve">the armed forces of a Member State taking part in a Union activity </w:t>
      </w:r>
      <w:r w:rsidR="004252EB">
        <w:rPr>
          <w:noProof/>
        </w:rPr>
        <w:t xml:space="preserve">in another Member State </w:t>
      </w:r>
      <w:r w:rsidR="0072126C" w:rsidRPr="0072126C">
        <w:rPr>
          <w:noProof/>
        </w:rPr>
        <w:t xml:space="preserve">under the </w:t>
      </w:r>
      <w:r w:rsidR="004C162A">
        <w:rPr>
          <w:noProof/>
        </w:rPr>
        <w:t>CSDP</w:t>
      </w:r>
      <w:r w:rsidR="00B00447">
        <w:rPr>
          <w:noProof/>
        </w:rPr>
        <w:t xml:space="preserve"> as well as </w:t>
      </w:r>
      <w:r w:rsidR="004D5EF2">
        <w:rPr>
          <w:noProof/>
        </w:rPr>
        <w:t xml:space="preserve">goods and services </w:t>
      </w:r>
      <w:r w:rsidR="004252EB">
        <w:rPr>
          <w:noProof/>
        </w:rPr>
        <w:t xml:space="preserve">acquired by </w:t>
      </w:r>
      <w:r w:rsidR="00B00447" w:rsidRPr="00B00447">
        <w:rPr>
          <w:noProof/>
        </w:rPr>
        <w:t xml:space="preserve">the European Commission or any European agency or body executing their tasks </w:t>
      </w:r>
      <w:r w:rsidR="004252EB">
        <w:rPr>
          <w:noProof/>
        </w:rPr>
        <w:t xml:space="preserve">for use </w:t>
      </w:r>
      <w:r w:rsidR="00B00447" w:rsidRPr="00B00447">
        <w:rPr>
          <w:noProof/>
        </w:rPr>
        <w:t>in response to the COVID-19 pandemic</w:t>
      </w:r>
      <w:r w:rsidR="004C162A">
        <w:rPr>
          <w:noProof/>
        </w:rPr>
        <w:t>.</w:t>
      </w:r>
      <w:r w:rsidR="000D5185">
        <w:rPr>
          <w:noProof/>
        </w:rPr>
        <w:t xml:space="preserve"> </w:t>
      </w:r>
      <w:r w:rsidR="00C65233">
        <w:rPr>
          <w:noProof/>
        </w:rPr>
        <w:t xml:space="preserve">There are two versions of the </w:t>
      </w:r>
      <w:r w:rsidR="00C65233" w:rsidRPr="00C65233">
        <w:rPr>
          <w:noProof/>
        </w:rPr>
        <w:t>VAT and/or excise duty exemption certificate</w:t>
      </w:r>
      <w:r w:rsidR="009941AD">
        <w:rPr>
          <w:noProof/>
        </w:rPr>
        <w:t xml:space="preserve"> annexed to the proposal due to the </w:t>
      </w:r>
      <w:r w:rsidR="009941AD" w:rsidRPr="009941AD">
        <w:rPr>
          <w:noProof/>
        </w:rPr>
        <w:t xml:space="preserve">timeline of the entry into force of the amendments to the VAT Directive. </w:t>
      </w:r>
      <w:r w:rsidR="00C65233">
        <w:rPr>
          <w:noProof/>
        </w:rPr>
        <w:t xml:space="preserve">The certificate as provided for in Annex I to the proposal, which incorporates a box concerning eligible bodies executing </w:t>
      </w:r>
      <w:r w:rsidR="00C65233" w:rsidRPr="00C65233">
        <w:rPr>
          <w:noProof/>
        </w:rPr>
        <w:t>tasks in response to the COVID-19 pandemic</w:t>
      </w:r>
      <w:r w:rsidR="00C65233">
        <w:rPr>
          <w:noProof/>
        </w:rPr>
        <w:t>, will enter into application immediately. It will be replaced as from 1 July 2022 by the version set out in Annex II to the proposal, which adds a box covering activities</w:t>
      </w:r>
      <w:r w:rsidR="00C65233" w:rsidRPr="00C65233">
        <w:rPr>
          <w:noProof/>
        </w:rPr>
        <w:t xml:space="preserve"> under the CSDP</w:t>
      </w:r>
      <w:r w:rsidR="00C65233">
        <w:rPr>
          <w:noProof/>
        </w:rPr>
        <w:t>.</w:t>
      </w:r>
    </w:p>
    <w:p w14:paraId="0ED09D78" w14:textId="37CF1243" w:rsidR="004D5EF2" w:rsidRPr="00CC1C72" w:rsidRDefault="000C5E83" w:rsidP="00625EDF">
      <w:pPr>
        <w:pBdr>
          <w:top w:val="nil"/>
          <w:left w:val="nil"/>
          <w:bottom w:val="nil"/>
          <w:right w:val="nil"/>
          <w:between w:val="nil"/>
          <w:bar w:val="nil"/>
        </w:pBdr>
        <w:spacing w:before="0" w:after="240"/>
      </w:pPr>
      <w:r>
        <w:rPr>
          <w:noProof/>
        </w:rPr>
        <w:t>Notwithstanding the withdrawal of the United Kingdom from the Union, the box set out in Annex</w:t>
      </w:r>
      <w:r w:rsidR="004252EB">
        <w:rPr>
          <w:noProof/>
        </w:rPr>
        <w:t> </w:t>
      </w:r>
      <w:r>
        <w:rPr>
          <w:noProof/>
        </w:rPr>
        <w:t xml:space="preserve">II </w:t>
      </w:r>
      <w:r w:rsidR="005F0DB4">
        <w:rPr>
          <w:noProof/>
        </w:rPr>
        <w:t xml:space="preserve">referring to </w:t>
      </w:r>
      <w:r>
        <w:rPr>
          <w:noProof/>
        </w:rPr>
        <w:t>t</w:t>
      </w:r>
      <w:r w:rsidRPr="000C5E83">
        <w:rPr>
          <w:noProof/>
        </w:rPr>
        <w:t>he United Kingdom</w:t>
      </w:r>
      <w:r>
        <w:rPr>
          <w:noProof/>
        </w:rPr>
        <w:t>’s armed forces</w:t>
      </w:r>
      <w:r w:rsidRPr="000C5E83">
        <w:rPr>
          <w:noProof/>
        </w:rPr>
        <w:t xml:space="preserve"> stationed in the island of Cyprus</w:t>
      </w:r>
      <w:r>
        <w:rPr>
          <w:noProof/>
        </w:rPr>
        <w:t xml:space="preserve"> will remain. </w:t>
      </w:r>
      <w:r w:rsidR="00625EDF">
        <w:rPr>
          <w:noProof/>
        </w:rPr>
        <w:t>I</w:t>
      </w:r>
      <w:r>
        <w:rPr>
          <w:noProof/>
        </w:rPr>
        <w:t>n accordance with the Withdrawal Agreement</w:t>
      </w:r>
      <w:r>
        <w:rPr>
          <w:rStyle w:val="FootnoteReference"/>
          <w:noProof/>
        </w:rPr>
        <w:footnoteReference w:id="18"/>
      </w:r>
      <w:r w:rsidR="00CA2C0E">
        <w:rPr>
          <w:noProof/>
        </w:rPr>
        <w:t xml:space="preserve"> and the Protocol on the Sovereign Base Areas in Cyprus</w:t>
      </w:r>
      <w:r w:rsidR="00CA2C0E">
        <w:rPr>
          <w:rStyle w:val="FootnoteReference"/>
          <w:noProof/>
        </w:rPr>
        <w:footnoteReference w:id="19"/>
      </w:r>
      <w:r w:rsidR="005F0DB4">
        <w:rPr>
          <w:noProof/>
        </w:rPr>
        <w:t xml:space="preserve"> in particular</w:t>
      </w:r>
      <w:r w:rsidR="00CA2C0E">
        <w:rPr>
          <w:noProof/>
        </w:rPr>
        <w:t xml:space="preserve">, the provisions of Union law </w:t>
      </w:r>
      <w:r w:rsidR="008B0155" w:rsidRPr="008B0155">
        <w:rPr>
          <w:noProof/>
        </w:rPr>
        <w:t>on turnover taxes, excise duties and other forms of indirect taxation adopted pursuant to Article</w:t>
      </w:r>
      <w:r w:rsidR="004252EB">
        <w:rPr>
          <w:noProof/>
        </w:rPr>
        <w:t> </w:t>
      </w:r>
      <w:r w:rsidR="008B0155" w:rsidRPr="008B0155">
        <w:rPr>
          <w:noProof/>
        </w:rPr>
        <w:t>113</w:t>
      </w:r>
      <w:r w:rsidR="004252EB">
        <w:rPr>
          <w:noProof/>
        </w:rPr>
        <w:t> </w:t>
      </w:r>
      <w:r w:rsidR="008B0155" w:rsidRPr="008B0155">
        <w:rPr>
          <w:noProof/>
        </w:rPr>
        <w:t>TFEU shall apply to and in the Sovereign Base Areas</w:t>
      </w:r>
      <w:r w:rsidR="008B0155">
        <w:rPr>
          <w:rStyle w:val="FootnoteReference"/>
          <w:noProof/>
        </w:rPr>
        <w:footnoteReference w:id="20"/>
      </w:r>
      <w:r w:rsidR="008B0155" w:rsidRPr="008B0155">
        <w:rPr>
          <w:noProof/>
        </w:rPr>
        <w:t xml:space="preserve"> </w:t>
      </w:r>
      <w:r w:rsidR="00CA2C0E">
        <w:rPr>
          <w:noProof/>
        </w:rPr>
        <w:t>and the United Kingdom shall issue exemption certificates upon approval by the Republic of Cyprus</w:t>
      </w:r>
      <w:r w:rsidR="008B0155">
        <w:rPr>
          <w:rStyle w:val="FootnoteReference"/>
          <w:noProof/>
        </w:rPr>
        <w:footnoteReference w:id="21"/>
      </w:r>
      <w:r w:rsidR="00CA2C0E">
        <w:rPr>
          <w:noProof/>
        </w:rPr>
        <w:t>.</w:t>
      </w:r>
      <w:r>
        <w:rPr>
          <w:noProof/>
        </w:rPr>
        <w:t xml:space="preserve"> </w:t>
      </w:r>
    </w:p>
    <w:p w14:paraId="2771DA3F" w14:textId="77777777" w:rsidR="00BC2AA6" w:rsidRPr="00701D0B" w:rsidRDefault="00BC2AA6" w:rsidP="00701D0B">
      <w:pPr>
        <w:rPr>
          <w:noProof/>
        </w:rPr>
        <w:sectPr w:rsidR="00BC2AA6" w:rsidRPr="00701D0B" w:rsidSect="00E0099F">
          <w:footerReference w:type="default" r:id="rId10"/>
          <w:footerReference w:type="first" r:id="rId11"/>
          <w:pgSz w:w="11907" w:h="16839"/>
          <w:pgMar w:top="1134" w:right="1417" w:bottom="1134" w:left="1417" w:header="709" w:footer="709" w:gutter="0"/>
          <w:cols w:space="708"/>
          <w:docGrid w:linePitch="360"/>
        </w:sectPr>
      </w:pPr>
    </w:p>
    <w:p w14:paraId="0B7AB53D" w14:textId="03AA8038" w:rsidR="007C021C" w:rsidRDefault="007C021C" w:rsidP="007C021C">
      <w:pPr>
        <w:pStyle w:val="Rfrenceinterinstitutionnelle"/>
        <w:rPr>
          <w:noProof/>
        </w:rPr>
      </w:pPr>
      <w:r w:rsidRPr="007C021C">
        <w:t>2022/0002 (NLE)</w:t>
      </w:r>
    </w:p>
    <w:p w14:paraId="55CE6413" w14:textId="188A44B6" w:rsidR="00BC2AA6" w:rsidRPr="00701D0B" w:rsidRDefault="00B71F8E" w:rsidP="00B71F8E">
      <w:pPr>
        <w:pStyle w:val="Statut"/>
        <w:rPr>
          <w:noProof/>
        </w:rPr>
      </w:pPr>
      <w:r w:rsidRPr="00B71F8E">
        <w:rPr>
          <w:noProof/>
        </w:rPr>
        <w:t>Proposal for a</w:t>
      </w:r>
    </w:p>
    <w:p w14:paraId="69E207CA" w14:textId="2A6CDE57" w:rsidR="00BC2AA6" w:rsidRPr="00701D0B" w:rsidRDefault="00B71F8E" w:rsidP="00B71F8E">
      <w:pPr>
        <w:pStyle w:val="Typedudocument"/>
        <w:rPr>
          <w:noProof/>
        </w:rPr>
      </w:pPr>
      <w:r w:rsidRPr="00B71F8E">
        <w:rPr>
          <w:noProof/>
        </w:rPr>
        <w:t xml:space="preserve">COUNCIL IMPLEMENTING REGULATION </w:t>
      </w:r>
    </w:p>
    <w:p w14:paraId="1F51B6E3" w14:textId="06D664C6" w:rsidR="00BC2AA6" w:rsidRPr="00701D0B" w:rsidRDefault="00B71F8E" w:rsidP="00B71F8E">
      <w:pPr>
        <w:pStyle w:val="Titreobjet"/>
        <w:rPr>
          <w:noProof/>
        </w:rPr>
      </w:pPr>
      <w:r w:rsidRPr="00B71F8E">
        <w:rPr>
          <w:noProof/>
        </w:rPr>
        <w:t>amending Implementing Regulation (EU) No 282/2011 as regards the update of the VAT and/or excise duty exemption certificate</w:t>
      </w:r>
    </w:p>
    <w:p w14:paraId="1CE1E886" w14:textId="77777777" w:rsidR="00BC2AA6" w:rsidRPr="00701D0B" w:rsidRDefault="00BC2AA6" w:rsidP="001D7C40">
      <w:pPr>
        <w:pStyle w:val="Institutionquiagit"/>
        <w:rPr>
          <w:noProof/>
        </w:rPr>
      </w:pPr>
      <w:r w:rsidRPr="00701D0B">
        <w:rPr>
          <w:noProof/>
        </w:rPr>
        <w:t xml:space="preserve">THE COUNCIL OF THE EUROPEAN </w:t>
      </w:r>
      <w:smartTag w:uri="urn:schemas-microsoft-com:office:smarttags" w:element="place">
        <w:r w:rsidRPr="00701D0B">
          <w:rPr>
            <w:noProof/>
          </w:rPr>
          <w:t>UNION</w:t>
        </w:r>
      </w:smartTag>
      <w:r w:rsidRPr="00701D0B">
        <w:rPr>
          <w:noProof/>
        </w:rPr>
        <w:t>,</w:t>
      </w:r>
    </w:p>
    <w:p w14:paraId="21A23027" w14:textId="77777777" w:rsidR="00BC2AA6" w:rsidRPr="00701D0B" w:rsidRDefault="00BC2AA6" w:rsidP="001D7C40">
      <w:pPr>
        <w:rPr>
          <w:noProof/>
        </w:rPr>
      </w:pPr>
      <w:r w:rsidRPr="00701D0B">
        <w:rPr>
          <w:noProof/>
        </w:rPr>
        <w:t xml:space="preserve">Having regard to the Treaty on the Functioning of the European Union, </w:t>
      </w:r>
    </w:p>
    <w:p w14:paraId="661E08FB" w14:textId="0706ED75" w:rsidR="00BC2AA6" w:rsidRPr="00701D0B" w:rsidRDefault="00135531" w:rsidP="001D7C40">
      <w:pPr>
        <w:rPr>
          <w:noProof/>
        </w:rPr>
      </w:pPr>
      <w:r>
        <w:rPr>
          <w:noProof/>
        </w:rPr>
        <w:t>Having regard to Council Directive 2006/112/EC of 28 November 2006 on the common system of value added tax</w:t>
      </w:r>
      <w:r>
        <w:rPr>
          <w:rStyle w:val="FootnoteReference"/>
          <w:noProof/>
        </w:rPr>
        <w:footnoteReference w:id="22"/>
      </w:r>
      <w:r>
        <w:rPr>
          <w:noProof/>
        </w:rPr>
        <w:t>, and in particular Article 397 thereof</w:t>
      </w:r>
      <w:r w:rsidR="00BC2AA6" w:rsidRPr="00701D0B">
        <w:rPr>
          <w:noProof/>
        </w:rPr>
        <w:t>,</w:t>
      </w:r>
    </w:p>
    <w:p w14:paraId="294B6398" w14:textId="77777777" w:rsidR="00BC2AA6" w:rsidRPr="00701D0B" w:rsidRDefault="00BC2AA6" w:rsidP="001D7C40">
      <w:pPr>
        <w:rPr>
          <w:noProof/>
        </w:rPr>
      </w:pPr>
      <w:r w:rsidRPr="00701D0B">
        <w:rPr>
          <w:noProof/>
        </w:rPr>
        <w:t>Having regard to the proposal from the European Commission,</w:t>
      </w:r>
    </w:p>
    <w:p w14:paraId="4C3892F6" w14:textId="77777777" w:rsidR="00BC2AA6" w:rsidRPr="00701D0B" w:rsidRDefault="00BC2AA6" w:rsidP="001D7C40">
      <w:pPr>
        <w:rPr>
          <w:noProof/>
        </w:rPr>
      </w:pPr>
      <w:r w:rsidRPr="00701D0B">
        <w:rPr>
          <w:noProof/>
        </w:rPr>
        <w:t>Whereas:</w:t>
      </w:r>
    </w:p>
    <w:p w14:paraId="1EFD606E" w14:textId="4E08099E" w:rsidR="009073A4" w:rsidRDefault="00E36608" w:rsidP="00E36608">
      <w:pPr>
        <w:pStyle w:val="ManualConsidrant"/>
        <w:rPr>
          <w:noProof/>
        </w:rPr>
      </w:pPr>
      <w:r w:rsidRPr="00E36608">
        <w:t>(1)</w:t>
      </w:r>
      <w:r w:rsidRPr="00E36608">
        <w:tab/>
      </w:r>
      <w:r w:rsidR="00E52A9F" w:rsidRPr="00E52A9F">
        <w:rPr>
          <w:noProof/>
        </w:rPr>
        <w:t>Directive 2006/112/EC and</w:t>
      </w:r>
      <w:r w:rsidR="00045060">
        <w:rPr>
          <w:noProof/>
        </w:rPr>
        <w:t xml:space="preserve"> Council Directive 2008/118/EC</w:t>
      </w:r>
      <w:r w:rsidR="00045060">
        <w:rPr>
          <w:rStyle w:val="FootnoteReference"/>
          <w:noProof/>
        </w:rPr>
        <w:footnoteReference w:id="23"/>
      </w:r>
      <w:r w:rsidR="00045060">
        <w:rPr>
          <w:noProof/>
        </w:rPr>
        <w:t xml:space="preserve"> </w:t>
      </w:r>
      <w:r w:rsidR="00E52A9F" w:rsidRPr="00E52A9F">
        <w:rPr>
          <w:noProof/>
        </w:rPr>
        <w:t>were amended by Council Directive (EU) 2019/2235</w:t>
      </w:r>
      <w:r w:rsidR="00045060">
        <w:rPr>
          <w:rStyle w:val="FootnoteReference"/>
          <w:noProof/>
        </w:rPr>
        <w:footnoteReference w:id="24"/>
      </w:r>
      <w:r w:rsidR="00E52A9F" w:rsidRPr="00E52A9F">
        <w:rPr>
          <w:noProof/>
        </w:rPr>
        <w:t xml:space="preserve">, which </w:t>
      </w:r>
      <w:r w:rsidR="004B5A92" w:rsidRPr="00E52A9F">
        <w:rPr>
          <w:noProof/>
        </w:rPr>
        <w:t xml:space="preserve">introduced </w:t>
      </w:r>
      <w:r w:rsidR="004B5A92">
        <w:rPr>
          <w:noProof/>
        </w:rPr>
        <w:t>exemptions</w:t>
      </w:r>
      <w:r w:rsidR="009262F8">
        <w:rPr>
          <w:noProof/>
        </w:rPr>
        <w:t xml:space="preserve"> </w:t>
      </w:r>
      <w:r w:rsidR="009262F8" w:rsidRPr="009262F8">
        <w:rPr>
          <w:noProof/>
          <w:szCs w:val="24"/>
        </w:rPr>
        <w:t>from VAT and excise duty for defence efforts undertaken within the Union framework.</w:t>
      </w:r>
      <w:r w:rsidR="00256E85">
        <w:rPr>
          <w:noProof/>
        </w:rPr>
        <w:t xml:space="preserve"> </w:t>
      </w:r>
      <w:r w:rsidR="009262F8" w:rsidRPr="009262F8">
        <w:rPr>
          <w:noProof/>
        </w:rPr>
        <w:t>Those exemptions were to be applied by the</w:t>
      </w:r>
      <w:r w:rsidR="00CB7479">
        <w:rPr>
          <w:noProof/>
        </w:rPr>
        <w:t xml:space="preserve"> Member States from 1</w:t>
      </w:r>
      <w:r w:rsidR="00CA7BE9">
        <w:rPr>
          <w:noProof/>
        </w:rPr>
        <w:t> </w:t>
      </w:r>
      <w:r w:rsidR="00CB7479">
        <w:rPr>
          <w:noProof/>
        </w:rPr>
        <w:t>July 2022</w:t>
      </w:r>
      <w:r w:rsidR="009073A4">
        <w:rPr>
          <w:noProof/>
        </w:rPr>
        <w:t>.</w:t>
      </w:r>
    </w:p>
    <w:p w14:paraId="00BFF8CB" w14:textId="1301FB07" w:rsidR="001F4D58" w:rsidRDefault="00E36608" w:rsidP="00E36608">
      <w:pPr>
        <w:pStyle w:val="ManualConsidrant"/>
        <w:rPr>
          <w:noProof/>
        </w:rPr>
      </w:pPr>
      <w:r w:rsidRPr="00E36608">
        <w:t>(2)</w:t>
      </w:r>
      <w:r w:rsidRPr="00E36608">
        <w:tab/>
      </w:r>
      <w:r w:rsidR="00FB102E">
        <w:rPr>
          <w:noProof/>
        </w:rPr>
        <w:t>Directive 2006/112/EC</w:t>
      </w:r>
      <w:r w:rsidR="009262F8" w:rsidRPr="009262F8">
        <w:rPr>
          <w:noProof/>
        </w:rPr>
        <w:t xml:space="preserve"> was further amended by Coun</w:t>
      </w:r>
      <w:r w:rsidR="009262F8">
        <w:rPr>
          <w:noProof/>
        </w:rPr>
        <w:t>cil Directive (EU) 2021/1159</w:t>
      </w:r>
      <w:r w:rsidR="00045060">
        <w:rPr>
          <w:rStyle w:val="FootnoteReference"/>
          <w:noProof/>
        </w:rPr>
        <w:footnoteReference w:id="25"/>
      </w:r>
      <w:r w:rsidR="009262F8">
        <w:rPr>
          <w:noProof/>
        </w:rPr>
        <w:t xml:space="preserve">, </w:t>
      </w:r>
      <w:r w:rsidR="009262F8" w:rsidRPr="009262F8">
        <w:rPr>
          <w:noProof/>
        </w:rPr>
        <w:t xml:space="preserve">which  </w:t>
      </w:r>
      <w:r w:rsidR="009262F8">
        <w:rPr>
          <w:noProof/>
        </w:rPr>
        <w:t xml:space="preserve">introduced </w:t>
      </w:r>
      <w:r w:rsidR="00FB102E">
        <w:rPr>
          <w:noProof/>
        </w:rPr>
        <w:t xml:space="preserve">new </w:t>
      </w:r>
      <w:r w:rsidR="009262F8" w:rsidRPr="009262F8">
        <w:rPr>
          <w:noProof/>
          <w:szCs w:val="24"/>
        </w:rPr>
        <w:t>VAT</w:t>
      </w:r>
      <w:r w:rsidR="009262F8">
        <w:rPr>
          <w:noProof/>
        </w:rPr>
        <w:t xml:space="preserve"> </w:t>
      </w:r>
      <w:r w:rsidR="001A623E">
        <w:rPr>
          <w:noProof/>
        </w:rPr>
        <w:t>exemptions with regard to measures taken at Union level in response to the COVID-19 pandemic</w:t>
      </w:r>
      <w:r w:rsidR="009262F8">
        <w:rPr>
          <w:noProof/>
        </w:rPr>
        <w:t>.</w:t>
      </w:r>
      <w:r w:rsidR="009262F8" w:rsidRPr="009262F8">
        <w:rPr>
          <w:noProof/>
        </w:rPr>
        <w:t xml:space="preserve"> Those exemptions were to be applied by the Member States with retroactive effect from 1</w:t>
      </w:r>
      <w:r w:rsidR="00CA7BE9">
        <w:rPr>
          <w:noProof/>
        </w:rPr>
        <w:t> </w:t>
      </w:r>
      <w:r w:rsidR="009262F8" w:rsidRPr="009262F8">
        <w:rPr>
          <w:noProof/>
        </w:rPr>
        <w:t>January 2021.</w:t>
      </w:r>
    </w:p>
    <w:p w14:paraId="61C5D4D8" w14:textId="0E920622" w:rsidR="001F4D58" w:rsidRDefault="00E36608" w:rsidP="00E36608">
      <w:pPr>
        <w:pStyle w:val="ManualConsidrant"/>
        <w:rPr>
          <w:noProof/>
        </w:rPr>
      </w:pPr>
      <w:r w:rsidRPr="00E36608">
        <w:t>(3)</w:t>
      </w:r>
      <w:r w:rsidRPr="00E36608">
        <w:tab/>
      </w:r>
      <w:r w:rsidR="00FB102E">
        <w:rPr>
          <w:noProof/>
        </w:rPr>
        <w:t xml:space="preserve">Annex II to </w:t>
      </w:r>
      <w:r w:rsidR="006C3EC7" w:rsidRPr="006C3EC7">
        <w:rPr>
          <w:noProof/>
        </w:rPr>
        <w:t>Council</w:t>
      </w:r>
      <w:r w:rsidR="00CA7BE9">
        <w:rPr>
          <w:noProof/>
        </w:rPr>
        <w:t xml:space="preserve"> </w:t>
      </w:r>
      <w:r w:rsidR="006C3EC7" w:rsidRPr="006C3EC7">
        <w:rPr>
          <w:noProof/>
        </w:rPr>
        <w:t>Implementing Regulation (EU) No</w:t>
      </w:r>
      <w:r w:rsidR="00CA7BE9">
        <w:rPr>
          <w:noProof/>
        </w:rPr>
        <w:t> </w:t>
      </w:r>
      <w:r w:rsidR="006C3EC7" w:rsidRPr="006C3EC7">
        <w:rPr>
          <w:noProof/>
        </w:rPr>
        <w:t>282/2011</w:t>
      </w:r>
      <w:r w:rsidR="00045060">
        <w:rPr>
          <w:rStyle w:val="FootnoteReference"/>
          <w:noProof/>
        </w:rPr>
        <w:footnoteReference w:id="26"/>
      </w:r>
      <w:r w:rsidR="00FB102E" w:rsidRPr="00972559">
        <w:rPr>
          <w:noProof/>
        </w:rPr>
        <w:t xml:space="preserve"> </w:t>
      </w:r>
      <w:r w:rsidR="00FB102E">
        <w:rPr>
          <w:noProof/>
        </w:rPr>
        <w:t>provides a certificate, which serves to confirm that a certain transaction qualifies for exempti</w:t>
      </w:r>
      <w:r w:rsidR="00875F99">
        <w:rPr>
          <w:noProof/>
        </w:rPr>
        <w:t>on from VAT and/or excise duty</w:t>
      </w:r>
      <w:r w:rsidR="006C3EC7" w:rsidRPr="006C3EC7">
        <w:rPr>
          <w:noProof/>
        </w:rPr>
        <w:t xml:space="preserve"> under Article</w:t>
      </w:r>
      <w:r w:rsidR="00CA7BE9">
        <w:rPr>
          <w:noProof/>
        </w:rPr>
        <w:t> </w:t>
      </w:r>
      <w:r w:rsidR="006C3EC7" w:rsidRPr="006C3EC7">
        <w:rPr>
          <w:noProof/>
        </w:rPr>
        <w:t>151 of Directive 2006/112/EC.</w:t>
      </w:r>
      <w:r w:rsidR="00875F99">
        <w:rPr>
          <w:noProof/>
        </w:rPr>
        <w:t xml:space="preserve"> In order to enable the Member S</w:t>
      </w:r>
      <w:r w:rsidR="00875F99" w:rsidRPr="00495DBE">
        <w:rPr>
          <w:noProof/>
        </w:rPr>
        <w:t xml:space="preserve">tates to apply </w:t>
      </w:r>
      <w:r w:rsidR="006C3EC7" w:rsidRPr="006C3EC7">
        <w:rPr>
          <w:noProof/>
        </w:rPr>
        <w:t>the new VAT exemption for defence efforts and the VAT exemptions with regard to measures taken at Union level in response to the COVID-19 pandemic in a uniform way</w:t>
      </w:r>
      <w:r w:rsidR="00875F99">
        <w:rPr>
          <w:noProof/>
        </w:rPr>
        <w:t xml:space="preserve">, </w:t>
      </w:r>
      <w:r w:rsidR="006C3EC7">
        <w:rPr>
          <w:noProof/>
        </w:rPr>
        <w:t xml:space="preserve">that </w:t>
      </w:r>
      <w:r w:rsidR="00875F99">
        <w:rPr>
          <w:noProof/>
        </w:rPr>
        <w:t xml:space="preserve">certificate </w:t>
      </w:r>
      <w:r w:rsidR="00E8038A">
        <w:rPr>
          <w:noProof/>
        </w:rPr>
        <w:t xml:space="preserve">needs to </w:t>
      </w:r>
      <w:r w:rsidR="00875F99" w:rsidRPr="00495DBE">
        <w:rPr>
          <w:noProof/>
        </w:rPr>
        <w:t>be adjusted</w:t>
      </w:r>
      <w:r w:rsidR="00875F99">
        <w:rPr>
          <w:noProof/>
        </w:rPr>
        <w:t>.</w:t>
      </w:r>
    </w:p>
    <w:p w14:paraId="0A3AC511" w14:textId="1C33E983" w:rsidR="00945456" w:rsidRPr="00945456" w:rsidRDefault="00E36608" w:rsidP="00E36608">
      <w:pPr>
        <w:pStyle w:val="ManualConsidrant"/>
        <w:rPr>
          <w:noProof/>
        </w:rPr>
      </w:pPr>
      <w:r w:rsidRPr="00E36608">
        <w:t>(4)</w:t>
      </w:r>
      <w:r w:rsidRPr="00E36608">
        <w:tab/>
      </w:r>
      <w:r w:rsidR="00945456" w:rsidRPr="00945456">
        <w:rPr>
          <w:noProof/>
        </w:rPr>
        <w:t>With regard to the new VAT exemptions concerning measures taken at Union level in response to the COVID-19 pandemic under Directive 2006/112/EC, the certificate should be amended in order to include as an eligible body the Commission or any European agency or body executing their tasks in response to the COVID-19 pandemic. For that purpose, Annex</w:t>
      </w:r>
      <w:r w:rsidR="00CA7BE9">
        <w:rPr>
          <w:noProof/>
        </w:rPr>
        <w:t> </w:t>
      </w:r>
      <w:r w:rsidR="00945456" w:rsidRPr="00945456">
        <w:rPr>
          <w:noProof/>
        </w:rPr>
        <w:t>II to Implementing Regulation (EU) No</w:t>
      </w:r>
      <w:r w:rsidR="00CA7BE9">
        <w:rPr>
          <w:noProof/>
        </w:rPr>
        <w:t> </w:t>
      </w:r>
      <w:r w:rsidR="00945456" w:rsidRPr="00945456">
        <w:rPr>
          <w:noProof/>
        </w:rPr>
        <w:t>282/2011 should be amended with effect from 1</w:t>
      </w:r>
      <w:r w:rsidR="00CA7BE9">
        <w:rPr>
          <w:noProof/>
        </w:rPr>
        <w:t> </w:t>
      </w:r>
      <w:r w:rsidR="00945456" w:rsidRPr="00945456">
        <w:rPr>
          <w:noProof/>
        </w:rPr>
        <w:t>January 2021.</w:t>
      </w:r>
    </w:p>
    <w:p w14:paraId="2E98C284" w14:textId="1F6FB9B4" w:rsidR="00945456" w:rsidRDefault="00E36608" w:rsidP="00E36608">
      <w:pPr>
        <w:pStyle w:val="ManualConsidrant"/>
        <w:rPr>
          <w:noProof/>
        </w:rPr>
      </w:pPr>
      <w:r w:rsidRPr="00E36608">
        <w:t>(5)</w:t>
      </w:r>
      <w:r w:rsidRPr="00E36608">
        <w:tab/>
      </w:r>
      <w:r w:rsidR="00945456" w:rsidRPr="00945456">
        <w:rPr>
          <w:noProof/>
        </w:rPr>
        <w:t>With regard to the new exemption from VAT for defence efforts undertaken within the Union framework, the certificate should be amended in order to include as an eligible body the Commission or any European agency or body executing their tasks in response to the COVID-19 pandemic, as well as the armed forces of a Member State taking part in a Union activity under the common security and defence policy. For that purpose, Annex</w:t>
      </w:r>
      <w:r w:rsidR="00CA7BE9">
        <w:rPr>
          <w:noProof/>
        </w:rPr>
        <w:t> </w:t>
      </w:r>
      <w:r w:rsidR="00945456" w:rsidRPr="00945456">
        <w:rPr>
          <w:noProof/>
        </w:rPr>
        <w:t>II to Implementing Regulation (EU) No</w:t>
      </w:r>
      <w:r w:rsidR="00CA7BE9">
        <w:rPr>
          <w:noProof/>
        </w:rPr>
        <w:t> </w:t>
      </w:r>
      <w:r w:rsidR="00945456" w:rsidRPr="00945456">
        <w:rPr>
          <w:noProof/>
        </w:rPr>
        <w:t>282/2011 should be amended with effect from 1</w:t>
      </w:r>
      <w:r w:rsidR="00CA7BE9">
        <w:rPr>
          <w:noProof/>
        </w:rPr>
        <w:t> </w:t>
      </w:r>
      <w:r w:rsidR="00945456" w:rsidRPr="00945456">
        <w:rPr>
          <w:noProof/>
        </w:rPr>
        <w:t>July 2022.</w:t>
      </w:r>
    </w:p>
    <w:p w14:paraId="4D5D5654" w14:textId="1DCEBE85" w:rsidR="00BC2AA6" w:rsidRPr="00701D0B" w:rsidRDefault="00E36608" w:rsidP="00E36608">
      <w:pPr>
        <w:pStyle w:val="ManualConsidrant"/>
        <w:rPr>
          <w:noProof/>
        </w:rPr>
      </w:pPr>
      <w:r w:rsidRPr="00E36608">
        <w:t>(6)</w:t>
      </w:r>
      <w:r w:rsidRPr="00E36608">
        <w:tab/>
      </w:r>
      <w:r w:rsidR="00184CA4" w:rsidRPr="00972559">
        <w:rPr>
          <w:noProof/>
        </w:rPr>
        <w:t>Implementing Regulation (EU) No</w:t>
      </w:r>
      <w:r w:rsidR="00E90E41">
        <w:rPr>
          <w:noProof/>
        </w:rPr>
        <w:t> </w:t>
      </w:r>
      <w:r w:rsidR="00184CA4" w:rsidRPr="00972559">
        <w:rPr>
          <w:noProof/>
        </w:rPr>
        <w:t>282/2011</w:t>
      </w:r>
      <w:r w:rsidR="00184CA4">
        <w:rPr>
          <w:noProof/>
        </w:rPr>
        <w:t xml:space="preserve"> should therefore be amended accordingly</w:t>
      </w:r>
      <w:r w:rsidR="00BC2AA6" w:rsidRPr="00701D0B">
        <w:rPr>
          <w:noProof/>
        </w:rPr>
        <w:t>,</w:t>
      </w:r>
    </w:p>
    <w:p w14:paraId="10C5BA59" w14:textId="77777777" w:rsidR="00BC2AA6" w:rsidRPr="00701D0B" w:rsidRDefault="00BC2AA6" w:rsidP="001D7C40">
      <w:pPr>
        <w:pStyle w:val="Formuledadoption"/>
        <w:rPr>
          <w:noProof/>
        </w:rPr>
      </w:pPr>
      <w:r w:rsidRPr="00701D0B">
        <w:rPr>
          <w:noProof/>
        </w:rPr>
        <w:t>HAS ADOPTED THIS REGULATION:</w:t>
      </w:r>
    </w:p>
    <w:p w14:paraId="0C8A960B" w14:textId="77777777" w:rsidR="00BC2AA6" w:rsidRPr="00701D0B" w:rsidRDefault="00BC2AA6" w:rsidP="001D7C40">
      <w:pPr>
        <w:pStyle w:val="Titrearticle"/>
        <w:rPr>
          <w:noProof/>
        </w:rPr>
      </w:pPr>
      <w:r w:rsidRPr="00701D0B">
        <w:rPr>
          <w:noProof/>
        </w:rPr>
        <w:t>Article 1</w:t>
      </w:r>
    </w:p>
    <w:p w14:paraId="6D2D0447" w14:textId="509F7A49" w:rsidR="00BC2AA6" w:rsidRDefault="005D596F" w:rsidP="005D596F">
      <w:pPr>
        <w:rPr>
          <w:noProof/>
        </w:rPr>
      </w:pPr>
      <w:r w:rsidRPr="005D596F">
        <w:rPr>
          <w:noProof/>
        </w:rPr>
        <w:t>Annex</w:t>
      </w:r>
      <w:r w:rsidR="00DC5F78">
        <w:rPr>
          <w:noProof/>
        </w:rPr>
        <w:t> </w:t>
      </w:r>
      <w:r w:rsidRPr="005D596F">
        <w:rPr>
          <w:noProof/>
        </w:rPr>
        <w:t xml:space="preserve">II </w:t>
      </w:r>
      <w:r>
        <w:rPr>
          <w:noProof/>
        </w:rPr>
        <w:t>to</w:t>
      </w:r>
      <w:r w:rsidRPr="005D596F">
        <w:rPr>
          <w:noProof/>
        </w:rPr>
        <w:t xml:space="preserve"> Implementing Regulation (EU) No</w:t>
      </w:r>
      <w:r w:rsidR="00DC5F78">
        <w:rPr>
          <w:noProof/>
        </w:rPr>
        <w:t> </w:t>
      </w:r>
      <w:r w:rsidRPr="005D596F">
        <w:rPr>
          <w:noProof/>
        </w:rPr>
        <w:t xml:space="preserve">282/2011 is replaced by the </w:t>
      </w:r>
      <w:r w:rsidR="001F1CDF">
        <w:rPr>
          <w:noProof/>
        </w:rPr>
        <w:t>text</w:t>
      </w:r>
      <w:r w:rsidRPr="005D596F">
        <w:rPr>
          <w:noProof/>
        </w:rPr>
        <w:t xml:space="preserve"> in </w:t>
      </w:r>
      <w:r w:rsidR="006201C7">
        <w:rPr>
          <w:noProof/>
        </w:rPr>
        <w:t>A</w:t>
      </w:r>
      <w:r w:rsidRPr="005D596F">
        <w:rPr>
          <w:noProof/>
        </w:rPr>
        <w:t>nnex</w:t>
      </w:r>
      <w:r w:rsidR="006201C7">
        <w:rPr>
          <w:noProof/>
        </w:rPr>
        <w:t> </w:t>
      </w:r>
      <w:r w:rsidR="001F1CDF">
        <w:rPr>
          <w:noProof/>
        </w:rPr>
        <w:t>I to this Regulation</w:t>
      </w:r>
      <w:r w:rsidR="004A2400">
        <w:rPr>
          <w:noProof/>
        </w:rPr>
        <w:t>.</w:t>
      </w:r>
    </w:p>
    <w:p w14:paraId="3BB69F40" w14:textId="748E9381" w:rsidR="00BA6944" w:rsidRPr="00701D0B" w:rsidRDefault="00BA6944" w:rsidP="00BA6944">
      <w:pPr>
        <w:pStyle w:val="Titrearticle"/>
        <w:rPr>
          <w:noProof/>
        </w:rPr>
      </w:pPr>
      <w:r>
        <w:rPr>
          <w:noProof/>
        </w:rPr>
        <w:t>Article 2</w:t>
      </w:r>
    </w:p>
    <w:p w14:paraId="6CE286E1" w14:textId="3ED24E9F" w:rsidR="00BA6944" w:rsidRPr="00701D0B" w:rsidRDefault="00BA6944" w:rsidP="00BA6944">
      <w:pPr>
        <w:rPr>
          <w:noProof/>
        </w:rPr>
      </w:pPr>
      <w:r w:rsidRPr="005D596F">
        <w:rPr>
          <w:noProof/>
        </w:rPr>
        <w:t>Annex</w:t>
      </w:r>
      <w:r>
        <w:rPr>
          <w:noProof/>
        </w:rPr>
        <w:t> </w:t>
      </w:r>
      <w:r w:rsidRPr="005D596F">
        <w:rPr>
          <w:noProof/>
        </w:rPr>
        <w:t xml:space="preserve">II </w:t>
      </w:r>
      <w:r>
        <w:rPr>
          <w:noProof/>
        </w:rPr>
        <w:t>to</w:t>
      </w:r>
      <w:r w:rsidRPr="005D596F">
        <w:rPr>
          <w:noProof/>
        </w:rPr>
        <w:t xml:space="preserve"> Implementing Regulation (EU) No</w:t>
      </w:r>
      <w:r>
        <w:rPr>
          <w:noProof/>
        </w:rPr>
        <w:t> </w:t>
      </w:r>
      <w:r w:rsidRPr="005D596F">
        <w:rPr>
          <w:noProof/>
        </w:rPr>
        <w:t>282/2011</w:t>
      </w:r>
      <w:r w:rsidR="00E8038A">
        <w:rPr>
          <w:noProof/>
        </w:rPr>
        <w:t xml:space="preserve"> </w:t>
      </w:r>
      <w:r w:rsidRPr="005D596F">
        <w:rPr>
          <w:noProof/>
        </w:rPr>
        <w:t>is replaced</w:t>
      </w:r>
      <w:r>
        <w:rPr>
          <w:noProof/>
        </w:rPr>
        <w:t xml:space="preserve"> by the </w:t>
      </w:r>
      <w:r w:rsidR="001F1CDF">
        <w:rPr>
          <w:noProof/>
        </w:rPr>
        <w:t xml:space="preserve">text </w:t>
      </w:r>
      <w:r>
        <w:rPr>
          <w:noProof/>
        </w:rPr>
        <w:t xml:space="preserve">in </w:t>
      </w:r>
      <w:r w:rsidR="006201C7">
        <w:rPr>
          <w:noProof/>
        </w:rPr>
        <w:t>A</w:t>
      </w:r>
      <w:r w:rsidRPr="005D596F">
        <w:rPr>
          <w:noProof/>
        </w:rPr>
        <w:t>nnex</w:t>
      </w:r>
      <w:r w:rsidR="006201C7">
        <w:rPr>
          <w:noProof/>
        </w:rPr>
        <w:t> </w:t>
      </w:r>
      <w:r w:rsidR="001F1CDF">
        <w:rPr>
          <w:noProof/>
        </w:rPr>
        <w:t>II to this Regulation</w:t>
      </w:r>
      <w:r>
        <w:rPr>
          <w:noProof/>
        </w:rPr>
        <w:t>.</w:t>
      </w:r>
    </w:p>
    <w:p w14:paraId="730A17D8" w14:textId="6B1E33A1" w:rsidR="00BC2AA6" w:rsidRPr="00701D0B" w:rsidRDefault="00BC2AA6" w:rsidP="00BA6944">
      <w:pPr>
        <w:pStyle w:val="Titrearticle"/>
        <w:rPr>
          <w:noProof/>
        </w:rPr>
      </w:pPr>
      <w:r w:rsidRPr="00701D0B">
        <w:rPr>
          <w:noProof/>
        </w:rPr>
        <w:t>Article</w:t>
      </w:r>
      <w:r w:rsidR="00135531">
        <w:rPr>
          <w:noProof/>
        </w:rPr>
        <w:t xml:space="preserve"> </w:t>
      </w:r>
      <w:r w:rsidR="00BA6944">
        <w:rPr>
          <w:noProof/>
        </w:rPr>
        <w:t>3</w:t>
      </w:r>
    </w:p>
    <w:p w14:paraId="6541B207" w14:textId="77777777" w:rsidR="006C31E5" w:rsidRPr="00EE0065" w:rsidRDefault="00BC2AA6" w:rsidP="00563B9A">
      <w:pPr>
        <w:rPr>
          <w:noProof/>
        </w:rPr>
      </w:pPr>
      <w:r w:rsidRPr="00701D0B">
        <w:rPr>
          <w:noProof/>
        </w:rPr>
        <w:t>This Regulatio</w:t>
      </w:r>
      <w:r w:rsidR="00135531">
        <w:rPr>
          <w:noProof/>
        </w:rPr>
        <w:t xml:space="preserve">n shall enter into force on the twentieth </w:t>
      </w:r>
      <w:r w:rsidRPr="00701D0B">
        <w:rPr>
          <w:noProof/>
        </w:rPr>
        <w:t xml:space="preserve">day following that of its publication in the </w:t>
      </w:r>
      <w:r w:rsidRPr="00701D0B">
        <w:rPr>
          <w:i/>
          <w:noProof/>
        </w:rPr>
        <w:t>Official Journal of the European Union</w:t>
      </w:r>
      <w:r w:rsidRPr="00701D0B">
        <w:rPr>
          <w:noProof/>
        </w:rPr>
        <w:t>.</w:t>
      </w:r>
    </w:p>
    <w:p w14:paraId="48CDF5C2" w14:textId="79DD2A88" w:rsidR="007C145C" w:rsidRDefault="007C145C" w:rsidP="00EC7123">
      <w:pPr>
        <w:rPr>
          <w:noProof/>
        </w:rPr>
      </w:pPr>
      <w:r>
        <w:rPr>
          <w:noProof/>
        </w:rPr>
        <w:t>Article</w:t>
      </w:r>
      <w:r w:rsidR="00CA7BE9">
        <w:rPr>
          <w:noProof/>
        </w:rPr>
        <w:t> </w:t>
      </w:r>
      <w:r>
        <w:rPr>
          <w:noProof/>
        </w:rPr>
        <w:t>1 shall apply from 1 January 2021.</w:t>
      </w:r>
    </w:p>
    <w:p w14:paraId="24579A6D" w14:textId="079CA69D" w:rsidR="00540207" w:rsidRDefault="007C145C" w:rsidP="007C145C">
      <w:pPr>
        <w:rPr>
          <w:noProof/>
        </w:rPr>
      </w:pPr>
      <w:r>
        <w:rPr>
          <w:noProof/>
        </w:rPr>
        <w:t>Article</w:t>
      </w:r>
      <w:r w:rsidR="00CA7BE9">
        <w:rPr>
          <w:noProof/>
        </w:rPr>
        <w:t> </w:t>
      </w:r>
      <w:r>
        <w:rPr>
          <w:noProof/>
        </w:rPr>
        <w:t>2 shall apply from 1 July 2022.</w:t>
      </w:r>
    </w:p>
    <w:p w14:paraId="4FCBFFF1" w14:textId="77777777" w:rsidR="00BC2AA6" w:rsidRDefault="00BC2AA6" w:rsidP="00540207">
      <w:pPr>
        <w:rPr>
          <w:noProof/>
        </w:rPr>
      </w:pPr>
      <w:r w:rsidRPr="00701D0B">
        <w:rPr>
          <w:noProof/>
        </w:rPr>
        <w:t>This Regulation shall be binding in its entirety and directly applicable in all Member States.</w:t>
      </w:r>
    </w:p>
    <w:p w14:paraId="6026B12B" w14:textId="42D2AFF9" w:rsidR="00BC2AA6" w:rsidRDefault="00E502B5" w:rsidP="00DB72F6">
      <w:pPr>
        <w:pStyle w:val="Fait"/>
        <w:rPr>
          <w:noProof/>
        </w:rPr>
      </w:pPr>
      <w:r w:rsidRPr="00E502B5">
        <w:t>Done at Brussels,</w:t>
      </w:r>
    </w:p>
    <w:p w14:paraId="476798AF" w14:textId="77777777" w:rsidR="00BC2AA6" w:rsidRDefault="00BC2AA6" w:rsidP="00DB72F6">
      <w:pPr>
        <w:pStyle w:val="Institutionquisigne"/>
        <w:rPr>
          <w:noProof/>
        </w:rPr>
      </w:pPr>
      <w:r w:rsidRPr="00BC2AA6">
        <w:rPr>
          <w:noProof/>
        </w:rPr>
        <w:tab/>
        <w:t>For the Council</w:t>
      </w:r>
    </w:p>
    <w:p w14:paraId="6C595826" w14:textId="77777777" w:rsidR="00BC2AA6" w:rsidRPr="00BC2AA6" w:rsidRDefault="00BC2AA6" w:rsidP="00BC2AA6">
      <w:pPr>
        <w:pStyle w:val="Personnequisigne"/>
        <w:rPr>
          <w:noProof/>
        </w:rPr>
      </w:pPr>
      <w:r w:rsidRPr="00BC2AA6">
        <w:rPr>
          <w:noProof/>
        </w:rPr>
        <w:tab/>
        <w:t>The President</w:t>
      </w:r>
    </w:p>
    <w:sectPr w:rsidR="00BC2AA6" w:rsidRPr="00BC2AA6" w:rsidSect="00E0099F">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CBB3C" w14:textId="77777777" w:rsidR="00BC2AA6" w:rsidRDefault="00BC2AA6" w:rsidP="00BC2AA6">
      <w:pPr>
        <w:spacing w:before="0" w:after="0"/>
      </w:pPr>
      <w:r>
        <w:separator/>
      </w:r>
    </w:p>
  </w:endnote>
  <w:endnote w:type="continuationSeparator" w:id="0">
    <w:p w14:paraId="067B63E5" w14:textId="77777777" w:rsidR="00BC2AA6" w:rsidRDefault="00BC2AA6" w:rsidP="00BC2A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6E45" w14:textId="29BE2F70" w:rsidR="00B71F8E" w:rsidRPr="00E0099F" w:rsidRDefault="00E0099F" w:rsidP="00E0099F">
    <w:pPr>
      <w:pStyle w:val="Footer"/>
      <w:rPr>
        <w:rFonts w:ascii="Arial" w:hAnsi="Arial" w:cs="Arial"/>
        <w:b/>
        <w:sz w:val="48"/>
      </w:rPr>
    </w:pPr>
    <w:r w:rsidRPr="00E0099F">
      <w:rPr>
        <w:rFonts w:ascii="Arial" w:hAnsi="Arial" w:cs="Arial"/>
        <w:b/>
        <w:sz w:val="48"/>
      </w:rPr>
      <w:t>EN</w:t>
    </w:r>
    <w:r w:rsidRPr="00E0099F">
      <w:rPr>
        <w:rFonts w:ascii="Arial" w:hAnsi="Arial" w:cs="Arial"/>
        <w:b/>
        <w:sz w:val="48"/>
      </w:rPr>
      <w:tab/>
    </w:r>
    <w:r w:rsidRPr="00E0099F">
      <w:rPr>
        <w:rFonts w:ascii="Arial" w:hAnsi="Arial" w:cs="Arial"/>
        <w:b/>
        <w:sz w:val="48"/>
      </w:rPr>
      <w:tab/>
    </w:r>
    <w:r w:rsidRPr="00E0099F">
      <w:tab/>
    </w:r>
    <w:r w:rsidRPr="00E0099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A4CB" w14:textId="1E9F7538" w:rsidR="00E0099F" w:rsidRPr="00E0099F" w:rsidRDefault="00E0099F" w:rsidP="00E0099F">
    <w:pPr>
      <w:pStyle w:val="Footer"/>
      <w:rPr>
        <w:rFonts w:ascii="Arial" w:hAnsi="Arial" w:cs="Arial"/>
        <w:b/>
        <w:sz w:val="48"/>
      </w:rPr>
    </w:pPr>
    <w:r w:rsidRPr="00E0099F">
      <w:rPr>
        <w:rFonts w:ascii="Arial" w:hAnsi="Arial" w:cs="Arial"/>
        <w:b/>
        <w:sz w:val="48"/>
      </w:rPr>
      <w:t>EN</w:t>
    </w:r>
    <w:r w:rsidRPr="00E0099F">
      <w:rPr>
        <w:rFonts w:ascii="Arial" w:hAnsi="Arial" w:cs="Arial"/>
        <w:b/>
        <w:sz w:val="48"/>
      </w:rPr>
      <w:tab/>
    </w:r>
    <w:r>
      <w:fldChar w:fldCharType="begin"/>
    </w:r>
    <w:r>
      <w:instrText xml:space="preserve"> PAGE  \* MERGEFORMAT </w:instrText>
    </w:r>
    <w:r>
      <w:fldChar w:fldCharType="separate"/>
    </w:r>
    <w:r w:rsidR="00DB72F6">
      <w:rPr>
        <w:noProof/>
      </w:rPr>
      <w:t>7</w:t>
    </w:r>
    <w:r>
      <w:fldChar w:fldCharType="end"/>
    </w:r>
    <w:r>
      <w:tab/>
    </w:r>
    <w:r w:rsidRPr="00E0099F">
      <w:tab/>
    </w:r>
    <w:r w:rsidRPr="00E0099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7DCC" w14:textId="77777777" w:rsidR="00E0099F" w:rsidRPr="00E0099F" w:rsidRDefault="00E0099F" w:rsidP="00E00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D5FD4" w14:textId="77777777" w:rsidR="00BC2AA6" w:rsidRDefault="00BC2AA6" w:rsidP="00BC2AA6">
      <w:pPr>
        <w:spacing w:before="0" w:after="0"/>
      </w:pPr>
      <w:r>
        <w:separator/>
      </w:r>
    </w:p>
  </w:footnote>
  <w:footnote w:type="continuationSeparator" w:id="0">
    <w:p w14:paraId="480F8B7B" w14:textId="77777777" w:rsidR="00BC2AA6" w:rsidRDefault="00BC2AA6" w:rsidP="00BC2AA6">
      <w:pPr>
        <w:spacing w:before="0" w:after="0"/>
      </w:pPr>
      <w:r>
        <w:continuationSeparator/>
      </w:r>
    </w:p>
  </w:footnote>
  <w:footnote w:id="1">
    <w:p w14:paraId="7BB215EF" w14:textId="77777777" w:rsidR="005711DB" w:rsidRDefault="005711DB" w:rsidP="005711DB">
      <w:pPr>
        <w:pStyle w:val="FootnoteText"/>
      </w:pPr>
      <w:r>
        <w:rPr>
          <w:rStyle w:val="FootnoteReference"/>
        </w:rPr>
        <w:footnoteRef/>
      </w:r>
      <w:r>
        <w:tab/>
        <w:t>Council Directive 2006/112/EC of 28</w:t>
      </w:r>
      <w:r w:rsidR="007C3C95">
        <w:t> </w:t>
      </w:r>
      <w:r>
        <w:t>November 2006 on the common system of value added tax (</w:t>
      </w:r>
      <w:hyperlink r:id="rId1" w:history="1">
        <w:r>
          <w:rPr>
            <w:rStyle w:val="Hyperlink"/>
          </w:rPr>
          <w:t>OJ L 347, 11.12.2006, p. 1</w:t>
        </w:r>
      </w:hyperlink>
      <w:r>
        <w:t>).</w:t>
      </w:r>
    </w:p>
  </w:footnote>
  <w:footnote w:id="2">
    <w:p w14:paraId="7A007206" w14:textId="77777777" w:rsidR="00880551" w:rsidRDefault="00880551" w:rsidP="00880551">
      <w:pPr>
        <w:pStyle w:val="FootnoteText"/>
      </w:pPr>
      <w:r>
        <w:rPr>
          <w:rStyle w:val="FootnoteReference"/>
        </w:rPr>
        <w:footnoteRef/>
      </w:r>
      <w:r>
        <w:tab/>
        <w:t xml:space="preserve">Council Directive 2008/118/EC </w:t>
      </w:r>
      <w:r w:rsidR="00A9644A">
        <w:t>of 16</w:t>
      </w:r>
      <w:r w:rsidR="007C3C95">
        <w:t> </w:t>
      </w:r>
      <w:r w:rsidR="00A9644A">
        <w:t xml:space="preserve">December 2008 </w:t>
      </w:r>
      <w:r>
        <w:t>concerning the general arrangements for excise duty and repealing Directive</w:t>
      </w:r>
      <w:r w:rsidR="007C3C95">
        <w:t xml:space="preserve"> </w:t>
      </w:r>
      <w:r>
        <w:t>92/12/EEC (</w:t>
      </w:r>
      <w:hyperlink r:id="rId2" w:history="1">
        <w:r>
          <w:rPr>
            <w:rStyle w:val="Hyperlink"/>
            <w:iCs/>
          </w:rPr>
          <w:t>OJ</w:t>
        </w:r>
        <w:r>
          <w:rPr>
            <w:rStyle w:val="Hyperlink"/>
          </w:rPr>
          <w:t> </w:t>
        </w:r>
        <w:r>
          <w:rPr>
            <w:rStyle w:val="Hyperlink"/>
            <w:iCs/>
          </w:rPr>
          <w:t>L</w:t>
        </w:r>
        <w:r>
          <w:rPr>
            <w:rStyle w:val="Hyperlink"/>
          </w:rPr>
          <w:t> </w:t>
        </w:r>
        <w:r>
          <w:rPr>
            <w:rStyle w:val="Hyperlink"/>
            <w:iCs/>
          </w:rPr>
          <w:t>9, 14.1.2009, p.</w:t>
        </w:r>
        <w:r>
          <w:rPr>
            <w:rStyle w:val="Hyperlink"/>
          </w:rPr>
          <w:t> </w:t>
        </w:r>
        <w:r>
          <w:rPr>
            <w:rStyle w:val="Hyperlink"/>
            <w:iCs/>
          </w:rPr>
          <w:t>12</w:t>
        </w:r>
      </w:hyperlink>
      <w:r>
        <w:rPr>
          <w:iCs/>
        </w:rPr>
        <w:t>).</w:t>
      </w:r>
    </w:p>
  </w:footnote>
  <w:footnote w:id="3">
    <w:p w14:paraId="7E234849" w14:textId="578EDE27" w:rsidR="00880551" w:rsidRDefault="00880551" w:rsidP="00880551">
      <w:pPr>
        <w:pStyle w:val="FootnoteText"/>
      </w:pPr>
      <w:r>
        <w:rPr>
          <w:rStyle w:val="FootnoteReference"/>
        </w:rPr>
        <w:footnoteRef/>
      </w:r>
      <w:r>
        <w:tab/>
        <w:t xml:space="preserve">Excise duties governed by EU law are applied on alcoholic beverages, manufactured tobacco products and energy products (motor fuels and heating fuels, such as petrol and gasoline, electricity, natural gas, coal and coke). The structure of the taxes and minimum rates </w:t>
      </w:r>
      <w:r w:rsidR="007C3C95">
        <w:t xml:space="preserve">is </w:t>
      </w:r>
      <w:r>
        <w:t>harmonised at EU level.</w:t>
      </w:r>
    </w:p>
  </w:footnote>
  <w:footnote w:id="4">
    <w:p w14:paraId="2A991F51" w14:textId="77777777" w:rsidR="005711DB" w:rsidRDefault="005711DB" w:rsidP="005711DB">
      <w:pPr>
        <w:pStyle w:val="FootnoteText"/>
      </w:pPr>
      <w:r w:rsidRPr="00EE0065">
        <w:rPr>
          <w:rStyle w:val="FootnoteReference"/>
        </w:rPr>
        <w:footnoteRef/>
      </w:r>
      <w:r>
        <w:tab/>
        <w:t>Council Directive (EU) 2019/2235 of 16</w:t>
      </w:r>
      <w:r w:rsidR="007C3C95">
        <w:t> </w:t>
      </w:r>
      <w:r>
        <w:t xml:space="preserve">December 2019 </w:t>
      </w:r>
      <w:r w:rsidRPr="00313FD3">
        <w:t>amending Directive 2006/112/EC on the common system of value added tax and Directive 2008/118/EC concerning the general arrangements for excise duty as regards defence efforts within the Union framework</w:t>
      </w:r>
      <w:r>
        <w:t xml:space="preserve"> (</w:t>
      </w:r>
      <w:hyperlink r:id="rId3" w:history="1">
        <w:r>
          <w:rPr>
            <w:rStyle w:val="Hyperlink"/>
          </w:rPr>
          <w:t>OJ L 336, 30.12.2019, p. 1</w:t>
        </w:r>
      </w:hyperlink>
      <w:r>
        <w:rPr>
          <w:rStyle w:val="Hyperlink"/>
        </w:rPr>
        <w:t>0</w:t>
      </w:r>
      <w:r>
        <w:t>)</w:t>
      </w:r>
    </w:p>
  </w:footnote>
  <w:footnote w:id="5">
    <w:p w14:paraId="74D2E2AF" w14:textId="4DFC79DC" w:rsidR="00852492" w:rsidRDefault="00852492" w:rsidP="00852492">
      <w:pPr>
        <w:pStyle w:val="FootnoteText"/>
      </w:pPr>
      <w:r w:rsidRPr="00EE0065">
        <w:rPr>
          <w:rStyle w:val="FootnoteReference"/>
        </w:rPr>
        <w:footnoteRef/>
      </w:r>
      <w:r>
        <w:tab/>
        <w:t xml:space="preserve">Council Directive (EU) 2021/1159 of 13 July 2021 </w:t>
      </w:r>
      <w:r w:rsidRPr="00313FD3">
        <w:t xml:space="preserve">amending Directive 2006/112/EC </w:t>
      </w:r>
      <w:r w:rsidRPr="00852492">
        <w:t>amending Directive 2006/112/EC as regards temporary exemptions on importations and on certain supplies, in response to the COVID-19 pandemic</w:t>
      </w:r>
      <w:r>
        <w:t xml:space="preserve"> (</w:t>
      </w:r>
      <w:hyperlink r:id="rId4" w:history="1">
        <w:r>
          <w:rPr>
            <w:rStyle w:val="Hyperlink"/>
          </w:rPr>
          <w:t>OJ L 250, 15.07.2021, p. 1</w:t>
        </w:r>
      </w:hyperlink>
      <w:r>
        <w:t>)</w:t>
      </w:r>
    </w:p>
  </w:footnote>
  <w:footnote w:id="6">
    <w:p w14:paraId="4687D160" w14:textId="77777777" w:rsidR="00C51E66" w:rsidRDefault="00C51E66" w:rsidP="00C51E66">
      <w:pPr>
        <w:pStyle w:val="FootnoteText"/>
      </w:pPr>
      <w:r>
        <w:rPr>
          <w:rStyle w:val="FootnoteReference"/>
        </w:rPr>
        <w:footnoteRef/>
      </w:r>
      <w:r>
        <w:tab/>
        <w:t>Council Implementing Regulation (EU) No 282/2011 of 15 March 2011 laying down implementing measures for Directive 2006/112/EC on the common system of value added tax (recast) (</w:t>
      </w:r>
      <w:hyperlink r:id="rId5" w:history="1">
        <w:r w:rsidRPr="00C51E66">
          <w:rPr>
            <w:rStyle w:val="Hyperlink"/>
          </w:rPr>
          <w:t>OJ L 77, 23.3.2011, p. 1</w:t>
        </w:r>
      </w:hyperlink>
      <w:r>
        <w:t>).</w:t>
      </w:r>
    </w:p>
  </w:footnote>
  <w:footnote w:id="7">
    <w:p w14:paraId="63783AF2" w14:textId="77777777" w:rsidR="00D06031" w:rsidRDefault="00D06031" w:rsidP="00D06031">
      <w:pPr>
        <w:pStyle w:val="FootnoteText"/>
        <w:keepLines/>
        <w:contextualSpacing/>
      </w:pPr>
      <w:r>
        <w:rPr>
          <w:rStyle w:val="FootnoteReference"/>
        </w:rPr>
        <w:footnoteRef/>
      </w:r>
      <w:r>
        <w:tab/>
      </w:r>
      <w:r>
        <w:rPr>
          <w:i/>
        </w:rPr>
        <w:t>Towards a single EU VAT area — time to decide</w:t>
      </w:r>
      <w:r>
        <w:t>, Communication from the Commission to the European Parliament, the Council and the European Economic and Social Committee on an action plan on VAT (</w:t>
      </w:r>
      <w:hyperlink r:id="rId6" w:history="1">
        <w:r>
          <w:rPr>
            <w:rStyle w:val="Hyperlink"/>
          </w:rPr>
          <w:t>COM(2016) 148 final</w:t>
        </w:r>
      </w:hyperlink>
      <w:r>
        <w:rPr>
          <w:rStyle w:val="Hyperlink"/>
        </w:rPr>
        <w:t>)</w:t>
      </w:r>
      <w:r>
        <w:t>.</w:t>
      </w:r>
    </w:p>
  </w:footnote>
  <w:footnote w:id="8">
    <w:p w14:paraId="167A4569" w14:textId="77777777" w:rsidR="00CD277A" w:rsidRDefault="00CD277A" w:rsidP="00CD277A">
      <w:pPr>
        <w:pStyle w:val="FootnoteText"/>
      </w:pPr>
      <w:r>
        <w:rPr>
          <w:rStyle w:val="FootnoteReference"/>
        </w:rPr>
        <w:footnoteRef/>
      </w:r>
      <w:r>
        <w:tab/>
      </w:r>
      <w:hyperlink r:id="rId7" w:history="1">
        <w:r>
          <w:rPr>
            <w:rStyle w:val="Hyperlink"/>
            <w:i/>
          </w:rPr>
          <w:t>Shared vision, common action: a stronger Europe – a global strategy for the European Union’s foreign and security policy</w:t>
        </w:r>
      </w:hyperlink>
      <w:r>
        <w:t>.</w:t>
      </w:r>
    </w:p>
  </w:footnote>
  <w:footnote w:id="9">
    <w:p w14:paraId="6BC58B68" w14:textId="77777777" w:rsidR="00770E04" w:rsidRDefault="00770E04" w:rsidP="00770E04">
      <w:pPr>
        <w:pStyle w:val="FootnoteText"/>
      </w:pPr>
      <w:r>
        <w:rPr>
          <w:rStyle w:val="FootnoteReference"/>
        </w:rPr>
        <w:footnoteRef/>
      </w:r>
      <w:r>
        <w:tab/>
      </w:r>
      <w:hyperlink r:id="rId8" w:history="1">
        <w:r>
          <w:rPr>
            <w:rStyle w:val="Hyperlink"/>
          </w:rPr>
          <w:t>https://eeas.europa.eu/sites/eeas/files/eugs_implementation_plan_st14392.en16_0.pdf</w:t>
        </w:r>
      </w:hyperlink>
    </w:p>
  </w:footnote>
  <w:footnote w:id="10">
    <w:p w14:paraId="148212D0" w14:textId="77777777" w:rsidR="004A3B27" w:rsidRDefault="004A3B27" w:rsidP="004A3B27">
      <w:pPr>
        <w:pStyle w:val="FootnoteText"/>
      </w:pPr>
      <w:r>
        <w:rPr>
          <w:rStyle w:val="FootnoteReference"/>
        </w:rPr>
        <w:footnoteRef/>
      </w:r>
      <w:r>
        <w:tab/>
      </w:r>
      <w:r>
        <w:rPr>
          <w:i/>
        </w:rPr>
        <w:t>Action plan on military mobility</w:t>
      </w:r>
      <w:r>
        <w:t>, Joint Communication to the European Parliament and the Council (</w:t>
      </w:r>
      <w:hyperlink r:id="rId9" w:history="1">
        <w:r>
          <w:rPr>
            <w:rStyle w:val="Hyperlink"/>
          </w:rPr>
          <w:t>JOIN(2018) 5 final</w:t>
        </w:r>
      </w:hyperlink>
      <w:r>
        <w:t>).</w:t>
      </w:r>
    </w:p>
  </w:footnote>
  <w:footnote w:id="11">
    <w:p w14:paraId="5D187D1E" w14:textId="77777777" w:rsidR="00770E04" w:rsidRDefault="00770E04" w:rsidP="00770E04">
      <w:pPr>
        <w:pStyle w:val="FootnoteText"/>
      </w:pPr>
      <w:r>
        <w:rPr>
          <w:rStyle w:val="FootnoteReference"/>
        </w:rPr>
        <w:footnoteRef/>
      </w:r>
      <w:r>
        <w:tab/>
      </w:r>
      <w:r>
        <w:rPr>
          <w:i/>
        </w:rPr>
        <w:t>European defence action plan</w:t>
      </w:r>
      <w:r>
        <w:t>, Communication from the Commission to the European Parliament, the Council, the European Economic and Social Committee and the Committee of the Regions (</w:t>
      </w:r>
      <w:hyperlink r:id="rId10" w:history="1">
        <w:r>
          <w:rPr>
            <w:rStyle w:val="Hyperlink"/>
          </w:rPr>
          <w:t>COM(2016) 950 final</w:t>
        </w:r>
      </w:hyperlink>
      <w:r>
        <w:t>).</w:t>
      </w:r>
    </w:p>
  </w:footnote>
  <w:footnote w:id="12">
    <w:p w14:paraId="0F84D3A6" w14:textId="21CA63A1" w:rsidR="00770E04" w:rsidRDefault="00770E04" w:rsidP="006B7196">
      <w:pPr>
        <w:pStyle w:val="FootnoteText"/>
      </w:pPr>
      <w:r>
        <w:rPr>
          <w:rStyle w:val="FootnoteReference"/>
        </w:rPr>
        <w:footnoteRef/>
      </w:r>
      <w:r>
        <w:tab/>
        <w:t xml:space="preserve">Regulation </w:t>
      </w:r>
      <w:r w:rsidR="002A5B33">
        <w:t xml:space="preserve">(EU) 2021/697 </w:t>
      </w:r>
      <w:r>
        <w:t xml:space="preserve">of the European Parliament and of the Council </w:t>
      </w:r>
      <w:r w:rsidR="002A5B33">
        <w:t xml:space="preserve">of 29 April 2021 </w:t>
      </w:r>
      <w:r>
        <w:t>establishing the European Defence Fund</w:t>
      </w:r>
      <w:r w:rsidR="002A5B33">
        <w:t xml:space="preserve"> and repealing </w:t>
      </w:r>
      <w:r w:rsidR="002A5B33" w:rsidRPr="002A5B33">
        <w:t>Regulation (EU) 2018/1092</w:t>
      </w:r>
      <w:r w:rsidR="002A5B33">
        <w:t xml:space="preserve"> (</w:t>
      </w:r>
      <w:hyperlink r:id="rId11" w:history="1">
        <w:r w:rsidR="002A5B33" w:rsidRPr="002A5B33">
          <w:rPr>
            <w:rStyle w:val="Hyperlink"/>
          </w:rPr>
          <w:t>OJ L 170, 12.5.2021, p. 149</w:t>
        </w:r>
      </w:hyperlink>
      <w:r w:rsidR="002A5B33">
        <w:t>)</w:t>
      </w:r>
      <w:r>
        <w:t>. The Fund will provide EUR </w:t>
      </w:r>
      <w:r w:rsidR="002A5B33">
        <w:t>2.6</w:t>
      </w:r>
      <w:r>
        <w:t xml:space="preserve"> billion to </w:t>
      </w:r>
      <w:r w:rsidRPr="00FE31AE">
        <w:t>directly finance competitive and collaborative research projects, in particular through grants, and EUR </w:t>
      </w:r>
      <w:r w:rsidR="002A5B33" w:rsidRPr="00FE31AE">
        <w:t>5.3</w:t>
      </w:r>
      <w:r w:rsidRPr="00FE31AE">
        <w:t xml:space="preserve"> billion to complement Member States’ investment by co-financing </w:t>
      </w:r>
      <w:r w:rsidR="006B7196">
        <w:t>collaborative development</w:t>
      </w:r>
      <w:r w:rsidRPr="00FE31AE">
        <w:t xml:space="preserve"> costs </w:t>
      </w:r>
      <w:r w:rsidR="006B7196">
        <w:t>such as</w:t>
      </w:r>
      <w:r w:rsidRPr="00FE31AE">
        <w:t xml:space="preserve"> prototype development, the ensuing certification and testing requirements.</w:t>
      </w:r>
    </w:p>
  </w:footnote>
  <w:footnote w:id="13">
    <w:p w14:paraId="75B8426C" w14:textId="77777777" w:rsidR="00770E04" w:rsidRDefault="00770E04" w:rsidP="00770E04">
      <w:pPr>
        <w:pStyle w:val="FootnoteText"/>
      </w:pPr>
      <w:r>
        <w:rPr>
          <w:rStyle w:val="FootnoteReference"/>
        </w:rPr>
        <w:footnoteRef/>
      </w:r>
      <w:r>
        <w:tab/>
      </w:r>
      <w:hyperlink r:id="rId12" w:history="1">
        <w:r>
          <w:rPr>
            <w:rStyle w:val="Hyperlink"/>
          </w:rPr>
          <w:t>Council Decision (CFSP) 2015/528</w:t>
        </w:r>
      </w:hyperlink>
      <w:r>
        <w:t xml:space="preserve"> establishing a mechanism to administer the financing of the common costs of European Union operations having military or defence implications (Athena) and repealing Decision 2011/871/CFSP (</w:t>
      </w:r>
      <w:hyperlink r:id="rId13" w:history="1">
        <w:r>
          <w:rPr>
            <w:rStyle w:val="Hyperlink"/>
          </w:rPr>
          <w:t>OJ L 84, 28.3.2015, p. 39</w:t>
        </w:r>
      </w:hyperlink>
      <w:r>
        <w:rPr>
          <w:iCs/>
        </w:rPr>
        <w:t>).</w:t>
      </w:r>
    </w:p>
  </w:footnote>
  <w:footnote w:id="14">
    <w:p w14:paraId="51B0A545" w14:textId="77777777" w:rsidR="00B915D4" w:rsidRDefault="00B915D4" w:rsidP="00B915D4">
      <w:pPr>
        <w:pStyle w:val="FootnoteText"/>
      </w:pPr>
      <w:r>
        <w:rPr>
          <w:rStyle w:val="FootnoteReference"/>
        </w:rPr>
        <w:footnoteRef/>
      </w:r>
      <w:r>
        <w:tab/>
        <w:t>Council Regulation (EU) 2020/521 of 14 April 2020 activating the emergency support under Regulation (EU) 2016/369, and amending its provisions taking into account the COVID</w:t>
      </w:r>
      <w:r>
        <w:noBreakHyphen/>
        <w:t>19 outbreak (OJ L 117, 15.4.2020, p. 3).</w:t>
      </w:r>
    </w:p>
  </w:footnote>
  <w:footnote w:id="15">
    <w:p w14:paraId="38D90F23" w14:textId="77777777" w:rsidR="004A3B27" w:rsidRDefault="004A3B27" w:rsidP="004A3B27">
      <w:pPr>
        <w:pStyle w:val="FootnoteText"/>
      </w:pPr>
      <w:r>
        <w:rPr>
          <w:rStyle w:val="FootnoteReference"/>
        </w:rPr>
        <w:footnoteRef/>
      </w:r>
      <w:r>
        <w:tab/>
        <w:t>Informal group of representatives of national tax administrations, providing the Commission with a forum for consulting VAT experts from Member States on pre</w:t>
      </w:r>
      <w:r>
        <w:noBreakHyphen/>
        <w:t>legislative initiatives.</w:t>
      </w:r>
    </w:p>
  </w:footnote>
  <w:footnote w:id="16">
    <w:p w14:paraId="7A268CC0" w14:textId="10D6BA2D" w:rsidR="00CD277A" w:rsidRDefault="00CD277A" w:rsidP="00132E33">
      <w:pPr>
        <w:pStyle w:val="FootnoteText"/>
      </w:pPr>
      <w:r w:rsidRPr="009F0718">
        <w:rPr>
          <w:rStyle w:val="FootnoteReference"/>
        </w:rPr>
        <w:footnoteRef/>
      </w:r>
      <w:r w:rsidR="009F0718">
        <w:tab/>
      </w:r>
      <w:r w:rsidR="00C7323F">
        <w:t xml:space="preserve">The EEAS assists </w:t>
      </w:r>
      <w:r w:rsidRPr="00CD277A">
        <w:t xml:space="preserve">the High Representative of the Union for Foreign Affairs and Security Policy in all </w:t>
      </w:r>
      <w:r w:rsidR="00132E33">
        <w:t>his</w:t>
      </w:r>
      <w:r w:rsidRPr="00CD277A">
        <w:t xml:space="preserve"> responsibilities, including the CSDP</w:t>
      </w:r>
      <w:r w:rsidR="00C7323F">
        <w:t>.</w:t>
      </w:r>
    </w:p>
  </w:footnote>
  <w:footnote w:id="17">
    <w:p w14:paraId="33F29631" w14:textId="0F30C8C2" w:rsidR="00C7323F" w:rsidRDefault="00C7323F">
      <w:pPr>
        <w:pStyle w:val="FootnoteText"/>
      </w:pPr>
      <w:r w:rsidRPr="009F0718">
        <w:rPr>
          <w:rStyle w:val="FootnoteReference"/>
        </w:rPr>
        <w:footnoteRef/>
      </w:r>
      <w:r w:rsidR="009F0718">
        <w:tab/>
      </w:r>
      <w:r>
        <w:t xml:space="preserve">The EDA was established </w:t>
      </w:r>
      <w:r w:rsidRPr="00C7323F">
        <w:t>in 2004 by Council Joint Action 2004/551/CFSP (OJ</w:t>
      </w:r>
      <w:r w:rsidR="004252EB">
        <w:rPr>
          <w:noProof/>
        </w:rPr>
        <w:t> </w:t>
      </w:r>
      <w:r w:rsidRPr="00C7323F">
        <w:t>L</w:t>
      </w:r>
      <w:r w:rsidR="004252EB">
        <w:rPr>
          <w:noProof/>
        </w:rPr>
        <w:t> </w:t>
      </w:r>
      <w:r w:rsidR="004252EB">
        <w:t>245, 17.7.2004, p.</w:t>
      </w:r>
      <w:r w:rsidR="004252EB">
        <w:rPr>
          <w:noProof/>
        </w:rPr>
        <w:t> </w:t>
      </w:r>
      <w:r w:rsidRPr="00C7323F">
        <w:t>17)</w:t>
      </w:r>
      <w:r w:rsidR="004252EB">
        <w:t>.</w:t>
      </w:r>
    </w:p>
  </w:footnote>
  <w:footnote w:id="18">
    <w:p w14:paraId="0AB449C8" w14:textId="48F96CDA" w:rsidR="000C5E83" w:rsidRPr="000C5E83" w:rsidRDefault="000C5E83">
      <w:pPr>
        <w:pStyle w:val="FootnoteText"/>
      </w:pPr>
      <w:r w:rsidRPr="000B041F">
        <w:rPr>
          <w:rStyle w:val="FootnoteReference"/>
        </w:rPr>
        <w:footnoteRef/>
      </w:r>
      <w:r w:rsidR="000B041F">
        <w:tab/>
      </w:r>
      <w:r w:rsidRPr="000C5E83">
        <w:t>Agreement on the withdrawal of the United Kingdom of Great Britain and Northern Ireland from the European Union and the European Atomic Energy Community</w:t>
      </w:r>
      <w:r>
        <w:t xml:space="preserve"> (OJ</w:t>
      </w:r>
      <w:r w:rsidR="004252EB">
        <w:rPr>
          <w:noProof/>
        </w:rPr>
        <w:t> </w:t>
      </w:r>
      <w:r>
        <w:t>L</w:t>
      </w:r>
      <w:r w:rsidR="004252EB">
        <w:rPr>
          <w:noProof/>
        </w:rPr>
        <w:t> </w:t>
      </w:r>
      <w:r w:rsidR="004252EB">
        <w:t>29, 31.1.2020, p.</w:t>
      </w:r>
      <w:r w:rsidR="004252EB">
        <w:rPr>
          <w:noProof/>
        </w:rPr>
        <w:t> </w:t>
      </w:r>
      <w:r>
        <w:t>7)</w:t>
      </w:r>
      <w:r w:rsidR="004252EB">
        <w:t>.</w:t>
      </w:r>
    </w:p>
  </w:footnote>
  <w:footnote w:id="19">
    <w:p w14:paraId="0196F164" w14:textId="48D176C9" w:rsidR="00CA2C0E" w:rsidRPr="00CA2C0E" w:rsidRDefault="00CA2C0E">
      <w:pPr>
        <w:pStyle w:val="FootnoteText"/>
      </w:pPr>
      <w:r w:rsidRPr="000B041F">
        <w:rPr>
          <w:rStyle w:val="FootnoteReference"/>
        </w:rPr>
        <w:footnoteRef/>
      </w:r>
      <w:r w:rsidR="000B041F">
        <w:tab/>
      </w:r>
      <w:r w:rsidRPr="00CA2C0E">
        <w:t>Protocol relating to the Sovereign Base Areas of</w:t>
      </w:r>
      <w:r>
        <w:t xml:space="preserve"> t</w:t>
      </w:r>
      <w:r w:rsidRPr="00CA2C0E">
        <w:t xml:space="preserve">he United Kingdom of Great </w:t>
      </w:r>
      <w:r>
        <w:t>Britain and Northern Ireland i</w:t>
      </w:r>
      <w:r w:rsidR="004252EB">
        <w:t>n Cyprus (OJ</w:t>
      </w:r>
      <w:r w:rsidR="004252EB">
        <w:rPr>
          <w:noProof/>
        </w:rPr>
        <w:t> </w:t>
      </w:r>
      <w:r w:rsidR="004252EB">
        <w:t>L</w:t>
      </w:r>
      <w:r w:rsidR="004252EB">
        <w:rPr>
          <w:noProof/>
        </w:rPr>
        <w:t> </w:t>
      </w:r>
      <w:r w:rsidR="004252EB">
        <w:t>29, 31.1.2020, p.</w:t>
      </w:r>
      <w:r w:rsidR="004252EB">
        <w:rPr>
          <w:noProof/>
        </w:rPr>
        <w:t> </w:t>
      </w:r>
      <w:r>
        <w:t>146)</w:t>
      </w:r>
      <w:r w:rsidR="004252EB">
        <w:t>.</w:t>
      </w:r>
    </w:p>
  </w:footnote>
  <w:footnote w:id="20">
    <w:p w14:paraId="547EB20B" w14:textId="427F8479" w:rsidR="008B0155" w:rsidRPr="008B0155" w:rsidRDefault="008B0155" w:rsidP="008B0155">
      <w:pPr>
        <w:pStyle w:val="FootnoteText"/>
      </w:pPr>
      <w:r w:rsidRPr="000B041F">
        <w:rPr>
          <w:rStyle w:val="FootnoteReference"/>
        </w:rPr>
        <w:footnoteRef/>
      </w:r>
      <w:r w:rsidR="000B041F">
        <w:tab/>
      </w:r>
      <w:r w:rsidRPr="008B0155">
        <w:t>Article</w:t>
      </w:r>
      <w:r w:rsidR="004252EB">
        <w:rPr>
          <w:noProof/>
        </w:rPr>
        <w:t> </w:t>
      </w:r>
      <w:r w:rsidRPr="008B0155">
        <w:t xml:space="preserve">3(1) of the Protocol </w:t>
      </w:r>
      <w:r>
        <w:t>on t</w:t>
      </w:r>
      <w:r w:rsidRPr="008B0155">
        <w:t>he Sovereign Base Areas</w:t>
      </w:r>
      <w:r>
        <w:t xml:space="preserve"> in Cyprus</w:t>
      </w:r>
      <w:r w:rsidR="004252EB">
        <w:t>.</w:t>
      </w:r>
    </w:p>
  </w:footnote>
  <w:footnote w:id="21">
    <w:p w14:paraId="439854B1" w14:textId="05593A58" w:rsidR="008B0155" w:rsidRPr="008B0155" w:rsidRDefault="008B0155" w:rsidP="008B0155">
      <w:pPr>
        <w:pStyle w:val="FootnoteText"/>
      </w:pPr>
      <w:r w:rsidRPr="000B041F">
        <w:rPr>
          <w:rStyle w:val="FootnoteReference"/>
        </w:rPr>
        <w:footnoteRef/>
      </w:r>
      <w:r w:rsidR="000B041F">
        <w:tab/>
      </w:r>
      <w:r>
        <w:t>Article</w:t>
      </w:r>
      <w:r w:rsidR="004252EB">
        <w:rPr>
          <w:noProof/>
        </w:rPr>
        <w:t> </w:t>
      </w:r>
      <w:r>
        <w:t>4</w:t>
      </w:r>
      <w:r w:rsidRPr="008B0155">
        <w:t xml:space="preserve">(1) of the Protocol </w:t>
      </w:r>
      <w:r>
        <w:t>on t</w:t>
      </w:r>
      <w:r w:rsidRPr="008B0155">
        <w:t>he Sovereign Base Areas</w:t>
      </w:r>
      <w:r>
        <w:t xml:space="preserve"> in Cyprus</w:t>
      </w:r>
      <w:r w:rsidR="004252EB">
        <w:t>.</w:t>
      </w:r>
    </w:p>
  </w:footnote>
  <w:footnote w:id="22">
    <w:p w14:paraId="370DFE1E" w14:textId="77777777" w:rsidR="00135531" w:rsidRDefault="00135531" w:rsidP="00135531">
      <w:pPr>
        <w:pStyle w:val="FootnoteText"/>
      </w:pPr>
      <w:r>
        <w:rPr>
          <w:rStyle w:val="FootnoteReference"/>
        </w:rPr>
        <w:footnoteRef/>
      </w:r>
      <w:r>
        <w:tab/>
        <w:t>OJ L 347, 11.12.2006, p. 1.</w:t>
      </w:r>
    </w:p>
  </w:footnote>
  <w:footnote w:id="23">
    <w:p w14:paraId="1979F013" w14:textId="2B7E73E1" w:rsidR="00045060" w:rsidRPr="004B5A92" w:rsidRDefault="00045060">
      <w:pPr>
        <w:pStyle w:val="FootnoteText"/>
        <w:rPr>
          <w:lang w:val="hr-BA"/>
        </w:rPr>
      </w:pPr>
      <w:r w:rsidRPr="009465FB">
        <w:rPr>
          <w:rStyle w:val="FootnoteReference"/>
        </w:rPr>
        <w:footnoteRef/>
      </w:r>
      <w:r w:rsidR="009465FB">
        <w:tab/>
      </w:r>
      <w:r w:rsidRPr="00045060">
        <w:t>Council Directive 2008/118/EC of 16</w:t>
      </w:r>
      <w:r w:rsidR="00CA7BE9">
        <w:rPr>
          <w:noProof/>
        </w:rPr>
        <w:t> </w:t>
      </w:r>
      <w:r w:rsidRPr="00045060">
        <w:t>December 2008 concerning the general arrangements for excise duty and repealing Directive 92/12/EEC (OJ</w:t>
      </w:r>
      <w:r w:rsidR="00CA7BE9">
        <w:rPr>
          <w:noProof/>
        </w:rPr>
        <w:t> </w:t>
      </w:r>
      <w:r w:rsidRPr="00045060">
        <w:t>L</w:t>
      </w:r>
      <w:r w:rsidR="00CA7BE9">
        <w:rPr>
          <w:noProof/>
        </w:rPr>
        <w:t> </w:t>
      </w:r>
      <w:r w:rsidRPr="00045060">
        <w:t>9, 14.1.2009, p.</w:t>
      </w:r>
      <w:r w:rsidR="00CA7BE9">
        <w:rPr>
          <w:noProof/>
        </w:rPr>
        <w:t> </w:t>
      </w:r>
      <w:r w:rsidRPr="00045060">
        <w:t>12).</w:t>
      </w:r>
    </w:p>
  </w:footnote>
  <w:footnote w:id="24">
    <w:p w14:paraId="6B40FCC6" w14:textId="30E8ACC7" w:rsidR="00045060" w:rsidRPr="004B5A92" w:rsidRDefault="00045060">
      <w:pPr>
        <w:pStyle w:val="FootnoteText"/>
        <w:rPr>
          <w:lang w:val="hr-BA"/>
        </w:rPr>
      </w:pPr>
      <w:r w:rsidRPr="009465FB">
        <w:rPr>
          <w:rStyle w:val="FootnoteReference"/>
        </w:rPr>
        <w:footnoteRef/>
      </w:r>
      <w:r w:rsidR="009465FB">
        <w:tab/>
      </w:r>
      <w:r w:rsidRPr="00045060">
        <w:t>Council Directive (EU) 2019/2235 of 16</w:t>
      </w:r>
      <w:r w:rsidR="00CA7BE9">
        <w:rPr>
          <w:noProof/>
        </w:rPr>
        <w:t> </w:t>
      </w:r>
      <w:r w:rsidRPr="00045060">
        <w:t>December 2019 amending Directive 2006/112/EC on the common system of value added tax and Directive 2008/118/EC concerning the general arrangements for excise duty as regards defence efforts within the Union framework (OJ</w:t>
      </w:r>
      <w:r w:rsidR="00CA7BE9">
        <w:rPr>
          <w:noProof/>
        </w:rPr>
        <w:t> </w:t>
      </w:r>
      <w:r w:rsidRPr="00045060">
        <w:t>L</w:t>
      </w:r>
      <w:r w:rsidR="00CA7BE9">
        <w:rPr>
          <w:noProof/>
        </w:rPr>
        <w:t> </w:t>
      </w:r>
      <w:r w:rsidRPr="00045060">
        <w:t>336, 30.12.2019, p.</w:t>
      </w:r>
      <w:r w:rsidR="00CA7BE9">
        <w:rPr>
          <w:noProof/>
        </w:rPr>
        <w:t> </w:t>
      </w:r>
      <w:r w:rsidRPr="00045060">
        <w:t>10).</w:t>
      </w:r>
    </w:p>
  </w:footnote>
  <w:footnote w:id="25">
    <w:p w14:paraId="40B024E2" w14:textId="4F1EE509" w:rsidR="00045060" w:rsidRPr="004B5A92" w:rsidRDefault="00045060">
      <w:pPr>
        <w:pStyle w:val="FootnoteText"/>
        <w:rPr>
          <w:lang w:val="hr-BA"/>
        </w:rPr>
      </w:pPr>
      <w:r w:rsidRPr="009465FB">
        <w:rPr>
          <w:rStyle w:val="FootnoteReference"/>
        </w:rPr>
        <w:footnoteRef/>
      </w:r>
      <w:r w:rsidR="009465FB">
        <w:tab/>
      </w:r>
      <w:r w:rsidRPr="00045060">
        <w:t>Council Directive (EU) 2021/1159 of 13</w:t>
      </w:r>
      <w:r w:rsidR="00CA7BE9">
        <w:rPr>
          <w:noProof/>
        </w:rPr>
        <w:t> </w:t>
      </w:r>
      <w:r w:rsidRPr="00045060">
        <w:t>July 2021 amending Directive 2006/112/EC amending Directive 2006/112/EC as regards temporary exemptions on importations and on certain supplies, in response to the COVID-19 pandemic (OJ</w:t>
      </w:r>
      <w:r w:rsidR="00CA7BE9">
        <w:rPr>
          <w:noProof/>
        </w:rPr>
        <w:t> </w:t>
      </w:r>
      <w:r w:rsidRPr="00045060">
        <w:t>L</w:t>
      </w:r>
      <w:r w:rsidR="00CA7BE9">
        <w:rPr>
          <w:noProof/>
        </w:rPr>
        <w:t> </w:t>
      </w:r>
      <w:r w:rsidRPr="00045060">
        <w:t>250, 15.07.2021, p.</w:t>
      </w:r>
      <w:r w:rsidR="00CA7BE9">
        <w:rPr>
          <w:noProof/>
        </w:rPr>
        <w:t> </w:t>
      </w:r>
      <w:r w:rsidRPr="00045060">
        <w:t>1).</w:t>
      </w:r>
    </w:p>
  </w:footnote>
  <w:footnote w:id="26">
    <w:p w14:paraId="43D70C00" w14:textId="52D98675" w:rsidR="00045060" w:rsidRPr="004B5A92" w:rsidRDefault="00045060">
      <w:pPr>
        <w:pStyle w:val="FootnoteText"/>
        <w:rPr>
          <w:lang w:val="hr-BA"/>
        </w:rPr>
      </w:pPr>
      <w:r w:rsidRPr="009465FB">
        <w:rPr>
          <w:rStyle w:val="FootnoteReference"/>
        </w:rPr>
        <w:footnoteRef/>
      </w:r>
      <w:r w:rsidR="009465FB">
        <w:tab/>
      </w:r>
      <w:r w:rsidRPr="00045060">
        <w:t>Council Implementing Regulation (EU) No</w:t>
      </w:r>
      <w:r w:rsidR="00CA7BE9">
        <w:rPr>
          <w:noProof/>
        </w:rPr>
        <w:t> </w:t>
      </w:r>
      <w:r w:rsidRPr="00045060">
        <w:t>282/2011 of 15</w:t>
      </w:r>
      <w:r w:rsidR="00CA7BE9">
        <w:rPr>
          <w:noProof/>
        </w:rPr>
        <w:t> </w:t>
      </w:r>
      <w:r w:rsidRPr="00045060">
        <w:t>March 2011 laying down implementing measures for Directive 2006/112/EC on the common system of value added tax (OJ</w:t>
      </w:r>
      <w:r w:rsidR="00CA7BE9">
        <w:rPr>
          <w:noProof/>
        </w:rPr>
        <w:t> </w:t>
      </w:r>
      <w:r w:rsidRPr="00045060">
        <w:t>L</w:t>
      </w:r>
      <w:r w:rsidR="00CA7BE9">
        <w:rPr>
          <w:noProof/>
        </w:rPr>
        <w:t> </w:t>
      </w:r>
      <w:r w:rsidRPr="00045060">
        <w:t>77, 23.3.2011, p.</w:t>
      </w:r>
      <w:r w:rsidR="00CA7BE9">
        <w:rPr>
          <w:noProof/>
        </w:rPr>
        <w:t> </w:t>
      </w:r>
      <w:r w:rsidRPr="00045060">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94A270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338320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196734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7AC84D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1A8671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B78F6C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7B2554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D18CC7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20"/>
  </w:num>
  <w:num w:numId="25">
    <w:abstractNumId w:val="20"/>
  </w:num>
  <w:num w:numId="26">
    <w:abstractNumId w:val="20"/>
  </w:num>
  <w:num w:numId="27">
    <w:abstractNumId w:val="14"/>
  </w:num>
  <w:num w:numId="28">
    <w:abstractNumId w:val="9"/>
  </w:num>
  <w:num w:numId="29">
    <w:abstractNumId w:val="9"/>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06 10:09: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92A8BC9-A109-47F8-81F0-6CB92F7A51A0"/>
    <w:docVar w:name="LW_COVERPAGE_TYPE" w:val="1"/>
    <w:docVar w:name="LW_CROSSREFERENCE" w:val="&lt;UNUSED&gt;"/>
    <w:docVar w:name="LW_DocType" w:val="COM"/>
    <w:docVar w:name="LW_EMISSION" w:val="13.1.2022"/>
    <w:docVar w:name="LW_EMISSION_ISODATE" w:val="2022-01-13"/>
    <w:docVar w:name="LW_EMISSION_LOCATION" w:val="BRX"/>
    <w:docVar w:name="LW_EMISSION_PREFIX" w:val="Brussels, "/>
    <w:docVar w:name="LW_EMISSION_SUFFIX" w:val=" "/>
    <w:docVar w:name="LW_ID_DOCMODEL" w:val="SJ-015"/>
    <w:docVar w:name="LW_ID_DOCSIGNATURE" w:val="SJ-015"/>
    <w:docVar w:name="LW_ID_DOCSTRUCTURE" w:val="COM/PL/ORG"/>
    <w:docVar w:name="LW_ID_DOCTYPE" w:val="SJ-015"/>
    <w:docVar w:name="LW_ID_EXP.MOTIFS.NEW" w:val="EM_PL_"/>
    <w:docVar w:name="LW_ID_STATUT" w:val="SJ-01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2"/>
    <w:docVar w:name="LW_REF.II.NEW.CP_YEAR" w:val="2022"/>
    <w:docVar w:name="LW_REF.INST.NEW" w:val="COM"/>
    <w:docVar w:name="LW_REF.INST.NEW_ADOPTED" w:val="final"/>
    <w:docVar w:name="LW_REF.INST.NEW_TEXT" w:val="(2022)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Regulation (EU) No 282/2011 as regards the update of the VAT and/or excise duty exemption certificate"/>
    <w:docVar w:name="LW_TYPE.DOC.CP" w:val="COUNCIL IMPLEMENTING REGULATION "/>
    <w:docVar w:name="LwApiVersions" w:val="LW4CoDe 1.23.2.0; LW 8.0, Build 20211117"/>
  </w:docVars>
  <w:rsids>
    <w:rsidRoot w:val="00BC2AA6"/>
    <w:rsid w:val="0000493F"/>
    <w:rsid w:val="00012EC4"/>
    <w:rsid w:val="000267A6"/>
    <w:rsid w:val="00045060"/>
    <w:rsid w:val="0005225B"/>
    <w:rsid w:val="00054E80"/>
    <w:rsid w:val="00086F5E"/>
    <w:rsid w:val="00087CC9"/>
    <w:rsid w:val="000950BB"/>
    <w:rsid w:val="000A57F4"/>
    <w:rsid w:val="000A7517"/>
    <w:rsid w:val="000B004A"/>
    <w:rsid w:val="000B041F"/>
    <w:rsid w:val="000C109C"/>
    <w:rsid w:val="000C5E83"/>
    <w:rsid w:val="000D2C46"/>
    <w:rsid w:val="000D5185"/>
    <w:rsid w:val="000E198E"/>
    <w:rsid w:val="000E357D"/>
    <w:rsid w:val="000E62B6"/>
    <w:rsid w:val="000F7C19"/>
    <w:rsid w:val="00104494"/>
    <w:rsid w:val="0010545D"/>
    <w:rsid w:val="001069E0"/>
    <w:rsid w:val="00107D13"/>
    <w:rsid w:val="00117FA0"/>
    <w:rsid w:val="001224EB"/>
    <w:rsid w:val="001227FF"/>
    <w:rsid w:val="00123B81"/>
    <w:rsid w:val="00132E33"/>
    <w:rsid w:val="00133C3B"/>
    <w:rsid w:val="00134C76"/>
    <w:rsid w:val="00135531"/>
    <w:rsid w:val="00146966"/>
    <w:rsid w:val="00153603"/>
    <w:rsid w:val="00184CA4"/>
    <w:rsid w:val="00185428"/>
    <w:rsid w:val="00187014"/>
    <w:rsid w:val="001A623E"/>
    <w:rsid w:val="001C2816"/>
    <w:rsid w:val="001E31B8"/>
    <w:rsid w:val="001F1CDF"/>
    <w:rsid w:val="001F1F27"/>
    <w:rsid w:val="001F4D58"/>
    <w:rsid w:val="00201F83"/>
    <w:rsid w:val="00232E98"/>
    <w:rsid w:val="002341F0"/>
    <w:rsid w:val="00237A42"/>
    <w:rsid w:val="00241248"/>
    <w:rsid w:val="00252A7D"/>
    <w:rsid w:val="00256E85"/>
    <w:rsid w:val="002759A8"/>
    <w:rsid w:val="0027698D"/>
    <w:rsid w:val="0028019A"/>
    <w:rsid w:val="0029675F"/>
    <w:rsid w:val="002A2BB1"/>
    <w:rsid w:val="002A5B33"/>
    <w:rsid w:val="002C1C7B"/>
    <w:rsid w:val="002D416D"/>
    <w:rsid w:val="002E0883"/>
    <w:rsid w:val="00300EDA"/>
    <w:rsid w:val="00301B53"/>
    <w:rsid w:val="003076D6"/>
    <w:rsid w:val="00313FD3"/>
    <w:rsid w:val="0031773C"/>
    <w:rsid w:val="003303ED"/>
    <w:rsid w:val="00330CAD"/>
    <w:rsid w:val="00382FF2"/>
    <w:rsid w:val="00383AAE"/>
    <w:rsid w:val="00392838"/>
    <w:rsid w:val="003B7AFE"/>
    <w:rsid w:val="003C2991"/>
    <w:rsid w:val="003D0DFD"/>
    <w:rsid w:val="003D3126"/>
    <w:rsid w:val="003F0012"/>
    <w:rsid w:val="00405217"/>
    <w:rsid w:val="00415879"/>
    <w:rsid w:val="004252EB"/>
    <w:rsid w:val="00431CB0"/>
    <w:rsid w:val="00444075"/>
    <w:rsid w:val="00456C06"/>
    <w:rsid w:val="00476866"/>
    <w:rsid w:val="00495903"/>
    <w:rsid w:val="00495DBE"/>
    <w:rsid w:val="004A2400"/>
    <w:rsid w:val="004A30FB"/>
    <w:rsid w:val="004A3B27"/>
    <w:rsid w:val="004A754B"/>
    <w:rsid w:val="004B5A92"/>
    <w:rsid w:val="004B6ADB"/>
    <w:rsid w:val="004C162A"/>
    <w:rsid w:val="004D179F"/>
    <w:rsid w:val="004D5EF2"/>
    <w:rsid w:val="004F1A84"/>
    <w:rsid w:val="004F4E62"/>
    <w:rsid w:val="005103D2"/>
    <w:rsid w:val="00540207"/>
    <w:rsid w:val="00563B9A"/>
    <w:rsid w:val="005711DB"/>
    <w:rsid w:val="00571F14"/>
    <w:rsid w:val="0059212B"/>
    <w:rsid w:val="005967A8"/>
    <w:rsid w:val="005A132C"/>
    <w:rsid w:val="005A6AD6"/>
    <w:rsid w:val="005A7D1D"/>
    <w:rsid w:val="005C136C"/>
    <w:rsid w:val="005C2850"/>
    <w:rsid w:val="005D51F6"/>
    <w:rsid w:val="005D596F"/>
    <w:rsid w:val="005F0DB4"/>
    <w:rsid w:val="00602AB2"/>
    <w:rsid w:val="00607E24"/>
    <w:rsid w:val="0061209B"/>
    <w:rsid w:val="006201C7"/>
    <w:rsid w:val="00625EDF"/>
    <w:rsid w:val="0063179C"/>
    <w:rsid w:val="00637FD8"/>
    <w:rsid w:val="006619B6"/>
    <w:rsid w:val="00666272"/>
    <w:rsid w:val="00671685"/>
    <w:rsid w:val="006A568F"/>
    <w:rsid w:val="006A6A5B"/>
    <w:rsid w:val="006B1CA9"/>
    <w:rsid w:val="006B7196"/>
    <w:rsid w:val="006B7FAC"/>
    <w:rsid w:val="006C31E5"/>
    <w:rsid w:val="006C3EC7"/>
    <w:rsid w:val="006E1B1A"/>
    <w:rsid w:val="006E64AC"/>
    <w:rsid w:val="006F28CF"/>
    <w:rsid w:val="0070128F"/>
    <w:rsid w:val="0070142C"/>
    <w:rsid w:val="00712F32"/>
    <w:rsid w:val="00716594"/>
    <w:rsid w:val="00716C7F"/>
    <w:rsid w:val="0072126C"/>
    <w:rsid w:val="00752F30"/>
    <w:rsid w:val="00757EE7"/>
    <w:rsid w:val="00762329"/>
    <w:rsid w:val="00762365"/>
    <w:rsid w:val="00765CDA"/>
    <w:rsid w:val="00770337"/>
    <w:rsid w:val="00770E04"/>
    <w:rsid w:val="00792C32"/>
    <w:rsid w:val="007A1A23"/>
    <w:rsid w:val="007A55C2"/>
    <w:rsid w:val="007B1188"/>
    <w:rsid w:val="007B1DE6"/>
    <w:rsid w:val="007C021C"/>
    <w:rsid w:val="007C06F6"/>
    <w:rsid w:val="007C145C"/>
    <w:rsid w:val="007C3C95"/>
    <w:rsid w:val="007C696C"/>
    <w:rsid w:val="007D6351"/>
    <w:rsid w:val="007E0194"/>
    <w:rsid w:val="007E1183"/>
    <w:rsid w:val="007F11C6"/>
    <w:rsid w:val="007F2B74"/>
    <w:rsid w:val="007F48B2"/>
    <w:rsid w:val="007F5A19"/>
    <w:rsid w:val="0080662E"/>
    <w:rsid w:val="00811981"/>
    <w:rsid w:val="00812668"/>
    <w:rsid w:val="00820080"/>
    <w:rsid w:val="00852492"/>
    <w:rsid w:val="00864073"/>
    <w:rsid w:val="0087589B"/>
    <w:rsid w:val="00875F99"/>
    <w:rsid w:val="00880551"/>
    <w:rsid w:val="008B0155"/>
    <w:rsid w:val="008C2936"/>
    <w:rsid w:val="008D01A4"/>
    <w:rsid w:val="008D0E12"/>
    <w:rsid w:val="008D398D"/>
    <w:rsid w:val="009073A4"/>
    <w:rsid w:val="0092227D"/>
    <w:rsid w:val="009248E4"/>
    <w:rsid w:val="009262F8"/>
    <w:rsid w:val="00933378"/>
    <w:rsid w:val="009404DA"/>
    <w:rsid w:val="00943010"/>
    <w:rsid w:val="00945456"/>
    <w:rsid w:val="00945C36"/>
    <w:rsid w:val="009465FB"/>
    <w:rsid w:val="00946B0F"/>
    <w:rsid w:val="00947156"/>
    <w:rsid w:val="0096126F"/>
    <w:rsid w:val="009710F0"/>
    <w:rsid w:val="00971653"/>
    <w:rsid w:val="00972559"/>
    <w:rsid w:val="00972CD0"/>
    <w:rsid w:val="00986B33"/>
    <w:rsid w:val="00987AD5"/>
    <w:rsid w:val="009941AD"/>
    <w:rsid w:val="0099541D"/>
    <w:rsid w:val="009A23E2"/>
    <w:rsid w:val="009A49E5"/>
    <w:rsid w:val="009A7F66"/>
    <w:rsid w:val="009B7138"/>
    <w:rsid w:val="009C6847"/>
    <w:rsid w:val="009D6BB5"/>
    <w:rsid w:val="009F0718"/>
    <w:rsid w:val="009F4A50"/>
    <w:rsid w:val="009F6FC1"/>
    <w:rsid w:val="00A0105F"/>
    <w:rsid w:val="00A077A2"/>
    <w:rsid w:val="00A13A96"/>
    <w:rsid w:val="00A16CA4"/>
    <w:rsid w:val="00A22F5D"/>
    <w:rsid w:val="00A3465B"/>
    <w:rsid w:val="00A3736F"/>
    <w:rsid w:val="00A378CA"/>
    <w:rsid w:val="00A52025"/>
    <w:rsid w:val="00A77F80"/>
    <w:rsid w:val="00A87272"/>
    <w:rsid w:val="00A87B12"/>
    <w:rsid w:val="00A87E03"/>
    <w:rsid w:val="00A90C61"/>
    <w:rsid w:val="00A9644A"/>
    <w:rsid w:val="00AB395D"/>
    <w:rsid w:val="00AB3FF2"/>
    <w:rsid w:val="00AB72FB"/>
    <w:rsid w:val="00AC126D"/>
    <w:rsid w:val="00AD470B"/>
    <w:rsid w:val="00AF502A"/>
    <w:rsid w:val="00B00447"/>
    <w:rsid w:val="00B03F05"/>
    <w:rsid w:val="00B10268"/>
    <w:rsid w:val="00B14524"/>
    <w:rsid w:val="00B30AFB"/>
    <w:rsid w:val="00B52F0D"/>
    <w:rsid w:val="00B55FE2"/>
    <w:rsid w:val="00B5712E"/>
    <w:rsid w:val="00B60A40"/>
    <w:rsid w:val="00B6121E"/>
    <w:rsid w:val="00B7061F"/>
    <w:rsid w:val="00B71F8E"/>
    <w:rsid w:val="00B915D4"/>
    <w:rsid w:val="00B922B2"/>
    <w:rsid w:val="00BA6944"/>
    <w:rsid w:val="00BA7924"/>
    <w:rsid w:val="00BC29AD"/>
    <w:rsid w:val="00BC2AA6"/>
    <w:rsid w:val="00BC3C9D"/>
    <w:rsid w:val="00BD16F7"/>
    <w:rsid w:val="00BE246D"/>
    <w:rsid w:val="00BF17AA"/>
    <w:rsid w:val="00C16411"/>
    <w:rsid w:val="00C226D8"/>
    <w:rsid w:val="00C24556"/>
    <w:rsid w:val="00C3461B"/>
    <w:rsid w:val="00C425A7"/>
    <w:rsid w:val="00C46B44"/>
    <w:rsid w:val="00C51E66"/>
    <w:rsid w:val="00C64990"/>
    <w:rsid w:val="00C65233"/>
    <w:rsid w:val="00C6750A"/>
    <w:rsid w:val="00C7323F"/>
    <w:rsid w:val="00C74D5D"/>
    <w:rsid w:val="00C86BE3"/>
    <w:rsid w:val="00C94DA0"/>
    <w:rsid w:val="00CA2C0E"/>
    <w:rsid w:val="00CA7BE9"/>
    <w:rsid w:val="00CB7479"/>
    <w:rsid w:val="00CB7D6F"/>
    <w:rsid w:val="00CC1714"/>
    <w:rsid w:val="00CC1C72"/>
    <w:rsid w:val="00CD277A"/>
    <w:rsid w:val="00CE5037"/>
    <w:rsid w:val="00D06031"/>
    <w:rsid w:val="00D314F7"/>
    <w:rsid w:val="00D65911"/>
    <w:rsid w:val="00D67CA8"/>
    <w:rsid w:val="00D71081"/>
    <w:rsid w:val="00D84033"/>
    <w:rsid w:val="00DB72F6"/>
    <w:rsid w:val="00DC5F78"/>
    <w:rsid w:val="00DD7373"/>
    <w:rsid w:val="00DD7604"/>
    <w:rsid w:val="00DF20F5"/>
    <w:rsid w:val="00DF4943"/>
    <w:rsid w:val="00E0099F"/>
    <w:rsid w:val="00E04524"/>
    <w:rsid w:val="00E11C31"/>
    <w:rsid w:val="00E13EB7"/>
    <w:rsid w:val="00E21F7D"/>
    <w:rsid w:val="00E36608"/>
    <w:rsid w:val="00E4376C"/>
    <w:rsid w:val="00E502B5"/>
    <w:rsid w:val="00E52A9F"/>
    <w:rsid w:val="00E536FF"/>
    <w:rsid w:val="00E57F2A"/>
    <w:rsid w:val="00E62350"/>
    <w:rsid w:val="00E6590F"/>
    <w:rsid w:val="00E718AD"/>
    <w:rsid w:val="00E76D38"/>
    <w:rsid w:val="00E76D88"/>
    <w:rsid w:val="00E8038A"/>
    <w:rsid w:val="00E85EB8"/>
    <w:rsid w:val="00E90E41"/>
    <w:rsid w:val="00EB2544"/>
    <w:rsid w:val="00EC0DA5"/>
    <w:rsid w:val="00EC7123"/>
    <w:rsid w:val="00ED140F"/>
    <w:rsid w:val="00ED2B8D"/>
    <w:rsid w:val="00ED4D13"/>
    <w:rsid w:val="00ED4FE4"/>
    <w:rsid w:val="00EE0065"/>
    <w:rsid w:val="00EF662B"/>
    <w:rsid w:val="00F03EF7"/>
    <w:rsid w:val="00F10053"/>
    <w:rsid w:val="00F15391"/>
    <w:rsid w:val="00F20062"/>
    <w:rsid w:val="00F3706F"/>
    <w:rsid w:val="00F62462"/>
    <w:rsid w:val="00F76330"/>
    <w:rsid w:val="00F93DAA"/>
    <w:rsid w:val="00F949F1"/>
    <w:rsid w:val="00FB102E"/>
    <w:rsid w:val="00FB3730"/>
    <w:rsid w:val="00FE3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5409"/>
    <o:shapelayout v:ext="edit">
      <o:idmap v:ext="edit" data="1"/>
    </o:shapelayout>
  </w:shapeDefaults>
  <w:decimalSymbol w:val=","/>
  <w:listSeparator w:val=";"/>
  <w14:docId w14:val="1B3E096D"/>
  <w15:docId w15:val="{BDDD4340-40B8-4441-B3BD-53906DBC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812668"/>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rsid w:val="00812668"/>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rsid w:val="00812668"/>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0551"/>
    <w:rPr>
      <w:color w:val="0000FF"/>
      <w:u w:val="single"/>
    </w:rPr>
  </w:style>
  <w:style w:type="character" w:styleId="Emphasis">
    <w:name w:val="Emphasis"/>
    <w:basedOn w:val="DefaultParagraphFont"/>
    <w:uiPriority w:val="20"/>
    <w:qFormat/>
    <w:rsid w:val="00880551"/>
    <w:rPr>
      <w:i/>
      <w:iCs/>
    </w:rPr>
  </w:style>
  <w:style w:type="character" w:styleId="FollowedHyperlink">
    <w:name w:val="FollowedHyperlink"/>
    <w:basedOn w:val="DefaultParagraphFont"/>
    <w:uiPriority w:val="99"/>
    <w:semiHidden/>
    <w:unhideWhenUsed/>
    <w:rsid w:val="00146966"/>
    <w:rPr>
      <w:color w:val="800080" w:themeColor="followedHyperlink"/>
      <w:u w:val="single"/>
    </w:rPr>
  </w:style>
  <w:style w:type="paragraph" w:styleId="ListBullet">
    <w:name w:val="List Bullet"/>
    <w:basedOn w:val="Normal"/>
    <w:uiPriority w:val="99"/>
    <w:semiHidden/>
    <w:unhideWhenUsed/>
    <w:rsid w:val="00B30AFB"/>
    <w:pPr>
      <w:numPr>
        <w:numId w:val="1"/>
      </w:numPr>
      <w:contextualSpacing/>
    </w:pPr>
  </w:style>
  <w:style w:type="paragraph" w:styleId="ListBullet2">
    <w:name w:val="List Bullet 2"/>
    <w:basedOn w:val="Normal"/>
    <w:uiPriority w:val="99"/>
    <w:semiHidden/>
    <w:unhideWhenUsed/>
    <w:rsid w:val="00B30AFB"/>
    <w:pPr>
      <w:numPr>
        <w:numId w:val="2"/>
      </w:numPr>
      <w:contextualSpacing/>
    </w:pPr>
  </w:style>
  <w:style w:type="paragraph" w:styleId="ListBullet3">
    <w:name w:val="List Bullet 3"/>
    <w:basedOn w:val="Normal"/>
    <w:uiPriority w:val="99"/>
    <w:semiHidden/>
    <w:unhideWhenUsed/>
    <w:rsid w:val="00B30AFB"/>
    <w:pPr>
      <w:numPr>
        <w:numId w:val="3"/>
      </w:numPr>
      <w:contextualSpacing/>
    </w:pPr>
  </w:style>
  <w:style w:type="paragraph" w:styleId="ListBullet4">
    <w:name w:val="List Bullet 4"/>
    <w:basedOn w:val="Normal"/>
    <w:uiPriority w:val="99"/>
    <w:semiHidden/>
    <w:unhideWhenUsed/>
    <w:rsid w:val="00B30AFB"/>
    <w:pPr>
      <w:numPr>
        <w:numId w:val="4"/>
      </w:numPr>
      <w:contextualSpacing/>
    </w:pPr>
  </w:style>
  <w:style w:type="paragraph" w:styleId="Caption">
    <w:name w:val="caption"/>
    <w:basedOn w:val="Normal"/>
    <w:next w:val="Normal"/>
    <w:uiPriority w:val="35"/>
    <w:semiHidden/>
    <w:unhideWhenUsed/>
    <w:qFormat/>
    <w:rsid w:val="0018542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85428"/>
    <w:pPr>
      <w:spacing w:after="0"/>
    </w:pPr>
  </w:style>
  <w:style w:type="paragraph" w:styleId="ListNumber">
    <w:name w:val="List Number"/>
    <w:basedOn w:val="Normal"/>
    <w:uiPriority w:val="99"/>
    <w:semiHidden/>
    <w:unhideWhenUsed/>
    <w:rsid w:val="00185428"/>
    <w:pPr>
      <w:numPr>
        <w:numId w:val="6"/>
      </w:numPr>
      <w:contextualSpacing/>
    </w:pPr>
  </w:style>
  <w:style w:type="paragraph" w:styleId="ListNumber2">
    <w:name w:val="List Number 2"/>
    <w:basedOn w:val="Normal"/>
    <w:uiPriority w:val="99"/>
    <w:semiHidden/>
    <w:unhideWhenUsed/>
    <w:rsid w:val="00185428"/>
    <w:pPr>
      <w:numPr>
        <w:numId w:val="7"/>
      </w:numPr>
      <w:contextualSpacing/>
    </w:pPr>
  </w:style>
  <w:style w:type="paragraph" w:styleId="ListNumber3">
    <w:name w:val="List Number 3"/>
    <w:basedOn w:val="Normal"/>
    <w:uiPriority w:val="99"/>
    <w:semiHidden/>
    <w:unhideWhenUsed/>
    <w:rsid w:val="00185428"/>
    <w:pPr>
      <w:numPr>
        <w:numId w:val="8"/>
      </w:numPr>
      <w:contextualSpacing/>
    </w:pPr>
  </w:style>
  <w:style w:type="paragraph" w:styleId="ListNumber4">
    <w:name w:val="List Number 4"/>
    <w:basedOn w:val="Normal"/>
    <w:uiPriority w:val="99"/>
    <w:semiHidden/>
    <w:unhideWhenUsed/>
    <w:rsid w:val="00185428"/>
    <w:pPr>
      <w:numPr>
        <w:numId w:val="9"/>
      </w:numPr>
      <w:contextualSpacing/>
    </w:pPr>
  </w:style>
  <w:style w:type="character" w:styleId="CommentReference">
    <w:name w:val="annotation reference"/>
    <w:basedOn w:val="DefaultParagraphFont"/>
    <w:uiPriority w:val="99"/>
    <w:semiHidden/>
    <w:unhideWhenUsed/>
    <w:rsid w:val="00EE0065"/>
    <w:rPr>
      <w:sz w:val="16"/>
      <w:szCs w:val="16"/>
    </w:rPr>
  </w:style>
  <w:style w:type="paragraph" w:styleId="CommentText">
    <w:name w:val="annotation text"/>
    <w:basedOn w:val="Normal"/>
    <w:link w:val="CommentTextChar"/>
    <w:uiPriority w:val="99"/>
    <w:semiHidden/>
    <w:unhideWhenUsed/>
    <w:rsid w:val="00EE0065"/>
    <w:rPr>
      <w:sz w:val="20"/>
      <w:szCs w:val="20"/>
    </w:rPr>
  </w:style>
  <w:style w:type="character" w:customStyle="1" w:styleId="CommentTextChar">
    <w:name w:val="Comment Text Char"/>
    <w:basedOn w:val="DefaultParagraphFont"/>
    <w:link w:val="CommentText"/>
    <w:uiPriority w:val="99"/>
    <w:semiHidden/>
    <w:rsid w:val="00EE006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E0065"/>
    <w:rPr>
      <w:b/>
      <w:bCs/>
    </w:rPr>
  </w:style>
  <w:style w:type="character" w:customStyle="1" w:styleId="CommentSubjectChar">
    <w:name w:val="Comment Subject Char"/>
    <w:basedOn w:val="CommentTextChar"/>
    <w:link w:val="CommentSubject"/>
    <w:uiPriority w:val="99"/>
    <w:semiHidden/>
    <w:rsid w:val="00EE006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C3C9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C95"/>
    <w:rPr>
      <w:rFonts w:ascii="Segoe UI" w:hAnsi="Segoe UI" w:cs="Segoe UI"/>
      <w:sz w:val="18"/>
      <w:szCs w:val="18"/>
      <w:lang w:val="en-GB"/>
    </w:rPr>
  </w:style>
  <w:style w:type="paragraph" w:styleId="Header">
    <w:name w:val="header"/>
    <w:basedOn w:val="Normal"/>
    <w:link w:val="HeaderChar"/>
    <w:uiPriority w:val="99"/>
    <w:unhideWhenUsed/>
    <w:rsid w:val="00E0099F"/>
    <w:pPr>
      <w:tabs>
        <w:tab w:val="center" w:pos="4535"/>
        <w:tab w:val="right" w:pos="9071"/>
      </w:tabs>
      <w:spacing w:before="0"/>
    </w:pPr>
  </w:style>
  <w:style w:type="character" w:customStyle="1" w:styleId="HeaderChar">
    <w:name w:val="Header Char"/>
    <w:basedOn w:val="DefaultParagraphFont"/>
    <w:link w:val="Header"/>
    <w:uiPriority w:val="99"/>
    <w:rsid w:val="00E0099F"/>
    <w:rPr>
      <w:rFonts w:ascii="Times New Roman" w:hAnsi="Times New Roman" w:cs="Times New Roman"/>
      <w:sz w:val="24"/>
      <w:lang w:val="en-GB"/>
    </w:rPr>
  </w:style>
  <w:style w:type="paragraph" w:styleId="Footer">
    <w:name w:val="footer"/>
    <w:basedOn w:val="Normal"/>
    <w:link w:val="FooterChar"/>
    <w:uiPriority w:val="99"/>
    <w:unhideWhenUsed/>
    <w:rsid w:val="00E0099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0099F"/>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E0099F"/>
    <w:pPr>
      <w:tabs>
        <w:tab w:val="center" w:pos="7285"/>
        <w:tab w:val="right" w:pos="14003"/>
      </w:tabs>
      <w:spacing w:before="0"/>
    </w:pPr>
  </w:style>
  <w:style w:type="paragraph" w:customStyle="1" w:styleId="FooterLandscape">
    <w:name w:val="FooterLandscape"/>
    <w:basedOn w:val="Normal"/>
    <w:rsid w:val="00E0099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E0099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0099F"/>
    <w:pPr>
      <w:spacing w:before="0"/>
      <w:jc w:val="right"/>
    </w:pPr>
    <w:rPr>
      <w:sz w:val="28"/>
    </w:rPr>
  </w:style>
  <w:style w:type="paragraph" w:customStyle="1" w:styleId="FooterSensitivity">
    <w:name w:val="Footer Sensitivity"/>
    <w:basedOn w:val="Normal"/>
    <w:rsid w:val="00E0099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0"/>
      </w:numPr>
    </w:pPr>
  </w:style>
  <w:style w:type="paragraph" w:customStyle="1" w:styleId="NumPar2">
    <w:name w:val="NumPar 2"/>
    <w:basedOn w:val="Normal"/>
    <w:next w:val="Text1"/>
    <w:rsid w:val="009B7138"/>
    <w:pPr>
      <w:numPr>
        <w:ilvl w:val="1"/>
        <w:numId w:val="30"/>
      </w:numPr>
    </w:pPr>
  </w:style>
  <w:style w:type="paragraph" w:customStyle="1" w:styleId="NumPar3">
    <w:name w:val="NumPar 3"/>
    <w:basedOn w:val="Normal"/>
    <w:next w:val="Text1"/>
    <w:rsid w:val="009B7138"/>
    <w:pPr>
      <w:numPr>
        <w:ilvl w:val="2"/>
        <w:numId w:val="30"/>
      </w:numPr>
    </w:pPr>
  </w:style>
  <w:style w:type="paragraph" w:customStyle="1" w:styleId="NumPar4">
    <w:name w:val="NumPar 4"/>
    <w:basedOn w:val="Normal"/>
    <w:next w:val="Text1"/>
    <w:rsid w:val="009B7138"/>
    <w:pPr>
      <w:numPr>
        <w:ilvl w:val="3"/>
        <w:numId w:val="3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812668"/>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812668"/>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812668"/>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812668"/>
    <w:pPr>
      <w:keepNext/>
      <w:tabs>
        <w:tab w:val="left" w:pos="1417"/>
      </w:tabs>
      <w:ind w:left="1417" w:hanging="1417"/>
      <w:outlineLvl w:val="4"/>
    </w:pPr>
  </w:style>
  <w:style w:type="paragraph" w:customStyle="1" w:styleId="ManualHeading6">
    <w:name w:val="Manual Heading 6"/>
    <w:basedOn w:val="Normal"/>
    <w:next w:val="Text2"/>
    <w:rsid w:val="00812668"/>
    <w:pPr>
      <w:keepNext/>
      <w:tabs>
        <w:tab w:val="left" w:pos="1417"/>
      </w:tabs>
      <w:ind w:left="1417" w:hanging="1417"/>
      <w:outlineLvl w:val="5"/>
    </w:pPr>
  </w:style>
  <w:style w:type="paragraph" w:customStyle="1" w:styleId="ManualHeading7">
    <w:name w:val="Manual Heading 7"/>
    <w:basedOn w:val="Normal"/>
    <w:next w:val="Text2"/>
    <w:rsid w:val="00812668"/>
    <w:pPr>
      <w:keepNext/>
      <w:tabs>
        <w:tab w:val="left" w:pos="1417"/>
      </w:tabs>
      <w:ind w:left="1417" w:hanging="1417"/>
      <w:outlineLvl w:val="6"/>
    </w:pPr>
  </w:style>
  <w:style w:type="paragraph" w:customStyle="1" w:styleId="Text5">
    <w:name w:val="Text 5"/>
    <w:basedOn w:val="Normal"/>
    <w:rsid w:val="00812668"/>
    <w:pPr>
      <w:ind w:left="3118"/>
    </w:pPr>
  </w:style>
  <w:style w:type="paragraph" w:customStyle="1" w:styleId="Text6">
    <w:name w:val="Text 6"/>
    <w:basedOn w:val="Normal"/>
    <w:rsid w:val="00812668"/>
    <w:pPr>
      <w:ind w:left="3685"/>
    </w:pPr>
  </w:style>
  <w:style w:type="paragraph" w:customStyle="1" w:styleId="Point5">
    <w:name w:val="Point 5"/>
    <w:basedOn w:val="Normal"/>
    <w:rsid w:val="00812668"/>
    <w:pPr>
      <w:ind w:left="3685" w:hanging="567"/>
    </w:pPr>
  </w:style>
  <w:style w:type="paragraph" w:customStyle="1" w:styleId="Tiret5">
    <w:name w:val="Tiret 5"/>
    <w:basedOn w:val="Point5"/>
    <w:rsid w:val="00812668"/>
    <w:pPr>
      <w:numPr>
        <w:numId w:val="27"/>
      </w:numPr>
    </w:pPr>
  </w:style>
  <w:style w:type="paragraph" w:customStyle="1" w:styleId="NumPar5">
    <w:name w:val="NumPar 5"/>
    <w:basedOn w:val="Normal"/>
    <w:next w:val="Text2"/>
    <w:rsid w:val="00812668"/>
    <w:pPr>
      <w:numPr>
        <w:ilvl w:val="4"/>
        <w:numId w:val="30"/>
      </w:numPr>
    </w:pPr>
  </w:style>
  <w:style w:type="paragraph" w:customStyle="1" w:styleId="NumPar6">
    <w:name w:val="NumPar 6"/>
    <w:basedOn w:val="Normal"/>
    <w:next w:val="Text2"/>
    <w:rsid w:val="00812668"/>
    <w:pPr>
      <w:numPr>
        <w:ilvl w:val="5"/>
        <w:numId w:val="30"/>
      </w:numPr>
    </w:pPr>
  </w:style>
  <w:style w:type="paragraph" w:customStyle="1" w:styleId="NumPar7">
    <w:name w:val="NumPar 7"/>
    <w:basedOn w:val="Normal"/>
    <w:next w:val="Text2"/>
    <w:rsid w:val="00812668"/>
    <w:pPr>
      <w:numPr>
        <w:ilvl w:val="6"/>
        <w:numId w:val="30"/>
      </w:numPr>
    </w:pPr>
  </w:style>
  <w:style w:type="paragraph" w:customStyle="1" w:styleId="ManualNumPar5">
    <w:name w:val="Manual NumPar 5"/>
    <w:basedOn w:val="Normal"/>
    <w:next w:val="Text2"/>
    <w:rsid w:val="00812668"/>
    <w:pPr>
      <w:ind w:left="1417" w:hanging="1417"/>
    </w:pPr>
  </w:style>
  <w:style w:type="paragraph" w:customStyle="1" w:styleId="ManualNumPar6">
    <w:name w:val="Manual NumPar 6"/>
    <w:basedOn w:val="Normal"/>
    <w:next w:val="Text2"/>
    <w:rsid w:val="00812668"/>
    <w:pPr>
      <w:ind w:left="1417" w:hanging="1417"/>
    </w:pPr>
  </w:style>
  <w:style w:type="paragraph" w:customStyle="1" w:styleId="ManualNumPar7">
    <w:name w:val="Manual NumPar 7"/>
    <w:basedOn w:val="Normal"/>
    <w:next w:val="Text2"/>
    <w:rsid w:val="00812668"/>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eas.europa.eu/sites/eeas/files/eugs_implementation_plan_st14392.en16_0.pdf" TargetMode="External"/><Relationship Id="rId13" Type="http://schemas.openxmlformats.org/officeDocument/2006/relationships/hyperlink" Target="https://eur-lex.europa.eu/legal-content/EN/TXT/PDF/?uri=CELEX:32015D0528&amp;qid=1548139641508&amp;from=EN" TargetMode="External"/><Relationship Id="rId3" Type="http://schemas.openxmlformats.org/officeDocument/2006/relationships/hyperlink" Target="https://eur-lex.europa.eu/legal-content/EN/TXT/?uri=uriserv:OJ.L_.2019.336.01.0010.01.ENG&amp;toc=OJ:L:2019:336:TOC" TargetMode="External"/><Relationship Id="rId7" Type="http://schemas.openxmlformats.org/officeDocument/2006/relationships/hyperlink" Target="https://cdn5-eeas.fpfis.tech.ec.europa.eu/cdn/farfuture/2rOF-JdAS8j-pKkhPt8txwI5V51A5EXAOrHQNUfwB9M/mtime:1481797831/sites/eeas/files/eugs_review_web_0.pdf" TargetMode="External"/><Relationship Id="rId12" Type="http://schemas.openxmlformats.org/officeDocument/2006/relationships/hyperlink" Target="https://eur-lex.europa.eu/legal-content/EN/TXT/PDF/?uri=OJ:JOL_2015_084_R_0006&amp;qid=1427824153272&amp;from=EN" TargetMode="External"/><Relationship Id="rId2" Type="http://schemas.openxmlformats.org/officeDocument/2006/relationships/hyperlink" Target="https://eur-lex.europa.eu/legal-content/EN/TXT/PDF/?uri=CELEX:32008L0118&amp;qid=1543215941175&amp;from=EN" TargetMode="External"/><Relationship Id="rId1" Type="http://schemas.openxmlformats.org/officeDocument/2006/relationships/hyperlink" Target="http://eur-lex.europa.eu/legal-content/EN/TXT/PDF/?uri=CELEX:02006L0112-20160601&amp;qid=1494999281011&amp;from=EN" TargetMode="External"/><Relationship Id="rId6" Type="http://schemas.openxmlformats.org/officeDocument/2006/relationships/hyperlink" Target="http://eur-lex.europa.eu/legal-content/EN/TXT/PDF/?uri=CELEX:52016DC0148&amp;from=EN" TargetMode="External"/><Relationship Id="rId11" Type="http://schemas.openxmlformats.org/officeDocument/2006/relationships/hyperlink" Target="https://eur-lex.europa.eu/legal-content/EN/TXT/PDF/?uri=CELEX:32021R0697&amp;from=EN" TargetMode="External"/><Relationship Id="rId5" Type="http://schemas.openxmlformats.org/officeDocument/2006/relationships/hyperlink" Target="https://eur-lex.europa.eu/legal-content/EN/TXT/?uri=uriserv:OJ.L_.2011.077.01.0001.01.ENG&amp;toc=OJ:L:2011:077:TOC" TargetMode="External"/><Relationship Id="rId10" Type="http://schemas.openxmlformats.org/officeDocument/2006/relationships/hyperlink" Target="https://eur-lex.europa.eu/legal-content/EN/TXT/?uri=COM:2016:950:FIN" TargetMode="External"/><Relationship Id="rId4" Type="http://schemas.openxmlformats.org/officeDocument/2006/relationships/hyperlink" Target="https://eur-lex.europa.eu/legal-content/EN/TXT/?uri=OJ:L:2021:250:TOC" TargetMode="External"/><Relationship Id="rId9" Type="http://schemas.openxmlformats.org/officeDocument/2006/relationships/hyperlink" Target="https://ec.europa.eu/transport/sites/transport/files/2018-military_mobility_action_pl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9E11-33C1-44F7-93EC-C9ACE9F3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1992</Words>
  <Characters>10462</Characters>
  <Application>Microsoft Office Word</Application>
  <DocSecurity>0</DocSecurity>
  <Lines>186</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dcterms:created xsi:type="dcterms:W3CDTF">2021-12-20T08:32:00Z</dcterms:created>
  <dcterms:modified xsi:type="dcterms:W3CDTF">2022-01-06T09:09:00Z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SJ-015</vt:lpwstr>
  </property>
  <property fmtid="{D5CDD505-2E9C-101B-9397-08002B2CF9AE}" pid="10" name="DQCStatus">
    <vt:lpwstr>Green (DQC version 03)</vt:lpwstr>
  </property>
</Properties>
</file>