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07683" w14:textId="7369CDFD" w:rsidR="009C7E9C" w:rsidRDefault="00CC3B64" w:rsidP="00CC3B64">
      <w:pPr>
        <w:pStyle w:val="Pagedecouverture"/>
        <w:rPr>
          <w:noProof/>
        </w:rPr>
      </w:pPr>
      <w:bookmarkStart w:id="0" w:name="LW_BM_COVERPAGE"/>
      <w:r>
        <w:rPr>
          <w:noProof/>
        </w:rPr>
        <w:pict w14:anchorId="42597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1033A53-A6AB-4F0F-8AA4-265EDE22C755" style="width:455.25pt;height:324pt">
            <v:imagedata r:id="rId13" o:title=""/>
          </v:shape>
        </w:pict>
      </w:r>
    </w:p>
    <w:bookmarkEnd w:id="0"/>
    <w:p w14:paraId="05FAC11F" w14:textId="77777777" w:rsidR="009C7E9C" w:rsidRDefault="009C7E9C" w:rsidP="009C7E9C">
      <w:pPr>
        <w:rPr>
          <w:noProof/>
        </w:rPr>
        <w:sectPr w:rsidR="009C7E9C" w:rsidSect="00CC3B64">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14:paraId="2B6FB5F4" w14:textId="1D8F6FE4" w:rsidR="00961020" w:rsidRPr="007D12E6" w:rsidRDefault="00751CA3" w:rsidP="001E0A77">
      <w:pPr>
        <w:pStyle w:val="Heading1"/>
        <w:rPr>
          <w:noProof/>
        </w:rPr>
      </w:pPr>
      <w:bookmarkStart w:id="1" w:name="_GoBack"/>
      <w:bookmarkEnd w:id="1"/>
      <w:r>
        <w:rPr>
          <w:noProof/>
        </w:rPr>
        <w:lastRenderedPageBreak/>
        <w:t xml:space="preserve">Pasirengimas popandeminei Europai </w:t>
      </w:r>
    </w:p>
    <w:p w14:paraId="77A42868" w14:textId="5E79892F" w:rsidR="00EE262B" w:rsidRPr="003611BE" w:rsidRDefault="00F07D46" w:rsidP="00EE262B">
      <w:pPr>
        <w:rPr>
          <w:noProof/>
        </w:rPr>
      </w:pPr>
      <w:r>
        <w:rPr>
          <w:b/>
          <w:noProof/>
        </w:rPr>
        <w:t>Prasidėjus precedento neturinčiai COVID-19 krizei, ES greitai parengė tvirtą bendrą atsaką.</w:t>
      </w:r>
      <w:r>
        <w:rPr>
          <w:noProof/>
        </w:rPr>
        <w:t xml:space="preserve"> 2020 m. gegužės 27 d. Komisija pateikė plataus užmojo, novatorišką ir išskirtinį ekonomikos gaivinimo planą, kad Sąjunga galėtų siekti tvaraus ir atsparaus atsigavimo. Europos Sąjungos ekonomikos gaivinimo priemonei („NextGenerationEU“), kurią 2020 m. gruodžio 14 d. oficialiai patvirtino Taryba</w:t>
      </w:r>
      <w:r>
        <w:rPr>
          <w:rStyle w:val="FootnoteReference"/>
          <w:noProof/>
        </w:rPr>
        <w:footnoteReference w:id="2"/>
      </w:r>
      <w:r>
        <w:rPr>
          <w:noProof/>
        </w:rPr>
        <w:t xml:space="preserve"> remiant Europos Parlamentui, yra telkiama iki 750 mlrd. EUR</w:t>
      </w:r>
      <w:r>
        <w:rPr>
          <w:rStyle w:val="FootnoteReference"/>
          <w:noProof/>
        </w:rPr>
        <w:footnoteReference w:id="3"/>
      </w:r>
      <w:r>
        <w:rPr>
          <w:noProof/>
        </w:rPr>
        <w:t xml:space="preserve"> siekiant pašalinti pandemijos padarytą ekonominę ir socialinę žalą. Jei prie to pridėtume daugiametę finansinę programą (ES ilgalaikį biudžetą), bendra 1,8 trln. EUR suma padės Europai atsitiesti po COVID-19 pandemijos. </w:t>
      </w:r>
    </w:p>
    <w:p w14:paraId="28528A02" w14:textId="1B1C2A25" w:rsidR="00DC665E" w:rsidRPr="00DC665E" w:rsidRDefault="00CD5DA3" w:rsidP="00E170F0">
      <w:pPr>
        <w:rPr>
          <w:noProof/>
        </w:rPr>
      </w:pPr>
      <w:r>
        <w:rPr>
          <w:b/>
          <w:noProof/>
        </w:rPr>
        <w:t>Priemonės „NextGenerationEU“ tikslas – po krizės tapti stipresniems ir atsparesniems, kad mūsų ekonomika galėtų tvariai augti</w:t>
      </w:r>
      <w:r>
        <w:rPr>
          <w:noProof/>
        </w:rPr>
        <w:t xml:space="preserve">. Kad tai pasiektume, priemonė „NextGenerationEU“ naudojama skubiausiems uždaviniams, kurie mums kyla kaip Sąjungai, visų pirma dvejopai žaliajai ir skaitmeninei pertvarkai. Pajamos, gautos iš naujų nuosavų išteklių, padės priemonei „NextGenerationEU“ pasiskolintas lėšas. </w:t>
      </w:r>
    </w:p>
    <w:p w14:paraId="34EE0B66" w14:textId="16553484" w:rsidR="0011722D" w:rsidRDefault="0011722D" w:rsidP="0011722D">
      <w:pPr>
        <w:rPr>
          <w:noProof/>
        </w:rPr>
      </w:pPr>
      <w:r>
        <w:rPr>
          <w:b/>
          <w:noProof/>
        </w:rPr>
        <w:tab/>
        <w:t>Europos Vadovų Taryba 2020 m. liepos 21 d. išvadose nurodė, kad „[a]teinančiais metais Sąjunga sieks reformuoti nuosavų išteklių sistemą ir įvesti naujas nuosavų išteklių rūšis</w:t>
      </w:r>
      <w:r>
        <w:rPr>
          <w:rStyle w:val="FootnoteReference"/>
          <w:noProof/>
        </w:rPr>
        <w:footnoteReference w:id="4"/>
      </w:r>
      <w:r>
        <w:rPr>
          <w:noProof/>
        </w:rPr>
        <w:t>. Po to, 2020 m. gruodžio 16 d., priimtame Tarpinstituciniame susitarime</w:t>
      </w:r>
      <w:r>
        <w:rPr>
          <w:rStyle w:val="FootnoteReference"/>
          <w:noProof/>
        </w:rPr>
        <w:footnoteReference w:id="5"/>
      </w:r>
      <w:r>
        <w:rPr>
          <w:noProof/>
        </w:rPr>
        <w:t xml:space="preserve"> Europos Parlamentas, Taryba ir Komisija susitarė, kad „[t]okių lėšų, panaudotinų išlaidoms pagal Europos Sąjungos ekonomikos gaivinimo priemonę [„NextGenerationEU“], pagrindinės sumos grąžinimas ir susijusios mokėtinos palūkanos turės būti finansuojamos iš Sąjungos bendrojo biudžeto, be kita ko, naudojant pakankamas pajamas iš naujų nuosavų išteklių, nustatytų po 2021 m.“</w:t>
      </w:r>
      <w:r>
        <w:rPr>
          <w:rStyle w:val="FootnoteReference"/>
          <w:noProof/>
        </w:rPr>
        <w:footnoteReference w:id="6"/>
      </w:r>
      <w:r>
        <w:rPr>
          <w:noProof/>
        </w:rPr>
        <w:t>. Be to, trys institucijos pripažįsta Europos Sąjungos ekonomikos gaivinimo priemonės konteksto svarbą ir pareiškia, kad su Europos Sąjungos ekonomikos gaivinimo priemonės lėšų grąžinimu susijusios Sąjungos biudžeto išlaidos neturėtų sąlygoti nepagrįsto programų išlaidų arba investicinių priemonių pagal DFP sumažinimo. Be to, jos teigia, kad taip pat pageidautina švelninti valstybėms narėms nustatytų BNP pagrįstų nuosavų išteklių didėjimą</w:t>
      </w:r>
      <w:r>
        <w:rPr>
          <w:rStyle w:val="FootnoteReference"/>
          <w:noProof/>
        </w:rPr>
        <w:footnoteReference w:id="7"/>
      </w:r>
      <w:r>
        <w:rPr>
          <w:noProof/>
        </w:rPr>
        <w:t>. Komisija įsipareigojo 2021 m. pasiūlyti naujų nuosavų išteklių, kad jie būtų nustatyti ne vėliau kaip 2023 m. sausio 1 d.</w:t>
      </w:r>
      <w:r>
        <w:rPr>
          <w:rStyle w:val="FootnoteReference"/>
          <w:noProof/>
        </w:rPr>
        <w:footnoteReference w:id="8"/>
      </w:r>
      <w:r>
        <w:rPr>
          <w:noProof/>
        </w:rPr>
        <w:t xml:space="preserve">.  </w:t>
      </w:r>
    </w:p>
    <w:p w14:paraId="018534A4" w14:textId="77777777" w:rsidR="00C736C8" w:rsidRPr="00E86107" w:rsidRDefault="00C736C8" w:rsidP="007D12E6">
      <w:pPr>
        <w:pStyle w:val="Heading1"/>
        <w:spacing w:before="0"/>
        <w:rPr>
          <w:noProof/>
        </w:rPr>
      </w:pPr>
      <w:r>
        <w:rPr>
          <w:noProof/>
        </w:rPr>
        <w:t>Komisijos pasiūlymai</w:t>
      </w:r>
    </w:p>
    <w:p w14:paraId="6E4116BF" w14:textId="77777777" w:rsidR="00BA687C" w:rsidRPr="002F7CB2" w:rsidRDefault="00961020" w:rsidP="003304C0">
      <w:pPr>
        <w:pStyle w:val="Heading2"/>
        <w:rPr>
          <w:noProof/>
        </w:rPr>
      </w:pPr>
      <w:r>
        <w:rPr>
          <w:noProof/>
        </w:rPr>
        <w:t>Naujų nuosavų išteklių krepšelis</w:t>
      </w:r>
    </w:p>
    <w:p w14:paraId="52128CCE" w14:textId="4EFDCBD4" w:rsidR="00D47876" w:rsidRPr="00635C09" w:rsidRDefault="00D47876" w:rsidP="00D47876">
      <w:pPr>
        <w:rPr>
          <w:b/>
          <w:noProof/>
        </w:rPr>
      </w:pPr>
      <w:r>
        <w:rPr>
          <w:b/>
          <w:noProof/>
        </w:rPr>
        <w:t xml:space="preserve">Komisija siūlo ES biudžeto pajamas labiau susieti su ES politikos prioritetais. </w:t>
      </w:r>
      <w:r>
        <w:rPr>
          <w:noProof/>
        </w:rPr>
        <w:t>Prekyba apyvartiniais taršos leidimais ir pasienio anglies dioksido korekcinis mechanizmas yra ES masto priemonės, kuriomis siekiama bendro tikslo – sumažinti išmetamą šiltnamio efektą sukeliančių dujų kiekį mažiausiomis sąnaudomis, ribojant išmetamųjų teršalų kiekį ir siunčiant anglies dioksido kainos signalą. Prie 2021 m. spalio 8 d. istorinio EBPO ir G20 mokesčių bazės erozijos ir pelno perkėlimo (BEPS) įtraukios sistemos susitarimo dėl dviejų ramsčių sprendimo siekiant spręsti mokesčių problemas, kylančias dėl ekonomikos skaitmenizacijos</w:t>
      </w:r>
      <w:r>
        <w:rPr>
          <w:noProof/>
          <w:vertAlign w:val="superscript"/>
        </w:rPr>
        <w:footnoteReference w:id="9"/>
      </w:r>
      <w:r>
        <w:rPr>
          <w:noProof/>
        </w:rPr>
        <w:t>, prisidėjo 137 šalys ir jurisdikciją turintys subjektai, kuriems tenka daugiau kaip 90 proc. pasaulio BVP. Pagal pirmąjį šio susitarimo ramstį dalis didžiausių ir pelningiausių pasaulio tarptautinių įmonių pelno bus perskirstyta prie susitarimo prisidedančioms šalims visame pasaulyje, užtikrinant, kad šios įmonės sumokėtų teisingą mokesčių dalį ten, kur jos vykdo veiklą ir gauna pelną. Šioms iniciatyvoms reikia ES veiksmų, todėl jos yra tinkama bazė ES nuosaviems ištekliams.</w:t>
      </w:r>
    </w:p>
    <w:p w14:paraId="2CB0A41D" w14:textId="20017291" w:rsidR="00AC0D4B" w:rsidRDefault="00C736C8" w:rsidP="00D47876">
      <w:pPr>
        <w:rPr>
          <w:noProof/>
        </w:rPr>
      </w:pPr>
      <w:r>
        <w:rPr>
          <w:b/>
          <w:noProof/>
        </w:rPr>
        <w:t>Komisija siūlo iš dalies pakeisti Sprendimą dėl nuosavų išteklių</w:t>
      </w:r>
      <w:r>
        <w:rPr>
          <w:rStyle w:val="FootnoteReference"/>
          <w:b/>
          <w:noProof/>
        </w:rPr>
        <w:footnoteReference w:id="10"/>
      </w:r>
      <w:r>
        <w:rPr>
          <w:noProof/>
        </w:rPr>
        <w:t>, kad dalis pajamų, gautų pagal 2021 m. liepos 14 d. pateiktus pasiūlymus dėl teisėkūros procedūra priimamų aktų dėl pasienio anglies dioksido korekcinio mechanizmo</w:t>
      </w:r>
      <w:r>
        <w:rPr>
          <w:rStyle w:val="FootnoteReference"/>
          <w:noProof/>
        </w:rPr>
        <w:footnoteReference w:id="11"/>
      </w:r>
      <w:r>
        <w:rPr>
          <w:noProof/>
        </w:rPr>
        <w:t xml:space="preserve"> ir prekybos apyvartiniais taršos leidimais</w:t>
      </w:r>
      <w:r>
        <w:rPr>
          <w:rStyle w:val="FootnoteReference"/>
          <w:noProof/>
        </w:rPr>
        <w:footnoteReference w:id="12"/>
      </w:r>
      <w:r>
        <w:rPr>
          <w:noProof/>
        </w:rPr>
        <w:t>, atitektų ES biudžetui. Be to, remdamasi istoriniu EBPO ir G20 mokesčių bazės erozijos ir pelno perkėlimo įtraukios sistemos susitarimu, Komisija siūlo nustatyti naujus nuosavus išteklius, pagrįstus didžiausių ir pelningiausių tarptautinių įmonių likutinio pelno dalimi, kuri bus perskirta ES valstybėms narėms. Šie nuosavi ištekliai būtų nustatyti, kai įsigalios ir bus faktiškai taikomos mokesčių bazės erozijos ir pelno perkėlimo įtraukios sistemos suderėta daugiašalė konvencija ir atitinkama ES direktyva. Norint nustatyti visus naujus nuosavus išteklius reikės priimti su jais susijusius sektorinius pasiūlymus.</w:t>
      </w:r>
    </w:p>
    <w:p w14:paraId="54F9372E" w14:textId="05BA4434" w:rsidR="002B0F58" w:rsidRDefault="009F3320" w:rsidP="002B0F58">
      <w:pPr>
        <w:rPr>
          <w:b/>
          <w:noProof/>
        </w:rPr>
      </w:pPr>
      <w:r>
        <w:rPr>
          <w:b/>
          <w:noProof/>
        </w:rPr>
        <w:t xml:space="preserve">Komisija siūlo, kad 25 proc. pajamų, gautų iš ES apyvartinių taršos leidimų prekybos, taptų ES biudžeto nuosavais ištekliais. </w:t>
      </w:r>
      <w:r>
        <w:rPr>
          <w:noProof/>
        </w:rPr>
        <w:t>Komisija pasiūlė plataus masto teisės aktų rinkinį, kuriuo siekiama iki 2030 m. dar labiau sumažinti išmetamą šiltnamio efektą sukeliančių dujų (ŠESD) kiekį orientuojantis į tikslą iki 2050 m. neutralizuoti poveikį klimatui. Visų pirma jame numatyta stiprinti esamą ES apyvartinių taršos leidimų prekybos sistemą (ATLPS)</w:t>
      </w:r>
      <w:r>
        <w:rPr>
          <w:noProof/>
          <w:vertAlign w:val="superscript"/>
        </w:rPr>
        <w:footnoteReference w:id="13"/>
      </w:r>
      <w:r>
        <w:rPr>
          <w:noProof/>
        </w:rPr>
        <w:t>, į jos taikymo sritį įtraukti jūrų sektorių, plėsti aviacijos apyvartinių taršos leidimų aukcionus ir sukurti naują pastatų ir kelių transporto apyvartinių taršos leidimų prekybos sistemą. Pajamos iš apyvartinių taršos leidimų aukcionų pagal dabartinę ES apyvartinių taršos leidimų prekybos sistemą didžia dalimi atitenka nacionaliniams biudžetams, tačiau Komisija siūlo, kad ateityje dalis ES apyvartinių taršos leidimų prekybos pajamų patektų į ES biudžetą. Tai būtų taikoma ir pajamoms už leidimus, kurių valstybės narės, pasinaudodamos ES apyvartinių taršos leidimų prekybos sistemos lankstumu</w:t>
      </w:r>
      <w:r>
        <w:rPr>
          <w:rStyle w:val="FootnoteReference"/>
          <w:noProof/>
        </w:rPr>
        <w:footnoteReference w:id="14"/>
      </w:r>
      <w:r>
        <w:rPr>
          <w:noProof/>
        </w:rPr>
        <w:t>, nusprendė neparduoti aukcione, nors galėtų tai padaryti. Europos investicijų banko aukcionuose parduodami Inovacijų fondui finansuoti skirti apyvartiniai taršos leidimai ir pradinis Modernizavimo fondo įnašas nelaikomi nuosavų išteklių šaltiniu. Apskaičiuota, kad 2023–2030 m. laikotarpiu ES biudžeto pajamos sudarys apie 9 mlrd. EUR per metus, ir dalis jų leis finansuoti Socialinį klimato fondą.</w:t>
      </w:r>
      <w:r>
        <w:rPr>
          <w:b/>
          <w:noProof/>
        </w:rPr>
        <w:t xml:space="preserve"> </w:t>
      </w:r>
    </w:p>
    <w:p w14:paraId="77C6D4BF" w14:textId="3A035348" w:rsidR="009F3320" w:rsidRPr="007D12E6" w:rsidRDefault="002B0F58" w:rsidP="003304C0">
      <w:pPr>
        <w:rPr>
          <w:b/>
          <w:noProof/>
        </w:rPr>
      </w:pPr>
      <w:r>
        <w:rPr>
          <w:b/>
          <w:noProof/>
        </w:rPr>
        <w:t>Be to, Komisija siūlo laikiną solidarumo koregavimo mechanizmą, kuriuo būtų užtikrintas sąžiningas apyvartinių taršos leidimų prekybos sistema grindžiamas nuosavų išteklių įnašas iš visų valstybių narių.</w:t>
      </w:r>
      <w:r>
        <w:rPr>
          <w:noProof/>
        </w:rPr>
        <w:t xml:space="preserve"> Konkrečiai, iki 2030 m. bus taikoma viršutinė ir apatinė ES apyvartinių taršos leidimų prekybos sistema grindžiamų nuosavų išteklių įnašo riba, susieta su bendrųjų nacionalinių pajamų suma. Taip bus išvengta to, kad perėjimo prie tvaresnės ekonomikos ir visuomenės laikotarpiu kai kurių valstybių narių įnašas į ES biudžetą būtų neproporcingas, palyginti su jų ekonomikos dydžiu, ir bus užtikrintas teisingas visų indėlis.</w:t>
      </w:r>
    </w:p>
    <w:p w14:paraId="034EFE3D" w14:textId="15468259" w:rsidR="001F75FD" w:rsidRPr="003304C0" w:rsidRDefault="001F75FD" w:rsidP="001F75FD">
      <w:pPr>
        <w:rPr>
          <w:i/>
          <w:noProof/>
        </w:rPr>
      </w:pPr>
      <w:r>
        <w:rPr>
          <w:b/>
          <w:noProof/>
        </w:rPr>
        <w:t xml:space="preserve">Komisija siūlo, kad 75 proc. pajamų, gautų taikant pasienio anglies dioksido korekcinį mechanizmą, taptų ES biudžeto nuosavais ištekliais. </w:t>
      </w:r>
      <w:r>
        <w:rPr>
          <w:noProof/>
        </w:rPr>
        <w:t>Pagrindinis pasienio anglies dioksido korekcinio mechanizmo tikslas – remti pasaulyje išmetamo anglies dioksido kiekio mažinimą šalinant anglies dioksido nutekėjimo riziką. Taikant šį mechanizmą, deklarantai turės įsigyti pakankamą sertifikatų kiekį, kuris atitiktų ŠESD kiekį, išmetamą dėl jų importuojamų prekių. Pagal pasiūlymą dėl reglamento, kuriuo nustatomas pasienio anglies dioksido korekcinis mechanizmas, valstybės narės būtų atsakingos už pajamų, gautų pardavus pasienio anglies dioksido korekcinio mechanizmo sertifikatus, surinkimą.</w:t>
      </w:r>
      <w:r>
        <w:rPr>
          <w:b/>
          <w:noProof/>
        </w:rPr>
        <w:t xml:space="preserve"> </w:t>
      </w:r>
      <w:r>
        <w:rPr>
          <w:noProof/>
        </w:rPr>
        <w:t>Apskaičiuota, kad 2023–2030 m. laikotarpiu ES biudžeto pajamos sieks apie 0,5 mlrd. EUR per metus</w:t>
      </w:r>
      <w:r>
        <w:rPr>
          <w:rStyle w:val="FootnoteReference"/>
          <w:noProof/>
        </w:rPr>
        <w:footnoteReference w:id="15"/>
      </w:r>
      <w:r>
        <w:rPr>
          <w:noProof/>
        </w:rPr>
        <w:t>.</w:t>
      </w:r>
    </w:p>
    <w:p w14:paraId="26E47BF8" w14:textId="41A81CA6" w:rsidR="00CD6212" w:rsidRDefault="00EF5FA5" w:rsidP="00CD6212">
      <w:pPr>
        <w:rPr>
          <w:noProof/>
        </w:rPr>
      </w:pPr>
      <w:r>
        <w:rPr>
          <w:b/>
          <w:noProof/>
        </w:rPr>
        <w:t>Komisija siūlo nuosavus išteklius, prilygstančius 15 proc. didžiausių ir pelningiausių tarptautinių įmonių likutinio pelno daliai</w:t>
      </w:r>
      <w:r>
        <w:rPr>
          <w:noProof/>
        </w:rPr>
        <w:t>, kuri pagal susitarimą dėl tarptautinės mokesčių sistemos reformos perskirstoma ES valstybėms narėms. 2021 m. spalio 8 d. 137 šalys, kurios yra EBPO ir G20 mokesčių bazės erozijos ir pelno perkėlimo įtraukios sistemos narės, susitarė dėl dviejų ramsčių sprendimo dėl tarptautinių įmonių pelno perskirstymo ir dėl pasaulinio minimalaus efektyviojo mokesčio tarifo. Pagal susitarimo pirmąjį ramstį numatyta didžiausių ir pelningiausių tarptautinių įmonių likutinio pelno dalį perskirstyti jurisdikciją turintiems subjektams, kuriuose yra galutinė rinka ir naudojamos arba vartojamos prekės ar paslaugos. Susitarimo praktinio įgyvendinimo aspektai tebederinami. 2022 m. darbo programoje Komisija įsipareigojo pateikti pasiūlymą dėl direktyvos, kuria susitarimas būtų įgyvendinamas laikantis ES teisės ir bendrosios rinkos reikalavimų. Pagal Komisijos pasiūlymą dėl nuosavų išteklių, valstybės narės skirtų nacionalinį įnašą į ES biudžetą, pagrįstą tarptautinių įmonių apmokestinamojo pelno dalimi, perskirstyta kiekvienai valstybei narei pagal pirmąjį ramstį. ES biudžeto pajamos galėtų siekti iki 2,5–4 mlrd. EUR per metus</w:t>
      </w:r>
      <w:r>
        <w:rPr>
          <w:rStyle w:val="FootnoteReference"/>
          <w:noProof/>
        </w:rPr>
        <w:footnoteReference w:id="16"/>
      </w:r>
      <w:r>
        <w:rPr>
          <w:noProof/>
        </w:rPr>
        <w:t xml:space="preserve"> (susitarimas dar derinamas).</w:t>
      </w:r>
    </w:p>
    <w:p w14:paraId="26749CD5" w14:textId="3C831708" w:rsidR="00E604E8" w:rsidRPr="002F7CB2" w:rsidRDefault="00C344FB" w:rsidP="00CD6212">
      <w:pPr>
        <w:pStyle w:val="Heading2"/>
        <w:rPr>
          <w:noProof/>
        </w:rPr>
      </w:pPr>
      <w:r>
        <w:rPr>
          <w:noProof/>
        </w:rPr>
        <w:t>Tarybos reglamento, kuriuo nustatoma 2021–2027 m. daugiametė finansinė programa, pakeitimas</w:t>
      </w:r>
    </w:p>
    <w:p w14:paraId="1E7F0C1E" w14:textId="035BCF74" w:rsidR="007C45C9" w:rsidRDefault="007C45C9" w:rsidP="007C45C9">
      <w:pPr>
        <w:rPr>
          <w:noProof/>
        </w:rPr>
      </w:pPr>
      <w:r>
        <w:rPr>
          <w:b/>
          <w:noProof/>
        </w:rPr>
        <w:t>Priemonei „NextGenerationEU“ pasiskolintos lėšos bus grąžinamos laikantis stabilaus ir nuspėjamo įsipareigojimų mažinimo modelio, taikant atitinkamas daugiametės finansinės programos nuostatas</w:t>
      </w:r>
      <w:r>
        <w:rPr>
          <w:noProof/>
        </w:rPr>
        <w:t>. Nuolatinis pajamų iš naujų nuosavų išteklių srautas užtikrintų grąžinimo nuspėjamumą ir stabilumą. Todėl, kad būtų atsižvelgta į tai, kaip pajamos iš naujų nuosavų išteklių gali padėti sugrąžinti priemonei „NextGenerationEU“ pasiskolintas lėšas</w:t>
      </w:r>
      <w:r>
        <w:rPr>
          <w:rStyle w:val="FootnoteReference"/>
          <w:noProof/>
        </w:rPr>
        <w:footnoteReference w:id="17"/>
      </w:r>
      <w:r>
        <w:rPr>
          <w:noProof/>
        </w:rPr>
        <w:t>, Komisija siūlo daugiametės finansinės programos viršutinių ribų automatinio koregavimo priemonę</w:t>
      </w:r>
      <w:r>
        <w:rPr>
          <w:rStyle w:val="FootnoteReference"/>
          <w:noProof/>
        </w:rPr>
        <w:footnoteReference w:id="18"/>
      </w:r>
      <w:r>
        <w:rPr>
          <w:noProof/>
        </w:rPr>
        <w:t>, grindžiamą surinkta naujų nuosavų išteklių suma</w:t>
      </w:r>
      <w:r>
        <w:rPr>
          <w:rStyle w:val="FootnoteReference"/>
          <w:noProof/>
        </w:rPr>
        <w:footnoteReference w:id="19"/>
      </w:r>
      <w:r>
        <w:rPr>
          <w:noProof/>
        </w:rPr>
        <w:t>.</w:t>
      </w:r>
    </w:p>
    <w:p w14:paraId="28E3BF92" w14:textId="3D30F99C" w:rsidR="00A93ACA" w:rsidRDefault="00DE59E9" w:rsidP="00D878C0">
      <w:pPr>
        <w:pStyle w:val="Caption"/>
        <w:keepNext/>
        <w:rPr>
          <w:noProof/>
        </w:rPr>
      </w:pPr>
      <w:r>
        <w:rPr>
          <w:noProof/>
          <w:lang w:val="en-GB" w:eastAsia="en-GB"/>
        </w:rPr>
        <mc:AlternateContent>
          <mc:Choice Requires="wpg">
            <w:drawing>
              <wp:anchor distT="0" distB="0" distL="114300" distR="114300" simplePos="0" relativeHeight="251657216" behindDoc="0" locked="0" layoutInCell="1" allowOverlap="1" wp14:anchorId="52271984" wp14:editId="534CE595">
                <wp:simplePos x="0" y="0"/>
                <wp:positionH relativeFrom="column">
                  <wp:posOffset>56515</wp:posOffset>
                </wp:positionH>
                <wp:positionV relativeFrom="paragraph">
                  <wp:posOffset>433070</wp:posOffset>
                </wp:positionV>
                <wp:extent cx="5399405" cy="2879725"/>
                <wp:effectExtent l="0" t="0" r="10795" b="15875"/>
                <wp:wrapSquare wrapText="bothSides"/>
                <wp:docPr id="2" name="Group 1"/>
                <wp:cNvGraphicFramePr/>
                <a:graphic xmlns:a="http://schemas.openxmlformats.org/drawingml/2006/main">
                  <a:graphicData uri="http://schemas.microsoft.com/office/word/2010/wordprocessingGroup">
                    <wpg:wgp>
                      <wpg:cNvGrpSpPr/>
                      <wpg:grpSpPr>
                        <a:xfrm>
                          <a:off x="0" y="0"/>
                          <a:ext cx="5399405" cy="2879725"/>
                          <a:chOff x="0" y="0"/>
                          <a:chExt cx="10717983" cy="5354164"/>
                        </a:xfrm>
                      </wpg:grpSpPr>
                      <wpg:grpSp>
                        <wpg:cNvPr id="3" name="Group 3">
                          <a:extLst>
                            <a:ext uri="{FF2B5EF4-FFF2-40B4-BE49-F238E27FC236}">
                              <a16:creationId xmlns:a16="http://schemas.microsoft.com/office/drawing/2014/main" id="{00000000-0008-0000-0000-000011000000}"/>
                            </a:ext>
                          </a:extLst>
                        </wpg:cNvPr>
                        <wpg:cNvGrpSpPr/>
                        <wpg:grpSpPr>
                          <a:xfrm>
                            <a:off x="0" y="0"/>
                            <a:ext cx="10717983" cy="5354164"/>
                            <a:chOff x="0" y="0"/>
                            <a:chExt cx="11133925" cy="5649149"/>
                          </a:xfrm>
                        </wpg:grpSpPr>
                        <wpg:graphicFrame>
                          <wpg:cNvPr id="5" name="Chart 5">
                            <a:extLst>
                              <a:ext uri="{FF2B5EF4-FFF2-40B4-BE49-F238E27FC236}">
                                <a16:creationId xmlns:a16="http://schemas.microsoft.com/office/drawing/2014/main" id="{00000000-0008-0000-0000-000012000000}"/>
                              </a:ext>
                            </a:extLst>
                          </wpg:cNvPr>
                          <wpg:cNvFrPr>
                            <a:graphicFrameLocks/>
                          </wpg:cNvFrPr>
                          <wpg:xfrm>
                            <a:off x="0" y="0"/>
                            <a:ext cx="11133925" cy="5649149"/>
                          </wpg:xfrm>
                          <a:graphic>
                            <a:graphicData uri="http://schemas.openxmlformats.org/drawingml/2006/chart">
                              <c:chart xmlns:c="http://schemas.openxmlformats.org/drawingml/2006/chart" xmlns:r="http://schemas.openxmlformats.org/officeDocument/2006/relationships" r:id="rId20"/>
                            </a:graphicData>
                          </a:graphic>
                        </wpg:graphicFrame>
                        <wps:wsp>
                          <wps:cNvPr id="6" name="Straight Connector 6">
                            <a:extLst>
                              <a:ext uri="{FF2B5EF4-FFF2-40B4-BE49-F238E27FC236}">
                                <a16:creationId xmlns:a16="http://schemas.microsoft.com/office/drawing/2014/main" id="{00000000-0008-0000-0000-000013000000}"/>
                              </a:ext>
                            </a:extLst>
                          </wps:cNvPr>
                          <wps:cNvCnPr/>
                          <wps:spPr>
                            <a:xfrm flipH="1" flipV="1">
                              <a:off x="1963553" y="1133517"/>
                              <a:ext cx="8944564" cy="3819427"/>
                            </a:xfrm>
                            <a:prstGeom prst="line">
                              <a:avLst/>
                            </a:prstGeom>
                            <a:noFill/>
                            <a:ln w="50800" cap="flat" cmpd="sng" algn="ctr">
                              <a:solidFill>
                                <a:srgbClr val="FFC000"/>
                              </a:solidFill>
                              <a:prstDash val="solid"/>
                              <a:miter lim="800000"/>
                            </a:ln>
                            <a:effectLst/>
                          </wps:spPr>
                          <wps:bodyPr/>
                        </wps:wsp>
                      </wpg:grpSp>
                      <wps:wsp>
                        <wps:cNvPr id="4" name="Rectangular Callout 4"/>
                        <wps:cNvSpPr/>
                        <wps:spPr>
                          <a:xfrm>
                            <a:off x="8496938" y="2874075"/>
                            <a:ext cx="2094791" cy="777953"/>
                          </a:xfrm>
                          <a:prstGeom prst="wedgeRectCallout">
                            <a:avLst>
                              <a:gd name="adj1" fmla="val -20431"/>
                              <a:gd name="adj2" fmla="val 82551"/>
                            </a:avLst>
                          </a:prstGeom>
                          <a:solidFill>
                            <a:srgbClr val="FFC000">
                              <a:lumMod val="60000"/>
                              <a:lumOff val="40000"/>
                            </a:srgbClr>
                          </a:solidFill>
                          <a:ln w="19050" cap="flat" cmpd="sng" algn="ctr">
                            <a:solidFill>
                              <a:srgbClr val="FFC000"/>
                            </a:solidFill>
                            <a:prstDash val="solid"/>
                            <a:miter lim="800000"/>
                          </a:ln>
                          <a:effectLst/>
                        </wps:spPr>
                        <wps:txbx>
                          <w:txbxContent>
                            <w:p w14:paraId="3AAA1B28" w14:textId="77777777" w:rsidR="00DE59E9" w:rsidRPr="0006587E" w:rsidRDefault="00DE59E9" w:rsidP="00DE59E9">
                              <w:pPr>
                                <w:pStyle w:val="NormalWeb"/>
                                <w:spacing w:before="0" w:beforeAutospacing="0" w:after="0" w:afterAutospacing="0"/>
                                <w:rPr>
                                  <w:sz w:val="10"/>
                                </w:rPr>
                              </w:pPr>
                              <w:r>
                                <w:rPr>
                                  <w:rFonts w:ascii="EC Square Sans Pro" w:hAnsi="EC Square Sans Pro"/>
                                  <w:i/>
                                  <w:iCs/>
                                  <w:color w:val="003566"/>
                                  <w:sz w:val="16"/>
                                  <w:szCs w:val="36"/>
                                </w:rPr>
                                <w:t xml:space="preserve">Linijinė amortizacija </w:t>
                              </w:r>
                              <w:r>
                                <w:t xml:space="preserve"> </w:t>
                              </w:r>
                              <w:r>
                                <w:br/>
                              </w:r>
                              <w:r>
                                <w:rPr>
                                  <w:rFonts w:ascii="EC Square Sans Pro" w:hAnsi="EC Square Sans Pro"/>
                                  <w:i/>
                                  <w:iCs/>
                                  <w:color w:val="003566"/>
                                  <w:sz w:val="16"/>
                                  <w:szCs w:val="36"/>
                                </w:rPr>
                                <w:t>2027–2058 m.</w:t>
                              </w:r>
                            </w:p>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52271984" id="Group 1" o:spid="_x0000_s1026" style="position:absolute;left:0;text-align:left;margin-left:4.45pt;margin-top:34.1pt;width:425.15pt;height:226.75pt;z-index:251657216;mso-width-relative:margin;mso-height-relative:margin" coordsize="107179,53541"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&#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DVLRgx7AQA&#10;AMIlAAAVAAAAZHJzL2NoYXJ0cy9zdHlsZTE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">
                <v:group id="Group 3" o:spid="_x0000_s1027" style="position:absolute;width:107179;height:53541" coordsize="111339,5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Chart 5" o:spid="_x0000_s1028" type="#_x0000_t75" style="position:absolute;left:-125;top:-119;width:111624;height:566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">
                    <v:imagedata r:id="rId21" o:title=""/>
                    <o:lock v:ext="edit" aspectratio="f"/>
                  </v:shape>
                  <v:line id="Straight Connector 6" o:spid="_x0000_s1029" style="position:absolute;flip:x y;visibility:visible;mso-wrap-style:square" from="19635,11335" to="109081,4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" strokecolor="#ffc000" strokeweight="4pt">
                    <v:stroke joinstyle="miter"/>
                  </v:lin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30" type="#_x0000_t61" style="position:absolute;left:84969;top:28740;width:20948;height:7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" adj="6387,28631" fillcolor="#ffd966" strokecolor="#ffc000" strokeweight="1.5pt">
                  <v:textbox>
                    <w:txbxContent>
                      <w:p w14:paraId="3AAA1B28" w14:textId="77777777" w:rsidR="00DE59E9" w:rsidRPr="0006587E" w:rsidRDefault="00DE59E9" w:rsidP="00DE59E9">
                        <w:pPr>
                          <w:pStyle w:val="NormalWeb"/>
                          <w:spacing w:before="0" w:beforeAutospacing="0" w:after="0" w:afterAutospacing="0"/>
                          <w:rPr>
                            <w:sz w:val="10"/>
                          </w:rPr>
                        </w:pPr>
                        <w:r>
                          <w:rPr>
                            <w:rFonts w:ascii="EC Square Sans Pro" w:hAnsi="EC Square Sans Pro"/>
                            <w:i/>
                            <w:iCs/>
                            <w:color w:val="003566"/>
                            <w:sz w:val="16"/>
                            <w:szCs w:val="36"/>
                          </w:rPr>
                          <w:t xml:space="preserve">Linijinė amortizacija </w:t>
                        </w:r>
                        <w:r>
                          <w:t xml:space="preserve"> </w:t>
                        </w:r>
                        <w:r>
                          <w:br/>
                        </w:r>
                        <w:r>
                          <w:rPr>
                            <w:rFonts w:ascii="EC Square Sans Pro" w:hAnsi="EC Square Sans Pro"/>
                            <w:i/>
                            <w:iCs/>
                            <w:color w:val="003566"/>
                            <w:sz w:val="16"/>
                            <w:szCs w:val="36"/>
                          </w:rPr>
                          <w:t>2027–2058 m.</w:t>
                        </w:r>
                      </w:p>
                    </w:txbxContent>
                  </v:textbox>
                </v:shape>
                <w10:wrap type="square"/>
              </v:group>
            </w:pict>
          </mc:Fallback>
        </mc:AlternateContent>
      </w:r>
      <w:r w:rsidR="00CC3B64">
        <w:rPr>
          <w:noProof/>
        </w:rPr>
        <w:fldChar w:fldCharType="begin"/>
      </w:r>
      <w:r w:rsidR="00CC3B64">
        <w:rPr>
          <w:noProof/>
        </w:rPr>
        <w:instrText xml:space="preserve"> SEQ Figure \* ARABIC </w:instrText>
      </w:r>
      <w:r w:rsidR="00CC3B64">
        <w:rPr>
          <w:noProof/>
        </w:rPr>
        <w:fldChar w:fldCharType="separate"/>
      </w:r>
      <w:r>
        <w:rPr>
          <w:noProof/>
        </w:rPr>
        <w:t>1</w:t>
      </w:r>
      <w:r w:rsidR="00CC3B64">
        <w:rPr>
          <w:noProof/>
        </w:rPr>
        <w:fldChar w:fldCharType="end"/>
      </w:r>
      <w:r>
        <w:rPr>
          <w:noProof/>
        </w:rPr>
        <w:t xml:space="preserve"> diagrama. Planuojamas NGEU įsipareigojimų mažinimas</w:t>
      </w:r>
    </w:p>
    <w:p w14:paraId="17AE184D" w14:textId="3A74183C" w:rsidR="00A93ACA" w:rsidRPr="00A93ACA" w:rsidRDefault="00A93ACA" w:rsidP="00D878C0">
      <w:pPr>
        <w:spacing w:before="120" w:after="360"/>
        <w:rPr>
          <w:i/>
          <w:noProof/>
          <w:sz w:val="18"/>
        </w:rPr>
      </w:pPr>
      <w:r>
        <w:rPr>
          <w:i/>
          <w:noProof/>
          <w:sz w:val="18"/>
        </w:rPr>
        <w:t>Šaltinis: Europos Komisija. Sumos einamosiomis kainomis.</w:t>
      </w:r>
    </w:p>
    <w:p w14:paraId="13A05EF8" w14:textId="2D3CC05A" w:rsidR="00961020" w:rsidRPr="00E503D4" w:rsidRDefault="00ED6C1B" w:rsidP="00B00EE9">
      <w:pPr>
        <w:rPr>
          <w:rFonts w:eastAsia="Arial Unicode MS" w:cs="Arial Unicode MS"/>
          <w:i/>
          <w:noProof/>
          <w:color w:val="000000"/>
          <w:bdr w:val="none" w:sz="0" w:space="0" w:color="auto" w:frame="1"/>
          <w14:textOutline w14:w="0" w14:cap="flat" w14:cmpd="sng" w14:algn="ctr">
            <w14:noFill/>
            <w14:prstDash w14:val="solid"/>
            <w14:bevel/>
          </w14:textOutline>
        </w:rPr>
      </w:pPr>
      <w:r>
        <w:rPr>
          <w:b/>
          <w:noProof/>
        </w:rPr>
        <w:t>Komisija pateikė pasiūlymą dėl Socialinio klimato fondo</w:t>
      </w:r>
      <w:r>
        <w:rPr>
          <w:rStyle w:val="FootnoteReference"/>
          <w:noProof/>
        </w:rPr>
        <w:footnoteReference w:id="20"/>
      </w:r>
      <w:r>
        <w:rPr>
          <w:b/>
          <w:noProof/>
        </w:rPr>
        <w:t>, kuriuo siekiama apsaugoti pažeidžiamus namų ūkius nuo papildomos finansinės naštos, atsirasiančios sukūrus naują ES pastatų ir kelių transporto apyvartinių taršos leidimų prekybos sistemą</w:t>
      </w:r>
      <w:r>
        <w:rPr>
          <w:noProof/>
        </w:rPr>
        <w:t>. Fondo finansinis paketas yra proporcingas sumoms, iš esmės atitinkančioms maždaug 25 proc. pajamų, numatomų dėl pastatų ir kelių transporto įtraukimo į ES apyvartinių taršos leidimų prekybos sistemą.</w:t>
      </w:r>
      <w:r>
        <w:rPr>
          <w:b/>
          <w:noProof/>
        </w:rPr>
        <w:t xml:space="preserve"> </w:t>
      </w:r>
      <w:r>
        <w:rPr>
          <w:noProof/>
        </w:rPr>
        <w:t>Šios papildomos išlaidos nebuvo numatytos pirminiame Komisijos pasiūlyme dėl naujos daugiametės finansinės programos. Todėl Komisija siūlo į tikslinį daugiametės finansinės programos reglamento pakeitimą įtraukti 3 išlaidų kategorijos ir atitinkamai mokėjimų viršutinės ribos padidinimą, kad būtų atsižvelgta į papildomas išlaidas Fondui 2025–2027 m. laikotarpiu.</w:t>
      </w:r>
    </w:p>
    <w:p w14:paraId="14855174" w14:textId="77777777" w:rsidR="00961020" w:rsidRPr="003611BE" w:rsidRDefault="00FD12AD" w:rsidP="00B00EE9">
      <w:pPr>
        <w:rPr>
          <w:noProof/>
        </w:rPr>
      </w:pPr>
      <w:r>
        <w:rPr>
          <w:b/>
          <w:noProof/>
        </w:rPr>
        <w:t>Pagrindinis ES biudžeto naudojimo naujos apyvartinių taršos leidimų prekybos sistemos socialiniam poveikiui mažinti pranašumas</w:t>
      </w:r>
      <w:r>
        <w:rPr>
          <w:noProof/>
        </w:rPr>
        <w:t xml:space="preserve"> yra tas, kad Socialiniam klimato fondui galios kontrolės nuostatos, kurios jau taikomos bendrajam biudžetui. Fondo priežiūrą vykdys Audito Rūmai, o Europos Parlamentas, Tarybai rekomendavus, turės pagal jo veiklą suteikti biudžeto įvykdymo patvirtinimą Komisijai. Taip bus užtikrinta atskaitomybė už išlaidas ir patikinta dėl fondo išlaidų kokybės.</w:t>
      </w:r>
    </w:p>
    <w:p w14:paraId="0A6806DF" w14:textId="77777777" w:rsidR="00961020" w:rsidRPr="002F7CB2" w:rsidRDefault="005F0CA5" w:rsidP="003304C0">
      <w:pPr>
        <w:pStyle w:val="Heading1"/>
        <w:rPr>
          <w:noProof/>
        </w:rPr>
      </w:pPr>
      <w:r>
        <w:rPr>
          <w:noProof/>
        </w:rPr>
        <w:t xml:space="preserve">Tolesni veiksmai </w:t>
      </w:r>
    </w:p>
    <w:p w14:paraId="40B39155" w14:textId="6567F4F9" w:rsidR="00776E5B" w:rsidRDefault="00F62EAD" w:rsidP="00F62EAD">
      <w:pPr>
        <w:rPr>
          <w:noProof/>
        </w:rPr>
      </w:pPr>
      <w:r>
        <w:rPr>
          <w:noProof/>
        </w:rPr>
        <w:t xml:space="preserve">2020 m. gruodžio 16 d. Tarpinstituciniame susitarime numatyta, kad institucijos imsis reikiamų veiksmų, kad palengvintų greitą naujų nuosavų išteklių sistemos patvirtinimą. Taryba įsipareigojo iki 2022 m. liepos 1 d. apsvarstyti pirmąjį naujų nuosavų išteklių krepšelį, kad juos būtų galima nustatyti iki 2023 m. sausio 1 d. Be to, atsižvelgdama į Tarpinstituciniame susitarime prisiimtą įsipareigojimą ir poreikį numatyti tinkamą naujų nuosavų išteklių sumą Europos Sąjungos ekonomikos gaivinimo priemonei pasiskolintoms lėšoms grąžinti, </w:t>
      </w:r>
      <w:r>
        <w:rPr>
          <w:b/>
          <w:noProof/>
        </w:rPr>
        <w:t>Komisija iki 2023 m. pabaigos pateiks pasiūlymą dėl antro naujų nuosavų išteklių krepšelio</w:t>
      </w:r>
      <w:r>
        <w:rPr>
          <w:noProof/>
        </w:rPr>
        <w:t xml:space="preserve">. </w:t>
      </w:r>
    </w:p>
    <w:p w14:paraId="442A57B2" w14:textId="03847D3F" w:rsidR="00BC55C9" w:rsidRPr="003304C0" w:rsidRDefault="005960A4" w:rsidP="00F62EAD">
      <w:pPr>
        <w:rPr>
          <w:noProof/>
        </w:rPr>
      </w:pPr>
      <w:r>
        <w:rPr>
          <w:noProof/>
        </w:rPr>
        <w:t>Šiomis aplinkybėmis, kaip pakartota 2021 m. gegužės mėn. komunikate „21-ojo amžiaus verslo apmokestinimas“</w:t>
      </w:r>
      <w:r>
        <w:rPr>
          <w:rStyle w:val="FootnoteReference"/>
          <w:noProof/>
        </w:rPr>
        <w:footnoteReference w:id="21"/>
      </w:r>
      <w:r>
        <w:rPr>
          <w:noProof/>
        </w:rPr>
        <w:t xml:space="preserve">, Komisija pasiūlys papildomų naujų nuosavų išteklių, tarp kurių galėtų būti finansinių sandorių mokestis ir su įmonių sektoriumi susijusi nuosavų išteklių rūšis. Šis antrasis dokumentų rinkinys bus grindžiamas pasiūlymu dėl „Verslo Europoje: pajamų apmokestinimo sistemos (BEFIT)“, kuris numatytas 2023 m. </w:t>
      </w:r>
    </w:p>
    <w:p w14:paraId="27732660" w14:textId="01B0DE35" w:rsidR="005B50BB" w:rsidRPr="00471A00" w:rsidRDefault="00E13215" w:rsidP="005B50BB">
      <w:pPr>
        <w:rPr>
          <w:noProof/>
        </w:rPr>
      </w:pPr>
      <w:r>
        <w:rPr>
          <w:noProof/>
        </w:rPr>
        <w:t>Greitai susitarus dėl pasiūlymų, kuriais iš dalies keičiamas Sprendimas dėl nuosavų išteklių ir reglamentas, kuriuo nustatoma 2021–2027 m. daugiametė finansinė programa, taip pat valstybėms narėms greitai, laikantis savo atitinkamų konstitucinių reikalavimų, patvirtinus iš dalies pakeistą Sprendimą dėl nuosavų išteklių, Sąjunga įgytų priemonių savo užmojams įgyvendinti – neutralizuoti poveikį klimatui ir visiems europiečiams užtikrinti skaitmeninę, teisingą, įtraukią ir atsparią visuomenę.</w:t>
      </w:r>
    </w:p>
    <w:p w14:paraId="28E97B37" w14:textId="4C093129" w:rsidR="007E7985" w:rsidRDefault="007E7985" w:rsidP="007E7985">
      <w:pPr>
        <w:rPr>
          <w:noProof/>
        </w:rPr>
      </w:pPr>
      <w:r>
        <w:rPr>
          <w:noProof/>
        </w:rPr>
        <w:t>Komisija nuolat vertins priėmimo procesą, siekdama užtikrinti, kad pakaktų lėšų Europos Sąjungos ekonomikos gaivinimo priemonei pasiskolintoms lėšoms grąžinti.</w:t>
      </w:r>
    </w:p>
    <w:p w14:paraId="0793FB22" w14:textId="77777777" w:rsidR="00751213" w:rsidRPr="00471A00" w:rsidRDefault="00751213" w:rsidP="005B50BB">
      <w:pPr>
        <w:rPr>
          <w:noProof/>
        </w:rPr>
      </w:pPr>
    </w:p>
    <w:sectPr w:rsidR="00751213" w:rsidRPr="00471A00" w:rsidSect="0009226B">
      <w:headerReference w:type="even" r:id="rId22"/>
      <w:headerReference w:type="default" r:id="rId23"/>
      <w:footerReference w:type="even" r:id="rId24"/>
      <w:footerReference w:type="default" r:id="rId25"/>
      <w:headerReference w:type="first" r:id="rId26"/>
      <w:footerReference w:type="first" r:id="rId27"/>
      <w:pgSz w:w="11906" w:h="16838"/>
      <w:pgMar w:top="1021" w:right="1701" w:bottom="1021" w:left="1588" w:header="601" w:footer="107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C6DFD" w16cid:durableId="2550D204"/>
  <w16cid:commentId w16cid:paraId="2694EC7E" w16cid:durableId="2550D205"/>
  <w16cid:commentId w16cid:paraId="1AD65033" w16cid:durableId="2550D206"/>
  <w16cid:commentId w16cid:paraId="0A7FDC4D" w16cid:durableId="2550D2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52D9" w14:textId="77777777" w:rsidR="004B5B3E" w:rsidRDefault="004B5B3E">
      <w:pPr>
        <w:spacing w:after="0"/>
      </w:pPr>
      <w:r>
        <w:separator/>
      </w:r>
    </w:p>
  </w:endnote>
  <w:endnote w:type="continuationSeparator" w:id="0">
    <w:p w14:paraId="416A9F95" w14:textId="77777777" w:rsidR="004B5B3E" w:rsidRDefault="004B5B3E">
      <w:pPr>
        <w:spacing w:after="0"/>
      </w:pPr>
      <w:r>
        <w:continuationSeparator/>
      </w:r>
    </w:p>
  </w:endnote>
  <w:endnote w:type="continuationNotice" w:id="1">
    <w:p w14:paraId="654B258E" w14:textId="77777777" w:rsidR="004B5B3E" w:rsidRDefault="004B5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charset w:val="00"/>
    <w:family w:val="swiss"/>
    <w:pitch w:val="variable"/>
    <w:sig w:usb0="00000001" w:usb1="5000E0FB" w:usb2="00000000" w:usb3="00000000" w:csb0="0000019F" w:csb1="00000000"/>
  </w:font>
  <w:font w:name="Arial Unicode MS">
    <w:panose1 w:val="020B0604020202020204"/>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F425" w14:textId="77777777" w:rsidR="00CC3B64" w:rsidRPr="00CC3B64" w:rsidRDefault="00CC3B64" w:rsidP="00CC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D4FE" w14:textId="27609E49" w:rsidR="006B74CF" w:rsidRPr="00CC3B64" w:rsidRDefault="00CC3B64" w:rsidP="00CC3B64">
    <w:pPr>
      <w:pStyle w:val="FooterCoverPage"/>
      <w:rPr>
        <w:rFonts w:ascii="Arial" w:hAnsi="Arial" w:cs="Arial"/>
        <w:b/>
        <w:sz w:val="48"/>
      </w:rPr>
    </w:pPr>
    <w:r w:rsidRPr="00CC3B64">
      <w:rPr>
        <w:rFonts w:ascii="Arial" w:hAnsi="Arial" w:cs="Arial"/>
        <w:b/>
        <w:sz w:val="48"/>
      </w:rPr>
      <w:t>LT</w:t>
    </w:r>
    <w:r w:rsidRPr="00CC3B64">
      <w:rPr>
        <w:rFonts w:ascii="Arial" w:hAnsi="Arial" w:cs="Arial"/>
        <w:b/>
        <w:sz w:val="48"/>
      </w:rPr>
      <w:tab/>
    </w:r>
    <w:r w:rsidRPr="00CC3B64">
      <w:rPr>
        <w:rFonts w:ascii="Arial" w:hAnsi="Arial" w:cs="Arial"/>
        <w:b/>
        <w:sz w:val="48"/>
      </w:rPr>
      <w:tab/>
    </w:r>
    <w:r w:rsidRPr="00CC3B64">
      <w:tab/>
    </w:r>
    <w:r w:rsidRPr="00CC3B64">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AAD6" w14:textId="77777777" w:rsidR="00CC3B64" w:rsidRPr="00CC3B64" w:rsidRDefault="00CC3B64" w:rsidP="00CC3B6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72A2" w14:textId="77777777" w:rsidR="00940C30" w:rsidRDefault="00940C30">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D1A4" w14:textId="55BBA4D1" w:rsidR="00940C30" w:rsidRDefault="00940C30">
    <w:pPr>
      <w:pStyle w:val="FooterLine"/>
      <w:jc w:val="center"/>
    </w:pPr>
    <w:r>
      <w:fldChar w:fldCharType="begin"/>
    </w:r>
    <w:r>
      <w:instrText>PAGE   \* MERGEFORMAT</w:instrText>
    </w:r>
    <w:r>
      <w:fldChar w:fldCharType="separate"/>
    </w:r>
    <w:r w:rsidR="00CC3B64">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558D" w14:textId="23BC8783" w:rsidR="00940C30" w:rsidRDefault="0094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E6395" w14:textId="77777777" w:rsidR="004B5B3E" w:rsidRDefault="004B5B3E">
      <w:pPr>
        <w:spacing w:after="0"/>
      </w:pPr>
      <w:r>
        <w:separator/>
      </w:r>
    </w:p>
  </w:footnote>
  <w:footnote w:type="continuationSeparator" w:id="0">
    <w:p w14:paraId="281E7114" w14:textId="77777777" w:rsidR="004B5B3E" w:rsidRDefault="004B5B3E">
      <w:pPr>
        <w:spacing w:after="0"/>
      </w:pPr>
      <w:r>
        <w:continuationSeparator/>
      </w:r>
    </w:p>
  </w:footnote>
  <w:footnote w:type="continuationNotice" w:id="1">
    <w:p w14:paraId="0DF87E0D" w14:textId="77777777" w:rsidR="004B5B3E" w:rsidRDefault="004B5B3E">
      <w:pPr>
        <w:spacing w:after="0"/>
      </w:pPr>
    </w:p>
  </w:footnote>
  <w:footnote w:id="2">
    <w:p w14:paraId="699B4FFD"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2020 m. gruodžio 14 d. Tarybos reglamentas (ES) 2020/2094, kuriuo nustatoma Europos Sąjungos ekonomikos gaivinimo priemonė atsigavimui po COVID-19 krizės paremti, </w:t>
      </w:r>
      <w:r>
        <w:rPr>
          <w:i/>
          <w:iCs/>
          <w:sz w:val="18"/>
          <w:szCs w:val="18"/>
        </w:rPr>
        <w:t>OL L 433I, 2020 12 22, p. 23.</w:t>
      </w:r>
    </w:p>
  </w:footnote>
  <w:footnote w:id="3">
    <w:p w14:paraId="0658872A" w14:textId="71C9E89F"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Jei nenurodyta kitaip, visos šiame dokumente nurodytos sumos nurodytos 2018 m. kainomis.</w:t>
      </w:r>
    </w:p>
  </w:footnote>
  <w:footnote w:id="4">
    <w:p w14:paraId="2B381ADA"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Europos Vadovų Tarybos išvadų 145 punktas (2020 m. liepos 17–21 d.). </w:t>
      </w:r>
    </w:p>
  </w:footnote>
  <w:footnote w:id="5">
    <w:p w14:paraId="226AEC06"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w:t>
      </w:r>
      <w:r>
        <w:rPr>
          <w:iCs/>
          <w:sz w:val="18"/>
          <w:szCs w:val="18"/>
        </w:rPr>
        <w:t>2020 m. gruodžio 16 d. Europos Parlamento, Europos Sąjungos Tarybos ir Europos Komisijos tarpinstitucinis susitarimas dėl biudžetinės drausmės, bendradarbiavimo biudžeto klausimais ir patikimo finansų valdymo, taip pat dėl naujų nuosavų išteklių, įskaitant veiksmų gaires dėl naujų nuosavų išteklių nustatymo</w:t>
      </w:r>
      <w:r>
        <w:rPr>
          <w:sz w:val="18"/>
          <w:szCs w:val="18"/>
        </w:rPr>
        <w:t xml:space="preserve">, </w:t>
      </w:r>
      <w:r>
        <w:rPr>
          <w:iCs/>
          <w:sz w:val="18"/>
          <w:szCs w:val="18"/>
        </w:rPr>
        <w:t>OL L 433I, 2020 12 22, p. 28</w:t>
      </w:r>
      <w:r>
        <w:rPr>
          <w:sz w:val="18"/>
          <w:szCs w:val="18"/>
        </w:rPr>
        <w:t>.</w:t>
      </w:r>
    </w:p>
  </w:footnote>
  <w:footnote w:id="6">
    <w:p w14:paraId="7AED58F3"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Tarpinstitucinio susitarimo D punkte nustatyta, kad „[t]okių lėšų, panaudotinų išlaidoms pagal Europos Sąjungos ekonomikos gaivinimo priemonę, pagrindinės sumos grąžinimas ir susijusios mokėtinos palūkanos turės būti finansuojamos iš Sąjungos bendrojo biudžeto, be kita ko, naudojant pakankamas pajamas iš naujų nuosavų išteklių, nustatytų po 2021 m. Visi susiję įsipareigojimai bus visiškai įvykdyti ne vėliau kaip iki 2058 m. gruodžio 31 d.“</w:t>
      </w:r>
    </w:p>
  </w:footnote>
  <w:footnote w:id="7">
    <w:p w14:paraId="7E7A5A02"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Tarpinstitucinio susitarimo preambulės E punktas.</w:t>
      </w:r>
    </w:p>
  </w:footnote>
  <w:footnote w:id="8">
    <w:p w14:paraId="5DCC5B75" w14:textId="101C5143" w:rsidR="00940C30" w:rsidRPr="0009226B" w:rsidRDefault="00940C30" w:rsidP="0011722D">
      <w:pPr>
        <w:pStyle w:val="FootnoteText"/>
        <w:ind w:left="0" w:firstLine="0"/>
        <w:rPr>
          <w:sz w:val="18"/>
        </w:rPr>
      </w:pPr>
      <w:r>
        <w:rPr>
          <w:rStyle w:val="FootnoteReference"/>
          <w:sz w:val="18"/>
        </w:rPr>
        <w:footnoteRef/>
      </w:r>
      <w:r>
        <w:rPr>
          <w:sz w:val="18"/>
        </w:rPr>
        <w:t xml:space="preserve"> </w:t>
      </w:r>
      <w:r>
        <w:rPr>
          <w:sz w:val="18"/>
          <w:szCs w:val="18"/>
        </w:rPr>
        <w:t xml:space="preserve">Komisijos 2021 m. darbo programa, COM(2020) 690 </w:t>
      </w:r>
      <w:r>
        <w:rPr>
          <w:i/>
          <w:iCs/>
          <w:sz w:val="18"/>
          <w:szCs w:val="18"/>
        </w:rPr>
        <w:t>final</w:t>
      </w:r>
      <w:r>
        <w:rPr>
          <w:sz w:val="18"/>
          <w:szCs w:val="18"/>
        </w:rPr>
        <w:t>.</w:t>
      </w:r>
    </w:p>
  </w:footnote>
  <w:footnote w:id="9">
    <w:p w14:paraId="01DB77C8" w14:textId="77777777" w:rsidR="00940C30" w:rsidRPr="0006587E" w:rsidRDefault="00940C30" w:rsidP="001B5708">
      <w:pPr>
        <w:pStyle w:val="FootnoteText"/>
        <w:ind w:left="0" w:firstLine="0"/>
        <w:rPr>
          <w:sz w:val="18"/>
          <w:szCs w:val="18"/>
        </w:rPr>
      </w:pPr>
      <w:r>
        <w:rPr>
          <w:rStyle w:val="FootnoteReference"/>
          <w:sz w:val="18"/>
          <w:szCs w:val="18"/>
        </w:rPr>
        <w:footnoteRef/>
      </w:r>
      <w:r>
        <w:rPr>
          <w:sz w:val="18"/>
          <w:szCs w:val="18"/>
        </w:rPr>
        <w:t xml:space="preserve"> </w:t>
      </w:r>
      <w:r>
        <w:rPr>
          <w:i/>
          <w:sz w:val="18"/>
          <w:szCs w:val="18"/>
        </w:rPr>
        <w:t>Statement on a Two-Pillar Solution to Address the Tax Challenges Arising from the Digitalisation of the Economy</w:t>
      </w:r>
      <w:r>
        <w:rPr>
          <w:sz w:val="18"/>
          <w:szCs w:val="18"/>
        </w:rPr>
        <w:t>, OECD/G20 Base Erosion and Profit Shifting Project, 8 October 2021.</w:t>
      </w:r>
    </w:p>
  </w:footnote>
  <w:footnote w:id="10">
    <w:p w14:paraId="50721FAE"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2020 m. gruodžio 14 d. Tarybos sprendimas (ES, Euratomas) 2020/2053 dėl Europos Sąjungos nuosavų išteklių sistemos, OL L 424, 2020 12 15, p.1 </w:t>
      </w:r>
    </w:p>
  </w:footnote>
  <w:footnote w:id="11">
    <w:p w14:paraId="453629C2"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Pasiūlymas dėl Europos Parlamento ir Tarybos reglamento, kuriuo nustatomas pasienio anglies dioksido korekcinis mechanizmas, COM(2021) 564 </w:t>
      </w:r>
      <w:r>
        <w:rPr>
          <w:i/>
          <w:iCs/>
          <w:sz w:val="18"/>
          <w:szCs w:val="18"/>
        </w:rPr>
        <w:t>final</w:t>
      </w:r>
      <w:r>
        <w:rPr>
          <w:sz w:val="18"/>
          <w:szCs w:val="18"/>
        </w:rPr>
        <w:t>.</w:t>
      </w:r>
    </w:p>
  </w:footnote>
  <w:footnote w:id="12">
    <w:p w14:paraId="49ECBF42"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Pasiūlymas dėl Europos Parlamento ir Tarybos direktyvos, kuria iš dalies keičiama Direktyva 2003/87/EB, nustatanti šiltnamio efektą sukeliančių dujų emisijos leidimų sistemą Sąjungoje, Sprendimas (ES) 2015/1814 dėl Sąjungos šiltnamio efektą sukeliančių dujų apyvartinių taršos leidimų prekybos sistemos rinkos stabilumo rezervo sukūrimo ir veikimo ir Reglamentas (ES) 2015/757, COM(2021) 551 </w:t>
      </w:r>
      <w:r>
        <w:rPr>
          <w:i/>
          <w:iCs/>
          <w:sz w:val="18"/>
          <w:szCs w:val="18"/>
        </w:rPr>
        <w:t>final</w:t>
      </w:r>
      <w:r>
        <w:rPr>
          <w:sz w:val="18"/>
          <w:szCs w:val="18"/>
        </w:rPr>
        <w:t>.</w:t>
      </w:r>
    </w:p>
  </w:footnote>
  <w:footnote w:id="13">
    <w:p w14:paraId="277302D3"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Direktyva 2003/87/EB, nustatanti šiltnamio efektą sukeliančių dujų emisijos leidimų sistemą Sąjungoje.</w:t>
      </w:r>
    </w:p>
  </w:footnote>
  <w:footnote w:id="14">
    <w:p w14:paraId="02401952" w14:textId="6056691A"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Nukrypti leidžiančia nuostata, suteikiančia galimybę skirti nemokamų apyvartinių taršos leidimų elektros energijos gamybos sektoriui, leidimų panaikinimu pagal Pastangų pasidalijimo reglamentą, papildomais diskreciniais perleidimais Modernizavimo fondui.</w:t>
      </w:r>
    </w:p>
  </w:footnote>
  <w:footnote w:id="15">
    <w:p w14:paraId="5BE0B00A" w14:textId="78F316B1" w:rsidR="00940C30" w:rsidRPr="0006587E" w:rsidRDefault="00940C30" w:rsidP="00733C64">
      <w:pPr>
        <w:pStyle w:val="FootnoteText"/>
        <w:ind w:left="0" w:firstLine="0"/>
        <w:rPr>
          <w:sz w:val="18"/>
          <w:szCs w:val="18"/>
        </w:rPr>
      </w:pPr>
      <w:r>
        <w:rPr>
          <w:rStyle w:val="FootnoteReference"/>
          <w:sz w:val="18"/>
          <w:szCs w:val="18"/>
        </w:rPr>
        <w:footnoteRef/>
      </w:r>
      <w:r>
        <w:rPr>
          <w:sz w:val="18"/>
          <w:szCs w:val="18"/>
        </w:rPr>
        <w:t xml:space="preserve"> Pagal Europos Parlamento ir Tarybos reglamentą (ES) [XXX], kuriuo nustatomas pasienio anglies dioksido korekcinis mechanizmas, taikant pasienio anglies dioksido korekcinį mechanizmą nesitikima gauti pajamų pereinamuoju 2023–2025 m. laikotarpiu.</w:t>
      </w:r>
    </w:p>
  </w:footnote>
  <w:footnote w:id="16">
    <w:p w14:paraId="080546C6" w14:textId="475FA318" w:rsidR="00940C30" w:rsidRPr="00D878C0" w:rsidRDefault="00940C30" w:rsidP="00A06B3C">
      <w:pPr>
        <w:pStyle w:val="FootnoteText"/>
        <w:ind w:left="0" w:firstLine="0"/>
        <w:rPr>
          <w:sz w:val="18"/>
        </w:rPr>
      </w:pPr>
      <w:r>
        <w:rPr>
          <w:rStyle w:val="FootnoteReference"/>
          <w:sz w:val="18"/>
        </w:rPr>
        <w:footnoteRef/>
      </w:r>
      <w:r>
        <w:rPr>
          <w:sz w:val="18"/>
        </w:rPr>
        <w:t xml:space="preserve"> </w:t>
      </w:r>
      <w:r>
        <w:rPr>
          <w:sz w:val="18"/>
          <w:szCs w:val="18"/>
        </w:rPr>
        <w:t>Šiuo metu tikslesnės sumos nustatyti neįmanoma, nes tebevyksta diskusijos dėl tam tikrų techninių EBPO ir G20 susitarimo dėl pirmojo ramsčio įgyvendinimo aspektų. Nurodytas intervalas grindžiamas įvairiomis plataus pobūdžio prielaidomis ir negali būti labiau patikslintas, nes, be kita ko, trūksta duomenų: nėra aišku, kurių bendrovių įnašas galiausiai bus perskirstomas pagal susitarime numatytas apmokestinimo teises.</w:t>
      </w:r>
    </w:p>
  </w:footnote>
  <w:footnote w:id="17">
    <w:p w14:paraId="3484AD16" w14:textId="22EB99A7" w:rsidR="00940C30" w:rsidRPr="0006587E" w:rsidRDefault="00940C30" w:rsidP="009C7E9C">
      <w:pPr>
        <w:pStyle w:val="FootnoteText"/>
        <w:ind w:left="0" w:firstLine="0"/>
        <w:rPr>
          <w:sz w:val="18"/>
          <w:szCs w:val="18"/>
        </w:rPr>
      </w:pPr>
      <w:r>
        <w:rPr>
          <w:rStyle w:val="FootnoteReference"/>
          <w:sz w:val="18"/>
          <w:szCs w:val="18"/>
        </w:rPr>
        <w:footnoteRef/>
      </w:r>
      <w:r>
        <w:rPr>
          <w:sz w:val="18"/>
          <w:szCs w:val="18"/>
        </w:rPr>
        <w:t xml:space="preserve"> Vadovaujantis 2020 m. liepos 17–21 d. Europos Vadovų Tarybos išvadų 150 punktu, kuriame teigiama, kad „[p]ajamos, gautos iš šių naujų po 2021 m. nustatytų nuosavų išteklių, bus naudojamos išankstiniam pagal priemonę „NextGenerationEU“ pasiskolintų lėšų grąžinimui. Komisijos prašoma pasiūlyti šiuo tikslu tinkamu laiku peržiūrėti DFP.“</w:t>
      </w:r>
    </w:p>
  </w:footnote>
  <w:footnote w:id="18">
    <w:p w14:paraId="77DF5B49" w14:textId="4E95D486" w:rsidR="00940C30" w:rsidRPr="0006587E" w:rsidRDefault="00940C30" w:rsidP="007E1442">
      <w:pPr>
        <w:pStyle w:val="FootnoteText"/>
        <w:ind w:left="0" w:firstLine="0"/>
        <w:rPr>
          <w:sz w:val="18"/>
          <w:szCs w:val="18"/>
        </w:rPr>
      </w:pPr>
      <w:r>
        <w:rPr>
          <w:rStyle w:val="FootnoteReference"/>
          <w:sz w:val="18"/>
        </w:rPr>
        <w:footnoteRef/>
      </w:r>
      <w:r>
        <w:rPr>
          <w:sz w:val="18"/>
        </w:rPr>
        <w:t xml:space="preserve"> </w:t>
      </w:r>
      <w:r>
        <w:rPr>
          <w:sz w:val="18"/>
          <w:szCs w:val="18"/>
        </w:rPr>
        <w:t>Kaip nustatyta 2020 m. gruodžio 17 d. Tarybos reglamente (ES, Euratomas) 2020/2093, kuriuo nustatoma 2021–2027 m. daugiametė finansinė programa, OL L 433I, 2020 12 22, p. 11.</w:t>
      </w:r>
    </w:p>
  </w:footnote>
  <w:footnote w:id="19">
    <w:p w14:paraId="6C86D41F" w14:textId="36F52760" w:rsidR="00940C30" w:rsidRPr="00D878C0" w:rsidRDefault="00940C30" w:rsidP="00B26CBC">
      <w:pPr>
        <w:pStyle w:val="FootnoteText"/>
        <w:ind w:left="0" w:firstLine="0"/>
        <w:rPr>
          <w:sz w:val="18"/>
        </w:rPr>
      </w:pPr>
      <w:r>
        <w:rPr>
          <w:rStyle w:val="FootnoteReference"/>
          <w:sz w:val="18"/>
          <w:szCs w:val="18"/>
        </w:rPr>
        <w:footnoteRef/>
      </w:r>
      <w:r>
        <w:rPr>
          <w:sz w:val="18"/>
          <w:szCs w:val="18"/>
        </w:rPr>
        <w:t xml:space="preserve"> Automatinio koregavimo priemonės viršutinė riba yra 15 mlrd. EUR (2018 m. kainomis), o tai atitinka 2024–2027 m. metinį vidurkį – 17,4 mlrd. EUR (einamosiomis kainomis). Sumos, kurių reikės priemonei „NextGenerationEU“ pasiskolintoms lėšoms grąžinti po 2027 m., priklausys nuo sumos, kuri realiai pasiskolinta negrąžinamai paramai finansuoti, taip pat nuo to, kiek tų lėšų bus grąžinta per dabartinę daugiametę finansinę programą.</w:t>
      </w:r>
    </w:p>
  </w:footnote>
  <w:footnote w:id="20">
    <w:p w14:paraId="19DC50FB"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Pasiūlymas dėl Europos Parlamento ir Tarybos reglamento, kuriuo nustatomas Socialinis klimato fondas, COM(2021) 568 </w:t>
      </w:r>
      <w:r>
        <w:rPr>
          <w:i/>
          <w:iCs/>
          <w:sz w:val="18"/>
          <w:szCs w:val="18"/>
        </w:rPr>
        <w:t>final</w:t>
      </w:r>
      <w:r>
        <w:rPr>
          <w:sz w:val="18"/>
          <w:szCs w:val="18"/>
        </w:rPr>
        <w:t>.</w:t>
      </w:r>
    </w:p>
  </w:footnote>
  <w:footnote w:id="21">
    <w:p w14:paraId="78A16161" w14:textId="657C3AF7" w:rsidR="00940C30" w:rsidRPr="0006587E" w:rsidRDefault="00940C30" w:rsidP="00654820">
      <w:pPr>
        <w:pStyle w:val="FootnoteText"/>
        <w:ind w:left="0" w:firstLine="0"/>
        <w:rPr>
          <w:sz w:val="18"/>
          <w:szCs w:val="18"/>
        </w:rPr>
      </w:pPr>
      <w:r>
        <w:rPr>
          <w:rStyle w:val="FootnoteReference"/>
          <w:sz w:val="18"/>
          <w:szCs w:val="18"/>
        </w:rPr>
        <w:footnoteRef/>
      </w:r>
      <w:r>
        <w:rPr>
          <w:sz w:val="18"/>
          <w:szCs w:val="18"/>
        </w:rPr>
        <w:t xml:space="preserve"> COM(2021) 251 </w:t>
      </w:r>
      <w:r>
        <w:rPr>
          <w:i/>
          <w:iCs/>
          <w:sz w:val="18"/>
          <w:szCs w:val="18"/>
        </w:rPr>
        <w:t>final</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7952" w14:textId="77777777" w:rsidR="00CC3B64" w:rsidRPr="00CC3B64" w:rsidRDefault="00CC3B64" w:rsidP="00CC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EF89" w14:textId="77777777" w:rsidR="00CC3B64" w:rsidRPr="00CC3B64" w:rsidRDefault="00CC3B64" w:rsidP="00CC3B6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7619" w14:textId="77777777" w:rsidR="00CC3B64" w:rsidRPr="00CC3B64" w:rsidRDefault="00CC3B64" w:rsidP="00CC3B6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68CA" w14:textId="77777777" w:rsidR="00940C30" w:rsidRDefault="00940C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2A22" w14:textId="77777777" w:rsidR="00940C30" w:rsidRDefault="00940C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EED8" w14:textId="77777777" w:rsidR="00940C30" w:rsidRDefault="0094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70822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C7A454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B73CA"/>
    <w:multiLevelType w:val="hybridMultilevel"/>
    <w:tmpl w:val="A6CC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E5B8897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E0BE6F2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0E95F95"/>
    <w:multiLevelType w:val="hybridMultilevel"/>
    <w:tmpl w:val="986E5830"/>
    <w:lvl w:ilvl="0" w:tplc="90BC1A4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0B7201"/>
    <w:multiLevelType w:val="multilevel"/>
    <w:tmpl w:val="C8FE3FA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03A8B14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42E240F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72F0AC5"/>
    <w:multiLevelType w:val="multilevel"/>
    <w:tmpl w:val="C2748478"/>
    <w:name w:val="ListNumber2Numbering"/>
    <w:lvl w:ilvl="0">
      <w:start w:val="1"/>
      <w:numFmt w:val="decimal"/>
      <w:pStyle w:val="ListNumber2"/>
      <w:lvlText w:val="(%1)"/>
      <w:lvlJc w:val="left"/>
      <w:pPr>
        <w:tabs>
          <w:tab w:val="num" w:pos="1429"/>
        </w:tabs>
        <w:ind w:left="1429" w:hanging="709"/>
      </w:pPr>
    </w:lvl>
    <w:lvl w:ilvl="1">
      <w:start w:val="1"/>
      <w:numFmt w:val="lowerLetter"/>
      <w:pStyle w:val="ListNumber2Level2"/>
      <w:lvlText w:val="(%2)"/>
      <w:lvlJc w:val="left"/>
      <w:pPr>
        <w:tabs>
          <w:tab w:val="num" w:pos="2137"/>
        </w:tabs>
        <w:ind w:left="2137" w:hanging="708"/>
      </w:pPr>
    </w:lvl>
    <w:lvl w:ilvl="2">
      <w:start w:val="1"/>
      <w:numFmt w:val="bullet"/>
      <w:pStyle w:val="ListNumber2Level3"/>
      <w:lvlText w:val="–"/>
      <w:lvlJc w:val="left"/>
      <w:pPr>
        <w:tabs>
          <w:tab w:val="num" w:pos="2846"/>
        </w:tabs>
        <w:ind w:left="2846" w:hanging="709"/>
      </w:pPr>
      <w:rPr>
        <w:rFonts w:ascii="Times New Roman" w:hAnsi="Times New Roman"/>
      </w:rPr>
    </w:lvl>
    <w:lvl w:ilvl="3">
      <w:start w:val="1"/>
      <w:numFmt w:val="bullet"/>
      <w:pStyle w:val="ListNumber2Level4"/>
      <w:lvlText w:val=""/>
      <w:lvlJc w:val="left"/>
      <w:pPr>
        <w:tabs>
          <w:tab w:val="num" w:pos="3555"/>
        </w:tabs>
        <w:ind w:left="355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F43C52F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4F639A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DC93E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9AC285A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5360637"/>
    <w:multiLevelType w:val="hybridMultilevel"/>
    <w:tmpl w:val="5DACF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600405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54C9B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D220941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6DBA157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29793E"/>
    <w:multiLevelType w:val="hybridMultilevel"/>
    <w:tmpl w:val="2EC6B7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1A982C"/>
    <w:multiLevelType w:val="multilevel"/>
    <w:tmpl w:val="568EF14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18002B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53B72C5"/>
    <w:multiLevelType w:val="hybridMultilevel"/>
    <w:tmpl w:val="24FA0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7472E"/>
    <w:multiLevelType w:val="multilevel"/>
    <w:tmpl w:val="A116540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6597F20"/>
    <w:multiLevelType w:val="hybridMultilevel"/>
    <w:tmpl w:val="8A764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AC4849"/>
    <w:multiLevelType w:val="hybridMultilevel"/>
    <w:tmpl w:val="4BB282A6"/>
    <w:lvl w:ilvl="0" w:tplc="AF9A427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0696290A"/>
    <w:name w:val="EurolookHeading"/>
    <w:lvl w:ilvl="0">
      <w:start w:val="1"/>
      <w:numFmt w:val="decimal"/>
      <w:pStyle w:val="Heading1"/>
      <w:lvlText w:val="%1."/>
      <w:lvlJc w:val="left"/>
      <w:pPr>
        <w:tabs>
          <w:tab w:val="num" w:pos="482"/>
        </w:tabs>
        <w:ind w:left="482" w:hanging="482"/>
      </w:pPr>
      <w:rPr>
        <w:color w:val="auto"/>
      </w:r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15"/>
  </w:num>
  <w:num w:numId="3">
    <w:abstractNumId w:val="10"/>
  </w:num>
  <w:num w:numId="4">
    <w:abstractNumId w:val="16"/>
  </w:num>
  <w:num w:numId="5">
    <w:abstractNumId w:val="22"/>
  </w:num>
  <w:num w:numId="6">
    <w:abstractNumId w:val="24"/>
  </w:num>
  <w:num w:numId="7">
    <w:abstractNumId w:val="4"/>
  </w:num>
  <w:num w:numId="8">
    <w:abstractNumId w:val="9"/>
  </w:num>
  <w:num w:numId="9">
    <w:abstractNumId w:val="18"/>
  </w:num>
  <w:num w:numId="10">
    <w:abstractNumId w:val="6"/>
  </w:num>
  <w:num w:numId="11">
    <w:abstractNumId w:val="7"/>
  </w:num>
  <w:num w:numId="12">
    <w:abstractNumId w:val="8"/>
  </w:num>
  <w:num w:numId="13">
    <w:abstractNumId w:val="11"/>
  </w:num>
  <w:num w:numId="14">
    <w:abstractNumId w:val="17"/>
  </w:num>
  <w:num w:numId="15">
    <w:abstractNumId w:val="21"/>
  </w:num>
  <w:num w:numId="16">
    <w:abstractNumId w:val="27"/>
  </w:num>
  <w:num w:numId="17">
    <w:abstractNumId w:val="12"/>
  </w:num>
  <w:num w:numId="18">
    <w:abstractNumId w:val="13"/>
  </w:num>
  <w:num w:numId="19">
    <w:abstractNumId w:val="28"/>
  </w:num>
  <w:num w:numId="20">
    <w:abstractNumId w:val="1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10"/>
  </w:num>
  <w:num w:numId="25">
    <w:abstractNumId w:val="16"/>
  </w:num>
  <w:num w:numId="26">
    <w:abstractNumId w:val="22"/>
  </w:num>
  <w:num w:numId="27">
    <w:abstractNumId w:val="24"/>
  </w:num>
  <w:num w:numId="28">
    <w:abstractNumId w:val="4"/>
  </w:num>
  <w:num w:numId="29">
    <w:abstractNumId w:val="9"/>
  </w:num>
  <w:num w:numId="30">
    <w:abstractNumId w:val="18"/>
  </w:num>
  <w:num w:numId="31">
    <w:abstractNumId w:val="6"/>
  </w:num>
  <w:num w:numId="32">
    <w:abstractNumId w:val="7"/>
  </w:num>
  <w:num w:numId="33">
    <w:abstractNumId w:val="8"/>
  </w:num>
  <w:num w:numId="34">
    <w:abstractNumId w:val="11"/>
  </w:num>
  <w:num w:numId="35">
    <w:abstractNumId w:val="17"/>
  </w:num>
  <w:num w:numId="36">
    <w:abstractNumId w:val="21"/>
  </w:num>
  <w:num w:numId="37">
    <w:abstractNumId w:val="27"/>
  </w:num>
  <w:num w:numId="38">
    <w:abstractNumId w:val="12"/>
  </w:num>
  <w:num w:numId="39">
    <w:abstractNumId w:val="13"/>
  </w:num>
  <w:num w:numId="40">
    <w:abstractNumId w:val="28"/>
  </w:num>
  <w:num w:numId="41">
    <w:abstractNumId w:val="27"/>
  </w:num>
  <w:num w:numId="42">
    <w:abstractNumId w:val="21"/>
  </w:num>
  <w:num w:numId="43">
    <w:abstractNumId w:val="1"/>
  </w:num>
  <w:num w:numId="44">
    <w:abstractNumId w:val="14"/>
  </w:num>
  <w:num w:numId="45">
    <w:abstractNumId w:val="21"/>
  </w:num>
  <w:num w:numId="46">
    <w:abstractNumId w:val="21"/>
  </w:num>
  <w:num w:numId="47">
    <w:abstractNumId w:val="21"/>
  </w:num>
  <w:num w:numId="48">
    <w:abstractNumId w:val="25"/>
  </w:num>
  <w:num w:numId="49">
    <w:abstractNumId w:val="20"/>
  </w:num>
  <w:num w:numId="50">
    <w:abstractNumId w:val="26"/>
  </w:num>
  <w:num w:numId="51">
    <w:abstractNumId w:val="27"/>
  </w:num>
  <w:num w:numId="52">
    <w:abstractNumId w:val="27"/>
  </w:num>
  <w:num w:numId="53">
    <w:abstractNumId w:val="27"/>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6">
    <w:abstractNumId w:val="5"/>
  </w:num>
  <w:num w:numId="57">
    <w:abstractNumId w:val="23"/>
  </w:num>
  <w:num w:numId="58">
    <w:abstractNumId w:val="27"/>
  </w:num>
  <w:num w:numId="59">
    <w:abstractNumId w:val="0"/>
  </w:num>
  <w:num w:numId="60">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033A53-A6AB-4F0F-8AA4-265EDE22C755"/>
    <w:docVar w:name="LW_COVERPAGE_TYPE" w:val="1"/>
    <w:docVar w:name="LW_CROSSREFERENCE" w:val="&lt;UNUSED&gt;"/>
    <w:docVar w:name="LW_DocType" w:val="EUROLOOK"/>
    <w:docVar w:name="LW_EMISSION" w:val="2021 12 22"/>
    <w:docVar w:name="LW_EMISSION_ISODATE" w:val="2021-12-22"/>
    <w:docVar w:name="LW_EMISSION_LOCATION" w:val="BRX"/>
    <w:docVar w:name="LW_EMISSION_PREFIX" w:val="Briuselis, "/>
    <w:docVar w:name="LW_EMISSION_SUFFIX" w:val=" "/>
    <w:docVar w:name="LW_ID_DOCTYPE_NONLW" w:val="CP-014"/>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1)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ūsimi nauji ES biudžeto nuosavi ištekliai"/>
    <w:docVar w:name="LW_TYPE.DOC.CP" w:val="KOMISIJOS KOMUNIKATAS EUROPOS PARLAMENTUI, TARYBAI, EUROPOS EKONOMIKOS IR SOCIALINIŲ REIKALŲ KOMITETUI IR REGIONŲ KOMITETUI"/>
    <w:docVar w:name="LW_TYPE.DOC.CP.USERTEXT" w:val="&lt;EMPTY&gt;"/>
    <w:docVar w:name="LwApiVersions" w:val="LW4CoDe 1.23.2.0; LW 8.0, Build 20211117"/>
  </w:docVars>
  <w:rsids>
    <w:rsidRoot w:val="00B05C8C"/>
    <w:rsid w:val="00000024"/>
    <w:rsid w:val="00001DCC"/>
    <w:rsid w:val="000022B5"/>
    <w:rsid w:val="00002942"/>
    <w:rsid w:val="00005C31"/>
    <w:rsid w:val="00006584"/>
    <w:rsid w:val="000069A8"/>
    <w:rsid w:val="000072C7"/>
    <w:rsid w:val="00007FD1"/>
    <w:rsid w:val="00010EC7"/>
    <w:rsid w:val="00011341"/>
    <w:rsid w:val="00011965"/>
    <w:rsid w:val="000120F5"/>
    <w:rsid w:val="00014892"/>
    <w:rsid w:val="00015B7F"/>
    <w:rsid w:val="0001612E"/>
    <w:rsid w:val="00016474"/>
    <w:rsid w:val="00017C1A"/>
    <w:rsid w:val="00022050"/>
    <w:rsid w:val="00023769"/>
    <w:rsid w:val="00024209"/>
    <w:rsid w:val="00024CAD"/>
    <w:rsid w:val="00025FF8"/>
    <w:rsid w:val="00026AF6"/>
    <w:rsid w:val="00026E28"/>
    <w:rsid w:val="00027110"/>
    <w:rsid w:val="00030A2A"/>
    <w:rsid w:val="00032EE9"/>
    <w:rsid w:val="00033A87"/>
    <w:rsid w:val="00034D1F"/>
    <w:rsid w:val="00035F5C"/>
    <w:rsid w:val="00036A78"/>
    <w:rsid w:val="00040FF2"/>
    <w:rsid w:val="00043162"/>
    <w:rsid w:val="0004372C"/>
    <w:rsid w:val="000442EE"/>
    <w:rsid w:val="000469C3"/>
    <w:rsid w:val="00052F57"/>
    <w:rsid w:val="00053020"/>
    <w:rsid w:val="0005398B"/>
    <w:rsid w:val="000546FC"/>
    <w:rsid w:val="00054775"/>
    <w:rsid w:val="00054E91"/>
    <w:rsid w:val="00060402"/>
    <w:rsid w:val="00060D17"/>
    <w:rsid w:val="00062565"/>
    <w:rsid w:val="0006352B"/>
    <w:rsid w:val="00063D64"/>
    <w:rsid w:val="0006506F"/>
    <w:rsid w:val="0006587E"/>
    <w:rsid w:val="00066340"/>
    <w:rsid w:val="00066988"/>
    <w:rsid w:val="000711ED"/>
    <w:rsid w:val="00072B3F"/>
    <w:rsid w:val="00072CB0"/>
    <w:rsid w:val="00073DAE"/>
    <w:rsid w:val="00074575"/>
    <w:rsid w:val="000749DD"/>
    <w:rsid w:val="00074C67"/>
    <w:rsid w:val="0007512E"/>
    <w:rsid w:val="0008142D"/>
    <w:rsid w:val="00082B8D"/>
    <w:rsid w:val="0008324C"/>
    <w:rsid w:val="00083F7D"/>
    <w:rsid w:val="000868D6"/>
    <w:rsid w:val="000869D5"/>
    <w:rsid w:val="0009050C"/>
    <w:rsid w:val="0009065A"/>
    <w:rsid w:val="0009226B"/>
    <w:rsid w:val="000945A2"/>
    <w:rsid w:val="00095A2A"/>
    <w:rsid w:val="000960B1"/>
    <w:rsid w:val="00096E21"/>
    <w:rsid w:val="000A010D"/>
    <w:rsid w:val="000A07E8"/>
    <w:rsid w:val="000A1690"/>
    <w:rsid w:val="000A68D8"/>
    <w:rsid w:val="000B0607"/>
    <w:rsid w:val="000B408D"/>
    <w:rsid w:val="000B4AAE"/>
    <w:rsid w:val="000B68C1"/>
    <w:rsid w:val="000B79FD"/>
    <w:rsid w:val="000B7A6E"/>
    <w:rsid w:val="000C1B47"/>
    <w:rsid w:val="000C24CD"/>
    <w:rsid w:val="000C42E0"/>
    <w:rsid w:val="000C454C"/>
    <w:rsid w:val="000C48D8"/>
    <w:rsid w:val="000D1406"/>
    <w:rsid w:val="000D3B5D"/>
    <w:rsid w:val="000E3500"/>
    <w:rsid w:val="000E37F3"/>
    <w:rsid w:val="000E4F60"/>
    <w:rsid w:val="000E6A35"/>
    <w:rsid w:val="000E6E8A"/>
    <w:rsid w:val="000E6F43"/>
    <w:rsid w:val="000F4FBD"/>
    <w:rsid w:val="000F522E"/>
    <w:rsid w:val="000F5416"/>
    <w:rsid w:val="000F583E"/>
    <w:rsid w:val="000F6145"/>
    <w:rsid w:val="000F69FE"/>
    <w:rsid w:val="000F78FA"/>
    <w:rsid w:val="0010102A"/>
    <w:rsid w:val="00101E2D"/>
    <w:rsid w:val="00103C7A"/>
    <w:rsid w:val="00103D55"/>
    <w:rsid w:val="0010497A"/>
    <w:rsid w:val="0010755E"/>
    <w:rsid w:val="001075FA"/>
    <w:rsid w:val="00107835"/>
    <w:rsid w:val="00110535"/>
    <w:rsid w:val="00111175"/>
    <w:rsid w:val="00112CE7"/>
    <w:rsid w:val="001130AF"/>
    <w:rsid w:val="00113963"/>
    <w:rsid w:val="00115569"/>
    <w:rsid w:val="0011575E"/>
    <w:rsid w:val="00116FC2"/>
    <w:rsid w:val="0011700E"/>
    <w:rsid w:val="00117179"/>
    <w:rsid w:val="0011722D"/>
    <w:rsid w:val="001209E5"/>
    <w:rsid w:val="00120AE2"/>
    <w:rsid w:val="001216DD"/>
    <w:rsid w:val="00123A66"/>
    <w:rsid w:val="001246B0"/>
    <w:rsid w:val="00124AF4"/>
    <w:rsid w:val="00127479"/>
    <w:rsid w:val="00127DF2"/>
    <w:rsid w:val="00131A1E"/>
    <w:rsid w:val="00131AA9"/>
    <w:rsid w:val="00132143"/>
    <w:rsid w:val="00132A81"/>
    <w:rsid w:val="0013700A"/>
    <w:rsid w:val="0013707A"/>
    <w:rsid w:val="001370CB"/>
    <w:rsid w:val="0013721A"/>
    <w:rsid w:val="001416A7"/>
    <w:rsid w:val="001417CA"/>
    <w:rsid w:val="00141819"/>
    <w:rsid w:val="00142DE5"/>
    <w:rsid w:val="0014329B"/>
    <w:rsid w:val="0014334A"/>
    <w:rsid w:val="00143CDB"/>
    <w:rsid w:val="0014473B"/>
    <w:rsid w:val="00150641"/>
    <w:rsid w:val="00152086"/>
    <w:rsid w:val="00152EB0"/>
    <w:rsid w:val="0015491C"/>
    <w:rsid w:val="00155A85"/>
    <w:rsid w:val="001562A3"/>
    <w:rsid w:val="00157CCC"/>
    <w:rsid w:val="00160422"/>
    <w:rsid w:val="0016134D"/>
    <w:rsid w:val="00161586"/>
    <w:rsid w:val="001618F1"/>
    <w:rsid w:val="00162341"/>
    <w:rsid w:val="001627C4"/>
    <w:rsid w:val="00164265"/>
    <w:rsid w:val="001671B9"/>
    <w:rsid w:val="00167FC9"/>
    <w:rsid w:val="00170707"/>
    <w:rsid w:val="001711C7"/>
    <w:rsid w:val="00172DB8"/>
    <w:rsid w:val="001750D7"/>
    <w:rsid w:val="00176DFB"/>
    <w:rsid w:val="00182C16"/>
    <w:rsid w:val="001861D7"/>
    <w:rsid w:val="0019248D"/>
    <w:rsid w:val="001930EF"/>
    <w:rsid w:val="00193311"/>
    <w:rsid w:val="0019347C"/>
    <w:rsid w:val="00194120"/>
    <w:rsid w:val="00197924"/>
    <w:rsid w:val="00197DCF"/>
    <w:rsid w:val="001A3EA4"/>
    <w:rsid w:val="001A4DBD"/>
    <w:rsid w:val="001A6320"/>
    <w:rsid w:val="001A7332"/>
    <w:rsid w:val="001A75B4"/>
    <w:rsid w:val="001B0ECC"/>
    <w:rsid w:val="001B4A3E"/>
    <w:rsid w:val="001B523A"/>
    <w:rsid w:val="001B5708"/>
    <w:rsid w:val="001B594B"/>
    <w:rsid w:val="001B7EB5"/>
    <w:rsid w:val="001C008F"/>
    <w:rsid w:val="001C0341"/>
    <w:rsid w:val="001C1FC2"/>
    <w:rsid w:val="001C3A38"/>
    <w:rsid w:val="001C5CBD"/>
    <w:rsid w:val="001D098C"/>
    <w:rsid w:val="001D0A1C"/>
    <w:rsid w:val="001D0C93"/>
    <w:rsid w:val="001D1E79"/>
    <w:rsid w:val="001D359E"/>
    <w:rsid w:val="001D3CC1"/>
    <w:rsid w:val="001D423D"/>
    <w:rsid w:val="001D49E4"/>
    <w:rsid w:val="001D4F14"/>
    <w:rsid w:val="001D63B8"/>
    <w:rsid w:val="001E060C"/>
    <w:rsid w:val="001E0A77"/>
    <w:rsid w:val="001E3C8F"/>
    <w:rsid w:val="001E3F1E"/>
    <w:rsid w:val="001E441E"/>
    <w:rsid w:val="001E6485"/>
    <w:rsid w:val="001F13EE"/>
    <w:rsid w:val="001F19D0"/>
    <w:rsid w:val="001F279B"/>
    <w:rsid w:val="001F5523"/>
    <w:rsid w:val="001F5B6E"/>
    <w:rsid w:val="001F75FD"/>
    <w:rsid w:val="00200747"/>
    <w:rsid w:val="0020193D"/>
    <w:rsid w:val="00204189"/>
    <w:rsid w:val="00204481"/>
    <w:rsid w:val="00205423"/>
    <w:rsid w:val="00205C60"/>
    <w:rsid w:val="00205D1C"/>
    <w:rsid w:val="00207A6A"/>
    <w:rsid w:val="00207C01"/>
    <w:rsid w:val="002105A3"/>
    <w:rsid w:val="002108AA"/>
    <w:rsid w:val="002129DB"/>
    <w:rsid w:val="00215540"/>
    <w:rsid w:val="002156BF"/>
    <w:rsid w:val="002159FD"/>
    <w:rsid w:val="00223193"/>
    <w:rsid w:val="0022494B"/>
    <w:rsid w:val="00224F12"/>
    <w:rsid w:val="00225858"/>
    <w:rsid w:val="0022602C"/>
    <w:rsid w:val="0022759F"/>
    <w:rsid w:val="0022781C"/>
    <w:rsid w:val="00230201"/>
    <w:rsid w:val="00230C25"/>
    <w:rsid w:val="00231D9A"/>
    <w:rsid w:val="0023273D"/>
    <w:rsid w:val="00233583"/>
    <w:rsid w:val="0023539E"/>
    <w:rsid w:val="00240782"/>
    <w:rsid w:val="0024196C"/>
    <w:rsid w:val="00241CDB"/>
    <w:rsid w:val="00242AD5"/>
    <w:rsid w:val="00244610"/>
    <w:rsid w:val="00244F67"/>
    <w:rsid w:val="00245130"/>
    <w:rsid w:val="00246424"/>
    <w:rsid w:val="00250165"/>
    <w:rsid w:val="00257F4F"/>
    <w:rsid w:val="002611A0"/>
    <w:rsid w:val="002633A3"/>
    <w:rsid w:val="00263CCA"/>
    <w:rsid w:val="00271443"/>
    <w:rsid w:val="0027149E"/>
    <w:rsid w:val="002714D9"/>
    <w:rsid w:val="00271C72"/>
    <w:rsid w:val="00274166"/>
    <w:rsid w:val="002749F7"/>
    <w:rsid w:val="002769D1"/>
    <w:rsid w:val="002772A0"/>
    <w:rsid w:val="002779A4"/>
    <w:rsid w:val="002810E5"/>
    <w:rsid w:val="00281DE3"/>
    <w:rsid w:val="00282AD2"/>
    <w:rsid w:val="0028373B"/>
    <w:rsid w:val="00290293"/>
    <w:rsid w:val="00291059"/>
    <w:rsid w:val="002910DA"/>
    <w:rsid w:val="00292A72"/>
    <w:rsid w:val="002962D5"/>
    <w:rsid w:val="00297717"/>
    <w:rsid w:val="002A2270"/>
    <w:rsid w:val="002A3766"/>
    <w:rsid w:val="002A3C40"/>
    <w:rsid w:val="002A4FDD"/>
    <w:rsid w:val="002A5777"/>
    <w:rsid w:val="002A7EFF"/>
    <w:rsid w:val="002B04BA"/>
    <w:rsid w:val="002B0F58"/>
    <w:rsid w:val="002B162C"/>
    <w:rsid w:val="002B2D5D"/>
    <w:rsid w:val="002B36B1"/>
    <w:rsid w:val="002B45D7"/>
    <w:rsid w:val="002B5447"/>
    <w:rsid w:val="002B56DE"/>
    <w:rsid w:val="002B6993"/>
    <w:rsid w:val="002B739F"/>
    <w:rsid w:val="002C199E"/>
    <w:rsid w:val="002C212F"/>
    <w:rsid w:val="002C2B03"/>
    <w:rsid w:val="002C3AE5"/>
    <w:rsid w:val="002C60D8"/>
    <w:rsid w:val="002C67B4"/>
    <w:rsid w:val="002C6AD7"/>
    <w:rsid w:val="002D1025"/>
    <w:rsid w:val="002D24D2"/>
    <w:rsid w:val="002D49E3"/>
    <w:rsid w:val="002D625C"/>
    <w:rsid w:val="002D79D3"/>
    <w:rsid w:val="002D7ECD"/>
    <w:rsid w:val="002E1002"/>
    <w:rsid w:val="002E170D"/>
    <w:rsid w:val="002E19C8"/>
    <w:rsid w:val="002E1BB0"/>
    <w:rsid w:val="002E1C63"/>
    <w:rsid w:val="002E1DB6"/>
    <w:rsid w:val="002E25AC"/>
    <w:rsid w:val="002E3563"/>
    <w:rsid w:val="002E4051"/>
    <w:rsid w:val="002E6000"/>
    <w:rsid w:val="002E66B7"/>
    <w:rsid w:val="002E7A9C"/>
    <w:rsid w:val="002F1672"/>
    <w:rsid w:val="002F1A20"/>
    <w:rsid w:val="002F2479"/>
    <w:rsid w:val="002F2D3C"/>
    <w:rsid w:val="002F3192"/>
    <w:rsid w:val="002F3BBD"/>
    <w:rsid w:val="002F3DB4"/>
    <w:rsid w:val="002F45B8"/>
    <w:rsid w:val="002F49CF"/>
    <w:rsid w:val="002F5C08"/>
    <w:rsid w:val="002F60E0"/>
    <w:rsid w:val="002F6491"/>
    <w:rsid w:val="002F6DD4"/>
    <w:rsid w:val="002F7CB2"/>
    <w:rsid w:val="003028E4"/>
    <w:rsid w:val="003032AE"/>
    <w:rsid w:val="00304238"/>
    <w:rsid w:val="00304A05"/>
    <w:rsid w:val="00305116"/>
    <w:rsid w:val="00307D75"/>
    <w:rsid w:val="00310A4B"/>
    <w:rsid w:val="00310D91"/>
    <w:rsid w:val="00310DC3"/>
    <w:rsid w:val="00310EA1"/>
    <w:rsid w:val="00314142"/>
    <w:rsid w:val="00314B42"/>
    <w:rsid w:val="00317608"/>
    <w:rsid w:val="0031776C"/>
    <w:rsid w:val="003177DC"/>
    <w:rsid w:val="00320D3C"/>
    <w:rsid w:val="00322A00"/>
    <w:rsid w:val="00324415"/>
    <w:rsid w:val="0032605C"/>
    <w:rsid w:val="00326521"/>
    <w:rsid w:val="00326BB2"/>
    <w:rsid w:val="00327045"/>
    <w:rsid w:val="003304C0"/>
    <w:rsid w:val="0033707F"/>
    <w:rsid w:val="00337546"/>
    <w:rsid w:val="00337DB5"/>
    <w:rsid w:val="0034152F"/>
    <w:rsid w:val="00347E55"/>
    <w:rsid w:val="00351F26"/>
    <w:rsid w:val="00352491"/>
    <w:rsid w:val="00352497"/>
    <w:rsid w:val="00355A56"/>
    <w:rsid w:val="00355F97"/>
    <w:rsid w:val="0035645B"/>
    <w:rsid w:val="003568B7"/>
    <w:rsid w:val="00356E07"/>
    <w:rsid w:val="0035779D"/>
    <w:rsid w:val="003604CF"/>
    <w:rsid w:val="003611BE"/>
    <w:rsid w:val="003667B7"/>
    <w:rsid w:val="003673B7"/>
    <w:rsid w:val="00370E29"/>
    <w:rsid w:val="00371083"/>
    <w:rsid w:val="003711FA"/>
    <w:rsid w:val="00372AF3"/>
    <w:rsid w:val="003742ED"/>
    <w:rsid w:val="003746DA"/>
    <w:rsid w:val="00380EC1"/>
    <w:rsid w:val="003852AC"/>
    <w:rsid w:val="00386667"/>
    <w:rsid w:val="003878C3"/>
    <w:rsid w:val="00387D87"/>
    <w:rsid w:val="00394C3E"/>
    <w:rsid w:val="00396EE7"/>
    <w:rsid w:val="003A1124"/>
    <w:rsid w:val="003A34B2"/>
    <w:rsid w:val="003A6F6F"/>
    <w:rsid w:val="003A6F74"/>
    <w:rsid w:val="003B1CB7"/>
    <w:rsid w:val="003B63D8"/>
    <w:rsid w:val="003B77B0"/>
    <w:rsid w:val="003B783D"/>
    <w:rsid w:val="003B795A"/>
    <w:rsid w:val="003B7BAA"/>
    <w:rsid w:val="003C0934"/>
    <w:rsid w:val="003C100D"/>
    <w:rsid w:val="003C1768"/>
    <w:rsid w:val="003C2F4A"/>
    <w:rsid w:val="003C3557"/>
    <w:rsid w:val="003C419F"/>
    <w:rsid w:val="003C5838"/>
    <w:rsid w:val="003C5D1B"/>
    <w:rsid w:val="003C7697"/>
    <w:rsid w:val="003D1CDB"/>
    <w:rsid w:val="003D5688"/>
    <w:rsid w:val="003D5C22"/>
    <w:rsid w:val="003D6557"/>
    <w:rsid w:val="003E17A4"/>
    <w:rsid w:val="003E1AA8"/>
    <w:rsid w:val="003E26BD"/>
    <w:rsid w:val="003E3775"/>
    <w:rsid w:val="003E3E40"/>
    <w:rsid w:val="003E3FC4"/>
    <w:rsid w:val="003E4B7C"/>
    <w:rsid w:val="003E504E"/>
    <w:rsid w:val="003E5C8B"/>
    <w:rsid w:val="003E61A6"/>
    <w:rsid w:val="003E62BE"/>
    <w:rsid w:val="003F003D"/>
    <w:rsid w:val="003F0464"/>
    <w:rsid w:val="003F37D4"/>
    <w:rsid w:val="003F3C5B"/>
    <w:rsid w:val="003F5962"/>
    <w:rsid w:val="003F5A1E"/>
    <w:rsid w:val="003F6131"/>
    <w:rsid w:val="003F75D3"/>
    <w:rsid w:val="00402833"/>
    <w:rsid w:val="00405C0B"/>
    <w:rsid w:val="00406A50"/>
    <w:rsid w:val="00407915"/>
    <w:rsid w:val="004107C3"/>
    <w:rsid w:val="00415AFA"/>
    <w:rsid w:val="00420711"/>
    <w:rsid w:val="00420E05"/>
    <w:rsid w:val="004215CE"/>
    <w:rsid w:val="004231C9"/>
    <w:rsid w:val="004246B6"/>
    <w:rsid w:val="00426250"/>
    <w:rsid w:val="00426FF5"/>
    <w:rsid w:val="004271AC"/>
    <w:rsid w:val="00427ED9"/>
    <w:rsid w:val="0043057D"/>
    <w:rsid w:val="00431837"/>
    <w:rsid w:val="00431EC2"/>
    <w:rsid w:val="0043266F"/>
    <w:rsid w:val="004330DE"/>
    <w:rsid w:val="00435938"/>
    <w:rsid w:val="00435E2B"/>
    <w:rsid w:val="0043712C"/>
    <w:rsid w:val="00442DC4"/>
    <w:rsid w:val="004433C4"/>
    <w:rsid w:val="00445C5E"/>
    <w:rsid w:val="0044616E"/>
    <w:rsid w:val="00446637"/>
    <w:rsid w:val="00446E9D"/>
    <w:rsid w:val="00447152"/>
    <w:rsid w:val="00447DEB"/>
    <w:rsid w:val="00456CD5"/>
    <w:rsid w:val="00457437"/>
    <w:rsid w:val="00457645"/>
    <w:rsid w:val="00460C92"/>
    <w:rsid w:val="00461309"/>
    <w:rsid w:val="00462377"/>
    <w:rsid w:val="00462ED8"/>
    <w:rsid w:val="00466065"/>
    <w:rsid w:val="004667CF"/>
    <w:rsid w:val="00466834"/>
    <w:rsid w:val="00466D57"/>
    <w:rsid w:val="00471A00"/>
    <w:rsid w:val="0047365C"/>
    <w:rsid w:val="004737F8"/>
    <w:rsid w:val="00475E5B"/>
    <w:rsid w:val="00477B5F"/>
    <w:rsid w:val="0048132F"/>
    <w:rsid w:val="00484139"/>
    <w:rsid w:val="004853C0"/>
    <w:rsid w:val="0049004C"/>
    <w:rsid w:val="0049205F"/>
    <w:rsid w:val="00493501"/>
    <w:rsid w:val="004944A4"/>
    <w:rsid w:val="00495131"/>
    <w:rsid w:val="004963F6"/>
    <w:rsid w:val="00496D65"/>
    <w:rsid w:val="004971DD"/>
    <w:rsid w:val="00497CC7"/>
    <w:rsid w:val="004A2EF1"/>
    <w:rsid w:val="004A49B9"/>
    <w:rsid w:val="004A4B00"/>
    <w:rsid w:val="004A5156"/>
    <w:rsid w:val="004A610A"/>
    <w:rsid w:val="004B1669"/>
    <w:rsid w:val="004B1812"/>
    <w:rsid w:val="004B54D9"/>
    <w:rsid w:val="004B5B3E"/>
    <w:rsid w:val="004B6AB1"/>
    <w:rsid w:val="004B709B"/>
    <w:rsid w:val="004C1A23"/>
    <w:rsid w:val="004C3CBB"/>
    <w:rsid w:val="004C4D16"/>
    <w:rsid w:val="004C54CD"/>
    <w:rsid w:val="004C5CF8"/>
    <w:rsid w:val="004C7F11"/>
    <w:rsid w:val="004D02E7"/>
    <w:rsid w:val="004D2140"/>
    <w:rsid w:val="004D3474"/>
    <w:rsid w:val="004D3C9B"/>
    <w:rsid w:val="004E1A44"/>
    <w:rsid w:val="004E37C7"/>
    <w:rsid w:val="004E3FB9"/>
    <w:rsid w:val="004F0EFC"/>
    <w:rsid w:val="004F16FC"/>
    <w:rsid w:val="004F20DC"/>
    <w:rsid w:val="004F43EA"/>
    <w:rsid w:val="004F45E1"/>
    <w:rsid w:val="004F4ECA"/>
    <w:rsid w:val="004F5498"/>
    <w:rsid w:val="004F7D49"/>
    <w:rsid w:val="00500271"/>
    <w:rsid w:val="00502D88"/>
    <w:rsid w:val="0050618E"/>
    <w:rsid w:val="0050734A"/>
    <w:rsid w:val="005074C3"/>
    <w:rsid w:val="005135B2"/>
    <w:rsid w:val="005139A8"/>
    <w:rsid w:val="00513A0D"/>
    <w:rsid w:val="005153BC"/>
    <w:rsid w:val="005170D1"/>
    <w:rsid w:val="00517D13"/>
    <w:rsid w:val="005237CD"/>
    <w:rsid w:val="00523CD8"/>
    <w:rsid w:val="0052523F"/>
    <w:rsid w:val="00525A5A"/>
    <w:rsid w:val="005310C9"/>
    <w:rsid w:val="00531BD4"/>
    <w:rsid w:val="00531F05"/>
    <w:rsid w:val="0053236C"/>
    <w:rsid w:val="00532AE3"/>
    <w:rsid w:val="005331B3"/>
    <w:rsid w:val="005333A4"/>
    <w:rsid w:val="00533B3F"/>
    <w:rsid w:val="0053543F"/>
    <w:rsid w:val="00535837"/>
    <w:rsid w:val="00535FD7"/>
    <w:rsid w:val="005360D7"/>
    <w:rsid w:val="00537BC3"/>
    <w:rsid w:val="00540D5B"/>
    <w:rsid w:val="00542583"/>
    <w:rsid w:val="00542EDD"/>
    <w:rsid w:val="00543F6E"/>
    <w:rsid w:val="00544A78"/>
    <w:rsid w:val="00544C0E"/>
    <w:rsid w:val="0054544A"/>
    <w:rsid w:val="00546162"/>
    <w:rsid w:val="005507EA"/>
    <w:rsid w:val="00550EAE"/>
    <w:rsid w:val="0055131B"/>
    <w:rsid w:val="0055139D"/>
    <w:rsid w:val="005516CF"/>
    <w:rsid w:val="00551877"/>
    <w:rsid w:val="00552D8E"/>
    <w:rsid w:val="00553749"/>
    <w:rsid w:val="00557B27"/>
    <w:rsid w:val="0056027D"/>
    <w:rsid w:val="0056063C"/>
    <w:rsid w:val="00561B59"/>
    <w:rsid w:val="005635CF"/>
    <w:rsid w:val="00563ECC"/>
    <w:rsid w:val="005644EA"/>
    <w:rsid w:val="00564C51"/>
    <w:rsid w:val="005655DF"/>
    <w:rsid w:val="0056680B"/>
    <w:rsid w:val="00566A56"/>
    <w:rsid w:val="0057040D"/>
    <w:rsid w:val="005732AE"/>
    <w:rsid w:val="00573E6F"/>
    <w:rsid w:val="00573F3C"/>
    <w:rsid w:val="005756C2"/>
    <w:rsid w:val="00583ED7"/>
    <w:rsid w:val="00585228"/>
    <w:rsid w:val="00587708"/>
    <w:rsid w:val="00591275"/>
    <w:rsid w:val="0059261D"/>
    <w:rsid w:val="005930AE"/>
    <w:rsid w:val="005960A4"/>
    <w:rsid w:val="00596C81"/>
    <w:rsid w:val="00596DD3"/>
    <w:rsid w:val="00597476"/>
    <w:rsid w:val="005A0F1A"/>
    <w:rsid w:val="005A1415"/>
    <w:rsid w:val="005A44DB"/>
    <w:rsid w:val="005A4B7B"/>
    <w:rsid w:val="005A4E31"/>
    <w:rsid w:val="005A7E44"/>
    <w:rsid w:val="005B02DD"/>
    <w:rsid w:val="005B1B69"/>
    <w:rsid w:val="005B3875"/>
    <w:rsid w:val="005B50BB"/>
    <w:rsid w:val="005B550A"/>
    <w:rsid w:val="005B5EB2"/>
    <w:rsid w:val="005C1B5D"/>
    <w:rsid w:val="005C797A"/>
    <w:rsid w:val="005C7B82"/>
    <w:rsid w:val="005D0695"/>
    <w:rsid w:val="005D2AF9"/>
    <w:rsid w:val="005D62B0"/>
    <w:rsid w:val="005D6F98"/>
    <w:rsid w:val="005E0052"/>
    <w:rsid w:val="005E346C"/>
    <w:rsid w:val="005E3D65"/>
    <w:rsid w:val="005E47B5"/>
    <w:rsid w:val="005E4A8C"/>
    <w:rsid w:val="005E4E4B"/>
    <w:rsid w:val="005E6133"/>
    <w:rsid w:val="005E75AD"/>
    <w:rsid w:val="005F0313"/>
    <w:rsid w:val="005F0CA5"/>
    <w:rsid w:val="005F33FE"/>
    <w:rsid w:val="005F3DC9"/>
    <w:rsid w:val="005F5B42"/>
    <w:rsid w:val="005F6213"/>
    <w:rsid w:val="005F6298"/>
    <w:rsid w:val="005F646F"/>
    <w:rsid w:val="005F6E7A"/>
    <w:rsid w:val="005F6E96"/>
    <w:rsid w:val="00600224"/>
    <w:rsid w:val="00600710"/>
    <w:rsid w:val="00603194"/>
    <w:rsid w:val="00603CAE"/>
    <w:rsid w:val="006048D2"/>
    <w:rsid w:val="0060551E"/>
    <w:rsid w:val="0060789F"/>
    <w:rsid w:val="00607F5F"/>
    <w:rsid w:val="00610D0A"/>
    <w:rsid w:val="006136AC"/>
    <w:rsid w:val="006146E2"/>
    <w:rsid w:val="006223C0"/>
    <w:rsid w:val="00623AE0"/>
    <w:rsid w:val="00624373"/>
    <w:rsid w:val="0062546E"/>
    <w:rsid w:val="00626CDA"/>
    <w:rsid w:val="006316A4"/>
    <w:rsid w:val="00631CC2"/>
    <w:rsid w:val="00635E07"/>
    <w:rsid w:val="00637188"/>
    <w:rsid w:val="00637EBD"/>
    <w:rsid w:val="0064013C"/>
    <w:rsid w:val="006404EE"/>
    <w:rsid w:val="006413B5"/>
    <w:rsid w:val="0064667E"/>
    <w:rsid w:val="00650A81"/>
    <w:rsid w:val="00650F85"/>
    <w:rsid w:val="006520FA"/>
    <w:rsid w:val="00652259"/>
    <w:rsid w:val="00652E91"/>
    <w:rsid w:val="00652F25"/>
    <w:rsid w:val="00654820"/>
    <w:rsid w:val="00655438"/>
    <w:rsid w:val="00657928"/>
    <w:rsid w:val="00657A5A"/>
    <w:rsid w:val="0066102E"/>
    <w:rsid w:val="00662465"/>
    <w:rsid w:val="0066252A"/>
    <w:rsid w:val="00662DDC"/>
    <w:rsid w:val="00662F66"/>
    <w:rsid w:val="00665199"/>
    <w:rsid w:val="00667671"/>
    <w:rsid w:val="0067174A"/>
    <w:rsid w:val="00671D74"/>
    <w:rsid w:val="00672463"/>
    <w:rsid w:val="00672CFF"/>
    <w:rsid w:val="00675269"/>
    <w:rsid w:val="00675313"/>
    <w:rsid w:val="006773A3"/>
    <w:rsid w:val="006806CB"/>
    <w:rsid w:val="00680E36"/>
    <w:rsid w:val="00681553"/>
    <w:rsid w:val="006832F3"/>
    <w:rsid w:val="00683B48"/>
    <w:rsid w:val="006857EB"/>
    <w:rsid w:val="00685C51"/>
    <w:rsid w:val="00687A2A"/>
    <w:rsid w:val="00690CD3"/>
    <w:rsid w:val="00692C33"/>
    <w:rsid w:val="0069353A"/>
    <w:rsid w:val="00694809"/>
    <w:rsid w:val="00697420"/>
    <w:rsid w:val="006A0A34"/>
    <w:rsid w:val="006A1AF0"/>
    <w:rsid w:val="006A3B83"/>
    <w:rsid w:val="006A59C6"/>
    <w:rsid w:val="006A5E67"/>
    <w:rsid w:val="006A7288"/>
    <w:rsid w:val="006A76C3"/>
    <w:rsid w:val="006B0777"/>
    <w:rsid w:val="006B1380"/>
    <w:rsid w:val="006B41AC"/>
    <w:rsid w:val="006B4DB1"/>
    <w:rsid w:val="006B7480"/>
    <w:rsid w:val="006B74CF"/>
    <w:rsid w:val="006C1657"/>
    <w:rsid w:val="006C1A94"/>
    <w:rsid w:val="006C2C63"/>
    <w:rsid w:val="006C3AE0"/>
    <w:rsid w:val="006D087E"/>
    <w:rsid w:val="006D2F95"/>
    <w:rsid w:val="006D3A3A"/>
    <w:rsid w:val="006D3C75"/>
    <w:rsid w:val="006D5305"/>
    <w:rsid w:val="006D5D15"/>
    <w:rsid w:val="006D5D9A"/>
    <w:rsid w:val="006E068E"/>
    <w:rsid w:val="006E0AC7"/>
    <w:rsid w:val="006E0C07"/>
    <w:rsid w:val="006E210E"/>
    <w:rsid w:val="006E6CE3"/>
    <w:rsid w:val="006E7244"/>
    <w:rsid w:val="006E73B6"/>
    <w:rsid w:val="006F0086"/>
    <w:rsid w:val="006F2803"/>
    <w:rsid w:val="006F6587"/>
    <w:rsid w:val="00700A58"/>
    <w:rsid w:val="00700C39"/>
    <w:rsid w:val="00700E4A"/>
    <w:rsid w:val="00701839"/>
    <w:rsid w:val="007050D1"/>
    <w:rsid w:val="007058D9"/>
    <w:rsid w:val="00706070"/>
    <w:rsid w:val="00714009"/>
    <w:rsid w:val="007150A4"/>
    <w:rsid w:val="00716A62"/>
    <w:rsid w:val="00721726"/>
    <w:rsid w:val="00725AC9"/>
    <w:rsid w:val="00725E5E"/>
    <w:rsid w:val="00727A77"/>
    <w:rsid w:val="00730952"/>
    <w:rsid w:val="00730B86"/>
    <w:rsid w:val="00733C64"/>
    <w:rsid w:val="00734727"/>
    <w:rsid w:val="00734E98"/>
    <w:rsid w:val="00736308"/>
    <w:rsid w:val="00740807"/>
    <w:rsid w:val="00742022"/>
    <w:rsid w:val="00745B83"/>
    <w:rsid w:val="00746D15"/>
    <w:rsid w:val="00751005"/>
    <w:rsid w:val="00751213"/>
    <w:rsid w:val="0075193F"/>
    <w:rsid w:val="00751CA3"/>
    <w:rsid w:val="00751CE6"/>
    <w:rsid w:val="00753024"/>
    <w:rsid w:val="00753FB0"/>
    <w:rsid w:val="00756689"/>
    <w:rsid w:val="00756D0B"/>
    <w:rsid w:val="00756F50"/>
    <w:rsid w:val="00761CF7"/>
    <w:rsid w:val="00762DB2"/>
    <w:rsid w:val="0076582C"/>
    <w:rsid w:val="00773E85"/>
    <w:rsid w:val="00774712"/>
    <w:rsid w:val="007756A4"/>
    <w:rsid w:val="007761BE"/>
    <w:rsid w:val="007762F0"/>
    <w:rsid w:val="00776E5B"/>
    <w:rsid w:val="00781BEE"/>
    <w:rsid w:val="00782B6F"/>
    <w:rsid w:val="00785389"/>
    <w:rsid w:val="007859FD"/>
    <w:rsid w:val="00785DBE"/>
    <w:rsid w:val="0079017F"/>
    <w:rsid w:val="007940FA"/>
    <w:rsid w:val="0079489C"/>
    <w:rsid w:val="00794A1B"/>
    <w:rsid w:val="00794A58"/>
    <w:rsid w:val="00794AFB"/>
    <w:rsid w:val="00794BB0"/>
    <w:rsid w:val="007977C9"/>
    <w:rsid w:val="007A099A"/>
    <w:rsid w:val="007A1DFE"/>
    <w:rsid w:val="007A3D42"/>
    <w:rsid w:val="007A4F85"/>
    <w:rsid w:val="007B12DD"/>
    <w:rsid w:val="007B5425"/>
    <w:rsid w:val="007C12E2"/>
    <w:rsid w:val="007C45C9"/>
    <w:rsid w:val="007C4824"/>
    <w:rsid w:val="007C48A2"/>
    <w:rsid w:val="007C4B63"/>
    <w:rsid w:val="007D12E6"/>
    <w:rsid w:val="007D2DF4"/>
    <w:rsid w:val="007D5815"/>
    <w:rsid w:val="007D5B21"/>
    <w:rsid w:val="007D6D82"/>
    <w:rsid w:val="007E1250"/>
    <w:rsid w:val="007E1442"/>
    <w:rsid w:val="007E1AFA"/>
    <w:rsid w:val="007E1ED3"/>
    <w:rsid w:val="007E235C"/>
    <w:rsid w:val="007E2449"/>
    <w:rsid w:val="007E2622"/>
    <w:rsid w:val="007E30FB"/>
    <w:rsid w:val="007E6B1D"/>
    <w:rsid w:val="007E74A3"/>
    <w:rsid w:val="007E7985"/>
    <w:rsid w:val="007F0433"/>
    <w:rsid w:val="007F088B"/>
    <w:rsid w:val="007F0B14"/>
    <w:rsid w:val="007F3106"/>
    <w:rsid w:val="007F3D61"/>
    <w:rsid w:val="007F52BC"/>
    <w:rsid w:val="007F7883"/>
    <w:rsid w:val="0080117A"/>
    <w:rsid w:val="008054AC"/>
    <w:rsid w:val="0081158A"/>
    <w:rsid w:val="00813719"/>
    <w:rsid w:val="00815A12"/>
    <w:rsid w:val="00816417"/>
    <w:rsid w:val="008179AC"/>
    <w:rsid w:val="00820EED"/>
    <w:rsid w:val="008234BE"/>
    <w:rsid w:val="00823986"/>
    <w:rsid w:val="00824D2E"/>
    <w:rsid w:val="008250D8"/>
    <w:rsid w:val="00826539"/>
    <w:rsid w:val="00827767"/>
    <w:rsid w:val="008335FB"/>
    <w:rsid w:val="00834108"/>
    <w:rsid w:val="008343CF"/>
    <w:rsid w:val="008344F9"/>
    <w:rsid w:val="008409B7"/>
    <w:rsid w:val="00840C27"/>
    <w:rsid w:val="00840C41"/>
    <w:rsid w:val="00841824"/>
    <w:rsid w:val="00842567"/>
    <w:rsid w:val="0084402A"/>
    <w:rsid w:val="00847377"/>
    <w:rsid w:val="0084785D"/>
    <w:rsid w:val="008500F1"/>
    <w:rsid w:val="00852DFA"/>
    <w:rsid w:val="0085670C"/>
    <w:rsid w:val="00856914"/>
    <w:rsid w:val="00857BAF"/>
    <w:rsid w:val="00860936"/>
    <w:rsid w:val="0086127C"/>
    <w:rsid w:val="00861341"/>
    <w:rsid w:val="0086346B"/>
    <w:rsid w:val="00863A6D"/>
    <w:rsid w:val="008640CC"/>
    <w:rsid w:val="00866EDA"/>
    <w:rsid w:val="0086796E"/>
    <w:rsid w:val="00870137"/>
    <w:rsid w:val="00871FF9"/>
    <w:rsid w:val="00874919"/>
    <w:rsid w:val="008754FC"/>
    <w:rsid w:val="008762D5"/>
    <w:rsid w:val="00880AF7"/>
    <w:rsid w:val="00881F01"/>
    <w:rsid w:val="00883C3B"/>
    <w:rsid w:val="00884764"/>
    <w:rsid w:val="008849FC"/>
    <w:rsid w:val="0088589A"/>
    <w:rsid w:val="00885CAB"/>
    <w:rsid w:val="0088612E"/>
    <w:rsid w:val="00886F35"/>
    <w:rsid w:val="00887B72"/>
    <w:rsid w:val="00891D63"/>
    <w:rsid w:val="00894A21"/>
    <w:rsid w:val="008960FF"/>
    <w:rsid w:val="008A0B1D"/>
    <w:rsid w:val="008A5D03"/>
    <w:rsid w:val="008A6CED"/>
    <w:rsid w:val="008B2C2C"/>
    <w:rsid w:val="008B318A"/>
    <w:rsid w:val="008B3E68"/>
    <w:rsid w:val="008B69B0"/>
    <w:rsid w:val="008C17FF"/>
    <w:rsid w:val="008C25BB"/>
    <w:rsid w:val="008C492E"/>
    <w:rsid w:val="008C4CF7"/>
    <w:rsid w:val="008D38D5"/>
    <w:rsid w:val="008D6ABC"/>
    <w:rsid w:val="008D777B"/>
    <w:rsid w:val="008E03CB"/>
    <w:rsid w:val="008E1DA2"/>
    <w:rsid w:val="008E23EB"/>
    <w:rsid w:val="008E2BAC"/>
    <w:rsid w:val="008E4CB7"/>
    <w:rsid w:val="008E7CD8"/>
    <w:rsid w:val="008F04FD"/>
    <w:rsid w:val="008F05EB"/>
    <w:rsid w:val="008F0CCE"/>
    <w:rsid w:val="008F1017"/>
    <w:rsid w:val="008F1816"/>
    <w:rsid w:val="008F31E6"/>
    <w:rsid w:val="008F40D1"/>
    <w:rsid w:val="008F44AC"/>
    <w:rsid w:val="008F50B0"/>
    <w:rsid w:val="008F53F6"/>
    <w:rsid w:val="008F6153"/>
    <w:rsid w:val="008F636D"/>
    <w:rsid w:val="009028BA"/>
    <w:rsid w:val="00902909"/>
    <w:rsid w:val="00906051"/>
    <w:rsid w:val="0091014F"/>
    <w:rsid w:val="00910992"/>
    <w:rsid w:val="00910AD8"/>
    <w:rsid w:val="00911258"/>
    <w:rsid w:val="00911CFB"/>
    <w:rsid w:val="00913877"/>
    <w:rsid w:val="009145CF"/>
    <w:rsid w:val="00915207"/>
    <w:rsid w:val="009209A8"/>
    <w:rsid w:val="009224D7"/>
    <w:rsid w:val="00924D93"/>
    <w:rsid w:val="009250E7"/>
    <w:rsid w:val="00926CAE"/>
    <w:rsid w:val="009300AD"/>
    <w:rsid w:val="009308E3"/>
    <w:rsid w:val="00930992"/>
    <w:rsid w:val="00931148"/>
    <w:rsid w:val="009329A9"/>
    <w:rsid w:val="00934719"/>
    <w:rsid w:val="00934C4C"/>
    <w:rsid w:val="00936C1D"/>
    <w:rsid w:val="00940907"/>
    <w:rsid w:val="00940C30"/>
    <w:rsid w:val="00941413"/>
    <w:rsid w:val="00942274"/>
    <w:rsid w:val="0094397A"/>
    <w:rsid w:val="0094450E"/>
    <w:rsid w:val="009471C4"/>
    <w:rsid w:val="00952FA5"/>
    <w:rsid w:val="00954357"/>
    <w:rsid w:val="0095666F"/>
    <w:rsid w:val="00956B94"/>
    <w:rsid w:val="00957824"/>
    <w:rsid w:val="00961020"/>
    <w:rsid w:val="00961FC2"/>
    <w:rsid w:val="00962033"/>
    <w:rsid w:val="009625C3"/>
    <w:rsid w:val="00962D7A"/>
    <w:rsid w:val="00963F2F"/>
    <w:rsid w:val="0096619C"/>
    <w:rsid w:val="009704CC"/>
    <w:rsid w:val="009741BF"/>
    <w:rsid w:val="0097426F"/>
    <w:rsid w:val="009762C8"/>
    <w:rsid w:val="009777CB"/>
    <w:rsid w:val="009813FC"/>
    <w:rsid w:val="00982C6F"/>
    <w:rsid w:val="00982E59"/>
    <w:rsid w:val="00983432"/>
    <w:rsid w:val="009837A3"/>
    <w:rsid w:val="009856CF"/>
    <w:rsid w:val="00985A3C"/>
    <w:rsid w:val="009875C3"/>
    <w:rsid w:val="00990633"/>
    <w:rsid w:val="00990908"/>
    <w:rsid w:val="00991012"/>
    <w:rsid w:val="00991E81"/>
    <w:rsid w:val="00993EA5"/>
    <w:rsid w:val="009967D3"/>
    <w:rsid w:val="009A5380"/>
    <w:rsid w:val="009A538D"/>
    <w:rsid w:val="009A78F9"/>
    <w:rsid w:val="009A79BB"/>
    <w:rsid w:val="009A7A6E"/>
    <w:rsid w:val="009B0D56"/>
    <w:rsid w:val="009B2D31"/>
    <w:rsid w:val="009B429F"/>
    <w:rsid w:val="009C20E4"/>
    <w:rsid w:val="009C49EF"/>
    <w:rsid w:val="009C5B50"/>
    <w:rsid w:val="009C7E9C"/>
    <w:rsid w:val="009D0A8E"/>
    <w:rsid w:val="009D1008"/>
    <w:rsid w:val="009D1CED"/>
    <w:rsid w:val="009D2A46"/>
    <w:rsid w:val="009D3E9E"/>
    <w:rsid w:val="009D7E97"/>
    <w:rsid w:val="009E09BB"/>
    <w:rsid w:val="009E399D"/>
    <w:rsid w:val="009E70DD"/>
    <w:rsid w:val="009F23E7"/>
    <w:rsid w:val="009F3320"/>
    <w:rsid w:val="009F3CCD"/>
    <w:rsid w:val="009F674A"/>
    <w:rsid w:val="00A01823"/>
    <w:rsid w:val="00A03B13"/>
    <w:rsid w:val="00A04F97"/>
    <w:rsid w:val="00A069CD"/>
    <w:rsid w:val="00A06B3C"/>
    <w:rsid w:val="00A072F6"/>
    <w:rsid w:val="00A0780C"/>
    <w:rsid w:val="00A07FE2"/>
    <w:rsid w:val="00A10F2F"/>
    <w:rsid w:val="00A112DE"/>
    <w:rsid w:val="00A13D59"/>
    <w:rsid w:val="00A14845"/>
    <w:rsid w:val="00A202D4"/>
    <w:rsid w:val="00A22397"/>
    <w:rsid w:val="00A22D8A"/>
    <w:rsid w:val="00A2311D"/>
    <w:rsid w:val="00A231DE"/>
    <w:rsid w:val="00A2378D"/>
    <w:rsid w:val="00A23AC4"/>
    <w:rsid w:val="00A32028"/>
    <w:rsid w:val="00A322EC"/>
    <w:rsid w:val="00A35E0D"/>
    <w:rsid w:val="00A36061"/>
    <w:rsid w:val="00A360CD"/>
    <w:rsid w:val="00A37D79"/>
    <w:rsid w:val="00A41444"/>
    <w:rsid w:val="00A46E3F"/>
    <w:rsid w:val="00A51D0A"/>
    <w:rsid w:val="00A51D17"/>
    <w:rsid w:val="00A52736"/>
    <w:rsid w:val="00A53334"/>
    <w:rsid w:val="00A5566A"/>
    <w:rsid w:val="00A5615B"/>
    <w:rsid w:val="00A576AC"/>
    <w:rsid w:val="00A600DF"/>
    <w:rsid w:val="00A619E5"/>
    <w:rsid w:val="00A61B8D"/>
    <w:rsid w:val="00A61EB4"/>
    <w:rsid w:val="00A621F3"/>
    <w:rsid w:val="00A62804"/>
    <w:rsid w:val="00A6433D"/>
    <w:rsid w:val="00A64C17"/>
    <w:rsid w:val="00A66539"/>
    <w:rsid w:val="00A66983"/>
    <w:rsid w:val="00A72503"/>
    <w:rsid w:val="00A728C0"/>
    <w:rsid w:val="00A74748"/>
    <w:rsid w:val="00A753CD"/>
    <w:rsid w:val="00A75EF5"/>
    <w:rsid w:val="00A77125"/>
    <w:rsid w:val="00A77C9C"/>
    <w:rsid w:val="00A77E6D"/>
    <w:rsid w:val="00A80EF6"/>
    <w:rsid w:val="00A80F1A"/>
    <w:rsid w:val="00A84064"/>
    <w:rsid w:val="00A86309"/>
    <w:rsid w:val="00A864EF"/>
    <w:rsid w:val="00A86BB6"/>
    <w:rsid w:val="00A86E6C"/>
    <w:rsid w:val="00A87212"/>
    <w:rsid w:val="00A8768D"/>
    <w:rsid w:val="00A87DF9"/>
    <w:rsid w:val="00A932F4"/>
    <w:rsid w:val="00A93ACA"/>
    <w:rsid w:val="00A9472F"/>
    <w:rsid w:val="00A95377"/>
    <w:rsid w:val="00A95AAF"/>
    <w:rsid w:val="00A9669A"/>
    <w:rsid w:val="00A96E35"/>
    <w:rsid w:val="00AA1D07"/>
    <w:rsid w:val="00AA29D4"/>
    <w:rsid w:val="00AA3116"/>
    <w:rsid w:val="00AA3350"/>
    <w:rsid w:val="00AA6C96"/>
    <w:rsid w:val="00AB35FF"/>
    <w:rsid w:val="00AB4899"/>
    <w:rsid w:val="00AB5350"/>
    <w:rsid w:val="00AC0D4B"/>
    <w:rsid w:val="00AC12DC"/>
    <w:rsid w:val="00AC432D"/>
    <w:rsid w:val="00AC57EE"/>
    <w:rsid w:val="00AD087D"/>
    <w:rsid w:val="00AD0BA8"/>
    <w:rsid w:val="00AD146B"/>
    <w:rsid w:val="00AD2C39"/>
    <w:rsid w:val="00AD3BEA"/>
    <w:rsid w:val="00AD4B34"/>
    <w:rsid w:val="00AD5AC5"/>
    <w:rsid w:val="00AD6093"/>
    <w:rsid w:val="00AD7C13"/>
    <w:rsid w:val="00AE05DA"/>
    <w:rsid w:val="00AE227B"/>
    <w:rsid w:val="00AE3201"/>
    <w:rsid w:val="00AE447A"/>
    <w:rsid w:val="00AE5850"/>
    <w:rsid w:val="00AE595C"/>
    <w:rsid w:val="00AE7102"/>
    <w:rsid w:val="00AE74A2"/>
    <w:rsid w:val="00AE77BA"/>
    <w:rsid w:val="00AF1C5C"/>
    <w:rsid w:val="00AF1F5A"/>
    <w:rsid w:val="00AF6EE2"/>
    <w:rsid w:val="00AF7807"/>
    <w:rsid w:val="00AF7CA6"/>
    <w:rsid w:val="00AF7E4B"/>
    <w:rsid w:val="00B00EE9"/>
    <w:rsid w:val="00B0173D"/>
    <w:rsid w:val="00B036EF"/>
    <w:rsid w:val="00B03878"/>
    <w:rsid w:val="00B03EF5"/>
    <w:rsid w:val="00B048F4"/>
    <w:rsid w:val="00B05C8C"/>
    <w:rsid w:val="00B068F6"/>
    <w:rsid w:val="00B10E28"/>
    <w:rsid w:val="00B112FF"/>
    <w:rsid w:val="00B121EB"/>
    <w:rsid w:val="00B12350"/>
    <w:rsid w:val="00B12485"/>
    <w:rsid w:val="00B1460E"/>
    <w:rsid w:val="00B1468E"/>
    <w:rsid w:val="00B14A16"/>
    <w:rsid w:val="00B15867"/>
    <w:rsid w:val="00B15CFA"/>
    <w:rsid w:val="00B16717"/>
    <w:rsid w:val="00B17473"/>
    <w:rsid w:val="00B206DE"/>
    <w:rsid w:val="00B23B1C"/>
    <w:rsid w:val="00B23CFF"/>
    <w:rsid w:val="00B24C0C"/>
    <w:rsid w:val="00B26CBC"/>
    <w:rsid w:val="00B30613"/>
    <w:rsid w:val="00B3136F"/>
    <w:rsid w:val="00B33216"/>
    <w:rsid w:val="00B3327A"/>
    <w:rsid w:val="00B35AB4"/>
    <w:rsid w:val="00B369B4"/>
    <w:rsid w:val="00B37488"/>
    <w:rsid w:val="00B4096D"/>
    <w:rsid w:val="00B41CF0"/>
    <w:rsid w:val="00B50277"/>
    <w:rsid w:val="00B506D8"/>
    <w:rsid w:val="00B54587"/>
    <w:rsid w:val="00B5590D"/>
    <w:rsid w:val="00B566CB"/>
    <w:rsid w:val="00B56CA0"/>
    <w:rsid w:val="00B578CB"/>
    <w:rsid w:val="00B61CB6"/>
    <w:rsid w:val="00B62061"/>
    <w:rsid w:val="00B62B49"/>
    <w:rsid w:val="00B638D0"/>
    <w:rsid w:val="00B63EF2"/>
    <w:rsid w:val="00B64E42"/>
    <w:rsid w:val="00B65523"/>
    <w:rsid w:val="00B66386"/>
    <w:rsid w:val="00B7116E"/>
    <w:rsid w:val="00B73D1A"/>
    <w:rsid w:val="00B755E2"/>
    <w:rsid w:val="00B76E32"/>
    <w:rsid w:val="00B77412"/>
    <w:rsid w:val="00B8008A"/>
    <w:rsid w:val="00B80F32"/>
    <w:rsid w:val="00B811EF"/>
    <w:rsid w:val="00B867E1"/>
    <w:rsid w:val="00B950AB"/>
    <w:rsid w:val="00B959D3"/>
    <w:rsid w:val="00B95C46"/>
    <w:rsid w:val="00B95DE3"/>
    <w:rsid w:val="00B96F6A"/>
    <w:rsid w:val="00B9725B"/>
    <w:rsid w:val="00B97454"/>
    <w:rsid w:val="00BA12C0"/>
    <w:rsid w:val="00BA1BA9"/>
    <w:rsid w:val="00BA2006"/>
    <w:rsid w:val="00BA4CA5"/>
    <w:rsid w:val="00BA5E21"/>
    <w:rsid w:val="00BA6637"/>
    <w:rsid w:val="00BA687C"/>
    <w:rsid w:val="00BA6AFB"/>
    <w:rsid w:val="00BA6BB9"/>
    <w:rsid w:val="00BB09F0"/>
    <w:rsid w:val="00BB362C"/>
    <w:rsid w:val="00BB3763"/>
    <w:rsid w:val="00BB3E6D"/>
    <w:rsid w:val="00BB4BA0"/>
    <w:rsid w:val="00BB4CC4"/>
    <w:rsid w:val="00BB4E30"/>
    <w:rsid w:val="00BB5033"/>
    <w:rsid w:val="00BB598A"/>
    <w:rsid w:val="00BB5DD3"/>
    <w:rsid w:val="00BB6D44"/>
    <w:rsid w:val="00BB78F8"/>
    <w:rsid w:val="00BC27D4"/>
    <w:rsid w:val="00BC3AC5"/>
    <w:rsid w:val="00BC55C9"/>
    <w:rsid w:val="00BC7301"/>
    <w:rsid w:val="00BC7938"/>
    <w:rsid w:val="00BD0BC5"/>
    <w:rsid w:val="00BD0C49"/>
    <w:rsid w:val="00BD1167"/>
    <w:rsid w:val="00BD1869"/>
    <w:rsid w:val="00BD2A75"/>
    <w:rsid w:val="00BD56B1"/>
    <w:rsid w:val="00BD5929"/>
    <w:rsid w:val="00BD6565"/>
    <w:rsid w:val="00BD742B"/>
    <w:rsid w:val="00BD7CED"/>
    <w:rsid w:val="00BE08F7"/>
    <w:rsid w:val="00BE362C"/>
    <w:rsid w:val="00BE4018"/>
    <w:rsid w:val="00BE698B"/>
    <w:rsid w:val="00BF29EC"/>
    <w:rsid w:val="00BF42EF"/>
    <w:rsid w:val="00BF6017"/>
    <w:rsid w:val="00BF6E71"/>
    <w:rsid w:val="00C0107A"/>
    <w:rsid w:val="00C030C7"/>
    <w:rsid w:val="00C03AE1"/>
    <w:rsid w:val="00C07BE4"/>
    <w:rsid w:val="00C1142E"/>
    <w:rsid w:val="00C134AA"/>
    <w:rsid w:val="00C14498"/>
    <w:rsid w:val="00C15F92"/>
    <w:rsid w:val="00C20EDD"/>
    <w:rsid w:val="00C220FF"/>
    <w:rsid w:val="00C22316"/>
    <w:rsid w:val="00C2301C"/>
    <w:rsid w:val="00C309CE"/>
    <w:rsid w:val="00C31E97"/>
    <w:rsid w:val="00C31F57"/>
    <w:rsid w:val="00C344FB"/>
    <w:rsid w:val="00C35A0C"/>
    <w:rsid w:val="00C35D7F"/>
    <w:rsid w:val="00C3685F"/>
    <w:rsid w:val="00C36E63"/>
    <w:rsid w:val="00C40C9C"/>
    <w:rsid w:val="00C40FFC"/>
    <w:rsid w:val="00C41F8F"/>
    <w:rsid w:val="00C437C2"/>
    <w:rsid w:val="00C4429B"/>
    <w:rsid w:val="00C47D9E"/>
    <w:rsid w:val="00C508C0"/>
    <w:rsid w:val="00C50C4A"/>
    <w:rsid w:val="00C5541B"/>
    <w:rsid w:val="00C5557B"/>
    <w:rsid w:val="00C6289D"/>
    <w:rsid w:val="00C643B4"/>
    <w:rsid w:val="00C65B22"/>
    <w:rsid w:val="00C671CD"/>
    <w:rsid w:val="00C675FA"/>
    <w:rsid w:val="00C67CE8"/>
    <w:rsid w:val="00C710FA"/>
    <w:rsid w:val="00C7154C"/>
    <w:rsid w:val="00C71D61"/>
    <w:rsid w:val="00C71EF1"/>
    <w:rsid w:val="00C720C5"/>
    <w:rsid w:val="00C727DC"/>
    <w:rsid w:val="00C72E19"/>
    <w:rsid w:val="00C736C8"/>
    <w:rsid w:val="00C74613"/>
    <w:rsid w:val="00C7479A"/>
    <w:rsid w:val="00C7563B"/>
    <w:rsid w:val="00C762EA"/>
    <w:rsid w:val="00C77016"/>
    <w:rsid w:val="00C8091F"/>
    <w:rsid w:val="00C817B6"/>
    <w:rsid w:val="00C81844"/>
    <w:rsid w:val="00C823A8"/>
    <w:rsid w:val="00C82BE8"/>
    <w:rsid w:val="00C86BC0"/>
    <w:rsid w:val="00C871BD"/>
    <w:rsid w:val="00C904F8"/>
    <w:rsid w:val="00C90873"/>
    <w:rsid w:val="00C93656"/>
    <w:rsid w:val="00C96223"/>
    <w:rsid w:val="00C9698C"/>
    <w:rsid w:val="00CA1469"/>
    <w:rsid w:val="00CA1CF5"/>
    <w:rsid w:val="00CA39CE"/>
    <w:rsid w:val="00CA6427"/>
    <w:rsid w:val="00CB1657"/>
    <w:rsid w:val="00CB42C9"/>
    <w:rsid w:val="00CB5A35"/>
    <w:rsid w:val="00CB5FE7"/>
    <w:rsid w:val="00CB7F75"/>
    <w:rsid w:val="00CC069C"/>
    <w:rsid w:val="00CC0DC1"/>
    <w:rsid w:val="00CC2D0B"/>
    <w:rsid w:val="00CC3B64"/>
    <w:rsid w:val="00CC3FF8"/>
    <w:rsid w:val="00CC44CE"/>
    <w:rsid w:val="00CC4FA8"/>
    <w:rsid w:val="00CC5543"/>
    <w:rsid w:val="00CD179D"/>
    <w:rsid w:val="00CD3240"/>
    <w:rsid w:val="00CD330F"/>
    <w:rsid w:val="00CD46F7"/>
    <w:rsid w:val="00CD47DB"/>
    <w:rsid w:val="00CD5DA3"/>
    <w:rsid w:val="00CD6212"/>
    <w:rsid w:val="00CD6526"/>
    <w:rsid w:val="00CD72D9"/>
    <w:rsid w:val="00CD7A51"/>
    <w:rsid w:val="00CE39BD"/>
    <w:rsid w:val="00CE5FF2"/>
    <w:rsid w:val="00CE61A1"/>
    <w:rsid w:val="00CE6AF4"/>
    <w:rsid w:val="00CE6F52"/>
    <w:rsid w:val="00CF179A"/>
    <w:rsid w:val="00CF1FC3"/>
    <w:rsid w:val="00CF35DD"/>
    <w:rsid w:val="00CF5974"/>
    <w:rsid w:val="00CF6A7D"/>
    <w:rsid w:val="00CF703C"/>
    <w:rsid w:val="00D009B0"/>
    <w:rsid w:val="00D01938"/>
    <w:rsid w:val="00D01C1D"/>
    <w:rsid w:val="00D021F2"/>
    <w:rsid w:val="00D05120"/>
    <w:rsid w:val="00D051B5"/>
    <w:rsid w:val="00D10AD0"/>
    <w:rsid w:val="00D1333E"/>
    <w:rsid w:val="00D146C3"/>
    <w:rsid w:val="00D14DB8"/>
    <w:rsid w:val="00D15307"/>
    <w:rsid w:val="00D15740"/>
    <w:rsid w:val="00D158D2"/>
    <w:rsid w:val="00D16E56"/>
    <w:rsid w:val="00D20F2C"/>
    <w:rsid w:val="00D22F66"/>
    <w:rsid w:val="00D23E76"/>
    <w:rsid w:val="00D25403"/>
    <w:rsid w:val="00D2687A"/>
    <w:rsid w:val="00D27616"/>
    <w:rsid w:val="00D3196F"/>
    <w:rsid w:val="00D347EB"/>
    <w:rsid w:val="00D35934"/>
    <w:rsid w:val="00D36271"/>
    <w:rsid w:val="00D3705C"/>
    <w:rsid w:val="00D37B5C"/>
    <w:rsid w:val="00D37E07"/>
    <w:rsid w:val="00D40CE0"/>
    <w:rsid w:val="00D41D5D"/>
    <w:rsid w:val="00D47876"/>
    <w:rsid w:val="00D47DA9"/>
    <w:rsid w:val="00D52EC3"/>
    <w:rsid w:val="00D545E1"/>
    <w:rsid w:val="00D54C83"/>
    <w:rsid w:val="00D5588C"/>
    <w:rsid w:val="00D55B77"/>
    <w:rsid w:val="00D567AF"/>
    <w:rsid w:val="00D63444"/>
    <w:rsid w:val="00D6515B"/>
    <w:rsid w:val="00D659F2"/>
    <w:rsid w:val="00D6624E"/>
    <w:rsid w:val="00D70097"/>
    <w:rsid w:val="00D728E0"/>
    <w:rsid w:val="00D77577"/>
    <w:rsid w:val="00D779A4"/>
    <w:rsid w:val="00D8256F"/>
    <w:rsid w:val="00D83E86"/>
    <w:rsid w:val="00D84316"/>
    <w:rsid w:val="00D85534"/>
    <w:rsid w:val="00D85926"/>
    <w:rsid w:val="00D85D03"/>
    <w:rsid w:val="00D86C12"/>
    <w:rsid w:val="00D878C0"/>
    <w:rsid w:val="00D90BBC"/>
    <w:rsid w:val="00D94CEA"/>
    <w:rsid w:val="00D97396"/>
    <w:rsid w:val="00DA04AD"/>
    <w:rsid w:val="00DA3476"/>
    <w:rsid w:val="00DA5677"/>
    <w:rsid w:val="00DA5AB2"/>
    <w:rsid w:val="00DA5D5B"/>
    <w:rsid w:val="00DB2675"/>
    <w:rsid w:val="00DB2E00"/>
    <w:rsid w:val="00DB3516"/>
    <w:rsid w:val="00DB7131"/>
    <w:rsid w:val="00DB72E9"/>
    <w:rsid w:val="00DC0FF2"/>
    <w:rsid w:val="00DC13D7"/>
    <w:rsid w:val="00DC1D61"/>
    <w:rsid w:val="00DC3B99"/>
    <w:rsid w:val="00DC5D24"/>
    <w:rsid w:val="00DC665E"/>
    <w:rsid w:val="00DC6DB9"/>
    <w:rsid w:val="00DD0084"/>
    <w:rsid w:val="00DD1A61"/>
    <w:rsid w:val="00DD3120"/>
    <w:rsid w:val="00DD402C"/>
    <w:rsid w:val="00DD455C"/>
    <w:rsid w:val="00DD4BE1"/>
    <w:rsid w:val="00DD54CD"/>
    <w:rsid w:val="00DD5668"/>
    <w:rsid w:val="00DE302B"/>
    <w:rsid w:val="00DE36CE"/>
    <w:rsid w:val="00DE3BD2"/>
    <w:rsid w:val="00DE44E4"/>
    <w:rsid w:val="00DE59E9"/>
    <w:rsid w:val="00DF06DC"/>
    <w:rsid w:val="00DF08B8"/>
    <w:rsid w:val="00DF09FE"/>
    <w:rsid w:val="00DF2043"/>
    <w:rsid w:val="00DF50D3"/>
    <w:rsid w:val="00DF56F8"/>
    <w:rsid w:val="00E0013F"/>
    <w:rsid w:val="00E02309"/>
    <w:rsid w:val="00E06554"/>
    <w:rsid w:val="00E0680C"/>
    <w:rsid w:val="00E06999"/>
    <w:rsid w:val="00E06C6E"/>
    <w:rsid w:val="00E119D5"/>
    <w:rsid w:val="00E122AB"/>
    <w:rsid w:val="00E13055"/>
    <w:rsid w:val="00E13103"/>
    <w:rsid w:val="00E13215"/>
    <w:rsid w:val="00E138B8"/>
    <w:rsid w:val="00E13A34"/>
    <w:rsid w:val="00E15516"/>
    <w:rsid w:val="00E170F0"/>
    <w:rsid w:val="00E17298"/>
    <w:rsid w:val="00E21002"/>
    <w:rsid w:val="00E30245"/>
    <w:rsid w:val="00E3091E"/>
    <w:rsid w:val="00E315DF"/>
    <w:rsid w:val="00E317A6"/>
    <w:rsid w:val="00E33AF9"/>
    <w:rsid w:val="00E35C12"/>
    <w:rsid w:val="00E373C0"/>
    <w:rsid w:val="00E406EC"/>
    <w:rsid w:val="00E40DC1"/>
    <w:rsid w:val="00E41774"/>
    <w:rsid w:val="00E42BDD"/>
    <w:rsid w:val="00E43985"/>
    <w:rsid w:val="00E440F5"/>
    <w:rsid w:val="00E463D0"/>
    <w:rsid w:val="00E47F4F"/>
    <w:rsid w:val="00E503D4"/>
    <w:rsid w:val="00E50F7E"/>
    <w:rsid w:val="00E55CF5"/>
    <w:rsid w:val="00E604E8"/>
    <w:rsid w:val="00E64279"/>
    <w:rsid w:val="00E64BED"/>
    <w:rsid w:val="00E71712"/>
    <w:rsid w:val="00E72A3C"/>
    <w:rsid w:val="00E73E0D"/>
    <w:rsid w:val="00E7577E"/>
    <w:rsid w:val="00E7731F"/>
    <w:rsid w:val="00E810A9"/>
    <w:rsid w:val="00E8365F"/>
    <w:rsid w:val="00E86107"/>
    <w:rsid w:val="00E869E9"/>
    <w:rsid w:val="00E86DC8"/>
    <w:rsid w:val="00E90318"/>
    <w:rsid w:val="00E929B4"/>
    <w:rsid w:val="00E961C0"/>
    <w:rsid w:val="00E96336"/>
    <w:rsid w:val="00E96E8B"/>
    <w:rsid w:val="00E975A3"/>
    <w:rsid w:val="00EA2D94"/>
    <w:rsid w:val="00EA4427"/>
    <w:rsid w:val="00EA56F5"/>
    <w:rsid w:val="00EA6184"/>
    <w:rsid w:val="00EA6C46"/>
    <w:rsid w:val="00EA75F3"/>
    <w:rsid w:val="00EB13B5"/>
    <w:rsid w:val="00EB1EA6"/>
    <w:rsid w:val="00EB2CC4"/>
    <w:rsid w:val="00EB3C01"/>
    <w:rsid w:val="00EB3CD2"/>
    <w:rsid w:val="00EB3ECD"/>
    <w:rsid w:val="00EB4672"/>
    <w:rsid w:val="00EB64C7"/>
    <w:rsid w:val="00EB66BE"/>
    <w:rsid w:val="00EB6E21"/>
    <w:rsid w:val="00EB7CD2"/>
    <w:rsid w:val="00EC01AB"/>
    <w:rsid w:val="00EC4A84"/>
    <w:rsid w:val="00EC5C41"/>
    <w:rsid w:val="00ED02BA"/>
    <w:rsid w:val="00ED03D1"/>
    <w:rsid w:val="00ED1027"/>
    <w:rsid w:val="00ED403D"/>
    <w:rsid w:val="00ED6C1B"/>
    <w:rsid w:val="00ED78E0"/>
    <w:rsid w:val="00EE0B4B"/>
    <w:rsid w:val="00EE1DB9"/>
    <w:rsid w:val="00EE2573"/>
    <w:rsid w:val="00EE262B"/>
    <w:rsid w:val="00EE429E"/>
    <w:rsid w:val="00EE620A"/>
    <w:rsid w:val="00EF0995"/>
    <w:rsid w:val="00EF10EE"/>
    <w:rsid w:val="00EF373E"/>
    <w:rsid w:val="00EF5FA5"/>
    <w:rsid w:val="00EF65B2"/>
    <w:rsid w:val="00EF73EC"/>
    <w:rsid w:val="00F009B0"/>
    <w:rsid w:val="00F032D3"/>
    <w:rsid w:val="00F038A6"/>
    <w:rsid w:val="00F04084"/>
    <w:rsid w:val="00F072F1"/>
    <w:rsid w:val="00F07D46"/>
    <w:rsid w:val="00F10C3F"/>
    <w:rsid w:val="00F13AD7"/>
    <w:rsid w:val="00F13F49"/>
    <w:rsid w:val="00F14639"/>
    <w:rsid w:val="00F148A9"/>
    <w:rsid w:val="00F14AA8"/>
    <w:rsid w:val="00F14DBB"/>
    <w:rsid w:val="00F1638D"/>
    <w:rsid w:val="00F20E1B"/>
    <w:rsid w:val="00F21CDA"/>
    <w:rsid w:val="00F23B21"/>
    <w:rsid w:val="00F246CE"/>
    <w:rsid w:val="00F24D18"/>
    <w:rsid w:val="00F26077"/>
    <w:rsid w:val="00F26114"/>
    <w:rsid w:val="00F26B23"/>
    <w:rsid w:val="00F26C3B"/>
    <w:rsid w:val="00F270C7"/>
    <w:rsid w:val="00F27EDD"/>
    <w:rsid w:val="00F27FD6"/>
    <w:rsid w:val="00F3143D"/>
    <w:rsid w:val="00F33416"/>
    <w:rsid w:val="00F35C86"/>
    <w:rsid w:val="00F36B5C"/>
    <w:rsid w:val="00F40F00"/>
    <w:rsid w:val="00F41D5E"/>
    <w:rsid w:val="00F42745"/>
    <w:rsid w:val="00F43725"/>
    <w:rsid w:val="00F437D6"/>
    <w:rsid w:val="00F43AB9"/>
    <w:rsid w:val="00F450AD"/>
    <w:rsid w:val="00F450E5"/>
    <w:rsid w:val="00F47916"/>
    <w:rsid w:val="00F505FC"/>
    <w:rsid w:val="00F51EE7"/>
    <w:rsid w:val="00F52815"/>
    <w:rsid w:val="00F553F3"/>
    <w:rsid w:val="00F56866"/>
    <w:rsid w:val="00F57F58"/>
    <w:rsid w:val="00F60A47"/>
    <w:rsid w:val="00F62EAD"/>
    <w:rsid w:val="00F634F4"/>
    <w:rsid w:val="00F675BF"/>
    <w:rsid w:val="00F70281"/>
    <w:rsid w:val="00F71336"/>
    <w:rsid w:val="00F7154D"/>
    <w:rsid w:val="00F71D2D"/>
    <w:rsid w:val="00F724DE"/>
    <w:rsid w:val="00F72D7A"/>
    <w:rsid w:val="00F740EE"/>
    <w:rsid w:val="00F749DF"/>
    <w:rsid w:val="00F75BA1"/>
    <w:rsid w:val="00F817F1"/>
    <w:rsid w:val="00F81B52"/>
    <w:rsid w:val="00F81CC0"/>
    <w:rsid w:val="00F82CB8"/>
    <w:rsid w:val="00F85F6E"/>
    <w:rsid w:val="00F8649C"/>
    <w:rsid w:val="00F86A78"/>
    <w:rsid w:val="00F87AF6"/>
    <w:rsid w:val="00F91CF9"/>
    <w:rsid w:val="00F92CB1"/>
    <w:rsid w:val="00F938A2"/>
    <w:rsid w:val="00F94168"/>
    <w:rsid w:val="00F95B94"/>
    <w:rsid w:val="00F95DB1"/>
    <w:rsid w:val="00F976A2"/>
    <w:rsid w:val="00F97B35"/>
    <w:rsid w:val="00FA0586"/>
    <w:rsid w:val="00FA0730"/>
    <w:rsid w:val="00FA1CD5"/>
    <w:rsid w:val="00FA1E86"/>
    <w:rsid w:val="00FA4E92"/>
    <w:rsid w:val="00FA69E7"/>
    <w:rsid w:val="00FA731F"/>
    <w:rsid w:val="00FA7B93"/>
    <w:rsid w:val="00FB254C"/>
    <w:rsid w:val="00FB71BB"/>
    <w:rsid w:val="00FC12D7"/>
    <w:rsid w:val="00FC2067"/>
    <w:rsid w:val="00FC3D13"/>
    <w:rsid w:val="00FC459E"/>
    <w:rsid w:val="00FC45CB"/>
    <w:rsid w:val="00FC4A41"/>
    <w:rsid w:val="00FC4B4F"/>
    <w:rsid w:val="00FC50A5"/>
    <w:rsid w:val="00FC5746"/>
    <w:rsid w:val="00FC6349"/>
    <w:rsid w:val="00FD0EAD"/>
    <w:rsid w:val="00FD12AD"/>
    <w:rsid w:val="00FD2145"/>
    <w:rsid w:val="00FD489A"/>
    <w:rsid w:val="00FD5304"/>
    <w:rsid w:val="00FD5F2C"/>
    <w:rsid w:val="00FD7618"/>
    <w:rsid w:val="00FE6C14"/>
    <w:rsid w:val="00FE7152"/>
    <w:rsid w:val="00FE7A81"/>
    <w:rsid w:val="00FE7C8F"/>
    <w:rsid w:val="00FE7DFF"/>
    <w:rsid w:val="00FF0292"/>
    <w:rsid w:val="00FF3ACB"/>
    <w:rsid w:val="00FF41CD"/>
    <w:rsid w:val="00FF428A"/>
    <w:rsid w:val="00FF5CB7"/>
    <w:rsid w:val="00FF60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3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90" w:qFormat="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90"/>
    <w:qFormat/>
    <w:pPr>
      <w:spacing w:after="240"/>
      <w:jc w:val="both"/>
    </w:pPr>
  </w:style>
  <w:style w:type="paragraph" w:styleId="Heading1">
    <w:name w:val="heading 1"/>
    <w:basedOn w:val="Normal"/>
    <w:next w:val="Text1"/>
    <w:link w:val="Heading1Char1"/>
    <w:uiPriority w:val="90"/>
    <w:qFormat/>
    <w:rsid w:val="002F7CB2"/>
    <w:pPr>
      <w:keepNext/>
      <w:numPr>
        <w:numId w:val="37"/>
      </w:numPr>
      <w:spacing w:before="240"/>
      <w:outlineLvl w:val="0"/>
    </w:pPr>
    <w:rPr>
      <w:b/>
      <w:smallCaps/>
    </w:rPr>
  </w:style>
  <w:style w:type="paragraph" w:styleId="Heading2">
    <w:name w:val="heading 2"/>
    <w:basedOn w:val="Normal"/>
    <w:next w:val="Text2"/>
    <w:uiPriority w:val="90"/>
    <w:qFormat/>
    <w:rsid w:val="002F7CB2"/>
    <w:pPr>
      <w:keepNext/>
      <w:numPr>
        <w:ilvl w:val="1"/>
        <w:numId w:val="16"/>
      </w:numPr>
      <w:outlineLvl w:val="1"/>
    </w:pPr>
    <w:rPr>
      <w:b/>
    </w:rPr>
  </w:style>
  <w:style w:type="paragraph" w:styleId="Heading3">
    <w:name w:val="heading 3"/>
    <w:basedOn w:val="Normal"/>
    <w:next w:val="Text3"/>
    <w:uiPriority w:val="90"/>
    <w:qFormat/>
    <w:pPr>
      <w:keepNext/>
      <w:numPr>
        <w:ilvl w:val="2"/>
        <w:numId w:val="37"/>
      </w:numPr>
      <w:outlineLvl w:val="2"/>
    </w:pPr>
    <w:rPr>
      <w:i/>
    </w:rPr>
  </w:style>
  <w:style w:type="paragraph" w:styleId="Heading4">
    <w:name w:val="heading 4"/>
    <w:basedOn w:val="Normal"/>
    <w:next w:val="Text4"/>
    <w:uiPriority w:val="90"/>
    <w:qFormat/>
    <w:pPr>
      <w:keepNext/>
      <w:numPr>
        <w:ilvl w:val="3"/>
        <w:numId w:val="37"/>
      </w:numPr>
      <w:outlineLvl w:val="3"/>
    </w:pPr>
  </w:style>
  <w:style w:type="paragraph" w:styleId="Heading5">
    <w:name w:val="heading 5"/>
    <w:basedOn w:val="Normal"/>
    <w:next w:val="Normal"/>
    <w:semiHidden/>
    <w:pPr>
      <w:keepNext/>
      <w:numPr>
        <w:ilvl w:val="4"/>
        <w:numId w:val="37"/>
      </w:numPr>
      <w:outlineLvl w:val="4"/>
    </w:pPr>
  </w:style>
  <w:style w:type="paragraph" w:styleId="Heading6">
    <w:name w:val="heading 6"/>
    <w:basedOn w:val="Normal"/>
    <w:next w:val="Normal"/>
    <w:semiHidden/>
    <w:pPr>
      <w:keepNext/>
      <w:numPr>
        <w:ilvl w:val="5"/>
        <w:numId w:val="37"/>
      </w:numPr>
      <w:outlineLvl w:val="5"/>
    </w:pPr>
  </w:style>
  <w:style w:type="paragraph" w:styleId="Heading7">
    <w:name w:val="heading 7"/>
    <w:basedOn w:val="Normal"/>
    <w:next w:val="Normal"/>
    <w:semiHidden/>
    <w:pPr>
      <w:keepNext/>
      <w:numPr>
        <w:ilvl w:val="6"/>
        <w:numId w:val="37"/>
      </w:numPr>
      <w:outlineLvl w:val="6"/>
    </w:pPr>
  </w:style>
  <w:style w:type="paragraph" w:styleId="Heading8">
    <w:name w:val="heading 8"/>
    <w:basedOn w:val="Normal"/>
    <w:next w:val="Normal"/>
    <w:semiHidden/>
    <w:pPr>
      <w:keepNext/>
      <w:numPr>
        <w:ilvl w:val="7"/>
        <w:numId w:val="37"/>
      </w:numPr>
      <w:outlineLvl w:val="7"/>
    </w:pPr>
  </w:style>
  <w:style w:type="paragraph" w:styleId="Heading9">
    <w:name w:val="heading 9"/>
    <w:basedOn w:val="Normal"/>
    <w:next w:val="Normal"/>
    <w:semiHidden/>
    <w:pPr>
      <w:keepNext/>
      <w:numPr>
        <w:ilvl w:val="8"/>
        <w:numId w:val="3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locked/>
    <w:rsid w:val="00B05C8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05C8C"/>
    <w:rPr>
      <w:rFonts w:ascii="Segoe UI" w:hAnsi="Segoe UI" w:cs="Segoe UI"/>
      <w:sz w:val="18"/>
      <w:szCs w:val="18"/>
    </w:rPr>
  </w:style>
  <w:style w:type="paragraph" w:customStyle="1" w:styleId="Pagedecouverture">
    <w:name w:val="Page de couverture"/>
    <w:basedOn w:val="Normal"/>
    <w:next w:val="Normal"/>
    <w:rsid w:val="00B05C8C"/>
    <w:pPr>
      <w:spacing w:after="0"/>
    </w:pPr>
    <w:rPr>
      <w:rFonts w:eastAsia="Calibri"/>
      <w:szCs w:val="22"/>
    </w:rPr>
  </w:style>
  <w:style w:type="character" w:customStyle="1" w:styleId="FooterChar">
    <w:name w:val="Footer Char"/>
    <w:uiPriority w:val="99"/>
    <w:rsid w:val="00B05C8C"/>
    <w:rPr>
      <w:sz w:val="16"/>
    </w:rPr>
  </w:style>
  <w:style w:type="paragraph" w:customStyle="1" w:styleId="FooterCoverPage">
    <w:name w:val="Footer Cover Page"/>
    <w:basedOn w:val="Normal"/>
    <w:link w:val="FooterCoverPageChar"/>
    <w:rsid w:val="00B05C8C"/>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sid w:val="00B05C8C"/>
  </w:style>
  <w:style w:type="paragraph" w:customStyle="1" w:styleId="HeaderCoverPage">
    <w:name w:val="Header Cover Page"/>
    <w:basedOn w:val="Normal"/>
    <w:link w:val="HeaderCoverPageChar"/>
    <w:rsid w:val="00B05C8C"/>
    <w:pPr>
      <w:tabs>
        <w:tab w:val="center" w:pos="4535"/>
        <w:tab w:val="right" w:pos="9071"/>
      </w:tabs>
      <w:spacing w:after="120"/>
    </w:pPr>
  </w:style>
  <w:style w:type="character" w:customStyle="1" w:styleId="HeaderCoverPageChar">
    <w:name w:val="Header Cover Page Char"/>
    <w:link w:val="HeaderCoverPage"/>
    <w:rsid w:val="00B05C8C"/>
  </w:style>
  <w:style w:type="character" w:customStyle="1" w:styleId="Heading1Char">
    <w:name w:val="Heading 1 Char"/>
    <w:rsid w:val="00B05C8C"/>
    <w:rPr>
      <w:b/>
      <w:smallCaps/>
    </w:rPr>
  </w:style>
  <w:style w:type="character" w:customStyle="1" w:styleId="Heading2Char">
    <w:name w:val="Heading 2 Char"/>
    <w:rsid w:val="00B05C8C"/>
    <w:rPr>
      <w:b/>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uiPriority w:val="99"/>
    <w:rsid w:val="00B05C8C"/>
    <w:rPr>
      <w:sz w:val="20"/>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Nota,R"/>
    <w:link w:val="FootnotesymbolCarZchn"/>
    <w:qFormat/>
    <w:locked/>
    <w:rsid w:val="00B05C8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B05C8C"/>
    <w:pPr>
      <w:spacing w:after="160" w:line="240" w:lineRule="exact"/>
    </w:pPr>
    <w:rPr>
      <w:vertAlign w:val="superscript"/>
    </w:rPr>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rsid w:val="00725AC9"/>
    <w:pPr>
      <w:keepNext/>
      <w:spacing w:after="480"/>
      <w:jc w:val="center"/>
      <w:outlineLvl w:val="0"/>
    </w:pPr>
    <w:rPr>
      <w:b/>
      <w:smallCaps/>
      <w:color w:val="4C4B9A"/>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uiPriority w:val="99"/>
    <w:pPr>
      <w:spacing w:after="0"/>
      <w:ind w:right="-567"/>
      <w:jc w:val="left"/>
    </w:pPr>
    <w:rPr>
      <w:sz w:val="16"/>
    </w:rPr>
  </w:style>
  <w:style w:type="paragraph" w:styleId="FootnoteText">
    <w:name w:val="footnote text"/>
    <w:basedOn w:val="Normal"/>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rsid w:val="00961020"/>
    <w:pPr>
      <w:spacing w:before="240"/>
    </w:p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40"/>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36"/>
      </w:numPr>
    </w:pPr>
  </w:style>
  <w:style w:type="paragraph" w:customStyle="1" w:styleId="ListBulletLevel2">
    <w:name w:val="List Bullet (Level 2)"/>
    <w:basedOn w:val="Text1"/>
    <w:pPr>
      <w:numPr>
        <w:ilvl w:val="1"/>
        <w:numId w:val="36"/>
      </w:numPr>
    </w:pPr>
  </w:style>
  <w:style w:type="paragraph" w:customStyle="1" w:styleId="ListBulletLevel3">
    <w:name w:val="List Bullet (Level 3)"/>
    <w:basedOn w:val="Text1"/>
    <w:semiHidden/>
    <w:unhideWhenUsed/>
    <w:pPr>
      <w:numPr>
        <w:ilvl w:val="2"/>
        <w:numId w:val="36"/>
      </w:numPr>
    </w:pPr>
  </w:style>
  <w:style w:type="paragraph" w:customStyle="1" w:styleId="ListBulletLevel4">
    <w:name w:val="List Bullet (Level 4)"/>
    <w:basedOn w:val="Text1"/>
    <w:semiHidden/>
    <w:unhideWhenUsed/>
    <w:pPr>
      <w:numPr>
        <w:ilvl w:val="3"/>
        <w:numId w:val="36"/>
      </w:numPr>
    </w:pPr>
  </w:style>
  <w:style w:type="paragraph" w:customStyle="1" w:styleId="ListBullet1">
    <w:name w:val="List Bullet 1"/>
    <w:basedOn w:val="Text1"/>
    <w:uiPriority w:val="1"/>
    <w:pPr>
      <w:numPr>
        <w:numId w:val="35"/>
      </w:numPr>
    </w:pPr>
  </w:style>
  <w:style w:type="paragraph" w:customStyle="1" w:styleId="ListBullet1Level2">
    <w:name w:val="List Bullet 1 (Level 2)"/>
    <w:basedOn w:val="Text1"/>
    <w:uiPriority w:val="1"/>
    <w:pPr>
      <w:numPr>
        <w:ilvl w:val="1"/>
        <w:numId w:val="35"/>
      </w:numPr>
    </w:pPr>
  </w:style>
  <w:style w:type="paragraph" w:customStyle="1" w:styleId="ListBullet1Level3">
    <w:name w:val="List Bullet 1 (Level 3)"/>
    <w:basedOn w:val="Text1"/>
    <w:uiPriority w:val="1"/>
    <w:semiHidden/>
    <w:unhideWhenUsed/>
    <w:pPr>
      <w:numPr>
        <w:ilvl w:val="2"/>
        <w:numId w:val="35"/>
      </w:numPr>
    </w:pPr>
  </w:style>
  <w:style w:type="paragraph" w:customStyle="1" w:styleId="ListBullet1Level4">
    <w:name w:val="List Bullet 1 (Level 4)"/>
    <w:basedOn w:val="Text1"/>
    <w:uiPriority w:val="1"/>
    <w:semiHidden/>
    <w:unhideWhenUsed/>
    <w:pPr>
      <w:numPr>
        <w:ilvl w:val="3"/>
        <w:numId w:val="35"/>
      </w:numPr>
    </w:pPr>
  </w:style>
  <w:style w:type="paragraph" w:styleId="ListBullet2">
    <w:name w:val="List Bullet 2"/>
    <w:basedOn w:val="Text2"/>
    <w:pPr>
      <w:numPr>
        <w:numId w:val="34"/>
      </w:numPr>
    </w:pPr>
  </w:style>
  <w:style w:type="paragraph" w:customStyle="1" w:styleId="ListBullet2Level2">
    <w:name w:val="List Bullet 2 (Level 2)"/>
    <w:basedOn w:val="Text2"/>
    <w:pPr>
      <w:numPr>
        <w:ilvl w:val="1"/>
        <w:numId w:val="34"/>
      </w:numPr>
    </w:pPr>
  </w:style>
  <w:style w:type="paragraph" w:customStyle="1" w:styleId="ListBullet2Level3">
    <w:name w:val="List Bullet 2 (Level 3)"/>
    <w:basedOn w:val="Text2"/>
    <w:semiHidden/>
    <w:unhideWhenUsed/>
    <w:pPr>
      <w:numPr>
        <w:ilvl w:val="2"/>
        <w:numId w:val="34"/>
      </w:numPr>
    </w:pPr>
  </w:style>
  <w:style w:type="paragraph" w:customStyle="1" w:styleId="ListBullet2Level4">
    <w:name w:val="List Bullet 2 (Level 4)"/>
    <w:basedOn w:val="Text2"/>
    <w:semiHidden/>
    <w:unhideWhenUsed/>
    <w:pPr>
      <w:numPr>
        <w:ilvl w:val="3"/>
        <w:numId w:val="34"/>
      </w:numPr>
    </w:pPr>
  </w:style>
  <w:style w:type="paragraph" w:styleId="ListBullet3">
    <w:name w:val="List Bullet 3"/>
    <w:basedOn w:val="Text3"/>
    <w:pPr>
      <w:numPr>
        <w:numId w:val="33"/>
      </w:numPr>
    </w:pPr>
  </w:style>
  <w:style w:type="paragraph" w:customStyle="1" w:styleId="ListBullet3Level2">
    <w:name w:val="List Bullet 3 (Level 2)"/>
    <w:basedOn w:val="Text3"/>
    <w:pPr>
      <w:numPr>
        <w:ilvl w:val="1"/>
        <w:numId w:val="33"/>
      </w:numPr>
    </w:pPr>
  </w:style>
  <w:style w:type="paragraph" w:customStyle="1" w:styleId="ListBullet3Level3">
    <w:name w:val="List Bullet 3 (Level 3)"/>
    <w:basedOn w:val="Text3"/>
    <w:semiHidden/>
    <w:unhideWhenUsed/>
    <w:pPr>
      <w:numPr>
        <w:ilvl w:val="2"/>
        <w:numId w:val="33"/>
      </w:numPr>
    </w:pPr>
  </w:style>
  <w:style w:type="paragraph" w:customStyle="1" w:styleId="ListBullet3Level4">
    <w:name w:val="List Bullet 3 (Level 4)"/>
    <w:basedOn w:val="Text3"/>
    <w:semiHidden/>
    <w:unhideWhenUsed/>
    <w:pPr>
      <w:numPr>
        <w:ilvl w:val="3"/>
        <w:numId w:val="33"/>
      </w:numPr>
    </w:pPr>
  </w:style>
  <w:style w:type="paragraph" w:styleId="ListBullet4">
    <w:name w:val="List Bullet 4"/>
    <w:basedOn w:val="Text4"/>
    <w:pPr>
      <w:numPr>
        <w:numId w:val="32"/>
      </w:numPr>
    </w:pPr>
  </w:style>
  <w:style w:type="paragraph" w:customStyle="1" w:styleId="ListBullet4Level2">
    <w:name w:val="List Bullet 4 (Level 2)"/>
    <w:basedOn w:val="Text4"/>
    <w:pPr>
      <w:numPr>
        <w:ilvl w:val="1"/>
        <w:numId w:val="32"/>
      </w:numPr>
    </w:pPr>
  </w:style>
  <w:style w:type="paragraph" w:customStyle="1" w:styleId="ListBullet4Level3">
    <w:name w:val="List Bullet 4 (Level 3)"/>
    <w:basedOn w:val="Text4"/>
    <w:semiHidden/>
    <w:unhideWhenUsed/>
    <w:pPr>
      <w:numPr>
        <w:ilvl w:val="2"/>
        <w:numId w:val="32"/>
      </w:numPr>
    </w:pPr>
  </w:style>
  <w:style w:type="paragraph" w:customStyle="1" w:styleId="ListBullet4Level4">
    <w:name w:val="List Bullet 4 (Level 4)"/>
    <w:basedOn w:val="Text4"/>
    <w:semiHidden/>
    <w:unhideWhenUsed/>
    <w:pPr>
      <w:numPr>
        <w:ilvl w:val="3"/>
        <w:numId w:val="32"/>
      </w:numPr>
    </w:pPr>
  </w:style>
  <w:style w:type="paragraph" w:customStyle="1" w:styleId="ListDash">
    <w:name w:val="List Dash"/>
    <w:basedOn w:val="Normal"/>
    <w:pPr>
      <w:numPr>
        <w:numId w:val="26"/>
      </w:numPr>
    </w:pPr>
  </w:style>
  <w:style w:type="paragraph" w:customStyle="1" w:styleId="ListDashLevel2">
    <w:name w:val="List Dash (Level 2)"/>
    <w:basedOn w:val="Normal"/>
    <w:pPr>
      <w:numPr>
        <w:ilvl w:val="1"/>
        <w:numId w:val="26"/>
      </w:numPr>
    </w:pPr>
  </w:style>
  <w:style w:type="paragraph" w:customStyle="1" w:styleId="ListDashLevel3">
    <w:name w:val="List Dash (Level 3)"/>
    <w:basedOn w:val="Normal"/>
    <w:semiHidden/>
    <w:unhideWhenUsed/>
    <w:pPr>
      <w:numPr>
        <w:ilvl w:val="2"/>
        <w:numId w:val="26"/>
      </w:numPr>
    </w:pPr>
  </w:style>
  <w:style w:type="paragraph" w:customStyle="1" w:styleId="ListDashLevel4">
    <w:name w:val="List Dash (Level 4)"/>
    <w:basedOn w:val="Normal"/>
    <w:semiHidden/>
    <w:unhideWhenUsed/>
    <w:pPr>
      <w:numPr>
        <w:ilvl w:val="3"/>
        <w:numId w:val="26"/>
      </w:numPr>
    </w:pPr>
  </w:style>
  <w:style w:type="paragraph" w:customStyle="1" w:styleId="ListDash1">
    <w:name w:val="List Dash 1"/>
    <w:basedOn w:val="Text1"/>
    <w:pPr>
      <w:numPr>
        <w:numId w:val="25"/>
      </w:numPr>
    </w:pPr>
  </w:style>
  <w:style w:type="paragraph" w:customStyle="1" w:styleId="ListDash1Level2">
    <w:name w:val="List Dash 1 (Level 2)"/>
    <w:basedOn w:val="Text1"/>
    <w:pPr>
      <w:numPr>
        <w:ilvl w:val="1"/>
        <w:numId w:val="25"/>
      </w:numPr>
    </w:pPr>
  </w:style>
  <w:style w:type="paragraph" w:customStyle="1" w:styleId="ListDash1Level3">
    <w:name w:val="List Dash 1 (Level 3)"/>
    <w:basedOn w:val="Text1"/>
    <w:semiHidden/>
    <w:unhideWhenUsed/>
    <w:pPr>
      <w:numPr>
        <w:ilvl w:val="2"/>
        <w:numId w:val="25"/>
      </w:numPr>
    </w:pPr>
  </w:style>
  <w:style w:type="paragraph" w:customStyle="1" w:styleId="ListDash1Level4">
    <w:name w:val="List Dash 1 (Level 4)"/>
    <w:basedOn w:val="Text1"/>
    <w:semiHidden/>
    <w:unhideWhenUsed/>
    <w:pPr>
      <w:numPr>
        <w:ilvl w:val="3"/>
        <w:numId w:val="25"/>
      </w:numPr>
    </w:pPr>
  </w:style>
  <w:style w:type="paragraph" w:customStyle="1" w:styleId="ListDash2">
    <w:name w:val="List Dash 2"/>
    <w:basedOn w:val="Text2"/>
    <w:pPr>
      <w:numPr>
        <w:numId w:val="24"/>
      </w:numPr>
    </w:pPr>
  </w:style>
  <w:style w:type="paragraph" w:customStyle="1" w:styleId="ListDash2Level2">
    <w:name w:val="List Dash 2 (Level 2)"/>
    <w:basedOn w:val="Text2"/>
    <w:pPr>
      <w:numPr>
        <w:ilvl w:val="1"/>
        <w:numId w:val="24"/>
      </w:numPr>
    </w:pPr>
  </w:style>
  <w:style w:type="paragraph" w:customStyle="1" w:styleId="ListDash2Level3">
    <w:name w:val="List Dash 2 (Level 3)"/>
    <w:basedOn w:val="Text2"/>
    <w:semiHidden/>
    <w:unhideWhenUsed/>
    <w:pPr>
      <w:numPr>
        <w:ilvl w:val="2"/>
        <w:numId w:val="24"/>
      </w:numPr>
    </w:pPr>
  </w:style>
  <w:style w:type="paragraph" w:customStyle="1" w:styleId="ListDash2Level4">
    <w:name w:val="List Dash 2 (Level 4)"/>
    <w:basedOn w:val="Text2"/>
    <w:semiHidden/>
    <w:unhideWhenUsed/>
    <w:pPr>
      <w:numPr>
        <w:ilvl w:val="3"/>
        <w:numId w:val="24"/>
      </w:numPr>
    </w:pPr>
  </w:style>
  <w:style w:type="paragraph" w:customStyle="1" w:styleId="ListDash3">
    <w:name w:val="List Dash 3"/>
    <w:basedOn w:val="Text3"/>
    <w:pPr>
      <w:numPr>
        <w:numId w:val="23"/>
      </w:numPr>
    </w:pPr>
  </w:style>
  <w:style w:type="paragraph" w:customStyle="1" w:styleId="ListDash3Level2">
    <w:name w:val="List Dash 3 (Level 2)"/>
    <w:basedOn w:val="Text3"/>
    <w:pPr>
      <w:numPr>
        <w:ilvl w:val="1"/>
        <w:numId w:val="23"/>
      </w:numPr>
    </w:pPr>
  </w:style>
  <w:style w:type="paragraph" w:customStyle="1" w:styleId="ListDash3Level3">
    <w:name w:val="List Dash 3 (Level 3)"/>
    <w:basedOn w:val="Text3"/>
    <w:semiHidden/>
    <w:unhideWhenUsed/>
    <w:pPr>
      <w:numPr>
        <w:ilvl w:val="2"/>
        <w:numId w:val="23"/>
      </w:numPr>
    </w:pPr>
  </w:style>
  <w:style w:type="paragraph" w:customStyle="1" w:styleId="ListDash3Level4">
    <w:name w:val="List Dash 3 (Level 4)"/>
    <w:basedOn w:val="Text3"/>
    <w:semiHidden/>
    <w:unhideWhenUsed/>
    <w:pPr>
      <w:numPr>
        <w:ilvl w:val="3"/>
        <w:numId w:val="23"/>
      </w:numPr>
    </w:pPr>
  </w:style>
  <w:style w:type="paragraph" w:customStyle="1" w:styleId="ListDash4">
    <w:name w:val="List Dash 4"/>
    <w:basedOn w:val="Text4"/>
    <w:pPr>
      <w:numPr>
        <w:numId w:val="22"/>
      </w:numPr>
    </w:pPr>
  </w:style>
  <w:style w:type="paragraph" w:customStyle="1" w:styleId="ListDash4Level2">
    <w:name w:val="List Dash 4 (Level 2)"/>
    <w:basedOn w:val="Text4"/>
    <w:pPr>
      <w:numPr>
        <w:ilvl w:val="1"/>
        <w:numId w:val="22"/>
      </w:numPr>
    </w:pPr>
  </w:style>
  <w:style w:type="paragraph" w:customStyle="1" w:styleId="ListDash4Level3">
    <w:name w:val="List Dash 4 (Level 3)"/>
    <w:basedOn w:val="Text4"/>
    <w:semiHidden/>
    <w:unhideWhenUsed/>
    <w:pPr>
      <w:numPr>
        <w:ilvl w:val="2"/>
        <w:numId w:val="22"/>
      </w:numPr>
    </w:pPr>
  </w:style>
  <w:style w:type="paragraph" w:customStyle="1" w:styleId="ListDash4Level4">
    <w:name w:val="List Dash 4 (Level 4)"/>
    <w:basedOn w:val="Text4"/>
    <w:semiHidden/>
    <w:unhideWhenUsed/>
    <w:pPr>
      <w:numPr>
        <w:ilvl w:val="3"/>
        <w:numId w:val="22"/>
      </w:numPr>
    </w:pPr>
  </w:style>
  <w:style w:type="paragraph" w:styleId="ListNumber">
    <w:name w:val="List Number"/>
    <w:basedOn w:val="Normal"/>
    <w:pPr>
      <w:numPr>
        <w:numId w:val="31"/>
      </w:numPr>
    </w:pPr>
  </w:style>
  <w:style w:type="paragraph" w:customStyle="1" w:styleId="ListNumberLevel2">
    <w:name w:val="List Number (Level 2)"/>
    <w:basedOn w:val="Normal"/>
    <w:pPr>
      <w:numPr>
        <w:ilvl w:val="1"/>
        <w:numId w:val="31"/>
      </w:numPr>
    </w:pPr>
  </w:style>
  <w:style w:type="paragraph" w:customStyle="1" w:styleId="ListNumberLevel3">
    <w:name w:val="List Number (Level 3)"/>
    <w:basedOn w:val="Normal"/>
    <w:semiHidden/>
    <w:unhideWhenUsed/>
    <w:pPr>
      <w:numPr>
        <w:ilvl w:val="2"/>
        <w:numId w:val="31"/>
      </w:numPr>
    </w:pPr>
  </w:style>
  <w:style w:type="paragraph" w:customStyle="1" w:styleId="ListNumberLevel4">
    <w:name w:val="List Number (Level 4)"/>
    <w:basedOn w:val="Normal"/>
    <w:semiHidden/>
    <w:unhideWhenUsed/>
    <w:pPr>
      <w:numPr>
        <w:ilvl w:val="3"/>
        <w:numId w:val="31"/>
      </w:numPr>
    </w:pPr>
  </w:style>
  <w:style w:type="paragraph" w:customStyle="1" w:styleId="ListNumber1">
    <w:name w:val="List Number 1"/>
    <w:basedOn w:val="Text1"/>
    <w:pPr>
      <w:numPr>
        <w:numId w:val="30"/>
      </w:numPr>
    </w:pPr>
  </w:style>
  <w:style w:type="paragraph" w:customStyle="1" w:styleId="ListNumber1Level2">
    <w:name w:val="List Number 1 (Level 2)"/>
    <w:basedOn w:val="Text1"/>
    <w:pPr>
      <w:numPr>
        <w:ilvl w:val="1"/>
        <w:numId w:val="30"/>
      </w:numPr>
    </w:pPr>
  </w:style>
  <w:style w:type="paragraph" w:customStyle="1" w:styleId="ListNumber1Level3">
    <w:name w:val="List Number 1 (Level 3)"/>
    <w:basedOn w:val="Text1"/>
    <w:semiHidden/>
    <w:unhideWhenUsed/>
    <w:pPr>
      <w:numPr>
        <w:ilvl w:val="2"/>
        <w:numId w:val="30"/>
      </w:numPr>
    </w:pPr>
  </w:style>
  <w:style w:type="paragraph" w:customStyle="1" w:styleId="ListNumber1Level4">
    <w:name w:val="List Number 1 (Level 4)"/>
    <w:basedOn w:val="Text1"/>
    <w:semiHidden/>
    <w:unhideWhenUsed/>
    <w:pPr>
      <w:numPr>
        <w:ilvl w:val="3"/>
        <w:numId w:val="30"/>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28"/>
      </w:numPr>
    </w:pPr>
  </w:style>
  <w:style w:type="paragraph" w:customStyle="1" w:styleId="ListNumber3Level2">
    <w:name w:val="List Number 3 (Level 2)"/>
    <w:basedOn w:val="Text3"/>
    <w:pPr>
      <w:numPr>
        <w:ilvl w:val="1"/>
        <w:numId w:val="28"/>
      </w:numPr>
    </w:pPr>
  </w:style>
  <w:style w:type="paragraph" w:customStyle="1" w:styleId="ListNumber3Level3">
    <w:name w:val="List Number 3 (Level 3)"/>
    <w:basedOn w:val="Text3"/>
    <w:semiHidden/>
    <w:unhideWhenUsed/>
    <w:pPr>
      <w:numPr>
        <w:ilvl w:val="2"/>
        <w:numId w:val="28"/>
      </w:numPr>
    </w:pPr>
  </w:style>
  <w:style w:type="paragraph" w:customStyle="1" w:styleId="ListNumber3Level4">
    <w:name w:val="List Number 3 (Level 4)"/>
    <w:basedOn w:val="Text3"/>
    <w:semiHidden/>
    <w:unhideWhenUsed/>
    <w:pPr>
      <w:numPr>
        <w:ilvl w:val="3"/>
        <w:numId w:val="28"/>
      </w:numPr>
    </w:pPr>
  </w:style>
  <w:style w:type="paragraph" w:styleId="ListNumber4">
    <w:name w:val="List Number 4"/>
    <w:basedOn w:val="Text4"/>
    <w:pPr>
      <w:numPr>
        <w:numId w:val="27"/>
      </w:numPr>
    </w:pPr>
  </w:style>
  <w:style w:type="paragraph" w:customStyle="1" w:styleId="ListNumber4Level2">
    <w:name w:val="List Number 4 (Level 2)"/>
    <w:basedOn w:val="Text4"/>
    <w:pPr>
      <w:numPr>
        <w:ilvl w:val="1"/>
        <w:numId w:val="27"/>
      </w:numPr>
    </w:pPr>
  </w:style>
  <w:style w:type="paragraph" w:customStyle="1" w:styleId="ListNumber4Level3">
    <w:name w:val="List Number 4 (Level 3)"/>
    <w:basedOn w:val="Text4"/>
    <w:semiHidden/>
    <w:unhideWhenUsed/>
    <w:pPr>
      <w:numPr>
        <w:ilvl w:val="2"/>
        <w:numId w:val="27"/>
      </w:numPr>
    </w:pPr>
  </w:style>
  <w:style w:type="paragraph" w:customStyle="1" w:styleId="ListNumber4Level4">
    <w:name w:val="List Number 4 (Level 4)"/>
    <w:basedOn w:val="Text4"/>
    <w:semiHidden/>
    <w:unhideWhenUsed/>
    <w:pPr>
      <w:numPr>
        <w:ilvl w:val="3"/>
        <w:numId w:val="27"/>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38"/>
      </w:numPr>
      <w:spacing w:line="360" w:lineRule="auto"/>
    </w:pPr>
  </w:style>
  <w:style w:type="paragraph" w:customStyle="1" w:styleId="LegalNumPar2">
    <w:name w:val="LegalNumPar2"/>
    <w:basedOn w:val="Normal"/>
    <w:pPr>
      <w:numPr>
        <w:ilvl w:val="1"/>
        <w:numId w:val="38"/>
      </w:numPr>
      <w:spacing w:line="360" w:lineRule="auto"/>
    </w:pPr>
  </w:style>
  <w:style w:type="paragraph" w:customStyle="1" w:styleId="LegalNumPar3">
    <w:name w:val="LegalNumPar3"/>
    <w:basedOn w:val="Normal"/>
    <w:pPr>
      <w:numPr>
        <w:ilvl w:val="2"/>
        <w:numId w:val="38"/>
      </w:numPr>
      <w:spacing w:line="360" w:lineRule="auto"/>
    </w:pPr>
  </w:style>
  <w:style w:type="paragraph" w:customStyle="1" w:styleId="ContNum">
    <w:name w:val="ContNum"/>
    <w:basedOn w:val="Normal"/>
    <w:uiPriority w:val="90"/>
    <w:qFormat/>
    <w:pPr>
      <w:numPr>
        <w:numId w:val="39"/>
      </w:numPr>
    </w:pPr>
  </w:style>
  <w:style w:type="paragraph" w:customStyle="1" w:styleId="ContNumLevel2">
    <w:name w:val="ContNum (Level 2)"/>
    <w:basedOn w:val="Normal"/>
    <w:pPr>
      <w:numPr>
        <w:ilvl w:val="1"/>
        <w:numId w:val="39"/>
      </w:numPr>
    </w:pPr>
  </w:style>
  <w:style w:type="paragraph" w:customStyle="1" w:styleId="ContNumLevel3">
    <w:name w:val="ContNum (Level 3)"/>
    <w:basedOn w:val="Normal"/>
    <w:pPr>
      <w:numPr>
        <w:ilvl w:val="2"/>
        <w:numId w:val="39"/>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CommentReference">
    <w:name w:val="annotation reference"/>
    <w:basedOn w:val="DefaultParagraphFont"/>
    <w:semiHidden/>
    <w:locked/>
    <w:rsid w:val="00725AC9"/>
    <w:rPr>
      <w:sz w:val="16"/>
      <w:szCs w:val="16"/>
    </w:rPr>
  </w:style>
  <w:style w:type="paragraph" w:styleId="CommentText">
    <w:name w:val="annotation text"/>
    <w:basedOn w:val="Normal"/>
    <w:link w:val="CommentTextChar"/>
    <w:semiHidden/>
    <w:locked/>
    <w:rsid w:val="00725AC9"/>
    <w:rPr>
      <w:sz w:val="20"/>
    </w:rPr>
  </w:style>
  <w:style w:type="character" w:customStyle="1" w:styleId="CommentTextChar">
    <w:name w:val="Comment Text Char"/>
    <w:basedOn w:val="DefaultParagraphFont"/>
    <w:link w:val="CommentText"/>
    <w:semiHidden/>
    <w:rsid w:val="00725AC9"/>
    <w:rPr>
      <w:sz w:val="20"/>
    </w:rPr>
  </w:style>
  <w:style w:type="paragraph" w:styleId="CommentSubject">
    <w:name w:val="annotation subject"/>
    <w:basedOn w:val="CommentText"/>
    <w:next w:val="CommentText"/>
    <w:link w:val="CommentSubjectChar"/>
    <w:semiHidden/>
    <w:locked/>
    <w:rsid w:val="00725AC9"/>
    <w:rPr>
      <w:b/>
      <w:bCs/>
    </w:rPr>
  </w:style>
  <w:style w:type="character" w:customStyle="1" w:styleId="CommentSubjectChar">
    <w:name w:val="Comment Subject Char"/>
    <w:basedOn w:val="CommentTextChar"/>
    <w:link w:val="CommentSubject"/>
    <w:semiHidden/>
    <w:rsid w:val="00725AC9"/>
    <w:rPr>
      <w:b/>
      <w:bCs/>
      <w:sz w:val="20"/>
    </w:rPr>
  </w:style>
  <w:style w:type="table" w:styleId="GridTable4-Accent5">
    <w:name w:val="Grid Table 4 Accent 5"/>
    <w:basedOn w:val="TableNormal"/>
    <w:locked/>
    <w:rsid w:val="00725AC9"/>
    <w:tblPr>
      <w:tblStyleRowBandSize w:val="1"/>
      <w:tblStyleColBandSize w:val="1"/>
      <w:tblBorders>
        <w:top w:val="single" w:sz="4" w:space="0" w:color="FFD966" w:themeColor="accent5" w:themeTint="99"/>
        <w:left w:val="single" w:sz="4" w:space="0" w:color="FFD966" w:themeColor="accent5" w:themeTint="99"/>
        <w:bottom w:val="single" w:sz="4" w:space="0" w:color="FFD966" w:themeColor="accent5" w:themeTint="99"/>
        <w:right w:val="single" w:sz="4" w:space="0" w:color="FFD966" w:themeColor="accent5" w:themeTint="99"/>
        <w:insideH w:val="single" w:sz="4" w:space="0" w:color="FFD966" w:themeColor="accent5" w:themeTint="99"/>
        <w:insideV w:val="single" w:sz="4" w:space="0" w:color="FFD966" w:themeColor="accent5" w:themeTint="99"/>
      </w:tblBorders>
    </w:tblPr>
    <w:tblStylePr w:type="firstRow">
      <w:rPr>
        <w:b/>
        <w:bCs/>
        <w:color w:val="FFFFFF" w:themeColor="background1"/>
      </w:rPr>
      <w:tblPr/>
      <w:tcPr>
        <w:tcBorders>
          <w:top w:val="single" w:sz="4" w:space="0" w:color="FFC000" w:themeColor="accent5"/>
          <w:left w:val="single" w:sz="4" w:space="0" w:color="FFC000" w:themeColor="accent5"/>
          <w:bottom w:val="single" w:sz="4" w:space="0" w:color="FFC000" w:themeColor="accent5"/>
          <w:right w:val="single" w:sz="4" w:space="0" w:color="FFC000" w:themeColor="accent5"/>
          <w:insideH w:val="nil"/>
          <w:insideV w:val="nil"/>
        </w:tcBorders>
        <w:shd w:val="clear" w:color="auto" w:fill="FFC000" w:themeFill="accent5"/>
      </w:tcPr>
    </w:tblStylePr>
    <w:tblStylePr w:type="lastRow">
      <w:rPr>
        <w:b/>
        <w:bCs/>
      </w:rPr>
      <w:tblPr/>
      <w:tcPr>
        <w:tcBorders>
          <w:top w:val="double" w:sz="4" w:space="0" w:color="FFC000" w:themeColor="accent5"/>
        </w:tcBorders>
      </w:tcPr>
    </w:tblStylePr>
    <w:tblStylePr w:type="firstCol">
      <w:rPr>
        <w:b/>
        <w:bCs/>
      </w:rPr>
    </w:tblStylePr>
    <w:tblStylePr w:type="lastCol">
      <w:rPr>
        <w:b/>
        <w:bCs/>
      </w:rPr>
    </w:tblStylePr>
    <w:tblStylePr w:type="band1Vert">
      <w:tblPr/>
      <w:tcPr>
        <w:shd w:val="clear" w:color="auto" w:fill="FFF2CC" w:themeFill="accent5" w:themeFillTint="33"/>
      </w:tcPr>
    </w:tblStylePr>
    <w:tblStylePr w:type="band1Horz">
      <w:tblPr/>
      <w:tcPr>
        <w:shd w:val="clear" w:color="auto" w:fill="FFF2CC" w:themeFill="accent5" w:themeFillTint="33"/>
      </w:tcPr>
    </w:tblStylePr>
  </w:style>
  <w:style w:type="paragraph" w:styleId="Revision">
    <w:name w:val="Revision"/>
    <w:hidden/>
    <w:semiHidden/>
    <w:locked/>
    <w:rsid w:val="001D1E79"/>
  </w:style>
  <w:style w:type="paragraph" w:styleId="ListParagraph">
    <w:name w:val="List Paragraph"/>
    <w:basedOn w:val="Normal"/>
    <w:uiPriority w:val="34"/>
    <w:qFormat/>
    <w:locked/>
    <w:rsid w:val="00E47F4F"/>
    <w:pPr>
      <w:spacing w:after="0"/>
      <w:ind w:left="720"/>
      <w:jc w:val="left"/>
    </w:pPr>
    <w:rPr>
      <w:rFonts w:ascii="Calibri" w:hAnsi="Calibri"/>
      <w:sz w:val="22"/>
      <w:szCs w:val="22"/>
    </w:rPr>
  </w:style>
  <w:style w:type="paragraph" w:customStyle="1" w:styleId="Normal1">
    <w:name w:val="Normal1"/>
    <w:basedOn w:val="Normal"/>
    <w:rsid w:val="00F14AA8"/>
    <w:pPr>
      <w:spacing w:before="100" w:beforeAutospacing="1" w:after="100" w:afterAutospacing="1"/>
      <w:jc w:val="left"/>
    </w:pPr>
    <w:rPr>
      <w:szCs w:val="24"/>
      <w:lang w:eastAsia="fr-FR"/>
    </w:rPr>
  </w:style>
  <w:style w:type="character" w:styleId="Hyperlink">
    <w:name w:val="Hyperlink"/>
    <w:basedOn w:val="DefaultParagraphFont"/>
    <w:uiPriority w:val="99"/>
    <w:semiHidden/>
    <w:locked/>
    <w:rsid w:val="00A753CD"/>
    <w:rPr>
      <w:color w:val="0000FF" w:themeColor="hyperlink"/>
      <w:u w:val="single"/>
    </w:rPr>
  </w:style>
  <w:style w:type="paragraph" w:styleId="NormalWeb">
    <w:name w:val="Normal (Web)"/>
    <w:basedOn w:val="Normal"/>
    <w:uiPriority w:val="99"/>
    <w:unhideWhenUsed/>
    <w:locked/>
    <w:rsid w:val="00681553"/>
    <w:pPr>
      <w:spacing w:before="100" w:beforeAutospacing="1" w:after="100" w:afterAutospacing="1"/>
      <w:jc w:val="left"/>
    </w:pPr>
    <w:rPr>
      <w:szCs w:val="24"/>
      <w:lang w:eastAsia="en-GB"/>
    </w:rPr>
  </w:style>
  <w:style w:type="character" w:customStyle="1" w:styleId="Aucun">
    <w:name w:val="Aucun"/>
    <w:rsid w:val="00936C1D"/>
    <w:rPr>
      <w:lang w:val="lt-LT"/>
    </w:rPr>
  </w:style>
  <w:style w:type="character" w:customStyle="1" w:styleId="aucun0">
    <w:name w:val="aucun"/>
    <w:basedOn w:val="DefaultParagraphFont"/>
    <w:rsid w:val="00011341"/>
  </w:style>
  <w:style w:type="table" w:styleId="TableGrid">
    <w:name w:val="Table Grid"/>
    <w:basedOn w:val="TableNormal"/>
    <w:locked/>
    <w:rsid w:val="0081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010EC7"/>
    <w:rPr>
      <w:color w:val="0000FF"/>
      <w:shd w:val="clear" w:color="auto" w:fill="auto"/>
    </w:rPr>
  </w:style>
  <w:style w:type="paragraph" w:customStyle="1" w:styleId="FooterSensitivity">
    <w:name w:val="Footer Sensitivity"/>
    <w:basedOn w:val="Normal"/>
    <w:link w:val="FooterSensitivityChar"/>
    <w:rsid w:val="00010EC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1Char1">
    <w:name w:val="Heading 1 Char1"/>
    <w:basedOn w:val="DefaultParagraphFont"/>
    <w:link w:val="Heading1"/>
    <w:uiPriority w:val="90"/>
    <w:rsid w:val="0079017F"/>
    <w:rPr>
      <w:b/>
      <w:smallCaps/>
    </w:rPr>
  </w:style>
  <w:style w:type="character" w:customStyle="1" w:styleId="FooterSensitivityChar">
    <w:name w:val="Footer Sensitivity Char"/>
    <w:basedOn w:val="Heading1Char1"/>
    <w:link w:val="FooterSensitivity"/>
    <w:rsid w:val="00010EC7"/>
    <w:rPr>
      <w:b/>
      <w:smallCaps w:val="0"/>
      <w:sz w:val="32"/>
    </w:rPr>
  </w:style>
  <w:style w:type="paragraph" w:customStyle="1" w:styleId="HeaderSensitivity">
    <w:name w:val="Header Sensitivity"/>
    <w:basedOn w:val="Normal"/>
    <w:link w:val="HeaderSensitivityChar"/>
    <w:rsid w:val="00010EC7"/>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1"/>
    <w:link w:val="HeaderSensitivity"/>
    <w:rsid w:val="00010EC7"/>
    <w:rPr>
      <w:b/>
      <w:smallCaps w:val="0"/>
      <w:sz w:val="32"/>
    </w:rPr>
  </w:style>
  <w:style w:type="paragraph" w:customStyle="1" w:styleId="HeaderSensitivityRight">
    <w:name w:val="Header Sensitivity Right"/>
    <w:basedOn w:val="Normal"/>
    <w:link w:val="HeaderSensitivityRightChar"/>
    <w:rsid w:val="0009226B"/>
    <w:pPr>
      <w:spacing w:after="120"/>
      <w:jc w:val="right"/>
    </w:pPr>
    <w:rPr>
      <w:sz w:val="28"/>
    </w:rPr>
  </w:style>
  <w:style w:type="character" w:customStyle="1" w:styleId="HeaderSensitivityRightChar">
    <w:name w:val="Header Sensitivity Right Char"/>
    <w:basedOn w:val="Heading1Char1"/>
    <w:link w:val="HeaderSensitivityRight"/>
    <w:rsid w:val="00010EC7"/>
    <w:rPr>
      <w:b w:val="0"/>
      <w:smallCaps w:val="0"/>
      <w:sz w:val="28"/>
    </w:rPr>
  </w:style>
  <w:style w:type="paragraph" w:customStyle="1" w:styleId="Normal2">
    <w:name w:val="Normal2"/>
    <w:basedOn w:val="Normal"/>
    <w:rsid w:val="00EE262B"/>
    <w:pPr>
      <w:spacing w:before="100" w:beforeAutospacing="1" w:after="100" w:afterAutospacing="1"/>
      <w:jc w:val="left"/>
    </w:pPr>
    <w:rPr>
      <w:szCs w:val="24"/>
      <w:lang w:eastAsia="en-GB"/>
    </w:rPr>
  </w:style>
  <w:style w:type="character" w:customStyle="1" w:styleId="footnotereference0">
    <w:name w:val="footnotereference"/>
    <w:basedOn w:val="DefaultParagraphFont"/>
    <w:rsid w:val="00EE262B"/>
  </w:style>
  <w:style w:type="character" w:styleId="Emphasis">
    <w:name w:val="Emphasis"/>
    <w:basedOn w:val="DefaultParagraphFont"/>
    <w:uiPriority w:val="20"/>
    <w:qFormat/>
    <w:locked/>
    <w:rsid w:val="00CC5543"/>
    <w:rPr>
      <w:i/>
      <w:iCs/>
    </w:rPr>
  </w:style>
  <w:style w:type="paragraph" w:customStyle="1" w:styleId="Disclaimer">
    <w:name w:val="Disclaimer"/>
    <w:basedOn w:val="Normal"/>
    <w:rsid w:val="007A4F8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rsid w:val="00603194"/>
    <w:pPr>
      <w:spacing w:after="0" w:line="276" w:lineRule="auto"/>
      <w:ind w:left="5103"/>
      <w:jc w:val="left"/>
    </w:pPr>
    <w:rPr>
      <w:rFonts w:eastAsiaTheme="minorHAnsi"/>
      <w:sz w:val="28"/>
      <w:szCs w:val="22"/>
    </w:rPr>
  </w:style>
  <w:style w:type="paragraph" w:customStyle="1" w:styleId="DateMarking">
    <w:name w:val="DateMarking"/>
    <w:basedOn w:val="Normal"/>
    <w:rsid w:val="00603194"/>
    <w:pPr>
      <w:spacing w:after="0" w:line="276" w:lineRule="auto"/>
      <w:ind w:left="5103"/>
      <w:jc w:val="left"/>
    </w:pPr>
    <w:rPr>
      <w:rFonts w:eastAsiaTheme="minorHAnsi"/>
      <w:i/>
      <w:sz w:val="28"/>
      <w:szCs w:val="22"/>
    </w:rPr>
  </w:style>
  <w:style w:type="paragraph" w:customStyle="1" w:styleId="ReleasableTo">
    <w:name w:val="ReleasableTo"/>
    <w:basedOn w:val="Normal"/>
    <w:rsid w:val="00603194"/>
    <w:pPr>
      <w:spacing w:after="0" w:line="276" w:lineRule="auto"/>
      <w:ind w:left="5103"/>
      <w:jc w:val="left"/>
    </w:pPr>
    <w:rPr>
      <w:rFonts w:eastAsiaTheme="minorHAnsi"/>
      <w:i/>
      <w:sz w:val="28"/>
      <w:szCs w:val="22"/>
    </w:rPr>
  </w:style>
  <w:style w:type="paragraph" w:styleId="NoSpacing">
    <w:name w:val="No Spacing"/>
    <w:link w:val="NoSpacingChar"/>
    <w:uiPriority w:val="1"/>
    <w:qFormat/>
    <w:locked/>
    <w:rsid w:val="001750D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750D7"/>
    <w:rPr>
      <w:rFonts w:asciiTheme="minorHAnsi" w:eastAsiaTheme="minorEastAsia" w:hAnsiTheme="minorHAnsi" w:cstheme="minorBid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8294">
      <w:bodyDiv w:val="1"/>
      <w:marLeft w:val="0"/>
      <w:marRight w:val="0"/>
      <w:marTop w:val="0"/>
      <w:marBottom w:val="0"/>
      <w:divBdr>
        <w:top w:val="none" w:sz="0" w:space="0" w:color="auto"/>
        <w:left w:val="none" w:sz="0" w:space="0" w:color="auto"/>
        <w:bottom w:val="none" w:sz="0" w:space="0" w:color="auto"/>
        <w:right w:val="none" w:sz="0" w:space="0" w:color="auto"/>
      </w:divBdr>
    </w:div>
    <w:div w:id="71398315">
      <w:bodyDiv w:val="1"/>
      <w:marLeft w:val="0"/>
      <w:marRight w:val="0"/>
      <w:marTop w:val="0"/>
      <w:marBottom w:val="0"/>
      <w:divBdr>
        <w:top w:val="none" w:sz="0" w:space="0" w:color="auto"/>
        <w:left w:val="none" w:sz="0" w:space="0" w:color="auto"/>
        <w:bottom w:val="none" w:sz="0" w:space="0" w:color="auto"/>
        <w:right w:val="none" w:sz="0" w:space="0" w:color="auto"/>
      </w:divBdr>
    </w:div>
    <w:div w:id="100616826">
      <w:bodyDiv w:val="1"/>
      <w:marLeft w:val="0"/>
      <w:marRight w:val="0"/>
      <w:marTop w:val="0"/>
      <w:marBottom w:val="0"/>
      <w:divBdr>
        <w:top w:val="none" w:sz="0" w:space="0" w:color="auto"/>
        <w:left w:val="none" w:sz="0" w:space="0" w:color="auto"/>
        <w:bottom w:val="none" w:sz="0" w:space="0" w:color="auto"/>
        <w:right w:val="none" w:sz="0" w:space="0" w:color="auto"/>
      </w:divBdr>
    </w:div>
    <w:div w:id="120925660">
      <w:bodyDiv w:val="1"/>
      <w:marLeft w:val="0"/>
      <w:marRight w:val="0"/>
      <w:marTop w:val="0"/>
      <w:marBottom w:val="0"/>
      <w:divBdr>
        <w:top w:val="none" w:sz="0" w:space="0" w:color="auto"/>
        <w:left w:val="none" w:sz="0" w:space="0" w:color="auto"/>
        <w:bottom w:val="none" w:sz="0" w:space="0" w:color="auto"/>
        <w:right w:val="none" w:sz="0" w:space="0" w:color="auto"/>
      </w:divBdr>
    </w:div>
    <w:div w:id="217136620">
      <w:bodyDiv w:val="1"/>
      <w:marLeft w:val="0"/>
      <w:marRight w:val="0"/>
      <w:marTop w:val="0"/>
      <w:marBottom w:val="0"/>
      <w:divBdr>
        <w:top w:val="none" w:sz="0" w:space="0" w:color="auto"/>
        <w:left w:val="none" w:sz="0" w:space="0" w:color="auto"/>
        <w:bottom w:val="none" w:sz="0" w:space="0" w:color="auto"/>
        <w:right w:val="none" w:sz="0" w:space="0" w:color="auto"/>
      </w:divBdr>
    </w:div>
    <w:div w:id="219874071">
      <w:bodyDiv w:val="1"/>
      <w:marLeft w:val="0"/>
      <w:marRight w:val="0"/>
      <w:marTop w:val="0"/>
      <w:marBottom w:val="0"/>
      <w:divBdr>
        <w:top w:val="none" w:sz="0" w:space="0" w:color="auto"/>
        <w:left w:val="none" w:sz="0" w:space="0" w:color="auto"/>
        <w:bottom w:val="none" w:sz="0" w:space="0" w:color="auto"/>
        <w:right w:val="none" w:sz="0" w:space="0" w:color="auto"/>
      </w:divBdr>
    </w:div>
    <w:div w:id="252009066">
      <w:bodyDiv w:val="1"/>
      <w:marLeft w:val="0"/>
      <w:marRight w:val="0"/>
      <w:marTop w:val="0"/>
      <w:marBottom w:val="0"/>
      <w:divBdr>
        <w:top w:val="none" w:sz="0" w:space="0" w:color="auto"/>
        <w:left w:val="none" w:sz="0" w:space="0" w:color="auto"/>
        <w:bottom w:val="none" w:sz="0" w:space="0" w:color="auto"/>
        <w:right w:val="none" w:sz="0" w:space="0" w:color="auto"/>
      </w:divBdr>
    </w:div>
    <w:div w:id="402876771">
      <w:bodyDiv w:val="1"/>
      <w:marLeft w:val="0"/>
      <w:marRight w:val="0"/>
      <w:marTop w:val="0"/>
      <w:marBottom w:val="0"/>
      <w:divBdr>
        <w:top w:val="none" w:sz="0" w:space="0" w:color="auto"/>
        <w:left w:val="none" w:sz="0" w:space="0" w:color="auto"/>
        <w:bottom w:val="none" w:sz="0" w:space="0" w:color="auto"/>
        <w:right w:val="none" w:sz="0" w:space="0" w:color="auto"/>
      </w:divBdr>
    </w:div>
    <w:div w:id="556626001">
      <w:bodyDiv w:val="1"/>
      <w:marLeft w:val="0"/>
      <w:marRight w:val="0"/>
      <w:marTop w:val="0"/>
      <w:marBottom w:val="0"/>
      <w:divBdr>
        <w:top w:val="none" w:sz="0" w:space="0" w:color="auto"/>
        <w:left w:val="none" w:sz="0" w:space="0" w:color="auto"/>
        <w:bottom w:val="none" w:sz="0" w:space="0" w:color="auto"/>
        <w:right w:val="none" w:sz="0" w:space="0" w:color="auto"/>
      </w:divBdr>
    </w:div>
    <w:div w:id="636834808">
      <w:bodyDiv w:val="1"/>
      <w:marLeft w:val="0"/>
      <w:marRight w:val="0"/>
      <w:marTop w:val="0"/>
      <w:marBottom w:val="0"/>
      <w:divBdr>
        <w:top w:val="none" w:sz="0" w:space="0" w:color="auto"/>
        <w:left w:val="none" w:sz="0" w:space="0" w:color="auto"/>
        <w:bottom w:val="none" w:sz="0" w:space="0" w:color="auto"/>
        <w:right w:val="none" w:sz="0" w:space="0" w:color="auto"/>
      </w:divBdr>
    </w:div>
    <w:div w:id="849298737">
      <w:bodyDiv w:val="1"/>
      <w:marLeft w:val="0"/>
      <w:marRight w:val="0"/>
      <w:marTop w:val="0"/>
      <w:marBottom w:val="0"/>
      <w:divBdr>
        <w:top w:val="none" w:sz="0" w:space="0" w:color="auto"/>
        <w:left w:val="none" w:sz="0" w:space="0" w:color="auto"/>
        <w:bottom w:val="none" w:sz="0" w:space="0" w:color="auto"/>
        <w:right w:val="none" w:sz="0" w:space="0" w:color="auto"/>
      </w:divBdr>
    </w:div>
    <w:div w:id="873731555">
      <w:bodyDiv w:val="1"/>
      <w:marLeft w:val="0"/>
      <w:marRight w:val="0"/>
      <w:marTop w:val="0"/>
      <w:marBottom w:val="0"/>
      <w:divBdr>
        <w:top w:val="none" w:sz="0" w:space="0" w:color="auto"/>
        <w:left w:val="none" w:sz="0" w:space="0" w:color="auto"/>
        <w:bottom w:val="none" w:sz="0" w:space="0" w:color="auto"/>
        <w:right w:val="none" w:sz="0" w:space="0" w:color="auto"/>
      </w:divBdr>
    </w:div>
    <w:div w:id="877157679">
      <w:bodyDiv w:val="1"/>
      <w:marLeft w:val="0"/>
      <w:marRight w:val="0"/>
      <w:marTop w:val="0"/>
      <w:marBottom w:val="0"/>
      <w:divBdr>
        <w:top w:val="none" w:sz="0" w:space="0" w:color="auto"/>
        <w:left w:val="none" w:sz="0" w:space="0" w:color="auto"/>
        <w:bottom w:val="none" w:sz="0" w:space="0" w:color="auto"/>
        <w:right w:val="none" w:sz="0" w:space="0" w:color="auto"/>
      </w:divBdr>
    </w:div>
    <w:div w:id="1171680365">
      <w:bodyDiv w:val="1"/>
      <w:marLeft w:val="0"/>
      <w:marRight w:val="0"/>
      <w:marTop w:val="0"/>
      <w:marBottom w:val="0"/>
      <w:divBdr>
        <w:top w:val="none" w:sz="0" w:space="0" w:color="auto"/>
        <w:left w:val="none" w:sz="0" w:space="0" w:color="auto"/>
        <w:bottom w:val="none" w:sz="0" w:space="0" w:color="auto"/>
        <w:right w:val="none" w:sz="0" w:space="0" w:color="auto"/>
      </w:divBdr>
    </w:div>
    <w:div w:id="1182476131">
      <w:bodyDiv w:val="1"/>
      <w:marLeft w:val="0"/>
      <w:marRight w:val="0"/>
      <w:marTop w:val="0"/>
      <w:marBottom w:val="0"/>
      <w:divBdr>
        <w:top w:val="none" w:sz="0" w:space="0" w:color="auto"/>
        <w:left w:val="none" w:sz="0" w:space="0" w:color="auto"/>
        <w:bottom w:val="none" w:sz="0" w:space="0" w:color="auto"/>
        <w:right w:val="none" w:sz="0" w:space="0" w:color="auto"/>
      </w:divBdr>
    </w:div>
    <w:div w:id="1185092122">
      <w:bodyDiv w:val="1"/>
      <w:marLeft w:val="0"/>
      <w:marRight w:val="0"/>
      <w:marTop w:val="0"/>
      <w:marBottom w:val="0"/>
      <w:divBdr>
        <w:top w:val="none" w:sz="0" w:space="0" w:color="auto"/>
        <w:left w:val="none" w:sz="0" w:space="0" w:color="auto"/>
        <w:bottom w:val="none" w:sz="0" w:space="0" w:color="auto"/>
        <w:right w:val="none" w:sz="0" w:space="0" w:color="auto"/>
      </w:divBdr>
    </w:div>
    <w:div w:id="1209419268">
      <w:bodyDiv w:val="1"/>
      <w:marLeft w:val="0"/>
      <w:marRight w:val="0"/>
      <w:marTop w:val="0"/>
      <w:marBottom w:val="0"/>
      <w:divBdr>
        <w:top w:val="none" w:sz="0" w:space="0" w:color="auto"/>
        <w:left w:val="none" w:sz="0" w:space="0" w:color="auto"/>
        <w:bottom w:val="none" w:sz="0" w:space="0" w:color="auto"/>
        <w:right w:val="none" w:sz="0" w:space="0" w:color="auto"/>
      </w:divBdr>
    </w:div>
    <w:div w:id="1210148373">
      <w:bodyDiv w:val="1"/>
      <w:marLeft w:val="0"/>
      <w:marRight w:val="0"/>
      <w:marTop w:val="0"/>
      <w:marBottom w:val="0"/>
      <w:divBdr>
        <w:top w:val="none" w:sz="0" w:space="0" w:color="auto"/>
        <w:left w:val="none" w:sz="0" w:space="0" w:color="auto"/>
        <w:bottom w:val="none" w:sz="0" w:space="0" w:color="auto"/>
        <w:right w:val="none" w:sz="0" w:space="0" w:color="auto"/>
      </w:divBdr>
    </w:div>
    <w:div w:id="1243375663">
      <w:bodyDiv w:val="1"/>
      <w:marLeft w:val="0"/>
      <w:marRight w:val="0"/>
      <w:marTop w:val="0"/>
      <w:marBottom w:val="0"/>
      <w:divBdr>
        <w:top w:val="none" w:sz="0" w:space="0" w:color="auto"/>
        <w:left w:val="none" w:sz="0" w:space="0" w:color="auto"/>
        <w:bottom w:val="none" w:sz="0" w:space="0" w:color="auto"/>
        <w:right w:val="none" w:sz="0" w:space="0" w:color="auto"/>
      </w:divBdr>
    </w:div>
    <w:div w:id="1355838770">
      <w:bodyDiv w:val="1"/>
      <w:marLeft w:val="0"/>
      <w:marRight w:val="0"/>
      <w:marTop w:val="0"/>
      <w:marBottom w:val="0"/>
      <w:divBdr>
        <w:top w:val="none" w:sz="0" w:space="0" w:color="auto"/>
        <w:left w:val="none" w:sz="0" w:space="0" w:color="auto"/>
        <w:bottom w:val="none" w:sz="0" w:space="0" w:color="auto"/>
        <w:right w:val="none" w:sz="0" w:space="0" w:color="auto"/>
      </w:divBdr>
    </w:div>
    <w:div w:id="1453938871">
      <w:bodyDiv w:val="1"/>
      <w:marLeft w:val="0"/>
      <w:marRight w:val="0"/>
      <w:marTop w:val="0"/>
      <w:marBottom w:val="0"/>
      <w:divBdr>
        <w:top w:val="none" w:sz="0" w:space="0" w:color="auto"/>
        <w:left w:val="none" w:sz="0" w:space="0" w:color="auto"/>
        <w:bottom w:val="none" w:sz="0" w:space="0" w:color="auto"/>
        <w:right w:val="none" w:sz="0" w:space="0" w:color="auto"/>
      </w:divBdr>
    </w:div>
    <w:div w:id="1524368022">
      <w:bodyDiv w:val="1"/>
      <w:marLeft w:val="0"/>
      <w:marRight w:val="0"/>
      <w:marTop w:val="0"/>
      <w:marBottom w:val="0"/>
      <w:divBdr>
        <w:top w:val="none" w:sz="0" w:space="0" w:color="auto"/>
        <w:left w:val="none" w:sz="0" w:space="0" w:color="auto"/>
        <w:bottom w:val="none" w:sz="0" w:space="0" w:color="auto"/>
        <w:right w:val="none" w:sz="0" w:space="0" w:color="auto"/>
      </w:divBdr>
    </w:div>
    <w:div w:id="1671516935">
      <w:bodyDiv w:val="1"/>
      <w:marLeft w:val="0"/>
      <w:marRight w:val="0"/>
      <w:marTop w:val="0"/>
      <w:marBottom w:val="0"/>
      <w:divBdr>
        <w:top w:val="none" w:sz="0" w:space="0" w:color="auto"/>
        <w:left w:val="none" w:sz="0" w:space="0" w:color="auto"/>
        <w:bottom w:val="none" w:sz="0" w:space="0" w:color="auto"/>
        <w:right w:val="none" w:sz="0" w:space="0" w:color="auto"/>
      </w:divBdr>
    </w:div>
    <w:div w:id="1745762240">
      <w:bodyDiv w:val="1"/>
      <w:marLeft w:val="0"/>
      <w:marRight w:val="0"/>
      <w:marTop w:val="0"/>
      <w:marBottom w:val="0"/>
      <w:divBdr>
        <w:top w:val="none" w:sz="0" w:space="0" w:color="auto"/>
        <w:left w:val="none" w:sz="0" w:space="0" w:color="auto"/>
        <w:bottom w:val="none" w:sz="0" w:space="0" w:color="auto"/>
        <w:right w:val="none" w:sz="0" w:space="0" w:color="auto"/>
      </w:divBdr>
    </w:div>
    <w:div w:id="1768497011">
      <w:bodyDiv w:val="1"/>
      <w:marLeft w:val="0"/>
      <w:marRight w:val="0"/>
      <w:marTop w:val="0"/>
      <w:marBottom w:val="0"/>
      <w:divBdr>
        <w:top w:val="none" w:sz="0" w:space="0" w:color="auto"/>
        <w:left w:val="none" w:sz="0" w:space="0" w:color="auto"/>
        <w:bottom w:val="none" w:sz="0" w:space="0" w:color="auto"/>
        <w:right w:val="none" w:sz="0" w:space="0" w:color="auto"/>
      </w:divBdr>
    </w:div>
    <w:div w:id="1785077488">
      <w:bodyDiv w:val="1"/>
      <w:marLeft w:val="0"/>
      <w:marRight w:val="0"/>
      <w:marTop w:val="0"/>
      <w:marBottom w:val="0"/>
      <w:divBdr>
        <w:top w:val="none" w:sz="0" w:space="0" w:color="auto"/>
        <w:left w:val="none" w:sz="0" w:space="0" w:color="auto"/>
        <w:bottom w:val="none" w:sz="0" w:space="0" w:color="auto"/>
        <w:right w:val="none" w:sz="0" w:space="0" w:color="auto"/>
      </w:divBdr>
    </w:div>
    <w:div w:id="1887796497">
      <w:bodyDiv w:val="1"/>
      <w:marLeft w:val="0"/>
      <w:marRight w:val="0"/>
      <w:marTop w:val="0"/>
      <w:marBottom w:val="0"/>
      <w:divBdr>
        <w:top w:val="none" w:sz="0" w:space="0" w:color="auto"/>
        <w:left w:val="none" w:sz="0" w:space="0" w:color="auto"/>
        <w:bottom w:val="none" w:sz="0" w:space="0" w:color="auto"/>
        <w:right w:val="none" w:sz="0" w:space="0" w:color="auto"/>
      </w:divBdr>
    </w:div>
    <w:div w:id="1981498370">
      <w:bodyDiv w:val="1"/>
      <w:marLeft w:val="0"/>
      <w:marRight w:val="0"/>
      <w:marTop w:val="0"/>
      <w:marBottom w:val="0"/>
      <w:divBdr>
        <w:top w:val="none" w:sz="0" w:space="0" w:color="auto"/>
        <w:left w:val="none" w:sz="0" w:space="0" w:color="auto"/>
        <w:bottom w:val="none" w:sz="0" w:space="0" w:color="auto"/>
        <w:right w:val="none" w:sz="0" w:space="0" w:color="auto"/>
      </w:divBdr>
    </w:div>
    <w:div w:id="208024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yintracomm-collab.ec.europa.eu/dg/budg/NewOwnResP/Shared%20Documents/December%202021/Presentations%20and%20visuals/NGEU%20redemption%20profile%20(first%20funding%20pl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EC Square Sans Pro" panose="020B0506040000020004" pitchFamily="34" charset="0"/>
                <a:ea typeface="+mn-ea"/>
                <a:cs typeface="+mn-cs"/>
              </a:defRPr>
            </a:pPr>
            <a:r>
              <a:rPr lang="en-US" sz="800" dirty="0">
                <a:latin typeface="EC Square Sans Pro" panose="020B0506040000020004" pitchFamily="34" charset="0"/>
              </a:rPr>
              <a:t>NGEU</a:t>
            </a:r>
            <a:r>
              <a:rPr lang="lt-LT" sz="800" baseline="0" dirty="0">
                <a:latin typeface="EC Square Sans Pro" panose="020B0506040000020004" pitchFamily="34" charset="0"/>
              </a:rPr>
              <a:t> skolos likutis p. a.</a:t>
            </a:r>
            <a:r>
              <a:rPr lang="en-US" sz="800" dirty="0">
                <a:latin typeface="EC Square Sans Pro" panose="020B0506040000020004" pitchFamily="34" charset="0"/>
              </a:rPr>
              <a:t>
</a:t>
            </a:r>
            <a:r>
              <a:rPr lang="lt-LT" sz="800" i="1" dirty="0">
                <a:latin typeface="EC Square Sans Pro" panose="020B0506040000020004" pitchFamily="34" charset="0"/>
              </a:rPr>
              <a:t>mlrd.</a:t>
            </a:r>
            <a:r>
              <a:rPr lang="lt-LT" sz="800" i="1" baseline="0" dirty="0">
                <a:latin typeface="EC Square Sans Pro" panose="020B0506040000020004" pitchFamily="34" charset="0"/>
              </a:rPr>
              <a:t> </a:t>
            </a:r>
            <a:r>
              <a:rPr lang="en-US" sz="800" i="1" dirty="0">
                <a:latin typeface="EC Square Sans Pro" panose="020B0506040000020004" pitchFamily="34" charset="0"/>
              </a:rPr>
              <a:t>EUR</a:t>
            </a:r>
            <a:r>
              <a:rPr lang="en-US" sz="800" i="1" dirty="0" smtClean="0">
                <a:latin typeface="EC Square Sans Pro" panose="020B0506040000020004" pitchFamily="34" charset="0"/>
              </a:rPr>
              <a:t> </a:t>
            </a:r>
            <a:endParaRPr lang="en-US" sz="800" i="1" dirty="0">
              <a:latin typeface="EC Square Sans Pro" panose="020B0506040000020004" pitchFamily="34" charset="0"/>
            </a:endParaRPr>
          </a:p>
        </c:rich>
      </c:tx>
      <c:layout>
        <c:manualLayout>
          <c:xMode val="edge"/>
          <c:yMode val="edge"/>
          <c:x val="0.398523024341427"/>
          <c:y val="1.4231913703054296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EC Square Sans Pro" panose="020B0506040000020004" pitchFamily="34" charset="0"/>
              <a:ea typeface="+mn-ea"/>
              <a:cs typeface="+mn-cs"/>
            </a:defRPr>
          </a:pPr>
          <a:endParaRPr lang="en-US"/>
        </a:p>
      </c:txPr>
    </c:title>
    <c:autoTitleDeleted val="0"/>
    <c:plotArea>
      <c:layout>
        <c:manualLayout>
          <c:layoutTarget val="inner"/>
          <c:xMode val="edge"/>
          <c:yMode val="edge"/>
          <c:x val="4.7016029042031511E-2"/>
          <c:y val="0.12688946397607545"/>
          <c:w val="0.9458744243203222"/>
          <c:h val="0.75201656131564143"/>
        </c:manualLayout>
      </c:layout>
      <c:barChart>
        <c:barDir val="col"/>
        <c:grouping val="stacked"/>
        <c:varyColors val="0"/>
        <c:ser>
          <c:idx val="0"/>
          <c:order val="0"/>
          <c:spPr>
            <a:solidFill>
              <a:schemeClr val="tx2"/>
            </a:solidFill>
            <a:ln>
              <a:noFill/>
            </a:ln>
            <a:effectLst/>
          </c:spPr>
          <c:invertIfNegative val="0"/>
          <c:cat>
            <c:numRef>
              <c:f>'FOR COMMS - linear profile'!$C$3:$AM$3</c:f>
              <c:numCache>
                <c:formatCode>m/d/yyyy</c:formatCode>
                <c:ptCount val="37"/>
                <c:pt idx="0">
                  <c:v>44562</c:v>
                </c:pt>
                <c:pt idx="1">
                  <c:v>44927</c:v>
                </c:pt>
                <c:pt idx="2">
                  <c:v>45292</c:v>
                </c:pt>
                <c:pt idx="3">
                  <c:v>45658</c:v>
                </c:pt>
                <c:pt idx="4">
                  <c:v>46023</c:v>
                </c:pt>
                <c:pt idx="5">
                  <c:v>46388</c:v>
                </c:pt>
                <c:pt idx="6">
                  <c:v>46753</c:v>
                </c:pt>
                <c:pt idx="7">
                  <c:v>47119</c:v>
                </c:pt>
                <c:pt idx="8">
                  <c:v>47484</c:v>
                </c:pt>
                <c:pt idx="9">
                  <c:v>47849</c:v>
                </c:pt>
                <c:pt idx="10">
                  <c:v>48214</c:v>
                </c:pt>
                <c:pt idx="11">
                  <c:v>48580</c:v>
                </c:pt>
                <c:pt idx="12">
                  <c:v>48945</c:v>
                </c:pt>
                <c:pt idx="13">
                  <c:v>49310</c:v>
                </c:pt>
                <c:pt idx="14">
                  <c:v>49675</c:v>
                </c:pt>
                <c:pt idx="15">
                  <c:v>50041</c:v>
                </c:pt>
                <c:pt idx="16">
                  <c:v>50406</c:v>
                </c:pt>
                <c:pt idx="17">
                  <c:v>50771</c:v>
                </c:pt>
                <c:pt idx="18">
                  <c:v>51136</c:v>
                </c:pt>
                <c:pt idx="19">
                  <c:v>51502</c:v>
                </c:pt>
                <c:pt idx="20">
                  <c:v>51867</c:v>
                </c:pt>
                <c:pt idx="21">
                  <c:v>52232</c:v>
                </c:pt>
                <c:pt idx="22">
                  <c:v>52597</c:v>
                </c:pt>
                <c:pt idx="23">
                  <c:v>52963</c:v>
                </c:pt>
                <c:pt idx="24">
                  <c:v>53328</c:v>
                </c:pt>
                <c:pt idx="25">
                  <c:v>53693</c:v>
                </c:pt>
                <c:pt idx="26">
                  <c:v>54058</c:v>
                </c:pt>
                <c:pt idx="27">
                  <c:v>54424</c:v>
                </c:pt>
                <c:pt idx="28">
                  <c:v>54789</c:v>
                </c:pt>
                <c:pt idx="29">
                  <c:v>55154</c:v>
                </c:pt>
                <c:pt idx="30">
                  <c:v>55519</c:v>
                </c:pt>
                <c:pt idx="31">
                  <c:v>55885</c:v>
                </c:pt>
                <c:pt idx="32">
                  <c:v>56250</c:v>
                </c:pt>
                <c:pt idx="33">
                  <c:v>56615</c:v>
                </c:pt>
                <c:pt idx="34">
                  <c:v>56980</c:v>
                </c:pt>
                <c:pt idx="35">
                  <c:v>57346</c:v>
                </c:pt>
                <c:pt idx="36">
                  <c:v>57711</c:v>
                </c:pt>
              </c:numCache>
            </c:numRef>
          </c:cat>
          <c:val>
            <c:numRef>
              <c:f>'FOR COMMS - linear profile'!$C$4:$AM$4</c:f>
              <c:numCache>
                <c:formatCode>#,##0.00</c:formatCode>
                <c:ptCount val="37"/>
                <c:pt idx="0">
                  <c:v>235.4787279589645</c:v>
                </c:pt>
                <c:pt idx="1">
                  <c:v>384.4007241992839</c:v>
                </c:pt>
                <c:pt idx="2">
                  <c:v>539.14015187081668</c:v>
                </c:pt>
                <c:pt idx="3">
                  <c:v>675.34691854226287</c:v>
                </c:pt>
                <c:pt idx="4">
                  <c:v>806.92506100000014</c:v>
                </c:pt>
                <c:pt idx="5">
                  <c:v>806.92506100000014</c:v>
                </c:pt>
                <c:pt idx="6">
                  <c:v>791.92506100000014</c:v>
                </c:pt>
                <c:pt idx="7">
                  <c:v>776.92506100000014</c:v>
                </c:pt>
                <c:pt idx="8">
                  <c:v>761.92506100000014</c:v>
                </c:pt>
                <c:pt idx="9">
                  <c:v>746.92506100000014</c:v>
                </c:pt>
                <c:pt idx="10">
                  <c:v>729.99576100000013</c:v>
                </c:pt>
                <c:pt idx="11">
                  <c:v>709.59376100000009</c:v>
                </c:pt>
                <c:pt idx="12">
                  <c:v>685.71906100000012</c:v>
                </c:pt>
                <c:pt idx="13">
                  <c:v>658.37166100000013</c:v>
                </c:pt>
                <c:pt idx="14">
                  <c:v>627.55156100000011</c:v>
                </c:pt>
                <c:pt idx="15">
                  <c:v>593.25881100000015</c:v>
                </c:pt>
                <c:pt idx="16">
                  <c:v>558.9660610000002</c:v>
                </c:pt>
                <c:pt idx="17">
                  <c:v>524.67331100000024</c:v>
                </c:pt>
                <c:pt idx="18">
                  <c:v>490.38056100000023</c:v>
                </c:pt>
                <c:pt idx="19">
                  <c:v>456.08781100000022</c:v>
                </c:pt>
                <c:pt idx="20">
                  <c:v>421.7950610000002</c:v>
                </c:pt>
                <c:pt idx="21">
                  <c:v>387.50231100000019</c:v>
                </c:pt>
                <c:pt idx="22">
                  <c:v>353.20956100000018</c:v>
                </c:pt>
                <c:pt idx="23">
                  <c:v>318.91681100000017</c:v>
                </c:pt>
                <c:pt idx="24">
                  <c:v>284.62406100000015</c:v>
                </c:pt>
                <c:pt idx="25">
                  <c:v>250.33131100000014</c:v>
                </c:pt>
                <c:pt idx="26">
                  <c:v>216.03856100000013</c:v>
                </c:pt>
                <c:pt idx="27">
                  <c:v>181.74581100000012</c:v>
                </c:pt>
                <c:pt idx="28">
                  <c:v>147.4530610000001</c:v>
                </c:pt>
                <c:pt idx="29">
                  <c:v>113.16031100000011</c:v>
                </c:pt>
                <c:pt idx="30">
                  <c:v>80.796861000000106</c:v>
                </c:pt>
                <c:pt idx="31">
                  <c:v>51.906111000000102</c:v>
                </c:pt>
                <c:pt idx="32">
                  <c:v>26.488061000000101</c:v>
                </c:pt>
                <c:pt idx="33">
                  <c:v>4.5427110000001001</c:v>
                </c:pt>
                <c:pt idx="34">
                  <c:v>1.0700610000000985</c:v>
                </c:pt>
                <c:pt idx="35">
                  <c:v>1.0700610000000985</c:v>
                </c:pt>
                <c:pt idx="36">
                  <c:v>1.0700610000000985</c:v>
                </c:pt>
              </c:numCache>
            </c:numRef>
          </c:val>
          <c:extLst>
            <c:ext xmlns:c16="http://schemas.microsoft.com/office/drawing/2014/chart" uri="{C3380CC4-5D6E-409C-BE32-E72D297353CC}">
              <c16:uniqueId val="{00000000-54B1-46AA-AB27-BC440A84A015}"/>
            </c:ext>
          </c:extLst>
        </c:ser>
        <c:dLbls>
          <c:showLegendKey val="0"/>
          <c:showVal val="0"/>
          <c:showCatName val="0"/>
          <c:showSerName val="0"/>
          <c:showPercent val="0"/>
          <c:showBubbleSize val="0"/>
        </c:dLbls>
        <c:gapWidth val="219"/>
        <c:overlap val="100"/>
        <c:axId val="641397560"/>
        <c:axId val="641399856"/>
      </c:barChart>
      <c:dateAx>
        <c:axId val="641397560"/>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EC Square Sans Pro" panose="020B0506040000020004" pitchFamily="34" charset="0"/>
                <a:ea typeface="+mn-ea"/>
                <a:cs typeface="+mn-cs"/>
              </a:defRPr>
            </a:pPr>
            <a:endParaRPr lang="en-US"/>
          </a:p>
        </c:txPr>
        <c:crossAx val="641399856"/>
        <c:crosses val="autoZero"/>
        <c:auto val="1"/>
        <c:lblOffset val="100"/>
        <c:baseTimeUnit val="years"/>
      </c:dateAx>
      <c:valAx>
        <c:axId val="6413998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EC Square Sans Pro" panose="020B0506040000020004" pitchFamily="34" charset="0"/>
                <a:ea typeface="+mn-ea"/>
                <a:cs typeface="+mn-cs"/>
              </a:defRPr>
            </a:pPr>
            <a:endParaRPr lang="en-US"/>
          </a:p>
        </c:txPr>
        <c:crossAx val="641397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GEU">
      <a:dk1>
        <a:srgbClr val="000000"/>
      </a:dk1>
      <a:lt1>
        <a:srgbClr val="FFFFFF"/>
      </a:lt1>
      <a:dk2>
        <a:srgbClr val="D3E8F9"/>
      </a:dk2>
      <a:lt2>
        <a:srgbClr val="034EA2"/>
      </a:lt2>
      <a:accent1>
        <a:srgbClr val="1E858B"/>
      </a:accent1>
      <a:accent2>
        <a:srgbClr val="4BC5DE"/>
      </a:accent2>
      <a:accent3>
        <a:srgbClr val="1EC08A"/>
      </a:accent3>
      <a:accent4>
        <a:srgbClr val="ED8D2F"/>
      </a:accent4>
      <a:accent5>
        <a:srgbClr val="FFC000"/>
      </a:accent5>
      <a:accent6>
        <a:srgbClr val="E76C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C colour scheme">
    <a:dk1>
      <a:srgbClr val="4D4D4D"/>
    </a:dk1>
    <a:lt1>
      <a:srgbClr val="FFFFFF"/>
    </a:lt1>
    <a:dk2>
      <a:srgbClr val="034EA2"/>
    </a:dk2>
    <a:lt2>
      <a:srgbClr val="D3E8F9"/>
    </a:lt2>
    <a:accent1>
      <a:srgbClr val="1E858B"/>
    </a:accent1>
    <a:accent2>
      <a:srgbClr val="4BC5DE"/>
    </a:accent2>
    <a:accent3>
      <a:srgbClr val="1EC08A"/>
    </a:accent3>
    <a:accent4>
      <a:srgbClr val="ED8D2F"/>
    </a:accent4>
    <a:accent5>
      <a:srgbClr val="FFC000"/>
    </a:accent5>
    <a:accent6>
      <a:srgbClr val="E76C53"/>
    </a:accent6>
    <a:hlink>
      <a:srgbClr val="0563C1"/>
    </a:hlink>
    <a:folHlink>
      <a:srgbClr val="24337E"/>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Author Role="Creator" AuthorRoleName="Writer" AuthorRoleId="a4fbaff4-b07c-48b4-a21e-e7b9eedf3796">
  <Id>32fd58c7-d886-411f-a466-88002b05306e</Id>
  <Names>
    <Latin>
      <FirstName>Sebastiano</FirstName>
      <LastName>PUTOTO</LastName>
    </Latin>
    <Greek>
      <FirstName/>
      <LastName/>
    </Greek>
    <Cyrillic>
      <FirstName/>
      <LastName/>
    </Cyrillic>
    <DocumentScript>
      <FirstName>Sebastiano</FirstName>
      <LastName>PUTOTO</LastName>
      <FullName>Sebastiano PUTOTO</FullName>
    </DocumentScript>
  </Names>
  <Initials>SP</Initials>
  <Gender>m</Gender>
  <Email>Sebastiano.PUTOTO@ec.europa.eu</Email>
  <Service>BUDG.B.4</Service>
  <Function ADCode="" ShowInSignature="true" ShowInHeader="false" HeaderText=""/>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e2d92a08-5217-4f6c-88b3-d45ea3eb735f</Id>
    <LogicalLevel>2</LogicalLevel>
    <Name>BUDG.B</Name>
    <HeadLine1>Revenue and Multiannual financial framework</HeadLine1>
    <HeadLine2/>
    <PrimaryAddressId>f03b5801-04c9-4931-aa17-c6d6c70bc579</PrimaryAddressId>
    <SecondaryAddressId/>
    <WebAddress/>
    <InheritedWebAddress>WebAddress</InheritedWebAddress>
    <ShowInHeader>true</ShowInHeader>
  </OrgaEntity2>
  <OrgaEntity3>
    <Id>5db48b94-55b0-4ae1-a8e5-ba7f9674c676</Id>
    <LogicalLevel>3</LogicalLevel>
    <Name>BUDG.B.4</Name>
    <HeadLine1>Revenue policy and Control of other own resources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+32 229-95648</Phone>
    <Office>BRE2 10/416</Office>
  </MainWorkplace>
  <Workplaces>
    <Workplace IsMain="false">
      <AddressId>1264fb81-f6bb-475e-9f9d-a937d3be6ee2</AddressId>
      <Fax/>
      <Phone/>
      <Office/>
    </Workplace>
    <Workplace IsMain="true">
      <AddressId>f03b5801-04c9-4931-aa17-c6d6c70bc579</AddressId>
      <Fax/>
      <Phone>+32 229-95648</Phone>
      <Office>BRE2 10/416</Office>
    </Workplace>
  </Workplaces>
</Author>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10.0.40769.0</Version>
    <Date>2020-06-24T17:32:35</Date>
    <Language>EN</Language>
    <Note/>
  </Created>
  <Edited>
    <Version>10.0.42447.0</Version>
    <Date>2021-11-23T17:57:18</Date>
  </Edited>
  <DocumentModel>
    <Id>6cbda13a-4db2-46c6-876a-ef72275827ef</Id>
    <Name>Report</Name>
  </DocumentModel>
  <DocumentDate>2020-06-24T17:32:35</DocumentDate>
  <DocumentVersion>0.1</DocumentVersion>
  <CompatibilityMode>Eurolook10</CompatibilityMode>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NHRUTF4F6DR2-326283604-1427</_dlc_DocId>
    <_dlc_DocIdUrl xmlns="b9a1bbf4-3872-40cb-a1a3-b88a292b9176">
      <Url>https://myintracomm-collab.ec.europa.eu/dg/budg/unit-B2-site/_layouts/15/DocIdRedir.aspx?ID=NHRUTF4F6DR2-326283604-1427</Url>
      <Description>NHRUTF4F6DR2-326283604-1427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EACC-7552-4FD1-A5EA-034AB237362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A6599E4-B374-436E-9F75-A5259A78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58D6D1-D3D7-40BE-BBB5-88102261ADC8}">
  <ds:schemaRefs>
    <ds:schemaRef ds:uri="http://schemas.microsoft.com/office/2006/metadata/properties"/>
    <ds:schemaRef ds:uri="http://schemas.microsoft.com/office/infopath/2007/PartnerControls"/>
    <ds:schemaRef ds:uri="1449cb01-ac7f-4105-a4f6-aace6d33820e"/>
    <ds:schemaRef ds:uri="b9a1bbf4-3872-40cb-a1a3-b88a292b9176"/>
  </ds:schemaRefs>
</ds:datastoreItem>
</file>

<file path=customXml/itemProps6.xml><?xml version="1.0" encoding="utf-8"?>
<ds:datastoreItem xmlns:ds="http://schemas.openxmlformats.org/officeDocument/2006/customXml" ds:itemID="{52B1B77A-5068-4EE6-8150-224A22E0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10750</Characters>
  <Application>Microsoft Office Word</Application>
  <DocSecurity>0</DocSecurity>
  <PresentationFormat>Microsoft Word 14.0</PresentationFormat>
  <Lines>160</Lines>
  <Paragraphs>26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2021-12-21T11:21:00Z</dcterms:created>
  <dcterms:modified xsi:type="dcterms:W3CDTF">2022-01-07T10:38:00Z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ontentTypeId">
    <vt:lpwstr>0x010100258AA79CEB83498886A3A086811232500003712021FDB5874F9699F85B57306198</vt:lpwstr>
  </property>
  <property fmtid="{D5CDD505-2E9C-101B-9397-08002B2CF9AE}" pid="4" name="_dlc_DocIdItemGuid">
    <vt:lpwstr>71853f74-933d-4924-a065-e81879e35405</vt:lpwstr>
  </property>
  <property fmtid="{D5CDD505-2E9C-101B-9397-08002B2CF9AE}" pid="5" name="Level of sensitivity">
    <vt:lpwstr>Standard treatment</vt:lpwstr>
  </property>
  <property fmtid="{D5CDD505-2E9C-101B-9397-08002B2CF9AE}" pid="6" name="Last edited using">
    <vt:lpwstr>LW 7.0.1, Build 20200226</vt:lpwstr>
  </property>
  <property fmtid="{D5CDD505-2E9C-101B-9397-08002B2CF9AE}" pid="7" name="_LW_INVALIDATED_ContentTypeId">
    <vt:lpwstr>0x010100258AA79CEB83498886A3A086811232500003712021FDB5874F9699F85B57306198</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CP-014</vt:lpwstr>
  </property>
</Properties>
</file>