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F576E" w14:textId="1EE7C79F" w:rsidR="000B7495" w:rsidRDefault="00085A42" w:rsidP="00085A42">
      <w:pPr>
        <w:pStyle w:val="Pagedecouverture"/>
        <w:rPr>
          <w:noProof/>
        </w:rPr>
      </w:pPr>
      <w:bookmarkStart w:id="0" w:name="LW_BM_COVERPAGE"/>
      <w:r>
        <w:rPr>
          <w:noProof/>
        </w:rPr>
        <w:pict w14:anchorId="57682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F6C839F9-8EF0-40AF-AD40-B7308518422F" style="width:455.25pt;height:496.5pt">
            <v:imagedata r:id="rId13" o:title=""/>
          </v:shape>
        </w:pict>
      </w:r>
    </w:p>
    <w:bookmarkEnd w:id="0"/>
    <w:p w14:paraId="5A41E333" w14:textId="77777777" w:rsidR="000B7495" w:rsidRDefault="000B7495" w:rsidP="00E20A1F">
      <w:pPr>
        <w:jc w:val="both"/>
        <w:rPr>
          <w:noProof/>
        </w:rPr>
        <w:sectPr w:rsidR="000B7495" w:rsidSect="00085A42">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Style w:val="TableGrid"/>
        <w:tblW w:w="10188" w:type="dxa"/>
        <w:tblInd w:w="0" w:type="dxa"/>
        <w:tblLook w:val="01E0" w:firstRow="1" w:lastRow="1" w:firstColumn="1" w:lastColumn="1" w:noHBand="0" w:noVBand="0"/>
      </w:tblPr>
      <w:tblGrid>
        <w:gridCol w:w="10188"/>
      </w:tblGrid>
      <w:tr w:rsidR="000B7495" w14:paraId="5CCC3AB9"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CCCCCC"/>
            <w:hideMark/>
          </w:tcPr>
          <w:p w14:paraId="2CB5FD89" w14:textId="77777777" w:rsidR="000B7495" w:rsidRDefault="000B7495" w:rsidP="00E20A1F">
            <w:pPr>
              <w:spacing w:before="60" w:after="60"/>
              <w:jc w:val="both"/>
              <w:rPr>
                <w:rFonts w:ascii="Tahoma" w:hAnsi="Tahoma" w:cs="Tahoma"/>
                <w:b/>
                <w:noProof/>
              </w:rPr>
            </w:pPr>
            <w:bookmarkStart w:id="1" w:name="_GoBack"/>
            <w:bookmarkEnd w:id="1"/>
            <w:r>
              <w:rPr>
                <w:rFonts w:ascii="Tahoma" w:hAnsi="Tahoma"/>
                <w:b/>
                <w:noProof/>
              </w:rPr>
              <w:lastRenderedPageBreak/>
              <w:t>Kopsavilkuma lapa</w:t>
            </w:r>
          </w:p>
        </w:tc>
      </w:tr>
      <w:tr w:rsidR="000B7495" w14:paraId="69649C89"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1F5AFC3" w14:textId="77777777" w:rsidR="000B7495" w:rsidRDefault="000B7495" w:rsidP="00E20A1F">
            <w:pPr>
              <w:spacing w:before="120" w:after="120"/>
              <w:jc w:val="both"/>
              <w:rPr>
                <w:rFonts w:ascii="Tahoma" w:hAnsi="Tahoma" w:cs="Tahoma"/>
                <w:noProof/>
                <w:color w:val="FFFFFF" w:themeColor="background1"/>
              </w:rPr>
            </w:pPr>
            <w:r>
              <w:rPr>
                <w:rFonts w:ascii="Tahoma" w:hAnsi="Tahoma"/>
                <w:noProof/>
                <w:color w:val="FFFFFF" w:themeColor="background1"/>
              </w:rPr>
              <w:t xml:space="preserve">Ietekmes novērtējums par priekšlikumu pārskatīt Regulu (ES) Nr. 600/2014 par finanšu instrumentu tirgiem (FITR) </w:t>
            </w:r>
          </w:p>
        </w:tc>
      </w:tr>
      <w:tr w:rsidR="000B7495" w14:paraId="596FA1D4"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CCCCCC"/>
            <w:hideMark/>
          </w:tcPr>
          <w:p w14:paraId="53D625A9" w14:textId="77777777" w:rsidR="000B7495" w:rsidRDefault="000B7495" w:rsidP="00E20A1F">
            <w:pPr>
              <w:spacing w:before="60" w:after="60"/>
              <w:jc w:val="both"/>
              <w:rPr>
                <w:rFonts w:ascii="Tahoma" w:hAnsi="Tahoma" w:cs="Tahoma"/>
                <w:b/>
                <w:noProof/>
              </w:rPr>
            </w:pPr>
            <w:r>
              <w:rPr>
                <w:rFonts w:ascii="Tahoma" w:hAnsi="Tahoma"/>
                <w:b/>
                <w:noProof/>
              </w:rPr>
              <w:t>A. Rīcības nepieciešamība</w:t>
            </w:r>
          </w:p>
        </w:tc>
      </w:tr>
      <w:tr w:rsidR="000B7495" w14:paraId="5E41F0BC"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E0E0E0"/>
            <w:hideMark/>
          </w:tcPr>
          <w:p w14:paraId="2AA02F43" w14:textId="77777777" w:rsidR="000B7495" w:rsidRDefault="000B7495" w:rsidP="00E20A1F">
            <w:pPr>
              <w:spacing w:before="60" w:after="60"/>
              <w:jc w:val="both"/>
              <w:rPr>
                <w:rFonts w:ascii="Tahoma" w:hAnsi="Tahoma" w:cs="Tahoma"/>
                <w:noProof/>
              </w:rPr>
            </w:pPr>
            <w:r>
              <w:rPr>
                <w:rFonts w:ascii="Tahoma" w:hAnsi="Tahoma"/>
                <w:b/>
                <w:noProof/>
              </w:rPr>
              <w:t xml:space="preserve">Pamatojums. Risināmā problēma </w:t>
            </w:r>
          </w:p>
        </w:tc>
      </w:tr>
      <w:tr w:rsidR="000B7495" w14:paraId="6EDD18B6" w14:textId="77777777" w:rsidTr="006B20E3">
        <w:tc>
          <w:tcPr>
            <w:tcW w:w="10188" w:type="dxa"/>
            <w:tcBorders>
              <w:top w:val="single" w:sz="4" w:space="0" w:color="auto"/>
              <w:left w:val="single" w:sz="4" w:space="0" w:color="auto"/>
              <w:bottom w:val="single" w:sz="4" w:space="0" w:color="auto"/>
              <w:right w:val="single" w:sz="4" w:space="0" w:color="auto"/>
            </w:tcBorders>
          </w:tcPr>
          <w:p w14:paraId="315A4385" w14:textId="055C4DAE" w:rsidR="006B20E3" w:rsidRPr="004D080C" w:rsidRDefault="00363A9A" w:rsidP="00D04F45">
            <w:pPr>
              <w:jc w:val="both"/>
              <w:rPr>
                <w:i/>
                <w:noProof/>
              </w:rPr>
            </w:pPr>
            <w:r>
              <w:rPr>
                <w:noProof/>
              </w:rPr>
              <w:t xml:space="preserve">Ar FITR pārskatīšanu tiek risinātas </w:t>
            </w:r>
            <w:r>
              <w:rPr>
                <w:b/>
                <w:bCs/>
                <w:noProof/>
              </w:rPr>
              <w:t>trīs problēmas,</w:t>
            </w:r>
            <w:r>
              <w:rPr>
                <w:noProof/>
              </w:rPr>
              <w:t xml:space="preserve"> kuras dominē Savienības kapitāla tirgos: 1) </w:t>
            </w:r>
            <w:r>
              <w:rPr>
                <w:b/>
                <w:bCs/>
                <w:noProof/>
              </w:rPr>
              <w:t>likviditātes un darījumu izpildes risks visiem kapitāla tirgus dalībniekiem</w:t>
            </w:r>
            <w:r>
              <w:rPr>
                <w:noProof/>
              </w:rPr>
              <w:t>; 2) </w:t>
            </w:r>
            <w:r>
              <w:rPr>
                <w:b/>
                <w:bCs/>
                <w:noProof/>
              </w:rPr>
              <w:t>augstas konsolidētu tirgus datu izmaksas</w:t>
            </w:r>
            <w:r>
              <w:rPr>
                <w:noProof/>
              </w:rPr>
              <w:t>; un 3) </w:t>
            </w:r>
            <w:r>
              <w:rPr>
                <w:b/>
                <w:bCs/>
                <w:noProof/>
              </w:rPr>
              <w:t>ekonomiskā pamatojuma trūkums datu konsolidēšanai</w:t>
            </w:r>
            <w:r>
              <w:rPr>
                <w:noProof/>
              </w:rPr>
              <w:t xml:space="preserve">. Saistībā ar FITD, ar ko konkurencei atvēra finanšu instrumentu (piemēram, akciju, obligāciju un atvasināto instrumentu) tirdzniecību, daudzās platformās tagad tiek tirgoti identiski finanšu instrumenti. Tas padara tirdzniecību lētāku, bet arī sadrumstalotu pa vairāk nekā 400 tirdzniecības tirgiem visā Savienībā. Šī sadrumstalotība nozīmē to, ka tirgus dati, kas vajadzīgi investoriem, lai pamatotu savus tirdzniecības lēmumus, arī ir sadrumstaloti. Tikai </w:t>
            </w:r>
            <w:r>
              <w:rPr>
                <w:b/>
                <w:bCs/>
                <w:noProof/>
              </w:rPr>
              <w:t>vispieredzējušākajiem tirgus profesionāļiem</w:t>
            </w:r>
            <w:r>
              <w:rPr>
                <w:noProof/>
              </w:rPr>
              <w:t xml:space="preserve"> (ātrās datorizētās tirdzniecības uzņēmumiem un lielākajām investīciju bankām) ir līdzekļi to iegādei. </w:t>
            </w:r>
            <w:r>
              <w:rPr>
                <w:b/>
                <w:bCs/>
                <w:noProof/>
              </w:rPr>
              <w:t>Vairumam parasto ieguldītāju un to brokeru</w:t>
            </w:r>
            <w:r>
              <w:rPr>
                <w:noProof/>
              </w:rPr>
              <w:t xml:space="preserve"> nav visaptveroša pārskta par ES tirdzniecības tirgiem, un viņi bieži pieņem lēmumus par ieguldījumiem, balstoties uz daļēju priekšstatu par tirgu. </w:t>
            </w:r>
          </w:p>
        </w:tc>
      </w:tr>
      <w:tr w:rsidR="000B7495" w14:paraId="1CA2F8AF"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14:paraId="3309DE54" w14:textId="77777777" w:rsidR="000B7495" w:rsidRDefault="000B7495" w:rsidP="00E20A1F">
            <w:pPr>
              <w:spacing w:before="60" w:after="60"/>
              <w:jc w:val="both"/>
              <w:rPr>
                <w:rFonts w:ascii="Tahoma" w:hAnsi="Tahoma" w:cs="Tahoma"/>
                <w:noProof/>
              </w:rPr>
            </w:pPr>
            <w:r>
              <w:rPr>
                <w:rFonts w:ascii="Tahoma" w:hAnsi="Tahoma"/>
                <w:b/>
                <w:noProof/>
              </w:rPr>
              <w:t xml:space="preserve">Paredzamie šīs iniciatīvas mērķi </w:t>
            </w:r>
          </w:p>
        </w:tc>
      </w:tr>
      <w:tr w:rsidR="006B20E3" w14:paraId="195B7CA0" w14:textId="77777777" w:rsidTr="000B7495">
        <w:tc>
          <w:tcPr>
            <w:tcW w:w="10188" w:type="dxa"/>
            <w:tcBorders>
              <w:top w:val="single" w:sz="4" w:space="0" w:color="auto"/>
              <w:left w:val="single" w:sz="4" w:space="0" w:color="auto"/>
              <w:bottom w:val="single" w:sz="4" w:space="0" w:color="auto"/>
              <w:right w:val="single" w:sz="4" w:space="0" w:color="auto"/>
            </w:tcBorders>
            <w:hideMark/>
          </w:tcPr>
          <w:p w14:paraId="332B25F2" w14:textId="3CE9E120" w:rsidR="006B20E3" w:rsidRPr="00EE297E" w:rsidRDefault="009C0192" w:rsidP="00D04F45">
            <w:pPr>
              <w:ind w:right="-29"/>
              <w:jc w:val="both"/>
              <w:rPr>
                <w:noProof/>
              </w:rPr>
            </w:pPr>
            <w:r>
              <w:rPr>
                <w:noProof/>
              </w:rPr>
              <w:t xml:space="preserve">Lai gan FITR jau ir iekļauta </w:t>
            </w:r>
            <w:r>
              <w:rPr>
                <w:b/>
                <w:bCs/>
                <w:noProof/>
              </w:rPr>
              <w:t>konsolidētu datu lentes</w:t>
            </w:r>
            <w:r>
              <w:rPr>
                <w:noProof/>
              </w:rPr>
              <w:t xml:space="preserve"> pamatsistēma (KDL jeb lente), nav izveidots konsolidētu datu lentes nodrošinātājs nevienai aktīvu klasei, jo nav komerciālas atlīdzības, ir jānoslēdz individuālas licencēšanas vienošanās un darījumu datu kvalitāte ir nepietiekama. Komisija plāno grozīt FITR, lai panāktu efektīvu KDL izveidi, kuras mērķis ir samazināt likviditātes un darījumu izpildes risku visiem tirgus dalībniekiem. Šajā nolūkā jaunajai sistēmai, no vienas puses, būtu jātiecas uzlabot tirgus datu kvalitāti un pavērt ceļu tirgus datu konsolidācijai. No otras puses, tai būtu jāatvieglo tirgus datu licencēšana un jāsniedz ekonomiskais pamatojums tirgus datu konsolidācijai. </w:t>
            </w:r>
          </w:p>
        </w:tc>
      </w:tr>
      <w:tr w:rsidR="006B20E3" w14:paraId="5F8B05DE"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14:paraId="65C8B314" w14:textId="77777777" w:rsidR="006B20E3" w:rsidRDefault="006B20E3" w:rsidP="00E20A1F">
            <w:pPr>
              <w:spacing w:before="60" w:after="60"/>
              <w:jc w:val="both"/>
              <w:rPr>
                <w:rFonts w:ascii="Tahoma" w:hAnsi="Tahoma" w:cs="Tahoma"/>
                <w:noProof/>
              </w:rPr>
            </w:pPr>
            <w:r>
              <w:rPr>
                <w:rFonts w:ascii="Tahoma" w:hAnsi="Tahoma"/>
                <w:b/>
                <w:noProof/>
              </w:rPr>
              <w:t>ES līmeņa rīcības pievienotā vērtība</w:t>
            </w:r>
            <w:r>
              <w:rPr>
                <w:rFonts w:ascii="Tahoma" w:hAnsi="Tahoma"/>
                <w:noProof/>
              </w:rPr>
              <w:t xml:space="preserve"> </w:t>
            </w:r>
          </w:p>
        </w:tc>
      </w:tr>
      <w:tr w:rsidR="006B20E3" w14:paraId="3717E9F8" w14:textId="77777777" w:rsidTr="000B7495">
        <w:tc>
          <w:tcPr>
            <w:tcW w:w="10188" w:type="dxa"/>
            <w:tcBorders>
              <w:top w:val="single" w:sz="4" w:space="0" w:color="auto"/>
              <w:left w:val="single" w:sz="4" w:space="0" w:color="auto"/>
              <w:bottom w:val="single" w:sz="4" w:space="0" w:color="auto"/>
              <w:right w:val="single" w:sz="4" w:space="0" w:color="auto"/>
            </w:tcBorders>
            <w:hideMark/>
          </w:tcPr>
          <w:p w14:paraId="736CFC4C" w14:textId="366FC906" w:rsidR="006B20E3" w:rsidRPr="00921795" w:rsidRDefault="006B20E3" w:rsidP="00DB2F35">
            <w:pPr>
              <w:ind w:right="-29"/>
              <w:jc w:val="both"/>
              <w:rPr>
                <w:noProof/>
              </w:rPr>
            </w:pPr>
            <w:r>
              <w:rPr>
                <w:noProof/>
              </w:rPr>
              <w:t>Datu lente konsolidē tirgus pamatdatus par konkrētu finanšu instrumentu, kas tiek tirgots vairākās tirdzniecības vietās Savienībā. Līdz ar to KDL ir izveidota, lai palielinātu pārredzamību Savienības tirgū un uzticēšanos tam un demokratizētu piekļuvi tirgus pamatdatiem. Tā kā minētā datu lente ir tieši piemērojama visā Savienībā, tās izveide ES līmenī būtu ātrāka un efektīvāka nekā tad, ja līdzīgas iniciatīvas tiktu īstenotas dalībvalstu līmenī.</w:t>
            </w:r>
          </w:p>
        </w:tc>
      </w:tr>
      <w:tr w:rsidR="006B20E3" w14:paraId="266B0396"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CCCCCC"/>
            <w:hideMark/>
          </w:tcPr>
          <w:p w14:paraId="2B779A66" w14:textId="77777777" w:rsidR="006B20E3" w:rsidRDefault="006B20E3" w:rsidP="00E20A1F">
            <w:pPr>
              <w:spacing w:before="60" w:after="60"/>
              <w:jc w:val="both"/>
              <w:rPr>
                <w:rFonts w:ascii="Tahoma" w:hAnsi="Tahoma" w:cs="Tahoma"/>
                <w:b/>
                <w:noProof/>
              </w:rPr>
            </w:pPr>
            <w:r>
              <w:rPr>
                <w:rFonts w:ascii="Tahoma" w:hAnsi="Tahoma"/>
                <w:b/>
                <w:noProof/>
              </w:rPr>
              <w:t>B. Risinājumi</w:t>
            </w:r>
          </w:p>
        </w:tc>
      </w:tr>
      <w:tr w:rsidR="006B20E3" w14:paraId="1CA678EF"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14:paraId="727564BC" w14:textId="77777777" w:rsidR="006B20E3" w:rsidRDefault="006B20E3" w:rsidP="00E20A1F">
            <w:pPr>
              <w:spacing w:before="60"/>
              <w:jc w:val="both"/>
              <w:rPr>
                <w:rFonts w:ascii="Tahoma" w:hAnsi="Tahoma" w:cs="Tahoma"/>
                <w:noProof/>
              </w:rPr>
            </w:pPr>
            <w:r>
              <w:rPr>
                <w:rFonts w:ascii="Tahoma" w:hAnsi="Tahoma"/>
                <w:b/>
                <w:noProof/>
              </w:rPr>
              <w:t>Apsvērtie leģislatīvie un neleģislatīvie politikas risinājumi. Vēlamais variants (ja ir) Pamatojums.</w:t>
            </w:r>
            <w:r>
              <w:rPr>
                <w:rFonts w:ascii="Tahoma" w:hAnsi="Tahoma"/>
                <w:noProof/>
              </w:rPr>
              <w:t xml:space="preserve"> </w:t>
            </w:r>
          </w:p>
        </w:tc>
      </w:tr>
      <w:tr w:rsidR="006B20E3" w14:paraId="2E3A7F22" w14:textId="77777777" w:rsidTr="000B7495">
        <w:tc>
          <w:tcPr>
            <w:tcW w:w="10188" w:type="dxa"/>
            <w:tcBorders>
              <w:top w:val="single" w:sz="4" w:space="0" w:color="auto"/>
              <w:left w:val="single" w:sz="4" w:space="0" w:color="auto"/>
              <w:bottom w:val="single" w:sz="4" w:space="0" w:color="auto"/>
              <w:right w:val="single" w:sz="4" w:space="0" w:color="auto"/>
            </w:tcBorders>
            <w:hideMark/>
          </w:tcPr>
          <w:p w14:paraId="4075A0AF" w14:textId="7428675E" w:rsidR="0036799B" w:rsidRDefault="007F6761" w:rsidP="00E20A1F">
            <w:pPr>
              <w:jc w:val="both"/>
              <w:rPr>
                <w:noProof/>
              </w:rPr>
            </w:pPr>
            <w:r>
              <w:rPr>
                <w:noProof/>
              </w:rPr>
              <w:t>Ziņojumā ir izskatīti divi risinājumu varianti, kurus papildina 2. līmeņa pasākums – </w:t>
            </w:r>
            <w:r>
              <w:rPr>
                <w:b/>
                <w:bCs/>
                <w:noProof/>
              </w:rPr>
              <w:t>tirgus datu lauku saskaņošana bezmaksas obligātai datu sniegšanai</w:t>
            </w:r>
            <w:r>
              <w:rPr>
                <w:noProof/>
              </w:rPr>
              <w:t>, ko veic visas izpildes platformas, kas piedāvā vai veic tirdzniecību ar “vērtspapīriem, par kuriem jāziņo”.</w:t>
            </w:r>
          </w:p>
          <w:p w14:paraId="787776C7" w14:textId="32AAB7A1" w:rsidR="00787BE1" w:rsidRPr="00787BE1" w:rsidRDefault="00787BE1" w:rsidP="00E20A1F">
            <w:pPr>
              <w:jc w:val="both"/>
              <w:rPr>
                <w:b/>
                <w:noProof/>
              </w:rPr>
            </w:pPr>
            <w:r>
              <w:rPr>
                <w:b/>
                <w:noProof/>
              </w:rPr>
              <w:t>1. Risinājumi tirgus datu kvalitātes uzlabošanai / tirgus datu konsolidācijas atvieglošanai (“konsolidācijas iespējas”)</w:t>
            </w:r>
          </w:p>
          <w:p w14:paraId="603183D0" w14:textId="5B170668" w:rsidR="00D65564" w:rsidRDefault="00E8431C" w:rsidP="00E20A1F">
            <w:pPr>
              <w:jc w:val="both"/>
              <w:rPr>
                <w:i/>
                <w:noProof/>
                <w:u w:val="single"/>
              </w:rPr>
            </w:pPr>
            <w:r>
              <w:rPr>
                <w:i/>
                <w:iCs/>
                <w:noProof/>
                <w:u w:val="single"/>
              </w:rPr>
              <w:t>1.1. risinājums (pašapkopošana)</w:t>
            </w:r>
            <w:r>
              <w:rPr>
                <w:i/>
                <w:iCs/>
                <w:noProof/>
              </w:rPr>
              <w:t>:</w:t>
            </w:r>
            <w:r>
              <w:rPr>
                <w:noProof/>
              </w:rPr>
              <w:t xml:space="preserve"> tirgus dalībnieki varētu reģistrēties EVTI kā </w:t>
            </w:r>
            <w:r>
              <w:rPr>
                <w:b/>
                <w:bCs/>
                <w:noProof/>
              </w:rPr>
              <w:t>pašapkopotāji</w:t>
            </w:r>
            <w:r>
              <w:rPr>
                <w:noProof/>
              </w:rPr>
              <w:t>. Tas ļautu tiem apkopot un konsolidēt tirgus datus pašu iekšējai lietošanai tieši savā datu centrā.</w:t>
            </w:r>
          </w:p>
          <w:p w14:paraId="3D052B0B" w14:textId="5FF0B90D" w:rsidR="00D65564" w:rsidRDefault="00D65564" w:rsidP="00E20A1F">
            <w:pPr>
              <w:jc w:val="both"/>
              <w:rPr>
                <w:i/>
                <w:noProof/>
                <w:u w:val="single"/>
              </w:rPr>
            </w:pPr>
            <w:r>
              <w:rPr>
                <w:i/>
                <w:iCs/>
                <w:noProof/>
                <w:u w:val="single"/>
              </w:rPr>
              <w:t>1.2. risinājums (konkurējoši konsolidētāji)</w:t>
            </w:r>
            <w:r>
              <w:rPr>
                <w:noProof/>
              </w:rPr>
              <w:t xml:space="preserve">: </w:t>
            </w:r>
            <w:r>
              <w:rPr>
                <w:b/>
                <w:bCs/>
                <w:noProof/>
              </w:rPr>
              <w:t>konkurējoši tirgus datu konsolidētāji,</w:t>
            </w:r>
            <w:r>
              <w:rPr>
                <w:noProof/>
              </w:rPr>
              <w:t xml:space="preserve"> kas reģistrēti EVTI, apkopotu tirgus datus un konsolidētu tos tieši abonenta datu centrā (decentralizēta konsolidācija), ļaujot samazināt datu latentumu.</w:t>
            </w:r>
          </w:p>
          <w:p w14:paraId="72C2ED66" w14:textId="7A94935A" w:rsidR="00E8431C" w:rsidRDefault="00D65564" w:rsidP="00E20A1F">
            <w:pPr>
              <w:jc w:val="both"/>
              <w:rPr>
                <w:noProof/>
              </w:rPr>
            </w:pPr>
            <w:r>
              <w:rPr>
                <w:i/>
                <w:iCs/>
                <w:noProof/>
                <w:u w:val="single"/>
              </w:rPr>
              <w:t>1.3. risinājums (biržas pārvaldīts konsolidētājs)</w:t>
            </w:r>
            <w:r>
              <w:rPr>
                <w:i/>
                <w:iCs/>
                <w:noProof/>
              </w:rPr>
              <w:t>.</w:t>
            </w:r>
            <w:r>
              <w:rPr>
                <w:noProof/>
              </w:rPr>
              <w:t xml:space="preserve"> ES </w:t>
            </w:r>
            <w:r>
              <w:rPr>
                <w:b/>
                <w:bCs/>
                <w:noProof/>
              </w:rPr>
              <w:t xml:space="preserve">biržas </w:t>
            </w:r>
            <w:r>
              <w:rPr>
                <w:noProof/>
              </w:rPr>
              <w:t xml:space="preserve">attiecībā uz akcijām vai </w:t>
            </w:r>
            <w:r>
              <w:rPr>
                <w:b/>
                <w:bCs/>
                <w:noProof/>
              </w:rPr>
              <w:t xml:space="preserve"> likviditātes primārais centrs</w:t>
            </w:r>
            <w:r>
              <w:rPr>
                <w:noProof/>
              </w:rPr>
              <w:t xml:space="preserve"> attiecībā uz obligācijām un atvasinātajiem instrumentiem konsolidē visus tirdzniecības datus, kuri attiecas uz vērtspapīriem, kurus tie kotē (biržā tirgotas akcijas) vai kuriem tie ir galvenais likviditātes centrs (visas citas aktīvu klases). </w:t>
            </w:r>
          </w:p>
          <w:p w14:paraId="7DC834B0" w14:textId="56AE70A5" w:rsidR="00E8431C" w:rsidRDefault="00E8431C" w:rsidP="00E20A1F">
            <w:pPr>
              <w:jc w:val="both"/>
              <w:rPr>
                <w:noProof/>
              </w:rPr>
            </w:pPr>
            <w:r>
              <w:rPr>
                <w:i/>
                <w:iCs/>
                <w:noProof/>
                <w:u w:val="single"/>
              </w:rPr>
              <w:t>1.4. risinājums (viens konsolidētājs)</w:t>
            </w:r>
            <w:r>
              <w:rPr>
                <w:noProof/>
              </w:rPr>
              <w:t xml:space="preserve">. Visu tirgus datu konsolidācijas uzdevums būtu uzticēts </w:t>
            </w:r>
            <w:r>
              <w:rPr>
                <w:b/>
                <w:bCs/>
                <w:noProof/>
              </w:rPr>
              <w:t>vienam tirgus datu konsolidētājam</w:t>
            </w:r>
            <w:r>
              <w:rPr>
                <w:noProof/>
              </w:rPr>
              <w:t xml:space="preserve">, kuru EVTI izraudzīsies konkursa kārtībā. Konsolidētu datu lentes nodrošinātājs (KDLN) būtu neatkarīgs no visiem datu sniedzējiem. </w:t>
            </w:r>
          </w:p>
          <w:p w14:paraId="720B6171" w14:textId="2A535829" w:rsidR="0066188A" w:rsidRDefault="00E8431C" w:rsidP="004457C4">
            <w:pPr>
              <w:jc w:val="both"/>
              <w:rPr>
                <w:noProof/>
              </w:rPr>
            </w:pPr>
            <w:r>
              <w:rPr>
                <w:i/>
                <w:iCs/>
                <w:noProof/>
                <w:u w:val="single"/>
              </w:rPr>
              <w:t>1.5. risinājums (tirdzniecības koncentrācijas noteikums)</w:t>
            </w:r>
            <w:r>
              <w:rPr>
                <w:noProof/>
              </w:rPr>
              <w:t xml:space="preserve">. Šī iespēja neietvertu KDL, bet gan </w:t>
            </w:r>
            <w:r>
              <w:rPr>
                <w:b/>
                <w:bCs/>
                <w:noProof/>
              </w:rPr>
              <w:t xml:space="preserve">konsolidētu </w:t>
            </w:r>
            <w:r>
              <w:rPr>
                <w:b/>
                <w:bCs/>
                <w:i/>
                <w:iCs/>
                <w:noProof/>
              </w:rPr>
              <w:t>tirdzniecību</w:t>
            </w:r>
            <w:r>
              <w:rPr>
                <w:noProof/>
              </w:rPr>
              <w:t xml:space="preserve"> konkrētā finanšu instrumentu kategorijā noteiktā tirdzniecības platformu kopumā. Veicot konsolidēto tirdzniecību, tirgus datu avoti ir samazināti un vajadzība konsolidēt datus ir mazāk steidzama vai pat lieka. </w:t>
            </w:r>
          </w:p>
          <w:p w14:paraId="6F8CCE45" w14:textId="1FBE8B9A" w:rsidR="00DB02B9" w:rsidRDefault="00DB02B9" w:rsidP="00992E39">
            <w:pPr>
              <w:jc w:val="both"/>
              <w:rPr>
                <w:noProof/>
              </w:rPr>
            </w:pPr>
            <w:r>
              <w:rPr>
                <w:noProof/>
              </w:rPr>
              <w:t xml:space="preserve">Šā kopuma </w:t>
            </w:r>
            <w:r>
              <w:rPr>
                <w:b/>
                <w:bCs/>
                <w:noProof/>
              </w:rPr>
              <w:t>1.2</w:t>
            </w:r>
            <w:r>
              <w:rPr>
                <w:noProof/>
              </w:rPr>
              <w:t xml:space="preserve">. un </w:t>
            </w:r>
            <w:r>
              <w:rPr>
                <w:b/>
                <w:bCs/>
                <w:noProof/>
              </w:rPr>
              <w:t>1.4</w:t>
            </w:r>
            <w:r>
              <w:rPr>
                <w:noProof/>
              </w:rPr>
              <w:t xml:space="preserve">. risinājums ir </w:t>
            </w:r>
            <w:r>
              <w:rPr>
                <w:b/>
                <w:bCs/>
                <w:noProof/>
              </w:rPr>
              <w:t>vēlamie risinājumi</w:t>
            </w:r>
            <w:r>
              <w:rPr>
                <w:noProof/>
              </w:rPr>
              <w:t>: viens vai vairāki konsolidētāji apvienojumā ar iespēju pašapkopot datus (</w:t>
            </w:r>
            <w:r>
              <w:rPr>
                <w:b/>
                <w:bCs/>
                <w:noProof/>
              </w:rPr>
              <w:t>1.1.</w:t>
            </w:r>
            <w:r>
              <w:rPr>
                <w:noProof/>
              </w:rPr>
              <w:t xml:space="preserve"> risinājums ) visefektīvāk nodrošina pēctirdzniecības pamatdatu taisnīgu un efektīvu pieejamību visiem tirgus dalībniekiem, palielinot pēctirdzniecības pārredzamību. ). 1.2. risinājumam ir neliela priekšrocība attiecībā uz optimālas un savlaicīgas tirgus datu kvalitātes sasniegšanu. No otras puses, 1.4. risinājums ir labāks risinājums, sniedzot iespēju par konsolidētāju izvēlēties jaunu tirgus dalībnieku, kas ir pilnīgi neatkarīgs gan no tirgus datu sniedzējiem, gan no tirgus datu uzņēmumiem.  </w:t>
            </w:r>
          </w:p>
          <w:p w14:paraId="76CA6C5F" w14:textId="1358E254" w:rsidR="00992E39" w:rsidRDefault="00992E39" w:rsidP="00992E39">
            <w:pPr>
              <w:jc w:val="both"/>
              <w:rPr>
                <w:b/>
                <w:noProof/>
              </w:rPr>
            </w:pPr>
            <w:r>
              <w:rPr>
                <w:b/>
                <w:noProof/>
              </w:rPr>
              <w:t>2. Risinājumi atvieglot tirgus datu licencēšanu/izveidot ekonomisko pamatojumu tirgus datu konsolidācijai (“licencēšanas risinājumi”)</w:t>
            </w:r>
          </w:p>
          <w:p w14:paraId="385BC213" w14:textId="712C9711" w:rsidR="00F15236" w:rsidRDefault="00992E39" w:rsidP="00992E39">
            <w:pPr>
              <w:jc w:val="both"/>
              <w:rPr>
                <w:noProof/>
                <w:u w:val="single"/>
              </w:rPr>
            </w:pPr>
            <w:r>
              <w:rPr>
                <w:i/>
                <w:iCs/>
                <w:noProof/>
              </w:rPr>
              <w:t>2.1. risinājums (nav likumā noteiktas abonēšanas maksas)</w:t>
            </w:r>
            <w:r>
              <w:rPr>
                <w:noProof/>
              </w:rPr>
              <w:t xml:space="preserve">. </w:t>
            </w:r>
            <w:r>
              <w:rPr>
                <w:b/>
                <w:bCs/>
                <w:noProof/>
              </w:rPr>
              <w:t>Minimālā abonēšanas maksa</w:t>
            </w:r>
            <w:r>
              <w:rPr>
                <w:noProof/>
              </w:rPr>
              <w:t xml:space="preserve"> nebūtu nepieciešama. Līdz ar to būtu sagaidāms, ka abonēšanas maksa segs tikai KDLN darbības izmaksas, kas neļauj sadalīt ieņēmumus datu sniedzējiem.</w:t>
            </w:r>
          </w:p>
          <w:p w14:paraId="337A5428" w14:textId="6B6CA8FA" w:rsidR="00F15236" w:rsidRPr="00456F2D" w:rsidRDefault="00F15236" w:rsidP="00992E39">
            <w:pPr>
              <w:jc w:val="both"/>
              <w:rPr>
                <w:i/>
                <w:noProof/>
              </w:rPr>
            </w:pPr>
            <w:r>
              <w:rPr>
                <w:i/>
                <w:iCs/>
                <w:noProof/>
                <w:u w:val="single"/>
              </w:rPr>
              <w:t>2.2. risinājums (likumā noteikta abonēšanas maksa)</w:t>
            </w:r>
            <w:r>
              <w:rPr>
                <w:i/>
                <w:noProof/>
              </w:rPr>
              <w:t xml:space="preserve">. </w:t>
            </w:r>
            <w:r>
              <w:rPr>
                <w:noProof/>
              </w:rPr>
              <w:t xml:space="preserve">Šis risinājums ietver </w:t>
            </w:r>
            <w:r>
              <w:rPr>
                <w:b/>
                <w:bCs/>
                <w:noProof/>
              </w:rPr>
              <w:t>minimālo likumā noteikto abonēšanas maksu</w:t>
            </w:r>
            <w:r>
              <w:rPr>
                <w:noProof/>
              </w:rPr>
              <w:t xml:space="preserve">, lai radītu vienotu pieeju starp konsolidētāju(-iem) un datu sniedzējiem, jo tas ļautu </w:t>
            </w:r>
            <w:r>
              <w:rPr>
                <w:b/>
                <w:bCs/>
                <w:noProof/>
              </w:rPr>
              <w:t>pārdalīt ieņēmumus</w:t>
            </w:r>
            <w:r>
              <w:rPr>
                <w:noProof/>
              </w:rPr>
              <w:t xml:space="preserve"> tirgus datu sniedzējiem.</w:t>
            </w:r>
          </w:p>
          <w:p w14:paraId="6C0374E1" w14:textId="0FD1B4CA" w:rsidR="00F90A32" w:rsidRDefault="00F15236" w:rsidP="00992E39">
            <w:pPr>
              <w:jc w:val="both"/>
              <w:rPr>
                <w:noProof/>
              </w:rPr>
            </w:pPr>
            <w:r>
              <w:rPr>
                <w:i/>
                <w:iCs/>
                <w:noProof/>
                <w:u w:val="single"/>
              </w:rPr>
              <w:t>2.3. risinājums (likumā noteiktā abonēšanas maksa un atsauces cenas atbrīvojuma piekļuves maksa)</w:t>
            </w:r>
            <w:r>
              <w:rPr>
                <w:noProof/>
              </w:rPr>
              <w:t xml:space="preserve">. Šis risinājums nosaka </w:t>
            </w:r>
            <w:r>
              <w:rPr>
                <w:b/>
                <w:bCs/>
                <w:noProof/>
              </w:rPr>
              <w:t>minimālo likumā noteikto abonēšanas maksu</w:t>
            </w:r>
            <w:r>
              <w:rPr>
                <w:noProof/>
              </w:rPr>
              <w:t xml:space="preserve"> (ar </w:t>
            </w:r>
            <w:r>
              <w:rPr>
                <w:b/>
                <w:bCs/>
                <w:noProof/>
              </w:rPr>
              <w:t>ieņēmumu pārdali</w:t>
            </w:r>
            <w:r>
              <w:rPr>
                <w:noProof/>
              </w:rPr>
              <w:t xml:space="preserve">) un ietver </w:t>
            </w:r>
            <w:r>
              <w:rPr>
                <w:b/>
                <w:bCs/>
                <w:noProof/>
              </w:rPr>
              <w:t>papildu lietošanas maksu</w:t>
            </w:r>
            <w:r>
              <w:rPr>
                <w:noProof/>
              </w:rPr>
              <w:t xml:space="preserve"> tirdzniecības vietām, kas tirgus datus izmanto kā </w:t>
            </w:r>
            <w:r>
              <w:rPr>
                <w:b/>
                <w:bCs/>
                <w:noProof/>
              </w:rPr>
              <w:t>atsauces cenu</w:t>
            </w:r>
            <w:r>
              <w:rPr>
                <w:noProof/>
              </w:rPr>
              <w:t>.</w:t>
            </w:r>
          </w:p>
          <w:p w14:paraId="049A4AF6" w14:textId="4DDFBC75" w:rsidR="00F3101E" w:rsidRPr="00ED69F3" w:rsidRDefault="00F90A32" w:rsidP="007F13B8">
            <w:pPr>
              <w:jc w:val="both"/>
              <w:rPr>
                <w:noProof/>
              </w:rPr>
            </w:pPr>
            <w:r>
              <w:rPr>
                <w:noProof/>
              </w:rPr>
              <w:t xml:space="preserve">Šā kopuma </w:t>
            </w:r>
            <w:r>
              <w:rPr>
                <w:b/>
                <w:bCs/>
                <w:noProof/>
              </w:rPr>
              <w:t>2.3.</w:t>
            </w:r>
            <w:r>
              <w:rPr>
                <w:noProof/>
              </w:rPr>
              <w:t xml:space="preserve"> risinājums ir </w:t>
            </w:r>
            <w:r>
              <w:rPr>
                <w:b/>
                <w:bCs/>
                <w:noProof/>
              </w:rPr>
              <w:t>vēlamais risinājums</w:t>
            </w:r>
            <w:r>
              <w:rPr>
                <w:noProof/>
              </w:rPr>
              <w:t>, jo tas ne tikai veicina kvalitatīvākus tirgus datus, ko nodrošina datu sniedzēji, bet arī mudina tirgus dalībniekus dot priekšroku atvērtiem tirgiem.</w:t>
            </w:r>
          </w:p>
        </w:tc>
      </w:tr>
      <w:tr w:rsidR="006B20E3" w14:paraId="54C60689"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CCCCCC"/>
            <w:hideMark/>
          </w:tcPr>
          <w:p w14:paraId="152C04EF" w14:textId="77777777" w:rsidR="006B20E3" w:rsidRDefault="006B20E3" w:rsidP="00E20A1F">
            <w:pPr>
              <w:spacing w:before="60"/>
              <w:jc w:val="both"/>
              <w:rPr>
                <w:rFonts w:ascii="Tahoma" w:hAnsi="Tahoma" w:cs="Tahoma"/>
                <w:noProof/>
              </w:rPr>
            </w:pPr>
            <w:r>
              <w:rPr>
                <w:rFonts w:ascii="Tahoma" w:hAnsi="Tahoma"/>
                <w:b/>
                <w:noProof/>
              </w:rPr>
              <w:t>Kuru risinājumu katra no ieinteresētajām personām atbalsta?</w:t>
            </w:r>
            <w:r>
              <w:rPr>
                <w:rFonts w:ascii="Tahoma" w:hAnsi="Tahoma"/>
                <w:noProof/>
              </w:rPr>
              <w:t xml:space="preserve"> </w:t>
            </w:r>
          </w:p>
        </w:tc>
      </w:tr>
      <w:tr w:rsidR="006B20E3" w14:paraId="48370883" w14:textId="77777777" w:rsidTr="000B7495">
        <w:tc>
          <w:tcPr>
            <w:tcW w:w="10188" w:type="dxa"/>
            <w:tcBorders>
              <w:top w:val="single" w:sz="4" w:space="0" w:color="auto"/>
              <w:left w:val="single" w:sz="4" w:space="0" w:color="auto"/>
              <w:bottom w:val="single" w:sz="4" w:space="0" w:color="auto"/>
              <w:right w:val="single" w:sz="4" w:space="0" w:color="auto"/>
            </w:tcBorders>
            <w:hideMark/>
          </w:tcPr>
          <w:p w14:paraId="505AD8AB" w14:textId="24AD7F93" w:rsidR="0019607D" w:rsidRPr="00921795" w:rsidRDefault="0099309C" w:rsidP="00424A1A">
            <w:pPr>
              <w:ind w:right="-29"/>
              <w:jc w:val="both"/>
              <w:rPr>
                <w:noProof/>
              </w:rPr>
            </w:pPr>
            <w:r>
              <w:rPr>
                <w:noProof/>
              </w:rPr>
              <w:t xml:space="preserve">Ieguldītāji, alternatīvas tirdzniecības vietas, aktīvu pārvaldītāji, bankas, datorizētās tirdzniecības uzņēmumi un valstu uzraudzības iestādes kopumā atbalsta tādas konsolidētu datu lentes izveidi, ko pārvaldītu no sarakstā iekļāvējas biržas neatkarīga struktūra (1.2. un 1.4. risinājums, nevis 1.3. risinājums). Daži privāto klientu pārstāvji uzskata, ka konsolidētu datu lente neatrisinās visas problēmas, kas saistītas ar informācijas asimetriju finanšu tirgos. Esošajām biržām ir skeptisks viedoklis par KDL izveidi, jo šāda sistēma varētu apdraudēt to attiecīgo tirdzniecības vietu īpašniekdatu produktu ieņēmumus. Esošās biržas arī atbalsta to, ka EVTI pārvalda vai vismaz uzrauga konsolidētu datu lentes nodrošinātāju, lai izprastu interešu konfliktus.   </w:t>
            </w:r>
          </w:p>
        </w:tc>
      </w:tr>
      <w:tr w:rsidR="006B20E3" w14:paraId="16EFA61D"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CCCCCC"/>
            <w:hideMark/>
          </w:tcPr>
          <w:p w14:paraId="024E751E" w14:textId="77777777" w:rsidR="006B20E3" w:rsidRDefault="006B20E3" w:rsidP="00E20A1F">
            <w:pPr>
              <w:spacing w:before="60" w:after="60"/>
              <w:jc w:val="both"/>
              <w:rPr>
                <w:rFonts w:ascii="Tahoma" w:hAnsi="Tahoma" w:cs="Tahoma"/>
                <w:b/>
                <w:noProof/>
              </w:rPr>
            </w:pPr>
            <w:r>
              <w:rPr>
                <w:rFonts w:ascii="Tahoma" w:hAnsi="Tahoma"/>
                <w:b/>
                <w:noProof/>
              </w:rPr>
              <w:t>C. Vēlamā risinājuma ietekme</w:t>
            </w:r>
          </w:p>
        </w:tc>
      </w:tr>
      <w:tr w:rsidR="006B20E3" w14:paraId="4567239B"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14:paraId="02C47272" w14:textId="77777777" w:rsidR="006B20E3" w:rsidRDefault="006B20E3" w:rsidP="00E20A1F">
            <w:pPr>
              <w:spacing w:before="60" w:after="60"/>
              <w:jc w:val="both"/>
              <w:rPr>
                <w:rFonts w:ascii="Tahoma" w:hAnsi="Tahoma" w:cs="Tahoma"/>
                <w:noProof/>
              </w:rPr>
            </w:pPr>
            <w:r>
              <w:rPr>
                <w:rFonts w:ascii="Tahoma" w:hAnsi="Tahoma"/>
                <w:b/>
                <w:noProof/>
              </w:rPr>
              <w:t>Kādus ieguvumus nodrošinās vēlamais risinājums (ja tāds ir, pretējā gadījumā – galvenie risinājumi)?</w:t>
            </w:r>
            <w:r>
              <w:rPr>
                <w:rFonts w:ascii="Tahoma" w:hAnsi="Tahoma"/>
                <w:noProof/>
              </w:rPr>
              <w:t xml:space="preserve"> </w:t>
            </w:r>
          </w:p>
        </w:tc>
      </w:tr>
      <w:tr w:rsidR="006B20E3" w14:paraId="5C4305F1" w14:textId="77777777" w:rsidTr="000B7495">
        <w:tc>
          <w:tcPr>
            <w:tcW w:w="10188" w:type="dxa"/>
            <w:tcBorders>
              <w:top w:val="single" w:sz="4" w:space="0" w:color="auto"/>
              <w:left w:val="single" w:sz="4" w:space="0" w:color="auto"/>
              <w:bottom w:val="single" w:sz="4" w:space="0" w:color="auto"/>
              <w:right w:val="single" w:sz="4" w:space="0" w:color="auto"/>
            </w:tcBorders>
            <w:hideMark/>
          </w:tcPr>
          <w:p w14:paraId="678C8317" w14:textId="6C31CDF8" w:rsidR="00A8737A" w:rsidRDefault="00512BDC" w:rsidP="00CD41EA">
            <w:pPr>
              <w:pStyle w:val="ListParagraph"/>
              <w:numPr>
                <w:ilvl w:val="0"/>
                <w:numId w:val="4"/>
              </w:numPr>
              <w:ind w:left="426"/>
              <w:jc w:val="both"/>
              <w:rPr>
                <w:rFonts w:ascii="Times New Roman" w:hAnsi="Times New Roman" w:cs="Times New Roman"/>
                <w:noProof/>
              </w:rPr>
            </w:pPr>
            <w:r>
              <w:rPr>
                <w:rFonts w:ascii="Times New Roman" w:hAnsi="Times New Roman"/>
                <w:noProof/>
              </w:rPr>
              <w:t xml:space="preserve">1.2. un 1.4. konsolidācijas risinājums “demokratizētu” ieskatu par to, kur katram konkrētam finanšu instrumentam var iegūt vislabāko cenu un visdziļāko likviditātes rezervi. Tas nodrošinātu vienlīdzīgus konkurences apstākļus: privātajam ieguldītājam, tā brokerim, tirgotājam, kas strādā pie maza aktīvu pārvaldītāja, vai lielai bankai – visiem būtu pieeja tiem pašiem tirgus datiem, kādi pašlaik ir pieejami tikai lielākiem tirgus uzturētājiem. KDL, ko nodrošina vai nu viens nodrošinātājs (1.4. risinājums), vai arī konkurējoši nodrošinātāji (1.2. risinājums), ļautu panākt to, ka privātie klienti un to starpnieki spēj </w:t>
            </w:r>
            <w:r>
              <w:rPr>
                <w:rFonts w:ascii="Times New Roman" w:hAnsi="Times New Roman"/>
                <w:b/>
                <w:bCs/>
                <w:noProof/>
              </w:rPr>
              <w:t>iegūt labāko pieejamo cenu</w:t>
            </w:r>
            <w:r>
              <w:rPr>
                <w:rFonts w:ascii="Times New Roman" w:hAnsi="Times New Roman"/>
                <w:noProof/>
              </w:rPr>
              <w:t xml:space="preserve"> par saviem rīkojumiem, un nodrošināt tiem rīku, </w:t>
            </w:r>
            <w:r>
              <w:rPr>
                <w:rStyle w:val="normaltextrun"/>
                <w:rFonts w:ascii="Times New Roman" w:hAnsi="Times New Roman"/>
                <w:noProof/>
              </w:rPr>
              <w:t>lai</w:t>
            </w:r>
            <w:r>
              <w:rPr>
                <w:rStyle w:val="normaltextrun"/>
                <w:rFonts w:ascii="Times New Roman" w:hAnsi="Times New Roman"/>
                <w:b/>
                <w:noProof/>
              </w:rPr>
              <w:t xml:space="preserve"> pārbaudītu atbilstību labākās izpildes noteikumam</w:t>
            </w:r>
            <w:r>
              <w:rPr>
                <w:rFonts w:ascii="Times New Roman" w:hAnsi="Times New Roman"/>
                <w:noProof/>
              </w:rPr>
              <w:t xml:space="preserve">. </w:t>
            </w:r>
          </w:p>
          <w:p w14:paraId="2A85B462" w14:textId="4D4D33CB" w:rsidR="007C3978" w:rsidRPr="00CD41EA" w:rsidRDefault="007C3978" w:rsidP="00CD41EA">
            <w:pPr>
              <w:pStyle w:val="ListParagraph"/>
              <w:numPr>
                <w:ilvl w:val="0"/>
                <w:numId w:val="4"/>
              </w:numPr>
              <w:ind w:left="426"/>
              <w:jc w:val="both"/>
              <w:rPr>
                <w:rFonts w:ascii="Times New Roman" w:hAnsi="Times New Roman" w:cs="Times New Roman"/>
                <w:noProof/>
              </w:rPr>
            </w:pPr>
            <w:r>
              <w:rPr>
                <w:rFonts w:ascii="Times New Roman" w:hAnsi="Times New Roman"/>
                <w:noProof/>
              </w:rPr>
              <w:t>1.2. konsolidācijas risinājumam ir nelielas (datu) latentuma priekšrocības, jo decentralizēta datu sniegšana ir nedaudz precīzāka latentuma ziņā. 1.4. konsolidācijas risinājums paredz EVTI iespēju piešķirt konsolidētāja lomu pilnīgi jaunam dalībniekam.</w:t>
            </w:r>
          </w:p>
          <w:p w14:paraId="27EF062D" w14:textId="20FC73E2" w:rsidR="00A8737A" w:rsidRDefault="00155F2E" w:rsidP="00A8737A">
            <w:pPr>
              <w:pStyle w:val="ListParagraph"/>
              <w:numPr>
                <w:ilvl w:val="0"/>
                <w:numId w:val="4"/>
              </w:numPr>
              <w:ind w:left="426"/>
              <w:jc w:val="both"/>
              <w:rPr>
                <w:rFonts w:ascii="Times New Roman" w:hAnsi="Times New Roman" w:cs="Times New Roman"/>
                <w:noProof/>
              </w:rPr>
            </w:pPr>
            <w:r>
              <w:rPr>
                <w:rFonts w:ascii="Times New Roman" w:hAnsi="Times New Roman"/>
                <w:noProof/>
              </w:rPr>
              <w:t xml:space="preserve">Uzraudzība ar datu lentes palīdzību </w:t>
            </w:r>
            <w:r>
              <w:rPr>
                <w:rFonts w:ascii="Times New Roman" w:hAnsi="Times New Roman"/>
                <w:b/>
                <w:bCs/>
                <w:noProof/>
              </w:rPr>
              <w:t>stimulēs brokerus</w:t>
            </w:r>
            <w:r>
              <w:rPr>
                <w:rFonts w:ascii="Times New Roman" w:hAnsi="Times New Roman"/>
                <w:noProof/>
              </w:rPr>
              <w:t xml:space="preserve"> un aktīvu pārvaldītājus aktīvi censties savos portfeļos iekļaut visoptimālākos instrumentus, nevis tikai tos, kas pieejami dažās tirdzniecības vietās, kuru tirgus datus tie pašlaik abonē. </w:t>
            </w:r>
          </w:p>
          <w:p w14:paraId="4B0D675C" w14:textId="45B36B83" w:rsidR="009211A3" w:rsidRPr="002474A7" w:rsidRDefault="0033262D">
            <w:pPr>
              <w:pStyle w:val="ListParagraph"/>
              <w:numPr>
                <w:ilvl w:val="0"/>
                <w:numId w:val="4"/>
              </w:numPr>
              <w:ind w:left="426"/>
              <w:jc w:val="both"/>
              <w:rPr>
                <w:noProof/>
              </w:rPr>
            </w:pPr>
            <w:r>
              <w:rPr>
                <w:rFonts w:ascii="Times New Roman" w:hAnsi="Times New Roman"/>
                <w:noProof/>
              </w:rPr>
              <w:t xml:space="preserve">Nodrošinot ieņēmumu sadales modeli, kas darbojas kā ekonomisks </w:t>
            </w:r>
            <w:r>
              <w:rPr>
                <w:rFonts w:ascii="Times New Roman" w:hAnsi="Times New Roman"/>
                <w:b/>
                <w:bCs/>
                <w:noProof/>
              </w:rPr>
              <w:t>stimuls novirzīt tirdzniecību uz</w:t>
            </w:r>
            <w:r>
              <w:rPr>
                <w:rFonts w:ascii="Times New Roman" w:hAnsi="Times New Roman"/>
                <w:noProof/>
              </w:rPr>
              <w:t xml:space="preserve"> pārredzamiem pirmstirdzniecības </w:t>
            </w:r>
            <w:r>
              <w:rPr>
                <w:rFonts w:ascii="Times New Roman" w:hAnsi="Times New Roman"/>
                <w:b/>
                <w:bCs/>
                <w:noProof/>
              </w:rPr>
              <w:t>izpildes protokoliem</w:t>
            </w:r>
            <w:r>
              <w:rPr>
                <w:rFonts w:ascii="Times New Roman" w:hAnsi="Times New Roman"/>
                <w:noProof/>
              </w:rPr>
              <w:t xml:space="preserve">, KDL varētu palielināt stimulus sniegt precīzus un savlaicīgus datus, izmantojot saskaņotu datu formātu.  Tā rezultātā tiks saskaņoti stimuli starp tirgus datu sniedzējiem un tirgus datu konsolidētājiem, kas arī palielinātu uzticēšanos Savienības kapitāla tirgus darbībai. </w:t>
            </w:r>
          </w:p>
        </w:tc>
      </w:tr>
      <w:tr w:rsidR="006B20E3" w14:paraId="6A774C9D"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14:paraId="1247E05F" w14:textId="77777777" w:rsidR="006B20E3" w:rsidRDefault="006B20E3" w:rsidP="00E20A1F">
            <w:pPr>
              <w:spacing w:before="60" w:after="60"/>
              <w:jc w:val="both"/>
              <w:rPr>
                <w:rFonts w:ascii="Tahoma" w:hAnsi="Tahoma" w:cs="Tahoma"/>
                <w:noProof/>
              </w:rPr>
            </w:pPr>
            <w:r>
              <w:rPr>
                <w:rFonts w:ascii="Tahoma" w:hAnsi="Tahoma"/>
                <w:b/>
                <w:noProof/>
              </w:rPr>
              <w:t>Vēlamā risinājuma izmaksas (ja tāds ir, pretējā gadījumā – galveno risinājumu izmaksas)</w:t>
            </w:r>
            <w:r>
              <w:rPr>
                <w:rFonts w:ascii="Tahoma" w:hAnsi="Tahoma"/>
                <w:noProof/>
              </w:rPr>
              <w:t xml:space="preserve"> </w:t>
            </w:r>
          </w:p>
        </w:tc>
      </w:tr>
      <w:tr w:rsidR="006B20E3" w14:paraId="2EFF6168" w14:textId="77777777" w:rsidTr="000B7495">
        <w:tc>
          <w:tcPr>
            <w:tcW w:w="10188" w:type="dxa"/>
            <w:tcBorders>
              <w:top w:val="single" w:sz="4" w:space="0" w:color="auto"/>
              <w:left w:val="single" w:sz="4" w:space="0" w:color="auto"/>
              <w:bottom w:val="single" w:sz="4" w:space="0" w:color="auto"/>
              <w:right w:val="single" w:sz="4" w:space="0" w:color="auto"/>
            </w:tcBorders>
            <w:hideMark/>
          </w:tcPr>
          <w:p w14:paraId="5E0B5B88" w14:textId="65868555" w:rsidR="00D475B7" w:rsidRDefault="00D475B7" w:rsidP="00D475B7">
            <w:pPr>
              <w:rPr>
                <w:noProof/>
              </w:rPr>
            </w:pPr>
            <w:r>
              <w:rPr>
                <w:noProof/>
              </w:rPr>
              <w:t>Prognozētās darbības izmaksas konsolidētu datu lentes nodrošinātājam attiecībā uz akcijām un obligācijām ir novērtētas šādi:</w:t>
            </w:r>
          </w:p>
          <w:tbl>
            <w:tblPr>
              <w:tblStyle w:val="TableGrid"/>
              <w:tblW w:w="0" w:type="auto"/>
              <w:tblInd w:w="0" w:type="dxa"/>
              <w:tblLook w:val="04A0" w:firstRow="1" w:lastRow="0" w:firstColumn="1" w:lastColumn="0" w:noHBand="0" w:noVBand="1"/>
            </w:tblPr>
            <w:tblGrid>
              <w:gridCol w:w="4978"/>
              <w:gridCol w:w="4979"/>
            </w:tblGrid>
            <w:tr w:rsidR="00CB4910" w14:paraId="1F93696F" w14:textId="77777777" w:rsidTr="007559FB">
              <w:tc>
                <w:tcPr>
                  <w:tcW w:w="4978" w:type="dxa"/>
                </w:tcPr>
                <w:p w14:paraId="0F2C63EA" w14:textId="3A11B194" w:rsidR="00CB4910" w:rsidRPr="004329D3" w:rsidRDefault="00CB4910" w:rsidP="00CB4910">
                  <w:pPr>
                    <w:rPr>
                      <w:b/>
                      <w:noProof/>
                    </w:rPr>
                  </w:pPr>
                  <w:r>
                    <w:rPr>
                      <w:b/>
                      <w:noProof/>
                    </w:rPr>
                    <w:t>Pašu kapitāla datu lentes izmaksas (gadā)</w:t>
                  </w:r>
                </w:p>
              </w:tc>
              <w:tc>
                <w:tcPr>
                  <w:tcW w:w="4979" w:type="dxa"/>
                </w:tcPr>
                <w:p w14:paraId="3501C29A" w14:textId="77777777" w:rsidR="00CB4910" w:rsidRPr="004329D3" w:rsidRDefault="00CB4910" w:rsidP="00CB4910">
                  <w:pPr>
                    <w:rPr>
                      <w:b/>
                      <w:noProof/>
                    </w:rPr>
                  </w:pPr>
                  <w:r>
                    <w:rPr>
                      <w:b/>
                      <w:noProof/>
                    </w:rPr>
                    <w:t>Obligāciju vai atvasināto instrumentu datu lentes izmaksas (gadā)</w:t>
                  </w:r>
                </w:p>
              </w:tc>
            </w:tr>
            <w:tr w:rsidR="00CB4910" w14:paraId="5C5D2F0F" w14:textId="77777777" w:rsidTr="007559FB">
              <w:tc>
                <w:tcPr>
                  <w:tcW w:w="4978" w:type="dxa"/>
                </w:tcPr>
                <w:p w14:paraId="754098D8" w14:textId="6AF39D2C" w:rsidR="00CB4910" w:rsidRPr="004329D3" w:rsidRDefault="00CB4910" w:rsidP="00CB4910">
                  <w:pPr>
                    <w:rPr>
                      <w:rFonts w:eastAsia="Calibri"/>
                      <w:noProof/>
                      <w:szCs w:val="24"/>
                    </w:rPr>
                  </w:pPr>
                  <w:r>
                    <w:rPr>
                      <w:noProof/>
                    </w:rPr>
                    <w:t>Izveides/uzstādīšanas izmaksas — 0,8 -2,4 miljoni euro gadā</w:t>
                  </w:r>
                </w:p>
              </w:tc>
              <w:tc>
                <w:tcPr>
                  <w:tcW w:w="4979" w:type="dxa"/>
                </w:tcPr>
                <w:p w14:paraId="4A348849" w14:textId="77777777" w:rsidR="00CB4910" w:rsidRDefault="00CB4910" w:rsidP="00CB4910">
                  <w:pPr>
                    <w:rPr>
                      <w:noProof/>
                    </w:rPr>
                  </w:pPr>
                  <w:r>
                    <w:rPr>
                      <w:noProof/>
                    </w:rPr>
                    <w:t>Izveides/uzstādīšanas izmaksas – 0,16-1,4 miljoni euro gadā</w:t>
                  </w:r>
                </w:p>
              </w:tc>
            </w:tr>
            <w:tr w:rsidR="00CB4910" w14:paraId="340D4E8D" w14:textId="77777777" w:rsidTr="007559FB">
              <w:tc>
                <w:tcPr>
                  <w:tcW w:w="4978" w:type="dxa"/>
                </w:tcPr>
                <w:p w14:paraId="7DE34AC8" w14:textId="77777777" w:rsidR="00CB4910" w:rsidRPr="004329D3" w:rsidRDefault="00CB4910" w:rsidP="00CB4910">
                  <w:pPr>
                    <w:rPr>
                      <w:rFonts w:eastAsia="Calibri"/>
                      <w:noProof/>
                      <w:szCs w:val="24"/>
                    </w:rPr>
                  </w:pPr>
                  <w:r>
                    <w:rPr>
                      <w:noProof/>
                    </w:rPr>
                    <w:t>Pamatdarbības izdevumi – 1,4-5,5 miljoni euro gadā</w:t>
                  </w:r>
                </w:p>
              </w:tc>
              <w:tc>
                <w:tcPr>
                  <w:tcW w:w="4979" w:type="dxa"/>
                </w:tcPr>
                <w:p w14:paraId="13B8CFEC" w14:textId="77777777" w:rsidR="00CB4910" w:rsidRDefault="00CB4910" w:rsidP="00CB4910">
                  <w:pPr>
                    <w:rPr>
                      <w:noProof/>
                    </w:rPr>
                  </w:pPr>
                  <w:r>
                    <w:rPr>
                      <w:noProof/>
                    </w:rPr>
                    <w:t>Pamatdarbības izdevumi – 1,3-4 miljoni euro gadā</w:t>
                  </w:r>
                </w:p>
              </w:tc>
            </w:tr>
            <w:tr w:rsidR="00CB4910" w14:paraId="3F5EFCB6" w14:textId="77777777" w:rsidTr="007559FB">
              <w:tc>
                <w:tcPr>
                  <w:tcW w:w="4978" w:type="dxa"/>
                </w:tcPr>
                <w:p w14:paraId="7D8B4B70" w14:textId="3F1DD8F7" w:rsidR="00CB4910" w:rsidRDefault="00CB4910" w:rsidP="00AF5EF6">
                  <w:pPr>
                    <w:jc w:val="both"/>
                    <w:rPr>
                      <w:noProof/>
                    </w:rPr>
                  </w:pPr>
                  <w:r>
                    <w:rPr>
                      <w:b/>
                      <w:bCs/>
                      <w:noProof/>
                    </w:rPr>
                    <w:t>Kopā</w:t>
                  </w:r>
                  <w:r>
                    <w:rPr>
                      <w:noProof/>
                    </w:rPr>
                    <w:t xml:space="preserve"> — </w:t>
                  </w:r>
                  <w:r>
                    <w:rPr>
                      <w:b/>
                      <w:bCs/>
                      <w:noProof/>
                    </w:rPr>
                    <w:t>2,2-7,8 miljoni euro gadā</w:t>
                  </w:r>
                </w:p>
              </w:tc>
              <w:tc>
                <w:tcPr>
                  <w:tcW w:w="4979" w:type="dxa"/>
                </w:tcPr>
                <w:p w14:paraId="63DA0E2F" w14:textId="40B41D98" w:rsidR="00CB4910" w:rsidRDefault="00CB4910" w:rsidP="00CB4910">
                  <w:pPr>
                    <w:rPr>
                      <w:noProof/>
                    </w:rPr>
                  </w:pPr>
                  <w:r>
                    <w:rPr>
                      <w:b/>
                      <w:bCs/>
                      <w:noProof/>
                    </w:rPr>
                    <w:t>Kopā</w:t>
                  </w:r>
                  <w:r>
                    <w:rPr>
                      <w:noProof/>
                    </w:rPr>
                    <w:t xml:space="preserve"> – </w:t>
                  </w:r>
                  <w:r>
                    <w:rPr>
                      <w:b/>
                      <w:bCs/>
                      <w:noProof/>
                    </w:rPr>
                    <w:t>1,46-5,4 miljoni euro gadā</w:t>
                  </w:r>
                </w:p>
              </w:tc>
            </w:tr>
          </w:tbl>
          <w:p w14:paraId="7AF89F2C" w14:textId="3ABA87FD" w:rsidR="00D475B7" w:rsidRPr="006826E3" w:rsidRDefault="001C6E19" w:rsidP="00C045C5">
            <w:pPr>
              <w:jc w:val="both"/>
              <w:rPr>
                <w:rFonts w:eastAsia="Calibri"/>
                <w:noProof/>
                <w:szCs w:val="24"/>
              </w:rPr>
            </w:pPr>
            <w:r>
              <w:rPr>
                <w:noProof/>
              </w:rPr>
              <w:t xml:space="preserve">Datu lente darbotos saskaņā ar lietotāju ieņēmumu modeli, atbilstīgi kuram datu lentes nodrošinātājs no profesionālajiem lietotājiem iekasētu maksu no katra lietotāja par gada abonementu – 100 EUR mēnesī. Lietotājiem, kas nav profesionāli lietotāji, maksu nepiemērotu vai tiem piemērotā maksa nepārsniegtu 1 EUR mēnesī. Virspeļņa tiek pārdalīta datu sniedzējiem. Aplēses par datu lenti, kurā apkopoti dati par </w:t>
            </w:r>
            <w:r>
              <w:rPr>
                <w:b/>
                <w:bCs/>
                <w:noProof/>
              </w:rPr>
              <w:t>pašu kapitālu</w:t>
            </w:r>
            <w:r>
              <w:rPr>
                <w:noProof/>
              </w:rPr>
              <w:t xml:space="preserve">, liecina, ka gada kopējie </w:t>
            </w:r>
            <w:r>
              <w:rPr>
                <w:b/>
                <w:bCs/>
                <w:noProof/>
              </w:rPr>
              <w:t>ieņēmumi</w:t>
            </w:r>
            <w:r>
              <w:rPr>
                <w:noProof/>
              </w:rPr>
              <w:t xml:space="preserve"> tiek lēsti aptuveni 200 miljonu EUR apmērā atkarībā no datu lentes īpatnībām. Atņemot vidējās gada darbības izmaksas, tas nozīmē, ka kopumā </w:t>
            </w:r>
            <w:r>
              <w:rPr>
                <w:b/>
                <w:bCs/>
                <w:noProof/>
              </w:rPr>
              <w:t>starp datu sniedzējiem varētu sadalīt ieņēmumus 100 līdz 150 miljonu EUR apmērā</w:t>
            </w:r>
            <w:r>
              <w:rPr>
                <w:noProof/>
              </w:rPr>
              <w:t xml:space="preserve"> (obligācijām un atvasinātajiem instrumentiem atkarība no datu ieņēmumiem ir mazāk izteikta, tāpēc attiecībā uz šīm datu lentēm nav veikta ieņēmumu simulācija).</w:t>
            </w:r>
          </w:p>
        </w:tc>
      </w:tr>
      <w:tr w:rsidR="006B20E3" w14:paraId="7C4FAA39"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14:paraId="1648A787" w14:textId="77777777" w:rsidR="006B20E3" w:rsidRDefault="006B20E3" w:rsidP="00E20A1F">
            <w:pPr>
              <w:spacing w:before="60" w:after="60"/>
              <w:jc w:val="both"/>
              <w:rPr>
                <w:rFonts w:ascii="Tahoma" w:hAnsi="Tahoma" w:cs="Tahoma"/>
                <w:noProof/>
              </w:rPr>
            </w:pPr>
            <w:r>
              <w:rPr>
                <w:rFonts w:ascii="Tahoma" w:hAnsi="Tahoma"/>
                <w:b/>
                <w:noProof/>
              </w:rPr>
              <w:t xml:space="preserve">Ietekme uz uzņēmumiem, MVU un mikrouzņēmumiem </w:t>
            </w:r>
          </w:p>
        </w:tc>
      </w:tr>
      <w:tr w:rsidR="001D7162" w:rsidRPr="001D7162" w14:paraId="673C84FE" w14:textId="77777777" w:rsidTr="000B7495">
        <w:tc>
          <w:tcPr>
            <w:tcW w:w="10188" w:type="dxa"/>
            <w:tcBorders>
              <w:top w:val="single" w:sz="4" w:space="0" w:color="auto"/>
              <w:left w:val="single" w:sz="4" w:space="0" w:color="auto"/>
              <w:bottom w:val="single" w:sz="4" w:space="0" w:color="auto"/>
              <w:right w:val="single" w:sz="4" w:space="0" w:color="auto"/>
            </w:tcBorders>
            <w:hideMark/>
          </w:tcPr>
          <w:p w14:paraId="17425827" w14:textId="7F35517F" w:rsidR="006B20E3" w:rsidRPr="001D7162" w:rsidRDefault="00512BDC" w:rsidP="00754B28">
            <w:pPr>
              <w:jc w:val="both"/>
              <w:rPr>
                <w:noProof/>
              </w:rPr>
            </w:pPr>
            <w:r>
              <w:rPr>
                <w:noProof/>
              </w:rPr>
              <w:t xml:space="preserve">1.1., 1.2. un 1.4. konsolidācijas varianti sniegtu tādu labumu, ka </w:t>
            </w:r>
            <w:r>
              <w:rPr>
                <w:b/>
                <w:bCs/>
                <w:noProof/>
              </w:rPr>
              <w:t>MVU akcijas</w:t>
            </w:r>
            <w:r>
              <w:rPr>
                <w:noProof/>
              </w:rPr>
              <w:t>, kas kotētas tikai vienā vai dažos regulētos tirgos vai MVU izaugsmes tirgos, kļūtu redzamas katram (ne tikai vietējam) ieguldītājam un brokerim vai 1.1. risinājuma gadījumā – pašapkopotājiem Savienībā. Tas palielinātu ieguldījumu pievilcību un iespējas to akcijas iekļaut ieguldījumu fondos vai ieguldījumu portfeļos, kas savukārt palielinātu MVU kapitāla piesaistīšanas efektivitāti.</w:t>
            </w:r>
          </w:p>
        </w:tc>
      </w:tr>
      <w:tr w:rsidR="006B20E3" w14:paraId="43972C75"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14:paraId="17C6E04A" w14:textId="77777777" w:rsidR="006B20E3" w:rsidRDefault="006B20E3" w:rsidP="00E20A1F">
            <w:pPr>
              <w:spacing w:before="60"/>
              <w:jc w:val="both"/>
              <w:rPr>
                <w:rFonts w:ascii="Tahoma" w:hAnsi="Tahoma" w:cs="Tahoma"/>
                <w:b/>
                <w:i/>
                <w:noProof/>
              </w:rPr>
            </w:pPr>
            <w:r>
              <w:rPr>
                <w:rFonts w:ascii="Tahoma" w:hAnsi="Tahoma"/>
                <w:b/>
                <w:bCs/>
                <w:noProof/>
              </w:rPr>
              <w:t>Vai tiks būtiski ietekmēts dalībvalstu budžets un pārvaldes iestādes?</w:t>
            </w:r>
            <w:r>
              <w:rPr>
                <w:rFonts w:ascii="Tahoma" w:hAnsi="Tahoma"/>
                <w:noProof/>
              </w:rPr>
              <w:t xml:space="preserve"> </w:t>
            </w:r>
          </w:p>
        </w:tc>
      </w:tr>
      <w:tr w:rsidR="006B20E3" w14:paraId="5765B513" w14:textId="77777777" w:rsidTr="000B7495">
        <w:tc>
          <w:tcPr>
            <w:tcW w:w="10188" w:type="dxa"/>
            <w:tcBorders>
              <w:top w:val="single" w:sz="4" w:space="0" w:color="auto"/>
              <w:left w:val="single" w:sz="4" w:space="0" w:color="auto"/>
              <w:bottom w:val="single" w:sz="4" w:space="0" w:color="auto"/>
              <w:right w:val="single" w:sz="4" w:space="0" w:color="auto"/>
            </w:tcBorders>
            <w:hideMark/>
          </w:tcPr>
          <w:p w14:paraId="7822500B" w14:textId="612BA28C" w:rsidR="006B20E3" w:rsidRPr="00D87B29" w:rsidRDefault="00F41C1B" w:rsidP="00EE297E">
            <w:pPr>
              <w:jc w:val="both"/>
              <w:rPr>
                <w:noProof/>
              </w:rPr>
            </w:pPr>
            <w:r>
              <w:rPr>
                <w:b/>
                <w:bCs/>
                <w:noProof/>
              </w:rPr>
              <w:t>Nebūs tiešas ietekmes</w:t>
            </w:r>
            <w:r>
              <w:rPr>
                <w:noProof/>
              </w:rPr>
              <w:t xml:space="preserve"> uz valstu budžetiem. 1.2. un 1.4. risinājums paredz pieņemt 2. līmeņa tiesību aktus attiecībā uz saskaņotiem datu ziņošanas standartiem. Vēlamajiem risinājumiem būs nepieciešama arī EVTI uzraudzība un izpilde. </w:t>
            </w:r>
          </w:p>
        </w:tc>
      </w:tr>
      <w:tr w:rsidR="006B20E3" w14:paraId="05210D90" w14:textId="77777777" w:rsidTr="00EE297E">
        <w:trPr>
          <w:trHeight w:val="60"/>
        </w:trPr>
        <w:tc>
          <w:tcPr>
            <w:tcW w:w="10188" w:type="dxa"/>
            <w:tcBorders>
              <w:top w:val="single" w:sz="4" w:space="0" w:color="auto"/>
              <w:left w:val="single" w:sz="4" w:space="0" w:color="auto"/>
              <w:bottom w:val="single" w:sz="4" w:space="0" w:color="auto"/>
              <w:right w:val="single" w:sz="4" w:space="0" w:color="auto"/>
            </w:tcBorders>
            <w:shd w:val="clear" w:color="auto" w:fill="E6E6E6"/>
            <w:hideMark/>
          </w:tcPr>
          <w:p w14:paraId="73E07623" w14:textId="77777777" w:rsidR="006B20E3" w:rsidRDefault="006B20E3" w:rsidP="00E20A1F">
            <w:pPr>
              <w:spacing w:before="60"/>
              <w:jc w:val="both"/>
              <w:rPr>
                <w:rFonts w:ascii="Tahoma" w:hAnsi="Tahoma" w:cs="Tahoma"/>
                <w:noProof/>
              </w:rPr>
            </w:pPr>
            <w:r>
              <w:rPr>
                <w:rFonts w:ascii="Tahoma" w:hAnsi="Tahoma"/>
                <w:b/>
                <w:noProof/>
              </w:rPr>
              <w:t>Vai ir paredzama cita būtiska ietekme?</w:t>
            </w:r>
            <w:r>
              <w:rPr>
                <w:rFonts w:ascii="Tahoma" w:hAnsi="Tahoma"/>
                <w:noProof/>
              </w:rPr>
              <w:t xml:space="preserve"> </w:t>
            </w:r>
            <w:r>
              <w:rPr>
                <w:rFonts w:ascii="Tahoma" w:hAnsi="Tahoma"/>
                <w:noProof/>
                <w:u w:val="single"/>
              </w:rPr>
              <w:t xml:space="preserve"> </w:t>
            </w:r>
          </w:p>
        </w:tc>
      </w:tr>
      <w:tr w:rsidR="006B20E3" w14:paraId="608BFE67" w14:textId="77777777" w:rsidTr="000B7495">
        <w:tc>
          <w:tcPr>
            <w:tcW w:w="10188" w:type="dxa"/>
            <w:tcBorders>
              <w:top w:val="single" w:sz="4" w:space="0" w:color="auto"/>
              <w:left w:val="single" w:sz="4" w:space="0" w:color="auto"/>
              <w:bottom w:val="single" w:sz="4" w:space="0" w:color="auto"/>
              <w:right w:val="single" w:sz="4" w:space="0" w:color="auto"/>
            </w:tcBorders>
            <w:hideMark/>
          </w:tcPr>
          <w:p w14:paraId="2B25B48B" w14:textId="0DE401DF" w:rsidR="006B20E3" w:rsidRPr="00D87B29" w:rsidRDefault="00E80932" w:rsidP="00D3694D">
            <w:pPr>
              <w:jc w:val="both"/>
              <w:rPr>
                <w:noProof/>
              </w:rPr>
            </w:pPr>
            <w:r>
              <w:rPr>
                <w:noProof/>
              </w:rPr>
              <w:t xml:space="preserve">Attiecībā uz </w:t>
            </w:r>
            <w:r>
              <w:rPr>
                <w:b/>
                <w:bCs/>
                <w:noProof/>
              </w:rPr>
              <w:t>sociālo ietekmi</w:t>
            </w:r>
            <w:r>
              <w:rPr>
                <w:noProof/>
              </w:rPr>
              <w:t xml:space="preserve"> 1.1., 1.2. un 1.4. risinājums potenciāli veicinātu lielākas iedzīvotāju daļas dalību tirgos. Tiem būtu arī </w:t>
            </w:r>
            <w:r>
              <w:rPr>
                <w:b/>
                <w:bCs/>
                <w:noProof/>
              </w:rPr>
              <w:t>netieša</w:t>
            </w:r>
            <w:r>
              <w:rPr>
                <w:noProof/>
              </w:rPr>
              <w:t xml:space="preserve"> ietekme, jo finanšu tirgi kļūtu efektīvāki.</w:t>
            </w:r>
          </w:p>
        </w:tc>
      </w:tr>
      <w:tr w:rsidR="006B20E3" w14:paraId="5458697B"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C0C0C0"/>
            <w:hideMark/>
          </w:tcPr>
          <w:p w14:paraId="75ABA150" w14:textId="77777777" w:rsidR="006B20E3" w:rsidRDefault="006B20E3" w:rsidP="00E20A1F">
            <w:pPr>
              <w:spacing w:before="60" w:after="60"/>
              <w:jc w:val="both"/>
              <w:rPr>
                <w:rFonts w:ascii="Tahoma" w:hAnsi="Tahoma" w:cs="Tahoma"/>
                <w:b/>
                <w:noProof/>
              </w:rPr>
            </w:pPr>
            <w:r>
              <w:rPr>
                <w:rFonts w:ascii="Tahoma" w:hAnsi="Tahoma"/>
                <w:b/>
                <w:noProof/>
              </w:rPr>
              <w:t>D. Turpmākā rīcība</w:t>
            </w:r>
          </w:p>
        </w:tc>
      </w:tr>
      <w:tr w:rsidR="006B20E3" w14:paraId="70B2F8A0" w14:textId="77777777" w:rsidTr="000B7495">
        <w:tc>
          <w:tcPr>
            <w:tcW w:w="10188" w:type="dxa"/>
            <w:tcBorders>
              <w:top w:val="single" w:sz="4" w:space="0" w:color="auto"/>
              <w:left w:val="single" w:sz="4" w:space="0" w:color="auto"/>
              <w:bottom w:val="single" w:sz="4" w:space="0" w:color="auto"/>
              <w:right w:val="single" w:sz="4" w:space="0" w:color="auto"/>
            </w:tcBorders>
            <w:shd w:val="clear" w:color="auto" w:fill="E6E6E6"/>
            <w:hideMark/>
          </w:tcPr>
          <w:p w14:paraId="5ED3716B" w14:textId="77777777" w:rsidR="006B20E3" w:rsidRDefault="006B20E3" w:rsidP="00E20A1F">
            <w:pPr>
              <w:spacing w:before="60"/>
              <w:jc w:val="both"/>
              <w:rPr>
                <w:rFonts w:ascii="Tahoma" w:hAnsi="Tahoma" w:cs="Tahoma"/>
                <w:noProof/>
              </w:rPr>
            </w:pPr>
            <w:r>
              <w:rPr>
                <w:rFonts w:ascii="Tahoma" w:hAnsi="Tahoma"/>
                <w:b/>
                <w:noProof/>
              </w:rPr>
              <w:t xml:space="preserve">Kad politika tiks pārskatīta? </w:t>
            </w:r>
            <w:r>
              <w:rPr>
                <w:rFonts w:ascii="Tahoma" w:hAnsi="Tahoma"/>
                <w:noProof/>
              </w:rPr>
              <w:t xml:space="preserve"> </w:t>
            </w:r>
          </w:p>
        </w:tc>
      </w:tr>
      <w:tr w:rsidR="006B20E3" w14:paraId="16D159D7" w14:textId="77777777" w:rsidTr="000B7495">
        <w:tc>
          <w:tcPr>
            <w:tcW w:w="10188" w:type="dxa"/>
            <w:tcBorders>
              <w:top w:val="single" w:sz="4" w:space="0" w:color="auto"/>
              <w:left w:val="single" w:sz="4" w:space="0" w:color="auto"/>
              <w:bottom w:val="single" w:sz="4" w:space="0" w:color="auto"/>
              <w:right w:val="single" w:sz="4" w:space="0" w:color="auto"/>
            </w:tcBorders>
            <w:hideMark/>
          </w:tcPr>
          <w:p w14:paraId="1CF8FB67" w14:textId="5492F74A" w:rsidR="006B20E3" w:rsidRDefault="00F023E9" w:rsidP="00F54219">
            <w:pPr>
              <w:jc w:val="both"/>
              <w:rPr>
                <w:rFonts w:ascii="Tahoma" w:hAnsi="Tahoma" w:cs="Tahoma"/>
                <w:noProof/>
              </w:rPr>
            </w:pPr>
            <w:r>
              <w:rPr>
                <w:noProof/>
              </w:rPr>
              <w:t>EVTI veiktu pirmo analīzi 24 mēnešus pēc jauno noteikumu īstenošanas, pēc tam veicot atjauninājumus katru gadu.</w:t>
            </w:r>
          </w:p>
        </w:tc>
      </w:tr>
    </w:tbl>
    <w:p w14:paraId="1BF65B5E" w14:textId="77777777" w:rsidR="00FA0A5B" w:rsidRPr="00FA0A5B" w:rsidRDefault="00FA0A5B" w:rsidP="00FA0A5B">
      <w:pPr>
        <w:keepNext/>
        <w:jc w:val="both"/>
      </w:pPr>
    </w:p>
    <w:tbl>
      <w:tblPr>
        <w:tblW w:w="0" w:type="auto"/>
        <w:tblInd w:w="4252" w:type="dxa"/>
        <w:tblCellMar>
          <w:top w:w="567" w:type="dxa"/>
          <w:left w:w="0" w:type="dxa"/>
          <w:right w:w="0" w:type="dxa"/>
        </w:tblCellMar>
        <w:tblLook w:val="0000" w:firstRow="0" w:lastRow="0" w:firstColumn="0" w:lastColumn="0" w:noHBand="0" w:noVBand="0"/>
      </w:tblPr>
      <w:tblGrid>
        <w:gridCol w:w="3750"/>
      </w:tblGrid>
      <w:tr w:rsidR="00FA0A5B" w14:paraId="50EB0393" w14:textId="77777777" w:rsidTr="00FA0A5B">
        <w:tblPrEx>
          <w:tblCellMar>
            <w:bottom w:w="0" w:type="dxa"/>
          </w:tblCellMar>
        </w:tblPrEx>
        <w:trPr>
          <w:cantSplit/>
        </w:trPr>
        <w:tc>
          <w:tcPr>
            <w:tcW w:w="0" w:type="auto"/>
            <w:shd w:val="clear" w:color="auto" w:fill="auto"/>
          </w:tcPr>
          <w:p w14:paraId="2C5195C2" w14:textId="74A8BF24" w:rsidR="00FA0A5B" w:rsidRDefault="00FA0A5B" w:rsidP="00FA0A5B">
            <w:r>
              <w:pict w14:anchorId="43587963">
                <v:shape id="_x0000_i1028" type="#_x0000_t75" style="width:187.5pt;height:102.75pt">
                  <v:imagedata r:id="rId20" o:title=""/>
                </v:shape>
              </w:pict>
            </w:r>
          </w:p>
        </w:tc>
      </w:tr>
    </w:tbl>
    <w:p w14:paraId="78704227" w14:textId="79145463" w:rsidR="00E245A3" w:rsidRPr="00FA0A5B" w:rsidRDefault="00E245A3" w:rsidP="00FA0A5B"/>
    <w:sectPr w:rsidR="00E245A3" w:rsidRPr="00FA0A5B" w:rsidSect="000B7495">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EEB2E" w14:textId="77777777" w:rsidR="00274A4D" w:rsidRDefault="00274A4D" w:rsidP="000B7495">
      <w:pPr>
        <w:spacing w:after="0" w:line="240" w:lineRule="auto"/>
      </w:pPr>
      <w:r>
        <w:separator/>
      </w:r>
    </w:p>
  </w:endnote>
  <w:endnote w:type="continuationSeparator" w:id="0">
    <w:p w14:paraId="5131BC27" w14:textId="77777777" w:rsidR="00274A4D" w:rsidRDefault="00274A4D" w:rsidP="000B7495">
      <w:pPr>
        <w:spacing w:after="0" w:line="240" w:lineRule="auto"/>
      </w:pPr>
      <w:r>
        <w:continuationSeparator/>
      </w:r>
    </w:p>
  </w:endnote>
  <w:endnote w:type="continuationNotice" w:id="1">
    <w:p w14:paraId="744756F2" w14:textId="77777777" w:rsidR="00274A4D" w:rsidRDefault="00274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4F13" w14:textId="77777777" w:rsidR="00085A42" w:rsidRPr="00085A42" w:rsidRDefault="00085A42" w:rsidP="00085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13865" w14:textId="32F5CA36" w:rsidR="00D2347D" w:rsidRPr="00085A42" w:rsidRDefault="00085A42" w:rsidP="00085A42">
    <w:pPr>
      <w:pStyle w:val="FooterCoverPage"/>
      <w:rPr>
        <w:rFonts w:ascii="Arial" w:hAnsi="Arial" w:cs="Arial"/>
        <w:b/>
        <w:sz w:val="48"/>
      </w:rPr>
    </w:pPr>
    <w:r w:rsidRPr="00085A42">
      <w:rPr>
        <w:rFonts w:ascii="Arial" w:hAnsi="Arial" w:cs="Arial"/>
        <w:b/>
        <w:sz w:val="48"/>
      </w:rPr>
      <w:t>LV</w:t>
    </w:r>
    <w:r w:rsidRPr="00085A42">
      <w:rPr>
        <w:rFonts w:ascii="Arial" w:hAnsi="Arial" w:cs="Arial"/>
        <w:b/>
        <w:sz w:val="48"/>
      </w:rPr>
      <w:tab/>
    </w:r>
    <w:r w:rsidRPr="00085A42">
      <w:rPr>
        <w:rFonts w:ascii="Arial" w:hAnsi="Arial" w:cs="Arial"/>
        <w:b/>
        <w:sz w:val="48"/>
      </w:rPr>
      <w:tab/>
    </w:r>
    <w:r w:rsidRPr="00085A42">
      <w:tab/>
    </w:r>
    <w:r w:rsidRPr="00085A42">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2F97" w14:textId="77777777" w:rsidR="00085A42" w:rsidRPr="00085A42" w:rsidRDefault="00085A42" w:rsidP="00085A4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0016A" w14:textId="77777777" w:rsidR="00274A4D" w:rsidRDefault="00274A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93E9" w14:textId="77777777" w:rsidR="00274A4D" w:rsidRDefault="00274A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C7C0" w14:textId="77777777" w:rsidR="00274A4D" w:rsidRDefault="00274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9192B" w14:textId="77777777" w:rsidR="00274A4D" w:rsidRDefault="00274A4D" w:rsidP="000B7495">
      <w:pPr>
        <w:spacing w:after="0" w:line="240" w:lineRule="auto"/>
      </w:pPr>
      <w:r>
        <w:separator/>
      </w:r>
    </w:p>
  </w:footnote>
  <w:footnote w:type="continuationSeparator" w:id="0">
    <w:p w14:paraId="68088E0F" w14:textId="77777777" w:rsidR="00274A4D" w:rsidRDefault="00274A4D" w:rsidP="000B7495">
      <w:pPr>
        <w:spacing w:after="0" w:line="240" w:lineRule="auto"/>
      </w:pPr>
      <w:r>
        <w:continuationSeparator/>
      </w:r>
    </w:p>
  </w:footnote>
  <w:footnote w:type="continuationNotice" w:id="1">
    <w:p w14:paraId="23720688" w14:textId="77777777" w:rsidR="00274A4D" w:rsidRDefault="00274A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5DE4" w14:textId="77777777" w:rsidR="00085A42" w:rsidRPr="00085A42" w:rsidRDefault="00085A42" w:rsidP="00085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B1D5" w14:textId="77777777" w:rsidR="00085A42" w:rsidRPr="00085A42" w:rsidRDefault="00085A42" w:rsidP="00085A4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6141" w14:textId="77777777" w:rsidR="00085A42" w:rsidRPr="00085A42" w:rsidRDefault="00085A42" w:rsidP="00085A4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6F2A4" w14:textId="77777777" w:rsidR="00274A4D" w:rsidRDefault="00274A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0FFB" w14:textId="77777777" w:rsidR="00274A4D" w:rsidRDefault="00274A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79D1" w14:textId="77777777" w:rsidR="00274A4D" w:rsidRDefault="00274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709F"/>
    <w:multiLevelType w:val="hybridMultilevel"/>
    <w:tmpl w:val="BCA2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92890"/>
    <w:multiLevelType w:val="hybridMultilevel"/>
    <w:tmpl w:val="B4A4A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254204"/>
    <w:multiLevelType w:val="hybridMultilevel"/>
    <w:tmpl w:val="A658E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417B71"/>
    <w:multiLevelType w:val="hybridMultilevel"/>
    <w:tmpl w:val="EE72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82510"/>
    <w:multiLevelType w:val="hybridMultilevel"/>
    <w:tmpl w:val="FAB8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E4462"/>
    <w:multiLevelType w:val="hybridMultilevel"/>
    <w:tmpl w:val="44E44D68"/>
    <w:lvl w:ilvl="0" w:tplc="08090001">
      <w:start w:val="1"/>
      <w:numFmt w:val="bullet"/>
      <w:lvlText w:val=""/>
      <w:lvlJc w:val="left"/>
      <w:pPr>
        <w:ind w:left="720" w:hanging="360"/>
      </w:pPr>
      <w:rPr>
        <w:rFonts w:ascii="Symbol" w:hAnsi="Symbol" w:hint="default"/>
      </w:rPr>
    </w:lvl>
    <w:lvl w:ilvl="1" w:tplc="06C4C608">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15FAC"/>
    <w:multiLevelType w:val="hybridMultilevel"/>
    <w:tmpl w:val="1C6E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Pavaddokuments dokumentam"/>
    <w:docVar w:name="LW_CORRIGENDUM" w:val="&lt;UNUSED&gt;"/>
    <w:docVar w:name="LW_COVERPAGE_EXISTS" w:val="True"/>
    <w:docVar w:name="LW_COVERPAGE_GUID" w:val="F6C839F9-8EF0-40AF-AD40-B7308518422F"/>
    <w:docVar w:name="LW_COVERPAGE_TYPE" w:val="1"/>
    <w:docVar w:name="LW_CROSSREFERENCE" w:val="{COM(2021) 727 final} - {SEC(2021) 573 final} - {SWD(2021) 346 final}"/>
    <w:docVar w:name="LW_DocType" w:val="NORMAL"/>
    <w:docVar w:name="LW_EMISSION" w:val="25.11.2021"/>
    <w:docVar w:name="LW_EMISSION_ISODATE" w:val="2021-11-25"/>
    <w:docVar w:name="LW_EMISSION_LOCATION" w:val="BRX"/>
    <w:docVar w:name="LW_EMISSION_PREFIX" w:val="Brisel\u275?, "/>
    <w:docVar w:name="LW_EMISSION_SUFFIX" w:val="."/>
    <w:docVar w:name="LW_ID_DOCTYPE_NONLW" w:val="CP-027"/>
    <w:docVar w:name="LW_LANGUE" w:val="LV"/>
    <w:docVar w:name="LW_LEVEL_OF_SENSITIVITY" w:val="Standard treatment"/>
    <w:docVar w:name="LW_NOM.INST" w:val="EIROPAS KOMISIJA"/>
    <w:docVar w:name="LW_NOM.INST_JOINTDOC" w:val="&lt;EMPTY&gt;"/>
    <w:docVar w:name="LW_OBJETACTEPRINCIPAL.CP" w:val="&lt;FMT:Font=Calibri Baltic&gt;Priekšlikums Eiropas Parlamenta un Padomes direktīvai, ar ko groza Direktīvu 2014/65/ES par finanšu instrumentu tirgiem&lt;/FMT&gt;_x000b__x000b__x000b__x000d__x000b_"/>
    <w:docVar w:name="LW_PART_NBR" w:val="1"/>
    <w:docVar w:name="LW_PART_NBR_TOTAL" w:val="1"/>
    <w:docVar w:name="LW_REF.INST.NEW" w:val="SWD"/>
    <w:docVar w:name="LW_REF.INST.NEW_ADOPTED" w:val="final"/>
    <w:docVar w:name="LW_REF.INST.NEW_TEXT" w:val="(2021)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KOMISIJAS DIENESTU DARBA DOKUMENTS_x000b__x000b_IETEKMES NOVĒRTĒJUMA KOPSAVILKUMA ZIŅOJUMS_x000b_"/>
    <w:docVar w:name="LW_TYPEACTEPRINCIPAL.CP" w:val="Priekšlikums Eiropas Parlamenta un Padomes regulai, ar ko Regulu (ES) Nr. 600/2014 groza attiecībā uz tirgus datu pārredzamības uzlabošanu, šķēršļu novēršanu konsolidētu datu lentes izveidei, tirdzniecības pienākumu optimizēšanu un aizliegumu saņemt maksājumus par klientu rīkojumu nosūtīšanu"/>
    <w:docVar w:name="LwApiVersions" w:val="LW4CoDe 1.23.2.0; LW 8.0, Build 20211117"/>
  </w:docVars>
  <w:rsids>
    <w:rsidRoot w:val="000B7495"/>
    <w:rsid w:val="00005953"/>
    <w:rsid w:val="00016349"/>
    <w:rsid w:val="00026FC1"/>
    <w:rsid w:val="00031347"/>
    <w:rsid w:val="00041DD9"/>
    <w:rsid w:val="00043FA3"/>
    <w:rsid w:val="00046721"/>
    <w:rsid w:val="00065F5F"/>
    <w:rsid w:val="00065FCD"/>
    <w:rsid w:val="000669CA"/>
    <w:rsid w:val="00066CFD"/>
    <w:rsid w:val="00070AA9"/>
    <w:rsid w:val="00071087"/>
    <w:rsid w:val="000722EB"/>
    <w:rsid w:val="00074179"/>
    <w:rsid w:val="0007718D"/>
    <w:rsid w:val="00081CC9"/>
    <w:rsid w:val="00085A12"/>
    <w:rsid w:val="00085A42"/>
    <w:rsid w:val="000B2048"/>
    <w:rsid w:val="000B4DB3"/>
    <w:rsid w:val="000B7495"/>
    <w:rsid w:val="000C5007"/>
    <w:rsid w:val="000C611E"/>
    <w:rsid w:val="000D7957"/>
    <w:rsid w:val="00102A5E"/>
    <w:rsid w:val="00104C16"/>
    <w:rsid w:val="00112C57"/>
    <w:rsid w:val="00151071"/>
    <w:rsid w:val="00155856"/>
    <w:rsid w:val="00155F2E"/>
    <w:rsid w:val="00165AB1"/>
    <w:rsid w:val="00173D10"/>
    <w:rsid w:val="0018117C"/>
    <w:rsid w:val="00184C15"/>
    <w:rsid w:val="00185B0A"/>
    <w:rsid w:val="001928E8"/>
    <w:rsid w:val="0019404E"/>
    <w:rsid w:val="0019607D"/>
    <w:rsid w:val="001A2D45"/>
    <w:rsid w:val="001A4B1A"/>
    <w:rsid w:val="001B4D0F"/>
    <w:rsid w:val="001B4E6F"/>
    <w:rsid w:val="001C330A"/>
    <w:rsid w:val="001C6E19"/>
    <w:rsid w:val="001C6EDA"/>
    <w:rsid w:val="001D3B5B"/>
    <w:rsid w:val="001D7162"/>
    <w:rsid w:val="001D73A9"/>
    <w:rsid w:val="001F4DDE"/>
    <w:rsid w:val="001F7A0D"/>
    <w:rsid w:val="00201D65"/>
    <w:rsid w:val="00202E33"/>
    <w:rsid w:val="002053E9"/>
    <w:rsid w:val="002170B3"/>
    <w:rsid w:val="00223A3D"/>
    <w:rsid w:val="00227E6F"/>
    <w:rsid w:val="00244572"/>
    <w:rsid w:val="002474A7"/>
    <w:rsid w:val="002515F4"/>
    <w:rsid w:val="00253CF6"/>
    <w:rsid w:val="00253D5D"/>
    <w:rsid w:val="0026038D"/>
    <w:rsid w:val="00263D37"/>
    <w:rsid w:val="0026619C"/>
    <w:rsid w:val="00266C2B"/>
    <w:rsid w:val="00267620"/>
    <w:rsid w:val="00267AD3"/>
    <w:rsid w:val="002703B2"/>
    <w:rsid w:val="00274A4D"/>
    <w:rsid w:val="00283C25"/>
    <w:rsid w:val="0028739C"/>
    <w:rsid w:val="0029073A"/>
    <w:rsid w:val="00291810"/>
    <w:rsid w:val="00296E6E"/>
    <w:rsid w:val="002977E9"/>
    <w:rsid w:val="002A1678"/>
    <w:rsid w:val="002A64E3"/>
    <w:rsid w:val="002C0D46"/>
    <w:rsid w:val="002D2212"/>
    <w:rsid w:val="002E58E6"/>
    <w:rsid w:val="002E76FF"/>
    <w:rsid w:val="002F3037"/>
    <w:rsid w:val="003117B0"/>
    <w:rsid w:val="00311DA6"/>
    <w:rsid w:val="00316C4F"/>
    <w:rsid w:val="00327B88"/>
    <w:rsid w:val="0033164A"/>
    <w:rsid w:val="0033262D"/>
    <w:rsid w:val="003457F6"/>
    <w:rsid w:val="0035285B"/>
    <w:rsid w:val="00354DBB"/>
    <w:rsid w:val="00357A23"/>
    <w:rsid w:val="00363A9A"/>
    <w:rsid w:val="00364A59"/>
    <w:rsid w:val="0036799B"/>
    <w:rsid w:val="00380CFD"/>
    <w:rsid w:val="0038378D"/>
    <w:rsid w:val="00385070"/>
    <w:rsid w:val="00390C3F"/>
    <w:rsid w:val="00394293"/>
    <w:rsid w:val="003A19C4"/>
    <w:rsid w:val="003A4239"/>
    <w:rsid w:val="003A56C3"/>
    <w:rsid w:val="003A5EA7"/>
    <w:rsid w:val="003D10F0"/>
    <w:rsid w:val="003D142E"/>
    <w:rsid w:val="003D417F"/>
    <w:rsid w:val="003E0189"/>
    <w:rsid w:val="003E617B"/>
    <w:rsid w:val="003F23DC"/>
    <w:rsid w:val="003F4700"/>
    <w:rsid w:val="00403A27"/>
    <w:rsid w:val="00405844"/>
    <w:rsid w:val="004119F3"/>
    <w:rsid w:val="0042121E"/>
    <w:rsid w:val="00423C8E"/>
    <w:rsid w:val="004240E5"/>
    <w:rsid w:val="0042490B"/>
    <w:rsid w:val="00424A1A"/>
    <w:rsid w:val="004329D3"/>
    <w:rsid w:val="00433D78"/>
    <w:rsid w:val="00440402"/>
    <w:rsid w:val="00443CCC"/>
    <w:rsid w:val="004457C4"/>
    <w:rsid w:val="004519AA"/>
    <w:rsid w:val="0045373A"/>
    <w:rsid w:val="00456F2D"/>
    <w:rsid w:val="00470123"/>
    <w:rsid w:val="004711DE"/>
    <w:rsid w:val="004732F2"/>
    <w:rsid w:val="00492975"/>
    <w:rsid w:val="004A17FD"/>
    <w:rsid w:val="004B28D1"/>
    <w:rsid w:val="004C5BAD"/>
    <w:rsid w:val="004D080C"/>
    <w:rsid w:val="004D1238"/>
    <w:rsid w:val="004D3913"/>
    <w:rsid w:val="004D4BA2"/>
    <w:rsid w:val="004D584C"/>
    <w:rsid w:val="004D5DB7"/>
    <w:rsid w:val="004F00E3"/>
    <w:rsid w:val="004F249C"/>
    <w:rsid w:val="00503312"/>
    <w:rsid w:val="00512BDC"/>
    <w:rsid w:val="00533CBA"/>
    <w:rsid w:val="00534EB3"/>
    <w:rsid w:val="0055062E"/>
    <w:rsid w:val="00557268"/>
    <w:rsid w:val="00564127"/>
    <w:rsid w:val="00580F42"/>
    <w:rsid w:val="005B4A53"/>
    <w:rsid w:val="005B4D82"/>
    <w:rsid w:val="005B65CA"/>
    <w:rsid w:val="005B7413"/>
    <w:rsid w:val="005C1773"/>
    <w:rsid w:val="005C207F"/>
    <w:rsid w:val="005C74DC"/>
    <w:rsid w:val="005E2661"/>
    <w:rsid w:val="005F3364"/>
    <w:rsid w:val="0060195E"/>
    <w:rsid w:val="0060722D"/>
    <w:rsid w:val="00610C64"/>
    <w:rsid w:val="00617033"/>
    <w:rsid w:val="006262A3"/>
    <w:rsid w:val="006276CC"/>
    <w:rsid w:val="00637262"/>
    <w:rsid w:val="0064614B"/>
    <w:rsid w:val="006478A9"/>
    <w:rsid w:val="00647B0D"/>
    <w:rsid w:val="00647D03"/>
    <w:rsid w:val="00654DE0"/>
    <w:rsid w:val="006601C3"/>
    <w:rsid w:val="0066188A"/>
    <w:rsid w:val="006769F3"/>
    <w:rsid w:val="00681E9E"/>
    <w:rsid w:val="006826E3"/>
    <w:rsid w:val="00687BB6"/>
    <w:rsid w:val="006900BB"/>
    <w:rsid w:val="00693F2C"/>
    <w:rsid w:val="006A0E5E"/>
    <w:rsid w:val="006A70B2"/>
    <w:rsid w:val="006B20E3"/>
    <w:rsid w:val="006B6891"/>
    <w:rsid w:val="006E2362"/>
    <w:rsid w:val="006E2F39"/>
    <w:rsid w:val="006E5929"/>
    <w:rsid w:val="006E5C17"/>
    <w:rsid w:val="006F238D"/>
    <w:rsid w:val="007060C8"/>
    <w:rsid w:val="0070626E"/>
    <w:rsid w:val="0071110F"/>
    <w:rsid w:val="00717652"/>
    <w:rsid w:val="0072125B"/>
    <w:rsid w:val="007222A5"/>
    <w:rsid w:val="00726AAE"/>
    <w:rsid w:val="00732B8F"/>
    <w:rsid w:val="00742582"/>
    <w:rsid w:val="00745113"/>
    <w:rsid w:val="00750AA9"/>
    <w:rsid w:val="007516C7"/>
    <w:rsid w:val="007533BD"/>
    <w:rsid w:val="00754B28"/>
    <w:rsid w:val="007559FB"/>
    <w:rsid w:val="007651F7"/>
    <w:rsid w:val="00767AF6"/>
    <w:rsid w:val="00774422"/>
    <w:rsid w:val="00774F60"/>
    <w:rsid w:val="0078662D"/>
    <w:rsid w:val="00787BE1"/>
    <w:rsid w:val="00791B1F"/>
    <w:rsid w:val="007B0327"/>
    <w:rsid w:val="007C0080"/>
    <w:rsid w:val="007C342C"/>
    <w:rsid w:val="007C3978"/>
    <w:rsid w:val="007C56F5"/>
    <w:rsid w:val="007D1E8D"/>
    <w:rsid w:val="007D52E2"/>
    <w:rsid w:val="007D64CD"/>
    <w:rsid w:val="007E0DE2"/>
    <w:rsid w:val="007F13B8"/>
    <w:rsid w:val="007F3561"/>
    <w:rsid w:val="007F6761"/>
    <w:rsid w:val="00804FB4"/>
    <w:rsid w:val="00811C37"/>
    <w:rsid w:val="00815CAB"/>
    <w:rsid w:val="00817CD5"/>
    <w:rsid w:val="008231D6"/>
    <w:rsid w:val="00824BB6"/>
    <w:rsid w:val="00857E56"/>
    <w:rsid w:val="00880A4F"/>
    <w:rsid w:val="00881692"/>
    <w:rsid w:val="00890861"/>
    <w:rsid w:val="008A7440"/>
    <w:rsid w:val="008B19B5"/>
    <w:rsid w:val="008B6F3D"/>
    <w:rsid w:val="008C4E41"/>
    <w:rsid w:val="008D4381"/>
    <w:rsid w:val="008D4393"/>
    <w:rsid w:val="008E0B23"/>
    <w:rsid w:val="008F241D"/>
    <w:rsid w:val="0090289B"/>
    <w:rsid w:val="009040C6"/>
    <w:rsid w:val="0090441C"/>
    <w:rsid w:val="0091056A"/>
    <w:rsid w:val="009211A3"/>
    <w:rsid w:val="00921795"/>
    <w:rsid w:val="009267DA"/>
    <w:rsid w:val="00933E15"/>
    <w:rsid w:val="00936E9B"/>
    <w:rsid w:val="00937C98"/>
    <w:rsid w:val="00974FB2"/>
    <w:rsid w:val="00986093"/>
    <w:rsid w:val="00992E39"/>
    <w:rsid w:val="0099309C"/>
    <w:rsid w:val="009C0192"/>
    <w:rsid w:val="009C6598"/>
    <w:rsid w:val="009D1299"/>
    <w:rsid w:val="009D1CBD"/>
    <w:rsid w:val="009E37AC"/>
    <w:rsid w:val="009F25FE"/>
    <w:rsid w:val="00A222D6"/>
    <w:rsid w:val="00A23CD4"/>
    <w:rsid w:val="00A34427"/>
    <w:rsid w:val="00A364B7"/>
    <w:rsid w:val="00A426CE"/>
    <w:rsid w:val="00A54A54"/>
    <w:rsid w:val="00A67FAA"/>
    <w:rsid w:val="00A70D8E"/>
    <w:rsid w:val="00A74187"/>
    <w:rsid w:val="00A82491"/>
    <w:rsid w:val="00A8737A"/>
    <w:rsid w:val="00A94C52"/>
    <w:rsid w:val="00A95504"/>
    <w:rsid w:val="00A975CA"/>
    <w:rsid w:val="00AA1822"/>
    <w:rsid w:val="00AA4855"/>
    <w:rsid w:val="00AA6E5A"/>
    <w:rsid w:val="00AB52AC"/>
    <w:rsid w:val="00AC04B2"/>
    <w:rsid w:val="00AC2B74"/>
    <w:rsid w:val="00AC62FF"/>
    <w:rsid w:val="00AE5B34"/>
    <w:rsid w:val="00AE6BA3"/>
    <w:rsid w:val="00AF3CCF"/>
    <w:rsid w:val="00AF5EF6"/>
    <w:rsid w:val="00AF6FA8"/>
    <w:rsid w:val="00B07216"/>
    <w:rsid w:val="00B07B50"/>
    <w:rsid w:val="00B150D8"/>
    <w:rsid w:val="00B173D8"/>
    <w:rsid w:val="00B23653"/>
    <w:rsid w:val="00B33681"/>
    <w:rsid w:val="00B364A0"/>
    <w:rsid w:val="00B422C4"/>
    <w:rsid w:val="00B556AB"/>
    <w:rsid w:val="00B83F70"/>
    <w:rsid w:val="00B86FBC"/>
    <w:rsid w:val="00B93934"/>
    <w:rsid w:val="00BA2BC7"/>
    <w:rsid w:val="00BA4679"/>
    <w:rsid w:val="00BA6667"/>
    <w:rsid w:val="00BB450E"/>
    <w:rsid w:val="00BB660F"/>
    <w:rsid w:val="00BC17DE"/>
    <w:rsid w:val="00BC26D6"/>
    <w:rsid w:val="00BE0B25"/>
    <w:rsid w:val="00BE13A9"/>
    <w:rsid w:val="00BE213D"/>
    <w:rsid w:val="00BE23FD"/>
    <w:rsid w:val="00BE5F86"/>
    <w:rsid w:val="00BF1214"/>
    <w:rsid w:val="00BF592F"/>
    <w:rsid w:val="00C045C5"/>
    <w:rsid w:val="00C0741B"/>
    <w:rsid w:val="00C10303"/>
    <w:rsid w:val="00C23630"/>
    <w:rsid w:val="00C2413A"/>
    <w:rsid w:val="00C3175C"/>
    <w:rsid w:val="00C41E06"/>
    <w:rsid w:val="00C51ECB"/>
    <w:rsid w:val="00C53EB4"/>
    <w:rsid w:val="00C62C61"/>
    <w:rsid w:val="00C73010"/>
    <w:rsid w:val="00C74EB1"/>
    <w:rsid w:val="00C85CF6"/>
    <w:rsid w:val="00C85E6E"/>
    <w:rsid w:val="00C90799"/>
    <w:rsid w:val="00C9096B"/>
    <w:rsid w:val="00CA0609"/>
    <w:rsid w:val="00CA1297"/>
    <w:rsid w:val="00CA3D06"/>
    <w:rsid w:val="00CB0F0C"/>
    <w:rsid w:val="00CB1012"/>
    <w:rsid w:val="00CB4910"/>
    <w:rsid w:val="00CC1A05"/>
    <w:rsid w:val="00CC34C8"/>
    <w:rsid w:val="00CC3EC6"/>
    <w:rsid w:val="00CC5231"/>
    <w:rsid w:val="00CD41EA"/>
    <w:rsid w:val="00CE6567"/>
    <w:rsid w:val="00CF1E29"/>
    <w:rsid w:val="00D04F45"/>
    <w:rsid w:val="00D0568B"/>
    <w:rsid w:val="00D20F0D"/>
    <w:rsid w:val="00D22356"/>
    <w:rsid w:val="00D22DE6"/>
    <w:rsid w:val="00D2338F"/>
    <w:rsid w:val="00D2347D"/>
    <w:rsid w:val="00D2469E"/>
    <w:rsid w:val="00D31553"/>
    <w:rsid w:val="00D32519"/>
    <w:rsid w:val="00D3406C"/>
    <w:rsid w:val="00D35187"/>
    <w:rsid w:val="00D3694D"/>
    <w:rsid w:val="00D4501F"/>
    <w:rsid w:val="00D475B7"/>
    <w:rsid w:val="00D542C7"/>
    <w:rsid w:val="00D57470"/>
    <w:rsid w:val="00D65564"/>
    <w:rsid w:val="00D7724C"/>
    <w:rsid w:val="00D831F3"/>
    <w:rsid w:val="00D87B29"/>
    <w:rsid w:val="00D940D3"/>
    <w:rsid w:val="00D95224"/>
    <w:rsid w:val="00DA79E4"/>
    <w:rsid w:val="00DB02B9"/>
    <w:rsid w:val="00DB2F35"/>
    <w:rsid w:val="00DB59B4"/>
    <w:rsid w:val="00DB6306"/>
    <w:rsid w:val="00DB689B"/>
    <w:rsid w:val="00DC01C1"/>
    <w:rsid w:val="00DC6088"/>
    <w:rsid w:val="00DD1EF7"/>
    <w:rsid w:val="00DD7439"/>
    <w:rsid w:val="00DE0753"/>
    <w:rsid w:val="00DE6B6D"/>
    <w:rsid w:val="00E072E3"/>
    <w:rsid w:val="00E14843"/>
    <w:rsid w:val="00E20A1F"/>
    <w:rsid w:val="00E22A09"/>
    <w:rsid w:val="00E245A3"/>
    <w:rsid w:val="00E26E3A"/>
    <w:rsid w:val="00E3142C"/>
    <w:rsid w:val="00E34994"/>
    <w:rsid w:val="00E4061D"/>
    <w:rsid w:val="00E47CCA"/>
    <w:rsid w:val="00E65661"/>
    <w:rsid w:val="00E71EDF"/>
    <w:rsid w:val="00E80932"/>
    <w:rsid w:val="00E81AA1"/>
    <w:rsid w:val="00E8431C"/>
    <w:rsid w:val="00E95B24"/>
    <w:rsid w:val="00EB16FD"/>
    <w:rsid w:val="00EB4AFF"/>
    <w:rsid w:val="00EC39BB"/>
    <w:rsid w:val="00EC688F"/>
    <w:rsid w:val="00ED351D"/>
    <w:rsid w:val="00ED69F3"/>
    <w:rsid w:val="00EE297E"/>
    <w:rsid w:val="00EE3712"/>
    <w:rsid w:val="00F0075E"/>
    <w:rsid w:val="00F023E9"/>
    <w:rsid w:val="00F02FB9"/>
    <w:rsid w:val="00F15236"/>
    <w:rsid w:val="00F17782"/>
    <w:rsid w:val="00F24EE1"/>
    <w:rsid w:val="00F3101E"/>
    <w:rsid w:val="00F41C1B"/>
    <w:rsid w:val="00F42EF8"/>
    <w:rsid w:val="00F458C4"/>
    <w:rsid w:val="00F54219"/>
    <w:rsid w:val="00F71850"/>
    <w:rsid w:val="00F72854"/>
    <w:rsid w:val="00F74FB4"/>
    <w:rsid w:val="00F75B59"/>
    <w:rsid w:val="00F90A32"/>
    <w:rsid w:val="00F923A9"/>
    <w:rsid w:val="00F92E8A"/>
    <w:rsid w:val="00FA0A5B"/>
    <w:rsid w:val="00FA5ACF"/>
    <w:rsid w:val="00FB5BA2"/>
    <w:rsid w:val="00FC4BEA"/>
    <w:rsid w:val="00FD4584"/>
    <w:rsid w:val="00FE425C"/>
    <w:rsid w:val="00FE48E8"/>
    <w:rsid w:val="00FE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4290A605"/>
  <w15:chartTrackingRefBased/>
  <w15:docId w15:val="{A2BEC0EF-97ED-42D5-A53B-C7B9FF8F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D08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559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0B7495"/>
    <w:rPr>
      <w:color w:val="0000FF"/>
      <w:shd w:val="clear" w:color="auto" w:fill="auto"/>
    </w:rPr>
  </w:style>
  <w:style w:type="paragraph" w:customStyle="1" w:styleId="Pagedecouverture">
    <w:name w:val="Page de couverture"/>
    <w:basedOn w:val="Normal"/>
    <w:next w:val="Normal"/>
    <w:rsid w:val="000B7495"/>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0B7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495"/>
  </w:style>
  <w:style w:type="paragraph" w:styleId="Footer">
    <w:name w:val="footer"/>
    <w:basedOn w:val="Normal"/>
    <w:link w:val="FooterChar"/>
    <w:uiPriority w:val="99"/>
    <w:unhideWhenUsed/>
    <w:rsid w:val="000B7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495"/>
  </w:style>
  <w:style w:type="paragraph" w:customStyle="1" w:styleId="FooterCoverPage">
    <w:name w:val="Footer Cover Page"/>
    <w:basedOn w:val="Normal"/>
    <w:link w:val="FooterCoverPageChar"/>
    <w:rsid w:val="000B749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B7495"/>
    <w:rPr>
      <w:rFonts w:ascii="Times New Roman" w:hAnsi="Times New Roman" w:cs="Times New Roman"/>
      <w:sz w:val="24"/>
    </w:rPr>
  </w:style>
  <w:style w:type="paragraph" w:customStyle="1" w:styleId="FooterSensitivity">
    <w:name w:val="Footer Sensitivity"/>
    <w:basedOn w:val="Normal"/>
    <w:link w:val="FooterSensitivityChar"/>
    <w:rsid w:val="000B749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0B7495"/>
    <w:rPr>
      <w:rFonts w:ascii="Times New Roman" w:hAnsi="Times New Roman" w:cs="Times New Roman"/>
      <w:b/>
      <w:sz w:val="32"/>
    </w:rPr>
  </w:style>
  <w:style w:type="paragraph" w:customStyle="1" w:styleId="HeaderCoverPage">
    <w:name w:val="Header Cover Page"/>
    <w:basedOn w:val="Normal"/>
    <w:link w:val="HeaderCoverPageChar"/>
    <w:rsid w:val="000B749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B7495"/>
    <w:rPr>
      <w:rFonts w:ascii="Times New Roman" w:hAnsi="Times New Roman" w:cs="Times New Roman"/>
      <w:sz w:val="24"/>
    </w:rPr>
  </w:style>
  <w:style w:type="paragraph" w:customStyle="1" w:styleId="HeaderSensitivity">
    <w:name w:val="Header Sensitivity"/>
    <w:basedOn w:val="Normal"/>
    <w:link w:val="HeaderSensitivityChar"/>
    <w:rsid w:val="000B749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0B7495"/>
    <w:rPr>
      <w:rFonts w:ascii="Times New Roman" w:hAnsi="Times New Roman" w:cs="Times New Roman"/>
      <w:b/>
      <w:sz w:val="32"/>
    </w:rPr>
  </w:style>
  <w:style w:type="paragraph" w:customStyle="1" w:styleId="HeaderSensitivityRight">
    <w:name w:val="Header Sensitivity Right"/>
    <w:basedOn w:val="Normal"/>
    <w:link w:val="HeaderSensitivityRightChar"/>
    <w:rsid w:val="000B749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0B7495"/>
    <w:rPr>
      <w:rFonts w:ascii="Times New Roman" w:hAnsi="Times New Roman" w:cs="Times New Roman"/>
      <w:sz w:val="28"/>
    </w:rPr>
  </w:style>
  <w:style w:type="table" w:styleId="TableGrid">
    <w:name w:val="Table Grid"/>
    <w:basedOn w:val="TableNormal"/>
    <w:rsid w:val="000B749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B20E3"/>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6B20E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B20E3"/>
    <w:rPr>
      <w:vertAlign w:val="superscript"/>
    </w:rPr>
  </w:style>
  <w:style w:type="paragraph" w:customStyle="1" w:styleId="Text1">
    <w:name w:val="Text 1"/>
    <w:basedOn w:val="Normal"/>
    <w:rsid w:val="00E80932"/>
    <w:pPr>
      <w:spacing w:after="240" w:line="240" w:lineRule="auto"/>
      <w:ind w:left="482"/>
      <w:jc w:val="both"/>
    </w:pPr>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E80932"/>
    <w:pPr>
      <w:spacing w:after="20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E80932"/>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80932"/>
    <w:rPr>
      <w:sz w:val="16"/>
      <w:szCs w:val="16"/>
    </w:rPr>
  </w:style>
  <w:style w:type="paragraph" w:styleId="BalloonText">
    <w:name w:val="Balloon Text"/>
    <w:basedOn w:val="Normal"/>
    <w:link w:val="BalloonTextChar"/>
    <w:uiPriority w:val="99"/>
    <w:semiHidden/>
    <w:unhideWhenUsed/>
    <w:rsid w:val="00E80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932"/>
    <w:rPr>
      <w:rFonts w:ascii="Segoe UI" w:hAnsi="Segoe UI" w:cs="Segoe UI"/>
      <w:sz w:val="18"/>
      <w:szCs w:val="18"/>
    </w:rPr>
  </w:style>
  <w:style w:type="character" w:customStyle="1" w:styleId="hgkelc">
    <w:name w:val="hgkelc"/>
    <w:basedOn w:val="DefaultParagraphFont"/>
    <w:rsid w:val="00F92E8A"/>
  </w:style>
  <w:style w:type="table" w:customStyle="1" w:styleId="GridTable5Dark-Accent21">
    <w:name w:val="Grid Table 5 Dark - Accent 21"/>
    <w:basedOn w:val="TableNormal"/>
    <w:next w:val="GridTable5Dark-Accent2"/>
    <w:uiPriority w:val="50"/>
    <w:rsid w:val="004240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2">
    <w:name w:val="Grid Table 5 Dark Accent 2"/>
    <w:basedOn w:val="TableNormal"/>
    <w:uiPriority w:val="50"/>
    <w:rsid w:val="004240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normaltextrun">
    <w:name w:val="normaltextrun"/>
    <w:basedOn w:val="DefaultParagraphFont"/>
    <w:rsid w:val="00921795"/>
  </w:style>
  <w:style w:type="paragraph" w:styleId="ListParagraph">
    <w:name w:val="List Paragraph"/>
    <w:basedOn w:val="Normal"/>
    <w:uiPriority w:val="34"/>
    <w:qFormat/>
    <w:rsid w:val="0066188A"/>
    <w:pPr>
      <w:spacing w:after="0" w:line="240" w:lineRule="auto"/>
      <w:ind w:left="720"/>
    </w:pPr>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CC1A05"/>
    <w:pPr>
      <w:spacing w:after="16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C1A05"/>
    <w:rPr>
      <w:rFonts w:ascii="Times New Roman" w:hAnsi="Times New Roman" w:cs="Times New Roman"/>
      <w:b/>
      <w:bCs/>
      <w:sz w:val="20"/>
      <w:szCs w:val="20"/>
    </w:rPr>
  </w:style>
  <w:style w:type="character" w:styleId="Hyperlink">
    <w:name w:val="Hyperlink"/>
    <w:basedOn w:val="DefaultParagraphFont"/>
    <w:uiPriority w:val="99"/>
    <w:semiHidden/>
    <w:unhideWhenUsed/>
    <w:rsid w:val="00D475B7"/>
    <w:rPr>
      <w:color w:val="0563C1" w:themeColor="hyperlink"/>
      <w:u w:val="single"/>
    </w:rPr>
  </w:style>
  <w:style w:type="paragraph" w:styleId="Revision">
    <w:name w:val="Revision"/>
    <w:hidden/>
    <w:uiPriority w:val="99"/>
    <w:semiHidden/>
    <w:rsid w:val="00534EB3"/>
    <w:pPr>
      <w:spacing w:after="0" w:line="240" w:lineRule="auto"/>
    </w:pPr>
  </w:style>
  <w:style w:type="character" w:customStyle="1" w:styleId="Heading3Char">
    <w:name w:val="Heading 3 Char"/>
    <w:basedOn w:val="DefaultParagraphFont"/>
    <w:link w:val="Heading3"/>
    <w:uiPriority w:val="9"/>
    <w:semiHidden/>
    <w:rsid w:val="007559FB"/>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4D080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2635">
      <w:bodyDiv w:val="1"/>
      <w:marLeft w:val="0"/>
      <w:marRight w:val="0"/>
      <w:marTop w:val="0"/>
      <w:marBottom w:val="0"/>
      <w:divBdr>
        <w:top w:val="none" w:sz="0" w:space="0" w:color="auto"/>
        <w:left w:val="none" w:sz="0" w:space="0" w:color="auto"/>
        <w:bottom w:val="none" w:sz="0" w:space="0" w:color="auto"/>
        <w:right w:val="none" w:sz="0" w:space="0" w:color="auto"/>
      </w:divBdr>
    </w:div>
    <w:div w:id="2762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2e4566d1cfc4e6eb55a8bd63695e673 xmlns="B98945D3-5456-4CD3-B95D-0E1431E310C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b2e4566d1cfc4e6eb55a8bd63695e673>
    <EC_ARES_DATE_TRANSFERRED xmlns="B98945D3-5456-4CD3-B95D-0E1431E310C5" xsi:nil="true"/>
    <EC_ARES_NUMBER xmlns="B98945D3-5456-4CD3-B95D-0E1431E310C5">
      <Url xsi:nil="true"/>
      <Description xsi:nil="true"/>
    </EC_ARES_NUMBER>
    <o52cb62f36a04edbb3bac4b73eb58afc xmlns="B98945D3-5456-4CD3-B95D-0E1431E310C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o52cb62f36a04edbb3bac4b73eb58afc>
    <TaxCatchAll xmlns="02ebb043-5898-4877-8c1f-28652c7a58c8">
      <Value>144</Value>
    </TaxCatchAll>
    <kda1bb0e60714e759e76d829bf85cf68 xmlns="B98945D3-5456-4CD3-B95D-0E1431E310C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da1bb0e60714e759e76d829bf85cf68>
    <TranslationStateListUrl xmlns="http://schemas.microsoft.com/sharepoint/v3">
      <Url xsi:nil="true"/>
      <Description xsi:nil="true"/>
    </TranslationStateListUrl>
    <EC_Collab_DocumentLanguage xmlns="B98945D3-5456-4CD3-B95D-0E1431E310C5">EN</EC_Collab_DocumentLanguage>
    <Topic xmlns="b98945d3-5456-4cd3-b95d-0e1431e310c5">Market data - CTP</Topic>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1be13f0e-efa2-4808-b008-d92ae28571d4</TermId>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ARES_TRANSFERRED_BY xmlns="B98945D3-5456-4CD3-B95D-0E1431E310C5" xsi:nil="true"/>
    <_dlc_DocId xmlns="02ebb043-5898-4877-8c1f-28652c7a58c8">KUAXY5MF5DVP-81637303-264</_dlc_DocId>
    <_dlc_DocIdUrl xmlns="02ebb043-5898-4877-8c1f-28652c7a58c8">
      <Url>https://myintracomm-collab.ec.europa.eu/dg/FISMA/C/C3/_layouts/15/DocIdRedir.aspx?ID=KUAXY5MF5DVP-81637303-264</Url>
      <Description>KUAXY5MF5DVP-81637303-264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41087D88BCA9B4CB35120202DDD7B44" ma:contentTypeVersion="12" ma:contentTypeDescription="Create a new document in this library." ma:contentTypeScope="" ma:versionID="135f6d5d27a7780945f71edd1dee251c">
  <xsd:schema xmlns:xsd="http://www.w3.org/2001/XMLSchema" xmlns:xs="http://www.w3.org/2001/XMLSchema" xmlns:p="http://schemas.microsoft.com/office/2006/metadata/properties" xmlns:ns1="http://schemas.microsoft.com/sharepoint/v3" xmlns:ns3="B98945D3-5456-4CD3-B95D-0E1431E310C5" xmlns:ns4="b98945d3-5456-4cd3-b95d-0e1431e310c5" xmlns:ns5="02ebb043-5898-4877-8c1f-28652c7a58c8" targetNamespace="http://schemas.microsoft.com/office/2006/metadata/properties" ma:root="true" ma:fieldsID="c2b43677146d52a5ef563c40ea3adbfe" ns1:_="" ns3:_="" ns4:_="" ns5:_="">
    <xsd:import namespace="http://schemas.microsoft.com/sharepoint/v3"/>
    <xsd:import namespace="B98945D3-5456-4CD3-B95D-0E1431E310C5"/>
    <xsd:import namespace="b98945d3-5456-4cd3-b95d-0e1431e310c5"/>
    <xsd:import namespace="02ebb043-5898-4877-8c1f-28652c7a58c8"/>
    <xsd:element name="properties">
      <xsd:complexType>
        <xsd:sequence>
          <xsd:element name="documentManagement">
            <xsd:complexType>
              <xsd:all>
                <xsd:element ref="ns3:EC_Collab_DocumentLanguage"/>
                <xsd:element ref="ns4:Topic" minOccurs="0"/>
                <xsd:element ref="ns3:EC_ARES_NUMBER" minOccurs="0"/>
                <xsd:element ref="ns3:EC_ARES_DATE_TRANSFERRED" minOccurs="0"/>
                <xsd:element ref="ns3:EC_ARES_TRANSFERRED_BY" minOccurs="0"/>
                <xsd:element ref="ns3:kda1bb0e60714e759e76d829bf85cf68" minOccurs="0"/>
                <xsd:element ref="ns5:TaxCatchAll" minOccurs="0"/>
                <xsd:element ref="ns3:o52cb62f36a04edbb3bac4b73eb58afc" minOccurs="0"/>
                <xsd:element ref="ns5:pc1cb72997644c168a67816bee9648ad" minOccurs="0"/>
                <xsd:element ref="ns5:i65add8783a54065a8ae717033658b9b" minOccurs="0"/>
                <xsd:element ref="ns3:b2e4566d1cfc4e6eb55a8bd63695e673" minOccurs="0"/>
                <xsd:element ref="ns5:_dlc_DocId" minOccurs="0"/>
                <xsd:element ref="ns5:_dlc_DocIdUrl" minOccurs="0"/>
                <xsd:element ref="ns5:_dlc_DocIdPersistId" minOccurs="0"/>
                <xsd:element ref="ns1:TranslationStateLi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30"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945D3-5456-4CD3-B95D-0E1431E310C5" elementFormDefault="qualified">
    <xsd:import namespace="http://schemas.microsoft.com/office/2006/documentManagement/types"/>
    <xsd:import namespace="http://schemas.microsoft.com/office/infopath/2007/PartnerControls"/>
    <xsd:element name="EC_Collab_DocumentLanguage" ma:index="5"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2"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3" nillable="true" ma:displayName="Transferred to Ares" ma:format="DateTime" ma:hidden="true" ma:internalName="EC_ARES_DATE_TRANSFERRED">
      <xsd:simpleType>
        <xsd:restriction base="dms:DateTime"/>
      </xsd:simpleType>
    </xsd:element>
    <xsd:element name="EC_ARES_TRANSFERRED_BY" ma:index="14" nillable="true" ma:displayName="Transferred By" ma:hidden="true" ma:internalName="EC_ARES_TRANSFERRED_BY">
      <xsd:simpleType>
        <xsd:restriction base="dms:Text"/>
      </xsd:simpleType>
    </xsd:element>
    <xsd:element name="kda1bb0e60714e759e76d829bf85cf68" ma:index="20" nillable="true" ma:taxonomy="true" ma:internalName="kda1bb0e60714e759e76d829bf85cf68" ma:taxonomyFieldName="Financial_x0020_Regulation" ma:displayName="Financial Regulation" ma:default="" ma:fieldId="{4da1bb0e-6071-4e75-9e76-d829bf85cf68}"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o52cb62f36a04edbb3bac4b73eb58afc" ma:index="22" nillable="true" ma:taxonomy="true" ma:internalName="o52cb62f36a04edbb3bac4b73eb58afc" ma:taxonomyFieldName="institution" ma:displayName="Procedure" ma:default="" ma:fieldId="{852cb62f-36a0-4edb-b3ba-c4b73eb58afc}" ma:sspId="c1588629-5f01-4420-b1c1-1ab4af18d9bf" ma:termSetId="444eeb24-c360-4a65-9513-c563f7a1bc62" ma:anchorId="00000000-0000-0000-0000-000000000000" ma:open="false" ma:isKeyword="false">
      <xsd:complexType>
        <xsd:sequence>
          <xsd:element ref="pc:Terms" minOccurs="0" maxOccurs="1"/>
        </xsd:sequence>
      </xsd:complexType>
    </xsd:element>
    <xsd:element name="b2e4566d1cfc4e6eb55a8bd63695e673" ma:index="25" nillable="true" ma:taxonomy="true" ma:internalName="b2e4566d1cfc4e6eb55a8bd63695e673" ma:taxonomyFieldName="Confidentiality" ma:displayName="Confidentiality" ma:indexed="true" ma:default="" ma:fieldId="{b2e4566d-1cfc-4e6e-b55a-8bd63695e673}"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8945d3-5456-4cd3-b95d-0e1431e310c5" elementFormDefault="qualified">
    <xsd:import namespace="http://schemas.microsoft.com/office/2006/documentManagement/types"/>
    <xsd:import namespace="http://schemas.microsoft.com/office/infopath/2007/PartnerControls"/>
    <xsd:element name="Topic" ma:index="6" nillable="true" ma:displayName="Topic" ma:format="Dropdown" ma:internalName="Topic">
      <xsd:simpleType>
        <xsd:restriction base="dms:Choice">
          <xsd:enumeration value="Review"/>
          <xsd:enumeration value="Fixed income"/>
          <xsd:enumeration value="Market data - CTP"/>
        </xsd:restriction>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pc1cb72997644c168a67816bee9648ad" ma:index="23" nillable="true" ma:taxonomy="true" ma:internalName="pc1cb72997644c168a67816bee9648ad" ma:taxonomyFieldName="Document_x0020_type" ma:displayName="Document type" ma:indexed="tru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i65add8783a54065a8ae717033658b9b" ma:index="24" nillable="true" ma:taxonomy="true" ma:internalName="i65add8783a54065a8ae717033658b9b" ma:taxonomyFieldName="Doc_x0020_Status" ma:displayName="Doc Status" ma:indexed="true"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B2F1B94-29A4-47C5-A7A8-995A1B5BEABE}">
  <ds:schemaRefs>
    <ds:schemaRef ds:uri="B98945D3-5456-4CD3-B95D-0E1431E310C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ebb043-5898-4877-8c1f-28652c7a58c8"/>
    <ds:schemaRef ds:uri="http://purl.org/dc/elements/1.1/"/>
    <ds:schemaRef ds:uri="http://schemas.microsoft.com/office/2006/metadata/properties"/>
    <ds:schemaRef ds:uri="b98945d3-5456-4cd3-b95d-0e1431e310c5"/>
    <ds:schemaRef ds:uri="http://www.w3.org/XML/1998/namespace"/>
    <ds:schemaRef ds:uri="http://purl.org/dc/dcmitype/"/>
  </ds:schemaRefs>
</ds:datastoreItem>
</file>

<file path=customXml/itemProps2.xml><?xml version="1.0" encoding="utf-8"?>
<ds:datastoreItem xmlns:ds="http://schemas.openxmlformats.org/officeDocument/2006/customXml" ds:itemID="{FDC9CEF2-EF6E-46C2-9967-DA183A1FB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945D3-5456-4CD3-B95D-0E1431E310C5"/>
    <ds:schemaRef ds:uri="b98945d3-5456-4cd3-b95d-0e1431e310c5"/>
    <ds:schemaRef ds:uri="02ebb043-5898-4877-8c1f-28652c7a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973A8-7F46-4936-A18C-B856D996B79E}">
  <ds:schemaRefs>
    <ds:schemaRef ds:uri="http://schemas.microsoft.com/office/2006/metadata/customXsn"/>
  </ds:schemaRefs>
</ds:datastoreItem>
</file>

<file path=customXml/itemProps4.xml><?xml version="1.0" encoding="utf-8"?>
<ds:datastoreItem xmlns:ds="http://schemas.openxmlformats.org/officeDocument/2006/customXml" ds:itemID="{83E9B39F-E893-41B8-9CC6-B8A9FB0D0403}">
  <ds:schemaRefs>
    <ds:schemaRef ds:uri="http://schemas.microsoft.com/sharepoint/events"/>
  </ds:schemaRefs>
</ds:datastoreItem>
</file>

<file path=customXml/itemProps5.xml><?xml version="1.0" encoding="utf-8"?>
<ds:datastoreItem xmlns:ds="http://schemas.openxmlformats.org/officeDocument/2006/customXml" ds:itemID="{A4B3B55A-14F5-4C1E-92E1-9AB4208FD0E3}">
  <ds:schemaRefs>
    <ds:schemaRef ds:uri="http://schemas.microsoft.com/sharepoint/v3/contenttype/forms"/>
  </ds:schemaRefs>
</ds:datastoreItem>
</file>

<file path=customXml/itemProps6.xml><?xml version="1.0" encoding="utf-8"?>
<ds:datastoreItem xmlns:ds="http://schemas.openxmlformats.org/officeDocument/2006/customXml" ds:itemID="{CEFBBEBC-567A-4F15-8CC6-0F9E4FE3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1455</Words>
  <Characters>9956</Characters>
  <Application>Microsoft Office Word</Application>
  <DocSecurity>0</DocSecurity>
  <Lines>134</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62</cp:revision>
  <dcterms:created xsi:type="dcterms:W3CDTF">2021-11-17T13:37:00Z</dcterms:created>
  <dcterms:modified xsi:type="dcterms:W3CDTF">2022-01-24T09:06:00Z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Created using">
    <vt:lpwstr>LW 7.0.1, Build 20190916</vt:lpwstr>
  </property>
  <property fmtid="{D5CDD505-2E9C-101B-9397-08002B2CF9AE}" pid="8" name="_dlc_DocIdItemGuid">
    <vt:lpwstr>5a0df9a6-5e65-449f-b3cd-907cc4df6a42</vt:lpwstr>
  </property>
  <property fmtid="{D5CDD505-2E9C-101B-9397-08002B2CF9AE}" pid="9" name="institution">
    <vt:lpwstr/>
  </property>
  <property fmtid="{D5CDD505-2E9C-101B-9397-08002B2CF9AE}" pid="10" name="Confidentiality">
    <vt:lpwstr/>
  </property>
  <property fmtid="{D5CDD505-2E9C-101B-9397-08002B2CF9AE}" pid="11" name="Financial Regulation">
    <vt:lpwstr/>
  </property>
  <property fmtid="{D5CDD505-2E9C-101B-9397-08002B2CF9AE}" pid="12" name="Doc Status">
    <vt:lpwstr/>
  </property>
  <property fmtid="{D5CDD505-2E9C-101B-9397-08002B2CF9AE}" pid="13" name="Document type">
    <vt:lpwstr>144;#Impact Assessment|1be13f0e-efa2-4808-b008-d92ae28571d4</vt:lpwstr>
  </property>
  <property fmtid="{D5CDD505-2E9C-101B-9397-08002B2CF9AE}" pid="14" name="Last edited using">
    <vt:lpwstr>LW 7.0.1, Build 20200226</vt:lpwstr>
  </property>
  <property fmtid="{D5CDD505-2E9C-101B-9397-08002B2CF9AE}" pid="15" name="_LW_INVALIDATED__LW_INVALIDATED__LW_INVALIDATED__LW_INVALIDATED__LW_INVALIDATED__LW_INVALIDATED__LW_INVALIDATED__LW_INVALIDATED_ContentTypeId">
    <vt:lpwstr>0x010100258AA79CEB83498886A3A0868112325000741087D88BCA9B4CB35120202DDD7B44</vt:lpwstr>
  </property>
</Properties>
</file>