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C87" w:rsidRDefault="004941AA" w:rsidP="004941AA">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1E2CE148-334E-4622-B68D-C9C0340EC9C6" style="width:455.25pt;height:425.25pt">
            <v:imagedata r:id="rId8" o:title=""/>
          </v:shape>
        </w:pict>
      </w:r>
    </w:p>
    <w:bookmarkEnd w:id="0"/>
    <w:p w:rsidR="00214C87" w:rsidRDefault="00214C87" w:rsidP="00214C87">
      <w:pPr>
        <w:rPr>
          <w:noProof/>
          <w:lang w:val="en-IE"/>
        </w:rPr>
        <w:sectPr w:rsidR="00214C87" w:rsidSect="004941AA">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C46437" w:rsidRPr="00C46437" w:rsidRDefault="00C46437" w:rsidP="00C46437">
      <w:pPr>
        <w:spacing w:line="240" w:lineRule="auto"/>
        <w:ind w:left="360"/>
        <w:jc w:val="both"/>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 xml:space="preserve">Rapports et lignes directrices produits par les agences de l’UE dans le domaine de la sécurité au cours des six derniers mois </w:t>
      </w:r>
    </w:p>
    <w:p w:rsidR="00C46437" w:rsidRPr="00D80BD2" w:rsidRDefault="00C46437" w:rsidP="000313ED">
      <w:pPr>
        <w:spacing w:line="240" w:lineRule="auto"/>
        <w:jc w:val="both"/>
        <w:rPr>
          <w:rFonts w:ascii="Times New Roman" w:hAnsi="Times New Roman" w:cs="Times New Roman"/>
          <w:i/>
          <w:noProof/>
          <w:sz w:val="24"/>
          <w:szCs w:val="24"/>
        </w:rPr>
      </w:pPr>
      <w:r>
        <w:rPr>
          <w:rFonts w:ascii="Times New Roman" w:hAnsi="Times New Roman"/>
          <w:i/>
          <w:noProof/>
          <w:sz w:val="24"/>
          <w:szCs w:val="24"/>
        </w:rPr>
        <w:t>L’Agence de l’Union européenne pour la coopération des services répressifs (Europol)</w:t>
      </w:r>
    </w:p>
    <w:p w:rsidR="00C46437" w:rsidRPr="00D80BD2" w:rsidRDefault="00C46437" w:rsidP="00C46437">
      <w:pPr>
        <w:pStyle w:val="ListParagraph"/>
        <w:numPr>
          <w:ilvl w:val="0"/>
          <w:numId w:val="1"/>
        </w:numPr>
        <w:spacing w:after="0" w:line="240" w:lineRule="auto"/>
        <w:contextualSpacing w:val="0"/>
        <w:jc w:val="both"/>
        <w:rPr>
          <w:rFonts w:ascii="Times New Roman" w:hAnsi="Times New Roman" w:cs="Times New Roman"/>
          <w:i/>
          <w:noProof/>
          <w:sz w:val="24"/>
          <w:szCs w:val="24"/>
        </w:rPr>
      </w:pPr>
      <w:r>
        <w:rPr>
          <w:rFonts w:ascii="Times New Roman" w:hAnsi="Times New Roman"/>
          <w:noProof/>
          <w:sz w:val="24"/>
          <w:szCs w:val="24"/>
        </w:rPr>
        <w:t xml:space="preserve">Le 22 juin 2021, Europol a publié son </w:t>
      </w:r>
      <w:r>
        <w:rPr>
          <w:rFonts w:ascii="Times New Roman" w:hAnsi="Times New Roman"/>
          <w:i/>
          <w:noProof/>
          <w:sz w:val="24"/>
          <w:szCs w:val="24"/>
        </w:rPr>
        <w:t>rapport annuel sur la situation et les tendances du terrorisme (Te</w:t>
      </w:r>
      <w:r>
        <w:rPr>
          <w:rFonts w:ascii="Times New Roman" w:hAnsi="Times New Roman"/>
          <w:i/>
          <w:noProof/>
          <w:sz w:val="24"/>
          <w:szCs w:val="24"/>
        </w:rPr>
        <w:noBreakHyphen/>
        <w:t>Sat)</w:t>
      </w:r>
      <w:r>
        <w:rPr>
          <w:rStyle w:val="FootnoteReference"/>
          <w:rFonts w:ascii="Times New Roman" w:hAnsi="Times New Roman" w:cs="Times New Roman"/>
          <w:i/>
          <w:noProof/>
          <w:sz w:val="24"/>
          <w:szCs w:val="24"/>
          <w:lang w:val="en-IE"/>
        </w:rPr>
        <w:footnoteReference w:id="1"/>
      </w:r>
      <w:r>
        <w:rPr>
          <w:rFonts w:ascii="Times New Roman" w:hAnsi="Times New Roman"/>
          <w:noProof/>
          <w:sz w:val="24"/>
          <w:szCs w:val="24"/>
        </w:rPr>
        <w:t>, qui détaille la situation en matière de terrorisme et fournit notamment des données chiffres sur les attentats et les arrestations de terroristes dans l’UE en 2020.</w:t>
      </w:r>
    </w:p>
    <w:p w:rsidR="00C46437" w:rsidRPr="00D80BD2" w:rsidRDefault="00C46437" w:rsidP="00C46437">
      <w:pPr>
        <w:pStyle w:val="ListParagraph"/>
        <w:numPr>
          <w:ilvl w:val="0"/>
          <w:numId w:val="1"/>
        </w:numPr>
        <w:spacing w:after="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 xml:space="preserve">Le 13 août 2021, Europol a publié la troisième édition de son </w:t>
      </w:r>
      <w:r>
        <w:rPr>
          <w:rFonts w:ascii="Times New Roman" w:hAnsi="Times New Roman"/>
          <w:i/>
          <w:iCs/>
          <w:noProof/>
          <w:sz w:val="24"/>
          <w:szCs w:val="24"/>
        </w:rPr>
        <w:t>rapport annuel sur la propagande djihadiste en ligne</w:t>
      </w:r>
      <w:r>
        <w:rPr>
          <w:rFonts w:ascii="Times New Roman" w:hAnsi="Times New Roman"/>
          <w:noProof/>
          <w:sz w:val="24"/>
          <w:szCs w:val="24"/>
        </w:rPr>
        <w:t>, qui fournit une analyse complète des grandes tendances et évolutions de la propagande en ligne exercée par les principales organisations djihadistes au cours de l’année 2020. </w:t>
      </w:r>
    </w:p>
    <w:p w:rsidR="00C46437" w:rsidRPr="00D80BD2" w:rsidRDefault="00C46437" w:rsidP="00C46437">
      <w:pPr>
        <w:pStyle w:val="ListParagraph"/>
        <w:numPr>
          <w:ilvl w:val="0"/>
          <w:numId w:val="1"/>
        </w:numPr>
        <w:spacing w:after="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 xml:space="preserve">Le 7 septembre 2021, Europol et l’ONUDC ont lancé le nouveau </w:t>
      </w:r>
      <w:r>
        <w:rPr>
          <w:rFonts w:ascii="Times New Roman" w:hAnsi="Times New Roman"/>
          <w:i/>
          <w:iCs/>
          <w:noProof/>
          <w:sz w:val="24"/>
          <w:szCs w:val="24"/>
        </w:rPr>
        <w:t>rapport sur le marché de la cocaïne (Cocaine Insights Report)</w:t>
      </w:r>
      <w:r>
        <w:rPr>
          <w:rFonts w:ascii="Times New Roman" w:hAnsi="Times New Roman"/>
          <w:noProof/>
          <w:sz w:val="24"/>
          <w:szCs w:val="24"/>
        </w:rPr>
        <w:t xml:space="preserve">, où est exposée la nouvelle dynamique du marché de la cocaïne, qui représente une menace évidente pour la sécurité européenne et mondiale. </w:t>
      </w:r>
    </w:p>
    <w:p w:rsidR="00C46437" w:rsidRPr="00D80BD2" w:rsidRDefault="00C46437" w:rsidP="00C46437">
      <w:pPr>
        <w:pStyle w:val="ListParagraph"/>
        <w:numPr>
          <w:ilvl w:val="0"/>
          <w:numId w:val="1"/>
        </w:numPr>
        <w:spacing w:after="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 xml:space="preserve">Le 11 novembre 2021, Europol a publié son </w:t>
      </w:r>
      <w:r>
        <w:rPr>
          <w:rFonts w:ascii="Times New Roman" w:hAnsi="Times New Roman"/>
          <w:i/>
          <w:iCs/>
          <w:noProof/>
          <w:sz w:val="24"/>
          <w:szCs w:val="24"/>
        </w:rPr>
        <w:t>évaluation annuelle de la menace que représente la criminalité organisée sur l’internet (IOCTA)</w:t>
      </w:r>
      <w:r>
        <w:rPr>
          <w:rStyle w:val="FootnoteReference"/>
          <w:rFonts w:ascii="Times New Roman" w:hAnsi="Times New Roman" w:cs="Times New Roman"/>
          <w:noProof/>
          <w:sz w:val="24"/>
          <w:szCs w:val="24"/>
          <w:lang w:val="en-IE"/>
        </w:rPr>
        <w:footnoteReference w:id="2"/>
      </w:r>
      <w:r>
        <w:rPr>
          <w:rFonts w:ascii="Times New Roman" w:hAnsi="Times New Roman"/>
          <w:noProof/>
          <w:sz w:val="24"/>
          <w:szCs w:val="24"/>
        </w:rPr>
        <w:t>.</w:t>
      </w:r>
      <w:r>
        <w:rPr>
          <w:rFonts w:ascii="Times New Roman" w:hAnsi="Times New Roman"/>
          <w:noProof/>
          <w:color w:val="222222"/>
          <w:shd w:val="clear" w:color="auto" w:fill="FFFFFF"/>
        </w:rPr>
        <w:t xml:space="preserve"> </w:t>
      </w:r>
      <w:r>
        <w:rPr>
          <w:rFonts w:ascii="Times New Roman" w:hAnsi="Times New Roman"/>
          <w:noProof/>
          <w:sz w:val="24"/>
          <w:szCs w:val="24"/>
        </w:rPr>
        <w:t>L’impact de la pandémie de COVID</w:t>
      </w:r>
      <w:r>
        <w:rPr>
          <w:rFonts w:ascii="Times New Roman" w:hAnsi="Times New Roman"/>
          <w:noProof/>
          <w:sz w:val="24"/>
          <w:szCs w:val="24"/>
        </w:rPr>
        <w:noBreakHyphen/>
        <w:t xml:space="preserve">19 est encore perceptible dans le rapport de cette année. </w:t>
      </w:r>
    </w:p>
    <w:p w:rsidR="00C46437" w:rsidRDefault="00C46437" w:rsidP="00C46437">
      <w:pPr>
        <w:pStyle w:val="ListParagraph"/>
        <w:numPr>
          <w:ilvl w:val="0"/>
          <w:numId w:val="1"/>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Le 24 novembre 2021, Europol a publié, en coopération avec Eurojust, le </w:t>
      </w:r>
      <w:r>
        <w:rPr>
          <w:rFonts w:ascii="Times New Roman" w:hAnsi="Times New Roman"/>
          <w:i/>
          <w:iCs/>
          <w:noProof/>
          <w:sz w:val="24"/>
          <w:szCs w:val="24"/>
        </w:rPr>
        <w:t>troisième rapport annuel Sirius sur la situation des preuves numériques dans l’UE</w:t>
      </w:r>
      <w:r>
        <w:rPr>
          <w:rFonts w:ascii="Times New Roman" w:hAnsi="Times New Roman"/>
          <w:noProof/>
          <w:sz w:val="24"/>
          <w:szCs w:val="24"/>
        </w:rPr>
        <w:t>.</w:t>
      </w:r>
      <w:r>
        <w:rPr>
          <w:rFonts w:ascii="Times New Roman" w:hAnsi="Times New Roman"/>
          <w:noProof/>
        </w:rPr>
        <w:t xml:space="preserve"> </w:t>
      </w:r>
      <w:r>
        <w:rPr>
          <w:rFonts w:ascii="Times New Roman" w:hAnsi="Times New Roman"/>
          <w:noProof/>
          <w:sz w:val="24"/>
          <w:szCs w:val="24"/>
        </w:rPr>
        <w:t>Ce rapport rend compte de la complexité qui résulte d’un paysage numérique en constante évolution et d’un cadre juridique fragmenté. Il montre également comment la pandémie mondiale de COVID</w:t>
      </w:r>
      <w:r>
        <w:rPr>
          <w:rFonts w:ascii="Times New Roman" w:hAnsi="Times New Roman"/>
          <w:noProof/>
          <w:sz w:val="24"/>
          <w:szCs w:val="24"/>
        </w:rPr>
        <w:noBreakHyphen/>
        <w:t>19 a contraint les systèmes judiciaires et les services répressifs de l’UE à élaborer des approches innovantes et à adapter les processus existants.</w:t>
      </w:r>
    </w:p>
    <w:p w:rsidR="00C46437" w:rsidRPr="00640788" w:rsidRDefault="00C46437" w:rsidP="00C46437">
      <w:pPr>
        <w:pStyle w:val="ListParagraph"/>
        <w:spacing w:line="240" w:lineRule="auto"/>
        <w:ind w:left="426"/>
        <w:jc w:val="both"/>
        <w:rPr>
          <w:rFonts w:ascii="Times New Roman" w:hAnsi="Times New Roman" w:cs="Times New Roman"/>
          <w:noProof/>
          <w:sz w:val="24"/>
          <w:szCs w:val="24"/>
          <w:lang w:val="fr-BE"/>
        </w:rPr>
      </w:pPr>
    </w:p>
    <w:p w:rsidR="00C46437" w:rsidRPr="00A55EA6" w:rsidRDefault="00C46437" w:rsidP="000313ED">
      <w:pPr>
        <w:ind w:left="426" w:hanging="426"/>
        <w:rPr>
          <w:rFonts w:ascii="Times New Roman" w:hAnsi="Times New Roman" w:cs="Times New Roman"/>
          <w:i/>
          <w:noProof/>
          <w:sz w:val="24"/>
          <w:szCs w:val="24"/>
        </w:rPr>
      </w:pPr>
      <w:r>
        <w:rPr>
          <w:rFonts w:ascii="Times New Roman" w:hAnsi="Times New Roman"/>
          <w:i/>
          <w:noProof/>
          <w:sz w:val="24"/>
          <w:szCs w:val="24"/>
        </w:rPr>
        <w:t>L’Agence de l’Union européenne pour la coopération judiciaire en matière pénale (Eurojust)</w:t>
      </w:r>
    </w:p>
    <w:p w:rsidR="00C46437" w:rsidRPr="00D80BD2" w:rsidRDefault="00C46437" w:rsidP="00C46437">
      <w:pPr>
        <w:pStyle w:val="ListParagraph"/>
        <w:numPr>
          <w:ilvl w:val="0"/>
          <w:numId w:val="1"/>
        </w:numPr>
        <w:spacing w:after="0" w:line="240" w:lineRule="auto"/>
        <w:jc w:val="both"/>
        <w:rPr>
          <w:rFonts w:ascii="Times New Roman" w:eastAsiaTheme="minorEastAsia" w:hAnsi="Times New Roman" w:cs="Times New Roman"/>
          <w:noProof/>
          <w:sz w:val="24"/>
          <w:szCs w:val="24"/>
        </w:rPr>
      </w:pPr>
      <w:r>
        <w:rPr>
          <w:rFonts w:ascii="Times New Roman" w:hAnsi="Times New Roman"/>
          <w:noProof/>
          <w:sz w:val="24"/>
          <w:szCs w:val="24"/>
        </w:rPr>
        <w:t xml:space="preserve">En juillet 2021, Eurojust a publié des </w:t>
      </w:r>
      <w:r>
        <w:rPr>
          <w:rFonts w:ascii="Times New Roman" w:hAnsi="Times New Roman"/>
          <w:i/>
          <w:iCs/>
          <w:noProof/>
          <w:sz w:val="24"/>
          <w:szCs w:val="24"/>
        </w:rPr>
        <w:t>lignes directrices sur la manière de poursuivre la fraude à l’investissement</w:t>
      </w:r>
      <w:r>
        <w:rPr>
          <w:rFonts w:ascii="Times New Roman" w:eastAsia="Times New Roman" w:hAnsi="Times New Roman" w:cs="Times New Roman"/>
          <w:noProof/>
          <w:sz w:val="24"/>
          <w:szCs w:val="24"/>
          <w:vertAlign w:val="superscript"/>
          <w:lang w:val="en-IE"/>
        </w:rPr>
        <w:footnoteReference w:id="3"/>
      </w:r>
      <w:r>
        <w:rPr>
          <w:rFonts w:ascii="Times New Roman" w:hAnsi="Times New Roman"/>
          <w:noProof/>
          <w:sz w:val="24"/>
          <w:szCs w:val="24"/>
        </w:rPr>
        <w:t xml:space="preserve">, qui dressent un récapitulatif des questions juridiques et opérationnelles que les procureurs peuvent rencontrer et expliquent comment Eurojust et Europol peuvent contribuer à faire aboutir les poursuites en matière de fraude à l’investissement. </w:t>
      </w:r>
    </w:p>
    <w:p w:rsidR="00C46437" w:rsidRPr="00D80BD2" w:rsidRDefault="00C46437" w:rsidP="00C46437">
      <w:pPr>
        <w:pStyle w:val="ListParagraph"/>
        <w:numPr>
          <w:ilvl w:val="0"/>
          <w:numId w:val="1"/>
        </w:numPr>
        <w:spacing w:line="240" w:lineRule="auto"/>
        <w:ind w:hanging="426"/>
        <w:jc w:val="both"/>
        <w:rPr>
          <w:rFonts w:ascii="Times New Roman" w:eastAsia="Times New Roman" w:hAnsi="Times New Roman" w:cs="Times New Roman"/>
          <w:noProof/>
          <w:sz w:val="24"/>
          <w:szCs w:val="24"/>
        </w:rPr>
      </w:pPr>
      <w:r>
        <w:rPr>
          <w:rFonts w:ascii="Times New Roman" w:hAnsi="Times New Roman"/>
          <w:noProof/>
          <w:sz w:val="24"/>
          <w:szCs w:val="24"/>
        </w:rPr>
        <w:t xml:space="preserve">En juillet également, Eurojust a publié le </w:t>
      </w:r>
      <w:r>
        <w:rPr>
          <w:rFonts w:ascii="Times New Roman" w:hAnsi="Times New Roman"/>
          <w:i/>
          <w:iCs/>
          <w:noProof/>
          <w:sz w:val="24"/>
          <w:szCs w:val="24"/>
        </w:rPr>
        <w:t>rapport sur les travaux d’Eurojust dans le domaine du mandat d’arrêt européen</w:t>
      </w:r>
      <w:r>
        <w:rPr>
          <w:rFonts w:ascii="Times New Roman" w:eastAsia="Times New Roman" w:hAnsi="Times New Roman" w:cs="Times New Roman"/>
          <w:noProof/>
          <w:sz w:val="24"/>
          <w:szCs w:val="24"/>
          <w:vertAlign w:val="superscript"/>
          <w:lang w:val="en-IE"/>
        </w:rPr>
        <w:footnoteReference w:id="4"/>
      </w:r>
      <w:r>
        <w:rPr>
          <w:rFonts w:ascii="Times New Roman" w:hAnsi="Times New Roman"/>
          <w:noProof/>
          <w:sz w:val="24"/>
          <w:szCs w:val="24"/>
        </w:rPr>
        <w:t xml:space="preserve">, qui recense les principales difficultés rencontrées dans l’application pratique du mandat d’arrêt européen sur la base des dossiers d’Eurojust et souligne, le cas échéant, le rôle joué par Eurojust pour surmonter ces difficultés. </w:t>
      </w:r>
    </w:p>
    <w:p w:rsidR="00C46437" w:rsidRPr="00A55EA6" w:rsidRDefault="00C46437" w:rsidP="00C46437">
      <w:pPr>
        <w:pStyle w:val="ListParagraph"/>
        <w:numPr>
          <w:ilvl w:val="0"/>
          <w:numId w:val="1"/>
        </w:numPr>
        <w:spacing w:after="0" w:line="240" w:lineRule="auto"/>
        <w:jc w:val="both"/>
        <w:rPr>
          <w:rFonts w:ascii="Times New Roman" w:eastAsiaTheme="minorEastAsia" w:hAnsi="Times New Roman" w:cs="Times New Roman"/>
          <w:noProof/>
          <w:sz w:val="24"/>
          <w:szCs w:val="24"/>
        </w:rPr>
      </w:pPr>
      <w:r>
        <w:rPr>
          <w:rFonts w:ascii="Times New Roman" w:hAnsi="Times New Roman"/>
          <w:noProof/>
          <w:sz w:val="24"/>
          <w:szCs w:val="24"/>
        </w:rPr>
        <w:t xml:space="preserve">En octobre 2021, Eurojust a publié une </w:t>
      </w:r>
      <w:r>
        <w:rPr>
          <w:rFonts w:ascii="Times New Roman" w:hAnsi="Times New Roman"/>
          <w:i/>
          <w:iCs/>
          <w:noProof/>
          <w:sz w:val="24"/>
          <w:szCs w:val="24"/>
        </w:rPr>
        <w:t>fiche d’information sur la traite des êtres humains</w:t>
      </w:r>
      <w:r>
        <w:rPr>
          <w:rFonts w:ascii="Times New Roman" w:eastAsia="Times New Roman" w:hAnsi="Times New Roman" w:cs="Times New Roman"/>
          <w:noProof/>
          <w:sz w:val="24"/>
          <w:szCs w:val="24"/>
          <w:vertAlign w:val="superscript"/>
          <w:lang w:val="en-IE"/>
        </w:rPr>
        <w:footnoteReference w:id="5"/>
      </w:r>
      <w:r>
        <w:rPr>
          <w:rFonts w:ascii="Times New Roman" w:hAnsi="Times New Roman"/>
          <w:noProof/>
          <w:sz w:val="24"/>
          <w:szCs w:val="24"/>
        </w:rPr>
        <w:t>, qui détaille les travaux de l’agence dans ce domaine, afin de sensibiliser davantage les praticiens à la valeur ajoutée d’Eurojust dans le renforcement de la coopération judiciaire dans les affaires de traite des êtres humains.</w:t>
      </w:r>
    </w:p>
    <w:p w:rsidR="00C46437" w:rsidRPr="00253BB8" w:rsidRDefault="00C46437" w:rsidP="00C46437">
      <w:pPr>
        <w:pStyle w:val="ListParagraph"/>
        <w:numPr>
          <w:ilvl w:val="0"/>
          <w:numId w:val="1"/>
        </w:numPr>
        <w:spacing w:after="0" w:line="240" w:lineRule="auto"/>
        <w:jc w:val="both"/>
        <w:rPr>
          <w:rFonts w:ascii="Times New Roman" w:eastAsiaTheme="minorEastAsia" w:hAnsi="Times New Roman" w:cs="Times New Roman"/>
          <w:noProof/>
          <w:sz w:val="24"/>
          <w:szCs w:val="24"/>
        </w:rPr>
      </w:pPr>
      <w:r>
        <w:rPr>
          <w:rFonts w:ascii="Times New Roman" w:hAnsi="Times New Roman"/>
          <w:noProof/>
          <w:sz w:val="24"/>
          <w:szCs w:val="24"/>
        </w:rPr>
        <w:t xml:space="preserve">Dans un rapport publié le 18 octobre 2021, Eurojust a coordonné la première </w:t>
      </w:r>
      <w:r>
        <w:rPr>
          <w:rFonts w:ascii="Times New Roman" w:hAnsi="Times New Roman"/>
          <w:i/>
          <w:iCs/>
          <w:noProof/>
          <w:sz w:val="24"/>
          <w:szCs w:val="24"/>
        </w:rPr>
        <w:t>vue d’ensemble des actions en faveur des victimes de la traite des êtres humains</w:t>
      </w:r>
      <w:r>
        <w:rPr>
          <w:rFonts w:ascii="Times New Roman" w:hAnsi="Times New Roman"/>
          <w:noProof/>
          <w:sz w:val="24"/>
          <w:szCs w:val="24"/>
        </w:rPr>
        <w:t>. Il s’agit d’un effort conjoint mené par toutes les agences de l’Union européenne actives dans le domaine de la justice et des affaires intérieures</w:t>
      </w:r>
      <w:r>
        <w:rPr>
          <w:rFonts w:ascii="Times New Roman" w:eastAsia="Times New Roman" w:hAnsi="Times New Roman" w:cs="Times New Roman"/>
          <w:noProof/>
          <w:sz w:val="24"/>
          <w:szCs w:val="24"/>
          <w:vertAlign w:val="superscript"/>
          <w:lang w:val="en-IE"/>
        </w:rPr>
        <w:footnoteReference w:id="6"/>
      </w:r>
      <w:r>
        <w:rPr>
          <w:rFonts w:ascii="Times New Roman" w:hAnsi="Times New Roman"/>
          <w:noProof/>
          <w:sz w:val="24"/>
          <w:szCs w:val="24"/>
        </w:rPr>
        <w:t>.</w:t>
      </w:r>
    </w:p>
    <w:p w:rsidR="00C46437" w:rsidRPr="00D80BD2" w:rsidRDefault="00C46437" w:rsidP="00C46437">
      <w:pPr>
        <w:pStyle w:val="ListParagraph"/>
        <w:numPr>
          <w:ilvl w:val="0"/>
          <w:numId w:val="1"/>
        </w:numPr>
        <w:spacing w:after="0" w:line="240" w:lineRule="auto"/>
        <w:jc w:val="both"/>
        <w:rPr>
          <w:rFonts w:ascii="Times New Roman" w:eastAsiaTheme="minorEastAsia" w:hAnsi="Times New Roman" w:cs="Times New Roman"/>
          <w:noProof/>
          <w:sz w:val="24"/>
          <w:szCs w:val="24"/>
        </w:rPr>
      </w:pPr>
      <w:r>
        <w:rPr>
          <w:rFonts w:ascii="Times New Roman" w:hAnsi="Times New Roman"/>
          <w:noProof/>
          <w:sz w:val="24"/>
          <w:szCs w:val="24"/>
        </w:rPr>
        <w:t xml:space="preserve">En novembre 2021, Eurojust a publié une brochure destinée à guider les praticiens sur </w:t>
      </w:r>
      <w:r>
        <w:rPr>
          <w:rFonts w:ascii="Times New Roman" w:hAnsi="Times New Roman"/>
          <w:i/>
          <w:iCs/>
          <w:noProof/>
          <w:sz w:val="24"/>
          <w:szCs w:val="24"/>
        </w:rPr>
        <w:t>l’utilisation et la nature juridique, dans les procédures judiciaires, des informations obtenues auprès des migrants interrogés aux frontières extérieures de l’UE</w:t>
      </w:r>
      <w:r>
        <w:rPr>
          <w:rFonts w:ascii="Times New Roman" w:hAnsi="Times New Roman"/>
          <w:noProof/>
          <w:sz w:val="24"/>
          <w:szCs w:val="24"/>
        </w:rPr>
        <w:t>.</w:t>
      </w:r>
    </w:p>
    <w:p w:rsidR="00C46437" w:rsidRPr="00D80BD2" w:rsidRDefault="00C46437" w:rsidP="00C46437">
      <w:pPr>
        <w:pStyle w:val="ListParagraph"/>
        <w:numPr>
          <w:ilvl w:val="0"/>
          <w:numId w:val="1"/>
        </w:numPr>
        <w:spacing w:after="0" w:line="240" w:lineRule="auto"/>
        <w:jc w:val="both"/>
        <w:rPr>
          <w:rFonts w:ascii="Times New Roman" w:eastAsiaTheme="minorEastAsia" w:hAnsi="Times New Roman" w:cs="Times New Roman"/>
          <w:noProof/>
          <w:sz w:val="24"/>
          <w:szCs w:val="24"/>
        </w:rPr>
      </w:pPr>
      <w:r>
        <w:rPr>
          <w:rFonts w:ascii="Times New Roman" w:hAnsi="Times New Roman"/>
          <w:noProof/>
          <w:sz w:val="24"/>
          <w:szCs w:val="24"/>
        </w:rPr>
        <w:t xml:space="preserve">En novembre 2021 également, Eurojust a présenté un </w:t>
      </w:r>
      <w:r>
        <w:rPr>
          <w:rFonts w:ascii="Times New Roman" w:hAnsi="Times New Roman"/>
          <w:i/>
          <w:iCs/>
          <w:noProof/>
          <w:sz w:val="24"/>
          <w:szCs w:val="24"/>
        </w:rPr>
        <w:t>rapport sur la protection des droits des victimes dans les affaires transfrontières</w:t>
      </w:r>
      <w:r>
        <w:rPr>
          <w:rFonts w:ascii="Times New Roman" w:hAnsi="Times New Roman"/>
          <w:noProof/>
          <w:sz w:val="24"/>
          <w:szCs w:val="24"/>
        </w:rPr>
        <w:t xml:space="preserve">, dans lequel sont analysés les principaux défis et les meilleures pratiques dans ce domaine. </w:t>
      </w:r>
    </w:p>
    <w:p w:rsidR="00C46437" w:rsidRPr="00D80BD2" w:rsidRDefault="00C46437" w:rsidP="00C46437">
      <w:pPr>
        <w:pStyle w:val="ListParagraph"/>
        <w:numPr>
          <w:ilvl w:val="0"/>
          <w:numId w:val="1"/>
        </w:numPr>
        <w:spacing w:line="240" w:lineRule="auto"/>
        <w:ind w:hanging="284"/>
        <w:jc w:val="both"/>
        <w:rPr>
          <w:rFonts w:ascii="Times New Roman" w:eastAsiaTheme="minorEastAsia" w:hAnsi="Times New Roman" w:cs="Times New Roman"/>
          <w:noProof/>
          <w:sz w:val="24"/>
          <w:szCs w:val="24"/>
        </w:rPr>
      </w:pPr>
      <w:r>
        <w:rPr>
          <w:rFonts w:ascii="Times New Roman" w:hAnsi="Times New Roman"/>
          <w:noProof/>
          <w:sz w:val="24"/>
          <w:szCs w:val="24"/>
        </w:rPr>
        <w:t xml:space="preserve">Le </w:t>
      </w:r>
      <w:r>
        <w:rPr>
          <w:rFonts w:ascii="Times New Roman" w:hAnsi="Times New Roman"/>
          <w:i/>
          <w:noProof/>
          <w:sz w:val="24"/>
          <w:szCs w:val="24"/>
        </w:rPr>
        <w:t>3</w:t>
      </w:r>
      <w:r>
        <w:rPr>
          <w:rFonts w:ascii="Times New Roman" w:hAnsi="Times New Roman"/>
          <w:i/>
          <w:noProof/>
          <w:sz w:val="24"/>
          <w:szCs w:val="24"/>
          <w:vertAlign w:val="superscript"/>
        </w:rPr>
        <w:t>e</w:t>
      </w:r>
      <w:r>
        <w:rPr>
          <w:rFonts w:ascii="Times New Roman" w:hAnsi="Times New Roman"/>
          <w:i/>
          <w:noProof/>
          <w:sz w:val="24"/>
          <w:szCs w:val="24"/>
        </w:rPr>
        <w:t xml:space="preserve"> rapport conjoint Eurojust-Europol sur la situation des preuves numériques dans l’UE</w:t>
      </w:r>
      <w:r>
        <w:rPr>
          <w:rFonts w:ascii="Times New Roman" w:hAnsi="Times New Roman"/>
          <w:noProof/>
          <w:sz w:val="24"/>
          <w:szCs w:val="24"/>
        </w:rPr>
        <w:t xml:space="preserve"> a été publié en novembre. Il vise à présenter des données sur l’utilisation des preuves électroniques dans les affaires pénales et rassemble les points de vue des autorités judiciaires, des services répressifs et des fournisseurs de services en ligne sur les méthodes et les difficultés d’obtention de données à des fins d’enquête et de poursuites.</w:t>
      </w:r>
    </w:p>
    <w:p w:rsidR="00C46437" w:rsidRPr="00640788" w:rsidRDefault="00C46437" w:rsidP="00C46437">
      <w:pPr>
        <w:pStyle w:val="ListParagraph"/>
        <w:spacing w:after="0" w:line="240" w:lineRule="auto"/>
        <w:ind w:left="426"/>
        <w:contextualSpacing w:val="0"/>
        <w:jc w:val="both"/>
        <w:rPr>
          <w:rFonts w:ascii="Times New Roman" w:hAnsi="Times New Roman" w:cs="Times New Roman"/>
          <w:noProof/>
          <w:sz w:val="24"/>
          <w:szCs w:val="24"/>
          <w:lang w:val="fr-BE"/>
        </w:rPr>
      </w:pPr>
    </w:p>
    <w:p w:rsidR="00C46437" w:rsidRDefault="00C46437" w:rsidP="00C46437">
      <w:pPr>
        <w:spacing w:after="0" w:line="240" w:lineRule="auto"/>
        <w:jc w:val="both"/>
        <w:rPr>
          <w:rFonts w:ascii="Times New Roman" w:hAnsi="Times New Roman" w:cs="Times New Roman"/>
          <w:i/>
          <w:noProof/>
          <w:sz w:val="24"/>
          <w:szCs w:val="24"/>
        </w:rPr>
      </w:pPr>
      <w:r>
        <w:rPr>
          <w:rFonts w:ascii="Times New Roman" w:hAnsi="Times New Roman"/>
          <w:i/>
          <w:noProof/>
          <w:sz w:val="24"/>
          <w:szCs w:val="24"/>
        </w:rPr>
        <w:t>L’Agence de l’Union européenne pour la cybersécurité (ENISA)</w:t>
      </w:r>
    </w:p>
    <w:p w:rsidR="00C46437" w:rsidRPr="00640788" w:rsidRDefault="00C46437" w:rsidP="00C46437">
      <w:pPr>
        <w:spacing w:after="0" w:line="240" w:lineRule="auto"/>
        <w:jc w:val="both"/>
        <w:rPr>
          <w:rFonts w:ascii="Times New Roman" w:hAnsi="Times New Roman" w:cs="Times New Roman"/>
          <w:i/>
          <w:noProof/>
          <w:sz w:val="24"/>
          <w:szCs w:val="24"/>
          <w:lang w:val="fr-BE"/>
        </w:rPr>
      </w:pPr>
    </w:p>
    <w:p w:rsidR="00C46437" w:rsidRPr="00D80BD2" w:rsidRDefault="00C46437" w:rsidP="00C46437">
      <w:pPr>
        <w:pStyle w:val="ListParagraph"/>
        <w:numPr>
          <w:ilvl w:val="0"/>
          <w:numId w:val="1"/>
        </w:numPr>
        <w:spacing w:after="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 xml:space="preserve">En juillet 2021, l’ENISA a publié une </w:t>
      </w:r>
      <w:r>
        <w:rPr>
          <w:rFonts w:ascii="Times New Roman" w:hAnsi="Times New Roman"/>
          <w:i/>
          <w:iCs/>
          <w:noProof/>
          <w:sz w:val="24"/>
          <w:szCs w:val="24"/>
        </w:rPr>
        <w:t>évaluation de la législation de l’UE en matière de sécurité des télécommunications</w:t>
      </w:r>
      <w:r>
        <w:rPr>
          <w:rFonts w:ascii="Times New Roman" w:hAnsi="Times New Roman"/>
          <w:noProof/>
          <w:sz w:val="24"/>
          <w:szCs w:val="24"/>
        </w:rPr>
        <w:t xml:space="preserve"> et deux rapports concernant l’impact des incidents de cybersécurité sur les services de télécommunications et de confiance et sur la chaîne d’approvisionnement.</w:t>
      </w:r>
    </w:p>
    <w:p w:rsidR="00C46437" w:rsidRPr="00D80BD2" w:rsidRDefault="00C46437" w:rsidP="00C46437">
      <w:pPr>
        <w:pStyle w:val="ListParagraph"/>
        <w:numPr>
          <w:ilvl w:val="0"/>
          <w:numId w:val="1"/>
        </w:numPr>
        <w:spacing w:after="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 xml:space="preserve">L’ENISA, en consultation avec les États membres, a conçu le </w:t>
      </w:r>
      <w:r>
        <w:rPr>
          <w:rFonts w:ascii="Times New Roman" w:hAnsi="Times New Roman"/>
          <w:i/>
          <w:iCs/>
          <w:noProof/>
          <w:sz w:val="24"/>
          <w:szCs w:val="24"/>
        </w:rPr>
        <w:t>cadre pour l’indice de cybersécurité de l’UE</w:t>
      </w:r>
      <w:r>
        <w:rPr>
          <w:rFonts w:ascii="Times New Roman" w:hAnsi="Times New Roman"/>
          <w:noProof/>
          <w:sz w:val="24"/>
          <w:szCs w:val="24"/>
        </w:rPr>
        <w:t>, conformément à la proposition de directive SRI 2. Cet indice vise à fournir une vue d’ensemble du niveau de maturité des capacités de cybersécurité dans les différents États membres. L’ENISA a pour objectif de piloter l’indice en 2022.</w:t>
      </w:r>
    </w:p>
    <w:p w:rsidR="00C46437" w:rsidRPr="00D80BD2" w:rsidRDefault="00C46437" w:rsidP="00C46437">
      <w:pPr>
        <w:pStyle w:val="ListParagraph"/>
        <w:numPr>
          <w:ilvl w:val="0"/>
          <w:numId w:val="1"/>
        </w:numPr>
        <w:spacing w:after="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 xml:space="preserve">Avec les États membres et la Commission, l’ENISA a élaboré cette année une </w:t>
      </w:r>
      <w:r>
        <w:rPr>
          <w:rFonts w:ascii="Times New Roman" w:hAnsi="Times New Roman"/>
          <w:i/>
          <w:iCs/>
          <w:noProof/>
          <w:sz w:val="24"/>
          <w:szCs w:val="24"/>
        </w:rPr>
        <w:t>ligne directrice technique sur les mesures de sécurité pour les domaines de premier niveau nationaux</w:t>
      </w:r>
      <w:r>
        <w:rPr>
          <w:rFonts w:ascii="Times New Roman" w:hAnsi="Times New Roman"/>
          <w:noProof/>
          <w:sz w:val="24"/>
          <w:szCs w:val="24"/>
        </w:rPr>
        <w:t xml:space="preserve"> (.fr, .be, .eu,</w:t>
      </w:r>
      <w:r w:rsidR="00494602">
        <w:rPr>
          <w:rFonts w:ascii="Times New Roman" w:hAnsi="Times New Roman"/>
          <w:noProof/>
          <w:sz w:val="24"/>
          <w:szCs w:val="24"/>
        </w:rPr>
        <w:t xml:space="preserve"> </w:t>
      </w:r>
      <w:r>
        <w:rPr>
          <w:rFonts w:ascii="Times New Roman" w:hAnsi="Times New Roman"/>
          <w:noProof/>
          <w:sz w:val="24"/>
          <w:szCs w:val="24"/>
        </w:rPr>
        <w:t xml:space="preserve">etc.), afin d’aider les autorités nationales à superviser la sécurité des registres de domaines de premier niveau dans l’UE. Cette orientation sera adoptée en tant que ligne directrice du groupe de coopération SRI. </w:t>
      </w:r>
    </w:p>
    <w:p w:rsidR="00C46437" w:rsidRPr="00640788" w:rsidRDefault="00C46437" w:rsidP="00C46437">
      <w:pPr>
        <w:ind w:left="66"/>
        <w:rPr>
          <w:rFonts w:ascii="Times New Roman" w:hAnsi="Times New Roman" w:cs="Times New Roman"/>
          <w:noProof/>
          <w:sz w:val="24"/>
          <w:szCs w:val="24"/>
          <w:lang w:val="fr-BE"/>
        </w:rPr>
      </w:pPr>
    </w:p>
    <w:p w:rsidR="00C46437" w:rsidRPr="00A55EA6" w:rsidRDefault="00C46437" w:rsidP="00C46437">
      <w:pPr>
        <w:ind w:left="66"/>
        <w:rPr>
          <w:rFonts w:ascii="Times New Roman" w:hAnsi="Times New Roman" w:cs="Times New Roman"/>
          <w:i/>
          <w:noProof/>
          <w:sz w:val="24"/>
          <w:szCs w:val="24"/>
        </w:rPr>
      </w:pPr>
      <w:r>
        <w:rPr>
          <w:rFonts w:ascii="Times New Roman" w:hAnsi="Times New Roman"/>
          <w:i/>
          <w:noProof/>
          <w:sz w:val="24"/>
          <w:szCs w:val="24"/>
        </w:rPr>
        <w:t>L’Agence européenne de garde-frontières et de garde-côtes (Frontex)</w:t>
      </w:r>
    </w:p>
    <w:p w:rsidR="00C46437" w:rsidRPr="00D80BD2" w:rsidRDefault="00C46437" w:rsidP="00C46437">
      <w:pPr>
        <w:pStyle w:val="ListParagraph"/>
        <w:numPr>
          <w:ilvl w:val="0"/>
          <w:numId w:val="1"/>
        </w:numPr>
        <w:spacing w:after="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 xml:space="preserve">Le 30 juin 2021, Frontex a publié son </w:t>
      </w:r>
      <w:r>
        <w:rPr>
          <w:rFonts w:ascii="Times New Roman" w:hAnsi="Times New Roman"/>
          <w:i/>
          <w:iCs/>
          <w:noProof/>
          <w:sz w:val="24"/>
          <w:szCs w:val="24"/>
        </w:rPr>
        <w:t>analyse annuelle des risques</w:t>
      </w:r>
      <w:r>
        <w:rPr>
          <w:rFonts w:ascii="Times New Roman" w:hAnsi="Times New Roman"/>
          <w:noProof/>
          <w:sz w:val="24"/>
          <w:szCs w:val="24"/>
        </w:rPr>
        <w:t>, qui montre comment les frontières extérieures ont été touchées par le COVID</w:t>
      </w:r>
      <w:r>
        <w:rPr>
          <w:rFonts w:ascii="Times New Roman" w:hAnsi="Times New Roman"/>
          <w:noProof/>
          <w:sz w:val="24"/>
          <w:szCs w:val="24"/>
        </w:rPr>
        <w:noBreakHyphen/>
        <w:t>19.</w:t>
      </w:r>
    </w:p>
    <w:p w:rsidR="00C46437" w:rsidRPr="00D80BD2" w:rsidRDefault="00C46437" w:rsidP="00C46437">
      <w:pPr>
        <w:pStyle w:val="ListParagraph"/>
        <w:numPr>
          <w:ilvl w:val="0"/>
          <w:numId w:val="1"/>
        </w:numPr>
        <w:spacing w:after="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 xml:space="preserve">En août 2021, Frontex a publié son premier </w:t>
      </w:r>
      <w:r>
        <w:rPr>
          <w:rFonts w:ascii="Times New Roman" w:hAnsi="Times New Roman"/>
          <w:i/>
          <w:noProof/>
          <w:sz w:val="24"/>
          <w:szCs w:val="24"/>
        </w:rPr>
        <w:t>rapport de l’Office des droits fondamentaux</w:t>
      </w:r>
      <w:r>
        <w:rPr>
          <w:rFonts w:ascii="Times New Roman" w:hAnsi="Times New Roman"/>
          <w:noProof/>
          <w:sz w:val="24"/>
          <w:szCs w:val="24"/>
        </w:rPr>
        <w:t>, qui met en évidence les mesures prises pour s’aligner sur les nouvelles exigences prévues par le règlement Frontex de 2019 relatif au corps européen de garde</w:t>
      </w:r>
      <w:r>
        <w:rPr>
          <w:rFonts w:ascii="Times New Roman" w:hAnsi="Times New Roman"/>
          <w:noProof/>
          <w:sz w:val="24"/>
          <w:szCs w:val="24"/>
        </w:rPr>
        <w:noBreakHyphen/>
        <w:t>frontières et de garde</w:t>
      </w:r>
      <w:r>
        <w:rPr>
          <w:rFonts w:ascii="Times New Roman" w:hAnsi="Times New Roman"/>
          <w:noProof/>
          <w:sz w:val="24"/>
          <w:szCs w:val="24"/>
        </w:rPr>
        <w:noBreakHyphen/>
        <w:t>côtes.</w:t>
      </w:r>
    </w:p>
    <w:p w:rsidR="00C46437" w:rsidRPr="00640788" w:rsidRDefault="00C46437" w:rsidP="00C46437">
      <w:pPr>
        <w:pStyle w:val="ListParagraph"/>
        <w:spacing w:after="0" w:line="240" w:lineRule="auto"/>
        <w:ind w:left="426"/>
        <w:contextualSpacing w:val="0"/>
        <w:jc w:val="both"/>
        <w:rPr>
          <w:rFonts w:ascii="Times New Roman" w:hAnsi="Times New Roman" w:cs="Times New Roman"/>
          <w:i/>
          <w:noProof/>
          <w:sz w:val="24"/>
          <w:szCs w:val="24"/>
          <w:lang w:val="fr-BE"/>
        </w:rPr>
      </w:pPr>
    </w:p>
    <w:p w:rsidR="00C46437" w:rsidRPr="00A55EA6" w:rsidRDefault="00C46437" w:rsidP="00C46437">
      <w:pPr>
        <w:spacing w:after="0" w:line="240" w:lineRule="auto"/>
        <w:jc w:val="both"/>
        <w:rPr>
          <w:rFonts w:ascii="Times New Roman" w:hAnsi="Times New Roman" w:cs="Times New Roman"/>
          <w:i/>
          <w:noProof/>
          <w:sz w:val="24"/>
          <w:szCs w:val="24"/>
        </w:rPr>
      </w:pPr>
      <w:r>
        <w:rPr>
          <w:rFonts w:ascii="Times New Roman" w:hAnsi="Times New Roman"/>
          <w:i/>
          <w:noProof/>
          <w:sz w:val="24"/>
          <w:szCs w:val="24"/>
        </w:rPr>
        <w:t>Les autres agences et organes de l’Union</w:t>
      </w:r>
    </w:p>
    <w:p w:rsidR="00C46437" w:rsidRPr="00D80BD2" w:rsidRDefault="00C46437" w:rsidP="00C46437">
      <w:pPr>
        <w:spacing w:after="0" w:line="240" w:lineRule="auto"/>
        <w:jc w:val="both"/>
        <w:rPr>
          <w:rFonts w:ascii="Times New Roman" w:hAnsi="Times New Roman" w:cs="Times New Roman"/>
          <w:noProof/>
          <w:sz w:val="24"/>
          <w:szCs w:val="24"/>
        </w:rPr>
      </w:pPr>
    </w:p>
    <w:p w:rsidR="00C46437" w:rsidRPr="00D80BD2" w:rsidRDefault="00C46437" w:rsidP="00C46437">
      <w:pPr>
        <w:pStyle w:val="ListParagraph"/>
        <w:numPr>
          <w:ilvl w:val="0"/>
          <w:numId w:val="1"/>
        </w:numPr>
        <w:spacing w:after="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En juillet 2021, l’</w:t>
      </w:r>
      <w:r>
        <w:rPr>
          <w:rFonts w:ascii="Times New Roman" w:hAnsi="Times New Roman"/>
          <w:i/>
          <w:iCs/>
          <w:noProof/>
          <w:sz w:val="24"/>
          <w:szCs w:val="24"/>
        </w:rPr>
        <w:t>Agence des droits fondamentaux de l’Union européenne (FRA)</w:t>
      </w:r>
      <w:r>
        <w:rPr>
          <w:rFonts w:ascii="Times New Roman" w:hAnsi="Times New Roman"/>
          <w:noProof/>
          <w:sz w:val="24"/>
          <w:szCs w:val="24"/>
        </w:rPr>
        <w:t xml:space="preserve"> a publié un </w:t>
      </w:r>
      <w:r>
        <w:rPr>
          <w:rFonts w:ascii="Times New Roman" w:hAnsi="Times New Roman"/>
          <w:i/>
          <w:iCs/>
          <w:noProof/>
          <w:sz w:val="24"/>
          <w:szCs w:val="24"/>
        </w:rPr>
        <w:t>rapport sur le signalement des crimes de haine</w:t>
      </w:r>
      <w:r>
        <w:rPr>
          <w:rFonts w:ascii="Times New Roman" w:hAnsi="Times New Roman"/>
          <w:noProof/>
          <w:sz w:val="24"/>
          <w:szCs w:val="24"/>
        </w:rPr>
        <w:t>, qui a relevé d’importants obstacles entravant l’accès des victimes à la justice. En septembre, l’Agence a lancé avec 8 organisations internationales un portail destiné à promouvoir la coopération mondiale dans le domaine de l’intelligence artificielle.</w:t>
      </w:r>
    </w:p>
    <w:p w:rsidR="00C46437" w:rsidRPr="00D80BD2" w:rsidRDefault="00C46437" w:rsidP="00C46437">
      <w:pPr>
        <w:pStyle w:val="ListParagraph"/>
        <w:numPr>
          <w:ilvl w:val="0"/>
          <w:numId w:val="1"/>
        </w:numPr>
        <w:spacing w:after="0" w:line="240" w:lineRule="auto"/>
        <w:contextualSpacing w:val="0"/>
        <w:jc w:val="both"/>
        <w:rPr>
          <w:rFonts w:ascii="Times New Roman" w:hAnsi="Times New Roman" w:cs="Times New Roman"/>
          <w:noProof/>
          <w:sz w:val="24"/>
          <w:szCs w:val="24"/>
        </w:rPr>
      </w:pPr>
      <w:r>
        <w:rPr>
          <w:rFonts w:ascii="Times New Roman" w:hAnsi="Times New Roman"/>
          <w:i/>
          <w:noProof/>
          <w:sz w:val="24"/>
          <w:szCs w:val="24"/>
        </w:rPr>
        <w:t xml:space="preserve"> </w:t>
      </w:r>
      <w:r>
        <w:rPr>
          <w:rFonts w:ascii="Times New Roman" w:hAnsi="Times New Roman"/>
          <w:noProof/>
          <w:sz w:val="24"/>
          <w:szCs w:val="24"/>
        </w:rPr>
        <w:t>Au cours de l’été 2021, l’</w:t>
      </w:r>
      <w:r>
        <w:rPr>
          <w:rFonts w:ascii="Times New Roman" w:hAnsi="Times New Roman"/>
          <w:i/>
          <w:iCs/>
          <w:noProof/>
          <w:sz w:val="24"/>
          <w:szCs w:val="24"/>
        </w:rPr>
        <w:t>Agence de l’Union européenne pour la formation des services répressifs (CEPOL)</w:t>
      </w:r>
      <w:r>
        <w:rPr>
          <w:rFonts w:ascii="Times New Roman" w:hAnsi="Times New Roman"/>
          <w:noProof/>
          <w:sz w:val="24"/>
          <w:szCs w:val="24"/>
        </w:rPr>
        <w:t xml:space="preserve"> a réalisé </w:t>
      </w:r>
      <w:r>
        <w:rPr>
          <w:rFonts w:ascii="Times New Roman" w:hAnsi="Times New Roman"/>
          <w:i/>
          <w:iCs/>
          <w:noProof/>
          <w:sz w:val="24"/>
          <w:szCs w:val="24"/>
        </w:rPr>
        <w:t>deux analyses des besoins de formation opérationnelle</w:t>
      </w:r>
      <w:r>
        <w:rPr>
          <w:rFonts w:ascii="Times New Roman" w:hAnsi="Times New Roman"/>
          <w:noProof/>
          <w:sz w:val="24"/>
          <w:szCs w:val="24"/>
        </w:rPr>
        <w:t xml:space="preserve"> sur la lutte contre le terrorisme et sur l’exploitation sexuelle des enfants. </w:t>
      </w:r>
    </w:p>
    <w:p w:rsidR="00C46437" w:rsidRPr="00D80BD2" w:rsidRDefault="00C46437" w:rsidP="00C46437">
      <w:pPr>
        <w:pStyle w:val="ListParagraph"/>
        <w:numPr>
          <w:ilvl w:val="0"/>
          <w:numId w:val="1"/>
        </w:numPr>
        <w:spacing w:after="0" w:line="240" w:lineRule="auto"/>
        <w:contextualSpacing w:val="0"/>
        <w:jc w:val="both"/>
        <w:rPr>
          <w:rFonts w:ascii="Times New Roman" w:hAnsi="Times New Roman" w:cs="Times New Roman"/>
          <w:noProof/>
          <w:sz w:val="24"/>
          <w:szCs w:val="24"/>
        </w:rPr>
      </w:pPr>
      <w:r>
        <w:rPr>
          <w:rFonts w:ascii="Times New Roman" w:hAnsi="Times New Roman"/>
          <w:i/>
          <w:iCs/>
          <w:noProof/>
          <w:sz w:val="24"/>
          <w:szCs w:val="24"/>
        </w:rPr>
        <w:t>Le réseau et le centre européens de compétences en matière de cybersécurité</w:t>
      </w:r>
      <w:r>
        <w:rPr>
          <w:rFonts w:ascii="Times New Roman" w:hAnsi="Times New Roman"/>
          <w:noProof/>
          <w:sz w:val="24"/>
          <w:szCs w:val="24"/>
        </w:rPr>
        <w:t xml:space="preserve"> sont en cours de création à Bucarest, et la première réunion du co</w:t>
      </w:r>
      <w:r w:rsidR="00640788">
        <w:rPr>
          <w:rFonts w:ascii="Times New Roman" w:hAnsi="Times New Roman"/>
          <w:noProof/>
          <w:sz w:val="24"/>
          <w:szCs w:val="24"/>
        </w:rPr>
        <w:t>mité directeur a eu lieu le 20 </w:t>
      </w:r>
      <w:r>
        <w:rPr>
          <w:rFonts w:ascii="Times New Roman" w:hAnsi="Times New Roman"/>
          <w:noProof/>
          <w:sz w:val="24"/>
          <w:szCs w:val="24"/>
        </w:rPr>
        <w:t xml:space="preserve">octobre. </w:t>
      </w:r>
    </w:p>
    <w:p w:rsidR="00C46437" w:rsidRPr="003928AB" w:rsidRDefault="00C46437" w:rsidP="00C46437">
      <w:pPr>
        <w:pStyle w:val="ListParagraph"/>
        <w:numPr>
          <w:ilvl w:val="0"/>
          <w:numId w:val="1"/>
        </w:numPr>
        <w:spacing w:line="240" w:lineRule="auto"/>
        <w:jc w:val="both"/>
        <w:rPr>
          <w:rFonts w:ascii="Times New Roman" w:hAnsi="Times New Roman" w:cs="Times New Roman"/>
          <w:noProof/>
          <w:sz w:val="24"/>
          <w:szCs w:val="24"/>
        </w:rPr>
      </w:pPr>
      <w:r>
        <w:rPr>
          <w:rFonts w:ascii="Times New Roman" w:hAnsi="Times New Roman"/>
          <w:noProof/>
          <w:sz w:val="24"/>
          <w:szCs w:val="24"/>
        </w:rPr>
        <w:t>L’</w:t>
      </w:r>
      <w:r>
        <w:rPr>
          <w:rFonts w:ascii="Times New Roman" w:hAnsi="Times New Roman"/>
          <w:i/>
          <w:iCs/>
          <w:noProof/>
          <w:sz w:val="24"/>
          <w:szCs w:val="24"/>
        </w:rPr>
        <w:t>Observatoire européen des drogues et des toxicomanies (EMCDDA)</w:t>
      </w:r>
      <w:r>
        <w:rPr>
          <w:rFonts w:ascii="Times New Roman" w:hAnsi="Times New Roman"/>
          <w:noProof/>
          <w:sz w:val="24"/>
          <w:szCs w:val="24"/>
        </w:rPr>
        <w:t xml:space="preserve"> a publié le premier un guide européen 2021 réunissant les réponses sanitaires et sociales aux problèmes de drogue (le 18 octobre 2021). Ce guide doit aider les praticiens et les décideurs politiques à lutter contre les conséquences négatives de la consommation de drogues. Il se compose de quatre séries de miniguides, diffusées en quatre lots successifs entre octobre 2021 et début 2022. Le premier lot se concentre sur les habitudes de consommation.</w:t>
      </w:r>
    </w:p>
    <w:sectPr w:rsidR="00C46437" w:rsidRPr="003928AB" w:rsidSect="00214C8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437" w:rsidRDefault="00C46437" w:rsidP="00C46437">
      <w:pPr>
        <w:spacing w:after="0" w:line="240" w:lineRule="auto"/>
      </w:pPr>
      <w:r>
        <w:separator/>
      </w:r>
    </w:p>
  </w:endnote>
  <w:endnote w:type="continuationSeparator" w:id="0">
    <w:p w:rsidR="00C46437" w:rsidRDefault="00C46437" w:rsidP="00C46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1AA" w:rsidRPr="004941AA" w:rsidRDefault="004941AA" w:rsidP="004941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788" w:rsidRPr="004941AA" w:rsidRDefault="004941AA" w:rsidP="004941AA">
    <w:pPr>
      <w:pStyle w:val="FooterCoverPage"/>
      <w:rPr>
        <w:rFonts w:ascii="Arial" w:hAnsi="Arial" w:cs="Arial"/>
        <w:b/>
        <w:sz w:val="48"/>
      </w:rPr>
    </w:pPr>
    <w:r w:rsidRPr="004941AA">
      <w:rPr>
        <w:rFonts w:ascii="Arial" w:hAnsi="Arial" w:cs="Arial"/>
        <w:b/>
        <w:sz w:val="48"/>
      </w:rPr>
      <w:t>FR</w:t>
    </w:r>
    <w:r w:rsidRPr="004941AA">
      <w:rPr>
        <w:rFonts w:ascii="Arial" w:hAnsi="Arial" w:cs="Arial"/>
        <w:b/>
        <w:sz w:val="48"/>
      </w:rPr>
      <w:tab/>
    </w:r>
    <w:r w:rsidRPr="004941AA">
      <w:rPr>
        <w:rFonts w:ascii="Arial" w:hAnsi="Arial" w:cs="Arial"/>
        <w:b/>
        <w:sz w:val="48"/>
      </w:rPr>
      <w:tab/>
    </w:r>
    <w:r w:rsidRPr="004941AA">
      <w:tab/>
    </w:r>
    <w:r w:rsidRPr="004941AA">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1AA" w:rsidRPr="004941AA" w:rsidRDefault="004941AA" w:rsidP="004941A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C87" w:rsidRDefault="00214C8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895625"/>
      <w:docPartObj>
        <w:docPartGallery w:val="Page Numbers (Bottom of Page)"/>
        <w:docPartUnique/>
      </w:docPartObj>
    </w:sdtPr>
    <w:sdtEndPr>
      <w:rPr>
        <w:noProof/>
      </w:rPr>
    </w:sdtEndPr>
    <w:sdtContent>
      <w:p w:rsidR="009F2093" w:rsidRDefault="009F2093">
        <w:pPr>
          <w:pStyle w:val="Footer"/>
          <w:jc w:val="center"/>
        </w:pPr>
        <w:r>
          <w:fldChar w:fldCharType="begin"/>
        </w:r>
        <w:r>
          <w:instrText xml:space="preserve"> PAGE   \* MERGEFORMAT </w:instrText>
        </w:r>
        <w:r>
          <w:fldChar w:fldCharType="separate"/>
        </w:r>
        <w:r w:rsidR="004941AA">
          <w:rPr>
            <w:noProof/>
          </w:rPr>
          <w:t>1</w:t>
        </w:r>
        <w:r>
          <w:fldChar w:fldCharType="end"/>
        </w:r>
      </w:p>
    </w:sdtContent>
  </w:sdt>
  <w:p w:rsidR="00214C87" w:rsidRDefault="00214C8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C87" w:rsidRDefault="00214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437" w:rsidRDefault="00C46437" w:rsidP="00C46437">
      <w:pPr>
        <w:spacing w:after="0" w:line="240" w:lineRule="auto"/>
      </w:pPr>
      <w:r>
        <w:separator/>
      </w:r>
    </w:p>
  </w:footnote>
  <w:footnote w:type="continuationSeparator" w:id="0">
    <w:p w:rsidR="00C46437" w:rsidRDefault="00C46437" w:rsidP="00C46437">
      <w:pPr>
        <w:spacing w:after="0" w:line="240" w:lineRule="auto"/>
      </w:pPr>
      <w:r>
        <w:continuationSeparator/>
      </w:r>
    </w:p>
  </w:footnote>
  <w:footnote w:id="1">
    <w:p w:rsidR="00C46437" w:rsidRPr="009F2093" w:rsidRDefault="00C46437" w:rsidP="00C4643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Rapport d’Europol sur la situation et les tendances du terrorisme dans l’UE (Te</w:t>
      </w:r>
      <w:r>
        <w:rPr>
          <w:rFonts w:ascii="Times New Roman" w:hAnsi="Times New Roman"/>
        </w:rPr>
        <w:noBreakHyphen/>
        <w:t>Sat), 22 juin 2021.</w:t>
      </w:r>
    </w:p>
  </w:footnote>
  <w:footnote w:id="2">
    <w:p w:rsidR="00C46437" w:rsidRPr="00A55EA6" w:rsidRDefault="00C46437" w:rsidP="00C4643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Style w:val="Hyperlink"/>
          <w:rFonts w:ascii="Times New Roman" w:hAnsi="Times New Roman"/>
        </w:rPr>
        <w:t>Internet Organised Crime Threat Assessment (Évaluation de la menace que représente la criminalité organisée sur l’internet), 11 novembre 2021.</w:t>
      </w:r>
    </w:p>
  </w:footnote>
  <w:footnote w:id="3">
    <w:p w:rsidR="00C46437" w:rsidRPr="00D80BD2" w:rsidRDefault="00C46437" w:rsidP="00C46437">
      <w:pPr>
        <w:tabs>
          <w:tab w:val="left" w:pos="284"/>
        </w:tabs>
        <w:spacing w:after="0" w:line="240" w:lineRule="auto"/>
        <w:ind w:left="284" w:hanging="284"/>
        <w:jc w:val="both"/>
        <w:rPr>
          <w:rFonts w:ascii="Times New Roman" w:eastAsia="Calibri" w:hAnsi="Times New Roman" w:cs="Times New Roman"/>
          <w:sz w:val="20"/>
          <w:szCs w:val="20"/>
        </w:rPr>
      </w:pPr>
      <w:r>
        <w:rPr>
          <w:rStyle w:val="FootnoteReference"/>
        </w:rPr>
        <w:footnoteRef/>
      </w:r>
      <w:r>
        <w:rPr>
          <w:rStyle w:val="FootnoteReference"/>
        </w:rPr>
        <w:t xml:space="preserve"> </w:t>
      </w:r>
      <w:r>
        <w:tab/>
      </w:r>
      <w:r>
        <w:rPr>
          <w:rFonts w:ascii="Times New Roman" w:hAnsi="Times New Roman"/>
          <w:sz w:val="20"/>
          <w:szCs w:val="20"/>
        </w:rPr>
        <w:t>Ce rapport est disponible à l’adresse suivante: https://www.eurojust.europa.eu/eurojust-guidelines-how-prosecute-investment-fraud.</w:t>
      </w:r>
    </w:p>
  </w:footnote>
  <w:footnote w:id="4">
    <w:p w:rsidR="00C46437" w:rsidRPr="00D80BD2" w:rsidRDefault="00C46437" w:rsidP="00C46437">
      <w:pPr>
        <w:tabs>
          <w:tab w:val="left" w:pos="284"/>
        </w:tabs>
        <w:spacing w:after="0" w:line="240" w:lineRule="auto"/>
        <w:ind w:left="284" w:hanging="284"/>
        <w:jc w:val="both"/>
        <w:rPr>
          <w:rFonts w:ascii="Times New Roman" w:eastAsia="Calibri" w:hAnsi="Times New Roman" w:cs="Times New Roman"/>
          <w:sz w:val="20"/>
          <w:szCs w:val="20"/>
        </w:rPr>
      </w:pPr>
      <w:r>
        <w:rPr>
          <w:rStyle w:val="FootnoteReference"/>
        </w:rPr>
        <w:footnoteRef/>
      </w:r>
      <w:r>
        <w:rPr>
          <w:rFonts w:ascii="Times New Roman" w:hAnsi="Times New Roman"/>
          <w:sz w:val="20"/>
          <w:szCs w:val="20"/>
        </w:rPr>
        <w:t xml:space="preserve"> </w:t>
      </w:r>
      <w:r>
        <w:tab/>
      </w:r>
      <w:r>
        <w:rPr>
          <w:rFonts w:ascii="Times New Roman" w:hAnsi="Times New Roman"/>
          <w:sz w:val="20"/>
          <w:szCs w:val="20"/>
        </w:rPr>
        <w:t>Ce rapport est disponible à l’adresse suivante: https://www.eurojust.europa.eu/report-eurojusts-casework-field-european-arrest-warrant-july-2021.</w:t>
      </w:r>
    </w:p>
  </w:footnote>
  <w:footnote w:id="5">
    <w:p w:rsidR="00C46437" w:rsidRPr="00D80BD2" w:rsidRDefault="00C46437" w:rsidP="00C46437">
      <w:pPr>
        <w:tabs>
          <w:tab w:val="left" w:pos="284"/>
        </w:tabs>
        <w:spacing w:after="0" w:line="240" w:lineRule="auto"/>
        <w:ind w:left="284" w:hanging="284"/>
        <w:jc w:val="both"/>
        <w:rPr>
          <w:rStyle w:val="Hyperlink"/>
          <w:rFonts w:ascii="Times New Roman" w:eastAsia="Calibri" w:hAnsi="Times New Roman" w:cs="Times New Roman"/>
          <w:sz w:val="20"/>
          <w:szCs w:val="20"/>
        </w:rPr>
      </w:pPr>
      <w:r>
        <w:rPr>
          <w:rStyle w:val="FootnoteReference"/>
        </w:rPr>
        <w:footnoteRef/>
      </w:r>
      <w:r>
        <w:rPr>
          <w:rFonts w:ascii="Times New Roman" w:hAnsi="Times New Roman"/>
          <w:sz w:val="20"/>
          <w:szCs w:val="20"/>
        </w:rPr>
        <w:t xml:space="preserve"> </w:t>
      </w:r>
      <w:r>
        <w:tab/>
      </w:r>
      <w:hyperlink r:id="rId1" w:history="1">
        <w:r>
          <w:rPr>
            <w:rStyle w:val="Hyperlink"/>
            <w:rFonts w:ascii="Times New Roman" w:hAnsi="Times New Roman"/>
            <w:sz w:val="20"/>
            <w:szCs w:val="20"/>
          </w:rPr>
          <w:t>Supporting judicial authorities in the fight against trafficking in human beings | Eurojust | European Union Agency for Criminal Justice Cooperation (Soutenir les autorités judiciaires dans la lutte contre la traite des êtres humains | Eurojust | Agence de l’Union européenne pour la coopération judiciaire en matière pénale (europa.eu)</w:t>
        </w:r>
      </w:hyperlink>
      <w:r>
        <w:rPr>
          <w:rFonts w:ascii="Times New Roman" w:hAnsi="Times New Roman"/>
          <w:sz w:val="20"/>
          <w:szCs w:val="20"/>
        </w:rPr>
        <w:t>.</w:t>
      </w:r>
    </w:p>
  </w:footnote>
  <w:footnote w:id="6">
    <w:p w:rsidR="00C46437" w:rsidRPr="00D80BD2" w:rsidRDefault="00C46437" w:rsidP="00C46437">
      <w:pPr>
        <w:tabs>
          <w:tab w:val="left" w:pos="284"/>
        </w:tabs>
        <w:spacing w:after="0" w:line="240" w:lineRule="auto"/>
        <w:ind w:left="284" w:hanging="284"/>
        <w:jc w:val="both"/>
        <w:rPr>
          <w:rFonts w:ascii="Times New Roman" w:eastAsia="Calibri"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sz w:val="20"/>
          <w:szCs w:val="20"/>
        </w:rPr>
        <w:t xml:space="preserve"> </w:t>
      </w:r>
      <w:r>
        <w:tab/>
      </w:r>
      <w:r>
        <w:rPr>
          <w:rFonts w:ascii="Times New Roman" w:hAnsi="Times New Roman"/>
          <w:sz w:val="20"/>
          <w:szCs w:val="20"/>
        </w:rPr>
        <w:t>Voir le lien vers le rapport: https://www.eurojust.europa.eu/joint-report-jha-agencies-network-identification-and-protection-victims-human-trafficking.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1AA" w:rsidRPr="004941AA" w:rsidRDefault="004941AA" w:rsidP="004941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1AA" w:rsidRPr="004941AA" w:rsidRDefault="004941AA" w:rsidP="004941A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1AA" w:rsidRPr="004941AA" w:rsidRDefault="004941AA" w:rsidP="004941A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C87" w:rsidRDefault="00214C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C87" w:rsidRDefault="00214C8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C87" w:rsidRDefault="00214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32AB5"/>
    <w:multiLevelType w:val="hybridMultilevel"/>
    <w:tmpl w:val="11B6E516"/>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de la"/>
    <w:docVar w:name="LW_ANNEX_NBR_FIRST" w:val="1"/>
    <w:docVar w:name="LW_ANNEX_NBR_LAST" w:val="1"/>
    <w:docVar w:name="LW_ANNEX_UNIQUE" w:val="0"/>
    <w:docVar w:name="LW_CORRIGENDUM" w:val="&lt;UNUSED&gt;"/>
    <w:docVar w:name="LW_COVERPAGE_EXISTS" w:val="True"/>
    <w:docVar w:name="LW_COVERPAGE_GUID" w:val="1E2CE148-334E-4622-B68D-C9C0340EC9C6"/>
    <w:docVar w:name="LW_COVERPAGE_TYPE" w:val="1"/>
    <w:docVar w:name="LW_CROSSREFERENCE" w:val="&lt;UNUSED&gt;"/>
    <w:docVar w:name="LW_DocType" w:val="NORMAL"/>
    <w:docVar w:name="LW_EMISSION" w:val="8.12.2021"/>
    <w:docVar w:name="LW_EMISSION_ISODATE" w:val="2021-12-08"/>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relative au troisième rapport sur l’état d’avancement de la mise en œuvre de la stratégie de l’UE pour l'union de la sécurité_x000d__x000b__x000d__x000b_"/>
    <w:docVar w:name="LW_PART_NBR" w:val="1"/>
    <w:docVar w:name="LW_PART_NBR_TOTAL" w:val="1"/>
    <w:docVar w:name="LW_REF.INST.NEW" w:val="COM"/>
    <w:docVar w:name="LW_REF.INST.NEW_ADOPTED" w:val="final"/>
    <w:docVar w:name="LW_REF.INST.NEW_TEXT" w:val="(2021) 7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_x000b_"/>
    <w:docVar w:name="LW_TYPEACTEPRINCIPAL.CP" w:val="COMMUNICATION DE LA COMMISSION AU PARLEMENT EUROPÉEN ET AU CONSEIL"/>
    <w:docVar w:name="LwApiVersions" w:val="LW4CoDe 1.23.2.0; LW 8.0, Build 20211117"/>
  </w:docVars>
  <w:rsids>
    <w:rsidRoot w:val="00C46437"/>
    <w:rsid w:val="000313ED"/>
    <w:rsid w:val="000937A9"/>
    <w:rsid w:val="001760B5"/>
    <w:rsid w:val="00214C87"/>
    <w:rsid w:val="00246167"/>
    <w:rsid w:val="004941AA"/>
    <w:rsid w:val="00494602"/>
    <w:rsid w:val="00640788"/>
    <w:rsid w:val="007C3840"/>
    <w:rsid w:val="0091237D"/>
    <w:rsid w:val="009F2093"/>
    <w:rsid w:val="009F585C"/>
    <w:rsid w:val="00A53E68"/>
    <w:rsid w:val="00B61481"/>
    <w:rsid w:val="00C46437"/>
    <w:rsid w:val="00C75E90"/>
    <w:rsid w:val="00EA6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96D5C1F-616D-441D-AD0A-CAE7F880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437"/>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GSA List"/>
    <w:basedOn w:val="Normal"/>
    <w:link w:val="ListParagraphChar"/>
    <w:uiPriority w:val="34"/>
    <w:qFormat/>
    <w:rsid w:val="00C46437"/>
    <w:pPr>
      <w:ind w:left="720"/>
      <w:contextualSpacing/>
    </w:p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foottextfra,A,ftx,o"/>
    <w:basedOn w:val="Normal"/>
    <w:link w:val="FootnoteTextChar"/>
    <w:uiPriority w:val="99"/>
    <w:unhideWhenUsed/>
    <w:qFormat/>
    <w:rsid w:val="00C46437"/>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A Char"/>
    <w:basedOn w:val="DefaultParagraphFont"/>
    <w:link w:val="FootnoteText"/>
    <w:uiPriority w:val="99"/>
    <w:qFormat/>
    <w:rsid w:val="00C46437"/>
    <w:rPr>
      <w:sz w:val="20"/>
      <w:szCs w:val="20"/>
    </w:rPr>
  </w:style>
  <w:style w:type="character" w:styleId="FootnoteReference">
    <w:name w:val="footnote reference"/>
    <w:aliases w:val="Footnote Refernece,Fussnota,Footnote symbol,Footnote,Fußnotenzeichen_Raxen,Footnote Reference Superscript,Footnote Reference/,Footnote Reference text,Voetnootverwijzing,footnote ref,FR,Fußnotenzeichen diss neu,Times 10 Point,number,fr"/>
    <w:link w:val="BVIfnrChar"/>
    <w:uiPriority w:val="99"/>
    <w:qFormat/>
    <w:rsid w:val="00C46437"/>
    <w:rPr>
      <w:vertAlign w:val="superscript"/>
    </w:rPr>
  </w:style>
  <w:style w:type="paragraph" w:customStyle="1" w:styleId="BVIfnrChar">
    <w:name w:val="BVI fnr Char"/>
    <w:aliases w:val="Appel note de bas de p.;BVI fnr Car Car Car Car, BVI fnr Car Car,BVI fnr Car, BVI fnr Car Car Car Car, BVI fnr Car Car Car Car Char,Appel note de bas de p..BVI fnr Car Car Car Car,Appel note de bas de p.,BVI fnr Car Car Car Car,BVI fnr Car1"/>
    <w:basedOn w:val="Normal"/>
    <w:link w:val="FootnoteReference"/>
    <w:uiPriority w:val="99"/>
    <w:rsid w:val="00C46437"/>
    <w:pPr>
      <w:spacing w:after="160" w:line="240" w:lineRule="exact"/>
    </w:pPr>
    <w:rPr>
      <w:vertAlign w:val="superscript"/>
    </w:rPr>
  </w:style>
  <w:style w:type="character" w:styleId="Hyperlink">
    <w:name w:val="Hyperlink"/>
    <w:basedOn w:val="DefaultParagraphFont"/>
    <w:uiPriority w:val="99"/>
    <w:unhideWhenUsed/>
    <w:rsid w:val="00C46437"/>
    <w:rPr>
      <w:color w:val="0000FF"/>
      <w:u w:val="single"/>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ListParagraph"/>
    <w:uiPriority w:val="34"/>
    <w:qFormat/>
    <w:locked/>
    <w:rsid w:val="00C46437"/>
  </w:style>
  <w:style w:type="character" w:customStyle="1" w:styleId="Marker">
    <w:name w:val="Marker"/>
    <w:basedOn w:val="DefaultParagraphFont"/>
    <w:rsid w:val="00214C87"/>
    <w:rPr>
      <w:color w:val="0000FF"/>
      <w:shd w:val="clear" w:color="auto" w:fill="auto"/>
    </w:rPr>
  </w:style>
  <w:style w:type="paragraph" w:customStyle="1" w:styleId="Pagedecouverture">
    <w:name w:val="Page de couverture"/>
    <w:basedOn w:val="Normal"/>
    <w:next w:val="Normal"/>
    <w:rsid w:val="00214C87"/>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214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C87"/>
  </w:style>
  <w:style w:type="paragraph" w:styleId="Footer">
    <w:name w:val="footer"/>
    <w:basedOn w:val="Normal"/>
    <w:link w:val="FooterChar"/>
    <w:uiPriority w:val="99"/>
    <w:unhideWhenUsed/>
    <w:rsid w:val="00214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C87"/>
  </w:style>
  <w:style w:type="paragraph" w:customStyle="1" w:styleId="FooterCoverPage">
    <w:name w:val="Footer Cover Page"/>
    <w:basedOn w:val="Normal"/>
    <w:link w:val="FooterCoverPageChar"/>
    <w:rsid w:val="00214C87"/>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214C87"/>
    <w:rPr>
      <w:rFonts w:ascii="Times New Roman" w:hAnsi="Times New Roman" w:cs="Times New Roman"/>
      <w:sz w:val="24"/>
    </w:rPr>
  </w:style>
  <w:style w:type="paragraph" w:customStyle="1" w:styleId="FooterSensitivity">
    <w:name w:val="Footer Sensitivity"/>
    <w:basedOn w:val="Normal"/>
    <w:link w:val="FooterSensitivityChar"/>
    <w:rsid w:val="00214C87"/>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214C87"/>
    <w:rPr>
      <w:rFonts w:ascii="Times New Roman" w:hAnsi="Times New Roman" w:cs="Times New Roman"/>
      <w:b/>
      <w:sz w:val="32"/>
    </w:rPr>
  </w:style>
  <w:style w:type="paragraph" w:customStyle="1" w:styleId="HeaderCoverPage">
    <w:name w:val="Header Cover Page"/>
    <w:basedOn w:val="Normal"/>
    <w:link w:val="HeaderCoverPageChar"/>
    <w:rsid w:val="00214C87"/>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214C87"/>
    <w:rPr>
      <w:rFonts w:ascii="Times New Roman" w:hAnsi="Times New Roman" w:cs="Times New Roman"/>
      <w:sz w:val="24"/>
    </w:rPr>
  </w:style>
  <w:style w:type="paragraph" w:customStyle="1" w:styleId="HeaderSensitivity">
    <w:name w:val="Header Sensitivity"/>
    <w:basedOn w:val="Normal"/>
    <w:link w:val="HeaderSensitivityChar"/>
    <w:rsid w:val="00214C87"/>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214C87"/>
    <w:rPr>
      <w:rFonts w:ascii="Times New Roman" w:hAnsi="Times New Roman" w:cs="Times New Roman"/>
      <w:b/>
      <w:sz w:val="32"/>
    </w:rPr>
  </w:style>
  <w:style w:type="paragraph" w:customStyle="1" w:styleId="HeaderSensitivityRight">
    <w:name w:val="Header Sensitivity Right"/>
    <w:basedOn w:val="Normal"/>
    <w:link w:val="HeaderSensitivityRightChar"/>
    <w:rsid w:val="00214C87"/>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214C87"/>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urojust.europa.eu/supporting-judicial-authorities-fight-against-trafficking-human-be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9612A-A208-4216-AC7D-6802AA4C4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MONTI Cristina (SG)</dc:creator>
  <cp:keywords/>
  <dc:description/>
  <cp:lastModifiedBy>EC CoDe</cp:lastModifiedBy>
  <cp:revision>19</cp:revision>
  <dcterms:created xsi:type="dcterms:W3CDTF">2021-12-02T14:13:00Z</dcterms:created>
  <dcterms:modified xsi:type="dcterms:W3CDTF">2022-01-27T10:15:00Z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7.0.1, Build 20200226</vt:lpwstr>
  </property>
  <property fmtid="{D5CDD505-2E9C-101B-9397-08002B2CF9AE}" pid="11" name="Created using">
    <vt:lpwstr>LW 7.0.1, Build 20200226</vt:lpwstr>
  </property>
</Properties>
</file>