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C1B88" w14:textId="4084FB53" w:rsidR="000448D2" w:rsidRPr="00426CC5" w:rsidRDefault="00AD39FC" w:rsidP="00AD39FC">
      <w:pPr>
        <w:pStyle w:val="Pagedecouverture"/>
        <w:rPr>
          <w:noProof/>
        </w:rPr>
      </w:pPr>
      <w:r>
        <w:rPr>
          <w:noProof/>
        </w:rPr>
        <w:pict w14:anchorId="3F810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80854103-EB78-471F-B35A-6A28724F72E4" style="width:455.25pt;height:387.75pt">
            <v:imagedata r:id="rId11" o:title=""/>
          </v:shape>
        </w:pict>
      </w:r>
    </w:p>
    <w:p w14:paraId="6B3C1B89" w14:textId="77777777" w:rsidR="000448D2" w:rsidRPr="00426CC5" w:rsidRDefault="000448D2">
      <w:pPr>
        <w:adjustRightInd w:val="0"/>
        <w:spacing w:before="0" w:after="0"/>
        <w:jc w:val="left"/>
        <w:rPr>
          <w:noProof/>
        </w:rPr>
        <w:sectPr w:rsidR="000448D2" w:rsidRPr="00426CC5" w:rsidSect="00AD39F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6B3C1B8A" w14:textId="77777777" w:rsidR="000448D2" w:rsidRPr="00426CC5" w:rsidRDefault="000448D2" w:rsidP="009567AF">
      <w:pPr>
        <w:pStyle w:val="CRSeparator"/>
        <w:rPr>
          <w:noProof/>
        </w:rPr>
      </w:pPr>
      <w:bookmarkStart w:id="0" w:name="_GoBack"/>
      <w:bookmarkEnd w:id="0"/>
    </w:p>
    <w:p w14:paraId="6B3C1B8B"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2010/31/EU</w:t>
      </w:r>
    </w:p>
    <w:p w14:paraId="6B3C1B8C" w14:textId="78652604" w:rsidR="000448D2" w:rsidRPr="00426CC5" w:rsidRDefault="00426CC5" w:rsidP="00EC00AC">
      <w:pPr>
        <w:pStyle w:val="Annexetitre"/>
        <w:rPr>
          <w:noProof/>
        </w:rPr>
      </w:pPr>
      <w:r>
        <w:rPr>
          <w:noProof/>
        </w:rPr>
        <w:t>ANNEX</w:t>
      </w:r>
      <w:r w:rsidR="000448D2" w:rsidRPr="00426CC5">
        <w:rPr>
          <w:noProof/>
        </w:rPr>
        <w:t>E I</w:t>
      </w:r>
    </w:p>
    <w:p w14:paraId="6B3C1B8D" w14:textId="77777777" w:rsidR="000448D2" w:rsidRPr="00426CC5" w:rsidRDefault="000448D2" w:rsidP="001C7344">
      <w:pPr>
        <w:pStyle w:val="ManualHeading1"/>
        <w:ind w:left="851" w:hanging="851"/>
        <w:jc w:val="center"/>
        <w:rPr>
          <w:noProof/>
        </w:rPr>
      </w:pPr>
      <w:r w:rsidRPr="00426CC5">
        <w:rPr>
          <w:i/>
          <w:iCs/>
          <w:noProof/>
        </w:rPr>
        <w:t>Cadre général commun pour le calcul de la performance énergétique des bâtiments</w:t>
      </w:r>
    </w:p>
    <w:p w14:paraId="6B3C1B8E" w14:textId="77777777" w:rsidR="000448D2" w:rsidRPr="00426CC5" w:rsidRDefault="000448D2" w:rsidP="001C7344">
      <w:pPr>
        <w:pStyle w:val="ManualHeading2"/>
        <w:ind w:left="851" w:hanging="851"/>
        <w:jc w:val="center"/>
        <w:rPr>
          <w:b w:val="0"/>
          <w:noProof/>
        </w:rPr>
      </w:pPr>
      <w:r w:rsidRPr="00426CC5">
        <w:rPr>
          <w:b w:val="0"/>
          <w:iCs/>
          <w:noProof/>
        </w:rPr>
        <w:t xml:space="preserve">(Visé à l’article </w:t>
      </w:r>
      <w:r w:rsidRPr="00426CC5">
        <w:rPr>
          <w:rStyle w:val="CRMinorChangeAdded"/>
          <w:b w:val="0"/>
          <w:noProof/>
        </w:rPr>
        <w:t>4</w:t>
      </w:r>
      <w:r w:rsidRPr="00426CC5">
        <w:rPr>
          <w:rStyle w:val="CRMinorChangeDeleted"/>
          <w:b w:val="0"/>
          <w:noProof/>
        </w:rPr>
        <w:t>3</w:t>
      </w:r>
      <w:r w:rsidRPr="00426CC5">
        <w:rPr>
          <w:b w:val="0"/>
          <w:iCs/>
          <w:noProof/>
        </w:rPr>
        <w:t>)</w:t>
      </w:r>
    </w:p>
    <w:p w14:paraId="6B3C1B8F" w14:textId="77777777" w:rsidR="000448D2" w:rsidRPr="00426CC5" w:rsidRDefault="000448D2">
      <w:pPr>
        <w:pStyle w:val="CRSeparator"/>
        <w:rPr>
          <w:noProof/>
        </w:rPr>
      </w:pPr>
    </w:p>
    <w:p w14:paraId="6B3C1B90"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1 a) (adapté)</w:t>
      </w:r>
    </w:p>
    <w:p w14:paraId="6B3C1B91"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nouveau</w:t>
      </w:r>
    </w:p>
    <w:p w14:paraId="6B3C1B92" w14:textId="77777777" w:rsidR="000448D2" w:rsidRPr="00426CC5" w:rsidRDefault="000448D2">
      <w:pPr>
        <w:rPr>
          <w:noProof/>
          <w:highlight w:val="lightGray"/>
        </w:rPr>
      </w:pPr>
      <w:r w:rsidRPr="00426CC5">
        <w:rPr>
          <w:noProof/>
        </w:rPr>
        <w:t>1.</w:t>
      </w:r>
      <w:r w:rsidRPr="00426CC5">
        <w:rPr>
          <w:noProof/>
        </w:rPr>
        <w:tab/>
        <w:t xml:space="preserve">La performance énergétique d’un bâtiment est déterminée sur la base de la consommation d’énergie calculée ou </w:t>
      </w:r>
      <w:r w:rsidRPr="00426CC5">
        <w:rPr>
          <w:rStyle w:val="CRDeleted"/>
          <w:noProof/>
        </w:rPr>
        <w:t>réelle</w:t>
      </w:r>
      <w:r w:rsidRPr="00426CC5">
        <w:rPr>
          <w:noProof/>
        </w:rPr>
        <w:t xml:space="preserve">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mesurée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d’énergie et correspond à la consommation d’énergie courante pour le chauffage des locaux, le refroidissement des locaux, la production d’eau chaude sanitaire, la ventilation, l’éclairage intégré et d’autres systèmes techniques de bâtiment.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Les États membres veillent à ce que la consommation d’énergie courante soit représentative des conditions de fonctionnement réelles pour chaque typologie pertinente et reflète le comportement type de l’utilisateur. Dans la mesure du possible, la consommation d’énergie courante et le comportement type de l’utilisateur sont fondés sur les statistiques nationales, les codes de construction et les données de mesure disponibles.</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p>
    <w:p w14:paraId="6B3C1B93" w14:textId="77777777" w:rsidR="000448D2" w:rsidRPr="00426CC5" w:rsidRDefault="000448D2" w:rsidP="009567AF">
      <w:pPr>
        <w:pStyle w:val="CRSeparator"/>
        <w:rPr>
          <w:noProof/>
        </w:rPr>
      </w:pPr>
    </w:p>
    <w:p w14:paraId="6B3C1B94"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nouveau</w:t>
      </w:r>
    </w:p>
    <w:p w14:paraId="6B3C1B95" w14:textId="77777777" w:rsidR="000448D2" w:rsidRPr="00426CC5" w:rsidRDefault="000448D2">
      <w:pPr>
        <w:rPr>
          <w:noProof/>
          <w:highlight w:val="lightGray"/>
        </w:rPr>
      </w:pPr>
      <w:r w:rsidRPr="00426CC5">
        <w:rPr>
          <w:noProof/>
          <w:highlight w:val="lightGray"/>
        </w:rPr>
        <w:t>Lorsque l’énergie mesurée sert de base au calcul de la performance énergétique des bâtiments, la méthode de calcul doit permettre de déterminer l’influence du comportement des occupants et du climat local, éléments dont le résultat du calcul ne doit pas tenir compte. Lorsque l’énergie mesurée est utilisée aux fins du calcul de la performance énergétique des bâtiments, les relevés sont effectués au minimum toutes les heures et une distinction entre les vecteurs énergétiques est établie.</w:t>
      </w:r>
    </w:p>
    <w:p w14:paraId="6B3C1B96" w14:textId="77777777" w:rsidR="000448D2" w:rsidRPr="00426CC5" w:rsidRDefault="000448D2">
      <w:pPr>
        <w:rPr>
          <w:noProof/>
        </w:rPr>
      </w:pPr>
      <w:r w:rsidRPr="00426CC5">
        <w:rPr>
          <w:noProof/>
          <w:highlight w:val="lightGray"/>
        </w:rPr>
        <w:t>Les États membres peuvent utiliser la consommation d’énergie mesurée dans des conditions de fonctionnement types pour vérifier l’exactitude du calcul de la consommation d’énergie et permettre une comparaison entre la performance calculée et la performance réelle. Lorsque la consommation d’énergie mesurée est utilisée à des fins de vérification et de comparaison, elle peut être basée sur des relevés mensuels.</w:t>
      </w:r>
    </w:p>
    <w:p w14:paraId="6B3C1B97" w14:textId="77777777" w:rsidR="000448D2" w:rsidRPr="00426CC5" w:rsidRDefault="000448D2" w:rsidP="009567AF">
      <w:pPr>
        <w:pStyle w:val="CRSeparator"/>
        <w:rPr>
          <w:noProof/>
        </w:rPr>
      </w:pPr>
    </w:p>
    <w:p w14:paraId="6B3C1B98"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1 a) (adapté)</w:t>
      </w:r>
    </w:p>
    <w:p w14:paraId="6B3C1B99"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nouveau</w:t>
      </w:r>
    </w:p>
    <w:p w14:paraId="6B3C1B9A" w14:textId="77777777" w:rsidR="000448D2" w:rsidRPr="00426CC5" w:rsidRDefault="000448D2">
      <w:pPr>
        <w:rPr>
          <w:noProof/>
        </w:rPr>
      </w:pPr>
      <w:r w:rsidRPr="00426CC5">
        <w:rPr>
          <w:noProof/>
        </w:rPr>
        <w:t xml:space="preserve">La performance énergétique d’un bâtiment est exprimée au moyen d’un indicateur numérique de consommation d’énergie primaire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par unité de surface de référence et par an,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en kWh/(m</w:t>
      </w:r>
      <w:r w:rsidRPr="00426CC5">
        <w:rPr>
          <w:noProof/>
          <w:vertAlign w:val="superscript"/>
        </w:rPr>
        <w:t>2</w:t>
      </w:r>
      <w:r w:rsidRPr="00426CC5">
        <w:rPr>
          <w:noProof/>
        </w:rPr>
        <w:t>.an), pour les besoins tant de la certification de la performance énergétique que de la conformité aux exigences minimales en matière de performance énergétique. La méthode appliquée pour la détermination de la performance énergétique d’un bâtiment est transparente et ouverte à l’innovation.</w:t>
      </w:r>
    </w:p>
    <w:p w14:paraId="6B3C1B9B" w14:textId="77777777" w:rsidR="000448D2" w:rsidRPr="00426CC5" w:rsidRDefault="000448D2">
      <w:pPr>
        <w:rPr>
          <w:noProof/>
        </w:rPr>
      </w:pPr>
      <w:r w:rsidRPr="00426CC5">
        <w:rPr>
          <w:noProof/>
        </w:rPr>
        <w:t xml:space="preserve">Les États membres décrivent leur méthode de calcul nationale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fondée sur l’annexe A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w:t>
      </w:r>
      <w:r w:rsidRPr="00426CC5">
        <w:rPr>
          <w:rStyle w:val="CRRefonteDeleted"/>
          <w:noProof/>
          <w:highlight w:val="lightGray"/>
        </w:rPr>
        <w:t>suivant les annexes nationales</w:t>
      </w:r>
      <w:r w:rsidRPr="00426CC5">
        <w:rPr>
          <w:noProof/>
        </w:rPr>
        <w:t xml:space="preserve"> des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principales normes européennes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w:t>
      </w:r>
      <w:r w:rsidRPr="00426CC5">
        <w:rPr>
          <w:rStyle w:val="CRDeleted"/>
          <w:noProof/>
        </w:rPr>
        <w:t>normes générales</w:t>
      </w:r>
      <w:r w:rsidRPr="00426CC5">
        <w:rPr>
          <w:noProof/>
        </w:rPr>
        <w:t xml:space="preserve">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sur la performance énergétique des bâtiments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à savoir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EN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ISO</w:t>
      </w:r>
      <w:r w:rsidRPr="00426CC5">
        <w:rPr>
          <w:rStyle w:val="CRMinorChangeDeleted"/>
          <w:noProof/>
        </w:rPr>
        <w:t>/</w:t>
      </w:r>
      <w:r w:rsidRPr="00426CC5">
        <w:rPr>
          <w:noProof/>
        </w:rPr>
        <w:t xml:space="preserve"> 52000-1,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EN ISO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52003-1,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EN ISO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52010-1,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EN ISO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52016-1,</w:t>
      </w:r>
      <w:r w:rsidRPr="00426CC5">
        <w:rPr>
          <w:rStyle w:val="CRDeleted"/>
          <w:noProof/>
        </w:rPr>
        <w:t>et</w:t>
      </w:r>
      <w:r w:rsidRPr="00426CC5">
        <w:rPr>
          <w:noProof/>
        </w:rPr>
        <w:t xml:space="preserve">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EN ISO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52018-1,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EN 16798-1 et EN 17423 ou les documents qui les remplacent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w:t>
      </w:r>
      <w:r w:rsidRPr="00426CC5">
        <w:rPr>
          <w:rStyle w:val="CRRefonteDeleted"/>
          <w:noProof/>
          <w:highlight w:val="lightGray"/>
        </w:rPr>
        <w:t>élaborées par le Comité européen de normalisation (CEN) dans le cadre du mandat M/480</w:t>
      </w:r>
      <w:r w:rsidRPr="00426CC5">
        <w:rPr>
          <w:noProof/>
        </w:rPr>
        <w:t>.  La présente disposition ne constitue pas une codification légale de ces normes.</w:t>
      </w:r>
    </w:p>
    <w:p w14:paraId="6B3C1B9C" w14:textId="77777777" w:rsidR="000448D2" w:rsidRPr="00426CC5" w:rsidRDefault="000448D2" w:rsidP="009567AF">
      <w:pPr>
        <w:pStyle w:val="CRSeparator"/>
        <w:rPr>
          <w:noProof/>
        </w:rPr>
      </w:pPr>
    </w:p>
    <w:p w14:paraId="6B3C1B9D"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xml:space="preserve"> nouveau</w:t>
      </w:r>
    </w:p>
    <w:p w14:paraId="6B3C1B9E" w14:textId="77777777" w:rsidR="000448D2" w:rsidRPr="00426CC5" w:rsidRDefault="000448D2">
      <w:pPr>
        <w:rPr>
          <w:noProof/>
        </w:rPr>
      </w:pPr>
      <w:r w:rsidRPr="00426CC5">
        <w:rPr>
          <w:noProof/>
          <w:highlight w:val="lightGray"/>
        </w:rPr>
        <w:t>Les États membres prennent les mesures nécessaires pour que, lorsque les bâtiments sont alimentés par des systèmes de chauffage ou de refroidissement urbains, les avantages de cette fourniture soient reconnus et pris en compte dans la méthode de calcul au moyen de facteurs d’énergie primaire certifiés ou reconnus individuellement.</w:t>
      </w:r>
    </w:p>
    <w:p w14:paraId="6B3C1B9F" w14:textId="77777777" w:rsidR="000448D2" w:rsidRPr="00426CC5" w:rsidRDefault="000448D2">
      <w:pPr>
        <w:pStyle w:val="CRSeparator"/>
        <w:rPr>
          <w:noProof/>
        </w:rPr>
      </w:pPr>
    </w:p>
    <w:p w14:paraId="6B3C1BA0"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1 b) (adapté)</w:t>
      </w:r>
    </w:p>
    <w:p w14:paraId="6B3C1BA1"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nouveau</w:t>
      </w:r>
    </w:p>
    <w:p w14:paraId="6B3C1BA2" w14:textId="77777777" w:rsidR="000448D2" w:rsidRPr="00426CC5" w:rsidRDefault="000448D2">
      <w:pPr>
        <w:rPr>
          <w:noProof/>
        </w:rPr>
      </w:pPr>
      <w:r w:rsidRPr="00426CC5">
        <w:rPr>
          <w:noProof/>
        </w:rPr>
        <w:t>2.</w:t>
      </w:r>
      <w:r w:rsidRPr="00426CC5">
        <w:rPr>
          <w:noProof/>
        </w:rPr>
        <w:tab/>
        <w:t xml:space="preserve">Les besoins en énergie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et la consommation d’énergie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liés au chauffage des locaux, au refroidissement des locaux, à la production d’eau chaude sanitaire, à la ventilation, à l’éclairage et à d’autres systèmes techniques de bâtiment sont calculés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avec des intervalles inférieurs ou égaux à une heure afin de tenir compte des conditions variables qui ont une incidence substantielle non négligeable sur le fonctionnement et la performance du système et sur le climat intérieur et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rStyle w:val="CRDeleted"/>
          <w:noProof/>
        </w:rPr>
        <w:t>de manière</w:t>
      </w:r>
      <w:r w:rsidRPr="00426CC5">
        <w:rPr>
          <w:noProof/>
        </w:rPr>
        <w:t xml:space="preserve"> d’optimiser les niveaux de santé, de qualité de l’air intérieur et de confort définis par les États membres au niveau national ou régional.</w:t>
      </w:r>
    </w:p>
    <w:p w14:paraId="6B3C1BA3" w14:textId="77777777" w:rsidR="000448D2" w:rsidRPr="00426CC5" w:rsidRDefault="000448D2" w:rsidP="009567AF">
      <w:pPr>
        <w:pStyle w:val="CRSeparator"/>
        <w:rPr>
          <w:noProof/>
        </w:rPr>
      </w:pPr>
    </w:p>
    <w:p w14:paraId="6B3C1BA4" w14:textId="77777777" w:rsidR="000448D2" w:rsidRPr="00426CC5" w:rsidRDefault="000448D2" w:rsidP="00B67872">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xml:space="preserve"> nouveau</w:t>
      </w:r>
    </w:p>
    <w:p w14:paraId="6B3C1BA5" w14:textId="77777777" w:rsidR="000448D2" w:rsidRPr="00426CC5" w:rsidRDefault="000448D2">
      <w:pPr>
        <w:rPr>
          <w:noProof/>
        </w:rPr>
      </w:pPr>
      <w:r w:rsidRPr="00426CC5">
        <w:rPr>
          <w:noProof/>
          <w:highlight w:val="lightGray"/>
        </w:rPr>
        <w:t>Lorsque les règles spécifiques aux produits liés à l’énergie adoptés en vertu de la directive 2009/125/CE prévoient des exigences spécifiques en matière d’informations sur le produit aux fins du calcul de la performance énergétique au titre de la présente directive, les méthodes de calcul nationales n’exigent pas d’informations supplémentaires.</w:t>
      </w:r>
    </w:p>
    <w:p w14:paraId="6B3C1BA6" w14:textId="77777777" w:rsidR="000448D2" w:rsidRPr="00426CC5" w:rsidRDefault="000448D2" w:rsidP="009567AF">
      <w:pPr>
        <w:pStyle w:val="CRSeparator"/>
        <w:rPr>
          <w:noProof/>
        </w:rPr>
      </w:pPr>
    </w:p>
    <w:p w14:paraId="6B3C1BA7"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1 b) (adapté)</w:t>
      </w:r>
    </w:p>
    <w:p w14:paraId="6B3C1BA8"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nouveau</w:t>
      </w:r>
    </w:p>
    <w:p w14:paraId="6B3C1BA9" w14:textId="2CCBFF3A" w:rsidR="000448D2" w:rsidRPr="00426CC5" w:rsidRDefault="000448D2">
      <w:pPr>
        <w:rPr>
          <w:noProof/>
          <w:highlight w:val="lightGray"/>
        </w:rPr>
      </w:pPr>
      <w:r w:rsidRPr="00426CC5">
        <w:rPr>
          <w:noProof/>
        </w:rPr>
        <w:t>L’énergie primaire est calculée sur la base de facteurs d’énergie primaire</w:t>
      </w:r>
      <w:r w:rsidR="00C67698" w:rsidRPr="00FC6DE8">
        <w:rPr>
          <w:noProof/>
          <w:highlight w:val="lightGray"/>
        </w:rPr>
        <w:fldChar w:fldCharType="begin" w:fldLock="1"/>
      </w:r>
      <w:r w:rsidR="00C67698" w:rsidRPr="00FC6DE8">
        <w:rPr>
          <w:noProof/>
          <w:highlight w:val="lightGray"/>
        </w:rPr>
        <w:instrText xml:space="preserve"> QUOTE "</w:instrText>
      </w:r>
      <w:r w:rsidR="00C67698" w:rsidRPr="00FC6DE8">
        <w:rPr>
          <w:rStyle w:val="CRMarker"/>
          <w:noProof/>
          <w:highlight w:val="lightGray"/>
        </w:rPr>
        <w:instrText>ð</w:instrText>
      </w:r>
      <w:r w:rsidR="00C67698" w:rsidRPr="00FC6DE8">
        <w:rPr>
          <w:noProof/>
          <w:highlight w:val="lightGray"/>
        </w:rPr>
        <w:instrText xml:space="preserve">" </w:instrText>
      </w:r>
      <w:r w:rsidR="00C67698" w:rsidRPr="00FC6DE8">
        <w:rPr>
          <w:noProof/>
          <w:highlight w:val="lightGray"/>
        </w:rPr>
        <w:fldChar w:fldCharType="separate"/>
      </w:r>
      <w:r w:rsidR="00C67698" w:rsidRPr="00FC6DE8">
        <w:rPr>
          <w:rStyle w:val="CRMarker"/>
          <w:noProof/>
          <w:highlight w:val="lightGray"/>
        </w:rPr>
        <w:t>ð</w:t>
      </w:r>
      <w:r w:rsidR="00C67698" w:rsidRPr="00FC6DE8">
        <w:rPr>
          <w:noProof/>
          <w:highlight w:val="lightGray"/>
        </w:rPr>
        <w:fldChar w:fldCharType="end"/>
      </w:r>
      <w:r w:rsidR="00FC6DE8">
        <w:rPr>
          <w:noProof/>
          <w:highlight w:val="lightGray"/>
        </w:rPr>
        <w:t> </w:t>
      </w:r>
      <w:r w:rsidRPr="00426CC5">
        <w:rPr>
          <w:noProof/>
          <w:highlight w:val="lightGray"/>
        </w:rPr>
        <w:t>(en établissant une distinction entre énergie renouvelable, non renouvelable et totale)</w:t>
      </w:r>
      <w:r w:rsidR="00C67698" w:rsidRPr="006760B7">
        <w:rPr>
          <w:noProof/>
          <w:highlight w:val="lightGray"/>
        </w:rPr>
        <w:t> </w:t>
      </w:r>
      <w:r w:rsidR="00C67698" w:rsidRPr="006760B7">
        <w:rPr>
          <w:noProof/>
          <w:highlight w:val="lightGray"/>
        </w:rPr>
        <w:fldChar w:fldCharType="begin" w:fldLock="1"/>
      </w:r>
      <w:r w:rsidR="00C67698" w:rsidRPr="006760B7">
        <w:rPr>
          <w:noProof/>
          <w:highlight w:val="lightGray"/>
        </w:rPr>
        <w:instrText xml:space="preserve"> QUOTE "</w:instrText>
      </w:r>
      <w:r w:rsidR="00C67698" w:rsidRPr="006760B7">
        <w:rPr>
          <w:rStyle w:val="CRMarker"/>
          <w:noProof/>
          <w:highlight w:val="lightGray"/>
        </w:rPr>
        <w:instrText>ï</w:instrText>
      </w:r>
      <w:r w:rsidR="00C67698" w:rsidRPr="006760B7">
        <w:rPr>
          <w:noProof/>
          <w:highlight w:val="lightGray"/>
        </w:rPr>
        <w:instrText xml:space="preserve">" </w:instrText>
      </w:r>
      <w:r w:rsidR="00C67698" w:rsidRPr="006760B7">
        <w:rPr>
          <w:noProof/>
          <w:highlight w:val="lightGray"/>
        </w:rPr>
        <w:fldChar w:fldCharType="separate"/>
      </w:r>
      <w:r w:rsidR="00C67698" w:rsidRPr="006760B7">
        <w:rPr>
          <w:rStyle w:val="CRMarker"/>
          <w:noProof/>
          <w:highlight w:val="lightGray"/>
        </w:rPr>
        <w:t>ï</w:t>
      </w:r>
      <w:r w:rsidR="00C67698" w:rsidRPr="006760B7">
        <w:rPr>
          <w:noProof/>
          <w:highlight w:val="lightGray"/>
        </w:rPr>
        <w:fldChar w:fldCharType="end"/>
      </w:r>
      <w:r w:rsidRPr="00426CC5">
        <w:rPr>
          <w:rStyle w:val="CRRefonteDeleted"/>
          <w:noProof/>
          <w:highlight w:val="lightGray"/>
        </w:rPr>
        <w:t>ou de facteurs de pondération associés à chaque transporteur d’énergie</w:t>
      </w:r>
      <w:r w:rsidRPr="00426CC5">
        <w:rPr>
          <w:noProof/>
        </w:rPr>
        <w:t xml:space="preserve">, associés à chaque </w:t>
      </w:r>
      <w:r w:rsidRPr="00FC6DE8">
        <w:rPr>
          <w:noProof/>
          <w:highlight w:val="lightGray"/>
        </w:rPr>
        <w:fldChar w:fldCharType="begin" w:fldLock="1"/>
      </w:r>
      <w:r w:rsidRPr="00FC6DE8">
        <w:rPr>
          <w:noProof/>
          <w:highlight w:val="lightGray"/>
        </w:rPr>
        <w:instrText xml:space="preserve"> QUOTE "ð" </w:instrText>
      </w:r>
      <w:r w:rsidRPr="00FC6DE8">
        <w:rPr>
          <w:noProof/>
          <w:highlight w:val="lightGray"/>
        </w:rPr>
        <w:fldChar w:fldCharType="separate"/>
      </w:r>
      <w:r w:rsidRPr="00FC6DE8">
        <w:rPr>
          <w:rStyle w:val="CRMarker"/>
          <w:noProof/>
          <w:highlight w:val="lightGray"/>
        </w:rPr>
        <w:t>ð</w:t>
      </w:r>
      <w:r w:rsidRPr="00FC6DE8">
        <w:rPr>
          <w:noProof/>
          <w:highlight w:val="lightGray"/>
        </w:rPr>
        <w:fldChar w:fldCharType="end"/>
      </w:r>
      <w:r w:rsidRPr="00426CC5">
        <w:rPr>
          <w:noProof/>
          <w:highlight w:val="lightGray"/>
        </w:rPr>
        <w:t> vecteur énergétique, qui doivent être reconnus par les autorités nationales. Ces facteurs d’énergie primaire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peuvent être fondés sur des </w:t>
      </w:r>
      <w:r w:rsidRPr="00FC6DE8">
        <w:rPr>
          <w:noProof/>
          <w:highlight w:val="lightGray"/>
        </w:rPr>
        <w:fldChar w:fldCharType="begin" w:fldLock="1"/>
      </w:r>
      <w:r w:rsidRPr="00FC6DE8">
        <w:rPr>
          <w:noProof/>
          <w:highlight w:val="lightGray"/>
        </w:rPr>
        <w:instrText xml:space="preserve"> QUOTE "ð" </w:instrText>
      </w:r>
      <w:r w:rsidRPr="00FC6DE8">
        <w:rPr>
          <w:noProof/>
          <w:highlight w:val="lightGray"/>
        </w:rPr>
        <w:fldChar w:fldCharType="separate"/>
      </w:r>
      <w:r w:rsidRPr="00FC6DE8">
        <w:rPr>
          <w:rStyle w:val="CRMarker"/>
          <w:noProof/>
          <w:highlight w:val="lightGray"/>
        </w:rPr>
        <w:t>ð</w:t>
      </w:r>
      <w:r w:rsidRPr="00FC6DE8">
        <w:rPr>
          <w:noProof/>
          <w:highlight w:val="lightGray"/>
        </w:rPr>
        <w:fldChar w:fldCharType="end"/>
      </w:r>
      <w:r w:rsidRPr="00426CC5">
        <w:rPr>
          <w:noProof/>
          <w:highlight w:val="lightGray"/>
        </w:rPr>
        <w:t> </w:t>
      </w:r>
      <w:r w:rsidRPr="00C67698">
        <w:rPr>
          <w:noProof/>
          <w:highlight w:val="lightGray"/>
        </w:rPr>
        <w:t>informations</w:t>
      </w:r>
      <w:r w:rsidR="00FC6DE8" w:rsidRPr="00426CC5">
        <w:rPr>
          <w:noProof/>
          <w:highlight w:val="lightGray"/>
        </w:rPr>
        <w:t> </w:t>
      </w:r>
      <w:r w:rsidR="00FC6DE8" w:rsidRPr="00426CC5">
        <w:rPr>
          <w:noProof/>
          <w:highlight w:val="lightGray"/>
        </w:rPr>
        <w:fldChar w:fldCharType="begin" w:fldLock="1"/>
      </w:r>
      <w:r w:rsidR="00FC6DE8" w:rsidRPr="00426CC5">
        <w:rPr>
          <w:noProof/>
          <w:highlight w:val="lightGray"/>
        </w:rPr>
        <w:instrText xml:space="preserve"> QUOTE "ï" </w:instrText>
      </w:r>
      <w:r w:rsidR="00FC6DE8" w:rsidRPr="00426CC5">
        <w:rPr>
          <w:noProof/>
          <w:highlight w:val="lightGray"/>
        </w:rPr>
        <w:fldChar w:fldCharType="separate"/>
      </w:r>
      <w:r w:rsidR="00FC6DE8" w:rsidRPr="00426CC5">
        <w:rPr>
          <w:rStyle w:val="CRMarker"/>
          <w:noProof/>
          <w:highlight w:val="lightGray"/>
        </w:rPr>
        <w:t>ï</w:t>
      </w:r>
      <w:r w:rsidR="00FC6DE8" w:rsidRPr="00426CC5">
        <w:rPr>
          <w:noProof/>
          <w:highlight w:val="lightGray"/>
        </w:rPr>
        <w:fldChar w:fldCharType="end"/>
      </w:r>
      <w:r w:rsidRPr="00C67698">
        <w:rPr>
          <w:noProof/>
          <w:highlight w:val="lightGray"/>
        </w:rPr>
        <w:t> </w:t>
      </w:r>
      <w:r w:rsidRPr="00FC6DE8">
        <w:rPr>
          <w:noProof/>
        </w:rPr>
        <w:t>nationales, régionales ou locales</w:t>
      </w:r>
      <w:r w:rsidR="00FC6DE8" w:rsidRPr="00FC6DE8">
        <w:rPr>
          <w:noProof/>
        </w:rPr>
        <w:t>.</w:t>
      </w:r>
      <w:r w:rsidR="00FC6DE8">
        <w:rPr>
          <w:noProof/>
          <w:highlight w:val="lightGray"/>
        </w:rPr>
        <w:t xml:space="preserve"> </w:t>
      </w:r>
      <w:r w:rsidR="00FC6DE8" w:rsidRPr="00FC6DE8">
        <w:rPr>
          <w:noProof/>
          <w:highlight w:val="lightGray"/>
        </w:rPr>
        <w:fldChar w:fldCharType="begin" w:fldLock="1"/>
      </w:r>
      <w:r w:rsidR="00FC6DE8" w:rsidRPr="00FC6DE8">
        <w:rPr>
          <w:noProof/>
          <w:highlight w:val="lightGray"/>
        </w:rPr>
        <w:instrText xml:space="preserve"> QUOTE "ð" </w:instrText>
      </w:r>
      <w:r w:rsidR="00FC6DE8" w:rsidRPr="00FC6DE8">
        <w:rPr>
          <w:noProof/>
          <w:highlight w:val="lightGray"/>
        </w:rPr>
        <w:fldChar w:fldCharType="separate"/>
      </w:r>
      <w:r w:rsidR="00FC6DE8" w:rsidRPr="00FC6DE8">
        <w:rPr>
          <w:rStyle w:val="CRMarker"/>
          <w:noProof/>
          <w:highlight w:val="lightGray"/>
        </w:rPr>
        <w:t>ð</w:t>
      </w:r>
      <w:r w:rsidR="00FC6DE8" w:rsidRPr="00FC6DE8">
        <w:rPr>
          <w:noProof/>
          <w:highlight w:val="lightGray"/>
        </w:rPr>
        <w:fldChar w:fldCharType="end"/>
      </w:r>
      <w:r w:rsidR="00FC6DE8" w:rsidRPr="00426CC5">
        <w:rPr>
          <w:noProof/>
          <w:highlight w:val="lightGray"/>
        </w:rPr>
        <w:t> </w:t>
      </w:r>
      <w:r w:rsidRPr="00426CC5">
        <w:rPr>
          <w:noProof/>
          <w:highlight w:val="lightGray"/>
        </w:rPr>
        <w:t>Les facteurs d’énergie primaire peuvent être fixés sur une base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w:t>
      </w:r>
      <w:r w:rsidRPr="00426CC5">
        <w:rPr>
          <w:rStyle w:val="CRRefonteDeleted"/>
          <w:noProof/>
          <w:highlight w:val="lightGray"/>
        </w:rPr>
        <w:t>qui peuvent être fondés sur des moyennes</w:t>
      </w:r>
      <w:r w:rsidRPr="00426CC5">
        <w:rPr>
          <w:noProof/>
        </w:rPr>
        <w:t xml:space="preserve"> annuelle, </w:t>
      </w:r>
      <w:r w:rsidRPr="00426CC5">
        <w:rPr>
          <w:rStyle w:val="CRDeleted"/>
          <w:noProof/>
        </w:rPr>
        <w:t>et éventuellement aussi</w:t>
      </w:r>
      <w:r w:rsidRPr="00426CC5">
        <w:rPr>
          <w:noProof/>
        </w:rPr>
        <w:t xml:space="preserve"> saisonnière</w:t>
      </w:r>
      <w:r w:rsidRPr="00426CC5">
        <w:rPr>
          <w:rStyle w:val="CRMinorChangeAdded"/>
          <w:noProof/>
        </w:rPr>
        <w:t>,</w:t>
      </w:r>
      <w:r w:rsidRPr="00426CC5">
        <w:rPr>
          <w:noProof/>
        </w:rPr>
        <w:t xml:space="preserve"> </w:t>
      </w:r>
      <w:r w:rsidRPr="00426CC5">
        <w:rPr>
          <w:rStyle w:val="CRDeleted"/>
          <w:noProof/>
        </w:rPr>
        <w:t>ou</w:t>
      </w:r>
      <w:r w:rsidRPr="00426CC5">
        <w:rPr>
          <w:noProof/>
        </w:rPr>
        <w:t xml:space="preserve"> mensuelle, </w:t>
      </w:r>
      <w:r w:rsidRPr="00FC6DE8">
        <w:rPr>
          <w:noProof/>
          <w:highlight w:val="lightGray"/>
        </w:rPr>
        <w:fldChar w:fldCharType="begin" w:fldLock="1"/>
      </w:r>
      <w:r w:rsidRPr="00FC6DE8">
        <w:rPr>
          <w:noProof/>
          <w:highlight w:val="lightGray"/>
        </w:rPr>
        <w:instrText xml:space="preserve"> QUOTE "ð" </w:instrText>
      </w:r>
      <w:r w:rsidRPr="00FC6DE8">
        <w:rPr>
          <w:noProof/>
          <w:highlight w:val="lightGray"/>
        </w:rPr>
        <w:fldChar w:fldCharType="separate"/>
      </w:r>
      <w:r w:rsidRPr="00FC6DE8">
        <w:rPr>
          <w:rStyle w:val="CRMarker"/>
          <w:noProof/>
          <w:highlight w:val="lightGray"/>
        </w:rPr>
        <w:t>ð</w:t>
      </w:r>
      <w:r w:rsidRPr="00FC6DE8">
        <w:rPr>
          <w:noProof/>
          <w:highlight w:val="lightGray"/>
        </w:rPr>
        <w:fldChar w:fldCharType="end"/>
      </w:r>
      <w:r w:rsidRPr="00426CC5">
        <w:rPr>
          <w:noProof/>
          <w:highlight w:val="lightGray"/>
        </w:rPr>
        <w:t> quotidienne ou horaire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rStyle w:val="CRRefonteDeleted"/>
          <w:noProof/>
          <w:highlight w:val="lightGray"/>
        </w:rPr>
        <w:t>pondérées</w:t>
      </w:r>
      <w:r w:rsidRPr="00426CC5">
        <w:rPr>
          <w:noProof/>
        </w:rPr>
        <w:t xml:space="preserve"> ou sur des données plus spécifiques communiquées pour </w:t>
      </w:r>
      <w:r w:rsidRPr="00426CC5">
        <w:rPr>
          <w:rStyle w:val="CRDeleted"/>
          <w:noProof/>
        </w:rPr>
        <w:t>les</w:t>
      </w:r>
      <w:r w:rsidRPr="00426CC5">
        <w:rPr>
          <w:noProof/>
        </w:rPr>
        <w:t xml:space="preserve">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chaque système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urbain</w:t>
      </w:r>
      <w:r w:rsidRPr="00426CC5">
        <w:rPr>
          <w:rStyle w:val="CRMinorChangeDeleted"/>
          <w:noProof/>
        </w:rPr>
        <w:t>isolés</w:t>
      </w:r>
      <w:r w:rsidRPr="00426CC5">
        <w:rPr>
          <w:noProof/>
        </w:rPr>
        <w:t>. |</w:t>
      </w:r>
    </w:p>
    <w:p w14:paraId="6B3C1BAA" w14:textId="77777777" w:rsidR="000448D2" w:rsidRPr="00426CC5" w:rsidRDefault="000448D2">
      <w:pPr>
        <w:rPr>
          <w:noProof/>
        </w:rPr>
      </w:pPr>
      <w:r w:rsidRPr="00426CC5">
        <w:rPr>
          <w:noProof/>
        </w:rPr>
        <w:t xml:space="preserve">Les facteurs d’énergie primaire ou les facteurs de pondération sont définis par les États membres. </w:t>
      </w:r>
      <w:r w:rsidRPr="00FC6DE8">
        <w:rPr>
          <w:noProof/>
          <w:highlight w:val="lightGray"/>
        </w:rPr>
        <w:fldChar w:fldCharType="begin" w:fldLock="1"/>
      </w:r>
      <w:r w:rsidRPr="00FC6DE8">
        <w:rPr>
          <w:noProof/>
          <w:highlight w:val="lightGray"/>
        </w:rPr>
        <w:instrText xml:space="preserve"> QUOTE "ð" </w:instrText>
      </w:r>
      <w:r w:rsidRPr="00FC6DE8">
        <w:rPr>
          <w:noProof/>
          <w:highlight w:val="lightGray"/>
        </w:rPr>
        <w:fldChar w:fldCharType="separate"/>
      </w:r>
      <w:r w:rsidRPr="00FC6DE8">
        <w:rPr>
          <w:rStyle w:val="CRMarker"/>
          <w:noProof/>
          <w:highlight w:val="lightGray"/>
        </w:rPr>
        <w:t>ð</w:t>
      </w:r>
      <w:r w:rsidRPr="00FC6DE8">
        <w:rPr>
          <w:noProof/>
          <w:highlight w:val="lightGray"/>
        </w:rPr>
        <w:fldChar w:fldCharType="end"/>
      </w:r>
      <w:r w:rsidRPr="00426CC5">
        <w:rPr>
          <w:noProof/>
          <w:highlight w:val="lightGray"/>
        </w:rPr>
        <w:t> Les choix effectués et les sources de données sont communiqués conformément à la norme EN 17423 ou à tout document la remplaçant. Les États membres peuvent opter pour un facteur moyen d’énergie primaire de l’UE pour l’électricité établi conformément à la directive (UE).../... [refonte de la DEE] au lieu d’un facteur d’énergie primaire reflétant le bouquet électrique du pays.</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w:t>
      </w:r>
    </w:p>
    <w:p w14:paraId="6B3C1BAB" w14:textId="77777777" w:rsidR="000448D2" w:rsidRPr="00426CC5" w:rsidRDefault="000448D2">
      <w:pPr>
        <w:rPr>
          <w:rStyle w:val="CRRefonteDeleted"/>
          <w:noProof/>
          <w:highlight w:val="lightGray"/>
        </w:rPr>
      </w:pPr>
      <w:r w:rsidRPr="00426CC5">
        <w:rPr>
          <w:rStyle w:val="CRRefonteDeleted"/>
          <w:noProof/>
          <w:highlight w:val="lightGray"/>
        </w:rPr>
        <w:t>Lors de l’application de ces facteurs pour le calcul de la performance énergétique, les États membres veillent à ce que la performance énergétique optimale de l’enveloppe du bâtiment soit recherchée.</w:t>
      </w:r>
    </w:p>
    <w:p w14:paraId="6B3C1BAC" w14:textId="77777777" w:rsidR="000448D2" w:rsidRPr="00426CC5" w:rsidRDefault="000448D2">
      <w:pPr>
        <w:rPr>
          <w:rStyle w:val="CRRefonteDeleted"/>
          <w:noProof/>
          <w:highlight w:val="lightGray"/>
        </w:rPr>
      </w:pPr>
      <w:r w:rsidRPr="00426CC5">
        <w:rPr>
          <w:rStyle w:val="CRRefonteDeleted"/>
          <w:noProof/>
          <w:highlight w:val="lightGray"/>
        </w:rPr>
        <w:t>Dans le calcul des facteurs d’énergie primaire aux fins du calcul de la performance énergétique des bâtiments, les États membres peuvent tenir compte des sources d’énergie renouvelables fournies via le vecteur d’énergie ainsi que des sources d’énergie renouvelables générées et utilisées sur place, à condition que cela s’applique de façon non discriminatoire.</w:t>
      </w:r>
    </w:p>
    <w:p w14:paraId="6B3C1BAD" w14:textId="77777777" w:rsidR="000448D2" w:rsidRPr="00426CC5" w:rsidRDefault="000448D2">
      <w:pPr>
        <w:pStyle w:val="CRSeparator"/>
        <w:rPr>
          <w:noProof/>
        </w:rPr>
      </w:pPr>
    </w:p>
    <w:p w14:paraId="6B3C1BAE"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1 c) (adapté)</w:t>
      </w:r>
    </w:p>
    <w:p w14:paraId="6B3C1BAF" w14:textId="77777777" w:rsidR="000448D2" w:rsidRPr="00426CC5" w:rsidRDefault="000448D2" w:rsidP="00B67872">
      <w:pPr>
        <w:pStyle w:val="CRReference"/>
        <w:rPr>
          <w:rStyle w:val="CRMinorChangeAdded"/>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xml:space="preserve"> nouveau</w:t>
      </w:r>
    </w:p>
    <w:p w14:paraId="6B3C1BB0" w14:textId="77777777" w:rsidR="000448D2" w:rsidRPr="00426CC5" w:rsidRDefault="000448D2">
      <w:pPr>
        <w:rPr>
          <w:noProof/>
        </w:rPr>
      </w:pPr>
      <w:r w:rsidRPr="00426CC5">
        <w:rPr>
          <w:rStyle w:val="CRMinorChangeAdded"/>
          <w:noProof/>
        </w:rPr>
        <w:t>3</w:t>
      </w:r>
      <w:r w:rsidRPr="00426CC5">
        <w:rPr>
          <w:rStyle w:val="CRMinorChangeDeleted"/>
          <w:noProof/>
        </w:rPr>
        <w:t>2bis</w:t>
      </w:r>
      <w:r w:rsidRPr="00426CC5">
        <w:rPr>
          <w:noProof/>
        </w:rPr>
        <w:t>.</w:t>
      </w:r>
      <w:r w:rsidRPr="00426CC5">
        <w:rPr>
          <w:noProof/>
        </w:rPr>
        <w:tab/>
        <w:t>Pour exprimer la performance énergétique d’un bâtiment, les États membres peuvent définir des indicateurs numériques supplémentaires de consommation  d’énergie primaire, totale, non renouvelable et renouvelable, ainsi que d’</w:t>
      </w:r>
      <w:r w:rsidRPr="00426CC5">
        <w:rPr>
          <w:rStyle w:val="CRDeleted"/>
          <w:noProof/>
        </w:rPr>
        <w:t>émissions</w:t>
      </w:r>
      <w:r w:rsidRPr="00426CC5">
        <w:rPr>
          <w:noProof/>
        </w:rPr>
        <w:t xml:space="preserve">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émissions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opérationnelles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de gaz à effet de serre produit en kg eq. CO</w:t>
      </w:r>
      <w:r w:rsidRPr="00426CC5">
        <w:rPr>
          <w:noProof/>
          <w:vertAlign w:val="subscript"/>
        </w:rPr>
        <w:t>2</w:t>
      </w:r>
      <w:r w:rsidRPr="00426CC5">
        <w:rPr>
          <w:noProof/>
        </w:rPr>
        <w:t>/(m</w:t>
      </w:r>
      <w:r w:rsidRPr="00426CC5">
        <w:rPr>
          <w:noProof/>
          <w:vertAlign w:val="superscript"/>
        </w:rPr>
        <w:t>2</w:t>
      </w:r>
      <w:r w:rsidRPr="00426CC5">
        <w:rPr>
          <w:noProof/>
        </w:rPr>
        <w:t>.an).</w:t>
      </w:r>
    </w:p>
    <w:p w14:paraId="6B3C1BB1" w14:textId="77777777" w:rsidR="000448D2" w:rsidRPr="00426CC5" w:rsidRDefault="000448D2">
      <w:pPr>
        <w:pStyle w:val="CRSeparator"/>
        <w:rPr>
          <w:noProof/>
        </w:rPr>
      </w:pPr>
    </w:p>
    <w:p w14:paraId="6B3C1BB2"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 (adapté)</w:t>
      </w:r>
    </w:p>
    <w:p w14:paraId="6B3C1BB3" w14:textId="77777777" w:rsidR="000448D2" w:rsidRPr="00426CC5" w:rsidRDefault="000448D2">
      <w:pPr>
        <w:rPr>
          <w:noProof/>
        </w:rPr>
      </w:pPr>
      <w:r w:rsidRPr="00426CC5">
        <w:rPr>
          <w:rStyle w:val="CRMinorChangeAdded"/>
          <w:noProof/>
        </w:rPr>
        <w:t>4</w:t>
      </w:r>
      <w:r w:rsidRPr="00426CC5">
        <w:rPr>
          <w:rStyle w:val="CRMinorChangeDeleted"/>
          <w:noProof/>
        </w:rPr>
        <w:t>3</w:t>
      </w:r>
      <w:r w:rsidRPr="00426CC5">
        <w:rPr>
          <w:noProof/>
        </w:rPr>
        <w:t>.</w:t>
      </w:r>
      <w:r w:rsidRPr="00426CC5">
        <w:rPr>
          <w:noProof/>
        </w:rPr>
        <w:tab/>
        <w:t>La méthode de calcul est déterminée en tenant compte au minimum des éléments suivants:</w:t>
      </w:r>
    </w:p>
    <w:p w14:paraId="6B3C1BB4" w14:textId="77777777" w:rsidR="000448D2" w:rsidRPr="00426CC5" w:rsidRDefault="000448D2">
      <w:pPr>
        <w:pStyle w:val="Point0"/>
        <w:rPr>
          <w:noProof/>
        </w:rPr>
      </w:pPr>
      <w:r w:rsidRPr="00426CC5">
        <w:rPr>
          <w:noProof/>
        </w:rPr>
        <w:tab/>
        <w:t>a)</w:t>
      </w:r>
      <w:r w:rsidRPr="00426CC5">
        <w:rPr>
          <w:noProof/>
        </w:rPr>
        <w:tab/>
        <w:t>les caractéristiques thermiques réelles suivantes du bâtiment, y compris ses subdivisions internes:</w:t>
      </w:r>
    </w:p>
    <w:p w14:paraId="6B3C1BB5" w14:textId="77777777" w:rsidR="000448D2" w:rsidRPr="00426CC5" w:rsidRDefault="000448D2">
      <w:pPr>
        <w:pStyle w:val="Point1"/>
        <w:rPr>
          <w:noProof/>
        </w:rPr>
      </w:pPr>
      <w:r w:rsidRPr="00426CC5">
        <w:rPr>
          <w:noProof/>
        </w:rPr>
        <w:tab/>
        <w:t>i)</w:t>
      </w:r>
      <w:r w:rsidRPr="00426CC5">
        <w:rPr>
          <w:noProof/>
        </w:rPr>
        <w:tab/>
        <w:t>capacité thermique;</w:t>
      </w:r>
    </w:p>
    <w:p w14:paraId="6B3C1BB6" w14:textId="77777777" w:rsidR="000448D2" w:rsidRPr="00426CC5" w:rsidRDefault="000448D2">
      <w:pPr>
        <w:pStyle w:val="Point1"/>
        <w:rPr>
          <w:noProof/>
        </w:rPr>
      </w:pPr>
      <w:r w:rsidRPr="00426CC5">
        <w:rPr>
          <w:noProof/>
        </w:rPr>
        <w:tab/>
        <w:t>ii)</w:t>
      </w:r>
      <w:r w:rsidRPr="00426CC5">
        <w:rPr>
          <w:noProof/>
        </w:rPr>
        <w:tab/>
        <w:t>isolation;</w:t>
      </w:r>
    </w:p>
    <w:p w14:paraId="6B3C1BB7" w14:textId="77777777" w:rsidR="000448D2" w:rsidRPr="00426CC5" w:rsidRDefault="000448D2">
      <w:pPr>
        <w:pStyle w:val="Point1"/>
        <w:rPr>
          <w:noProof/>
        </w:rPr>
      </w:pPr>
      <w:r w:rsidRPr="00426CC5">
        <w:rPr>
          <w:noProof/>
        </w:rPr>
        <w:tab/>
        <w:t>iii)</w:t>
      </w:r>
      <w:r w:rsidRPr="00426CC5">
        <w:rPr>
          <w:noProof/>
        </w:rPr>
        <w:tab/>
        <w:t>chauffage passif;</w:t>
      </w:r>
    </w:p>
    <w:p w14:paraId="6B3C1BB8" w14:textId="77777777" w:rsidR="000448D2" w:rsidRPr="00426CC5" w:rsidRDefault="000448D2">
      <w:pPr>
        <w:pStyle w:val="Point1"/>
        <w:rPr>
          <w:noProof/>
        </w:rPr>
      </w:pPr>
      <w:r w:rsidRPr="00426CC5">
        <w:rPr>
          <w:noProof/>
        </w:rPr>
        <w:tab/>
        <w:t>iv)</w:t>
      </w:r>
      <w:r w:rsidRPr="00426CC5">
        <w:rPr>
          <w:noProof/>
        </w:rPr>
        <w:tab/>
        <w:t xml:space="preserve">éléments de refroidissement; </w:t>
      </w:r>
      <w:r w:rsidRPr="00426CC5">
        <w:rPr>
          <w:rStyle w:val="CRDeleted"/>
          <w:noProof/>
        </w:rPr>
        <w:t>et</w:t>
      </w:r>
    </w:p>
    <w:p w14:paraId="6B3C1BB9" w14:textId="77777777" w:rsidR="000448D2" w:rsidRPr="00426CC5" w:rsidRDefault="000448D2">
      <w:pPr>
        <w:pStyle w:val="Point1"/>
        <w:rPr>
          <w:noProof/>
        </w:rPr>
      </w:pPr>
      <w:r w:rsidRPr="00426CC5">
        <w:rPr>
          <w:noProof/>
        </w:rPr>
        <w:tab/>
        <w:t>v)</w:t>
      </w:r>
      <w:r w:rsidRPr="00426CC5">
        <w:rPr>
          <w:noProof/>
        </w:rPr>
        <w:tab/>
        <w:t>ponts thermiques;</w:t>
      </w:r>
    </w:p>
    <w:p w14:paraId="6B3C1BBA" w14:textId="77777777" w:rsidR="000448D2" w:rsidRPr="00426CC5" w:rsidRDefault="000448D2">
      <w:pPr>
        <w:pStyle w:val="Point0"/>
        <w:rPr>
          <w:noProof/>
        </w:rPr>
      </w:pPr>
      <w:r w:rsidRPr="00426CC5">
        <w:rPr>
          <w:noProof/>
        </w:rPr>
        <w:tab/>
        <w:t>b)</w:t>
      </w:r>
      <w:r w:rsidRPr="00426CC5">
        <w:rPr>
          <w:noProof/>
        </w:rPr>
        <w:tab/>
        <w:t>les équipements de chauffage et approvisionnement en eau chaude, y compris leurs caractéristiques en matière d’isolation;</w:t>
      </w:r>
    </w:p>
    <w:p w14:paraId="6B3C1BBB" w14:textId="77777777" w:rsidR="000448D2" w:rsidRPr="00426CC5" w:rsidRDefault="000448D2">
      <w:pPr>
        <w:pStyle w:val="Point0"/>
        <w:rPr>
          <w:noProof/>
        </w:rPr>
      </w:pPr>
      <w:r w:rsidRPr="00426CC5">
        <w:rPr>
          <w:noProof/>
        </w:rPr>
        <w:tab/>
        <w:t>c)</w:t>
      </w:r>
      <w:r w:rsidRPr="00426CC5">
        <w:rPr>
          <w:noProof/>
        </w:rPr>
        <w:tab/>
        <w:t>les installations de climatisation;</w:t>
      </w:r>
    </w:p>
    <w:p w14:paraId="6B3C1BBC" w14:textId="77777777" w:rsidR="000448D2" w:rsidRPr="00426CC5" w:rsidRDefault="000448D2">
      <w:pPr>
        <w:pStyle w:val="Point0"/>
        <w:rPr>
          <w:noProof/>
        </w:rPr>
      </w:pPr>
      <w:r w:rsidRPr="00426CC5">
        <w:rPr>
          <w:noProof/>
        </w:rPr>
        <w:tab/>
        <w:t>d)</w:t>
      </w:r>
      <w:r w:rsidRPr="00426CC5">
        <w:rPr>
          <w:noProof/>
        </w:rPr>
        <w:tab/>
        <w:t>la ventilation naturelle et mécanique, et, éventuellement, étanchéité à l’air;</w:t>
      </w:r>
    </w:p>
    <w:p w14:paraId="6B3C1BBD" w14:textId="77777777" w:rsidR="000448D2" w:rsidRPr="00426CC5" w:rsidRDefault="000448D2">
      <w:pPr>
        <w:pStyle w:val="Point0"/>
        <w:rPr>
          <w:noProof/>
        </w:rPr>
      </w:pPr>
      <w:r w:rsidRPr="00426CC5">
        <w:rPr>
          <w:noProof/>
        </w:rPr>
        <w:tab/>
        <w:t>e)</w:t>
      </w:r>
      <w:r w:rsidRPr="00426CC5">
        <w:rPr>
          <w:noProof/>
        </w:rPr>
        <w:tab/>
        <w:t>l’installation d’éclairage intégrée (principalement dans le secteur non résidentiel);</w:t>
      </w:r>
    </w:p>
    <w:p w14:paraId="6B3C1BBE" w14:textId="77777777" w:rsidR="000448D2" w:rsidRPr="00426CC5" w:rsidRDefault="000448D2">
      <w:pPr>
        <w:pStyle w:val="Point0"/>
        <w:rPr>
          <w:noProof/>
        </w:rPr>
      </w:pPr>
      <w:r w:rsidRPr="00426CC5">
        <w:rPr>
          <w:noProof/>
        </w:rPr>
        <w:tab/>
        <w:t>f)</w:t>
      </w:r>
      <w:r w:rsidRPr="00426CC5">
        <w:rPr>
          <w:noProof/>
        </w:rPr>
        <w:tab/>
        <w:t>la conception, l’emplacement et l’orientation du bâtiment, y compris le climat extérieur;</w:t>
      </w:r>
    </w:p>
    <w:p w14:paraId="6B3C1BBF" w14:textId="77777777" w:rsidR="000448D2" w:rsidRPr="00426CC5" w:rsidRDefault="000448D2">
      <w:pPr>
        <w:pStyle w:val="Point0"/>
        <w:rPr>
          <w:noProof/>
        </w:rPr>
      </w:pPr>
      <w:r w:rsidRPr="00426CC5">
        <w:rPr>
          <w:noProof/>
        </w:rPr>
        <w:tab/>
        <w:t>g)</w:t>
      </w:r>
      <w:r w:rsidRPr="00426CC5">
        <w:rPr>
          <w:noProof/>
        </w:rPr>
        <w:tab/>
        <w:t>les systèmes solaires passifs et la protection solaire;</w:t>
      </w:r>
    </w:p>
    <w:p w14:paraId="6B3C1BC0" w14:textId="77777777" w:rsidR="000448D2" w:rsidRPr="00426CC5" w:rsidRDefault="000448D2">
      <w:pPr>
        <w:pStyle w:val="Point0"/>
        <w:rPr>
          <w:noProof/>
        </w:rPr>
      </w:pPr>
      <w:r w:rsidRPr="00426CC5">
        <w:rPr>
          <w:noProof/>
        </w:rPr>
        <w:tab/>
        <w:t>h)</w:t>
      </w:r>
      <w:r w:rsidRPr="00426CC5">
        <w:rPr>
          <w:noProof/>
        </w:rPr>
        <w:tab/>
        <w:t>les conditions climatiques intérieures, y compris le climat intérieur prévu;</w:t>
      </w:r>
    </w:p>
    <w:p w14:paraId="6B3C1BC1" w14:textId="77777777" w:rsidR="000448D2" w:rsidRPr="00426CC5" w:rsidRDefault="000448D2">
      <w:pPr>
        <w:pStyle w:val="Point0"/>
        <w:rPr>
          <w:noProof/>
        </w:rPr>
      </w:pPr>
      <w:r w:rsidRPr="00426CC5">
        <w:rPr>
          <w:noProof/>
        </w:rPr>
        <w:tab/>
        <w:t>i)</w:t>
      </w:r>
      <w:r w:rsidRPr="00426CC5">
        <w:rPr>
          <w:noProof/>
        </w:rPr>
        <w:tab/>
        <w:t>les charges internes.</w:t>
      </w:r>
    </w:p>
    <w:p w14:paraId="6B3C1BC2" w14:textId="77777777" w:rsidR="000448D2" w:rsidRPr="00426CC5" w:rsidRDefault="000448D2">
      <w:pPr>
        <w:pStyle w:val="CRSeparator"/>
        <w:rPr>
          <w:noProof/>
        </w:rPr>
      </w:pPr>
    </w:p>
    <w:p w14:paraId="6B3C1BC3"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1 d)</w:t>
      </w:r>
    </w:p>
    <w:p w14:paraId="6B3C1BC4" w14:textId="77777777" w:rsidR="000448D2" w:rsidRPr="00426CC5" w:rsidRDefault="000448D2">
      <w:pPr>
        <w:rPr>
          <w:noProof/>
        </w:rPr>
      </w:pPr>
      <w:r w:rsidRPr="00426CC5">
        <w:rPr>
          <w:rStyle w:val="CRMinorChangeAdded"/>
          <w:noProof/>
        </w:rPr>
        <w:t>5</w:t>
      </w:r>
      <w:r w:rsidRPr="00426CC5">
        <w:rPr>
          <w:rStyle w:val="CRMinorChangeDeleted"/>
          <w:noProof/>
        </w:rPr>
        <w:t>4</w:t>
      </w:r>
      <w:r w:rsidRPr="00426CC5">
        <w:rPr>
          <w:noProof/>
        </w:rPr>
        <w:t>.</w:t>
      </w:r>
      <w:r w:rsidRPr="00426CC5">
        <w:rPr>
          <w:noProof/>
        </w:rPr>
        <w:tab/>
        <w:t>Il est tenu compte de l’influence positive des éléments suivants:</w:t>
      </w:r>
    </w:p>
    <w:p w14:paraId="6B3C1BC5" w14:textId="77777777" w:rsidR="000448D2" w:rsidRPr="00426CC5" w:rsidRDefault="000448D2">
      <w:pPr>
        <w:pStyle w:val="CRSeparator"/>
        <w:rPr>
          <w:noProof/>
        </w:rPr>
      </w:pPr>
    </w:p>
    <w:p w14:paraId="6B3C1BC6"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w:t>
      </w:r>
    </w:p>
    <w:p w14:paraId="6B3C1BC7" w14:textId="77777777" w:rsidR="000448D2" w:rsidRPr="00426CC5" w:rsidRDefault="000448D2">
      <w:pPr>
        <w:pStyle w:val="Point0"/>
        <w:rPr>
          <w:noProof/>
        </w:rPr>
      </w:pPr>
      <w:r w:rsidRPr="00426CC5">
        <w:rPr>
          <w:noProof/>
        </w:rPr>
        <w:tab/>
        <w:t>a)</w:t>
      </w:r>
      <w:r w:rsidRPr="00426CC5">
        <w:rPr>
          <w:noProof/>
        </w:rPr>
        <w:tab/>
        <w:t>l’exposition solaire locale, les systèmes solaires actifs et autres systèmes de chauffage et de production d’électricité faisant appel aux énergies produites à partir de sources renouvelables;</w:t>
      </w:r>
    </w:p>
    <w:p w14:paraId="6B3C1BC8" w14:textId="77777777" w:rsidR="000448D2" w:rsidRPr="00426CC5" w:rsidRDefault="000448D2">
      <w:pPr>
        <w:pStyle w:val="Point0"/>
        <w:rPr>
          <w:noProof/>
        </w:rPr>
      </w:pPr>
      <w:r w:rsidRPr="00426CC5">
        <w:rPr>
          <w:noProof/>
        </w:rPr>
        <w:tab/>
        <w:t>b)</w:t>
      </w:r>
      <w:r w:rsidRPr="00426CC5">
        <w:rPr>
          <w:noProof/>
        </w:rPr>
        <w:tab/>
        <w:t>l’électricité produite par cogénération;</w:t>
      </w:r>
    </w:p>
    <w:p w14:paraId="6B3C1BC9" w14:textId="77777777" w:rsidR="000448D2" w:rsidRPr="00426CC5" w:rsidRDefault="000448D2">
      <w:pPr>
        <w:pStyle w:val="Point0"/>
        <w:rPr>
          <w:noProof/>
        </w:rPr>
      </w:pPr>
      <w:r w:rsidRPr="00426CC5">
        <w:rPr>
          <w:noProof/>
        </w:rPr>
        <w:tab/>
        <w:t>c)</w:t>
      </w:r>
      <w:r w:rsidRPr="00426CC5">
        <w:rPr>
          <w:noProof/>
        </w:rPr>
        <w:tab/>
        <w:t>les systèmes de chauffage et de refroidissement urbains ou collectifs;</w:t>
      </w:r>
    </w:p>
    <w:p w14:paraId="6B3C1BCA" w14:textId="77777777" w:rsidR="000448D2" w:rsidRPr="00426CC5" w:rsidRDefault="000448D2">
      <w:pPr>
        <w:pStyle w:val="Point0"/>
        <w:rPr>
          <w:noProof/>
        </w:rPr>
      </w:pPr>
      <w:r w:rsidRPr="00426CC5">
        <w:rPr>
          <w:noProof/>
        </w:rPr>
        <w:tab/>
        <w:t>d)</w:t>
      </w:r>
      <w:r w:rsidRPr="00426CC5">
        <w:rPr>
          <w:noProof/>
        </w:rPr>
        <w:tab/>
        <w:t>l’éclairage naturel.</w:t>
      </w:r>
    </w:p>
    <w:p w14:paraId="6B3C1BCB" w14:textId="77777777" w:rsidR="000448D2" w:rsidRPr="00426CC5" w:rsidRDefault="000448D2">
      <w:pPr>
        <w:rPr>
          <w:noProof/>
        </w:rPr>
      </w:pPr>
      <w:r w:rsidRPr="00426CC5">
        <w:rPr>
          <w:rStyle w:val="CRMinorChangeAdded"/>
          <w:noProof/>
        </w:rPr>
        <w:t>6</w:t>
      </w:r>
      <w:r w:rsidRPr="00426CC5">
        <w:rPr>
          <w:rStyle w:val="CRMinorChangeDeleted"/>
          <w:noProof/>
        </w:rPr>
        <w:t>5</w:t>
      </w:r>
      <w:r w:rsidRPr="00426CC5">
        <w:rPr>
          <w:noProof/>
        </w:rPr>
        <w:t>.</w:t>
      </w:r>
      <w:r w:rsidRPr="00426CC5">
        <w:rPr>
          <w:noProof/>
        </w:rPr>
        <w:tab/>
        <w:t>Pour les besoins du calcul, les bâtiments devraient être classés de manière adéquate dans les catégories suivantes:</w:t>
      </w:r>
    </w:p>
    <w:p w14:paraId="6B3C1BCC" w14:textId="77777777" w:rsidR="000448D2" w:rsidRPr="00426CC5" w:rsidRDefault="000448D2">
      <w:pPr>
        <w:pStyle w:val="Point0"/>
        <w:rPr>
          <w:noProof/>
        </w:rPr>
      </w:pPr>
      <w:r w:rsidRPr="00426CC5">
        <w:rPr>
          <w:noProof/>
        </w:rPr>
        <w:tab/>
        <w:t>a)</w:t>
      </w:r>
      <w:r w:rsidRPr="00426CC5">
        <w:rPr>
          <w:noProof/>
        </w:rPr>
        <w:tab/>
        <w:t>habitations individuelles de différents types;</w:t>
      </w:r>
    </w:p>
    <w:p w14:paraId="6B3C1BCD" w14:textId="77777777" w:rsidR="000448D2" w:rsidRPr="00426CC5" w:rsidRDefault="000448D2">
      <w:pPr>
        <w:pStyle w:val="Point0"/>
        <w:rPr>
          <w:noProof/>
        </w:rPr>
      </w:pPr>
      <w:r w:rsidRPr="00426CC5">
        <w:rPr>
          <w:noProof/>
        </w:rPr>
        <w:tab/>
        <w:t>b)</w:t>
      </w:r>
      <w:r w:rsidRPr="00426CC5">
        <w:rPr>
          <w:noProof/>
        </w:rPr>
        <w:tab/>
        <w:t>immeubles d’appartements;</w:t>
      </w:r>
    </w:p>
    <w:p w14:paraId="6B3C1BCE" w14:textId="77777777" w:rsidR="000448D2" w:rsidRPr="00426CC5" w:rsidRDefault="000448D2">
      <w:pPr>
        <w:pStyle w:val="Point0"/>
        <w:rPr>
          <w:noProof/>
        </w:rPr>
      </w:pPr>
      <w:r w:rsidRPr="00426CC5">
        <w:rPr>
          <w:noProof/>
        </w:rPr>
        <w:tab/>
        <w:t>c)</w:t>
      </w:r>
      <w:r w:rsidRPr="00426CC5">
        <w:rPr>
          <w:noProof/>
        </w:rPr>
        <w:tab/>
        <w:t>bureaux;</w:t>
      </w:r>
    </w:p>
    <w:p w14:paraId="6B3C1BCF" w14:textId="77777777" w:rsidR="000448D2" w:rsidRPr="00426CC5" w:rsidRDefault="000448D2">
      <w:pPr>
        <w:pStyle w:val="Point0"/>
        <w:rPr>
          <w:noProof/>
        </w:rPr>
      </w:pPr>
      <w:r w:rsidRPr="00426CC5">
        <w:rPr>
          <w:noProof/>
        </w:rPr>
        <w:tab/>
        <w:t>d)</w:t>
      </w:r>
      <w:r w:rsidRPr="00426CC5">
        <w:rPr>
          <w:noProof/>
        </w:rPr>
        <w:tab/>
        <w:t>bâtiments d’enseignement;</w:t>
      </w:r>
    </w:p>
    <w:p w14:paraId="6B3C1BD0" w14:textId="77777777" w:rsidR="000448D2" w:rsidRPr="00426CC5" w:rsidRDefault="000448D2">
      <w:pPr>
        <w:pStyle w:val="Point0"/>
        <w:rPr>
          <w:noProof/>
        </w:rPr>
      </w:pPr>
      <w:r w:rsidRPr="00426CC5">
        <w:rPr>
          <w:noProof/>
        </w:rPr>
        <w:tab/>
        <w:t>e)</w:t>
      </w:r>
      <w:r w:rsidRPr="00426CC5">
        <w:rPr>
          <w:noProof/>
        </w:rPr>
        <w:tab/>
        <w:t>hôpitaux;</w:t>
      </w:r>
    </w:p>
    <w:p w14:paraId="6B3C1BD1" w14:textId="77777777" w:rsidR="000448D2" w:rsidRPr="00426CC5" w:rsidRDefault="000448D2">
      <w:pPr>
        <w:pStyle w:val="Point0"/>
        <w:rPr>
          <w:noProof/>
        </w:rPr>
      </w:pPr>
      <w:r w:rsidRPr="00426CC5">
        <w:rPr>
          <w:noProof/>
        </w:rPr>
        <w:tab/>
        <w:t>f)</w:t>
      </w:r>
      <w:r w:rsidRPr="00426CC5">
        <w:rPr>
          <w:noProof/>
        </w:rPr>
        <w:tab/>
        <w:t>hôtels et restaurants;</w:t>
      </w:r>
    </w:p>
    <w:p w14:paraId="6B3C1BD2" w14:textId="77777777" w:rsidR="000448D2" w:rsidRPr="00426CC5" w:rsidRDefault="000448D2">
      <w:pPr>
        <w:pStyle w:val="Point0"/>
        <w:rPr>
          <w:noProof/>
        </w:rPr>
      </w:pPr>
      <w:r w:rsidRPr="00426CC5">
        <w:rPr>
          <w:noProof/>
        </w:rPr>
        <w:tab/>
        <w:t>g)</w:t>
      </w:r>
      <w:r w:rsidRPr="00426CC5">
        <w:rPr>
          <w:noProof/>
        </w:rPr>
        <w:tab/>
        <w:t>installations sportives;</w:t>
      </w:r>
    </w:p>
    <w:p w14:paraId="6B3C1BD3" w14:textId="77777777" w:rsidR="000448D2" w:rsidRPr="00426CC5" w:rsidRDefault="000448D2">
      <w:pPr>
        <w:pStyle w:val="Point0"/>
        <w:rPr>
          <w:noProof/>
        </w:rPr>
      </w:pPr>
      <w:r w:rsidRPr="00426CC5">
        <w:rPr>
          <w:noProof/>
        </w:rPr>
        <w:tab/>
        <w:t>h)</w:t>
      </w:r>
      <w:r w:rsidRPr="00426CC5">
        <w:rPr>
          <w:noProof/>
        </w:rPr>
        <w:tab/>
        <w:t>bâtiments abritant des services de vente en gros et au détail;</w:t>
      </w:r>
    </w:p>
    <w:p w14:paraId="6B3C1BD4" w14:textId="77777777" w:rsidR="000448D2" w:rsidRPr="00426CC5" w:rsidRDefault="000448D2" w:rsidP="009567AF">
      <w:pPr>
        <w:pStyle w:val="Point0"/>
        <w:rPr>
          <w:rStyle w:val="CommentReference"/>
          <w:noProof/>
        </w:rPr>
      </w:pPr>
      <w:r w:rsidRPr="00426CC5">
        <w:rPr>
          <w:noProof/>
        </w:rPr>
        <w:tab/>
        <w:t>i)</w:t>
      </w:r>
      <w:r w:rsidRPr="00426CC5">
        <w:rPr>
          <w:noProof/>
        </w:rPr>
        <w:tab/>
        <w:t>autres types de bâtiments consommateurs d’énergie.</w:t>
      </w:r>
    </w:p>
    <w:p w14:paraId="6B3C1BD5" w14:textId="77777777" w:rsidR="00C1704C" w:rsidRPr="00426CC5" w:rsidRDefault="00C1704C" w:rsidP="00C1704C">
      <w:pPr>
        <w:rPr>
          <w:noProof/>
        </w:rPr>
        <w:sectPr w:rsidR="00C1704C" w:rsidRPr="00426CC5" w:rsidSect="00AD39FC">
          <w:footerReference w:type="default" r:id="rId18"/>
          <w:footerReference w:type="first" r:id="rId19"/>
          <w:pgSz w:w="11906" w:h="16838"/>
          <w:pgMar w:top="1134" w:right="1418" w:bottom="1134" w:left="1418" w:header="709" w:footer="709" w:gutter="0"/>
          <w:pgNumType w:start="1"/>
          <w:cols w:space="709"/>
          <w:docGrid w:linePitch="326"/>
        </w:sectPr>
      </w:pPr>
    </w:p>
    <w:p w14:paraId="6B3C1BD6" w14:textId="77777777" w:rsidR="000448D2" w:rsidRPr="00426CC5" w:rsidRDefault="000448D2" w:rsidP="009567AF">
      <w:pPr>
        <w:pStyle w:val="CRSeparator"/>
        <w:rPr>
          <w:noProof/>
        </w:rPr>
      </w:pPr>
    </w:p>
    <w:p w14:paraId="6B3C1BD7"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nouveau</w:t>
      </w:r>
    </w:p>
    <w:p w14:paraId="6B3C1BD8" w14:textId="77777777" w:rsidR="000448D2" w:rsidRPr="00426CC5" w:rsidRDefault="000448D2" w:rsidP="00EC00AC">
      <w:pPr>
        <w:pStyle w:val="Annexetitre"/>
        <w:rPr>
          <w:noProof/>
          <w:highlight w:val="lightGray"/>
        </w:rPr>
      </w:pPr>
      <w:r w:rsidRPr="00426CC5">
        <w:rPr>
          <w:noProof/>
          <w:highlight w:val="lightGray"/>
        </w:rPr>
        <w:t>ANNEXE II</w:t>
      </w:r>
    </w:p>
    <w:p w14:paraId="6B3C1BD9" w14:textId="77777777" w:rsidR="000448D2" w:rsidRPr="00426CC5" w:rsidRDefault="000448D2" w:rsidP="001C7344">
      <w:pPr>
        <w:pStyle w:val="ManualHeading1"/>
        <w:jc w:val="center"/>
        <w:rPr>
          <w:i/>
          <w:noProof/>
          <w:highlight w:val="lightGray"/>
        </w:rPr>
      </w:pPr>
      <w:r w:rsidRPr="00426CC5">
        <w:rPr>
          <w:i/>
          <w:noProof/>
          <w:highlight w:val="lightGray"/>
        </w:rPr>
        <w:t>Modèle pour les plans nationaux de rénovation des bâtiments</w:t>
      </w:r>
    </w:p>
    <w:p w14:paraId="6B3C1BDA" w14:textId="77777777" w:rsidR="000448D2" w:rsidRPr="00426CC5" w:rsidRDefault="000448D2" w:rsidP="001C7344">
      <w:pPr>
        <w:pStyle w:val="ManualHeading2"/>
        <w:jc w:val="center"/>
        <w:rPr>
          <w:b w:val="0"/>
          <w:noProof/>
          <w:highlight w:val="lightGray"/>
        </w:rPr>
      </w:pPr>
      <w:r w:rsidRPr="00426CC5">
        <w:rPr>
          <w:b w:val="0"/>
          <w:noProof/>
          <w:highlight w:val="lightGray"/>
        </w:rPr>
        <w:t>(visé à l’article 3)</w:t>
      </w:r>
    </w:p>
    <w:tbl>
      <w:tblPr>
        <w:tblW w:w="13183" w:type="dxa"/>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2"/>
        <w:gridCol w:w="5811"/>
        <w:gridCol w:w="4820"/>
      </w:tblGrid>
      <w:tr w:rsidR="000448D2" w:rsidRPr="00426CC5" w14:paraId="6B3C1BDE" w14:textId="77777777" w:rsidTr="152E62AB">
        <w:trPr>
          <w:trHeight w:val="916"/>
        </w:trPr>
        <w:tc>
          <w:tcPr>
            <w:tcW w:w="2552" w:type="dxa"/>
            <w:tcBorders>
              <w:left w:val="nil"/>
            </w:tcBorders>
            <w:vAlign w:val="center"/>
          </w:tcPr>
          <w:p w14:paraId="6B3C1BDB" w14:textId="77777777" w:rsidR="000448D2" w:rsidRPr="00426CC5" w:rsidRDefault="000448D2" w:rsidP="009567AF">
            <w:pPr>
              <w:widowControl w:val="0"/>
              <w:spacing w:before="1" w:after="0"/>
              <w:ind w:left="1261" w:hanging="1261"/>
              <w:jc w:val="center"/>
              <w:rPr>
                <w:rFonts w:eastAsia="Times New Roman"/>
                <w:noProof/>
                <w:sz w:val="22"/>
                <w:highlight w:val="lightGray"/>
              </w:rPr>
            </w:pPr>
            <w:r w:rsidRPr="00426CC5">
              <w:rPr>
                <w:noProof/>
                <w:sz w:val="22"/>
                <w:highlight w:val="lightGray"/>
              </w:rPr>
              <w:t>Article 3 de la directive PEB</w:t>
            </w:r>
          </w:p>
        </w:tc>
        <w:tc>
          <w:tcPr>
            <w:tcW w:w="5811" w:type="dxa"/>
            <w:vAlign w:val="center"/>
          </w:tcPr>
          <w:p w14:paraId="6B3C1BDC" w14:textId="77777777" w:rsidR="000448D2" w:rsidRPr="00426CC5" w:rsidRDefault="000448D2" w:rsidP="009567AF">
            <w:pPr>
              <w:widowControl w:val="0"/>
              <w:spacing w:before="1" w:after="0"/>
              <w:ind w:left="1261" w:right="19" w:hanging="1264"/>
              <w:jc w:val="center"/>
              <w:rPr>
                <w:rFonts w:eastAsia="Times New Roman"/>
                <w:noProof/>
                <w:sz w:val="22"/>
                <w:highlight w:val="lightGray"/>
              </w:rPr>
            </w:pPr>
            <w:r w:rsidRPr="00426CC5">
              <w:rPr>
                <w:noProof/>
                <w:sz w:val="22"/>
                <w:highlight w:val="lightGray"/>
              </w:rPr>
              <w:t>Indicateurs obligatoires</w:t>
            </w:r>
          </w:p>
        </w:tc>
        <w:tc>
          <w:tcPr>
            <w:tcW w:w="4820" w:type="dxa"/>
            <w:tcBorders>
              <w:right w:val="nil"/>
            </w:tcBorders>
            <w:vAlign w:val="center"/>
          </w:tcPr>
          <w:p w14:paraId="6B3C1BDD" w14:textId="77777777" w:rsidR="000448D2" w:rsidRPr="00426CC5" w:rsidRDefault="000448D2" w:rsidP="009567AF">
            <w:pPr>
              <w:widowControl w:val="0"/>
              <w:spacing w:before="1" w:after="0"/>
              <w:ind w:left="1532" w:hanging="1288"/>
              <w:jc w:val="center"/>
              <w:rPr>
                <w:rFonts w:eastAsia="Times New Roman"/>
                <w:noProof/>
                <w:sz w:val="22"/>
                <w:highlight w:val="lightGray"/>
              </w:rPr>
            </w:pPr>
            <w:r w:rsidRPr="00426CC5">
              <w:rPr>
                <w:noProof/>
                <w:sz w:val="22"/>
                <w:highlight w:val="lightGray"/>
              </w:rPr>
              <w:t xml:space="preserve">Indicateurs/commentaires facultatifs </w:t>
            </w:r>
          </w:p>
        </w:tc>
      </w:tr>
      <w:tr w:rsidR="000448D2" w:rsidRPr="00426CC5" w14:paraId="6B3C1BEC" w14:textId="77777777" w:rsidTr="152E62AB">
        <w:trPr>
          <w:trHeight w:val="2688"/>
        </w:trPr>
        <w:tc>
          <w:tcPr>
            <w:tcW w:w="2552" w:type="dxa"/>
            <w:vMerge w:val="restart"/>
            <w:tcBorders>
              <w:top w:val="single" w:sz="4" w:space="0" w:color="auto"/>
              <w:left w:val="nil"/>
              <w:right w:val="single" w:sz="4" w:space="0" w:color="auto"/>
            </w:tcBorders>
          </w:tcPr>
          <w:p w14:paraId="6B3C1BDF" w14:textId="77777777" w:rsidR="000448D2" w:rsidRPr="00426CC5" w:rsidRDefault="000448D2" w:rsidP="009567AF">
            <w:pPr>
              <w:widowControl w:val="0"/>
              <w:spacing w:before="5" w:after="0"/>
              <w:jc w:val="left"/>
              <w:rPr>
                <w:rFonts w:eastAsia="Times New Roman"/>
                <w:noProof/>
                <w:sz w:val="22"/>
                <w:highlight w:val="lightGray"/>
              </w:rPr>
            </w:pPr>
          </w:p>
          <w:p w14:paraId="6B3C1BE0" w14:textId="77777777" w:rsidR="000448D2" w:rsidRPr="00426CC5" w:rsidRDefault="000448D2" w:rsidP="009567AF">
            <w:pPr>
              <w:widowControl w:val="0"/>
              <w:spacing w:before="0" w:after="0"/>
              <w:ind w:left="310" w:hanging="284"/>
              <w:jc w:val="left"/>
              <w:rPr>
                <w:noProof/>
                <w:sz w:val="22"/>
                <w:highlight w:val="lightGray"/>
              </w:rPr>
            </w:pPr>
            <w:r w:rsidRPr="00426CC5">
              <w:rPr>
                <w:noProof/>
                <w:sz w:val="22"/>
                <w:highlight w:val="lightGray"/>
              </w:rPr>
              <w:t>a) vue d’ensemble du parc immobilier national</w:t>
            </w:r>
          </w:p>
          <w:p w14:paraId="6B3C1BE1" w14:textId="77777777" w:rsidR="000448D2" w:rsidRPr="00426CC5" w:rsidRDefault="000448D2" w:rsidP="009567AF">
            <w:pPr>
              <w:widowControl w:val="0"/>
              <w:spacing w:before="1" w:after="0" w:line="228" w:lineRule="auto"/>
              <w:ind w:right="75"/>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BE2" w14:textId="77777777" w:rsidR="000448D2" w:rsidRPr="00426CC5" w:rsidRDefault="000448D2" w:rsidP="009567AF">
            <w:pPr>
              <w:widowControl w:val="0"/>
              <w:tabs>
                <w:tab w:val="left" w:pos="370"/>
              </w:tabs>
              <w:spacing w:before="196" w:after="0"/>
              <w:jc w:val="left"/>
              <w:rPr>
                <w:rFonts w:eastAsia="Times New Roman"/>
                <w:noProof/>
                <w:sz w:val="22"/>
                <w:highlight w:val="lightGray"/>
              </w:rPr>
            </w:pPr>
            <w:r w:rsidRPr="00426CC5">
              <w:rPr>
                <w:noProof/>
                <w:sz w:val="22"/>
                <w:highlight w:val="lightGray"/>
              </w:rPr>
              <w:t>Nombre de bâtiments et surface au sol totale (m</w:t>
            </w:r>
            <w:r w:rsidRPr="00426CC5">
              <w:rPr>
                <w:noProof/>
                <w:sz w:val="22"/>
                <w:highlight w:val="lightGray"/>
                <w:vertAlign w:val="superscript"/>
              </w:rPr>
              <w:t>2</w:t>
            </w:r>
            <w:r w:rsidRPr="00426CC5">
              <w:rPr>
                <w:noProof/>
                <w:sz w:val="22"/>
                <w:highlight w:val="lightGray"/>
              </w:rPr>
              <w:t>):</w:t>
            </w:r>
          </w:p>
          <w:p w14:paraId="6B3C1BE3"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type de bâtiment (bâtiments publics et logements sociaux compris)</w:t>
            </w:r>
          </w:p>
          <w:p w14:paraId="6B3C1BE4"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classe de performance énergétique</w:t>
            </w:r>
          </w:p>
          <w:p w14:paraId="6B3C1BE5"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bâtiments dont la consommation d’énergie est quasi nulle</w:t>
            </w:r>
          </w:p>
          <w:p w14:paraId="6B3C1BE6" w14:textId="77777777" w:rsidR="000448D2" w:rsidRPr="00426CC5" w:rsidRDefault="000448D2" w:rsidP="00B92D8E">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bâtiments les moins performants (y compris une définition) </w:t>
            </w:r>
          </w:p>
        </w:tc>
        <w:tc>
          <w:tcPr>
            <w:tcW w:w="4820" w:type="dxa"/>
            <w:tcBorders>
              <w:top w:val="single" w:sz="4" w:space="0" w:color="auto"/>
              <w:left w:val="single" w:sz="4" w:space="0" w:color="auto"/>
              <w:bottom w:val="single" w:sz="4" w:space="0" w:color="auto"/>
              <w:right w:val="nil"/>
            </w:tcBorders>
          </w:tcPr>
          <w:p w14:paraId="6B3C1BE7" w14:textId="77777777" w:rsidR="000448D2" w:rsidRPr="00426CC5" w:rsidRDefault="000448D2" w:rsidP="009567AF">
            <w:pPr>
              <w:widowControl w:val="0"/>
              <w:spacing w:before="5" w:after="0"/>
              <w:jc w:val="left"/>
              <w:rPr>
                <w:rFonts w:eastAsia="Times New Roman"/>
                <w:noProof/>
                <w:sz w:val="22"/>
                <w:highlight w:val="lightGray"/>
              </w:rPr>
            </w:pPr>
            <w:r w:rsidRPr="00426CC5">
              <w:rPr>
                <w:noProof/>
                <w:sz w:val="22"/>
                <w:highlight w:val="lightGray"/>
              </w:rPr>
              <w:t>Nombre de bâtiments et surface au sol totale (m</w:t>
            </w:r>
            <w:r w:rsidRPr="00426CC5">
              <w:rPr>
                <w:noProof/>
                <w:sz w:val="22"/>
                <w:highlight w:val="lightGray"/>
                <w:vertAlign w:val="superscript"/>
              </w:rPr>
              <w:t>2</w:t>
            </w:r>
            <w:r w:rsidRPr="00426CC5">
              <w:rPr>
                <w:noProof/>
                <w:sz w:val="22"/>
                <w:highlight w:val="lightGray"/>
              </w:rPr>
              <w:t>):</w:t>
            </w:r>
          </w:p>
          <w:p w14:paraId="6B3C1BE8" w14:textId="77777777" w:rsidR="000448D2" w:rsidRPr="00426CC5" w:rsidRDefault="000448D2" w:rsidP="00EC012A">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âge du bâtiment</w:t>
            </w:r>
          </w:p>
          <w:p w14:paraId="6B3C1BE9" w14:textId="77777777" w:rsidR="000448D2" w:rsidRPr="00426CC5" w:rsidRDefault="000448D2" w:rsidP="00EC012A">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taille de bâtiment</w:t>
            </w:r>
          </w:p>
          <w:p w14:paraId="6B3C1BE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zone climatique</w:t>
            </w:r>
          </w:p>
          <w:p w14:paraId="6B3C1BEB"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démolition (nombre et surface au sol totale)</w:t>
            </w:r>
          </w:p>
        </w:tc>
      </w:tr>
      <w:tr w:rsidR="000448D2" w:rsidRPr="00426CC5" w14:paraId="6B3C1BF4" w14:textId="77777777" w:rsidTr="152E62AB">
        <w:trPr>
          <w:trHeight w:val="1107"/>
        </w:trPr>
        <w:tc>
          <w:tcPr>
            <w:tcW w:w="2552" w:type="dxa"/>
            <w:vMerge/>
          </w:tcPr>
          <w:p w14:paraId="6B3C1BED" w14:textId="77777777" w:rsidR="000448D2" w:rsidRPr="00426CC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BEE" w14:textId="77777777" w:rsidR="000448D2" w:rsidRPr="00426CC5" w:rsidRDefault="000448D2" w:rsidP="009567AF">
            <w:pPr>
              <w:widowControl w:val="0"/>
              <w:tabs>
                <w:tab w:val="left" w:pos="371"/>
              </w:tabs>
              <w:spacing w:before="73" w:after="0"/>
              <w:jc w:val="left"/>
              <w:rPr>
                <w:rFonts w:eastAsia="Times New Roman"/>
                <w:noProof/>
                <w:sz w:val="22"/>
                <w:highlight w:val="lightGray"/>
              </w:rPr>
            </w:pPr>
            <w:r w:rsidRPr="00426CC5">
              <w:rPr>
                <w:noProof/>
                <w:sz w:val="22"/>
                <w:highlight w:val="lightGray"/>
              </w:rPr>
              <w:t>Nombre de certificats de performance énergétique:</w:t>
            </w:r>
          </w:p>
          <w:p w14:paraId="6B3C1BEF" w14:textId="288A8C95" w:rsidR="000448D2" w:rsidRPr="00426CC5" w:rsidRDefault="000448D2" w:rsidP="000448D2">
            <w:pPr>
              <w:widowControl w:val="0"/>
              <w:numPr>
                <w:ilvl w:val="1"/>
                <w:numId w:val="11"/>
              </w:numPr>
              <w:tabs>
                <w:tab w:val="left" w:pos="651"/>
              </w:tabs>
              <w:spacing w:before="74" w:after="0" w:line="278" w:lineRule="exact"/>
              <w:jc w:val="left"/>
              <w:rPr>
                <w:rFonts w:eastAsia="Times New Roman"/>
                <w:noProof/>
                <w:sz w:val="22"/>
                <w:highlight w:val="lightGray"/>
              </w:rPr>
            </w:pPr>
            <w:r w:rsidRPr="00426CC5">
              <w:rPr>
                <w:noProof/>
                <w:sz w:val="22"/>
                <w:highlight w:val="lightGray"/>
              </w:rPr>
              <w:t>par type de bâtiment (bâtiments publics compris)</w:t>
            </w:r>
          </w:p>
          <w:p w14:paraId="6B3C1BF0" w14:textId="77777777" w:rsidR="000448D2" w:rsidRPr="00426CC5" w:rsidRDefault="000448D2" w:rsidP="00EC012A">
            <w:pPr>
              <w:widowControl w:val="0"/>
              <w:numPr>
                <w:ilvl w:val="1"/>
                <w:numId w:val="11"/>
              </w:numPr>
              <w:tabs>
                <w:tab w:val="left" w:pos="651"/>
              </w:tabs>
              <w:spacing w:before="74" w:after="0" w:line="278" w:lineRule="exact"/>
              <w:jc w:val="left"/>
              <w:rPr>
                <w:rFonts w:eastAsia="Times New Roman"/>
                <w:noProof/>
                <w:sz w:val="22"/>
                <w:highlight w:val="lightGray"/>
              </w:rPr>
            </w:pPr>
            <w:r w:rsidRPr="00426CC5">
              <w:rPr>
                <w:noProof/>
                <w:sz w:val="22"/>
                <w:highlight w:val="lightGray"/>
              </w:rPr>
              <w:t>par classe de performance énergétique</w:t>
            </w:r>
          </w:p>
        </w:tc>
        <w:tc>
          <w:tcPr>
            <w:tcW w:w="4820" w:type="dxa"/>
            <w:tcBorders>
              <w:top w:val="single" w:sz="4" w:space="0" w:color="auto"/>
              <w:left w:val="single" w:sz="4" w:space="0" w:color="auto"/>
              <w:bottom w:val="single" w:sz="4" w:space="0" w:color="auto"/>
              <w:right w:val="nil"/>
            </w:tcBorders>
          </w:tcPr>
          <w:p w14:paraId="6B3C1BF1" w14:textId="77777777" w:rsidR="000448D2" w:rsidRPr="00426CC5" w:rsidRDefault="000448D2" w:rsidP="009567AF">
            <w:pPr>
              <w:widowControl w:val="0"/>
              <w:tabs>
                <w:tab w:val="left" w:pos="651"/>
              </w:tabs>
              <w:spacing w:before="74" w:after="0" w:line="278" w:lineRule="exact"/>
              <w:jc w:val="left"/>
              <w:rPr>
                <w:rFonts w:eastAsia="Times New Roman"/>
                <w:noProof/>
                <w:sz w:val="22"/>
                <w:highlight w:val="lightGray"/>
              </w:rPr>
            </w:pPr>
            <w:r w:rsidRPr="00426CC5">
              <w:rPr>
                <w:noProof/>
                <w:sz w:val="22"/>
                <w:highlight w:val="lightGray"/>
              </w:rPr>
              <w:t>Nombre de certificats de performance énergétique:</w:t>
            </w:r>
          </w:p>
          <w:p w14:paraId="6B3C1BF2" w14:textId="77777777" w:rsidR="000448D2" w:rsidRPr="00426CC5" w:rsidRDefault="000448D2" w:rsidP="000448D2">
            <w:pPr>
              <w:widowControl w:val="0"/>
              <w:numPr>
                <w:ilvl w:val="0"/>
                <w:numId w:val="14"/>
              </w:numPr>
              <w:tabs>
                <w:tab w:val="left" w:pos="651"/>
              </w:tabs>
              <w:spacing w:before="74" w:after="0" w:line="278" w:lineRule="exact"/>
              <w:jc w:val="left"/>
              <w:rPr>
                <w:rFonts w:eastAsia="Times New Roman"/>
                <w:noProof/>
                <w:sz w:val="22"/>
                <w:highlight w:val="lightGray"/>
              </w:rPr>
            </w:pPr>
            <w:r w:rsidRPr="00426CC5">
              <w:rPr>
                <w:noProof/>
                <w:sz w:val="22"/>
                <w:highlight w:val="lightGray"/>
              </w:rPr>
              <w:t>par période de construction</w:t>
            </w:r>
          </w:p>
          <w:p w14:paraId="6B3C1BF3" w14:textId="77777777" w:rsidR="000448D2" w:rsidRPr="00426CC5" w:rsidRDefault="000448D2" w:rsidP="009567AF">
            <w:pPr>
              <w:widowControl w:val="0"/>
              <w:spacing w:before="5" w:after="0"/>
              <w:jc w:val="left"/>
              <w:rPr>
                <w:rFonts w:eastAsia="Times New Roman"/>
                <w:noProof/>
                <w:sz w:val="22"/>
                <w:highlight w:val="lightGray"/>
              </w:rPr>
            </w:pPr>
          </w:p>
        </w:tc>
      </w:tr>
      <w:tr w:rsidR="000448D2" w:rsidRPr="00426CC5" w14:paraId="6B3C1BFD" w14:textId="77777777" w:rsidTr="152E62AB">
        <w:trPr>
          <w:trHeight w:val="1993"/>
        </w:trPr>
        <w:tc>
          <w:tcPr>
            <w:tcW w:w="2552" w:type="dxa"/>
            <w:vMerge/>
          </w:tcPr>
          <w:p w14:paraId="6B3C1BF5" w14:textId="77777777" w:rsidR="000448D2" w:rsidRPr="00426CC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BF6" w14:textId="77777777" w:rsidR="000448D2" w:rsidRPr="00426CC5" w:rsidRDefault="000448D2" w:rsidP="009567AF">
            <w:pPr>
              <w:widowControl w:val="0"/>
              <w:tabs>
                <w:tab w:val="left" w:pos="370"/>
              </w:tabs>
              <w:spacing w:before="196" w:after="0"/>
              <w:jc w:val="left"/>
              <w:rPr>
                <w:rFonts w:eastAsia="Times New Roman"/>
                <w:noProof/>
                <w:sz w:val="22"/>
                <w:highlight w:val="lightGray"/>
              </w:rPr>
            </w:pPr>
            <w:r w:rsidRPr="00426CC5">
              <w:rPr>
                <w:noProof/>
                <w:sz w:val="22"/>
                <w:highlight w:val="lightGray"/>
              </w:rPr>
              <w:t>Taux annuels de rénovation: nombre de bâtiments et surface au sol totale (m</w:t>
            </w:r>
            <w:r w:rsidRPr="00426CC5">
              <w:rPr>
                <w:noProof/>
                <w:sz w:val="22"/>
                <w:highlight w:val="lightGray"/>
                <w:vertAlign w:val="superscript"/>
              </w:rPr>
              <w:t>2</w:t>
            </w:r>
            <w:r w:rsidRPr="00426CC5">
              <w:rPr>
                <w:noProof/>
                <w:sz w:val="22"/>
                <w:highlight w:val="lightGray"/>
              </w:rPr>
              <w:t>):</w:t>
            </w:r>
          </w:p>
          <w:p w14:paraId="6B3C1BF7"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par type de bâtiment</w:t>
            </w:r>
          </w:p>
          <w:p w14:paraId="6B3C1BF8"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 xml:space="preserve">pour atteindre un niveau de consommation d’énergie quasi nulle </w:t>
            </w:r>
          </w:p>
          <w:p w14:paraId="6B3C1BF9"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par profondeur de rénovation (rénovation moyenne pondérée)</w:t>
            </w:r>
          </w:p>
          <w:p w14:paraId="6B3C1BFA"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travaux de rénovation en profondeur</w:t>
            </w:r>
          </w:p>
          <w:p w14:paraId="6B3C1BFB" w14:textId="77777777" w:rsidR="0012730B" w:rsidRPr="00426CC5" w:rsidRDefault="000448D2" w:rsidP="00D0142A">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bâtiments publics</w:t>
            </w:r>
          </w:p>
        </w:tc>
        <w:tc>
          <w:tcPr>
            <w:tcW w:w="4820" w:type="dxa"/>
            <w:tcBorders>
              <w:top w:val="single" w:sz="4" w:space="0" w:color="auto"/>
              <w:left w:val="single" w:sz="4" w:space="0" w:color="auto"/>
              <w:bottom w:val="single" w:sz="4" w:space="0" w:color="auto"/>
              <w:right w:val="nil"/>
            </w:tcBorders>
          </w:tcPr>
          <w:p w14:paraId="6B3C1BFC" w14:textId="77777777" w:rsidR="000448D2" w:rsidRPr="00426CC5" w:rsidRDefault="000448D2" w:rsidP="009567AF">
            <w:pPr>
              <w:widowControl w:val="0"/>
              <w:tabs>
                <w:tab w:val="left" w:pos="370"/>
              </w:tabs>
              <w:spacing w:before="196" w:after="0"/>
              <w:jc w:val="left"/>
              <w:rPr>
                <w:rFonts w:eastAsia="Times New Roman"/>
                <w:noProof/>
                <w:sz w:val="22"/>
                <w:highlight w:val="lightGray"/>
              </w:rPr>
            </w:pPr>
          </w:p>
        </w:tc>
      </w:tr>
      <w:tr w:rsidR="000448D2" w:rsidRPr="00426CC5" w14:paraId="6B3C1C0E" w14:textId="77777777" w:rsidTr="152E62AB">
        <w:trPr>
          <w:trHeight w:val="1380"/>
        </w:trPr>
        <w:tc>
          <w:tcPr>
            <w:tcW w:w="2552" w:type="dxa"/>
            <w:vMerge/>
          </w:tcPr>
          <w:p w14:paraId="6B3C1BFE" w14:textId="77777777" w:rsidR="000448D2" w:rsidRPr="00426CC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BFF"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Consommation d'énergie primaire et finale (en ktep)</w:t>
            </w:r>
          </w:p>
          <w:p w14:paraId="6B3C1C00"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type de bâtiment</w:t>
            </w:r>
          </w:p>
          <w:p w14:paraId="6B3C1C01"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utilisation finale</w:t>
            </w:r>
          </w:p>
          <w:p w14:paraId="6B3C1C02"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Économies d’énergie (en ktep):</w:t>
            </w:r>
          </w:p>
          <w:p w14:paraId="6B3C1C03"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par type de bâtiment </w:t>
            </w:r>
          </w:p>
          <w:p w14:paraId="6B3C1C04"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bâtiments publics</w:t>
            </w:r>
          </w:p>
          <w:p w14:paraId="6B3C1C05"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 xml:space="preserve">Part des énergies renouvelables dans le secteur des bâtiments (en MW produits): </w:t>
            </w:r>
          </w:p>
          <w:p w14:paraId="6B3C1C06"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pour différentes utilisations</w:t>
            </w:r>
          </w:p>
          <w:p w14:paraId="6B3C1C07"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sur site</w:t>
            </w:r>
          </w:p>
          <w:p w14:paraId="6B3C1C08"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hors site</w:t>
            </w:r>
          </w:p>
        </w:tc>
        <w:tc>
          <w:tcPr>
            <w:tcW w:w="4820" w:type="dxa"/>
            <w:tcBorders>
              <w:top w:val="single" w:sz="4" w:space="0" w:color="auto"/>
              <w:left w:val="single" w:sz="4" w:space="0" w:color="auto"/>
              <w:bottom w:val="single" w:sz="4" w:space="0" w:color="auto"/>
              <w:right w:val="nil"/>
            </w:tcBorders>
          </w:tcPr>
          <w:p w14:paraId="6B3C1C09" w14:textId="77777777" w:rsidR="000448D2" w:rsidRPr="00426CC5" w:rsidRDefault="000448D2" w:rsidP="009567AF">
            <w:pPr>
              <w:widowControl w:val="0"/>
              <w:tabs>
                <w:tab w:val="left" w:pos="650"/>
              </w:tabs>
              <w:spacing w:before="73" w:after="0"/>
              <w:jc w:val="left"/>
              <w:rPr>
                <w:rFonts w:eastAsia="Times New Roman"/>
                <w:noProof/>
                <w:sz w:val="22"/>
                <w:highlight w:val="lightGray"/>
              </w:rPr>
            </w:pPr>
            <w:r w:rsidRPr="00426CC5">
              <w:rPr>
                <w:noProof/>
                <w:sz w:val="22"/>
                <w:highlight w:val="lightGray"/>
              </w:rPr>
              <w:t>Réduction des coûts énergétiques (en EUR) par ménage (moyenne)</w:t>
            </w:r>
          </w:p>
          <w:p w14:paraId="6B3C1C0A" w14:textId="77777777" w:rsidR="000448D2" w:rsidRPr="00426CC5" w:rsidRDefault="000448D2" w:rsidP="009567AF">
            <w:pPr>
              <w:widowControl w:val="0"/>
              <w:tabs>
                <w:tab w:val="left" w:pos="650"/>
              </w:tabs>
              <w:spacing w:before="73" w:after="0"/>
              <w:jc w:val="left"/>
              <w:rPr>
                <w:rFonts w:eastAsia="Times New Roman"/>
                <w:noProof/>
                <w:sz w:val="22"/>
                <w:highlight w:val="lightGray"/>
              </w:rPr>
            </w:pPr>
          </w:p>
          <w:p w14:paraId="6B3C1C0B" w14:textId="169AC9F3" w:rsidR="000448D2" w:rsidRPr="00426CC5" w:rsidRDefault="3D541C21" w:rsidP="152E62AB">
            <w:pPr>
              <w:widowControl w:val="0"/>
              <w:tabs>
                <w:tab w:val="left" w:pos="650"/>
              </w:tabs>
              <w:spacing w:before="73" w:after="0"/>
              <w:jc w:val="left"/>
              <w:rPr>
                <w:rFonts w:eastAsia="Times New Roman"/>
                <w:noProof/>
                <w:sz w:val="22"/>
                <w:highlight w:val="lightGray"/>
              </w:rPr>
            </w:pPr>
            <w:r w:rsidRPr="00426CC5">
              <w:rPr>
                <w:noProof/>
                <w:sz w:val="22"/>
                <w:highlight w:val="lightGray"/>
              </w:rPr>
              <w:t>Demande en énergie primaire d’un bâtiment correspondant aux 15 % (seuil de contribution substantielle) et aux 30 % les plus performants (seuil d’absence de préjudice important) du parc immobilier national, conformément à l’acte délégué de l’UE établissant les conditions dans lesquelles une activité économique peut être considérée comme contribuant à l’atténuation du changement climatique.</w:t>
            </w:r>
          </w:p>
          <w:p w14:paraId="6B3C1C0C" w14:textId="77777777" w:rsidR="000448D2" w:rsidRPr="00426CC5" w:rsidRDefault="000448D2" w:rsidP="009567AF">
            <w:pPr>
              <w:widowControl w:val="0"/>
              <w:tabs>
                <w:tab w:val="left" w:pos="650"/>
              </w:tabs>
              <w:spacing w:before="73" w:after="0"/>
              <w:jc w:val="left"/>
              <w:rPr>
                <w:rFonts w:eastAsia="Times New Roman"/>
                <w:noProof/>
                <w:sz w:val="22"/>
                <w:highlight w:val="lightGray"/>
              </w:rPr>
            </w:pPr>
          </w:p>
          <w:p w14:paraId="6B3C1C0D" w14:textId="77777777" w:rsidR="000448D2" w:rsidRPr="00426CC5" w:rsidRDefault="000448D2" w:rsidP="009567AF">
            <w:pPr>
              <w:widowControl w:val="0"/>
              <w:tabs>
                <w:tab w:val="left" w:pos="650"/>
              </w:tabs>
              <w:spacing w:before="73" w:after="0"/>
              <w:jc w:val="left"/>
              <w:rPr>
                <w:rFonts w:eastAsia="Times New Roman"/>
                <w:noProof/>
                <w:sz w:val="22"/>
                <w:highlight w:val="lightGray"/>
              </w:rPr>
            </w:pPr>
            <w:r w:rsidRPr="00426CC5">
              <w:rPr>
                <w:noProof/>
                <w:sz w:val="22"/>
                <w:highlight w:val="lightGray"/>
              </w:rPr>
              <w:t>Part du système de chauffage dans le secteur du bâtiment par type de chaudière/système de chauffage</w:t>
            </w:r>
          </w:p>
        </w:tc>
      </w:tr>
      <w:tr w:rsidR="000448D2" w:rsidRPr="00426CC5" w14:paraId="6B3C1C15" w14:textId="77777777" w:rsidTr="152E62AB">
        <w:trPr>
          <w:trHeight w:val="1021"/>
        </w:trPr>
        <w:tc>
          <w:tcPr>
            <w:tcW w:w="2552" w:type="dxa"/>
            <w:vMerge/>
          </w:tcPr>
          <w:p w14:paraId="6B3C1C0F" w14:textId="77777777" w:rsidR="000448D2" w:rsidRPr="00426CC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C10" w14:textId="77777777" w:rsidR="000448D2" w:rsidRPr="00426CC5" w:rsidRDefault="000448D2" w:rsidP="009567AF">
            <w:pPr>
              <w:widowControl w:val="0"/>
              <w:tabs>
                <w:tab w:val="left" w:pos="370"/>
              </w:tabs>
              <w:spacing w:before="196" w:after="0"/>
              <w:jc w:val="left"/>
              <w:rPr>
                <w:rFonts w:eastAsia="Times New Roman"/>
                <w:noProof/>
                <w:sz w:val="22"/>
                <w:highlight w:val="lightGray"/>
              </w:rPr>
            </w:pPr>
            <w:r w:rsidRPr="00426CC5">
              <w:rPr>
                <w:noProof/>
                <w:sz w:val="22"/>
                <w:highlight w:val="lightGray"/>
              </w:rPr>
              <w:t>Émissions annuelles de gaz à effet de serre</w:t>
            </w:r>
            <w:r w:rsidRPr="00426CC5">
              <w:rPr>
                <w:noProof/>
                <w:highlight w:val="lightGray"/>
              </w:rPr>
              <w:t xml:space="preserve"> (</w:t>
            </w:r>
            <w:r w:rsidRPr="00426CC5">
              <w:rPr>
                <w:noProof/>
                <w:sz w:val="22"/>
                <w:highlight w:val="lightGray"/>
              </w:rPr>
              <w:t>kg eq. CO</w:t>
            </w:r>
            <w:r w:rsidRPr="00426CC5">
              <w:rPr>
                <w:noProof/>
                <w:sz w:val="22"/>
                <w:highlight w:val="lightGray"/>
                <w:vertAlign w:val="subscript"/>
              </w:rPr>
              <w:t>2</w:t>
            </w:r>
            <w:r w:rsidRPr="00426CC5">
              <w:rPr>
                <w:noProof/>
                <w:sz w:val="22"/>
                <w:highlight w:val="lightGray"/>
              </w:rPr>
              <w:t>/(m</w:t>
            </w:r>
            <w:r w:rsidRPr="00426CC5">
              <w:rPr>
                <w:noProof/>
                <w:sz w:val="22"/>
                <w:highlight w:val="lightGray"/>
                <w:vertAlign w:val="superscript"/>
              </w:rPr>
              <w:t>2</w:t>
            </w:r>
            <w:r w:rsidRPr="00426CC5">
              <w:rPr>
                <w:noProof/>
                <w:sz w:val="22"/>
                <w:highlight w:val="lightGray"/>
              </w:rPr>
              <w:t>.an):</w:t>
            </w:r>
          </w:p>
          <w:p w14:paraId="6B3C1C11"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type de bâtiment (bâtiments publics compris)</w:t>
            </w:r>
          </w:p>
          <w:p w14:paraId="6B3C1C12"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Réduction annuelle des émissions de gaz à effet de serre (kg eq. CO</w:t>
            </w:r>
            <w:r w:rsidRPr="00426CC5">
              <w:rPr>
                <w:noProof/>
                <w:sz w:val="22"/>
                <w:highlight w:val="lightGray"/>
                <w:vertAlign w:val="subscript"/>
              </w:rPr>
              <w:t>2</w:t>
            </w:r>
            <w:r w:rsidRPr="00426CC5">
              <w:rPr>
                <w:noProof/>
                <w:sz w:val="22"/>
                <w:highlight w:val="lightGray"/>
              </w:rPr>
              <w:t>/(m</w:t>
            </w:r>
            <w:r w:rsidRPr="00426CC5">
              <w:rPr>
                <w:noProof/>
                <w:sz w:val="22"/>
                <w:highlight w:val="lightGray"/>
                <w:vertAlign w:val="superscript"/>
              </w:rPr>
              <w:t>2</w:t>
            </w:r>
            <w:r w:rsidRPr="00426CC5">
              <w:rPr>
                <w:noProof/>
                <w:sz w:val="22"/>
                <w:highlight w:val="lightGray"/>
              </w:rPr>
              <w:t>.an):</w:t>
            </w:r>
          </w:p>
          <w:p w14:paraId="6B3C1C13"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rPr>
              <w:tab/>
            </w:r>
            <w:r w:rsidRPr="00426CC5">
              <w:rPr>
                <w:noProof/>
                <w:sz w:val="22"/>
                <w:highlight w:val="lightGray"/>
              </w:rPr>
              <w:t>par type de bâtiment (bâtiments publics compris)</w:t>
            </w:r>
          </w:p>
        </w:tc>
        <w:tc>
          <w:tcPr>
            <w:tcW w:w="4820" w:type="dxa"/>
            <w:tcBorders>
              <w:top w:val="single" w:sz="4" w:space="0" w:color="auto"/>
              <w:left w:val="single" w:sz="4" w:space="0" w:color="auto"/>
              <w:bottom w:val="single" w:sz="4" w:space="0" w:color="auto"/>
              <w:right w:val="nil"/>
            </w:tcBorders>
          </w:tcPr>
          <w:p w14:paraId="6B3C1C14"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426CC5" w14:paraId="6B3C1C34" w14:textId="77777777" w:rsidTr="152E62AB">
        <w:trPr>
          <w:trHeight w:val="2413"/>
        </w:trPr>
        <w:tc>
          <w:tcPr>
            <w:tcW w:w="2552" w:type="dxa"/>
            <w:vMerge/>
          </w:tcPr>
          <w:p w14:paraId="6B3C1C16" w14:textId="77777777" w:rsidR="000448D2" w:rsidRPr="00426CC5" w:rsidRDefault="000448D2" w:rsidP="009567AF">
            <w:pPr>
              <w:widowControl w:val="0"/>
              <w:spacing w:before="0" w:after="0"/>
              <w:ind w:left="310" w:hanging="284"/>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tcBorders>
          </w:tcPr>
          <w:p w14:paraId="6B3C1C17" w14:textId="77777777" w:rsidR="000448D2" w:rsidRPr="00426CC5" w:rsidRDefault="000448D2" w:rsidP="009567AF">
            <w:pPr>
              <w:widowControl w:val="0"/>
              <w:tabs>
                <w:tab w:val="left" w:pos="370"/>
              </w:tabs>
              <w:spacing w:before="73" w:after="0"/>
              <w:jc w:val="left"/>
              <w:rPr>
                <w:rFonts w:eastAsia="Times New Roman"/>
                <w:noProof/>
                <w:sz w:val="22"/>
                <w:highlight w:val="lightGray"/>
              </w:rPr>
            </w:pPr>
            <w:r w:rsidRPr="00426CC5">
              <w:rPr>
                <w:noProof/>
                <w:sz w:val="22"/>
                <w:highlight w:val="lightGray"/>
              </w:rPr>
              <w:t>Obstacles et défaillances sur le marché (description):</w:t>
            </w:r>
          </w:p>
          <w:p w14:paraId="6B3C1C18"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dispersion des incitations</w:t>
            </w:r>
          </w:p>
          <w:p w14:paraId="6B3C1C19"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capacité du secteur de la construction et de l’énergie</w:t>
            </w:r>
          </w:p>
          <w:p w14:paraId="6B3C1C1A" w14:textId="77777777" w:rsidR="000448D2" w:rsidRPr="00426CC5" w:rsidRDefault="000448D2" w:rsidP="009567AF">
            <w:pPr>
              <w:widowControl w:val="0"/>
              <w:tabs>
                <w:tab w:val="left" w:pos="651"/>
              </w:tabs>
              <w:spacing w:before="73" w:after="0" w:line="278" w:lineRule="exact"/>
              <w:ind w:left="369"/>
              <w:jc w:val="left"/>
              <w:rPr>
                <w:rFonts w:eastAsia="Times New Roman"/>
                <w:noProof/>
                <w:sz w:val="22"/>
                <w:highlight w:val="lightGray"/>
              </w:rPr>
            </w:pPr>
          </w:p>
          <w:p w14:paraId="6B3C1C1B"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p>
          <w:p w14:paraId="6B3C1C1C"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p>
          <w:p w14:paraId="6B3C1C1D"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Aperçu des capacités dans les secteurs de la construction, de l’efficacité énergétique et des énergies renouvelables</w:t>
            </w:r>
          </w:p>
        </w:tc>
        <w:tc>
          <w:tcPr>
            <w:tcW w:w="4820" w:type="dxa"/>
            <w:tcBorders>
              <w:top w:val="single" w:sz="4" w:space="0" w:color="auto"/>
              <w:bottom w:val="single" w:sz="4" w:space="0" w:color="auto"/>
              <w:right w:val="nil"/>
            </w:tcBorders>
          </w:tcPr>
          <w:p w14:paraId="6B3C1C1E"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Obstacles et défaillances sur le marché (description):</w:t>
            </w:r>
          </w:p>
          <w:p w14:paraId="6B3C1C1F"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d’ordre administratif</w:t>
            </w:r>
          </w:p>
          <w:p w14:paraId="6B3C1C20"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d’ordre financier</w:t>
            </w:r>
          </w:p>
          <w:p w14:paraId="6B3C1C21"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d’ordre technique</w:t>
            </w:r>
          </w:p>
          <w:p w14:paraId="6B3C1C22"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liés à la sensibilisation</w:t>
            </w:r>
          </w:p>
          <w:p w14:paraId="6B3C1C23"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 xml:space="preserve">autres </w:t>
            </w:r>
          </w:p>
          <w:p w14:paraId="6B3C1C24" w14:textId="77777777" w:rsidR="000448D2" w:rsidRPr="00426CC5" w:rsidRDefault="000448D2" w:rsidP="009567AF">
            <w:pPr>
              <w:widowControl w:val="0"/>
              <w:tabs>
                <w:tab w:val="left" w:pos="651"/>
              </w:tabs>
              <w:spacing w:before="73" w:after="0" w:line="278" w:lineRule="exact"/>
              <w:jc w:val="left"/>
              <w:rPr>
                <w:rFonts w:eastAsia="Times New Roman"/>
                <w:noProof/>
                <w:sz w:val="22"/>
                <w:highlight w:val="lightGray"/>
              </w:rPr>
            </w:pPr>
          </w:p>
          <w:p w14:paraId="6B3C1C25" w14:textId="77777777" w:rsidR="000448D2" w:rsidRPr="00426CC5" w:rsidRDefault="000448D2" w:rsidP="009567AF">
            <w:pPr>
              <w:widowControl w:val="0"/>
              <w:spacing w:before="43" w:after="0" w:line="228" w:lineRule="auto"/>
              <w:ind w:left="369" w:right="-19" w:hanging="282"/>
              <w:jc w:val="left"/>
              <w:rPr>
                <w:rFonts w:eastAsia="Times New Roman"/>
                <w:noProof/>
                <w:sz w:val="22"/>
                <w:highlight w:val="lightGray"/>
              </w:rPr>
            </w:pPr>
            <w:r w:rsidRPr="00426CC5">
              <w:rPr>
                <w:noProof/>
                <w:sz w:val="22"/>
                <w:highlight w:val="lightGray"/>
              </w:rPr>
              <w:t xml:space="preserve">Nombre de </w:t>
            </w:r>
          </w:p>
          <w:p w14:paraId="6B3C1C26"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entreprises de services énergétiques</w:t>
            </w:r>
          </w:p>
          <w:p w14:paraId="6B3C1C27"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entreprises de construction</w:t>
            </w:r>
          </w:p>
          <w:p w14:paraId="6B3C1C28"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architectes et ingénieurs</w:t>
            </w:r>
          </w:p>
          <w:p w14:paraId="6B3C1C29"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ouvriers qualifiés</w:t>
            </w:r>
          </w:p>
          <w:p w14:paraId="6B3C1C2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guichets uniques</w:t>
            </w:r>
          </w:p>
          <w:p w14:paraId="6B3C1C2B"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PME dans le secteur de la construction/rénovation</w:t>
            </w:r>
          </w:p>
          <w:p w14:paraId="6B3C1C2C"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p>
          <w:p w14:paraId="6B3C1C2D"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Projections concernant la main-d’œuvre dans le secteur de la construction: </w:t>
            </w:r>
          </w:p>
          <w:p w14:paraId="6B3C1C2E" w14:textId="77777777" w:rsidR="000448D2" w:rsidRPr="00426CC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426CC5">
              <w:rPr>
                <w:noProof/>
                <w:sz w:val="22"/>
                <w:highlight w:val="lightGray"/>
              </w:rPr>
              <w:t>architectes/ingénieurs/ouvriers qualifiés retraités</w:t>
            </w:r>
          </w:p>
          <w:p w14:paraId="6B3C1C2F" w14:textId="77777777" w:rsidR="000448D2" w:rsidRPr="00426CC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426CC5">
              <w:rPr>
                <w:noProof/>
                <w:sz w:val="22"/>
                <w:highlight w:val="lightGray"/>
              </w:rPr>
              <w:t>architectes/ingénieurs/ouvriers qualifiés entrant sur le marché</w:t>
            </w:r>
          </w:p>
          <w:p w14:paraId="6B3C1C30" w14:textId="77777777" w:rsidR="000448D2" w:rsidRPr="00426CC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426CC5">
              <w:rPr>
                <w:noProof/>
                <w:sz w:val="22"/>
                <w:highlight w:val="lightGray"/>
              </w:rPr>
              <w:t>jeunes dans le secteur</w:t>
            </w:r>
          </w:p>
          <w:p w14:paraId="6B3C1C31" w14:textId="77777777" w:rsidR="000448D2" w:rsidRPr="00426CC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426CC5">
              <w:rPr>
                <w:noProof/>
                <w:sz w:val="22"/>
                <w:highlight w:val="lightGray"/>
              </w:rPr>
              <w:t>femmes dans le secteur</w:t>
            </w:r>
          </w:p>
          <w:p w14:paraId="6B3C1C32"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p>
          <w:p w14:paraId="6B3C1C33"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Vue d’ensemble et prévision de l’évolution des prix des matériaux de construction et de l’évolution des marchés nationaux</w:t>
            </w:r>
          </w:p>
        </w:tc>
      </w:tr>
      <w:tr w:rsidR="000448D2" w:rsidRPr="00426CC5" w14:paraId="6B3C1C3C" w14:textId="77777777" w:rsidTr="152E62AB">
        <w:trPr>
          <w:trHeight w:val="987"/>
        </w:trPr>
        <w:tc>
          <w:tcPr>
            <w:tcW w:w="2552" w:type="dxa"/>
            <w:vMerge/>
          </w:tcPr>
          <w:p w14:paraId="6B3C1C35"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6B3C1C36" w14:textId="77777777" w:rsidR="000448D2" w:rsidRPr="00426CC5" w:rsidRDefault="000448D2" w:rsidP="009567AF">
            <w:pPr>
              <w:widowControl w:val="0"/>
              <w:tabs>
                <w:tab w:val="left" w:pos="370"/>
              </w:tabs>
              <w:spacing w:before="73" w:after="0"/>
              <w:jc w:val="left"/>
              <w:rPr>
                <w:rFonts w:eastAsia="Times New Roman"/>
                <w:noProof/>
                <w:sz w:val="22"/>
                <w:highlight w:val="lightGray"/>
              </w:rPr>
            </w:pPr>
            <w:r w:rsidRPr="00426CC5">
              <w:rPr>
                <w:noProof/>
                <w:sz w:val="22"/>
                <w:highlight w:val="lightGray"/>
              </w:rPr>
              <w:t>Précarité énergétique (définition):</w:t>
            </w:r>
          </w:p>
          <w:p w14:paraId="6B3C1C37"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 de personnes en situation de précarité énergétique</w:t>
            </w:r>
          </w:p>
          <w:p w14:paraId="6B3C1C38"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part du revenu disponible des ménages consacrée à l'énergie</w:t>
            </w:r>
          </w:p>
          <w:p w14:paraId="6B3C1C39"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population vivant dans des conditions de logement inadéquates (par exemple fuites de toit) ou des conditions de confort thermiques insuffisantes</w:t>
            </w:r>
          </w:p>
          <w:p w14:paraId="6B3C1C3A" w14:textId="77777777" w:rsidR="000448D2" w:rsidRPr="00426CC5" w:rsidRDefault="000448D2" w:rsidP="009567AF">
            <w:pPr>
              <w:widowControl w:val="0"/>
              <w:tabs>
                <w:tab w:val="left" w:pos="651"/>
              </w:tabs>
              <w:spacing w:before="73" w:after="0" w:line="278" w:lineRule="exact"/>
              <w:ind w:left="368"/>
              <w:jc w:val="left"/>
              <w:rPr>
                <w:rFonts w:eastAsia="Times New Roman"/>
                <w:noProof/>
                <w:sz w:val="22"/>
                <w:highlight w:val="lightGray"/>
              </w:rPr>
            </w:pPr>
          </w:p>
        </w:tc>
        <w:tc>
          <w:tcPr>
            <w:tcW w:w="4820" w:type="dxa"/>
            <w:tcBorders>
              <w:top w:val="single" w:sz="4" w:space="0" w:color="auto"/>
              <w:bottom w:val="single" w:sz="4" w:space="0" w:color="auto"/>
              <w:right w:val="nil"/>
            </w:tcBorders>
          </w:tcPr>
          <w:p w14:paraId="6B3C1C3B" w14:textId="77777777" w:rsidR="000448D2" w:rsidRPr="00426CC5" w:rsidRDefault="000448D2" w:rsidP="009567AF">
            <w:pPr>
              <w:pStyle w:val="Point0"/>
              <w:widowControl w:val="0"/>
              <w:spacing w:line="259" w:lineRule="auto"/>
              <w:ind w:left="0" w:firstLine="0"/>
              <w:rPr>
                <w:rFonts w:eastAsia="Times New Roman"/>
                <w:noProof/>
                <w:sz w:val="22"/>
                <w:highlight w:val="lightGray"/>
              </w:rPr>
            </w:pPr>
          </w:p>
        </w:tc>
      </w:tr>
      <w:tr w:rsidR="000448D2" w:rsidRPr="00426CC5" w14:paraId="6B3C1C44" w14:textId="77777777" w:rsidTr="152E62AB">
        <w:trPr>
          <w:trHeight w:val="838"/>
        </w:trPr>
        <w:tc>
          <w:tcPr>
            <w:tcW w:w="2552" w:type="dxa"/>
            <w:vMerge/>
          </w:tcPr>
          <w:p w14:paraId="6B3C1C3D"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6B3C1C3E" w14:textId="77777777" w:rsidR="000448D2" w:rsidRPr="00426CC5" w:rsidRDefault="000448D2" w:rsidP="009567AF">
            <w:pPr>
              <w:widowControl w:val="0"/>
              <w:tabs>
                <w:tab w:val="left" w:pos="370"/>
              </w:tabs>
              <w:spacing w:before="73" w:after="0"/>
              <w:jc w:val="left"/>
              <w:rPr>
                <w:noProof/>
                <w:sz w:val="22"/>
                <w:highlight w:val="lightGray"/>
              </w:rPr>
            </w:pPr>
            <w:r w:rsidRPr="00426CC5">
              <w:rPr>
                <w:noProof/>
                <w:sz w:val="22"/>
                <w:highlight w:val="lightGray"/>
              </w:rPr>
              <w:t>Facteurs d’énergie primaire:</w:t>
            </w:r>
          </w:p>
          <w:p w14:paraId="6B3C1C3F"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par vecteur énergétique</w:t>
            </w:r>
          </w:p>
          <w:p w14:paraId="6B3C1C40"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facteur d’énergie primaire non renouvelable</w:t>
            </w:r>
          </w:p>
          <w:p w14:paraId="6B3C1C41"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 xml:space="preserve">facteur d’énergie primaire renouvelable </w:t>
            </w:r>
          </w:p>
          <w:p w14:paraId="6B3C1C42" w14:textId="77777777" w:rsidR="000448D2" w:rsidRPr="00426CC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426CC5">
              <w:rPr>
                <w:noProof/>
                <w:sz w:val="22"/>
                <w:highlight w:val="lightGray"/>
              </w:rPr>
              <w:t xml:space="preserve">facteur d’énergie primaire totale </w:t>
            </w:r>
          </w:p>
        </w:tc>
        <w:tc>
          <w:tcPr>
            <w:tcW w:w="4820" w:type="dxa"/>
            <w:tcBorders>
              <w:top w:val="single" w:sz="4" w:space="0" w:color="auto"/>
              <w:bottom w:val="single" w:sz="4" w:space="0" w:color="auto"/>
              <w:right w:val="nil"/>
            </w:tcBorders>
          </w:tcPr>
          <w:p w14:paraId="6B3C1C43" w14:textId="77777777" w:rsidR="000448D2" w:rsidRPr="00426CC5"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426CC5" w14:paraId="6B3C1C48" w14:textId="77777777" w:rsidTr="152E62AB">
        <w:trPr>
          <w:trHeight w:val="546"/>
        </w:trPr>
        <w:tc>
          <w:tcPr>
            <w:tcW w:w="2552" w:type="dxa"/>
            <w:vMerge/>
          </w:tcPr>
          <w:p w14:paraId="6B3C1C45"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6B3C1C46" w14:textId="77777777" w:rsidR="000448D2" w:rsidRPr="00426CC5" w:rsidRDefault="000448D2" w:rsidP="009567AF">
            <w:pPr>
              <w:widowControl w:val="0"/>
              <w:tabs>
                <w:tab w:val="left" w:pos="370"/>
              </w:tabs>
              <w:spacing w:before="73" w:after="0"/>
              <w:jc w:val="left"/>
              <w:rPr>
                <w:noProof/>
                <w:sz w:val="22"/>
                <w:highlight w:val="lightGray"/>
              </w:rPr>
            </w:pPr>
            <w:r w:rsidRPr="00426CC5">
              <w:rPr>
                <w:noProof/>
                <w:sz w:val="22"/>
                <w:highlight w:val="lightGray"/>
              </w:rPr>
              <w:t>Définition d’un bâtiment dont la consommation d’énergie est quasi nulle (NZEB) pour les bâtiments neufs et existants</w:t>
            </w:r>
          </w:p>
        </w:tc>
        <w:tc>
          <w:tcPr>
            <w:tcW w:w="4820" w:type="dxa"/>
            <w:tcBorders>
              <w:top w:val="single" w:sz="4" w:space="0" w:color="auto"/>
              <w:bottom w:val="single" w:sz="4" w:space="0" w:color="auto"/>
              <w:right w:val="nil"/>
            </w:tcBorders>
          </w:tcPr>
          <w:p w14:paraId="6B3C1C47" w14:textId="77777777" w:rsidR="000448D2" w:rsidRPr="00426CC5" w:rsidRDefault="000448D2" w:rsidP="009567AF">
            <w:pPr>
              <w:widowControl w:val="0"/>
              <w:spacing w:before="43" w:after="0" w:line="228" w:lineRule="auto"/>
              <w:ind w:left="369" w:right="-19" w:hanging="282"/>
              <w:jc w:val="left"/>
              <w:rPr>
                <w:rFonts w:eastAsia="Times New Roman"/>
                <w:noProof/>
                <w:sz w:val="22"/>
                <w:highlight w:val="lightGray"/>
              </w:rPr>
            </w:pPr>
            <w:r w:rsidRPr="00426CC5">
              <w:rPr>
                <w:noProof/>
                <w:sz w:val="22"/>
                <w:highlight w:val="lightGray"/>
              </w:rPr>
              <w:t>aperçu du cadre juridique et administratif</w:t>
            </w:r>
          </w:p>
        </w:tc>
      </w:tr>
      <w:tr w:rsidR="000448D2" w:rsidRPr="00426CC5" w14:paraId="6B3C1C4C" w14:textId="77777777" w:rsidTr="152E62AB">
        <w:trPr>
          <w:trHeight w:val="682"/>
        </w:trPr>
        <w:tc>
          <w:tcPr>
            <w:tcW w:w="2552" w:type="dxa"/>
            <w:vMerge/>
          </w:tcPr>
          <w:p w14:paraId="6B3C1C49"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6B3C1C4A" w14:textId="77777777" w:rsidR="000448D2" w:rsidRPr="00426CC5" w:rsidRDefault="000448D2" w:rsidP="009567AF">
            <w:pPr>
              <w:widowControl w:val="0"/>
              <w:tabs>
                <w:tab w:val="left" w:pos="370"/>
              </w:tabs>
              <w:spacing w:before="73" w:after="0"/>
              <w:jc w:val="left"/>
              <w:rPr>
                <w:noProof/>
                <w:sz w:val="22"/>
                <w:highlight w:val="lightGray"/>
              </w:rPr>
            </w:pPr>
            <w:r w:rsidRPr="00426CC5">
              <w:rPr>
                <w:noProof/>
                <w:sz w:val="22"/>
                <w:highlight w:val="lightGray"/>
              </w:rPr>
              <w:t>Exigences minimales relatives aux niveaux optimaux en fonction des coûts pour les bâtiments neufs et existants</w:t>
            </w:r>
          </w:p>
        </w:tc>
        <w:tc>
          <w:tcPr>
            <w:tcW w:w="4820" w:type="dxa"/>
            <w:tcBorders>
              <w:top w:val="single" w:sz="4" w:space="0" w:color="auto"/>
              <w:bottom w:val="single" w:sz="4" w:space="0" w:color="auto"/>
              <w:right w:val="nil"/>
            </w:tcBorders>
          </w:tcPr>
          <w:p w14:paraId="6B3C1C4B" w14:textId="77777777" w:rsidR="000448D2" w:rsidRPr="00426CC5"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426CC5" w14:paraId="6B3C1C56" w14:textId="77777777" w:rsidTr="152E62AB">
        <w:trPr>
          <w:trHeight w:val="2256"/>
        </w:trPr>
        <w:tc>
          <w:tcPr>
            <w:tcW w:w="2552" w:type="dxa"/>
            <w:vMerge w:val="restart"/>
            <w:tcBorders>
              <w:top w:val="single" w:sz="4" w:space="0" w:color="auto"/>
              <w:left w:val="nil"/>
            </w:tcBorders>
          </w:tcPr>
          <w:p w14:paraId="6B3C1C4D" w14:textId="77777777" w:rsidR="000448D2" w:rsidRPr="00426CC5" w:rsidRDefault="000448D2" w:rsidP="009567AF">
            <w:pPr>
              <w:widowControl w:val="0"/>
              <w:spacing w:before="0" w:after="0"/>
              <w:jc w:val="left"/>
              <w:rPr>
                <w:noProof/>
                <w:sz w:val="22"/>
                <w:highlight w:val="lightGray"/>
              </w:rPr>
            </w:pPr>
            <w:r w:rsidRPr="00426CC5">
              <w:rPr>
                <w:noProof/>
                <w:sz w:val="22"/>
                <w:highlight w:val="lightGray"/>
              </w:rPr>
              <w:t>b) Feuille de route pour 2030, 2040, 2050</w:t>
            </w:r>
          </w:p>
          <w:p w14:paraId="6B3C1C4E"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bottom w:val="single" w:sz="4" w:space="0" w:color="auto"/>
            </w:tcBorders>
          </w:tcPr>
          <w:p w14:paraId="6B3C1C4F" w14:textId="77777777" w:rsidR="000448D2" w:rsidRPr="00426CC5" w:rsidRDefault="000448D2" w:rsidP="009567AF">
            <w:pPr>
              <w:widowControl w:val="0"/>
              <w:tabs>
                <w:tab w:val="left" w:pos="370"/>
              </w:tabs>
              <w:spacing w:before="196" w:after="0"/>
              <w:jc w:val="left"/>
              <w:rPr>
                <w:rFonts w:eastAsia="Times New Roman"/>
                <w:noProof/>
                <w:sz w:val="22"/>
                <w:highlight w:val="lightGray"/>
              </w:rPr>
            </w:pPr>
            <w:r w:rsidRPr="00426CC5">
              <w:rPr>
                <w:noProof/>
                <w:sz w:val="22"/>
                <w:highlight w:val="lightGray"/>
              </w:rPr>
              <w:t>Objectifs concernant les taux annuels de rénovation: nombre de bâtiments et surface au sol totale (m</w:t>
            </w:r>
            <w:r w:rsidRPr="00426CC5">
              <w:rPr>
                <w:noProof/>
                <w:sz w:val="22"/>
                <w:highlight w:val="lightGray"/>
                <w:vertAlign w:val="superscript"/>
              </w:rPr>
              <w:t>2</w:t>
            </w:r>
            <w:r w:rsidRPr="00426CC5">
              <w:rPr>
                <w:noProof/>
                <w:sz w:val="22"/>
                <w:highlight w:val="lightGray"/>
              </w:rPr>
              <w:t>):</w:t>
            </w:r>
          </w:p>
          <w:p w14:paraId="6B3C1C50"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par type de bâtiment</w:t>
            </w:r>
          </w:p>
          <w:p w14:paraId="6B3C1C51"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bâtiments les moins performants</w:t>
            </w:r>
          </w:p>
          <w:p w14:paraId="6B3C1C52" w14:textId="77777777" w:rsidR="000448D2" w:rsidRPr="00426CC5" w:rsidRDefault="000448D2" w:rsidP="009567AF">
            <w:pPr>
              <w:widowControl w:val="0"/>
              <w:tabs>
                <w:tab w:val="left" w:pos="650"/>
              </w:tabs>
              <w:spacing w:before="74" w:after="0" w:line="278" w:lineRule="exact"/>
              <w:jc w:val="left"/>
              <w:rPr>
                <w:rFonts w:eastAsia="Times New Roman"/>
                <w:noProof/>
                <w:sz w:val="22"/>
                <w:highlight w:val="lightGray"/>
              </w:rPr>
            </w:pPr>
          </w:p>
        </w:tc>
        <w:tc>
          <w:tcPr>
            <w:tcW w:w="4820" w:type="dxa"/>
            <w:tcBorders>
              <w:top w:val="single" w:sz="4" w:space="0" w:color="auto"/>
              <w:bottom w:val="single" w:sz="4" w:space="0" w:color="auto"/>
              <w:right w:val="nil"/>
            </w:tcBorders>
          </w:tcPr>
          <w:p w14:paraId="6B3C1C53" w14:textId="77777777" w:rsidR="000448D2" w:rsidRPr="00426CC5" w:rsidRDefault="000448D2" w:rsidP="009567AF">
            <w:pPr>
              <w:widowControl w:val="0"/>
              <w:tabs>
                <w:tab w:val="left" w:pos="370"/>
              </w:tabs>
              <w:spacing w:before="196" w:after="0"/>
              <w:jc w:val="left"/>
              <w:rPr>
                <w:rFonts w:eastAsia="Times New Roman"/>
                <w:noProof/>
                <w:sz w:val="22"/>
                <w:highlight w:val="lightGray"/>
              </w:rPr>
            </w:pPr>
            <w:r w:rsidRPr="00426CC5">
              <w:rPr>
                <w:noProof/>
                <w:sz w:val="22"/>
                <w:highlight w:val="lightGray"/>
              </w:rPr>
              <w:t>Objectifs concernant la proportion escomptée (%) de bâtiments rénovés:</w:t>
            </w:r>
          </w:p>
          <w:p w14:paraId="6B3C1C54" w14:textId="77777777" w:rsidR="000448D2" w:rsidRPr="00426CC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426CC5">
              <w:rPr>
                <w:noProof/>
                <w:sz w:val="22"/>
                <w:highlight w:val="lightGray"/>
              </w:rPr>
              <w:t>par type de bâtiment</w:t>
            </w:r>
          </w:p>
          <w:p w14:paraId="6B3C1C55" w14:textId="77777777" w:rsidR="000448D2" w:rsidRPr="00426CC5" w:rsidRDefault="000448D2" w:rsidP="00B67872">
            <w:pPr>
              <w:widowControl w:val="0"/>
              <w:tabs>
                <w:tab w:val="left" w:pos="650"/>
              </w:tabs>
              <w:spacing w:before="74" w:after="0" w:line="278" w:lineRule="exact"/>
              <w:ind w:left="649"/>
              <w:jc w:val="left"/>
              <w:rPr>
                <w:rFonts w:eastAsia="Times New Roman"/>
                <w:noProof/>
                <w:sz w:val="22"/>
                <w:highlight w:val="lightGray"/>
              </w:rPr>
            </w:pPr>
            <w:r w:rsidRPr="00426CC5">
              <w:rPr>
                <w:noProof/>
                <w:sz w:val="22"/>
                <w:highlight w:val="lightGray"/>
              </w:rPr>
              <w:t xml:space="preserve">par profondeur de rénovation </w:t>
            </w:r>
          </w:p>
        </w:tc>
      </w:tr>
      <w:tr w:rsidR="000448D2" w:rsidRPr="00426CC5" w14:paraId="6B3C1C5E" w14:textId="77777777" w:rsidTr="152E62AB">
        <w:trPr>
          <w:trHeight w:val="2402"/>
        </w:trPr>
        <w:tc>
          <w:tcPr>
            <w:tcW w:w="2552" w:type="dxa"/>
            <w:vMerge/>
          </w:tcPr>
          <w:p w14:paraId="6B3C1C57"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C58"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Objectif concernant la consommation annuelle escomptée d'énergie primaire et finale (en ktep)</w:t>
            </w:r>
          </w:p>
          <w:p w14:paraId="6B3C1C59"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type de bâtiment</w:t>
            </w:r>
          </w:p>
          <w:p w14:paraId="6B3C1C5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utilisation finale</w:t>
            </w:r>
          </w:p>
          <w:p w14:paraId="6B3C1C5B"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 xml:space="preserve">Économies d’énergie escomptées: </w:t>
            </w:r>
          </w:p>
          <w:p w14:paraId="6B3C1C5C"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par type de bâtiment </w:t>
            </w:r>
          </w:p>
        </w:tc>
        <w:tc>
          <w:tcPr>
            <w:tcW w:w="4820" w:type="dxa"/>
            <w:tcBorders>
              <w:top w:val="single" w:sz="4" w:space="0" w:color="auto"/>
              <w:left w:val="single" w:sz="4" w:space="0" w:color="auto"/>
              <w:bottom w:val="single" w:sz="4" w:space="0" w:color="auto"/>
              <w:right w:val="nil"/>
            </w:tcBorders>
          </w:tcPr>
          <w:p w14:paraId="6B3C1C5D"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Part d’énergie d’origine renouvelable dans le secteur du bâtiment (en MW produits):</w:t>
            </w:r>
          </w:p>
        </w:tc>
      </w:tr>
      <w:tr w:rsidR="000448D2" w:rsidRPr="00426CC5" w14:paraId="6B3C1C67" w14:textId="77777777" w:rsidTr="152E62AB">
        <w:trPr>
          <w:trHeight w:val="1243"/>
        </w:trPr>
        <w:tc>
          <w:tcPr>
            <w:tcW w:w="2552" w:type="dxa"/>
            <w:vMerge/>
          </w:tcPr>
          <w:p w14:paraId="6B3C1C5F"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C60"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Objectifs concernant les émissions de gaz à effet de serre escomptées (kg eq. CO</w:t>
            </w:r>
            <w:r w:rsidRPr="00426CC5">
              <w:rPr>
                <w:noProof/>
                <w:sz w:val="22"/>
                <w:highlight w:val="lightGray"/>
                <w:vertAlign w:val="subscript"/>
              </w:rPr>
              <w:t>2</w:t>
            </w:r>
            <w:r w:rsidRPr="00426CC5">
              <w:rPr>
                <w:noProof/>
                <w:sz w:val="22"/>
                <w:highlight w:val="lightGray"/>
              </w:rPr>
              <w:t>/(m².an):</w:t>
            </w:r>
          </w:p>
          <w:p w14:paraId="6B3C1C61"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par type de bâtiment </w:t>
            </w:r>
          </w:p>
          <w:p w14:paraId="6B3C1C62"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Objectifs concernant les réductions escomptées d’émissions de gaz à effet de serre (%):</w:t>
            </w:r>
          </w:p>
          <w:p w14:paraId="6B3C1C63"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rPr>
              <w:tab/>
            </w:r>
            <w:r w:rsidRPr="00426CC5">
              <w:rPr>
                <w:noProof/>
                <w:sz w:val="22"/>
                <w:highlight w:val="lightGray"/>
              </w:rPr>
              <w:t xml:space="preserve">par type de bâtiment </w:t>
            </w:r>
          </w:p>
        </w:tc>
        <w:tc>
          <w:tcPr>
            <w:tcW w:w="4820" w:type="dxa"/>
            <w:tcBorders>
              <w:top w:val="single" w:sz="4" w:space="0" w:color="auto"/>
              <w:left w:val="single" w:sz="4" w:space="0" w:color="auto"/>
              <w:bottom w:val="single" w:sz="4" w:space="0" w:color="auto"/>
              <w:right w:val="nil"/>
            </w:tcBorders>
          </w:tcPr>
          <w:p w14:paraId="6B3C1C64" w14:textId="77777777" w:rsidR="000448D2" w:rsidRPr="00426CC5" w:rsidRDefault="005B4043" w:rsidP="009567AF">
            <w:pPr>
              <w:widowControl w:val="0"/>
              <w:spacing w:before="74" w:after="0"/>
              <w:jc w:val="left"/>
              <w:rPr>
                <w:rFonts w:eastAsia="Times New Roman"/>
                <w:noProof/>
                <w:sz w:val="22"/>
                <w:highlight w:val="lightGray"/>
              </w:rPr>
            </w:pPr>
            <w:r w:rsidRPr="00426CC5">
              <w:rPr>
                <w:noProof/>
                <w:sz w:val="22"/>
                <w:highlight w:val="lightGray"/>
              </w:rPr>
              <w:t>Répartition entre les émissions relevant du chapitre III [Installations fixes], du chapitre IV</w:t>
            </w:r>
            <w:r w:rsidRPr="00426CC5">
              <w:rPr>
                <w:i/>
                <w:iCs/>
                <w:noProof/>
                <w:sz w:val="22"/>
                <w:highlight w:val="lightGray"/>
              </w:rPr>
              <w:t xml:space="preserve"> bis</w:t>
            </w:r>
            <w:r w:rsidRPr="00426CC5">
              <w:rPr>
                <w:noProof/>
                <w:sz w:val="22"/>
                <w:highlight w:val="lightGray"/>
              </w:rPr>
              <w:t xml:space="preserve"> [nouveau système d’échange de quotas d’émission pour les secteurs du bâtiment et du transport routier] de la directive 2003/87/CE et les autres bâtiments; </w:t>
            </w:r>
          </w:p>
          <w:p w14:paraId="6B3C1C65" w14:textId="77777777" w:rsidR="000448D2" w:rsidRPr="00426CC5" w:rsidRDefault="000448D2" w:rsidP="009567AF">
            <w:pPr>
              <w:widowControl w:val="0"/>
              <w:spacing w:before="74" w:after="0"/>
              <w:jc w:val="left"/>
              <w:rPr>
                <w:rFonts w:eastAsia="Times New Roman"/>
                <w:noProof/>
                <w:sz w:val="22"/>
                <w:highlight w:val="lightGray"/>
              </w:rPr>
            </w:pPr>
            <w:r w:rsidRPr="00426CC5">
              <w:rPr>
                <w:noProof/>
              </w:rPr>
              <w:t xml:space="preserve"> </w:t>
            </w:r>
            <w:r w:rsidRPr="00426CC5">
              <w:rPr>
                <w:noProof/>
              </w:rPr>
              <w:br/>
            </w:r>
          </w:p>
          <w:p w14:paraId="6B3C1C66"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p>
        </w:tc>
      </w:tr>
      <w:tr w:rsidR="000448D2" w:rsidRPr="00426CC5" w14:paraId="6B3C1C6D" w14:textId="77777777" w:rsidTr="152E62AB">
        <w:trPr>
          <w:trHeight w:val="1243"/>
        </w:trPr>
        <w:tc>
          <w:tcPr>
            <w:tcW w:w="2552" w:type="dxa"/>
            <w:vMerge/>
          </w:tcPr>
          <w:p w14:paraId="6B3C1C68"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5839DE43" w14:textId="77777777" w:rsidR="00122675" w:rsidRPr="00426CC5" w:rsidRDefault="000448D2" w:rsidP="00122675">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Avantages plus larges escomptés</w:t>
            </w:r>
          </w:p>
          <w:p w14:paraId="14275207" w14:textId="72CDB230" w:rsidR="00122675" w:rsidRPr="00426CC5" w:rsidRDefault="1BC30417" w:rsidP="152E62AB">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w:t>
            </w:r>
            <w:r w:rsidRPr="00426CC5">
              <w:rPr>
                <w:noProof/>
              </w:rPr>
              <w:tab/>
            </w:r>
            <w:r w:rsidRPr="00426CC5">
              <w:rPr>
                <w:noProof/>
                <w:sz w:val="22"/>
                <w:highlight w:val="lightGray"/>
              </w:rPr>
              <w:t>création de nouveaux emplois</w:t>
            </w:r>
          </w:p>
          <w:p w14:paraId="6B3C1C69" w14:textId="438295A2" w:rsidR="000448D2" w:rsidRPr="00426CC5" w:rsidRDefault="1BC30417" w:rsidP="152E62AB">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w:t>
            </w:r>
            <w:r w:rsidRPr="00426CC5">
              <w:rPr>
                <w:noProof/>
              </w:rPr>
              <w:tab/>
            </w:r>
            <w:r w:rsidRPr="00426CC5">
              <w:rPr>
                <w:noProof/>
                <w:sz w:val="22"/>
                <w:highlight w:val="lightGray"/>
              </w:rPr>
              <w:t>% de réduction du nombre de personnes en situation de précarité énergétique</w:t>
            </w:r>
          </w:p>
        </w:tc>
        <w:tc>
          <w:tcPr>
            <w:tcW w:w="4820" w:type="dxa"/>
            <w:tcBorders>
              <w:top w:val="single" w:sz="4" w:space="0" w:color="auto"/>
              <w:left w:val="single" w:sz="4" w:space="0" w:color="auto"/>
              <w:bottom w:val="single" w:sz="4" w:space="0" w:color="auto"/>
              <w:right w:val="nil"/>
            </w:tcBorders>
          </w:tcPr>
          <w:p w14:paraId="2FB18683" w14:textId="77777777" w:rsidR="00507C57" w:rsidRPr="00426CC5" w:rsidRDefault="000448D2" w:rsidP="00507C57">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w:t>
            </w:r>
            <w:r w:rsidRPr="00426CC5">
              <w:rPr>
                <w:noProof/>
              </w:rPr>
              <w:tab/>
            </w:r>
            <w:r w:rsidRPr="00426CC5">
              <w:rPr>
                <w:noProof/>
                <w:sz w:val="22"/>
                <w:highlight w:val="lightGray"/>
              </w:rPr>
              <w:t>Augmentation du PIB (part et milliards d’euros)</w:t>
            </w:r>
          </w:p>
          <w:p w14:paraId="6B3C1C6C" w14:textId="67427959" w:rsidR="000448D2" w:rsidRPr="00426CC5" w:rsidRDefault="000448D2" w:rsidP="00507C57">
            <w:pPr>
              <w:widowControl w:val="0"/>
              <w:tabs>
                <w:tab w:val="left" w:pos="650"/>
              </w:tabs>
              <w:spacing w:before="73" w:after="0" w:line="278" w:lineRule="exact"/>
              <w:jc w:val="left"/>
              <w:rPr>
                <w:rFonts w:eastAsia="Times New Roman"/>
                <w:noProof/>
                <w:sz w:val="22"/>
                <w:highlight w:val="lightGray"/>
              </w:rPr>
            </w:pPr>
          </w:p>
        </w:tc>
      </w:tr>
      <w:tr w:rsidR="000448D2" w:rsidRPr="00426CC5" w14:paraId="6B3C1C71" w14:textId="77777777" w:rsidTr="152E62AB">
        <w:trPr>
          <w:trHeight w:val="1243"/>
        </w:trPr>
        <w:tc>
          <w:tcPr>
            <w:tcW w:w="2552" w:type="dxa"/>
            <w:vMerge/>
          </w:tcPr>
          <w:p w14:paraId="6B3C1C6E"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C6F"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r w:rsidRPr="00426CC5">
              <w:rPr>
                <w:noProof/>
                <w:sz w:val="22"/>
                <w:highlight w:val="lightGray"/>
              </w:rPr>
              <w:t>Contribution à l’objectif national contraignant des États membres en matière d’émissions de gaz à effet de serre conformément au [règlement révisé sur la répartition de l’effort]</w:t>
            </w:r>
          </w:p>
        </w:tc>
        <w:tc>
          <w:tcPr>
            <w:tcW w:w="4820" w:type="dxa"/>
            <w:tcBorders>
              <w:top w:val="single" w:sz="4" w:space="0" w:color="auto"/>
              <w:left w:val="single" w:sz="4" w:space="0" w:color="auto"/>
              <w:bottom w:val="single" w:sz="4" w:space="0" w:color="auto"/>
              <w:right w:val="nil"/>
            </w:tcBorders>
          </w:tcPr>
          <w:p w14:paraId="6B3C1C70" w14:textId="77777777" w:rsidR="000448D2" w:rsidRPr="00426CC5"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426CC5" w14:paraId="6B3C1C77" w14:textId="77777777" w:rsidTr="152E62AB">
        <w:trPr>
          <w:trHeight w:val="1243"/>
        </w:trPr>
        <w:tc>
          <w:tcPr>
            <w:tcW w:w="2552" w:type="dxa"/>
            <w:vMerge/>
          </w:tcPr>
          <w:p w14:paraId="6B3C1C72"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C73"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Contribution à la réalisation des objectifs de l’Union en matière d’efficacité énergétique conformément à la directive (UE).../... [refonte de la DEE] (part et chiffre en ktep, consommation primaire et finale):</w:t>
            </w:r>
          </w:p>
          <w:p w14:paraId="6B3C1C74" w14:textId="06E06CBF"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rapport à l’objectif global d’efficacité énergétique</w:t>
            </w:r>
          </w:p>
        </w:tc>
        <w:tc>
          <w:tcPr>
            <w:tcW w:w="4820" w:type="dxa"/>
            <w:tcBorders>
              <w:top w:val="single" w:sz="4" w:space="0" w:color="auto"/>
              <w:left w:val="single" w:sz="4" w:space="0" w:color="auto"/>
              <w:bottom w:val="single" w:sz="4" w:space="0" w:color="auto"/>
              <w:right w:val="nil"/>
            </w:tcBorders>
          </w:tcPr>
          <w:p w14:paraId="6B3C1C75"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Contribution aux objectifs de l’Union en matière d’efficacité énergétique conformément à l’objectif de la directive (UE).../... [refonte de la DEE] (part et chiffre en ktep, [consommation primaire et finale]:</w:t>
            </w:r>
          </w:p>
          <w:p w14:paraId="6B3C1C76"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rapport à l’objectif visé à l’article 8 de la DEE (obligation d’économies d’énergie)</w:t>
            </w:r>
          </w:p>
        </w:tc>
      </w:tr>
      <w:tr w:rsidR="000448D2" w:rsidRPr="00426CC5" w14:paraId="6B3C1C7D" w14:textId="77777777" w:rsidTr="152E62AB">
        <w:trPr>
          <w:trHeight w:val="1243"/>
        </w:trPr>
        <w:tc>
          <w:tcPr>
            <w:tcW w:w="2552" w:type="dxa"/>
            <w:vMerge/>
          </w:tcPr>
          <w:p w14:paraId="6B3C1C78"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6B3C1C79"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r w:rsidRPr="00426CC5">
              <w:rPr>
                <w:noProof/>
                <w:sz w:val="22"/>
                <w:highlight w:val="lightGray"/>
              </w:rPr>
              <w:t>Contribution aux objectifs de l’Union en matière d’énergies renouvelables conformément à la directive (UE) 2018/2001 [RED modifiée] (part, MW produits):</w:t>
            </w:r>
          </w:p>
          <w:p w14:paraId="6B3C1C7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rapport à l’objectif global concernant l’énergie produite à partir de sources renouvelables</w:t>
            </w:r>
          </w:p>
          <w:p w14:paraId="6B3C1C7B"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par rapport à l’objectif indicatif concernant la part d’énergie produite à partir de sources renouvelables dans le secteur des bâtiments</w:t>
            </w:r>
          </w:p>
        </w:tc>
        <w:tc>
          <w:tcPr>
            <w:tcW w:w="4820" w:type="dxa"/>
            <w:tcBorders>
              <w:top w:val="single" w:sz="4" w:space="0" w:color="auto"/>
              <w:left w:val="single" w:sz="4" w:space="0" w:color="auto"/>
              <w:bottom w:val="single" w:sz="4" w:space="0" w:color="auto"/>
              <w:right w:val="nil"/>
            </w:tcBorders>
          </w:tcPr>
          <w:p w14:paraId="6B3C1C7C" w14:textId="77777777" w:rsidR="000448D2" w:rsidRPr="00426CC5" w:rsidRDefault="000448D2" w:rsidP="009567AF">
            <w:pPr>
              <w:widowControl w:val="0"/>
              <w:tabs>
                <w:tab w:val="left" w:pos="370"/>
              </w:tabs>
              <w:spacing w:before="74" w:after="0"/>
              <w:jc w:val="left"/>
              <w:rPr>
                <w:rFonts w:eastAsia="Times New Roman"/>
                <w:noProof/>
                <w:sz w:val="22"/>
                <w:highlight w:val="lightGray"/>
              </w:rPr>
            </w:pPr>
          </w:p>
        </w:tc>
      </w:tr>
      <w:tr w:rsidR="000448D2" w:rsidRPr="00426CC5" w14:paraId="6B3C1C82" w14:textId="77777777" w:rsidTr="152E62AB">
        <w:trPr>
          <w:trHeight w:val="1168"/>
        </w:trPr>
        <w:tc>
          <w:tcPr>
            <w:tcW w:w="2552" w:type="dxa"/>
            <w:vMerge/>
          </w:tcPr>
          <w:p w14:paraId="6B3C1C7E" w14:textId="77777777" w:rsidR="000448D2" w:rsidRPr="00426CC5" w:rsidRDefault="000448D2" w:rsidP="009567AF">
            <w:pPr>
              <w:widowControl w:val="0"/>
              <w:spacing w:before="0" w:after="0"/>
              <w:jc w:val="left"/>
              <w:rPr>
                <w:noProof/>
                <w:sz w:val="22"/>
                <w:highlight w:val="lightGray"/>
              </w:rPr>
            </w:pPr>
          </w:p>
        </w:tc>
        <w:tc>
          <w:tcPr>
            <w:tcW w:w="5811" w:type="dxa"/>
            <w:tcBorders>
              <w:top w:val="single" w:sz="4" w:space="0" w:color="auto"/>
              <w:bottom w:val="single" w:sz="4" w:space="0" w:color="auto"/>
            </w:tcBorders>
          </w:tcPr>
          <w:p w14:paraId="6B3C1C7F"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Contribution à l’objectif de l’Union en matière de climat à l'horizon 2030 et à son objectif de neutralité climatique d'ici à 2050 en vertu du règlement (UE) 2021/1119 (part et chiffre en kg eq. CO</w:t>
            </w:r>
            <w:r w:rsidRPr="00426CC5">
              <w:rPr>
                <w:noProof/>
                <w:sz w:val="22"/>
                <w:highlight w:val="lightGray"/>
                <w:vertAlign w:val="subscript"/>
              </w:rPr>
              <w:t>2</w:t>
            </w:r>
            <w:r w:rsidRPr="00426CC5">
              <w:rPr>
                <w:noProof/>
                <w:sz w:val="22"/>
                <w:highlight w:val="lightGray"/>
              </w:rPr>
              <w:t>/m</w:t>
            </w:r>
            <w:r w:rsidRPr="00426CC5">
              <w:rPr>
                <w:noProof/>
                <w:sz w:val="22"/>
                <w:highlight w:val="lightGray"/>
                <w:vertAlign w:val="superscript"/>
              </w:rPr>
              <w:t>2</w:t>
            </w:r>
            <w:r w:rsidRPr="00426CC5">
              <w:rPr>
                <w:noProof/>
                <w:sz w:val="22"/>
                <w:highlight w:val="lightGray"/>
              </w:rPr>
              <w:t xml:space="preserve">.an). </w:t>
            </w:r>
          </w:p>
          <w:p w14:paraId="6B3C1C80"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par rapport à l’objectif global de décarbonation </w:t>
            </w:r>
          </w:p>
        </w:tc>
        <w:tc>
          <w:tcPr>
            <w:tcW w:w="4820" w:type="dxa"/>
            <w:tcBorders>
              <w:top w:val="single" w:sz="4" w:space="0" w:color="auto"/>
              <w:bottom w:val="single" w:sz="4" w:space="0" w:color="auto"/>
              <w:right w:val="nil"/>
            </w:tcBorders>
          </w:tcPr>
          <w:p w14:paraId="6B3C1C81" w14:textId="77777777" w:rsidR="000448D2" w:rsidRPr="00426CC5"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426CC5" w14:paraId="6B3C1CC4" w14:textId="77777777" w:rsidTr="152E62AB">
        <w:trPr>
          <w:trHeight w:val="1168"/>
        </w:trPr>
        <w:tc>
          <w:tcPr>
            <w:tcW w:w="2552" w:type="dxa"/>
            <w:tcBorders>
              <w:top w:val="single" w:sz="4" w:space="0" w:color="auto"/>
              <w:left w:val="nil"/>
            </w:tcBorders>
          </w:tcPr>
          <w:p w14:paraId="6B3C1C83" w14:textId="77777777" w:rsidR="000448D2" w:rsidRPr="00426CC5" w:rsidRDefault="000448D2" w:rsidP="009567AF">
            <w:pPr>
              <w:widowControl w:val="0"/>
              <w:spacing w:before="0" w:after="0"/>
              <w:jc w:val="left"/>
              <w:rPr>
                <w:noProof/>
                <w:sz w:val="22"/>
                <w:highlight w:val="lightGray"/>
              </w:rPr>
            </w:pPr>
            <w:r w:rsidRPr="00426CC5">
              <w:rPr>
                <w:noProof/>
                <w:sz w:val="22"/>
                <w:highlight w:val="lightGray"/>
              </w:rPr>
              <w:t xml:space="preserve">c) Vue d’ensemble des politiques et mesures mises en œuvre et planifiées </w:t>
            </w:r>
          </w:p>
        </w:tc>
        <w:tc>
          <w:tcPr>
            <w:tcW w:w="5811" w:type="dxa"/>
            <w:tcBorders>
              <w:top w:val="single" w:sz="4" w:space="0" w:color="auto"/>
              <w:bottom w:val="single" w:sz="4" w:space="0" w:color="auto"/>
            </w:tcBorders>
          </w:tcPr>
          <w:p w14:paraId="6B3C1C84"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Politiques et mesures concernant les éléments suivants:</w:t>
            </w:r>
          </w:p>
          <w:p w14:paraId="6B3C1C85"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a) l’inventaire des approches de rénovation rentables qui sont adaptées au type de bâtiment et à la zone climatique, compte tenu des seuils de déclenchement pertinents potentiels, le cas échéant, dans le cycle de vie du bâtiment;</w:t>
            </w:r>
          </w:p>
          <w:p w14:paraId="6B3C1C86"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b) des normes nationales minimales en matière de performance énergétique conformément à l’article 9 et d’autres politiques et actions ciblant les segments les moins performants du parc immobilier national;</w:t>
            </w:r>
          </w:p>
          <w:p w14:paraId="6B3C1C87"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c) la promotion de la rénovation en profondeur des bâtiments, y compris la rénovation en profondeur par étapes;</w:t>
            </w:r>
          </w:p>
          <w:p w14:paraId="6B3C1C88"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d) l’autonomisation et la protection des clients vulnérables et la réduction de la précarité énergétique, y compris les politiques et mesures visées à l’article 22 de la directive (UE).../... [refonte de la DEE], et l’accessibilité financière du logement;</w:t>
            </w:r>
          </w:p>
          <w:p w14:paraId="6B3C1C89"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e) la création de guichets uniques ou de mécanismes similaires pour la fourniture de conseils et d’assistance techniques, administratifs et financiers;</w:t>
            </w:r>
          </w:p>
          <w:p w14:paraId="6B3C1C8A"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f) la décarbonation du chauffage et du refroidissement, y compris au moyen des réseaux de chauffage et de refroidissement urbains, et la suppression progressive des combustibles fossiles dans le secteur du chauffage et du refroidissement, en vue d’une élimination complète d’ici à 2040 au plus tard;</w:t>
            </w:r>
          </w:p>
          <w:p w14:paraId="6B3C1C8B"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g) la promotion des sources d’énergie renouvelables dans les bâtiments, conformément à l’objectif indicatif concernant la part d’énergie produite à partir de sources renouvelables dans le secteur des bâtiments fixé à l’article 15 </w:t>
            </w:r>
            <w:r w:rsidRPr="00426CC5">
              <w:rPr>
                <w:i/>
                <w:iCs/>
                <w:noProof/>
                <w:sz w:val="22"/>
                <w:highlight w:val="lightGray"/>
              </w:rPr>
              <w:t>bis</w:t>
            </w:r>
            <w:r w:rsidRPr="00426CC5">
              <w:rPr>
                <w:noProof/>
                <w:sz w:val="22"/>
                <w:highlight w:val="lightGray"/>
              </w:rPr>
              <w:t>, paragraphe 1, de la directive (UE) 2018/2001 [RED modifiée];</w:t>
            </w:r>
          </w:p>
          <w:p w14:paraId="6B3C1C8C"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h) la réduction des émissions de gaz à effet de serre sur le cycle de vie des bâtiments pour la construction, la rénovation, l’exploitation et la fin de vie des bâtiments, ainsi que le recours à l’absorption du carbone;</w:t>
            </w:r>
          </w:p>
          <w:p w14:paraId="6B3C1C8D" w14:textId="11849767" w:rsidR="000448D2" w:rsidRPr="00426CC5" w:rsidRDefault="3D541C21" w:rsidP="152E62AB">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i) la prévention et le traitement de qualité élevée des déchets de construction et de démolition conformément à la directive 2008/98/CE, notamment en ce qui concerne la hiérarchie des déchets et les objectifs de l’économie circulaire;</w:t>
            </w:r>
          </w:p>
          <w:p w14:paraId="6B3C1C8E"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j) les approches intégrées au niveau d’îlots ou de quartiers, et notamment le rôle joué par les communautés d’énergie renouvelable et les communautés énergétiques citoyennes</w:t>
            </w:r>
          </w:p>
          <w:p w14:paraId="6B3C1C8F"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k) l’amélioration des bâtiments appartenant à des organismes publics, y compris les politiques et mesures prévues aux articles 5, 6 et 7 de la [refonte de la DEE];</w:t>
            </w:r>
          </w:p>
          <w:p w14:paraId="6B3C1C90"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l) la promotion de technologies intelligentes et d’infrastructures de mobilité durable dans les bâtiments;</w:t>
            </w:r>
          </w:p>
          <w:p w14:paraId="6B3C1C91"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m) les obstacles et les défaillances sur le marché;</w:t>
            </w:r>
          </w:p>
          <w:p w14:paraId="6B3C1C92"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n) les moyens de remédier aux déficits de compétences et à l’inadéquation des capacités humaines et la promotion de l’éducation, de la formation, du perfectionnement et de la reconversion professionnels dans les secteurs de la construction, de l’efficacité énergétique et des énergies renouvelables et</w:t>
            </w:r>
          </w:p>
          <w:p w14:paraId="6B3C1C93"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o) des campagnes de sensibilisation et d’autres outils de conseil.</w:t>
            </w:r>
          </w:p>
          <w:p w14:paraId="6B3C1C94"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p>
          <w:p w14:paraId="6B3C1C95" w14:textId="77777777" w:rsidR="000448D2" w:rsidRPr="00426CC5" w:rsidRDefault="000448D2" w:rsidP="009567AF">
            <w:pPr>
              <w:widowControl w:val="0"/>
              <w:tabs>
                <w:tab w:val="left" w:pos="1"/>
              </w:tabs>
              <w:spacing w:before="73" w:after="0" w:line="278" w:lineRule="exact"/>
              <w:jc w:val="left"/>
              <w:rPr>
                <w:rFonts w:eastAsia="Times New Roman"/>
                <w:noProof/>
                <w:sz w:val="22"/>
                <w:highlight w:val="lightGray"/>
              </w:rPr>
            </w:pPr>
            <w:r w:rsidRPr="00426CC5">
              <w:rPr>
                <w:noProof/>
                <w:sz w:val="22"/>
                <w:highlight w:val="lightGray"/>
              </w:rPr>
              <w:t>Pour toutes les politiques et mesures:</w:t>
            </w:r>
          </w:p>
          <w:p w14:paraId="6B3C1C96"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intitulé de la politique/mesure</w:t>
            </w:r>
          </w:p>
          <w:p w14:paraId="6B3C1C97" w14:textId="77777777" w:rsidR="005B4043"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brève description (champ d’application précis, objectif et modalités de fonctionnement)</w:t>
            </w:r>
          </w:p>
          <w:p w14:paraId="6B3C1C98"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objectif quantifié</w:t>
            </w:r>
            <w:r w:rsidRPr="00426CC5">
              <w:rPr>
                <w:noProof/>
              </w:rPr>
              <w:tab/>
            </w:r>
          </w:p>
          <w:p w14:paraId="6B3C1C99"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Type de politique ou de mesure (par exemple, de nature législative,  économique, fiscale, ayant trait à la formation, à la sensibilisation)</w:t>
            </w:r>
          </w:p>
          <w:p w14:paraId="6B3C1C9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budget prévu et sources de financement</w:t>
            </w:r>
          </w:p>
          <w:p w14:paraId="6B3C1C9B"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entités responsables de la mise en œuvre de la politique </w:t>
            </w:r>
          </w:p>
          <w:p w14:paraId="6B3C1C9C"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effet escompté</w:t>
            </w:r>
            <w:r w:rsidRPr="00426CC5">
              <w:rPr>
                <w:noProof/>
              </w:rPr>
              <w:tab/>
            </w:r>
          </w:p>
          <w:p w14:paraId="6B3C1C9D"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état d'avancement de la mise en œuvre</w:t>
            </w:r>
            <w:r w:rsidRPr="00426CC5">
              <w:rPr>
                <w:noProof/>
              </w:rPr>
              <w:tab/>
            </w:r>
          </w:p>
          <w:p w14:paraId="6B3C1C9E"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date d'entrée en vigueur</w:t>
            </w:r>
          </w:p>
          <w:p w14:paraId="6B3C1C9F"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période de mise en œuvre</w:t>
            </w:r>
            <w:r w:rsidRPr="00426CC5">
              <w:rPr>
                <w:noProof/>
              </w:rPr>
              <w:tab/>
            </w:r>
          </w:p>
          <w:p w14:paraId="6B3C1CA0" w14:textId="77777777" w:rsidR="000448D2" w:rsidRPr="00426CC5" w:rsidRDefault="000448D2" w:rsidP="009567AF">
            <w:pPr>
              <w:widowControl w:val="0"/>
              <w:spacing w:before="0" w:after="0"/>
              <w:jc w:val="left"/>
              <w:rPr>
                <w:rFonts w:eastAsia="Times New Roman"/>
                <w:noProof/>
                <w:sz w:val="22"/>
                <w:highlight w:val="lightGray"/>
              </w:rPr>
            </w:pPr>
          </w:p>
        </w:tc>
        <w:tc>
          <w:tcPr>
            <w:tcW w:w="4820" w:type="dxa"/>
            <w:tcBorders>
              <w:top w:val="single" w:sz="4" w:space="0" w:color="auto"/>
              <w:bottom w:val="single" w:sz="4" w:space="0" w:color="auto"/>
              <w:right w:val="nil"/>
            </w:tcBorders>
          </w:tcPr>
          <w:p w14:paraId="6B3C1CA1"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Politiques et mesures concernant les éléments suivants:</w:t>
            </w:r>
          </w:p>
          <w:p w14:paraId="6B3C1CA2"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a) l’augmentation de la résilience des bâtiments au changement climatique;</w:t>
            </w:r>
          </w:p>
          <w:p w14:paraId="6B3C1CA3"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b) la promotion du marché des services énergétiques;</w:t>
            </w:r>
          </w:p>
          <w:p w14:paraId="6B3C1CA4"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c) le renforcement de la sécurité incendie;</w:t>
            </w:r>
          </w:p>
          <w:p w14:paraId="6B3C1CA5"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d) le renforcement de la résilience face aux risques de catastrophe, y compris les risques liés à une activité sismique intense;</w:t>
            </w:r>
          </w:p>
          <w:p w14:paraId="6B3C1CA6"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e) l’élimination des substances dangereuses, y compris l’amiante et</w:t>
            </w:r>
          </w:p>
          <w:p w14:paraId="6B3C1CA7"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f) l'accessibilité pour les personnes handicapées;</w:t>
            </w:r>
          </w:p>
          <w:p w14:paraId="6B3C1CA8" w14:textId="77777777" w:rsidR="000448D2" w:rsidRPr="00426CC5" w:rsidRDefault="000448D2" w:rsidP="009567AF">
            <w:pPr>
              <w:widowControl w:val="0"/>
              <w:spacing w:before="0" w:after="0"/>
              <w:jc w:val="left"/>
              <w:rPr>
                <w:rFonts w:eastAsia="Times New Roman"/>
                <w:noProof/>
                <w:sz w:val="22"/>
                <w:highlight w:val="lightGray"/>
              </w:rPr>
            </w:pPr>
          </w:p>
          <w:p w14:paraId="6B3C1CA9" w14:textId="77777777" w:rsidR="000448D2" w:rsidRPr="00426CC5" w:rsidRDefault="000448D2" w:rsidP="009567AF">
            <w:pPr>
              <w:widowControl w:val="0"/>
              <w:spacing w:before="0" w:after="0"/>
              <w:jc w:val="left"/>
              <w:rPr>
                <w:rFonts w:eastAsia="Times New Roman"/>
                <w:noProof/>
                <w:sz w:val="22"/>
                <w:highlight w:val="lightGray"/>
              </w:rPr>
            </w:pPr>
          </w:p>
          <w:p w14:paraId="6B3C1CAA" w14:textId="77777777" w:rsidR="000448D2" w:rsidRPr="00426CC5" w:rsidRDefault="000448D2" w:rsidP="009567AF">
            <w:pPr>
              <w:widowControl w:val="0"/>
              <w:spacing w:before="0" w:after="0"/>
              <w:jc w:val="left"/>
              <w:rPr>
                <w:rFonts w:eastAsia="Times New Roman"/>
                <w:noProof/>
                <w:sz w:val="22"/>
                <w:highlight w:val="lightGray"/>
              </w:rPr>
            </w:pPr>
          </w:p>
          <w:p w14:paraId="6B3C1CAB" w14:textId="77777777" w:rsidR="000448D2" w:rsidRPr="00426CC5" w:rsidRDefault="000448D2" w:rsidP="009567AF">
            <w:pPr>
              <w:widowControl w:val="0"/>
              <w:spacing w:before="0" w:after="0"/>
              <w:jc w:val="left"/>
              <w:rPr>
                <w:rFonts w:eastAsia="Times New Roman"/>
                <w:noProof/>
                <w:sz w:val="22"/>
                <w:highlight w:val="lightGray"/>
              </w:rPr>
            </w:pPr>
          </w:p>
          <w:p w14:paraId="6B3C1CAC" w14:textId="77777777" w:rsidR="000448D2" w:rsidRPr="00426CC5" w:rsidRDefault="000448D2" w:rsidP="009567AF">
            <w:pPr>
              <w:widowControl w:val="0"/>
              <w:spacing w:before="0" w:after="0"/>
              <w:jc w:val="left"/>
              <w:rPr>
                <w:rFonts w:eastAsia="Times New Roman"/>
                <w:noProof/>
                <w:sz w:val="22"/>
                <w:highlight w:val="lightGray"/>
              </w:rPr>
            </w:pPr>
          </w:p>
          <w:p w14:paraId="6B3C1CAD" w14:textId="77777777" w:rsidR="000448D2" w:rsidRPr="00426CC5" w:rsidRDefault="000448D2" w:rsidP="009567AF">
            <w:pPr>
              <w:widowControl w:val="0"/>
              <w:spacing w:before="0" w:after="0"/>
              <w:jc w:val="left"/>
              <w:rPr>
                <w:rFonts w:eastAsia="Times New Roman"/>
                <w:noProof/>
                <w:sz w:val="22"/>
                <w:highlight w:val="lightGray"/>
              </w:rPr>
            </w:pPr>
          </w:p>
          <w:p w14:paraId="6B3C1CAE"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Pour toutes les politiques et mesures:</w:t>
            </w:r>
          </w:p>
          <w:p w14:paraId="6B3C1CAF"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 ressources et capacités administratives</w:t>
            </w:r>
          </w:p>
          <w:p w14:paraId="6B3C1CB0" w14:textId="77777777" w:rsidR="000448D2" w:rsidRPr="00426CC5" w:rsidRDefault="000448D2" w:rsidP="009567AF">
            <w:pPr>
              <w:widowControl w:val="0"/>
              <w:spacing w:before="0" w:after="0"/>
              <w:jc w:val="left"/>
              <w:rPr>
                <w:rFonts w:eastAsia="Times New Roman"/>
                <w:noProof/>
                <w:sz w:val="22"/>
                <w:highlight w:val="lightGray"/>
              </w:rPr>
            </w:pPr>
            <w:r w:rsidRPr="00426CC5">
              <w:rPr>
                <w:noProof/>
                <w:sz w:val="22"/>
                <w:highlight w:val="lightGray"/>
              </w:rPr>
              <w:t>- domaine (s) couvert (s)</w:t>
            </w:r>
          </w:p>
          <w:p w14:paraId="6B3C1CB1"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bâtiments les moins performants</w:t>
            </w:r>
          </w:p>
          <w:p w14:paraId="6B3C1CB2"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normes minimales de performance énergétique (NMPE)</w:t>
            </w:r>
          </w:p>
          <w:p w14:paraId="6B3C1CB3" w14:textId="77777777" w:rsidR="000448D2" w:rsidRPr="00426CC5" w:rsidRDefault="000448D2" w:rsidP="000448D2">
            <w:pPr>
              <w:numPr>
                <w:ilvl w:val="1"/>
                <w:numId w:val="12"/>
              </w:numPr>
              <w:tabs>
                <w:tab w:val="left" w:pos="650"/>
              </w:tabs>
              <w:spacing w:before="73" w:line="278" w:lineRule="exact"/>
              <w:contextualSpacing/>
              <w:rPr>
                <w:rFonts w:eastAsia="Times New Roman"/>
                <w:noProof/>
                <w:sz w:val="22"/>
                <w:highlight w:val="lightGray"/>
              </w:rPr>
            </w:pPr>
            <w:r w:rsidRPr="00426CC5">
              <w:rPr>
                <w:noProof/>
                <w:sz w:val="22"/>
                <w:highlight w:val="lightGray"/>
              </w:rPr>
              <w:t>précarité énergétique, logements sociaux</w:t>
            </w:r>
          </w:p>
          <w:p w14:paraId="6B3C1CB4"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bâtiments publics</w:t>
            </w:r>
          </w:p>
          <w:p w14:paraId="6B3C1CB5"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secteur résidentiel (habitat individuel, collectif)</w:t>
            </w:r>
          </w:p>
          <w:p w14:paraId="6B3C1CB6"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secteur non résidentiel</w:t>
            </w:r>
          </w:p>
          <w:p w14:paraId="6B3C1CB7"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industrie</w:t>
            </w:r>
          </w:p>
          <w:p w14:paraId="6B3C1CB8"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sources d'énergie renouvelables</w:t>
            </w:r>
          </w:p>
          <w:p w14:paraId="6B3C1CB9"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élimination progressive des combustibles fossiles dans le chauffage et le refroidissement</w:t>
            </w:r>
          </w:p>
          <w:p w14:paraId="6B3C1CB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émissions de gaz à effet de serre sur le cycle de vie</w:t>
            </w:r>
          </w:p>
          <w:p w14:paraId="6B3C1CBB"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économie circulaire et déchets</w:t>
            </w:r>
          </w:p>
          <w:p w14:paraId="6B3C1CBC"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guichets uniques</w:t>
            </w:r>
          </w:p>
          <w:p w14:paraId="6B3C1CBD"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passeports de rénovation</w:t>
            </w:r>
          </w:p>
          <w:p w14:paraId="6B3C1CBE"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technologies intelligentes</w:t>
            </w:r>
          </w:p>
          <w:p w14:paraId="6B3C1CBF"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infrastructures de mobilité durable dans les bâtiments </w:t>
            </w:r>
          </w:p>
          <w:p w14:paraId="6B3C1CC0"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approches au niveau d’îlots et de quartiers</w:t>
            </w:r>
          </w:p>
          <w:p w14:paraId="6B3C1CC1"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compétences, formation</w:t>
            </w:r>
          </w:p>
          <w:p w14:paraId="6B3C1CC2" w14:textId="77777777" w:rsidR="000448D2" w:rsidRPr="00426CC5" w:rsidRDefault="000448D2" w:rsidP="00D57746">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campagnes de sensibilisation et outils de conseil</w:t>
            </w:r>
          </w:p>
          <w:p w14:paraId="6B3C1CC3" w14:textId="77777777" w:rsidR="000448D2" w:rsidRPr="00426CC5" w:rsidRDefault="000448D2" w:rsidP="009567AF">
            <w:pPr>
              <w:widowControl w:val="0"/>
              <w:spacing w:before="73" w:after="0" w:line="278" w:lineRule="exact"/>
              <w:jc w:val="left"/>
              <w:rPr>
                <w:rFonts w:eastAsia="Times New Roman"/>
                <w:noProof/>
                <w:sz w:val="22"/>
                <w:highlight w:val="lightGray"/>
              </w:rPr>
            </w:pPr>
          </w:p>
        </w:tc>
      </w:tr>
      <w:tr w:rsidR="000448D2" w:rsidRPr="00426CC5" w14:paraId="6B3C1CCC" w14:textId="77777777" w:rsidTr="152E62AB">
        <w:trPr>
          <w:trHeight w:val="1168"/>
        </w:trPr>
        <w:tc>
          <w:tcPr>
            <w:tcW w:w="2552" w:type="dxa"/>
            <w:tcBorders>
              <w:top w:val="single" w:sz="4" w:space="0" w:color="auto"/>
              <w:left w:val="nil"/>
              <w:bottom w:val="single" w:sz="4" w:space="0" w:color="auto"/>
            </w:tcBorders>
          </w:tcPr>
          <w:p w14:paraId="6B3C1CC5" w14:textId="77777777" w:rsidR="000448D2" w:rsidRPr="00426CC5" w:rsidRDefault="000448D2" w:rsidP="009567AF">
            <w:pPr>
              <w:widowControl w:val="0"/>
              <w:spacing w:before="0" w:after="0"/>
              <w:jc w:val="left"/>
              <w:rPr>
                <w:noProof/>
                <w:sz w:val="22"/>
                <w:highlight w:val="lightGray"/>
              </w:rPr>
            </w:pPr>
            <w:r w:rsidRPr="00426CC5">
              <w:rPr>
                <w:noProof/>
                <w:sz w:val="22"/>
                <w:highlight w:val="lightGray"/>
              </w:rPr>
              <w:t xml:space="preserve">d) aperçu des besoins d’investissement, des sources budgétaires et des ressources administratives </w:t>
            </w:r>
          </w:p>
        </w:tc>
        <w:tc>
          <w:tcPr>
            <w:tcW w:w="5811" w:type="dxa"/>
            <w:tcBorders>
              <w:top w:val="single" w:sz="4" w:space="0" w:color="auto"/>
              <w:bottom w:val="single" w:sz="4" w:space="0" w:color="auto"/>
            </w:tcBorders>
          </w:tcPr>
          <w:p w14:paraId="6B3C1CC6"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total des besoins d’investissement pour 2030, 2040 et 2050 (en millions d’EUR)</w:t>
            </w:r>
          </w:p>
          <w:p w14:paraId="6B3C1CC7"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investissements publics (en millions d’euros)</w:t>
            </w:r>
          </w:p>
          <w:p w14:paraId="6B3C1CC8"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investissements privés (en millions d’euros)</w:t>
            </w:r>
          </w:p>
          <w:p w14:paraId="6B3C1CC9"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ressources budgétaires </w:t>
            </w:r>
          </w:p>
          <w:p w14:paraId="6B3C1CCA" w14:textId="77777777" w:rsidR="000448D2" w:rsidRPr="00426CC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426CC5">
              <w:rPr>
                <w:noProof/>
                <w:sz w:val="22"/>
                <w:highlight w:val="lightGray"/>
              </w:rPr>
              <w:t xml:space="preserve">budget garanti </w:t>
            </w:r>
          </w:p>
        </w:tc>
        <w:tc>
          <w:tcPr>
            <w:tcW w:w="4820" w:type="dxa"/>
            <w:tcBorders>
              <w:top w:val="single" w:sz="4" w:space="0" w:color="auto"/>
              <w:bottom w:val="single" w:sz="4" w:space="0" w:color="auto"/>
              <w:right w:val="nil"/>
            </w:tcBorders>
          </w:tcPr>
          <w:p w14:paraId="6B3C1CCB" w14:textId="77777777" w:rsidR="000448D2" w:rsidRPr="00426CC5" w:rsidRDefault="000448D2" w:rsidP="009567AF">
            <w:pPr>
              <w:widowControl w:val="0"/>
              <w:spacing w:before="43" w:after="0" w:line="228" w:lineRule="auto"/>
              <w:ind w:right="-19"/>
              <w:jc w:val="left"/>
              <w:rPr>
                <w:rFonts w:eastAsia="Times New Roman"/>
                <w:noProof/>
                <w:sz w:val="22"/>
                <w:highlight w:val="lightGray"/>
              </w:rPr>
            </w:pPr>
            <w:r w:rsidRPr="00426CC5">
              <w:rPr>
                <w:noProof/>
                <w:sz w:val="22"/>
                <w:highlight w:val="lightGray"/>
              </w:rPr>
              <w:t>Budget garanti</w:t>
            </w:r>
          </w:p>
        </w:tc>
      </w:tr>
    </w:tbl>
    <w:p w14:paraId="6B3C1CCD" w14:textId="77777777" w:rsidR="000448D2" w:rsidRPr="00426CC5" w:rsidRDefault="000448D2" w:rsidP="009567AF">
      <w:pPr>
        <w:rPr>
          <w:noProof/>
          <w:highlight w:val="lightGray"/>
        </w:rPr>
        <w:sectPr w:rsidR="000448D2" w:rsidRPr="00426CC5" w:rsidSect="00AD39FC">
          <w:headerReference w:type="default" r:id="rId20"/>
          <w:footerReference w:type="default" r:id="rId21"/>
          <w:headerReference w:type="first" r:id="rId22"/>
          <w:footerReference w:type="first" r:id="rId23"/>
          <w:pgSz w:w="16838" w:h="11906" w:orient="landscape"/>
          <w:pgMar w:top="1418" w:right="1134" w:bottom="1418" w:left="1134" w:header="709" w:footer="709" w:gutter="0"/>
          <w:pgNumType w:start="1"/>
          <w:cols w:space="709"/>
          <w:docGrid w:linePitch="326"/>
        </w:sectPr>
      </w:pPr>
    </w:p>
    <w:p w14:paraId="6B3C1CCE" w14:textId="77777777" w:rsidR="000448D2" w:rsidRPr="00426CC5" w:rsidRDefault="000448D2" w:rsidP="009567AF">
      <w:pPr>
        <w:pStyle w:val="CRSeparator"/>
        <w:rPr>
          <w:noProof/>
        </w:rPr>
      </w:pPr>
    </w:p>
    <w:p w14:paraId="6B3C1CCF"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xml:space="preserve"> nouveau</w:t>
      </w:r>
    </w:p>
    <w:p w14:paraId="6B3C1CD0" w14:textId="77777777" w:rsidR="000448D2" w:rsidRPr="00426CC5" w:rsidRDefault="000448D2" w:rsidP="00EC00AC">
      <w:pPr>
        <w:pStyle w:val="Annexetitre"/>
        <w:rPr>
          <w:noProof/>
          <w:highlight w:val="lightGray"/>
        </w:rPr>
      </w:pPr>
      <w:r w:rsidRPr="00426CC5">
        <w:rPr>
          <w:noProof/>
          <w:highlight w:val="lightGray"/>
        </w:rPr>
        <w:t>ANNEXE III</w:t>
      </w:r>
    </w:p>
    <w:p w14:paraId="6B3C1CD1" w14:textId="77777777" w:rsidR="000448D2" w:rsidRPr="00426CC5" w:rsidRDefault="000448D2" w:rsidP="00B24379">
      <w:pPr>
        <w:pStyle w:val="ManualHeading1"/>
        <w:jc w:val="center"/>
        <w:rPr>
          <w:i/>
          <w:noProof/>
          <w:highlight w:val="lightGray"/>
        </w:rPr>
      </w:pPr>
      <w:r w:rsidRPr="00426CC5">
        <w:rPr>
          <w:i/>
          <w:noProof/>
          <w:highlight w:val="lightGray"/>
        </w:rPr>
        <w:t>Exigences applicables aux bâtiments à émissions nulles neufs et rénovés et calcul du potentiel de réchauffement planétaire (PRP) tout au long du cycle de vie</w:t>
      </w:r>
    </w:p>
    <w:p w14:paraId="6B3C1CD2" w14:textId="77777777" w:rsidR="000448D2" w:rsidRPr="00426CC5" w:rsidRDefault="000448D2" w:rsidP="00B24379">
      <w:pPr>
        <w:pStyle w:val="ManualHeading2"/>
        <w:jc w:val="center"/>
        <w:rPr>
          <w:b w:val="0"/>
          <w:noProof/>
          <w:highlight w:val="lightGray"/>
        </w:rPr>
      </w:pPr>
      <w:r w:rsidRPr="00426CC5">
        <w:rPr>
          <w:b w:val="0"/>
          <w:noProof/>
          <w:highlight w:val="lightGray"/>
        </w:rPr>
        <w:t>(visés à l'article 2, point 2, et à l'article 7)</w:t>
      </w:r>
    </w:p>
    <w:p w14:paraId="6B3C1CD3" w14:textId="77777777" w:rsidR="000448D2" w:rsidRPr="00426CC5" w:rsidRDefault="000448D2" w:rsidP="009567AF">
      <w:pPr>
        <w:spacing w:line="276" w:lineRule="auto"/>
        <w:rPr>
          <w:rFonts w:eastAsia="Times New Roman"/>
          <w:noProof/>
          <w:highlight w:val="lightGray"/>
        </w:rPr>
      </w:pPr>
      <w:r w:rsidRPr="00426CC5">
        <w:rPr>
          <w:noProof/>
          <w:highlight w:val="lightGray"/>
        </w:rPr>
        <w:t>I. Exigences applicables aux bâtiments à émissions nulles</w:t>
      </w:r>
    </w:p>
    <w:p w14:paraId="6B3C1CD4" w14:textId="77777777" w:rsidR="000448D2" w:rsidRPr="00426CC5" w:rsidRDefault="000448D2" w:rsidP="009567AF">
      <w:pPr>
        <w:spacing w:line="276" w:lineRule="auto"/>
        <w:rPr>
          <w:noProof/>
          <w:highlight w:val="lightGray"/>
        </w:rPr>
      </w:pPr>
      <w:r w:rsidRPr="00426CC5">
        <w:rPr>
          <w:noProof/>
          <w:highlight w:val="lightGray"/>
        </w:rPr>
        <w:t xml:space="preserve">La consommation annuelle totale d’énergie primaire d’un bâtiment à émissions nulles neuf respecte les seuils maximaux indiqués dans le tableau ci-dessous. </w:t>
      </w:r>
    </w:p>
    <w:tbl>
      <w:tblPr>
        <w:tblW w:w="0" w:type="auto"/>
        <w:tblInd w:w="135" w:type="dxa"/>
        <w:tblLayout w:type="fixed"/>
        <w:tblLook w:val="04A0" w:firstRow="1" w:lastRow="0" w:firstColumn="1" w:lastColumn="0" w:noHBand="0" w:noVBand="1"/>
      </w:tblPr>
      <w:tblGrid>
        <w:gridCol w:w="2010"/>
        <w:gridCol w:w="2070"/>
        <w:gridCol w:w="2055"/>
        <w:gridCol w:w="2790"/>
      </w:tblGrid>
      <w:tr w:rsidR="000448D2" w:rsidRPr="00426CC5" w14:paraId="6B3C1CD9"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6B3C1CD5" w14:textId="77777777" w:rsidR="000448D2" w:rsidRPr="00426CC5" w:rsidRDefault="000448D2" w:rsidP="00A36901">
            <w:pPr>
              <w:jc w:val="center"/>
              <w:rPr>
                <w:rFonts w:eastAsia="Times New Roman"/>
                <w:b/>
                <w:bCs/>
                <w:noProof/>
                <w:highlight w:val="lightGray"/>
              </w:rPr>
            </w:pPr>
            <w:r w:rsidRPr="00426CC5">
              <w:rPr>
                <w:b/>
                <w:bCs/>
                <w:noProof/>
                <w:highlight w:val="lightGray"/>
              </w:rPr>
              <w:t>Zone climatique de l’UE</w:t>
            </w:r>
            <w:r w:rsidRPr="00426CC5">
              <w:rPr>
                <w:rStyle w:val="FootnoteReference0"/>
                <w:rFonts w:eastAsia="Times New Roman"/>
                <w:b/>
                <w:bCs/>
                <w:noProof/>
                <w:highlight w:val="lightGray"/>
              </w:rPr>
              <w:footnoteReference w:id="2"/>
            </w:r>
          </w:p>
        </w:tc>
        <w:tc>
          <w:tcPr>
            <w:tcW w:w="2070" w:type="dxa"/>
            <w:tcBorders>
              <w:top w:val="single" w:sz="8" w:space="0" w:color="auto"/>
              <w:left w:val="single" w:sz="8" w:space="0" w:color="auto"/>
              <w:bottom w:val="single" w:sz="8" w:space="0" w:color="auto"/>
              <w:right w:val="single" w:sz="8" w:space="0" w:color="auto"/>
            </w:tcBorders>
            <w:vAlign w:val="center"/>
          </w:tcPr>
          <w:p w14:paraId="6B3C1CD6" w14:textId="77777777" w:rsidR="000448D2" w:rsidRPr="00426CC5" w:rsidRDefault="000448D2" w:rsidP="009567AF">
            <w:pPr>
              <w:jc w:val="center"/>
              <w:rPr>
                <w:rFonts w:eastAsia="Times New Roman"/>
                <w:b/>
                <w:bCs/>
                <w:noProof/>
                <w:highlight w:val="lightGray"/>
              </w:rPr>
            </w:pPr>
            <w:r w:rsidRPr="00426CC5">
              <w:rPr>
                <w:b/>
                <w:bCs/>
                <w:noProof/>
                <w:highlight w:val="lightGray"/>
              </w:rPr>
              <w:t>Bâtiments d’habitation</w:t>
            </w:r>
          </w:p>
        </w:tc>
        <w:tc>
          <w:tcPr>
            <w:tcW w:w="2055" w:type="dxa"/>
            <w:tcBorders>
              <w:top w:val="single" w:sz="8" w:space="0" w:color="auto"/>
              <w:left w:val="single" w:sz="8" w:space="0" w:color="auto"/>
              <w:bottom w:val="single" w:sz="8" w:space="0" w:color="auto"/>
              <w:right w:val="single" w:sz="8" w:space="0" w:color="auto"/>
            </w:tcBorders>
            <w:vAlign w:val="center"/>
          </w:tcPr>
          <w:p w14:paraId="6B3C1CD7" w14:textId="77777777" w:rsidR="000448D2" w:rsidRPr="00426CC5" w:rsidRDefault="000448D2" w:rsidP="009567AF">
            <w:pPr>
              <w:jc w:val="center"/>
              <w:rPr>
                <w:rFonts w:eastAsia="Times New Roman"/>
                <w:b/>
                <w:bCs/>
                <w:noProof/>
                <w:highlight w:val="lightGray"/>
              </w:rPr>
            </w:pPr>
            <w:r w:rsidRPr="00426CC5">
              <w:rPr>
                <w:b/>
                <w:bCs/>
                <w:noProof/>
                <w:highlight w:val="lightGray"/>
              </w:rPr>
              <w:t>Bâtiments de bureaux</w:t>
            </w:r>
          </w:p>
        </w:tc>
        <w:tc>
          <w:tcPr>
            <w:tcW w:w="2790" w:type="dxa"/>
            <w:tcBorders>
              <w:top w:val="single" w:sz="8" w:space="0" w:color="auto"/>
              <w:left w:val="single" w:sz="8" w:space="0" w:color="auto"/>
              <w:bottom w:val="single" w:sz="8" w:space="0" w:color="auto"/>
              <w:right w:val="single" w:sz="8" w:space="0" w:color="auto"/>
            </w:tcBorders>
            <w:vAlign w:val="center"/>
          </w:tcPr>
          <w:p w14:paraId="6B3C1CD8" w14:textId="77777777" w:rsidR="000448D2" w:rsidRPr="00426CC5" w:rsidRDefault="000448D2" w:rsidP="009567AF">
            <w:pPr>
              <w:jc w:val="center"/>
              <w:rPr>
                <w:rFonts w:eastAsia="Times New Roman"/>
                <w:b/>
                <w:bCs/>
                <w:noProof/>
                <w:highlight w:val="lightGray"/>
              </w:rPr>
            </w:pPr>
            <w:r w:rsidRPr="00426CC5">
              <w:rPr>
                <w:b/>
                <w:bCs/>
                <w:noProof/>
                <w:highlight w:val="lightGray"/>
              </w:rPr>
              <w:t>Autres bâtiments à usage non résidentiel*</w:t>
            </w:r>
          </w:p>
        </w:tc>
      </w:tr>
      <w:tr w:rsidR="000448D2" w:rsidRPr="00426CC5" w14:paraId="6B3C1CDE"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6B3C1CDA" w14:textId="77777777" w:rsidR="000448D2" w:rsidRPr="00426CC5" w:rsidRDefault="000448D2" w:rsidP="009567AF">
            <w:pPr>
              <w:jc w:val="center"/>
              <w:rPr>
                <w:rFonts w:eastAsia="Times New Roman"/>
                <w:noProof/>
                <w:highlight w:val="lightGray"/>
              </w:rPr>
            </w:pPr>
            <w:r w:rsidRPr="00426CC5">
              <w:rPr>
                <w:noProof/>
                <w:highlight w:val="lightGray"/>
              </w:rPr>
              <w:t>Zone méditerranéenne</w:t>
            </w:r>
          </w:p>
        </w:tc>
        <w:tc>
          <w:tcPr>
            <w:tcW w:w="2070" w:type="dxa"/>
            <w:tcBorders>
              <w:top w:val="single" w:sz="8" w:space="0" w:color="auto"/>
              <w:left w:val="single" w:sz="8" w:space="0" w:color="auto"/>
              <w:bottom w:val="single" w:sz="8" w:space="0" w:color="auto"/>
              <w:right w:val="single" w:sz="8" w:space="0" w:color="auto"/>
            </w:tcBorders>
            <w:vAlign w:val="center"/>
          </w:tcPr>
          <w:p w14:paraId="6B3C1CDB" w14:textId="77777777" w:rsidR="000448D2" w:rsidRPr="00426CC5" w:rsidRDefault="000448D2" w:rsidP="009567AF">
            <w:pPr>
              <w:jc w:val="center"/>
              <w:rPr>
                <w:rFonts w:eastAsia="Times New Roman"/>
                <w:noProof/>
                <w:color w:val="000000"/>
                <w:highlight w:val="lightGray"/>
              </w:rPr>
            </w:pPr>
            <w:r w:rsidRPr="00426CC5">
              <w:rPr>
                <w:noProof/>
                <w:color w:val="000000"/>
                <w:highlight w:val="lightGray"/>
              </w:rPr>
              <w:t>&lt;60 kWh/(m</w:t>
            </w:r>
            <w:r w:rsidRPr="00426CC5">
              <w:rPr>
                <w:noProof/>
                <w:color w:val="000000"/>
                <w:highlight w:val="lightGray"/>
                <w:vertAlign w:val="superscript"/>
              </w:rPr>
              <w:t>2</w:t>
            </w:r>
            <w:r w:rsidRPr="00426CC5">
              <w:rPr>
                <w:noProof/>
                <w:color w:val="000000"/>
                <w:highlight w:val="lightGray"/>
              </w:rPr>
              <w:t>.an)</w:t>
            </w:r>
          </w:p>
        </w:tc>
        <w:tc>
          <w:tcPr>
            <w:tcW w:w="2055" w:type="dxa"/>
            <w:tcBorders>
              <w:top w:val="single" w:sz="8" w:space="0" w:color="auto"/>
              <w:left w:val="single" w:sz="8" w:space="0" w:color="auto"/>
              <w:bottom w:val="single" w:sz="8" w:space="0" w:color="auto"/>
              <w:right w:val="single" w:sz="8" w:space="0" w:color="auto"/>
            </w:tcBorders>
            <w:vAlign w:val="center"/>
          </w:tcPr>
          <w:p w14:paraId="6B3C1CDC" w14:textId="77777777" w:rsidR="000448D2" w:rsidRPr="00426CC5" w:rsidRDefault="000448D2" w:rsidP="009567AF">
            <w:pPr>
              <w:jc w:val="center"/>
              <w:rPr>
                <w:rFonts w:eastAsia="Times New Roman"/>
                <w:noProof/>
                <w:color w:val="000000"/>
                <w:highlight w:val="lightGray"/>
              </w:rPr>
            </w:pPr>
            <w:r w:rsidRPr="00426CC5">
              <w:rPr>
                <w:noProof/>
                <w:color w:val="000000"/>
                <w:highlight w:val="lightGray"/>
              </w:rPr>
              <w:t>&lt;70 kWh/(m</w:t>
            </w:r>
            <w:r w:rsidRPr="00426CC5">
              <w:rPr>
                <w:noProof/>
                <w:color w:val="000000"/>
                <w:highlight w:val="lightGray"/>
                <w:vertAlign w:val="superscript"/>
              </w:rPr>
              <w:t>2</w:t>
            </w:r>
            <w:r w:rsidRPr="00426CC5">
              <w:rPr>
                <w:noProof/>
                <w:color w:val="000000"/>
                <w:highlight w:val="lightGray"/>
              </w:rPr>
              <w:t>.an)</w:t>
            </w:r>
          </w:p>
        </w:tc>
        <w:tc>
          <w:tcPr>
            <w:tcW w:w="2790" w:type="dxa"/>
            <w:tcBorders>
              <w:top w:val="single" w:sz="8" w:space="0" w:color="auto"/>
              <w:left w:val="single" w:sz="8" w:space="0" w:color="auto"/>
              <w:bottom w:val="single" w:sz="8" w:space="0" w:color="auto"/>
              <w:right w:val="single" w:sz="8" w:space="0" w:color="auto"/>
            </w:tcBorders>
            <w:vAlign w:val="center"/>
          </w:tcPr>
          <w:p w14:paraId="6B3C1CDD" w14:textId="77777777" w:rsidR="000448D2" w:rsidRPr="00426CC5" w:rsidRDefault="000448D2" w:rsidP="009567AF">
            <w:pPr>
              <w:jc w:val="center"/>
              <w:rPr>
                <w:rFonts w:eastAsia="Times New Roman"/>
                <w:noProof/>
                <w:highlight w:val="lightGray"/>
              </w:rPr>
            </w:pPr>
            <w:r w:rsidRPr="00426CC5">
              <w:rPr>
                <w:noProof/>
                <w:highlight w:val="lightGray"/>
              </w:rPr>
              <w:t>&lt; consommation totale d’énergie primaire NZEB définie au niveau national</w:t>
            </w:r>
          </w:p>
        </w:tc>
      </w:tr>
      <w:tr w:rsidR="000448D2" w:rsidRPr="00426CC5" w14:paraId="6B3C1CE3"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6B3C1CDF" w14:textId="77777777" w:rsidR="000448D2" w:rsidRPr="00426CC5" w:rsidRDefault="000448D2" w:rsidP="009567AF">
            <w:pPr>
              <w:jc w:val="center"/>
              <w:rPr>
                <w:rFonts w:eastAsia="Times New Roman"/>
                <w:noProof/>
                <w:highlight w:val="lightGray"/>
              </w:rPr>
            </w:pPr>
            <w:r w:rsidRPr="00426CC5">
              <w:rPr>
                <w:noProof/>
                <w:highlight w:val="lightGray"/>
              </w:rPr>
              <w:t>Zone océanique</w:t>
            </w:r>
          </w:p>
        </w:tc>
        <w:tc>
          <w:tcPr>
            <w:tcW w:w="2070" w:type="dxa"/>
            <w:tcBorders>
              <w:top w:val="single" w:sz="8" w:space="0" w:color="auto"/>
              <w:left w:val="single" w:sz="8" w:space="0" w:color="auto"/>
              <w:bottom w:val="single" w:sz="8" w:space="0" w:color="auto"/>
              <w:right w:val="single" w:sz="8" w:space="0" w:color="auto"/>
            </w:tcBorders>
            <w:vAlign w:val="center"/>
          </w:tcPr>
          <w:p w14:paraId="6B3C1CE0" w14:textId="77777777" w:rsidR="000448D2" w:rsidRPr="00426CC5" w:rsidRDefault="000448D2" w:rsidP="009567AF">
            <w:pPr>
              <w:jc w:val="center"/>
              <w:rPr>
                <w:rFonts w:eastAsia="Times New Roman"/>
                <w:noProof/>
                <w:color w:val="000000"/>
                <w:highlight w:val="lightGray"/>
              </w:rPr>
            </w:pPr>
            <w:r w:rsidRPr="00426CC5">
              <w:rPr>
                <w:noProof/>
                <w:color w:val="000000"/>
                <w:highlight w:val="lightGray"/>
              </w:rPr>
              <w:t>&lt;60 kWh/(m</w:t>
            </w:r>
            <w:r w:rsidRPr="00426CC5">
              <w:rPr>
                <w:noProof/>
                <w:color w:val="000000"/>
                <w:highlight w:val="lightGray"/>
                <w:vertAlign w:val="superscript"/>
              </w:rPr>
              <w:t>2</w:t>
            </w:r>
            <w:r w:rsidRPr="00426CC5">
              <w:rPr>
                <w:noProof/>
                <w:color w:val="000000"/>
                <w:highlight w:val="lightGray"/>
              </w:rPr>
              <w:t>.an)</w:t>
            </w:r>
          </w:p>
        </w:tc>
        <w:tc>
          <w:tcPr>
            <w:tcW w:w="2055" w:type="dxa"/>
            <w:tcBorders>
              <w:top w:val="single" w:sz="8" w:space="0" w:color="auto"/>
              <w:left w:val="single" w:sz="8" w:space="0" w:color="auto"/>
              <w:bottom w:val="single" w:sz="8" w:space="0" w:color="auto"/>
              <w:right w:val="single" w:sz="8" w:space="0" w:color="auto"/>
            </w:tcBorders>
            <w:vAlign w:val="center"/>
          </w:tcPr>
          <w:p w14:paraId="6B3C1CE1" w14:textId="77777777" w:rsidR="000448D2" w:rsidRPr="00426CC5" w:rsidRDefault="000448D2" w:rsidP="009567AF">
            <w:pPr>
              <w:jc w:val="center"/>
              <w:rPr>
                <w:rFonts w:eastAsia="Times New Roman"/>
                <w:noProof/>
                <w:color w:val="000000"/>
                <w:highlight w:val="lightGray"/>
              </w:rPr>
            </w:pPr>
            <w:r w:rsidRPr="00426CC5">
              <w:rPr>
                <w:noProof/>
                <w:color w:val="000000"/>
                <w:highlight w:val="lightGray"/>
              </w:rPr>
              <w:t>&lt;85 kWh/(m</w:t>
            </w:r>
            <w:r w:rsidRPr="00426CC5">
              <w:rPr>
                <w:noProof/>
                <w:color w:val="000000"/>
                <w:highlight w:val="lightGray"/>
                <w:vertAlign w:val="superscript"/>
              </w:rPr>
              <w:t>2</w:t>
            </w:r>
            <w:r w:rsidRPr="00426CC5">
              <w:rPr>
                <w:noProof/>
                <w:color w:val="000000"/>
                <w:highlight w:val="lightGray"/>
              </w:rPr>
              <w:t>.an)</w:t>
            </w:r>
          </w:p>
        </w:tc>
        <w:tc>
          <w:tcPr>
            <w:tcW w:w="2790" w:type="dxa"/>
            <w:tcBorders>
              <w:top w:val="single" w:sz="8" w:space="0" w:color="auto"/>
              <w:left w:val="single" w:sz="8" w:space="0" w:color="auto"/>
              <w:bottom w:val="single" w:sz="8" w:space="0" w:color="auto"/>
              <w:right w:val="single" w:sz="8" w:space="0" w:color="auto"/>
            </w:tcBorders>
            <w:vAlign w:val="center"/>
          </w:tcPr>
          <w:p w14:paraId="6B3C1CE2" w14:textId="77777777" w:rsidR="000448D2" w:rsidRPr="00426CC5" w:rsidRDefault="000448D2" w:rsidP="009567AF">
            <w:pPr>
              <w:jc w:val="center"/>
              <w:rPr>
                <w:rFonts w:eastAsia="Times New Roman"/>
                <w:noProof/>
                <w:highlight w:val="lightGray"/>
              </w:rPr>
            </w:pPr>
            <w:r w:rsidRPr="00426CC5">
              <w:rPr>
                <w:noProof/>
                <w:highlight w:val="lightGray"/>
              </w:rPr>
              <w:t>&lt; consommation totale d’énergie primaire NZEB définie au niveau national</w:t>
            </w:r>
          </w:p>
        </w:tc>
      </w:tr>
      <w:tr w:rsidR="000448D2" w:rsidRPr="00426CC5" w14:paraId="6B3C1CE8"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6B3C1CE4" w14:textId="77777777" w:rsidR="000448D2" w:rsidRPr="00426CC5" w:rsidRDefault="000448D2" w:rsidP="009567AF">
            <w:pPr>
              <w:jc w:val="center"/>
              <w:rPr>
                <w:rFonts w:eastAsia="Times New Roman"/>
                <w:noProof/>
                <w:highlight w:val="lightGray"/>
              </w:rPr>
            </w:pPr>
            <w:r w:rsidRPr="00426CC5">
              <w:rPr>
                <w:noProof/>
                <w:highlight w:val="lightGray"/>
              </w:rPr>
              <w:t>Zone continentale</w:t>
            </w:r>
          </w:p>
        </w:tc>
        <w:tc>
          <w:tcPr>
            <w:tcW w:w="2070" w:type="dxa"/>
            <w:tcBorders>
              <w:top w:val="single" w:sz="8" w:space="0" w:color="auto"/>
              <w:left w:val="single" w:sz="8" w:space="0" w:color="auto"/>
              <w:bottom w:val="single" w:sz="8" w:space="0" w:color="auto"/>
              <w:right w:val="single" w:sz="8" w:space="0" w:color="auto"/>
            </w:tcBorders>
            <w:vAlign w:val="center"/>
          </w:tcPr>
          <w:p w14:paraId="6B3C1CE5" w14:textId="77777777" w:rsidR="000448D2" w:rsidRPr="00426CC5" w:rsidRDefault="000448D2" w:rsidP="009567AF">
            <w:pPr>
              <w:jc w:val="center"/>
              <w:rPr>
                <w:rFonts w:eastAsia="Times New Roman"/>
                <w:noProof/>
                <w:color w:val="000000"/>
                <w:highlight w:val="lightGray"/>
              </w:rPr>
            </w:pPr>
            <w:r w:rsidRPr="00426CC5">
              <w:rPr>
                <w:noProof/>
                <w:color w:val="000000"/>
                <w:highlight w:val="lightGray"/>
              </w:rPr>
              <w:t>&lt;65 kWh/(m</w:t>
            </w:r>
            <w:r w:rsidRPr="00426CC5">
              <w:rPr>
                <w:noProof/>
                <w:color w:val="000000"/>
                <w:highlight w:val="lightGray"/>
                <w:vertAlign w:val="superscript"/>
              </w:rPr>
              <w:t>2</w:t>
            </w:r>
            <w:r w:rsidRPr="00426CC5">
              <w:rPr>
                <w:noProof/>
                <w:color w:val="000000"/>
                <w:highlight w:val="lightGray"/>
              </w:rPr>
              <w:t>.an)</w:t>
            </w:r>
          </w:p>
        </w:tc>
        <w:tc>
          <w:tcPr>
            <w:tcW w:w="2055" w:type="dxa"/>
            <w:tcBorders>
              <w:top w:val="single" w:sz="8" w:space="0" w:color="auto"/>
              <w:left w:val="single" w:sz="8" w:space="0" w:color="auto"/>
              <w:bottom w:val="single" w:sz="8" w:space="0" w:color="auto"/>
              <w:right w:val="single" w:sz="8" w:space="0" w:color="auto"/>
            </w:tcBorders>
            <w:vAlign w:val="center"/>
          </w:tcPr>
          <w:p w14:paraId="6B3C1CE6" w14:textId="77777777" w:rsidR="000448D2" w:rsidRPr="00426CC5" w:rsidRDefault="000448D2" w:rsidP="009567AF">
            <w:pPr>
              <w:jc w:val="center"/>
              <w:rPr>
                <w:rFonts w:eastAsia="Times New Roman"/>
                <w:noProof/>
                <w:color w:val="000000"/>
                <w:highlight w:val="lightGray"/>
              </w:rPr>
            </w:pPr>
            <w:r w:rsidRPr="00426CC5">
              <w:rPr>
                <w:noProof/>
                <w:color w:val="000000"/>
                <w:highlight w:val="lightGray"/>
              </w:rPr>
              <w:t>&lt;85 kWh/(m</w:t>
            </w:r>
            <w:r w:rsidRPr="00426CC5">
              <w:rPr>
                <w:noProof/>
                <w:color w:val="000000"/>
                <w:highlight w:val="lightGray"/>
                <w:vertAlign w:val="superscript"/>
              </w:rPr>
              <w:t>2</w:t>
            </w:r>
            <w:r w:rsidRPr="00426CC5">
              <w:rPr>
                <w:noProof/>
                <w:color w:val="000000"/>
                <w:highlight w:val="lightGray"/>
              </w:rPr>
              <w:t>.an)</w:t>
            </w:r>
          </w:p>
        </w:tc>
        <w:tc>
          <w:tcPr>
            <w:tcW w:w="2790" w:type="dxa"/>
            <w:tcBorders>
              <w:top w:val="single" w:sz="8" w:space="0" w:color="auto"/>
              <w:left w:val="single" w:sz="8" w:space="0" w:color="auto"/>
              <w:bottom w:val="single" w:sz="8" w:space="0" w:color="auto"/>
              <w:right w:val="single" w:sz="8" w:space="0" w:color="auto"/>
            </w:tcBorders>
            <w:vAlign w:val="center"/>
          </w:tcPr>
          <w:p w14:paraId="6B3C1CE7" w14:textId="77777777" w:rsidR="000448D2" w:rsidRPr="00426CC5" w:rsidRDefault="000448D2" w:rsidP="009567AF">
            <w:pPr>
              <w:jc w:val="center"/>
              <w:rPr>
                <w:rFonts w:eastAsia="Times New Roman"/>
                <w:noProof/>
                <w:highlight w:val="lightGray"/>
              </w:rPr>
            </w:pPr>
            <w:r w:rsidRPr="00426CC5">
              <w:rPr>
                <w:noProof/>
                <w:highlight w:val="lightGray"/>
              </w:rPr>
              <w:t>&lt; consommation totale d’énergie primaire NZEB définie au niveau national</w:t>
            </w:r>
          </w:p>
        </w:tc>
      </w:tr>
      <w:tr w:rsidR="000448D2" w:rsidRPr="00426CC5" w14:paraId="6B3C1CED"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6B3C1CE9" w14:textId="77777777" w:rsidR="000448D2" w:rsidRPr="00426CC5" w:rsidRDefault="000448D2" w:rsidP="009567AF">
            <w:pPr>
              <w:jc w:val="center"/>
              <w:rPr>
                <w:rFonts w:eastAsia="Times New Roman"/>
                <w:noProof/>
                <w:highlight w:val="lightGray"/>
              </w:rPr>
            </w:pPr>
            <w:r w:rsidRPr="00426CC5">
              <w:rPr>
                <w:noProof/>
                <w:highlight w:val="lightGray"/>
              </w:rPr>
              <w:t>Zone nordique</w:t>
            </w:r>
          </w:p>
        </w:tc>
        <w:tc>
          <w:tcPr>
            <w:tcW w:w="2070" w:type="dxa"/>
            <w:tcBorders>
              <w:top w:val="single" w:sz="8" w:space="0" w:color="auto"/>
              <w:left w:val="single" w:sz="8" w:space="0" w:color="auto"/>
              <w:bottom w:val="single" w:sz="8" w:space="0" w:color="auto"/>
              <w:right w:val="single" w:sz="8" w:space="0" w:color="auto"/>
            </w:tcBorders>
            <w:vAlign w:val="center"/>
          </w:tcPr>
          <w:p w14:paraId="6B3C1CEA" w14:textId="77777777" w:rsidR="000448D2" w:rsidRPr="00426CC5" w:rsidRDefault="000448D2" w:rsidP="009567AF">
            <w:pPr>
              <w:jc w:val="center"/>
              <w:rPr>
                <w:rFonts w:eastAsia="Times New Roman"/>
                <w:noProof/>
                <w:highlight w:val="lightGray"/>
              </w:rPr>
            </w:pPr>
            <w:r w:rsidRPr="00426CC5">
              <w:rPr>
                <w:noProof/>
                <w:highlight w:val="lightGray"/>
              </w:rPr>
              <w:t>&lt;75 kWh/(m</w:t>
            </w:r>
            <w:r w:rsidRPr="00426CC5">
              <w:rPr>
                <w:noProof/>
                <w:highlight w:val="lightGray"/>
                <w:vertAlign w:val="superscript"/>
              </w:rPr>
              <w:t>2</w:t>
            </w:r>
            <w:r w:rsidRPr="00426CC5">
              <w:rPr>
                <w:noProof/>
                <w:highlight w:val="lightGray"/>
              </w:rPr>
              <w:t>.an)</w:t>
            </w:r>
          </w:p>
        </w:tc>
        <w:tc>
          <w:tcPr>
            <w:tcW w:w="2055" w:type="dxa"/>
            <w:tcBorders>
              <w:top w:val="single" w:sz="8" w:space="0" w:color="auto"/>
              <w:left w:val="single" w:sz="8" w:space="0" w:color="auto"/>
              <w:bottom w:val="single" w:sz="8" w:space="0" w:color="auto"/>
              <w:right w:val="single" w:sz="8" w:space="0" w:color="auto"/>
            </w:tcBorders>
            <w:vAlign w:val="center"/>
          </w:tcPr>
          <w:p w14:paraId="6B3C1CEB" w14:textId="77777777" w:rsidR="000448D2" w:rsidRPr="00426CC5" w:rsidRDefault="000448D2" w:rsidP="009567AF">
            <w:pPr>
              <w:jc w:val="center"/>
              <w:rPr>
                <w:rFonts w:eastAsia="Times New Roman"/>
                <w:noProof/>
                <w:highlight w:val="lightGray"/>
              </w:rPr>
            </w:pPr>
            <w:r w:rsidRPr="00426CC5">
              <w:rPr>
                <w:noProof/>
                <w:highlight w:val="lightGray"/>
              </w:rPr>
              <w:t>&lt;90 kWh/(m</w:t>
            </w:r>
            <w:r w:rsidRPr="00426CC5">
              <w:rPr>
                <w:noProof/>
                <w:highlight w:val="lightGray"/>
                <w:vertAlign w:val="superscript"/>
              </w:rPr>
              <w:t>2</w:t>
            </w:r>
            <w:r w:rsidRPr="00426CC5">
              <w:rPr>
                <w:noProof/>
                <w:highlight w:val="lightGray"/>
              </w:rPr>
              <w:t>.an)</w:t>
            </w:r>
          </w:p>
        </w:tc>
        <w:tc>
          <w:tcPr>
            <w:tcW w:w="2790" w:type="dxa"/>
            <w:tcBorders>
              <w:top w:val="single" w:sz="8" w:space="0" w:color="auto"/>
              <w:left w:val="single" w:sz="8" w:space="0" w:color="auto"/>
              <w:bottom w:val="single" w:sz="8" w:space="0" w:color="auto"/>
              <w:right w:val="single" w:sz="8" w:space="0" w:color="auto"/>
            </w:tcBorders>
            <w:vAlign w:val="center"/>
          </w:tcPr>
          <w:p w14:paraId="6B3C1CEC" w14:textId="77777777" w:rsidR="000448D2" w:rsidRPr="00426CC5" w:rsidRDefault="000448D2" w:rsidP="009567AF">
            <w:pPr>
              <w:jc w:val="center"/>
              <w:rPr>
                <w:rFonts w:eastAsia="Times New Roman"/>
                <w:noProof/>
                <w:highlight w:val="lightGray"/>
              </w:rPr>
            </w:pPr>
            <w:r w:rsidRPr="00426CC5">
              <w:rPr>
                <w:noProof/>
                <w:highlight w:val="lightGray"/>
              </w:rPr>
              <w:t>&lt; consommation totale d’énergie primaire NZEB définie au niveau national</w:t>
            </w:r>
          </w:p>
        </w:tc>
      </w:tr>
    </w:tbl>
    <w:p w14:paraId="6B3C1CEE" w14:textId="77777777" w:rsidR="000448D2" w:rsidRPr="00426CC5" w:rsidRDefault="000448D2" w:rsidP="009567AF">
      <w:pPr>
        <w:spacing w:line="276" w:lineRule="auto"/>
        <w:rPr>
          <w:rFonts w:eastAsia="Times New Roman"/>
          <w:noProof/>
          <w:szCs w:val="24"/>
          <w:highlight w:val="lightGray"/>
        </w:rPr>
      </w:pPr>
      <w:r w:rsidRPr="00426CC5">
        <w:rPr>
          <w:i/>
          <w:iCs/>
          <w:noProof/>
          <w:color w:val="000000"/>
          <w:szCs w:val="24"/>
          <w:highlight w:val="lightGray"/>
        </w:rPr>
        <w:t>*Remarque: le seuil devrait être inférieur au seuil de consommation totale d’énergie primaire établi au niveau de l’État membre pour les bâtiments dont la consommation d’énergie est quasi nulle à usage non résidentiel autres que les bureaux.</w:t>
      </w:r>
    </w:p>
    <w:p w14:paraId="6B3C1CEF" w14:textId="4595CB23" w:rsidR="000448D2" w:rsidRPr="00426CC5" w:rsidRDefault="3D541C21" w:rsidP="009567AF">
      <w:pPr>
        <w:spacing w:line="276" w:lineRule="auto"/>
        <w:rPr>
          <w:rFonts w:eastAsia="Times New Roman"/>
          <w:noProof/>
          <w:highlight w:val="lightGray"/>
        </w:rPr>
      </w:pPr>
      <w:r w:rsidRPr="00426CC5">
        <w:rPr>
          <w:noProof/>
          <w:highlight w:val="lightGray"/>
        </w:rPr>
        <w:t xml:space="preserve">La consommation annuelle totale d’énergie primaire d’un bâtiment à émissions nulles neuf ou rénové est entièrement couverte, sur une base annuelle nette, par: </w:t>
      </w:r>
    </w:p>
    <w:p w14:paraId="6B3C1CF0" w14:textId="77777777" w:rsidR="000448D2" w:rsidRPr="00426CC5" w:rsidRDefault="000448D2" w:rsidP="00AC0266">
      <w:pPr>
        <w:pStyle w:val="Tiret0"/>
        <w:numPr>
          <w:ilvl w:val="0"/>
          <w:numId w:val="27"/>
        </w:numPr>
        <w:rPr>
          <w:noProof/>
          <w:highlight w:val="lightGray"/>
        </w:rPr>
      </w:pPr>
      <w:r w:rsidRPr="00426CC5">
        <w:rPr>
          <w:noProof/>
          <w:highlight w:val="lightGray"/>
        </w:rPr>
        <w:t xml:space="preserve">de l’énergie produite sur le site à partir de sources renouvelables et satisfaisant aux critères de l’article 7 de la directive (UE) 2018/2001 [RED modifiée], </w:t>
      </w:r>
    </w:p>
    <w:p w14:paraId="6B3C1CF1" w14:textId="77777777" w:rsidR="000448D2" w:rsidRPr="00426CC5" w:rsidRDefault="000448D2" w:rsidP="00B92D8E">
      <w:pPr>
        <w:pStyle w:val="Tiret0"/>
        <w:rPr>
          <w:noProof/>
          <w:highlight w:val="lightGray"/>
        </w:rPr>
      </w:pPr>
      <w:r w:rsidRPr="00426CC5">
        <w:rPr>
          <w:noProof/>
          <w:highlight w:val="lightGray"/>
        </w:rPr>
        <w:t xml:space="preserve">de l’énergie renouvelable provenant d’une communauté d’énergie renouvelable au sens de l’article 22 de la directive (UE) 2018/2001 [RED modifiée], ou </w:t>
      </w:r>
    </w:p>
    <w:p w14:paraId="6B3C1CF2" w14:textId="77777777" w:rsidR="000448D2" w:rsidRPr="00426CC5" w:rsidRDefault="000448D2" w:rsidP="00B92D8E">
      <w:pPr>
        <w:pStyle w:val="Tiret0"/>
        <w:rPr>
          <w:noProof/>
          <w:highlight w:val="lightGray"/>
        </w:rPr>
      </w:pPr>
      <w:r w:rsidRPr="00426CC5">
        <w:rPr>
          <w:noProof/>
          <w:highlight w:val="lightGray"/>
        </w:rPr>
        <w:t>de l’énergie renouvelable et de la chaleur fatale provenant d’un réseau de chauffage et de refroidissement efficace conformément à l’article 24, paragraphe 1 de la directive (UE).../... [refonte DEE].</w:t>
      </w:r>
    </w:p>
    <w:p w14:paraId="6B3C1CF3" w14:textId="77777777" w:rsidR="000448D2" w:rsidRPr="00426CC5" w:rsidRDefault="000448D2" w:rsidP="009567AF">
      <w:pPr>
        <w:spacing w:line="276" w:lineRule="auto"/>
        <w:rPr>
          <w:rFonts w:eastAsia="Times New Roman"/>
          <w:noProof/>
          <w:highlight w:val="lightGray"/>
        </w:rPr>
      </w:pPr>
      <w:r w:rsidRPr="00426CC5">
        <w:rPr>
          <w:noProof/>
          <w:highlight w:val="lightGray"/>
        </w:rPr>
        <w:t>Un bâtiment à émissions nulles n’est pas à l’origine d’émissions de carbone sur site provenant de combustibles fossiles.</w:t>
      </w:r>
    </w:p>
    <w:p w14:paraId="6B3C1CF4" w14:textId="0538ABEC" w:rsidR="00A165DE" w:rsidRPr="00426CC5" w:rsidRDefault="1B87BEB9" w:rsidP="00B24379">
      <w:pPr>
        <w:spacing w:line="276" w:lineRule="auto"/>
        <w:rPr>
          <w:rFonts w:eastAsia="Times New Roman"/>
          <w:noProof/>
          <w:highlight w:val="lightGray"/>
        </w:rPr>
      </w:pPr>
      <w:r w:rsidRPr="00426CC5">
        <w:rPr>
          <w:noProof/>
          <w:highlight w:val="lightGray"/>
        </w:rPr>
        <w:t>Il est possible de couvrir également la consommation annuelle totale d’énergie primaire par de l’énergie provenant du réseau répondant aux critères établis au niveau national uniquement lorsque, en raison de la nature du bâtiment ou de l’absence d’accès à des communautés d’énergie renouvelable ou à des réseaux de chauffage et de refroidissement urbains éligibles, il n’est techniquement pas faisable de satisfaire aux exigences énoncées au premier alinéa.</w:t>
      </w:r>
    </w:p>
    <w:p w14:paraId="6B3C1CF5" w14:textId="77777777" w:rsidR="000448D2" w:rsidRPr="00426CC5" w:rsidRDefault="000448D2" w:rsidP="00B24379">
      <w:pPr>
        <w:adjustRightInd w:val="0"/>
        <w:spacing w:before="0" w:after="0"/>
        <w:rPr>
          <w:rFonts w:eastAsia="Times New Roman"/>
          <w:noProof/>
          <w:highlight w:val="lightGray"/>
        </w:rPr>
      </w:pPr>
      <w:r w:rsidRPr="00426CC5">
        <w:rPr>
          <w:noProof/>
          <w:highlight w:val="lightGray"/>
        </w:rPr>
        <w:t>II. Calcul du potentiel de réchauffement planétaire (PRP) tout au long du cycle de vie des bâtiments neufs conformément à l’article 7, paragraphe 2</w:t>
      </w:r>
    </w:p>
    <w:p w14:paraId="6B3C1CF6" w14:textId="77777777" w:rsidR="000448D2" w:rsidRPr="00426CC5" w:rsidRDefault="000448D2" w:rsidP="009567AF">
      <w:pPr>
        <w:rPr>
          <w:noProof/>
          <w:highlight w:val="lightGray"/>
        </w:rPr>
      </w:pPr>
      <w:r w:rsidRPr="00426CC5">
        <w:rPr>
          <w:noProof/>
          <w:highlight w:val="lightGray"/>
        </w:rPr>
        <w:t>Pour le calcul du potentiel de réchauffement planétaire (PRP) tout au long du cycle de vie des bâtiments neufs conformément à l’article 7, paragraphe 2, le PRP est communiqué sous la forme d’un indicateur numérique pour chaque étape du cycle de vie, exprimé en kg eq. CO</w:t>
      </w:r>
      <w:r w:rsidRPr="00426CC5">
        <w:rPr>
          <w:noProof/>
          <w:highlight w:val="lightGray"/>
          <w:vertAlign w:val="subscript"/>
        </w:rPr>
        <w:t>2</w:t>
      </w:r>
      <w:r w:rsidRPr="00426CC5">
        <w:rPr>
          <w:noProof/>
          <w:highlight w:val="lightGray"/>
        </w:rPr>
        <w:t>/m² (de la surface au sol utile) et calculé en moyenne sur une année d’une période d’étude de référence de 50 ans. La sélection des données, la définition des scénarios et les calculs sont effectués conformément à la norme EN 15978 (EN 15978: 2011. Contribution des travaux de construction au développement durable — Évaluation de la performance environnementale des bâtiments — Méthode de calcul). Le champ d’application des éléments de bâtiment et de l’équipement technique correspond au cadre européen commun «Level(s)» pour l’indicateur 1.2. Lorsqu’un outil national de calcul existe, ou est nécessaire aux fins de la communication d’informations ou pour obtenir des permis de bâtir, cet outil peut être utilisé pour communiquer les informations requises. D’autres outils de calcul peuvent être utilisés s’ils satisfont aux critères minimaux fixés par le cadre commun «Level(s)» de l’UE. Les données relatives à des produits de construction spécifiques calculées conformément au [règlement révisé sur les produits de construction] sont utilisées lorsqu’elles sont disponibles.</w:t>
      </w:r>
    </w:p>
    <w:p w14:paraId="6B3C1CF7" w14:textId="77777777" w:rsidR="000448D2" w:rsidRPr="00426CC5" w:rsidRDefault="000448D2" w:rsidP="009567AF">
      <w:pPr>
        <w:rPr>
          <w:noProof/>
        </w:rPr>
        <w:sectPr w:rsidR="000448D2" w:rsidRPr="00426CC5" w:rsidSect="00AD39FC">
          <w:headerReference w:type="default" r:id="rId24"/>
          <w:footerReference w:type="default" r:id="rId25"/>
          <w:headerReference w:type="first" r:id="rId26"/>
          <w:footerReference w:type="first" r:id="rId27"/>
          <w:pgSz w:w="11906" w:h="16838"/>
          <w:pgMar w:top="1134" w:right="1418" w:bottom="1134" w:left="1418" w:header="709" w:footer="709" w:gutter="0"/>
          <w:pgNumType w:start="1"/>
          <w:cols w:space="709"/>
          <w:docGrid w:linePitch="326"/>
        </w:sectPr>
      </w:pPr>
    </w:p>
    <w:p w14:paraId="6B3C1CF8" w14:textId="77777777" w:rsidR="000448D2" w:rsidRPr="00426CC5" w:rsidRDefault="000448D2">
      <w:pPr>
        <w:pStyle w:val="CRSeparator"/>
        <w:rPr>
          <w:noProof/>
        </w:rPr>
      </w:pPr>
    </w:p>
    <w:p w14:paraId="6B3C1CF9"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2</w:t>
      </w:r>
    </w:p>
    <w:p w14:paraId="6B3C1CFA" w14:textId="77777777" w:rsidR="000448D2" w:rsidRPr="00426CC5" w:rsidRDefault="000448D2" w:rsidP="00EC00AC">
      <w:pPr>
        <w:pStyle w:val="Annexetitre"/>
        <w:rPr>
          <w:noProof/>
        </w:rPr>
      </w:pPr>
      <w:r w:rsidRPr="00426CC5">
        <w:rPr>
          <w:noProof/>
        </w:rPr>
        <w:t xml:space="preserve">ANNEXE </w:t>
      </w:r>
      <w:r w:rsidRPr="00426CC5">
        <w:rPr>
          <w:rStyle w:val="CRMinorChangeAdded"/>
          <w:noProof/>
        </w:rPr>
        <w:t>IV</w:t>
      </w:r>
      <w:r w:rsidRPr="00426CC5">
        <w:rPr>
          <w:rStyle w:val="CRMinorChangeDeleted"/>
          <w:noProof/>
        </w:rPr>
        <w:t>IA</w:t>
      </w:r>
    </w:p>
    <w:p w14:paraId="6B3C1CFB" w14:textId="77777777" w:rsidR="000448D2" w:rsidRPr="00426CC5" w:rsidRDefault="000448D2" w:rsidP="00B24379">
      <w:pPr>
        <w:pStyle w:val="ManualHeading1"/>
        <w:ind w:left="851" w:hanging="851"/>
        <w:jc w:val="center"/>
        <w:rPr>
          <w:noProof/>
        </w:rPr>
      </w:pPr>
      <w:r w:rsidRPr="00426CC5">
        <w:rPr>
          <w:i/>
          <w:iCs/>
          <w:noProof/>
        </w:rPr>
        <w:t>CADRE GÉNÉRAL COMMUN D’ÉVALUATION DU POTENTIEL D’INTELLIGENCE DES BÂTIMENTS</w:t>
      </w:r>
    </w:p>
    <w:p w14:paraId="6B3C1CFC" w14:textId="77777777" w:rsidR="000448D2" w:rsidRPr="00426CC5" w:rsidRDefault="000448D2" w:rsidP="00B92D8E">
      <w:pPr>
        <w:rPr>
          <w:noProof/>
        </w:rPr>
      </w:pPr>
      <w:r w:rsidRPr="00426CC5">
        <w:rPr>
          <w:noProof/>
        </w:rPr>
        <w:t>1.</w:t>
      </w:r>
      <w:r w:rsidRPr="00426CC5">
        <w:rPr>
          <w:noProof/>
        </w:rPr>
        <w:tab/>
        <w:t>La Commission définit l’indicateur du potentiel d’intelligence et établit une méthode permettant de le calculer, afin d’évaluer les capacités d’un bâtiment ou d’une unité de bâtiment à adapter son fonctionnement aux besoins de ses occupants et du réseau et à améliorer son efficacité énergétique et sa performance globale.</w:t>
      </w:r>
    </w:p>
    <w:p w14:paraId="6B3C1CFD" w14:textId="77777777" w:rsidR="000448D2" w:rsidRPr="00426CC5" w:rsidRDefault="000448D2" w:rsidP="00B92D8E">
      <w:pPr>
        <w:rPr>
          <w:noProof/>
        </w:rPr>
      </w:pPr>
      <w:r w:rsidRPr="00426CC5">
        <w:rPr>
          <w:noProof/>
        </w:rPr>
        <w:t>L’indicateur du potentiel d’intelligence tient compte des caractéristiques relatives à l’amélioration des économies d’énergie, aux évaluations comparatives et à la flexibilité, ainsi qu’à l’amélioration des fonctionnalités et capacités découlant de dispositifs plus interconnectés et intelligents.</w:t>
      </w:r>
    </w:p>
    <w:p w14:paraId="6B3C1CFE" w14:textId="77777777" w:rsidR="000448D2" w:rsidRPr="00426CC5" w:rsidRDefault="000448D2" w:rsidP="00B92D8E">
      <w:pPr>
        <w:rPr>
          <w:noProof/>
        </w:rPr>
      </w:pPr>
      <w:r w:rsidRPr="00426CC5">
        <w:rPr>
          <w:noProof/>
        </w:rPr>
        <w:t>La méthode tient compte de caractéristiques telles que les compteurs intelligents, les systèmes d’automatisation et de contrôle des bâtiments, les dispositifs d’autorégulation pour réguler la température intérieure, les appareils ménagers intégrés, les points de recharge pour les véhicules électriques, le stockage de l’énergie et les fonctionnalités détaillées et l’interopérabilité de ces éléments, ainsi que des avantages pour le climat intérieur, l’efficacité énergétique, les niveaux de performance et les capacités de flexibilité.</w:t>
      </w:r>
    </w:p>
    <w:p w14:paraId="6B3C1CFF" w14:textId="77777777" w:rsidR="000448D2" w:rsidRPr="00426CC5" w:rsidRDefault="000448D2" w:rsidP="00B92D8E">
      <w:pPr>
        <w:rPr>
          <w:noProof/>
        </w:rPr>
      </w:pPr>
      <w:r w:rsidRPr="00426CC5">
        <w:rPr>
          <w:noProof/>
        </w:rPr>
        <w:t>2.</w:t>
      </w:r>
      <w:r w:rsidRPr="00426CC5">
        <w:rPr>
          <w:noProof/>
        </w:rPr>
        <w:tab/>
        <w:t>La méthode repose sur trois fonctionnalités principales concernant le bâtiment et ses systèmes techniques:</w:t>
      </w:r>
    </w:p>
    <w:p w14:paraId="6B3C1D00" w14:textId="77777777" w:rsidR="000448D2" w:rsidRPr="00426CC5" w:rsidRDefault="000448D2" w:rsidP="00AC0266">
      <w:pPr>
        <w:pStyle w:val="Point1letter"/>
        <w:numPr>
          <w:ilvl w:val="3"/>
          <w:numId w:val="28"/>
        </w:numPr>
        <w:rPr>
          <w:noProof/>
        </w:rPr>
      </w:pPr>
      <w:r w:rsidRPr="00426CC5">
        <w:rPr>
          <w:noProof/>
        </w:rPr>
        <w:t>la capacité à maintenir la performance énergétique et le fonctionnement du bâtiment en adaptant la consommation d’énergie, par exemple en utilisant de l’énergie produite à partir de sources renouvelables;</w:t>
      </w:r>
    </w:p>
    <w:p w14:paraId="6B3C1D01" w14:textId="77777777" w:rsidR="000448D2" w:rsidRPr="00426CC5" w:rsidRDefault="000448D2" w:rsidP="00B92D8E">
      <w:pPr>
        <w:pStyle w:val="Point1letter"/>
        <w:rPr>
          <w:noProof/>
        </w:rPr>
      </w:pPr>
      <w:r w:rsidRPr="00426CC5">
        <w:rPr>
          <w:noProof/>
        </w:rPr>
        <w:t>la capacité à adapter son mode de fonctionnement pour répondre aux besoins des occupants, tout en prêtant dûment attention à la disponibilité de la convivialité et en maintenant un climat intérieur sain, et la capacité à signaler la consommation d'énergie; et</w:t>
      </w:r>
    </w:p>
    <w:p w14:paraId="6B3C1D02" w14:textId="77777777" w:rsidR="000448D2" w:rsidRPr="00426CC5" w:rsidRDefault="000448D2" w:rsidP="00B92D8E">
      <w:pPr>
        <w:pStyle w:val="Point1letter"/>
        <w:rPr>
          <w:noProof/>
        </w:rPr>
      </w:pPr>
      <w:r w:rsidRPr="00426CC5">
        <w:rPr>
          <w:noProof/>
        </w:rPr>
        <w:t>la flexibilité de la demande globale d’un bâtiment en électricité, y compris sa capacité à permettre la participation active et passive, ainsi qu’implicite et explicite, au marché de l’effacement des consommations, en lien avec le réseau, par exemple grâce à des capacités de flexibilité et de transfert de charge.</w:t>
      </w:r>
    </w:p>
    <w:p w14:paraId="6B3C1D03" w14:textId="77777777" w:rsidR="000448D2" w:rsidRPr="00426CC5" w:rsidRDefault="000448D2" w:rsidP="009E3C5F">
      <w:pPr>
        <w:rPr>
          <w:noProof/>
        </w:rPr>
      </w:pPr>
      <w:r w:rsidRPr="00426CC5">
        <w:rPr>
          <w:noProof/>
        </w:rPr>
        <w:t>3.</w:t>
      </w:r>
      <w:r w:rsidRPr="00426CC5">
        <w:rPr>
          <w:noProof/>
        </w:rPr>
        <w:tab/>
        <w:t>En outre, la méthode peut également tenir compte de:</w:t>
      </w:r>
    </w:p>
    <w:p w14:paraId="6B3C1D04" w14:textId="77777777" w:rsidR="000448D2" w:rsidRPr="00426CC5" w:rsidRDefault="000448D2" w:rsidP="00986F67">
      <w:pPr>
        <w:pStyle w:val="Point1letter"/>
        <w:numPr>
          <w:ilvl w:val="3"/>
          <w:numId w:val="26"/>
        </w:numPr>
        <w:rPr>
          <w:noProof/>
        </w:rPr>
      </w:pPr>
      <w:r w:rsidRPr="00426CC5">
        <w:rPr>
          <w:noProof/>
        </w:rPr>
        <w:t>l'interopérabilité entre les systèmes (compteurs intelligents, systèmes d'automatisation et de contrôle des bâtiments, appareils ménagers intégrés, dispositifs d'autorégulation pour réguler la température intérieure au sein du bâtiment, capteurs de la qualité de l'air intérieur et installations de ventilation); et</w:t>
      </w:r>
    </w:p>
    <w:p w14:paraId="6B3C1D05" w14:textId="77777777" w:rsidR="000448D2" w:rsidRPr="00426CC5" w:rsidRDefault="000448D2" w:rsidP="00B92D8E">
      <w:pPr>
        <w:pStyle w:val="Point1letter"/>
        <w:rPr>
          <w:noProof/>
        </w:rPr>
      </w:pPr>
      <w:r w:rsidRPr="00426CC5">
        <w:rPr>
          <w:noProof/>
        </w:rPr>
        <w:t>l’influence positive des réseaux de communication existants, en particulier l’existence d’infrastructures physiques adaptées au haut débit à l’intérieur des bâtiments, telles que le label volontaire «adapté au haut débit», et l’existence d’un point d’accès pour les bâtiments collectifs conformément à l’article 8 de la directive 2014/61/UE du Parlement européen et du Conseil</w:t>
      </w:r>
      <w:r w:rsidRPr="00426CC5">
        <w:rPr>
          <w:rStyle w:val="FootnoteReference0"/>
          <w:noProof/>
        </w:rPr>
        <w:footnoteReference w:id="3"/>
      </w:r>
      <w:r w:rsidRPr="00426CC5">
        <w:rPr>
          <w:noProof/>
        </w:rPr>
        <w:t>.</w:t>
      </w:r>
    </w:p>
    <w:p w14:paraId="6B3C1D06" w14:textId="77777777" w:rsidR="000448D2" w:rsidRPr="00426CC5" w:rsidRDefault="000448D2" w:rsidP="00B92D8E">
      <w:pPr>
        <w:rPr>
          <w:noProof/>
        </w:rPr>
      </w:pPr>
      <w:r w:rsidRPr="00426CC5">
        <w:rPr>
          <w:noProof/>
        </w:rPr>
        <w:t>4.</w:t>
      </w:r>
      <w:r w:rsidRPr="00426CC5">
        <w:rPr>
          <w:noProof/>
        </w:rPr>
        <w:tab/>
        <w:t>La méthode n’a pas d’incidence négative sur les systèmes nationaux existants en matière de certification des performances énergétiques et s’appuie sur les initiatives prises dans ce domaine au niveau national, tout en tenant compte des principes de propriété des occupants, de protection des données, de respect de la vie privée et de sécurité, conformément au droit de l’Union applicable en matière de protection des données et de respect de la vie privée et en tenant dûment compte des meilleures techniques disponibles en matière de cybersécurité.</w:t>
      </w:r>
    </w:p>
    <w:p w14:paraId="6B3C1D07" w14:textId="77777777" w:rsidR="000448D2" w:rsidRPr="00426CC5" w:rsidRDefault="000448D2" w:rsidP="00B92D8E">
      <w:pPr>
        <w:rPr>
          <w:noProof/>
        </w:rPr>
      </w:pPr>
      <w:r w:rsidRPr="00426CC5">
        <w:rPr>
          <w:noProof/>
        </w:rPr>
        <w:t>5.</w:t>
      </w:r>
      <w:r w:rsidRPr="00426CC5">
        <w:rPr>
          <w:noProof/>
        </w:rPr>
        <w:tab/>
        <w:t>La méthode définit le format le plus approprié pour le paramètre de l’indicateur du potentiel d’intelligence et est simple, transparente et facilement compréhensible par les consommateurs, les propriétaires, les investisseurs et les participants au marché de l’effacement des consommations.</w:t>
      </w:r>
    </w:p>
    <w:p w14:paraId="6B3C1D08" w14:textId="77777777" w:rsidR="000448D2" w:rsidRPr="00426CC5" w:rsidRDefault="000448D2">
      <w:pPr>
        <w:adjustRightInd w:val="0"/>
        <w:spacing w:before="0" w:after="0"/>
        <w:jc w:val="left"/>
        <w:rPr>
          <w:noProof/>
        </w:rPr>
        <w:sectPr w:rsidR="000448D2" w:rsidRPr="00426CC5" w:rsidSect="00AD39FC">
          <w:pgSz w:w="11906" w:h="16838"/>
          <w:pgMar w:top="1134" w:right="1418" w:bottom="1134" w:left="1418" w:header="709" w:footer="709" w:gutter="0"/>
          <w:pgNumType w:start="1"/>
          <w:cols w:space="709"/>
          <w:docGrid w:linePitch="326"/>
        </w:sectPr>
      </w:pPr>
    </w:p>
    <w:p w14:paraId="6B3C1D09" w14:textId="77777777" w:rsidR="000448D2" w:rsidRPr="00426CC5" w:rsidRDefault="000448D2" w:rsidP="009567AF">
      <w:pPr>
        <w:pStyle w:val="CRSeparator"/>
        <w:rPr>
          <w:noProof/>
        </w:rPr>
      </w:pPr>
    </w:p>
    <w:p w14:paraId="6B3C1D0A"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nouveau</w:t>
      </w:r>
    </w:p>
    <w:p w14:paraId="6B3C1D0B" w14:textId="77777777" w:rsidR="000448D2" w:rsidRPr="00426CC5" w:rsidRDefault="000448D2" w:rsidP="00EC00AC">
      <w:pPr>
        <w:pStyle w:val="Annexetitre"/>
        <w:rPr>
          <w:noProof/>
          <w:highlight w:val="lightGray"/>
        </w:rPr>
      </w:pPr>
      <w:r w:rsidRPr="00426CC5">
        <w:rPr>
          <w:noProof/>
          <w:highlight w:val="lightGray"/>
        </w:rPr>
        <w:t>ANNEXE V</w:t>
      </w:r>
    </w:p>
    <w:p w14:paraId="6B3C1D0C" w14:textId="77777777" w:rsidR="00405A76" w:rsidRPr="00426CC5" w:rsidRDefault="000448D2" w:rsidP="00B24379">
      <w:pPr>
        <w:pStyle w:val="ManualHeading1"/>
        <w:jc w:val="center"/>
        <w:rPr>
          <w:i/>
          <w:noProof/>
          <w:highlight w:val="lightGray"/>
        </w:rPr>
      </w:pPr>
      <w:r w:rsidRPr="00426CC5">
        <w:rPr>
          <w:i/>
          <w:noProof/>
          <w:highlight w:val="lightGray"/>
        </w:rPr>
        <w:t>Modèle pour les certificats de performance énergétique</w:t>
      </w:r>
    </w:p>
    <w:p w14:paraId="6B3C1D0D" w14:textId="77777777" w:rsidR="000448D2" w:rsidRPr="00426CC5" w:rsidRDefault="000448D2" w:rsidP="00B24379">
      <w:pPr>
        <w:pStyle w:val="ManualHeading2"/>
        <w:jc w:val="center"/>
        <w:rPr>
          <w:b w:val="0"/>
          <w:noProof/>
          <w:highlight w:val="lightGray"/>
        </w:rPr>
      </w:pPr>
      <w:r w:rsidRPr="00426CC5">
        <w:rPr>
          <w:b w:val="0"/>
          <w:noProof/>
          <w:highlight w:val="lightGray"/>
        </w:rPr>
        <w:t>(visés à l’article 16)</w:t>
      </w:r>
    </w:p>
    <w:p w14:paraId="6B3C1D0E" w14:textId="77777777" w:rsidR="000448D2" w:rsidRPr="00426CC5" w:rsidRDefault="000448D2" w:rsidP="009567AF">
      <w:pPr>
        <w:spacing w:line="259" w:lineRule="auto"/>
        <w:rPr>
          <w:noProof/>
          <w:highlight w:val="lightGray"/>
        </w:rPr>
      </w:pPr>
      <w:r w:rsidRPr="00426CC5">
        <w:rPr>
          <w:noProof/>
          <w:highlight w:val="lightGray"/>
        </w:rPr>
        <w:t>1. La première page du certificat de performance énergétique comporte au moins les éléments suivants:</w:t>
      </w:r>
    </w:p>
    <w:p w14:paraId="6B3C1D0F" w14:textId="77777777" w:rsidR="000448D2" w:rsidRPr="00426CC5" w:rsidRDefault="000448D2" w:rsidP="00B92D8E">
      <w:pPr>
        <w:rPr>
          <w:noProof/>
          <w:highlight w:val="lightGray"/>
        </w:rPr>
      </w:pPr>
      <w:r w:rsidRPr="00426CC5">
        <w:rPr>
          <w:noProof/>
          <w:highlight w:val="lightGray"/>
        </w:rPr>
        <w:t>a)</w:t>
      </w:r>
      <w:r w:rsidRPr="00426CC5">
        <w:rPr>
          <w:noProof/>
        </w:rPr>
        <w:tab/>
      </w:r>
      <w:r w:rsidRPr="00426CC5">
        <w:rPr>
          <w:noProof/>
          <w:highlight w:val="lightGray"/>
        </w:rPr>
        <w:t>la classe de performance énergétique;</w:t>
      </w:r>
    </w:p>
    <w:p w14:paraId="6B3C1D10" w14:textId="77777777" w:rsidR="000448D2" w:rsidRPr="00426CC5" w:rsidRDefault="000448D2" w:rsidP="00B92D8E">
      <w:pPr>
        <w:rPr>
          <w:noProof/>
          <w:highlight w:val="lightGray"/>
        </w:rPr>
      </w:pPr>
      <w:r w:rsidRPr="00426CC5">
        <w:rPr>
          <w:noProof/>
          <w:highlight w:val="lightGray"/>
        </w:rPr>
        <w:t>b)</w:t>
      </w:r>
      <w:r w:rsidRPr="00426CC5">
        <w:rPr>
          <w:noProof/>
        </w:rPr>
        <w:tab/>
      </w:r>
      <w:r w:rsidRPr="00426CC5">
        <w:rPr>
          <w:noProof/>
          <w:highlight w:val="lightGray"/>
        </w:rPr>
        <w:t>la consommation annuelle d’énergie primaire calculée en kWh/(m</w:t>
      </w:r>
      <w:r w:rsidRPr="00426CC5">
        <w:rPr>
          <w:noProof/>
          <w:highlight w:val="lightGray"/>
          <w:vertAlign w:val="superscript"/>
        </w:rPr>
        <w:t>2</w:t>
      </w:r>
      <w:r w:rsidRPr="00426CC5">
        <w:rPr>
          <w:noProof/>
          <w:highlight w:val="lightGray"/>
        </w:rPr>
        <w:t xml:space="preserve"> an);</w:t>
      </w:r>
    </w:p>
    <w:p w14:paraId="6B3C1D11" w14:textId="77777777" w:rsidR="000448D2" w:rsidRPr="00426CC5" w:rsidRDefault="000448D2" w:rsidP="00B92D8E">
      <w:pPr>
        <w:rPr>
          <w:noProof/>
          <w:highlight w:val="lightGray"/>
        </w:rPr>
      </w:pPr>
      <w:r w:rsidRPr="00426CC5">
        <w:rPr>
          <w:noProof/>
          <w:highlight w:val="lightGray"/>
        </w:rPr>
        <w:t>c)</w:t>
      </w:r>
      <w:r w:rsidRPr="00426CC5">
        <w:rPr>
          <w:noProof/>
        </w:rPr>
        <w:tab/>
      </w:r>
      <w:r w:rsidRPr="00426CC5">
        <w:rPr>
          <w:noProof/>
          <w:highlight w:val="lightGray"/>
        </w:rPr>
        <w:t>la consommation annuelle d’énergie primaire calculée en kWh ou en MWh;</w:t>
      </w:r>
    </w:p>
    <w:p w14:paraId="6B3C1D12" w14:textId="77777777" w:rsidR="000448D2" w:rsidRPr="00426CC5" w:rsidRDefault="000448D2" w:rsidP="00B92D8E">
      <w:pPr>
        <w:rPr>
          <w:noProof/>
          <w:highlight w:val="lightGray"/>
        </w:rPr>
      </w:pPr>
      <w:r w:rsidRPr="00426CC5">
        <w:rPr>
          <w:noProof/>
          <w:highlight w:val="lightGray"/>
        </w:rPr>
        <w:t>d)</w:t>
      </w:r>
      <w:r w:rsidRPr="00426CC5">
        <w:rPr>
          <w:noProof/>
        </w:rPr>
        <w:tab/>
      </w:r>
      <w:r w:rsidRPr="00426CC5">
        <w:rPr>
          <w:noProof/>
          <w:highlight w:val="lightGray"/>
        </w:rPr>
        <w:t>la consommation annuelle d’énergie finale calculée en kWh/(m</w:t>
      </w:r>
      <w:r w:rsidRPr="00426CC5">
        <w:rPr>
          <w:noProof/>
          <w:highlight w:val="lightGray"/>
          <w:vertAlign w:val="superscript"/>
        </w:rPr>
        <w:t>2</w:t>
      </w:r>
      <w:r w:rsidRPr="00426CC5">
        <w:rPr>
          <w:noProof/>
          <w:highlight w:val="lightGray"/>
        </w:rPr>
        <w:t xml:space="preserve"> an);</w:t>
      </w:r>
    </w:p>
    <w:p w14:paraId="6B3C1D13" w14:textId="77777777" w:rsidR="000448D2" w:rsidRPr="00426CC5" w:rsidRDefault="000448D2" w:rsidP="00B92D8E">
      <w:pPr>
        <w:rPr>
          <w:noProof/>
          <w:highlight w:val="lightGray"/>
        </w:rPr>
      </w:pPr>
      <w:r w:rsidRPr="00426CC5">
        <w:rPr>
          <w:noProof/>
          <w:highlight w:val="lightGray"/>
        </w:rPr>
        <w:t>e)</w:t>
      </w:r>
      <w:r w:rsidRPr="00426CC5">
        <w:rPr>
          <w:noProof/>
        </w:rPr>
        <w:tab/>
      </w:r>
      <w:r w:rsidRPr="00426CC5">
        <w:rPr>
          <w:noProof/>
          <w:highlight w:val="lightGray"/>
        </w:rPr>
        <w:t>la consommation annuelle d’énergie finale calculée en kWh ou en MWh;</w:t>
      </w:r>
    </w:p>
    <w:p w14:paraId="6B3C1D14" w14:textId="77777777" w:rsidR="000448D2" w:rsidRPr="00426CC5" w:rsidRDefault="000448D2" w:rsidP="00B92D8E">
      <w:pPr>
        <w:rPr>
          <w:noProof/>
          <w:highlight w:val="lightGray"/>
        </w:rPr>
      </w:pPr>
      <w:r w:rsidRPr="00426CC5">
        <w:rPr>
          <w:noProof/>
          <w:highlight w:val="lightGray"/>
        </w:rPr>
        <w:t>f)</w:t>
      </w:r>
      <w:r w:rsidRPr="00426CC5">
        <w:rPr>
          <w:noProof/>
        </w:rPr>
        <w:tab/>
      </w:r>
      <w:r w:rsidRPr="00426CC5">
        <w:rPr>
          <w:noProof/>
          <w:highlight w:val="lightGray"/>
        </w:rPr>
        <w:t>la production d’énergie renouvelable en kWh ou en MWh;</w:t>
      </w:r>
    </w:p>
    <w:p w14:paraId="6B3C1D15" w14:textId="77777777" w:rsidR="000448D2" w:rsidRPr="00426CC5" w:rsidRDefault="000448D2" w:rsidP="00B92D8E">
      <w:pPr>
        <w:rPr>
          <w:noProof/>
          <w:highlight w:val="lightGray"/>
        </w:rPr>
      </w:pPr>
      <w:r w:rsidRPr="00426CC5">
        <w:rPr>
          <w:noProof/>
          <w:highlight w:val="lightGray"/>
        </w:rPr>
        <w:t>g)</w:t>
      </w:r>
      <w:r w:rsidRPr="00426CC5">
        <w:rPr>
          <w:noProof/>
        </w:rPr>
        <w:tab/>
      </w:r>
      <w:r w:rsidRPr="00426CC5">
        <w:rPr>
          <w:noProof/>
          <w:highlight w:val="lightGray"/>
        </w:rPr>
        <w:t>l’énergie renouvelable en % de la consommation d’énergie;</w:t>
      </w:r>
    </w:p>
    <w:p w14:paraId="6B3C1D16" w14:textId="77777777" w:rsidR="000448D2" w:rsidRPr="00426CC5" w:rsidRDefault="000448D2" w:rsidP="00B92D8E">
      <w:pPr>
        <w:rPr>
          <w:noProof/>
          <w:highlight w:val="lightGray"/>
        </w:rPr>
      </w:pPr>
      <w:r w:rsidRPr="00426CC5">
        <w:rPr>
          <w:noProof/>
          <w:highlight w:val="lightGray"/>
        </w:rPr>
        <w:t>h)</w:t>
      </w:r>
      <w:r w:rsidRPr="00426CC5">
        <w:rPr>
          <w:noProof/>
        </w:rPr>
        <w:tab/>
      </w:r>
      <w:r w:rsidRPr="00426CC5">
        <w:rPr>
          <w:noProof/>
          <w:highlight w:val="lightGray"/>
        </w:rPr>
        <w:t>les émissions annuelles de gaz à effet de serre [kg CO</w:t>
      </w:r>
      <w:r w:rsidRPr="00426CC5">
        <w:rPr>
          <w:noProof/>
          <w:highlight w:val="lightGray"/>
          <w:vertAlign w:val="subscript"/>
        </w:rPr>
        <w:t>2</w:t>
      </w:r>
      <w:r w:rsidRPr="00426CC5">
        <w:rPr>
          <w:noProof/>
          <w:highlight w:val="lightGray"/>
        </w:rPr>
        <w:t>/(m</w:t>
      </w:r>
      <w:r w:rsidRPr="00426CC5">
        <w:rPr>
          <w:noProof/>
          <w:highlight w:val="lightGray"/>
          <w:vertAlign w:val="superscript"/>
        </w:rPr>
        <w:t>2</w:t>
      </w:r>
      <w:r w:rsidRPr="00426CC5">
        <w:rPr>
          <w:noProof/>
          <w:highlight w:val="lightGray"/>
        </w:rPr>
        <w:t>.an)]:</w:t>
      </w:r>
    </w:p>
    <w:p w14:paraId="6B3C1D17" w14:textId="77777777" w:rsidR="000448D2" w:rsidRPr="00426CC5" w:rsidRDefault="000448D2" w:rsidP="00B92D8E">
      <w:pPr>
        <w:rPr>
          <w:noProof/>
          <w:highlight w:val="lightGray"/>
        </w:rPr>
      </w:pPr>
      <w:r w:rsidRPr="00426CC5">
        <w:rPr>
          <w:noProof/>
          <w:highlight w:val="lightGray"/>
        </w:rPr>
        <w:t>i)</w:t>
      </w:r>
      <w:r w:rsidRPr="00426CC5">
        <w:rPr>
          <w:noProof/>
        </w:rPr>
        <w:tab/>
      </w:r>
      <w:r w:rsidRPr="00426CC5">
        <w:rPr>
          <w:noProof/>
          <w:highlight w:val="lightGray"/>
        </w:rPr>
        <w:t>la classe d’émissions de gaz à effet de serre (le cas échéant).</w:t>
      </w:r>
    </w:p>
    <w:p w14:paraId="6B3C1D18" w14:textId="77777777" w:rsidR="000448D2" w:rsidRPr="00426CC5" w:rsidRDefault="000448D2" w:rsidP="009567AF">
      <w:pPr>
        <w:spacing w:line="259" w:lineRule="auto"/>
        <w:rPr>
          <w:noProof/>
          <w:highlight w:val="lightGray"/>
        </w:rPr>
      </w:pPr>
      <w:r w:rsidRPr="00426CC5">
        <w:rPr>
          <w:noProof/>
          <w:highlight w:val="lightGray"/>
        </w:rPr>
        <w:t>2. En outre, le certificat de performance énergétique peut inclure les indicateurs suivants:</w:t>
      </w:r>
    </w:p>
    <w:p w14:paraId="6B3C1D19" w14:textId="77777777" w:rsidR="000448D2" w:rsidRPr="00426CC5" w:rsidRDefault="000448D2" w:rsidP="00D44D1B">
      <w:pPr>
        <w:rPr>
          <w:noProof/>
          <w:highlight w:val="lightGray"/>
        </w:rPr>
      </w:pPr>
      <w:r w:rsidRPr="00426CC5">
        <w:rPr>
          <w:noProof/>
          <w:highlight w:val="lightGray"/>
        </w:rPr>
        <w:t>a)</w:t>
      </w:r>
      <w:r w:rsidRPr="00426CC5">
        <w:rPr>
          <w:noProof/>
        </w:rPr>
        <w:tab/>
      </w:r>
      <w:r w:rsidRPr="00426CC5">
        <w:rPr>
          <w:noProof/>
          <w:highlight w:val="lightGray"/>
        </w:rPr>
        <w:t>la consommation d’énergie, la charge de pointe, la taille du générateur ou du système, le principal vecteur énergétique et le type d’élément principal pour chacune des utilisations suivantes: chauffage, refroidissement, eau chaude sanitaire, ventilation et éclairage intégré;</w:t>
      </w:r>
    </w:p>
    <w:p w14:paraId="6B3C1D1A" w14:textId="77777777" w:rsidR="000448D2" w:rsidRPr="00426CC5" w:rsidRDefault="000448D2" w:rsidP="00D44D1B">
      <w:pPr>
        <w:rPr>
          <w:noProof/>
          <w:highlight w:val="lightGray"/>
        </w:rPr>
      </w:pPr>
      <w:r w:rsidRPr="00426CC5">
        <w:rPr>
          <w:noProof/>
          <w:highlight w:val="lightGray"/>
        </w:rPr>
        <w:t>b)</w:t>
      </w:r>
      <w:r w:rsidRPr="00426CC5">
        <w:rPr>
          <w:noProof/>
        </w:rPr>
        <w:tab/>
      </w:r>
      <w:r w:rsidRPr="00426CC5">
        <w:rPr>
          <w:noProof/>
          <w:highlight w:val="lightGray"/>
        </w:rPr>
        <w:t>l’énergie renouvelable produite sur le site, le principal vecteur énergétique et le type de source d’énergie renouvelable;</w:t>
      </w:r>
    </w:p>
    <w:p w14:paraId="6B3C1D1B" w14:textId="77777777" w:rsidR="000448D2" w:rsidRPr="00426CC5" w:rsidRDefault="000448D2" w:rsidP="00D44D1B">
      <w:pPr>
        <w:rPr>
          <w:noProof/>
          <w:highlight w:val="lightGray"/>
        </w:rPr>
      </w:pPr>
      <w:r w:rsidRPr="00426CC5">
        <w:rPr>
          <w:noProof/>
          <w:highlight w:val="lightGray"/>
        </w:rPr>
        <w:t>c)</w:t>
      </w:r>
      <w:r w:rsidRPr="00426CC5">
        <w:rPr>
          <w:noProof/>
        </w:rPr>
        <w:tab/>
      </w:r>
      <w:r w:rsidRPr="00426CC5">
        <w:rPr>
          <w:noProof/>
          <w:highlight w:val="lightGray"/>
        </w:rPr>
        <w:t>une réponse (oui/non) à la question de savoir si un calcul du potentiel de réchauffement planétaire a été effectué pour le bâtiment;</w:t>
      </w:r>
    </w:p>
    <w:p w14:paraId="6B3C1D1C" w14:textId="77777777" w:rsidR="000448D2" w:rsidRPr="00426CC5" w:rsidRDefault="000448D2" w:rsidP="00D44D1B">
      <w:pPr>
        <w:rPr>
          <w:noProof/>
          <w:highlight w:val="lightGray"/>
        </w:rPr>
      </w:pPr>
      <w:r w:rsidRPr="00426CC5">
        <w:rPr>
          <w:noProof/>
          <w:highlight w:val="lightGray"/>
        </w:rPr>
        <w:t>d)</w:t>
      </w:r>
      <w:r w:rsidRPr="00426CC5">
        <w:rPr>
          <w:noProof/>
        </w:rPr>
        <w:tab/>
      </w:r>
      <w:r w:rsidRPr="00426CC5">
        <w:rPr>
          <w:noProof/>
          <w:highlight w:val="lightGray"/>
        </w:rPr>
        <w:t>la valeur du potentiel de réchauffement planétaire tout au long du cycle de vie (si disponible);</w:t>
      </w:r>
    </w:p>
    <w:p w14:paraId="6B3C1D1D" w14:textId="77777777" w:rsidR="000448D2" w:rsidRPr="00426CC5" w:rsidRDefault="000448D2" w:rsidP="00D44D1B">
      <w:pPr>
        <w:rPr>
          <w:noProof/>
          <w:highlight w:val="lightGray"/>
        </w:rPr>
      </w:pPr>
      <w:r w:rsidRPr="00426CC5">
        <w:rPr>
          <w:noProof/>
          <w:highlight w:val="lightGray"/>
        </w:rPr>
        <w:t>e)</w:t>
      </w:r>
      <w:r w:rsidRPr="00426CC5">
        <w:rPr>
          <w:noProof/>
        </w:rPr>
        <w:tab/>
      </w:r>
      <w:r w:rsidRPr="00426CC5">
        <w:rPr>
          <w:noProof/>
          <w:highlight w:val="lightGray"/>
        </w:rPr>
        <w:t>des informations sur l’absorption de carbone associée au stockage temporaire de carbone dans ou sur les bâtiments;</w:t>
      </w:r>
    </w:p>
    <w:p w14:paraId="6B3C1D1E" w14:textId="77777777" w:rsidR="000448D2" w:rsidRPr="00426CC5" w:rsidRDefault="000448D2" w:rsidP="00D44D1B">
      <w:pPr>
        <w:rPr>
          <w:noProof/>
          <w:highlight w:val="lightGray"/>
        </w:rPr>
      </w:pPr>
      <w:r w:rsidRPr="00426CC5">
        <w:rPr>
          <w:noProof/>
          <w:highlight w:val="lightGray"/>
        </w:rPr>
        <w:t>e)</w:t>
      </w:r>
      <w:r w:rsidRPr="00426CC5">
        <w:rPr>
          <w:noProof/>
        </w:rPr>
        <w:tab/>
      </w:r>
      <w:r w:rsidRPr="00426CC5">
        <w:rPr>
          <w:noProof/>
          <w:highlight w:val="lightGray"/>
        </w:rPr>
        <w:t>une réponse (oui/non) à la question de savoir si un passeport de rénovation est disponible pour le bâtiment;</w:t>
      </w:r>
    </w:p>
    <w:p w14:paraId="6B3C1D1F" w14:textId="77777777" w:rsidR="000448D2" w:rsidRPr="00426CC5" w:rsidRDefault="000448D2" w:rsidP="00D44D1B">
      <w:pPr>
        <w:rPr>
          <w:noProof/>
          <w:highlight w:val="lightGray"/>
        </w:rPr>
      </w:pPr>
      <w:r w:rsidRPr="00426CC5">
        <w:rPr>
          <w:noProof/>
          <w:highlight w:val="lightGray"/>
        </w:rPr>
        <w:t>f)</w:t>
      </w:r>
      <w:r w:rsidRPr="00426CC5">
        <w:rPr>
          <w:noProof/>
        </w:rPr>
        <w:tab/>
      </w:r>
      <w:r w:rsidRPr="00426CC5">
        <w:rPr>
          <w:noProof/>
          <w:highlight w:val="lightGray"/>
        </w:rPr>
        <w:t>la valeur U moyenne des éléments opaques de l’enveloppe du bâtiment;</w:t>
      </w:r>
    </w:p>
    <w:p w14:paraId="6B3C1D20" w14:textId="77777777" w:rsidR="000448D2" w:rsidRPr="00426CC5" w:rsidRDefault="000448D2" w:rsidP="00D44D1B">
      <w:pPr>
        <w:rPr>
          <w:noProof/>
          <w:highlight w:val="lightGray"/>
        </w:rPr>
      </w:pPr>
      <w:r w:rsidRPr="00426CC5">
        <w:rPr>
          <w:noProof/>
          <w:highlight w:val="lightGray"/>
        </w:rPr>
        <w:t>g)</w:t>
      </w:r>
      <w:r w:rsidRPr="00426CC5">
        <w:rPr>
          <w:noProof/>
        </w:rPr>
        <w:tab/>
      </w:r>
      <w:r w:rsidRPr="00426CC5">
        <w:rPr>
          <w:noProof/>
          <w:highlight w:val="lightGray"/>
        </w:rPr>
        <w:t>la valeur U moyenne des éléments transparents de l’enveloppe du bâtiment;</w:t>
      </w:r>
    </w:p>
    <w:p w14:paraId="6B3C1D21" w14:textId="77777777" w:rsidR="000448D2" w:rsidRPr="00426CC5" w:rsidRDefault="000448D2" w:rsidP="00D44D1B">
      <w:pPr>
        <w:rPr>
          <w:noProof/>
          <w:highlight w:val="lightGray"/>
        </w:rPr>
      </w:pPr>
      <w:r w:rsidRPr="00426CC5">
        <w:rPr>
          <w:noProof/>
          <w:highlight w:val="lightGray"/>
        </w:rPr>
        <w:t>h)</w:t>
      </w:r>
      <w:r w:rsidRPr="00426CC5">
        <w:rPr>
          <w:noProof/>
        </w:rPr>
        <w:tab/>
      </w:r>
      <w:r w:rsidRPr="00426CC5">
        <w:rPr>
          <w:noProof/>
          <w:highlight w:val="lightGray"/>
        </w:rPr>
        <w:t>le type d’élément transparent le plus courant (par exemple, fenêtre à double vitrage);</w:t>
      </w:r>
    </w:p>
    <w:p w14:paraId="6B3C1D22" w14:textId="77777777" w:rsidR="000448D2" w:rsidRPr="00426CC5" w:rsidRDefault="000448D2" w:rsidP="00D44D1B">
      <w:pPr>
        <w:rPr>
          <w:noProof/>
          <w:highlight w:val="lightGray"/>
        </w:rPr>
      </w:pPr>
      <w:r w:rsidRPr="00426CC5">
        <w:rPr>
          <w:noProof/>
          <w:highlight w:val="lightGray"/>
        </w:rPr>
        <w:t>i)</w:t>
      </w:r>
      <w:r w:rsidRPr="00426CC5">
        <w:rPr>
          <w:noProof/>
        </w:rPr>
        <w:tab/>
      </w:r>
      <w:r w:rsidRPr="00426CC5">
        <w:rPr>
          <w:noProof/>
          <w:highlight w:val="lightGray"/>
        </w:rPr>
        <w:t>les résultats de l’analyse du risque de température excessive (le cas échéant);</w:t>
      </w:r>
    </w:p>
    <w:p w14:paraId="6B3C1D23" w14:textId="77777777" w:rsidR="000448D2" w:rsidRPr="00426CC5" w:rsidRDefault="000448D2" w:rsidP="00D44D1B">
      <w:pPr>
        <w:rPr>
          <w:noProof/>
          <w:highlight w:val="lightGray"/>
        </w:rPr>
      </w:pPr>
      <w:r w:rsidRPr="00426CC5">
        <w:rPr>
          <w:noProof/>
          <w:highlight w:val="lightGray"/>
        </w:rPr>
        <w:t>j)</w:t>
      </w:r>
      <w:r w:rsidRPr="00426CC5">
        <w:rPr>
          <w:noProof/>
        </w:rPr>
        <w:tab/>
      </w:r>
      <w:r w:rsidRPr="00426CC5">
        <w:rPr>
          <w:noProof/>
          <w:highlight w:val="lightGray"/>
        </w:rPr>
        <w:t>la présence de capteurs fixes permettant la surveillance des niveaux de qualité de l’air intérieur;</w:t>
      </w:r>
    </w:p>
    <w:p w14:paraId="6B3C1D24" w14:textId="77777777" w:rsidR="000448D2" w:rsidRPr="00426CC5" w:rsidRDefault="000448D2" w:rsidP="00D44D1B">
      <w:pPr>
        <w:rPr>
          <w:noProof/>
          <w:highlight w:val="lightGray"/>
        </w:rPr>
      </w:pPr>
      <w:r w:rsidRPr="00426CC5">
        <w:rPr>
          <w:noProof/>
          <w:highlight w:val="lightGray"/>
        </w:rPr>
        <w:t>k)</w:t>
      </w:r>
      <w:r w:rsidRPr="00426CC5">
        <w:rPr>
          <w:noProof/>
        </w:rPr>
        <w:tab/>
      </w:r>
      <w:r w:rsidRPr="00426CC5">
        <w:rPr>
          <w:noProof/>
          <w:highlight w:val="lightGray"/>
        </w:rPr>
        <w:t>la présence de commandes fixes sensibles aux niveaux de qualité de l’air intérieur;</w:t>
      </w:r>
    </w:p>
    <w:p w14:paraId="6B3C1D25" w14:textId="77777777" w:rsidR="000448D2" w:rsidRPr="00426CC5" w:rsidRDefault="000448D2" w:rsidP="00D44D1B">
      <w:pPr>
        <w:rPr>
          <w:noProof/>
          <w:highlight w:val="lightGray"/>
        </w:rPr>
      </w:pPr>
      <w:r w:rsidRPr="00426CC5">
        <w:rPr>
          <w:noProof/>
          <w:highlight w:val="lightGray"/>
        </w:rPr>
        <w:t>l)</w:t>
      </w:r>
      <w:r w:rsidRPr="00426CC5">
        <w:rPr>
          <w:noProof/>
        </w:rPr>
        <w:tab/>
      </w:r>
      <w:r w:rsidRPr="00426CC5">
        <w:rPr>
          <w:noProof/>
          <w:highlight w:val="lightGray"/>
        </w:rPr>
        <w:t>le nombre et le type de points de recharge pour véhicules électriques;</w:t>
      </w:r>
    </w:p>
    <w:p w14:paraId="6B3C1D26" w14:textId="77777777" w:rsidR="000448D2" w:rsidRPr="00426CC5" w:rsidRDefault="000448D2" w:rsidP="00D44D1B">
      <w:pPr>
        <w:rPr>
          <w:noProof/>
          <w:highlight w:val="lightGray"/>
        </w:rPr>
      </w:pPr>
      <w:r w:rsidRPr="00426CC5">
        <w:rPr>
          <w:noProof/>
          <w:highlight w:val="lightGray"/>
        </w:rPr>
        <w:t>m)</w:t>
      </w:r>
      <w:r w:rsidRPr="00426CC5">
        <w:rPr>
          <w:noProof/>
        </w:rPr>
        <w:tab/>
      </w:r>
      <w:r w:rsidRPr="00426CC5">
        <w:rPr>
          <w:noProof/>
          <w:highlight w:val="lightGray"/>
        </w:rPr>
        <w:t>la présence, le type et la taille des systèmes de stockage d’énergie;</w:t>
      </w:r>
    </w:p>
    <w:p w14:paraId="6B3C1D27" w14:textId="77777777" w:rsidR="000448D2" w:rsidRPr="00426CC5" w:rsidRDefault="000448D2" w:rsidP="00D44D1B">
      <w:pPr>
        <w:rPr>
          <w:noProof/>
          <w:highlight w:val="lightGray"/>
        </w:rPr>
      </w:pPr>
      <w:r w:rsidRPr="00426CC5">
        <w:rPr>
          <w:noProof/>
          <w:highlight w:val="lightGray"/>
        </w:rPr>
        <w:t>n)</w:t>
      </w:r>
      <w:r w:rsidRPr="00426CC5">
        <w:rPr>
          <w:noProof/>
        </w:rPr>
        <w:tab/>
      </w:r>
      <w:r w:rsidRPr="00426CC5">
        <w:rPr>
          <w:noProof/>
          <w:highlight w:val="lightGray"/>
        </w:rPr>
        <w:t>la possibilité d’adapter le système de chauffage pour qu’il fonctionne à des températures assurant une meilleure efficience;</w:t>
      </w:r>
    </w:p>
    <w:p w14:paraId="6B3C1D28" w14:textId="614CB613" w:rsidR="000448D2" w:rsidRPr="00426CC5" w:rsidRDefault="000448D2" w:rsidP="00D44D1B">
      <w:pPr>
        <w:rPr>
          <w:noProof/>
          <w:highlight w:val="lightGray"/>
        </w:rPr>
      </w:pPr>
      <w:r w:rsidRPr="00426CC5">
        <w:rPr>
          <w:noProof/>
          <w:highlight w:val="lightGray"/>
        </w:rPr>
        <w:t>o)</w:t>
      </w:r>
      <w:r w:rsidRPr="00426CC5">
        <w:rPr>
          <w:noProof/>
        </w:rPr>
        <w:tab/>
      </w:r>
      <w:r w:rsidRPr="00426CC5">
        <w:rPr>
          <w:noProof/>
          <w:highlight w:val="lightGray"/>
        </w:rPr>
        <w:t>la possibilité d’adapter le système de climatisation pour qu’il fonctionne à des températures assurant une meilleure efficience;</w:t>
      </w:r>
    </w:p>
    <w:p w14:paraId="3A3F8C75" w14:textId="77777777" w:rsidR="0053427E" w:rsidRPr="00426CC5" w:rsidRDefault="000448D2" w:rsidP="00D44D1B">
      <w:pPr>
        <w:rPr>
          <w:noProof/>
          <w:highlight w:val="lightGray"/>
        </w:rPr>
      </w:pPr>
      <w:r w:rsidRPr="00426CC5">
        <w:rPr>
          <w:noProof/>
          <w:highlight w:val="lightGray"/>
        </w:rPr>
        <w:t>p)</w:t>
      </w:r>
      <w:r w:rsidRPr="00426CC5">
        <w:rPr>
          <w:noProof/>
        </w:rPr>
        <w:tab/>
      </w:r>
      <w:r w:rsidRPr="00426CC5">
        <w:rPr>
          <w:noProof/>
          <w:highlight w:val="lightGray"/>
        </w:rPr>
        <w:t>la consommation d'énergie mesurée;</w:t>
      </w:r>
    </w:p>
    <w:p w14:paraId="6B3C1D29" w14:textId="15AFB833" w:rsidR="000448D2" w:rsidRPr="00426CC5" w:rsidRDefault="68AED269" w:rsidP="00D44D1B">
      <w:pPr>
        <w:rPr>
          <w:noProof/>
          <w:highlight w:val="lightGray"/>
        </w:rPr>
      </w:pPr>
      <w:r w:rsidRPr="00426CC5">
        <w:rPr>
          <w:noProof/>
          <w:highlight w:val="lightGray"/>
        </w:rPr>
        <w:t>q)</w:t>
      </w:r>
      <w:r w:rsidRPr="00426CC5">
        <w:rPr>
          <w:noProof/>
        </w:rPr>
        <w:tab/>
      </w:r>
      <w:r w:rsidRPr="00426CC5">
        <w:rPr>
          <w:noProof/>
          <w:highlight w:val="lightGray"/>
        </w:rPr>
        <w:t>les émissions opérationnelles de particules fines (PM</w:t>
      </w:r>
      <w:r w:rsidRPr="00426CC5">
        <w:rPr>
          <w:noProof/>
          <w:highlight w:val="lightGray"/>
          <w:vertAlign w:val="subscript"/>
        </w:rPr>
        <w:t>2,5</w:t>
      </w:r>
      <w:r w:rsidRPr="00426CC5">
        <w:rPr>
          <w:noProof/>
          <w:highlight w:val="lightGray"/>
        </w:rPr>
        <w:t>).</w:t>
      </w:r>
    </w:p>
    <w:p w14:paraId="6B3C1D2A" w14:textId="77777777" w:rsidR="000448D2" w:rsidRPr="00426CC5" w:rsidRDefault="000448D2" w:rsidP="009567AF">
      <w:pPr>
        <w:spacing w:line="257" w:lineRule="auto"/>
        <w:rPr>
          <w:rFonts w:ascii="Calibri" w:hAnsi="Calibri" w:cs="Calibri"/>
          <w:noProof/>
          <w:sz w:val="22"/>
          <w:highlight w:val="lightGray"/>
        </w:rPr>
      </w:pPr>
      <w:r w:rsidRPr="00426CC5">
        <w:rPr>
          <w:noProof/>
          <w:highlight w:val="lightGray"/>
        </w:rPr>
        <w:t>Le certificat de performance énergétique peut comporter les liens suivants avec d’autres initiatives si celles-ci s’appliquent dans l’État membre concerné:</w:t>
      </w:r>
    </w:p>
    <w:p w14:paraId="6B3C1D2B" w14:textId="77777777" w:rsidR="000448D2" w:rsidRPr="00426CC5" w:rsidRDefault="000448D2" w:rsidP="00D44D1B">
      <w:pPr>
        <w:rPr>
          <w:noProof/>
          <w:highlight w:val="lightGray"/>
        </w:rPr>
      </w:pPr>
      <w:r w:rsidRPr="00426CC5">
        <w:rPr>
          <w:noProof/>
          <w:highlight w:val="lightGray"/>
        </w:rPr>
        <w:t>a)</w:t>
      </w:r>
      <w:r w:rsidRPr="00426CC5">
        <w:rPr>
          <w:noProof/>
        </w:rPr>
        <w:tab/>
      </w:r>
      <w:r w:rsidRPr="00426CC5">
        <w:rPr>
          <w:noProof/>
          <w:highlight w:val="lightGray"/>
        </w:rPr>
        <w:t>une réponse (oui/non) à la question de savoir si une évaluation du potentiel d’intelligence a été effectuée pour le bâtiment;</w:t>
      </w:r>
    </w:p>
    <w:p w14:paraId="6B3C1D2C" w14:textId="77777777" w:rsidR="000448D2" w:rsidRPr="00426CC5" w:rsidRDefault="000448D2" w:rsidP="00D44D1B">
      <w:pPr>
        <w:rPr>
          <w:noProof/>
          <w:highlight w:val="lightGray"/>
        </w:rPr>
      </w:pPr>
      <w:r w:rsidRPr="00426CC5">
        <w:rPr>
          <w:noProof/>
          <w:highlight w:val="lightGray"/>
        </w:rPr>
        <w:t>b)</w:t>
      </w:r>
      <w:r w:rsidRPr="00426CC5">
        <w:rPr>
          <w:noProof/>
        </w:rPr>
        <w:tab/>
      </w:r>
      <w:r w:rsidRPr="00426CC5">
        <w:rPr>
          <w:noProof/>
          <w:highlight w:val="lightGray"/>
        </w:rPr>
        <w:t>la valeur de l’évaluation du potentiel d’intelligence (si disponible);</w:t>
      </w:r>
    </w:p>
    <w:p w14:paraId="58FC9F87" w14:textId="77777777" w:rsidR="008F182F" w:rsidRPr="00426CC5" w:rsidRDefault="000448D2" w:rsidP="00D44D1B">
      <w:pPr>
        <w:rPr>
          <w:noProof/>
          <w:highlight w:val="lightGray"/>
        </w:rPr>
      </w:pPr>
      <w:r w:rsidRPr="00426CC5">
        <w:rPr>
          <w:noProof/>
          <w:highlight w:val="lightGray"/>
        </w:rPr>
        <w:t>c)</w:t>
      </w:r>
      <w:r w:rsidRPr="00426CC5">
        <w:rPr>
          <w:noProof/>
        </w:rPr>
        <w:tab/>
      </w:r>
      <w:r w:rsidRPr="00426CC5">
        <w:rPr>
          <w:noProof/>
          <w:highlight w:val="lightGray"/>
        </w:rPr>
        <w:t>une réponse (oui/non) à la question de savoir si un journal de bord numérique est disponible pour le bâtiment;</w:t>
      </w:r>
    </w:p>
    <w:p w14:paraId="1E49CAF7" w14:textId="7FD03E85" w:rsidR="00EC012A" w:rsidRPr="00426CC5" w:rsidRDefault="1D4904C1" w:rsidP="00ED3A9E">
      <w:pPr>
        <w:rPr>
          <w:noProof/>
          <w:highlight w:val="lightGray"/>
        </w:rPr>
        <w:sectPr w:rsidR="00EC012A" w:rsidRPr="00426CC5" w:rsidSect="00AD39FC">
          <w:pgSz w:w="11906" w:h="16838"/>
          <w:pgMar w:top="1134" w:right="1418" w:bottom="1134" w:left="1418" w:header="709" w:footer="709" w:gutter="0"/>
          <w:pgNumType w:start="1"/>
          <w:cols w:space="709"/>
          <w:docGrid w:linePitch="326"/>
        </w:sectPr>
      </w:pPr>
      <w:r w:rsidRPr="00426CC5">
        <w:rPr>
          <w:noProof/>
          <w:highlight w:val="lightGray"/>
        </w:rPr>
        <w:t>Les personnes handicapées bénéficient d’un accès égal aux informations contenues dans les certificats de performance énergétique.</w:t>
      </w:r>
    </w:p>
    <w:p w14:paraId="6B3C1D2E" w14:textId="77777777" w:rsidR="000448D2" w:rsidRPr="00426CC5" w:rsidRDefault="000448D2">
      <w:pPr>
        <w:pStyle w:val="CRSeparator"/>
        <w:rPr>
          <w:noProof/>
        </w:rPr>
      </w:pPr>
    </w:p>
    <w:p w14:paraId="6B3C1D2F"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 (adapté)</w:t>
      </w:r>
    </w:p>
    <w:p w14:paraId="6B3C1D30" w14:textId="77777777" w:rsidR="000448D2" w:rsidRPr="00426CC5" w:rsidRDefault="000448D2" w:rsidP="00EC00AC">
      <w:pPr>
        <w:pStyle w:val="Annexetitre"/>
        <w:rPr>
          <w:noProof/>
        </w:rPr>
      </w:pPr>
      <w:r w:rsidRPr="00426CC5">
        <w:rPr>
          <w:noProof/>
        </w:rPr>
        <w:t xml:space="preserve">ANNEXE </w:t>
      </w:r>
      <w:r w:rsidRPr="00426CC5">
        <w:rPr>
          <w:rStyle w:val="CRMinorChangeAdded"/>
          <w:noProof/>
        </w:rPr>
        <w:t>VI</w:t>
      </w:r>
      <w:r w:rsidRPr="00426CC5">
        <w:rPr>
          <w:rStyle w:val="CRMinorChangeDeleted"/>
          <w:noProof/>
        </w:rPr>
        <w:t>II</w:t>
      </w:r>
    </w:p>
    <w:p w14:paraId="6B3C1D31" w14:textId="77777777" w:rsidR="000448D2" w:rsidRPr="00426CC5" w:rsidRDefault="000448D2" w:rsidP="009916B2">
      <w:pPr>
        <w:pStyle w:val="ManualHeading1"/>
        <w:jc w:val="center"/>
        <w:rPr>
          <w:rStyle w:val="CRDeleted"/>
          <w:i/>
          <w:noProof/>
        </w:rPr>
      </w:pPr>
      <w:r w:rsidRPr="00426CC5">
        <w:rPr>
          <w:i/>
          <w:iCs/>
          <w:noProof/>
        </w:rPr>
        <w:t>Systèmes de contrôle indépendants pour les certificats de performance énergétique</w:t>
      </w:r>
      <w:r w:rsidRPr="00426CC5">
        <w:rPr>
          <w:i/>
          <w:noProof/>
        </w:rPr>
        <w:t xml:space="preserve"> </w:t>
      </w:r>
      <w:r w:rsidRPr="00426CC5">
        <w:rPr>
          <w:rStyle w:val="CRDeleted"/>
          <w:i/>
          <w:noProof/>
        </w:rPr>
        <w:t>et les rapports d’inspection</w:t>
      </w:r>
    </w:p>
    <w:p w14:paraId="6B3C1D32" w14:textId="77777777" w:rsidR="000448D2" w:rsidRPr="00426CC5" w:rsidRDefault="000448D2" w:rsidP="009567AF">
      <w:pPr>
        <w:pStyle w:val="CRSeparator"/>
        <w:rPr>
          <w:noProof/>
        </w:rPr>
      </w:pPr>
    </w:p>
    <w:p w14:paraId="6B3C1D33"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xml:space="preserve"> nouveau</w:t>
      </w:r>
    </w:p>
    <w:p w14:paraId="6B3C1D34" w14:textId="77777777" w:rsidR="000448D2" w:rsidRPr="00426CC5" w:rsidRDefault="000448D2" w:rsidP="009567AF">
      <w:pPr>
        <w:rPr>
          <w:noProof/>
          <w:highlight w:val="lightGray"/>
        </w:rPr>
      </w:pPr>
      <w:r w:rsidRPr="00426CC5">
        <w:rPr>
          <w:noProof/>
          <w:highlight w:val="lightGray"/>
        </w:rPr>
        <w:t>1.</w:t>
      </w:r>
      <w:r w:rsidRPr="00426CC5">
        <w:rPr>
          <w:noProof/>
        </w:rPr>
        <w:tab/>
      </w:r>
      <w:r w:rsidRPr="00426CC5">
        <w:rPr>
          <w:noProof/>
          <w:highlight w:val="lightGray"/>
        </w:rPr>
        <w:t>Définition de la qualité du certificat de performance énergétique</w:t>
      </w:r>
    </w:p>
    <w:p w14:paraId="6B3C1D35" w14:textId="77777777" w:rsidR="000448D2" w:rsidRPr="00426CC5" w:rsidRDefault="000448D2" w:rsidP="009567AF">
      <w:pPr>
        <w:rPr>
          <w:noProof/>
          <w:highlight w:val="lightGray"/>
        </w:rPr>
      </w:pPr>
      <w:r w:rsidRPr="00426CC5">
        <w:rPr>
          <w:noProof/>
          <w:highlight w:val="lightGray"/>
        </w:rPr>
        <w:t>Les États membres fournissent une définition claire de ce qui est considéré comme un certificat de performance énergétique valable.</w:t>
      </w:r>
    </w:p>
    <w:p w14:paraId="6B3C1D36" w14:textId="77777777" w:rsidR="000448D2" w:rsidRPr="00426CC5" w:rsidRDefault="000448D2" w:rsidP="009567AF">
      <w:pPr>
        <w:rPr>
          <w:noProof/>
        </w:rPr>
      </w:pPr>
      <w:r w:rsidRPr="00426CC5">
        <w:rPr>
          <w:noProof/>
          <w:highlight w:val="lightGray"/>
        </w:rPr>
        <w:t>La définition d’un certificat de performance énergétique valide garantit:</w:t>
      </w:r>
    </w:p>
    <w:p w14:paraId="6B3C1D37" w14:textId="77777777" w:rsidR="000448D2" w:rsidRPr="00426CC5" w:rsidRDefault="000448D2" w:rsidP="009567AF">
      <w:pPr>
        <w:pStyle w:val="CRSeparator"/>
        <w:rPr>
          <w:noProof/>
        </w:rPr>
      </w:pPr>
    </w:p>
    <w:p w14:paraId="6B3C1D38"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 (adapté)</w:t>
      </w:r>
    </w:p>
    <w:p w14:paraId="6B3C1D39"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"è" </w:instrText>
      </w:r>
      <w:r w:rsidRPr="00426CC5">
        <w:rPr>
          <w:noProof/>
        </w:rPr>
        <w:fldChar w:fldCharType="separate"/>
      </w:r>
      <w:r w:rsidRPr="00426CC5">
        <w:rPr>
          <w:rStyle w:val="CRMarker"/>
          <w:noProof/>
        </w:rPr>
        <w:t>è</w:t>
      </w:r>
      <w:r w:rsidRPr="00426CC5">
        <w:rPr>
          <w:noProof/>
        </w:rPr>
        <w:fldChar w:fldCharType="end"/>
      </w:r>
      <w:r w:rsidRPr="00426CC5">
        <w:rPr>
          <w:rStyle w:val="CRRefNum"/>
          <w:noProof/>
        </w:rPr>
        <w:t>1</w:t>
      </w:r>
      <w:r w:rsidRPr="00426CC5">
        <w:rPr>
          <w:noProof/>
        </w:rPr>
        <w:t> 2018/844 Article 1</w:t>
      </w:r>
      <w:r w:rsidRPr="00426CC5">
        <w:rPr>
          <w:noProof/>
          <w:vertAlign w:val="superscript"/>
        </w:rPr>
        <w:t>er</w:t>
      </w:r>
      <w:r w:rsidRPr="00426CC5">
        <w:rPr>
          <w:noProof/>
        </w:rPr>
        <w:t>, paragraphe 14 et Annexe, point 3 a)</w:t>
      </w:r>
    </w:p>
    <w:p w14:paraId="6B3C1D3A"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nouveau</w:t>
      </w:r>
    </w:p>
    <w:p w14:paraId="6B3C1D3B" w14:textId="7C6A697F" w:rsidR="000448D2" w:rsidRPr="00426CC5" w:rsidRDefault="000448D2">
      <w:pPr>
        <w:rPr>
          <w:rStyle w:val="CRRefonteDeleted"/>
          <w:noProof/>
          <w:highlight w:val="lightGray"/>
        </w:rPr>
      </w:pPr>
      <w:r w:rsidRPr="00426CC5">
        <w:rPr>
          <w:noProof/>
        </w:rPr>
        <w:t>1.</w:t>
      </w:r>
      <w:r w:rsidRPr="00426CC5">
        <w:rPr>
          <w:noProof/>
        </w:rPr>
        <w:tab/>
      </w:r>
      <w:r w:rsidRPr="00426CC5">
        <w:rPr>
          <w:noProof/>
        </w:rPr>
        <w:fldChar w:fldCharType="begin" w:fldLock="1"/>
      </w:r>
      <w:r w:rsidRPr="00426CC5">
        <w:rPr>
          <w:noProof/>
        </w:rPr>
        <w:instrText xml:space="preserve"> QUOTE "è" </w:instrText>
      </w:r>
      <w:r w:rsidRPr="00426CC5">
        <w:rPr>
          <w:noProof/>
        </w:rPr>
        <w:fldChar w:fldCharType="separate"/>
      </w:r>
      <w:r w:rsidRPr="00426CC5">
        <w:rPr>
          <w:rStyle w:val="CRMarker"/>
          <w:noProof/>
        </w:rPr>
        <w:t>è</w:t>
      </w:r>
      <w:r w:rsidRPr="00426CC5">
        <w:rPr>
          <w:noProof/>
        </w:rPr>
        <w:fldChar w:fldCharType="end"/>
      </w:r>
      <w:r w:rsidRPr="00426CC5">
        <w:rPr>
          <w:rStyle w:val="CRRefNum"/>
          <w:noProof/>
        </w:rPr>
        <w:t>1</w:t>
      </w:r>
      <w:r w:rsidRPr="00426CC5">
        <w:rPr>
          <w:rStyle w:val="CRRefonteDeleted"/>
          <w:noProof/>
          <w:highlight w:val="lightGray"/>
        </w:rPr>
        <w:t>Les autorités compétentes, ou les organes auxquels les autorités compétentes ont délégué la responsabilité de la mise en œuvre du système de contrôle indépendant, sélectionnent de manière aléatoire des certificats de performance énergétique sur l’ensemble des certificats établis au cours d’une année donnée et les soumettent à une vérification. La taille de l’échantillon est suffisante pour garantir des taux de conformité significatifs sur le plan statistique.</w:t>
      </w:r>
      <w:r w:rsidRPr="00426CC5">
        <w:rPr>
          <w:noProof/>
        </w:rPr>
        <w:t xml:space="preserve"> </w:t>
      </w:r>
      <w:r w:rsidRPr="00426CC5">
        <w:rPr>
          <w:noProof/>
        </w:rPr>
        <w:fldChar w:fldCharType="begin" w:fldLock="1"/>
      </w:r>
      <w:r w:rsidRPr="00426CC5">
        <w:rPr>
          <w:noProof/>
        </w:rPr>
        <w:instrText xml:space="preserve"> QUOTE "ç" </w:instrText>
      </w:r>
      <w:r w:rsidRPr="00426CC5">
        <w:rPr>
          <w:noProof/>
        </w:rPr>
        <w:fldChar w:fldCharType="separate"/>
      </w:r>
      <w:r w:rsidRPr="00426CC5">
        <w:rPr>
          <w:rStyle w:val="CRMarker"/>
          <w:noProof/>
        </w:rPr>
        <w:t>ç</w:t>
      </w:r>
      <w:r w:rsidRPr="00426CC5">
        <w:rPr>
          <w:noProof/>
        </w:rPr>
        <w:fldChar w:fldCharType="end"/>
      </w:r>
    </w:p>
    <w:p w14:paraId="6B3C1D3C" w14:textId="77777777" w:rsidR="000448D2" w:rsidRPr="00426CC5" w:rsidRDefault="000448D2">
      <w:pPr>
        <w:rPr>
          <w:rStyle w:val="CRRefonteDeleted"/>
          <w:noProof/>
          <w:highlight w:val="lightGray"/>
        </w:rPr>
      </w:pPr>
      <w:r w:rsidRPr="00426CC5">
        <w:rPr>
          <w:rStyle w:val="CRRefonteDeleted"/>
          <w:noProof/>
          <w:highlight w:val="lightGray"/>
        </w:rPr>
        <w:t>La vérification se fonde sur les mesures énoncées ci-après ou sur des mesures équivalentes:</w:t>
      </w:r>
    </w:p>
    <w:p w14:paraId="6B3C1D3D" w14:textId="77777777" w:rsidR="000448D2" w:rsidRPr="00426CC5" w:rsidRDefault="000448D2">
      <w:pPr>
        <w:pStyle w:val="Point0"/>
        <w:rPr>
          <w:noProof/>
        </w:rPr>
      </w:pPr>
      <w:r w:rsidRPr="00426CC5">
        <w:rPr>
          <w:noProof/>
        </w:rPr>
        <w:tab/>
        <w:t>a)</w:t>
      </w:r>
      <w:r w:rsidRPr="00426CC5">
        <w:rPr>
          <w:noProof/>
        </w:rPr>
        <w:tab/>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xml:space="preserve"> une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r w:rsidRPr="00426CC5">
        <w:rPr>
          <w:noProof/>
        </w:rPr>
        <w:t xml:space="preserve">vérification de la validité des données d’entrée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(y compris les vérifications sur site)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du bâtiment employées pour établir le certificat de performance énergétique et des résultats figurant dans le certificat;</w:t>
      </w:r>
    </w:p>
    <w:p w14:paraId="6B3C1D3E" w14:textId="77777777" w:rsidR="000448D2" w:rsidRPr="00426CC5" w:rsidRDefault="000448D2" w:rsidP="009567AF">
      <w:pPr>
        <w:pStyle w:val="CRSeparator"/>
        <w:rPr>
          <w:noProof/>
        </w:rPr>
      </w:pPr>
    </w:p>
    <w:p w14:paraId="6B3C1D3F"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nouveau</w:t>
      </w:r>
    </w:p>
    <w:p w14:paraId="6B3C1D40" w14:textId="77777777" w:rsidR="000448D2" w:rsidRPr="00426CC5" w:rsidRDefault="009E3C5F" w:rsidP="009E3C5F">
      <w:pPr>
        <w:pStyle w:val="Point0"/>
        <w:rPr>
          <w:noProof/>
          <w:highlight w:val="lightGray"/>
        </w:rPr>
      </w:pPr>
      <w:r w:rsidRPr="00426CC5">
        <w:rPr>
          <w:noProof/>
        </w:rPr>
        <w:tab/>
      </w:r>
      <w:r w:rsidRPr="00426CC5">
        <w:rPr>
          <w:noProof/>
          <w:highlight w:val="lightGray"/>
        </w:rPr>
        <w:t>b)</w:t>
      </w:r>
      <w:r w:rsidRPr="00426CC5">
        <w:rPr>
          <w:noProof/>
        </w:rPr>
        <w:tab/>
      </w:r>
      <w:r w:rsidRPr="00426CC5">
        <w:rPr>
          <w:noProof/>
          <w:highlight w:val="lightGray"/>
        </w:rPr>
        <w:t>la validité des calculs;</w:t>
      </w:r>
    </w:p>
    <w:p w14:paraId="6B3C1D41" w14:textId="77777777" w:rsidR="000448D2" w:rsidRPr="00426CC5" w:rsidRDefault="009E3C5F" w:rsidP="009E3C5F">
      <w:pPr>
        <w:pStyle w:val="Point0"/>
        <w:rPr>
          <w:noProof/>
          <w:highlight w:val="lightGray"/>
        </w:rPr>
      </w:pPr>
      <w:r w:rsidRPr="00426CC5">
        <w:rPr>
          <w:noProof/>
        </w:rPr>
        <w:tab/>
      </w:r>
      <w:r w:rsidRPr="00426CC5">
        <w:rPr>
          <w:noProof/>
          <w:highlight w:val="lightGray"/>
        </w:rPr>
        <w:t>c)</w:t>
      </w:r>
      <w:r w:rsidRPr="00426CC5">
        <w:rPr>
          <w:noProof/>
        </w:rPr>
        <w:tab/>
      </w:r>
      <w:r w:rsidRPr="00426CC5">
        <w:rPr>
          <w:noProof/>
          <w:highlight w:val="lightGray"/>
        </w:rPr>
        <w:t>un écart maximal pour la performance énergétique d’un bâtiment, exprimé de préférence par l’indicateur numérique de la consommation d’énergie primaire [kWh/(m² an)];</w:t>
      </w:r>
    </w:p>
    <w:p w14:paraId="6B3C1D42" w14:textId="77777777" w:rsidR="000448D2" w:rsidRPr="00426CC5" w:rsidRDefault="009E3C5F" w:rsidP="009E3C5F">
      <w:pPr>
        <w:pStyle w:val="Point0"/>
        <w:rPr>
          <w:noProof/>
        </w:rPr>
      </w:pPr>
      <w:r w:rsidRPr="00426CC5">
        <w:rPr>
          <w:noProof/>
        </w:rPr>
        <w:tab/>
      </w:r>
      <w:r w:rsidRPr="00426CC5">
        <w:rPr>
          <w:noProof/>
          <w:highlight w:val="lightGray"/>
        </w:rPr>
        <w:t>d)</w:t>
      </w:r>
      <w:r w:rsidRPr="00426CC5">
        <w:rPr>
          <w:noProof/>
        </w:rPr>
        <w:tab/>
      </w:r>
      <w:r w:rsidRPr="00426CC5">
        <w:rPr>
          <w:noProof/>
          <w:highlight w:val="lightGray"/>
        </w:rPr>
        <w:t>un nombre minimal d’éléments s’écartant des valeurs par défaut ou standard.</w:t>
      </w:r>
    </w:p>
    <w:p w14:paraId="6B3C1D43" w14:textId="77777777" w:rsidR="000448D2" w:rsidRPr="00426CC5" w:rsidRDefault="000448D2" w:rsidP="009567AF">
      <w:pPr>
        <w:pStyle w:val="CRSeparator"/>
        <w:rPr>
          <w:noProof/>
        </w:rPr>
      </w:pPr>
    </w:p>
    <w:p w14:paraId="6B3C1D44"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w:t>
      </w:r>
    </w:p>
    <w:p w14:paraId="6B3C1D45" w14:textId="77777777" w:rsidR="000448D2" w:rsidRPr="00426CC5" w:rsidRDefault="000448D2" w:rsidP="009567AF">
      <w:pPr>
        <w:pStyle w:val="Point0"/>
        <w:rPr>
          <w:rStyle w:val="CRRefonteDeleted"/>
          <w:noProof/>
          <w:highlight w:val="lightGray"/>
        </w:rPr>
      </w:pPr>
      <w:r w:rsidRPr="00426CC5">
        <w:rPr>
          <w:noProof/>
        </w:rPr>
        <w:tab/>
      </w:r>
      <w:r w:rsidRPr="00426CC5">
        <w:rPr>
          <w:rStyle w:val="CRRefonteDeleted"/>
          <w:noProof/>
          <w:highlight w:val="lightGray"/>
        </w:rPr>
        <w:t>b)</w:t>
      </w:r>
      <w:r w:rsidRPr="00426CC5">
        <w:rPr>
          <w:noProof/>
        </w:rPr>
        <w:tab/>
      </w:r>
      <w:r w:rsidRPr="00426CC5">
        <w:rPr>
          <w:rStyle w:val="CRRefonteDeleted"/>
          <w:noProof/>
          <w:highlight w:val="lightGray"/>
        </w:rPr>
        <w:t>vérification des données d’entrées employées pour établir le certificat de performance énergétique et de ses résultats, y compris les recommandations émises;</w:t>
      </w:r>
    </w:p>
    <w:p w14:paraId="6B3C1D46" w14:textId="77777777" w:rsidR="000448D2" w:rsidRPr="00426CC5" w:rsidRDefault="000448D2" w:rsidP="009567AF">
      <w:pPr>
        <w:pStyle w:val="Point0"/>
        <w:rPr>
          <w:rStyle w:val="CRRefonteDeleted"/>
          <w:noProof/>
          <w:highlight w:val="lightGray"/>
        </w:rPr>
      </w:pPr>
      <w:r w:rsidRPr="00426CC5">
        <w:rPr>
          <w:noProof/>
        </w:rPr>
        <w:tab/>
      </w:r>
      <w:r w:rsidRPr="00426CC5">
        <w:rPr>
          <w:rStyle w:val="CRRefonteDeleted"/>
          <w:noProof/>
          <w:highlight w:val="lightGray"/>
        </w:rPr>
        <w:t>c)</w:t>
      </w:r>
      <w:r w:rsidRPr="00426CC5">
        <w:rPr>
          <w:noProof/>
        </w:rPr>
        <w:tab/>
      </w:r>
      <w:r w:rsidRPr="00426CC5">
        <w:rPr>
          <w:rStyle w:val="CRRefonteDeleted"/>
          <w:noProof/>
          <w:highlight w:val="lightGray"/>
        </w:rPr>
        <w:t>vérification complète des données d’entrées du bâtiment employées pour établir le certificat de performance énergétique, vérification complète des résultats figurant dans le certificat, y compris les recommandations émises, et examen sur place du bâtiment, si possible, afin de vérifier la concordance entre les informations fournies dans le certificat de performance énergétique et le bâtiment certifié.</w:t>
      </w:r>
    </w:p>
    <w:p w14:paraId="6B3C1D47" w14:textId="77777777" w:rsidR="000448D2" w:rsidRPr="00426CC5" w:rsidRDefault="000448D2" w:rsidP="009567AF">
      <w:pPr>
        <w:rPr>
          <w:rStyle w:val="CRRefonteDeleted"/>
          <w:noProof/>
          <w:highlight w:val="lightGray"/>
        </w:rPr>
      </w:pPr>
      <w:r w:rsidRPr="00426CC5">
        <w:rPr>
          <w:rStyle w:val="CRRefonteDeleted"/>
          <w:noProof/>
          <w:highlight w:val="lightGray"/>
        </w:rPr>
        <w:t>2.</w:t>
      </w:r>
      <w:r w:rsidRPr="00426CC5">
        <w:rPr>
          <w:noProof/>
        </w:rPr>
        <w:tab/>
      </w:r>
      <w:r w:rsidRPr="00426CC5">
        <w:rPr>
          <w:rStyle w:val="CRRefonteDeleted"/>
          <w:noProof/>
          <w:highlight w:val="lightGray"/>
        </w:rPr>
        <w:t>Les autorités compétentes, ou les organes auxquels les autorités compétentes ont délégué la responsabilité de la mise en œuvre du système de contrôle indépendant, sélectionnent de manière aléatoire au moins un pourcentage statistiquement significatif de tous les rapports d’inspection établis au cours d’une année donnée et soumettent ceux-ci à une vérification.</w:t>
      </w:r>
    </w:p>
    <w:p w14:paraId="6B3C1D48" w14:textId="77777777" w:rsidR="000448D2" w:rsidRPr="00426CC5" w:rsidRDefault="000448D2" w:rsidP="009567AF">
      <w:pPr>
        <w:pStyle w:val="CRSeparator"/>
        <w:rPr>
          <w:noProof/>
        </w:rPr>
      </w:pPr>
    </w:p>
    <w:p w14:paraId="6B3C1D49"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"ò" </w:instrText>
      </w:r>
      <w:r w:rsidRPr="00426CC5">
        <w:rPr>
          <w:noProof/>
          <w:highlight w:val="lightGray"/>
        </w:rPr>
        <w:fldChar w:fldCharType="separate"/>
      </w:r>
      <w:r w:rsidRPr="00426CC5">
        <w:rPr>
          <w:rStyle w:val="CRMarker"/>
          <w:noProof/>
          <w:highlight w:val="lightGray"/>
        </w:rPr>
        <w:t>ò</w:t>
      </w:r>
      <w:r w:rsidRPr="00426CC5">
        <w:rPr>
          <w:noProof/>
          <w:highlight w:val="lightGray"/>
        </w:rPr>
        <w:fldChar w:fldCharType="end"/>
      </w:r>
      <w:r w:rsidRPr="00426CC5">
        <w:rPr>
          <w:noProof/>
          <w:highlight w:val="lightGray"/>
        </w:rPr>
        <w:t> nouveau</w:t>
      </w:r>
    </w:p>
    <w:p w14:paraId="6B3C1D4A" w14:textId="77777777" w:rsidR="000448D2" w:rsidRPr="00426CC5" w:rsidRDefault="000448D2" w:rsidP="009567AF">
      <w:pPr>
        <w:rPr>
          <w:noProof/>
          <w:highlight w:val="lightGray"/>
        </w:rPr>
      </w:pPr>
      <w:r w:rsidRPr="00426CC5">
        <w:rPr>
          <w:noProof/>
          <w:highlight w:val="lightGray"/>
        </w:rPr>
        <w:t>Les États membres peuvent inclure des éléments supplémentaires dans la définition d’un certificat de performance énergétique valable, tels que l’écart maximal pour des valeurs spécifiques de données d’entrée.</w:t>
      </w:r>
    </w:p>
    <w:p w14:paraId="6B3C1D4B" w14:textId="77777777" w:rsidR="000448D2" w:rsidRPr="00426CC5" w:rsidRDefault="000448D2" w:rsidP="009567AF">
      <w:pPr>
        <w:rPr>
          <w:noProof/>
          <w:highlight w:val="lightGray"/>
        </w:rPr>
      </w:pPr>
      <w:r w:rsidRPr="00426CC5">
        <w:rPr>
          <w:noProof/>
          <w:highlight w:val="lightGray"/>
        </w:rPr>
        <w:t>2.</w:t>
      </w:r>
      <w:r w:rsidRPr="00426CC5">
        <w:rPr>
          <w:noProof/>
        </w:rPr>
        <w:tab/>
      </w:r>
      <w:r w:rsidRPr="00426CC5">
        <w:rPr>
          <w:noProof/>
          <w:highlight w:val="lightGray"/>
        </w:rPr>
        <w:t>Qualité du système de contrôle applicable aux certificats de performance énergétique</w:t>
      </w:r>
    </w:p>
    <w:p w14:paraId="6B3C1D4C" w14:textId="77777777" w:rsidR="000448D2" w:rsidRPr="00426CC5" w:rsidRDefault="000448D2" w:rsidP="009567AF">
      <w:pPr>
        <w:rPr>
          <w:noProof/>
          <w:highlight w:val="lightGray"/>
        </w:rPr>
      </w:pPr>
      <w:r w:rsidRPr="00426CC5">
        <w:rPr>
          <w:noProof/>
          <w:highlight w:val="lightGray"/>
        </w:rPr>
        <w:t>Les États membres définissent clairement les objectifs de qualité et le niveau de confiance statistique qui devraient être atteints par le cadre des certificats de performance énergétique. Le système de contrôle indépendant garantit la délivrance d’au moins 90 % de certificats de performance énergétique valides, avec une confiance statistique de 95 % pour la période évaluée, laquelle ne dépasse pas un an.</w:t>
      </w:r>
    </w:p>
    <w:p w14:paraId="6B3C1D4D" w14:textId="77777777" w:rsidR="000448D2" w:rsidRPr="00426CC5" w:rsidRDefault="000448D2" w:rsidP="009567AF">
      <w:pPr>
        <w:rPr>
          <w:noProof/>
          <w:highlight w:val="lightGray"/>
        </w:rPr>
      </w:pPr>
      <w:r w:rsidRPr="00426CC5">
        <w:rPr>
          <w:noProof/>
          <w:highlight w:val="lightGray"/>
        </w:rPr>
        <w:t>Le niveau de qualité et le niveau de confiance sont mesurés par échantillonnage aléatoire et tiennent compte de tous les éléments fournis dans la définition d’un certificat de performance énergétique valable. Lorsque les systèmes de contrôle indépendants ont été délégués à des organismes non gouvernementaux, les États membres exigent que l’évaluation d’au moins 25 % de l’échantillon aléatoire soit vérifiée par un tiers.</w:t>
      </w:r>
    </w:p>
    <w:p w14:paraId="6B3C1D4E" w14:textId="77777777" w:rsidR="000448D2" w:rsidRPr="00426CC5" w:rsidRDefault="000448D2" w:rsidP="009567AF">
      <w:pPr>
        <w:rPr>
          <w:noProof/>
          <w:highlight w:val="lightGray"/>
        </w:rPr>
      </w:pPr>
      <w:r w:rsidRPr="00426CC5">
        <w:rPr>
          <w:noProof/>
          <w:highlight w:val="lightGray"/>
        </w:rPr>
        <w:t>La validité des données d’entrée est vérifiée au moyen des informations fournies par l’expert indépendant. Ces informations peuvent comprendre des certificats de produit, des spécifications ou des plans de construction qui contiennent des détails sur les performances des différents éléments inclus dans le certificat de performance énergétique.</w:t>
      </w:r>
    </w:p>
    <w:p w14:paraId="6B3C1D4F" w14:textId="77777777" w:rsidR="000448D2" w:rsidRPr="00426CC5" w:rsidRDefault="000448D2" w:rsidP="009567AF">
      <w:pPr>
        <w:rPr>
          <w:noProof/>
          <w:highlight w:val="lightGray"/>
        </w:rPr>
      </w:pPr>
      <w:r w:rsidRPr="00426CC5">
        <w:rPr>
          <w:noProof/>
          <w:highlight w:val="lightGray"/>
        </w:rPr>
        <w:t>La validité des données d’entrée est vérifiée par des inspections sur place pour au moins 10 % des certificats de performance énergétique qui font partie de l’échantillon sélectionné de manière aléatoire utilisé pour évaluer la qualité globale du système.</w:t>
      </w:r>
    </w:p>
    <w:p w14:paraId="6B3C1D50" w14:textId="77777777" w:rsidR="000448D2" w:rsidRPr="00426CC5" w:rsidRDefault="000448D2" w:rsidP="009567AF">
      <w:pPr>
        <w:rPr>
          <w:noProof/>
          <w:highlight w:val="lightGray"/>
        </w:rPr>
      </w:pPr>
      <w:r w:rsidRPr="00426CC5">
        <w:rPr>
          <w:noProof/>
          <w:highlight w:val="lightGray"/>
        </w:rPr>
        <w:t>Outre l’échantillonnage aléatoire minimal permettant de déterminer le niveau global de qualité, les États membres peuvent utiliser différentes stratégies pour détecter et cibler spécifiquement les certificats de performance énergétique de mauvaise qualité afin d’améliorer la qualité globale du système. Cette analyse ciblée ne peut servir de base pour mesurer la qualité globale du système.</w:t>
      </w:r>
    </w:p>
    <w:p w14:paraId="6B3C1D51" w14:textId="77777777" w:rsidR="000448D2" w:rsidRPr="00426CC5" w:rsidRDefault="000448D2" w:rsidP="009567AF">
      <w:pPr>
        <w:rPr>
          <w:noProof/>
          <w:highlight w:val="lightGray"/>
        </w:rPr>
      </w:pPr>
      <w:r w:rsidRPr="00426CC5">
        <w:rPr>
          <w:noProof/>
          <w:highlight w:val="lightGray"/>
        </w:rPr>
        <w:t>Les États membres mettent en place des mesures préventives et réactives pour garantir la qualité du cadre global des certificats de performance énergétique. Ces mesures peuvent comprendre une formation supplémentaire pour les experts indépendants, un échantillonnage ciblé, l’obligation de présenter à nouveau des certificats de performance énergétique, des amendes proportionnelles et l’exclusion temporaire ou permanente d’experts.</w:t>
      </w:r>
    </w:p>
    <w:p w14:paraId="6B3C1D52" w14:textId="77777777" w:rsidR="000448D2" w:rsidRPr="00426CC5" w:rsidRDefault="000448D2" w:rsidP="009567AF">
      <w:pPr>
        <w:rPr>
          <w:noProof/>
          <w:highlight w:val="lightGray"/>
        </w:rPr>
      </w:pPr>
      <w:r w:rsidRPr="00426CC5">
        <w:rPr>
          <w:noProof/>
          <w:highlight w:val="lightGray"/>
        </w:rPr>
        <w:t>Lorsque des informations sont ajoutées dans une base de données, les autorités nationales ont la possibilité d’identifier la personne à l’origine de cet ajout, à des fins de suivi et de vérification.</w:t>
      </w:r>
    </w:p>
    <w:p w14:paraId="6B3C1D53" w14:textId="77777777" w:rsidR="000448D2" w:rsidRPr="00426CC5" w:rsidRDefault="00873471" w:rsidP="009567AF">
      <w:pPr>
        <w:rPr>
          <w:noProof/>
          <w:highlight w:val="lightGray"/>
        </w:rPr>
      </w:pPr>
      <w:r w:rsidRPr="00426CC5">
        <w:rPr>
          <w:bCs/>
          <w:noProof/>
          <w:highlight w:val="lightGray"/>
        </w:rPr>
        <w:t>3.</w:t>
      </w:r>
      <w:r w:rsidRPr="00426CC5">
        <w:rPr>
          <w:noProof/>
        </w:rPr>
        <w:tab/>
      </w:r>
      <w:r w:rsidRPr="00426CC5">
        <w:rPr>
          <w:bCs/>
          <w:noProof/>
          <w:highlight w:val="lightGray"/>
        </w:rPr>
        <w:t>Disponibilité des certificats de performance énergétique</w:t>
      </w:r>
    </w:p>
    <w:p w14:paraId="6B3C1D54" w14:textId="77777777" w:rsidR="000448D2" w:rsidRPr="00426CC5" w:rsidRDefault="000448D2" w:rsidP="009567AF">
      <w:pPr>
        <w:rPr>
          <w:noProof/>
          <w:highlight w:val="lightGray"/>
        </w:rPr>
      </w:pPr>
      <w:r w:rsidRPr="00426CC5">
        <w:rPr>
          <w:noProof/>
          <w:highlight w:val="lightGray"/>
        </w:rPr>
        <w:t>Le système de contrôle indépendant vérifie la disponibilité des certificats de performance énergétique pour les acheteurs et locataires potentiels afin que ces derniers aient la possibilité de tenir compte de la performance énergétique du bâtiment dans leur décision d’acheter ou de louer.</w:t>
      </w:r>
    </w:p>
    <w:p w14:paraId="6B3C1D55" w14:textId="77777777" w:rsidR="000448D2" w:rsidRPr="00426CC5" w:rsidRDefault="000448D2" w:rsidP="009567AF">
      <w:pPr>
        <w:rPr>
          <w:noProof/>
          <w:highlight w:val="lightGray"/>
        </w:rPr>
      </w:pPr>
      <w:r w:rsidRPr="00426CC5">
        <w:rPr>
          <w:noProof/>
          <w:highlight w:val="lightGray"/>
        </w:rPr>
        <w:t>Le système de contrôle indépendant doit vérifier la visibilité de l’indicateur et de la classe de performance énergétique dans les supports publicitaires.</w:t>
      </w:r>
    </w:p>
    <w:p w14:paraId="6B3C1D56" w14:textId="77777777" w:rsidR="000448D2" w:rsidRPr="00426CC5" w:rsidRDefault="00873471" w:rsidP="009567AF">
      <w:pPr>
        <w:rPr>
          <w:noProof/>
          <w:highlight w:val="lightGray"/>
        </w:rPr>
      </w:pPr>
      <w:r w:rsidRPr="00426CC5">
        <w:rPr>
          <w:bCs/>
          <w:noProof/>
          <w:highlight w:val="lightGray"/>
        </w:rPr>
        <w:t>4.</w:t>
      </w:r>
      <w:r w:rsidRPr="00426CC5">
        <w:rPr>
          <w:noProof/>
        </w:rPr>
        <w:tab/>
      </w:r>
      <w:r w:rsidRPr="00426CC5">
        <w:rPr>
          <w:bCs/>
          <w:noProof/>
          <w:highlight w:val="lightGray"/>
        </w:rPr>
        <w:t>Traitement des typologies de bâtiments</w:t>
      </w:r>
    </w:p>
    <w:p w14:paraId="6B3C1D57" w14:textId="77777777" w:rsidR="000448D2" w:rsidRPr="00426CC5" w:rsidRDefault="000448D2" w:rsidP="009567AF">
      <w:pPr>
        <w:rPr>
          <w:noProof/>
          <w:highlight w:val="lightGray"/>
        </w:rPr>
      </w:pPr>
      <w:r w:rsidRPr="00426CC5">
        <w:rPr>
          <w:noProof/>
          <w:highlight w:val="lightGray"/>
        </w:rPr>
        <w:t>Le système de contrôle indépendant tient compte des différentes typologies de bâtiments, en particulier celles qui sont les plus répandues sur le marché immobilier, telles que les habitations individuelles, les habitations collectives, les bureaux ou les commerces de détail.</w:t>
      </w:r>
    </w:p>
    <w:p w14:paraId="6B3C1D58" w14:textId="77777777" w:rsidR="000448D2" w:rsidRPr="00426CC5" w:rsidRDefault="00873471" w:rsidP="009567AF">
      <w:pPr>
        <w:rPr>
          <w:noProof/>
          <w:highlight w:val="lightGray"/>
        </w:rPr>
      </w:pPr>
      <w:r w:rsidRPr="00426CC5">
        <w:rPr>
          <w:bCs/>
          <w:noProof/>
          <w:highlight w:val="lightGray"/>
        </w:rPr>
        <w:t>5.</w:t>
      </w:r>
      <w:r w:rsidRPr="00426CC5">
        <w:rPr>
          <w:noProof/>
        </w:rPr>
        <w:tab/>
      </w:r>
      <w:r w:rsidRPr="00426CC5">
        <w:rPr>
          <w:bCs/>
          <w:noProof/>
          <w:highlight w:val="lightGray"/>
        </w:rPr>
        <w:t>Publication</w:t>
      </w:r>
    </w:p>
    <w:p w14:paraId="6B3C1D59" w14:textId="77777777" w:rsidR="000448D2" w:rsidRPr="00426CC5" w:rsidRDefault="000448D2" w:rsidP="009567AF">
      <w:pPr>
        <w:rPr>
          <w:noProof/>
          <w:highlight w:val="lightGray"/>
        </w:rPr>
      </w:pPr>
      <w:r w:rsidRPr="00426CC5">
        <w:rPr>
          <w:noProof/>
          <w:highlight w:val="lightGray"/>
        </w:rPr>
        <w:t xml:space="preserve">Les États membres publient régulièrement, dans la base de données nationale sur les certificats de performance énergétique, au moins les informations suivantes sur le système de qualité: </w:t>
      </w:r>
    </w:p>
    <w:p w14:paraId="6B3C1D5A" w14:textId="77777777" w:rsidR="000448D2" w:rsidRPr="00426CC5" w:rsidRDefault="000448D2" w:rsidP="009E3C5F">
      <w:pPr>
        <w:rPr>
          <w:rFonts w:eastAsia="Times New Roman"/>
          <w:noProof/>
          <w:highlight w:val="lightGray"/>
        </w:rPr>
      </w:pPr>
      <w:r w:rsidRPr="00426CC5">
        <w:rPr>
          <w:noProof/>
          <w:highlight w:val="lightGray"/>
        </w:rPr>
        <w:t>a)</w:t>
      </w:r>
      <w:r w:rsidRPr="00426CC5">
        <w:rPr>
          <w:noProof/>
        </w:rPr>
        <w:tab/>
      </w:r>
      <w:r w:rsidRPr="00426CC5">
        <w:rPr>
          <w:noProof/>
          <w:highlight w:val="lightGray"/>
        </w:rPr>
        <w:t xml:space="preserve">la définition de la qualité des certificats de performance énergétique </w:t>
      </w:r>
    </w:p>
    <w:p w14:paraId="6B3C1D5B" w14:textId="77777777" w:rsidR="000448D2" w:rsidRPr="00426CC5" w:rsidRDefault="000448D2" w:rsidP="009E3C5F">
      <w:pPr>
        <w:rPr>
          <w:noProof/>
          <w:highlight w:val="lightGray"/>
        </w:rPr>
      </w:pPr>
      <w:r w:rsidRPr="00426CC5">
        <w:rPr>
          <w:noProof/>
          <w:highlight w:val="lightGray"/>
        </w:rPr>
        <w:t>b)</w:t>
      </w:r>
      <w:r w:rsidRPr="00426CC5">
        <w:rPr>
          <w:noProof/>
        </w:rPr>
        <w:tab/>
      </w:r>
      <w:r w:rsidRPr="00426CC5">
        <w:rPr>
          <w:noProof/>
          <w:highlight w:val="lightGray"/>
        </w:rPr>
        <w:t>les objectifs de qualité pour le système de certificats de performance énergétique;</w:t>
      </w:r>
    </w:p>
    <w:p w14:paraId="6B3C1D5C" w14:textId="77777777" w:rsidR="000448D2" w:rsidRPr="00426CC5" w:rsidRDefault="000448D2" w:rsidP="009E3C5F">
      <w:pPr>
        <w:rPr>
          <w:noProof/>
          <w:highlight w:val="lightGray"/>
        </w:rPr>
      </w:pPr>
      <w:r w:rsidRPr="00426CC5">
        <w:rPr>
          <w:noProof/>
          <w:highlight w:val="lightGray"/>
        </w:rPr>
        <w:t>c)</w:t>
      </w:r>
      <w:r w:rsidRPr="00426CC5">
        <w:rPr>
          <w:noProof/>
        </w:rPr>
        <w:tab/>
      </w:r>
      <w:r w:rsidRPr="00426CC5">
        <w:rPr>
          <w:noProof/>
          <w:highlight w:val="lightGray"/>
        </w:rPr>
        <w:t xml:space="preserve">les résultats de l’évaluation de la qualité, y compris le nombre de certificats évalués et son importance relative par rapport au nombre total de certificats délivrés au cours de la période donnée (par typologie); </w:t>
      </w:r>
    </w:p>
    <w:p w14:paraId="6B3C1D5D" w14:textId="77777777" w:rsidR="000448D2" w:rsidRPr="00426CC5" w:rsidRDefault="000448D2" w:rsidP="009567AF">
      <w:pPr>
        <w:rPr>
          <w:noProof/>
        </w:rPr>
      </w:pPr>
      <w:r w:rsidRPr="00426CC5">
        <w:rPr>
          <w:noProof/>
          <w:highlight w:val="lightGray"/>
        </w:rPr>
        <w:t>d)</w:t>
      </w:r>
      <w:r w:rsidRPr="00426CC5">
        <w:rPr>
          <w:noProof/>
        </w:rPr>
        <w:tab/>
      </w:r>
      <w:r w:rsidRPr="00426CC5">
        <w:rPr>
          <w:noProof/>
          <w:highlight w:val="lightGray"/>
        </w:rPr>
        <w:t>les mesures d’urgence visant à améliorer la qualité globale des certificats de performance énergétique.</w:t>
      </w:r>
    </w:p>
    <w:p w14:paraId="6B3C1D5E" w14:textId="77777777" w:rsidR="000448D2" w:rsidRPr="00426CC5" w:rsidRDefault="000448D2">
      <w:pPr>
        <w:pStyle w:val="CRSeparator"/>
        <w:rPr>
          <w:noProof/>
        </w:rPr>
      </w:pPr>
    </w:p>
    <w:p w14:paraId="6B3C1D5F" w14:textId="77777777" w:rsidR="000448D2" w:rsidRPr="00426CC5" w:rsidRDefault="000448D2">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2018/844 Article 1</w:t>
      </w:r>
      <w:r w:rsidRPr="00426CC5">
        <w:rPr>
          <w:noProof/>
          <w:vertAlign w:val="superscript"/>
        </w:rPr>
        <w:t>er</w:t>
      </w:r>
      <w:r w:rsidRPr="00426CC5">
        <w:rPr>
          <w:noProof/>
        </w:rPr>
        <w:t>, paragraphe 14 et Annexe, point  3 b)</w:t>
      </w:r>
    </w:p>
    <w:p w14:paraId="6B3C1D60" w14:textId="77777777" w:rsidR="000448D2" w:rsidRPr="00426CC5" w:rsidRDefault="000448D2" w:rsidP="00A36901">
      <w:pPr>
        <w:rPr>
          <w:noProof/>
          <w:highlight w:val="lightGray"/>
        </w:rPr>
        <w:sectPr w:rsidR="000448D2" w:rsidRPr="00426CC5" w:rsidSect="00AD39FC">
          <w:pgSz w:w="11906" w:h="16838"/>
          <w:pgMar w:top="1134" w:right="1418" w:bottom="1134" w:left="1418" w:header="709" w:footer="709" w:gutter="0"/>
          <w:pgNumType w:start="1"/>
          <w:cols w:space="709"/>
          <w:docGrid w:linePitch="326"/>
        </w:sectPr>
      </w:pPr>
      <w:r w:rsidRPr="00426CC5">
        <w:rPr>
          <w:rStyle w:val="CRRefonteDeleted"/>
          <w:noProof/>
          <w:highlight w:val="lightGray"/>
        </w:rPr>
        <w:t>3.</w:t>
      </w:r>
      <w:r w:rsidRPr="00426CC5">
        <w:rPr>
          <w:noProof/>
        </w:rPr>
        <w:tab/>
      </w:r>
      <w:r w:rsidRPr="00426CC5">
        <w:rPr>
          <w:rStyle w:val="CRRefonteDeleted"/>
          <w:noProof/>
          <w:highlight w:val="lightGray"/>
        </w:rPr>
        <w:t>Lorsque des informations sont ajoutées dans une base de données, les autorités nationales ont la possibilité d’identifier la personne à l’origine de cet ajout, à des fins de suivi et de vérification.</w:t>
      </w:r>
    </w:p>
    <w:p w14:paraId="6B3C1D61" w14:textId="77777777" w:rsidR="000448D2" w:rsidRPr="00426CC5" w:rsidRDefault="000448D2" w:rsidP="009567AF">
      <w:pPr>
        <w:pStyle w:val="CRSeparator"/>
        <w:rPr>
          <w:noProof/>
        </w:rPr>
      </w:pPr>
    </w:p>
    <w:p w14:paraId="6B3C1D62" w14:textId="02C514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00C67698">
        <w:rPr>
          <w:noProof/>
        </w:rPr>
        <w:t> 2010/31/UE</w:t>
      </w:r>
    </w:p>
    <w:p w14:paraId="6B3C1D63" w14:textId="77777777" w:rsidR="000448D2" w:rsidRPr="00426CC5" w:rsidRDefault="000448D2" w:rsidP="009567AF">
      <w:pPr>
        <w:pStyle w:val="CRReference"/>
        <w:rPr>
          <w:noProof/>
          <w:highlight w:val="lightGray"/>
        </w:rPr>
      </w:pP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nouveau</w:t>
      </w:r>
    </w:p>
    <w:p w14:paraId="6B3C1D64" w14:textId="77777777" w:rsidR="000448D2" w:rsidRPr="00426CC5" w:rsidRDefault="000448D2" w:rsidP="00EC00AC">
      <w:pPr>
        <w:pStyle w:val="Annexetitre"/>
        <w:rPr>
          <w:noProof/>
        </w:rPr>
      </w:pPr>
      <w:r w:rsidRPr="00426CC5">
        <w:rPr>
          <w:noProof/>
        </w:rPr>
        <w:t xml:space="preserve">ANNEXE </w:t>
      </w:r>
      <w:r w:rsidRPr="00426CC5">
        <w:rPr>
          <w:rStyle w:val="CRMinorChangeAdded"/>
          <w:noProof/>
        </w:rPr>
        <w:t>VII</w:t>
      </w:r>
      <w:r w:rsidRPr="00426CC5">
        <w:rPr>
          <w:rStyle w:val="CRMinorChangeDeleted"/>
          <w:noProof/>
        </w:rPr>
        <w:t>III</w:t>
      </w:r>
    </w:p>
    <w:p w14:paraId="6B3C1D65" w14:textId="77777777" w:rsidR="000448D2" w:rsidRPr="00426CC5" w:rsidRDefault="000448D2" w:rsidP="009916B2">
      <w:pPr>
        <w:pStyle w:val="ManualHeading1"/>
        <w:ind w:left="851" w:hanging="851"/>
        <w:jc w:val="center"/>
        <w:rPr>
          <w:noProof/>
        </w:rPr>
      </w:pPr>
      <w:r w:rsidRPr="00426CC5">
        <w:rPr>
          <w:i/>
          <w:iCs/>
          <w:noProof/>
        </w:rPr>
        <w:t>Cadre méthodologique comparatif en vue de déterminer les niveaux optimaux en fonction des coûts des exigences de performance énergétique des bâtiments et des éléments de bâtiments</w:t>
      </w:r>
    </w:p>
    <w:p w14:paraId="6B3C1D66" w14:textId="77777777" w:rsidR="000448D2" w:rsidRPr="00426CC5" w:rsidRDefault="000448D2">
      <w:pPr>
        <w:rPr>
          <w:noProof/>
        </w:rPr>
      </w:pPr>
      <w:r w:rsidRPr="00426CC5">
        <w:rPr>
          <w:noProof/>
        </w:rPr>
        <w:t xml:space="preserve">Le cadre méthodologique comparatif permet aux États membres de déterminer la performance énergétique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et en matière d’émissions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des bâtiments et des éléments de bâtiments ainsi que les aspects économiques des mesures concernant la performance énergétique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et en matière d’émissions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et de les mettre en relation afin de déterminer les niveaux optimaux en fonction des coûts.</w:t>
      </w:r>
    </w:p>
    <w:p w14:paraId="6B3C1D67" w14:textId="77777777" w:rsidR="000448D2" w:rsidRPr="00426CC5" w:rsidRDefault="000448D2">
      <w:pPr>
        <w:rPr>
          <w:noProof/>
        </w:rPr>
      </w:pPr>
      <w:r w:rsidRPr="00426CC5">
        <w:rPr>
          <w:noProof/>
        </w:rPr>
        <w:t>Le cadre méthodologique comparatif est accompagné d’orientations indiquant comment appliquer ce cadre pour calculer les niveaux de performance optimaux en fonction des coûts.</w:t>
      </w:r>
    </w:p>
    <w:p w14:paraId="6B3C1D68" w14:textId="77777777" w:rsidR="000448D2" w:rsidRPr="00426CC5" w:rsidRDefault="000448D2">
      <w:pPr>
        <w:rPr>
          <w:noProof/>
        </w:rPr>
      </w:pPr>
      <w:r w:rsidRPr="00426CC5">
        <w:rPr>
          <w:noProof/>
        </w:rPr>
        <w:t xml:space="preserve">Le cadre méthodologique comparatif permet la prise en compte des modes d’utilisation, des conditions climatiques extérieures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et de leur évolution future selon les meilleures données scientifiques disponibles sur le climat,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des coûts d’investissements, de la catégorie de bâtiment, des coûts d’entretien et de fonctionnement (y compris les coûts énergétiques et les économies d’énergie), des recettes tirées de la production d’énergie, le cas échéant,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des externalités de la consommation d’énergie liées à l’environnement et à la santé,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et des coûts </w:t>
      </w:r>
      <w:r w:rsidRPr="00426CC5">
        <w:rPr>
          <w:rStyle w:val="CRRefonteDeleted"/>
          <w:noProof/>
          <w:highlight w:val="lightGray"/>
        </w:rPr>
        <w:t>d’élimination</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de gestion des déchets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le cas échéant. Il devrait être fondé sur les normes européennes pertinentes relatives à la présente directive.</w:t>
      </w:r>
    </w:p>
    <w:p w14:paraId="6B3C1D69" w14:textId="77777777" w:rsidR="000448D2" w:rsidRPr="00426CC5" w:rsidRDefault="000448D2">
      <w:pPr>
        <w:rPr>
          <w:noProof/>
        </w:rPr>
      </w:pPr>
      <w:r w:rsidRPr="00426CC5">
        <w:rPr>
          <w:noProof/>
        </w:rPr>
        <w:t>Par ailleurs, la Commission fournit:</w:t>
      </w:r>
    </w:p>
    <w:p w14:paraId="6B3C1D6A" w14:textId="77777777" w:rsidR="000448D2" w:rsidRPr="00426CC5" w:rsidRDefault="000448D2" w:rsidP="0004559D">
      <w:pPr>
        <w:pStyle w:val="Tiret0"/>
        <w:numPr>
          <w:ilvl w:val="0"/>
          <w:numId w:val="25"/>
        </w:numPr>
        <w:autoSpaceDE w:val="0"/>
        <w:autoSpaceDN w:val="0"/>
        <w:ind w:left="851" w:hanging="851"/>
        <w:rPr>
          <w:noProof/>
        </w:rPr>
      </w:pPr>
      <w:r w:rsidRPr="00426CC5">
        <w:rPr>
          <w:noProof/>
        </w:rPr>
        <w:t>des orientations pour accompagner le cadre méthodologique comparatif; ces orientations serviront à permettre aux États membres de prendre les mesures énoncées ci-après</w:t>
      </w:r>
      <w:r w:rsidRPr="00426CC5">
        <w:rPr>
          <w:rStyle w:val="CRMinorChangeAdded"/>
          <w:noProof/>
        </w:rPr>
        <w:t>;</w:t>
      </w:r>
      <w:r w:rsidRPr="00426CC5">
        <w:rPr>
          <w:rStyle w:val="CRMinorChangeDeleted"/>
          <w:noProof/>
        </w:rPr>
        <w:t>,</w:t>
      </w:r>
    </w:p>
    <w:p w14:paraId="6B3C1D6B" w14:textId="77777777" w:rsidR="000448D2" w:rsidRPr="00426CC5" w:rsidRDefault="000448D2" w:rsidP="0004559D">
      <w:pPr>
        <w:pStyle w:val="Tiret0"/>
        <w:numPr>
          <w:ilvl w:val="0"/>
          <w:numId w:val="25"/>
        </w:numPr>
        <w:autoSpaceDE w:val="0"/>
        <w:autoSpaceDN w:val="0"/>
        <w:ind w:left="851" w:hanging="851"/>
        <w:rPr>
          <w:noProof/>
        </w:rPr>
      </w:pPr>
      <w:r w:rsidRPr="00426CC5">
        <w:rPr>
          <w:noProof/>
        </w:rPr>
        <w:t>des informations sur l’estimation de l’évolution à long terme des prix de l’énergie.</w:t>
      </w:r>
    </w:p>
    <w:p w14:paraId="6B3C1D6C" w14:textId="77777777" w:rsidR="000448D2" w:rsidRPr="00426CC5" w:rsidRDefault="000448D2">
      <w:pPr>
        <w:rPr>
          <w:noProof/>
        </w:rPr>
      </w:pPr>
      <w:r w:rsidRPr="00426CC5">
        <w:rPr>
          <w:noProof/>
        </w:rPr>
        <w:t>Pour l’application du cadre méthodologique comparatif par les États membres, les conditions générales, exprimées par des paramètres, sont établies au niveau des États membres.</w:t>
      </w:r>
    </w:p>
    <w:p w14:paraId="6B3C1D6D" w14:textId="77777777" w:rsidR="000448D2" w:rsidRPr="00426CC5" w:rsidRDefault="000448D2">
      <w:pPr>
        <w:rPr>
          <w:noProof/>
        </w:rPr>
      </w:pPr>
      <w:r w:rsidRPr="00426CC5">
        <w:rPr>
          <w:noProof/>
        </w:rPr>
        <w:t>Aux fins du cadre méthodologique comparatif, les États membres doivent:</w:t>
      </w:r>
    </w:p>
    <w:p w14:paraId="6B3C1D6E" w14:textId="77777777" w:rsidR="000448D2" w:rsidRPr="00426CC5" w:rsidRDefault="000448D2" w:rsidP="0004559D">
      <w:pPr>
        <w:pStyle w:val="Tiret0"/>
        <w:numPr>
          <w:ilvl w:val="0"/>
          <w:numId w:val="25"/>
        </w:numPr>
        <w:autoSpaceDE w:val="0"/>
        <w:autoSpaceDN w:val="0"/>
        <w:ind w:left="851" w:hanging="851"/>
        <w:rPr>
          <w:noProof/>
        </w:rPr>
      </w:pPr>
      <w:r w:rsidRPr="00426CC5">
        <w:rPr>
          <w:noProof/>
        </w:rPr>
        <w:t>définir des bâtiments de référence, caractérisés par leur fonctionnalité et leur situation géographique et représentatifs de celles-ci, y compris pour ce qui est des conditions climatiques intérieures et extérieures. Parmi les bâtiments de référence figurent des bâtiments résidentiels et non résidentiels, neufs et existants</w:t>
      </w:r>
      <w:r w:rsidRPr="00426CC5">
        <w:rPr>
          <w:rStyle w:val="CRMinorChangeAdded"/>
          <w:noProof/>
        </w:rPr>
        <w:t>;</w:t>
      </w:r>
      <w:r w:rsidRPr="00426CC5">
        <w:rPr>
          <w:rStyle w:val="CRMinorChangeDeleted"/>
          <w:noProof/>
        </w:rPr>
        <w:t>,</w:t>
      </w:r>
    </w:p>
    <w:p w14:paraId="6B3C1D6F" w14:textId="77777777" w:rsidR="000448D2" w:rsidRPr="00426CC5" w:rsidRDefault="000448D2" w:rsidP="0004559D">
      <w:pPr>
        <w:pStyle w:val="Tiret0"/>
        <w:numPr>
          <w:ilvl w:val="0"/>
          <w:numId w:val="25"/>
        </w:numPr>
        <w:autoSpaceDE w:val="0"/>
        <w:autoSpaceDN w:val="0"/>
        <w:ind w:left="851" w:hanging="851"/>
        <w:rPr>
          <w:noProof/>
        </w:rPr>
      </w:pPr>
      <w:r w:rsidRPr="00426CC5">
        <w:rPr>
          <w:noProof/>
        </w:rPr>
        <w:t>définir les mesures d’efficacité énergétique à évaluer pour les bâtiments de référence. Il peut s’agir de mesures concernant des bâtiments individuels dans leur totalité, des éléments de bâtiment, ou une combinaison d’éléments de bâtiment</w:t>
      </w:r>
      <w:r w:rsidRPr="00426CC5">
        <w:rPr>
          <w:rStyle w:val="CRMinorChangeAdded"/>
          <w:noProof/>
        </w:rPr>
        <w:t>;</w:t>
      </w:r>
      <w:r w:rsidRPr="00426CC5">
        <w:rPr>
          <w:rStyle w:val="CRMinorChangeDeleted"/>
          <w:noProof/>
        </w:rPr>
        <w:t>,</w:t>
      </w:r>
    </w:p>
    <w:p w14:paraId="6B3C1D70" w14:textId="77777777" w:rsidR="000448D2" w:rsidRPr="00426CC5" w:rsidRDefault="000448D2" w:rsidP="0004559D">
      <w:pPr>
        <w:pStyle w:val="Tiret0"/>
        <w:numPr>
          <w:ilvl w:val="0"/>
          <w:numId w:val="25"/>
        </w:numPr>
        <w:autoSpaceDE w:val="0"/>
        <w:autoSpaceDN w:val="0"/>
        <w:ind w:left="851" w:hanging="851"/>
        <w:rPr>
          <w:noProof/>
        </w:rPr>
      </w:pPr>
      <w:r w:rsidRPr="00426CC5">
        <w:rPr>
          <w:noProof/>
        </w:rPr>
        <w:t xml:space="preserve">évaluer les besoins en énergie finale et en énergie primaire </w:t>
      </w:r>
      <w:r w:rsidRPr="00426CC5">
        <w:rPr>
          <w:noProof/>
          <w:highlight w:val="lightGray"/>
        </w:rPr>
        <w:fldChar w:fldCharType="begin" w:fldLock="1"/>
      </w:r>
      <w:r w:rsidRPr="00426CC5">
        <w:rPr>
          <w:noProof/>
          <w:highlight w:val="lightGray"/>
        </w:rPr>
        <w:instrText xml:space="preserve"> QUOTE "ð" </w:instrText>
      </w:r>
      <w:r w:rsidRPr="00426CC5">
        <w:rPr>
          <w:noProof/>
          <w:highlight w:val="lightGray"/>
        </w:rPr>
        <w:fldChar w:fldCharType="separate"/>
      </w:r>
      <w:r w:rsidRPr="00426CC5">
        <w:rPr>
          <w:rStyle w:val="CRMarker"/>
          <w:noProof/>
          <w:highlight w:val="lightGray"/>
        </w:rPr>
        <w:t>ð</w:t>
      </w:r>
      <w:r w:rsidRPr="00426CC5">
        <w:rPr>
          <w:noProof/>
          <w:highlight w:val="lightGray"/>
        </w:rPr>
        <w:fldChar w:fldCharType="end"/>
      </w:r>
      <w:r w:rsidRPr="00426CC5">
        <w:rPr>
          <w:noProof/>
          <w:highlight w:val="lightGray"/>
        </w:rPr>
        <w:t> et les émissions qui en découlent </w:t>
      </w:r>
      <w:r w:rsidRPr="00426CC5">
        <w:rPr>
          <w:noProof/>
          <w:highlight w:val="lightGray"/>
        </w:rPr>
        <w:fldChar w:fldCharType="begin" w:fldLock="1"/>
      </w:r>
      <w:r w:rsidRPr="00426CC5">
        <w:rPr>
          <w:noProof/>
          <w:highlight w:val="lightGray"/>
        </w:rPr>
        <w:instrText xml:space="preserve"> QUOTE "ï" </w:instrText>
      </w:r>
      <w:r w:rsidRPr="00426CC5">
        <w:rPr>
          <w:noProof/>
          <w:highlight w:val="lightGray"/>
        </w:rPr>
        <w:fldChar w:fldCharType="separate"/>
      </w:r>
      <w:r w:rsidRPr="00426CC5">
        <w:rPr>
          <w:rStyle w:val="CRMarker"/>
          <w:noProof/>
          <w:highlight w:val="lightGray"/>
        </w:rPr>
        <w:t>ï</w:t>
      </w:r>
      <w:r w:rsidRPr="00426CC5">
        <w:rPr>
          <w:noProof/>
          <w:highlight w:val="lightGray"/>
        </w:rPr>
        <w:fldChar w:fldCharType="end"/>
      </w:r>
      <w:r w:rsidRPr="00426CC5">
        <w:rPr>
          <w:noProof/>
        </w:rPr>
        <w:t xml:space="preserve"> des bâtiments de référence </w:t>
      </w:r>
      <w:r w:rsidRPr="00426CC5">
        <w:rPr>
          <w:rStyle w:val="CRRefonteDeleted"/>
          <w:noProof/>
          <w:highlight w:val="lightGray"/>
        </w:rPr>
        <w:t>et des bâtiments de référence</w:t>
      </w:r>
      <w:r w:rsidRPr="00426CC5">
        <w:rPr>
          <w:noProof/>
        </w:rPr>
        <w:t xml:space="preserve"> auxquels sont appliquées les mesures d’efficacité énergétique qui ont été définies</w:t>
      </w:r>
      <w:r w:rsidRPr="00426CC5">
        <w:rPr>
          <w:rStyle w:val="CRMinorChangeAdded"/>
          <w:noProof/>
        </w:rPr>
        <w:t>;</w:t>
      </w:r>
      <w:r w:rsidRPr="00426CC5">
        <w:rPr>
          <w:rStyle w:val="CRMinorChangeDeleted"/>
          <w:noProof/>
        </w:rPr>
        <w:t>,</w:t>
      </w:r>
    </w:p>
    <w:p w14:paraId="6B3C1D71" w14:textId="77777777" w:rsidR="000448D2" w:rsidRPr="00426CC5" w:rsidRDefault="000448D2" w:rsidP="0004559D">
      <w:pPr>
        <w:pStyle w:val="Tiret0"/>
        <w:numPr>
          <w:ilvl w:val="0"/>
          <w:numId w:val="25"/>
        </w:numPr>
        <w:autoSpaceDE w:val="0"/>
        <w:autoSpaceDN w:val="0"/>
        <w:ind w:left="851" w:hanging="851"/>
        <w:rPr>
          <w:noProof/>
        </w:rPr>
      </w:pPr>
      <w:r w:rsidRPr="00426CC5">
        <w:rPr>
          <w:noProof/>
        </w:rPr>
        <w:t>calculer les coûts (c’est-à-dire la valeur actuelle nette) des mesures d’efficacité énergétique (visées au deuxième tiret) pendant le cycle de vie économique escompté appliquées aux bâtiments de référence (visés au premier tiret) en appliquant les principes du cadre méthodologique comparatif.</w:t>
      </w:r>
    </w:p>
    <w:p w14:paraId="6B3C1D72" w14:textId="77777777" w:rsidR="000448D2" w:rsidRPr="00426CC5" w:rsidRDefault="000448D2">
      <w:pPr>
        <w:rPr>
          <w:noProof/>
        </w:rPr>
      </w:pPr>
      <w:r w:rsidRPr="00426CC5">
        <w:rPr>
          <w:noProof/>
        </w:rPr>
        <w:t>En calculant le coût des mesures d’efficacité énergétique pendant le cycle de vie économique escompté, les États membres évaluent la rentabilité de différents niveaux d’exigences minimales en matière de performance énergétique. Cela leur permettra de déterminer les niveaux optimaux en fonction des coûts des exigences de performance énergétiques.</w:t>
      </w:r>
    </w:p>
    <w:p w14:paraId="6B3C1D73" w14:textId="77777777" w:rsidR="000448D2" w:rsidRPr="00426CC5" w:rsidRDefault="000448D2">
      <w:pPr>
        <w:adjustRightInd w:val="0"/>
        <w:spacing w:before="0" w:after="0"/>
        <w:jc w:val="left"/>
        <w:rPr>
          <w:noProof/>
        </w:rPr>
        <w:sectPr w:rsidR="000448D2" w:rsidRPr="00426CC5" w:rsidSect="00AD39FC">
          <w:pgSz w:w="11906" w:h="16838"/>
          <w:pgMar w:top="1134" w:right="1418" w:bottom="1134" w:left="1418" w:header="709" w:footer="709" w:gutter="0"/>
          <w:pgNumType w:start="1"/>
          <w:cols w:space="709"/>
          <w:docGrid w:linePitch="326"/>
        </w:sectPr>
      </w:pPr>
    </w:p>
    <w:p w14:paraId="6B3C1D74" w14:textId="77777777" w:rsidR="000448D2" w:rsidRPr="00426CC5" w:rsidRDefault="000448D2" w:rsidP="009567AF">
      <w:pPr>
        <w:pStyle w:val="CRSeparator"/>
        <w:rPr>
          <w:noProof/>
        </w:rPr>
      </w:pPr>
    </w:p>
    <w:p w14:paraId="6B3C1D75"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 (adapté)</w:t>
      </w:r>
    </w:p>
    <w:p w14:paraId="6B3C1D76" w14:textId="77777777" w:rsidR="000448D2" w:rsidRPr="00426CC5" w:rsidRDefault="000448D2" w:rsidP="00EC00AC">
      <w:pPr>
        <w:pStyle w:val="Annexetitre"/>
        <w:rPr>
          <w:noProof/>
        </w:rPr>
      </w:pPr>
      <w:r w:rsidRPr="00426CC5">
        <w:rPr>
          <w:noProof/>
        </w:rPr>
        <w:t xml:space="preserve">ANNEXE </w:t>
      </w:r>
      <w:r w:rsidRPr="00426CC5">
        <w:rPr>
          <w:rStyle w:val="CRMinorChangeAdded"/>
          <w:noProof/>
        </w:rPr>
        <w:t>VIII</w:t>
      </w:r>
      <w:r w:rsidRPr="00426CC5">
        <w:rPr>
          <w:rStyle w:val="CRMinorChangeDeleted"/>
          <w:noProof/>
        </w:rPr>
        <w:t>IV</w:t>
      </w:r>
    </w:p>
    <w:p w14:paraId="6B3C1D77" w14:textId="77777777" w:rsidR="000448D2" w:rsidRPr="00426CC5" w:rsidRDefault="000448D2" w:rsidP="009567AF">
      <w:pPr>
        <w:pStyle w:val="ManualHeading1"/>
        <w:ind w:left="851" w:hanging="851"/>
        <w:jc w:val="center"/>
        <w:rPr>
          <w:noProof/>
        </w:rPr>
      </w:pPr>
      <w:r w:rsidRPr="00426CC5">
        <w:rPr>
          <w:rStyle w:val="CRDeleted"/>
          <w:noProof/>
        </w:rPr>
        <w:t>PARTIE A</w:t>
      </w:r>
    </w:p>
    <w:tbl>
      <w:tblPr>
        <w:tblW w:w="0" w:type="auto"/>
        <w:tblLayout w:type="fixed"/>
        <w:tblLook w:val="0000" w:firstRow="0" w:lastRow="0" w:firstColumn="0" w:lastColumn="0" w:noHBand="0" w:noVBand="0"/>
      </w:tblPr>
      <w:tblGrid>
        <w:gridCol w:w="6314"/>
        <w:gridCol w:w="2972"/>
      </w:tblGrid>
      <w:tr w:rsidR="000448D2" w:rsidRPr="00426CC5" w14:paraId="6B3C1D79" w14:textId="77777777">
        <w:tc>
          <w:tcPr>
            <w:tcW w:w="9286" w:type="dxa"/>
            <w:gridSpan w:val="2"/>
            <w:tcBorders>
              <w:top w:val="single" w:sz="2" w:space="0" w:color="auto"/>
              <w:left w:val="single" w:sz="2" w:space="0" w:color="auto"/>
              <w:bottom w:val="single" w:sz="2" w:space="0" w:color="auto"/>
              <w:right w:val="single" w:sz="2" w:space="0" w:color="auto"/>
            </w:tcBorders>
          </w:tcPr>
          <w:p w14:paraId="6B3C1D78" w14:textId="77777777" w:rsidR="000448D2" w:rsidRPr="00426CC5" w:rsidRDefault="000448D2">
            <w:pPr>
              <w:pStyle w:val="NormalCentered"/>
              <w:rPr>
                <w:rStyle w:val="CRDeleted"/>
                <w:i/>
                <w:noProof/>
              </w:rPr>
            </w:pPr>
            <w:r w:rsidRPr="00426CC5">
              <w:rPr>
                <w:rStyle w:val="CRDeleted"/>
                <w:i/>
                <w:noProof/>
              </w:rPr>
              <w:t>Directive abrogée avec sa modification</w:t>
            </w:r>
          </w:p>
        </w:tc>
      </w:tr>
      <w:tr w:rsidR="000448D2" w:rsidRPr="00426CC5" w14:paraId="6B3C1D7B" w14:textId="77777777">
        <w:tc>
          <w:tcPr>
            <w:tcW w:w="9286" w:type="dxa"/>
            <w:gridSpan w:val="2"/>
            <w:tcBorders>
              <w:top w:val="single" w:sz="2" w:space="0" w:color="auto"/>
              <w:left w:val="single" w:sz="2" w:space="0" w:color="auto"/>
              <w:bottom w:val="single" w:sz="2" w:space="0" w:color="auto"/>
              <w:right w:val="single" w:sz="2" w:space="0" w:color="auto"/>
            </w:tcBorders>
          </w:tcPr>
          <w:p w14:paraId="6B3C1D7A" w14:textId="77777777" w:rsidR="000448D2" w:rsidRPr="00426CC5" w:rsidRDefault="000448D2">
            <w:pPr>
              <w:pStyle w:val="NormalCentered"/>
              <w:rPr>
                <w:rStyle w:val="CRDeleted"/>
                <w:i/>
                <w:noProof/>
              </w:rPr>
            </w:pPr>
            <w:r w:rsidRPr="00426CC5">
              <w:rPr>
                <w:rStyle w:val="CRDeleted"/>
                <w:i/>
                <w:noProof/>
              </w:rPr>
              <w:t>(visé à l’article 29)</w:t>
            </w:r>
          </w:p>
        </w:tc>
      </w:tr>
      <w:tr w:rsidR="000448D2" w:rsidRPr="00426CC5" w14:paraId="6B3C1D7E" w14:textId="77777777">
        <w:tc>
          <w:tcPr>
            <w:tcW w:w="6314" w:type="dxa"/>
            <w:tcBorders>
              <w:top w:val="single" w:sz="2" w:space="0" w:color="auto"/>
              <w:left w:val="single" w:sz="2" w:space="0" w:color="auto"/>
              <w:bottom w:val="single" w:sz="2" w:space="0" w:color="auto"/>
              <w:right w:val="single" w:sz="2" w:space="0" w:color="auto"/>
            </w:tcBorders>
          </w:tcPr>
          <w:p w14:paraId="6B3C1D7C" w14:textId="77777777" w:rsidR="000448D2" w:rsidRPr="00426CC5" w:rsidRDefault="000448D2">
            <w:pPr>
              <w:pStyle w:val="NormalLeft"/>
              <w:rPr>
                <w:noProof/>
              </w:rPr>
            </w:pPr>
            <w:r w:rsidRPr="00426CC5">
              <w:rPr>
                <w:rStyle w:val="CRDeleted"/>
                <w:noProof/>
              </w:rPr>
              <w:t>Directive 2002/91/CE du Parlement européen et du Conseil (JO L 1 du 4.1.2003, p. 65).</w:t>
            </w:r>
          </w:p>
        </w:tc>
        <w:tc>
          <w:tcPr>
            <w:tcW w:w="2972" w:type="dxa"/>
            <w:tcBorders>
              <w:top w:val="single" w:sz="2" w:space="0" w:color="auto"/>
              <w:left w:val="single" w:sz="2" w:space="0" w:color="auto"/>
              <w:bottom w:val="single" w:sz="2" w:space="0" w:color="auto"/>
              <w:right w:val="single" w:sz="2" w:space="0" w:color="auto"/>
            </w:tcBorders>
          </w:tcPr>
          <w:p w14:paraId="6B3C1D7D" w14:textId="77777777" w:rsidR="000448D2" w:rsidRPr="00426CC5" w:rsidRDefault="000448D2">
            <w:pPr>
              <w:pStyle w:val="NormalLeft"/>
              <w:rPr>
                <w:noProof/>
              </w:rPr>
            </w:pPr>
          </w:p>
        </w:tc>
      </w:tr>
      <w:tr w:rsidR="000448D2" w:rsidRPr="00426CC5" w14:paraId="6B3C1D81" w14:textId="77777777">
        <w:tc>
          <w:tcPr>
            <w:tcW w:w="6314" w:type="dxa"/>
            <w:tcBorders>
              <w:top w:val="single" w:sz="2" w:space="0" w:color="auto"/>
              <w:left w:val="single" w:sz="2" w:space="0" w:color="auto"/>
              <w:bottom w:val="single" w:sz="2" w:space="0" w:color="auto"/>
              <w:right w:val="single" w:sz="2" w:space="0" w:color="auto"/>
            </w:tcBorders>
          </w:tcPr>
          <w:p w14:paraId="6B3C1D7F" w14:textId="77777777" w:rsidR="000448D2" w:rsidRPr="00426CC5" w:rsidRDefault="000448D2">
            <w:pPr>
              <w:pStyle w:val="NormalLeft"/>
              <w:rPr>
                <w:noProof/>
              </w:rPr>
            </w:pPr>
            <w:r w:rsidRPr="00426CC5">
              <w:rPr>
                <w:rStyle w:val="CRDeleted"/>
                <w:noProof/>
              </w:rPr>
              <w:t>Règlement (CE) n º1137/2008 du Parlement européen et du Conseil (JO L 311 du 21.11.2008, p. 1).</w:t>
            </w:r>
          </w:p>
        </w:tc>
        <w:tc>
          <w:tcPr>
            <w:tcW w:w="2972" w:type="dxa"/>
            <w:tcBorders>
              <w:top w:val="single" w:sz="2" w:space="0" w:color="auto"/>
              <w:left w:val="single" w:sz="2" w:space="0" w:color="auto"/>
              <w:bottom w:val="single" w:sz="2" w:space="0" w:color="auto"/>
              <w:right w:val="single" w:sz="2" w:space="0" w:color="auto"/>
            </w:tcBorders>
          </w:tcPr>
          <w:p w14:paraId="6B3C1D80" w14:textId="77777777" w:rsidR="000448D2" w:rsidRPr="00426CC5" w:rsidRDefault="000448D2">
            <w:pPr>
              <w:pStyle w:val="NormalLeft"/>
              <w:rPr>
                <w:noProof/>
              </w:rPr>
            </w:pPr>
            <w:r w:rsidRPr="00426CC5">
              <w:rPr>
                <w:rStyle w:val="CRDeleted"/>
                <w:noProof/>
              </w:rPr>
              <w:t>point 9.9 de l’annexe uniquement</w:t>
            </w:r>
          </w:p>
        </w:tc>
      </w:tr>
    </w:tbl>
    <w:p w14:paraId="6B3C1D82" w14:textId="77777777" w:rsidR="000448D2" w:rsidRPr="00426CC5" w:rsidRDefault="000448D2" w:rsidP="009567AF">
      <w:pPr>
        <w:pStyle w:val="ManualHeading1"/>
        <w:ind w:left="851" w:hanging="851"/>
        <w:jc w:val="center"/>
        <w:rPr>
          <w:noProof/>
        </w:rPr>
      </w:pPr>
      <w:r w:rsidRPr="00426CC5">
        <w:rPr>
          <w:rStyle w:val="CRDeleted"/>
          <w:noProof/>
        </w:rPr>
        <w:t>PARTIE B</w:t>
      </w:r>
    </w:p>
    <w:tbl>
      <w:tblPr>
        <w:tblW w:w="0" w:type="auto"/>
        <w:tblLayout w:type="fixed"/>
        <w:tblLook w:val="0000" w:firstRow="0" w:lastRow="0" w:firstColumn="0" w:lastColumn="0" w:noHBand="0" w:noVBand="0"/>
      </w:tblPr>
      <w:tblGrid>
        <w:gridCol w:w="2043"/>
        <w:gridCol w:w="2693"/>
        <w:gridCol w:w="4550"/>
      </w:tblGrid>
      <w:tr w:rsidR="000448D2" w:rsidRPr="00426CC5" w14:paraId="6B3C1D84" w14:textId="77777777">
        <w:tc>
          <w:tcPr>
            <w:tcW w:w="9286" w:type="dxa"/>
            <w:gridSpan w:val="3"/>
            <w:tcBorders>
              <w:top w:val="single" w:sz="2" w:space="0" w:color="auto"/>
              <w:left w:val="single" w:sz="2" w:space="0" w:color="auto"/>
              <w:bottom w:val="single" w:sz="2" w:space="0" w:color="auto"/>
              <w:right w:val="single" w:sz="2" w:space="0" w:color="auto"/>
            </w:tcBorders>
          </w:tcPr>
          <w:p w14:paraId="6B3C1D83" w14:textId="77777777" w:rsidR="000448D2" w:rsidRPr="00426CC5" w:rsidRDefault="000448D2">
            <w:pPr>
              <w:pStyle w:val="NormalCentered"/>
              <w:rPr>
                <w:noProof/>
              </w:rPr>
            </w:pPr>
            <w:r w:rsidRPr="00426CC5">
              <w:rPr>
                <w:rStyle w:val="CRDeleted"/>
                <w:i/>
                <w:noProof/>
              </w:rPr>
              <w:t>Délais de transposition en droit national et dates d’application</w:t>
            </w:r>
          </w:p>
        </w:tc>
      </w:tr>
      <w:tr w:rsidR="000448D2" w:rsidRPr="00426CC5" w14:paraId="6B3C1D86" w14:textId="77777777">
        <w:tc>
          <w:tcPr>
            <w:tcW w:w="9286" w:type="dxa"/>
            <w:gridSpan w:val="3"/>
            <w:tcBorders>
              <w:top w:val="single" w:sz="2" w:space="0" w:color="auto"/>
              <w:left w:val="single" w:sz="2" w:space="0" w:color="auto"/>
              <w:bottom w:val="single" w:sz="2" w:space="0" w:color="auto"/>
              <w:right w:val="single" w:sz="2" w:space="0" w:color="auto"/>
            </w:tcBorders>
          </w:tcPr>
          <w:p w14:paraId="6B3C1D85" w14:textId="77777777" w:rsidR="000448D2" w:rsidRPr="00426CC5" w:rsidRDefault="000448D2">
            <w:pPr>
              <w:pStyle w:val="NormalCentered"/>
              <w:rPr>
                <w:noProof/>
              </w:rPr>
            </w:pPr>
            <w:r w:rsidRPr="00426CC5">
              <w:rPr>
                <w:rStyle w:val="CRDeleted"/>
                <w:i/>
                <w:noProof/>
              </w:rPr>
              <w:t>(visé à l’article 29)</w:t>
            </w:r>
          </w:p>
        </w:tc>
      </w:tr>
      <w:tr w:rsidR="000448D2" w:rsidRPr="00426CC5" w14:paraId="6B3C1D8A" w14:textId="77777777">
        <w:tc>
          <w:tcPr>
            <w:tcW w:w="2043" w:type="dxa"/>
            <w:tcBorders>
              <w:top w:val="single" w:sz="2" w:space="0" w:color="auto"/>
              <w:left w:val="single" w:sz="2" w:space="0" w:color="auto"/>
              <w:bottom w:val="single" w:sz="2" w:space="0" w:color="auto"/>
              <w:right w:val="single" w:sz="2" w:space="0" w:color="auto"/>
            </w:tcBorders>
          </w:tcPr>
          <w:p w14:paraId="6B3C1D87" w14:textId="77777777" w:rsidR="000448D2" w:rsidRPr="00426CC5" w:rsidRDefault="000448D2">
            <w:pPr>
              <w:pStyle w:val="NormalCentered"/>
              <w:rPr>
                <w:noProof/>
              </w:rPr>
            </w:pPr>
            <w:r w:rsidRPr="00426CC5">
              <w:rPr>
                <w:rStyle w:val="CRDeleted"/>
                <w:noProof/>
              </w:rPr>
              <w:t>Directive</w:t>
            </w:r>
          </w:p>
        </w:tc>
        <w:tc>
          <w:tcPr>
            <w:tcW w:w="2693" w:type="dxa"/>
            <w:tcBorders>
              <w:top w:val="single" w:sz="2" w:space="0" w:color="auto"/>
              <w:left w:val="single" w:sz="2" w:space="0" w:color="auto"/>
              <w:bottom w:val="single" w:sz="2" w:space="0" w:color="auto"/>
              <w:right w:val="single" w:sz="2" w:space="0" w:color="auto"/>
            </w:tcBorders>
          </w:tcPr>
          <w:p w14:paraId="6B3C1D88" w14:textId="77777777" w:rsidR="000448D2" w:rsidRPr="00426CC5" w:rsidRDefault="000448D2">
            <w:pPr>
              <w:pStyle w:val="NormalCentered"/>
              <w:rPr>
                <w:noProof/>
              </w:rPr>
            </w:pPr>
            <w:r w:rsidRPr="00426CC5">
              <w:rPr>
                <w:rStyle w:val="CRDeleted"/>
                <w:noProof/>
              </w:rPr>
              <w:t>Délai de transposition</w:t>
            </w:r>
          </w:p>
        </w:tc>
        <w:tc>
          <w:tcPr>
            <w:tcW w:w="4550" w:type="dxa"/>
            <w:tcBorders>
              <w:top w:val="single" w:sz="2" w:space="0" w:color="auto"/>
              <w:left w:val="single" w:sz="2" w:space="0" w:color="auto"/>
              <w:bottom w:val="single" w:sz="2" w:space="0" w:color="auto"/>
              <w:right w:val="single" w:sz="2" w:space="0" w:color="auto"/>
            </w:tcBorders>
          </w:tcPr>
          <w:p w14:paraId="6B3C1D89" w14:textId="77777777" w:rsidR="000448D2" w:rsidRPr="00426CC5" w:rsidRDefault="000448D2">
            <w:pPr>
              <w:pStyle w:val="NormalCentered"/>
              <w:rPr>
                <w:noProof/>
              </w:rPr>
            </w:pPr>
            <w:r w:rsidRPr="00426CC5">
              <w:rPr>
                <w:rStyle w:val="CRDeleted"/>
                <w:noProof/>
              </w:rPr>
              <w:t>Date d’application</w:t>
            </w:r>
          </w:p>
        </w:tc>
      </w:tr>
      <w:tr w:rsidR="000448D2" w:rsidRPr="00426CC5" w14:paraId="6B3C1D8E" w14:textId="77777777">
        <w:tc>
          <w:tcPr>
            <w:tcW w:w="2043" w:type="dxa"/>
            <w:tcBorders>
              <w:top w:val="single" w:sz="2" w:space="0" w:color="auto"/>
              <w:left w:val="single" w:sz="2" w:space="0" w:color="auto"/>
              <w:bottom w:val="single" w:sz="2" w:space="0" w:color="auto"/>
              <w:right w:val="single" w:sz="2" w:space="0" w:color="auto"/>
            </w:tcBorders>
          </w:tcPr>
          <w:p w14:paraId="6B3C1D8B" w14:textId="77777777" w:rsidR="000448D2" w:rsidRPr="00426CC5" w:rsidRDefault="000448D2">
            <w:pPr>
              <w:pStyle w:val="NormalLeft"/>
              <w:rPr>
                <w:noProof/>
              </w:rPr>
            </w:pPr>
            <w:r w:rsidRPr="00426CC5">
              <w:rPr>
                <w:rStyle w:val="CRDeleted"/>
                <w:noProof/>
              </w:rPr>
              <w:t> 2002/91/UE</w:t>
            </w:r>
          </w:p>
        </w:tc>
        <w:tc>
          <w:tcPr>
            <w:tcW w:w="2693" w:type="dxa"/>
            <w:tcBorders>
              <w:top w:val="single" w:sz="2" w:space="0" w:color="auto"/>
              <w:left w:val="single" w:sz="2" w:space="0" w:color="auto"/>
              <w:bottom w:val="single" w:sz="2" w:space="0" w:color="auto"/>
              <w:right w:val="single" w:sz="2" w:space="0" w:color="auto"/>
            </w:tcBorders>
          </w:tcPr>
          <w:p w14:paraId="6B3C1D8C" w14:textId="77777777" w:rsidR="000448D2" w:rsidRPr="00426CC5" w:rsidRDefault="000448D2">
            <w:pPr>
              <w:pStyle w:val="NormalLeft"/>
              <w:rPr>
                <w:noProof/>
              </w:rPr>
            </w:pPr>
            <w:r w:rsidRPr="00426CC5">
              <w:rPr>
                <w:rStyle w:val="CRDeleted"/>
                <w:noProof/>
              </w:rPr>
              <w:t>4 janvier 2006</w:t>
            </w:r>
          </w:p>
        </w:tc>
        <w:tc>
          <w:tcPr>
            <w:tcW w:w="4550" w:type="dxa"/>
            <w:tcBorders>
              <w:top w:val="single" w:sz="2" w:space="0" w:color="auto"/>
              <w:left w:val="single" w:sz="2" w:space="0" w:color="auto"/>
              <w:bottom w:val="single" w:sz="2" w:space="0" w:color="auto"/>
              <w:right w:val="single" w:sz="2" w:space="0" w:color="auto"/>
            </w:tcBorders>
          </w:tcPr>
          <w:p w14:paraId="6B3C1D8D" w14:textId="77777777" w:rsidR="000448D2" w:rsidRPr="00426CC5" w:rsidRDefault="000448D2">
            <w:pPr>
              <w:pStyle w:val="NormalLeft"/>
              <w:rPr>
                <w:noProof/>
              </w:rPr>
            </w:pPr>
            <w:r w:rsidRPr="00426CC5">
              <w:rPr>
                <w:rStyle w:val="CRDeleted"/>
                <w:noProof/>
              </w:rPr>
              <w:t>4 janvier 2009 en ce qui concerne les articles 7, 8 et 9 uniquement</w:t>
            </w:r>
          </w:p>
        </w:tc>
      </w:tr>
    </w:tbl>
    <w:p w14:paraId="6B3C1D8F" w14:textId="77777777" w:rsidR="000448D2" w:rsidRPr="00426CC5" w:rsidRDefault="000448D2" w:rsidP="009916B2">
      <w:pPr>
        <w:pStyle w:val="ManualHeading1"/>
        <w:jc w:val="center"/>
        <w:rPr>
          <w:i/>
          <w:noProof/>
        </w:rPr>
      </w:pPr>
      <w:r w:rsidRPr="00426CC5">
        <w:rPr>
          <w:i/>
          <w:noProof/>
        </w:rPr>
        <w:t>Partie A</w:t>
      </w:r>
    </w:p>
    <w:p w14:paraId="6B3C1D90" w14:textId="77777777" w:rsidR="000448D2" w:rsidRPr="00426CC5" w:rsidRDefault="000448D2" w:rsidP="009916B2">
      <w:pPr>
        <w:pStyle w:val="ManualHeading2"/>
        <w:jc w:val="center"/>
        <w:rPr>
          <w:noProof/>
        </w:rPr>
      </w:pPr>
      <w:r w:rsidRPr="00426CC5">
        <w:rPr>
          <w:b w:val="0"/>
          <w:bCs/>
          <w:noProof/>
        </w:rPr>
        <w:t>Directive abrogée</w:t>
      </w:r>
      <w:r w:rsidRPr="00426CC5">
        <w:rPr>
          <w:noProof/>
        </w:rPr>
        <w:t xml:space="preserve"> </w:t>
      </w:r>
      <w:r w:rsidRPr="00426CC5">
        <w:rPr>
          <w:noProof/>
        </w:rPr>
        <w:br/>
      </w:r>
      <w:r w:rsidRPr="00426CC5">
        <w:rPr>
          <w:b w:val="0"/>
          <w:bCs/>
          <w:noProof/>
        </w:rPr>
        <w:t>avec la liste de ses modifications successives</w:t>
      </w:r>
      <w:r w:rsidRPr="00426CC5">
        <w:rPr>
          <w:noProof/>
        </w:rPr>
        <w:t xml:space="preserve"> </w:t>
      </w:r>
      <w:r w:rsidRPr="00426CC5">
        <w:rPr>
          <w:noProof/>
        </w:rPr>
        <w:br/>
      </w:r>
      <w:r w:rsidRPr="00426CC5">
        <w:rPr>
          <w:b w:val="0"/>
          <w:noProof/>
        </w:rPr>
        <w:t>(visée à l’article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8"/>
      </w:tblGrid>
      <w:tr w:rsidR="000448D2" w:rsidRPr="00426CC5" w14:paraId="6B3C1D93" w14:textId="77777777" w:rsidTr="009567AF">
        <w:trPr>
          <w:jc w:val="center"/>
        </w:trPr>
        <w:tc>
          <w:tcPr>
            <w:tcW w:w="4659" w:type="dxa"/>
          </w:tcPr>
          <w:p w14:paraId="6B3C1D91" w14:textId="77777777" w:rsidR="000448D2" w:rsidRPr="00426CC5" w:rsidRDefault="000448D2" w:rsidP="009567AF">
            <w:pPr>
              <w:widowControl w:val="0"/>
              <w:tabs>
                <w:tab w:val="right" w:pos="9600"/>
              </w:tabs>
              <w:suppressAutoHyphens/>
              <w:spacing w:before="0" w:after="240"/>
              <w:ind w:left="284" w:hanging="11"/>
              <w:jc w:val="left"/>
              <w:rPr>
                <w:rFonts w:eastAsia="Times New Roman"/>
                <w:noProof/>
              </w:rPr>
            </w:pPr>
            <w:r w:rsidRPr="00426CC5">
              <w:rPr>
                <w:noProof/>
              </w:rPr>
              <w:t xml:space="preserve">Directive 2010/31/UE du Parlement européen et du Conseil </w:t>
            </w:r>
            <w:r w:rsidRPr="00426CC5">
              <w:rPr>
                <w:noProof/>
              </w:rPr>
              <w:br/>
              <w:t>JO L 153 du 18.6.2010, p. 13.</w:t>
            </w:r>
          </w:p>
        </w:tc>
        <w:tc>
          <w:tcPr>
            <w:tcW w:w="4630" w:type="dxa"/>
          </w:tcPr>
          <w:p w14:paraId="6B3C1D92" w14:textId="77777777" w:rsidR="000448D2" w:rsidRPr="00426CC5" w:rsidRDefault="000448D2" w:rsidP="009567AF">
            <w:pPr>
              <w:widowControl w:val="0"/>
              <w:tabs>
                <w:tab w:val="right" w:pos="9600"/>
              </w:tabs>
              <w:suppressAutoHyphens/>
              <w:spacing w:before="0" w:after="240"/>
              <w:ind w:left="176"/>
              <w:jc w:val="left"/>
              <w:rPr>
                <w:rFonts w:eastAsia="Times New Roman"/>
                <w:noProof/>
                <w:lang w:eastAsia="fr-BE"/>
              </w:rPr>
            </w:pPr>
          </w:p>
        </w:tc>
      </w:tr>
      <w:tr w:rsidR="000448D2" w:rsidRPr="00426CC5" w14:paraId="6B3C1D96" w14:textId="77777777" w:rsidTr="009567AF">
        <w:trPr>
          <w:jc w:val="center"/>
        </w:trPr>
        <w:tc>
          <w:tcPr>
            <w:tcW w:w="4659" w:type="dxa"/>
          </w:tcPr>
          <w:p w14:paraId="6B3C1D94" w14:textId="77777777" w:rsidR="000448D2" w:rsidRPr="00426CC5" w:rsidRDefault="000448D2" w:rsidP="00D906F0">
            <w:pPr>
              <w:widowControl w:val="0"/>
              <w:tabs>
                <w:tab w:val="right" w:pos="9600"/>
              </w:tabs>
              <w:suppressAutoHyphens/>
              <w:spacing w:before="0" w:after="240"/>
              <w:ind w:left="284" w:hanging="11"/>
              <w:jc w:val="left"/>
              <w:rPr>
                <w:noProof/>
              </w:rPr>
            </w:pPr>
            <w:r w:rsidRPr="00426CC5">
              <w:rPr>
                <w:noProof/>
              </w:rPr>
              <w:t xml:space="preserve">Directive (UE) 2018/844 du Parlement européen et du Conseil </w:t>
            </w:r>
            <w:r w:rsidRPr="00426CC5">
              <w:rPr>
                <w:noProof/>
              </w:rPr>
              <w:br/>
              <w:t>JO L 156 du 19.6.2018, p. 75.</w:t>
            </w:r>
          </w:p>
        </w:tc>
        <w:tc>
          <w:tcPr>
            <w:tcW w:w="4630" w:type="dxa"/>
          </w:tcPr>
          <w:p w14:paraId="6B3C1D95" w14:textId="77777777" w:rsidR="000448D2" w:rsidRPr="00426CC5" w:rsidRDefault="000448D2" w:rsidP="009567AF">
            <w:pPr>
              <w:widowControl w:val="0"/>
              <w:tabs>
                <w:tab w:val="right" w:pos="9600"/>
              </w:tabs>
              <w:suppressAutoHyphens/>
              <w:spacing w:before="0" w:after="240"/>
              <w:ind w:left="176" w:hanging="11"/>
              <w:jc w:val="left"/>
              <w:rPr>
                <w:rFonts w:eastAsia="Times New Roman"/>
                <w:noProof/>
              </w:rPr>
            </w:pPr>
            <w:r w:rsidRPr="00426CC5">
              <w:rPr>
                <w:noProof/>
              </w:rPr>
              <w:t>uniquement l'article 1</w:t>
            </w:r>
            <w:r w:rsidRPr="00426CC5">
              <w:rPr>
                <w:noProof/>
                <w:vertAlign w:val="superscript"/>
              </w:rPr>
              <w:t>er</w:t>
            </w:r>
          </w:p>
        </w:tc>
      </w:tr>
      <w:tr w:rsidR="000448D2" w:rsidRPr="00426CC5" w14:paraId="6B3C1D99" w14:textId="77777777" w:rsidTr="009567AF">
        <w:trPr>
          <w:jc w:val="center"/>
        </w:trPr>
        <w:tc>
          <w:tcPr>
            <w:tcW w:w="4659" w:type="dxa"/>
          </w:tcPr>
          <w:p w14:paraId="6B3C1D97" w14:textId="77777777" w:rsidR="000448D2" w:rsidRPr="00426CC5" w:rsidRDefault="000448D2" w:rsidP="00D906F0">
            <w:pPr>
              <w:widowControl w:val="0"/>
              <w:tabs>
                <w:tab w:val="right" w:pos="9600"/>
              </w:tabs>
              <w:suppressAutoHyphens/>
              <w:spacing w:before="0" w:after="240"/>
              <w:ind w:left="284" w:hanging="11"/>
              <w:jc w:val="left"/>
              <w:rPr>
                <w:noProof/>
              </w:rPr>
            </w:pPr>
            <w:r w:rsidRPr="00426CC5">
              <w:rPr>
                <w:noProof/>
              </w:rPr>
              <w:t xml:space="preserve">Règlement (UE) 2018/1999 du Parlement européen et du Conseil </w:t>
            </w:r>
            <w:r w:rsidRPr="00426CC5">
              <w:rPr>
                <w:noProof/>
              </w:rPr>
              <w:br/>
              <w:t>JO L 328 du 21.12.2018, p. 1.</w:t>
            </w:r>
          </w:p>
        </w:tc>
        <w:tc>
          <w:tcPr>
            <w:tcW w:w="4630" w:type="dxa"/>
          </w:tcPr>
          <w:p w14:paraId="6B3C1D98" w14:textId="77777777" w:rsidR="000448D2" w:rsidRPr="00426CC5" w:rsidRDefault="000448D2" w:rsidP="009567AF">
            <w:pPr>
              <w:widowControl w:val="0"/>
              <w:tabs>
                <w:tab w:val="right" w:pos="9600"/>
              </w:tabs>
              <w:suppressAutoHyphens/>
              <w:spacing w:before="0" w:after="240"/>
              <w:ind w:left="176" w:hanging="11"/>
              <w:jc w:val="left"/>
              <w:rPr>
                <w:rFonts w:eastAsia="Times New Roman"/>
                <w:noProof/>
              </w:rPr>
            </w:pPr>
            <w:r w:rsidRPr="00426CC5">
              <w:rPr>
                <w:noProof/>
              </w:rPr>
              <w:t>uniquement l'article 53</w:t>
            </w:r>
          </w:p>
        </w:tc>
      </w:tr>
    </w:tbl>
    <w:p w14:paraId="6B3C1D9A" w14:textId="77777777" w:rsidR="000448D2" w:rsidRPr="00426CC5" w:rsidRDefault="000448D2" w:rsidP="009567AF">
      <w:pPr>
        <w:widowControl w:val="0"/>
        <w:tabs>
          <w:tab w:val="right" w:pos="9600"/>
        </w:tabs>
        <w:suppressAutoHyphens/>
        <w:spacing w:before="0" w:after="240"/>
        <w:jc w:val="center"/>
        <w:outlineLvl w:val="0"/>
        <w:rPr>
          <w:rFonts w:eastAsia="Times New Roman"/>
          <w:noProof/>
          <w:lang w:eastAsia="fr-BE"/>
        </w:rPr>
      </w:pPr>
    </w:p>
    <w:p w14:paraId="6B3C1D9B" w14:textId="77777777" w:rsidR="000448D2" w:rsidRPr="00426CC5" w:rsidRDefault="000448D2" w:rsidP="009916B2">
      <w:pPr>
        <w:pStyle w:val="ManualHeading1"/>
        <w:jc w:val="center"/>
        <w:rPr>
          <w:i/>
          <w:noProof/>
        </w:rPr>
      </w:pPr>
      <w:r w:rsidRPr="00426CC5">
        <w:rPr>
          <w:i/>
          <w:noProof/>
        </w:rPr>
        <w:t>Partie B</w:t>
      </w:r>
    </w:p>
    <w:p w14:paraId="6B3C1D9C" w14:textId="77777777" w:rsidR="000448D2" w:rsidRPr="00426CC5" w:rsidRDefault="000448D2" w:rsidP="009916B2">
      <w:pPr>
        <w:pStyle w:val="ManualHeading2"/>
        <w:jc w:val="center"/>
        <w:rPr>
          <w:b w:val="0"/>
          <w:bCs/>
          <w:noProof/>
        </w:rPr>
      </w:pPr>
      <w:r w:rsidRPr="00426CC5">
        <w:rPr>
          <w:b w:val="0"/>
          <w:bCs/>
          <w:noProof/>
        </w:rPr>
        <w:t>Délais de transposition en droit interne et dates d’application</w:t>
      </w:r>
    </w:p>
    <w:p w14:paraId="6B3C1D9D" w14:textId="77777777" w:rsidR="000448D2" w:rsidRPr="00426CC5" w:rsidRDefault="000448D2" w:rsidP="006D146E">
      <w:pPr>
        <w:pStyle w:val="ManualHeading2"/>
        <w:jc w:val="center"/>
        <w:rPr>
          <w:b w:val="0"/>
          <w:noProof/>
        </w:rPr>
      </w:pPr>
      <w:r w:rsidRPr="00426CC5">
        <w:rPr>
          <w:b w:val="0"/>
          <w:noProof/>
        </w:rPr>
        <w:t>(visés à l’article 33)</w:t>
      </w:r>
    </w:p>
    <w:tbl>
      <w:tblPr>
        <w:tblW w:w="0" w:type="auto"/>
        <w:jc w:val="center"/>
        <w:tblBorders>
          <w:insideV w:val="single" w:sz="4" w:space="0" w:color="auto"/>
        </w:tblBorders>
        <w:tblLook w:val="01E0" w:firstRow="1" w:lastRow="1" w:firstColumn="1" w:lastColumn="1" w:noHBand="0" w:noVBand="0"/>
      </w:tblPr>
      <w:tblGrid>
        <w:gridCol w:w="3079"/>
        <w:gridCol w:w="3107"/>
        <w:gridCol w:w="3100"/>
      </w:tblGrid>
      <w:tr w:rsidR="000448D2" w:rsidRPr="00426CC5" w14:paraId="6B3C1DA2" w14:textId="77777777" w:rsidTr="009567AF">
        <w:trPr>
          <w:jc w:val="center"/>
        </w:trPr>
        <w:tc>
          <w:tcPr>
            <w:tcW w:w="3079" w:type="dxa"/>
            <w:tcBorders>
              <w:top w:val="single" w:sz="4" w:space="0" w:color="auto"/>
              <w:left w:val="single" w:sz="4" w:space="0" w:color="auto"/>
              <w:bottom w:val="single" w:sz="4" w:space="0" w:color="auto"/>
            </w:tcBorders>
          </w:tcPr>
          <w:p w14:paraId="6B3C1D9E"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rPr>
              <w:t>Directive</w:t>
            </w:r>
          </w:p>
        </w:tc>
        <w:tc>
          <w:tcPr>
            <w:tcW w:w="3107" w:type="dxa"/>
            <w:tcBorders>
              <w:top w:val="single" w:sz="4" w:space="0" w:color="auto"/>
              <w:bottom w:val="single" w:sz="4" w:space="0" w:color="auto"/>
            </w:tcBorders>
          </w:tcPr>
          <w:p w14:paraId="6B3C1D9F"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rPr>
              <w:t>Date limite de transposition</w:t>
            </w:r>
          </w:p>
        </w:tc>
        <w:tc>
          <w:tcPr>
            <w:tcW w:w="3100" w:type="dxa"/>
            <w:tcBorders>
              <w:top w:val="single" w:sz="4" w:space="0" w:color="auto"/>
              <w:bottom w:val="single" w:sz="4" w:space="0" w:color="auto"/>
              <w:right w:val="single" w:sz="4" w:space="0" w:color="auto"/>
            </w:tcBorders>
          </w:tcPr>
          <w:p w14:paraId="6B3C1DA0"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rPr>
              <w:t>Dates d’application</w:t>
            </w:r>
          </w:p>
          <w:p w14:paraId="6B3C1DA1" w14:textId="77777777" w:rsidR="000448D2" w:rsidRPr="00426CC5" w:rsidRDefault="000448D2" w:rsidP="009567AF">
            <w:pPr>
              <w:keepNext/>
              <w:widowControl w:val="0"/>
              <w:tabs>
                <w:tab w:val="right" w:pos="9600"/>
              </w:tabs>
              <w:suppressAutoHyphens/>
              <w:spacing w:before="0" w:after="0"/>
              <w:jc w:val="center"/>
              <w:rPr>
                <w:rFonts w:eastAsia="Times New Roman"/>
                <w:noProof/>
                <w:lang w:eastAsia="fr-BE"/>
              </w:rPr>
            </w:pPr>
          </w:p>
        </w:tc>
      </w:tr>
      <w:tr w:rsidR="000448D2" w:rsidRPr="00426CC5" w14:paraId="6B3C1DA7" w14:textId="77777777" w:rsidTr="009567AF">
        <w:trPr>
          <w:jc w:val="center"/>
        </w:trPr>
        <w:tc>
          <w:tcPr>
            <w:tcW w:w="3079" w:type="dxa"/>
            <w:tcBorders>
              <w:top w:val="single" w:sz="4" w:space="0" w:color="auto"/>
              <w:left w:val="single" w:sz="4" w:space="0" w:color="auto"/>
              <w:bottom w:val="single" w:sz="4" w:space="0" w:color="auto"/>
            </w:tcBorders>
          </w:tcPr>
          <w:p w14:paraId="6B3C1DA3"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rPr>
              <w:t>2010/31/UE</w:t>
            </w:r>
          </w:p>
        </w:tc>
        <w:tc>
          <w:tcPr>
            <w:tcW w:w="3107" w:type="dxa"/>
            <w:tcBorders>
              <w:top w:val="single" w:sz="4" w:space="0" w:color="auto"/>
              <w:bottom w:val="single" w:sz="4" w:space="0" w:color="auto"/>
            </w:tcBorders>
          </w:tcPr>
          <w:p w14:paraId="6B3C1DA4"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rPr>
              <w:t>le 9 juillet 2012</w:t>
            </w:r>
          </w:p>
        </w:tc>
        <w:tc>
          <w:tcPr>
            <w:tcW w:w="3100" w:type="dxa"/>
            <w:tcBorders>
              <w:top w:val="single" w:sz="4" w:space="0" w:color="auto"/>
              <w:bottom w:val="single" w:sz="4" w:space="0" w:color="auto"/>
              <w:right w:val="single" w:sz="4" w:space="0" w:color="auto"/>
            </w:tcBorders>
          </w:tcPr>
          <w:p w14:paraId="6B3C1DA5" w14:textId="77777777" w:rsidR="000448D2" w:rsidRPr="00426CC5" w:rsidRDefault="000448D2" w:rsidP="009567AF">
            <w:pPr>
              <w:keepNext/>
              <w:widowControl w:val="0"/>
              <w:tabs>
                <w:tab w:val="right" w:pos="9600"/>
              </w:tabs>
              <w:suppressAutoHyphens/>
              <w:spacing w:before="0" w:after="0"/>
              <w:jc w:val="center"/>
              <w:rPr>
                <w:noProof/>
                <w:shd w:val="clear" w:color="auto" w:fill="FFFFFF"/>
              </w:rPr>
            </w:pPr>
            <w:r w:rsidRPr="00426CC5">
              <w:rPr>
                <w:noProof/>
                <w:shd w:val="clear" w:color="auto" w:fill="FFFFFF"/>
              </w:rPr>
              <w:t xml:space="preserve">En ce qui concerne les articles 2, 3, 9, 11, 12, 13, 17, 18, 20 et 27, le 9 janvier 2013. </w:t>
            </w:r>
          </w:p>
          <w:p w14:paraId="6B3C1DA6"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shd w:val="clear" w:color="auto" w:fill="FFFFFF"/>
              </w:rPr>
              <w:t>En ce qui concerne les articles 4, 5, 6, 7, 8, 14, 15 et 16, le 9 janvier 2013 pour les bâtiments occupés par les pouvoirs publics et le 9 juillet 2013 pour les autres bâtiments.</w:t>
            </w:r>
          </w:p>
        </w:tc>
      </w:tr>
      <w:tr w:rsidR="000448D2" w:rsidRPr="00426CC5" w14:paraId="6B3C1DAB" w14:textId="77777777" w:rsidTr="009567AF">
        <w:trPr>
          <w:jc w:val="center"/>
        </w:trPr>
        <w:tc>
          <w:tcPr>
            <w:tcW w:w="3079" w:type="dxa"/>
            <w:tcBorders>
              <w:top w:val="single" w:sz="4" w:space="0" w:color="auto"/>
              <w:left w:val="single" w:sz="4" w:space="0" w:color="auto"/>
              <w:bottom w:val="single" w:sz="4" w:space="0" w:color="auto"/>
            </w:tcBorders>
          </w:tcPr>
          <w:p w14:paraId="6B3C1DA8" w14:textId="77777777" w:rsidR="000448D2" w:rsidRPr="00426CC5" w:rsidRDefault="000448D2" w:rsidP="009567AF">
            <w:pPr>
              <w:keepNext/>
              <w:widowControl w:val="0"/>
              <w:tabs>
                <w:tab w:val="right" w:pos="9600"/>
              </w:tabs>
              <w:suppressAutoHyphens/>
              <w:spacing w:before="0" w:after="0"/>
              <w:jc w:val="center"/>
              <w:rPr>
                <w:noProof/>
              </w:rPr>
            </w:pPr>
            <w:r w:rsidRPr="00426CC5">
              <w:rPr>
                <w:noProof/>
              </w:rPr>
              <w:t>(UE) 2018/844</w:t>
            </w:r>
          </w:p>
        </w:tc>
        <w:tc>
          <w:tcPr>
            <w:tcW w:w="3107" w:type="dxa"/>
            <w:tcBorders>
              <w:top w:val="single" w:sz="4" w:space="0" w:color="auto"/>
              <w:bottom w:val="single" w:sz="4" w:space="0" w:color="auto"/>
            </w:tcBorders>
          </w:tcPr>
          <w:p w14:paraId="6B3C1DA9" w14:textId="77777777" w:rsidR="000448D2" w:rsidRPr="00426CC5" w:rsidRDefault="000448D2" w:rsidP="009567AF">
            <w:pPr>
              <w:keepNext/>
              <w:widowControl w:val="0"/>
              <w:tabs>
                <w:tab w:val="right" w:pos="9600"/>
              </w:tabs>
              <w:suppressAutoHyphens/>
              <w:spacing w:before="0" w:after="0"/>
              <w:jc w:val="center"/>
              <w:rPr>
                <w:rFonts w:eastAsia="Times New Roman"/>
                <w:noProof/>
              </w:rPr>
            </w:pPr>
            <w:r w:rsidRPr="00426CC5">
              <w:rPr>
                <w:noProof/>
              </w:rPr>
              <w:t>le 10 mars 2020</w:t>
            </w:r>
          </w:p>
        </w:tc>
        <w:tc>
          <w:tcPr>
            <w:tcW w:w="3100" w:type="dxa"/>
            <w:tcBorders>
              <w:top w:val="single" w:sz="4" w:space="0" w:color="auto"/>
              <w:bottom w:val="single" w:sz="4" w:space="0" w:color="auto"/>
              <w:right w:val="single" w:sz="4" w:space="0" w:color="auto"/>
            </w:tcBorders>
          </w:tcPr>
          <w:p w14:paraId="6B3C1DAA" w14:textId="77777777" w:rsidR="000448D2" w:rsidRPr="00426CC5" w:rsidRDefault="000448D2" w:rsidP="009567AF">
            <w:pPr>
              <w:keepNext/>
              <w:widowControl w:val="0"/>
              <w:tabs>
                <w:tab w:val="right" w:pos="9600"/>
              </w:tabs>
              <w:suppressAutoHyphens/>
              <w:spacing w:before="0" w:after="0"/>
              <w:jc w:val="center"/>
              <w:rPr>
                <w:noProof/>
                <w:shd w:val="clear" w:color="auto" w:fill="FFFFFF"/>
              </w:rPr>
            </w:pPr>
          </w:p>
        </w:tc>
      </w:tr>
    </w:tbl>
    <w:p w14:paraId="6B3C1DAC" w14:textId="77777777" w:rsidR="000448D2" w:rsidRPr="00426CC5" w:rsidRDefault="000448D2">
      <w:pPr>
        <w:rPr>
          <w:noProof/>
        </w:rPr>
      </w:pPr>
    </w:p>
    <w:p w14:paraId="6B3C1DAD" w14:textId="77777777" w:rsidR="000448D2" w:rsidRPr="00426CC5" w:rsidRDefault="000448D2">
      <w:pPr>
        <w:adjustRightInd w:val="0"/>
        <w:spacing w:before="0" w:after="0"/>
        <w:jc w:val="left"/>
        <w:rPr>
          <w:noProof/>
        </w:rPr>
        <w:sectPr w:rsidR="000448D2" w:rsidRPr="00426CC5" w:rsidSect="00AD39FC">
          <w:pgSz w:w="11906" w:h="16838"/>
          <w:pgMar w:top="1134" w:right="1418" w:bottom="1134" w:left="1418" w:header="709" w:footer="709" w:gutter="0"/>
          <w:pgNumType w:start="1"/>
          <w:cols w:space="709"/>
          <w:docGrid w:linePitch="326"/>
        </w:sectPr>
      </w:pPr>
    </w:p>
    <w:p w14:paraId="6B3C1DAE" w14:textId="77777777" w:rsidR="000448D2" w:rsidRPr="00426CC5" w:rsidRDefault="000448D2" w:rsidP="009567AF">
      <w:pPr>
        <w:pStyle w:val="CRSeparator"/>
        <w:rPr>
          <w:noProof/>
        </w:rPr>
      </w:pPr>
    </w:p>
    <w:p w14:paraId="6B3C1DAF" w14:textId="77777777" w:rsidR="000448D2" w:rsidRPr="00426CC5" w:rsidRDefault="000448D2" w:rsidP="009567AF">
      <w:pPr>
        <w:pStyle w:val="CRReference"/>
        <w:rPr>
          <w:noProof/>
        </w:rPr>
      </w:pPr>
      <w:r w:rsidRPr="00426CC5">
        <w:rPr>
          <w:noProof/>
        </w:rPr>
        <w:fldChar w:fldCharType="begin" w:fldLock="1"/>
      </w:r>
      <w:r w:rsidRPr="00426CC5">
        <w:rPr>
          <w:noProof/>
        </w:rPr>
        <w:instrText xml:space="preserve"> QUOTE "ê" </w:instrText>
      </w:r>
      <w:r w:rsidRPr="00426CC5">
        <w:rPr>
          <w:noProof/>
        </w:rPr>
        <w:fldChar w:fldCharType="separate"/>
      </w:r>
      <w:r w:rsidRPr="00426CC5">
        <w:rPr>
          <w:rStyle w:val="CRMarker"/>
          <w:noProof/>
        </w:rPr>
        <w:t>ê</w:t>
      </w:r>
      <w:r w:rsidRPr="00426CC5">
        <w:rPr>
          <w:noProof/>
        </w:rPr>
        <w:fldChar w:fldCharType="end"/>
      </w:r>
      <w:r w:rsidRPr="00426CC5">
        <w:rPr>
          <w:noProof/>
        </w:rPr>
        <w:t> 2010/31/UE (adapté)</w:t>
      </w:r>
    </w:p>
    <w:p w14:paraId="6B3C1DB0" w14:textId="77777777" w:rsidR="000448D2" w:rsidRPr="00426CC5" w:rsidRDefault="000448D2" w:rsidP="00EC00AC">
      <w:pPr>
        <w:pStyle w:val="Annexetitre"/>
        <w:rPr>
          <w:noProof/>
        </w:rPr>
      </w:pPr>
      <w:r w:rsidRPr="00426CC5">
        <w:rPr>
          <w:noProof/>
        </w:rPr>
        <w:t xml:space="preserve">ANNEXE </w:t>
      </w:r>
      <w:r w:rsidRPr="00426CC5">
        <w:rPr>
          <w:rStyle w:val="CRMinorChangeAdded"/>
          <w:noProof/>
        </w:rPr>
        <w:t>IX</w:t>
      </w:r>
      <w:r w:rsidRPr="00426CC5">
        <w:rPr>
          <w:rStyle w:val="CRMinorChangeDeleted"/>
          <w:noProof/>
        </w:rPr>
        <w:t>V</w:t>
      </w:r>
    </w:p>
    <w:tbl>
      <w:tblPr>
        <w:tblW w:w="0" w:type="auto"/>
        <w:tblInd w:w="696" w:type="dxa"/>
        <w:tblLayout w:type="fixed"/>
        <w:tblLook w:val="0000" w:firstRow="0" w:lastRow="0" w:firstColumn="0" w:lastColumn="0" w:noHBand="0" w:noVBand="0"/>
      </w:tblPr>
      <w:tblGrid>
        <w:gridCol w:w="3236"/>
        <w:gridCol w:w="4657"/>
      </w:tblGrid>
      <w:tr w:rsidR="000448D2" w:rsidRPr="00426CC5" w14:paraId="6B3C1DB2" w14:textId="77777777">
        <w:tc>
          <w:tcPr>
            <w:tcW w:w="7893" w:type="dxa"/>
            <w:gridSpan w:val="2"/>
            <w:tcBorders>
              <w:top w:val="single" w:sz="2" w:space="0" w:color="auto"/>
              <w:left w:val="single" w:sz="2" w:space="0" w:color="auto"/>
              <w:bottom w:val="single" w:sz="2" w:space="0" w:color="auto"/>
              <w:right w:val="single" w:sz="2" w:space="0" w:color="auto"/>
            </w:tcBorders>
          </w:tcPr>
          <w:p w14:paraId="6B3C1DB1" w14:textId="77777777" w:rsidR="000448D2" w:rsidRPr="00426CC5" w:rsidRDefault="000448D2">
            <w:pPr>
              <w:pStyle w:val="NormalCentered"/>
              <w:rPr>
                <w:noProof/>
              </w:rPr>
            </w:pPr>
            <w:r w:rsidRPr="00426CC5">
              <w:rPr>
                <w:noProof/>
              </w:rPr>
              <w:t>Tableau de correspondance</w:t>
            </w:r>
          </w:p>
        </w:tc>
      </w:tr>
      <w:tr w:rsidR="000448D2" w:rsidRPr="00426CC5" w14:paraId="6B3C1DB5" w14:textId="77777777">
        <w:tc>
          <w:tcPr>
            <w:tcW w:w="3236" w:type="dxa"/>
            <w:tcBorders>
              <w:top w:val="single" w:sz="2" w:space="0" w:color="auto"/>
              <w:left w:val="single" w:sz="2" w:space="0" w:color="auto"/>
              <w:bottom w:val="single" w:sz="2" w:space="0" w:color="auto"/>
              <w:right w:val="single" w:sz="2" w:space="0" w:color="auto"/>
            </w:tcBorders>
          </w:tcPr>
          <w:p w14:paraId="6B3C1DB3" w14:textId="77777777" w:rsidR="000448D2" w:rsidRPr="00426CC5" w:rsidRDefault="000448D2">
            <w:pPr>
              <w:pStyle w:val="NormalCentered"/>
              <w:rPr>
                <w:noProof/>
              </w:rPr>
            </w:pPr>
            <w:r w:rsidRPr="00426CC5">
              <w:rPr>
                <w:noProof/>
              </w:rPr>
              <w:t xml:space="preserve">Directive </w:t>
            </w:r>
            <w:r w:rsidRPr="00426CC5">
              <w:rPr>
                <w:rStyle w:val="CRDeleted"/>
                <w:noProof/>
              </w:rPr>
              <w:t>2002/91/CC</w:t>
            </w:r>
            <w:r w:rsidRPr="00426CC5">
              <w:rPr>
                <w:noProof/>
              </w:rPr>
              <w:t xml:space="preserve"> </w:t>
            </w:r>
            <w:r w:rsidRPr="00426CC5">
              <w:rPr>
                <w:noProof/>
              </w:rPr>
              <w:fldChar w:fldCharType="begin" w:fldLock="1"/>
            </w:r>
            <w:r w:rsidRPr="00426CC5">
              <w:rPr>
                <w:noProof/>
              </w:rPr>
              <w:instrText xml:space="preserve"> QUOTE "Ö" </w:instrText>
            </w:r>
            <w:r w:rsidRPr="00426CC5">
              <w:rPr>
                <w:noProof/>
              </w:rPr>
              <w:fldChar w:fldCharType="separate"/>
            </w:r>
            <w:r w:rsidRPr="00426CC5">
              <w:rPr>
                <w:rStyle w:val="CRMarker"/>
                <w:noProof/>
              </w:rPr>
              <w:t>Ö</w:t>
            </w:r>
            <w:r w:rsidRPr="00426CC5">
              <w:rPr>
                <w:noProof/>
              </w:rPr>
              <w:fldChar w:fldCharType="end"/>
            </w:r>
            <w:r w:rsidRPr="00426CC5">
              <w:rPr>
                <w:noProof/>
              </w:rPr>
              <w:t xml:space="preserve"> 2010/31/UE </w:t>
            </w:r>
            <w:r w:rsidRPr="00426CC5">
              <w:rPr>
                <w:noProof/>
              </w:rPr>
              <w:fldChar w:fldCharType="begin" w:fldLock="1"/>
            </w:r>
            <w:r w:rsidRPr="00426CC5">
              <w:rPr>
                <w:noProof/>
              </w:rPr>
              <w:instrText xml:space="preserve"> QUOTE "Õ" </w:instrText>
            </w:r>
            <w:r w:rsidRPr="00426CC5">
              <w:rPr>
                <w:noProof/>
              </w:rPr>
              <w:fldChar w:fldCharType="separate"/>
            </w:r>
            <w:r w:rsidRPr="00426CC5">
              <w:rPr>
                <w:rStyle w:val="CRMarker"/>
                <w:noProof/>
              </w:rPr>
              <w:t>Õ</w:t>
            </w:r>
            <w:r w:rsidRPr="00426CC5">
              <w:rPr>
                <w:noProof/>
              </w:rPr>
              <w:fldChar w:fldCharType="end"/>
            </w:r>
          </w:p>
        </w:tc>
        <w:tc>
          <w:tcPr>
            <w:tcW w:w="4657" w:type="dxa"/>
            <w:tcBorders>
              <w:top w:val="single" w:sz="2" w:space="0" w:color="auto"/>
              <w:left w:val="single" w:sz="2" w:space="0" w:color="auto"/>
              <w:bottom w:val="single" w:sz="2" w:space="0" w:color="auto"/>
              <w:right w:val="single" w:sz="2" w:space="0" w:color="auto"/>
            </w:tcBorders>
          </w:tcPr>
          <w:p w14:paraId="6B3C1DB4" w14:textId="77777777" w:rsidR="000448D2" w:rsidRPr="00426CC5" w:rsidRDefault="000448D2">
            <w:pPr>
              <w:pStyle w:val="NormalCentered"/>
              <w:rPr>
                <w:noProof/>
              </w:rPr>
            </w:pPr>
            <w:r w:rsidRPr="00426CC5">
              <w:rPr>
                <w:noProof/>
              </w:rPr>
              <w:t>Présente directive</w:t>
            </w:r>
          </w:p>
        </w:tc>
      </w:tr>
      <w:tr w:rsidR="002921DB" w:rsidRPr="00426CC5" w14:paraId="7FE98EC4" w14:textId="77777777">
        <w:tc>
          <w:tcPr>
            <w:tcW w:w="3236" w:type="dxa"/>
            <w:tcBorders>
              <w:top w:val="single" w:sz="2" w:space="0" w:color="auto"/>
              <w:left w:val="single" w:sz="2" w:space="0" w:color="auto"/>
              <w:bottom w:val="single" w:sz="2" w:space="0" w:color="auto"/>
              <w:right w:val="single" w:sz="2" w:space="0" w:color="auto"/>
            </w:tcBorders>
          </w:tcPr>
          <w:p w14:paraId="7BD2A33A" w14:textId="165C2CE2" w:rsidR="002921DB" w:rsidRPr="00426CC5" w:rsidRDefault="002921DB" w:rsidP="002E5D93">
            <w:pPr>
              <w:pStyle w:val="NormalCentered"/>
              <w:jc w:val="left"/>
              <w:rPr>
                <w:noProof/>
              </w:rPr>
            </w:pPr>
            <w:r w:rsidRPr="00426CC5">
              <w:rPr>
                <w:noProof/>
              </w:rPr>
              <w:t>Article 1</w:t>
            </w:r>
            <w:r w:rsidRPr="00426CC5">
              <w:rPr>
                <w:noProof/>
                <w:vertAlign w:val="superscript"/>
              </w:rPr>
              <w:t>er</w:t>
            </w:r>
          </w:p>
        </w:tc>
        <w:tc>
          <w:tcPr>
            <w:tcW w:w="4657" w:type="dxa"/>
            <w:tcBorders>
              <w:top w:val="single" w:sz="2" w:space="0" w:color="auto"/>
              <w:left w:val="single" w:sz="2" w:space="0" w:color="auto"/>
              <w:bottom w:val="single" w:sz="2" w:space="0" w:color="auto"/>
              <w:right w:val="single" w:sz="2" w:space="0" w:color="auto"/>
            </w:tcBorders>
          </w:tcPr>
          <w:p w14:paraId="5ACCDA8F" w14:textId="00D24D61" w:rsidR="002921DB" w:rsidRPr="00426CC5" w:rsidRDefault="002921DB" w:rsidP="002E5D93">
            <w:pPr>
              <w:pStyle w:val="NormalCentered"/>
              <w:jc w:val="left"/>
              <w:rPr>
                <w:noProof/>
              </w:rPr>
            </w:pPr>
            <w:r w:rsidRPr="00426CC5">
              <w:rPr>
                <w:noProof/>
              </w:rPr>
              <w:t>Article 1</w:t>
            </w:r>
            <w:r w:rsidRPr="00426CC5">
              <w:rPr>
                <w:noProof/>
                <w:vertAlign w:val="superscript"/>
              </w:rPr>
              <w:t>er</w:t>
            </w:r>
          </w:p>
        </w:tc>
      </w:tr>
      <w:tr w:rsidR="002921DB" w:rsidRPr="00426CC5" w14:paraId="495B4B69" w14:textId="77777777">
        <w:tc>
          <w:tcPr>
            <w:tcW w:w="3236" w:type="dxa"/>
            <w:tcBorders>
              <w:top w:val="single" w:sz="2" w:space="0" w:color="auto"/>
              <w:left w:val="single" w:sz="2" w:space="0" w:color="auto"/>
              <w:bottom w:val="single" w:sz="2" w:space="0" w:color="auto"/>
              <w:right w:val="single" w:sz="2" w:space="0" w:color="auto"/>
            </w:tcBorders>
          </w:tcPr>
          <w:p w14:paraId="2B959027" w14:textId="3D6C798F" w:rsidR="002921DB" w:rsidRPr="00426CC5" w:rsidRDefault="002921DB" w:rsidP="002E5D93">
            <w:pPr>
              <w:pStyle w:val="NormalCentered"/>
              <w:jc w:val="left"/>
              <w:rPr>
                <w:noProof/>
              </w:rPr>
            </w:pPr>
            <w:r w:rsidRPr="00426CC5">
              <w:rPr>
                <w:noProof/>
              </w:rPr>
              <w:t>Article 2, point 1)</w:t>
            </w:r>
          </w:p>
        </w:tc>
        <w:tc>
          <w:tcPr>
            <w:tcW w:w="4657" w:type="dxa"/>
            <w:tcBorders>
              <w:top w:val="single" w:sz="2" w:space="0" w:color="auto"/>
              <w:left w:val="single" w:sz="2" w:space="0" w:color="auto"/>
              <w:bottom w:val="single" w:sz="2" w:space="0" w:color="auto"/>
              <w:right w:val="single" w:sz="2" w:space="0" w:color="auto"/>
            </w:tcBorders>
          </w:tcPr>
          <w:p w14:paraId="23C7F6FF" w14:textId="1D2FCEA0" w:rsidR="002921DB" w:rsidRPr="00426CC5" w:rsidRDefault="002921DB" w:rsidP="002E5D93">
            <w:pPr>
              <w:pStyle w:val="NormalCentered"/>
              <w:jc w:val="left"/>
              <w:rPr>
                <w:noProof/>
              </w:rPr>
            </w:pPr>
            <w:r w:rsidRPr="00426CC5">
              <w:rPr>
                <w:noProof/>
              </w:rPr>
              <w:t>Article 2, point 1)</w:t>
            </w:r>
          </w:p>
        </w:tc>
      </w:tr>
      <w:tr w:rsidR="002921DB" w:rsidRPr="00426CC5" w14:paraId="39C0457D" w14:textId="77777777">
        <w:tc>
          <w:tcPr>
            <w:tcW w:w="3236" w:type="dxa"/>
            <w:tcBorders>
              <w:top w:val="single" w:sz="2" w:space="0" w:color="auto"/>
              <w:left w:val="single" w:sz="2" w:space="0" w:color="auto"/>
              <w:bottom w:val="single" w:sz="2" w:space="0" w:color="auto"/>
              <w:right w:val="single" w:sz="2" w:space="0" w:color="auto"/>
            </w:tcBorders>
          </w:tcPr>
          <w:p w14:paraId="461BAF3B" w14:textId="621744C7" w:rsidR="002921DB" w:rsidRPr="00426CC5" w:rsidRDefault="002921DB" w:rsidP="002E5D93">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F1E556F" w14:textId="6BE42A71" w:rsidR="002921DB" w:rsidRPr="00426CC5" w:rsidRDefault="002921DB" w:rsidP="002E5D93">
            <w:pPr>
              <w:pStyle w:val="NormalCentered"/>
              <w:jc w:val="left"/>
              <w:rPr>
                <w:noProof/>
              </w:rPr>
            </w:pPr>
            <w:r w:rsidRPr="00426CC5">
              <w:rPr>
                <w:noProof/>
              </w:rPr>
              <w:t>Article 2, point 2)</w:t>
            </w:r>
          </w:p>
        </w:tc>
      </w:tr>
      <w:tr w:rsidR="002921DB" w:rsidRPr="00426CC5" w14:paraId="5972C3EE" w14:textId="77777777">
        <w:tc>
          <w:tcPr>
            <w:tcW w:w="3236" w:type="dxa"/>
            <w:tcBorders>
              <w:top w:val="single" w:sz="2" w:space="0" w:color="auto"/>
              <w:left w:val="single" w:sz="2" w:space="0" w:color="auto"/>
              <w:bottom w:val="single" w:sz="2" w:space="0" w:color="auto"/>
              <w:right w:val="single" w:sz="2" w:space="0" w:color="auto"/>
            </w:tcBorders>
          </w:tcPr>
          <w:p w14:paraId="319E6FBE" w14:textId="0525500C" w:rsidR="002921DB" w:rsidRPr="00426CC5" w:rsidRDefault="0014100E" w:rsidP="002E5D93">
            <w:pPr>
              <w:pStyle w:val="NormalCentered"/>
              <w:jc w:val="left"/>
              <w:rPr>
                <w:noProof/>
              </w:rPr>
            </w:pPr>
            <w:r w:rsidRPr="00426CC5">
              <w:rPr>
                <w:noProof/>
              </w:rPr>
              <w:t>Article 2, point 2)</w:t>
            </w:r>
          </w:p>
        </w:tc>
        <w:tc>
          <w:tcPr>
            <w:tcW w:w="4657" w:type="dxa"/>
            <w:tcBorders>
              <w:top w:val="single" w:sz="2" w:space="0" w:color="auto"/>
              <w:left w:val="single" w:sz="2" w:space="0" w:color="auto"/>
              <w:bottom w:val="single" w:sz="2" w:space="0" w:color="auto"/>
              <w:right w:val="single" w:sz="2" w:space="0" w:color="auto"/>
            </w:tcBorders>
          </w:tcPr>
          <w:p w14:paraId="2631A424" w14:textId="6A97AC3B" w:rsidR="002921DB" w:rsidRPr="00426CC5" w:rsidRDefault="002921DB" w:rsidP="002E5D93">
            <w:pPr>
              <w:pStyle w:val="NormalCentered"/>
              <w:jc w:val="left"/>
              <w:rPr>
                <w:noProof/>
              </w:rPr>
            </w:pPr>
            <w:r w:rsidRPr="00426CC5">
              <w:rPr>
                <w:noProof/>
              </w:rPr>
              <w:t>Article 2, point 3)</w:t>
            </w:r>
          </w:p>
        </w:tc>
      </w:tr>
      <w:tr w:rsidR="002921DB" w:rsidRPr="00426CC5" w14:paraId="492C4288" w14:textId="77777777">
        <w:tc>
          <w:tcPr>
            <w:tcW w:w="3236" w:type="dxa"/>
            <w:tcBorders>
              <w:top w:val="single" w:sz="2" w:space="0" w:color="auto"/>
              <w:left w:val="single" w:sz="2" w:space="0" w:color="auto"/>
              <w:bottom w:val="single" w:sz="2" w:space="0" w:color="auto"/>
              <w:right w:val="single" w:sz="2" w:space="0" w:color="auto"/>
            </w:tcBorders>
          </w:tcPr>
          <w:p w14:paraId="1609D00A" w14:textId="4263A00E" w:rsidR="002921DB" w:rsidRPr="00426CC5" w:rsidRDefault="0014100E" w:rsidP="002E5D93">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117ED133" w14:textId="75B94DB8" w:rsidR="002921DB" w:rsidRPr="00426CC5" w:rsidRDefault="0014100E" w:rsidP="002E5D93">
            <w:pPr>
              <w:pStyle w:val="NormalCentered"/>
              <w:jc w:val="left"/>
              <w:rPr>
                <w:noProof/>
              </w:rPr>
            </w:pPr>
            <w:r w:rsidRPr="00426CC5">
              <w:rPr>
                <w:noProof/>
              </w:rPr>
              <w:t>Article 2, points 4) et 5)</w:t>
            </w:r>
          </w:p>
        </w:tc>
      </w:tr>
      <w:tr w:rsidR="002921DB" w:rsidRPr="00426CC5" w14:paraId="3A6E83D9" w14:textId="77777777">
        <w:tc>
          <w:tcPr>
            <w:tcW w:w="3236" w:type="dxa"/>
            <w:tcBorders>
              <w:top w:val="single" w:sz="2" w:space="0" w:color="auto"/>
              <w:left w:val="single" w:sz="2" w:space="0" w:color="auto"/>
              <w:bottom w:val="single" w:sz="2" w:space="0" w:color="auto"/>
              <w:right w:val="single" w:sz="2" w:space="0" w:color="auto"/>
            </w:tcBorders>
          </w:tcPr>
          <w:p w14:paraId="4C5FD89C" w14:textId="5BF31113" w:rsidR="002921DB" w:rsidRPr="00426CC5" w:rsidRDefault="00514558" w:rsidP="002E5D93">
            <w:pPr>
              <w:pStyle w:val="NormalCentered"/>
              <w:jc w:val="left"/>
              <w:rPr>
                <w:noProof/>
              </w:rPr>
            </w:pPr>
            <w:r w:rsidRPr="00426CC5">
              <w:rPr>
                <w:noProof/>
              </w:rPr>
              <w:t>Article 2, points 3), 3</w:t>
            </w:r>
            <w:r w:rsidRPr="00426CC5">
              <w:rPr>
                <w:i/>
                <w:iCs/>
                <w:noProof/>
              </w:rPr>
              <w:t>bis</w:t>
            </w:r>
            <w:r w:rsidRPr="00426CC5">
              <w:rPr>
                <w:noProof/>
              </w:rPr>
              <w:t>), 4) et 5)</w:t>
            </w:r>
          </w:p>
        </w:tc>
        <w:tc>
          <w:tcPr>
            <w:tcW w:w="4657" w:type="dxa"/>
            <w:tcBorders>
              <w:top w:val="single" w:sz="2" w:space="0" w:color="auto"/>
              <w:left w:val="single" w:sz="2" w:space="0" w:color="auto"/>
              <w:bottom w:val="single" w:sz="2" w:space="0" w:color="auto"/>
              <w:right w:val="single" w:sz="2" w:space="0" w:color="auto"/>
            </w:tcBorders>
          </w:tcPr>
          <w:p w14:paraId="1405B7F2" w14:textId="7C4F4D6A" w:rsidR="002921DB" w:rsidRPr="00426CC5" w:rsidRDefault="00514558" w:rsidP="002E5D93">
            <w:pPr>
              <w:pStyle w:val="NormalCentered"/>
              <w:jc w:val="left"/>
              <w:rPr>
                <w:noProof/>
              </w:rPr>
            </w:pPr>
            <w:r w:rsidRPr="00426CC5">
              <w:rPr>
                <w:noProof/>
              </w:rPr>
              <w:t>Article 2, points 6), 7), 8) et 9)</w:t>
            </w:r>
          </w:p>
        </w:tc>
      </w:tr>
      <w:tr w:rsidR="00514558" w:rsidRPr="00426CC5" w14:paraId="01DFC9DE" w14:textId="77777777">
        <w:tc>
          <w:tcPr>
            <w:tcW w:w="3236" w:type="dxa"/>
            <w:tcBorders>
              <w:top w:val="single" w:sz="2" w:space="0" w:color="auto"/>
              <w:left w:val="single" w:sz="2" w:space="0" w:color="auto"/>
              <w:bottom w:val="single" w:sz="2" w:space="0" w:color="auto"/>
              <w:right w:val="single" w:sz="2" w:space="0" w:color="auto"/>
            </w:tcBorders>
          </w:tcPr>
          <w:p w14:paraId="16D75910" w14:textId="7956D4A5" w:rsidR="00514558" w:rsidRPr="00426CC5" w:rsidRDefault="00514558"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5E807A46" w14:textId="011EA13A" w:rsidR="00514558" w:rsidRPr="00426CC5" w:rsidRDefault="00514558" w:rsidP="002921DB">
            <w:pPr>
              <w:pStyle w:val="NormalCentered"/>
              <w:jc w:val="left"/>
              <w:rPr>
                <w:noProof/>
              </w:rPr>
            </w:pPr>
            <w:r w:rsidRPr="00426CC5">
              <w:rPr>
                <w:noProof/>
              </w:rPr>
              <w:t>Article 2, points 10), 11) et 12)</w:t>
            </w:r>
          </w:p>
        </w:tc>
      </w:tr>
      <w:tr w:rsidR="00514558" w:rsidRPr="00426CC5" w14:paraId="2E4032EA" w14:textId="77777777">
        <w:tc>
          <w:tcPr>
            <w:tcW w:w="3236" w:type="dxa"/>
            <w:tcBorders>
              <w:top w:val="single" w:sz="2" w:space="0" w:color="auto"/>
              <w:left w:val="single" w:sz="2" w:space="0" w:color="auto"/>
              <w:bottom w:val="single" w:sz="2" w:space="0" w:color="auto"/>
              <w:right w:val="single" w:sz="2" w:space="0" w:color="auto"/>
            </w:tcBorders>
          </w:tcPr>
          <w:p w14:paraId="3E4BA3B1" w14:textId="2949275C" w:rsidR="00514558" w:rsidRPr="00426CC5" w:rsidRDefault="00954BC4" w:rsidP="002921DB">
            <w:pPr>
              <w:pStyle w:val="NormalCentered"/>
              <w:jc w:val="left"/>
              <w:rPr>
                <w:noProof/>
              </w:rPr>
            </w:pPr>
            <w:r w:rsidRPr="00426CC5">
              <w:rPr>
                <w:noProof/>
              </w:rPr>
              <w:t>Article 2, points 6), 7), 8) et 9)</w:t>
            </w:r>
          </w:p>
        </w:tc>
        <w:tc>
          <w:tcPr>
            <w:tcW w:w="4657" w:type="dxa"/>
            <w:tcBorders>
              <w:top w:val="single" w:sz="2" w:space="0" w:color="auto"/>
              <w:left w:val="single" w:sz="2" w:space="0" w:color="auto"/>
              <w:bottom w:val="single" w:sz="2" w:space="0" w:color="auto"/>
              <w:right w:val="single" w:sz="2" w:space="0" w:color="auto"/>
            </w:tcBorders>
          </w:tcPr>
          <w:p w14:paraId="76D39676" w14:textId="44CFB2B8" w:rsidR="00514558" w:rsidRPr="00426CC5" w:rsidRDefault="00954BC4" w:rsidP="00954BC4">
            <w:pPr>
              <w:pStyle w:val="NormalCentered"/>
              <w:jc w:val="left"/>
              <w:rPr>
                <w:noProof/>
              </w:rPr>
            </w:pPr>
            <w:r w:rsidRPr="00426CC5">
              <w:rPr>
                <w:noProof/>
              </w:rPr>
              <w:t>Article 2, points 13), 14), 15) et 16)</w:t>
            </w:r>
          </w:p>
        </w:tc>
      </w:tr>
      <w:tr w:rsidR="00514558" w:rsidRPr="00426CC5" w14:paraId="1ED58E38" w14:textId="77777777">
        <w:tc>
          <w:tcPr>
            <w:tcW w:w="3236" w:type="dxa"/>
            <w:tcBorders>
              <w:top w:val="single" w:sz="2" w:space="0" w:color="auto"/>
              <w:left w:val="single" w:sz="2" w:space="0" w:color="auto"/>
              <w:bottom w:val="single" w:sz="2" w:space="0" w:color="auto"/>
              <w:right w:val="single" w:sz="2" w:space="0" w:color="auto"/>
            </w:tcBorders>
          </w:tcPr>
          <w:p w14:paraId="16194C5C" w14:textId="414C6CD3" w:rsidR="00514558" w:rsidRPr="00426CC5" w:rsidRDefault="00954BC4"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39323E9" w14:textId="2B7CB09E" w:rsidR="00514558" w:rsidRPr="00426CC5" w:rsidRDefault="00954BC4" w:rsidP="00954BC4">
            <w:pPr>
              <w:pStyle w:val="NormalCentered"/>
              <w:jc w:val="left"/>
              <w:rPr>
                <w:noProof/>
              </w:rPr>
            </w:pPr>
            <w:r w:rsidRPr="00426CC5">
              <w:rPr>
                <w:noProof/>
              </w:rPr>
              <w:t>Article 2, points 17), 18), 19) et 20)</w:t>
            </w:r>
          </w:p>
        </w:tc>
      </w:tr>
      <w:tr w:rsidR="00514558" w:rsidRPr="00426CC5" w14:paraId="747F0306" w14:textId="77777777">
        <w:tc>
          <w:tcPr>
            <w:tcW w:w="3236" w:type="dxa"/>
            <w:tcBorders>
              <w:top w:val="single" w:sz="2" w:space="0" w:color="auto"/>
              <w:left w:val="single" w:sz="2" w:space="0" w:color="auto"/>
              <w:bottom w:val="single" w:sz="2" w:space="0" w:color="auto"/>
              <w:right w:val="single" w:sz="2" w:space="0" w:color="auto"/>
            </w:tcBorders>
          </w:tcPr>
          <w:p w14:paraId="260FECDB" w14:textId="7A252698" w:rsidR="00514558" w:rsidRPr="00426CC5" w:rsidRDefault="007C2536" w:rsidP="007C2536">
            <w:pPr>
              <w:pStyle w:val="NormalCentered"/>
              <w:jc w:val="left"/>
              <w:rPr>
                <w:noProof/>
              </w:rPr>
            </w:pPr>
            <w:r w:rsidRPr="00426CC5">
              <w:rPr>
                <w:noProof/>
              </w:rPr>
              <w:t>Article 2, point 10)</w:t>
            </w:r>
          </w:p>
        </w:tc>
        <w:tc>
          <w:tcPr>
            <w:tcW w:w="4657" w:type="dxa"/>
            <w:tcBorders>
              <w:top w:val="single" w:sz="2" w:space="0" w:color="auto"/>
              <w:left w:val="single" w:sz="2" w:space="0" w:color="auto"/>
              <w:bottom w:val="single" w:sz="2" w:space="0" w:color="auto"/>
              <w:right w:val="single" w:sz="2" w:space="0" w:color="auto"/>
            </w:tcBorders>
          </w:tcPr>
          <w:p w14:paraId="4BFE43E2" w14:textId="4F21EB2A" w:rsidR="00514558" w:rsidRPr="00426CC5" w:rsidRDefault="007C2536" w:rsidP="007C2536">
            <w:pPr>
              <w:pStyle w:val="NormalCentered"/>
              <w:jc w:val="left"/>
              <w:rPr>
                <w:noProof/>
              </w:rPr>
            </w:pPr>
            <w:r w:rsidRPr="00426CC5">
              <w:rPr>
                <w:noProof/>
              </w:rPr>
              <w:t>Article 2, point 21)</w:t>
            </w:r>
          </w:p>
        </w:tc>
      </w:tr>
      <w:tr w:rsidR="00514558" w:rsidRPr="00426CC5" w14:paraId="1C93B1CE" w14:textId="77777777">
        <w:tc>
          <w:tcPr>
            <w:tcW w:w="3236" w:type="dxa"/>
            <w:tcBorders>
              <w:top w:val="single" w:sz="2" w:space="0" w:color="auto"/>
              <w:left w:val="single" w:sz="2" w:space="0" w:color="auto"/>
              <w:bottom w:val="single" w:sz="2" w:space="0" w:color="auto"/>
              <w:right w:val="single" w:sz="2" w:space="0" w:color="auto"/>
            </w:tcBorders>
          </w:tcPr>
          <w:p w14:paraId="7BBB7312" w14:textId="20D54E8D" w:rsidR="00514558" w:rsidRPr="00426CC5" w:rsidRDefault="007C2536"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13A81D5" w14:textId="7200677C" w:rsidR="00514558" w:rsidRPr="00426CC5" w:rsidRDefault="007C2536" w:rsidP="007C2536">
            <w:pPr>
              <w:pStyle w:val="NormalCentered"/>
              <w:jc w:val="left"/>
              <w:rPr>
                <w:noProof/>
              </w:rPr>
            </w:pPr>
            <w:r w:rsidRPr="00426CC5">
              <w:rPr>
                <w:noProof/>
              </w:rPr>
              <w:t>Article 2, points 22), 23), 24), 25), 26) et 27)</w:t>
            </w:r>
          </w:p>
        </w:tc>
      </w:tr>
      <w:tr w:rsidR="00514558" w:rsidRPr="00426CC5" w14:paraId="3056A65F" w14:textId="77777777">
        <w:tc>
          <w:tcPr>
            <w:tcW w:w="3236" w:type="dxa"/>
            <w:tcBorders>
              <w:top w:val="single" w:sz="2" w:space="0" w:color="auto"/>
              <w:left w:val="single" w:sz="2" w:space="0" w:color="auto"/>
              <w:bottom w:val="single" w:sz="2" w:space="0" w:color="auto"/>
              <w:right w:val="single" w:sz="2" w:space="0" w:color="auto"/>
            </w:tcBorders>
          </w:tcPr>
          <w:p w14:paraId="49AC5753" w14:textId="28D4FD5A" w:rsidR="00514558" w:rsidRPr="00426CC5" w:rsidRDefault="007C2536" w:rsidP="002921DB">
            <w:pPr>
              <w:pStyle w:val="NormalCentered"/>
              <w:jc w:val="left"/>
              <w:rPr>
                <w:noProof/>
              </w:rPr>
            </w:pPr>
            <w:r w:rsidRPr="00426CC5">
              <w:rPr>
                <w:noProof/>
              </w:rPr>
              <w:t>Article 2, points 11), 12), 13) et 14)</w:t>
            </w:r>
          </w:p>
        </w:tc>
        <w:tc>
          <w:tcPr>
            <w:tcW w:w="4657" w:type="dxa"/>
            <w:tcBorders>
              <w:top w:val="single" w:sz="2" w:space="0" w:color="auto"/>
              <w:left w:val="single" w:sz="2" w:space="0" w:color="auto"/>
              <w:bottom w:val="single" w:sz="2" w:space="0" w:color="auto"/>
              <w:right w:val="single" w:sz="2" w:space="0" w:color="auto"/>
            </w:tcBorders>
          </w:tcPr>
          <w:p w14:paraId="739EDB79" w14:textId="2488247A" w:rsidR="00514558" w:rsidRPr="00426CC5" w:rsidRDefault="007C2536" w:rsidP="002921DB">
            <w:pPr>
              <w:pStyle w:val="NormalCentered"/>
              <w:jc w:val="left"/>
              <w:rPr>
                <w:noProof/>
              </w:rPr>
            </w:pPr>
            <w:r w:rsidRPr="00426CC5">
              <w:rPr>
                <w:noProof/>
              </w:rPr>
              <w:t>Article 2, points 28), 29), 30) et 31)</w:t>
            </w:r>
          </w:p>
        </w:tc>
      </w:tr>
      <w:tr w:rsidR="00514558" w:rsidRPr="00426CC5" w14:paraId="2F6549A1" w14:textId="77777777">
        <w:tc>
          <w:tcPr>
            <w:tcW w:w="3236" w:type="dxa"/>
            <w:tcBorders>
              <w:top w:val="single" w:sz="2" w:space="0" w:color="auto"/>
              <w:left w:val="single" w:sz="2" w:space="0" w:color="auto"/>
              <w:bottom w:val="single" w:sz="2" w:space="0" w:color="auto"/>
              <w:right w:val="single" w:sz="2" w:space="0" w:color="auto"/>
            </w:tcBorders>
          </w:tcPr>
          <w:p w14:paraId="3268E76E" w14:textId="415F3D51" w:rsidR="00514558" w:rsidRPr="00426CC5" w:rsidRDefault="00A12C26"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D834119" w14:textId="60AD2BF8" w:rsidR="00514558" w:rsidRPr="00426CC5" w:rsidRDefault="00A12C26" w:rsidP="00A12C26">
            <w:pPr>
              <w:pStyle w:val="NormalCentered"/>
              <w:jc w:val="left"/>
              <w:rPr>
                <w:noProof/>
              </w:rPr>
            </w:pPr>
            <w:r w:rsidRPr="00426CC5">
              <w:rPr>
                <w:noProof/>
              </w:rPr>
              <w:t>Article 2, points 32), 33), 34), 35), 36) et 37)</w:t>
            </w:r>
          </w:p>
        </w:tc>
      </w:tr>
      <w:tr w:rsidR="00A12C26" w:rsidRPr="00426CC5" w14:paraId="1D0A3398" w14:textId="77777777">
        <w:tc>
          <w:tcPr>
            <w:tcW w:w="3236" w:type="dxa"/>
            <w:tcBorders>
              <w:top w:val="single" w:sz="2" w:space="0" w:color="auto"/>
              <w:left w:val="single" w:sz="2" w:space="0" w:color="auto"/>
              <w:bottom w:val="single" w:sz="2" w:space="0" w:color="auto"/>
              <w:right w:val="single" w:sz="2" w:space="0" w:color="auto"/>
            </w:tcBorders>
          </w:tcPr>
          <w:p w14:paraId="4EA220B0" w14:textId="138B4450" w:rsidR="00A12C26" w:rsidRPr="00426CC5" w:rsidRDefault="00A12C26" w:rsidP="00A12C26">
            <w:pPr>
              <w:pStyle w:val="NormalCentered"/>
              <w:jc w:val="left"/>
              <w:rPr>
                <w:noProof/>
              </w:rPr>
            </w:pPr>
            <w:r w:rsidRPr="00426CC5">
              <w:rPr>
                <w:noProof/>
              </w:rPr>
              <w:t>Article 2, point 15)</w:t>
            </w:r>
          </w:p>
        </w:tc>
        <w:tc>
          <w:tcPr>
            <w:tcW w:w="4657" w:type="dxa"/>
            <w:tcBorders>
              <w:top w:val="single" w:sz="2" w:space="0" w:color="auto"/>
              <w:left w:val="single" w:sz="2" w:space="0" w:color="auto"/>
              <w:bottom w:val="single" w:sz="2" w:space="0" w:color="auto"/>
              <w:right w:val="single" w:sz="2" w:space="0" w:color="auto"/>
            </w:tcBorders>
          </w:tcPr>
          <w:p w14:paraId="3CCCEF6E" w14:textId="36D6739E" w:rsidR="00A12C26" w:rsidRPr="00426CC5" w:rsidRDefault="00A12C26" w:rsidP="00A12C26">
            <w:pPr>
              <w:pStyle w:val="NormalCentered"/>
              <w:jc w:val="left"/>
              <w:rPr>
                <w:noProof/>
              </w:rPr>
            </w:pPr>
            <w:r w:rsidRPr="00426CC5">
              <w:rPr>
                <w:noProof/>
              </w:rPr>
              <w:t>Article 2, point 37)</w:t>
            </w:r>
          </w:p>
        </w:tc>
      </w:tr>
      <w:tr w:rsidR="00514558" w:rsidRPr="00426CC5" w14:paraId="6A829D87" w14:textId="77777777">
        <w:tc>
          <w:tcPr>
            <w:tcW w:w="3236" w:type="dxa"/>
            <w:tcBorders>
              <w:top w:val="single" w:sz="2" w:space="0" w:color="auto"/>
              <w:left w:val="single" w:sz="2" w:space="0" w:color="auto"/>
              <w:bottom w:val="single" w:sz="2" w:space="0" w:color="auto"/>
              <w:right w:val="single" w:sz="2" w:space="0" w:color="auto"/>
            </w:tcBorders>
          </w:tcPr>
          <w:p w14:paraId="789505A2" w14:textId="55AB92AA" w:rsidR="00514558" w:rsidRPr="00426CC5" w:rsidRDefault="00454196" w:rsidP="00454196">
            <w:pPr>
              <w:pStyle w:val="NormalCentered"/>
              <w:jc w:val="left"/>
              <w:rPr>
                <w:noProof/>
              </w:rPr>
            </w:pPr>
            <w:r w:rsidRPr="00426CC5">
              <w:rPr>
                <w:noProof/>
              </w:rPr>
              <w:t xml:space="preserve">Article 2, points 15), 15 </w:t>
            </w:r>
            <w:r w:rsidRPr="00426CC5">
              <w:rPr>
                <w:i/>
                <w:iCs/>
                <w:noProof/>
              </w:rPr>
              <w:t>bis</w:t>
            </w:r>
            <w:r w:rsidRPr="00426CC5">
              <w:rPr>
                <w:noProof/>
              </w:rPr>
              <w:t xml:space="preserve">,15 </w:t>
            </w:r>
            <w:r w:rsidRPr="00426CC5">
              <w:rPr>
                <w:i/>
                <w:iCs/>
                <w:noProof/>
              </w:rPr>
              <w:t>ter</w:t>
            </w:r>
            <w:r w:rsidRPr="00426CC5">
              <w:rPr>
                <w:noProof/>
              </w:rPr>
              <w:t xml:space="preserve">, 15 </w:t>
            </w:r>
            <w:r w:rsidRPr="00426CC5">
              <w:rPr>
                <w:i/>
                <w:iCs/>
                <w:noProof/>
              </w:rPr>
              <w:t>quater</w:t>
            </w:r>
            <w:r w:rsidRPr="00426CC5">
              <w:rPr>
                <w:noProof/>
              </w:rPr>
              <w:t>, 16) et 17)</w:t>
            </w:r>
          </w:p>
        </w:tc>
        <w:tc>
          <w:tcPr>
            <w:tcW w:w="4657" w:type="dxa"/>
            <w:tcBorders>
              <w:top w:val="single" w:sz="2" w:space="0" w:color="auto"/>
              <w:left w:val="single" w:sz="2" w:space="0" w:color="auto"/>
              <w:bottom w:val="single" w:sz="2" w:space="0" w:color="auto"/>
              <w:right w:val="single" w:sz="2" w:space="0" w:color="auto"/>
            </w:tcBorders>
          </w:tcPr>
          <w:p w14:paraId="0806088C" w14:textId="696C51FD" w:rsidR="00514558" w:rsidRPr="00426CC5" w:rsidRDefault="00E273F1" w:rsidP="00913D24">
            <w:pPr>
              <w:pStyle w:val="NormalCentered"/>
              <w:jc w:val="left"/>
              <w:rPr>
                <w:noProof/>
              </w:rPr>
            </w:pPr>
            <w:r w:rsidRPr="00426CC5">
              <w:rPr>
                <w:noProof/>
              </w:rPr>
              <w:t>Article 2, points 38), 39), 40), 41), 42) et 43)</w:t>
            </w:r>
          </w:p>
        </w:tc>
      </w:tr>
      <w:tr w:rsidR="00514558" w:rsidRPr="00426CC5" w14:paraId="60F14965" w14:textId="77777777">
        <w:tc>
          <w:tcPr>
            <w:tcW w:w="3236" w:type="dxa"/>
            <w:tcBorders>
              <w:top w:val="single" w:sz="2" w:space="0" w:color="auto"/>
              <w:left w:val="single" w:sz="2" w:space="0" w:color="auto"/>
              <w:bottom w:val="single" w:sz="2" w:space="0" w:color="auto"/>
              <w:right w:val="single" w:sz="2" w:space="0" w:color="auto"/>
            </w:tcBorders>
          </w:tcPr>
          <w:p w14:paraId="37E07C13" w14:textId="7FF337DF" w:rsidR="00514558" w:rsidRPr="00426CC5" w:rsidRDefault="00913D24" w:rsidP="002921DB">
            <w:pPr>
              <w:pStyle w:val="NormalCentered"/>
              <w:jc w:val="left"/>
              <w:rPr>
                <w:noProof/>
              </w:rPr>
            </w:pPr>
            <w:r w:rsidRPr="00426CC5">
              <w:rPr>
                <w:noProof/>
              </w:rPr>
              <w:t>Article 2, point 18)</w:t>
            </w:r>
          </w:p>
        </w:tc>
        <w:tc>
          <w:tcPr>
            <w:tcW w:w="4657" w:type="dxa"/>
            <w:tcBorders>
              <w:top w:val="single" w:sz="2" w:space="0" w:color="auto"/>
              <w:left w:val="single" w:sz="2" w:space="0" w:color="auto"/>
              <w:bottom w:val="single" w:sz="2" w:space="0" w:color="auto"/>
              <w:right w:val="single" w:sz="2" w:space="0" w:color="auto"/>
            </w:tcBorders>
          </w:tcPr>
          <w:p w14:paraId="3A04B06E" w14:textId="584B434D" w:rsidR="00514558" w:rsidRPr="00426CC5" w:rsidRDefault="00913D24" w:rsidP="002921DB">
            <w:pPr>
              <w:pStyle w:val="NormalCentered"/>
              <w:jc w:val="left"/>
              <w:rPr>
                <w:noProof/>
              </w:rPr>
            </w:pPr>
            <w:r w:rsidRPr="00426CC5">
              <w:rPr>
                <w:rStyle w:val="CRDeleted"/>
                <w:noProof/>
              </w:rPr>
              <w:t>—</w:t>
            </w:r>
          </w:p>
        </w:tc>
      </w:tr>
      <w:tr w:rsidR="008B1309" w:rsidRPr="00426CC5" w14:paraId="38B4465D" w14:textId="77777777">
        <w:tc>
          <w:tcPr>
            <w:tcW w:w="3236" w:type="dxa"/>
            <w:tcBorders>
              <w:top w:val="single" w:sz="2" w:space="0" w:color="auto"/>
              <w:left w:val="single" w:sz="2" w:space="0" w:color="auto"/>
              <w:bottom w:val="single" w:sz="2" w:space="0" w:color="auto"/>
              <w:right w:val="single" w:sz="2" w:space="0" w:color="auto"/>
            </w:tcBorders>
          </w:tcPr>
          <w:p w14:paraId="58EF816E" w14:textId="102A0E52" w:rsidR="008B1309" w:rsidRPr="00426CC5" w:rsidRDefault="00056A48" w:rsidP="00056A48">
            <w:pPr>
              <w:pStyle w:val="NormalCentered"/>
              <w:jc w:val="left"/>
              <w:rPr>
                <w:noProof/>
              </w:rPr>
            </w:pPr>
            <w:r w:rsidRPr="00426CC5">
              <w:rPr>
                <w:noProof/>
              </w:rPr>
              <w:t>Article 2, point 19)</w:t>
            </w:r>
          </w:p>
        </w:tc>
        <w:tc>
          <w:tcPr>
            <w:tcW w:w="4657" w:type="dxa"/>
            <w:tcBorders>
              <w:top w:val="single" w:sz="2" w:space="0" w:color="auto"/>
              <w:left w:val="single" w:sz="2" w:space="0" w:color="auto"/>
              <w:bottom w:val="single" w:sz="2" w:space="0" w:color="auto"/>
              <w:right w:val="single" w:sz="2" w:space="0" w:color="auto"/>
            </w:tcBorders>
          </w:tcPr>
          <w:p w14:paraId="77454D52" w14:textId="1BB98E5D" w:rsidR="008B1309" w:rsidRPr="00426CC5" w:rsidRDefault="00056A48" w:rsidP="00056A48">
            <w:pPr>
              <w:pStyle w:val="NormalCentered"/>
              <w:jc w:val="left"/>
              <w:rPr>
                <w:noProof/>
              </w:rPr>
            </w:pPr>
            <w:r w:rsidRPr="00426CC5">
              <w:rPr>
                <w:noProof/>
              </w:rPr>
              <w:t>Article 2, point 44)</w:t>
            </w:r>
          </w:p>
        </w:tc>
      </w:tr>
      <w:tr w:rsidR="008B1309" w:rsidRPr="00426CC5" w14:paraId="63F0C283" w14:textId="77777777">
        <w:tc>
          <w:tcPr>
            <w:tcW w:w="3236" w:type="dxa"/>
            <w:tcBorders>
              <w:top w:val="single" w:sz="2" w:space="0" w:color="auto"/>
              <w:left w:val="single" w:sz="2" w:space="0" w:color="auto"/>
              <w:bottom w:val="single" w:sz="2" w:space="0" w:color="auto"/>
              <w:right w:val="single" w:sz="2" w:space="0" w:color="auto"/>
            </w:tcBorders>
          </w:tcPr>
          <w:p w14:paraId="26B7FE67" w14:textId="26B42D2C" w:rsidR="008B1309" w:rsidRPr="00426CC5" w:rsidRDefault="00034917"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BA78045" w14:textId="234650A9" w:rsidR="008B1309" w:rsidRPr="00426CC5" w:rsidRDefault="00C553FE" w:rsidP="00646C65">
            <w:pPr>
              <w:pStyle w:val="NormalCentered"/>
              <w:jc w:val="left"/>
              <w:rPr>
                <w:noProof/>
              </w:rPr>
            </w:pPr>
            <w:r w:rsidRPr="00426CC5">
              <w:rPr>
                <w:noProof/>
              </w:rPr>
              <w:t>Article 2, points 45), 46), 47), 48), 49), 50), 51), 52), 53), 54), 55), 56) et 57)</w:t>
            </w:r>
          </w:p>
        </w:tc>
      </w:tr>
      <w:tr w:rsidR="008B1309" w:rsidRPr="00426CC5" w14:paraId="2830A8E4" w14:textId="77777777">
        <w:tc>
          <w:tcPr>
            <w:tcW w:w="3236" w:type="dxa"/>
            <w:tcBorders>
              <w:top w:val="single" w:sz="2" w:space="0" w:color="auto"/>
              <w:left w:val="single" w:sz="2" w:space="0" w:color="auto"/>
              <w:bottom w:val="single" w:sz="2" w:space="0" w:color="auto"/>
              <w:right w:val="single" w:sz="2" w:space="0" w:color="auto"/>
            </w:tcBorders>
          </w:tcPr>
          <w:p w14:paraId="647DB0BF" w14:textId="674AB646" w:rsidR="008B1309" w:rsidRPr="00426CC5" w:rsidRDefault="00034917" w:rsidP="002921DB">
            <w:pPr>
              <w:pStyle w:val="NormalCentered"/>
              <w:jc w:val="left"/>
              <w:rPr>
                <w:noProof/>
              </w:rPr>
            </w:pPr>
            <w:r w:rsidRPr="00426CC5">
              <w:rPr>
                <w:noProof/>
              </w:rPr>
              <w:t>Article 2, point 20)</w:t>
            </w:r>
          </w:p>
        </w:tc>
        <w:tc>
          <w:tcPr>
            <w:tcW w:w="4657" w:type="dxa"/>
            <w:tcBorders>
              <w:top w:val="single" w:sz="2" w:space="0" w:color="auto"/>
              <w:left w:val="single" w:sz="2" w:space="0" w:color="auto"/>
              <w:bottom w:val="single" w:sz="2" w:space="0" w:color="auto"/>
              <w:right w:val="single" w:sz="2" w:space="0" w:color="auto"/>
            </w:tcBorders>
          </w:tcPr>
          <w:p w14:paraId="44F28DA4" w14:textId="55E0C89E" w:rsidR="008B1309" w:rsidRPr="00426CC5" w:rsidRDefault="00034917" w:rsidP="00034917">
            <w:pPr>
              <w:pStyle w:val="NormalCentered"/>
              <w:jc w:val="left"/>
              <w:rPr>
                <w:noProof/>
              </w:rPr>
            </w:pPr>
            <w:r w:rsidRPr="00426CC5">
              <w:rPr>
                <w:noProof/>
              </w:rPr>
              <w:t>—</w:t>
            </w:r>
          </w:p>
        </w:tc>
      </w:tr>
      <w:tr w:rsidR="008B1309" w:rsidRPr="00426CC5" w14:paraId="02F9A3DE" w14:textId="77777777">
        <w:tc>
          <w:tcPr>
            <w:tcW w:w="3236" w:type="dxa"/>
            <w:tcBorders>
              <w:top w:val="single" w:sz="2" w:space="0" w:color="auto"/>
              <w:left w:val="single" w:sz="2" w:space="0" w:color="auto"/>
              <w:bottom w:val="single" w:sz="2" w:space="0" w:color="auto"/>
              <w:right w:val="single" w:sz="2" w:space="0" w:color="auto"/>
            </w:tcBorders>
          </w:tcPr>
          <w:p w14:paraId="015D3CB3" w14:textId="2E7F41BF" w:rsidR="008B1309" w:rsidRPr="00426CC5" w:rsidRDefault="00C553FE" w:rsidP="002921DB">
            <w:pPr>
              <w:pStyle w:val="NormalCentered"/>
              <w:jc w:val="left"/>
              <w:rPr>
                <w:noProof/>
              </w:rPr>
            </w:pPr>
            <w:r w:rsidRPr="00426CC5">
              <w:rPr>
                <w:noProof/>
              </w:rPr>
              <w:t>Article 2 </w:t>
            </w:r>
            <w:r w:rsidRPr="00426CC5">
              <w:rPr>
                <w:i/>
                <w:iCs/>
                <w:noProof/>
              </w:rPr>
              <w:t>bis</w:t>
            </w:r>
          </w:p>
        </w:tc>
        <w:tc>
          <w:tcPr>
            <w:tcW w:w="4657" w:type="dxa"/>
            <w:tcBorders>
              <w:top w:val="single" w:sz="2" w:space="0" w:color="auto"/>
              <w:left w:val="single" w:sz="2" w:space="0" w:color="auto"/>
              <w:bottom w:val="single" w:sz="2" w:space="0" w:color="auto"/>
              <w:right w:val="single" w:sz="2" w:space="0" w:color="auto"/>
            </w:tcBorders>
          </w:tcPr>
          <w:p w14:paraId="70EE59D8" w14:textId="18A8FC6C" w:rsidR="008B1309" w:rsidRPr="00426CC5" w:rsidRDefault="00C553FE" w:rsidP="002921DB">
            <w:pPr>
              <w:pStyle w:val="NormalCentered"/>
              <w:jc w:val="left"/>
              <w:rPr>
                <w:noProof/>
              </w:rPr>
            </w:pPr>
            <w:r w:rsidRPr="00426CC5">
              <w:rPr>
                <w:noProof/>
              </w:rPr>
              <w:t>Article 3</w:t>
            </w:r>
          </w:p>
        </w:tc>
      </w:tr>
      <w:tr w:rsidR="008B1309" w:rsidRPr="00426CC5" w14:paraId="059F46A9" w14:textId="77777777">
        <w:tc>
          <w:tcPr>
            <w:tcW w:w="3236" w:type="dxa"/>
            <w:tcBorders>
              <w:top w:val="single" w:sz="2" w:space="0" w:color="auto"/>
              <w:left w:val="single" w:sz="2" w:space="0" w:color="auto"/>
              <w:bottom w:val="single" w:sz="2" w:space="0" w:color="auto"/>
              <w:right w:val="single" w:sz="2" w:space="0" w:color="auto"/>
            </w:tcBorders>
          </w:tcPr>
          <w:p w14:paraId="4065548C" w14:textId="1CE03DBD" w:rsidR="008B1309" w:rsidRPr="00426CC5" w:rsidRDefault="00423902" w:rsidP="002921DB">
            <w:pPr>
              <w:pStyle w:val="NormalCentered"/>
              <w:jc w:val="left"/>
              <w:rPr>
                <w:noProof/>
              </w:rPr>
            </w:pPr>
            <w:r w:rsidRPr="00426CC5">
              <w:rPr>
                <w:noProof/>
              </w:rPr>
              <w:t>Article 3</w:t>
            </w:r>
          </w:p>
        </w:tc>
        <w:tc>
          <w:tcPr>
            <w:tcW w:w="4657" w:type="dxa"/>
            <w:tcBorders>
              <w:top w:val="single" w:sz="2" w:space="0" w:color="auto"/>
              <w:left w:val="single" w:sz="2" w:space="0" w:color="auto"/>
              <w:bottom w:val="single" w:sz="2" w:space="0" w:color="auto"/>
              <w:right w:val="single" w:sz="2" w:space="0" w:color="auto"/>
            </w:tcBorders>
          </w:tcPr>
          <w:p w14:paraId="0A6952EF" w14:textId="4B316FF2" w:rsidR="008B1309" w:rsidRPr="00426CC5" w:rsidRDefault="00423902" w:rsidP="002921DB">
            <w:pPr>
              <w:pStyle w:val="NormalCentered"/>
              <w:jc w:val="left"/>
              <w:rPr>
                <w:noProof/>
              </w:rPr>
            </w:pPr>
            <w:r w:rsidRPr="00426CC5">
              <w:rPr>
                <w:noProof/>
              </w:rPr>
              <w:t>Article 4</w:t>
            </w:r>
          </w:p>
        </w:tc>
      </w:tr>
      <w:tr w:rsidR="008B1309" w:rsidRPr="00426CC5" w14:paraId="4A139429" w14:textId="77777777">
        <w:tc>
          <w:tcPr>
            <w:tcW w:w="3236" w:type="dxa"/>
            <w:tcBorders>
              <w:top w:val="single" w:sz="2" w:space="0" w:color="auto"/>
              <w:left w:val="single" w:sz="2" w:space="0" w:color="auto"/>
              <w:bottom w:val="single" w:sz="2" w:space="0" w:color="auto"/>
              <w:right w:val="single" w:sz="2" w:space="0" w:color="auto"/>
            </w:tcBorders>
          </w:tcPr>
          <w:p w14:paraId="6CFA4427" w14:textId="1D739E80" w:rsidR="008B1309" w:rsidRPr="00426CC5" w:rsidRDefault="00423902" w:rsidP="002921DB">
            <w:pPr>
              <w:pStyle w:val="NormalCentered"/>
              <w:jc w:val="left"/>
              <w:rPr>
                <w:noProof/>
              </w:rPr>
            </w:pPr>
            <w:r w:rsidRPr="00426CC5">
              <w:rPr>
                <w:noProof/>
              </w:rPr>
              <w:t>Article 4</w:t>
            </w:r>
          </w:p>
        </w:tc>
        <w:tc>
          <w:tcPr>
            <w:tcW w:w="4657" w:type="dxa"/>
            <w:tcBorders>
              <w:top w:val="single" w:sz="2" w:space="0" w:color="auto"/>
              <w:left w:val="single" w:sz="2" w:space="0" w:color="auto"/>
              <w:bottom w:val="single" w:sz="2" w:space="0" w:color="auto"/>
              <w:right w:val="single" w:sz="2" w:space="0" w:color="auto"/>
            </w:tcBorders>
          </w:tcPr>
          <w:p w14:paraId="58157418" w14:textId="05EF9FE1" w:rsidR="008B1309" w:rsidRPr="00426CC5" w:rsidRDefault="00423902" w:rsidP="002921DB">
            <w:pPr>
              <w:pStyle w:val="NormalCentered"/>
              <w:jc w:val="left"/>
              <w:rPr>
                <w:noProof/>
              </w:rPr>
            </w:pPr>
            <w:r w:rsidRPr="00426CC5">
              <w:rPr>
                <w:noProof/>
              </w:rPr>
              <w:t>Article 5</w:t>
            </w:r>
          </w:p>
        </w:tc>
      </w:tr>
      <w:tr w:rsidR="008B1309" w:rsidRPr="00426CC5" w14:paraId="00BC50AE" w14:textId="77777777">
        <w:tc>
          <w:tcPr>
            <w:tcW w:w="3236" w:type="dxa"/>
            <w:tcBorders>
              <w:top w:val="single" w:sz="2" w:space="0" w:color="auto"/>
              <w:left w:val="single" w:sz="2" w:space="0" w:color="auto"/>
              <w:bottom w:val="single" w:sz="2" w:space="0" w:color="auto"/>
              <w:right w:val="single" w:sz="2" w:space="0" w:color="auto"/>
            </w:tcBorders>
          </w:tcPr>
          <w:p w14:paraId="04FA4F5B" w14:textId="184DE4B9" w:rsidR="008B1309" w:rsidRPr="00426CC5" w:rsidRDefault="000F6C95" w:rsidP="002921DB">
            <w:pPr>
              <w:pStyle w:val="NormalCentered"/>
              <w:jc w:val="left"/>
              <w:rPr>
                <w:noProof/>
              </w:rPr>
            </w:pPr>
            <w:r w:rsidRPr="00426CC5">
              <w:rPr>
                <w:noProof/>
              </w:rPr>
              <w:t>Article 5</w:t>
            </w:r>
          </w:p>
        </w:tc>
        <w:tc>
          <w:tcPr>
            <w:tcW w:w="4657" w:type="dxa"/>
            <w:tcBorders>
              <w:top w:val="single" w:sz="2" w:space="0" w:color="auto"/>
              <w:left w:val="single" w:sz="2" w:space="0" w:color="auto"/>
              <w:bottom w:val="single" w:sz="2" w:space="0" w:color="auto"/>
              <w:right w:val="single" w:sz="2" w:space="0" w:color="auto"/>
            </w:tcBorders>
          </w:tcPr>
          <w:p w14:paraId="11C2FEF9" w14:textId="19AE9F29" w:rsidR="008B1309" w:rsidRPr="00426CC5" w:rsidRDefault="000F6C95" w:rsidP="002921DB">
            <w:pPr>
              <w:pStyle w:val="NormalCentered"/>
              <w:jc w:val="left"/>
              <w:rPr>
                <w:noProof/>
              </w:rPr>
            </w:pPr>
            <w:r w:rsidRPr="00426CC5">
              <w:rPr>
                <w:noProof/>
              </w:rPr>
              <w:t>Article 6</w:t>
            </w:r>
          </w:p>
        </w:tc>
      </w:tr>
      <w:tr w:rsidR="008B1309" w:rsidRPr="00426CC5" w14:paraId="01BDE002" w14:textId="77777777">
        <w:tc>
          <w:tcPr>
            <w:tcW w:w="3236" w:type="dxa"/>
            <w:tcBorders>
              <w:top w:val="single" w:sz="2" w:space="0" w:color="auto"/>
              <w:left w:val="single" w:sz="2" w:space="0" w:color="auto"/>
              <w:bottom w:val="single" w:sz="2" w:space="0" w:color="auto"/>
              <w:right w:val="single" w:sz="2" w:space="0" w:color="auto"/>
            </w:tcBorders>
          </w:tcPr>
          <w:p w14:paraId="6E6054FE" w14:textId="107911E0" w:rsidR="008B1309" w:rsidRPr="00426CC5" w:rsidRDefault="00533809" w:rsidP="002921DB">
            <w:pPr>
              <w:pStyle w:val="NormalCentered"/>
              <w:jc w:val="left"/>
              <w:rPr>
                <w:noProof/>
              </w:rPr>
            </w:pPr>
            <w:r w:rsidRPr="00426CC5">
              <w:rPr>
                <w:noProof/>
              </w:rPr>
              <w:t>Articles 6 et 9</w:t>
            </w:r>
          </w:p>
        </w:tc>
        <w:tc>
          <w:tcPr>
            <w:tcW w:w="4657" w:type="dxa"/>
            <w:tcBorders>
              <w:top w:val="single" w:sz="2" w:space="0" w:color="auto"/>
              <w:left w:val="single" w:sz="2" w:space="0" w:color="auto"/>
              <w:bottom w:val="single" w:sz="2" w:space="0" w:color="auto"/>
              <w:right w:val="single" w:sz="2" w:space="0" w:color="auto"/>
            </w:tcBorders>
          </w:tcPr>
          <w:p w14:paraId="00A980C6" w14:textId="356EE842" w:rsidR="008B1309" w:rsidRPr="00426CC5" w:rsidRDefault="00533809" w:rsidP="00607E79">
            <w:pPr>
              <w:pStyle w:val="NormalCentered"/>
              <w:jc w:val="left"/>
              <w:rPr>
                <w:noProof/>
              </w:rPr>
            </w:pPr>
            <w:r w:rsidRPr="00426CC5">
              <w:rPr>
                <w:noProof/>
              </w:rPr>
              <w:t>Article 7</w:t>
            </w:r>
          </w:p>
        </w:tc>
      </w:tr>
      <w:tr w:rsidR="008B1309" w:rsidRPr="00426CC5" w14:paraId="69431A82" w14:textId="77777777">
        <w:tc>
          <w:tcPr>
            <w:tcW w:w="3236" w:type="dxa"/>
            <w:tcBorders>
              <w:top w:val="single" w:sz="2" w:space="0" w:color="auto"/>
              <w:left w:val="single" w:sz="2" w:space="0" w:color="auto"/>
              <w:bottom w:val="single" w:sz="2" w:space="0" w:color="auto"/>
              <w:right w:val="single" w:sz="2" w:space="0" w:color="auto"/>
            </w:tcBorders>
          </w:tcPr>
          <w:p w14:paraId="0AB7541D" w14:textId="17D4930A" w:rsidR="008B1309" w:rsidRPr="00426CC5" w:rsidRDefault="007314C9" w:rsidP="002921DB">
            <w:pPr>
              <w:pStyle w:val="NormalCentered"/>
              <w:jc w:val="left"/>
              <w:rPr>
                <w:noProof/>
              </w:rPr>
            </w:pPr>
            <w:r w:rsidRPr="00426CC5">
              <w:rPr>
                <w:noProof/>
              </w:rPr>
              <w:t>Article 7</w:t>
            </w:r>
          </w:p>
        </w:tc>
        <w:tc>
          <w:tcPr>
            <w:tcW w:w="4657" w:type="dxa"/>
            <w:tcBorders>
              <w:top w:val="single" w:sz="2" w:space="0" w:color="auto"/>
              <w:left w:val="single" w:sz="2" w:space="0" w:color="auto"/>
              <w:bottom w:val="single" w:sz="2" w:space="0" w:color="auto"/>
              <w:right w:val="single" w:sz="2" w:space="0" w:color="auto"/>
            </w:tcBorders>
          </w:tcPr>
          <w:p w14:paraId="36229F39" w14:textId="6A137EAC" w:rsidR="008B1309" w:rsidRPr="00426CC5" w:rsidRDefault="007314C9" w:rsidP="002921DB">
            <w:pPr>
              <w:pStyle w:val="NormalCentered"/>
              <w:jc w:val="left"/>
              <w:rPr>
                <w:noProof/>
              </w:rPr>
            </w:pPr>
            <w:r w:rsidRPr="00426CC5">
              <w:rPr>
                <w:noProof/>
              </w:rPr>
              <w:t>Article 8</w:t>
            </w:r>
          </w:p>
        </w:tc>
      </w:tr>
      <w:tr w:rsidR="008B1309" w:rsidRPr="00426CC5" w14:paraId="767D06E9" w14:textId="77777777">
        <w:tc>
          <w:tcPr>
            <w:tcW w:w="3236" w:type="dxa"/>
            <w:tcBorders>
              <w:top w:val="single" w:sz="2" w:space="0" w:color="auto"/>
              <w:left w:val="single" w:sz="2" w:space="0" w:color="auto"/>
              <w:bottom w:val="single" w:sz="2" w:space="0" w:color="auto"/>
              <w:right w:val="single" w:sz="2" w:space="0" w:color="auto"/>
            </w:tcBorders>
          </w:tcPr>
          <w:p w14:paraId="36CE9D13" w14:textId="43830E32" w:rsidR="008B1309" w:rsidRPr="00426CC5" w:rsidRDefault="006A5CED"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F6CA830" w14:textId="329A508A" w:rsidR="008B1309" w:rsidRPr="00426CC5" w:rsidRDefault="006A5CED" w:rsidP="002921DB">
            <w:pPr>
              <w:pStyle w:val="NormalCentered"/>
              <w:jc w:val="left"/>
              <w:rPr>
                <w:noProof/>
              </w:rPr>
            </w:pPr>
            <w:r w:rsidRPr="00426CC5">
              <w:rPr>
                <w:noProof/>
              </w:rPr>
              <w:t>Article 9</w:t>
            </w:r>
          </w:p>
        </w:tc>
      </w:tr>
      <w:tr w:rsidR="008B1309" w:rsidRPr="00426CC5" w14:paraId="36CEEF70" w14:textId="77777777">
        <w:tc>
          <w:tcPr>
            <w:tcW w:w="3236" w:type="dxa"/>
            <w:tcBorders>
              <w:top w:val="single" w:sz="2" w:space="0" w:color="auto"/>
              <w:left w:val="single" w:sz="2" w:space="0" w:color="auto"/>
              <w:bottom w:val="single" w:sz="2" w:space="0" w:color="auto"/>
              <w:right w:val="single" w:sz="2" w:space="0" w:color="auto"/>
            </w:tcBorders>
          </w:tcPr>
          <w:p w14:paraId="230DCDA6" w14:textId="4216FCFC" w:rsidR="008B1309" w:rsidRPr="00426CC5" w:rsidRDefault="009842F1"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3971A0A" w14:textId="22B7C9EE" w:rsidR="008B1309" w:rsidRPr="00426CC5" w:rsidRDefault="009842F1" w:rsidP="002921DB">
            <w:pPr>
              <w:pStyle w:val="NormalCentered"/>
              <w:jc w:val="left"/>
              <w:rPr>
                <w:noProof/>
              </w:rPr>
            </w:pPr>
            <w:r w:rsidRPr="00426CC5">
              <w:rPr>
                <w:noProof/>
              </w:rPr>
              <w:t>Article 10</w:t>
            </w:r>
          </w:p>
        </w:tc>
      </w:tr>
      <w:tr w:rsidR="008B1309" w:rsidRPr="00426CC5" w14:paraId="1BC8F04B" w14:textId="77777777">
        <w:tc>
          <w:tcPr>
            <w:tcW w:w="3236" w:type="dxa"/>
            <w:tcBorders>
              <w:top w:val="single" w:sz="2" w:space="0" w:color="auto"/>
              <w:left w:val="single" w:sz="2" w:space="0" w:color="auto"/>
              <w:bottom w:val="single" w:sz="2" w:space="0" w:color="auto"/>
              <w:right w:val="single" w:sz="2" w:space="0" w:color="auto"/>
            </w:tcBorders>
          </w:tcPr>
          <w:p w14:paraId="50CF7C1C" w14:textId="1EA73F5F" w:rsidR="008B1309" w:rsidRPr="00426CC5" w:rsidRDefault="00EB31CA" w:rsidP="002921DB">
            <w:pPr>
              <w:pStyle w:val="NormalCentered"/>
              <w:jc w:val="left"/>
              <w:rPr>
                <w:noProof/>
              </w:rPr>
            </w:pPr>
            <w:r w:rsidRPr="00426CC5">
              <w:rPr>
                <w:noProof/>
              </w:rPr>
              <w:t>Article 8, paragraphes 1 et 9</w:t>
            </w:r>
          </w:p>
        </w:tc>
        <w:tc>
          <w:tcPr>
            <w:tcW w:w="4657" w:type="dxa"/>
            <w:tcBorders>
              <w:top w:val="single" w:sz="2" w:space="0" w:color="auto"/>
              <w:left w:val="single" w:sz="2" w:space="0" w:color="auto"/>
              <w:bottom w:val="single" w:sz="2" w:space="0" w:color="auto"/>
              <w:right w:val="single" w:sz="2" w:space="0" w:color="auto"/>
            </w:tcBorders>
          </w:tcPr>
          <w:p w14:paraId="42D90CB2" w14:textId="03D4E6C4" w:rsidR="008B1309" w:rsidRPr="00426CC5" w:rsidRDefault="00EB31CA" w:rsidP="002921DB">
            <w:pPr>
              <w:pStyle w:val="NormalCentered"/>
              <w:jc w:val="left"/>
              <w:rPr>
                <w:noProof/>
              </w:rPr>
            </w:pPr>
            <w:r w:rsidRPr="00426CC5">
              <w:rPr>
                <w:noProof/>
              </w:rPr>
              <w:t>Article 11</w:t>
            </w:r>
          </w:p>
        </w:tc>
      </w:tr>
      <w:tr w:rsidR="008B1309" w:rsidRPr="00426CC5" w14:paraId="321F5AE8" w14:textId="77777777">
        <w:tc>
          <w:tcPr>
            <w:tcW w:w="3236" w:type="dxa"/>
            <w:tcBorders>
              <w:top w:val="single" w:sz="2" w:space="0" w:color="auto"/>
              <w:left w:val="single" w:sz="2" w:space="0" w:color="auto"/>
              <w:bottom w:val="single" w:sz="2" w:space="0" w:color="auto"/>
              <w:right w:val="single" w:sz="2" w:space="0" w:color="auto"/>
            </w:tcBorders>
          </w:tcPr>
          <w:p w14:paraId="7C378D47" w14:textId="272BCAE2" w:rsidR="008B1309" w:rsidRPr="00426CC5" w:rsidRDefault="00EB31CA" w:rsidP="002921DB">
            <w:pPr>
              <w:pStyle w:val="NormalCentered"/>
              <w:jc w:val="left"/>
              <w:rPr>
                <w:noProof/>
              </w:rPr>
            </w:pPr>
            <w:r w:rsidRPr="00426CC5">
              <w:rPr>
                <w:noProof/>
              </w:rPr>
              <w:t>Article 8, paragraphes 2 à 8</w:t>
            </w:r>
          </w:p>
        </w:tc>
        <w:tc>
          <w:tcPr>
            <w:tcW w:w="4657" w:type="dxa"/>
            <w:tcBorders>
              <w:top w:val="single" w:sz="2" w:space="0" w:color="auto"/>
              <w:left w:val="single" w:sz="2" w:space="0" w:color="auto"/>
              <w:bottom w:val="single" w:sz="2" w:space="0" w:color="auto"/>
              <w:right w:val="single" w:sz="2" w:space="0" w:color="auto"/>
            </w:tcBorders>
          </w:tcPr>
          <w:p w14:paraId="7A33D92C" w14:textId="76A92138" w:rsidR="008B1309" w:rsidRPr="00426CC5" w:rsidRDefault="00EB31CA" w:rsidP="002921DB">
            <w:pPr>
              <w:pStyle w:val="NormalCentered"/>
              <w:jc w:val="left"/>
              <w:rPr>
                <w:noProof/>
              </w:rPr>
            </w:pPr>
            <w:r w:rsidRPr="00426CC5">
              <w:rPr>
                <w:noProof/>
              </w:rPr>
              <w:t>Article 12</w:t>
            </w:r>
          </w:p>
        </w:tc>
      </w:tr>
      <w:tr w:rsidR="008B1309" w:rsidRPr="00426CC5" w14:paraId="2B748234" w14:textId="77777777">
        <w:tc>
          <w:tcPr>
            <w:tcW w:w="3236" w:type="dxa"/>
            <w:tcBorders>
              <w:top w:val="single" w:sz="2" w:space="0" w:color="auto"/>
              <w:left w:val="single" w:sz="2" w:space="0" w:color="auto"/>
              <w:bottom w:val="single" w:sz="2" w:space="0" w:color="auto"/>
              <w:right w:val="single" w:sz="2" w:space="0" w:color="auto"/>
            </w:tcBorders>
          </w:tcPr>
          <w:p w14:paraId="7704D85F" w14:textId="59BB48F5" w:rsidR="008B1309" w:rsidRPr="00426CC5" w:rsidRDefault="0072685A" w:rsidP="002921DB">
            <w:pPr>
              <w:pStyle w:val="NormalCentered"/>
              <w:jc w:val="left"/>
              <w:rPr>
                <w:noProof/>
              </w:rPr>
            </w:pPr>
            <w:r w:rsidRPr="00426CC5">
              <w:rPr>
                <w:noProof/>
              </w:rPr>
              <w:t>Article 8, paragraphes 10 et 11</w:t>
            </w:r>
          </w:p>
        </w:tc>
        <w:tc>
          <w:tcPr>
            <w:tcW w:w="4657" w:type="dxa"/>
            <w:tcBorders>
              <w:top w:val="single" w:sz="2" w:space="0" w:color="auto"/>
              <w:left w:val="single" w:sz="2" w:space="0" w:color="auto"/>
              <w:bottom w:val="single" w:sz="2" w:space="0" w:color="auto"/>
              <w:right w:val="single" w:sz="2" w:space="0" w:color="auto"/>
            </w:tcBorders>
          </w:tcPr>
          <w:p w14:paraId="0FEDA8E1" w14:textId="3F804A77" w:rsidR="008B1309" w:rsidRPr="00426CC5" w:rsidRDefault="0072685A" w:rsidP="002921DB">
            <w:pPr>
              <w:pStyle w:val="NormalCentered"/>
              <w:jc w:val="left"/>
              <w:rPr>
                <w:noProof/>
              </w:rPr>
            </w:pPr>
            <w:r w:rsidRPr="00426CC5">
              <w:rPr>
                <w:noProof/>
              </w:rPr>
              <w:t>Article 13</w:t>
            </w:r>
          </w:p>
        </w:tc>
      </w:tr>
      <w:tr w:rsidR="008B1309" w:rsidRPr="00426CC5" w14:paraId="0F996000" w14:textId="77777777">
        <w:tc>
          <w:tcPr>
            <w:tcW w:w="3236" w:type="dxa"/>
            <w:tcBorders>
              <w:top w:val="single" w:sz="2" w:space="0" w:color="auto"/>
              <w:left w:val="single" w:sz="2" w:space="0" w:color="auto"/>
              <w:bottom w:val="single" w:sz="2" w:space="0" w:color="auto"/>
              <w:right w:val="single" w:sz="2" w:space="0" w:color="auto"/>
            </w:tcBorders>
          </w:tcPr>
          <w:p w14:paraId="6F40699A" w14:textId="41D63640" w:rsidR="008B1309" w:rsidRPr="00426CC5" w:rsidRDefault="003C4EBC"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152034E1" w14:textId="61720AB6" w:rsidR="008B1309" w:rsidRPr="00426CC5" w:rsidRDefault="003C4EBC" w:rsidP="002921DB">
            <w:pPr>
              <w:pStyle w:val="NormalCentered"/>
              <w:jc w:val="left"/>
              <w:rPr>
                <w:noProof/>
              </w:rPr>
            </w:pPr>
            <w:r w:rsidRPr="00426CC5">
              <w:rPr>
                <w:noProof/>
              </w:rPr>
              <w:t>Article 14</w:t>
            </w:r>
          </w:p>
        </w:tc>
      </w:tr>
      <w:tr w:rsidR="0072685A" w:rsidRPr="00426CC5" w14:paraId="5EA87016" w14:textId="77777777">
        <w:tc>
          <w:tcPr>
            <w:tcW w:w="3236" w:type="dxa"/>
            <w:tcBorders>
              <w:top w:val="single" w:sz="2" w:space="0" w:color="auto"/>
              <w:left w:val="single" w:sz="2" w:space="0" w:color="auto"/>
              <w:bottom w:val="single" w:sz="2" w:space="0" w:color="auto"/>
              <w:right w:val="single" w:sz="2" w:space="0" w:color="auto"/>
            </w:tcBorders>
          </w:tcPr>
          <w:p w14:paraId="7525F38F" w14:textId="3909A6C8" w:rsidR="0072685A" w:rsidRPr="00426CC5" w:rsidRDefault="003F32B2" w:rsidP="002921DB">
            <w:pPr>
              <w:pStyle w:val="NormalCentered"/>
              <w:jc w:val="left"/>
              <w:rPr>
                <w:noProof/>
              </w:rPr>
            </w:pPr>
            <w:r w:rsidRPr="00426CC5">
              <w:rPr>
                <w:noProof/>
              </w:rPr>
              <w:t>Article 10</w:t>
            </w:r>
          </w:p>
        </w:tc>
        <w:tc>
          <w:tcPr>
            <w:tcW w:w="4657" w:type="dxa"/>
            <w:tcBorders>
              <w:top w:val="single" w:sz="2" w:space="0" w:color="auto"/>
              <w:left w:val="single" w:sz="2" w:space="0" w:color="auto"/>
              <w:bottom w:val="single" w:sz="2" w:space="0" w:color="auto"/>
              <w:right w:val="single" w:sz="2" w:space="0" w:color="auto"/>
            </w:tcBorders>
          </w:tcPr>
          <w:p w14:paraId="4BFDB227" w14:textId="565CAC47" w:rsidR="0072685A" w:rsidRPr="00426CC5" w:rsidRDefault="003F32B2" w:rsidP="002921DB">
            <w:pPr>
              <w:pStyle w:val="NormalCentered"/>
              <w:jc w:val="left"/>
              <w:rPr>
                <w:noProof/>
              </w:rPr>
            </w:pPr>
            <w:r w:rsidRPr="00426CC5">
              <w:rPr>
                <w:noProof/>
              </w:rPr>
              <w:t>Article 15</w:t>
            </w:r>
          </w:p>
        </w:tc>
      </w:tr>
      <w:tr w:rsidR="0072685A" w:rsidRPr="00426CC5" w14:paraId="1573677B" w14:textId="77777777">
        <w:tc>
          <w:tcPr>
            <w:tcW w:w="3236" w:type="dxa"/>
            <w:tcBorders>
              <w:top w:val="single" w:sz="2" w:space="0" w:color="auto"/>
              <w:left w:val="single" w:sz="2" w:space="0" w:color="auto"/>
              <w:bottom w:val="single" w:sz="2" w:space="0" w:color="auto"/>
              <w:right w:val="single" w:sz="2" w:space="0" w:color="auto"/>
            </w:tcBorders>
          </w:tcPr>
          <w:p w14:paraId="0F5A6053" w14:textId="5DB80321" w:rsidR="0072685A" w:rsidRPr="00426CC5" w:rsidRDefault="001C6B96" w:rsidP="002921DB">
            <w:pPr>
              <w:pStyle w:val="NormalCentered"/>
              <w:jc w:val="left"/>
              <w:rPr>
                <w:noProof/>
              </w:rPr>
            </w:pPr>
            <w:r w:rsidRPr="00426CC5">
              <w:rPr>
                <w:noProof/>
              </w:rPr>
              <w:t>Article 11</w:t>
            </w:r>
          </w:p>
        </w:tc>
        <w:tc>
          <w:tcPr>
            <w:tcW w:w="4657" w:type="dxa"/>
            <w:tcBorders>
              <w:top w:val="single" w:sz="2" w:space="0" w:color="auto"/>
              <w:left w:val="single" w:sz="2" w:space="0" w:color="auto"/>
              <w:bottom w:val="single" w:sz="2" w:space="0" w:color="auto"/>
              <w:right w:val="single" w:sz="2" w:space="0" w:color="auto"/>
            </w:tcBorders>
          </w:tcPr>
          <w:p w14:paraId="192E049B" w14:textId="7C852A90" w:rsidR="0072685A" w:rsidRPr="00426CC5" w:rsidRDefault="001C6B96" w:rsidP="002921DB">
            <w:pPr>
              <w:pStyle w:val="NormalCentered"/>
              <w:jc w:val="left"/>
              <w:rPr>
                <w:noProof/>
              </w:rPr>
            </w:pPr>
            <w:r w:rsidRPr="00426CC5">
              <w:rPr>
                <w:noProof/>
              </w:rPr>
              <w:t>Article 16</w:t>
            </w:r>
          </w:p>
        </w:tc>
      </w:tr>
      <w:tr w:rsidR="0072685A" w:rsidRPr="00426CC5" w14:paraId="09C44DA8" w14:textId="77777777">
        <w:tc>
          <w:tcPr>
            <w:tcW w:w="3236" w:type="dxa"/>
            <w:tcBorders>
              <w:top w:val="single" w:sz="2" w:space="0" w:color="auto"/>
              <w:left w:val="single" w:sz="2" w:space="0" w:color="auto"/>
              <w:bottom w:val="single" w:sz="2" w:space="0" w:color="auto"/>
              <w:right w:val="single" w:sz="2" w:space="0" w:color="auto"/>
            </w:tcBorders>
          </w:tcPr>
          <w:p w14:paraId="515BF011" w14:textId="78455902" w:rsidR="0072685A" w:rsidRPr="00426CC5" w:rsidRDefault="002B1F85" w:rsidP="002921DB">
            <w:pPr>
              <w:pStyle w:val="NormalCentered"/>
              <w:jc w:val="left"/>
              <w:rPr>
                <w:noProof/>
              </w:rPr>
            </w:pPr>
            <w:r w:rsidRPr="00426CC5">
              <w:rPr>
                <w:noProof/>
              </w:rPr>
              <w:t>Article 12</w:t>
            </w:r>
          </w:p>
        </w:tc>
        <w:tc>
          <w:tcPr>
            <w:tcW w:w="4657" w:type="dxa"/>
            <w:tcBorders>
              <w:top w:val="single" w:sz="2" w:space="0" w:color="auto"/>
              <w:left w:val="single" w:sz="2" w:space="0" w:color="auto"/>
              <w:bottom w:val="single" w:sz="2" w:space="0" w:color="auto"/>
              <w:right w:val="single" w:sz="2" w:space="0" w:color="auto"/>
            </w:tcBorders>
          </w:tcPr>
          <w:p w14:paraId="4F159364" w14:textId="0A36937A" w:rsidR="0072685A" w:rsidRPr="00426CC5" w:rsidRDefault="002B1F85" w:rsidP="002921DB">
            <w:pPr>
              <w:pStyle w:val="NormalCentered"/>
              <w:jc w:val="left"/>
              <w:rPr>
                <w:noProof/>
              </w:rPr>
            </w:pPr>
            <w:r w:rsidRPr="00426CC5">
              <w:rPr>
                <w:noProof/>
              </w:rPr>
              <w:t>Article 17</w:t>
            </w:r>
          </w:p>
        </w:tc>
      </w:tr>
      <w:tr w:rsidR="0072685A" w:rsidRPr="00426CC5" w14:paraId="11B30871" w14:textId="77777777">
        <w:tc>
          <w:tcPr>
            <w:tcW w:w="3236" w:type="dxa"/>
            <w:tcBorders>
              <w:top w:val="single" w:sz="2" w:space="0" w:color="auto"/>
              <w:left w:val="single" w:sz="2" w:space="0" w:color="auto"/>
              <w:bottom w:val="single" w:sz="2" w:space="0" w:color="auto"/>
              <w:right w:val="single" w:sz="2" w:space="0" w:color="auto"/>
            </w:tcBorders>
          </w:tcPr>
          <w:p w14:paraId="7A3073D1" w14:textId="42FDD22B" w:rsidR="0072685A" w:rsidRPr="00426CC5" w:rsidRDefault="00126B31" w:rsidP="002921DB">
            <w:pPr>
              <w:pStyle w:val="NormalCentered"/>
              <w:jc w:val="left"/>
              <w:rPr>
                <w:noProof/>
              </w:rPr>
            </w:pPr>
            <w:r w:rsidRPr="00426CC5">
              <w:rPr>
                <w:noProof/>
              </w:rPr>
              <w:t>Article 13</w:t>
            </w:r>
          </w:p>
        </w:tc>
        <w:tc>
          <w:tcPr>
            <w:tcW w:w="4657" w:type="dxa"/>
            <w:tcBorders>
              <w:top w:val="single" w:sz="2" w:space="0" w:color="auto"/>
              <w:left w:val="single" w:sz="2" w:space="0" w:color="auto"/>
              <w:bottom w:val="single" w:sz="2" w:space="0" w:color="auto"/>
              <w:right w:val="single" w:sz="2" w:space="0" w:color="auto"/>
            </w:tcBorders>
          </w:tcPr>
          <w:p w14:paraId="2FD82292" w14:textId="4BF5E56F" w:rsidR="0072685A" w:rsidRPr="00426CC5" w:rsidRDefault="00126B31" w:rsidP="002921DB">
            <w:pPr>
              <w:pStyle w:val="NormalCentered"/>
              <w:jc w:val="left"/>
              <w:rPr>
                <w:noProof/>
              </w:rPr>
            </w:pPr>
            <w:r w:rsidRPr="00426CC5">
              <w:rPr>
                <w:noProof/>
              </w:rPr>
              <w:t>Article 18</w:t>
            </w:r>
          </w:p>
        </w:tc>
      </w:tr>
      <w:tr w:rsidR="0072685A" w:rsidRPr="00426CC5" w14:paraId="3CF7B19F" w14:textId="77777777">
        <w:tc>
          <w:tcPr>
            <w:tcW w:w="3236" w:type="dxa"/>
            <w:tcBorders>
              <w:top w:val="single" w:sz="2" w:space="0" w:color="auto"/>
              <w:left w:val="single" w:sz="2" w:space="0" w:color="auto"/>
              <w:bottom w:val="single" w:sz="2" w:space="0" w:color="auto"/>
              <w:right w:val="single" w:sz="2" w:space="0" w:color="auto"/>
            </w:tcBorders>
          </w:tcPr>
          <w:p w14:paraId="3DEFB89C" w14:textId="484B258A" w:rsidR="0072685A" w:rsidRPr="00426CC5" w:rsidRDefault="00126B31"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308A1941" w14:textId="28F772AB" w:rsidR="0072685A" w:rsidRPr="00426CC5" w:rsidRDefault="00126B31" w:rsidP="002921DB">
            <w:pPr>
              <w:pStyle w:val="NormalCentered"/>
              <w:jc w:val="left"/>
              <w:rPr>
                <w:noProof/>
              </w:rPr>
            </w:pPr>
            <w:r w:rsidRPr="00426CC5">
              <w:rPr>
                <w:noProof/>
              </w:rPr>
              <w:t>Article 19</w:t>
            </w:r>
          </w:p>
        </w:tc>
      </w:tr>
      <w:tr w:rsidR="0072685A" w:rsidRPr="00426CC5" w14:paraId="34294B5A" w14:textId="77777777">
        <w:tc>
          <w:tcPr>
            <w:tcW w:w="3236" w:type="dxa"/>
            <w:tcBorders>
              <w:top w:val="single" w:sz="2" w:space="0" w:color="auto"/>
              <w:left w:val="single" w:sz="2" w:space="0" w:color="auto"/>
              <w:bottom w:val="single" w:sz="2" w:space="0" w:color="auto"/>
              <w:right w:val="single" w:sz="2" w:space="0" w:color="auto"/>
            </w:tcBorders>
          </w:tcPr>
          <w:p w14:paraId="2043A92D" w14:textId="71B25BA7" w:rsidR="0072685A" w:rsidRPr="00426CC5" w:rsidRDefault="00492EA6" w:rsidP="00EC2468">
            <w:pPr>
              <w:pStyle w:val="NormalCentered"/>
              <w:jc w:val="left"/>
              <w:rPr>
                <w:noProof/>
              </w:rPr>
            </w:pPr>
            <w:r w:rsidRPr="00426CC5">
              <w:rPr>
                <w:noProof/>
              </w:rPr>
              <w:t>Articles 14 et 15</w:t>
            </w:r>
          </w:p>
        </w:tc>
        <w:tc>
          <w:tcPr>
            <w:tcW w:w="4657" w:type="dxa"/>
            <w:tcBorders>
              <w:top w:val="single" w:sz="2" w:space="0" w:color="auto"/>
              <w:left w:val="single" w:sz="2" w:space="0" w:color="auto"/>
              <w:bottom w:val="single" w:sz="2" w:space="0" w:color="auto"/>
              <w:right w:val="single" w:sz="2" w:space="0" w:color="auto"/>
            </w:tcBorders>
          </w:tcPr>
          <w:p w14:paraId="5EBDD88C" w14:textId="4E113533" w:rsidR="0072685A" w:rsidRPr="00426CC5" w:rsidRDefault="00492EA6" w:rsidP="002921DB">
            <w:pPr>
              <w:pStyle w:val="NormalCentered"/>
              <w:jc w:val="left"/>
              <w:rPr>
                <w:noProof/>
              </w:rPr>
            </w:pPr>
            <w:r w:rsidRPr="00426CC5">
              <w:rPr>
                <w:noProof/>
              </w:rPr>
              <w:t>Article 20</w:t>
            </w:r>
          </w:p>
        </w:tc>
      </w:tr>
      <w:tr w:rsidR="0072685A" w:rsidRPr="00426CC5" w14:paraId="07FB737D" w14:textId="77777777">
        <w:tc>
          <w:tcPr>
            <w:tcW w:w="3236" w:type="dxa"/>
            <w:tcBorders>
              <w:top w:val="single" w:sz="2" w:space="0" w:color="auto"/>
              <w:left w:val="single" w:sz="2" w:space="0" w:color="auto"/>
              <w:bottom w:val="single" w:sz="2" w:space="0" w:color="auto"/>
              <w:right w:val="single" w:sz="2" w:space="0" w:color="auto"/>
            </w:tcBorders>
          </w:tcPr>
          <w:p w14:paraId="039A0609" w14:textId="2B393203" w:rsidR="0072685A" w:rsidRPr="00426CC5" w:rsidRDefault="00492EA6" w:rsidP="002921DB">
            <w:pPr>
              <w:pStyle w:val="NormalCentered"/>
              <w:jc w:val="left"/>
              <w:rPr>
                <w:noProof/>
              </w:rPr>
            </w:pPr>
            <w:r w:rsidRPr="00426CC5">
              <w:rPr>
                <w:noProof/>
              </w:rPr>
              <w:t>Article 16</w:t>
            </w:r>
          </w:p>
        </w:tc>
        <w:tc>
          <w:tcPr>
            <w:tcW w:w="4657" w:type="dxa"/>
            <w:tcBorders>
              <w:top w:val="single" w:sz="2" w:space="0" w:color="auto"/>
              <w:left w:val="single" w:sz="2" w:space="0" w:color="auto"/>
              <w:bottom w:val="single" w:sz="2" w:space="0" w:color="auto"/>
              <w:right w:val="single" w:sz="2" w:space="0" w:color="auto"/>
            </w:tcBorders>
          </w:tcPr>
          <w:p w14:paraId="46E6313B" w14:textId="0E5CC75F" w:rsidR="0072685A" w:rsidRPr="00426CC5" w:rsidRDefault="00492EA6" w:rsidP="002921DB">
            <w:pPr>
              <w:pStyle w:val="NormalCentered"/>
              <w:jc w:val="left"/>
              <w:rPr>
                <w:noProof/>
              </w:rPr>
            </w:pPr>
            <w:r w:rsidRPr="00426CC5">
              <w:rPr>
                <w:noProof/>
              </w:rPr>
              <w:t>Article 21</w:t>
            </w:r>
          </w:p>
        </w:tc>
      </w:tr>
      <w:tr w:rsidR="0072685A" w:rsidRPr="00426CC5" w14:paraId="3BB7CBD2" w14:textId="77777777">
        <w:tc>
          <w:tcPr>
            <w:tcW w:w="3236" w:type="dxa"/>
            <w:tcBorders>
              <w:top w:val="single" w:sz="2" w:space="0" w:color="auto"/>
              <w:left w:val="single" w:sz="2" w:space="0" w:color="auto"/>
              <w:bottom w:val="single" w:sz="2" w:space="0" w:color="auto"/>
              <w:right w:val="single" w:sz="2" w:space="0" w:color="auto"/>
            </w:tcBorders>
          </w:tcPr>
          <w:p w14:paraId="65BCD1FC" w14:textId="13221CBC" w:rsidR="0072685A" w:rsidRPr="00426CC5" w:rsidRDefault="008D77B2" w:rsidP="002921DB">
            <w:pPr>
              <w:pStyle w:val="NormalCentered"/>
              <w:jc w:val="left"/>
              <w:rPr>
                <w:noProof/>
              </w:rPr>
            </w:pPr>
            <w:r w:rsidRPr="00426CC5">
              <w:rPr>
                <w:noProof/>
              </w:rPr>
              <w:t>Article 17</w:t>
            </w:r>
          </w:p>
        </w:tc>
        <w:tc>
          <w:tcPr>
            <w:tcW w:w="4657" w:type="dxa"/>
            <w:tcBorders>
              <w:top w:val="single" w:sz="2" w:space="0" w:color="auto"/>
              <w:left w:val="single" w:sz="2" w:space="0" w:color="auto"/>
              <w:bottom w:val="single" w:sz="2" w:space="0" w:color="auto"/>
              <w:right w:val="single" w:sz="2" w:space="0" w:color="auto"/>
            </w:tcBorders>
          </w:tcPr>
          <w:p w14:paraId="17D0AE34" w14:textId="1D938F06" w:rsidR="0072685A" w:rsidRPr="00426CC5" w:rsidRDefault="008D77B2" w:rsidP="002921DB">
            <w:pPr>
              <w:pStyle w:val="NormalCentered"/>
              <w:jc w:val="left"/>
              <w:rPr>
                <w:noProof/>
              </w:rPr>
            </w:pPr>
            <w:r w:rsidRPr="00426CC5">
              <w:rPr>
                <w:noProof/>
              </w:rPr>
              <w:t>Article 22</w:t>
            </w:r>
          </w:p>
        </w:tc>
      </w:tr>
      <w:tr w:rsidR="00492EA6" w:rsidRPr="00426CC5" w14:paraId="4FF5BD24" w14:textId="77777777">
        <w:tc>
          <w:tcPr>
            <w:tcW w:w="3236" w:type="dxa"/>
            <w:tcBorders>
              <w:top w:val="single" w:sz="2" w:space="0" w:color="auto"/>
              <w:left w:val="single" w:sz="2" w:space="0" w:color="auto"/>
              <w:bottom w:val="single" w:sz="2" w:space="0" w:color="auto"/>
              <w:right w:val="single" w:sz="2" w:space="0" w:color="auto"/>
            </w:tcBorders>
          </w:tcPr>
          <w:p w14:paraId="3BB00999" w14:textId="4B577E0E" w:rsidR="00492EA6" w:rsidRPr="00426CC5" w:rsidRDefault="00C87F49"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6D0215" w14:textId="19CC8BD9" w:rsidR="00492EA6" w:rsidRPr="00426CC5" w:rsidRDefault="00C87F49" w:rsidP="002921DB">
            <w:pPr>
              <w:pStyle w:val="NormalCentered"/>
              <w:jc w:val="left"/>
              <w:rPr>
                <w:noProof/>
              </w:rPr>
            </w:pPr>
            <w:r w:rsidRPr="00426CC5">
              <w:rPr>
                <w:noProof/>
              </w:rPr>
              <w:t>Article 23</w:t>
            </w:r>
          </w:p>
        </w:tc>
      </w:tr>
      <w:tr w:rsidR="00492EA6" w:rsidRPr="00426CC5" w14:paraId="19F3EE9F" w14:textId="77777777">
        <w:tc>
          <w:tcPr>
            <w:tcW w:w="3236" w:type="dxa"/>
            <w:tcBorders>
              <w:top w:val="single" w:sz="2" w:space="0" w:color="auto"/>
              <w:left w:val="single" w:sz="2" w:space="0" w:color="auto"/>
              <w:bottom w:val="single" w:sz="2" w:space="0" w:color="auto"/>
              <w:right w:val="single" w:sz="2" w:space="0" w:color="auto"/>
            </w:tcBorders>
          </w:tcPr>
          <w:p w14:paraId="231F663F" w14:textId="7F606300" w:rsidR="00492EA6" w:rsidRPr="00426CC5" w:rsidRDefault="00A23F32" w:rsidP="002921DB">
            <w:pPr>
              <w:pStyle w:val="NormalCentered"/>
              <w:jc w:val="left"/>
              <w:rPr>
                <w:noProof/>
              </w:rPr>
            </w:pPr>
            <w:r w:rsidRPr="00426CC5">
              <w:rPr>
                <w:noProof/>
              </w:rPr>
              <w:t>Article 18</w:t>
            </w:r>
          </w:p>
        </w:tc>
        <w:tc>
          <w:tcPr>
            <w:tcW w:w="4657" w:type="dxa"/>
            <w:tcBorders>
              <w:top w:val="single" w:sz="2" w:space="0" w:color="auto"/>
              <w:left w:val="single" w:sz="2" w:space="0" w:color="auto"/>
              <w:bottom w:val="single" w:sz="2" w:space="0" w:color="auto"/>
              <w:right w:val="single" w:sz="2" w:space="0" w:color="auto"/>
            </w:tcBorders>
          </w:tcPr>
          <w:p w14:paraId="06A24313" w14:textId="56C2782F" w:rsidR="00492EA6" w:rsidRPr="00426CC5" w:rsidRDefault="00A23F32" w:rsidP="002921DB">
            <w:pPr>
              <w:pStyle w:val="NormalCentered"/>
              <w:jc w:val="left"/>
              <w:rPr>
                <w:noProof/>
              </w:rPr>
            </w:pPr>
            <w:r w:rsidRPr="00426CC5">
              <w:rPr>
                <w:noProof/>
              </w:rPr>
              <w:t>Article 24</w:t>
            </w:r>
          </w:p>
        </w:tc>
      </w:tr>
      <w:tr w:rsidR="00492EA6" w:rsidRPr="00426CC5" w14:paraId="61094AAD" w14:textId="77777777">
        <w:tc>
          <w:tcPr>
            <w:tcW w:w="3236" w:type="dxa"/>
            <w:tcBorders>
              <w:top w:val="single" w:sz="2" w:space="0" w:color="auto"/>
              <w:left w:val="single" w:sz="2" w:space="0" w:color="auto"/>
              <w:bottom w:val="single" w:sz="2" w:space="0" w:color="auto"/>
              <w:right w:val="single" w:sz="2" w:space="0" w:color="auto"/>
            </w:tcBorders>
          </w:tcPr>
          <w:p w14:paraId="409607D8" w14:textId="33D27999" w:rsidR="00492EA6" w:rsidRPr="00426CC5" w:rsidRDefault="00A51D9B" w:rsidP="002921DB">
            <w:pPr>
              <w:pStyle w:val="NormalCentered"/>
              <w:jc w:val="left"/>
              <w:rPr>
                <w:noProof/>
              </w:rPr>
            </w:pPr>
            <w:r w:rsidRPr="00426CC5">
              <w:rPr>
                <w:noProof/>
              </w:rPr>
              <w:t>Article 19</w:t>
            </w:r>
          </w:p>
        </w:tc>
        <w:tc>
          <w:tcPr>
            <w:tcW w:w="4657" w:type="dxa"/>
            <w:tcBorders>
              <w:top w:val="single" w:sz="2" w:space="0" w:color="auto"/>
              <w:left w:val="single" w:sz="2" w:space="0" w:color="auto"/>
              <w:bottom w:val="single" w:sz="2" w:space="0" w:color="auto"/>
              <w:right w:val="single" w:sz="2" w:space="0" w:color="auto"/>
            </w:tcBorders>
          </w:tcPr>
          <w:p w14:paraId="56B7B78C" w14:textId="35866B3E" w:rsidR="00492EA6" w:rsidRPr="00426CC5" w:rsidRDefault="00A51D9B" w:rsidP="002921DB">
            <w:pPr>
              <w:pStyle w:val="NormalCentered"/>
              <w:jc w:val="left"/>
              <w:rPr>
                <w:noProof/>
              </w:rPr>
            </w:pPr>
            <w:r w:rsidRPr="00426CC5">
              <w:rPr>
                <w:noProof/>
              </w:rPr>
              <w:t>Article 25</w:t>
            </w:r>
          </w:p>
        </w:tc>
      </w:tr>
      <w:tr w:rsidR="00492EA6" w:rsidRPr="00426CC5" w14:paraId="70550D6F" w14:textId="77777777">
        <w:tc>
          <w:tcPr>
            <w:tcW w:w="3236" w:type="dxa"/>
            <w:tcBorders>
              <w:top w:val="single" w:sz="2" w:space="0" w:color="auto"/>
              <w:left w:val="single" w:sz="2" w:space="0" w:color="auto"/>
              <w:bottom w:val="single" w:sz="2" w:space="0" w:color="auto"/>
              <w:right w:val="single" w:sz="2" w:space="0" w:color="auto"/>
            </w:tcBorders>
          </w:tcPr>
          <w:p w14:paraId="269A624C" w14:textId="1D08FAD0" w:rsidR="00492EA6" w:rsidRPr="00426CC5" w:rsidRDefault="00A51D9B" w:rsidP="002921DB">
            <w:pPr>
              <w:pStyle w:val="NormalCentered"/>
              <w:jc w:val="left"/>
              <w:rPr>
                <w:noProof/>
              </w:rPr>
            </w:pPr>
            <w:r w:rsidRPr="00426CC5">
              <w:rPr>
                <w:noProof/>
              </w:rPr>
              <w:t>Article 19 </w:t>
            </w:r>
            <w:r w:rsidRPr="00426CC5">
              <w:rPr>
                <w:i/>
                <w:iCs/>
                <w:noProof/>
              </w:rPr>
              <w:t>bis</w:t>
            </w:r>
          </w:p>
        </w:tc>
        <w:tc>
          <w:tcPr>
            <w:tcW w:w="4657" w:type="dxa"/>
            <w:tcBorders>
              <w:top w:val="single" w:sz="2" w:space="0" w:color="auto"/>
              <w:left w:val="single" w:sz="2" w:space="0" w:color="auto"/>
              <w:bottom w:val="single" w:sz="2" w:space="0" w:color="auto"/>
              <w:right w:val="single" w:sz="2" w:space="0" w:color="auto"/>
            </w:tcBorders>
          </w:tcPr>
          <w:p w14:paraId="0BB9C206" w14:textId="0C082F30" w:rsidR="00492EA6" w:rsidRPr="00426CC5" w:rsidRDefault="00A51D9B" w:rsidP="002921DB">
            <w:pPr>
              <w:pStyle w:val="NormalCentered"/>
              <w:jc w:val="left"/>
              <w:rPr>
                <w:noProof/>
              </w:rPr>
            </w:pPr>
            <w:r w:rsidRPr="00426CC5">
              <w:rPr>
                <w:noProof/>
              </w:rPr>
              <w:t>—</w:t>
            </w:r>
          </w:p>
        </w:tc>
      </w:tr>
      <w:tr w:rsidR="00A51D9B" w:rsidRPr="00426CC5" w14:paraId="37A9F571" w14:textId="77777777">
        <w:tc>
          <w:tcPr>
            <w:tcW w:w="3236" w:type="dxa"/>
            <w:tcBorders>
              <w:top w:val="single" w:sz="2" w:space="0" w:color="auto"/>
              <w:left w:val="single" w:sz="2" w:space="0" w:color="auto"/>
              <w:bottom w:val="single" w:sz="2" w:space="0" w:color="auto"/>
              <w:right w:val="single" w:sz="2" w:space="0" w:color="auto"/>
            </w:tcBorders>
          </w:tcPr>
          <w:p w14:paraId="42B76442" w14:textId="42EB6DDE" w:rsidR="00A51D9B" w:rsidRPr="00426CC5" w:rsidRDefault="009330D6" w:rsidP="002921DB">
            <w:pPr>
              <w:pStyle w:val="NormalCentered"/>
              <w:jc w:val="left"/>
              <w:rPr>
                <w:noProof/>
              </w:rPr>
            </w:pPr>
            <w:r w:rsidRPr="00426CC5">
              <w:rPr>
                <w:noProof/>
              </w:rPr>
              <w:t>Article 20</w:t>
            </w:r>
          </w:p>
        </w:tc>
        <w:tc>
          <w:tcPr>
            <w:tcW w:w="4657" w:type="dxa"/>
            <w:tcBorders>
              <w:top w:val="single" w:sz="2" w:space="0" w:color="auto"/>
              <w:left w:val="single" w:sz="2" w:space="0" w:color="auto"/>
              <w:bottom w:val="single" w:sz="2" w:space="0" w:color="auto"/>
              <w:right w:val="single" w:sz="2" w:space="0" w:color="auto"/>
            </w:tcBorders>
          </w:tcPr>
          <w:p w14:paraId="108E218E" w14:textId="6D24599F" w:rsidR="00A51D9B" w:rsidRPr="00426CC5" w:rsidRDefault="009330D6" w:rsidP="002921DB">
            <w:pPr>
              <w:pStyle w:val="NormalCentered"/>
              <w:jc w:val="left"/>
              <w:rPr>
                <w:noProof/>
              </w:rPr>
            </w:pPr>
            <w:r w:rsidRPr="00426CC5">
              <w:rPr>
                <w:noProof/>
              </w:rPr>
              <w:t>Article 26</w:t>
            </w:r>
          </w:p>
        </w:tc>
      </w:tr>
      <w:tr w:rsidR="00A51D9B" w:rsidRPr="00426CC5" w14:paraId="24E6A9BA" w14:textId="77777777">
        <w:tc>
          <w:tcPr>
            <w:tcW w:w="3236" w:type="dxa"/>
            <w:tcBorders>
              <w:top w:val="single" w:sz="2" w:space="0" w:color="auto"/>
              <w:left w:val="single" w:sz="2" w:space="0" w:color="auto"/>
              <w:bottom w:val="single" w:sz="2" w:space="0" w:color="auto"/>
              <w:right w:val="single" w:sz="2" w:space="0" w:color="auto"/>
            </w:tcBorders>
          </w:tcPr>
          <w:p w14:paraId="0EB02881" w14:textId="5AE33526" w:rsidR="00A51D9B" w:rsidRPr="00426CC5" w:rsidRDefault="00703D02" w:rsidP="002921DB">
            <w:pPr>
              <w:pStyle w:val="NormalCentered"/>
              <w:jc w:val="left"/>
              <w:rPr>
                <w:noProof/>
              </w:rPr>
            </w:pPr>
            <w:r w:rsidRPr="00426CC5">
              <w:rPr>
                <w:noProof/>
              </w:rPr>
              <w:t>Article 21</w:t>
            </w:r>
          </w:p>
        </w:tc>
        <w:tc>
          <w:tcPr>
            <w:tcW w:w="4657" w:type="dxa"/>
            <w:tcBorders>
              <w:top w:val="single" w:sz="2" w:space="0" w:color="auto"/>
              <w:left w:val="single" w:sz="2" w:space="0" w:color="auto"/>
              <w:bottom w:val="single" w:sz="2" w:space="0" w:color="auto"/>
              <w:right w:val="single" w:sz="2" w:space="0" w:color="auto"/>
            </w:tcBorders>
          </w:tcPr>
          <w:p w14:paraId="170E913E" w14:textId="70E81F8C" w:rsidR="00A51D9B" w:rsidRPr="00426CC5" w:rsidRDefault="00703D02" w:rsidP="002921DB">
            <w:pPr>
              <w:pStyle w:val="NormalCentered"/>
              <w:jc w:val="left"/>
              <w:rPr>
                <w:noProof/>
              </w:rPr>
            </w:pPr>
            <w:r w:rsidRPr="00426CC5">
              <w:rPr>
                <w:noProof/>
              </w:rPr>
              <w:t>Article 27</w:t>
            </w:r>
          </w:p>
        </w:tc>
      </w:tr>
      <w:tr w:rsidR="00703D02" w:rsidRPr="00426CC5" w14:paraId="65A5B9FF" w14:textId="77777777">
        <w:tc>
          <w:tcPr>
            <w:tcW w:w="3236" w:type="dxa"/>
            <w:tcBorders>
              <w:top w:val="single" w:sz="2" w:space="0" w:color="auto"/>
              <w:left w:val="single" w:sz="2" w:space="0" w:color="auto"/>
              <w:bottom w:val="single" w:sz="2" w:space="0" w:color="auto"/>
              <w:right w:val="single" w:sz="2" w:space="0" w:color="auto"/>
            </w:tcBorders>
          </w:tcPr>
          <w:p w14:paraId="4B0805F5" w14:textId="5CE432FE" w:rsidR="00703D02" w:rsidRPr="00426CC5" w:rsidRDefault="00703D02" w:rsidP="002921DB">
            <w:pPr>
              <w:pStyle w:val="NormalCentered"/>
              <w:jc w:val="left"/>
              <w:rPr>
                <w:noProof/>
              </w:rPr>
            </w:pPr>
            <w:r w:rsidRPr="00426CC5">
              <w:rPr>
                <w:noProof/>
              </w:rPr>
              <w:t>Article 22</w:t>
            </w:r>
          </w:p>
        </w:tc>
        <w:tc>
          <w:tcPr>
            <w:tcW w:w="4657" w:type="dxa"/>
            <w:tcBorders>
              <w:top w:val="single" w:sz="2" w:space="0" w:color="auto"/>
              <w:left w:val="single" w:sz="2" w:space="0" w:color="auto"/>
              <w:bottom w:val="single" w:sz="2" w:space="0" w:color="auto"/>
              <w:right w:val="single" w:sz="2" w:space="0" w:color="auto"/>
            </w:tcBorders>
          </w:tcPr>
          <w:p w14:paraId="0DD95530" w14:textId="7F2900F5" w:rsidR="00703D02" w:rsidRPr="00426CC5" w:rsidRDefault="00703D02" w:rsidP="002921DB">
            <w:pPr>
              <w:pStyle w:val="NormalCentered"/>
              <w:jc w:val="left"/>
              <w:rPr>
                <w:noProof/>
              </w:rPr>
            </w:pPr>
            <w:r w:rsidRPr="00426CC5">
              <w:rPr>
                <w:noProof/>
              </w:rPr>
              <w:t>Article 28</w:t>
            </w:r>
          </w:p>
        </w:tc>
      </w:tr>
      <w:tr w:rsidR="00A51D9B" w:rsidRPr="00426CC5" w14:paraId="4B2E82F6" w14:textId="77777777">
        <w:tc>
          <w:tcPr>
            <w:tcW w:w="3236" w:type="dxa"/>
            <w:tcBorders>
              <w:top w:val="single" w:sz="2" w:space="0" w:color="auto"/>
              <w:left w:val="single" w:sz="2" w:space="0" w:color="auto"/>
              <w:bottom w:val="single" w:sz="2" w:space="0" w:color="auto"/>
              <w:right w:val="single" w:sz="2" w:space="0" w:color="auto"/>
            </w:tcBorders>
          </w:tcPr>
          <w:p w14:paraId="182B60C1" w14:textId="48FBBF2A" w:rsidR="00A51D9B" w:rsidRPr="00426CC5" w:rsidRDefault="00703D02" w:rsidP="002921DB">
            <w:pPr>
              <w:pStyle w:val="NormalCentered"/>
              <w:jc w:val="left"/>
              <w:rPr>
                <w:noProof/>
              </w:rPr>
            </w:pPr>
            <w:r w:rsidRPr="00426CC5">
              <w:rPr>
                <w:noProof/>
              </w:rPr>
              <w:t>Article 23</w:t>
            </w:r>
          </w:p>
        </w:tc>
        <w:tc>
          <w:tcPr>
            <w:tcW w:w="4657" w:type="dxa"/>
            <w:tcBorders>
              <w:top w:val="single" w:sz="2" w:space="0" w:color="auto"/>
              <w:left w:val="single" w:sz="2" w:space="0" w:color="auto"/>
              <w:bottom w:val="single" w:sz="2" w:space="0" w:color="auto"/>
              <w:right w:val="single" w:sz="2" w:space="0" w:color="auto"/>
            </w:tcBorders>
          </w:tcPr>
          <w:p w14:paraId="532B9CE3" w14:textId="702E59EF" w:rsidR="00A51D9B" w:rsidRPr="00426CC5" w:rsidRDefault="00703D02" w:rsidP="002921DB">
            <w:pPr>
              <w:pStyle w:val="NormalCentered"/>
              <w:jc w:val="left"/>
              <w:rPr>
                <w:noProof/>
              </w:rPr>
            </w:pPr>
            <w:r w:rsidRPr="00426CC5">
              <w:rPr>
                <w:noProof/>
              </w:rPr>
              <w:t>Article 29</w:t>
            </w:r>
          </w:p>
        </w:tc>
      </w:tr>
      <w:tr w:rsidR="00A51D9B" w:rsidRPr="00426CC5" w14:paraId="4DEBB354" w14:textId="77777777">
        <w:tc>
          <w:tcPr>
            <w:tcW w:w="3236" w:type="dxa"/>
            <w:tcBorders>
              <w:top w:val="single" w:sz="2" w:space="0" w:color="auto"/>
              <w:left w:val="single" w:sz="2" w:space="0" w:color="auto"/>
              <w:bottom w:val="single" w:sz="2" w:space="0" w:color="auto"/>
              <w:right w:val="single" w:sz="2" w:space="0" w:color="auto"/>
            </w:tcBorders>
          </w:tcPr>
          <w:p w14:paraId="488EEAAE" w14:textId="0116B280" w:rsidR="00A51D9B" w:rsidRPr="00426CC5" w:rsidRDefault="001403E0" w:rsidP="002921DB">
            <w:pPr>
              <w:pStyle w:val="NormalCentered"/>
              <w:jc w:val="left"/>
              <w:rPr>
                <w:noProof/>
              </w:rPr>
            </w:pPr>
            <w:r w:rsidRPr="00426CC5">
              <w:rPr>
                <w:noProof/>
              </w:rPr>
              <w:t>Article 26</w:t>
            </w:r>
          </w:p>
        </w:tc>
        <w:tc>
          <w:tcPr>
            <w:tcW w:w="4657" w:type="dxa"/>
            <w:tcBorders>
              <w:top w:val="single" w:sz="2" w:space="0" w:color="auto"/>
              <w:left w:val="single" w:sz="2" w:space="0" w:color="auto"/>
              <w:bottom w:val="single" w:sz="2" w:space="0" w:color="auto"/>
              <w:right w:val="single" w:sz="2" w:space="0" w:color="auto"/>
            </w:tcBorders>
          </w:tcPr>
          <w:p w14:paraId="2DCDDEDE" w14:textId="1F402EA6" w:rsidR="00A51D9B" w:rsidRPr="00426CC5" w:rsidRDefault="001403E0" w:rsidP="002921DB">
            <w:pPr>
              <w:pStyle w:val="NormalCentered"/>
              <w:jc w:val="left"/>
              <w:rPr>
                <w:noProof/>
              </w:rPr>
            </w:pPr>
            <w:r w:rsidRPr="00426CC5">
              <w:rPr>
                <w:noProof/>
              </w:rPr>
              <w:t>Article 30</w:t>
            </w:r>
          </w:p>
        </w:tc>
      </w:tr>
      <w:tr w:rsidR="00A51D9B" w:rsidRPr="00426CC5" w14:paraId="35F20990" w14:textId="77777777">
        <w:tc>
          <w:tcPr>
            <w:tcW w:w="3236" w:type="dxa"/>
            <w:tcBorders>
              <w:top w:val="single" w:sz="2" w:space="0" w:color="auto"/>
              <w:left w:val="single" w:sz="2" w:space="0" w:color="auto"/>
              <w:bottom w:val="single" w:sz="2" w:space="0" w:color="auto"/>
              <w:right w:val="single" w:sz="2" w:space="0" w:color="auto"/>
            </w:tcBorders>
          </w:tcPr>
          <w:p w14:paraId="6FB3DCA6" w14:textId="0BE991E9" w:rsidR="00A51D9B" w:rsidRPr="00426CC5" w:rsidRDefault="00034539" w:rsidP="002921DB">
            <w:pPr>
              <w:pStyle w:val="NormalCentered"/>
              <w:jc w:val="left"/>
              <w:rPr>
                <w:noProof/>
              </w:rPr>
            </w:pPr>
            <w:r w:rsidRPr="00426CC5">
              <w:rPr>
                <w:noProof/>
              </w:rPr>
              <w:t>Article 27</w:t>
            </w:r>
          </w:p>
        </w:tc>
        <w:tc>
          <w:tcPr>
            <w:tcW w:w="4657" w:type="dxa"/>
            <w:tcBorders>
              <w:top w:val="single" w:sz="2" w:space="0" w:color="auto"/>
              <w:left w:val="single" w:sz="2" w:space="0" w:color="auto"/>
              <w:bottom w:val="single" w:sz="2" w:space="0" w:color="auto"/>
              <w:right w:val="single" w:sz="2" w:space="0" w:color="auto"/>
            </w:tcBorders>
          </w:tcPr>
          <w:p w14:paraId="6224B9A0" w14:textId="43DBE8DE" w:rsidR="00A51D9B" w:rsidRPr="00426CC5" w:rsidRDefault="00034539" w:rsidP="002921DB">
            <w:pPr>
              <w:pStyle w:val="NormalCentered"/>
              <w:jc w:val="left"/>
              <w:rPr>
                <w:noProof/>
              </w:rPr>
            </w:pPr>
            <w:r w:rsidRPr="00426CC5">
              <w:rPr>
                <w:noProof/>
              </w:rPr>
              <w:t>Article 31</w:t>
            </w:r>
          </w:p>
        </w:tc>
      </w:tr>
      <w:tr w:rsidR="00034539" w:rsidRPr="00426CC5" w14:paraId="49D1B90B" w14:textId="77777777">
        <w:tc>
          <w:tcPr>
            <w:tcW w:w="3236" w:type="dxa"/>
            <w:tcBorders>
              <w:top w:val="single" w:sz="2" w:space="0" w:color="auto"/>
              <w:left w:val="single" w:sz="2" w:space="0" w:color="auto"/>
              <w:bottom w:val="single" w:sz="2" w:space="0" w:color="auto"/>
              <w:right w:val="single" w:sz="2" w:space="0" w:color="auto"/>
            </w:tcBorders>
          </w:tcPr>
          <w:p w14:paraId="7F6B7965" w14:textId="6F88E301" w:rsidR="00034539" w:rsidRPr="00426CC5" w:rsidRDefault="00541B98" w:rsidP="002921DB">
            <w:pPr>
              <w:pStyle w:val="NormalCentered"/>
              <w:jc w:val="left"/>
              <w:rPr>
                <w:noProof/>
              </w:rPr>
            </w:pPr>
            <w:r w:rsidRPr="00426CC5">
              <w:rPr>
                <w:noProof/>
              </w:rPr>
              <w:t>Article 28</w:t>
            </w:r>
          </w:p>
        </w:tc>
        <w:tc>
          <w:tcPr>
            <w:tcW w:w="4657" w:type="dxa"/>
            <w:tcBorders>
              <w:top w:val="single" w:sz="2" w:space="0" w:color="auto"/>
              <w:left w:val="single" w:sz="2" w:space="0" w:color="auto"/>
              <w:bottom w:val="single" w:sz="2" w:space="0" w:color="auto"/>
              <w:right w:val="single" w:sz="2" w:space="0" w:color="auto"/>
            </w:tcBorders>
          </w:tcPr>
          <w:p w14:paraId="591D083C" w14:textId="4B7D5E8C" w:rsidR="00034539" w:rsidRPr="00426CC5" w:rsidRDefault="00541B98" w:rsidP="002921DB">
            <w:pPr>
              <w:pStyle w:val="NormalCentered"/>
              <w:jc w:val="left"/>
              <w:rPr>
                <w:noProof/>
              </w:rPr>
            </w:pPr>
            <w:r w:rsidRPr="00426CC5">
              <w:rPr>
                <w:noProof/>
              </w:rPr>
              <w:t>Article 32</w:t>
            </w:r>
          </w:p>
        </w:tc>
      </w:tr>
      <w:tr w:rsidR="00034539" w:rsidRPr="00426CC5" w14:paraId="07070A85" w14:textId="77777777">
        <w:tc>
          <w:tcPr>
            <w:tcW w:w="3236" w:type="dxa"/>
            <w:tcBorders>
              <w:top w:val="single" w:sz="2" w:space="0" w:color="auto"/>
              <w:left w:val="single" w:sz="2" w:space="0" w:color="auto"/>
              <w:bottom w:val="single" w:sz="2" w:space="0" w:color="auto"/>
              <w:right w:val="single" w:sz="2" w:space="0" w:color="auto"/>
            </w:tcBorders>
          </w:tcPr>
          <w:p w14:paraId="2C496D28" w14:textId="770DE839" w:rsidR="00034539" w:rsidRPr="00426CC5" w:rsidRDefault="00541B98" w:rsidP="002921DB">
            <w:pPr>
              <w:pStyle w:val="NormalCentered"/>
              <w:jc w:val="left"/>
              <w:rPr>
                <w:noProof/>
              </w:rPr>
            </w:pPr>
            <w:r w:rsidRPr="00426CC5">
              <w:rPr>
                <w:noProof/>
              </w:rPr>
              <w:t>Article 29</w:t>
            </w:r>
          </w:p>
        </w:tc>
        <w:tc>
          <w:tcPr>
            <w:tcW w:w="4657" w:type="dxa"/>
            <w:tcBorders>
              <w:top w:val="single" w:sz="2" w:space="0" w:color="auto"/>
              <w:left w:val="single" w:sz="2" w:space="0" w:color="auto"/>
              <w:bottom w:val="single" w:sz="2" w:space="0" w:color="auto"/>
              <w:right w:val="single" w:sz="2" w:space="0" w:color="auto"/>
            </w:tcBorders>
          </w:tcPr>
          <w:p w14:paraId="17ED55F3" w14:textId="6271D019" w:rsidR="00034539" w:rsidRPr="00426CC5" w:rsidRDefault="00541B98" w:rsidP="002921DB">
            <w:pPr>
              <w:pStyle w:val="NormalCentered"/>
              <w:jc w:val="left"/>
              <w:rPr>
                <w:noProof/>
              </w:rPr>
            </w:pPr>
            <w:r w:rsidRPr="00426CC5">
              <w:rPr>
                <w:noProof/>
              </w:rPr>
              <w:t>Article 33</w:t>
            </w:r>
          </w:p>
        </w:tc>
      </w:tr>
      <w:tr w:rsidR="00034539" w:rsidRPr="00426CC5" w14:paraId="1C7670BF" w14:textId="77777777">
        <w:tc>
          <w:tcPr>
            <w:tcW w:w="3236" w:type="dxa"/>
            <w:tcBorders>
              <w:top w:val="single" w:sz="2" w:space="0" w:color="auto"/>
              <w:left w:val="single" w:sz="2" w:space="0" w:color="auto"/>
              <w:bottom w:val="single" w:sz="2" w:space="0" w:color="auto"/>
              <w:right w:val="single" w:sz="2" w:space="0" w:color="auto"/>
            </w:tcBorders>
          </w:tcPr>
          <w:p w14:paraId="10208EA2" w14:textId="798941AD" w:rsidR="00034539" w:rsidRPr="00426CC5" w:rsidRDefault="00541B98" w:rsidP="002921DB">
            <w:pPr>
              <w:pStyle w:val="NormalCentered"/>
              <w:jc w:val="left"/>
              <w:rPr>
                <w:noProof/>
              </w:rPr>
            </w:pPr>
            <w:r w:rsidRPr="00426CC5">
              <w:rPr>
                <w:noProof/>
              </w:rPr>
              <w:t>Article 30</w:t>
            </w:r>
          </w:p>
        </w:tc>
        <w:tc>
          <w:tcPr>
            <w:tcW w:w="4657" w:type="dxa"/>
            <w:tcBorders>
              <w:top w:val="single" w:sz="2" w:space="0" w:color="auto"/>
              <w:left w:val="single" w:sz="2" w:space="0" w:color="auto"/>
              <w:bottom w:val="single" w:sz="2" w:space="0" w:color="auto"/>
              <w:right w:val="single" w:sz="2" w:space="0" w:color="auto"/>
            </w:tcBorders>
          </w:tcPr>
          <w:p w14:paraId="4C0CA72E" w14:textId="51B9D369" w:rsidR="00034539" w:rsidRPr="00426CC5" w:rsidRDefault="00541B98" w:rsidP="002921DB">
            <w:pPr>
              <w:pStyle w:val="NormalCentered"/>
              <w:jc w:val="left"/>
              <w:rPr>
                <w:noProof/>
              </w:rPr>
            </w:pPr>
            <w:r w:rsidRPr="00426CC5">
              <w:rPr>
                <w:noProof/>
              </w:rPr>
              <w:t>Article 34</w:t>
            </w:r>
          </w:p>
        </w:tc>
      </w:tr>
      <w:tr w:rsidR="00034539" w:rsidRPr="00426CC5" w14:paraId="70C7F819" w14:textId="77777777">
        <w:tc>
          <w:tcPr>
            <w:tcW w:w="3236" w:type="dxa"/>
            <w:tcBorders>
              <w:top w:val="single" w:sz="2" w:space="0" w:color="auto"/>
              <w:left w:val="single" w:sz="2" w:space="0" w:color="auto"/>
              <w:bottom w:val="single" w:sz="2" w:space="0" w:color="auto"/>
              <w:right w:val="single" w:sz="2" w:space="0" w:color="auto"/>
            </w:tcBorders>
          </w:tcPr>
          <w:p w14:paraId="664B6400" w14:textId="79A69622" w:rsidR="00034539" w:rsidRPr="00426CC5" w:rsidRDefault="00541B98" w:rsidP="002921DB">
            <w:pPr>
              <w:pStyle w:val="NormalCentered"/>
              <w:jc w:val="left"/>
              <w:rPr>
                <w:noProof/>
              </w:rPr>
            </w:pPr>
            <w:r w:rsidRPr="00426CC5">
              <w:rPr>
                <w:noProof/>
              </w:rPr>
              <w:t>Article 31</w:t>
            </w:r>
          </w:p>
        </w:tc>
        <w:tc>
          <w:tcPr>
            <w:tcW w:w="4657" w:type="dxa"/>
            <w:tcBorders>
              <w:top w:val="single" w:sz="2" w:space="0" w:color="auto"/>
              <w:left w:val="single" w:sz="2" w:space="0" w:color="auto"/>
              <w:bottom w:val="single" w:sz="2" w:space="0" w:color="auto"/>
              <w:right w:val="single" w:sz="2" w:space="0" w:color="auto"/>
            </w:tcBorders>
          </w:tcPr>
          <w:p w14:paraId="75484690" w14:textId="5B2E620B" w:rsidR="00034539" w:rsidRPr="00426CC5" w:rsidRDefault="00541B98" w:rsidP="002921DB">
            <w:pPr>
              <w:pStyle w:val="NormalCentered"/>
              <w:jc w:val="left"/>
              <w:rPr>
                <w:noProof/>
              </w:rPr>
            </w:pPr>
            <w:r w:rsidRPr="00426CC5">
              <w:rPr>
                <w:noProof/>
              </w:rPr>
              <w:t>Article 35</w:t>
            </w:r>
          </w:p>
        </w:tc>
      </w:tr>
      <w:tr w:rsidR="00541B98" w:rsidRPr="00426CC5" w14:paraId="62284D69" w14:textId="77777777">
        <w:tc>
          <w:tcPr>
            <w:tcW w:w="3236" w:type="dxa"/>
            <w:tcBorders>
              <w:top w:val="single" w:sz="2" w:space="0" w:color="auto"/>
              <w:left w:val="single" w:sz="2" w:space="0" w:color="auto"/>
              <w:bottom w:val="single" w:sz="2" w:space="0" w:color="auto"/>
              <w:right w:val="single" w:sz="2" w:space="0" w:color="auto"/>
            </w:tcBorders>
          </w:tcPr>
          <w:p w14:paraId="14EE310A" w14:textId="1D051C86" w:rsidR="00541B98" w:rsidRPr="00426CC5" w:rsidRDefault="00CE16A1" w:rsidP="002921DB">
            <w:pPr>
              <w:pStyle w:val="NormalCentered"/>
              <w:jc w:val="left"/>
              <w:rPr>
                <w:noProof/>
              </w:rPr>
            </w:pPr>
            <w:r w:rsidRPr="00426CC5">
              <w:rPr>
                <w:noProof/>
              </w:rPr>
              <w:t>Annexe I</w:t>
            </w:r>
          </w:p>
        </w:tc>
        <w:tc>
          <w:tcPr>
            <w:tcW w:w="4657" w:type="dxa"/>
            <w:tcBorders>
              <w:top w:val="single" w:sz="2" w:space="0" w:color="auto"/>
              <w:left w:val="single" w:sz="2" w:space="0" w:color="auto"/>
              <w:bottom w:val="single" w:sz="2" w:space="0" w:color="auto"/>
              <w:right w:val="single" w:sz="2" w:space="0" w:color="auto"/>
            </w:tcBorders>
          </w:tcPr>
          <w:p w14:paraId="10DBFA91" w14:textId="1943AA57" w:rsidR="00541B98" w:rsidRPr="00426CC5" w:rsidRDefault="00CE16A1" w:rsidP="002921DB">
            <w:pPr>
              <w:pStyle w:val="NormalCentered"/>
              <w:jc w:val="left"/>
              <w:rPr>
                <w:noProof/>
              </w:rPr>
            </w:pPr>
            <w:r w:rsidRPr="00426CC5">
              <w:rPr>
                <w:noProof/>
              </w:rPr>
              <w:t>Annexe I</w:t>
            </w:r>
          </w:p>
        </w:tc>
      </w:tr>
      <w:tr w:rsidR="00541B98" w:rsidRPr="00426CC5" w14:paraId="76C6C3AE" w14:textId="77777777">
        <w:tc>
          <w:tcPr>
            <w:tcW w:w="3236" w:type="dxa"/>
            <w:tcBorders>
              <w:top w:val="single" w:sz="2" w:space="0" w:color="auto"/>
              <w:left w:val="single" w:sz="2" w:space="0" w:color="auto"/>
              <w:bottom w:val="single" w:sz="2" w:space="0" w:color="auto"/>
              <w:right w:val="single" w:sz="2" w:space="0" w:color="auto"/>
            </w:tcBorders>
          </w:tcPr>
          <w:p w14:paraId="37EC86E4" w14:textId="3C86C247" w:rsidR="00541B98" w:rsidRPr="00426CC5" w:rsidRDefault="009178A9"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07FFAE1A" w14:textId="1460F333" w:rsidR="00541B98" w:rsidRPr="00426CC5" w:rsidRDefault="00CE16A1" w:rsidP="002921DB">
            <w:pPr>
              <w:pStyle w:val="NormalCentered"/>
              <w:jc w:val="left"/>
              <w:rPr>
                <w:noProof/>
              </w:rPr>
            </w:pPr>
            <w:r w:rsidRPr="00426CC5">
              <w:rPr>
                <w:noProof/>
              </w:rPr>
              <w:t>Annexe II</w:t>
            </w:r>
          </w:p>
        </w:tc>
      </w:tr>
      <w:tr w:rsidR="00541B98" w:rsidRPr="00426CC5" w14:paraId="036D722E" w14:textId="77777777">
        <w:tc>
          <w:tcPr>
            <w:tcW w:w="3236" w:type="dxa"/>
            <w:tcBorders>
              <w:top w:val="single" w:sz="2" w:space="0" w:color="auto"/>
              <w:left w:val="single" w:sz="2" w:space="0" w:color="auto"/>
              <w:bottom w:val="single" w:sz="2" w:space="0" w:color="auto"/>
              <w:right w:val="single" w:sz="2" w:space="0" w:color="auto"/>
            </w:tcBorders>
          </w:tcPr>
          <w:p w14:paraId="1ADC544E" w14:textId="7CAAB72C" w:rsidR="00541B98" w:rsidRPr="00426CC5" w:rsidRDefault="009178A9"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119B0723" w14:textId="726DAE42" w:rsidR="00541B98" w:rsidRPr="00426CC5" w:rsidRDefault="00CE16A1" w:rsidP="002921DB">
            <w:pPr>
              <w:pStyle w:val="NormalCentered"/>
              <w:jc w:val="left"/>
              <w:rPr>
                <w:noProof/>
              </w:rPr>
            </w:pPr>
            <w:r w:rsidRPr="00426CC5">
              <w:rPr>
                <w:noProof/>
              </w:rPr>
              <w:t>Annexe III</w:t>
            </w:r>
          </w:p>
        </w:tc>
      </w:tr>
      <w:tr w:rsidR="00541B98" w:rsidRPr="00426CC5" w14:paraId="492555DE" w14:textId="77777777">
        <w:tc>
          <w:tcPr>
            <w:tcW w:w="3236" w:type="dxa"/>
            <w:tcBorders>
              <w:top w:val="single" w:sz="2" w:space="0" w:color="auto"/>
              <w:left w:val="single" w:sz="2" w:space="0" w:color="auto"/>
              <w:bottom w:val="single" w:sz="2" w:space="0" w:color="auto"/>
              <w:right w:val="single" w:sz="2" w:space="0" w:color="auto"/>
            </w:tcBorders>
          </w:tcPr>
          <w:p w14:paraId="49FE13F9" w14:textId="5794958F" w:rsidR="00541B98" w:rsidRPr="00426CC5" w:rsidRDefault="00F32B55" w:rsidP="002921DB">
            <w:pPr>
              <w:pStyle w:val="NormalCentered"/>
              <w:jc w:val="left"/>
              <w:rPr>
                <w:noProof/>
              </w:rPr>
            </w:pPr>
            <w:r w:rsidRPr="00426CC5">
              <w:rPr>
                <w:noProof/>
              </w:rPr>
              <w:t>Annexe I </w:t>
            </w:r>
            <w:r w:rsidRPr="00426CC5">
              <w:rPr>
                <w:i/>
                <w:iCs/>
                <w:noProof/>
              </w:rPr>
              <w:t>bis</w:t>
            </w:r>
          </w:p>
        </w:tc>
        <w:tc>
          <w:tcPr>
            <w:tcW w:w="4657" w:type="dxa"/>
            <w:tcBorders>
              <w:top w:val="single" w:sz="2" w:space="0" w:color="auto"/>
              <w:left w:val="single" w:sz="2" w:space="0" w:color="auto"/>
              <w:bottom w:val="single" w:sz="2" w:space="0" w:color="auto"/>
              <w:right w:val="single" w:sz="2" w:space="0" w:color="auto"/>
            </w:tcBorders>
          </w:tcPr>
          <w:p w14:paraId="3351187E" w14:textId="62CE0333" w:rsidR="00541B98" w:rsidRPr="00426CC5" w:rsidRDefault="00CE16A1" w:rsidP="002921DB">
            <w:pPr>
              <w:pStyle w:val="NormalCentered"/>
              <w:jc w:val="left"/>
              <w:rPr>
                <w:noProof/>
              </w:rPr>
            </w:pPr>
            <w:r w:rsidRPr="00426CC5">
              <w:rPr>
                <w:noProof/>
              </w:rPr>
              <w:t>Annexe IV</w:t>
            </w:r>
          </w:p>
        </w:tc>
      </w:tr>
      <w:tr w:rsidR="00541B98" w:rsidRPr="00426CC5" w14:paraId="6F921C64" w14:textId="77777777">
        <w:tc>
          <w:tcPr>
            <w:tcW w:w="3236" w:type="dxa"/>
            <w:tcBorders>
              <w:top w:val="single" w:sz="2" w:space="0" w:color="auto"/>
              <w:left w:val="single" w:sz="2" w:space="0" w:color="auto"/>
              <w:bottom w:val="single" w:sz="2" w:space="0" w:color="auto"/>
              <w:right w:val="single" w:sz="2" w:space="0" w:color="auto"/>
            </w:tcBorders>
          </w:tcPr>
          <w:p w14:paraId="7BA425A5" w14:textId="2FC2AB2D" w:rsidR="00541B98" w:rsidRPr="00426CC5" w:rsidRDefault="00FE4715" w:rsidP="002921DB">
            <w:pPr>
              <w:pStyle w:val="NormalCentered"/>
              <w:jc w:v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3452B11" w14:textId="168D1AC5" w:rsidR="00541B98" w:rsidRPr="00426CC5" w:rsidRDefault="00FE4715" w:rsidP="002921DB">
            <w:pPr>
              <w:pStyle w:val="NormalCentered"/>
              <w:jc w:val="left"/>
              <w:rPr>
                <w:noProof/>
              </w:rPr>
            </w:pPr>
            <w:r w:rsidRPr="00426CC5">
              <w:rPr>
                <w:noProof/>
              </w:rPr>
              <w:t>Annexe V</w:t>
            </w:r>
          </w:p>
        </w:tc>
      </w:tr>
      <w:tr w:rsidR="00541B98" w:rsidRPr="00426CC5" w14:paraId="51C5B794" w14:textId="77777777">
        <w:tc>
          <w:tcPr>
            <w:tcW w:w="3236" w:type="dxa"/>
            <w:tcBorders>
              <w:top w:val="single" w:sz="2" w:space="0" w:color="auto"/>
              <w:left w:val="single" w:sz="2" w:space="0" w:color="auto"/>
              <w:bottom w:val="single" w:sz="2" w:space="0" w:color="auto"/>
              <w:right w:val="single" w:sz="2" w:space="0" w:color="auto"/>
            </w:tcBorders>
          </w:tcPr>
          <w:p w14:paraId="7294515C" w14:textId="06A6D0C3" w:rsidR="00541B98" w:rsidRPr="00426CC5" w:rsidRDefault="00FE4715" w:rsidP="002921DB">
            <w:pPr>
              <w:pStyle w:val="NormalCentered"/>
              <w:jc w:val="left"/>
              <w:rPr>
                <w:noProof/>
              </w:rPr>
            </w:pPr>
            <w:r w:rsidRPr="00426CC5">
              <w:rPr>
                <w:noProof/>
              </w:rPr>
              <w:t>Annexe II</w:t>
            </w:r>
          </w:p>
        </w:tc>
        <w:tc>
          <w:tcPr>
            <w:tcW w:w="4657" w:type="dxa"/>
            <w:tcBorders>
              <w:top w:val="single" w:sz="2" w:space="0" w:color="auto"/>
              <w:left w:val="single" w:sz="2" w:space="0" w:color="auto"/>
              <w:bottom w:val="single" w:sz="2" w:space="0" w:color="auto"/>
              <w:right w:val="single" w:sz="2" w:space="0" w:color="auto"/>
            </w:tcBorders>
          </w:tcPr>
          <w:p w14:paraId="3F022EAF" w14:textId="090662F4" w:rsidR="00541B98" w:rsidRPr="00426CC5" w:rsidRDefault="00FE4715" w:rsidP="002921DB">
            <w:pPr>
              <w:pStyle w:val="NormalCentered"/>
              <w:jc w:val="left"/>
              <w:rPr>
                <w:noProof/>
              </w:rPr>
            </w:pPr>
            <w:r w:rsidRPr="00426CC5">
              <w:rPr>
                <w:noProof/>
              </w:rPr>
              <w:t>Annexe VI</w:t>
            </w:r>
          </w:p>
        </w:tc>
      </w:tr>
      <w:tr w:rsidR="00FE4715" w:rsidRPr="00426CC5" w14:paraId="35602B80" w14:textId="77777777">
        <w:tc>
          <w:tcPr>
            <w:tcW w:w="3236" w:type="dxa"/>
            <w:tcBorders>
              <w:top w:val="single" w:sz="2" w:space="0" w:color="auto"/>
              <w:left w:val="single" w:sz="2" w:space="0" w:color="auto"/>
              <w:bottom w:val="single" w:sz="2" w:space="0" w:color="auto"/>
              <w:right w:val="single" w:sz="2" w:space="0" w:color="auto"/>
            </w:tcBorders>
          </w:tcPr>
          <w:p w14:paraId="4D885A8D" w14:textId="1750E881" w:rsidR="00FE4715" w:rsidRPr="00426CC5" w:rsidRDefault="006C644F" w:rsidP="002921DB">
            <w:pPr>
              <w:pStyle w:val="NormalCentered"/>
              <w:jc w:val="left"/>
              <w:rPr>
                <w:noProof/>
              </w:rPr>
            </w:pPr>
            <w:r w:rsidRPr="00426CC5">
              <w:rPr>
                <w:noProof/>
              </w:rPr>
              <w:t>Annexe III</w:t>
            </w:r>
          </w:p>
        </w:tc>
        <w:tc>
          <w:tcPr>
            <w:tcW w:w="4657" w:type="dxa"/>
            <w:tcBorders>
              <w:top w:val="single" w:sz="2" w:space="0" w:color="auto"/>
              <w:left w:val="single" w:sz="2" w:space="0" w:color="auto"/>
              <w:bottom w:val="single" w:sz="2" w:space="0" w:color="auto"/>
              <w:right w:val="single" w:sz="2" w:space="0" w:color="auto"/>
            </w:tcBorders>
          </w:tcPr>
          <w:p w14:paraId="0306C27F" w14:textId="68671208" w:rsidR="00FE4715" w:rsidRPr="00426CC5" w:rsidRDefault="006C644F" w:rsidP="002921DB">
            <w:pPr>
              <w:pStyle w:val="NormalCentered"/>
              <w:jc w:val="left"/>
              <w:rPr>
                <w:noProof/>
              </w:rPr>
            </w:pPr>
            <w:r w:rsidRPr="00426CC5">
              <w:rPr>
                <w:noProof/>
              </w:rPr>
              <w:t>Annexe VII</w:t>
            </w:r>
          </w:p>
        </w:tc>
      </w:tr>
      <w:tr w:rsidR="00130982" w:rsidRPr="00426CC5" w14:paraId="4D971A98" w14:textId="77777777">
        <w:tc>
          <w:tcPr>
            <w:tcW w:w="3236" w:type="dxa"/>
            <w:tcBorders>
              <w:top w:val="single" w:sz="2" w:space="0" w:color="auto"/>
              <w:left w:val="single" w:sz="2" w:space="0" w:color="auto"/>
              <w:bottom w:val="single" w:sz="2" w:space="0" w:color="auto"/>
              <w:right w:val="single" w:sz="2" w:space="0" w:color="auto"/>
            </w:tcBorders>
          </w:tcPr>
          <w:p w14:paraId="31AE1BBF" w14:textId="025AD5D2" w:rsidR="00130982" w:rsidRPr="00426CC5" w:rsidRDefault="00130982" w:rsidP="002921DB">
            <w:pPr>
              <w:pStyle w:val="NormalCentered"/>
              <w:jc w:val="left"/>
              <w:rPr>
                <w:noProof/>
              </w:rPr>
            </w:pPr>
            <w:r w:rsidRPr="00426CC5">
              <w:rPr>
                <w:noProof/>
              </w:rPr>
              <w:t>Annexe IV</w:t>
            </w:r>
          </w:p>
        </w:tc>
        <w:tc>
          <w:tcPr>
            <w:tcW w:w="4657" w:type="dxa"/>
            <w:tcBorders>
              <w:top w:val="single" w:sz="2" w:space="0" w:color="auto"/>
              <w:left w:val="single" w:sz="2" w:space="0" w:color="auto"/>
              <w:bottom w:val="single" w:sz="2" w:space="0" w:color="auto"/>
              <w:right w:val="single" w:sz="2" w:space="0" w:color="auto"/>
            </w:tcBorders>
          </w:tcPr>
          <w:p w14:paraId="7F6B2C80" w14:textId="05F1700A" w:rsidR="00130982" w:rsidRPr="00426CC5" w:rsidRDefault="00130982" w:rsidP="002921DB">
            <w:pPr>
              <w:pStyle w:val="NormalCentered"/>
              <w:jc w:val="left"/>
              <w:rPr>
                <w:noProof/>
              </w:rPr>
            </w:pPr>
            <w:r w:rsidRPr="00426CC5">
              <w:rPr>
                <w:noProof/>
              </w:rPr>
              <w:t>Annexe VII</w:t>
            </w:r>
          </w:p>
        </w:tc>
      </w:tr>
      <w:tr w:rsidR="006C644F" w:rsidRPr="00426CC5" w14:paraId="2D2CD79B" w14:textId="77777777">
        <w:tc>
          <w:tcPr>
            <w:tcW w:w="3236" w:type="dxa"/>
            <w:tcBorders>
              <w:top w:val="single" w:sz="2" w:space="0" w:color="auto"/>
              <w:left w:val="single" w:sz="2" w:space="0" w:color="auto"/>
              <w:bottom w:val="single" w:sz="2" w:space="0" w:color="auto"/>
              <w:right w:val="single" w:sz="2" w:space="0" w:color="auto"/>
            </w:tcBorders>
          </w:tcPr>
          <w:p w14:paraId="6B7409E2" w14:textId="6E678AC4" w:rsidR="006C644F" w:rsidRPr="00426CC5" w:rsidRDefault="00130982" w:rsidP="002921DB">
            <w:pPr>
              <w:pStyle w:val="NormalCentered"/>
              <w:jc w:val="left"/>
              <w:rPr>
                <w:noProof/>
              </w:rPr>
            </w:pPr>
            <w:r w:rsidRPr="00426CC5">
              <w:rPr>
                <w:noProof/>
              </w:rPr>
              <w:t>Annexe V</w:t>
            </w:r>
          </w:p>
        </w:tc>
        <w:tc>
          <w:tcPr>
            <w:tcW w:w="4657" w:type="dxa"/>
            <w:tcBorders>
              <w:top w:val="single" w:sz="2" w:space="0" w:color="auto"/>
              <w:left w:val="single" w:sz="2" w:space="0" w:color="auto"/>
              <w:bottom w:val="single" w:sz="2" w:space="0" w:color="auto"/>
              <w:right w:val="single" w:sz="2" w:space="0" w:color="auto"/>
            </w:tcBorders>
          </w:tcPr>
          <w:p w14:paraId="5DAC119F" w14:textId="63E6FA25" w:rsidR="006C644F" w:rsidRPr="00426CC5" w:rsidRDefault="00130982" w:rsidP="002921DB">
            <w:pPr>
              <w:pStyle w:val="NormalCentered"/>
              <w:jc w:val="left"/>
              <w:rPr>
                <w:noProof/>
              </w:rPr>
            </w:pPr>
            <w:r w:rsidRPr="00426CC5">
              <w:rPr>
                <w:noProof/>
              </w:rPr>
              <w:t>Annexe IX</w:t>
            </w:r>
          </w:p>
        </w:tc>
      </w:tr>
      <w:tr w:rsidR="000448D2" w:rsidRPr="00426CC5" w14:paraId="6B3C1DB8" w14:textId="77777777">
        <w:tc>
          <w:tcPr>
            <w:tcW w:w="3236" w:type="dxa"/>
            <w:tcBorders>
              <w:top w:val="single" w:sz="2" w:space="0" w:color="auto"/>
              <w:left w:val="single" w:sz="2" w:space="0" w:color="auto"/>
              <w:bottom w:val="single" w:sz="2" w:space="0" w:color="auto"/>
              <w:right w:val="single" w:sz="2" w:space="0" w:color="auto"/>
            </w:tcBorders>
          </w:tcPr>
          <w:p w14:paraId="6B3C1DB6" w14:textId="77777777" w:rsidR="000448D2" w:rsidRPr="00426CC5" w:rsidRDefault="000448D2">
            <w:pPr>
              <w:pStyle w:val="NormalLeft"/>
              <w:rPr>
                <w:noProof/>
              </w:rPr>
            </w:pPr>
            <w:r w:rsidRPr="00426CC5">
              <w:rPr>
                <w:rStyle w:val="CRDeleted"/>
                <w:noProof/>
              </w:rPr>
              <w:t>Article 1er</w:t>
            </w:r>
          </w:p>
        </w:tc>
        <w:tc>
          <w:tcPr>
            <w:tcW w:w="4657" w:type="dxa"/>
            <w:tcBorders>
              <w:top w:val="single" w:sz="2" w:space="0" w:color="auto"/>
              <w:left w:val="single" w:sz="2" w:space="0" w:color="auto"/>
              <w:bottom w:val="single" w:sz="2" w:space="0" w:color="auto"/>
              <w:right w:val="single" w:sz="2" w:space="0" w:color="auto"/>
            </w:tcBorders>
          </w:tcPr>
          <w:p w14:paraId="6B3C1DB7" w14:textId="77777777" w:rsidR="000448D2" w:rsidRPr="00426CC5" w:rsidRDefault="000448D2">
            <w:pPr>
              <w:pStyle w:val="NormalLeft"/>
              <w:rPr>
                <w:noProof/>
              </w:rPr>
            </w:pPr>
            <w:r w:rsidRPr="00426CC5">
              <w:rPr>
                <w:rStyle w:val="CRDeleted"/>
                <w:noProof/>
              </w:rPr>
              <w:t>Article 1er</w:t>
            </w:r>
          </w:p>
        </w:tc>
      </w:tr>
      <w:tr w:rsidR="000448D2" w:rsidRPr="00426CC5" w14:paraId="6B3C1DBB" w14:textId="77777777">
        <w:tc>
          <w:tcPr>
            <w:tcW w:w="3236" w:type="dxa"/>
            <w:tcBorders>
              <w:top w:val="single" w:sz="2" w:space="0" w:color="auto"/>
              <w:left w:val="single" w:sz="2" w:space="0" w:color="auto"/>
              <w:bottom w:val="single" w:sz="2" w:space="0" w:color="auto"/>
              <w:right w:val="single" w:sz="2" w:space="0" w:color="auto"/>
            </w:tcBorders>
          </w:tcPr>
          <w:p w14:paraId="6B3C1DB9" w14:textId="77777777" w:rsidR="000448D2" w:rsidRPr="00426CC5" w:rsidRDefault="000448D2">
            <w:pPr>
              <w:pStyle w:val="NormalLeft"/>
              <w:rPr>
                <w:noProof/>
              </w:rPr>
            </w:pPr>
            <w:r w:rsidRPr="00426CC5">
              <w:rPr>
                <w:rStyle w:val="CRDeleted"/>
                <w:noProof/>
              </w:rPr>
              <w:t>Article 2, point 1)</w:t>
            </w:r>
          </w:p>
        </w:tc>
        <w:tc>
          <w:tcPr>
            <w:tcW w:w="4657" w:type="dxa"/>
            <w:tcBorders>
              <w:top w:val="single" w:sz="2" w:space="0" w:color="auto"/>
              <w:left w:val="single" w:sz="2" w:space="0" w:color="auto"/>
              <w:bottom w:val="single" w:sz="2" w:space="0" w:color="auto"/>
              <w:right w:val="single" w:sz="2" w:space="0" w:color="auto"/>
            </w:tcBorders>
          </w:tcPr>
          <w:p w14:paraId="6B3C1DBA" w14:textId="77777777" w:rsidR="000448D2" w:rsidRPr="00426CC5" w:rsidRDefault="000448D2">
            <w:pPr>
              <w:pStyle w:val="NormalLeft"/>
              <w:rPr>
                <w:noProof/>
              </w:rPr>
            </w:pPr>
            <w:r w:rsidRPr="00426CC5">
              <w:rPr>
                <w:rStyle w:val="CRDeleted"/>
                <w:noProof/>
              </w:rPr>
              <w:t>Article 2, point 1)</w:t>
            </w:r>
          </w:p>
        </w:tc>
      </w:tr>
      <w:tr w:rsidR="000448D2" w:rsidRPr="00426CC5" w14:paraId="6B3C1DBE" w14:textId="77777777">
        <w:tc>
          <w:tcPr>
            <w:tcW w:w="3236" w:type="dxa"/>
            <w:tcBorders>
              <w:top w:val="single" w:sz="2" w:space="0" w:color="auto"/>
              <w:left w:val="single" w:sz="2" w:space="0" w:color="auto"/>
              <w:bottom w:val="single" w:sz="2" w:space="0" w:color="auto"/>
              <w:right w:val="single" w:sz="2" w:space="0" w:color="auto"/>
            </w:tcBorders>
          </w:tcPr>
          <w:p w14:paraId="6B3C1DBC"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BD" w14:textId="77777777" w:rsidR="000448D2" w:rsidRPr="00426CC5" w:rsidRDefault="000448D2">
            <w:pPr>
              <w:pStyle w:val="NormalLeft"/>
              <w:rPr>
                <w:noProof/>
              </w:rPr>
            </w:pPr>
            <w:r w:rsidRPr="00426CC5">
              <w:rPr>
                <w:rStyle w:val="CRDeleted"/>
                <w:noProof/>
              </w:rPr>
              <w:t>Article 2, points 2) et 3)</w:t>
            </w:r>
          </w:p>
        </w:tc>
      </w:tr>
      <w:tr w:rsidR="000448D2" w:rsidRPr="00426CC5" w14:paraId="6B3C1DC1" w14:textId="77777777">
        <w:tc>
          <w:tcPr>
            <w:tcW w:w="3236" w:type="dxa"/>
            <w:tcBorders>
              <w:top w:val="single" w:sz="2" w:space="0" w:color="auto"/>
              <w:left w:val="single" w:sz="2" w:space="0" w:color="auto"/>
              <w:bottom w:val="single" w:sz="2" w:space="0" w:color="auto"/>
              <w:right w:val="single" w:sz="2" w:space="0" w:color="auto"/>
            </w:tcBorders>
          </w:tcPr>
          <w:p w14:paraId="6B3C1DBF" w14:textId="77777777" w:rsidR="000448D2" w:rsidRPr="00426CC5" w:rsidRDefault="000448D2">
            <w:pPr>
              <w:pStyle w:val="NormalLeft"/>
              <w:rPr>
                <w:noProof/>
              </w:rPr>
            </w:pPr>
            <w:r w:rsidRPr="00426CC5">
              <w:rPr>
                <w:rStyle w:val="CRDeleted"/>
                <w:noProof/>
              </w:rPr>
              <w:t>Article 2, point 2)</w:t>
            </w:r>
          </w:p>
        </w:tc>
        <w:tc>
          <w:tcPr>
            <w:tcW w:w="4657" w:type="dxa"/>
            <w:tcBorders>
              <w:top w:val="single" w:sz="2" w:space="0" w:color="auto"/>
              <w:left w:val="single" w:sz="2" w:space="0" w:color="auto"/>
              <w:bottom w:val="single" w:sz="2" w:space="0" w:color="auto"/>
              <w:right w:val="single" w:sz="2" w:space="0" w:color="auto"/>
            </w:tcBorders>
          </w:tcPr>
          <w:p w14:paraId="6B3C1DC0" w14:textId="77777777" w:rsidR="000448D2" w:rsidRPr="00426CC5" w:rsidRDefault="000448D2">
            <w:pPr>
              <w:pStyle w:val="NormalLeft"/>
              <w:rPr>
                <w:noProof/>
              </w:rPr>
            </w:pPr>
            <w:r w:rsidRPr="00426CC5">
              <w:rPr>
                <w:rStyle w:val="CRDeleted"/>
                <w:noProof/>
              </w:rPr>
              <w:t>Article 2, point 4), et annexe I</w:t>
            </w:r>
          </w:p>
        </w:tc>
      </w:tr>
      <w:tr w:rsidR="000448D2" w:rsidRPr="00426CC5" w14:paraId="6B3C1DC4" w14:textId="77777777">
        <w:tc>
          <w:tcPr>
            <w:tcW w:w="3236" w:type="dxa"/>
            <w:tcBorders>
              <w:top w:val="single" w:sz="2" w:space="0" w:color="auto"/>
              <w:left w:val="single" w:sz="2" w:space="0" w:color="auto"/>
              <w:bottom w:val="single" w:sz="2" w:space="0" w:color="auto"/>
              <w:right w:val="single" w:sz="2" w:space="0" w:color="auto"/>
            </w:tcBorders>
          </w:tcPr>
          <w:p w14:paraId="6B3C1DC2"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C3" w14:textId="77777777" w:rsidR="000448D2" w:rsidRPr="00426CC5" w:rsidRDefault="000448D2">
            <w:pPr>
              <w:pStyle w:val="NormalLeft"/>
              <w:rPr>
                <w:noProof/>
              </w:rPr>
            </w:pPr>
            <w:r w:rsidRPr="00426CC5">
              <w:rPr>
                <w:rStyle w:val="CRDeleted"/>
                <w:noProof/>
              </w:rPr>
              <w:t>Article 2, points 5), 6), 7), 8), 9), 10) et 11)</w:t>
            </w:r>
          </w:p>
        </w:tc>
      </w:tr>
      <w:tr w:rsidR="000448D2" w:rsidRPr="00426CC5" w14:paraId="6B3C1DC7" w14:textId="77777777">
        <w:tc>
          <w:tcPr>
            <w:tcW w:w="3236" w:type="dxa"/>
            <w:tcBorders>
              <w:top w:val="single" w:sz="2" w:space="0" w:color="auto"/>
              <w:left w:val="single" w:sz="2" w:space="0" w:color="auto"/>
              <w:bottom w:val="single" w:sz="2" w:space="0" w:color="auto"/>
              <w:right w:val="single" w:sz="2" w:space="0" w:color="auto"/>
            </w:tcBorders>
          </w:tcPr>
          <w:p w14:paraId="6B3C1DC5" w14:textId="77777777" w:rsidR="000448D2" w:rsidRPr="00426CC5" w:rsidRDefault="000448D2">
            <w:pPr>
              <w:pStyle w:val="NormalLeft"/>
              <w:rPr>
                <w:noProof/>
              </w:rPr>
            </w:pPr>
            <w:r w:rsidRPr="00426CC5">
              <w:rPr>
                <w:rStyle w:val="CRDeleted"/>
                <w:noProof/>
              </w:rPr>
              <w:t>Article 2, point 3)</w:t>
            </w:r>
          </w:p>
        </w:tc>
        <w:tc>
          <w:tcPr>
            <w:tcW w:w="4657" w:type="dxa"/>
            <w:tcBorders>
              <w:top w:val="single" w:sz="2" w:space="0" w:color="auto"/>
              <w:left w:val="single" w:sz="2" w:space="0" w:color="auto"/>
              <w:bottom w:val="single" w:sz="2" w:space="0" w:color="auto"/>
              <w:right w:val="single" w:sz="2" w:space="0" w:color="auto"/>
            </w:tcBorders>
          </w:tcPr>
          <w:p w14:paraId="6B3C1DC6" w14:textId="77777777" w:rsidR="000448D2" w:rsidRPr="00426CC5" w:rsidRDefault="000448D2">
            <w:pPr>
              <w:pStyle w:val="NormalLeft"/>
              <w:rPr>
                <w:noProof/>
              </w:rPr>
            </w:pPr>
            <w:r w:rsidRPr="00426CC5">
              <w:rPr>
                <w:rStyle w:val="CRDeleted"/>
                <w:noProof/>
              </w:rPr>
              <w:t>Article 2, point 12)</w:t>
            </w:r>
          </w:p>
        </w:tc>
      </w:tr>
      <w:tr w:rsidR="000448D2" w:rsidRPr="00426CC5" w14:paraId="6B3C1DCA" w14:textId="77777777">
        <w:tc>
          <w:tcPr>
            <w:tcW w:w="3236" w:type="dxa"/>
            <w:tcBorders>
              <w:top w:val="single" w:sz="2" w:space="0" w:color="auto"/>
              <w:left w:val="single" w:sz="2" w:space="0" w:color="auto"/>
              <w:bottom w:val="single" w:sz="2" w:space="0" w:color="auto"/>
              <w:right w:val="single" w:sz="2" w:space="0" w:color="auto"/>
            </w:tcBorders>
          </w:tcPr>
          <w:p w14:paraId="6B3C1DC8" w14:textId="77777777" w:rsidR="000448D2" w:rsidRPr="00426CC5" w:rsidRDefault="000448D2">
            <w:pPr>
              <w:pStyle w:val="NormalLeft"/>
              <w:rPr>
                <w:noProof/>
              </w:rPr>
            </w:pPr>
            <w:r w:rsidRPr="00426CC5">
              <w:rPr>
                <w:rStyle w:val="CRDeleted"/>
                <w:noProof/>
              </w:rPr>
              <w:t>Article 2, point 4)</w:t>
            </w:r>
          </w:p>
        </w:tc>
        <w:tc>
          <w:tcPr>
            <w:tcW w:w="4657" w:type="dxa"/>
            <w:tcBorders>
              <w:top w:val="single" w:sz="2" w:space="0" w:color="auto"/>
              <w:left w:val="single" w:sz="2" w:space="0" w:color="auto"/>
              <w:bottom w:val="single" w:sz="2" w:space="0" w:color="auto"/>
              <w:right w:val="single" w:sz="2" w:space="0" w:color="auto"/>
            </w:tcBorders>
          </w:tcPr>
          <w:p w14:paraId="6B3C1DC9" w14:textId="77777777" w:rsidR="000448D2" w:rsidRPr="00426CC5" w:rsidRDefault="000448D2">
            <w:pPr>
              <w:pStyle w:val="NormalLeft"/>
              <w:rPr>
                <w:noProof/>
              </w:rPr>
            </w:pPr>
            <w:r w:rsidRPr="00426CC5">
              <w:rPr>
                <w:rStyle w:val="CRDeleted"/>
                <w:noProof/>
              </w:rPr>
              <w:t>Article 2, point 13)</w:t>
            </w:r>
          </w:p>
        </w:tc>
      </w:tr>
      <w:tr w:rsidR="000448D2" w:rsidRPr="00426CC5" w14:paraId="6B3C1DCD" w14:textId="77777777">
        <w:tc>
          <w:tcPr>
            <w:tcW w:w="3236" w:type="dxa"/>
            <w:tcBorders>
              <w:top w:val="single" w:sz="2" w:space="0" w:color="auto"/>
              <w:left w:val="single" w:sz="2" w:space="0" w:color="auto"/>
              <w:bottom w:val="single" w:sz="2" w:space="0" w:color="auto"/>
              <w:right w:val="single" w:sz="2" w:space="0" w:color="auto"/>
            </w:tcBorders>
          </w:tcPr>
          <w:p w14:paraId="6B3C1DCB"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CC" w14:textId="77777777" w:rsidR="000448D2" w:rsidRPr="00426CC5" w:rsidRDefault="000448D2">
            <w:pPr>
              <w:pStyle w:val="NormalLeft"/>
              <w:rPr>
                <w:noProof/>
              </w:rPr>
            </w:pPr>
            <w:r w:rsidRPr="00426CC5">
              <w:rPr>
                <w:rStyle w:val="CRDeleted"/>
                <w:noProof/>
              </w:rPr>
              <w:t>Article 2, point 14)</w:t>
            </w:r>
          </w:p>
        </w:tc>
      </w:tr>
      <w:tr w:rsidR="000448D2" w:rsidRPr="00426CC5" w14:paraId="6B3C1DD0" w14:textId="77777777">
        <w:tc>
          <w:tcPr>
            <w:tcW w:w="3236" w:type="dxa"/>
            <w:tcBorders>
              <w:top w:val="single" w:sz="2" w:space="0" w:color="auto"/>
              <w:left w:val="single" w:sz="2" w:space="0" w:color="auto"/>
              <w:bottom w:val="single" w:sz="2" w:space="0" w:color="auto"/>
              <w:right w:val="single" w:sz="2" w:space="0" w:color="auto"/>
            </w:tcBorders>
          </w:tcPr>
          <w:p w14:paraId="6B3C1DCE" w14:textId="77777777" w:rsidR="000448D2" w:rsidRPr="00426CC5" w:rsidRDefault="000448D2">
            <w:pPr>
              <w:pStyle w:val="NormalLeft"/>
              <w:rPr>
                <w:noProof/>
              </w:rPr>
            </w:pPr>
            <w:r w:rsidRPr="00426CC5">
              <w:rPr>
                <w:rStyle w:val="CRDeleted"/>
                <w:noProof/>
              </w:rPr>
              <w:t>Article 2, point 5)</w:t>
            </w:r>
          </w:p>
        </w:tc>
        <w:tc>
          <w:tcPr>
            <w:tcW w:w="4657" w:type="dxa"/>
            <w:tcBorders>
              <w:top w:val="single" w:sz="2" w:space="0" w:color="auto"/>
              <w:left w:val="single" w:sz="2" w:space="0" w:color="auto"/>
              <w:bottom w:val="single" w:sz="2" w:space="0" w:color="auto"/>
              <w:right w:val="single" w:sz="2" w:space="0" w:color="auto"/>
            </w:tcBorders>
          </w:tcPr>
          <w:p w14:paraId="6B3C1DCF" w14:textId="77777777" w:rsidR="000448D2" w:rsidRPr="00426CC5" w:rsidRDefault="000448D2">
            <w:pPr>
              <w:pStyle w:val="NormalLeft"/>
              <w:rPr>
                <w:noProof/>
              </w:rPr>
            </w:pPr>
            <w:r w:rsidRPr="00426CC5">
              <w:rPr>
                <w:rStyle w:val="CRDeleted"/>
                <w:noProof/>
              </w:rPr>
              <w:t>Article 2, point 15)</w:t>
            </w:r>
          </w:p>
        </w:tc>
      </w:tr>
      <w:tr w:rsidR="000448D2" w:rsidRPr="00426CC5" w14:paraId="6B3C1DD3" w14:textId="77777777">
        <w:tc>
          <w:tcPr>
            <w:tcW w:w="3236" w:type="dxa"/>
            <w:tcBorders>
              <w:top w:val="single" w:sz="2" w:space="0" w:color="auto"/>
              <w:left w:val="single" w:sz="2" w:space="0" w:color="auto"/>
              <w:bottom w:val="single" w:sz="2" w:space="0" w:color="auto"/>
              <w:right w:val="single" w:sz="2" w:space="0" w:color="auto"/>
            </w:tcBorders>
          </w:tcPr>
          <w:p w14:paraId="6B3C1DD1" w14:textId="77777777" w:rsidR="000448D2" w:rsidRPr="00426CC5" w:rsidRDefault="000448D2">
            <w:pPr>
              <w:pStyle w:val="NormalLeft"/>
              <w:rPr>
                <w:noProof/>
              </w:rPr>
            </w:pPr>
            <w:r w:rsidRPr="00426CC5">
              <w:rPr>
                <w:rStyle w:val="CRDeleted"/>
                <w:noProof/>
              </w:rPr>
              <w:t>Article 2, point 6)</w:t>
            </w:r>
          </w:p>
        </w:tc>
        <w:tc>
          <w:tcPr>
            <w:tcW w:w="4657" w:type="dxa"/>
            <w:tcBorders>
              <w:top w:val="single" w:sz="2" w:space="0" w:color="auto"/>
              <w:left w:val="single" w:sz="2" w:space="0" w:color="auto"/>
              <w:bottom w:val="single" w:sz="2" w:space="0" w:color="auto"/>
              <w:right w:val="single" w:sz="2" w:space="0" w:color="auto"/>
            </w:tcBorders>
          </w:tcPr>
          <w:p w14:paraId="6B3C1DD2" w14:textId="77777777" w:rsidR="000448D2" w:rsidRPr="00426CC5" w:rsidRDefault="000448D2">
            <w:pPr>
              <w:pStyle w:val="NormalLeft"/>
              <w:rPr>
                <w:noProof/>
              </w:rPr>
            </w:pPr>
            <w:r w:rsidRPr="00426CC5">
              <w:rPr>
                <w:rStyle w:val="CRDeleted"/>
                <w:noProof/>
              </w:rPr>
              <w:t>Article 2, point 16)</w:t>
            </w:r>
          </w:p>
        </w:tc>
      </w:tr>
      <w:tr w:rsidR="000448D2" w:rsidRPr="00426CC5" w14:paraId="6B3C1DD6" w14:textId="77777777">
        <w:tc>
          <w:tcPr>
            <w:tcW w:w="3236" w:type="dxa"/>
            <w:tcBorders>
              <w:top w:val="single" w:sz="2" w:space="0" w:color="auto"/>
              <w:left w:val="single" w:sz="2" w:space="0" w:color="auto"/>
              <w:bottom w:val="single" w:sz="2" w:space="0" w:color="auto"/>
              <w:right w:val="single" w:sz="2" w:space="0" w:color="auto"/>
            </w:tcBorders>
          </w:tcPr>
          <w:p w14:paraId="6B3C1DD4" w14:textId="77777777" w:rsidR="000448D2" w:rsidRPr="00426CC5" w:rsidRDefault="000448D2">
            <w:pPr>
              <w:pStyle w:val="NormalLeft"/>
              <w:rPr>
                <w:noProof/>
              </w:rPr>
            </w:pPr>
            <w:r w:rsidRPr="00426CC5">
              <w:rPr>
                <w:rStyle w:val="CRDeleted"/>
                <w:noProof/>
              </w:rPr>
              <w:t>Article 2, point 7)</w:t>
            </w:r>
          </w:p>
        </w:tc>
        <w:tc>
          <w:tcPr>
            <w:tcW w:w="4657" w:type="dxa"/>
            <w:tcBorders>
              <w:top w:val="single" w:sz="2" w:space="0" w:color="auto"/>
              <w:left w:val="single" w:sz="2" w:space="0" w:color="auto"/>
              <w:bottom w:val="single" w:sz="2" w:space="0" w:color="auto"/>
              <w:right w:val="single" w:sz="2" w:space="0" w:color="auto"/>
            </w:tcBorders>
          </w:tcPr>
          <w:p w14:paraId="6B3C1DD5" w14:textId="77777777" w:rsidR="000448D2" w:rsidRPr="00426CC5" w:rsidRDefault="000448D2">
            <w:pPr>
              <w:pStyle w:val="NormalLeft"/>
              <w:rPr>
                <w:noProof/>
              </w:rPr>
            </w:pPr>
            <w:r w:rsidRPr="00426CC5">
              <w:rPr>
                <w:rStyle w:val="CRDeleted"/>
                <w:noProof/>
              </w:rPr>
              <w:t>Article 2, point 17)</w:t>
            </w:r>
          </w:p>
        </w:tc>
      </w:tr>
      <w:tr w:rsidR="000448D2" w:rsidRPr="00426CC5" w14:paraId="6B3C1DD9" w14:textId="77777777">
        <w:tc>
          <w:tcPr>
            <w:tcW w:w="3236" w:type="dxa"/>
            <w:tcBorders>
              <w:top w:val="single" w:sz="2" w:space="0" w:color="auto"/>
              <w:left w:val="single" w:sz="2" w:space="0" w:color="auto"/>
              <w:bottom w:val="single" w:sz="2" w:space="0" w:color="auto"/>
              <w:right w:val="single" w:sz="2" w:space="0" w:color="auto"/>
            </w:tcBorders>
          </w:tcPr>
          <w:p w14:paraId="6B3C1DD7" w14:textId="77777777" w:rsidR="000448D2" w:rsidRPr="00426CC5" w:rsidRDefault="000448D2">
            <w:pPr>
              <w:pStyle w:val="NormalLeft"/>
              <w:rPr>
                <w:noProof/>
              </w:rPr>
            </w:pPr>
            <w:r w:rsidRPr="00426CC5">
              <w:rPr>
                <w:rStyle w:val="CRDeleted"/>
                <w:noProof/>
              </w:rPr>
              <w:t>Article 2, point 8)</w:t>
            </w:r>
          </w:p>
        </w:tc>
        <w:tc>
          <w:tcPr>
            <w:tcW w:w="4657" w:type="dxa"/>
            <w:tcBorders>
              <w:top w:val="single" w:sz="2" w:space="0" w:color="auto"/>
              <w:left w:val="single" w:sz="2" w:space="0" w:color="auto"/>
              <w:bottom w:val="single" w:sz="2" w:space="0" w:color="auto"/>
              <w:right w:val="single" w:sz="2" w:space="0" w:color="auto"/>
            </w:tcBorders>
          </w:tcPr>
          <w:p w14:paraId="6B3C1DD8" w14:textId="77777777" w:rsidR="000448D2" w:rsidRPr="00426CC5" w:rsidRDefault="000448D2">
            <w:pPr>
              <w:pStyle w:val="NormalLeft"/>
              <w:rPr>
                <w:noProof/>
              </w:rPr>
            </w:pPr>
            <w:r w:rsidRPr="00426CC5">
              <w:rPr>
                <w:rStyle w:val="CRDeleted"/>
                <w:noProof/>
              </w:rPr>
              <w:t>Article 2, point 18)</w:t>
            </w:r>
          </w:p>
        </w:tc>
      </w:tr>
      <w:tr w:rsidR="000448D2" w:rsidRPr="00426CC5" w14:paraId="6B3C1DDC" w14:textId="77777777">
        <w:tc>
          <w:tcPr>
            <w:tcW w:w="3236" w:type="dxa"/>
            <w:tcBorders>
              <w:top w:val="single" w:sz="2" w:space="0" w:color="auto"/>
              <w:left w:val="single" w:sz="2" w:space="0" w:color="auto"/>
              <w:bottom w:val="single" w:sz="2" w:space="0" w:color="auto"/>
              <w:right w:val="single" w:sz="2" w:space="0" w:color="auto"/>
            </w:tcBorders>
          </w:tcPr>
          <w:p w14:paraId="6B3C1DDA"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DB" w14:textId="77777777" w:rsidR="000448D2" w:rsidRPr="00426CC5" w:rsidRDefault="000448D2">
            <w:pPr>
              <w:pStyle w:val="NormalLeft"/>
              <w:rPr>
                <w:noProof/>
              </w:rPr>
            </w:pPr>
            <w:r w:rsidRPr="00426CC5">
              <w:rPr>
                <w:rStyle w:val="CRDeleted"/>
                <w:noProof/>
              </w:rPr>
              <w:t>Article 2, point 19)</w:t>
            </w:r>
          </w:p>
        </w:tc>
      </w:tr>
      <w:tr w:rsidR="000448D2" w:rsidRPr="00426CC5" w14:paraId="6B3C1DDF" w14:textId="77777777">
        <w:tc>
          <w:tcPr>
            <w:tcW w:w="3236" w:type="dxa"/>
            <w:tcBorders>
              <w:top w:val="single" w:sz="2" w:space="0" w:color="auto"/>
              <w:left w:val="single" w:sz="2" w:space="0" w:color="auto"/>
              <w:bottom w:val="single" w:sz="2" w:space="0" w:color="auto"/>
              <w:right w:val="single" w:sz="2" w:space="0" w:color="auto"/>
            </w:tcBorders>
          </w:tcPr>
          <w:p w14:paraId="6B3C1DDD" w14:textId="77777777" w:rsidR="000448D2" w:rsidRPr="00426CC5" w:rsidRDefault="000448D2">
            <w:pPr>
              <w:pStyle w:val="NormalLeft"/>
              <w:rPr>
                <w:noProof/>
              </w:rPr>
            </w:pPr>
            <w:r w:rsidRPr="00426CC5">
              <w:rPr>
                <w:rStyle w:val="CRDeleted"/>
                <w:noProof/>
              </w:rPr>
              <w:t>Article 3</w:t>
            </w:r>
          </w:p>
        </w:tc>
        <w:tc>
          <w:tcPr>
            <w:tcW w:w="4657" w:type="dxa"/>
            <w:tcBorders>
              <w:top w:val="single" w:sz="2" w:space="0" w:color="auto"/>
              <w:left w:val="single" w:sz="2" w:space="0" w:color="auto"/>
              <w:bottom w:val="single" w:sz="2" w:space="0" w:color="auto"/>
              <w:right w:val="single" w:sz="2" w:space="0" w:color="auto"/>
            </w:tcBorders>
          </w:tcPr>
          <w:p w14:paraId="6B3C1DDE" w14:textId="77777777" w:rsidR="000448D2" w:rsidRPr="00426CC5" w:rsidRDefault="000448D2">
            <w:pPr>
              <w:pStyle w:val="NormalLeft"/>
              <w:rPr>
                <w:noProof/>
              </w:rPr>
            </w:pPr>
            <w:r w:rsidRPr="00426CC5">
              <w:rPr>
                <w:rStyle w:val="CRDeleted"/>
                <w:noProof/>
              </w:rPr>
              <w:t>Article 3 et annexe I</w:t>
            </w:r>
          </w:p>
        </w:tc>
      </w:tr>
      <w:tr w:rsidR="000448D2" w:rsidRPr="00426CC5" w14:paraId="6B3C1DE2" w14:textId="77777777">
        <w:tc>
          <w:tcPr>
            <w:tcW w:w="3236" w:type="dxa"/>
            <w:tcBorders>
              <w:top w:val="single" w:sz="2" w:space="0" w:color="auto"/>
              <w:left w:val="single" w:sz="2" w:space="0" w:color="auto"/>
              <w:bottom w:val="single" w:sz="2" w:space="0" w:color="auto"/>
              <w:right w:val="single" w:sz="2" w:space="0" w:color="auto"/>
            </w:tcBorders>
          </w:tcPr>
          <w:p w14:paraId="6B3C1DE0" w14:textId="77777777" w:rsidR="000448D2" w:rsidRPr="00426CC5" w:rsidRDefault="000448D2">
            <w:pPr>
              <w:pStyle w:val="NormalLeft"/>
              <w:rPr>
                <w:noProof/>
              </w:rPr>
            </w:pPr>
            <w:r w:rsidRPr="00426CC5">
              <w:rPr>
                <w:rStyle w:val="CRDeleted"/>
                <w:noProof/>
              </w:rPr>
              <w:t>Article 4, paragraphe 1</w:t>
            </w:r>
          </w:p>
        </w:tc>
        <w:tc>
          <w:tcPr>
            <w:tcW w:w="4657" w:type="dxa"/>
            <w:tcBorders>
              <w:top w:val="single" w:sz="2" w:space="0" w:color="auto"/>
              <w:left w:val="single" w:sz="2" w:space="0" w:color="auto"/>
              <w:bottom w:val="single" w:sz="2" w:space="0" w:color="auto"/>
              <w:right w:val="single" w:sz="2" w:space="0" w:color="auto"/>
            </w:tcBorders>
          </w:tcPr>
          <w:p w14:paraId="6B3C1DE1" w14:textId="77777777" w:rsidR="000448D2" w:rsidRPr="00426CC5" w:rsidRDefault="000448D2">
            <w:pPr>
              <w:pStyle w:val="NormalLeft"/>
              <w:rPr>
                <w:noProof/>
              </w:rPr>
            </w:pPr>
            <w:r w:rsidRPr="00426CC5">
              <w:rPr>
                <w:rStyle w:val="CRDeleted"/>
                <w:noProof/>
              </w:rPr>
              <w:t>Article 4, paragraphe 1</w:t>
            </w:r>
          </w:p>
        </w:tc>
      </w:tr>
      <w:tr w:rsidR="000448D2" w:rsidRPr="00426CC5" w14:paraId="6B3C1DE5" w14:textId="77777777">
        <w:tc>
          <w:tcPr>
            <w:tcW w:w="3236" w:type="dxa"/>
            <w:tcBorders>
              <w:top w:val="single" w:sz="2" w:space="0" w:color="auto"/>
              <w:left w:val="single" w:sz="2" w:space="0" w:color="auto"/>
              <w:bottom w:val="single" w:sz="2" w:space="0" w:color="auto"/>
              <w:right w:val="single" w:sz="2" w:space="0" w:color="auto"/>
            </w:tcBorders>
          </w:tcPr>
          <w:p w14:paraId="6B3C1DE3" w14:textId="77777777" w:rsidR="000448D2" w:rsidRPr="00426CC5" w:rsidRDefault="000448D2">
            <w:pPr>
              <w:pStyle w:val="NormalLeft"/>
              <w:rPr>
                <w:noProof/>
              </w:rPr>
            </w:pPr>
            <w:r w:rsidRPr="00426CC5">
              <w:rPr>
                <w:rStyle w:val="CRDeleted"/>
                <w:noProof/>
              </w:rPr>
              <w:t>Article 4, paragraphe 2</w:t>
            </w:r>
          </w:p>
        </w:tc>
        <w:tc>
          <w:tcPr>
            <w:tcW w:w="4657" w:type="dxa"/>
            <w:tcBorders>
              <w:top w:val="single" w:sz="2" w:space="0" w:color="auto"/>
              <w:left w:val="single" w:sz="2" w:space="0" w:color="auto"/>
              <w:bottom w:val="single" w:sz="2" w:space="0" w:color="auto"/>
              <w:right w:val="single" w:sz="2" w:space="0" w:color="auto"/>
            </w:tcBorders>
          </w:tcPr>
          <w:p w14:paraId="6B3C1DE4" w14:textId="77777777" w:rsidR="000448D2" w:rsidRPr="00426CC5" w:rsidRDefault="000448D2">
            <w:pPr>
              <w:pStyle w:val="NormalLeft"/>
              <w:rPr>
                <w:noProof/>
              </w:rPr>
            </w:pPr>
            <w:r w:rsidRPr="00426CC5">
              <w:rPr>
                <w:rStyle w:val="CRDeleted"/>
                <w:noProof/>
              </w:rPr>
              <w:t>—</w:t>
            </w:r>
          </w:p>
        </w:tc>
      </w:tr>
      <w:tr w:rsidR="000448D2" w:rsidRPr="00426CC5" w14:paraId="6B3C1DE8" w14:textId="77777777">
        <w:tc>
          <w:tcPr>
            <w:tcW w:w="3236" w:type="dxa"/>
            <w:tcBorders>
              <w:top w:val="single" w:sz="2" w:space="0" w:color="auto"/>
              <w:left w:val="single" w:sz="2" w:space="0" w:color="auto"/>
              <w:bottom w:val="single" w:sz="2" w:space="0" w:color="auto"/>
              <w:right w:val="single" w:sz="2" w:space="0" w:color="auto"/>
            </w:tcBorders>
          </w:tcPr>
          <w:p w14:paraId="6B3C1DE6" w14:textId="77777777" w:rsidR="000448D2" w:rsidRPr="00426CC5" w:rsidRDefault="000448D2">
            <w:pPr>
              <w:pStyle w:val="NormalLeft"/>
              <w:rPr>
                <w:noProof/>
              </w:rPr>
            </w:pPr>
            <w:r w:rsidRPr="00426CC5">
              <w:rPr>
                <w:rStyle w:val="CRDeleted"/>
                <w:noProof/>
              </w:rPr>
              <w:t>Article 4, paragraphe 3</w:t>
            </w:r>
          </w:p>
        </w:tc>
        <w:tc>
          <w:tcPr>
            <w:tcW w:w="4657" w:type="dxa"/>
            <w:tcBorders>
              <w:top w:val="single" w:sz="2" w:space="0" w:color="auto"/>
              <w:left w:val="single" w:sz="2" w:space="0" w:color="auto"/>
              <w:bottom w:val="single" w:sz="2" w:space="0" w:color="auto"/>
              <w:right w:val="single" w:sz="2" w:space="0" w:color="auto"/>
            </w:tcBorders>
          </w:tcPr>
          <w:p w14:paraId="6B3C1DE7" w14:textId="77777777" w:rsidR="000448D2" w:rsidRPr="00426CC5" w:rsidRDefault="000448D2">
            <w:pPr>
              <w:pStyle w:val="NormalLeft"/>
              <w:rPr>
                <w:noProof/>
              </w:rPr>
            </w:pPr>
            <w:r w:rsidRPr="00426CC5">
              <w:rPr>
                <w:rStyle w:val="CRDeleted"/>
                <w:noProof/>
              </w:rPr>
              <w:t>Article 4, paragraphe 2</w:t>
            </w:r>
          </w:p>
        </w:tc>
      </w:tr>
      <w:tr w:rsidR="000448D2" w:rsidRPr="00426CC5" w14:paraId="6B3C1DEB" w14:textId="77777777">
        <w:tc>
          <w:tcPr>
            <w:tcW w:w="3236" w:type="dxa"/>
            <w:tcBorders>
              <w:top w:val="single" w:sz="2" w:space="0" w:color="auto"/>
              <w:left w:val="single" w:sz="2" w:space="0" w:color="auto"/>
              <w:bottom w:val="single" w:sz="2" w:space="0" w:color="auto"/>
              <w:right w:val="single" w:sz="2" w:space="0" w:color="auto"/>
            </w:tcBorders>
          </w:tcPr>
          <w:p w14:paraId="6B3C1DE9"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EA" w14:textId="77777777" w:rsidR="000448D2" w:rsidRPr="00426CC5" w:rsidRDefault="000448D2">
            <w:pPr>
              <w:pStyle w:val="NormalLeft"/>
              <w:rPr>
                <w:noProof/>
              </w:rPr>
            </w:pPr>
            <w:r w:rsidRPr="00426CC5">
              <w:rPr>
                <w:rStyle w:val="CRDeleted"/>
                <w:noProof/>
              </w:rPr>
              <w:t>Article 5</w:t>
            </w:r>
          </w:p>
        </w:tc>
      </w:tr>
      <w:tr w:rsidR="000448D2" w:rsidRPr="00426CC5" w14:paraId="6B3C1DEE" w14:textId="77777777">
        <w:tc>
          <w:tcPr>
            <w:tcW w:w="3236" w:type="dxa"/>
            <w:tcBorders>
              <w:top w:val="single" w:sz="2" w:space="0" w:color="auto"/>
              <w:left w:val="single" w:sz="2" w:space="0" w:color="auto"/>
              <w:bottom w:val="single" w:sz="2" w:space="0" w:color="auto"/>
              <w:right w:val="single" w:sz="2" w:space="0" w:color="auto"/>
            </w:tcBorders>
          </w:tcPr>
          <w:p w14:paraId="6B3C1DEC" w14:textId="77777777" w:rsidR="000448D2" w:rsidRPr="00426CC5" w:rsidRDefault="000448D2">
            <w:pPr>
              <w:pStyle w:val="NormalLeft"/>
              <w:rPr>
                <w:noProof/>
              </w:rPr>
            </w:pPr>
            <w:r w:rsidRPr="00426CC5">
              <w:rPr>
                <w:rStyle w:val="CRDeleted"/>
                <w:noProof/>
              </w:rPr>
              <w:t>Article 5</w:t>
            </w:r>
          </w:p>
        </w:tc>
        <w:tc>
          <w:tcPr>
            <w:tcW w:w="4657" w:type="dxa"/>
            <w:tcBorders>
              <w:top w:val="single" w:sz="2" w:space="0" w:color="auto"/>
              <w:left w:val="single" w:sz="2" w:space="0" w:color="auto"/>
              <w:bottom w:val="single" w:sz="2" w:space="0" w:color="auto"/>
              <w:right w:val="single" w:sz="2" w:space="0" w:color="auto"/>
            </w:tcBorders>
          </w:tcPr>
          <w:p w14:paraId="6B3C1DED" w14:textId="77777777" w:rsidR="000448D2" w:rsidRPr="00426CC5" w:rsidRDefault="000448D2">
            <w:pPr>
              <w:pStyle w:val="NormalLeft"/>
              <w:rPr>
                <w:noProof/>
              </w:rPr>
            </w:pPr>
            <w:r w:rsidRPr="00426CC5">
              <w:rPr>
                <w:rStyle w:val="CRDeleted"/>
                <w:noProof/>
              </w:rPr>
              <w:t>Article 6, paragraphe 1</w:t>
            </w:r>
          </w:p>
        </w:tc>
      </w:tr>
      <w:tr w:rsidR="000448D2" w:rsidRPr="00426CC5" w14:paraId="6B3C1DF1" w14:textId="77777777">
        <w:tc>
          <w:tcPr>
            <w:tcW w:w="3236" w:type="dxa"/>
            <w:tcBorders>
              <w:top w:val="single" w:sz="2" w:space="0" w:color="auto"/>
              <w:left w:val="single" w:sz="2" w:space="0" w:color="auto"/>
              <w:bottom w:val="single" w:sz="2" w:space="0" w:color="auto"/>
              <w:right w:val="single" w:sz="2" w:space="0" w:color="auto"/>
            </w:tcBorders>
          </w:tcPr>
          <w:p w14:paraId="6B3C1DEF"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F0" w14:textId="77777777" w:rsidR="000448D2" w:rsidRPr="00426CC5" w:rsidRDefault="000448D2">
            <w:pPr>
              <w:pStyle w:val="NormalLeft"/>
              <w:rPr>
                <w:noProof/>
              </w:rPr>
            </w:pPr>
            <w:r w:rsidRPr="00426CC5">
              <w:rPr>
                <w:rStyle w:val="CRDeleted"/>
                <w:noProof/>
              </w:rPr>
              <w:t>Article 6, paragraphes 2 et 3</w:t>
            </w:r>
          </w:p>
        </w:tc>
      </w:tr>
      <w:tr w:rsidR="000448D2" w:rsidRPr="00426CC5" w14:paraId="6B3C1DF4" w14:textId="77777777">
        <w:tc>
          <w:tcPr>
            <w:tcW w:w="3236" w:type="dxa"/>
            <w:tcBorders>
              <w:top w:val="single" w:sz="2" w:space="0" w:color="auto"/>
              <w:left w:val="single" w:sz="2" w:space="0" w:color="auto"/>
              <w:bottom w:val="single" w:sz="2" w:space="0" w:color="auto"/>
              <w:right w:val="single" w:sz="2" w:space="0" w:color="auto"/>
            </w:tcBorders>
          </w:tcPr>
          <w:p w14:paraId="6B3C1DF2" w14:textId="77777777" w:rsidR="000448D2" w:rsidRPr="00426CC5" w:rsidRDefault="000448D2">
            <w:pPr>
              <w:pStyle w:val="NormalLeft"/>
              <w:rPr>
                <w:noProof/>
              </w:rPr>
            </w:pPr>
            <w:r w:rsidRPr="00426CC5">
              <w:rPr>
                <w:rStyle w:val="CRDeleted"/>
                <w:noProof/>
              </w:rPr>
              <w:t>Article 6</w:t>
            </w:r>
          </w:p>
        </w:tc>
        <w:tc>
          <w:tcPr>
            <w:tcW w:w="4657" w:type="dxa"/>
            <w:tcBorders>
              <w:top w:val="single" w:sz="2" w:space="0" w:color="auto"/>
              <w:left w:val="single" w:sz="2" w:space="0" w:color="auto"/>
              <w:bottom w:val="single" w:sz="2" w:space="0" w:color="auto"/>
              <w:right w:val="single" w:sz="2" w:space="0" w:color="auto"/>
            </w:tcBorders>
          </w:tcPr>
          <w:p w14:paraId="6B3C1DF3" w14:textId="77777777" w:rsidR="000448D2" w:rsidRPr="00426CC5" w:rsidRDefault="000448D2">
            <w:pPr>
              <w:pStyle w:val="NormalLeft"/>
              <w:rPr>
                <w:noProof/>
              </w:rPr>
            </w:pPr>
            <w:r w:rsidRPr="00426CC5">
              <w:rPr>
                <w:rStyle w:val="CRDeleted"/>
                <w:noProof/>
              </w:rPr>
              <w:t>Article 7</w:t>
            </w:r>
          </w:p>
        </w:tc>
      </w:tr>
      <w:tr w:rsidR="000448D2" w:rsidRPr="00426CC5" w14:paraId="6B3C1DF7" w14:textId="77777777">
        <w:tc>
          <w:tcPr>
            <w:tcW w:w="3236" w:type="dxa"/>
            <w:tcBorders>
              <w:top w:val="single" w:sz="2" w:space="0" w:color="auto"/>
              <w:left w:val="single" w:sz="2" w:space="0" w:color="auto"/>
              <w:bottom w:val="single" w:sz="2" w:space="0" w:color="auto"/>
              <w:right w:val="single" w:sz="2" w:space="0" w:color="auto"/>
            </w:tcBorders>
          </w:tcPr>
          <w:p w14:paraId="6B3C1DF5"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DF6" w14:textId="77777777" w:rsidR="000448D2" w:rsidRPr="00426CC5" w:rsidRDefault="000448D2">
            <w:pPr>
              <w:pStyle w:val="NormalLeft"/>
              <w:rPr>
                <w:noProof/>
              </w:rPr>
            </w:pPr>
            <w:r w:rsidRPr="00426CC5">
              <w:rPr>
                <w:rStyle w:val="CRDeleted"/>
                <w:noProof/>
              </w:rPr>
              <w:t>Articles 8, 9 et 10</w:t>
            </w:r>
          </w:p>
        </w:tc>
      </w:tr>
      <w:tr w:rsidR="000448D2" w:rsidRPr="00426CC5" w14:paraId="6B3C1DFA" w14:textId="77777777">
        <w:tc>
          <w:tcPr>
            <w:tcW w:w="3236" w:type="dxa"/>
            <w:tcBorders>
              <w:top w:val="single" w:sz="2" w:space="0" w:color="auto"/>
              <w:left w:val="single" w:sz="2" w:space="0" w:color="auto"/>
              <w:bottom w:val="single" w:sz="2" w:space="0" w:color="auto"/>
              <w:right w:val="single" w:sz="2" w:space="0" w:color="auto"/>
            </w:tcBorders>
          </w:tcPr>
          <w:p w14:paraId="6B3C1DF8" w14:textId="77777777" w:rsidR="000448D2" w:rsidRPr="00426CC5" w:rsidRDefault="000448D2">
            <w:pPr>
              <w:pStyle w:val="NormalLeft"/>
              <w:rPr>
                <w:noProof/>
              </w:rPr>
            </w:pPr>
            <w:r w:rsidRPr="00426CC5">
              <w:rPr>
                <w:rStyle w:val="CRDeleted"/>
                <w:noProof/>
              </w:rPr>
              <w:t>Article 7, paragraphe 1, premier alinéa</w:t>
            </w:r>
          </w:p>
        </w:tc>
        <w:tc>
          <w:tcPr>
            <w:tcW w:w="4657" w:type="dxa"/>
            <w:tcBorders>
              <w:top w:val="single" w:sz="2" w:space="0" w:color="auto"/>
              <w:left w:val="single" w:sz="2" w:space="0" w:color="auto"/>
              <w:bottom w:val="single" w:sz="2" w:space="0" w:color="auto"/>
              <w:right w:val="single" w:sz="2" w:space="0" w:color="auto"/>
            </w:tcBorders>
          </w:tcPr>
          <w:p w14:paraId="6B3C1DF9" w14:textId="77777777" w:rsidR="000448D2" w:rsidRPr="00426CC5" w:rsidRDefault="000448D2">
            <w:pPr>
              <w:pStyle w:val="NormalLeft"/>
              <w:rPr>
                <w:noProof/>
              </w:rPr>
            </w:pPr>
            <w:r w:rsidRPr="00426CC5">
              <w:rPr>
                <w:rStyle w:val="CRDeleted"/>
                <w:noProof/>
              </w:rPr>
              <w:t>Article 11, paragraphe 8, et article 12, paragraphe 2</w:t>
            </w:r>
          </w:p>
        </w:tc>
      </w:tr>
      <w:tr w:rsidR="000448D2" w:rsidRPr="00426CC5" w14:paraId="6B3C1DFD" w14:textId="77777777">
        <w:tc>
          <w:tcPr>
            <w:tcW w:w="3236" w:type="dxa"/>
            <w:tcBorders>
              <w:top w:val="single" w:sz="2" w:space="0" w:color="auto"/>
              <w:left w:val="single" w:sz="2" w:space="0" w:color="auto"/>
              <w:bottom w:val="single" w:sz="2" w:space="0" w:color="auto"/>
              <w:right w:val="single" w:sz="2" w:space="0" w:color="auto"/>
            </w:tcBorders>
          </w:tcPr>
          <w:p w14:paraId="6B3C1DFB" w14:textId="77777777" w:rsidR="000448D2" w:rsidRPr="00426CC5" w:rsidRDefault="000448D2">
            <w:pPr>
              <w:pStyle w:val="NormalLeft"/>
              <w:rPr>
                <w:noProof/>
              </w:rPr>
            </w:pPr>
            <w:r w:rsidRPr="00426CC5">
              <w:rPr>
                <w:rStyle w:val="CRDeleted"/>
                <w:noProof/>
              </w:rPr>
              <w:t>Article 7, paragraphe 1, deuxième alinéa</w:t>
            </w:r>
          </w:p>
        </w:tc>
        <w:tc>
          <w:tcPr>
            <w:tcW w:w="4657" w:type="dxa"/>
            <w:tcBorders>
              <w:top w:val="single" w:sz="2" w:space="0" w:color="auto"/>
              <w:left w:val="single" w:sz="2" w:space="0" w:color="auto"/>
              <w:bottom w:val="single" w:sz="2" w:space="0" w:color="auto"/>
              <w:right w:val="single" w:sz="2" w:space="0" w:color="auto"/>
            </w:tcBorders>
          </w:tcPr>
          <w:p w14:paraId="6B3C1DFC" w14:textId="77777777" w:rsidR="000448D2" w:rsidRPr="00426CC5" w:rsidRDefault="000448D2">
            <w:pPr>
              <w:pStyle w:val="NormalLeft"/>
              <w:rPr>
                <w:noProof/>
              </w:rPr>
            </w:pPr>
            <w:r w:rsidRPr="00426CC5">
              <w:rPr>
                <w:rStyle w:val="CRDeleted"/>
                <w:noProof/>
              </w:rPr>
              <w:t>Article 11, paragraphe 6</w:t>
            </w:r>
          </w:p>
        </w:tc>
      </w:tr>
      <w:tr w:rsidR="000448D2" w:rsidRPr="00426CC5" w14:paraId="6B3C1E00" w14:textId="77777777">
        <w:tc>
          <w:tcPr>
            <w:tcW w:w="3236" w:type="dxa"/>
            <w:tcBorders>
              <w:top w:val="single" w:sz="2" w:space="0" w:color="auto"/>
              <w:left w:val="single" w:sz="2" w:space="0" w:color="auto"/>
              <w:bottom w:val="single" w:sz="2" w:space="0" w:color="auto"/>
              <w:right w:val="single" w:sz="2" w:space="0" w:color="auto"/>
            </w:tcBorders>
          </w:tcPr>
          <w:p w14:paraId="6B3C1DFE" w14:textId="77777777" w:rsidR="000448D2" w:rsidRPr="00426CC5" w:rsidRDefault="000448D2">
            <w:pPr>
              <w:pStyle w:val="NormalLeft"/>
              <w:rPr>
                <w:noProof/>
              </w:rPr>
            </w:pPr>
            <w:r w:rsidRPr="00426CC5">
              <w:rPr>
                <w:rStyle w:val="CRDeleted"/>
                <w:noProof/>
              </w:rPr>
              <w:t>Article 7, paragraphe 1, troisième alinéa</w:t>
            </w:r>
          </w:p>
        </w:tc>
        <w:tc>
          <w:tcPr>
            <w:tcW w:w="4657" w:type="dxa"/>
            <w:tcBorders>
              <w:top w:val="single" w:sz="2" w:space="0" w:color="auto"/>
              <w:left w:val="single" w:sz="2" w:space="0" w:color="auto"/>
              <w:bottom w:val="single" w:sz="2" w:space="0" w:color="auto"/>
              <w:right w:val="single" w:sz="2" w:space="0" w:color="auto"/>
            </w:tcBorders>
          </w:tcPr>
          <w:p w14:paraId="6B3C1DFF" w14:textId="77777777" w:rsidR="000448D2" w:rsidRPr="00426CC5" w:rsidRDefault="000448D2">
            <w:pPr>
              <w:pStyle w:val="NormalLeft"/>
              <w:rPr>
                <w:noProof/>
              </w:rPr>
            </w:pPr>
            <w:r w:rsidRPr="00426CC5">
              <w:rPr>
                <w:rStyle w:val="CRDeleted"/>
                <w:noProof/>
              </w:rPr>
              <w:t>Article 12, paragraphe 6</w:t>
            </w:r>
          </w:p>
        </w:tc>
      </w:tr>
      <w:tr w:rsidR="000448D2" w:rsidRPr="00426CC5" w14:paraId="6B3C1E03" w14:textId="77777777">
        <w:tc>
          <w:tcPr>
            <w:tcW w:w="3236" w:type="dxa"/>
            <w:tcBorders>
              <w:top w:val="single" w:sz="2" w:space="0" w:color="auto"/>
              <w:left w:val="single" w:sz="2" w:space="0" w:color="auto"/>
              <w:bottom w:val="single" w:sz="2" w:space="0" w:color="auto"/>
              <w:right w:val="single" w:sz="2" w:space="0" w:color="auto"/>
            </w:tcBorders>
          </w:tcPr>
          <w:p w14:paraId="6B3C1E01" w14:textId="77777777" w:rsidR="000448D2" w:rsidRPr="00426CC5" w:rsidRDefault="000448D2">
            <w:pPr>
              <w:pStyle w:val="NormalLeft"/>
              <w:rPr>
                <w:noProof/>
              </w:rPr>
            </w:pPr>
            <w:r w:rsidRPr="00426CC5">
              <w:rPr>
                <w:rStyle w:val="CRDeleted"/>
                <w:noProof/>
              </w:rPr>
              <w:t>Article 7, paragraphe 2</w:t>
            </w:r>
          </w:p>
        </w:tc>
        <w:tc>
          <w:tcPr>
            <w:tcW w:w="4657" w:type="dxa"/>
            <w:tcBorders>
              <w:top w:val="single" w:sz="2" w:space="0" w:color="auto"/>
              <w:left w:val="single" w:sz="2" w:space="0" w:color="auto"/>
              <w:bottom w:val="single" w:sz="2" w:space="0" w:color="auto"/>
              <w:right w:val="single" w:sz="2" w:space="0" w:color="auto"/>
            </w:tcBorders>
          </w:tcPr>
          <w:p w14:paraId="6B3C1E02" w14:textId="77777777" w:rsidR="000448D2" w:rsidRPr="00426CC5" w:rsidRDefault="000448D2">
            <w:pPr>
              <w:pStyle w:val="NormalLeft"/>
              <w:rPr>
                <w:noProof/>
              </w:rPr>
            </w:pPr>
            <w:r w:rsidRPr="00426CC5">
              <w:rPr>
                <w:rStyle w:val="CRDeleted"/>
                <w:noProof/>
              </w:rPr>
              <w:t>Article 11, paragraphes 1 et 2</w:t>
            </w:r>
          </w:p>
        </w:tc>
      </w:tr>
      <w:tr w:rsidR="000448D2" w:rsidRPr="00426CC5" w14:paraId="6B3C1E06" w14:textId="77777777">
        <w:tc>
          <w:tcPr>
            <w:tcW w:w="3236" w:type="dxa"/>
            <w:tcBorders>
              <w:top w:val="single" w:sz="2" w:space="0" w:color="auto"/>
              <w:left w:val="single" w:sz="2" w:space="0" w:color="auto"/>
              <w:bottom w:val="single" w:sz="2" w:space="0" w:color="auto"/>
              <w:right w:val="single" w:sz="2" w:space="0" w:color="auto"/>
            </w:tcBorders>
          </w:tcPr>
          <w:p w14:paraId="6B3C1E04"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05" w14:textId="77777777" w:rsidR="000448D2" w:rsidRPr="00426CC5" w:rsidRDefault="000448D2">
            <w:pPr>
              <w:pStyle w:val="NormalLeft"/>
              <w:rPr>
                <w:noProof/>
              </w:rPr>
            </w:pPr>
            <w:r w:rsidRPr="00426CC5">
              <w:rPr>
                <w:rStyle w:val="CRDeleted"/>
                <w:noProof/>
              </w:rPr>
              <w:t>Article 11, paragraphes 3, 4, 5, 7 et 9</w:t>
            </w:r>
          </w:p>
        </w:tc>
      </w:tr>
      <w:tr w:rsidR="000448D2" w:rsidRPr="00426CC5" w14:paraId="6B3C1E09" w14:textId="77777777">
        <w:tc>
          <w:tcPr>
            <w:tcW w:w="3236" w:type="dxa"/>
            <w:tcBorders>
              <w:top w:val="single" w:sz="2" w:space="0" w:color="auto"/>
              <w:left w:val="single" w:sz="2" w:space="0" w:color="auto"/>
              <w:bottom w:val="single" w:sz="2" w:space="0" w:color="auto"/>
              <w:right w:val="single" w:sz="2" w:space="0" w:color="auto"/>
            </w:tcBorders>
          </w:tcPr>
          <w:p w14:paraId="6B3C1E07"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08" w14:textId="77777777" w:rsidR="000448D2" w:rsidRPr="00426CC5" w:rsidRDefault="000448D2">
            <w:pPr>
              <w:pStyle w:val="NormalLeft"/>
              <w:rPr>
                <w:noProof/>
              </w:rPr>
            </w:pPr>
            <w:r w:rsidRPr="00426CC5">
              <w:rPr>
                <w:rStyle w:val="CRDeleted"/>
                <w:noProof/>
              </w:rPr>
              <w:t>Article 12, paragraphes 1, 3, 4, 5 et 7</w:t>
            </w:r>
          </w:p>
        </w:tc>
      </w:tr>
      <w:tr w:rsidR="000448D2" w:rsidRPr="00426CC5" w14:paraId="6B3C1E0C" w14:textId="77777777">
        <w:tc>
          <w:tcPr>
            <w:tcW w:w="3236" w:type="dxa"/>
            <w:tcBorders>
              <w:top w:val="single" w:sz="2" w:space="0" w:color="auto"/>
              <w:left w:val="single" w:sz="2" w:space="0" w:color="auto"/>
              <w:bottom w:val="single" w:sz="2" w:space="0" w:color="auto"/>
              <w:right w:val="single" w:sz="2" w:space="0" w:color="auto"/>
            </w:tcBorders>
          </w:tcPr>
          <w:p w14:paraId="6B3C1E0A" w14:textId="77777777" w:rsidR="000448D2" w:rsidRPr="00426CC5" w:rsidRDefault="000448D2">
            <w:pPr>
              <w:pStyle w:val="NormalLeft"/>
              <w:rPr>
                <w:noProof/>
              </w:rPr>
            </w:pPr>
            <w:r w:rsidRPr="00426CC5">
              <w:rPr>
                <w:rStyle w:val="CRDeleted"/>
                <w:noProof/>
              </w:rPr>
              <w:t>Article 7, paragraphe 3</w:t>
            </w:r>
          </w:p>
        </w:tc>
        <w:tc>
          <w:tcPr>
            <w:tcW w:w="4657" w:type="dxa"/>
            <w:tcBorders>
              <w:top w:val="single" w:sz="2" w:space="0" w:color="auto"/>
              <w:left w:val="single" w:sz="2" w:space="0" w:color="auto"/>
              <w:bottom w:val="single" w:sz="2" w:space="0" w:color="auto"/>
              <w:right w:val="single" w:sz="2" w:space="0" w:color="auto"/>
            </w:tcBorders>
          </w:tcPr>
          <w:p w14:paraId="6B3C1E0B" w14:textId="77777777" w:rsidR="000448D2" w:rsidRPr="00426CC5" w:rsidRDefault="000448D2">
            <w:pPr>
              <w:pStyle w:val="NormalLeft"/>
              <w:rPr>
                <w:noProof/>
              </w:rPr>
            </w:pPr>
            <w:r w:rsidRPr="00426CC5">
              <w:rPr>
                <w:rStyle w:val="CRDeleted"/>
                <w:noProof/>
              </w:rPr>
              <w:t>Article 13, paragraphes 1 et 3;</w:t>
            </w:r>
          </w:p>
        </w:tc>
      </w:tr>
      <w:tr w:rsidR="000448D2" w:rsidRPr="00426CC5" w14:paraId="6B3C1E0F" w14:textId="77777777">
        <w:tc>
          <w:tcPr>
            <w:tcW w:w="3236" w:type="dxa"/>
            <w:tcBorders>
              <w:top w:val="single" w:sz="2" w:space="0" w:color="auto"/>
              <w:left w:val="single" w:sz="2" w:space="0" w:color="auto"/>
              <w:bottom w:val="single" w:sz="2" w:space="0" w:color="auto"/>
              <w:right w:val="single" w:sz="2" w:space="0" w:color="auto"/>
            </w:tcBorders>
          </w:tcPr>
          <w:p w14:paraId="6B3C1E0D"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0E" w14:textId="77777777" w:rsidR="000448D2" w:rsidRPr="00426CC5" w:rsidRDefault="000448D2">
            <w:pPr>
              <w:pStyle w:val="NormalLeft"/>
              <w:rPr>
                <w:noProof/>
              </w:rPr>
            </w:pPr>
            <w:r w:rsidRPr="00426CC5">
              <w:rPr>
                <w:rStyle w:val="CRDeleted"/>
                <w:noProof/>
              </w:rPr>
              <w:t>Article 13, paragraphe 2</w:t>
            </w:r>
          </w:p>
        </w:tc>
      </w:tr>
      <w:tr w:rsidR="000448D2" w:rsidRPr="00426CC5" w14:paraId="6B3C1E12" w14:textId="77777777">
        <w:tc>
          <w:tcPr>
            <w:tcW w:w="3236" w:type="dxa"/>
            <w:tcBorders>
              <w:top w:val="single" w:sz="2" w:space="0" w:color="auto"/>
              <w:left w:val="single" w:sz="2" w:space="0" w:color="auto"/>
              <w:bottom w:val="single" w:sz="2" w:space="0" w:color="auto"/>
              <w:right w:val="single" w:sz="2" w:space="0" w:color="auto"/>
            </w:tcBorders>
          </w:tcPr>
          <w:p w14:paraId="6B3C1E10" w14:textId="77777777" w:rsidR="000448D2" w:rsidRPr="00426CC5" w:rsidRDefault="000448D2">
            <w:pPr>
              <w:pStyle w:val="NormalLeft"/>
              <w:rPr>
                <w:noProof/>
              </w:rPr>
            </w:pPr>
            <w:r w:rsidRPr="00426CC5">
              <w:rPr>
                <w:rStyle w:val="CRDeleted"/>
                <w:noProof/>
              </w:rPr>
              <w:t>Article 8, point a)</w:t>
            </w:r>
          </w:p>
        </w:tc>
        <w:tc>
          <w:tcPr>
            <w:tcW w:w="4657" w:type="dxa"/>
            <w:tcBorders>
              <w:top w:val="single" w:sz="2" w:space="0" w:color="auto"/>
              <w:left w:val="single" w:sz="2" w:space="0" w:color="auto"/>
              <w:bottom w:val="single" w:sz="2" w:space="0" w:color="auto"/>
              <w:right w:val="single" w:sz="2" w:space="0" w:color="auto"/>
            </w:tcBorders>
          </w:tcPr>
          <w:p w14:paraId="6B3C1E11" w14:textId="77777777" w:rsidR="000448D2" w:rsidRPr="00426CC5" w:rsidRDefault="000448D2">
            <w:pPr>
              <w:pStyle w:val="NormalLeft"/>
              <w:rPr>
                <w:noProof/>
              </w:rPr>
            </w:pPr>
            <w:r w:rsidRPr="00426CC5">
              <w:rPr>
                <w:rStyle w:val="CRDeleted"/>
                <w:noProof/>
              </w:rPr>
              <w:t>Article 14, paragraphes 1 et 3;</w:t>
            </w:r>
          </w:p>
        </w:tc>
      </w:tr>
      <w:tr w:rsidR="000448D2" w:rsidRPr="00426CC5" w14:paraId="6B3C1E15" w14:textId="77777777">
        <w:tc>
          <w:tcPr>
            <w:tcW w:w="3236" w:type="dxa"/>
            <w:tcBorders>
              <w:top w:val="single" w:sz="2" w:space="0" w:color="auto"/>
              <w:left w:val="single" w:sz="2" w:space="0" w:color="auto"/>
              <w:bottom w:val="single" w:sz="2" w:space="0" w:color="auto"/>
              <w:right w:val="single" w:sz="2" w:space="0" w:color="auto"/>
            </w:tcBorders>
          </w:tcPr>
          <w:p w14:paraId="6B3C1E13"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14" w14:textId="77777777" w:rsidR="000448D2" w:rsidRPr="00426CC5" w:rsidRDefault="000448D2">
            <w:pPr>
              <w:pStyle w:val="NormalLeft"/>
              <w:rPr>
                <w:noProof/>
              </w:rPr>
            </w:pPr>
            <w:r w:rsidRPr="00426CC5">
              <w:rPr>
                <w:rStyle w:val="CRDeleted"/>
                <w:noProof/>
              </w:rPr>
              <w:t>Article 14, paragraphe 2</w:t>
            </w:r>
          </w:p>
        </w:tc>
      </w:tr>
      <w:tr w:rsidR="000448D2" w:rsidRPr="00426CC5" w14:paraId="6B3C1E18" w14:textId="77777777">
        <w:tc>
          <w:tcPr>
            <w:tcW w:w="3236" w:type="dxa"/>
            <w:tcBorders>
              <w:top w:val="single" w:sz="2" w:space="0" w:color="auto"/>
              <w:left w:val="single" w:sz="2" w:space="0" w:color="auto"/>
              <w:bottom w:val="single" w:sz="2" w:space="0" w:color="auto"/>
              <w:right w:val="single" w:sz="2" w:space="0" w:color="auto"/>
            </w:tcBorders>
          </w:tcPr>
          <w:p w14:paraId="6B3C1E16" w14:textId="77777777" w:rsidR="000448D2" w:rsidRPr="00426CC5" w:rsidRDefault="000448D2">
            <w:pPr>
              <w:pStyle w:val="NormalLeft"/>
              <w:rPr>
                <w:noProof/>
              </w:rPr>
            </w:pPr>
            <w:r w:rsidRPr="00426CC5">
              <w:rPr>
                <w:rStyle w:val="CRDeleted"/>
                <w:noProof/>
              </w:rPr>
              <w:t>Article 8, point b)</w:t>
            </w:r>
          </w:p>
        </w:tc>
        <w:tc>
          <w:tcPr>
            <w:tcW w:w="4657" w:type="dxa"/>
            <w:tcBorders>
              <w:top w:val="single" w:sz="2" w:space="0" w:color="auto"/>
              <w:left w:val="single" w:sz="2" w:space="0" w:color="auto"/>
              <w:bottom w:val="single" w:sz="2" w:space="0" w:color="auto"/>
              <w:right w:val="single" w:sz="2" w:space="0" w:color="auto"/>
            </w:tcBorders>
          </w:tcPr>
          <w:p w14:paraId="6B3C1E17" w14:textId="77777777" w:rsidR="000448D2" w:rsidRPr="00426CC5" w:rsidRDefault="000448D2">
            <w:pPr>
              <w:pStyle w:val="NormalLeft"/>
              <w:rPr>
                <w:noProof/>
              </w:rPr>
            </w:pPr>
            <w:r w:rsidRPr="00426CC5">
              <w:rPr>
                <w:rStyle w:val="CRDeleted"/>
                <w:noProof/>
              </w:rPr>
              <w:t>Article 14, paragraphe 4</w:t>
            </w:r>
          </w:p>
        </w:tc>
      </w:tr>
      <w:tr w:rsidR="000448D2" w:rsidRPr="00426CC5" w14:paraId="6B3C1E1B" w14:textId="77777777">
        <w:tc>
          <w:tcPr>
            <w:tcW w:w="3236" w:type="dxa"/>
            <w:tcBorders>
              <w:top w:val="single" w:sz="2" w:space="0" w:color="auto"/>
              <w:left w:val="single" w:sz="2" w:space="0" w:color="auto"/>
              <w:bottom w:val="single" w:sz="2" w:space="0" w:color="auto"/>
              <w:right w:val="single" w:sz="2" w:space="0" w:color="auto"/>
            </w:tcBorders>
          </w:tcPr>
          <w:p w14:paraId="6B3C1E19"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1A" w14:textId="77777777" w:rsidR="000448D2" w:rsidRPr="00426CC5" w:rsidRDefault="000448D2">
            <w:pPr>
              <w:pStyle w:val="NormalLeft"/>
              <w:rPr>
                <w:noProof/>
              </w:rPr>
            </w:pPr>
            <w:r w:rsidRPr="00426CC5">
              <w:rPr>
                <w:rStyle w:val="CRDeleted"/>
                <w:noProof/>
              </w:rPr>
              <w:t>Article 14, paragraphe 5</w:t>
            </w:r>
          </w:p>
        </w:tc>
      </w:tr>
      <w:tr w:rsidR="000448D2" w:rsidRPr="00426CC5" w14:paraId="6B3C1E1E" w14:textId="77777777">
        <w:tc>
          <w:tcPr>
            <w:tcW w:w="3236" w:type="dxa"/>
            <w:tcBorders>
              <w:top w:val="single" w:sz="2" w:space="0" w:color="auto"/>
              <w:left w:val="single" w:sz="2" w:space="0" w:color="auto"/>
              <w:bottom w:val="single" w:sz="2" w:space="0" w:color="auto"/>
              <w:right w:val="single" w:sz="2" w:space="0" w:color="auto"/>
            </w:tcBorders>
          </w:tcPr>
          <w:p w14:paraId="6B3C1E1C" w14:textId="77777777" w:rsidR="000448D2" w:rsidRPr="00426CC5" w:rsidRDefault="000448D2">
            <w:pPr>
              <w:pStyle w:val="NormalLeft"/>
              <w:rPr>
                <w:noProof/>
              </w:rPr>
            </w:pPr>
            <w:r w:rsidRPr="00426CC5">
              <w:rPr>
                <w:rStyle w:val="CRDeleted"/>
                <w:noProof/>
              </w:rPr>
              <w:t>Article 9</w:t>
            </w:r>
          </w:p>
        </w:tc>
        <w:tc>
          <w:tcPr>
            <w:tcW w:w="4657" w:type="dxa"/>
            <w:tcBorders>
              <w:top w:val="single" w:sz="2" w:space="0" w:color="auto"/>
              <w:left w:val="single" w:sz="2" w:space="0" w:color="auto"/>
              <w:bottom w:val="single" w:sz="2" w:space="0" w:color="auto"/>
              <w:right w:val="single" w:sz="2" w:space="0" w:color="auto"/>
            </w:tcBorders>
          </w:tcPr>
          <w:p w14:paraId="6B3C1E1D" w14:textId="77777777" w:rsidR="000448D2" w:rsidRPr="00426CC5" w:rsidRDefault="000448D2">
            <w:pPr>
              <w:pStyle w:val="NormalLeft"/>
              <w:rPr>
                <w:noProof/>
              </w:rPr>
            </w:pPr>
            <w:r w:rsidRPr="00426CC5">
              <w:rPr>
                <w:rStyle w:val="CRDeleted"/>
                <w:noProof/>
              </w:rPr>
              <w:t>Article 15, paragraphe 1</w:t>
            </w:r>
          </w:p>
        </w:tc>
      </w:tr>
      <w:tr w:rsidR="000448D2" w:rsidRPr="00426CC5" w14:paraId="6B3C1E21" w14:textId="77777777">
        <w:tc>
          <w:tcPr>
            <w:tcW w:w="3236" w:type="dxa"/>
            <w:tcBorders>
              <w:top w:val="single" w:sz="2" w:space="0" w:color="auto"/>
              <w:left w:val="single" w:sz="2" w:space="0" w:color="auto"/>
              <w:bottom w:val="single" w:sz="2" w:space="0" w:color="auto"/>
              <w:right w:val="single" w:sz="2" w:space="0" w:color="auto"/>
            </w:tcBorders>
          </w:tcPr>
          <w:p w14:paraId="6B3C1E1F"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20" w14:textId="77777777" w:rsidR="000448D2" w:rsidRPr="00426CC5" w:rsidRDefault="000448D2">
            <w:pPr>
              <w:pStyle w:val="NormalLeft"/>
              <w:rPr>
                <w:noProof/>
              </w:rPr>
            </w:pPr>
            <w:r w:rsidRPr="00426CC5">
              <w:rPr>
                <w:rStyle w:val="CRDeleted"/>
                <w:noProof/>
              </w:rPr>
              <w:t>Article 15, paragraphes 2, 3, 4 et 5</w:t>
            </w:r>
          </w:p>
        </w:tc>
      </w:tr>
      <w:tr w:rsidR="000448D2" w:rsidRPr="00426CC5" w14:paraId="6B3C1E24" w14:textId="77777777">
        <w:tc>
          <w:tcPr>
            <w:tcW w:w="3236" w:type="dxa"/>
            <w:tcBorders>
              <w:top w:val="single" w:sz="2" w:space="0" w:color="auto"/>
              <w:left w:val="single" w:sz="2" w:space="0" w:color="auto"/>
              <w:bottom w:val="single" w:sz="2" w:space="0" w:color="auto"/>
              <w:right w:val="single" w:sz="2" w:space="0" w:color="auto"/>
            </w:tcBorders>
          </w:tcPr>
          <w:p w14:paraId="6B3C1E22"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23" w14:textId="77777777" w:rsidR="000448D2" w:rsidRPr="00426CC5" w:rsidRDefault="000448D2">
            <w:pPr>
              <w:pStyle w:val="NormalLeft"/>
              <w:rPr>
                <w:noProof/>
              </w:rPr>
            </w:pPr>
            <w:r w:rsidRPr="00426CC5">
              <w:rPr>
                <w:rStyle w:val="CRDeleted"/>
                <w:noProof/>
              </w:rPr>
              <w:t>Article 16</w:t>
            </w:r>
          </w:p>
        </w:tc>
      </w:tr>
      <w:tr w:rsidR="000448D2" w:rsidRPr="00426CC5" w14:paraId="6B3C1E27" w14:textId="77777777">
        <w:tc>
          <w:tcPr>
            <w:tcW w:w="3236" w:type="dxa"/>
            <w:tcBorders>
              <w:top w:val="single" w:sz="2" w:space="0" w:color="auto"/>
              <w:left w:val="single" w:sz="2" w:space="0" w:color="auto"/>
              <w:bottom w:val="single" w:sz="2" w:space="0" w:color="auto"/>
              <w:right w:val="single" w:sz="2" w:space="0" w:color="auto"/>
            </w:tcBorders>
          </w:tcPr>
          <w:p w14:paraId="6B3C1E25" w14:textId="77777777" w:rsidR="000448D2" w:rsidRPr="00426CC5" w:rsidRDefault="000448D2">
            <w:pPr>
              <w:pStyle w:val="NormalLeft"/>
              <w:rPr>
                <w:noProof/>
              </w:rPr>
            </w:pPr>
            <w:r w:rsidRPr="00426CC5">
              <w:rPr>
                <w:rStyle w:val="CRDeleted"/>
                <w:noProof/>
              </w:rPr>
              <w:t>Article 10</w:t>
            </w:r>
          </w:p>
        </w:tc>
        <w:tc>
          <w:tcPr>
            <w:tcW w:w="4657" w:type="dxa"/>
            <w:tcBorders>
              <w:top w:val="single" w:sz="2" w:space="0" w:color="auto"/>
              <w:left w:val="single" w:sz="2" w:space="0" w:color="auto"/>
              <w:bottom w:val="single" w:sz="2" w:space="0" w:color="auto"/>
              <w:right w:val="single" w:sz="2" w:space="0" w:color="auto"/>
            </w:tcBorders>
          </w:tcPr>
          <w:p w14:paraId="6B3C1E26" w14:textId="77777777" w:rsidR="000448D2" w:rsidRPr="00426CC5" w:rsidRDefault="000448D2">
            <w:pPr>
              <w:pStyle w:val="NormalLeft"/>
              <w:rPr>
                <w:noProof/>
              </w:rPr>
            </w:pPr>
            <w:r w:rsidRPr="00426CC5">
              <w:rPr>
                <w:rStyle w:val="CRDeleted"/>
                <w:noProof/>
              </w:rPr>
              <w:t>Article 17</w:t>
            </w:r>
          </w:p>
        </w:tc>
      </w:tr>
      <w:tr w:rsidR="000448D2" w:rsidRPr="00426CC5" w14:paraId="6B3C1E2A" w14:textId="77777777">
        <w:tc>
          <w:tcPr>
            <w:tcW w:w="3236" w:type="dxa"/>
            <w:tcBorders>
              <w:top w:val="single" w:sz="2" w:space="0" w:color="auto"/>
              <w:left w:val="single" w:sz="2" w:space="0" w:color="auto"/>
              <w:bottom w:val="single" w:sz="2" w:space="0" w:color="auto"/>
              <w:right w:val="single" w:sz="2" w:space="0" w:color="auto"/>
            </w:tcBorders>
          </w:tcPr>
          <w:p w14:paraId="6B3C1E28"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29" w14:textId="77777777" w:rsidR="000448D2" w:rsidRPr="00426CC5" w:rsidRDefault="000448D2">
            <w:pPr>
              <w:pStyle w:val="NormalLeft"/>
              <w:rPr>
                <w:noProof/>
              </w:rPr>
            </w:pPr>
            <w:r w:rsidRPr="00426CC5">
              <w:rPr>
                <w:rStyle w:val="CRDeleted"/>
                <w:noProof/>
              </w:rPr>
              <w:t>Article 18</w:t>
            </w:r>
          </w:p>
        </w:tc>
      </w:tr>
      <w:tr w:rsidR="000448D2" w:rsidRPr="00426CC5" w14:paraId="6B3C1E2D" w14:textId="77777777">
        <w:tc>
          <w:tcPr>
            <w:tcW w:w="3236" w:type="dxa"/>
            <w:tcBorders>
              <w:top w:val="single" w:sz="2" w:space="0" w:color="auto"/>
              <w:left w:val="single" w:sz="2" w:space="0" w:color="auto"/>
              <w:bottom w:val="single" w:sz="2" w:space="0" w:color="auto"/>
              <w:right w:val="single" w:sz="2" w:space="0" w:color="auto"/>
            </w:tcBorders>
          </w:tcPr>
          <w:p w14:paraId="6B3C1E2B" w14:textId="77777777" w:rsidR="000448D2" w:rsidRPr="00426CC5" w:rsidRDefault="000448D2">
            <w:pPr>
              <w:pStyle w:val="NormalLeft"/>
              <w:rPr>
                <w:noProof/>
              </w:rPr>
            </w:pPr>
            <w:r w:rsidRPr="00426CC5">
              <w:rPr>
                <w:rStyle w:val="CRDeleted"/>
                <w:noProof/>
              </w:rPr>
              <w:t>Article 11, texte introductif</w:t>
            </w:r>
          </w:p>
        </w:tc>
        <w:tc>
          <w:tcPr>
            <w:tcW w:w="4657" w:type="dxa"/>
            <w:tcBorders>
              <w:top w:val="single" w:sz="2" w:space="0" w:color="auto"/>
              <w:left w:val="single" w:sz="2" w:space="0" w:color="auto"/>
              <w:bottom w:val="single" w:sz="2" w:space="0" w:color="auto"/>
              <w:right w:val="single" w:sz="2" w:space="0" w:color="auto"/>
            </w:tcBorders>
          </w:tcPr>
          <w:p w14:paraId="6B3C1E2C" w14:textId="77777777" w:rsidR="000448D2" w:rsidRPr="00426CC5" w:rsidRDefault="000448D2">
            <w:pPr>
              <w:pStyle w:val="NormalLeft"/>
              <w:rPr>
                <w:noProof/>
              </w:rPr>
            </w:pPr>
            <w:r w:rsidRPr="00426CC5">
              <w:rPr>
                <w:rStyle w:val="CRDeleted"/>
                <w:noProof/>
              </w:rPr>
              <w:t>Article 19</w:t>
            </w:r>
          </w:p>
        </w:tc>
      </w:tr>
      <w:tr w:rsidR="000448D2" w:rsidRPr="00426CC5" w14:paraId="6B3C1E30" w14:textId="77777777">
        <w:tc>
          <w:tcPr>
            <w:tcW w:w="3236" w:type="dxa"/>
            <w:tcBorders>
              <w:top w:val="single" w:sz="2" w:space="0" w:color="auto"/>
              <w:left w:val="single" w:sz="2" w:space="0" w:color="auto"/>
              <w:bottom w:val="single" w:sz="2" w:space="0" w:color="auto"/>
              <w:right w:val="single" w:sz="2" w:space="0" w:color="auto"/>
            </w:tcBorders>
          </w:tcPr>
          <w:p w14:paraId="6B3C1E2E" w14:textId="77777777" w:rsidR="000448D2" w:rsidRPr="00426CC5" w:rsidRDefault="000448D2">
            <w:pPr>
              <w:pStyle w:val="NormalLeft"/>
              <w:rPr>
                <w:noProof/>
              </w:rPr>
            </w:pPr>
            <w:r w:rsidRPr="00426CC5">
              <w:rPr>
                <w:rStyle w:val="CRDeleted"/>
                <w:noProof/>
              </w:rPr>
              <w:t>Article 11, points a) et b)</w:t>
            </w:r>
          </w:p>
        </w:tc>
        <w:tc>
          <w:tcPr>
            <w:tcW w:w="4657" w:type="dxa"/>
            <w:tcBorders>
              <w:top w:val="single" w:sz="2" w:space="0" w:color="auto"/>
              <w:left w:val="single" w:sz="2" w:space="0" w:color="auto"/>
              <w:bottom w:val="single" w:sz="2" w:space="0" w:color="auto"/>
              <w:right w:val="single" w:sz="2" w:space="0" w:color="auto"/>
            </w:tcBorders>
          </w:tcPr>
          <w:p w14:paraId="6B3C1E2F" w14:textId="77777777" w:rsidR="000448D2" w:rsidRPr="00426CC5" w:rsidRDefault="000448D2">
            <w:pPr>
              <w:pStyle w:val="NormalLeft"/>
              <w:rPr>
                <w:noProof/>
              </w:rPr>
            </w:pPr>
            <w:r w:rsidRPr="00426CC5">
              <w:rPr>
                <w:rStyle w:val="CRDeleted"/>
                <w:noProof/>
              </w:rPr>
              <w:t>—</w:t>
            </w:r>
          </w:p>
        </w:tc>
      </w:tr>
      <w:tr w:rsidR="000448D2" w:rsidRPr="00426CC5" w14:paraId="6B3C1E33" w14:textId="77777777">
        <w:tc>
          <w:tcPr>
            <w:tcW w:w="3236" w:type="dxa"/>
            <w:tcBorders>
              <w:top w:val="single" w:sz="2" w:space="0" w:color="auto"/>
              <w:left w:val="single" w:sz="2" w:space="0" w:color="auto"/>
              <w:bottom w:val="single" w:sz="2" w:space="0" w:color="auto"/>
              <w:right w:val="single" w:sz="2" w:space="0" w:color="auto"/>
            </w:tcBorders>
          </w:tcPr>
          <w:p w14:paraId="6B3C1E31" w14:textId="77777777" w:rsidR="000448D2" w:rsidRPr="00426CC5" w:rsidRDefault="000448D2">
            <w:pPr>
              <w:pStyle w:val="NormalLeft"/>
              <w:rPr>
                <w:noProof/>
              </w:rPr>
            </w:pPr>
            <w:r w:rsidRPr="00426CC5">
              <w:rPr>
                <w:rStyle w:val="CRDeleted"/>
                <w:noProof/>
              </w:rPr>
              <w:t>Article 12</w:t>
            </w:r>
          </w:p>
        </w:tc>
        <w:tc>
          <w:tcPr>
            <w:tcW w:w="4657" w:type="dxa"/>
            <w:tcBorders>
              <w:top w:val="single" w:sz="2" w:space="0" w:color="auto"/>
              <w:left w:val="single" w:sz="2" w:space="0" w:color="auto"/>
              <w:bottom w:val="single" w:sz="2" w:space="0" w:color="auto"/>
              <w:right w:val="single" w:sz="2" w:space="0" w:color="auto"/>
            </w:tcBorders>
          </w:tcPr>
          <w:p w14:paraId="6B3C1E32" w14:textId="77777777" w:rsidR="000448D2" w:rsidRPr="00426CC5" w:rsidRDefault="000448D2">
            <w:pPr>
              <w:pStyle w:val="NormalLeft"/>
              <w:rPr>
                <w:noProof/>
              </w:rPr>
            </w:pPr>
            <w:r w:rsidRPr="00426CC5">
              <w:rPr>
                <w:rStyle w:val="CRDeleted"/>
                <w:noProof/>
              </w:rPr>
              <w:t>Article 20, paragraphe 1, et article 20, paragraphe 2, deuxième alinéa</w:t>
            </w:r>
          </w:p>
        </w:tc>
      </w:tr>
      <w:tr w:rsidR="000448D2" w:rsidRPr="00426CC5" w14:paraId="6B3C1E36" w14:textId="77777777">
        <w:tc>
          <w:tcPr>
            <w:tcW w:w="3236" w:type="dxa"/>
            <w:tcBorders>
              <w:top w:val="single" w:sz="2" w:space="0" w:color="auto"/>
              <w:left w:val="single" w:sz="2" w:space="0" w:color="auto"/>
              <w:bottom w:val="single" w:sz="2" w:space="0" w:color="auto"/>
              <w:right w:val="single" w:sz="2" w:space="0" w:color="auto"/>
            </w:tcBorders>
          </w:tcPr>
          <w:p w14:paraId="6B3C1E34"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35" w14:textId="77777777" w:rsidR="000448D2" w:rsidRPr="00426CC5" w:rsidRDefault="000448D2">
            <w:pPr>
              <w:pStyle w:val="NormalLeft"/>
              <w:rPr>
                <w:noProof/>
              </w:rPr>
            </w:pPr>
            <w:r w:rsidRPr="00426CC5">
              <w:rPr>
                <w:rStyle w:val="CRDeleted"/>
                <w:noProof/>
              </w:rPr>
              <w:t>Article 20, paragraphe 2, premier alinéa, et article 20, paragraphes 3 et 4</w:t>
            </w:r>
          </w:p>
        </w:tc>
      </w:tr>
      <w:tr w:rsidR="000448D2" w:rsidRPr="00426CC5" w14:paraId="6B3C1E39" w14:textId="77777777">
        <w:tc>
          <w:tcPr>
            <w:tcW w:w="3236" w:type="dxa"/>
            <w:tcBorders>
              <w:top w:val="single" w:sz="2" w:space="0" w:color="auto"/>
              <w:left w:val="single" w:sz="2" w:space="0" w:color="auto"/>
              <w:bottom w:val="single" w:sz="2" w:space="0" w:color="auto"/>
              <w:right w:val="single" w:sz="2" w:space="0" w:color="auto"/>
            </w:tcBorders>
          </w:tcPr>
          <w:p w14:paraId="6B3C1E37"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38" w14:textId="77777777" w:rsidR="000448D2" w:rsidRPr="00426CC5" w:rsidRDefault="000448D2">
            <w:pPr>
              <w:pStyle w:val="NormalLeft"/>
              <w:rPr>
                <w:noProof/>
              </w:rPr>
            </w:pPr>
            <w:r w:rsidRPr="00426CC5">
              <w:rPr>
                <w:rStyle w:val="CRDeleted"/>
                <w:noProof/>
              </w:rPr>
              <w:t>Article 21</w:t>
            </w:r>
          </w:p>
        </w:tc>
      </w:tr>
      <w:tr w:rsidR="000448D2" w:rsidRPr="00426CC5" w14:paraId="6B3C1E3C" w14:textId="77777777">
        <w:tc>
          <w:tcPr>
            <w:tcW w:w="3236" w:type="dxa"/>
            <w:tcBorders>
              <w:top w:val="single" w:sz="2" w:space="0" w:color="auto"/>
              <w:left w:val="single" w:sz="2" w:space="0" w:color="auto"/>
              <w:bottom w:val="single" w:sz="2" w:space="0" w:color="auto"/>
              <w:right w:val="single" w:sz="2" w:space="0" w:color="auto"/>
            </w:tcBorders>
          </w:tcPr>
          <w:p w14:paraId="6B3C1E3A" w14:textId="77777777" w:rsidR="000448D2" w:rsidRPr="00426CC5" w:rsidRDefault="000448D2">
            <w:pPr>
              <w:pStyle w:val="NormalLeft"/>
              <w:rPr>
                <w:noProof/>
              </w:rPr>
            </w:pPr>
            <w:r w:rsidRPr="00426CC5">
              <w:rPr>
                <w:rStyle w:val="CRDeleted"/>
                <w:noProof/>
              </w:rPr>
              <w:t>Article 13</w:t>
            </w:r>
          </w:p>
        </w:tc>
        <w:tc>
          <w:tcPr>
            <w:tcW w:w="4657" w:type="dxa"/>
            <w:tcBorders>
              <w:top w:val="single" w:sz="2" w:space="0" w:color="auto"/>
              <w:left w:val="single" w:sz="2" w:space="0" w:color="auto"/>
              <w:bottom w:val="single" w:sz="2" w:space="0" w:color="auto"/>
              <w:right w:val="single" w:sz="2" w:space="0" w:color="auto"/>
            </w:tcBorders>
          </w:tcPr>
          <w:p w14:paraId="6B3C1E3B" w14:textId="77777777" w:rsidR="000448D2" w:rsidRPr="00426CC5" w:rsidRDefault="000448D2">
            <w:pPr>
              <w:pStyle w:val="NormalLeft"/>
              <w:rPr>
                <w:noProof/>
              </w:rPr>
            </w:pPr>
            <w:r w:rsidRPr="00426CC5">
              <w:rPr>
                <w:rStyle w:val="CRDeleted"/>
                <w:noProof/>
              </w:rPr>
              <w:t>Article 22</w:t>
            </w:r>
          </w:p>
        </w:tc>
      </w:tr>
      <w:tr w:rsidR="000448D2" w:rsidRPr="00426CC5" w14:paraId="6B3C1E3F" w14:textId="77777777">
        <w:tc>
          <w:tcPr>
            <w:tcW w:w="3236" w:type="dxa"/>
            <w:tcBorders>
              <w:top w:val="single" w:sz="2" w:space="0" w:color="auto"/>
              <w:left w:val="single" w:sz="2" w:space="0" w:color="auto"/>
              <w:bottom w:val="single" w:sz="2" w:space="0" w:color="auto"/>
              <w:right w:val="single" w:sz="2" w:space="0" w:color="auto"/>
            </w:tcBorders>
          </w:tcPr>
          <w:p w14:paraId="6B3C1E3D"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3E" w14:textId="77777777" w:rsidR="000448D2" w:rsidRPr="00426CC5" w:rsidRDefault="000448D2">
            <w:pPr>
              <w:pStyle w:val="NormalLeft"/>
              <w:rPr>
                <w:noProof/>
              </w:rPr>
            </w:pPr>
            <w:r w:rsidRPr="00426CC5">
              <w:rPr>
                <w:rStyle w:val="CRDeleted"/>
                <w:noProof/>
              </w:rPr>
              <w:t>Articles 23, 24 et 25</w:t>
            </w:r>
          </w:p>
        </w:tc>
      </w:tr>
      <w:tr w:rsidR="000448D2" w:rsidRPr="00426CC5" w14:paraId="6B3C1E42" w14:textId="77777777">
        <w:tc>
          <w:tcPr>
            <w:tcW w:w="3236" w:type="dxa"/>
            <w:tcBorders>
              <w:top w:val="single" w:sz="2" w:space="0" w:color="auto"/>
              <w:left w:val="single" w:sz="2" w:space="0" w:color="auto"/>
              <w:bottom w:val="single" w:sz="2" w:space="0" w:color="auto"/>
              <w:right w:val="single" w:sz="2" w:space="0" w:color="auto"/>
            </w:tcBorders>
          </w:tcPr>
          <w:p w14:paraId="6B3C1E40" w14:textId="77777777" w:rsidR="000448D2" w:rsidRPr="00426CC5" w:rsidRDefault="000448D2">
            <w:pPr>
              <w:pStyle w:val="NormalLeft"/>
              <w:rPr>
                <w:noProof/>
              </w:rPr>
            </w:pPr>
            <w:r w:rsidRPr="00426CC5">
              <w:rPr>
                <w:rStyle w:val="CRDeleted"/>
                <w:noProof/>
              </w:rPr>
              <w:t>Article 14, paragraphe 1</w:t>
            </w:r>
          </w:p>
        </w:tc>
        <w:tc>
          <w:tcPr>
            <w:tcW w:w="4657" w:type="dxa"/>
            <w:tcBorders>
              <w:top w:val="single" w:sz="2" w:space="0" w:color="auto"/>
              <w:left w:val="single" w:sz="2" w:space="0" w:color="auto"/>
              <w:bottom w:val="single" w:sz="2" w:space="0" w:color="auto"/>
              <w:right w:val="single" w:sz="2" w:space="0" w:color="auto"/>
            </w:tcBorders>
          </w:tcPr>
          <w:p w14:paraId="6B3C1E41" w14:textId="77777777" w:rsidR="000448D2" w:rsidRPr="00426CC5" w:rsidRDefault="000448D2">
            <w:pPr>
              <w:pStyle w:val="NormalLeft"/>
              <w:rPr>
                <w:noProof/>
              </w:rPr>
            </w:pPr>
            <w:r w:rsidRPr="00426CC5">
              <w:rPr>
                <w:rStyle w:val="CRDeleted"/>
                <w:noProof/>
              </w:rPr>
              <w:t>Article 26, paragraphe 1</w:t>
            </w:r>
          </w:p>
        </w:tc>
      </w:tr>
      <w:tr w:rsidR="000448D2" w:rsidRPr="00426CC5" w14:paraId="6B3C1E45" w14:textId="77777777">
        <w:tc>
          <w:tcPr>
            <w:tcW w:w="3236" w:type="dxa"/>
            <w:tcBorders>
              <w:top w:val="single" w:sz="2" w:space="0" w:color="auto"/>
              <w:left w:val="single" w:sz="2" w:space="0" w:color="auto"/>
              <w:bottom w:val="single" w:sz="2" w:space="0" w:color="auto"/>
              <w:right w:val="single" w:sz="2" w:space="0" w:color="auto"/>
            </w:tcBorders>
          </w:tcPr>
          <w:p w14:paraId="6B3C1E43" w14:textId="77777777" w:rsidR="000448D2" w:rsidRPr="00426CC5" w:rsidRDefault="000448D2">
            <w:pPr>
              <w:pStyle w:val="NormalLeft"/>
              <w:rPr>
                <w:noProof/>
              </w:rPr>
            </w:pPr>
            <w:r w:rsidRPr="00426CC5">
              <w:rPr>
                <w:rStyle w:val="CRDeleted"/>
                <w:noProof/>
              </w:rPr>
              <w:t>Article 14, paragraphes 2 et 3;</w:t>
            </w:r>
          </w:p>
        </w:tc>
        <w:tc>
          <w:tcPr>
            <w:tcW w:w="4657" w:type="dxa"/>
            <w:tcBorders>
              <w:top w:val="single" w:sz="2" w:space="0" w:color="auto"/>
              <w:left w:val="single" w:sz="2" w:space="0" w:color="auto"/>
              <w:bottom w:val="single" w:sz="2" w:space="0" w:color="auto"/>
              <w:right w:val="single" w:sz="2" w:space="0" w:color="auto"/>
            </w:tcBorders>
          </w:tcPr>
          <w:p w14:paraId="6B3C1E44" w14:textId="77777777" w:rsidR="000448D2" w:rsidRPr="00426CC5" w:rsidRDefault="000448D2">
            <w:pPr>
              <w:pStyle w:val="NormalLeft"/>
              <w:rPr>
                <w:noProof/>
              </w:rPr>
            </w:pPr>
            <w:r w:rsidRPr="00426CC5">
              <w:rPr>
                <w:rStyle w:val="CRDeleted"/>
                <w:noProof/>
              </w:rPr>
              <w:t>—</w:t>
            </w:r>
          </w:p>
        </w:tc>
      </w:tr>
      <w:tr w:rsidR="000448D2" w:rsidRPr="00426CC5" w14:paraId="6B3C1E48" w14:textId="77777777">
        <w:tc>
          <w:tcPr>
            <w:tcW w:w="3236" w:type="dxa"/>
            <w:tcBorders>
              <w:top w:val="single" w:sz="2" w:space="0" w:color="auto"/>
              <w:left w:val="single" w:sz="2" w:space="0" w:color="auto"/>
              <w:bottom w:val="single" w:sz="2" w:space="0" w:color="auto"/>
              <w:right w:val="single" w:sz="2" w:space="0" w:color="auto"/>
            </w:tcBorders>
          </w:tcPr>
          <w:p w14:paraId="6B3C1E46"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47" w14:textId="77777777" w:rsidR="000448D2" w:rsidRPr="00426CC5" w:rsidRDefault="000448D2">
            <w:pPr>
              <w:pStyle w:val="NormalLeft"/>
              <w:rPr>
                <w:noProof/>
              </w:rPr>
            </w:pPr>
            <w:r w:rsidRPr="00426CC5">
              <w:rPr>
                <w:rStyle w:val="CRDeleted"/>
                <w:noProof/>
              </w:rPr>
              <w:t>Article 26, paragraphe 2</w:t>
            </w:r>
          </w:p>
        </w:tc>
      </w:tr>
      <w:tr w:rsidR="000448D2" w:rsidRPr="00426CC5" w14:paraId="6B3C1E4B" w14:textId="77777777">
        <w:tc>
          <w:tcPr>
            <w:tcW w:w="3236" w:type="dxa"/>
            <w:tcBorders>
              <w:top w:val="single" w:sz="2" w:space="0" w:color="auto"/>
              <w:left w:val="single" w:sz="2" w:space="0" w:color="auto"/>
              <w:bottom w:val="single" w:sz="2" w:space="0" w:color="auto"/>
              <w:right w:val="single" w:sz="2" w:space="0" w:color="auto"/>
            </w:tcBorders>
          </w:tcPr>
          <w:p w14:paraId="6B3C1E49"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4A" w14:textId="77777777" w:rsidR="000448D2" w:rsidRPr="00426CC5" w:rsidRDefault="000448D2">
            <w:pPr>
              <w:pStyle w:val="NormalLeft"/>
              <w:rPr>
                <w:noProof/>
              </w:rPr>
            </w:pPr>
            <w:r w:rsidRPr="00426CC5">
              <w:rPr>
                <w:rStyle w:val="CRDeleted"/>
                <w:noProof/>
              </w:rPr>
              <w:t>Article 27</w:t>
            </w:r>
          </w:p>
        </w:tc>
      </w:tr>
      <w:tr w:rsidR="000448D2" w:rsidRPr="00426CC5" w14:paraId="6B3C1E4E" w14:textId="77777777">
        <w:tc>
          <w:tcPr>
            <w:tcW w:w="3236" w:type="dxa"/>
            <w:tcBorders>
              <w:top w:val="single" w:sz="2" w:space="0" w:color="auto"/>
              <w:left w:val="single" w:sz="2" w:space="0" w:color="auto"/>
              <w:bottom w:val="single" w:sz="2" w:space="0" w:color="auto"/>
              <w:right w:val="single" w:sz="2" w:space="0" w:color="auto"/>
            </w:tcBorders>
          </w:tcPr>
          <w:p w14:paraId="6B3C1E4C" w14:textId="77777777" w:rsidR="000448D2" w:rsidRPr="00426CC5" w:rsidRDefault="000448D2">
            <w:pPr>
              <w:pStyle w:val="NormalLeft"/>
              <w:rPr>
                <w:noProof/>
              </w:rPr>
            </w:pPr>
            <w:r w:rsidRPr="00426CC5">
              <w:rPr>
                <w:rStyle w:val="CRDeleted"/>
                <w:noProof/>
              </w:rPr>
              <w:t>Article 15, paragraphe 1</w:t>
            </w:r>
          </w:p>
        </w:tc>
        <w:tc>
          <w:tcPr>
            <w:tcW w:w="4657" w:type="dxa"/>
            <w:tcBorders>
              <w:top w:val="single" w:sz="2" w:space="0" w:color="auto"/>
              <w:left w:val="single" w:sz="2" w:space="0" w:color="auto"/>
              <w:bottom w:val="single" w:sz="2" w:space="0" w:color="auto"/>
              <w:right w:val="single" w:sz="2" w:space="0" w:color="auto"/>
            </w:tcBorders>
          </w:tcPr>
          <w:p w14:paraId="6B3C1E4D" w14:textId="77777777" w:rsidR="000448D2" w:rsidRPr="00426CC5" w:rsidRDefault="000448D2">
            <w:pPr>
              <w:pStyle w:val="NormalLeft"/>
              <w:rPr>
                <w:noProof/>
              </w:rPr>
            </w:pPr>
            <w:r w:rsidRPr="00426CC5">
              <w:rPr>
                <w:rStyle w:val="CRDeleted"/>
                <w:noProof/>
              </w:rPr>
              <w:t>Article 28</w:t>
            </w:r>
          </w:p>
        </w:tc>
      </w:tr>
      <w:tr w:rsidR="000448D2" w:rsidRPr="00426CC5" w14:paraId="6B3C1E51" w14:textId="77777777">
        <w:tc>
          <w:tcPr>
            <w:tcW w:w="3236" w:type="dxa"/>
            <w:tcBorders>
              <w:top w:val="single" w:sz="2" w:space="0" w:color="auto"/>
              <w:left w:val="single" w:sz="2" w:space="0" w:color="auto"/>
              <w:bottom w:val="single" w:sz="2" w:space="0" w:color="auto"/>
              <w:right w:val="single" w:sz="2" w:space="0" w:color="auto"/>
            </w:tcBorders>
          </w:tcPr>
          <w:p w14:paraId="6B3C1E4F" w14:textId="77777777" w:rsidR="000448D2" w:rsidRPr="00426CC5" w:rsidRDefault="000448D2">
            <w:pPr>
              <w:pStyle w:val="NormalLeft"/>
              <w:rPr>
                <w:noProof/>
              </w:rPr>
            </w:pPr>
            <w:r w:rsidRPr="00426CC5">
              <w:rPr>
                <w:rStyle w:val="CRDeleted"/>
                <w:noProof/>
              </w:rPr>
              <w:t>Article 15, paragraphe 2</w:t>
            </w:r>
          </w:p>
        </w:tc>
        <w:tc>
          <w:tcPr>
            <w:tcW w:w="4657" w:type="dxa"/>
            <w:tcBorders>
              <w:top w:val="single" w:sz="2" w:space="0" w:color="auto"/>
              <w:left w:val="single" w:sz="2" w:space="0" w:color="auto"/>
              <w:bottom w:val="single" w:sz="2" w:space="0" w:color="auto"/>
              <w:right w:val="single" w:sz="2" w:space="0" w:color="auto"/>
            </w:tcBorders>
          </w:tcPr>
          <w:p w14:paraId="6B3C1E50" w14:textId="77777777" w:rsidR="000448D2" w:rsidRPr="00426CC5" w:rsidRDefault="000448D2">
            <w:pPr>
              <w:pStyle w:val="NormalLeft"/>
              <w:rPr>
                <w:noProof/>
              </w:rPr>
            </w:pPr>
            <w:r w:rsidRPr="00426CC5">
              <w:rPr>
                <w:rStyle w:val="CRDeleted"/>
                <w:noProof/>
              </w:rPr>
              <w:t>—</w:t>
            </w:r>
          </w:p>
        </w:tc>
      </w:tr>
      <w:tr w:rsidR="000448D2" w:rsidRPr="00426CC5" w14:paraId="6B3C1E54" w14:textId="77777777">
        <w:tc>
          <w:tcPr>
            <w:tcW w:w="3236" w:type="dxa"/>
            <w:tcBorders>
              <w:top w:val="single" w:sz="2" w:space="0" w:color="auto"/>
              <w:left w:val="single" w:sz="2" w:space="0" w:color="auto"/>
              <w:bottom w:val="single" w:sz="2" w:space="0" w:color="auto"/>
              <w:right w:val="single" w:sz="2" w:space="0" w:color="auto"/>
            </w:tcBorders>
          </w:tcPr>
          <w:p w14:paraId="6B3C1E52"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53" w14:textId="77777777" w:rsidR="000448D2" w:rsidRPr="00426CC5" w:rsidRDefault="000448D2">
            <w:pPr>
              <w:pStyle w:val="NormalLeft"/>
              <w:rPr>
                <w:noProof/>
              </w:rPr>
            </w:pPr>
            <w:r w:rsidRPr="00426CC5">
              <w:rPr>
                <w:rStyle w:val="CRDeleted"/>
                <w:noProof/>
              </w:rPr>
              <w:t>Article 29</w:t>
            </w:r>
          </w:p>
        </w:tc>
      </w:tr>
      <w:tr w:rsidR="000448D2" w:rsidRPr="00426CC5" w14:paraId="6B3C1E57" w14:textId="77777777">
        <w:tc>
          <w:tcPr>
            <w:tcW w:w="3236" w:type="dxa"/>
            <w:tcBorders>
              <w:top w:val="single" w:sz="2" w:space="0" w:color="auto"/>
              <w:left w:val="single" w:sz="2" w:space="0" w:color="auto"/>
              <w:bottom w:val="single" w:sz="2" w:space="0" w:color="auto"/>
              <w:right w:val="single" w:sz="2" w:space="0" w:color="auto"/>
            </w:tcBorders>
          </w:tcPr>
          <w:p w14:paraId="6B3C1E55" w14:textId="77777777" w:rsidR="000448D2" w:rsidRPr="00426CC5" w:rsidRDefault="000448D2">
            <w:pPr>
              <w:pStyle w:val="NormalLeft"/>
              <w:rPr>
                <w:noProof/>
              </w:rPr>
            </w:pPr>
            <w:r w:rsidRPr="00426CC5">
              <w:rPr>
                <w:rStyle w:val="CRDeleted"/>
                <w:noProof/>
              </w:rPr>
              <w:t>Article 16</w:t>
            </w:r>
          </w:p>
        </w:tc>
        <w:tc>
          <w:tcPr>
            <w:tcW w:w="4657" w:type="dxa"/>
            <w:tcBorders>
              <w:top w:val="single" w:sz="2" w:space="0" w:color="auto"/>
              <w:left w:val="single" w:sz="2" w:space="0" w:color="auto"/>
              <w:bottom w:val="single" w:sz="2" w:space="0" w:color="auto"/>
              <w:right w:val="single" w:sz="2" w:space="0" w:color="auto"/>
            </w:tcBorders>
          </w:tcPr>
          <w:p w14:paraId="6B3C1E56" w14:textId="77777777" w:rsidR="000448D2" w:rsidRPr="00426CC5" w:rsidRDefault="000448D2">
            <w:pPr>
              <w:pStyle w:val="NormalLeft"/>
              <w:rPr>
                <w:noProof/>
              </w:rPr>
            </w:pPr>
            <w:r w:rsidRPr="00426CC5">
              <w:rPr>
                <w:rStyle w:val="CRDeleted"/>
                <w:noProof/>
              </w:rPr>
              <w:t>Article 30</w:t>
            </w:r>
          </w:p>
        </w:tc>
      </w:tr>
      <w:tr w:rsidR="000448D2" w:rsidRPr="00426CC5" w14:paraId="6B3C1E5A" w14:textId="77777777">
        <w:tc>
          <w:tcPr>
            <w:tcW w:w="3236" w:type="dxa"/>
            <w:tcBorders>
              <w:top w:val="single" w:sz="2" w:space="0" w:color="auto"/>
              <w:left w:val="single" w:sz="2" w:space="0" w:color="auto"/>
              <w:bottom w:val="single" w:sz="2" w:space="0" w:color="auto"/>
              <w:right w:val="single" w:sz="2" w:space="0" w:color="auto"/>
            </w:tcBorders>
          </w:tcPr>
          <w:p w14:paraId="6B3C1E58" w14:textId="77777777" w:rsidR="000448D2" w:rsidRPr="00426CC5" w:rsidRDefault="000448D2">
            <w:pPr>
              <w:pStyle w:val="NormalLeft"/>
              <w:rPr>
                <w:noProof/>
              </w:rPr>
            </w:pPr>
            <w:r w:rsidRPr="00426CC5">
              <w:rPr>
                <w:rStyle w:val="CRDeleted"/>
                <w:noProof/>
              </w:rPr>
              <w:t>Article 17</w:t>
            </w:r>
          </w:p>
        </w:tc>
        <w:tc>
          <w:tcPr>
            <w:tcW w:w="4657" w:type="dxa"/>
            <w:tcBorders>
              <w:top w:val="single" w:sz="2" w:space="0" w:color="auto"/>
              <w:left w:val="single" w:sz="2" w:space="0" w:color="auto"/>
              <w:bottom w:val="single" w:sz="2" w:space="0" w:color="auto"/>
              <w:right w:val="single" w:sz="2" w:space="0" w:color="auto"/>
            </w:tcBorders>
          </w:tcPr>
          <w:p w14:paraId="6B3C1E59" w14:textId="77777777" w:rsidR="000448D2" w:rsidRPr="00426CC5" w:rsidRDefault="000448D2">
            <w:pPr>
              <w:pStyle w:val="NormalLeft"/>
              <w:rPr>
                <w:noProof/>
              </w:rPr>
            </w:pPr>
            <w:r w:rsidRPr="00426CC5">
              <w:rPr>
                <w:rStyle w:val="CRDeleted"/>
                <w:noProof/>
              </w:rPr>
              <w:t>Article 31</w:t>
            </w:r>
          </w:p>
        </w:tc>
      </w:tr>
      <w:tr w:rsidR="000448D2" w:rsidRPr="00426CC5" w14:paraId="6B3C1E5D" w14:textId="77777777">
        <w:tc>
          <w:tcPr>
            <w:tcW w:w="3236" w:type="dxa"/>
            <w:tcBorders>
              <w:top w:val="single" w:sz="2" w:space="0" w:color="auto"/>
              <w:left w:val="single" w:sz="2" w:space="0" w:color="auto"/>
              <w:bottom w:val="single" w:sz="2" w:space="0" w:color="auto"/>
              <w:right w:val="single" w:sz="2" w:space="0" w:color="auto"/>
            </w:tcBorders>
          </w:tcPr>
          <w:p w14:paraId="6B3C1E5B" w14:textId="77777777" w:rsidR="000448D2" w:rsidRPr="00426CC5" w:rsidRDefault="000448D2">
            <w:pPr>
              <w:pStyle w:val="NormalLeft"/>
              <w:rPr>
                <w:noProof/>
              </w:rPr>
            </w:pPr>
            <w:r w:rsidRPr="00426CC5">
              <w:rPr>
                <w:rStyle w:val="CRDeleted"/>
                <w:noProof/>
              </w:rPr>
              <w:t>Annexe</w:t>
            </w:r>
          </w:p>
        </w:tc>
        <w:tc>
          <w:tcPr>
            <w:tcW w:w="4657" w:type="dxa"/>
            <w:tcBorders>
              <w:top w:val="single" w:sz="2" w:space="0" w:color="auto"/>
              <w:left w:val="single" w:sz="2" w:space="0" w:color="auto"/>
              <w:bottom w:val="single" w:sz="2" w:space="0" w:color="auto"/>
              <w:right w:val="single" w:sz="2" w:space="0" w:color="auto"/>
            </w:tcBorders>
          </w:tcPr>
          <w:p w14:paraId="6B3C1E5C" w14:textId="77777777" w:rsidR="000448D2" w:rsidRPr="00426CC5" w:rsidRDefault="000448D2">
            <w:pPr>
              <w:pStyle w:val="NormalLeft"/>
              <w:rPr>
                <w:noProof/>
              </w:rPr>
            </w:pPr>
            <w:r w:rsidRPr="00426CC5">
              <w:rPr>
                <w:rStyle w:val="CRDeleted"/>
                <w:noProof/>
              </w:rPr>
              <w:t>Annexe I</w:t>
            </w:r>
          </w:p>
        </w:tc>
      </w:tr>
      <w:tr w:rsidR="000448D2" w:rsidRPr="00426CC5" w14:paraId="6B3C1E60" w14:textId="77777777">
        <w:tc>
          <w:tcPr>
            <w:tcW w:w="3236" w:type="dxa"/>
            <w:tcBorders>
              <w:top w:val="single" w:sz="2" w:space="0" w:color="auto"/>
              <w:left w:val="single" w:sz="2" w:space="0" w:color="auto"/>
              <w:bottom w:val="single" w:sz="2" w:space="0" w:color="auto"/>
              <w:right w:val="single" w:sz="2" w:space="0" w:color="auto"/>
            </w:tcBorders>
          </w:tcPr>
          <w:p w14:paraId="6B3C1E5E" w14:textId="77777777" w:rsidR="000448D2" w:rsidRPr="00426CC5" w:rsidRDefault="000448D2">
            <w:pPr>
              <w:pStyle w:val="NormalLeft"/>
              <w:rPr>
                <w:noProof/>
              </w:rPr>
            </w:pPr>
            <w:r w:rsidRPr="00426CC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B3C1E5F" w14:textId="77777777" w:rsidR="000448D2" w:rsidRPr="00426CC5" w:rsidRDefault="000448D2">
            <w:pPr>
              <w:pStyle w:val="NormalLeft"/>
              <w:rPr>
                <w:noProof/>
              </w:rPr>
            </w:pPr>
            <w:r w:rsidRPr="00426CC5">
              <w:rPr>
                <w:rStyle w:val="CRDeleted"/>
                <w:noProof/>
              </w:rPr>
              <w:t>Annexes II à V</w:t>
            </w:r>
          </w:p>
        </w:tc>
      </w:tr>
    </w:tbl>
    <w:p w14:paraId="6B3C1E61" w14:textId="77777777" w:rsidR="00160333" w:rsidRPr="00426CC5" w:rsidRDefault="00160333" w:rsidP="000448D2">
      <w:pPr>
        <w:rPr>
          <w:noProof/>
        </w:rPr>
      </w:pPr>
    </w:p>
    <w:sectPr w:rsidR="00160333" w:rsidRPr="00426CC5" w:rsidSect="00AD39FC">
      <w:pgSz w:w="11906" w:h="16838"/>
      <w:pgMar w:top="1134" w:right="1418" w:bottom="1134" w:left="1418" w:header="709" w:footer="709" w:gutter="0"/>
      <w:cols w:space="709"/>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4A601" w16cex:dateUtc="2021-12-10T08:08:06.479Z"/>
  <w16cex:commentExtensible w16cex:durableId="76774241" w16cex:dateUtc="2021-12-10T08:14:45.074Z"/>
  <w16cex:commentExtensible w16cex:durableId="17D90004" w16cex:dateUtc="2021-12-10T08:15:00.989Z"/>
  <w16cex:commentExtensible w16cex:durableId="126603D2" w16cex:dateUtc="2021-12-10T08:17:23.536Z"/>
  <w16cex:commentExtensible w16cex:durableId="6EE4CB11" w16cex:dateUtc="2021-12-10T08:17:54.982Z"/>
  <w16cex:commentExtensible w16cex:durableId="54B5D090" w16cex:dateUtc="2021-12-10T08:18:08.239Z"/>
</w16cex:commentsExtensible>
</file>

<file path=word/commentsIds.xml><?xml version="1.0" encoding="utf-8"?>
<w16cid:commentsIds xmlns:mc="http://schemas.openxmlformats.org/markup-compatibility/2006" xmlns:w16cid="http://schemas.microsoft.com/office/word/2016/wordml/cid" mc:Ignorable="w16cid">
  <w16cid:commentId w16cid:paraId="1C5B5FFF" w16cid:durableId="4204A601"/>
  <w16cid:commentId w16cid:paraId="655E6F13" w16cid:durableId="76774241"/>
  <w16cid:commentId w16cid:paraId="41F39441" w16cid:durableId="17D90004"/>
  <w16cid:commentId w16cid:paraId="6D0081C2" w16cid:durableId="126603D2"/>
  <w16cid:commentId w16cid:paraId="32450730" w16cid:durableId="6EE4CB11"/>
  <w16cid:commentId w16cid:paraId="4BD23657" w16cid:durableId="54B5D0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7686" w14:textId="77777777" w:rsidR="00EC012A" w:rsidRDefault="00EC012A" w:rsidP="00160333">
      <w:pPr>
        <w:spacing w:before="0" w:after="0"/>
      </w:pPr>
      <w:r>
        <w:separator/>
      </w:r>
    </w:p>
  </w:endnote>
  <w:endnote w:type="continuationSeparator" w:id="0">
    <w:p w14:paraId="4E054BF4" w14:textId="77777777" w:rsidR="00EC012A" w:rsidRDefault="00EC012A" w:rsidP="00160333">
      <w:pPr>
        <w:spacing w:before="0" w:after="0"/>
      </w:pPr>
      <w:r>
        <w:continuationSeparator/>
      </w:r>
    </w:p>
  </w:endnote>
  <w:endnote w:type="continuationNotice" w:id="1">
    <w:p w14:paraId="6F6CFB57" w14:textId="77777777" w:rsidR="00EC012A" w:rsidRDefault="00EC01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Banner">
    <w:panose1 w:val="02000505000000020004"/>
    <w:charset w:val="00"/>
    <w:family w:val="auto"/>
    <w:pitch w:val="variable"/>
    <w:sig w:usb0="A00002EF" w:usb1="4000204B" w:usb2="00000000" w:usb3="00000000" w:csb0="0000019F" w:csb1="00000000"/>
  </w:font>
  <w:font w:name="EC Square Sans Cond Pro">
    <w:altName w:val="Bahnschrift Light"/>
    <w:charset w:val="00"/>
    <w:family w:val="swiss"/>
    <w:pitch w:val="variable"/>
    <w:sig w:usb0="A00002BF" w:usb1="500000D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3AF0" w14:textId="77777777" w:rsidR="00AD39FC" w:rsidRPr="00AD39FC" w:rsidRDefault="00AD39FC" w:rsidP="00AD3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AE1E" w14:textId="6D415DBB" w:rsidR="00C51AB0" w:rsidRPr="00AD39FC" w:rsidRDefault="00AD39FC" w:rsidP="00AD39FC">
    <w:pPr>
      <w:pStyle w:val="Footer"/>
      <w:rPr>
        <w:rFonts w:ascii="Arial" w:hAnsi="Arial" w:cs="Arial"/>
        <w:b/>
        <w:sz w:val="48"/>
      </w:rPr>
    </w:pPr>
    <w:r w:rsidRPr="00AD39FC">
      <w:rPr>
        <w:rFonts w:ascii="Arial" w:hAnsi="Arial" w:cs="Arial"/>
        <w:b/>
        <w:sz w:val="48"/>
      </w:rPr>
      <w:t>FR</w:t>
    </w:r>
    <w:r w:rsidRPr="00AD39FC">
      <w:rPr>
        <w:rFonts w:ascii="Arial" w:hAnsi="Arial" w:cs="Arial"/>
        <w:b/>
        <w:sz w:val="48"/>
      </w:rPr>
      <w:tab/>
    </w:r>
    <w:r w:rsidRPr="00AD39FC">
      <w:rPr>
        <w:rFonts w:ascii="Arial" w:hAnsi="Arial" w:cs="Arial"/>
        <w:b/>
        <w:sz w:val="48"/>
      </w:rPr>
      <w:tab/>
    </w:r>
    <w:r w:rsidRPr="00AD39FC">
      <w:tab/>
    </w:r>
    <w:r w:rsidRPr="00AD39F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24C5" w14:textId="77777777" w:rsidR="00AD39FC" w:rsidRPr="00AD39FC" w:rsidRDefault="00AD39FC" w:rsidP="00AD3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4777" w14:textId="73F45DA7" w:rsidR="00AD39FC" w:rsidRPr="00AD39FC" w:rsidRDefault="00AD39FC" w:rsidP="00AD39FC">
    <w:pPr>
      <w:pStyle w:val="Footer"/>
      <w:rPr>
        <w:rFonts w:ascii="Arial" w:hAnsi="Arial" w:cs="Arial"/>
        <w:b/>
        <w:sz w:val="48"/>
      </w:rPr>
    </w:pPr>
    <w:r w:rsidRPr="00AD39FC">
      <w:rPr>
        <w:rFonts w:ascii="Arial" w:hAnsi="Arial" w:cs="Arial"/>
        <w:b/>
        <w:sz w:val="48"/>
      </w:rPr>
      <w:t>FR</w:t>
    </w:r>
    <w:r w:rsidRPr="00AD39F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D39FC">
      <w:tab/>
    </w:r>
    <w:r w:rsidRPr="00AD39FC">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E01F" w14:textId="77777777" w:rsidR="00AD39FC" w:rsidRPr="00AD39FC" w:rsidRDefault="00AD39FC" w:rsidP="00AD39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2767" w14:textId="0632B979" w:rsidR="00AD39FC" w:rsidRPr="00AD39FC" w:rsidRDefault="00AD39FC" w:rsidP="00AD39FC">
    <w:pPr>
      <w:pStyle w:val="FooterLandscape"/>
      <w:rPr>
        <w:rFonts w:ascii="Arial" w:hAnsi="Arial" w:cs="Arial"/>
        <w:b/>
        <w:sz w:val="48"/>
      </w:rPr>
    </w:pPr>
    <w:r w:rsidRPr="00AD39FC">
      <w:rPr>
        <w:rFonts w:ascii="Arial" w:hAnsi="Arial" w:cs="Arial"/>
        <w:b/>
        <w:sz w:val="48"/>
      </w:rPr>
      <w:t>FR</w:t>
    </w:r>
    <w:r w:rsidRPr="00AD39F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D39FC">
      <w:tab/>
    </w:r>
    <w:r w:rsidRPr="00AD39FC">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4D7A" w14:textId="77777777" w:rsidR="00AD39FC" w:rsidRPr="00AD39FC" w:rsidRDefault="00AD39FC" w:rsidP="00AD39FC">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DC72" w14:textId="61974D76" w:rsidR="00C51AB0" w:rsidRPr="00AD39FC" w:rsidRDefault="00AD39FC" w:rsidP="00AD39FC">
    <w:pPr>
      <w:pStyle w:val="Footer"/>
      <w:rPr>
        <w:rFonts w:ascii="Arial" w:hAnsi="Arial" w:cs="Arial"/>
        <w:b/>
        <w:sz w:val="48"/>
      </w:rPr>
    </w:pPr>
    <w:r w:rsidRPr="00AD39FC">
      <w:rPr>
        <w:rFonts w:ascii="Arial" w:hAnsi="Arial" w:cs="Arial"/>
        <w:b/>
        <w:sz w:val="48"/>
      </w:rPr>
      <w:t>FR</w:t>
    </w:r>
    <w:r w:rsidRPr="00AD39F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D39FC">
      <w:tab/>
    </w:r>
    <w:r w:rsidRPr="00AD39FC">
      <w:rPr>
        <w:rFonts w:ascii="Arial" w:hAnsi="Arial" w:cs="Arial"/>
        <w:b/>
        <w:sz w:val="48"/>
      </w:rPr>
      <w:t>FR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388D" w14:textId="77777777" w:rsidR="00AD39FC" w:rsidRPr="00AD39FC" w:rsidRDefault="00AD39FC" w:rsidP="00AD3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48C1" w14:textId="77777777" w:rsidR="00EC012A" w:rsidRDefault="00EC012A" w:rsidP="00160333">
      <w:pPr>
        <w:spacing w:before="0" w:after="0"/>
      </w:pPr>
      <w:r>
        <w:separator/>
      </w:r>
    </w:p>
  </w:footnote>
  <w:footnote w:type="continuationSeparator" w:id="0">
    <w:p w14:paraId="2515E2E3" w14:textId="77777777" w:rsidR="00EC012A" w:rsidRDefault="00EC012A" w:rsidP="00160333">
      <w:pPr>
        <w:spacing w:before="0" w:after="0"/>
      </w:pPr>
      <w:r>
        <w:continuationSeparator/>
      </w:r>
    </w:p>
  </w:footnote>
  <w:footnote w:type="continuationNotice" w:id="1">
    <w:p w14:paraId="534CA352" w14:textId="77777777" w:rsidR="00EC012A" w:rsidRDefault="00EC012A">
      <w:pPr>
        <w:spacing w:before="0" w:after="0"/>
      </w:pPr>
    </w:p>
  </w:footnote>
  <w:footnote w:id="2">
    <w:p w14:paraId="6B3C1E72" w14:textId="77777777" w:rsidR="00EC012A" w:rsidRDefault="00EC012A">
      <w:pPr>
        <w:pStyle w:val="FootnoteText"/>
      </w:pPr>
      <w:r>
        <w:rPr>
          <w:rStyle w:val="FootnoteReference0"/>
          <w:highlight w:val="lightGray"/>
        </w:rPr>
        <w:footnoteRef/>
      </w:r>
      <w:r>
        <w:tab/>
      </w:r>
      <w:r>
        <w:rPr>
          <w:sz w:val="22"/>
          <w:szCs w:val="22"/>
          <w:highlight w:val="lightGray"/>
        </w:rPr>
        <w:t>Zone méditerranéenne: CY, HR, IT, EL, MT, ES, PT, Zone océanique: BE, DK, IE, DE, FR, LU, NL, Zone continentale: AT, BG, CZ, HU, PL, RO, SL, SK, Zone nordique: EE, FI, LV, LT, SE.</w:t>
      </w:r>
    </w:p>
  </w:footnote>
  <w:footnote w:id="3">
    <w:p w14:paraId="6B3C1E73" w14:textId="77777777" w:rsidR="00EC012A" w:rsidRDefault="00EC012A">
      <w:pPr>
        <w:pStyle w:val="FootnoteText"/>
      </w:pPr>
      <w:r>
        <w:rPr>
          <w:rStyle w:val="FootnoteReference0"/>
          <w:lang w:val="en-US"/>
        </w:rPr>
        <w:footnoteRef/>
      </w:r>
      <w:r>
        <w:tab/>
        <w:t>Directive 2014/61/UE du Parlement européen et du Conseil du 15 mai 2014 relative à des mesures visant à réduire le coût du déploiement de réseaux de communications électroniques à haut débit (JO L 155 du 23.5.2014,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93CF" w14:textId="77777777" w:rsidR="00AD39FC" w:rsidRPr="00AD39FC" w:rsidRDefault="00AD39FC" w:rsidP="00AD3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6001" w14:textId="77777777" w:rsidR="00AD39FC" w:rsidRPr="00AD39FC" w:rsidRDefault="00AD39FC" w:rsidP="00AD3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9CDA9" w14:textId="77777777" w:rsidR="00AD39FC" w:rsidRPr="00AD39FC" w:rsidRDefault="00AD39FC" w:rsidP="00AD3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8359" w14:textId="77777777" w:rsidR="00AD39FC" w:rsidRPr="00AD39FC" w:rsidRDefault="00AD39FC" w:rsidP="00AD39F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6802" w14:textId="77777777" w:rsidR="00AD39FC" w:rsidRPr="00AD39FC" w:rsidRDefault="00AD39FC" w:rsidP="00AD39F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3D31" w14:textId="77777777" w:rsidR="00C51AB0" w:rsidRPr="00FC6DE8" w:rsidRDefault="00C51AB0" w:rsidP="00AD39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CCE8" w14:textId="77777777" w:rsidR="00AD39FC" w:rsidRPr="00AD39FC" w:rsidRDefault="00AD39FC" w:rsidP="00AD3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262BC8"/>
    <w:multiLevelType w:val="hybridMultilevel"/>
    <w:tmpl w:val="51FECC92"/>
    <w:styleLink w:val="StyleNumberedLeft025Hanging025"/>
    <w:lvl w:ilvl="0" w:tplc="BD68BB48">
      <w:start w:val="1"/>
      <w:numFmt w:val="decimal"/>
      <w:lvlText w:val="%1."/>
      <w:lvlJc w:val="left"/>
      <w:pPr>
        <w:tabs>
          <w:tab w:val="num" w:pos="936"/>
        </w:tabs>
        <w:ind w:left="936" w:hanging="360"/>
      </w:pPr>
      <w:rPr>
        <w:rFonts w:ascii="Palatino Linotype" w:hAnsi="Palatino Linotype" w:hint="default"/>
      </w:rPr>
    </w:lvl>
    <w:lvl w:ilvl="1" w:tplc="4160673A">
      <w:start w:val="1"/>
      <w:numFmt w:val="lowerLetter"/>
      <w:lvlText w:val="%2."/>
      <w:lvlJc w:val="left"/>
      <w:pPr>
        <w:tabs>
          <w:tab w:val="num" w:pos="1440"/>
        </w:tabs>
        <w:ind w:left="1440" w:hanging="360"/>
      </w:pPr>
      <w:rPr>
        <w:rFonts w:hint="default"/>
      </w:rPr>
    </w:lvl>
    <w:lvl w:ilvl="2" w:tplc="9A867AFA">
      <w:start w:val="1"/>
      <w:numFmt w:val="lowerRoman"/>
      <w:lvlText w:val="%3."/>
      <w:lvlJc w:val="right"/>
      <w:pPr>
        <w:tabs>
          <w:tab w:val="num" w:pos="2160"/>
        </w:tabs>
        <w:ind w:left="2160" w:hanging="180"/>
      </w:pPr>
      <w:rPr>
        <w:rFonts w:hint="default"/>
      </w:rPr>
    </w:lvl>
    <w:lvl w:ilvl="3" w:tplc="43AA3A16">
      <w:start w:val="1"/>
      <w:numFmt w:val="decimal"/>
      <w:lvlText w:val="%4."/>
      <w:lvlJc w:val="left"/>
      <w:pPr>
        <w:tabs>
          <w:tab w:val="num" w:pos="2880"/>
        </w:tabs>
        <w:ind w:left="2880" w:hanging="360"/>
      </w:pPr>
      <w:rPr>
        <w:rFonts w:hint="default"/>
      </w:rPr>
    </w:lvl>
    <w:lvl w:ilvl="4" w:tplc="AB508ADE">
      <w:start w:val="1"/>
      <w:numFmt w:val="lowerLetter"/>
      <w:lvlText w:val="%5."/>
      <w:lvlJc w:val="left"/>
      <w:pPr>
        <w:tabs>
          <w:tab w:val="num" w:pos="3600"/>
        </w:tabs>
        <w:ind w:left="3600" w:hanging="360"/>
      </w:pPr>
      <w:rPr>
        <w:rFonts w:hint="default"/>
      </w:rPr>
    </w:lvl>
    <w:lvl w:ilvl="5" w:tplc="00CC0884">
      <w:start w:val="1"/>
      <w:numFmt w:val="lowerRoman"/>
      <w:lvlText w:val="%6."/>
      <w:lvlJc w:val="right"/>
      <w:pPr>
        <w:tabs>
          <w:tab w:val="num" w:pos="4320"/>
        </w:tabs>
        <w:ind w:left="4320" w:hanging="180"/>
      </w:pPr>
      <w:rPr>
        <w:rFonts w:hint="default"/>
      </w:rPr>
    </w:lvl>
    <w:lvl w:ilvl="6" w:tplc="083669A8">
      <w:start w:val="1"/>
      <w:numFmt w:val="decimal"/>
      <w:lvlText w:val="%7."/>
      <w:lvlJc w:val="left"/>
      <w:pPr>
        <w:tabs>
          <w:tab w:val="num" w:pos="5040"/>
        </w:tabs>
        <w:ind w:left="5040" w:hanging="360"/>
      </w:pPr>
      <w:rPr>
        <w:rFonts w:hint="default"/>
      </w:rPr>
    </w:lvl>
    <w:lvl w:ilvl="7" w:tplc="B42C785E">
      <w:start w:val="1"/>
      <w:numFmt w:val="lowerLetter"/>
      <w:lvlText w:val="%8."/>
      <w:lvlJc w:val="left"/>
      <w:pPr>
        <w:tabs>
          <w:tab w:val="num" w:pos="5760"/>
        </w:tabs>
        <w:ind w:left="5760" w:hanging="360"/>
      </w:pPr>
      <w:rPr>
        <w:rFonts w:hint="default"/>
      </w:rPr>
    </w:lvl>
    <w:lvl w:ilvl="8" w:tplc="4AEEE40A">
      <w:start w:val="1"/>
      <w:numFmt w:val="lowerRoman"/>
      <w:lvlText w:val="%9."/>
      <w:lvlJc w:val="right"/>
      <w:pPr>
        <w:tabs>
          <w:tab w:val="num" w:pos="6480"/>
        </w:tabs>
        <w:ind w:left="6480" w:hanging="180"/>
      </w:pPr>
      <w:rPr>
        <w:rFonts w:hint="default"/>
      </w:rPr>
    </w:lvl>
  </w:abstractNum>
  <w:abstractNum w:abstractNumId="1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DD3599"/>
    <w:multiLevelType w:val="multilevel"/>
    <w:tmpl w:val="9B0ED194"/>
    <w:styleLink w:val="NumbListFigures"/>
    <w:lvl w:ilvl="0">
      <w:start w:val="1"/>
      <w:numFmt w:val="decimal"/>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D63E1C"/>
    <w:multiLevelType w:val="hybridMultilevel"/>
    <w:tmpl w:val="42E6EFA2"/>
    <w:styleLink w:val="StyleBulleted"/>
    <w:lvl w:ilvl="0" w:tplc="1F9884E0">
      <w:start w:val="1"/>
      <w:numFmt w:val="bullet"/>
      <w:lvlText w:val="»"/>
      <w:lvlJc w:val="left"/>
      <w:pPr>
        <w:tabs>
          <w:tab w:val="num" w:pos="972"/>
        </w:tabs>
        <w:ind w:left="972" w:hanging="432"/>
      </w:pPr>
      <w:rPr>
        <w:rFonts w:ascii="Palatino Linotype" w:hAnsi="Palatino Linotype" w:hint="default"/>
      </w:rPr>
    </w:lvl>
    <w:lvl w:ilvl="1" w:tplc="F0F23DC6">
      <w:start w:val="1"/>
      <w:numFmt w:val="bullet"/>
      <w:lvlText w:val="o"/>
      <w:lvlJc w:val="left"/>
      <w:pPr>
        <w:tabs>
          <w:tab w:val="num" w:pos="1440"/>
        </w:tabs>
        <w:ind w:left="1440" w:hanging="360"/>
      </w:pPr>
      <w:rPr>
        <w:rFonts w:ascii="Courier New" w:hAnsi="Courier New" w:hint="default"/>
      </w:rPr>
    </w:lvl>
    <w:lvl w:ilvl="2" w:tplc="4A7A784A">
      <w:start w:val="1"/>
      <w:numFmt w:val="bullet"/>
      <w:lvlText w:val=""/>
      <w:lvlJc w:val="left"/>
      <w:pPr>
        <w:tabs>
          <w:tab w:val="num" w:pos="2160"/>
        </w:tabs>
        <w:ind w:left="2160" w:hanging="360"/>
      </w:pPr>
      <w:rPr>
        <w:rFonts w:ascii="Wingdings" w:hAnsi="Wingdings" w:hint="default"/>
      </w:rPr>
    </w:lvl>
    <w:lvl w:ilvl="3" w:tplc="4640925A">
      <w:start w:val="1"/>
      <w:numFmt w:val="bullet"/>
      <w:lvlText w:val=""/>
      <w:lvlJc w:val="left"/>
      <w:pPr>
        <w:tabs>
          <w:tab w:val="num" w:pos="2880"/>
        </w:tabs>
        <w:ind w:left="2880" w:hanging="360"/>
      </w:pPr>
      <w:rPr>
        <w:rFonts w:ascii="Symbol" w:hAnsi="Symbol" w:hint="default"/>
      </w:rPr>
    </w:lvl>
    <w:lvl w:ilvl="4" w:tplc="F768D27C">
      <w:start w:val="1"/>
      <w:numFmt w:val="bullet"/>
      <w:lvlText w:val="o"/>
      <w:lvlJc w:val="left"/>
      <w:pPr>
        <w:tabs>
          <w:tab w:val="num" w:pos="3600"/>
        </w:tabs>
        <w:ind w:left="3600" w:hanging="360"/>
      </w:pPr>
      <w:rPr>
        <w:rFonts w:ascii="Courier New" w:hAnsi="Courier New" w:cs="Courier New" w:hint="default"/>
      </w:rPr>
    </w:lvl>
    <w:lvl w:ilvl="5" w:tplc="6180CCE0">
      <w:start w:val="1"/>
      <w:numFmt w:val="bullet"/>
      <w:lvlText w:val=""/>
      <w:lvlJc w:val="left"/>
      <w:pPr>
        <w:tabs>
          <w:tab w:val="num" w:pos="4320"/>
        </w:tabs>
        <w:ind w:left="4320" w:hanging="360"/>
      </w:pPr>
      <w:rPr>
        <w:rFonts w:ascii="Wingdings" w:hAnsi="Wingdings" w:hint="default"/>
      </w:rPr>
    </w:lvl>
    <w:lvl w:ilvl="6" w:tplc="5590C8D2">
      <w:start w:val="1"/>
      <w:numFmt w:val="bullet"/>
      <w:lvlText w:val=""/>
      <w:lvlJc w:val="left"/>
      <w:pPr>
        <w:tabs>
          <w:tab w:val="num" w:pos="5040"/>
        </w:tabs>
        <w:ind w:left="5040" w:hanging="360"/>
      </w:pPr>
      <w:rPr>
        <w:rFonts w:ascii="Symbol" w:hAnsi="Symbol" w:hint="default"/>
      </w:rPr>
    </w:lvl>
    <w:lvl w:ilvl="7" w:tplc="A2763C08">
      <w:start w:val="1"/>
      <w:numFmt w:val="bullet"/>
      <w:lvlText w:val="o"/>
      <w:lvlJc w:val="left"/>
      <w:pPr>
        <w:tabs>
          <w:tab w:val="num" w:pos="5760"/>
        </w:tabs>
        <w:ind w:left="5760" w:hanging="360"/>
      </w:pPr>
      <w:rPr>
        <w:rFonts w:ascii="Courier New" w:hAnsi="Courier New" w:cs="Courier New" w:hint="default"/>
      </w:rPr>
    </w:lvl>
    <w:lvl w:ilvl="8" w:tplc="4ABA1F4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36C55"/>
    <w:multiLevelType w:val="multilevel"/>
    <w:tmpl w:val="8F320F56"/>
    <w:styleLink w:val="NumblistTables"/>
    <w:lvl w:ilvl="0">
      <w:start w:val="1"/>
      <w:numFmt w:val="decimal"/>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ACF7DB0"/>
    <w:multiLevelType w:val="multilevel"/>
    <w:tmpl w:val="7FC402A0"/>
    <w:lvl w:ilvl="0">
      <w:start w:val="1"/>
      <w:numFmt w:val="decimal"/>
      <w:pStyle w:val="JRCLevel-1title"/>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AC96003"/>
    <w:multiLevelType w:val="hybridMultilevel"/>
    <w:tmpl w:val="FA2899C8"/>
    <w:styleLink w:val="StyleBulleted6"/>
    <w:lvl w:ilvl="0" w:tplc="A0AA4AD0">
      <w:start w:val="1"/>
      <w:numFmt w:val="bullet"/>
      <w:lvlText w:val="»"/>
      <w:lvlJc w:val="left"/>
      <w:pPr>
        <w:tabs>
          <w:tab w:val="num" w:pos="720"/>
        </w:tabs>
        <w:ind w:left="720" w:hanging="360"/>
      </w:pPr>
      <w:rPr>
        <w:rFonts w:ascii="Palatino Linotype" w:hAnsi="Palatino Linotype" w:hint="default"/>
      </w:rPr>
    </w:lvl>
    <w:lvl w:ilvl="1" w:tplc="937A3A0C">
      <w:start w:val="1"/>
      <w:numFmt w:val="bullet"/>
      <w:lvlText w:val="o"/>
      <w:lvlJc w:val="left"/>
      <w:pPr>
        <w:tabs>
          <w:tab w:val="num" w:pos="1080"/>
        </w:tabs>
        <w:ind w:left="1080" w:hanging="360"/>
      </w:pPr>
      <w:rPr>
        <w:rFonts w:ascii="Courier New" w:hAnsi="Courier New" w:hint="default"/>
      </w:rPr>
    </w:lvl>
    <w:lvl w:ilvl="2" w:tplc="3FE21642">
      <w:start w:val="1"/>
      <w:numFmt w:val="bullet"/>
      <w:lvlText w:val=""/>
      <w:lvlJc w:val="left"/>
      <w:pPr>
        <w:tabs>
          <w:tab w:val="num" w:pos="2160"/>
        </w:tabs>
        <w:ind w:left="2160" w:hanging="360"/>
      </w:pPr>
      <w:rPr>
        <w:rFonts w:ascii="Wingdings" w:hAnsi="Wingdings" w:hint="default"/>
      </w:rPr>
    </w:lvl>
    <w:lvl w:ilvl="3" w:tplc="27FA1ECA">
      <w:start w:val="1"/>
      <w:numFmt w:val="bullet"/>
      <w:lvlText w:val=""/>
      <w:lvlJc w:val="left"/>
      <w:pPr>
        <w:tabs>
          <w:tab w:val="num" w:pos="2880"/>
        </w:tabs>
        <w:ind w:left="2880" w:hanging="360"/>
      </w:pPr>
      <w:rPr>
        <w:rFonts w:ascii="Symbol" w:hAnsi="Symbol" w:hint="default"/>
      </w:rPr>
    </w:lvl>
    <w:lvl w:ilvl="4" w:tplc="9A7E5C7C">
      <w:start w:val="1"/>
      <w:numFmt w:val="bullet"/>
      <w:lvlText w:val="o"/>
      <w:lvlJc w:val="left"/>
      <w:pPr>
        <w:tabs>
          <w:tab w:val="num" w:pos="3600"/>
        </w:tabs>
        <w:ind w:left="3600" w:hanging="360"/>
      </w:pPr>
      <w:rPr>
        <w:rFonts w:ascii="Courier New" w:hAnsi="Courier New" w:cs="Courier New" w:hint="default"/>
      </w:rPr>
    </w:lvl>
    <w:lvl w:ilvl="5" w:tplc="870EB1B4">
      <w:start w:val="1"/>
      <w:numFmt w:val="bullet"/>
      <w:lvlText w:val=""/>
      <w:lvlJc w:val="left"/>
      <w:pPr>
        <w:tabs>
          <w:tab w:val="num" w:pos="4320"/>
        </w:tabs>
        <w:ind w:left="4320" w:hanging="360"/>
      </w:pPr>
      <w:rPr>
        <w:rFonts w:ascii="Wingdings" w:hAnsi="Wingdings" w:hint="default"/>
      </w:rPr>
    </w:lvl>
    <w:lvl w:ilvl="6" w:tplc="B9047016">
      <w:start w:val="1"/>
      <w:numFmt w:val="bullet"/>
      <w:lvlText w:val=""/>
      <w:lvlJc w:val="left"/>
      <w:pPr>
        <w:tabs>
          <w:tab w:val="num" w:pos="5040"/>
        </w:tabs>
        <w:ind w:left="5040" w:hanging="360"/>
      </w:pPr>
      <w:rPr>
        <w:rFonts w:ascii="Symbol" w:hAnsi="Symbol" w:hint="default"/>
      </w:rPr>
    </w:lvl>
    <w:lvl w:ilvl="7" w:tplc="94867270">
      <w:start w:val="1"/>
      <w:numFmt w:val="bullet"/>
      <w:lvlText w:val="o"/>
      <w:lvlJc w:val="left"/>
      <w:pPr>
        <w:tabs>
          <w:tab w:val="num" w:pos="5760"/>
        </w:tabs>
        <w:ind w:left="5760" w:hanging="360"/>
      </w:pPr>
      <w:rPr>
        <w:rFonts w:ascii="Courier New" w:hAnsi="Courier New" w:cs="Courier New" w:hint="default"/>
      </w:rPr>
    </w:lvl>
    <w:lvl w:ilvl="8" w:tplc="9D08B66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120C9"/>
    <w:multiLevelType w:val="hybridMultilevel"/>
    <w:tmpl w:val="F4EED30A"/>
    <w:lvl w:ilvl="0" w:tplc="E76E0960">
      <w:start w:val="2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6113D4F"/>
    <w:multiLevelType w:val="multilevel"/>
    <w:tmpl w:val="0809001D"/>
    <w:styleLink w:val="NumbListFigur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B9C3117"/>
    <w:multiLevelType w:val="hybridMultilevel"/>
    <w:tmpl w:val="FAC8524A"/>
    <w:lvl w:ilvl="0" w:tplc="6E6A412E">
      <w:numFmt w:val="bullet"/>
      <w:lvlText w:val="—"/>
      <w:lvlJc w:val="left"/>
      <w:pPr>
        <w:ind w:left="369" w:hanging="282"/>
      </w:pPr>
      <w:rPr>
        <w:rFonts w:ascii="Cambria" w:eastAsia="Times New Roman" w:hAnsi="Cambria" w:hint="default"/>
        <w:w w:val="95"/>
        <w:sz w:val="19"/>
      </w:rPr>
    </w:lvl>
    <w:lvl w:ilvl="1" w:tplc="F9E8D980">
      <w:numFmt w:val="bullet"/>
      <w:lvlText w:val="—"/>
      <w:lvlJc w:val="left"/>
      <w:pPr>
        <w:ind w:left="649" w:hanging="281"/>
      </w:pPr>
      <w:rPr>
        <w:rFonts w:ascii="Cambria" w:eastAsia="Times New Roman" w:hAnsi="Cambria" w:hint="default"/>
        <w:w w:val="95"/>
        <w:sz w:val="19"/>
      </w:rPr>
    </w:lvl>
    <w:lvl w:ilvl="2" w:tplc="8A8EEA46">
      <w:numFmt w:val="bullet"/>
      <w:lvlText w:val="•"/>
      <w:lvlJc w:val="left"/>
      <w:pPr>
        <w:ind w:left="979" w:hanging="281"/>
      </w:pPr>
      <w:rPr>
        <w:rFonts w:hint="default"/>
      </w:rPr>
    </w:lvl>
    <w:lvl w:ilvl="3" w:tplc="35C8A1A8">
      <w:numFmt w:val="bullet"/>
      <w:lvlText w:val="•"/>
      <w:lvlJc w:val="left"/>
      <w:pPr>
        <w:ind w:left="1318" w:hanging="281"/>
      </w:pPr>
      <w:rPr>
        <w:rFonts w:hint="default"/>
      </w:rPr>
    </w:lvl>
    <w:lvl w:ilvl="4" w:tplc="3A68361A">
      <w:numFmt w:val="bullet"/>
      <w:lvlText w:val="•"/>
      <w:lvlJc w:val="left"/>
      <w:pPr>
        <w:ind w:left="1658" w:hanging="281"/>
      </w:pPr>
      <w:rPr>
        <w:rFonts w:hint="default"/>
      </w:rPr>
    </w:lvl>
    <w:lvl w:ilvl="5" w:tplc="FCDAD96E">
      <w:numFmt w:val="bullet"/>
      <w:lvlText w:val="•"/>
      <w:lvlJc w:val="left"/>
      <w:pPr>
        <w:ind w:left="1997" w:hanging="281"/>
      </w:pPr>
      <w:rPr>
        <w:rFonts w:hint="default"/>
      </w:rPr>
    </w:lvl>
    <w:lvl w:ilvl="6" w:tplc="023E54C8">
      <w:numFmt w:val="bullet"/>
      <w:lvlText w:val="•"/>
      <w:lvlJc w:val="left"/>
      <w:pPr>
        <w:ind w:left="2337" w:hanging="281"/>
      </w:pPr>
      <w:rPr>
        <w:rFonts w:hint="default"/>
      </w:rPr>
    </w:lvl>
    <w:lvl w:ilvl="7" w:tplc="ECCAB7FA">
      <w:numFmt w:val="bullet"/>
      <w:lvlText w:val="•"/>
      <w:lvlJc w:val="left"/>
      <w:pPr>
        <w:ind w:left="2676" w:hanging="281"/>
      </w:pPr>
      <w:rPr>
        <w:rFonts w:hint="default"/>
      </w:rPr>
    </w:lvl>
    <w:lvl w:ilvl="8" w:tplc="AA423FB8">
      <w:numFmt w:val="bullet"/>
      <w:lvlText w:val="•"/>
      <w:lvlJc w:val="left"/>
      <w:pPr>
        <w:ind w:left="3016" w:hanging="281"/>
      </w:pPr>
      <w:rPr>
        <w:rFonts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11116A"/>
    <w:multiLevelType w:val="hybridMultilevel"/>
    <w:tmpl w:val="E3A2492E"/>
    <w:lvl w:ilvl="0" w:tplc="FDE01BE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D954A1"/>
    <w:multiLevelType w:val="hybridMultilevel"/>
    <w:tmpl w:val="D0D2C42A"/>
    <w:lvl w:ilvl="0" w:tplc="0330B98C">
      <w:numFmt w:val="bullet"/>
      <w:lvlText w:val="—"/>
      <w:lvlJc w:val="left"/>
      <w:pPr>
        <w:ind w:left="370" w:hanging="282"/>
      </w:pPr>
      <w:rPr>
        <w:rFonts w:ascii="Cambria" w:eastAsia="Times New Roman" w:hAnsi="Cambria" w:hint="default"/>
        <w:w w:val="95"/>
        <w:sz w:val="19"/>
      </w:rPr>
    </w:lvl>
    <w:lvl w:ilvl="1" w:tplc="BFB87AA8">
      <w:numFmt w:val="bullet"/>
      <w:lvlText w:val="—"/>
      <w:lvlJc w:val="left"/>
      <w:pPr>
        <w:ind w:left="650" w:hanging="281"/>
      </w:pPr>
      <w:rPr>
        <w:rFonts w:ascii="Cambria" w:eastAsia="Times New Roman" w:hAnsi="Cambria" w:hint="default"/>
        <w:w w:val="95"/>
        <w:sz w:val="19"/>
      </w:rPr>
    </w:lvl>
    <w:lvl w:ilvl="2" w:tplc="FC3AC860">
      <w:numFmt w:val="bullet"/>
      <w:lvlText w:val="•"/>
      <w:lvlJc w:val="left"/>
      <w:pPr>
        <w:ind w:left="997" w:hanging="281"/>
      </w:pPr>
      <w:rPr>
        <w:rFonts w:hint="default"/>
      </w:rPr>
    </w:lvl>
    <w:lvl w:ilvl="3" w:tplc="A1EC5BD0">
      <w:numFmt w:val="bullet"/>
      <w:lvlText w:val="•"/>
      <w:lvlJc w:val="left"/>
      <w:pPr>
        <w:ind w:left="1334" w:hanging="281"/>
      </w:pPr>
      <w:rPr>
        <w:rFonts w:hint="default"/>
      </w:rPr>
    </w:lvl>
    <w:lvl w:ilvl="4" w:tplc="AE0EE386">
      <w:numFmt w:val="bullet"/>
      <w:lvlText w:val="•"/>
      <w:lvlJc w:val="left"/>
      <w:pPr>
        <w:ind w:left="1671" w:hanging="281"/>
      </w:pPr>
      <w:rPr>
        <w:rFonts w:hint="default"/>
      </w:rPr>
    </w:lvl>
    <w:lvl w:ilvl="5" w:tplc="17AA2A80">
      <w:numFmt w:val="bullet"/>
      <w:lvlText w:val="•"/>
      <w:lvlJc w:val="left"/>
      <w:pPr>
        <w:ind w:left="2008" w:hanging="281"/>
      </w:pPr>
      <w:rPr>
        <w:rFonts w:hint="default"/>
      </w:rPr>
    </w:lvl>
    <w:lvl w:ilvl="6" w:tplc="BC721186">
      <w:numFmt w:val="bullet"/>
      <w:lvlText w:val="•"/>
      <w:lvlJc w:val="left"/>
      <w:pPr>
        <w:ind w:left="2346" w:hanging="281"/>
      </w:pPr>
      <w:rPr>
        <w:rFonts w:hint="default"/>
      </w:rPr>
    </w:lvl>
    <w:lvl w:ilvl="7" w:tplc="936CFC10">
      <w:numFmt w:val="bullet"/>
      <w:lvlText w:val="•"/>
      <w:lvlJc w:val="left"/>
      <w:pPr>
        <w:ind w:left="2683" w:hanging="281"/>
      </w:pPr>
      <w:rPr>
        <w:rFonts w:hint="default"/>
      </w:rPr>
    </w:lvl>
    <w:lvl w:ilvl="8" w:tplc="7BBEA0FE">
      <w:numFmt w:val="bullet"/>
      <w:lvlText w:val="•"/>
      <w:lvlJc w:val="left"/>
      <w:pPr>
        <w:ind w:left="3020" w:hanging="281"/>
      </w:pPr>
      <w:rPr>
        <w:rFonts w:hint="default"/>
      </w:r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3"/>
  </w:num>
  <w:num w:numId="4">
    <w:abstractNumId w:val="12"/>
  </w:num>
  <w:num w:numId="5">
    <w:abstractNumId w:val="8"/>
  </w:num>
  <w:num w:numId="6">
    <w:abstractNumId w:val="6"/>
  </w:num>
  <w:num w:numId="7">
    <w:abstractNumId w:val="5"/>
  </w:num>
  <w:num w:numId="8">
    <w:abstractNumId w:val="4"/>
  </w:num>
  <w:num w:numId="9">
    <w:abstractNumId w:val="2"/>
  </w:num>
  <w:num w:numId="10">
    <w:abstractNumId w:val="1"/>
  </w:num>
  <w:num w:numId="11">
    <w:abstractNumId w:val="37"/>
  </w:num>
  <w:num w:numId="12">
    <w:abstractNumId w:val="30"/>
  </w:num>
  <w:num w:numId="13">
    <w:abstractNumId w:val="22"/>
  </w:num>
  <w:num w:numId="14">
    <w:abstractNumId w:val="35"/>
  </w:num>
  <w:num w:numId="15">
    <w:abstractNumId w:val="33"/>
  </w:num>
  <w:num w:numId="16">
    <w:abstractNumId w:val="21"/>
  </w:num>
  <w:num w:numId="17">
    <w:abstractNumId w:val="10"/>
  </w:num>
  <w:num w:numId="18">
    <w:abstractNumId w:val="18"/>
  </w:num>
  <w:num w:numId="19">
    <w:abstractNumId w:val="9"/>
  </w:num>
  <w:num w:numId="20">
    <w:abstractNumId w:val="16"/>
  </w:num>
  <w:num w:numId="21">
    <w:abstractNumId w:val="17"/>
  </w:num>
  <w:num w:numId="22">
    <w:abstractNumId w:val="27"/>
  </w:num>
  <w:num w:numId="23">
    <w:abstractNumId w:val="14"/>
  </w:num>
  <w:num w:numId="24">
    <w:abstractNumId w:val="11"/>
  </w:num>
  <w:num w:numId="25">
    <w:abstractNumId w:val="32"/>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36"/>
  </w:num>
  <w:num w:numId="32">
    <w:abstractNumId w:val="20"/>
  </w:num>
  <w:num w:numId="33">
    <w:abstractNumId w:val="24"/>
  </w:num>
  <w:num w:numId="34">
    <w:abstractNumId w:val="15"/>
  </w:num>
  <w:num w:numId="35">
    <w:abstractNumId w:val="34"/>
  </w:num>
  <w:num w:numId="36">
    <w:abstractNumId w:val="13"/>
  </w:num>
  <w:num w:numId="37">
    <w:abstractNumId w:val="26"/>
  </w:num>
  <w:num w:numId="38">
    <w:abstractNumId w:val="29"/>
  </w:num>
  <w:num w:numId="39">
    <w:abstractNumId w:val="31"/>
  </w:num>
  <w:num w:numId="40">
    <w:abstractNumId w:val="19"/>
  </w:num>
  <w:num w:numId="41">
    <w:abstractNumId w:val="28"/>
  </w:num>
  <w:num w:numId="42">
    <w:abstractNumId w:val="38"/>
  </w:num>
  <w:num w:numId="43">
    <w:abstractNumId w:val="34"/>
  </w:num>
  <w:num w:numId="44">
    <w:abstractNumId w:val="34"/>
  </w:num>
  <w:num w:numId="45">
    <w:abstractNumId w:val="34"/>
  </w:num>
  <w:num w:numId="46">
    <w:abstractNumId w:val="25"/>
  </w:num>
  <w:num w:numId="47">
    <w:abstractNumId w:val="15"/>
  </w:num>
  <w:num w:numId="48">
    <w:abstractNumId w:val="15"/>
  </w:num>
  <w:num w:numId="49">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27 16:15: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8"/>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9"/>
    <w:docVar w:name="LW_ANNEX_UNIQUE" w:val="0"/>
    <w:docVar w:name="LW_CORRIGENDUM" w:val="&lt;UNUSED&gt;"/>
    <w:docVar w:name="LW_COVERPAGE_EXISTS" w:val="True"/>
    <w:docVar w:name="LW_COVERPAGE_GUID" w:val="80854103-EB78-471F-B35A-6A28724F72E4"/>
    <w:docVar w:name="LW_COVERPAGE_TYPE" w:val="1"/>
    <w:docVar w:name="LW_CROSSREFERENCE" w:val="{SEC(2021) 430 final} - {SWD(2021) 453 final} - {SWD(2021) 454 final}"/>
    <w:docVar w:name="LW_DocType" w:val="ANNEX"/>
    <w:docVar w:name="LW_EMISSION" w:val="15.12.2021"/>
    <w:docVar w:name="LW_EMISSION_ISODATE" w:val="2021-12-1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performance énergétique des bâtiments (refonte)"/>
    <w:docVar w:name="LW_OBJETACTEPRINCIPAL.CP" w:val="sur la performance énergétique des bâtiments (refonte)"/>
    <w:docVar w:name="LW_PART_NBR" w:val="&lt;UNUSED&gt;"/>
    <w:docVar w:name="LW_PART_NBR_TOTAL" w:val="&lt;UNUSED&gt;"/>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directive du Parlement européen et du Conseil"/>
    <w:docVar w:name="LW_TYPEACTEPRINCIPAL.CP" w:val="directive du Parlement européen et du Conseil"/>
    <w:docVar w:name="LwApiVersions" w:val="LW4CoDe 1.23.2.0; LW 8.0, Build 20211117"/>
  </w:docVars>
  <w:rsids>
    <w:rsidRoot w:val="00160333"/>
    <w:rsid w:val="00023821"/>
    <w:rsid w:val="0002404F"/>
    <w:rsid w:val="00034539"/>
    <w:rsid w:val="00034917"/>
    <w:rsid w:val="00037DB3"/>
    <w:rsid w:val="000448D2"/>
    <w:rsid w:val="0004559D"/>
    <w:rsid w:val="00045874"/>
    <w:rsid w:val="00050799"/>
    <w:rsid w:val="00056A48"/>
    <w:rsid w:val="00056DBA"/>
    <w:rsid w:val="00077B2D"/>
    <w:rsid w:val="000944AF"/>
    <w:rsid w:val="000A6E91"/>
    <w:rsid w:val="000C6397"/>
    <w:rsid w:val="000D0DCD"/>
    <w:rsid w:val="000E198E"/>
    <w:rsid w:val="000E42C6"/>
    <w:rsid w:val="000F6C95"/>
    <w:rsid w:val="00122675"/>
    <w:rsid w:val="00124749"/>
    <w:rsid w:val="00126B31"/>
    <w:rsid w:val="0012730B"/>
    <w:rsid w:val="00130982"/>
    <w:rsid w:val="001403E0"/>
    <w:rsid w:val="0014100E"/>
    <w:rsid w:val="00160333"/>
    <w:rsid w:val="00172B99"/>
    <w:rsid w:val="00190226"/>
    <w:rsid w:val="001A31DF"/>
    <w:rsid w:val="001C2816"/>
    <w:rsid w:val="001C6B96"/>
    <w:rsid w:val="001C7344"/>
    <w:rsid w:val="001D49D9"/>
    <w:rsid w:val="001D6F25"/>
    <w:rsid w:val="001D7661"/>
    <w:rsid w:val="001F462B"/>
    <w:rsid w:val="001F4AC7"/>
    <w:rsid w:val="0020276F"/>
    <w:rsid w:val="00212331"/>
    <w:rsid w:val="00212852"/>
    <w:rsid w:val="0021724A"/>
    <w:rsid w:val="002474E7"/>
    <w:rsid w:val="00253D41"/>
    <w:rsid w:val="002653FD"/>
    <w:rsid w:val="002656FF"/>
    <w:rsid w:val="0028496F"/>
    <w:rsid w:val="002921DB"/>
    <w:rsid w:val="002B1F85"/>
    <w:rsid w:val="002B5982"/>
    <w:rsid w:val="002E0899"/>
    <w:rsid w:val="002E5D93"/>
    <w:rsid w:val="00306ABB"/>
    <w:rsid w:val="00322B34"/>
    <w:rsid w:val="003516BF"/>
    <w:rsid w:val="003531B9"/>
    <w:rsid w:val="00355564"/>
    <w:rsid w:val="00362BF5"/>
    <w:rsid w:val="00364D56"/>
    <w:rsid w:val="00371E3D"/>
    <w:rsid w:val="00374C44"/>
    <w:rsid w:val="003A23A1"/>
    <w:rsid w:val="003B32B0"/>
    <w:rsid w:val="003B672F"/>
    <w:rsid w:val="003C4EBC"/>
    <w:rsid w:val="003E4981"/>
    <w:rsid w:val="003E52B0"/>
    <w:rsid w:val="003F32B2"/>
    <w:rsid w:val="003F4FE7"/>
    <w:rsid w:val="00404C2B"/>
    <w:rsid w:val="00405A76"/>
    <w:rsid w:val="00406FCE"/>
    <w:rsid w:val="00421ECA"/>
    <w:rsid w:val="00423902"/>
    <w:rsid w:val="00426CC5"/>
    <w:rsid w:val="004468FD"/>
    <w:rsid w:val="00454196"/>
    <w:rsid w:val="004543B2"/>
    <w:rsid w:val="00461A8E"/>
    <w:rsid w:val="00462ADE"/>
    <w:rsid w:val="004631DB"/>
    <w:rsid w:val="00467ED9"/>
    <w:rsid w:val="00492A2F"/>
    <w:rsid w:val="00492EA6"/>
    <w:rsid w:val="004A00B9"/>
    <w:rsid w:val="004A1430"/>
    <w:rsid w:val="004A18C5"/>
    <w:rsid w:val="004A7477"/>
    <w:rsid w:val="004B3026"/>
    <w:rsid w:val="004B5F98"/>
    <w:rsid w:val="004C4FFA"/>
    <w:rsid w:val="004E760D"/>
    <w:rsid w:val="004F1746"/>
    <w:rsid w:val="00507C57"/>
    <w:rsid w:val="00513EBC"/>
    <w:rsid w:val="00514558"/>
    <w:rsid w:val="00521529"/>
    <w:rsid w:val="005215B3"/>
    <w:rsid w:val="00526015"/>
    <w:rsid w:val="0052773A"/>
    <w:rsid w:val="00530632"/>
    <w:rsid w:val="00533809"/>
    <w:rsid w:val="0053427E"/>
    <w:rsid w:val="00536673"/>
    <w:rsid w:val="00541B98"/>
    <w:rsid w:val="00554A2C"/>
    <w:rsid w:val="005826C2"/>
    <w:rsid w:val="00585ED8"/>
    <w:rsid w:val="00591366"/>
    <w:rsid w:val="005A3E60"/>
    <w:rsid w:val="005B2ACE"/>
    <w:rsid w:val="005B4043"/>
    <w:rsid w:val="005B7C94"/>
    <w:rsid w:val="005C1E62"/>
    <w:rsid w:val="005C3492"/>
    <w:rsid w:val="005D1DE4"/>
    <w:rsid w:val="005F45B2"/>
    <w:rsid w:val="005F6B4E"/>
    <w:rsid w:val="00603DA6"/>
    <w:rsid w:val="00607E79"/>
    <w:rsid w:val="006146C9"/>
    <w:rsid w:val="00615E2D"/>
    <w:rsid w:val="00630A42"/>
    <w:rsid w:val="00634232"/>
    <w:rsid w:val="00640ED7"/>
    <w:rsid w:val="00646C65"/>
    <w:rsid w:val="00646CFB"/>
    <w:rsid w:val="00654DBA"/>
    <w:rsid w:val="00656F69"/>
    <w:rsid w:val="00670225"/>
    <w:rsid w:val="006773B0"/>
    <w:rsid w:val="00684A85"/>
    <w:rsid w:val="00686DC8"/>
    <w:rsid w:val="00687343"/>
    <w:rsid w:val="006A5CED"/>
    <w:rsid w:val="006B2152"/>
    <w:rsid w:val="006C644F"/>
    <w:rsid w:val="006D146E"/>
    <w:rsid w:val="006F7158"/>
    <w:rsid w:val="006F7BA5"/>
    <w:rsid w:val="0070029A"/>
    <w:rsid w:val="00703D02"/>
    <w:rsid w:val="007121AA"/>
    <w:rsid w:val="00724686"/>
    <w:rsid w:val="00726131"/>
    <w:rsid w:val="0072685A"/>
    <w:rsid w:val="007314C9"/>
    <w:rsid w:val="00731592"/>
    <w:rsid w:val="0073380B"/>
    <w:rsid w:val="0073653A"/>
    <w:rsid w:val="00761D40"/>
    <w:rsid w:val="007757EF"/>
    <w:rsid w:val="00777EB9"/>
    <w:rsid w:val="00790257"/>
    <w:rsid w:val="007A04A1"/>
    <w:rsid w:val="007A4C1C"/>
    <w:rsid w:val="007C2536"/>
    <w:rsid w:val="007C2A84"/>
    <w:rsid w:val="007D3858"/>
    <w:rsid w:val="007D5C25"/>
    <w:rsid w:val="007D7088"/>
    <w:rsid w:val="007E3D82"/>
    <w:rsid w:val="007E53B6"/>
    <w:rsid w:val="007E7F98"/>
    <w:rsid w:val="00803901"/>
    <w:rsid w:val="00804E1C"/>
    <w:rsid w:val="00805C07"/>
    <w:rsid w:val="008102AF"/>
    <w:rsid w:val="00823B0D"/>
    <w:rsid w:val="00826426"/>
    <w:rsid w:val="00827826"/>
    <w:rsid w:val="00834E82"/>
    <w:rsid w:val="00855F85"/>
    <w:rsid w:val="008563AC"/>
    <w:rsid w:val="008650EF"/>
    <w:rsid w:val="00873471"/>
    <w:rsid w:val="0087523C"/>
    <w:rsid w:val="00891910"/>
    <w:rsid w:val="0089452C"/>
    <w:rsid w:val="008B0F07"/>
    <w:rsid w:val="008B1309"/>
    <w:rsid w:val="008C5B49"/>
    <w:rsid w:val="008D77B2"/>
    <w:rsid w:val="008E0AB1"/>
    <w:rsid w:val="008E4D47"/>
    <w:rsid w:val="008F182F"/>
    <w:rsid w:val="00912BB9"/>
    <w:rsid w:val="00913D24"/>
    <w:rsid w:val="009178A9"/>
    <w:rsid w:val="00926695"/>
    <w:rsid w:val="00926C86"/>
    <w:rsid w:val="009330D6"/>
    <w:rsid w:val="0093586A"/>
    <w:rsid w:val="009373B4"/>
    <w:rsid w:val="0094739A"/>
    <w:rsid w:val="00954BC4"/>
    <w:rsid w:val="009567AF"/>
    <w:rsid w:val="0097054A"/>
    <w:rsid w:val="0097375D"/>
    <w:rsid w:val="00973AD3"/>
    <w:rsid w:val="009842F1"/>
    <w:rsid w:val="00986B33"/>
    <w:rsid w:val="00986F67"/>
    <w:rsid w:val="00987AD5"/>
    <w:rsid w:val="009916B2"/>
    <w:rsid w:val="009954EB"/>
    <w:rsid w:val="009C3F17"/>
    <w:rsid w:val="009E3C5F"/>
    <w:rsid w:val="009F6F20"/>
    <w:rsid w:val="00A12C26"/>
    <w:rsid w:val="00A145EF"/>
    <w:rsid w:val="00A165DE"/>
    <w:rsid w:val="00A21177"/>
    <w:rsid w:val="00A23F32"/>
    <w:rsid w:val="00A36901"/>
    <w:rsid w:val="00A447E9"/>
    <w:rsid w:val="00A51D9B"/>
    <w:rsid w:val="00A62C51"/>
    <w:rsid w:val="00AC0266"/>
    <w:rsid w:val="00AC10A5"/>
    <w:rsid w:val="00AD39FC"/>
    <w:rsid w:val="00AD72D4"/>
    <w:rsid w:val="00AE77B1"/>
    <w:rsid w:val="00AF5E28"/>
    <w:rsid w:val="00AF7F9F"/>
    <w:rsid w:val="00B233DF"/>
    <w:rsid w:val="00B24379"/>
    <w:rsid w:val="00B420BC"/>
    <w:rsid w:val="00B60ED2"/>
    <w:rsid w:val="00B64865"/>
    <w:rsid w:val="00B65604"/>
    <w:rsid w:val="00B65DF5"/>
    <w:rsid w:val="00B67872"/>
    <w:rsid w:val="00B711EC"/>
    <w:rsid w:val="00B856AB"/>
    <w:rsid w:val="00B92D8E"/>
    <w:rsid w:val="00BA4D7E"/>
    <w:rsid w:val="00BB0CF3"/>
    <w:rsid w:val="00BB21D3"/>
    <w:rsid w:val="00BB5772"/>
    <w:rsid w:val="00BB651C"/>
    <w:rsid w:val="00BC5950"/>
    <w:rsid w:val="00BF17AA"/>
    <w:rsid w:val="00C07A84"/>
    <w:rsid w:val="00C12983"/>
    <w:rsid w:val="00C1704C"/>
    <w:rsid w:val="00C24556"/>
    <w:rsid w:val="00C27A9A"/>
    <w:rsid w:val="00C40131"/>
    <w:rsid w:val="00C41599"/>
    <w:rsid w:val="00C4601D"/>
    <w:rsid w:val="00C51AB0"/>
    <w:rsid w:val="00C553FE"/>
    <w:rsid w:val="00C67698"/>
    <w:rsid w:val="00C87F49"/>
    <w:rsid w:val="00C968DF"/>
    <w:rsid w:val="00CC1C76"/>
    <w:rsid w:val="00CC3241"/>
    <w:rsid w:val="00CC6428"/>
    <w:rsid w:val="00CC69FC"/>
    <w:rsid w:val="00CD4E3A"/>
    <w:rsid w:val="00CE16A1"/>
    <w:rsid w:val="00CE4068"/>
    <w:rsid w:val="00D0142A"/>
    <w:rsid w:val="00D07446"/>
    <w:rsid w:val="00D14C0C"/>
    <w:rsid w:val="00D3419F"/>
    <w:rsid w:val="00D35B07"/>
    <w:rsid w:val="00D44D1B"/>
    <w:rsid w:val="00D572A6"/>
    <w:rsid w:val="00D57746"/>
    <w:rsid w:val="00D61321"/>
    <w:rsid w:val="00D644CF"/>
    <w:rsid w:val="00D708BB"/>
    <w:rsid w:val="00D84182"/>
    <w:rsid w:val="00D861B5"/>
    <w:rsid w:val="00D906F0"/>
    <w:rsid w:val="00DA2242"/>
    <w:rsid w:val="00DA60D5"/>
    <w:rsid w:val="00DB2C10"/>
    <w:rsid w:val="00DB7F9F"/>
    <w:rsid w:val="00DE2106"/>
    <w:rsid w:val="00DE795F"/>
    <w:rsid w:val="00E006FF"/>
    <w:rsid w:val="00E01273"/>
    <w:rsid w:val="00E0221E"/>
    <w:rsid w:val="00E273F1"/>
    <w:rsid w:val="00E3207A"/>
    <w:rsid w:val="00E57918"/>
    <w:rsid w:val="00E6241C"/>
    <w:rsid w:val="00E72D49"/>
    <w:rsid w:val="00E871BC"/>
    <w:rsid w:val="00E87C2B"/>
    <w:rsid w:val="00EA0E6F"/>
    <w:rsid w:val="00EA27D4"/>
    <w:rsid w:val="00EA5E92"/>
    <w:rsid w:val="00EB31CA"/>
    <w:rsid w:val="00EC00AC"/>
    <w:rsid w:val="00EC012A"/>
    <w:rsid w:val="00EC2468"/>
    <w:rsid w:val="00ED3A9E"/>
    <w:rsid w:val="00EE2697"/>
    <w:rsid w:val="00EE7B36"/>
    <w:rsid w:val="00EF23F5"/>
    <w:rsid w:val="00EF399C"/>
    <w:rsid w:val="00EF3FF8"/>
    <w:rsid w:val="00F11688"/>
    <w:rsid w:val="00F15832"/>
    <w:rsid w:val="00F32B55"/>
    <w:rsid w:val="00F357DF"/>
    <w:rsid w:val="00F36FB8"/>
    <w:rsid w:val="00F60E32"/>
    <w:rsid w:val="00F62E3A"/>
    <w:rsid w:val="00FB0A0B"/>
    <w:rsid w:val="00FB74F6"/>
    <w:rsid w:val="00FC6DE8"/>
    <w:rsid w:val="00FE4715"/>
    <w:rsid w:val="00FF3EB6"/>
    <w:rsid w:val="0AE6F39C"/>
    <w:rsid w:val="152E62AB"/>
    <w:rsid w:val="1B87BEB9"/>
    <w:rsid w:val="1BC30417"/>
    <w:rsid w:val="1D4904C1"/>
    <w:rsid w:val="201165D5"/>
    <w:rsid w:val="225190ED"/>
    <w:rsid w:val="3BEA73CB"/>
    <w:rsid w:val="3D541C21"/>
    <w:rsid w:val="628C8DA9"/>
    <w:rsid w:val="63BE6AB4"/>
    <w:rsid w:val="65A53F91"/>
    <w:rsid w:val="68AED269"/>
    <w:rsid w:val="6C854696"/>
    <w:rsid w:val="71DBB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3C1B88"/>
  <w15:docId w15:val="{0B26506A-9406-4AC5-86B5-5026B31B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BB0CF3"/>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5"/>
      </w:numPr>
      <w:outlineLvl w:val="3"/>
    </w:pPr>
    <w:rPr>
      <w:rFonts w:eastAsiaTheme="majorEastAsia"/>
      <w:bCs/>
      <w:iCs/>
    </w:rPr>
  </w:style>
  <w:style w:type="paragraph" w:styleId="Heading5">
    <w:name w:val="heading 5"/>
    <w:basedOn w:val="Normal"/>
    <w:next w:val="Text2"/>
    <w:link w:val="Heading5Char"/>
    <w:uiPriority w:val="9"/>
    <w:unhideWhenUsed/>
    <w:qFormat/>
    <w:rsid w:val="00FB74F6"/>
    <w:pPr>
      <w:keepNext/>
      <w:numPr>
        <w:ilvl w:val="4"/>
        <w:numId w:val="45"/>
      </w:numPr>
      <w:outlineLvl w:val="4"/>
    </w:pPr>
    <w:rPr>
      <w:rFonts w:eastAsiaTheme="majorEastAsia"/>
    </w:rPr>
  </w:style>
  <w:style w:type="paragraph" w:styleId="Heading6">
    <w:name w:val="heading 6"/>
    <w:basedOn w:val="Normal"/>
    <w:next w:val="Text2"/>
    <w:link w:val="Heading6Char"/>
    <w:uiPriority w:val="9"/>
    <w:unhideWhenUsed/>
    <w:qFormat/>
    <w:rsid w:val="00FB74F6"/>
    <w:pPr>
      <w:keepNext/>
      <w:numPr>
        <w:ilvl w:val="5"/>
        <w:numId w:val="45"/>
      </w:numPr>
      <w:outlineLvl w:val="5"/>
    </w:pPr>
    <w:rPr>
      <w:rFonts w:eastAsiaTheme="majorEastAsia"/>
      <w:iCs/>
    </w:rPr>
  </w:style>
  <w:style w:type="paragraph" w:styleId="Heading7">
    <w:name w:val="heading 7"/>
    <w:basedOn w:val="Normal"/>
    <w:next w:val="Text2"/>
    <w:link w:val="Heading7Char"/>
    <w:uiPriority w:val="9"/>
    <w:unhideWhenUsed/>
    <w:qFormat/>
    <w:rsid w:val="00FB74F6"/>
    <w:pPr>
      <w:keepNext/>
      <w:numPr>
        <w:ilvl w:val="6"/>
        <w:numId w:val="45"/>
      </w:numPr>
      <w:outlineLvl w:val="6"/>
    </w:pPr>
    <w:rPr>
      <w:rFonts w:eastAsiaTheme="majorEastAsia"/>
      <w:iCs/>
    </w:rPr>
  </w:style>
  <w:style w:type="paragraph" w:styleId="Heading8">
    <w:name w:val="heading 8"/>
    <w:basedOn w:val="Normal"/>
    <w:next w:val="Normal"/>
    <w:link w:val="Heading8Char"/>
    <w:uiPriority w:val="99"/>
    <w:qFormat/>
    <w:rsid w:val="004468FD"/>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4468FD"/>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B74F6"/>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rsid w:val="00FB74F6"/>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rsid w:val="00FB74F6"/>
    <w:rPr>
      <w:rFonts w:ascii="Times New Roman" w:eastAsiaTheme="majorEastAsia" w:hAnsi="Times New Roman" w:cs="Times New Roman"/>
      <w:iCs/>
      <w:sz w:val="24"/>
      <w:lang w:val="fr-FR"/>
    </w:rPr>
  </w:style>
  <w:style w:type="character" w:customStyle="1" w:styleId="Heading8Char">
    <w:name w:val="Heading 8 Char"/>
    <w:basedOn w:val="DefaultParagraphFont"/>
    <w:link w:val="Heading8"/>
    <w:uiPriority w:val="9"/>
    <w:rsid w:val="004468FD"/>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
    <w:rsid w:val="004468FD"/>
    <w:rPr>
      <w:rFonts w:ascii="Arial" w:eastAsiaTheme="minorEastAsia" w:hAnsi="Arial" w:cs="Arial"/>
      <w:i/>
      <w:iCs/>
      <w:sz w:val="18"/>
      <w:szCs w:val="18"/>
      <w:lang w:val="fr-FR" w:eastAsia="en-GB"/>
    </w:rPr>
  </w:style>
  <w:style w:type="paragraph" w:styleId="ListNumber">
    <w:name w:val="List Number"/>
    <w:basedOn w:val="Normal"/>
    <w:uiPriority w:val="99"/>
    <w:rsid w:val="004468FD"/>
    <w:pPr>
      <w:numPr>
        <w:numId w:val="1"/>
      </w:numPr>
    </w:pPr>
    <w:rPr>
      <w:rFonts w:eastAsia="Times New Roman"/>
      <w:lang w:eastAsia="en-GB"/>
    </w:rPr>
  </w:style>
  <w:style w:type="paragraph" w:styleId="ListNumber4">
    <w:name w:val="List Number 4"/>
    <w:basedOn w:val="Normal"/>
    <w:rsid w:val="004468FD"/>
    <w:pPr>
      <w:numPr>
        <w:numId w:val="2"/>
      </w:numPr>
    </w:pPr>
    <w:rPr>
      <w:rFonts w:eastAsia="Times New Roman"/>
      <w:lang w:eastAsia="en-GB"/>
    </w:rPr>
  </w:style>
  <w:style w:type="paragraph" w:styleId="ListBullet5">
    <w:name w:val="List Bullet 5"/>
    <w:basedOn w:val="Normal"/>
    <w:autoRedefine/>
    <w:rsid w:val="004468FD"/>
    <w:pPr>
      <w:numPr>
        <w:numId w:val="3"/>
      </w:numPr>
      <w:spacing w:before="0" w:after="240"/>
    </w:pPr>
    <w:rPr>
      <w:rFonts w:eastAsia="Times New Roman"/>
      <w:sz w:val="20"/>
      <w:szCs w:val="20"/>
      <w:lang w:eastAsia="nl-BE"/>
    </w:rPr>
  </w:style>
  <w:style w:type="paragraph" w:customStyle="1" w:styleId="Bulletparagraph">
    <w:name w:val="Bullet paragraph"/>
    <w:basedOn w:val="BodyText"/>
    <w:uiPriority w:val="1"/>
    <w:qFormat/>
    <w:rsid w:val="004468FD"/>
    <w:pPr>
      <w:numPr>
        <w:numId w:val="4"/>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aliases w:val="Double indent,heading_txt,bodytxy2,CV Body Text,One Page Summary,jtext,John1,bt,Body Text 1,contents,RFQ Text,RFQ,body text,t,sp,Resume Text,text,sbs,block text,bt4,body text4,bt5,body text5,bt1,body text1,Block text,BODY TEXT,RFP Text,Text"/>
    <w:basedOn w:val="Normal"/>
    <w:link w:val="BodyTextChar"/>
    <w:unhideWhenUsed/>
    <w:qFormat/>
    <w:rsid w:val="004468FD"/>
  </w:style>
  <w:style w:type="character" w:customStyle="1" w:styleId="BodyTextChar">
    <w:name w:val="Body Text Char"/>
    <w:aliases w:val="Double indent Char,heading_txt Char,bodytxy2 Char,CV Body Text Char,One Page Summary Char,jtext Char,John1 Char,bt Char,Body Text 1 Char,contents Char,RFQ Text Char,RFQ Char,body text Char,t Char,sp Char,Resume Text Char,text Char"/>
    <w:basedOn w:val="DefaultParagraphFont"/>
    <w:link w:val="BodyText"/>
    <w:rsid w:val="004468FD"/>
    <w:rPr>
      <w:rFonts w:ascii="Times New Roman" w:hAnsi="Times New Roman" w:cs="Times New Roman"/>
      <w:sz w:val="24"/>
      <w:lang w:val="fr-FR"/>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4468FD"/>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4468FD"/>
    <w:rPr>
      <w:lang w:val="fr-FR"/>
    </w:rPr>
  </w:style>
  <w:style w:type="paragraph" w:styleId="TableofFigures">
    <w:name w:val="table of figures"/>
    <w:basedOn w:val="Normal"/>
    <w:next w:val="Normal"/>
    <w:uiPriority w:val="99"/>
    <w:semiHidden/>
    <w:unhideWhenUsed/>
    <w:rsid w:val="004468FD"/>
    <w:pPr>
      <w:spacing w:after="0"/>
    </w:pPr>
  </w:style>
  <w:style w:type="paragraph" w:styleId="ListBullet">
    <w:name w:val="List Bullet"/>
    <w:basedOn w:val="Normal"/>
    <w:unhideWhenUsed/>
    <w:rsid w:val="004468FD"/>
    <w:pPr>
      <w:numPr>
        <w:numId w:val="5"/>
      </w:numPr>
      <w:contextualSpacing/>
    </w:pPr>
  </w:style>
  <w:style w:type="paragraph" w:styleId="ListBullet2">
    <w:name w:val="List Bullet 2"/>
    <w:basedOn w:val="Normal"/>
    <w:uiPriority w:val="99"/>
    <w:semiHidden/>
    <w:unhideWhenUsed/>
    <w:rsid w:val="004468FD"/>
    <w:pPr>
      <w:numPr>
        <w:numId w:val="6"/>
      </w:numPr>
      <w:contextualSpacing/>
    </w:pPr>
  </w:style>
  <w:style w:type="paragraph" w:styleId="ListBullet3">
    <w:name w:val="List Bullet 3"/>
    <w:basedOn w:val="Normal"/>
    <w:uiPriority w:val="99"/>
    <w:semiHidden/>
    <w:unhideWhenUsed/>
    <w:rsid w:val="004468FD"/>
    <w:pPr>
      <w:numPr>
        <w:numId w:val="7"/>
      </w:numPr>
      <w:contextualSpacing/>
    </w:pPr>
  </w:style>
  <w:style w:type="paragraph" w:styleId="ListBullet4">
    <w:name w:val="List Bullet 4"/>
    <w:basedOn w:val="Normal"/>
    <w:uiPriority w:val="99"/>
    <w:semiHidden/>
    <w:unhideWhenUsed/>
    <w:rsid w:val="004468FD"/>
    <w:pPr>
      <w:numPr>
        <w:numId w:val="8"/>
      </w:numPr>
      <w:contextualSpacing/>
    </w:pPr>
  </w:style>
  <w:style w:type="paragraph" w:styleId="ListNumber2">
    <w:name w:val="List Number 2"/>
    <w:basedOn w:val="Normal"/>
    <w:uiPriority w:val="99"/>
    <w:semiHidden/>
    <w:unhideWhenUsed/>
    <w:rsid w:val="004468FD"/>
    <w:pPr>
      <w:numPr>
        <w:numId w:val="9"/>
      </w:numPr>
      <w:contextualSpacing/>
    </w:pPr>
  </w:style>
  <w:style w:type="paragraph" w:styleId="ListNumber3">
    <w:name w:val="List Number 3"/>
    <w:basedOn w:val="Normal"/>
    <w:semiHidden/>
    <w:unhideWhenUsed/>
    <w:rsid w:val="004468FD"/>
    <w:pPr>
      <w:numPr>
        <w:numId w:val="10"/>
      </w:numPr>
      <w:contextualSpacing/>
    </w:pPr>
  </w:style>
  <w:style w:type="character" w:styleId="CommentReference">
    <w:name w:val="annotation reference"/>
    <w:basedOn w:val="DefaultParagraphFont"/>
    <w:uiPriority w:val="99"/>
    <w:unhideWhenUsed/>
    <w:rsid w:val="004468FD"/>
    <w:rPr>
      <w:sz w:val="16"/>
      <w:szCs w:val="16"/>
    </w:rPr>
  </w:style>
  <w:style w:type="paragraph" w:styleId="CommentText">
    <w:name w:val="annotation text"/>
    <w:aliases w:val="Text poznámky"/>
    <w:basedOn w:val="Normal"/>
    <w:link w:val="CommentTextChar"/>
    <w:uiPriority w:val="99"/>
    <w:unhideWhenUsed/>
    <w:rsid w:val="004468FD"/>
    <w:rPr>
      <w:sz w:val="20"/>
      <w:szCs w:val="20"/>
    </w:rPr>
  </w:style>
  <w:style w:type="character" w:customStyle="1" w:styleId="CommentTextChar">
    <w:name w:val="Comment Text Char"/>
    <w:aliases w:val="Text poznámky Char"/>
    <w:basedOn w:val="DefaultParagraphFont"/>
    <w:link w:val="CommentText"/>
    <w:uiPriority w:val="99"/>
    <w:rsid w:val="004468F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68FD"/>
    <w:rPr>
      <w:b/>
      <w:bCs/>
    </w:rPr>
  </w:style>
  <w:style w:type="character" w:customStyle="1" w:styleId="CommentSubjectChar">
    <w:name w:val="Comment Subject Char"/>
    <w:basedOn w:val="CommentTextChar"/>
    <w:link w:val="CommentSubject"/>
    <w:uiPriority w:val="99"/>
    <w:semiHidden/>
    <w:rsid w:val="004468FD"/>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4468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FD"/>
    <w:rPr>
      <w:rFonts w:ascii="Segoe UI" w:hAnsi="Segoe UI" w:cs="Segoe UI"/>
      <w:sz w:val="18"/>
      <w:szCs w:val="18"/>
      <w:lang w:val="fr-FR"/>
    </w:rPr>
  </w:style>
  <w:style w:type="paragraph" w:customStyle="1" w:styleId="Annexetitreacte">
    <w:name w:val="Annexe titre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rsid w:val="004468FD"/>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4468FD"/>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4468FD"/>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4468FD"/>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4468FD"/>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4468FD"/>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4468FD"/>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4468FD"/>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4468FD"/>
    <w:rPr>
      <w:rFonts w:cs="Times New Roman"/>
    </w:rPr>
  </w:style>
  <w:style w:type="paragraph" w:customStyle="1" w:styleId="Prliminairetitre">
    <w:name w:val="Préliminaire titre"/>
    <w:basedOn w:val="Normal"/>
    <w:next w:val="Normal"/>
    <w:uiPriority w:val="99"/>
    <w:rsid w:val="004468FD"/>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4468FD"/>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4468FD"/>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4468FD"/>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sid w:val="004468FD"/>
    <w:rPr>
      <w:rFonts w:ascii="Wingdings" w:hAnsi="Wingdings" w:cs="Wingdings"/>
    </w:rPr>
  </w:style>
  <w:style w:type="paragraph" w:customStyle="1" w:styleId="CRSeparator">
    <w:name w:val="CR Separator"/>
    <w:basedOn w:val="Normal"/>
    <w:next w:val="CRReference"/>
    <w:uiPriority w:val="99"/>
    <w:rsid w:val="004468FD"/>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4468FD"/>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sid w:val="004468FD"/>
    <w:rPr>
      <w:rFonts w:cs="Times New Roman"/>
      <w:vertAlign w:val="subscript"/>
    </w:rPr>
  </w:style>
  <w:style w:type="paragraph" w:customStyle="1" w:styleId="CRParaDeleted">
    <w:name w:val="CR ParaDeleted"/>
    <w:basedOn w:val="Normal"/>
    <w:next w:val="Normal"/>
    <w:uiPriority w:val="99"/>
    <w:rsid w:val="004468FD"/>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4468FD"/>
    <w:rPr>
      <w:rFonts w:cs="Times New Roman"/>
    </w:rPr>
  </w:style>
  <w:style w:type="paragraph" w:customStyle="1" w:styleId="Titredumodificateur">
    <w:name w:val="Titre du modificateur"/>
    <w:basedOn w:val="Normal"/>
    <w:next w:val="Annexetitrefichefinacte"/>
    <w:uiPriority w:val="99"/>
    <w:rsid w:val="004468FD"/>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4468FD"/>
    <w:pPr>
      <w:autoSpaceDE w:val="0"/>
      <w:autoSpaceDN w:val="0"/>
      <w:spacing w:before="0"/>
      <w:jc w:val="left"/>
    </w:pPr>
    <w:rPr>
      <w:rFonts w:eastAsiaTheme="minorEastAsia"/>
      <w:szCs w:val="24"/>
      <w:lang w:eastAsia="en-GB"/>
    </w:rPr>
  </w:style>
  <w:style w:type="character" w:customStyle="1" w:styleId="TypedudocumentChar">
    <w:name w:val="Type du document Char"/>
    <w:locked/>
    <w:rsid w:val="004468FD"/>
    <w:rPr>
      <w:rFonts w:ascii="Times New Roman" w:hAnsi="Times New Roman" w:cs="Times New Roman"/>
      <w:b/>
      <w:sz w:val="24"/>
      <w:lang w:val="fr-FR"/>
    </w:rPr>
  </w:style>
  <w:style w:type="character" w:customStyle="1" w:styleId="CRMinorChangeAdded">
    <w:name w:val="CR Minor Change Added"/>
    <w:rsid w:val="004468FD"/>
    <w:rPr>
      <w:u w:val="double"/>
      <w:lang w:val="fr-FR" w:eastAsia="x-none"/>
    </w:rPr>
  </w:style>
  <w:style w:type="character" w:customStyle="1" w:styleId="CRDeleted">
    <w:name w:val="CR Deleted"/>
    <w:basedOn w:val="DefaultParagraphFont"/>
    <w:rsid w:val="004468FD"/>
    <w:rPr>
      <w:rFonts w:cs="Times New Roman"/>
      <w:dstrike/>
      <w:lang w:val="fr-FR" w:eastAsia="x-none"/>
    </w:rPr>
  </w:style>
  <w:style w:type="character" w:customStyle="1" w:styleId="CRMinorChangeDeleted">
    <w:name w:val="CR Minor Change Deleted"/>
    <w:basedOn w:val="DefaultParagraphFont"/>
    <w:rsid w:val="004468FD"/>
    <w:rPr>
      <w:rFonts w:cs="Times New Roman"/>
      <w:dstrike/>
      <w:u w:val="double"/>
      <w:lang w:val="fr-FR" w:eastAsia="x-none"/>
    </w:rPr>
  </w:style>
  <w:style w:type="character" w:customStyle="1" w:styleId="CRRefonteDeleted">
    <w:name w:val="CR Refonte Deleted"/>
    <w:basedOn w:val="DefaultParagraphFont"/>
    <w:rsid w:val="004468FD"/>
    <w:rPr>
      <w:rFonts w:cs="Times New Roman"/>
      <w:dstrike/>
      <w:lang w:val="fr-FR" w:eastAsia="x-none"/>
    </w:rPr>
  </w:style>
  <w:style w:type="character" w:customStyle="1" w:styleId="super">
    <w:name w:val="super"/>
    <w:rsid w:val="004468FD"/>
  </w:style>
  <w:style w:type="paragraph" w:styleId="Revision">
    <w:name w:val="Revision"/>
    <w:hidden/>
    <w:uiPriority w:val="99"/>
    <w:semiHidden/>
    <w:rsid w:val="004468FD"/>
    <w:pPr>
      <w:spacing w:after="0" w:line="240" w:lineRule="auto"/>
    </w:pPr>
    <w:rPr>
      <w:rFonts w:ascii="Times New Roman" w:eastAsiaTheme="minorEastAsia" w:hAnsi="Times New Roman" w:cs="Times New Roman"/>
      <w:sz w:val="24"/>
      <w:szCs w:val="24"/>
      <w:lang w:eastAsia="en-GB"/>
    </w:rPr>
  </w:style>
  <w:style w:type="paragraph" w:customStyle="1" w:styleId="FooterCoverPage">
    <w:name w:val="Footer Cover Page"/>
    <w:basedOn w:val="Normal"/>
    <w:link w:val="FooterCoverPageChar"/>
    <w:rsid w:val="004468FD"/>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sid w:val="004468FD"/>
    <w:rPr>
      <w:rFonts w:ascii="Times New Roman" w:eastAsia="Calibri" w:hAnsi="Times New Roman" w:cs="Times New Roman"/>
      <w:sz w:val="24"/>
      <w:lang w:val="fr-FR"/>
    </w:rPr>
  </w:style>
  <w:style w:type="paragraph" w:customStyle="1" w:styleId="HeaderCoverPage">
    <w:name w:val="Header Cover Page"/>
    <w:basedOn w:val="Normal"/>
    <w:link w:val="HeaderCoverPageChar"/>
    <w:rsid w:val="004468FD"/>
    <w:pPr>
      <w:tabs>
        <w:tab w:val="center" w:pos="4535"/>
        <w:tab w:val="right" w:pos="9071"/>
      </w:tabs>
      <w:spacing w:before="0"/>
    </w:pPr>
    <w:rPr>
      <w:rFonts w:eastAsia="Calibri"/>
    </w:rPr>
  </w:style>
  <w:style w:type="character" w:customStyle="1" w:styleId="HeaderCoverPageChar">
    <w:name w:val="Header Cover Page Char"/>
    <w:link w:val="HeaderCoverPage"/>
    <w:rsid w:val="004468FD"/>
    <w:rPr>
      <w:rFonts w:ascii="Times New Roman" w:eastAsia="Calibri" w:hAnsi="Times New Roman" w:cs="Times New Roman"/>
      <w:sz w:val="24"/>
      <w:lang w:val="fr-FR"/>
    </w:rPr>
  </w:style>
  <w:style w:type="paragraph" w:customStyle="1" w:styleId="ListDash1">
    <w:name w:val="List Dash 1"/>
    <w:basedOn w:val="Text1"/>
    <w:rsid w:val="004468FD"/>
    <w:pPr>
      <w:numPr>
        <w:numId w:val="15"/>
      </w:numPr>
      <w:spacing w:before="0" w:after="240"/>
    </w:pPr>
    <w:rPr>
      <w:rFonts w:eastAsia="Times New Roman"/>
      <w:szCs w:val="20"/>
    </w:rPr>
  </w:style>
  <w:style w:type="table" w:styleId="TableGrid">
    <w:name w:val="Table Grid"/>
    <w:aliases w:val="Document Table,CV1,Table Format 1,HTG,Tabela Renova,TabelEcorys,Deloitte,Simple table,simple table,Gena,Tabellengitternetz"/>
    <w:basedOn w:val="TableNormal"/>
    <w:uiPriority w:val="5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4468FD"/>
    <w:pPr>
      <w:keepNext/>
      <w:spacing w:before="0" w:after="480"/>
      <w:jc w:val="center"/>
    </w:pPr>
    <w:rPr>
      <w:rFonts w:eastAsia="Times New Roman"/>
      <w:b/>
      <w:sz w:val="32"/>
      <w:szCs w:val="20"/>
    </w:rPr>
  </w:style>
  <w:style w:type="character" w:customStyle="1" w:styleId="AnnexTitleChar">
    <w:name w:val="Annex Title Char"/>
    <w:link w:val="AnnexTitle"/>
    <w:rsid w:val="004468FD"/>
    <w:rPr>
      <w:rFonts w:ascii="Times New Roman" w:eastAsia="Times New Roman" w:hAnsi="Times New Roman" w:cs="Times New Roman"/>
      <w:b/>
      <w:sz w:val="32"/>
      <w:szCs w:val="20"/>
      <w:lang w:val="fr-FR"/>
    </w:rPr>
  </w:style>
  <w:style w:type="table" w:customStyle="1" w:styleId="CV11">
    <w:name w:val="CV11"/>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ensitivityRightChar">
    <w:name w:val="Header Sensitivity Right Char"/>
    <w:rsid w:val="004468FD"/>
    <w:rPr>
      <w:rFonts w:ascii="Times New Roman" w:hAnsi="Times New Roman" w:cs="Times New Roman"/>
      <w:sz w:val="28"/>
      <w:lang w:val="fr-FR"/>
    </w:rPr>
  </w:style>
  <w:style w:type="paragraph" w:customStyle="1" w:styleId="CM1">
    <w:name w:val="CM1"/>
    <w:basedOn w:val="Normal"/>
    <w:next w:val="Normal"/>
    <w:uiPriority w:val="99"/>
    <w:rsid w:val="004468FD"/>
    <w:pPr>
      <w:autoSpaceDE w:val="0"/>
      <w:autoSpaceDN w:val="0"/>
      <w:adjustRightInd w:val="0"/>
      <w:spacing w:before="0" w:after="0"/>
      <w:jc w:val="left"/>
    </w:pPr>
    <w:rPr>
      <w:rFonts w:eastAsia="Calibri"/>
      <w:szCs w:val="24"/>
    </w:rPr>
  </w:style>
  <w:style w:type="paragraph" w:customStyle="1" w:styleId="CM3">
    <w:name w:val="CM3"/>
    <w:basedOn w:val="Normal"/>
    <w:next w:val="Normal"/>
    <w:uiPriority w:val="99"/>
    <w:rsid w:val="004468FD"/>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rsid w:val="004468FD"/>
    <w:pPr>
      <w:autoSpaceDE w:val="0"/>
      <w:autoSpaceDN w:val="0"/>
      <w:adjustRightInd w:val="0"/>
      <w:spacing w:before="0" w:after="0"/>
      <w:jc w:val="left"/>
    </w:pPr>
    <w:rPr>
      <w:rFonts w:eastAsia="Calibri"/>
      <w:szCs w:val="24"/>
    </w:rPr>
  </w:style>
  <w:style w:type="numbering" w:customStyle="1" w:styleId="StyleBulleted6">
    <w:name w:val="Style Bulleted6"/>
    <w:rsid w:val="004468FD"/>
    <w:pPr>
      <w:numPr>
        <w:numId w:val="16"/>
      </w:numPr>
    </w:pPr>
  </w:style>
  <w:style w:type="table" w:customStyle="1" w:styleId="Mainbidtables">
    <w:name w:val="Main bid tables"/>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numbering" w:customStyle="1" w:styleId="StyleNumberedLeft025Hanging025">
    <w:name w:val="Style Numbered Left:  0.25&quot; Hanging:  0.25&quot;"/>
    <w:basedOn w:val="NoList"/>
    <w:rsid w:val="004468FD"/>
    <w:pPr>
      <w:numPr>
        <w:numId w:val="17"/>
      </w:numPr>
    </w:pPr>
  </w:style>
  <w:style w:type="table" w:styleId="PlainTable1">
    <w:name w:val="Plain Table 1"/>
    <w:basedOn w:val="TableNormal"/>
    <w:uiPriority w:val="41"/>
    <w:rsid w:val="004468FD"/>
    <w:pPr>
      <w:spacing w:after="0" w:line="240" w:lineRule="auto"/>
    </w:pPr>
    <w:rPr>
      <w:rFonts w:eastAsia="Calibri" w:cs="Arial"/>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una-pos">
    <w:name w:val="luna-pos"/>
    <w:rsid w:val="004468FD"/>
  </w:style>
  <w:style w:type="character" w:customStyle="1" w:styleId="one-click-content">
    <w:name w:val="one-click-content"/>
    <w:rsid w:val="004468FD"/>
  </w:style>
  <w:style w:type="character" w:customStyle="1" w:styleId="luna-example">
    <w:name w:val="luna-example"/>
    <w:rsid w:val="004468FD"/>
  </w:style>
  <w:style w:type="paragraph" w:styleId="EndnoteText">
    <w:name w:val="endnote text"/>
    <w:basedOn w:val="Normal"/>
    <w:link w:val="EndnoteTextChar"/>
    <w:uiPriority w:val="99"/>
    <w:semiHidden/>
    <w:unhideWhenUsed/>
    <w:rsid w:val="004468FD"/>
    <w:pPr>
      <w:spacing w:before="0" w:after="0"/>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4468FD"/>
    <w:rPr>
      <w:rFonts w:ascii="Calibri" w:eastAsia="Calibri" w:hAnsi="Calibri" w:cs="Arial"/>
      <w:sz w:val="20"/>
      <w:szCs w:val="20"/>
      <w:lang w:val="fr-FR"/>
    </w:rPr>
  </w:style>
  <w:style w:type="character" w:styleId="EndnoteReference">
    <w:name w:val="endnote reference"/>
    <w:uiPriority w:val="99"/>
    <w:semiHidden/>
    <w:unhideWhenUsed/>
    <w:rsid w:val="004468FD"/>
    <w:rPr>
      <w:vertAlign w:val="superscript"/>
    </w:rPr>
  </w:style>
  <w:style w:type="character" w:styleId="FollowedHyperlink">
    <w:name w:val="FollowedHyperlink"/>
    <w:uiPriority w:val="99"/>
    <w:semiHidden/>
    <w:unhideWhenUsed/>
    <w:rsid w:val="004468FD"/>
    <w:rPr>
      <w:color w:val="800080"/>
      <w:u w:val="single"/>
    </w:rPr>
  </w:style>
  <w:style w:type="character" w:customStyle="1" w:styleId="normaltextrun">
    <w:name w:val="normaltextrun"/>
    <w:rsid w:val="004468FD"/>
  </w:style>
  <w:style w:type="paragraph" w:customStyle="1" w:styleId="paragraph">
    <w:name w:val="paragraph"/>
    <w:basedOn w:val="Normal"/>
    <w:rsid w:val="004468FD"/>
    <w:pPr>
      <w:spacing w:before="100" w:beforeAutospacing="1" w:after="100" w:afterAutospacing="1"/>
      <w:jc w:val="left"/>
    </w:pPr>
    <w:rPr>
      <w:rFonts w:eastAsia="Times New Roman"/>
      <w:sz w:val="20"/>
      <w:szCs w:val="24"/>
      <w:lang w:eastAsia="en-GB"/>
    </w:rPr>
  </w:style>
  <w:style w:type="paragraph" w:styleId="NormalWeb">
    <w:name w:val="Normal (Web)"/>
    <w:basedOn w:val="Normal"/>
    <w:uiPriority w:val="99"/>
    <w:unhideWhenUsed/>
    <w:rsid w:val="004468FD"/>
    <w:pPr>
      <w:spacing w:before="100" w:beforeAutospacing="1" w:after="100" w:afterAutospacing="1"/>
      <w:jc w:val="left"/>
    </w:pPr>
    <w:rPr>
      <w:rFonts w:eastAsia="Times New Roman"/>
      <w:szCs w:val="24"/>
      <w:lang w:eastAsia="en-GB"/>
    </w:rPr>
  </w:style>
  <w:style w:type="character" w:styleId="IntenseEmphasis">
    <w:name w:val="Intense Emphasis"/>
    <w:uiPriority w:val="21"/>
    <w:qFormat/>
    <w:rsid w:val="004468FD"/>
    <w:rPr>
      <w:i/>
      <w:iCs/>
      <w:color w:val="4F81BD"/>
    </w:rPr>
  </w:style>
  <w:style w:type="paragraph" w:customStyle="1" w:styleId="Default">
    <w:name w:val="Default"/>
    <w:rsid w:val="004468F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ainbidtables1">
    <w:name w:val="Main bid tables1"/>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2">
    <w:name w:val="Main bid tables2"/>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3">
    <w:name w:val="Main bid tables3"/>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4">
    <w:name w:val="Main bid tables4"/>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5">
    <w:name w:val="Main bid tables5"/>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styleId="Emphasis">
    <w:name w:val="Emphasis"/>
    <w:qFormat/>
    <w:rsid w:val="004468FD"/>
    <w:rPr>
      <w:i/>
      <w:iCs/>
    </w:rPr>
  </w:style>
  <w:style w:type="paragraph" w:customStyle="1" w:styleId="Body">
    <w:name w:val="Body"/>
    <w:basedOn w:val="Normal"/>
    <w:link w:val="BodyChar"/>
    <w:qFormat/>
    <w:rsid w:val="004468FD"/>
    <w:pPr>
      <w:spacing w:before="0" w:after="240"/>
      <w:jc w:val="left"/>
    </w:pPr>
    <w:rPr>
      <w:rFonts w:ascii="Verdana" w:eastAsia="Times New Roman" w:hAnsi="Verdana"/>
      <w:sz w:val="18"/>
      <w:szCs w:val="20"/>
      <w:lang w:eastAsia="nl-BE"/>
    </w:rPr>
  </w:style>
  <w:style w:type="character" w:customStyle="1" w:styleId="BodyChar">
    <w:name w:val="Body Char"/>
    <w:link w:val="Body"/>
    <w:rsid w:val="004468FD"/>
    <w:rPr>
      <w:rFonts w:ascii="Verdana" w:eastAsia="Times New Roman" w:hAnsi="Verdana" w:cs="Times New Roman"/>
      <w:sz w:val="18"/>
      <w:szCs w:val="20"/>
      <w:lang w:val="fr-FR" w:eastAsia="nl-BE"/>
    </w:rPr>
  </w:style>
  <w:style w:type="character" w:customStyle="1" w:styleId="CommentTextChar1">
    <w:name w:val="Comment Text Char1"/>
    <w:uiPriority w:val="99"/>
    <w:rsid w:val="004468FD"/>
    <w:rPr>
      <w:rFonts w:ascii="Times New Roman" w:eastAsia="Times New Roman" w:hAnsi="Times New Roman" w:cs="Times New Roman"/>
      <w:sz w:val="20"/>
      <w:szCs w:val="20"/>
      <w:lang w:val="fr-FR" w:eastAsia="nl-BE"/>
    </w:rPr>
  </w:style>
  <w:style w:type="character" w:customStyle="1" w:styleId="eop">
    <w:name w:val="eop"/>
    <w:rsid w:val="004468FD"/>
  </w:style>
  <w:style w:type="table" w:customStyle="1" w:styleId="Style3">
    <w:name w:val="Style3"/>
    <w:basedOn w:val="TableNormal"/>
    <w:uiPriority w:val="99"/>
    <w:rsid w:val="004468FD"/>
    <w:pPr>
      <w:spacing w:after="0" w:line="240" w:lineRule="auto"/>
    </w:pPr>
    <w:rPr>
      <w:rFonts w:ascii="Verdana" w:eastAsia="Times New Roman" w:hAnsi="Verdana" w:cs="Times New Roman"/>
      <w:color w:val="000000"/>
      <w:sz w:val="20"/>
      <w:szCs w:val="20"/>
      <w:lang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Sitka Banner" w:hAnsi="Sitka Banner"/>
        <w:color w:val="FFFFFF"/>
        <w:sz w:val="20"/>
      </w:rPr>
      <w:tblPr/>
      <w:tcPr>
        <w:shd w:val="clear" w:color="auto" w:fill="002395"/>
      </w:tcPr>
    </w:tblStylePr>
  </w:style>
  <w:style w:type="paragraph" w:customStyle="1" w:styleId="Bulletsinglelinelist">
    <w:name w:val="Bullet single line list"/>
    <w:basedOn w:val="Bulletparagraph"/>
    <w:uiPriority w:val="1"/>
    <w:qFormat/>
    <w:rsid w:val="004468FD"/>
    <w:pPr>
      <w:numPr>
        <w:numId w:val="0"/>
      </w:numPr>
      <w:ind w:left="720" w:hanging="360"/>
      <w:contextualSpacing/>
    </w:pPr>
  </w:style>
  <w:style w:type="paragraph" w:customStyle="1" w:styleId="CaptionTitle">
    <w:name w:val="Caption Title"/>
    <w:basedOn w:val="Normal"/>
    <w:link w:val="CaptionTitleChar"/>
    <w:qFormat/>
    <w:rsid w:val="004468FD"/>
    <w:pPr>
      <w:spacing w:before="0" w:after="0"/>
      <w:jc w:val="center"/>
    </w:pPr>
    <w:rPr>
      <w:rFonts w:ascii="EC Square Sans Cond Pro" w:eastAsia="Times New Roman" w:hAnsi="EC Square Sans Cond Pro"/>
      <w:b/>
      <w:bCs/>
      <w:caps/>
      <w:smallCaps/>
      <w:color w:val="2E2E2E"/>
      <w:sz w:val="20"/>
      <w:szCs w:val="24"/>
      <w:u w:val="single"/>
    </w:rPr>
  </w:style>
  <w:style w:type="character" w:customStyle="1" w:styleId="CaptionTitleChar">
    <w:name w:val="Caption Title Char"/>
    <w:link w:val="CaptionTitle"/>
    <w:rsid w:val="004468FD"/>
    <w:rPr>
      <w:rFonts w:ascii="EC Square Sans Cond Pro" w:eastAsia="Times New Roman" w:hAnsi="EC Square Sans Cond Pro" w:cs="Times New Roman"/>
      <w:b/>
      <w:bCs/>
      <w:caps/>
      <w:smallCaps/>
      <w:color w:val="2E2E2E"/>
      <w:sz w:val="20"/>
      <w:szCs w:val="24"/>
      <w:u w:val="single"/>
      <w:lang w:val="fr-FR"/>
    </w:rPr>
  </w:style>
  <w:style w:type="paragraph" w:customStyle="1" w:styleId="msonormal0">
    <w:name w:val="msonormal"/>
    <w:basedOn w:val="Normal"/>
    <w:rsid w:val="004468FD"/>
    <w:pPr>
      <w:spacing w:before="100" w:beforeAutospacing="1" w:after="100" w:afterAutospacing="1"/>
      <w:jc w:val="left"/>
    </w:pPr>
    <w:rPr>
      <w:rFonts w:eastAsia="Times New Roman"/>
      <w:szCs w:val="24"/>
      <w:lang w:eastAsia="en-GB"/>
    </w:rPr>
  </w:style>
  <w:style w:type="character" w:customStyle="1" w:styleId="textrun">
    <w:name w:val="textrun"/>
    <w:rsid w:val="004468FD"/>
  </w:style>
  <w:style w:type="character" w:customStyle="1" w:styleId="spellingerror">
    <w:name w:val="spellingerror"/>
    <w:rsid w:val="004468FD"/>
  </w:style>
  <w:style w:type="character" w:customStyle="1" w:styleId="linebreakblob">
    <w:name w:val="linebreakblob"/>
    <w:rsid w:val="004468FD"/>
  </w:style>
  <w:style w:type="character" w:customStyle="1" w:styleId="scxw103124961">
    <w:name w:val="scxw103124961"/>
    <w:rsid w:val="004468FD"/>
  </w:style>
  <w:style w:type="paragraph" w:customStyle="1" w:styleId="Source">
    <w:name w:val="Source"/>
    <w:basedOn w:val="Normal"/>
    <w:link w:val="SourceChar"/>
    <w:qFormat/>
    <w:rsid w:val="004468FD"/>
    <w:pPr>
      <w:spacing w:before="0" w:line="264" w:lineRule="auto"/>
      <w:jc w:val="right"/>
    </w:pPr>
    <w:rPr>
      <w:rFonts w:ascii="Calibri" w:eastAsia="Times New Roman" w:hAnsi="Calibri" w:cs="Calibri"/>
      <w:i/>
      <w:noProof/>
      <w:color w:val="000000"/>
      <w:sz w:val="20"/>
      <w:szCs w:val="18"/>
      <w:lang w:eastAsia="en-GB"/>
    </w:rPr>
  </w:style>
  <w:style w:type="character" w:customStyle="1" w:styleId="SourceChar">
    <w:name w:val="Source Char"/>
    <w:link w:val="Source"/>
    <w:rsid w:val="004468FD"/>
    <w:rPr>
      <w:rFonts w:ascii="Calibri" w:eastAsia="Times New Roman" w:hAnsi="Calibri" w:cs="Calibri"/>
      <w:i/>
      <w:noProof/>
      <w:color w:val="000000"/>
      <w:sz w:val="20"/>
      <w:szCs w:val="18"/>
      <w:lang w:val="fr-FR" w:eastAsia="en-GB"/>
    </w:rPr>
  </w:style>
  <w:style w:type="paragraph" w:customStyle="1" w:styleId="Normal2">
    <w:name w:val="Normal2"/>
    <w:basedOn w:val="Normal"/>
    <w:link w:val="Normal2Char"/>
    <w:qFormat/>
    <w:rsid w:val="004468FD"/>
    <w:pPr>
      <w:spacing w:before="0" w:after="240"/>
    </w:pPr>
    <w:rPr>
      <w:rFonts w:ascii="Cambria" w:eastAsia="Times New Roman" w:hAnsi="Cambria"/>
      <w:szCs w:val="20"/>
    </w:rPr>
  </w:style>
  <w:style w:type="character" w:customStyle="1" w:styleId="Normal2Char">
    <w:name w:val="Normal2 Char"/>
    <w:link w:val="Normal2"/>
    <w:rsid w:val="004468FD"/>
    <w:rPr>
      <w:rFonts w:ascii="Cambria" w:eastAsia="Times New Roman" w:hAnsi="Cambria" w:cs="Times New Roman"/>
      <w:sz w:val="24"/>
      <w:szCs w:val="20"/>
      <w:lang w:val="fr-FR"/>
    </w:rPr>
  </w:style>
  <w:style w:type="character" w:customStyle="1" w:styleId="Style1">
    <w:name w:val="Style1"/>
    <w:uiPriority w:val="1"/>
    <w:rsid w:val="004468FD"/>
    <w:rPr>
      <w:rFonts w:ascii="Arial" w:hAnsi="Arial"/>
      <w:b w:val="0"/>
      <w:i w:val="0"/>
      <w:spacing w:val="0"/>
      <w:position w:val="0"/>
      <w:sz w:val="24"/>
    </w:rPr>
  </w:style>
  <w:style w:type="character" w:customStyle="1" w:styleId="None">
    <w:name w:val="None"/>
    <w:rsid w:val="004468FD"/>
  </w:style>
  <w:style w:type="character" w:styleId="Strong">
    <w:name w:val="Strong"/>
    <w:uiPriority w:val="22"/>
    <w:qFormat/>
    <w:rsid w:val="004468FD"/>
    <w:rPr>
      <w:b/>
      <w:bCs/>
    </w:rPr>
  </w:style>
  <w:style w:type="paragraph" w:customStyle="1" w:styleId="BodyA">
    <w:name w:val="Body A"/>
    <w:link w:val="BodyAChar"/>
    <w:rsid w:val="004468FD"/>
    <w:pPr>
      <w:shd w:val="clear" w:color="000000" w:fill="auto"/>
      <w:bidi/>
      <w:spacing w:after="0" w:line="240" w:lineRule="auto"/>
      <w:jc w:val="both"/>
    </w:pPr>
    <w:rPr>
      <w:rFonts w:ascii="Times New Roman" w:eastAsia="Times New Roman" w:hAnsi="Times New Roman" w:cs="Times New Roman"/>
      <w:color w:val="000000"/>
      <w:sz w:val="24"/>
      <w:szCs w:val="24"/>
      <w:vertAlign w:val="subscript"/>
      <w:lang w:eastAsia="en-GB"/>
    </w:rPr>
  </w:style>
  <w:style w:type="character" w:customStyle="1" w:styleId="BodyAChar">
    <w:name w:val="Body A Char"/>
    <w:link w:val="BodyA"/>
    <w:rsid w:val="004468FD"/>
    <w:rPr>
      <w:rFonts w:ascii="Times New Roman" w:eastAsia="Times New Roman" w:hAnsi="Times New Roman" w:cs="Times New Roman"/>
      <w:color w:val="000000"/>
      <w:sz w:val="24"/>
      <w:szCs w:val="24"/>
      <w:shd w:val="clear" w:color="000000" w:fill="auto"/>
      <w:vertAlign w:val="subscript"/>
      <w:lang w:val="fr-FR" w:eastAsia="en-GB"/>
    </w:rPr>
  </w:style>
  <w:style w:type="paragraph" w:customStyle="1" w:styleId="UBATabellentext">
    <w:name w:val="UBA_Tabellentext"/>
    <w:link w:val="UBATabellentextZchn"/>
    <w:qFormat/>
    <w:rsid w:val="004468FD"/>
    <w:rPr>
      <w:rFonts w:ascii="Cambria" w:eastAsia="Calibri" w:hAnsi="Cambria" w:cs="Arial"/>
      <w:color w:val="000000"/>
      <w:sz w:val="20"/>
    </w:rPr>
  </w:style>
  <w:style w:type="paragraph" w:customStyle="1" w:styleId="UBATabellenkopf">
    <w:name w:val="UBA_Tabellenkopf"/>
    <w:basedOn w:val="UBATabellentext"/>
    <w:qFormat/>
    <w:rsid w:val="004468FD"/>
    <w:pPr>
      <w:spacing w:after="0" w:line="240" w:lineRule="auto"/>
    </w:pPr>
    <w:rPr>
      <w:b/>
    </w:rPr>
  </w:style>
  <w:style w:type="paragraph" w:customStyle="1" w:styleId="Standardtext">
    <w:name w:val="Standardtext"/>
    <w:basedOn w:val="Normal"/>
    <w:qFormat/>
    <w:rsid w:val="004468FD"/>
    <w:pPr>
      <w:spacing w:before="0" w:after="180" w:line="280" w:lineRule="atLeast"/>
    </w:pPr>
    <w:rPr>
      <w:rFonts w:ascii="Arial" w:eastAsia="Calibri" w:hAnsi="Arial" w:cs="Arial"/>
      <w:sz w:val="22"/>
    </w:rPr>
  </w:style>
  <w:style w:type="character" w:customStyle="1" w:styleId="menu-text">
    <w:name w:val="menu-text"/>
    <w:rsid w:val="004468FD"/>
  </w:style>
  <w:style w:type="character" w:customStyle="1" w:styleId="UBATabellentextZchn">
    <w:name w:val="UBA_Tabellentext Zchn"/>
    <w:link w:val="UBATabellentext"/>
    <w:rsid w:val="004468FD"/>
    <w:rPr>
      <w:rFonts w:ascii="Cambria" w:eastAsia="Calibri" w:hAnsi="Cambria" w:cs="Arial"/>
      <w:color w:val="000000"/>
      <w:sz w:val="20"/>
      <w:lang w:val="fr-FR"/>
    </w:rPr>
  </w:style>
  <w:style w:type="paragraph" w:customStyle="1" w:styleId="TableTextLeft">
    <w:name w:val="~TableTextLeft"/>
    <w:basedOn w:val="Normal"/>
    <w:qFormat/>
    <w:rsid w:val="004468FD"/>
    <w:pPr>
      <w:spacing w:before="40" w:after="40"/>
      <w:jc w:val="left"/>
    </w:pPr>
    <w:rPr>
      <w:rFonts w:ascii="Calibri" w:eastAsia="Calibri" w:hAnsi="Calibri" w:cs="Arial"/>
      <w:color w:val="000000"/>
      <w:sz w:val="20"/>
    </w:rPr>
  </w:style>
  <w:style w:type="paragraph" w:customStyle="1" w:styleId="UBATabellenundAbbildungsunterschrift">
    <w:name w:val="UBA_Tabellen_und_Abbildungsunterschrift"/>
    <w:basedOn w:val="UBATabellentext"/>
    <w:qFormat/>
    <w:rsid w:val="004468FD"/>
    <w:pPr>
      <w:contextualSpacing/>
    </w:pPr>
    <w:rPr>
      <w:sz w:val="18"/>
    </w:rPr>
  </w:style>
  <w:style w:type="table" w:customStyle="1" w:styleId="UBATabellegrau">
    <w:name w:val="UBA_Tabelle_grau"/>
    <w:basedOn w:val="TableNormal"/>
    <w:uiPriority w:val="99"/>
    <w:rsid w:val="004468FD"/>
    <w:pPr>
      <w:spacing w:after="0" w:line="240" w:lineRule="auto"/>
    </w:pPr>
    <w:rPr>
      <w:rFonts w:eastAsia="Calibri" w:cs="Arial"/>
      <w:color w:val="000000"/>
      <w:sz w:val="20"/>
      <w:szCs w:val="20"/>
      <w:lang w:eastAsia="en-GB"/>
    </w:rPr>
    <w:tblPr>
      <w:tblStyleRowBandSize w:val="1"/>
      <w:tblInd w:w="113" w:type="dxa"/>
      <w:tblBorders>
        <w:insideV w:val="single" w:sz="4" w:space="0" w:color="000000"/>
      </w:tblBorders>
      <w:tblCellMar>
        <w:top w:w="85" w:type="dxa"/>
        <w:bottom w:w="85" w:type="dxa"/>
      </w:tblCellMar>
    </w:tblPr>
    <w:tblStylePr w:type="firstRow">
      <w:tblPr/>
      <w:trPr>
        <w:tblHeader/>
      </w:trPr>
      <w:tcPr>
        <w:shd w:val="clear" w:color="auto" w:fill="BFBFBF"/>
      </w:tcPr>
    </w:tblStylePr>
    <w:tblStylePr w:type="band2Horz">
      <w:tblPr/>
      <w:tcPr>
        <w:shd w:val="clear" w:color="auto" w:fill="F2F2F2"/>
      </w:tcPr>
    </w:tblStylePr>
  </w:style>
  <w:style w:type="paragraph" w:customStyle="1" w:styleId="FooterAddress">
    <w:name w:val="Footer Address"/>
    <w:basedOn w:val="Footer"/>
    <w:link w:val="FooterAddressChar"/>
    <w:qFormat/>
    <w:rsid w:val="004468FD"/>
    <w:pPr>
      <w:tabs>
        <w:tab w:val="clear" w:pos="4535"/>
        <w:tab w:val="clear" w:pos="9071"/>
        <w:tab w:val="clear" w:pos="9921"/>
        <w:tab w:val="center" w:pos="4536"/>
        <w:tab w:val="right" w:pos="9072"/>
      </w:tabs>
      <w:autoSpaceDE w:val="0"/>
      <w:autoSpaceDN w:val="0"/>
      <w:ind w:left="0" w:right="0"/>
    </w:pPr>
    <w:rPr>
      <w:rFonts w:eastAsiaTheme="minorEastAsia"/>
      <w:szCs w:val="24"/>
      <w:lang w:eastAsia="en-GB"/>
    </w:rPr>
  </w:style>
  <w:style w:type="character" w:customStyle="1" w:styleId="FooterAddressChar">
    <w:name w:val="Footer Address Char"/>
    <w:link w:val="FooterAddress"/>
    <w:rsid w:val="004468FD"/>
    <w:rPr>
      <w:rFonts w:ascii="Times New Roman" w:eastAsiaTheme="minorEastAsia" w:hAnsi="Times New Roman" w:cs="Times New Roman"/>
      <w:sz w:val="24"/>
      <w:szCs w:val="24"/>
      <w:lang w:val="fr-FR" w:eastAsia="en-GB"/>
    </w:rPr>
  </w:style>
  <w:style w:type="table" w:customStyle="1" w:styleId="Tablestylegreen">
    <w:name w:val="Tablestyle_green"/>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Segoe UI Symbol" w:hAnsi="Segoe UI Symbol"/>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Segoe UI Symbol" w:hAnsi="Segoe UI Symbol"/>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Segoe UI Symbol" w:hAnsi="Segoe UI Symbo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Segoe UI Symbol" w:hAnsi="Segoe UI Symbo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paragraph" w:customStyle="1" w:styleId="JRCText">
    <w:name w:val="JRC_Text"/>
    <w:basedOn w:val="Normal"/>
    <w:autoRedefine/>
    <w:qFormat/>
    <w:rsid w:val="004468FD"/>
    <w:pPr>
      <w:spacing w:before="0" w:after="200" w:line="264" w:lineRule="auto"/>
    </w:pPr>
    <w:rPr>
      <w:rFonts w:eastAsia="Calibri"/>
      <w:szCs w:val="20"/>
    </w:rPr>
  </w:style>
  <w:style w:type="character" w:customStyle="1" w:styleId="Bodytext2Bold">
    <w:name w:val="Body text|2 + Bold"/>
    <w:semiHidden/>
    <w:unhideWhenUsed/>
    <w:rsid w:val="004468FD"/>
    <w:rPr>
      <w:rFonts w:ascii="Arial" w:eastAsia="Arial" w:hAnsi="Arial" w:cs="Arial"/>
      <w:b/>
      <w:bCs/>
      <w:i w:val="0"/>
      <w:iCs w:val="0"/>
      <w:smallCaps w:val="0"/>
      <w:strike w:val="0"/>
      <w:color w:val="000000"/>
      <w:spacing w:val="0"/>
      <w:w w:val="100"/>
      <w:position w:val="0"/>
      <w:sz w:val="20"/>
      <w:szCs w:val="20"/>
      <w:u w:val="none"/>
      <w:lang w:val="fr-FR" w:eastAsia="da-DK" w:bidi="da-DK"/>
    </w:rPr>
  </w:style>
  <w:style w:type="character" w:customStyle="1" w:styleId="Bodytext2">
    <w:name w:val="Body text|2"/>
    <w:semiHidden/>
    <w:unhideWhenUsed/>
    <w:rsid w:val="004468FD"/>
    <w:rPr>
      <w:rFonts w:ascii="Arial" w:eastAsia="Arial" w:hAnsi="Arial" w:cs="Arial"/>
      <w:b w:val="0"/>
      <w:bCs w:val="0"/>
      <w:i w:val="0"/>
      <w:iCs w:val="0"/>
      <w:smallCaps w:val="0"/>
      <w:strike w:val="0"/>
      <w:color w:val="000000"/>
      <w:spacing w:val="0"/>
      <w:w w:val="100"/>
      <w:position w:val="0"/>
      <w:sz w:val="20"/>
      <w:szCs w:val="20"/>
      <w:u w:val="none"/>
      <w:lang w:val="fr-FR" w:eastAsia="da-DK" w:bidi="da-DK"/>
    </w:rPr>
  </w:style>
  <w:style w:type="character" w:customStyle="1" w:styleId="Tablecaption2">
    <w:name w:val="Table caption|2_"/>
    <w:link w:val="Tablecaption20"/>
    <w:rsid w:val="004468FD"/>
    <w:rPr>
      <w:rFonts w:ascii="Arial" w:eastAsia="Arial" w:hAnsi="Arial" w:cs="Arial"/>
      <w:b/>
      <w:bCs/>
      <w:sz w:val="20"/>
      <w:szCs w:val="20"/>
      <w:shd w:val="clear" w:color="auto" w:fill="FFFFFF"/>
    </w:rPr>
  </w:style>
  <w:style w:type="paragraph" w:customStyle="1" w:styleId="Tablecaption20">
    <w:name w:val="Table caption|2"/>
    <w:basedOn w:val="Normal"/>
    <w:link w:val="Tablecaption2"/>
    <w:rsid w:val="004468FD"/>
    <w:pPr>
      <w:widowControl w:val="0"/>
      <w:shd w:val="clear" w:color="auto" w:fill="FFFFFF"/>
      <w:spacing w:before="0" w:after="0" w:line="224" w:lineRule="exact"/>
      <w:jc w:val="left"/>
    </w:pPr>
    <w:rPr>
      <w:rFonts w:ascii="Arial" w:eastAsia="Arial" w:hAnsi="Arial" w:cs="Arial"/>
      <w:b/>
      <w:bCs/>
      <w:sz w:val="20"/>
      <w:szCs w:val="20"/>
    </w:rPr>
  </w:style>
  <w:style w:type="character" w:customStyle="1" w:styleId="Hyperlink0">
    <w:name w:val="Hyperlink.0"/>
    <w:rsid w:val="004468FD"/>
    <w:rPr>
      <w:rFonts w:ascii="Verdana" w:eastAsia="Verdana" w:hAnsi="Verdana" w:cs="Verdana"/>
      <w:sz w:val="18"/>
      <w:szCs w:val="18"/>
      <w:lang w:val="fr-FR"/>
    </w:rPr>
  </w:style>
  <w:style w:type="character" w:customStyle="1" w:styleId="mw-headline">
    <w:name w:val="mw-headline"/>
    <w:rsid w:val="004468FD"/>
  </w:style>
  <w:style w:type="table" w:customStyle="1" w:styleId="TableGrid251">
    <w:name w:val="Table Grid251"/>
    <w:basedOn w:val="TableNormal"/>
    <w:next w:val="TableGrid"/>
    <w:uiPriority w:val="59"/>
    <w:rsid w:val="004468FD"/>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CCovertitle">
    <w:name w:val="JRC_Cover_title"/>
    <w:basedOn w:val="Normal"/>
    <w:autoRedefine/>
    <w:qFormat/>
    <w:rsid w:val="004468FD"/>
    <w:pPr>
      <w:spacing w:before="600" w:after="600" w:line="640" w:lineRule="exact"/>
      <w:ind w:left="-567"/>
      <w:jc w:val="left"/>
    </w:pPr>
    <w:rPr>
      <w:rFonts w:ascii="EC Square Sans Pro" w:eastAsia="Calibri" w:hAnsi="EC Square Sans Pro"/>
      <w:noProof/>
      <w:sz w:val="56"/>
      <w:szCs w:val="56"/>
      <w:lang w:eastAsia="en-GB"/>
    </w:rPr>
  </w:style>
  <w:style w:type="paragraph" w:customStyle="1" w:styleId="JRCLevel-2title">
    <w:name w:val="JRC_Level-2_title"/>
    <w:basedOn w:val="Heading2"/>
    <w:next w:val="JRCText"/>
    <w:autoRedefine/>
    <w:qFormat/>
    <w:rsid w:val="004468FD"/>
    <w:pPr>
      <w:keepLines/>
      <w:numPr>
        <w:ilvl w:val="0"/>
        <w:numId w:val="0"/>
      </w:numPr>
      <w:spacing w:before="240"/>
      <w:ind w:left="432" w:hanging="432"/>
    </w:pPr>
    <w:rPr>
      <w:rFonts w:ascii="EC Square Sans Pro" w:eastAsia="Times New Roman" w:hAnsi="EC Square Sans Pro"/>
      <w:iCs/>
    </w:rPr>
  </w:style>
  <w:style w:type="paragraph" w:customStyle="1" w:styleId="JRCLevel-1title">
    <w:name w:val="JRC_Level-1_title"/>
    <w:basedOn w:val="Heading1"/>
    <w:next w:val="JRCText"/>
    <w:autoRedefine/>
    <w:qFormat/>
    <w:rsid w:val="004468FD"/>
    <w:pPr>
      <w:pageBreakBefore/>
      <w:numPr>
        <w:numId w:val="18"/>
      </w:numPr>
      <w:spacing w:before="0"/>
      <w:jc w:val="left"/>
    </w:pPr>
    <w:rPr>
      <w:rFonts w:ascii="EC Square Sans Pro" w:eastAsia="Calibri" w:hAnsi="EC Square Sans Pro"/>
      <w:bCs w:val="0"/>
      <w:smallCaps w:val="0"/>
      <w:sz w:val="26"/>
      <w:szCs w:val="24"/>
    </w:rPr>
  </w:style>
  <w:style w:type="paragraph" w:customStyle="1" w:styleId="JRCLevel-4title">
    <w:name w:val="JRC_Level-4_title"/>
    <w:basedOn w:val="Normal"/>
    <w:next w:val="JRCText"/>
    <w:autoRedefine/>
    <w:qFormat/>
    <w:rsid w:val="004468FD"/>
    <w:pPr>
      <w:keepNext/>
      <w:numPr>
        <w:ilvl w:val="3"/>
        <w:numId w:val="18"/>
      </w:numPr>
      <w:spacing w:before="240"/>
      <w:jc w:val="left"/>
    </w:pPr>
    <w:rPr>
      <w:rFonts w:ascii="EC Square Sans Pro" w:eastAsia="Times New Roman" w:hAnsi="EC Square Sans Pro"/>
      <w:b/>
      <w:i/>
      <w:sz w:val="20"/>
      <w:lang w:eastAsia="en-GB"/>
    </w:rPr>
  </w:style>
  <w:style w:type="paragraph" w:customStyle="1" w:styleId="JRCLevel-5title">
    <w:name w:val="JRC_Level-5_title"/>
    <w:basedOn w:val="Normal"/>
    <w:next w:val="JRCText"/>
    <w:autoRedefine/>
    <w:qFormat/>
    <w:rsid w:val="004468FD"/>
    <w:pPr>
      <w:keepNext/>
      <w:numPr>
        <w:ilvl w:val="4"/>
        <w:numId w:val="18"/>
      </w:numPr>
      <w:spacing w:before="200" w:after="0"/>
      <w:jc w:val="left"/>
      <w:outlineLvl w:val="4"/>
    </w:pPr>
    <w:rPr>
      <w:rFonts w:ascii="EC Square Sans Pro" w:eastAsia="Times New Roman" w:hAnsi="EC Square Sans Pro"/>
      <w:sz w:val="20"/>
      <w:lang w:eastAsia="en-GB"/>
    </w:rPr>
  </w:style>
  <w:style w:type="paragraph" w:customStyle="1" w:styleId="JRCTextbulletedlist1">
    <w:name w:val="JRC_Text_bulleted_list1"/>
    <w:basedOn w:val="Normal"/>
    <w:autoRedefine/>
    <w:qFormat/>
    <w:rsid w:val="004468FD"/>
    <w:pPr>
      <w:numPr>
        <w:numId w:val="19"/>
      </w:numPr>
    </w:pPr>
    <w:rPr>
      <w:rFonts w:ascii="EC Square Sans Pro" w:eastAsia="Times New Roman" w:hAnsi="EC Square Sans Pro"/>
      <w:sz w:val="20"/>
      <w:lang w:eastAsia="en-GB"/>
    </w:rPr>
  </w:style>
  <w:style w:type="character" w:customStyle="1" w:styleId="highlight">
    <w:name w:val="highlight"/>
    <w:rsid w:val="004468FD"/>
  </w:style>
  <w:style w:type="paragraph" w:styleId="Bibliography">
    <w:name w:val="Bibliography"/>
    <w:basedOn w:val="Normal"/>
    <w:next w:val="Normal"/>
    <w:uiPriority w:val="37"/>
    <w:semiHidden/>
    <w:unhideWhenUsed/>
    <w:rsid w:val="004468FD"/>
    <w:pPr>
      <w:spacing w:before="0" w:after="200" w:line="276" w:lineRule="auto"/>
      <w:jc w:val="left"/>
    </w:pPr>
    <w:rPr>
      <w:rFonts w:ascii="Calibri" w:eastAsia="Calibri" w:hAnsi="Calibri" w:cs="Arial"/>
      <w:sz w:val="22"/>
    </w:rPr>
  </w:style>
  <w:style w:type="table" w:customStyle="1" w:styleId="Mainbidtables6">
    <w:name w:val="Main bid tables6"/>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CitaviBibliographyEntry">
    <w:name w:val="Citavi Bibliography Entry"/>
    <w:basedOn w:val="Normal"/>
    <w:link w:val="CitaviBibliographyEntryChar"/>
    <w:rsid w:val="004468FD"/>
    <w:pPr>
      <w:tabs>
        <w:tab w:val="left" w:pos="283"/>
      </w:tabs>
      <w:spacing w:before="0"/>
      <w:ind w:left="283" w:hanging="283"/>
      <w:jc w:val="left"/>
    </w:pPr>
    <w:rPr>
      <w:rFonts w:ascii="Arial" w:eastAsia="Times New Roman" w:hAnsi="Arial"/>
      <w:sz w:val="20"/>
      <w:szCs w:val="24"/>
    </w:rPr>
  </w:style>
  <w:style w:type="character" w:customStyle="1" w:styleId="CitaviBibliographyEntryChar">
    <w:name w:val="Citavi Bibliography Entry Char"/>
    <w:link w:val="CitaviBibliographyEntry"/>
    <w:rsid w:val="004468FD"/>
    <w:rPr>
      <w:rFonts w:ascii="Arial" w:eastAsia="Times New Roman" w:hAnsi="Arial" w:cs="Times New Roman"/>
      <w:sz w:val="20"/>
      <w:szCs w:val="24"/>
      <w:lang w:val="fr-FR"/>
    </w:rPr>
  </w:style>
  <w:style w:type="numbering" w:customStyle="1" w:styleId="StyleBulleted">
    <w:name w:val="Style Bulleted"/>
    <w:basedOn w:val="NoList"/>
    <w:rsid w:val="004468FD"/>
    <w:pPr>
      <w:numPr>
        <w:numId w:val="20"/>
      </w:numPr>
    </w:pPr>
  </w:style>
  <w:style w:type="paragraph" w:customStyle="1" w:styleId="Normal1">
    <w:name w:val="Normal1"/>
    <w:basedOn w:val="Normal"/>
    <w:rsid w:val="004468FD"/>
    <w:pPr>
      <w:spacing w:before="100" w:beforeAutospacing="1" w:after="100" w:afterAutospacing="1"/>
      <w:jc w:val="left"/>
    </w:pPr>
    <w:rPr>
      <w:rFonts w:eastAsia="Times New Roman"/>
      <w:szCs w:val="24"/>
      <w:lang w:eastAsia="en-GB"/>
    </w:rPr>
  </w:style>
  <w:style w:type="character" w:customStyle="1" w:styleId="footnotereference">
    <w:name w:val="footnotereference"/>
    <w:rsid w:val="004468FD"/>
  </w:style>
  <w:style w:type="paragraph" w:customStyle="1" w:styleId="font0">
    <w:name w:val="font0"/>
    <w:basedOn w:val="Normal"/>
    <w:rsid w:val="004468FD"/>
    <w:pPr>
      <w:spacing w:before="100" w:beforeAutospacing="1" w:after="100" w:afterAutospacing="1"/>
      <w:jc w:val="left"/>
    </w:pPr>
    <w:rPr>
      <w:rFonts w:ascii="Arial" w:eastAsia="Times New Roman" w:hAnsi="Arial" w:cs="Arial"/>
      <w:sz w:val="16"/>
      <w:szCs w:val="16"/>
      <w:lang w:eastAsia="en-GB"/>
    </w:rPr>
  </w:style>
  <w:style w:type="paragraph" w:customStyle="1" w:styleId="font5">
    <w:name w:val="font5"/>
    <w:basedOn w:val="Normal"/>
    <w:rsid w:val="004468FD"/>
    <w:pPr>
      <w:spacing w:before="100" w:beforeAutospacing="1" w:after="100" w:afterAutospacing="1"/>
      <w:jc w:val="left"/>
    </w:pPr>
    <w:rPr>
      <w:rFonts w:ascii="Tahoma" w:eastAsia="Times New Roman" w:hAnsi="Tahoma" w:cs="Tahoma"/>
      <w:color w:val="000000"/>
      <w:sz w:val="18"/>
      <w:szCs w:val="18"/>
      <w:lang w:eastAsia="en-GB"/>
    </w:rPr>
  </w:style>
  <w:style w:type="paragraph" w:customStyle="1" w:styleId="font6">
    <w:name w:val="font6"/>
    <w:basedOn w:val="Normal"/>
    <w:rsid w:val="004468FD"/>
    <w:pPr>
      <w:spacing w:before="100" w:beforeAutospacing="1" w:after="100" w:afterAutospacing="1"/>
      <w:jc w:val="left"/>
    </w:pPr>
    <w:rPr>
      <w:rFonts w:ascii="Tahoma" w:eastAsia="Times New Roman" w:hAnsi="Tahoma" w:cs="Tahoma"/>
      <w:b/>
      <w:bCs/>
      <w:color w:val="000000"/>
      <w:sz w:val="18"/>
      <w:szCs w:val="18"/>
      <w:lang w:eastAsia="en-GB"/>
    </w:rPr>
  </w:style>
  <w:style w:type="paragraph" w:customStyle="1" w:styleId="xl110">
    <w:name w:val="xl110"/>
    <w:basedOn w:val="Normal"/>
    <w:rsid w:val="004468FD"/>
    <w:pPr>
      <w:spacing w:before="100" w:beforeAutospacing="1" w:after="100" w:afterAutospacing="1"/>
      <w:jc w:val="left"/>
    </w:pPr>
    <w:rPr>
      <w:rFonts w:eastAsia="Times New Roman"/>
      <w:b/>
      <w:bCs/>
      <w:szCs w:val="24"/>
      <w:lang w:eastAsia="en-GB"/>
    </w:rPr>
  </w:style>
  <w:style w:type="paragraph" w:customStyle="1" w:styleId="xl111">
    <w:name w:val="xl111"/>
    <w:basedOn w:val="Normal"/>
    <w:rsid w:val="004468FD"/>
    <w:pPr>
      <w:spacing w:before="100" w:beforeAutospacing="1" w:after="100" w:afterAutospacing="1"/>
      <w:jc w:val="center"/>
    </w:pPr>
    <w:rPr>
      <w:rFonts w:eastAsia="Times New Roman"/>
      <w:szCs w:val="24"/>
      <w:lang w:eastAsia="en-GB"/>
    </w:rPr>
  </w:style>
  <w:style w:type="paragraph" w:customStyle="1" w:styleId="xl112">
    <w:name w:val="xl112"/>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13">
    <w:name w:val="xl113"/>
    <w:basedOn w:val="Normal"/>
    <w:rsid w:val="004468FD"/>
    <w:pPr>
      <w:pBdr>
        <w:bottom w:val="single" w:sz="4" w:space="0" w:color="auto"/>
      </w:pBdr>
      <w:spacing w:before="100" w:beforeAutospacing="1" w:after="100" w:afterAutospacing="1"/>
      <w:jc w:val="center"/>
    </w:pPr>
    <w:rPr>
      <w:rFonts w:eastAsia="Times New Roman"/>
      <w:szCs w:val="24"/>
      <w:lang w:eastAsia="en-GB"/>
    </w:rPr>
  </w:style>
  <w:style w:type="paragraph" w:customStyle="1" w:styleId="xl114">
    <w:name w:val="xl114"/>
    <w:basedOn w:val="Normal"/>
    <w:rsid w:val="004468FD"/>
    <w:pPr>
      <w:spacing w:before="100" w:beforeAutospacing="1" w:after="100" w:afterAutospacing="1"/>
      <w:jc w:val="left"/>
    </w:pPr>
    <w:rPr>
      <w:rFonts w:eastAsia="Times New Roman"/>
      <w:b/>
      <w:bCs/>
      <w:szCs w:val="24"/>
      <w:lang w:eastAsia="en-GB"/>
    </w:rPr>
  </w:style>
  <w:style w:type="paragraph" w:customStyle="1" w:styleId="xl115">
    <w:name w:val="xl115"/>
    <w:basedOn w:val="Normal"/>
    <w:rsid w:val="004468FD"/>
    <w:pPr>
      <w:spacing w:before="100" w:beforeAutospacing="1" w:after="100" w:afterAutospacing="1"/>
      <w:jc w:val="left"/>
    </w:pPr>
    <w:rPr>
      <w:rFonts w:eastAsia="Times New Roman"/>
      <w:b/>
      <w:bCs/>
      <w:szCs w:val="24"/>
      <w:lang w:eastAsia="en-GB"/>
    </w:rPr>
  </w:style>
  <w:style w:type="paragraph" w:customStyle="1" w:styleId="xl116">
    <w:name w:val="xl116"/>
    <w:basedOn w:val="Normal"/>
    <w:rsid w:val="004468FD"/>
    <w:pPr>
      <w:pBdr>
        <w:top w:val="single" w:sz="8"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17">
    <w:name w:val="xl117"/>
    <w:basedOn w:val="Normal"/>
    <w:rsid w:val="004468FD"/>
    <w:pPr>
      <w:pBdr>
        <w:top w:val="single" w:sz="8" w:space="0" w:color="auto"/>
      </w:pBdr>
      <w:spacing w:before="100" w:beforeAutospacing="1" w:after="100" w:afterAutospacing="1"/>
      <w:jc w:val="left"/>
    </w:pPr>
    <w:rPr>
      <w:rFonts w:eastAsia="Times New Roman"/>
      <w:szCs w:val="24"/>
      <w:lang w:eastAsia="en-GB"/>
    </w:rPr>
  </w:style>
  <w:style w:type="paragraph" w:customStyle="1" w:styleId="xl118">
    <w:name w:val="xl118"/>
    <w:basedOn w:val="Normal"/>
    <w:rsid w:val="004468FD"/>
    <w:pPr>
      <w:pBdr>
        <w:top w:val="single" w:sz="8" w:space="0" w:color="auto"/>
        <w:right w:val="single" w:sz="8" w:space="0" w:color="auto"/>
      </w:pBdr>
      <w:spacing w:before="100" w:beforeAutospacing="1" w:after="100" w:afterAutospacing="1"/>
      <w:jc w:val="left"/>
    </w:pPr>
    <w:rPr>
      <w:rFonts w:eastAsia="Times New Roman"/>
      <w:szCs w:val="24"/>
      <w:lang w:eastAsia="en-GB"/>
    </w:rPr>
  </w:style>
  <w:style w:type="paragraph" w:customStyle="1" w:styleId="xl119">
    <w:name w:val="xl119"/>
    <w:basedOn w:val="Normal"/>
    <w:rsid w:val="004468FD"/>
    <w:pPr>
      <w:pBdr>
        <w:top w:val="single" w:sz="4" w:space="0" w:color="auto"/>
        <w:left w:val="single" w:sz="8" w:space="0" w:color="auto"/>
        <w:right w:val="single" w:sz="4" w:space="0" w:color="auto"/>
      </w:pBdr>
      <w:spacing w:before="100" w:beforeAutospacing="1" w:after="100" w:afterAutospacing="1"/>
      <w:jc w:val="center"/>
    </w:pPr>
    <w:rPr>
      <w:rFonts w:eastAsia="Times New Roman"/>
      <w:b/>
      <w:bCs/>
      <w:szCs w:val="24"/>
      <w:lang w:eastAsia="en-GB"/>
    </w:rPr>
  </w:style>
  <w:style w:type="paragraph" w:customStyle="1" w:styleId="xl120">
    <w:name w:val="xl120"/>
    <w:basedOn w:val="Normal"/>
    <w:rsid w:val="004468FD"/>
    <w:pPr>
      <w:pBdr>
        <w:top w:val="single" w:sz="4" w:space="0" w:color="auto"/>
        <w:bottom w:val="single" w:sz="8" w:space="0" w:color="auto"/>
      </w:pBdr>
      <w:spacing w:before="100" w:beforeAutospacing="1" w:after="100" w:afterAutospacing="1"/>
      <w:jc w:val="center"/>
    </w:pPr>
    <w:rPr>
      <w:rFonts w:eastAsia="Times New Roman"/>
      <w:szCs w:val="24"/>
      <w:lang w:eastAsia="en-GB"/>
    </w:rPr>
  </w:style>
  <w:style w:type="paragraph" w:customStyle="1" w:styleId="xl121">
    <w:name w:val="xl121"/>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22">
    <w:name w:val="xl122"/>
    <w:basedOn w:val="Normal"/>
    <w:rsid w:val="004468FD"/>
    <w:pPr>
      <w:pBdr>
        <w:top w:val="single" w:sz="4" w:space="0" w:color="auto"/>
        <w:left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3">
    <w:name w:val="xl123"/>
    <w:basedOn w:val="Normal"/>
    <w:rsid w:val="004468FD"/>
    <w:pPr>
      <w:pBdr>
        <w:top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4">
    <w:name w:val="xl124"/>
    <w:basedOn w:val="Normal"/>
    <w:rsid w:val="004468FD"/>
    <w:pPr>
      <w:pBdr>
        <w:top w:val="single" w:sz="4" w:space="0" w:color="auto"/>
        <w:right w:val="single" w:sz="8"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5">
    <w:name w:val="xl125"/>
    <w:basedOn w:val="Normal"/>
    <w:rsid w:val="004468FD"/>
    <w:pPr>
      <w:pBdr>
        <w:top w:val="single" w:sz="4" w:space="0" w:color="auto"/>
        <w:right w:val="single" w:sz="4"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6">
    <w:name w:val="xl126"/>
    <w:basedOn w:val="Normal"/>
    <w:rsid w:val="004468FD"/>
    <w:pPr>
      <w:pBdr>
        <w:right w:val="single" w:sz="4"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7">
    <w:name w:val="xl127"/>
    <w:basedOn w:val="Normal"/>
    <w:rsid w:val="004468FD"/>
    <w:pPr>
      <w:pBdr>
        <w:right w:val="single" w:sz="8"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8">
    <w:name w:val="xl128"/>
    <w:basedOn w:val="Normal"/>
    <w:rsid w:val="004468FD"/>
    <w:pPr>
      <w:pBdr>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9">
    <w:name w:val="xl129"/>
    <w:basedOn w:val="Normal"/>
    <w:rsid w:val="004468FD"/>
    <w:pPr>
      <w:pBdr>
        <w:top w:val="single" w:sz="4" w:space="0" w:color="auto"/>
      </w:pBdr>
      <w:spacing w:before="100" w:beforeAutospacing="1" w:after="100" w:afterAutospacing="1"/>
      <w:jc w:val="center"/>
    </w:pPr>
    <w:rPr>
      <w:rFonts w:eastAsia="Times New Roman"/>
      <w:szCs w:val="24"/>
      <w:lang w:eastAsia="en-GB"/>
    </w:rPr>
  </w:style>
  <w:style w:type="paragraph" w:customStyle="1" w:styleId="xl130">
    <w:name w:val="xl130"/>
    <w:basedOn w:val="Normal"/>
    <w:rsid w:val="004468FD"/>
    <w:pPr>
      <w:pBdr>
        <w:top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1">
    <w:name w:val="xl131"/>
    <w:basedOn w:val="Normal"/>
    <w:rsid w:val="004468FD"/>
    <w:pPr>
      <w:spacing w:before="100" w:beforeAutospacing="1" w:after="100" w:afterAutospacing="1"/>
      <w:jc w:val="center"/>
      <w:textAlignment w:val="top"/>
    </w:pPr>
    <w:rPr>
      <w:rFonts w:eastAsia="Times New Roman"/>
      <w:szCs w:val="24"/>
      <w:lang w:eastAsia="en-GB"/>
    </w:rPr>
  </w:style>
  <w:style w:type="paragraph" w:customStyle="1" w:styleId="xl132">
    <w:name w:val="xl132"/>
    <w:basedOn w:val="Normal"/>
    <w:rsid w:val="004468FD"/>
    <w:pPr>
      <w:pBdr>
        <w:bottom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3">
    <w:name w:val="xl133"/>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4">
    <w:name w:val="xl134"/>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5">
    <w:name w:val="xl135"/>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6">
    <w:name w:val="xl136"/>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37">
    <w:name w:val="xl137"/>
    <w:basedOn w:val="Normal"/>
    <w:rsid w:val="004468FD"/>
    <w:pPr>
      <w:pBdr>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8">
    <w:name w:val="xl138"/>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139">
    <w:name w:val="xl139"/>
    <w:basedOn w:val="Normal"/>
    <w:rsid w:val="004468FD"/>
    <w:pPr>
      <w:pBdr>
        <w:top w:val="single" w:sz="8"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40">
    <w:name w:val="xl140"/>
    <w:basedOn w:val="Normal"/>
    <w:rsid w:val="004468FD"/>
    <w:pPr>
      <w:pBdr>
        <w:top w:val="single" w:sz="8" w:space="0" w:color="auto"/>
      </w:pBdr>
      <w:spacing w:before="100" w:beforeAutospacing="1" w:after="100" w:afterAutospacing="1"/>
      <w:jc w:val="center"/>
    </w:pPr>
    <w:rPr>
      <w:rFonts w:eastAsia="Times New Roman"/>
      <w:szCs w:val="24"/>
      <w:lang w:eastAsia="en-GB"/>
    </w:rPr>
  </w:style>
  <w:style w:type="paragraph" w:customStyle="1" w:styleId="xl141">
    <w:name w:val="xl141"/>
    <w:basedOn w:val="Normal"/>
    <w:rsid w:val="004468FD"/>
    <w:pPr>
      <w:pBdr>
        <w:left w:val="single" w:sz="8" w:space="0" w:color="auto"/>
      </w:pBdr>
      <w:spacing w:before="100" w:beforeAutospacing="1" w:after="100" w:afterAutospacing="1"/>
      <w:jc w:val="left"/>
    </w:pPr>
    <w:rPr>
      <w:rFonts w:eastAsia="Times New Roman"/>
      <w:b/>
      <w:bCs/>
      <w:szCs w:val="24"/>
      <w:lang w:eastAsia="en-GB"/>
    </w:rPr>
  </w:style>
  <w:style w:type="paragraph" w:customStyle="1" w:styleId="xl142">
    <w:name w:val="xl142"/>
    <w:basedOn w:val="Normal"/>
    <w:rsid w:val="004468FD"/>
    <w:pPr>
      <w:pBdr>
        <w:top w:val="single" w:sz="4"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43">
    <w:name w:val="xl143"/>
    <w:basedOn w:val="Normal"/>
    <w:rsid w:val="004468FD"/>
    <w:pPr>
      <w:pBdr>
        <w:top w:val="single" w:sz="4" w:space="0" w:color="auto"/>
        <w:left w:val="single" w:sz="8" w:space="0" w:color="auto"/>
      </w:pBdr>
      <w:spacing w:before="100" w:beforeAutospacing="1" w:after="100" w:afterAutospacing="1"/>
      <w:jc w:val="left"/>
      <w:textAlignment w:val="top"/>
    </w:pPr>
    <w:rPr>
      <w:rFonts w:eastAsia="Times New Roman"/>
      <w:b/>
      <w:bCs/>
      <w:szCs w:val="24"/>
      <w:lang w:eastAsia="en-GB"/>
    </w:rPr>
  </w:style>
  <w:style w:type="paragraph" w:customStyle="1" w:styleId="xl144">
    <w:name w:val="xl144"/>
    <w:basedOn w:val="Normal"/>
    <w:rsid w:val="004468FD"/>
    <w:pPr>
      <w:pBdr>
        <w:left w:val="single" w:sz="8" w:space="0" w:color="auto"/>
      </w:pBdr>
      <w:spacing w:before="100" w:beforeAutospacing="1" w:after="100" w:afterAutospacing="1"/>
      <w:jc w:val="left"/>
      <w:textAlignment w:val="top"/>
    </w:pPr>
    <w:rPr>
      <w:rFonts w:eastAsia="Times New Roman"/>
      <w:b/>
      <w:bCs/>
      <w:szCs w:val="24"/>
      <w:lang w:eastAsia="en-GB"/>
    </w:rPr>
  </w:style>
  <w:style w:type="paragraph" w:customStyle="1" w:styleId="xl145">
    <w:name w:val="xl145"/>
    <w:basedOn w:val="Normal"/>
    <w:rsid w:val="004468FD"/>
    <w:pPr>
      <w:pBdr>
        <w:left w:val="single" w:sz="8" w:space="0" w:color="auto"/>
        <w:bottom w:val="single" w:sz="4" w:space="0" w:color="auto"/>
      </w:pBdr>
      <w:spacing w:before="100" w:beforeAutospacing="1" w:after="100" w:afterAutospacing="1"/>
      <w:jc w:val="left"/>
      <w:textAlignment w:val="top"/>
    </w:pPr>
    <w:rPr>
      <w:rFonts w:eastAsia="Times New Roman"/>
      <w:b/>
      <w:bCs/>
      <w:szCs w:val="24"/>
      <w:lang w:eastAsia="en-GB"/>
    </w:rPr>
  </w:style>
  <w:style w:type="paragraph" w:customStyle="1" w:styleId="xl146">
    <w:name w:val="xl146"/>
    <w:basedOn w:val="Normal"/>
    <w:rsid w:val="004468FD"/>
    <w:pPr>
      <w:pBdr>
        <w:left w:val="single" w:sz="8" w:space="0" w:color="auto"/>
        <w:bottom w:val="single" w:sz="8" w:space="0" w:color="auto"/>
      </w:pBdr>
      <w:spacing w:before="100" w:beforeAutospacing="1" w:after="100" w:afterAutospacing="1"/>
      <w:jc w:val="left"/>
    </w:pPr>
    <w:rPr>
      <w:rFonts w:eastAsia="Times New Roman"/>
      <w:b/>
      <w:bCs/>
      <w:szCs w:val="24"/>
      <w:lang w:eastAsia="en-GB"/>
    </w:rPr>
  </w:style>
  <w:style w:type="paragraph" w:customStyle="1" w:styleId="xl147">
    <w:name w:val="xl147"/>
    <w:basedOn w:val="Normal"/>
    <w:rsid w:val="004468F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Cs w:val="24"/>
      <w:lang w:eastAsia="en-GB"/>
    </w:rPr>
  </w:style>
  <w:style w:type="paragraph" w:customStyle="1" w:styleId="xl148">
    <w:name w:val="xl148"/>
    <w:basedOn w:val="Normal"/>
    <w:rsid w:val="004468FD"/>
    <w:pPr>
      <w:pBdr>
        <w:top w:val="single" w:sz="4" w:space="0" w:color="auto"/>
        <w:left w:val="single" w:sz="4" w:space="0" w:color="auto"/>
        <w:right w:val="single" w:sz="8" w:space="0" w:color="auto"/>
      </w:pBdr>
      <w:spacing w:before="100" w:beforeAutospacing="1" w:after="100" w:afterAutospacing="1"/>
      <w:jc w:val="center"/>
    </w:pPr>
    <w:rPr>
      <w:rFonts w:eastAsia="Times New Roman"/>
      <w:b/>
      <w:bCs/>
      <w:szCs w:val="24"/>
      <w:lang w:eastAsia="en-GB"/>
    </w:rPr>
  </w:style>
  <w:style w:type="paragraph" w:customStyle="1" w:styleId="xl149">
    <w:name w:val="xl149"/>
    <w:basedOn w:val="Normal"/>
    <w:rsid w:val="004468FD"/>
    <w:pPr>
      <w:pBdr>
        <w:top w:val="single" w:sz="8" w:space="0" w:color="auto"/>
        <w:left w:val="single" w:sz="8"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50">
    <w:name w:val="xl150"/>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51">
    <w:name w:val="xl151"/>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52">
    <w:name w:val="xl152"/>
    <w:basedOn w:val="Normal"/>
    <w:rsid w:val="004468FD"/>
    <w:pPr>
      <w:pBdr>
        <w:left w:val="single" w:sz="8" w:space="0" w:color="auto"/>
        <w:bottom w:val="single" w:sz="4" w:space="0" w:color="auto"/>
      </w:pBdr>
      <w:spacing w:before="100" w:beforeAutospacing="1" w:after="100" w:afterAutospacing="1"/>
      <w:jc w:val="left"/>
    </w:pPr>
    <w:rPr>
      <w:rFonts w:eastAsia="Times New Roman"/>
      <w:b/>
      <w:bCs/>
      <w:szCs w:val="24"/>
      <w:lang w:eastAsia="en-GB"/>
    </w:rPr>
  </w:style>
  <w:style w:type="paragraph" w:customStyle="1" w:styleId="xl153">
    <w:name w:val="xl153"/>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54">
    <w:name w:val="xl154"/>
    <w:basedOn w:val="Normal"/>
    <w:rsid w:val="004468FD"/>
    <w:pPr>
      <w:pBdr>
        <w:top w:val="single" w:sz="8" w:space="0" w:color="auto"/>
        <w:left w:val="single" w:sz="8" w:space="0" w:color="auto"/>
        <w:bottom w:val="single" w:sz="4" w:space="0" w:color="auto"/>
      </w:pBdr>
      <w:spacing w:before="100" w:beforeAutospacing="1" w:after="100" w:afterAutospacing="1"/>
      <w:jc w:val="center"/>
    </w:pPr>
    <w:rPr>
      <w:rFonts w:eastAsia="Times New Roman"/>
      <w:b/>
      <w:bCs/>
      <w:szCs w:val="24"/>
      <w:lang w:eastAsia="en-GB"/>
    </w:rPr>
  </w:style>
  <w:style w:type="paragraph" w:customStyle="1" w:styleId="xl155">
    <w:name w:val="xl155"/>
    <w:basedOn w:val="Normal"/>
    <w:rsid w:val="004468FD"/>
    <w:pPr>
      <w:pBdr>
        <w:top w:val="single" w:sz="8" w:space="0" w:color="auto"/>
        <w:bottom w:val="single" w:sz="4" w:space="0" w:color="auto"/>
      </w:pBdr>
      <w:spacing w:before="100" w:beforeAutospacing="1" w:after="100" w:afterAutospacing="1"/>
      <w:jc w:val="center"/>
    </w:pPr>
    <w:rPr>
      <w:rFonts w:eastAsia="Times New Roman"/>
      <w:b/>
      <w:bCs/>
      <w:szCs w:val="24"/>
      <w:lang w:eastAsia="en-GB"/>
    </w:rPr>
  </w:style>
  <w:style w:type="paragraph" w:customStyle="1" w:styleId="xl156">
    <w:name w:val="xl156"/>
    <w:basedOn w:val="Normal"/>
    <w:rsid w:val="004468FD"/>
    <w:pPr>
      <w:pBdr>
        <w:top w:val="single" w:sz="8" w:space="0" w:color="auto"/>
        <w:bottom w:val="single" w:sz="4" w:space="0" w:color="auto"/>
        <w:right w:val="single" w:sz="8" w:space="0" w:color="auto"/>
      </w:pBdr>
      <w:spacing w:before="100" w:beforeAutospacing="1" w:after="100" w:afterAutospacing="1"/>
      <w:jc w:val="center"/>
    </w:pPr>
    <w:rPr>
      <w:rFonts w:eastAsia="Times New Roman"/>
      <w:b/>
      <w:bCs/>
      <w:szCs w:val="24"/>
      <w:lang w:eastAsia="en-GB"/>
    </w:rPr>
  </w:style>
  <w:style w:type="paragraph" w:customStyle="1" w:styleId="xl157">
    <w:name w:val="xl157"/>
    <w:basedOn w:val="Normal"/>
    <w:rsid w:val="004468FD"/>
    <w:pPr>
      <w:pBdr>
        <w:left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58">
    <w:name w:val="xl158"/>
    <w:basedOn w:val="Normal"/>
    <w:rsid w:val="004468FD"/>
    <w:pPr>
      <w:pBdr>
        <w:top w:val="single" w:sz="4" w:space="0" w:color="auto"/>
        <w:left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159">
    <w:name w:val="xl159"/>
    <w:basedOn w:val="Normal"/>
    <w:rsid w:val="004468FD"/>
    <w:pPr>
      <w:pBdr>
        <w:top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160">
    <w:name w:val="xl160"/>
    <w:basedOn w:val="Normal"/>
    <w:rsid w:val="004468FD"/>
    <w:pPr>
      <w:pBdr>
        <w:top w:val="single" w:sz="4" w:space="0" w:color="auto"/>
        <w:left w:val="single" w:sz="8" w:space="0" w:color="auto"/>
        <w:bottom w:val="single" w:sz="4" w:space="0" w:color="auto"/>
      </w:pBdr>
      <w:spacing w:before="100" w:beforeAutospacing="1" w:after="100" w:afterAutospacing="1"/>
      <w:jc w:val="left"/>
    </w:pPr>
    <w:rPr>
      <w:rFonts w:eastAsia="Times New Roman"/>
      <w:b/>
      <w:bCs/>
      <w:szCs w:val="24"/>
      <w:lang w:eastAsia="en-GB"/>
    </w:rPr>
  </w:style>
  <w:style w:type="paragraph" w:customStyle="1" w:styleId="xl161">
    <w:name w:val="xl161"/>
    <w:basedOn w:val="Normal"/>
    <w:rsid w:val="004468FD"/>
    <w:pPr>
      <w:pBdr>
        <w:top w:val="single" w:sz="4" w:space="0" w:color="auto"/>
        <w:left w:val="single" w:sz="8" w:space="0" w:color="auto"/>
        <w:bottom w:val="single" w:sz="8" w:space="0" w:color="auto"/>
      </w:pBdr>
      <w:spacing w:before="100" w:beforeAutospacing="1" w:after="100" w:afterAutospacing="1"/>
      <w:jc w:val="left"/>
    </w:pPr>
    <w:rPr>
      <w:rFonts w:eastAsia="Times New Roman"/>
      <w:b/>
      <w:bCs/>
      <w:szCs w:val="24"/>
      <w:lang w:eastAsia="en-GB"/>
    </w:rPr>
  </w:style>
  <w:style w:type="paragraph" w:customStyle="1" w:styleId="xl162">
    <w:name w:val="xl162"/>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3">
    <w:name w:val="xl163"/>
    <w:basedOn w:val="Normal"/>
    <w:rsid w:val="004468FD"/>
    <w:pPr>
      <w:pBdr>
        <w:top w:val="single" w:sz="8" w:space="0" w:color="auto"/>
        <w:left w:val="single" w:sz="8" w:space="0" w:color="auto"/>
        <w:bottom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4">
    <w:name w:val="xl164"/>
    <w:basedOn w:val="Normal"/>
    <w:rsid w:val="004468FD"/>
    <w:pPr>
      <w:pBdr>
        <w:top w:val="single" w:sz="8" w:space="0" w:color="auto"/>
        <w:bottom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5">
    <w:name w:val="xl165"/>
    <w:basedOn w:val="Normal"/>
    <w:rsid w:val="004468FD"/>
    <w:pPr>
      <w:pBdr>
        <w:top w:val="single" w:sz="8" w:space="0" w:color="auto"/>
        <w:bottom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6">
    <w:name w:val="xl166"/>
    <w:basedOn w:val="Normal"/>
    <w:rsid w:val="004468FD"/>
    <w:pPr>
      <w:pBdr>
        <w:top w:val="single" w:sz="4" w:space="0" w:color="auto"/>
        <w:left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67">
    <w:name w:val="xl167"/>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168">
    <w:name w:val="xl168"/>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69">
    <w:name w:val="xl169"/>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0">
    <w:name w:val="xl170"/>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71">
    <w:name w:val="xl171"/>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2">
    <w:name w:val="xl172"/>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3">
    <w:name w:val="xl173"/>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4">
    <w:name w:val="xl174"/>
    <w:basedOn w:val="Normal"/>
    <w:rsid w:val="004468FD"/>
    <w:pPr>
      <w:pBdr>
        <w:left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75">
    <w:name w:val="xl175"/>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6">
    <w:name w:val="xl176"/>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7">
    <w:name w:val="xl177"/>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8">
    <w:name w:val="xl178"/>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79">
    <w:name w:val="xl179"/>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80">
    <w:name w:val="xl180"/>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81">
    <w:name w:val="xl181"/>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82">
    <w:name w:val="xl182"/>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en-GB"/>
    </w:rPr>
  </w:style>
  <w:style w:type="paragraph" w:customStyle="1" w:styleId="xl183">
    <w:name w:val="xl183"/>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84">
    <w:name w:val="xl18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5">
    <w:name w:val="xl185"/>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6">
    <w:name w:val="xl186"/>
    <w:basedOn w:val="Normal"/>
    <w:rsid w:val="004468FD"/>
    <w:pPr>
      <w:pBdr>
        <w:top w:val="single" w:sz="8" w:space="0" w:color="auto"/>
        <w:left w:val="single" w:sz="8"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87">
    <w:name w:val="xl187"/>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88">
    <w:name w:val="xl188"/>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9">
    <w:name w:val="xl189"/>
    <w:basedOn w:val="Normal"/>
    <w:rsid w:val="004468FD"/>
    <w:pPr>
      <w:pBdr>
        <w:top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0">
    <w:name w:val="xl190"/>
    <w:basedOn w:val="Normal"/>
    <w:rsid w:val="004468FD"/>
    <w:pPr>
      <w:pBdr>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1">
    <w:name w:val="xl191"/>
    <w:basedOn w:val="Normal"/>
    <w:rsid w:val="004468FD"/>
    <w:pPr>
      <w:pBdr>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2">
    <w:name w:val="xl192"/>
    <w:basedOn w:val="Normal"/>
    <w:rsid w:val="004468FD"/>
    <w:pPr>
      <w:pBdr>
        <w:top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93">
    <w:name w:val="xl193"/>
    <w:basedOn w:val="Normal"/>
    <w:rsid w:val="004468FD"/>
    <w:pPr>
      <w:pBdr>
        <w:right w:val="single" w:sz="4" w:space="0" w:color="auto"/>
      </w:pBdr>
      <w:spacing w:before="100" w:beforeAutospacing="1" w:after="100" w:afterAutospacing="1"/>
      <w:jc w:val="center"/>
    </w:pPr>
    <w:rPr>
      <w:rFonts w:eastAsia="Times New Roman"/>
      <w:szCs w:val="24"/>
      <w:lang w:eastAsia="en-GB"/>
    </w:rPr>
  </w:style>
  <w:style w:type="paragraph" w:customStyle="1" w:styleId="xl194">
    <w:name w:val="xl194"/>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95">
    <w:name w:val="xl195"/>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196">
    <w:name w:val="xl196"/>
    <w:basedOn w:val="Normal"/>
    <w:rsid w:val="004468FD"/>
    <w:pPr>
      <w:pBdr>
        <w:top w:val="single" w:sz="4" w:space="0" w:color="auto"/>
        <w:left w:val="single" w:sz="4" w:space="0" w:color="auto"/>
        <w:bottom w:val="single" w:sz="4" w:space="0" w:color="auto"/>
      </w:pBdr>
      <w:spacing w:before="100" w:beforeAutospacing="1" w:after="100" w:afterAutospacing="1"/>
      <w:jc w:val="left"/>
    </w:pPr>
    <w:rPr>
      <w:rFonts w:eastAsia="Times New Roman"/>
      <w:i/>
      <w:iCs/>
      <w:szCs w:val="24"/>
      <w:lang w:eastAsia="en-GB"/>
    </w:rPr>
  </w:style>
  <w:style w:type="paragraph" w:customStyle="1" w:styleId="xl197">
    <w:name w:val="xl197"/>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98">
    <w:name w:val="xl198"/>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99">
    <w:name w:val="xl199"/>
    <w:basedOn w:val="Normal"/>
    <w:rsid w:val="004468FD"/>
    <w:pPr>
      <w:spacing w:before="100" w:beforeAutospacing="1" w:after="100" w:afterAutospacing="1"/>
      <w:jc w:val="center"/>
      <w:textAlignment w:val="center"/>
    </w:pPr>
    <w:rPr>
      <w:rFonts w:eastAsia="Times New Roman"/>
      <w:szCs w:val="24"/>
      <w:lang w:eastAsia="en-GB"/>
    </w:rPr>
  </w:style>
  <w:style w:type="paragraph" w:customStyle="1" w:styleId="xl200">
    <w:name w:val="xl200"/>
    <w:basedOn w:val="Normal"/>
    <w:rsid w:val="004468FD"/>
    <w:pPr>
      <w:pBdr>
        <w:left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201">
    <w:name w:val="xl201"/>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2">
    <w:name w:val="xl202"/>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203">
    <w:name w:val="xl203"/>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204">
    <w:name w:val="xl20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05">
    <w:name w:val="xl205"/>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6">
    <w:name w:val="xl206"/>
    <w:basedOn w:val="Normal"/>
    <w:rsid w:val="004468FD"/>
    <w:pPr>
      <w:pBdr>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07">
    <w:name w:val="xl207"/>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08">
    <w:name w:val="xl208"/>
    <w:basedOn w:val="Normal"/>
    <w:rsid w:val="004468FD"/>
    <w:pPr>
      <w:pBdr>
        <w:top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9">
    <w:name w:val="xl209"/>
    <w:basedOn w:val="Normal"/>
    <w:rsid w:val="004468FD"/>
    <w:pPr>
      <w:pBdr>
        <w:left w:val="single" w:sz="4" w:space="0" w:color="auto"/>
        <w:bottom w:val="single" w:sz="8" w:space="0" w:color="auto"/>
      </w:pBdr>
      <w:spacing w:before="100" w:beforeAutospacing="1" w:after="100" w:afterAutospacing="1"/>
      <w:jc w:val="left"/>
    </w:pPr>
    <w:rPr>
      <w:rFonts w:eastAsia="Times New Roman"/>
      <w:i/>
      <w:iCs/>
      <w:szCs w:val="24"/>
      <w:lang w:eastAsia="en-GB"/>
    </w:rPr>
  </w:style>
  <w:style w:type="paragraph" w:customStyle="1" w:styleId="xl210">
    <w:name w:val="xl210"/>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211">
    <w:name w:val="xl211"/>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212">
    <w:name w:val="xl212"/>
    <w:basedOn w:val="Normal"/>
    <w:rsid w:val="004468FD"/>
    <w:pPr>
      <w:pBdr>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13">
    <w:name w:val="xl213"/>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14">
    <w:name w:val="xl21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15">
    <w:name w:val="xl215"/>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216">
    <w:name w:val="xl216"/>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7">
    <w:name w:val="xl217"/>
    <w:basedOn w:val="Normal"/>
    <w:rsid w:val="004468FD"/>
    <w:pPr>
      <w:pBdr>
        <w:top w:val="single" w:sz="8" w:space="0" w:color="auto"/>
        <w:left w:val="single" w:sz="4" w:space="0" w:color="auto"/>
        <w:bottom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8">
    <w:name w:val="xl218"/>
    <w:basedOn w:val="Normal"/>
    <w:rsid w:val="004468FD"/>
    <w:pPr>
      <w:pBdr>
        <w:top w:val="single" w:sz="8" w:space="0" w:color="auto"/>
        <w:left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9">
    <w:name w:val="xl219"/>
    <w:basedOn w:val="Normal"/>
    <w:rsid w:val="004468FD"/>
    <w:pPr>
      <w:pBdr>
        <w:top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0">
    <w:name w:val="xl220"/>
    <w:basedOn w:val="Normal"/>
    <w:rsid w:val="004468FD"/>
    <w:pPr>
      <w:pBdr>
        <w:top w:val="single" w:sz="8"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1">
    <w:name w:val="xl221"/>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22">
    <w:name w:val="xl222"/>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3">
    <w:name w:val="xl223"/>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4">
    <w:name w:val="xl224"/>
    <w:basedOn w:val="Normal"/>
    <w:rsid w:val="004468F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LegalNumPar">
    <w:name w:val="LegalNumPar"/>
    <w:basedOn w:val="Normal"/>
    <w:rsid w:val="004468FD"/>
    <w:pPr>
      <w:spacing w:before="0" w:after="200" w:line="360" w:lineRule="auto"/>
      <w:ind w:left="476" w:hanging="476"/>
      <w:jc w:val="left"/>
    </w:pPr>
    <w:rPr>
      <w:rFonts w:ascii="Calibri" w:eastAsia="Calibri" w:hAnsi="Calibri" w:cs="Arial"/>
    </w:rPr>
  </w:style>
  <w:style w:type="paragraph" w:customStyle="1" w:styleId="LegalNumPar2">
    <w:name w:val="LegalNumPar2"/>
    <w:basedOn w:val="Normal"/>
    <w:rsid w:val="004468FD"/>
    <w:pPr>
      <w:spacing w:before="0" w:after="200" w:line="360" w:lineRule="auto"/>
      <w:ind w:left="953" w:hanging="477"/>
      <w:jc w:val="left"/>
    </w:pPr>
    <w:rPr>
      <w:rFonts w:ascii="Calibri" w:eastAsia="Calibri" w:hAnsi="Calibri" w:cs="Arial"/>
    </w:rPr>
  </w:style>
  <w:style w:type="paragraph" w:customStyle="1" w:styleId="LegalNumPar3">
    <w:name w:val="LegalNumPar3"/>
    <w:basedOn w:val="Normal"/>
    <w:rsid w:val="004468FD"/>
    <w:pPr>
      <w:spacing w:before="0" w:after="200" w:line="360" w:lineRule="auto"/>
      <w:ind w:left="1429" w:hanging="476"/>
      <w:jc w:val="left"/>
    </w:pPr>
    <w:rPr>
      <w:rFonts w:ascii="Calibri" w:eastAsia="Calibri" w:hAnsi="Calibri" w:cs="Arial"/>
    </w:rPr>
  </w:style>
  <w:style w:type="paragraph" w:customStyle="1" w:styleId="TableText">
    <w:name w:val="TableText"/>
    <w:aliases w:val="TableTextNoSpace"/>
    <w:basedOn w:val="Normal"/>
    <w:uiPriority w:val="31"/>
    <w:qFormat/>
    <w:rsid w:val="004468FD"/>
    <w:pPr>
      <w:spacing w:after="0"/>
      <w:ind w:left="113"/>
      <w:jc w:val="left"/>
    </w:pPr>
    <w:rPr>
      <w:rFonts w:ascii="Verdana" w:eastAsia="Calibri" w:hAnsi="Verdana" w:cs="Arial"/>
      <w:color w:val="000000"/>
      <w:sz w:val="20"/>
    </w:rPr>
  </w:style>
  <w:style w:type="numbering" w:customStyle="1" w:styleId="NumblistTables">
    <w:name w:val="Numblist Tables"/>
    <w:uiPriority w:val="99"/>
    <w:rsid w:val="004468FD"/>
    <w:pPr>
      <w:numPr>
        <w:numId w:val="21"/>
      </w:numPr>
    </w:pPr>
  </w:style>
  <w:style w:type="table" w:styleId="TableElegant">
    <w:name w:val="Table Elegant"/>
    <w:basedOn w:val="TableNormal"/>
    <w:rsid w:val="004468FD"/>
    <w:pPr>
      <w:spacing w:after="240" w:line="240" w:lineRule="auto"/>
      <w:jc w:val="both"/>
    </w:pPr>
    <w:rPr>
      <w:rFonts w:ascii="Times New Roman" w:eastAsia="Times New Roman" w:hAnsi="Times New Roman"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Heading">
    <w:name w:val="TableHeading"/>
    <w:aliases w:val="TableHeadingWhite"/>
    <w:basedOn w:val="Normal"/>
    <w:uiPriority w:val="30"/>
    <w:qFormat/>
    <w:rsid w:val="004468FD"/>
    <w:pPr>
      <w:spacing w:after="0"/>
      <w:ind w:left="113"/>
      <w:jc w:val="left"/>
    </w:pPr>
    <w:rPr>
      <w:rFonts w:ascii="Verdana" w:eastAsia="Calibri" w:hAnsi="Verdana" w:cs="Arial"/>
      <w:b/>
      <w:color w:val="FFFFFF"/>
      <w:sz w:val="20"/>
    </w:rPr>
  </w:style>
  <w:style w:type="character" w:customStyle="1" w:styleId="TableChar">
    <w:name w:val="Table Char"/>
    <w:uiPriority w:val="29"/>
    <w:rsid w:val="004468FD"/>
    <w:rPr>
      <w:rFonts w:ascii="Verdana" w:eastAsia="Times New Roman" w:hAnsi="Verdana" w:cs="Times New Roman"/>
      <w:bCs/>
      <w:i/>
      <w:szCs w:val="22"/>
      <w:lang w:val="fr-FR" w:eastAsia="en-US"/>
    </w:rPr>
  </w:style>
  <w:style w:type="numbering" w:customStyle="1" w:styleId="NumbListFigures">
    <w:name w:val="NumbList Figures"/>
    <w:uiPriority w:val="99"/>
    <w:rsid w:val="004468FD"/>
    <w:pPr>
      <w:numPr>
        <w:numId w:val="23"/>
      </w:numPr>
    </w:pPr>
  </w:style>
  <w:style w:type="paragraph" w:customStyle="1" w:styleId="FigureTitle">
    <w:name w:val="Figure Title"/>
    <w:basedOn w:val="Normal"/>
    <w:uiPriority w:val="29"/>
    <w:qFormat/>
    <w:rsid w:val="004468FD"/>
    <w:pPr>
      <w:keepNext/>
      <w:keepLines/>
      <w:tabs>
        <w:tab w:val="num" w:pos="1077"/>
      </w:tabs>
      <w:ind w:left="1077" w:hanging="1077"/>
      <w:jc w:val="left"/>
      <w:outlineLvl w:val="2"/>
    </w:pPr>
    <w:rPr>
      <w:rFonts w:ascii="Verdana" w:eastAsia="Times New Roman" w:hAnsi="Verdana"/>
      <w:bCs/>
      <w:i/>
      <w:sz w:val="20"/>
    </w:rPr>
  </w:style>
  <w:style w:type="numbering" w:customStyle="1" w:styleId="NumbListFigure">
    <w:name w:val="NumbList Figure"/>
    <w:uiPriority w:val="99"/>
    <w:rsid w:val="004468FD"/>
    <w:pPr>
      <w:numPr>
        <w:numId w:val="22"/>
      </w:numPr>
    </w:pPr>
  </w:style>
  <w:style w:type="table" w:styleId="GridTable5Dark-Accent1">
    <w:name w:val="Grid Table 5 Dark Accent 1"/>
    <w:basedOn w:val="TableNormal"/>
    <w:uiPriority w:val="50"/>
    <w:rsid w:val="004468FD"/>
    <w:pPr>
      <w:spacing w:after="0" w:line="240" w:lineRule="auto"/>
    </w:pPr>
    <w:rPr>
      <w:rFonts w:eastAsia="Calibri" w:cs="Arial"/>
      <w:sz w:val="20"/>
      <w:szCs w:val="20"/>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PlainTable3">
    <w:name w:val="Plain Table 3"/>
    <w:basedOn w:val="TableNormal"/>
    <w:uiPriority w:val="43"/>
    <w:rsid w:val="004468FD"/>
    <w:pPr>
      <w:spacing w:after="0" w:line="240" w:lineRule="auto"/>
    </w:pPr>
    <w:rPr>
      <w:rFonts w:eastAsia="Calibri" w:cs="Arial"/>
      <w:sz w:val="20"/>
      <w:szCs w:val="20"/>
      <w:lang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jlqj4b">
    <w:name w:val="jlqj4b"/>
    <w:rsid w:val="004468FD"/>
  </w:style>
  <w:style w:type="paragraph" w:customStyle="1" w:styleId="Briefinglist1">
    <w:name w:val="Briefing list 1"/>
    <w:basedOn w:val="Normal"/>
    <w:link w:val="Briefinglist1Char"/>
    <w:rsid w:val="004468FD"/>
    <w:pPr>
      <w:keepLines/>
      <w:numPr>
        <w:numId w:val="24"/>
      </w:numPr>
      <w:spacing w:before="0"/>
    </w:pPr>
    <w:rPr>
      <w:rFonts w:ascii="Arial" w:eastAsia="Times New Roman" w:hAnsi="Arial"/>
      <w:sz w:val="22"/>
      <w:szCs w:val="24"/>
      <w:lang w:eastAsia="en-GB"/>
    </w:rPr>
  </w:style>
  <w:style w:type="character" w:customStyle="1" w:styleId="Briefinglist1Char">
    <w:name w:val="Briefing list 1 Char"/>
    <w:link w:val="Briefinglist1"/>
    <w:rsid w:val="004468FD"/>
    <w:rPr>
      <w:rFonts w:ascii="Arial" w:eastAsia="Times New Roman" w:hAnsi="Arial" w:cs="Times New Roman"/>
      <w:szCs w:val="24"/>
      <w:lang w:val="en-GB" w:eastAsia="en-GB"/>
    </w:rPr>
  </w:style>
  <w:style w:type="table" w:customStyle="1" w:styleId="Tablestylegreen1">
    <w:name w:val="Tablestyle_green1"/>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Bahnschrift SemiBold SemiConden" w:hAnsi="Bahnschrift SemiBold SemiConden"/>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Bahnschrift SemiBold SemiConden" w:hAnsi="Bahnschrift SemiBold SemiConden"/>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table" w:customStyle="1" w:styleId="Tablestylegreen2">
    <w:name w:val="Tablestyle_green2"/>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Bahnschrift SemiBold SemiConden" w:hAnsi="Bahnschrift SemiBold SemiConden"/>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Bahnschrift SemiBold SemiConden" w:hAnsi="Bahnschrift SemiBold SemiConden"/>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paragraph" w:customStyle="1" w:styleId="text20">
    <w:name w:val="text2"/>
    <w:basedOn w:val="Normal"/>
    <w:rsid w:val="004468FD"/>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IntrtEEE"/>
    <w:uiPriority w:val="99"/>
    <w:rsid w:val="004468FD"/>
    <w:pPr>
      <w:spacing w:before="360" w:after="360"/>
      <w:jc w:val="center"/>
    </w:pPr>
    <w:rPr>
      <w:b/>
    </w:rPr>
  </w:style>
  <w:style w:type="paragraph" w:customStyle="1" w:styleId="TitreobjetPagedecouverture">
    <w:name w:val="Titre objet (Page de couverture)"/>
    <w:basedOn w:val="Titreobjet"/>
    <w:next w:val="IntrtEEEPagedecouverture"/>
    <w:rsid w:val="004468FD"/>
  </w:style>
  <w:style w:type="paragraph" w:customStyle="1" w:styleId="Text21">
    <w:name w:val="Text 2"/>
    <w:basedOn w:val="Normal"/>
    <w:rsid w:val="00BB0CF3"/>
    <w:pPr>
      <w:ind w:left="1417"/>
    </w:pPr>
  </w:style>
  <w:style w:type="paragraph" w:customStyle="1" w:styleId="Text200">
    <w:name w:val="Text 20"/>
    <w:basedOn w:val="Normal"/>
    <w:rsid w:val="00BB0CF3"/>
    <w:pPr>
      <w:ind w:left="1417"/>
    </w:pPr>
  </w:style>
  <w:style w:type="paragraph" w:customStyle="1" w:styleId="Text210">
    <w:name w:val="Text 21"/>
    <w:basedOn w:val="Normal"/>
    <w:rsid w:val="00BB0CF3"/>
    <w:pPr>
      <w:ind w:left="1417"/>
    </w:pPr>
  </w:style>
  <w:style w:type="paragraph" w:customStyle="1" w:styleId="Text22">
    <w:name w:val="Text 22"/>
    <w:basedOn w:val="Normal"/>
    <w:rsid w:val="00BB0CF3"/>
    <w:pPr>
      <w:ind w:left="1417"/>
    </w:pPr>
  </w:style>
  <w:style w:type="character" w:styleId="FootnoteReference0">
    <w:name w:val="footnote reference"/>
    <w:basedOn w:val="DefaultParagraphFont"/>
    <w:uiPriority w:val="99"/>
    <w:semiHidden/>
    <w:unhideWhenUsed/>
    <w:rsid w:val="00BB0CF3"/>
    <w:rPr>
      <w:shd w:val="clear" w:color="auto" w:fill="auto"/>
      <w:vertAlign w:val="superscript"/>
    </w:rPr>
  </w:style>
  <w:style w:type="paragraph" w:customStyle="1" w:styleId="Text23">
    <w:name w:val="Text 23"/>
    <w:basedOn w:val="Normal"/>
    <w:rsid w:val="00BB0CF3"/>
    <w:pPr>
      <w:ind w:left="1417"/>
    </w:pPr>
  </w:style>
  <w:style w:type="paragraph" w:customStyle="1" w:styleId="Text24">
    <w:name w:val="Text 24"/>
    <w:basedOn w:val="Normal"/>
    <w:uiPriority w:val="99"/>
    <w:rsid w:val="00BB0CF3"/>
    <w:pPr>
      <w:ind w:left="1417"/>
    </w:pPr>
  </w:style>
  <w:style w:type="paragraph" w:styleId="Caption">
    <w:name w:val="caption"/>
    <w:basedOn w:val="Normal"/>
    <w:next w:val="Normal"/>
    <w:uiPriority w:val="99"/>
    <w:unhideWhenUsed/>
    <w:qFormat/>
    <w:rsid w:val="007D3858"/>
    <w:pPr>
      <w:spacing w:before="0" w:after="200"/>
    </w:pPr>
    <w:rPr>
      <w:i/>
      <w:iCs/>
      <w:color w:val="1F497D" w:themeColor="text2"/>
      <w:sz w:val="18"/>
      <w:szCs w:val="18"/>
    </w:rPr>
  </w:style>
  <w:style w:type="character" w:styleId="Hyperlink">
    <w:name w:val="Hyperlink"/>
    <w:basedOn w:val="DefaultParagraphFont"/>
    <w:uiPriority w:val="99"/>
    <w:unhideWhenUsed/>
    <w:qFormat/>
    <w:rsid w:val="00724686"/>
    <w:rPr>
      <w:color w:val="0000FF" w:themeColor="hyperlink"/>
      <w:u w:val="single"/>
    </w:rPr>
  </w:style>
  <w:style w:type="numbering" w:customStyle="1" w:styleId="NoList1">
    <w:name w:val="No List1"/>
    <w:next w:val="NoList"/>
    <w:uiPriority w:val="99"/>
    <w:semiHidden/>
    <w:unhideWhenUsed/>
    <w:rsid w:val="00926C86"/>
  </w:style>
  <w:style w:type="paragraph" w:customStyle="1" w:styleId="Text25">
    <w:name w:val="Text 25"/>
    <w:basedOn w:val="Normal"/>
    <w:rsid w:val="00BB0CF3"/>
    <w:pPr>
      <w:ind w:left="1417"/>
    </w:pPr>
  </w:style>
  <w:style w:type="paragraph" w:customStyle="1" w:styleId="Text26">
    <w:name w:val="Text 26"/>
    <w:basedOn w:val="Normal"/>
    <w:rsid w:val="00BB0CF3"/>
    <w:pPr>
      <w:ind w:left="1417"/>
    </w:pPr>
  </w:style>
  <w:style w:type="paragraph" w:customStyle="1" w:styleId="Text27">
    <w:name w:val="Text 27"/>
    <w:basedOn w:val="Normal"/>
    <w:uiPriority w:val="99"/>
    <w:rsid w:val="00BB0CF3"/>
    <w:pPr>
      <w:ind w:left="1417"/>
    </w:pPr>
  </w:style>
  <w:style w:type="paragraph" w:customStyle="1" w:styleId="Text28">
    <w:name w:val="Text 28"/>
    <w:basedOn w:val="Normal"/>
    <w:rsid w:val="00BB0CF3"/>
    <w:pPr>
      <w:ind w:left="1417"/>
    </w:pPr>
  </w:style>
  <w:style w:type="paragraph" w:customStyle="1" w:styleId="Text29">
    <w:name w:val="Text 29"/>
    <w:basedOn w:val="Normal"/>
    <w:rsid w:val="00BB0CF3"/>
    <w:pPr>
      <w:ind w:left="1417"/>
    </w:pPr>
  </w:style>
  <w:style w:type="paragraph" w:customStyle="1" w:styleId="Text2100">
    <w:name w:val="Text 210"/>
    <w:basedOn w:val="Normal"/>
    <w:rsid w:val="00BB0CF3"/>
    <w:pPr>
      <w:ind w:left="1417"/>
    </w:pPr>
  </w:style>
  <w:style w:type="paragraph" w:customStyle="1" w:styleId="Text211">
    <w:name w:val="Text 211"/>
    <w:basedOn w:val="Normal"/>
    <w:rsid w:val="00BB0CF3"/>
    <w:pPr>
      <w:ind w:left="1417"/>
    </w:pPr>
  </w:style>
  <w:style w:type="paragraph" w:customStyle="1" w:styleId="Text212">
    <w:name w:val="Text 212"/>
    <w:basedOn w:val="Normal"/>
    <w:rsid w:val="00BB0CF3"/>
    <w:pPr>
      <w:ind w:left="1417"/>
    </w:pPr>
  </w:style>
  <w:style w:type="paragraph" w:customStyle="1" w:styleId="Text213">
    <w:name w:val="Text 213"/>
    <w:basedOn w:val="Normal"/>
    <w:rsid w:val="00BB0CF3"/>
    <w:pPr>
      <w:ind w:left="1417"/>
    </w:pPr>
  </w:style>
  <w:style w:type="paragraph" w:customStyle="1" w:styleId="Text214">
    <w:name w:val="Text 214"/>
    <w:basedOn w:val="Normal"/>
    <w:rsid w:val="00BB0CF3"/>
    <w:pPr>
      <w:ind w:left="1417"/>
    </w:pPr>
  </w:style>
  <w:style w:type="paragraph" w:customStyle="1" w:styleId="Text215">
    <w:name w:val="Text 215"/>
    <w:basedOn w:val="Normal"/>
    <w:rsid w:val="00BB0CF3"/>
    <w:pPr>
      <w:ind w:left="1417"/>
    </w:pPr>
  </w:style>
  <w:style w:type="paragraph" w:customStyle="1" w:styleId="Text2a">
    <w:name w:val="Text 2"/>
    <w:basedOn w:val="Normal"/>
    <w:rsid w:val="00BB0CF3"/>
    <w:pPr>
      <w:ind w:left="1417"/>
    </w:pPr>
  </w:style>
  <w:style w:type="paragraph" w:customStyle="1" w:styleId="Text2b">
    <w:name w:val="Text 2"/>
    <w:basedOn w:val="Normal"/>
    <w:rsid w:val="00BB0CF3"/>
    <w:pPr>
      <w:ind w:left="1417"/>
    </w:pPr>
  </w:style>
  <w:style w:type="paragraph" w:customStyle="1" w:styleId="Text2c">
    <w:name w:val="Text 2"/>
    <w:basedOn w:val="Normal"/>
    <w:rsid w:val="00BB0CF3"/>
    <w:pPr>
      <w:ind w:left="1417"/>
    </w:pPr>
  </w:style>
  <w:style w:type="paragraph" w:customStyle="1" w:styleId="Text2d">
    <w:name w:val="Text 2"/>
    <w:basedOn w:val="Normal"/>
    <w:rsid w:val="00BB0CF3"/>
    <w:pPr>
      <w:ind w:left="1417"/>
    </w:pPr>
  </w:style>
  <w:style w:type="paragraph" w:customStyle="1" w:styleId="Text2e">
    <w:name w:val="Text 2"/>
    <w:basedOn w:val="Normal"/>
    <w:rsid w:val="00BB0CF3"/>
    <w:pPr>
      <w:ind w:left="1417"/>
    </w:pPr>
  </w:style>
  <w:style w:type="paragraph" w:styleId="Header">
    <w:name w:val="header"/>
    <w:basedOn w:val="Normal"/>
    <w:link w:val="HeaderChar"/>
    <w:uiPriority w:val="99"/>
    <w:unhideWhenUsed/>
    <w:rsid w:val="00AD39FC"/>
    <w:pPr>
      <w:tabs>
        <w:tab w:val="center" w:pos="4535"/>
        <w:tab w:val="right" w:pos="9071"/>
      </w:tabs>
      <w:spacing w:before="0"/>
    </w:pPr>
  </w:style>
  <w:style w:type="character" w:customStyle="1" w:styleId="HeaderChar">
    <w:name w:val="Header Char"/>
    <w:basedOn w:val="DefaultParagraphFont"/>
    <w:link w:val="Header"/>
    <w:uiPriority w:val="99"/>
    <w:rsid w:val="00AD39FC"/>
    <w:rPr>
      <w:rFonts w:ascii="Times New Roman" w:hAnsi="Times New Roman" w:cs="Times New Roman"/>
      <w:sz w:val="24"/>
      <w:lang w:val="fr-FR"/>
    </w:rPr>
  </w:style>
  <w:style w:type="paragraph" w:styleId="Footer">
    <w:name w:val="footer"/>
    <w:basedOn w:val="Normal"/>
    <w:link w:val="FooterChar"/>
    <w:uiPriority w:val="99"/>
    <w:unhideWhenUsed/>
    <w:rsid w:val="00AD39F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D39FC"/>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AD39FC"/>
    <w:pPr>
      <w:tabs>
        <w:tab w:val="center" w:pos="7285"/>
        <w:tab w:val="right" w:pos="14003"/>
      </w:tabs>
      <w:spacing w:before="0"/>
    </w:pPr>
  </w:style>
  <w:style w:type="paragraph" w:customStyle="1" w:styleId="FooterLandscape">
    <w:name w:val="FooterLandscape"/>
    <w:basedOn w:val="Normal"/>
    <w:rsid w:val="00AD39FC"/>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AD39F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D39FC"/>
    <w:pPr>
      <w:spacing w:before="0"/>
      <w:jc w:val="right"/>
    </w:pPr>
    <w:rPr>
      <w:sz w:val="28"/>
    </w:rPr>
  </w:style>
  <w:style w:type="paragraph" w:customStyle="1" w:styleId="FooterSensitivity">
    <w:name w:val="Footer Sensitivity"/>
    <w:basedOn w:val="Normal"/>
    <w:rsid w:val="00AD39F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9"/>
      </w:numPr>
    </w:pPr>
  </w:style>
  <w:style w:type="paragraph" w:customStyle="1" w:styleId="Tiret1">
    <w:name w:val="Tiret 1"/>
    <w:basedOn w:val="Point1"/>
    <w:rsid w:val="00BB0CF3"/>
    <w:pPr>
      <w:numPr>
        <w:numId w:val="30"/>
      </w:numPr>
    </w:pPr>
  </w:style>
  <w:style w:type="paragraph" w:customStyle="1" w:styleId="Tiret2">
    <w:name w:val="Tiret 2"/>
    <w:basedOn w:val="Point2"/>
    <w:rsid w:val="00BB0CF3"/>
    <w:pPr>
      <w:numPr>
        <w:numId w:val="31"/>
      </w:numPr>
    </w:pPr>
  </w:style>
  <w:style w:type="paragraph" w:customStyle="1" w:styleId="Tiret3">
    <w:name w:val="Tiret 3"/>
    <w:basedOn w:val="Point3"/>
    <w:rsid w:val="00BB0CF3"/>
    <w:pPr>
      <w:numPr>
        <w:numId w:val="32"/>
      </w:numPr>
    </w:pPr>
  </w:style>
  <w:style w:type="paragraph" w:customStyle="1" w:styleId="Tiret4">
    <w:name w:val="Tiret 4"/>
    <w:basedOn w:val="Point4"/>
    <w:rsid w:val="00BB0CF3"/>
    <w:pPr>
      <w:numPr>
        <w:numId w:val="3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9"/>
      </w:numPr>
    </w:pPr>
  </w:style>
  <w:style w:type="paragraph" w:customStyle="1" w:styleId="NumPar2">
    <w:name w:val="NumPar 2"/>
    <w:basedOn w:val="Normal"/>
    <w:next w:val="Text1"/>
    <w:rsid w:val="00BB0CF3"/>
    <w:pPr>
      <w:numPr>
        <w:ilvl w:val="1"/>
        <w:numId w:val="49"/>
      </w:numPr>
    </w:pPr>
  </w:style>
  <w:style w:type="paragraph" w:customStyle="1" w:styleId="NumPar3">
    <w:name w:val="NumPar 3"/>
    <w:basedOn w:val="Normal"/>
    <w:next w:val="Text1"/>
    <w:rsid w:val="00BB0CF3"/>
    <w:pPr>
      <w:numPr>
        <w:ilvl w:val="2"/>
        <w:numId w:val="49"/>
      </w:numPr>
    </w:pPr>
  </w:style>
  <w:style w:type="paragraph" w:customStyle="1" w:styleId="NumPar4">
    <w:name w:val="NumPar 4"/>
    <w:basedOn w:val="Normal"/>
    <w:next w:val="Text1"/>
    <w:rsid w:val="00BB0CF3"/>
    <w:pPr>
      <w:numPr>
        <w:ilvl w:val="3"/>
        <w:numId w:val="4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6"/>
      </w:numPr>
    </w:pPr>
  </w:style>
  <w:style w:type="paragraph" w:customStyle="1" w:styleId="Point1number">
    <w:name w:val="Point 1 (number)"/>
    <w:basedOn w:val="Normal"/>
    <w:rsid w:val="00BB0CF3"/>
    <w:pPr>
      <w:numPr>
        <w:ilvl w:val="2"/>
        <w:numId w:val="36"/>
      </w:numPr>
    </w:pPr>
  </w:style>
  <w:style w:type="paragraph" w:customStyle="1" w:styleId="Point2number">
    <w:name w:val="Point 2 (number)"/>
    <w:basedOn w:val="Normal"/>
    <w:rsid w:val="00BB0CF3"/>
    <w:pPr>
      <w:numPr>
        <w:ilvl w:val="4"/>
        <w:numId w:val="36"/>
      </w:numPr>
    </w:pPr>
  </w:style>
  <w:style w:type="paragraph" w:customStyle="1" w:styleId="Point3number">
    <w:name w:val="Point 3 (number)"/>
    <w:basedOn w:val="Normal"/>
    <w:rsid w:val="00BB0CF3"/>
    <w:pPr>
      <w:numPr>
        <w:ilvl w:val="6"/>
        <w:numId w:val="36"/>
      </w:numPr>
    </w:pPr>
  </w:style>
  <w:style w:type="paragraph" w:customStyle="1" w:styleId="Point0letter">
    <w:name w:val="Point 0 (letter)"/>
    <w:basedOn w:val="Normal"/>
    <w:rsid w:val="00BB0CF3"/>
    <w:pPr>
      <w:numPr>
        <w:ilvl w:val="1"/>
        <w:numId w:val="36"/>
      </w:numPr>
    </w:pPr>
  </w:style>
  <w:style w:type="paragraph" w:customStyle="1" w:styleId="Point1letter">
    <w:name w:val="Point 1 (letter)"/>
    <w:basedOn w:val="Normal"/>
    <w:rsid w:val="00BB0CF3"/>
    <w:pPr>
      <w:numPr>
        <w:ilvl w:val="3"/>
        <w:numId w:val="36"/>
      </w:numPr>
    </w:pPr>
  </w:style>
  <w:style w:type="paragraph" w:customStyle="1" w:styleId="Point2letter">
    <w:name w:val="Point 2 (letter)"/>
    <w:basedOn w:val="Normal"/>
    <w:rsid w:val="00BB0CF3"/>
    <w:pPr>
      <w:numPr>
        <w:ilvl w:val="5"/>
        <w:numId w:val="36"/>
      </w:numPr>
    </w:pPr>
  </w:style>
  <w:style w:type="paragraph" w:customStyle="1" w:styleId="Point3letter">
    <w:name w:val="Point 3 (letter)"/>
    <w:basedOn w:val="Normal"/>
    <w:rsid w:val="00BB0CF3"/>
    <w:pPr>
      <w:numPr>
        <w:ilvl w:val="7"/>
        <w:numId w:val="36"/>
      </w:numPr>
    </w:pPr>
  </w:style>
  <w:style w:type="paragraph" w:customStyle="1" w:styleId="Point4letter">
    <w:name w:val="Point 4 (letter)"/>
    <w:basedOn w:val="Normal"/>
    <w:rsid w:val="00BB0CF3"/>
    <w:pPr>
      <w:numPr>
        <w:ilvl w:val="8"/>
        <w:numId w:val="36"/>
      </w:numPr>
    </w:pPr>
  </w:style>
  <w:style w:type="paragraph" w:customStyle="1" w:styleId="Bullet0">
    <w:name w:val="Bullet 0"/>
    <w:basedOn w:val="Normal"/>
    <w:rsid w:val="00BB0CF3"/>
    <w:pPr>
      <w:numPr>
        <w:numId w:val="37"/>
      </w:numPr>
    </w:pPr>
  </w:style>
  <w:style w:type="paragraph" w:customStyle="1" w:styleId="Bullet1">
    <w:name w:val="Bullet 1"/>
    <w:basedOn w:val="Normal"/>
    <w:rsid w:val="00BB0CF3"/>
    <w:pPr>
      <w:numPr>
        <w:numId w:val="38"/>
      </w:numPr>
    </w:pPr>
  </w:style>
  <w:style w:type="paragraph" w:customStyle="1" w:styleId="Bullet2">
    <w:name w:val="Bullet 2"/>
    <w:basedOn w:val="Normal"/>
    <w:rsid w:val="00BB0CF3"/>
    <w:pPr>
      <w:numPr>
        <w:numId w:val="39"/>
      </w:numPr>
    </w:pPr>
  </w:style>
  <w:style w:type="paragraph" w:customStyle="1" w:styleId="Bullet3">
    <w:name w:val="Bullet 3"/>
    <w:basedOn w:val="Normal"/>
    <w:rsid w:val="00BB0CF3"/>
    <w:pPr>
      <w:numPr>
        <w:numId w:val="40"/>
      </w:numPr>
    </w:pPr>
  </w:style>
  <w:style w:type="paragraph" w:customStyle="1" w:styleId="Bullet4">
    <w:name w:val="Bullet 4"/>
    <w:basedOn w:val="Normal"/>
    <w:rsid w:val="00BB0CF3"/>
    <w:pPr>
      <w:numPr>
        <w:numId w:val="4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FB74F6"/>
    <w:pPr>
      <w:keepNext/>
      <w:tabs>
        <w:tab w:val="left" w:pos="1417"/>
      </w:tabs>
      <w:ind w:left="1417" w:hanging="1417"/>
      <w:outlineLvl w:val="4"/>
    </w:pPr>
  </w:style>
  <w:style w:type="paragraph" w:customStyle="1" w:styleId="ManualHeading6">
    <w:name w:val="Manual Heading 6"/>
    <w:basedOn w:val="Normal"/>
    <w:next w:val="Text2"/>
    <w:rsid w:val="00FB74F6"/>
    <w:pPr>
      <w:keepNext/>
      <w:tabs>
        <w:tab w:val="left" w:pos="1417"/>
      </w:tabs>
      <w:ind w:left="1417" w:hanging="1417"/>
      <w:outlineLvl w:val="5"/>
    </w:pPr>
  </w:style>
  <w:style w:type="paragraph" w:customStyle="1" w:styleId="ManualHeading7">
    <w:name w:val="Manual Heading 7"/>
    <w:basedOn w:val="Normal"/>
    <w:next w:val="Text2"/>
    <w:rsid w:val="00FB74F6"/>
    <w:pPr>
      <w:keepNext/>
      <w:tabs>
        <w:tab w:val="left" w:pos="1417"/>
      </w:tabs>
      <w:ind w:left="1417" w:hanging="1417"/>
      <w:outlineLvl w:val="6"/>
    </w:pPr>
  </w:style>
  <w:style w:type="paragraph" w:customStyle="1" w:styleId="Text5">
    <w:name w:val="Text 5"/>
    <w:basedOn w:val="Normal"/>
    <w:rsid w:val="00FB74F6"/>
    <w:pPr>
      <w:ind w:left="3118"/>
    </w:pPr>
  </w:style>
  <w:style w:type="paragraph" w:customStyle="1" w:styleId="Text6">
    <w:name w:val="Text 6"/>
    <w:basedOn w:val="Normal"/>
    <w:rsid w:val="00FB74F6"/>
    <w:pPr>
      <w:ind w:left="3685"/>
    </w:pPr>
  </w:style>
  <w:style w:type="paragraph" w:customStyle="1" w:styleId="Point5">
    <w:name w:val="Point 5"/>
    <w:basedOn w:val="Normal"/>
    <w:rsid w:val="00FB74F6"/>
    <w:pPr>
      <w:ind w:left="3685" w:hanging="567"/>
    </w:pPr>
  </w:style>
  <w:style w:type="paragraph" w:customStyle="1" w:styleId="Tiret5">
    <w:name w:val="Tiret 5"/>
    <w:basedOn w:val="Point5"/>
    <w:rsid w:val="00FB74F6"/>
    <w:pPr>
      <w:numPr>
        <w:numId w:val="46"/>
      </w:numPr>
    </w:pPr>
  </w:style>
  <w:style w:type="paragraph" w:customStyle="1" w:styleId="NumPar5">
    <w:name w:val="NumPar 5"/>
    <w:basedOn w:val="Normal"/>
    <w:next w:val="Text2"/>
    <w:rsid w:val="00FB74F6"/>
    <w:pPr>
      <w:numPr>
        <w:ilvl w:val="4"/>
        <w:numId w:val="49"/>
      </w:numPr>
    </w:pPr>
  </w:style>
  <w:style w:type="paragraph" w:customStyle="1" w:styleId="NumPar6">
    <w:name w:val="NumPar 6"/>
    <w:basedOn w:val="Normal"/>
    <w:next w:val="Text2"/>
    <w:rsid w:val="00FB74F6"/>
    <w:pPr>
      <w:numPr>
        <w:ilvl w:val="5"/>
        <w:numId w:val="49"/>
      </w:numPr>
    </w:pPr>
  </w:style>
  <w:style w:type="paragraph" w:customStyle="1" w:styleId="NumPar7">
    <w:name w:val="NumPar 7"/>
    <w:basedOn w:val="Normal"/>
    <w:next w:val="Text2"/>
    <w:rsid w:val="00FB74F6"/>
    <w:pPr>
      <w:numPr>
        <w:ilvl w:val="6"/>
        <w:numId w:val="49"/>
      </w:numPr>
    </w:pPr>
  </w:style>
  <w:style w:type="paragraph" w:customStyle="1" w:styleId="ManualNumPar5">
    <w:name w:val="Manual NumPar 5"/>
    <w:basedOn w:val="Normal"/>
    <w:next w:val="Text2"/>
    <w:rsid w:val="00FB74F6"/>
    <w:pPr>
      <w:ind w:left="1417" w:hanging="1417"/>
    </w:pPr>
  </w:style>
  <w:style w:type="paragraph" w:customStyle="1" w:styleId="ManualNumPar6">
    <w:name w:val="Manual NumPar 6"/>
    <w:basedOn w:val="Normal"/>
    <w:next w:val="Text2"/>
    <w:rsid w:val="00FB74F6"/>
    <w:pPr>
      <w:ind w:left="1417" w:hanging="1417"/>
    </w:pPr>
  </w:style>
  <w:style w:type="paragraph" w:customStyle="1" w:styleId="ManualNumPar7">
    <w:name w:val="Manual NumPar 7"/>
    <w:basedOn w:val="Normal"/>
    <w:next w:val="Text2"/>
    <w:rsid w:val="00FB74F6"/>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20bc6a70dde941b0"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fcd26baf804a48ff"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E6EF-66EF-4F92-A5A7-692DFC1A3E0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5373a9-3ae6-4627-894d-852f27c3d4f0"/>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07FE5E8-2145-4D1C-8A9A-176E6773D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91CF-E468-419D-8AC7-1B4895839AAC}">
  <ds:schemaRefs>
    <ds:schemaRef ds:uri="http://schemas.microsoft.com/sharepoint/v3/contenttype/forms"/>
  </ds:schemaRefs>
</ds:datastoreItem>
</file>

<file path=customXml/itemProps4.xml><?xml version="1.0" encoding="utf-8"?>
<ds:datastoreItem xmlns:ds="http://schemas.openxmlformats.org/officeDocument/2006/customXml" ds:itemID="{39E5E553-9B1A-413F-954F-24E7EC01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32</Pages>
  <Words>7345</Words>
  <Characters>41869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 Dorthe Helene (ENER)</dc:creator>
  <cp:keywords/>
  <dc:description/>
  <cp:lastModifiedBy>EC CoDe</cp:lastModifiedBy>
  <cp:revision>21</cp:revision>
  <dcterms:created xsi:type="dcterms:W3CDTF">2022-01-24T15:55:00Z</dcterms:created>
  <dcterms:modified xsi:type="dcterms:W3CDTF">2022-01-27T15:15:00Z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9</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0x010100E98322858357ED4DB8ACEC003F271AA8</vt:lpwstr>
  </property>
  <property fmtid="{D5CDD505-2E9C-101B-9397-08002B2CF9AE}" pid="14" name="DQCStatus">
    <vt:lpwstr>Green (DQC version 03)</vt:lpwstr>
  </property>
</Properties>
</file>