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D2" w:rsidRPr="00205D93" w:rsidRDefault="00816C38" w:rsidP="00816C3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ABFE3AF-0EFA-4DBC-9381-488D2BEEF2FD" style="width:455.25pt;height:387.75pt">
            <v:imagedata r:id="rId8" o:title=""/>
          </v:shape>
        </w:pict>
      </w:r>
    </w:p>
    <w:p w:rsidR="000448D2" w:rsidRPr="00205D93" w:rsidRDefault="000448D2">
      <w:pPr>
        <w:adjustRightInd w:val="0"/>
        <w:spacing w:before="0" w:after="0"/>
        <w:jc w:val="left"/>
        <w:rPr>
          <w:noProof/>
        </w:rPr>
        <w:sectPr w:rsidR="000448D2" w:rsidRPr="00205D93" w:rsidSect="00816C3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0448D2" w:rsidRPr="00205D93" w:rsidRDefault="000448D2" w:rsidP="009567AF">
      <w:pPr>
        <w:pStyle w:val="CRSeparator"/>
        <w:rPr>
          <w:noProof/>
        </w:rPr>
      </w:pPr>
      <w:bookmarkStart w:id="0" w:name="_GoBack"/>
      <w:bookmarkEnd w:id="0"/>
    </w:p>
    <w:p w:rsidR="000448D2" w:rsidRPr="00205D93" w:rsidRDefault="000448D2" w:rsidP="009567AF">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2010/31/EU</w:t>
      </w:r>
    </w:p>
    <w:p w:rsidR="000448D2" w:rsidRPr="00205D93" w:rsidRDefault="000448D2" w:rsidP="00EC00AC">
      <w:pPr>
        <w:pStyle w:val="Annexetitre"/>
        <w:rPr>
          <w:noProof/>
        </w:rPr>
      </w:pPr>
      <w:r w:rsidRPr="00205D93">
        <w:rPr>
          <w:noProof/>
        </w:rPr>
        <w:t>ANHANG I</w:t>
      </w:r>
    </w:p>
    <w:p w:rsidR="000448D2" w:rsidRPr="00205D93" w:rsidRDefault="000448D2" w:rsidP="001C7344">
      <w:pPr>
        <w:pStyle w:val="ManualHeading1"/>
        <w:ind w:left="851" w:hanging="851"/>
        <w:jc w:val="center"/>
        <w:rPr>
          <w:noProof/>
        </w:rPr>
      </w:pPr>
      <w:r w:rsidRPr="00205D93">
        <w:rPr>
          <w:i/>
          <w:iCs/>
          <w:noProof/>
        </w:rPr>
        <w:t>Gemeinsamer allgemeiner Rahmen für die Berechnung der Gesamtenergieeffizienz von Gebäuden</w:t>
      </w:r>
    </w:p>
    <w:p w:rsidR="000448D2" w:rsidRPr="00205D93" w:rsidRDefault="000448D2" w:rsidP="001C7344">
      <w:pPr>
        <w:pStyle w:val="ManualHeading2"/>
        <w:ind w:left="851" w:hanging="851"/>
        <w:jc w:val="center"/>
        <w:rPr>
          <w:b w:val="0"/>
          <w:noProof/>
        </w:rPr>
      </w:pPr>
      <w:r w:rsidRPr="00205D93">
        <w:rPr>
          <w:b w:val="0"/>
          <w:iCs/>
          <w:noProof/>
        </w:rPr>
        <w:t>(gemäß Artikel </w:t>
      </w:r>
      <w:r w:rsidRPr="00205D93">
        <w:rPr>
          <w:rStyle w:val="CRMinorChangeAdded"/>
          <w:b w:val="0"/>
          <w:noProof/>
        </w:rPr>
        <w:t>4</w:t>
      </w:r>
      <w:r w:rsidRPr="00205D93">
        <w:rPr>
          <w:rStyle w:val="CRMinorChangeDeleted"/>
          <w:b w:val="0"/>
          <w:noProof/>
        </w:rPr>
        <w:t>3</w:t>
      </w:r>
      <w:r w:rsidRPr="00205D93">
        <w:rPr>
          <w:b w:val="0"/>
          <w:iCs/>
          <w:noProof/>
        </w:rPr>
        <w:t>)</w:t>
      </w: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2018/844 Artikel 1 Nummer 14 und Anhang Nummer 1 Buchstabe a (angepasst)</w:t>
      </w: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"ð" </w:instrText>
      </w:r>
      <w:r w:rsidRPr="00205D93">
        <w:rPr>
          <w:noProof/>
          <w:highlight w:val="lightGray"/>
        </w:rPr>
        <w:fldChar w:fldCharType="separate"/>
      </w:r>
      <w:r w:rsidRPr="00205D93">
        <w:rPr>
          <w:rStyle w:val="CRMarker"/>
          <w:noProof/>
          <w:highlight w:val="lightGray"/>
        </w:rPr>
        <w:t>ð</w:t>
      </w:r>
      <w:r w:rsidRPr="00205D93">
        <w:rPr>
          <w:noProof/>
          <w:highlight w:val="lightGray"/>
        </w:rPr>
        <w:fldChar w:fldCharType="end"/>
      </w:r>
      <w:r w:rsidRPr="00205D93">
        <w:rPr>
          <w:noProof/>
          <w:highlight w:val="lightGray"/>
        </w:rPr>
        <w:t> neu</w:t>
      </w:r>
    </w:p>
    <w:p w:rsidR="000448D2" w:rsidRPr="00205D93" w:rsidRDefault="000448D2">
      <w:pPr>
        <w:rPr>
          <w:noProof/>
          <w:highlight w:val="lightGray"/>
        </w:rPr>
      </w:pPr>
      <w:r w:rsidRPr="00205D93">
        <w:rPr>
          <w:noProof/>
        </w:rPr>
        <w:t>1.</w:t>
      </w:r>
      <w:r w:rsidRPr="00205D93">
        <w:rPr>
          <w:noProof/>
        </w:rPr>
        <w:tab/>
        <w:t xml:space="preserve">Die Gesamtenergieeffizienz eines Gebäudes wird anhand des berechneten oder </w:t>
      </w:r>
      <w:r w:rsidRPr="00205D93">
        <w:rPr>
          <w:rStyle w:val="CRDeleted"/>
          <w:noProof/>
        </w:rPr>
        <w:t>tatsächlichen</w:t>
      </w:r>
      <w:r w:rsidRPr="00205D93">
        <w:rPr>
          <w:noProof/>
        </w:rPr>
        <w:t xml:space="preserve">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erfassten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Energieverbrauchs bestimmt und spiegelt den typischen Energieverbrauch für Raumheizung, Raumkühlung, Warmwasserbereitung für den häuslichen Gebrauch, Lüftung, eingebaute Beleuchtung und andere gebäudetechnische Systeme wider.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Die Mitgliedstaaten stellen sicher, dass der typische Energieverbrauch die tatsächlichen Betriebsbedingungen für jede relevante Typologie abbildet und das typische Verbraucherverhalten widerspiegelt. Der typische Energieverbrauch und das typische Verbraucherverhalten beruhen, soweit möglich, auf verfügbaren nationalen Statistiken, Bauvorschriften und den erfassten Daten.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p>
    <w:p w:rsidR="000448D2" w:rsidRPr="00205D93" w:rsidRDefault="000448D2" w:rsidP="009567AF">
      <w:pPr>
        <w:pStyle w:val="CRSeparator"/>
        <w:rPr>
          <w:noProof/>
        </w:rPr>
      </w:pP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w:t>
      </w:r>
    </w:p>
    <w:p w:rsidR="000448D2" w:rsidRPr="00205D93" w:rsidRDefault="000448D2">
      <w:pPr>
        <w:rPr>
          <w:noProof/>
          <w:highlight w:val="lightGray"/>
        </w:rPr>
      </w:pPr>
      <w:r w:rsidRPr="00205D93">
        <w:rPr>
          <w:noProof/>
          <w:highlight w:val="lightGray"/>
        </w:rPr>
        <w:t>Wird die Gesamtenergieeffizienz von Gebäuden auf der Grundlage der erfassten Energie berechnet, muss es anhand der Berechnungsmethode möglich sein, den Einfluss des Verhaltens der Bewohner und der klimatischen Verhältnisse vor Ort zu ermitteln, der im Ergebnis der Berechnung jedoch nicht zu berücksichtigen ist. Die für die Berechnung der Gesamtenergieeffizienz von Gebäuden zu verwendende erfasste Energie muss mindestens stündlich abgelesen werden, und es muss zwischen verschiedenen Energieträgern unterschieden werden.</w:t>
      </w:r>
    </w:p>
    <w:p w:rsidR="000448D2" w:rsidRPr="00205D93" w:rsidRDefault="000448D2">
      <w:pPr>
        <w:rPr>
          <w:noProof/>
        </w:rPr>
      </w:pPr>
      <w:r w:rsidRPr="00205D93">
        <w:rPr>
          <w:noProof/>
          <w:highlight w:val="lightGray"/>
        </w:rPr>
        <w:t>Die Mitgliedstaaten können den erfassten Energieverbrauch unter typischen Betriebsbedingungen verwenden, um die Richtigkeit des berechneten Energieverbrauchs zu überprüfen und einen Vergleich zwischen der berechneten und der tatsächlichen Gesamtenergieeffizienz zu ermöglichen. Der für die Zwecke der Überprüfung und des Vergleichs erfasste Energieverbrauch kann auf monatlichen Ablesungen beruhen.</w:t>
      </w:r>
    </w:p>
    <w:p w:rsidR="000448D2" w:rsidRPr="00205D93" w:rsidRDefault="000448D2" w:rsidP="009567AF">
      <w:pPr>
        <w:pStyle w:val="CRSeparator"/>
        <w:rPr>
          <w:noProof/>
        </w:rPr>
      </w:pPr>
    </w:p>
    <w:p w:rsidR="000448D2" w:rsidRPr="00205D93" w:rsidRDefault="000448D2" w:rsidP="009567AF">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2018/844 Artikel 1 Nummer 14 und Anhang Nummer 1 Buchstabe a (angepasst)</w:t>
      </w: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"ð" </w:instrText>
      </w:r>
      <w:r w:rsidRPr="00205D93">
        <w:rPr>
          <w:noProof/>
          <w:highlight w:val="lightGray"/>
        </w:rPr>
        <w:fldChar w:fldCharType="separate"/>
      </w:r>
      <w:r w:rsidRPr="00205D93">
        <w:rPr>
          <w:rStyle w:val="CRMarker"/>
          <w:noProof/>
          <w:highlight w:val="lightGray"/>
        </w:rPr>
        <w:t>ð</w:t>
      </w:r>
      <w:r w:rsidRPr="00205D93">
        <w:rPr>
          <w:noProof/>
          <w:highlight w:val="lightGray"/>
        </w:rPr>
        <w:fldChar w:fldCharType="end"/>
      </w:r>
      <w:r w:rsidRPr="00205D93">
        <w:rPr>
          <w:noProof/>
          <w:highlight w:val="lightGray"/>
        </w:rPr>
        <w:t> neu</w:t>
      </w:r>
    </w:p>
    <w:p w:rsidR="000448D2" w:rsidRPr="00205D93" w:rsidRDefault="000448D2">
      <w:pPr>
        <w:rPr>
          <w:noProof/>
        </w:rPr>
      </w:pPr>
      <w:r w:rsidRPr="00205D93">
        <w:rPr>
          <w:noProof/>
        </w:rPr>
        <w:t xml:space="preserve">Die Gesamtenergieeffizienz eines Gebäudes wird zum Zwecke der Erstellung von Ausweisen über die Gesamtenergieeffizienz und der Einhaltung der Mindestanforderungen an die Gesamtenergieeffizienz durch einen numerischen Indikator für den Primärenergieverbrauch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pro Bezugsflächeneinheit und Jahr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in kWh/(m</w:t>
      </w:r>
      <w:r w:rsidRPr="00205D93">
        <w:rPr>
          <w:noProof/>
          <w:vertAlign w:val="superscript"/>
        </w:rPr>
        <w:t>2</w:t>
      </w:r>
      <w:r w:rsidRPr="00205D93">
        <w:rPr>
          <w:noProof/>
        </w:rPr>
        <w:t>.a) ausgedrückt. Die für die Bestimmung der Gesamtenergieeffizienz eines Gebäudes angewandte Methode muss transparent und offen für Innovationen sein.</w:t>
      </w:r>
    </w:p>
    <w:p w:rsidR="000448D2" w:rsidRPr="00205D93" w:rsidRDefault="000448D2">
      <w:pPr>
        <w:rPr>
          <w:noProof/>
        </w:rPr>
      </w:pPr>
      <w:r w:rsidRPr="00205D93">
        <w:rPr>
          <w:noProof/>
        </w:rPr>
        <w:t xml:space="preserve">Die Mitgliedstaaten beschreiben ihre nationale Berechnungsmethode gemäß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Anhang A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w:t>
      </w:r>
      <w:r w:rsidRPr="00205D93">
        <w:rPr>
          <w:rStyle w:val="CRRefonteDeleted"/>
          <w:noProof/>
          <w:highlight w:val="lightGray"/>
        </w:rPr>
        <w:t>den nationalen Anhängen</w:t>
      </w:r>
      <w:r w:rsidRPr="00205D93">
        <w:rPr>
          <w:noProof/>
        </w:rPr>
        <w:t xml:space="preserve"> der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wesentlichen Europäischen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w:t>
      </w:r>
      <w:r w:rsidRPr="00205D93">
        <w:rPr>
          <w:rStyle w:val="CRDeleted"/>
          <w:noProof/>
        </w:rPr>
        <w:t>übergreifenden</w:t>
      </w:r>
      <w:r w:rsidRPr="00205D93">
        <w:rPr>
          <w:noProof/>
        </w:rPr>
        <w:t xml:space="preserve"> Normen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über die Gesamtenergieeffizienz von Gebäuden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nämlich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EN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ISO 52000-1,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EN ISO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52003-1,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EN ISO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52010-1,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EN ISO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52016-1</w:t>
      </w:r>
      <w:r w:rsidRPr="00205D93">
        <w:rPr>
          <w:rStyle w:val="CRMinorChangeAdded"/>
          <w:noProof/>
        </w:rPr>
        <w:t>,</w:t>
      </w:r>
      <w:r w:rsidRPr="00205D93">
        <w:rPr>
          <w:noProof/>
        </w:rPr>
        <w:t xml:space="preserve"> </w:t>
      </w:r>
      <w:r w:rsidRPr="00205D93">
        <w:rPr>
          <w:rStyle w:val="CRDeleted"/>
          <w:noProof/>
        </w:rPr>
        <w:t>und</w:t>
      </w:r>
      <w:r w:rsidRPr="00205D93">
        <w:rPr>
          <w:noProof/>
        </w:rPr>
        <w:t xml:space="preserve">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EN ISO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52018-1,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EN 16798-1 und EN 17423 oder der sie ersetzenden Dokumente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w:t>
      </w:r>
      <w:r w:rsidRPr="00205D93">
        <w:rPr>
          <w:rStyle w:val="CRRefonteDeleted"/>
          <w:noProof/>
          <w:highlight w:val="lightGray"/>
        </w:rPr>
        <w:t>die im Rahmen des Normungsauftrags M/480 vom Europäischen Komitee für Normung (CEN) entwickelt wurden</w:t>
      </w:r>
      <w:r w:rsidRPr="00205D93">
        <w:rPr>
          <w:noProof/>
        </w:rPr>
        <w:t>. Diese Bestimmung stellt keine rechtliche Kodifizierung der genannten Normen dar.</w:t>
      </w:r>
    </w:p>
    <w:p w:rsidR="000448D2" w:rsidRPr="00205D93" w:rsidRDefault="000448D2" w:rsidP="009567AF">
      <w:pPr>
        <w:pStyle w:val="CRSeparator"/>
        <w:rPr>
          <w:noProof/>
        </w:rPr>
      </w:pP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w:t>
      </w:r>
    </w:p>
    <w:p w:rsidR="000448D2" w:rsidRPr="00205D93" w:rsidRDefault="000448D2">
      <w:pPr>
        <w:rPr>
          <w:noProof/>
        </w:rPr>
      </w:pPr>
      <w:r w:rsidRPr="00205D93">
        <w:rPr>
          <w:noProof/>
          <w:highlight w:val="lightGray"/>
        </w:rPr>
        <w:t>Die Mitgliedstaaten treffen die erforderlichen Maßnahmen, um sicherzustellen, dass in Fällen, in denen Gebäude über Fernwärme- oder Fernkältesysteme versorgt werden, die Vorteile einer solchen Versorgung in der Berechnungsmethode anhand einzeln zertifizierter oder anerkannter Primärenergiefaktoren anerkannt und berücksichtigt werden.</w:t>
      </w: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2018/844 Artikel 1 Nummer 14 und Anhang Nummer 1 Buchstabe b (angepasst)</w:t>
      </w: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"ð" </w:instrText>
      </w:r>
      <w:r w:rsidRPr="00205D93">
        <w:rPr>
          <w:noProof/>
          <w:highlight w:val="lightGray"/>
        </w:rPr>
        <w:fldChar w:fldCharType="separate"/>
      </w:r>
      <w:r w:rsidRPr="00205D93">
        <w:rPr>
          <w:rStyle w:val="CRMarker"/>
          <w:noProof/>
          <w:highlight w:val="lightGray"/>
        </w:rPr>
        <w:t>ð</w:t>
      </w:r>
      <w:r w:rsidRPr="00205D93">
        <w:rPr>
          <w:noProof/>
          <w:highlight w:val="lightGray"/>
        </w:rPr>
        <w:fldChar w:fldCharType="end"/>
      </w:r>
      <w:r w:rsidRPr="00205D93">
        <w:rPr>
          <w:noProof/>
          <w:highlight w:val="lightGray"/>
        </w:rPr>
        <w:t> neu</w:t>
      </w:r>
    </w:p>
    <w:p w:rsidR="000448D2" w:rsidRPr="00205D93" w:rsidRDefault="000448D2">
      <w:pPr>
        <w:rPr>
          <w:noProof/>
        </w:rPr>
      </w:pPr>
      <w:r w:rsidRPr="00205D93">
        <w:rPr>
          <w:noProof/>
        </w:rPr>
        <w:t>2.</w:t>
      </w:r>
      <w:r w:rsidRPr="00205D93">
        <w:rPr>
          <w:noProof/>
        </w:rPr>
        <w:tab/>
        <w:t xml:space="preserve">Der Energiebedarf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und der Energieverbrauch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für Raumheizung, Raumkühlung, Warmwasserbereitung für den häuslichen Gebrauch, Lüftung, Beleuchtung und andere gebäudetechnische Systeme </w:t>
      </w:r>
      <w:r w:rsidRPr="00205D93">
        <w:rPr>
          <w:rStyle w:val="CRMinorChangeDeleted"/>
          <w:noProof/>
        </w:rPr>
        <w:t>ist</w:t>
      </w:r>
      <w:r w:rsidRPr="00205D93">
        <w:rPr>
          <w:rStyle w:val="CRMinorChangeAdded"/>
          <w:noProof/>
        </w:rPr>
        <w:t>sind</w:t>
      </w:r>
      <w:r w:rsidRPr="00205D93">
        <w:rPr>
          <w:noProof/>
        </w:rPr>
        <w:t xml:space="preserve">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unter Verwendung stündlicher oder unterstündlicher Berechnungsintervalle zu berechnen, um sich ändernde Bedingungen zu berücksichtigen, die sich erheblich auf den Betrieb und die Leistung des Systems und die Innenraumbedingungen auswirken, und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w:t>
      </w:r>
      <w:r w:rsidRPr="00205D93">
        <w:rPr>
          <w:rStyle w:val="CRMinorChangeDeleted"/>
          <w:noProof/>
        </w:rPr>
        <w:t>zu berechnen,</w:t>
      </w:r>
      <w:r w:rsidRPr="00205D93">
        <w:rPr>
          <w:noProof/>
        </w:rPr>
        <w:t xml:space="preserve"> </w:t>
      </w:r>
      <w:r w:rsidRPr="00205D93">
        <w:rPr>
          <w:rStyle w:val="CRDeleted"/>
          <w:noProof/>
        </w:rPr>
        <w:t>um</w:t>
      </w:r>
      <w:r w:rsidRPr="00205D93">
        <w:rPr>
          <w:noProof/>
        </w:rPr>
        <w:t xml:space="preserve"> die von den Mitgliedstaaten auf nationaler oder regionaler Ebene festgelegten Niveaus in Bezug auf Gesundheit, Raumluftqualität und Komfort zu optimieren.</w:t>
      </w:r>
    </w:p>
    <w:p w:rsidR="000448D2" w:rsidRPr="00205D93" w:rsidRDefault="000448D2" w:rsidP="009567AF">
      <w:pPr>
        <w:pStyle w:val="CRSeparator"/>
        <w:rPr>
          <w:noProof/>
        </w:rPr>
      </w:pPr>
    </w:p>
    <w:p w:rsidR="000448D2" w:rsidRPr="00205D93" w:rsidRDefault="000448D2" w:rsidP="00B67872">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w:t>
      </w:r>
    </w:p>
    <w:p w:rsidR="000448D2" w:rsidRPr="00205D93" w:rsidRDefault="000448D2">
      <w:pPr>
        <w:rPr>
          <w:noProof/>
        </w:rPr>
      </w:pPr>
      <w:r w:rsidRPr="00205D93">
        <w:rPr>
          <w:noProof/>
          <w:highlight w:val="lightGray"/>
        </w:rPr>
        <w:t>Enthalten produktspezifische Vorschriften für energieverbrauchsrelevante Produkte, die gemäß der Richtlinie 2009/125/EG erlassen wurden, spezifische Anforderungen an die Produktinformationen für die Zwecke der Berechnung der Gesamtenergieeffizienz gemäß der vorliegenden Richtlinie, so dürfen die nationalen Berechnungsmethoden keine zusätzlichen Informationen verlangen.</w:t>
      </w:r>
    </w:p>
    <w:p w:rsidR="000448D2" w:rsidRPr="00205D93" w:rsidRDefault="000448D2" w:rsidP="009567AF">
      <w:pPr>
        <w:pStyle w:val="CRSeparator"/>
        <w:rPr>
          <w:noProof/>
        </w:rPr>
      </w:pPr>
    </w:p>
    <w:p w:rsidR="000448D2" w:rsidRPr="00205D93" w:rsidRDefault="000448D2" w:rsidP="009567AF">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2018/844 Artikel 1 Nummer 14 und Anhang Nummer 1 Buchstabe b (angepasst)</w:t>
      </w: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"ð" </w:instrText>
      </w:r>
      <w:r w:rsidRPr="00205D93">
        <w:rPr>
          <w:noProof/>
          <w:highlight w:val="lightGray"/>
        </w:rPr>
        <w:fldChar w:fldCharType="separate"/>
      </w:r>
      <w:r w:rsidRPr="00205D93">
        <w:rPr>
          <w:rStyle w:val="CRMarker"/>
          <w:noProof/>
          <w:highlight w:val="lightGray"/>
        </w:rPr>
        <w:t>ð</w:t>
      </w:r>
      <w:r w:rsidRPr="00205D93">
        <w:rPr>
          <w:noProof/>
          <w:highlight w:val="lightGray"/>
        </w:rPr>
        <w:fldChar w:fldCharType="end"/>
      </w:r>
      <w:r w:rsidRPr="00205D93">
        <w:rPr>
          <w:noProof/>
          <w:highlight w:val="lightGray"/>
        </w:rPr>
        <w:t> neu</w:t>
      </w:r>
    </w:p>
    <w:p w:rsidR="000448D2" w:rsidRPr="00205D93" w:rsidRDefault="000448D2">
      <w:pPr>
        <w:rPr>
          <w:noProof/>
          <w:highlight w:val="lightGray"/>
        </w:rPr>
      </w:pPr>
      <w:r w:rsidRPr="00205D93">
        <w:rPr>
          <w:noProof/>
        </w:rPr>
        <w:t xml:space="preserve">Die Berechnung der Primärenergie erfolgt auf der Grundlage von Primärenergiefaktoren </w:t>
      </w:r>
      <w:r w:rsidRPr="00205D93">
        <w:rPr>
          <w:rStyle w:val="CRRefonteDeleted"/>
          <w:noProof/>
          <w:highlight w:val="lightGray"/>
        </w:rPr>
        <w:t>oder Gewichtungsfaktoren</w:t>
      </w:r>
      <w:r w:rsidRPr="00205D93">
        <w:rPr>
          <w:noProof/>
        </w:rPr>
        <w:t xml:space="preserve"> je Energieträger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(wobei zwischen Faktoren der nicht erneuerbaren, der erneuerbaren und der gesamten Primärenergie unterschieden wird)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 die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von den nationalen Behörden anerkannt werden müssen. Diese Primärenergiefaktoren können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auf nationale, regionale oder lokale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Informationen gestützt werden. Primärenergiefaktoren können auf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rStyle w:val="CRDeleted"/>
          <w:noProof/>
        </w:rPr>
        <w:t>,</w:t>
      </w:r>
      <w:r w:rsidRPr="00205D93">
        <w:rPr>
          <w:noProof/>
        </w:rPr>
        <w:t xml:space="preserve"> jährlich</w:t>
      </w:r>
      <w:r w:rsidRPr="00205D93">
        <w:rPr>
          <w:rStyle w:val="CRMinorChangeAdded"/>
          <w:noProof/>
        </w:rPr>
        <w:t>er,</w:t>
      </w:r>
      <w:r w:rsidRPr="00205D93">
        <w:rPr>
          <w:noProof/>
        </w:rPr>
        <w:t xml:space="preserve"> </w:t>
      </w:r>
      <w:r w:rsidRPr="00205D93">
        <w:rPr>
          <w:rStyle w:val="CRRefonteDeleted"/>
          <w:noProof/>
          <w:highlight w:val="lightGray"/>
        </w:rPr>
        <w:t>und möglicherweise auch</w:t>
      </w:r>
      <w:r w:rsidRPr="00205D93">
        <w:rPr>
          <w:noProof/>
        </w:rPr>
        <w:t xml:space="preserve"> jahreszeitlich</w:t>
      </w:r>
      <w:r w:rsidRPr="00205D93">
        <w:rPr>
          <w:rStyle w:val="CRMinorChangeAdded"/>
          <w:noProof/>
        </w:rPr>
        <w:t>er,</w:t>
      </w:r>
      <w:r w:rsidRPr="00205D93">
        <w:rPr>
          <w:noProof/>
        </w:rPr>
        <w:t xml:space="preserve"> </w:t>
      </w:r>
      <w:r w:rsidRPr="00205D93">
        <w:rPr>
          <w:rStyle w:val="CRDeleted"/>
          <w:noProof/>
        </w:rPr>
        <w:t>oder</w:t>
      </w:r>
      <w:r w:rsidRPr="00205D93">
        <w:rPr>
          <w:noProof/>
        </w:rPr>
        <w:t xml:space="preserve"> monatlich</w:t>
      </w:r>
      <w:r w:rsidRPr="00205D93">
        <w:rPr>
          <w:rStyle w:val="CRMinorChangeAdded"/>
          <w:noProof/>
        </w:rPr>
        <w:t>er,</w:t>
      </w:r>
      <w:r w:rsidRPr="00205D93">
        <w:rPr>
          <w:noProof/>
        </w:rPr>
        <w:t xml:space="preserve"> </w:t>
      </w:r>
      <w:r w:rsidRPr="00205D93">
        <w:rPr>
          <w:rStyle w:val="CRRefonteDeleted"/>
          <w:noProof/>
          <w:highlight w:val="lightGray"/>
        </w:rPr>
        <w:t>gewichtete Durchschnittswerte</w:t>
      </w:r>
      <w:r w:rsidRPr="00205D93">
        <w:rPr>
          <w:noProof/>
        </w:rPr>
        <w:t xml:space="preserve">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täglicher oder stündlicher Basis festgelegt werden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oder </w:t>
      </w:r>
      <w:r w:rsidRPr="00205D93">
        <w:rPr>
          <w:rStyle w:val="CRMinorChangeAdded"/>
          <w:noProof/>
        </w:rPr>
        <w:t>sich auf</w:t>
      </w:r>
      <w:r w:rsidRPr="00205D93">
        <w:rPr>
          <w:noProof/>
        </w:rPr>
        <w:t xml:space="preserve"> spezifischere für einzelne Fernwärmenetze zur Verfügung gestellte Informationen </w:t>
      </w:r>
      <w:r w:rsidRPr="00205D93">
        <w:rPr>
          <w:rStyle w:val="CRMinorChangeAdded"/>
          <w:noProof/>
        </w:rPr>
        <w:t>stützen</w:t>
      </w:r>
      <w:r w:rsidRPr="00205D93">
        <w:rPr>
          <w:rStyle w:val="CRMinorChangeDeleted"/>
          <w:noProof/>
        </w:rPr>
        <w:t>gestützt werden können</w:t>
      </w:r>
      <w:r w:rsidRPr="00205D93">
        <w:rPr>
          <w:noProof/>
        </w:rPr>
        <w:t>.</w:t>
      </w:r>
    </w:p>
    <w:p w:rsidR="000448D2" w:rsidRPr="00205D93" w:rsidRDefault="000448D2">
      <w:pPr>
        <w:rPr>
          <w:noProof/>
        </w:rPr>
      </w:pPr>
      <w:r w:rsidRPr="00205D93">
        <w:rPr>
          <w:noProof/>
        </w:rPr>
        <w:t xml:space="preserve">Die Primärenergiefaktoren oder Gewichtungsfaktoren werden von den Mitgliedstaaten festgelegt.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Die getroffenen Entscheidungen und die Datenquellen sind gemäß der Norm EN 17423 oder einem diese Norm ersetzenden Dokument anzugeben. Anstelle eines Primärenergiefaktors, der den Strommix des betreffenden Landes widerspiegelt, können sich die Mitgliedstaaten für einen durchschnittlichen EU-Primärenergiefaktor für Strom gemäß der Richtlinie (EU) .../... [Neufassung der Energieeffizienzrichtlinie] entscheiden.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w:t>
      </w:r>
    </w:p>
    <w:p w:rsidR="000448D2" w:rsidRPr="00205D93" w:rsidRDefault="000448D2">
      <w:pPr>
        <w:rPr>
          <w:rStyle w:val="CRRefonteDeleted"/>
          <w:noProof/>
          <w:highlight w:val="lightGray"/>
        </w:rPr>
      </w:pPr>
      <w:r w:rsidRPr="00205D93">
        <w:rPr>
          <w:rStyle w:val="CRRefonteDeleted"/>
          <w:noProof/>
          <w:highlight w:val="lightGray"/>
        </w:rPr>
        <w:t>Bei der Anwendung jener Faktoren für die Berechnung der Gesamtenergieeffizienz stellen die Mitgliedstaaten sicher, dass die optimale Gesamtenergieeffizienz der Gebäudehülle angestrebt wird.</w:t>
      </w:r>
    </w:p>
    <w:p w:rsidR="000448D2" w:rsidRPr="00205D93" w:rsidRDefault="000448D2">
      <w:pPr>
        <w:rPr>
          <w:rStyle w:val="CRRefonteDeleted"/>
          <w:noProof/>
          <w:highlight w:val="lightGray"/>
        </w:rPr>
      </w:pPr>
      <w:r w:rsidRPr="00205D93">
        <w:rPr>
          <w:rStyle w:val="CRRefonteDeleted"/>
          <w:noProof/>
          <w:highlight w:val="lightGray"/>
        </w:rPr>
        <w:t>Bei der Berechnung der Primärenergiefaktoren zum Zweck der Berechnung der Gesamtenergieeffizienz von Gebäuden können die Mitgliedstaaten über den Energieträger gelieferte Energie aus erneuerbaren Energiequellen und standortnah erzeugte und verbrauchte Energie aus erneuerbaren Energiequellen berücksichtigen, sofern dies auf nichtdiskriminierende Weise erfolgt.</w:t>
      </w: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2018/844 Artikel 1 Nummer 14 und Anhang Nummer 1 Buchstabe c</w:t>
      </w:r>
    </w:p>
    <w:p w:rsidR="000448D2" w:rsidRPr="00205D93" w:rsidRDefault="000448D2" w:rsidP="00B67872">
      <w:pPr>
        <w:pStyle w:val="CRReference"/>
        <w:rPr>
          <w:rStyle w:val="CRMinorChangeAdded"/>
          <w:noProof/>
          <w:highlight w:val="lightGray"/>
        </w:rPr>
      </w:pPr>
      <w:r w:rsidRPr="00205D93">
        <w:rPr>
          <w:noProof/>
          <w:highlight w:val="lightGray"/>
        </w:rPr>
        <w:fldChar w:fldCharType="begin"/>
      </w:r>
      <w:r w:rsidRPr="00205D93">
        <w:rPr>
          <w:noProof/>
          <w:highlight w:val="lightGray"/>
        </w:rPr>
        <w:instrText xml:space="preserve"> QUOTE "ð" </w:instrText>
      </w:r>
      <w:r w:rsidRPr="00205D93">
        <w:rPr>
          <w:noProof/>
          <w:highlight w:val="lightGray"/>
        </w:rPr>
        <w:fldChar w:fldCharType="separate"/>
      </w:r>
      <w:r w:rsidRPr="00205D93">
        <w:rPr>
          <w:rStyle w:val="CRMarker"/>
          <w:noProof/>
          <w:highlight w:val="lightGray"/>
        </w:rPr>
        <w:t>ð</w:t>
      </w:r>
      <w:r w:rsidRPr="00205D93">
        <w:rPr>
          <w:noProof/>
          <w:highlight w:val="lightGray"/>
        </w:rPr>
        <w:fldChar w:fldCharType="end"/>
      </w:r>
      <w:r w:rsidRPr="00205D93">
        <w:rPr>
          <w:noProof/>
          <w:highlight w:val="lightGray"/>
        </w:rPr>
        <w:t> neu </w:t>
      </w:r>
    </w:p>
    <w:p w:rsidR="000448D2" w:rsidRPr="00205D93" w:rsidRDefault="000448D2">
      <w:pPr>
        <w:rPr>
          <w:noProof/>
        </w:rPr>
      </w:pPr>
      <w:r w:rsidRPr="00205D93">
        <w:rPr>
          <w:rStyle w:val="CRMinorChangeAdded"/>
          <w:noProof/>
        </w:rPr>
        <w:t>3.</w:t>
      </w:r>
      <w:r w:rsidRPr="00205D93">
        <w:rPr>
          <w:rStyle w:val="CRMinorChangeDeleted"/>
          <w:noProof/>
        </w:rPr>
        <w:t>2a.</w:t>
      </w:r>
      <w:r w:rsidRPr="00205D93">
        <w:rPr>
          <w:noProof/>
        </w:rPr>
        <w:tab/>
        <w:t xml:space="preserve">Für die Angabe der Gesamtenergieeffizienz eines Gebäudes können die Mitgliedstaaten zusätzliche numerische Indikatoren für den Gesamtverbrauch nicht erneuerbarer und erneuerbarer Primärenergie und für die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betriebsbedingten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Treibhausgasemissionen in kg CO</w:t>
      </w:r>
      <w:r w:rsidRPr="00205D93">
        <w:rPr>
          <w:noProof/>
          <w:vertAlign w:val="subscript"/>
        </w:rPr>
        <w:t>2</w:t>
      </w:r>
      <w:r w:rsidRPr="00205D93">
        <w:rPr>
          <w:noProof/>
        </w:rPr>
        <w:t>eq/(m</w:t>
      </w:r>
      <w:r w:rsidRPr="00205D93">
        <w:rPr>
          <w:noProof/>
          <w:vertAlign w:val="superscript"/>
        </w:rPr>
        <w:t>2</w:t>
      </w:r>
      <w:r w:rsidRPr="00205D93">
        <w:rPr>
          <w:noProof/>
        </w:rPr>
        <w:t>.a) festlegen.</w:t>
      </w: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2010/31/EU (angepasst)</w:t>
      </w:r>
    </w:p>
    <w:p w:rsidR="000448D2" w:rsidRPr="00205D93" w:rsidRDefault="000448D2">
      <w:pPr>
        <w:rPr>
          <w:noProof/>
        </w:rPr>
      </w:pPr>
      <w:r w:rsidRPr="00205D93">
        <w:rPr>
          <w:rStyle w:val="CRMinorChangeAdded"/>
          <w:noProof/>
        </w:rPr>
        <w:t>4.</w:t>
      </w:r>
      <w:r w:rsidRPr="00205D93">
        <w:rPr>
          <w:rStyle w:val="CRMinorChangeDeleted"/>
          <w:noProof/>
        </w:rPr>
        <w:t>3.</w:t>
      </w:r>
      <w:r w:rsidRPr="00205D93">
        <w:rPr>
          <w:noProof/>
        </w:rPr>
        <w:tab/>
        <w:t>Bei der Festlegung der Berechnungsmethode sind mindestens folgende Aspekte zu berücksichtigen:</w:t>
      </w:r>
    </w:p>
    <w:p w:rsidR="000448D2" w:rsidRPr="00205D93" w:rsidRDefault="000448D2">
      <w:pPr>
        <w:pStyle w:val="Point0"/>
        <w:rPr>
          <w:noProof/>
        </w:rPr>
      </w:pPr>
      <w:r w:rsidRPr="00205D93">
        <w:rPr>
          <w:noProof/>
        </w:rPr>
        <w:tab/>
        <w:t>a)</w:t>
      </w:r>
      <w:r w:rsidRPr="00205D93">
        <w:rPr>
          <w:noProof/>
        </w:rPr>
        <w:tab/>
        <w:t>die nachstehenden tatsächlichen thermischen Eigenschaften des Gebäudes, einschließlich der Innenbauteile:</w:t>
      </w:r>
    </w:p>
    <w:p w:rsidR="000448D2" w:rsidRPr="00205D93" w:rsidRDefault="000448D2">
      <w:pPr>
        <w:pStyle w:val="Point1"/>
        <w:rPr>
          <w:noProof/>
        </w:rPr>
      </w:pPr>
      <w:r w:rsidRPr="00205D93">
        <w:rPr>
          <w:noProof/>
        </w:rPr>
        <w:tab/>
        <w:t>i)</w:t>
      </w:r>
      <w:r w:rsidRPr="00205D93">
        <w:rPr>
          <w:noProof/>
        </w:rPr>
        <w:tab/>
        <w:t>Wärmekapazität,</w:t>
      </w:r>
    </w:p>
    <w:p w:rsidR="000448D2" w:rsidRPr="00205D93" w:rsidRDefault="000448D2">
      <w:pPr>
        <w:pStyle w:val="Point1"/>
        <w:rPr>
          <w:noProof/>
        </w:rPr>
      </w:pPr>
      <w:r w:rsidRPr="00205D93">
        <w:rPr>
          <w:noProof/>
        </w:rPr>
        <w:tab/>
        <w:t>ii)</w:t>
      </w:r>
      <w:r w:rsidRPr="00205D93">
        <w:rPr>
          <w:noProof/>
        </w:rPr>
        <w:tab/>
        <w:t>Wärmedämmung,</w:t>
      </w:r>
    </w:p>
    <w:p w:rsidR="000448D2" w:rsidRPr="00205D93" w:rsidRDefault="000448D2">
      <w:pPr>
        <w:pStyle w:val="Point1"/>
        <w:rPr>
          <w:noProof/>
        </w:rPr>
      </w:pPr>
      <w:r w:rsidRPr="00205D93">
        <w:rPr>
          <w:noProof/>
        </w:rPr>
        <w:tab/>
        <w:t>iii)</w:t>
      </w:r>
      <w:r w:rsidRPr="00205D93">
        <w:rPr>
          <w:noProof/>
        </w:rPr>
        <w:tab/>
        <w:t>passive Heizung,</w:t>
      </w:r>
    </w:p>
    <w:p w:rsidR="000448D2" w:rsidRPr="00205D93" w:rsidRDefault="000448D2">
      <w:pPr>
        <w:pStyle w:val="Point1"/>
        <w:rPr>
          <w:noProof/>
        </w:rPr>
      </w:pPr>
      <w:r w:rsidRPr="00205D93">
        <w:rPr>
          <w:noProof/>
        </w:rPr>
        <w:tab/>
        <w:t>iv)</w:t>
      </w:r>
      <w:r w:rsidRPr="00205D93">
        <w:rPr>
          <w:noProof/>
        </w:rPr>
        <w:tab/>
        <w:t>Kühlelemente</w:t>
      </w:r>
      <w:r w:rsidRPr="00205D93">
        <w:rPr>
          <w:rStyle w:val="CRMinorChangeAdded"/>
          <w:noProof/>
        </w:rPr>
        <w:t>,</w:t>
      </w:r>
      <w:r w:rsidRPr="00205D93">
        <w:rPr>
          <w:noProof/>
        </w:rPr>
        <w:t xml:space="preserve"> </w:t>
      </w:r>
      <w:r w:rsidRPr="00205D93">
        <w:rPr>
          <w:rStyle w:val="CRDeleted"/>
          <w:noProof/>
        </w:rPr>
        <w:t>und</w:t>
      </w:r>
    </w:p>
    <w:p w:rsidR="000448D2" w:rsidRPr="00205D93" w:rsidRDefault="000448D2">
      <w:pPr>
        <w:pStyle w:val="Point1"/>
        <w:rPr>
          <w:noProof/>
        </w:rPr>
      </w:pPr>
      <w:r w:rsidRPr="00205D93">
        <w:rPr>
          <w:noProof/>
        </w:rPr>
        <w:tab/>
        <w:t>v)</w:t>
      </w:r>
      <w:r w:rsidRPr="00205D93">
        <w:rPr>
          <w:noProof/>
        </w:rPr>
        <w:tab/>
        <w:t>Wärmebrücken;</w:t>
      </w:r>
    </w:p>
    <w:p w:rsidR="000448D2" w:rsidRPr="00205D93" w:rsidRDefault="000448D2">
      <w:pPr>
        <w:pStyle w:val="Point0"/>
        <w:rPr>
          <w:noProof/>
        </w:rPr>
      </w:pPr>
      <w:r w:rsidRPr="00205D93">
        <w:rPr>
          <w:noProof/>
        </w:rPr>
        <w:tab/>
        <w:t>b)</w:t>
      </w:r>
      <w:r w:rsidRPr="00205D93">
        <w:rPr>
          <w:noProof/>
        </w:rPr>
        <w:tab/>
        <w:t>Heizungsanlage und Warmwasserversorgung, einschließlich ihrer Dämmcharakteristik;</w:t>
      </w:r>
    </w:p>
    <w:p w:rsidR="000448D2" w:rsidRPr="00205D93" w:rsidRDefault="000448D2">
      <w:pPr>
        <w:pStyle w:val="Point0"/>
        <w:rPr>
          <w:noProof/>
        </w:rPr>
      </w:pPr>
      <w:r w:rsidRPr="00205D93">
        <w:rPr>
          <w:noProof/>
        </w:rPr>
        <w:tab/>
        <w:t>c)</w:t>
      </w:r>
      <w:r w:rsidRPr="00205D93">
        <w:rPr>
          <w:noProof/>
        </w:rPr>
        <w:tab/>
        <w:t>Klimaanlagen;</w:t>
      </w:r>
    </w:p>
    <w:p w:rsidR="000448D2" w:rsidRPr="00205D93" w:rsidRDefault="000448D2">
      <w:pPr>
        <w:pStyle w:val="Point0"/>
        <w:rPr>
          <w:noProof/>
        </w:rPr>
      </w:pPr>
      <w:r w:rsidRPr="00205D93">
        <w:rPr>
          <w:noProof/>
        </w:rPr>
        <w:tab/>
        <w:t>d)</w:t>
      </w:r>
      <w:r w:rsidRPr="00205D93">
        <w:rPr>
          <w:noProof/>
        </w:rPr>
        <w:tab/>
        <w:t>natürliche oder mechanische Belüftung, die auch die Luftdichtheit umfassen kann;</w:t>
      </w:r>
    </w:p>
    <w:p w:rsidR="000448D2" w:rsidRPr="00205D93" w:rsidRDefault="000448D2">
      <w:pPr>
        <w:pStyle w:val="Point0"/>
        <w:rPr>
          <w:noProof/>
        </w:rPr>
      </w:pPr>
      <w:r w:rsidRPr="00205D93">
        <w:rPr>
          <w:noProof/>
        </w:rPr>
        <w:tab/>
        <w:t>e)</w:t>
      </w:r>
      <w:r w:rsidRPr="00205D93">
        <w:rPr>
          <w:noProof/>
        </w:rPr>
        <w:tab/>
        <w:t>eingebaute Beleuchtung (hauptsächlich bei Nichtwohngebäuden);</w:t>
      </w:r>
    </w:p>
    <w:p w:rsidR="000448D2" w:rsidRPr="00205D93" w:rsidRDefault="000448D2">
      <w:pPr>
        <w:pStyle w:val="Point0"/>
        <w:rPr>
          <w:noProof/>
        </w:rPr>
      </w:pPr>
      <w:r w:rsidRPr="00205D93">
        <w:rPr>
          <w:noProof/>
        </w:rPr>
        <w:tab/>
        <w:t>f)</w:t>
      </w:r>
      <w:r w:rsidRPr="00205D93">
        <w:rPr>
          <w:noProof/>
        </w:rPr>
        <w:tab/>
        <w:t>Gestaltung, Lage und Ausrichtung des Gebäudes, einschließlich des Außenklimas;</w:t>
      </w:r>
    </w:p>
    <w:p w:rsidR="000448D2" w:rsidRPr="00205D93" w:rsidRDefault="000448D2">
      <w:pPr>
        <w:pStyle w:val="Point0"/>
        <w:rPr>
          <w:noProof/>
        </w:rPr>
      </w:pPr>
      <w:r w:rsidRPr="00205D93">
        <w:rPr>
          <w:noProof/>
        </w:rPr>
        <w:tab/>
        <w:t>g)</w:t>
      </w:r>
      <w:r w:rsidRPr="00205D93">
        <w:rPr>
          <w:noProof/>
        </w:rPr>
        <w:tab/>
        <w:t>passive Solarsysteme und Sonnenschutz;</w:t>
      </w:r>
    </w:p>
    <w:p w:rsidR="000448D2" w:rsidRPr="00205D93" w:rsidRDefault="000448D2">
      <w:pPr>
        <w:pStyle w:val="Point0"/>
        <w:rPr>
          <w:noProof/>
        </w:rPr>
      </w:pPr>
      <w:r w:rsidRPr="00205D93">
        <w:rPr>
          <w:noProof/>
        </w:rPr>
        <w:tab/>
        <w:t>h)</w:t>
      </w:r>
      <w:r w:rsidRPr="00205D93">
        <w:rPr>
          <w:noProof/>
        </w:rPr>
        <w:tab/>
        <w:t>Innenraumklimabedingungen, einschließlich des Innenraum-Sollklimas;</w:t>
      </w:r>
    </w:p>
    <w:p w:rsidR="000448D2" w:rsidRPr="00205D93" w:rsidRDefault="000448D2">
      <w:pPr>
        <w:pStyle w:val="Point0"/>
        <w:rPr>
          <w:noProof/>
        </w:rPr>
      </w:pPr>
      <w:r w:rsidRPr="00205D93">
        <w:rPr>
          <w:noProof/>
        </w:rPr>
        <w:tab/>
        <w:t>i)</w:t>
      </w:r>
      <w:r w:rsidRPr="00205D93">
        <w:rPr>
          <w:noProof/>
        </w:rPr>
        <w:tab/>
        <w:t>interne Lasten.</w:t>
      </w: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2018/844 Artikel 1 Nummer 14 und Anhang Nummer 1 Buchstabe d</w:t>
      </w:r>
    </w:p>
    <w:p w:rsidR="000448D2" w:rsidRPr="00205D93" w:rsidRDefault="000448D2">
      <w:pPr>
        <w:rPr>
          <w:noProof/>
        </w:rPr>
      </w:pPr>
      <w:r w:rsidRPr="00205D93">
        <w:rPr>
          <w:rStyle w:val="CRMinorChangeAdded"/>
          <w:noProof/>
        </w:rPr>
        <w:t>5.</w:t>
      </w:r>
      <w:r w:rsidRPr="00205D93">
        <w:rPr>
          <w:rStyle w:val="CRMinorChangeDeleted"/>
          <w:noProof/>
        </w:rPr>
        <w:t>4.</w:t>
      </w:r>
      <w:r w:rsidRPr="00205D93">
        <w:rPr>
          <w:noProof/>
        </w:rPr>
        <w:tab/>
        <w:t>Der positive Einfluss folgender Aspekte ist zu berücksichtigen:</w:t>
      </w: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2010/31/EU</w:t>
      </w:r>
    </w:p>
    <w:p w:rsidR="000448D2" w:rsidRPr="00205D93" w:rsidRDefault="000448D2">
      <w:pPr>
        <w:pStyle w:val="Point0"/>
        <w:rPr>
          <w:noProof/>
        </w:rPr>
      </w:pPr>
      <w:r w:rsidRPr="00205D93">
        <w:rPr>
          <w:noProof/>
        </w:rPr>
        <w:tab/>
        <w:t>a)</w:t>
      </w:r>
      <w:r w:rsidRPr="00205D93">
        <w:rPr>
          <w:noProof/>
        </w:rPr>
        <w:tab/>
        <w:t>lokale Sonnenexposition, aktive Solarsysteme und andere Systeme zur Erzeugung von Wärme und Elektrizität auf der Grundlage von Energie aus erneuerbaren Quellen;</w:t>
      </w:r>
    </w:p>
    <w:p w:rsidR="000448D2" w:rsidRPr="00205D93" w:rsidRDefault="000448D2">
      <w:pPr>
        <w:pStyle w:val="Point0"/>
        <w:rPr>
          <w:noProof/>
        </w:rPr>
      </w:pPr>
      <w:r w:rsidRPr="00205D93">
        <w:rPr>
          <w:noProof/>
        </w:rPr>
        <w:tab/>
        <w:t>b)</w:t>
      </w:r>
      <w:r w:rsidRPr="00205D93">
        <w:rPr>
          <w:noProof/>
        </w:rPr>
        <w:tab/>
        <w:t>Elektrizitätsgewinnung durch Kraft-Wärme-Kopplung;</w:t>
      </w:r>
    </w:p>
    <w:p w:rsidR="000448D2" w:rsidRPr="00205D93" w:rsidRDefault="000448D2">
      <w:pPr>
        <w:pStyle w:val="Point0"/>
        <w:rPr>
          <w:noProof/>
        </w:rPr>
      </w:pPr>
      <w:r w:rsidRPr="00205D93">
        <w:rPr>
          <w:noProof/>
        </w:rPr>
        <w:tab/>
        <w:t>c)</w:t>
      </w:r>
      <w:r w:rsidRPr="00205D93">
        <w:rPr>
          <w:noProof/>
        </w:rPr>
        <w:tab/>
        <w:t>Fern-/Blockheizung und Fern-/Blockkühlung;</w:t>
      </w:r>
    </w:p>
    <w:p w:rsidR="000448D2" w:rsidRPr="00205D93" w:rsidRDefault="000448D2">
      <w:pPr>
        <w:pStyle w:val="Point0"/>
        <w:rPr>
          <w:noProof/>
        </w:rPr>
      </w:pPr>
      <w:r w:rsidRPr="00205D93">
        <w:rPr>
          <w:noProof/>
        </w:rPr>
        <w:tab/>
        <w:t>d)</w:t>
      </w:r>
      <w:r w:rsidRPr="00205D93">
        <w:rPr>
          <w:noProof/>
        </w:rPr>
        <w:tab/>
        <w:t>natürliche Beleuchtung.</w:t>
      </w:r>
    </w:p>
    <w:p w:rsidR="000448D2" w:rsidRPr="00205D93" w:rsidRDefault="000448D2">
      <w:pPr>
        <w:rPr>
          <w:noProof/>
        </w:rPr>
      </w:pPr>
      <w:r w:rsidRPr="00205D93">
        <w:rPr>
          <w:rStyle w:val="CRMinorChangeAdded"/>
          <w:noProof/>
        </w:rPr>
        <w:t>6.</w:t>
      </w:r>
      <w:r w:rsidRPr="00205D93">
        <w:rPr>
          <w:rStyle w:val="CRMinorChangeDeleted"/>
          <w:noProof/>
        </w:rPr>
        <w:t>5.</w:t>
      </w:r>
      <w:r w:rsidRPr="00205D93">
        <w:rPr>
          <w:noProof/>
        </w:rPr>
        <w:tab/>
        <w:t>Für die Berechnung sollten die Gebäude angemessen in folgende Kategorien unterteilt werden:</w:t>
      </w:r>
    </w:p>
    <w:p w:rsidR="000448D2" w:rsidRPr="00205D93" w:rsidRDefault="000448D2">
      <w:pPr>
        <w:pStyle w:val="Point0"/>
        <w:rPr>
          <w:noProof/>
        </w:rPr>
      </w:pPr>
      <w:r w:rsidRPr="00205D93">
        <w:rPr>
          <w:noProof/>
        </w:rPr>
        <w:tab/>
        <w:t>a)</w:t>
      </w:r>
      <w:r w:rsidRPr="00205D93">
        <w:rPr>
          <w:noProof/>
        </w:rPr>
        <w:tab/>
        <w:t>Einfamilienhäuser verschiedener Bauarten;</w:t>
      </w:r>
    </w:p>
    <w:p w:rsidR="000448D2" w:rsidRPr="00205D93" w:rsidRDefault="000448D2">
      <w:pPr>
        <w:pStyle w:val="Point0"/>
        <w:rPr>
          <w:noProof/>
        </w:rPr>
      </w:pPr>
      <w:r w:rsidRPr="00205D93">
        <w:rPr>
          <w:noProof/>
        </w:rPr>
        <w:tab/>
        <w:t>b)</w:t>
      </w:r>
      <w:r w:rsidRPr="00205D93">
        <w:rPr>
          <w:noProof/>
        </w:rPr>
        <w:tab/>
        <w:t>Mehrfamilienhäuser;</w:t>
      </w:r>
    </w:p>
    <w:p w:rsidR="000448D2" w:rsidRPr="00205D93" w:rsidRDefault="000448D2">
      <w:pPr>
        <w:pStyle w:val="Point0"/>
        <w:rPr>
          <w:noProof/>
        </w:rPr>
      </w:pPr>
      <w:r w:rsidRPr="00205D93">
        <w:rPr>
          <w:noProof/>
        </w:rPr>
        <w:tab/>
        <w:t>c)</w:t>
      </w:r>
      <w:r w:rsidRPr="00205D93">
        <w:rPr>
          <w:noProof/>
        </w:rPr>
        <w:tab/>
        <w:t>Bürogebäude;</w:t>
      </w:r>
    </w:p>
    <w:p w:rsidR="000448D2" w:rsidRPr="00205D93" w:rsidRDefault="000448D2">
      <w:pPr>
        <w:pStyle w:val="Point0"/>
        <w:rPr>
          <w:noProof/>
        </w:rPr>
      </w:pPr>
      <w:r w:rsidRPr="00205D93">
        <w:rPr>
          <w:noProof/>
        </w:rPr>
        <w:tab/>
        <w:t>d)</w:t>
      </w:r>
      <w:r w:rsidRPr="00205D93">
        <w:rPr>
          <w:noProof/>
        </w:rPr>
        <w:tab/>
        <w:t>Unterrichtsgebäude;</w:t>
      </w:r>
    </w:p>
    <w:p w:rsidR="000448D2" w:rsidRPr="00205D93" w:rsidRDefault="000448D2">
      <w:pPr>
        <w:pStyle w:val="Point0"/>
        <w:rPr>
          <w:noProof/>
        </w:rPr>
      </w:pPr>
      <w:r w:rsidRPr="00205D93">
        <w:rPr>
          <w:noProof/>
        </w:rPr>
        <w:tab/>
        <w:t>e)</w:t>
      </w:r>
      <w:r w:rsidRPr="00205D93">
        <w:rPr>
          <w:noProof/>
        </w:rPr>
        <w:tab/>
        <w:t>Krankenhäuser;</w:t>
      </w:r>
    </w:p>
    <w:p w:rsidR="000448D2" w:rsidRPr="00205D93" w:rsidRDefault="000448D2">
      <w:pPr>
        <w:pStyle w:val="Point0"/>
        <w:rPr>
          <w:noProof/>
        </w:rPr>
      </w:pPr>
      <w:r w:rsidRPr="00205D93">
        <w:rPr>
          <w:noProof/>
        </w:rPr>
        <w:tab/>
        <w:t>f)</w:t>
      </w:r>
      <w:r w:rsidRPr="00205D93">
        <w:rPr>
          <w:noProof/>
        </w:rPr>
        <w:tab/>
        <w:t>Hotels und Gaststätten;</w:t>
      </w:r>
    </w:p>
    <w:p w:rsidR="000448D2" w:rsidRPr="00205D93" w:rsidRDefault="000448D2">
      <w:pPr>
        <w:pStyle w:val="Point0"/>
        <w:rPr>
          <w:noProof/>
        </w:rPr>
      </w:pPr>
      <w:r w:rsidRPr="00205D93">
        <w:rPr>
          <w:noProof/>
        </w:rPr>
        <w:tab/>
        <w:t>g)</w:t>
      </w:r>
      <w:r w:rsidRPr="00205D93">
        <w:rPr>
          <w:noProof/>
        </w:rPr>
        <w:tab/>
        <w:t>Sportanlagen;</w:t>
      </w:r>
    </w:p>
    <w:p w:rsidR="000448D2" w:rsidRPr="00205D93" w:rsidRDefault="000448D2">
      <w:pPr>
        <w:pStyle w:val="Point0"/>
        <w:rPr>
          <w:noProof/>
        </w:rPr>
      </w:pPr>
      <w:r w:rsidRPr="00205D93">
        <w:rPr>
          <w:noProof/>
        </w:rPr>
        <w:tab/>
        <w:t>h)</w:t>
      </w:r>
      <w:r w:rsidRPr="00205D93">
        <w:rPr>
          <w:noProof/>
        </w:rPr>
        <w:tab/>
        <w:t>Gebäude des Groß- und Einzelhandels;</w:t>
      </w:r>
    </w:p>
    <w:p w:rsidR="000448D2" w:rsidRPr="00205D93" w:rsidRDefault="000448D2" w:rsidP="009567AF">
      <w:pPr>
        <w:pStyle w:val="Point0"/>
        <w:rPr>
          <w:rStyle w:val="CommentReference"/>
          <w:noProof/>
        </w:rPr>
      </w:pPr>
      <w:r w:rsidRPr="00205D93">
        <w:rPr>
          <w:noProof/>
        </w:rPr>
        <w:tab/>
        <w:t>i)</w:t>
      </w:r>
      <w:r w:rsidRPr="00205D93">
        <w:rPr>
          <w:noProof/>
        </w:rPr>
        <w:tab/>
        <w:t>sonstige Arten Energie verbrauchender Gebäude.</w:t>
      </w:r>
    </w:p>
    <w:p w:rsidR="00C1704C" w:rsidRPr="00205D93" w:rsidRDefault="00C1704C" w:rsidP="00C1704C">
      <w:pPr>
        <w:rPr>
          <w:noProof/>
        </w:rPr>
        <w:sectPr w:rsidR="00C1704C" w:rsidRPr="00205D93" w:rsidSect="00816C38">
          <w:footerReference w:type="default" r:id="rId15"/>
          <w:footerReference w:type="first" r:id="rId16"/>
          <w:pgSz w:w="11906" w:h="16838"/>
          <w:pgMar w:top="1134" w:right="1418" w:bottom="1134" w:left="1418" w:header="709" w:footer="709" w:gutter="0"/>
          <w:pgNumType w:start="1"/>
          <w:cols w:space="709"/>
          <w:docGrid w:linePitch="326"/>
        </w:sectPr>
      </w:pPr>
    </w:p>
    <w:p w:rsidR="000448D2" w:rsidRPr="00205D93" w:rsidRDefault="000448D2" w:rsidP="009567AF">
      <w:pPr>
        <w:pStyle w:val="CRSeparator"/>
        <w:rPr>
          <w:noProof/>
        </w:rPr>
      </w:pP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 </w:t>
      </w:r>
    </w:p>
    <w:p w:rsidR="000448D2" w:rsidRPr="00205D93" w:rsidRDefault="000448D2" w:rsidP="00EC00AC">
      <w:pPr>
        <w:pStyle w:val="Annexetitre"/>
        <w:rPr>
          <w:noProof/>
          <w:highlight w:val="lightGray"/>
        </w:rPr>
      </w:pPr>
      <w:r w:rsidRPr="00205D93">
        <w:rPr>
          <w:noProof/>
          <w:highlight w:val="lightGray"/>
        </w:rPr>
        <w:t>ANHANG II</w:t>
      </w:r>
    </w:p>
    <w:p w:rsidR="000448D2" w:rsidRPr="00205D93" w:rsidRDefault="000448D2" w:rsidP="001C7344">
      <w:pPr>
        <w:pStyle w:val="ManualHeading1"/>
        <w:jc w:val="center"/>
        <w:rPr>
          <w:i/>
          <w:noProof/>
          <w:highlight w:val="lightGray"/>
        </w:rPr>
      </w:pPr>
      <w:r w:rsidRPr="00205D93">
        <w:rPr>
          <w:i/>
          <w:noProof/>
          <w:highlight w:val="lightGray"/>
        </w:rPr>
        <w:t>Vorlage für die nationalen Gebäuderenovierungspläne</w:t>
      </w:r>
    </w:p>
    <w:p w:rsidR="000448D2" w:rsidRPr="00205D93" w:rsidRDefault="000448D2" w:rsidP="001C7344">
      <w:pPr>
        <w:pStyle w:val="ManualHeading2"/>
        <w:jc w:val="center"/>
        <w:rPr>
          <w:b w:val="0"/>
          <w:noProof/>
          <w:highlight w:val="lightGray"/>
        </w:rPr>
      </w:pPr>
      <w:r w:rsidRPr="00205D93">
        <w:rPr>
          <w:b w:val="0"/>
          <w:noProof/>
          <w:highlight w:val="lightGray"/>
        </w:rPr>
        <w:t>(gemäß Artikel 3)</w:t>
      </w:r>
    </w:p>
    <w:tbl>
      <w:tblPr>
        <w:tblW w:w="13183" w:type="dxa"/>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2"/>
        <w:gridCol w:w="5811"/>
        <w:gridCol w:w="4820"/>
      </w:tblGrid>
      <w:tr w:rsidR="000448D2" w:rsidRPr="00205D93" w:rsidTr="009567AF">
        <w:trPr>
          <w:trHeight w:val="916"/>
        </w:trPr>
        <w:tc>
          <w:tcPr>
            <w:tcW w:w="2552" w:type="dxa"/>
            <w:tcBorders>
              <w:left w:val="nil"/>
            </w:tcBorders>
            <w:vAlign w:val="center"/>
          </w:tcPr>
          <w:p w:rsidR="000448D2" w:rsidRPr="00205D93" w:rsidRDefault="000448D2" w:rsidP="009567AF">
            <w:pPr>
              <w:widowControl w:val="0"/>
              <w:spacing w:before="1" w:after="0"/>
              <w:ind w:left="1261" w:hanging="1261"/>
              <w:jc w:val="center"/>
              <w:rPr>
                <w:rFonts w:eastAsia="Times New Roman"/>
                <w:noProof/>
                <w:sz w:val="22"/>
                <w:highlight w:val="lightGray"/>
              </w:rPr>
            </w:pPr>
            <w:r w:rsidRPr="00205D93">
              <w:rPr>
                <w:noProof/>
                <w:sz w:val="22"/>
                <w:highlight w:val="lightGray"/>
              </w:rPr>
              <w:t>Artikel 3 der Richtlinie über die Gesamtenergieeffizienz von Gebäuden</w:t>
            </w:r>
          </w:p>
        </w:tc>
        <w:tc>
          <w:tcPr>
            <w:tcW w:w="5811" w:type="dxa"/>
            <w:vAlign w:val="center"/>
          </w:tcPr>
          <w:p w:rsidR="000448D2" w:rsidRPr="00205D93" w:rsidRDefault="000448D2" w:rsidP="009567AF">
            <w:pPr>
              <w:widowControl w:val="0"/>
              <w:spacing w:before="1" w:after="0"/>
              <w:ind w:left="1261" w:right="19" w:hanging="1264"/>
              <w:jc w:val="center"/>
              <w:rPr>
                <w:rFonts w:eastAsia="Times New Roman"/>
                <w:noProof/>
                <w:sz w:val="22"/>
                <w:highlight w:val="lightGray"/>
              </w:rPr>
            </w:pPr>
            <w:r w:rsidRPr="00205D93">
              <w:rPr>
                <w:noProof/>
                <w:sz w:val="22"/>
                <w:highlight w:val="lightGray"/>
              </w:rPr>
              <w:t>Obligatorische Indikatoren</w:t>
            </w:r>
          </w:p>
        </w:tc>
        <w:tc>
          <w:tcPr>
            <w:tcW w:w="4820" w:type="dxa"/>
            <w:tcBorders>
              <w:right w:val="nil"/>
            </w:tcBorders>
            <w:vAlign w:val="center"/>
          </w:tcPr>
          <w:p w:rsidR="000448D2" w:rsidRPr="00205D93" w:rsidRDefault="000448D2" w:rsidP="009567AF">
            <w:pPr>
              <w:widowControl w:val="0"/>
              <w:spacing w:before="1" w:after="0"/>
              <w:ind w:left="1532" w:hanging="1288"/>
              <w:jc w:val="center"/>
              <w:rPr>
                <w:rFonts w:eastAsia="Times New Roman"/>
                <w:noProof/>
                <w:sz w:val="22"/>
                <w:highlight w:val="lightGray"/>
              </w:rPr>
            </w:pPr>
            <w:r w:rsidRPr="00205D93">
              <w:rPr>
                <w:noProof/>
                <w:sz w:val="22"/>
                <w:highlight w:val="lightGray"/>
              </w:rPr>
              <w:t xml:space="preserve">Fakultative Indikatoren/Anmerkungen </w:t>
            </w:r>
          </w:p>
        </w:tc>
      </w:tr>
      <w:tr w:rsidR="000448D2" w:rsidRPr="00205D93" w:rsidTr="009567AF">
        <w:trPr>
          <w:trHeight w:val="2688"/>
        </w:trPr>
        <w:tc>
          <w:tcPr>
            <w:tcW w:w="2552" w:type="dxa"/>
            <w:vMerge w:val="restart"/>
            <w:tcBorders>
              <w:top w:val="single" w:sz="4" w:space="0" w:color="auto"/>
              <w:left w:val="nil"/>
              <w:right w:val="single" w:sz="4" w:space="0" w:color="auto"/>
            </w:tcBorders>
          </w:tcPr>
          <w:p w:rsidR="000448D2" w:rsidRPr="00205D93" w:rsidRDefault="000448D2" w:rsidP="009567AF">
            <w:pPr>
              <w:widowControl w:val="0"/>
              <w:spacing w:before="5" w:after="0"/>
              <w:jc w:val="left"/>
              <w:rPr>
                <w:rFonts w:eastAsia="Times New Roman"/>
                <w:noProof/>
                <w:sz w:val="22"/>
                <w:highlight w:val="lightGray"/>
              </w:rPr>
            </w:pPr>
          </w:p>
          <w:p w:rsidR="000448D2" w:rsidRPr="00205D93" w:rsidRDefault="000448D2" w:rsidP="009567AF">
            <w:pPr>
              <w:widowControl w:val="0"/>
              <w:spacing w:before="0" w:after="0"/>
              <w:ind w:left="310" w:hanging="284"/>
              <w:jc w:val="left"/>
              <w:rPr>
                <w:noProof/>
                <w:sz w:val="22"/>
                <w:highlight w:val="lightGray"/>
              </w:rPr>
            </w:pPr>
            <w:r w:rsidRPr="00205D93">
              <w:rPr>
                <w:noProof/>
                <w:sz w:val="22"/>
                <w:highlight w:val="lightGray"/>
              </w:rPr>
              <w:t>a) Überblick über den nationalen Gebäudebestand</w:t>
            </w:r>
          </w:p>
          <w:p w:rsidR="000448D2" w:rsidRPr="00205D93" w:rsidRDefault="000448D2" w:rsidP="009567AF">
            <w:pPr>
              <w:widowControl w:val="0"/>
              <w:spacing w:before="1" w:after="0" w:line="228" w:lineRule="auto"/>
              <w:ind w:right="75"/>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0"/>
              </w:tabs>
              <w:spacing w:before="196" w:after="0"/>
              <w:jc w:val="left"/>
              <w:rPr>
                <w:rFonts w:eastAsia="Times New Roman"/>
                <w:noProof/>
                <w:sz w:val="22"/>
                <w:highlight w:val="lightGray"/>
              </w:rPr>
            </w:pPr>
            <w:r w:rsidRPr="00205D93">
              <w:rPr>
                <w:noProof/>
                <w:sz w:val="22"/>
                <w:highlight w:val="lightGray"/>
              </w:rPr>
              <w:t>Anzahl der Gebäude und Gesamtfläche (in m</w:t>
            </w:r>
            <w:r w:rsidRPr="00205D93">
              <w:rPr>
                <w:noProof/>
                <w:sz w:val="22"/>
                <w:highlight w:val="lightGray"/>
                <w:vertAlign w:val="superscript"/>
              </w:rPr>
              <w:t>2</w:t>
            </w:r>
            <w:r w:rsidRPr="00205D93">
              <w:rPr>
                <w:noProof/>
                <w:sz w:val="22"/>
                <w:highlight w:val="lightGray"/>
              </w:rPr>
              <w:t>):</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nach Gebäudeart (einschließlich öffentlicher Gebäude und Sozialwohnungen)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nach Gesamtenergieeffizienzklasse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Niedrigstenergiegebäude</w:t>
            </w:r>
          </w:p>
          <w:p w:rsidR="000448D2" w:rsidRPr="00205D93" w:rsidRDefault="000448D2" w:rsidP="00B92D8E">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Gebäude mit der schlechtesten Gesamtenergieeffizienz (einschließlich einer Definition) </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spacing w:before="5" w:after="0"/>
              <w:jc w:val="left"/>
              <w:rPr>
                <w:rFonts w:eastAsia="Times New Roman"/>
                <w:noProof/>
                <w:sz w:val="22"/>
                <w:highlight w:val="lightGray"/>
              </w:rPr>
            </w:pPr>
            <w:r w:rsidRPr="00205D93">
              <w:rPr>
                <w:noProof/>
                <w:sz w:val="22"/>
                <w:highlight w:val="lightGray"/>
              </w:rPr>
              <w:t>Anzahl der Gebäude und Gesamtfläche (in m</w:t>
            </w:r>
            <w:r w:rsidRPr="00205D93">
              <w:rPr>
                <w:noProof/>
                <w:sz w:val="22"/>
                <w:highlight w:val="lightGray"/>
                <w:vertAlign w:val="superscript"/>
              </w:rPr>
              <w:t>2</w:t>
            </w:r>
            <w:r w:rsidRPr="00205D93">
              <w:rPr>
                <w:noProof/>
                <w:sz w:val="22"/>
                <w:highlight w:val="lightGray"/>
              </w:rPr>
              <w:t>):</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nach Gebäudealter</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nach Gebäudegröße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nach Klimazone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Abriss (Anzahl und Gesamtfläche)</w:t>
            </w:r>
          </w:p>
        </w:tc>
      </w:tr>
      <w:tr w:rsidR="000448D2" w:rsidRPr="00205D93" w:rsidTr="009567AF">
        <w:trPr>
          <w:trHeight w:val="1107"/>
        </w:trPr>
        <w:tc>
          <w:tcPr>
            <w:tcW w:w="2552" w:type="dxa"/>
            <w:vMerge/>
          </w:tcPr>
          <w:p w:rsidR="000448D2" w:rsidRPr="00205D93"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1"/>
              </w:tabs>
              <w:spacing w:before="73" w:after="0"/>
              <w:jc w:val="left"/>
              <w:rPr>
                <w:rFonts w:eastAsia="Times New Roman"/>
                <w:noProof/>
                <w:sz w:val="22"/>
                <w:highlight w:val="lightGray"/>
              </w:rPr>
            </w:pPr>
            <w:r w:rsidRPr="00205D93">
              <w:rPr>
                <w:noProof/>
                <w:sz w:val="22"/>
                <w:highlight w:val="lightGray"/>
              </w:rPr>
              <w:t>Anzahl der Ausweise über die Gesamtenergieeffizienz:</w:t>
            </w:r>
          </w:p>
          <w:p w:rsidR="000448D2" w:rsidRPr="00205D93" w:rsidRDefault="000448D2" w:rsidP="000448D2">
            <w:pPr>
              <w:widowControl w:val="0"/>
              <w:numPr>
                <w:ilvl w:val="1"/>
                <w:numId w:val="11"/>
              </w:numPr>
              <w:tabs>
                <w:tab w:val="left" w:pos="651"/>
              </w:tabs>
              <w:spacing w:before="74" w:after="0" w:line="278" w:lineRule="exact"/>
              <w:jc w:val="left"/>
              <w:rPr>
                <w:rFonts w:eastAsia="Times New Roman"/>
                <w:noProof/>
                <w:sz w:val="22"/>
                <w:highlight w:val="lightGray"/>
              </w:rPr>
            </w:pPr>
            <w:r w:rsidRPr="00205D93">
              <w:rPr>
                <w:noProof/>
                <w:sz w:val="22"/>
                <w:highlight w:val="lightGray"/>
              </w:rPr>
              <w:t>nach Gebäudeart (einschließlich öffentlicher Gebäude)</w:t>
            </w:r>
          </w:p>
          <w:p w:rsidR="006F14DB" w:rsidRPr="00205D93" w:rsidRDefault="006F14DB" w:rsidP="000448D2">
            <w:pPr>
              <w:widowControl w:val="0"/>
              <w:numPr>
                <w:ilvl w:val="1"/>
                <w:numId w:val="11"/>
              </w:numPr>
              <w:tabs>
                <w:tab w:val="left" w:pos="651"/>
              </w:tabs>
              <w:spacing w:before="74" w:after="0" w:line="278" w:lineRule="exact"/>
              <w:jc w:val="left"/>
              <w:rPr>
                <w:rFonts w:eastAsia="Times New Roman"/>
                <w:noProof/>
                <w:sz w:val="22"/>
                <w:highlight w:val="lightGray"/>
              </w:rPr>
            </w:pPr>
            <w:r w:rsidRPr="00205D93">
              <w:rPr>
                <w:noProof/>
                <w:sz w:val="22"/>
                <w:highlight w:val="lightGray"/>
              </w:rPr>
              <w:t>nach Gesamtenergieeffizienzklasse</w:t>
            </w:r>
          </w:p>
          <w:p w:rsidR="000448D2" w:rsidRPr="00205D93" w:rsidRDefault="000448D2" w:rsidP="009567AF">
            <w:pPr>
              <w:widowControl w:val="0"/>
              <w:tabs>
                <w:tab w:val="left" w:pos="651"/>
              </w:tabs>
              <w:spacing w:before="74" w:after="0" w:line="278" w:lineRule="exact"/>
              <w:ind w:left="650"/>
              <w:jc w:val="left"/>
              <w:rPr>
                <w:rFonts w:eastAsia="Times New Roman"/>
                <w:noProof/>
                <w:sz w:val="22"/>
                <w:highlight w:val="lightGray"/>
              </w:rPr>
            </w:pP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651"/>
              </w:tabs>
              <w:spacing w:before="74" w:after="0" w:line="278" w:lineRule="exact"/>
              <w:jc w:val="left"/>
              <w:rPr>
                <w:rFonts w:eastAsia="Times New Roman"/>
                <w:noProof/>
                <w:sz w:val="22"/>
                <w:highlight w:val="lightGray"/>
              </w:rPr>
            </w:pPr>
            <w:r w:rsidRPr="00205D93">
              <w:rPr>
                <w:noProof/>
                <w:sz w:val="22"/>
                <w:highlight w:val="lightGray"/>
              </w:rPr>
              <w:t>Anzahl der Ausweise über die Gesamtenergieeffizienz:</w:t>
            </w:r>
          </w:p>
          <w:p w:rsidR="000448D2" w:rsidRPr="00205D93" w:rsidRDefault="000448D2" w:rsidP="000448D2">
            <w:pPr>
              <w:widowControl w:val="0"/>
              <w:numPr>
                <w:ilvl w:val="0"/>
                <w:numId w:val="14"/>
              </w:numPr>
              <w:tabs>
                <w:tab w:val="left" w:pos="651"/>
              </w:tabs>
              <w:spacing w:before="74" w:after="0" w:line="278" w:lineRule="exact"/>
              <w:jc w:val="left"/>
              <w:rPr>
                <w:rFonts w:eastAsia="Times New Roman"/>
                <w:noProof/>
                <w:sz w:val="22"/>
                <w:highlight w:val="lightGray"/>
              </w:rPr>
            </w:pPr>
            <w:r w:rsidRPr="00205D93">
              <w:rPr>
                <w:noProof/>
                <w:sz w:val="22"/>
                <w:highlight w:val="lightGray"/>
              </w:rPr>
              <w:t>nach Bauzeitraum</w:t>
            </w:r>
          </w:p>
          <w:p w:rsidR="000448D2" w:rsidRPr="00205D93" w:rsidRDefault="000448D2" w:rsidP="009567AF">
            <w:pPr>
              <w:widowControl w:val="0"/>
              <w:spacing w:before="5" w:after="0"/>
              <w:jc w:val="left"/>
              <w:rPr>
                <w:rFonts w:eastAsia="Times New Roman"/>
                <w:noProof/>
                <w:sz w:val="22"/>
                <w:highlight w:val="lightGray"/>
              </w:rPr>
            </w:pPr>
          </w:p>
        </w:tc>
      </w:tr>
      <w:tr w:rsidR="000448D2" w:rsidRPr="00205D93" w:rsidTr="009567AF">
        <w:trPr>
          <w:trHeight w:val="1993"/>
        </w:trPr>
        <w:tc>
          <w:tcPr>
            <w:tcW w:w="2552" w:type="dxa"/>
            <w:vMerge/>
          </w:tcPr>
          <w:p w:rsidR="000448D2" w:rsidRPr="00205D93"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0"/>
              </w:tabs>
              <w:spacing w:before="196" w:after="0"/>
              <w:jc w:val="left"/>
              <w:rPr>
                <w:rFonts w:eastAsia="Times New Roman"/>
                <w:noProof/>
                <w:sz w:val="22"/>
                <w:highlight w:val="lightGray"/>
              </w:rPr>
            </w:pPr>
            <w:r w:rsidRPr="00205D93">
              <w:rPr>
                <w:noProof/>
                <w:sz w:val="22"/>
                <w:highlight w:val="lightGray"/>
              </w:rPr>
              <w:t>Jährliche Renovierungsquoten: Anzahl der Gebäude und Gesamtfläche (in m</w:t>
            </w:r>
            <w:r w:rsidRPr="00205D93">
              <w:rPr>
                <w:noProof/>
                <w:sz w:val="22"/>
                <w:highlight w:val="lightGray"/>
                <w:vertAlign w:val="superscript"/>
              </w:rPr>
              <w:t>2</w:t>
            </w:r>
            <w:r w:rsidRPr="00205D93">
              <w:rPr>
                <w:noProof/>
                <w:sz w:val="22"/>
                <w:highlight w:val="lightGray"/>
              </w:rPr>
              <w:t>):</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nach Gebäudeart</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 xml:space="preserve">auf das Niveau von Niedrigstenergiegebäuden </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nach Renovierungsumfang (gewichtete durchschnittliche Renovierung)</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umfassende Renovierungen</w:t>
            </w:r>
          </w:p>
          <w:p w:rsidR="0012730B" w:rsidRPr="00205D93" w:rsidRDefault="000448D2" w:rsidP="00D0142A">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öffentliche Gebäude</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370"/>
              </w:tabs>
              <w:spacing w:before="196" w:after="0"/>
              <w:jc w:val="left"/>
              <w:rPr>
                <w:rFonts w:eastAsia="Times New Roman"/>
                <w:noProof/>
                <w:sz w:val="22"/>
                <w:highlight w:val="lightGray"/>
              </w:rPr>
            </w:pPr>
          </w:p>
        </w:tc>
      </w:tr>
      <w:tr w:rsidR="000448D2" w:rsidRPr="00205D93" w:rsidTr="009567AF">
        <w:trPr>
          <w:trHeight w:val="1380"/>
        </w:trPr>
        <w:tc>
          <w:tcPr>
            <w:tcW w:w="2552" w:type="dxa"/>
            <w:vMerge/>
          </w:tcPr>
          <w:p w:rsidR="000448D2" w:rsidRPr="00205D93"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Jährlicher Primär- und Endenergieverbrauch (in kt RÖE):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nach Gebäudeart</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nach Endverbrauch</w:t>
            </w:r>
          </w:p>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Energieeinsparungen (in kt RÖE):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nach Gebäudeart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öffentliche Gebäude</w:t>
            </w:r>
          </w:p>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 xml:space="preserve">Anteil erneuerbarer Energien im Gebäudesektor (erzeugte MW)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für verschiedene Nutzungszwecke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am Standort</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außerhalb des Standorts</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650"/>
              </w:tabs>
              <w:spacing w:before="73" w:after="0"/>
              <w:jc w:val="left"/>
              <w:rPr>
                <w:rFonts w:eastAsia="Times New Roman"/>
                <w:noProof/>
                <w:sz w:val="22"/>
                <w:highlight w:val="lightGray"/>
              </w:rPr>
            </w:pPr>
            <w:r w:rsidRPr="00205D93">
              <w:rPr>
                <w:noProof/>
                <w:sz w:val="22"/>
                <w:highlight w:val="lightGray"/>
              </w:rPr>
              <w:t>Verringerung der Energiekosten (in EUR) pro Haushalt (Durchschnitt)</w:t>
            </w:r>
          </w:p>
          <w:p w:rsidR="000448D2" w:rsidRPr="00205D93" w:rsidRDefault="000448D2" w:rsidP="009567AF">
            <w:pPr>
              <w:widowControl w:val="0"/>
              <w:tabs>
                <w:tab w:val="left" w:pos="650"/>
              </w:tabs>
              <w:spacing w:before="73" w:after="0"/>
              <w:jc w:val="left"/>
              <w:rPr>
                <w:rFonts w:eastAsia="Times New Roman"/>
                <w:noProof/>
                <w:sz w:val="22"/>
                <w:highlight w:val="lightGray"/>
              </w:rPr>
            </w:pPr>
          </w:p>
          <w:p w:rsidR="000448D2" w:rsidRPr="00205D93" w:rsidRDefault="000448D2" w:rsidP="009567AF">
            <w:pPr>
              <w:widowControl w:val="0"/>
              <w:tabs>
                <w:tab w:val="left" w:pos="650"/>
              </w:tabs>
              <w:spacing w:before="73" w:after="0"/>
              <w:jc w:val="left"/>
              <w:rPr>
                <w:rFonts w:eastAsia="Times New Roman"/>
                <w:noProof/>
                <w:sz w:val="22"/>
                <w:highlight w:val="lightGray"/>
              </w:rPr>
            </w:pPr>
            <w:r w:rsidRPr="00205D93">
              <w:rPr>
                <w:noProof/>
                <w:sz w:val="22"/>
                <w:highlight w:val="lightGray"/>
              </w:rPr>
              <w:t xml:space="preserve">Primärenergiebedarf eines Gebäudes, das gemäß dem Delegierten Rechtsakt zur EU-Klimataxonomie den besten 15 % </w:t>
            </w:r>
            <w:r w:rsidR="006F14DB" w:rsidRPr="00205D93">
              <w:rPr>
                <w:noProof/>
                <w:sz w:val="22"/>
                <w:highlight w:val="lightGray"/>
              </w:rPr>
              <w:t>(</w:t>
            </w:r>
            <w:r w:rsidR="00DA3228" w:rsidRPr="00205D93">
              <w:rPr>
                <w:noProof/>
                <w:sz w:val="22"/>
                <w:highlight w:val="lightGray"/>
              </w:rPr>
              <w:t>Schwellenwert für einen wesentlichen Beitrag</w:t>
            </w:r>
            <w:r w:rsidR="006F14DB" w:rsidRPr="00205D93">
              <w:rPr>
                <w:noProof/>
                <w:sz w:val="22"/>
                <w:highlight w:val="lightGray"/>
              </w:rPr>
              <w:t xml:space="preserve">) </w:t>
            </w:r>
            <w:r w:rsidRPr="00205D93">
              <w:rPr>
                <w:noProof/>
                <w:sz w:val="22"/>
                <w:highlight w:val="lightGray"/>
              </w:rPr>
              <w:t xml:space="preserve">und den besten 30 % </w:t>
            </w:r>
            <w:r w:rsidR="006F14DB" w:rsidRPr="00205D93">
              <w:rPr>
                <w:noProof/>
                <w:sz w:val="22"/>
                <w:highlight w:val="lightGray"/>
              </w:rPr>
              <w:t>(</w:t>
            </w:r>
            <w:r w:rsidR="00DA3228" w:rsidRPr="00205D93">
              <w:rPr>
                <w:noProof/>
                <w:sz w:val="22"/>
                <w:highlight w:val="lightGray"/>
              </w:rPr>
              <w:t>Schwellenwert für die Vermeidung erheblicher Beeinträchtigungen)</w:t>
            </w:r>
            <w:r w:rsidR="006F14DB" w:rsidRPr="00205D93">
              <w:rPr>
                <w:noProof/>
                <w:sz w:val="22"/>
                <w:highlight w:val="lightGray"/>
              </w:rPr>
              <w:t xml:space="preserve"> </w:t>
            </w:r>
            <w:r w:rsidRPr="00205D93">
              <w:rPr>
                <w:noProof/>
                <w:sz w:val="22"/>
                <w:highlight w:val="lightGray"/>
              </w:rPr>
              <w:t>des nationalen Gebäudebestands entspricht</w:t>
            </w:r>
          </w:p>
          <w:p w:rsidR="000448D2" w:rsidRPr="00205D93" w:rsidRDefault="000448D2" w:rsidP="009567AF">
            <w:pPr>
              <w:widowControl w:val="0"/>
              <w:tabs>
                <w:tab w:val="left" w:pos="650"/>
              </w:tabs>
              <w:spacing w:before="73" w:after="0"/>
              <w:jc w:val="left"/>
              <w:rPr>
                <w:rFonts w:eastAsia="Times New Roman"/>
                <w:noProof/>
                <w:sz w:val="22"/>
                <w:highlight w:val="lightGray"/>
              </w:rPr>
            </w:pPr>
          </w:p>
          <w:p w:rsidR="000448D2" w:rsidRPr="00205D93" w:rsidRDefault="000448D2" w:rsidP="009567AF">
            <w:pPr>
              <w:widowControl w:val="0"/>
              <w:tabs>
                <w:tab w:val="left" w:pos="650"/>
              </w:tabs>
              <w:spacing w:before="73" w:after="0"/>
              <w:jc w:val="left"/>
              <w:rPr>
                <w:rFonts w:eastAsia="Times New Roman"/>
                <w:noProof/>
                <w:sz w:val="22"/>
                <w:highlight w:val="lightGray"/>
              </w:rPr>
            </w:pPr>
            <w:r w:rsidRPr="00205D93">
              <w:rPr>
                <w:noProof/>
                <w:sz w:val="22"/>
                <w:highlight w:val="lightGray"/>
              </w:rPr>
              <w:t>Anteile der Heizungsanlagen im Gebäudesektor nach Heizkessel-/Heizungsanlagentyp</w:t>
            </w:r>
          </w:p>
        </w:tc>
      </w:tr>
      <w:tr w:rsidR="000448D2" w:rsidRPr="00205D93" w:rsidTr="009567AF">
        <w:trPr>
          <w:trHeight w:val="1021"/>
        </w:trPr>
        <w:tc>
          <w:tcPr>
            <w:tcW w:w="2552" w:type="dxa"/>
            <w:vMerge/>
          </w:tcPr>
          <w:p w:rsidR="000448D2" w:rsidRPr="00205D93" w:rsidRDefault="000448D2" w:rsidP="009567AF">
            <w:pPr>
              <w:widowControl w:val="0"/>
              <w:spacing w:before="5" w:after="0"/>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0"/>
              </w:tabs>
              <w:spacing w:before="196" w:after="0"/>
              <w:jc w:val="left"/>
              <w:rPr>
                <w:rFonts w:eastAsia="Times New Roman"/>
                <w:noProof/>
                <w:sz w:val="22"/>
                <w:highlight w:val="lightGray"/>
              </w:rPr>
            </w:pPr>
            <w:r w:rsidRPr="00205D93">
              <w:rPr>
                <w:noProof/>
                <w:highlight w:val="lightGray"/>
              </w:rPr>
              <w:t>Jährliche Treibhausgasemissionen (in kg CO</w:t>
            </w:r>
            <w:r w:rsidRPr="00205D93">
              <w:rPr>
                <w:noProof/>
                <w:highlight w:val="lightGray"/>
                <w:vertAlign w:val="subscript"/>
              </w:rPr>
              <w:t>2</w:t>
            </w:r>
            <w:r w:rsidRPr="00205D93">
              <w:rPr>
                <w:noProof/>
                <w:highlight w:val="lightGray"/>
              </w:rPr>
              <w:t>eq/(m</w:t>
            </w:r>
            <w:r w:rsidRPr="00205D93">
              <w:rPr>
                <w:noProof/>
                <w:highlight w:val="lightGray"/>
                <w:vertAlign w:val="superscript"/>
              </w:rPr>
              <w:t>2</w:t>
            </w:r>
            <w:r w:rsidRPr="00205D93">
              <w:rPr>
                <w:noProof/>
                <w:highlight w:val="lightGray"/>
              </w:rPr>
              <w:t>.a):</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nach Gebäudeart (einschließlich öffentlicher Gebäude)</w:t>
            </w:r>
          </w:p>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Jährliche Verringerung der Treibhausgasemissionen (in kg CO</w:t>
            </w:r>
            <w:r w:rsidRPr="00205D93">
              <w:rPr>
                <w:noProof/>
                <w:sz w:val="22"/>
                <w:highlight w:val="lightGray"/>
                <w:vertAlign w:val="subscript"/>
              </w:rPr>
              <w:t>2</w:t>
            </w:r>
            <w:r w:rsidRPr="00205D93">
              <w:rPr>
                <w:noProof/>
                <w:sz w:val="22"/>
                <w:highlight w:val="lightGray"/>
              </w:rPr>
              <w:t>eq/(m</w:t>
            </w:r>
            <w:r w:rsidRPr="00205D93">
              <w:rPr>
                <w:noProof/>
                <w:sz w:val="22"/>
                <w:highlight w:val="lightGray"/>
                <w:vertAlign w:val="superscript"/>
              </w:rPr>
              <w:t>2</w:t>
            </w:r>
            <w:r w:rsidRPr="00205D93">
              <w:rPr>
                <w:noProof/>
                <w:sz w:val="22"/>
                <w:highlight w:val="lightGray"/>
              </w:rPr>
              <w:t>.a):</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rPr>
              <w:tab/>
            </w:r>
            <w:r w:rsidRPr="00205D93">
              <w:rPr>
                <w:noProof/>
                <w:sz w:val="22"/>
                <w:highlight w:val="lightGray"/>
              </w:rPr>
              <w:t>nach Gebäudeart (einschließlich öffentlicher Gebäude)</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p>
        </w:tc>
      </w:tr>
      <w:tr w:rsidR="000448D2" w:rsidRPr="00205D93" w:rsidTr="009567AF">
        <w:trPr>
          <w:trHeight w:val="2413"/>
        </w:trPr>
        <w:tc>
          <w:tcPr>
            <w:tcW w:w="2552" w:type="dxa"/>
            <w:vMerge/>
          </w:tcPr>
          <w:p w:rsidR="000448D2" w:rsidRPr="00205D93" w:rsidRDefault="000448D2" w:rsidP="009567AF">
            <w:pPr>
              <w:widowControl w:val="0"/>
              <w:spacing w:before="0" w:after="0"/>
              <w:ind w:left="310" w:hanging="284"/>
              <w:jc w:val="left"/>
              <w:rPr>
                <w:rFonts w:eastAsia="Times New Roman"/>
                <w:noProof/>
                <w:sz w:val="22"/>
                <w:highlight w:val="lightGray"/>
              </w:rPr>
            </w:pPr>
          </w:p>
        </w:tc>
        <w:tc>
          <w:tcPr>
            <w:tcW w:w="5811" w:type="dxa"/>
            <w:tcBorders>
              <w:top w:val="single" w:sz="4" w:space="0" w:color="auto"/>
              <w:left w:val="single" w:sz="4" w:space="0" w:color="auto"/>
              <w:bottom w:val="single" w:sz="4" w:space="0" w:color="auto"/>
            </w:tcBorders>
          </w:tcPr>
          <w:p w:rsidR="000448D2" w:rsidRPr="00205D93" w:rsidRDefault="000448D2" w:rsidP="009567AF">
            <w:pPr>
              <w:widowControl w:val="0"/>
              <w:tabs>
                <w:tab w:val="left" w:pos="370"/>
              </w:tabs>
              <w:spacing w:before="73" w:after="0"/>
              <w:jc w:val="left"/>
              <w:rPr>
                <w:rFonts w:eastAsia="Times New Roman"/>
                <w:noProof/>
                <w:sz w:val="22"/>
                <w:highlight w:val="lightGray"/>
              </w:rPr>
            </w:pPr>
            <w:r w:rsidRPr="00205D93">
              <w:rPr>
                <w:noProof/>
                <w:sz w:val="22"/>
                <w:highlight w:val="lightGray"/>
              </w:rPr>
              <w:t>Marktbarrieren und Marktversagen (Beschreibung):</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divergierende Anreize</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Kapazität des Bau- und des Energiesektors</w:t>
            </w:r>
          </w:p>
          <w:p w:rsidR="000448D2" w:rsidRPr="00205D93" w:rsidRDefault="000448D2" w:rsidP="009567AF">
            <w:pPr>
              <w:widowControl w:val="0"/>
              <w:tabs>
                <w:tab w:val="left" w:pos="651"/>
              </w:tabs>
              <w:spacing w:before="73" w:after="0" w:line="278" w:lineRule="exact"/>
              <w:ind w:left="369"/>
              <w:jc w:val="left"/>
              <w:rPr>
                <w:rFonts w:eastAsia="Times New Roman"/>
                <w:noProof/>
                <w:sz w:val="22"/>
                <w:highlight w:val="lightGray"/>
              </w:rPr>
            </w:pPr>
          </w:p>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p>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p>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Überblick über die Kapazitäten in den Bereichen Bau, Energieeffizienz und erneuerbare Energie</w:t>
            </w:r>
          </w:p>
        </w:tc>
        <w:tc>
          <w:tcPr>
            <w:tcW w:w="4820" w:type="dxa"/>
            <w:tcBorders>
              <w:top w:val="single" w:sz="4" w:space="0" w:color="auto"/>
              <w:bottom w:val="single" w:sz="4" w:space="0" w:color="auto"/>
              <w:right w:val="nil"/>
            </w:tcBorders>
          </w:tcPr>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Marktbarrieren und Marktversagen (Beschreibung):</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verwaltungstechnischer Art</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finanzieller Art</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technischer Art</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Aspekte der Sensibilisierung</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 xml:space="preserve">Sonstige </w:t>
            </w:r>
          </w:p>
          <w:p w:rsidR="000448D2" w:rsidRPr="00205D93" w:rsidRDefault="000448D2" w:rsidP="009567AF">
            <w:pPr>
              <w:widowControl w:val="0"/>
              <w:tabs>
                <w:tab w:val="left" w:pos="651"/>
              </w:tabs>
              <w:spacing w:before="73" w:after="0" w:line="278" w:lineRule="exact"/>
              <w:jc w:val="left"/>
              <w:rPr>
                <w:rFonts w:eastAsia="Times New Roman"/>
                <w:noProof/>
                <w:sz w:val="22"/>
                <w:highlight w:val="lightGray"/>
              </w:rPr>
            </w:pPr>
          </w:p>
          <w:p w:rsidR="000448D2" w:rsidRPr="00205D93" w:rsidRDefault="000448D2" w:rsidP="009567AF">
            <w:pPr>
              <w:widowControl w:val="0"/>
              <w:spacing w:before="43" w:after="0" w:line="228" w:lineRule="auto"/>
              <w:ind w:left="369" w:right="-19" w:hanging="282"/>
              <w:jc w:val="left"/>
              <w:rPr>
                <w:rFonts w:eastAsia="Times New Roman"/>
                <w:noProof/>
                <w:sz w:val="22"/>
                <w:highlight w:val="lightGray"/>
              </w:rPr>
            </w:pPr>
            <w:r w:rsidRPr="00205D93">
              <w:rPr>
                <w:noProof/>
                <w:sz w:val="22"/>
                <w:highlight w:val="lightGray"/>
              </w:rPr>
              <w:t xml:space="preserve">Anzahl der: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Energiedienstleistungsunternehmen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Bauunternehmen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Architekten und Ingenieure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qualifizierten Arbeitskräfte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zentralen Anlaufstellen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KMU im Bau-/Renovierungssektor</w:t>
            </w:r>
          </w:p>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p>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Prognosen in Bezug auf den Personalbestand im Baugewerbe: </w:t>
            </w:r>
          </w:p>
          <w:p w:rsidR="000448D2" w:rsidRPr="00205D93"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205D93">
              <w:rPr>
                <w:noProof/>
                <w:sz w:val="22"/>
                <w:highlight w:val="lightGray"/>
              </w:rPr>
              <w:t>Architekten/Ingenieure/qualifizierte Arbeitskräfte im Ruhestand</w:t>
            </w:r>
          </w:p>
          <w:p w:rsidR="000448D2" w:rsidRPr="00205D93"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205D93">
              <w:rPr>
                <w:noProof/>
                <w:sz w:val="22"/>
                <w:highlight w:val="lightGray"/>
              </w:rPr>
              <w:t>Architekten/Ingenieure/qualifizierte Arbeitskräfte, die in den Markt eintreten</w:t>
            </w:r>
          </w:p>
          <w:p w:rsidR="000448D2" w:rsidRPr="00205D93"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205D93">
              <w:rPr>
                <w:noProof/>
                <w:sz w:val="22"/>
                <w:highlight w:val="lightGray"/>
              </w:rPr>
              <w:t>junge Menschen in der Branche</w:t>
            </w:r>
          </w:p>
          <w:p w:rsidR="000448D2" w:rsidRPr="00205D93" w:rsidRDefault="000448D2" w:rsidP="000448D2">
            <w:pPr>
              <w:widowControl w:val="0"/>
              <w:numPr>
                <w:ilvl w:val="0"/>
                <w:numId w:val="13"/>
              </w:numPr>
              <w:tabs>
                <w:tab w:val="left" w:pos="650"/>
              </w:tabs>
              <w:spacing w:before="73" w:after="0" w:line="278" w:lineRule="exact"/>
              <w:jc w:val="left"/>
              <w:rPr>
                <w:rFonts w:eastAsia="Times New Roman"/>
                <w:noProof/>
                <w:sz w:val="22"/>
                <w:highlight w:val="lightGray"/>
              </w:rPr>
            </w:pPr>
            <w:r w:rsidRPr="00205D93">
              <w:rPr>
                <w:noProof/>
                <w:sz w:val="22"/>
                <w:highlight w:val="lightGray"/>
              </w:rPr>
              <w:t>Frauen in der Branche</w:t>
            </w:r>
          </w:p>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p>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Überblick und Prognose in Bezug auf die Entwicklung der Baustoffpreise und nationale Marktentwicklungen</w:t>
            </w:r>
          </w:p>
        </w:tc>
      </w:tr>
      <w:tr w:rsidR="000448D2" w:rsidRPr="00205D93" w:rsidTr="009567AF">
        <w:trPr>
          <w:trHeight w:val="987"/>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rsidR="000448D2" w:rsidRPr="00205D93" w:rsidRDefault="000448D2" w:rsidP="009567AF">
            <w:pPr>
              <w:widowControl w:val="0"/>
              <w:tabs>
                <w:tab w:val="left" w:pos="370"/>
              </w:tabs>
              <w:spacing w:before="73" w:after="0"/>
              <w:jc w:val="left"/>
              <w:rPr>
                <w:rFonts w:eastAsia="Times New Roman"/>
                <w:noProof/>
                <w:sz w:val="22"/>
                <w:highlight w:val="lightGray"/>
              </w:rPr>
            </w:pPr>
            <w:r w:rsidRPr="00205D93">
              <w:rPr>
                <w:noProof/>
                <w:sz w:val="22"/>
                <w:highlight w:val="lightGray"/>
              </w:rPr>
              <w:t>Energiearmut (Definition):</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Anteil der von Energiearmut betroffenen Menschen in %</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Anteil des verfügbaren Haushaltseinkommens, das für Energie aufgewendet wird</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Bevölkerung, die in unangemessenen Wohnverhältnissen (z. B. undichtes Dach) oder unter unangemessenen thermischen Komfortbedingungen lebt</w:t>
            </w:r>
          </w:p>
          <w:p w:rsidR="000448D2" w:rsidRPr="00205D93" w:rsidRDefault="000448D2" w:rsidP="009567AF">
            <w:pPr>
              <w:widowControl w:val="0"/>
              <w:tabs>
                <w:tab w:val="left" w:pos="651"/>
              </w:tabs>
              <w:spacing w:before="73" w:after="0" w:line="278" w:lineRule="exact"/>
              <w:ind w:left="368"/>
              <w:jc w:val="left"/>
              <w:rPr>
                <w:rFonts w:eastAsia="Times New Roman"/>
                <w:noProof/>
                <w:sz w:val="22"/>
                <w:highlight w:val="lightGray"/>
              </w:rPr>
            </w:pPr>
          </w:p>
        </w:tc>
        <w:tc>
          <w:tcPr>
            <w:tcW w:w="4820" w:type="dxa"/>
            <w:tcBorders>
              <w:top w:val="single" w:sz="4" w:space="0" w:color="auto"/>
              <w:bottom w:val="single" w:sz="4" w:space="0" w:color="auto"/>
              <w:right w:val="nil"/>
            </w:tcBorders>
          </w:tcPr>
          <w:p w:rsidR="000448D2" w:rsidRPr="00205D93" w:rsidRDefault="000448D2" w:rsidP="009567AF">
            <w:pPr>
              <w:pStyle w:val="Point0"/>
              <w:widowControl w:val="0"/>
              <w:spacing w:line="259" w:lineRule="auto"/>
              <w:ind w:left="0" w:firstLine="0"/>
              <w:rPr>
                <w:rFonts w:eastAsia="Times New Roman"/>
                <w:noProof/>
                <w:sz w:val="22"/>
                <w:highlight w:val="lightGray"/>
              </w:rPr>
            </w:pPr>
          </w:p>
        </w:tc>
      </w:tr>
      <w:tr w:rsidR="000448D2" w:rsidRPr="00205D93" w:rsidTr="009567AF">
        <w:trPr>
          <w:trHeight w:val="838"/>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rsidR="000448D2" w:rsidRPr="00205D93" w:rsidRDefault="000448D2" w:rsidP="009567AF">
            <w:pPr>
              <w:widowControl w:val="0"/>
              <w:tabs>
                <w:tab w:val="left" w:pos="370"/>
              </w:tabs>
              <w:spacing w:before="73" w:after="0"/>
              <w:jc w:val="left"/>
              <w:rPr>
                <w:noProof/>
                <w:sz w:val="22"/>
                <w:highlight w:val="lightGray"/>
              </w:rPr>
            </w:pPr>
            <w:r w:rsidRPr="00205D93">
              <w:rPr>
                <w:noProof/>
                <w:sz w:val="22"/>
                <w:highlight w:val="lightGray"/>
              </w:rPr>
              <w:t>Primärenergiefaktoren:</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nach Energieträger</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Faktor der nicht erneuerbaren Primärenergie</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 xml:space="preserve">Faktor der erneuerbaren Primärenergie </w:t>
            </w:r>
          </w:p>
          <w:p w:rsidR="000448D2" w:rsidRPr="00205D93" w:rsidRDefault="000448D2" w:rsidP="000448D2">
            <w:pPr>
              <w:widowControl w:val="0"/>
              <w:numPr>
                <w:ilvl w:val="1"/>
                <w:numId w:val="12"/>
              </w:numPr>
              <w:tabs>
                <w:tab w:val="left" w:pos="651"/>
              </w:tabs>
              <w:spacing w:before="73" w:after="0" w:line="278" w:lineRule="exact"/>
              <w:jc w:val="left"/>
              <w:rPr>
                <w:rFonts w:eastAsia="Times New Roman"/>
                <w:noProof/>
                <w:sz w:val="22"/>
                <w:highlight w:val="lightGray"/>
              </w:rPr>
            </w:pPr>
            <w:r w:rsidRPr="00205D93">
              <w:rPr>
                <w:noProof/>
                <w:sz w:val="22"/>
                <w:highlight w:val="lightGray"/>
              </w:rPr>
              <w:t xml:space="preserve">Gesamtprimärenergiefaktor </w:t>
            </w:r>
          </w:p>
        </w:tc>
        <w:tc>
          <w:tcPr>
            <w:tcW w:w="4820" w:type="dxa"/>
            <w:tcBorders>
              <w:top w:val="single" w:sz="4" w:space="0" w:color="auto"/>
              <w:bottom w:val="single" w:sz="4" w:space="0" w:color="auto"/>
              <w:right w:val="nil"/>
            </w:tcBorders>
          </w:tcPr>
          <w:p w:rsidR="000448D2" w:rsidRPr="00205D93"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205D93" w:rsidTr="009567AF">
        <w:trPr>
          <w:trHeight w:val="546"/>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rsidR="000448D2" w:rsidRPr="00205D93" w:rsidRDefault="000448D2" w:rsidP="009567AF">
            <w:pPr>
              <w:widowControl w:val="0"/>
              <w:tabs>
                <w:tab w:val="left" w:pos="370"/>
              </w:tabs>
              <w:spacing w:before="73" w:after="0"/>
              <w:jc w:val="left"/>
              <w:rPr>
                <w:noProof/>
                <w:sz w:val="22"/>
                <w:highlight w:val="lightGray"/>
              </w:rPr>
            </w:pPr>
            <w:r w:rsidRPr="00205D93">
              <w:rPr>
                <w:noProof/>
                <w:sz w:val="22"/>
                <w:highlight w:val="lightGray"/>
              </w:rPr>
              <w:t>Definition von Niedrigstenergiegebäude für neue und bestehende Gebäude</w:t>
            </w:r>
          </w:p>
        </w:tc>
        <w:tc>
          <w:tcPr>
            <w:tcW w:w="4820" w:type="dxa"/>
            <w:tcBorders>
              <w:top w:val="single" w:sz="4" w:space="0" w:color="auto"/>
              <w:bottom w:val="single" w:sz="4" w:space="0" w:color="auto"/>
              <w:right w:val="nil"/>
            </w:tcBorders>
          </w:tcPr>
          <w:p w:rsidR="000448D2" w:rsidRPr="00205D93" w:rsidRDefault="000448D2" w:rsidP="009567AF">
            <w:pPr>
              <w:widowControl w:val="0"/>
              <w:spacing w:before="43" w:after="0" w:line="228" w:lineRule="auto"/>
              <w:ind w:left="369" w:right="-19" w:hanging="282"/>
              <w:jc w:val="left"/>
              <w:rPr>
                <w:rFonts w:eastAsia="Times New Roman"/>
                <w:noProof/>
                <w:sz w:val="22"/>
                <w:highlight w:val="lightGray"/>
              </w:rPr>
            </w:pPr>
            <w:r w:rsidRPr="00205D93">
              <w:rPr>
                <w:noProof/>
                <w:sz w:val="22"/>
                <w:highlight w:val="lightGray"/>
              </w:rPr>
              <w:t>Überblick über den rechtlichen und administrativen Rahmen</w:t>
            </w:r>
          </w:p>
        </w:tc>
      </w:tr>
      <w:tr w:rsidR="000448D2" w:rsidRPr="00205D93" w:rsidTr="009567AF">
        <w:trPr>
          <w:trHeight w:val="682"/>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tcBorders>
          </w:tcPr>
          <w:p w:rsidR="000448D2" w:rsidRPr="00205D93" w:rsidRDefault="000448D2" w:rsidP="009567AF">
            <w:pPr>
              <w:widowControl w:val="0"/>
              <w:tabs>
                <w:tab w:val="left" w:pos="370"/>
              </w:tabs>
              <w:spacing w:before="73" w:after="0"/>
              <w:jc w:val="left"/>
              <w:rPr>
                <w:noProof/>
                <w:sz w:val="22"/>
                <w:highlight w:val="lightGray"/>
              </w:rPr>
            </w:pPr>
            <w:r w:rsidRPr="00205D93">
              <w:rPr>
                <w:noProof/>
                <w:sz w:val="22"/>
                <w:highlight w:val="lightGray"/>
              </w:rPr>
              <w:t>Kostenoptimale Mindestanforderungen an neue und bestehende Gebäude</w:t>
            </w:r>
          </w:p>
        </w:tc>
        <w:tc>
          <w:tcPr>
            <w:tcW w:w="4820" w:type="dxa"/>
            <w:tcBorders>
              <w:top w:val="single" w:sz="4" w:space="0" w:color="auto"/>
              <w:bottom w:val="single" w:sz="4" w:space="0" w:color="auto"/>
              <w:right w:val="nil"/>
            </w:tcBorders>
          </w:tcPr>
          <w:p w:rsidR="000448D2" w:rsidRPr="00205D93"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205D93" w:rsidTr="009567AF">
        <w:trPr>
          <w:trHeight w:val="2256"/>
        </w:trPr>
        <w:tc>
          <w:tcPr>
            <w:tcW w:w="2552" w:type="dxa"/>
            <w:vMerge w:val="restart"/>
            <w:tcBorders>
              <w:top w:val="single" w:sz="4" w:space="0" w:color="auto"/>
              <w:left w:val="nil"/>
            </w:tcBorders>
          </w:tcPr>
          <w:p w:rsidR="000448D2" w:rsidRPr="00205D93" w:rsidRDefault="000448D2" w:rsidP="009567AF">
            <w:pPr>
              <w:widowControl w:val="0"/>
              <w:spacing w:before="0" w:after="0"/>
              <w:jc w:val="left"/>
              <w:rPr>
                <w:noProof/>
                <w:sz w:val="22"/>
                <w:highlight w:val="lightGray"/>
              </w:rPr>
            </w:pPr>
            <w:r w:rsidRPr="00205D93">
              <w:rPr>
                <w:noProof/>
                <w:sz w:val="22"/>
                <w:highlight w:val="lightGray"/>
              </w:rPr>
              <w:t>b) Fahrplan für 2030, 2040, 2050</w:t>
            </w:r>
          </w:p>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bottom w:val="single" w:sz="4" w:space="0" w:color="auto"/>
            </w:tcBorders>
          </w:tcPr>
          <w:p w:rsidR="000448D2" w:rsidRPr="00205D93" w:rsidRDefault="000448D2" w:rsidP="009567AF">
            <w:pPr>
              <w:widowControl w:val="0"/>
              <w:tabs>
                <w:tab w:val="left" w:pos="370"/>
              </w:tabs>
              <w:spacing w:before="196" w:after="0"/>
              <w:jc w:val="left"/>
              <w:rPr>
                <w:rFonts w:eastAsia="Times New Roman"/>
                <w:noProof/>
                <w:sz w:val="22"/>
                <w:highlight w:val="lightGray"/>
              </w:rPr>
            </w:pPr>
            <w:r w:rsidRPr="00205D93">
              <w:rPr>
                <w:noProof/>
                <w:sz w:val="22"/>
                <w:highlight w:val="lightGray"/>
              </w:rPr>
              <w:t>Ziele für jährliche Renovierungsquoten: Anzahl der Gebäude und Gesamtfläche (in m</w:t>
            </w:r>
            <w:r w:rsidRPr="00205D93">
              <w:rPr>
                <w:noProof/>
                <w:sz w:val="22"/>
                <w:highlight w:val="lightGray"/>
                <w:vertAlign w:val="superscript"/>
              </w:rPr>
              <w:t>2</w:t>
            </w:r>
            <w:r w:rsidRPr="00205D93">
              <w:rPr>
                <w:noProof/>
                <w:sz w:val="22"/>
                <w:highlight w:val="lightGray"/>
              </w:rPr>
              <w:t>):</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nach Gebäudeart</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Gebäude mit der schlechtesten Gesamtenergieeffizienz</w:t>
            </w:r>
          </w:p>
          <w:p w:rsidR="000448D2" w:rsidRPr="00205D93" w:rsidRDefault="000448D2" w:rsidP="009567AF">
            <w:pPr>
              <w:widowControl w:val="0"/>
              <w:tabs>
                <w:tab w:val="left" w:pos="650"/>
              </w:tabs>
              <w:spacing w:before="74" w:after="0" w:line="278" w:lineRule="exact"/>
              <w:jc w:val="left"/>
              <w:rPr>
                <w:rFonts w:eastAsia="Times New Roman"/>
                <w:noProof/>
                <w:sz w:val="22"/>
                <w:highlight w:val="lightGray"/>
              </w:rPr>
            </w:pPr>
          </w:p>
        </w:tc>
        <w:tc>
          <w:tcPr>
            <w:tcW w:w="4820" w:type="dxa"/>
            <w:tcBorders>
              <w:top w:val="single" w:sz="4" w:space="0" w:color="auto"/>
              <w:bottom w:val="single" w:sz="4" w:space="0" w:color="auto"/>
              <w:right w:val="nil"/>
            </w:tcBorders>
          </w:tcPr>
          <w:p w:rsidR="000448D2" w:rsidRPr="00205D93" w:rsidRDefault="000448D2" w:rsidP="009567AF">
            <w:pPr>
              <w:widowControl w:val="0"/>
              <w:tabs>
                <w:tab w:val="left" w:pos="370"/>
              </w:tabs>
              <w:spacing w:before="196" w:after="0"/>
              <w:jc w:val="left"/>
              <w:rPr>
                <w:rFonts w:eastAsia="Times New Roman"/>
                <w:noProof/>
                <w:sz w:val="22"/>
                <w:highlight w:val="lightGray"/>
              </w:rPr>
            </w:pPr>
            <w:r w:rsidRPr="00205D93">
              <w:rPr>
                <w:noProof/>
                <w:sz w:val="22"/>
                <w:highlight w:val="lightGray"/>
              </w:rPr>
              <w:t>Ziele für den voraussichtlichen Anteil an renovierten Gebäuden (in %):</w:t>
            </w:r>
          </w:p>
          <w:p w:rsidR="000448D2" w:rsidRPr="00205D93" w:rsidRDefault="000448D2" w:rsidP="000448D2">
            <w:pPr>
              <w:widowControl w:val="0"/>
              <w:numPr>
                <w:ilvl w:val="1"/>
                <w:numId w:val="12"/>
              </w:numPr>
              <w:tabs>
                <w:tab w:val="left" w:pos="650"/>
              </w:tabs>
              <w:spacing w:before="74" w:after="0" w:line="278" w:lineRule="exact"/>
              <w:jc w:val="left"/>
              <w:rPr>
                <w:rFonts w:eastAsia="Times New Roman"/>
                <w:noProof/>
                <w:sz w:val="22"/>
                <w:highlight w:val="lightGray"/>
              </w:rPr>
            </w:pPr>
            <w:r w:rsidRPr="00205D93">
              <w:rPr>
                <w:noProof/>
                <w:sz w:val="22"/>
                <w:highlight w:val="lightGray"/>
              </w:rPr>
              <w:t>nach Gebäudeart</w:t>
            </w:r>
          </w:p>
          <w:p w:rsidR="000448D2" w:rsidRPr="00205D93" w:rsidRDefault="000448D2" w:rsidP="00B67872">
            <w:pPr>
              <w:widowControl w:val="0"/>
              <w:tabs>
                <w:tab w:val="left" w:pos="650"/>
              </w:tabs>
              <w:spacing w:before="74" w:after="0" w:line="278" w:lineRule="exact"/>
              <w:ind w:left="649"/>
              <w:jc w:val="left"/>
              <w:rPr>
                <w:rFonts w:eastAsia="Times New Roman"/>
                <w:noProof/>
                <w:sz w:val="22"/>
                <w:highlight w:val="lightGray"/>
              </w:rPr>
            </w:pPr>
            <w:r w:rsidRPr="00205D93">
              <w:rPr>
                <w:noProof/>
                <w:sz w:val="22"/>
                <w:highlight w:val="lightGray"/>
              </w:rPr>
              <w:t xml:space="preserve">nach Renovierungsumfang </w:t>
            </w:r>
          </w:p>
        </w:tc>
      </w:tr>
      <w:tr w:rsidR="000448D2" w:rsidRPr="00205D93" w:rsidTr="009567AF">
        <w:trPr>
          <w:trHeight w:val="2402"/>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Ziel für den voraussichtlichen Primär- und Endenergieverbrauch (in kt RÖE):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nach Gebäudeart</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nach Endverbrauch</w:t>
            </w:r>
          </w:p>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 xml:space="preserve">Voraussichtliche Energieeinsparungen: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nach Gebäudeart </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Anteil der Energie aus erneuerbaren Quellen im Gebäudesektor (erzeugte MW)</w:t>
            </w:r>
          </w:p>
        </w:tc>
      </w:tr>
      <w:tr w:rsidR="000448D2" w:rsidRPr="00205D93" w:rsidTr="009567AF">
        <w:trPr>
          <w:trHeight w:val="1243"/>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Ziele für die voraussichtlichen Treibhausgasemissionen (in kg CO</w:t>
            </w:r>
            <w:r w:rsidRPr="00205D93">
              <w:rPr>
                <w:noProof/>
                <w:sz w:val="22"/>
                <w:highlight w:val="lightGray"/>
                <w:vertAlign w:val="subscript"/>
              </w:rPr>
              <w:t>2</w:t>
            </w:r>
            <w:r w:rsidRPr="00205D93">
              <w:rPr>
                <w:noProof/>
                <w:sz w:val="22"/>
                <w:highlight w:val="lightGray"/>
              </w:rPr>
              <w:t>eq/(m².a):</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nach Gebäudeart </w:t>
            </w:r>
          </w:p>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Ziele für die voraussichtliche Verringerung der Treibhausgasemissionen (in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rPr>
              <w:tab/>
            </w:r>
            <w:r w:rsidRPr="00205D93">
              <w:rPr>
                <w:noProof/>
                <w:sz w:val="22"/>
                <w:highlight w:val="lightGray"/>
              </w:rPr>
              <w:t xml:space="preserve">nach Gebäudeart </w:t>
            </w:r>
          </w:p>
        </w:tc>
        <w:tc>
          <w:tcPr>
            <w:tcW w:w="4820" w:type="dxa"/>
            <w:tcBorders>
              <w:top w:val="single" w:sz="4" w:space="0" w:color="auto"/>
              <w:left w:val="single" w:sz="4" w:space="0" w:color="auto"/>
              <w:bottom w:val="single" w:sz="4" w:space="0" w:color="auto"/>
              <w:right w:val="nil"/>
            </w:tcBorders>
          </w:tcPr>
          <w:p w:rsidR="000448D2" w:rsidRPr="00205D93" w:rsidRDefault="005B4043" w:rsidP="009567AF">
            <w:pPr>
              <w:widowControl w:val="0"/>
              <w:spacing w:before="74" w:after="0"/>
              <w:jc w:val="left"/>
              <w:rPr>
                <w:rFonts w:eastAsia="Times New Roman"/>
                <w:noProof/>
                <w:sz w:val="22"/>
                <w:highlight w:val="lightGray"/>
              </w:rPr>
            </w:pPr>
            <w:r w:rsidRPr="00205D93">
              <w:rPr>
                <w:noProof/>
                <w:sz w:val="22"/>
                <w:highlight w:val="lightGray"/>
              </w:rPr>
              <w:t xml:space="preserve">Aufschlüsselung nach Emissionen, die unter Kapitel III [ortsfeste Anlagen], Kapitel IVa [Emissionshandelssystem für Gebäude und den Straßenverkehr] der Richtlinie 2003/87/EG fallen, und anderen Emissionsquellen; </w:t>
            </w:r>
          </w:p>
          <w:p w:rsidR="000448D2" w:rsidRPr="00205D93" w:rsidRDefault="000448D2" w:rsidP="009567AF">
            <w:pPr>
              <w:widowControl w:val="0"/>
              <w:spacing w:before="74" w:after="0"/>
              <w:jc w:val="left"/>
              <w:rPr>
                <w:rFonts w:eastAsia="Times New Roman"/>
                <w:noProof/>
                <w:sz w:val="22"/>
                <w:highlight w:val="lightGray"/>
              </w:rPr>
            </w:pPr>
            <w:r w:rsidRPr="00205D93">
              <w:rPr>
                <w:noProof/>
              </w:rPr>
              <w:t xml:space="preserve"> </w:t>
            </w:r>
            <w:r w:rsidRPr="00205D93">
              <w:rPr>
                <w:noProof/>
              </w:rPr>
              <w:br/>
            </w:r>
          </w:p>
          <w:p w:rsidR="000448D2" w:rsidRPr="00205D93" w:rsidRDefault="000448D2" w:rsidP="009567AF">
            <w:pPr>
              <w:widowControl w:val="0"/>
              <w:tabs>
                <w:tab w:val="left" w:pos="370"/>
              </w:tabs>
              <w:spacing w:before="74" w:after="0"/>
              <w:jc w:val="left"/>
              <w:rPr>
                <w:rFonts w:eastAsia="Times New Roman"/>
                <w:noProof/>
                <w:sz w:val="22"/>
                <w:highlight w:val="lightGray"/>
              </w:rPr>
            </w:pPr>
          </w:p>
        </w:tc>
      </w:tr>
      <w:tr w:rsidR="000448D2" w:rsidRPr="00205D93" w:rsidTr="009567AF">
        <w:trPr>
          <w:trHeight w:val="1243"/>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650"/>
              </w:tabs>
              <w:spacing w:before="73" w:after="0" w:line="278" w:lineRule="exact"/>
              <w:jc w:val="left"/>
              <w:rPr>
                <w:noProof/>
                <w:sz w:val="22"/>
                <w:highlight w:val="lightGray"/>
              </w:rPr>
            </w:pPr>
            <w:r w:rsidRPr="00205D93">
              <w:rPr>
                <w:noProof/>
                <w:sz w:val="22"/>
                <w:highlight w:val="lightGray"/>
              </w:rPr>
              <w:t>Voraussichtliche weiter reichende Vorteile</w:t>
            </w:r>
          </w:p>
          <w:p w:rsidR="00DA3228" w:rsidRPr="00205D93" w:rsidRDefault="00DA3228" w:rsidP="00DA3228">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w:t>
            </w:r>
            <w:r w:rsidRPr="00205D93">
              <w:rPr>
                <w:noProof/>
              </w:rPr>
              <w:tab/>
            </w:r>
            <w:r w:rsidRPr="00205D93">
              <w:rPr>
                <w:noProof/>
                <w:sz w:val="22"/>
                <w:highlight w:val="lightGray"/>
              </w:rPr>
              <w:t>Schaffung neuer Arbeitsplätze</w:t>
            </w:r>
          </w:p>
          <w:p w:rsidR="00DA3228" w:rsidRPr="00205D93" w:rsidRDefault="00DA3228" w:rsidP="00DA3228">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w:t>
            </w:r>
            <w:r w:rsidRPr="00205D93">
              <w:rPr>
                <w:noProof/>
              </w:rPr>
              <w:tab/>
            </w:r>
            <w:r w:rsidRPr="00205D93">
              <w:rPr>
                <w:noProof/>
                <w:sz w:val="22"/>
                <w:highlight w:val="lightGray"/>
              </w:rPr>
              <w:t>Verringerung des Anteils der von Energiearmut betroffenen Menschen in %</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w:t>
            </w:r>
            <w:r w:rsidRPr="00205D93">
              <w:rPr>
                <w:noProof/>
              </w:rPr>
              <w:tab/>
            </w:r>
            <w:r w:rsidRPr="00205D93">
              <w:rPr>
                <w:noProof/>
                <w:sz w:val="22"/>
                <w:highlight w:val="lightGray"/>
              </w:rPr>
              <w:t>Steigerung des BIP (Anteil und Betrag in Mrd. EUR)</w:t>
            </w:r>
          </w:p>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p>
        </w:tc>
      </w:tr>
      <w:tr w:rsidR="000448D2" w:rsidRPr="00205D93" w:rsidTr="009567AF">
        <w:trPr>
          <w:trHeight w:val="1243"/>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r w:rsidRPr="00205D93">
              <w:rPr>
                <w:noProof/>
                <w:sz w:val="22"/>
                <w:highlight w:val="lightGray"/>
              </w:rPr>
              <w:t>Beitrag zur Erreichung der für den Mitgliedstaat verbindlichen nationalen Zielvorgabe für Treibhausgasemissionen gemäß der [überarbeiteten Lastenteilungsverordnung]</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650"/>
              </w:tabs>
              <w:spacing w:before="73" w:after="0" w:line="278" w:lineRule="exact"/>
              <w:jc w:val="left"/>
              <w:rPr>
                <w:rFonts w:eastAsia="Times New Roman"/>
                <w:noProof/>
                <w:sz w:val="22"/>
                <w:highlight w:val="lightGray"/>
              </w:rPr>
            </w:pPr>
          </w:p>
        </w:tc>
      </w:tr>
      <w:tr w:rsidR="000448D2" w:rsidRPr="00205D93" w:rsidTr="009567AF">
        <w:trPr>
          <w:trHeight w:val="1243"/>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Beitrag zur Erreichung der Energieeffizienzziele der Union gemäß der Richtlinie (EU) .../.... [Neufassung der Energieeffizienzrichtlinie] (Anteil und Menge in kt RÖE, Primär- und Endenergieverbrauch):</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im Hinblick auf das Gesamtenergieeffizienzziel</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Beitrag zur Erreichung der Energieeffizienzziele der Union gemäß des Ziels der Richtlinie (EU) .../... [Neufassung der Energieeffizienzrichtlinie] (Anteil und Menge in kt RÖE, Primär- und Endenergieverbrauch):</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im Hinblick auf das in Artikel 8 der Energieeffizienzrichtlinie formulierte Ziel (Energieeinsparverpflichtung)</w:t>
            </w:r>
          </w:p>
        </w:tc>
      </w:tr>
      <w:tr w:rsidR="000448D2" w:rsidRPr="00205D93" w:rsidTr="009567AF">
        <w:trPr>
          <w:trHeight w:val="1243"/>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left w:val="single" w:sz="4" w:space="0" w:color="auto"/>
              <w:bottom w:val="single" w:sz="4" w:space="0" w:color="auto"/>
              <w:right w:val="single" w:sz="4" w:space="0" w:color="auto"/>
            </w:tcBorders>
          </w:tcPr>
          <w:p w:rsidR="000448D2" w:rsidRPr="00205D93" w:rsidRDefault="000448D2" w:rsidP="009567AF">
            <w:pPr>
              <w:widowControl w:val="0"/>
              <w:tabs>
                <w:tab w:val="left" w:pos="370"/>
              </w:tabs>
              <w:spacing w:before="74" w:after="0"/>
              <w:jc w:val="left"/>
              <w:rPr>
                <w:rFonts w:eastAsia="Times New Roman"/>
                <w:noProof/>
                <w:sz w:val="22"/>
                <w:highlight w:val="lightGray"/>
              </w:rPr>
            </w:pPr>
            <w:r w:rsidRPr="00205D93">
              <w:rPr>
                <w:noProof/>
                <w:sz w:val="22"/>
                <w:highlight w:val="lightGray"/>
              </w:rPr>
              <w:t>Beitrag zur Erreichung der Ziele der Union für erneuerbare Energie gemäß der Richtlinie (EU) 2018/2001 [geänderte Erneuerbare-Energien-Richtlinie] (Anteil, erzeugte MW):</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im Hinblick auf das Gesamtziel für Energie aus erneuerbaren Quellen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im Hinblick auf das indikative Ziel für den Anteil von Energie aus erneuerbaren Quellen im Gebäudesektor</w:t>
            </w:r>
          </w:p>
        </w:tc>
        <w:tc>
          <w:tcPr>
            <w:tcW w:w="4820" w:type="dxa"/>
            <w:tcBorders>
              <w:top w:val="single" w:sz="4" w:space="0" w:color="auto"/>
              <w:left w:val="single" w:sz="4" w:space="0" w:color="auto"/>
              <w:bottom w:val="single" w:sz="4" w:space="0" w:color="auto"/>
              <w:right w:val="nil"/>
            </w:tcBorders>
          </w:tcPr>
          <w:p w:rsidR="000448D2" w:rsidRPr="00205D93" w:rsidRDefault="000448D2" w:rsidP="009567AF">
            <w:pPr>
              <w:widowControl w:val="0"/>
              <w:tabs>
                <w:tab w:val="left" w:pos="370"/>
              </w:tabs>
              <w:spacing w:before="74" w:after="0"/>
              <w:jc w:val="left"/>
              <w:rPr>
                <w:rFonts w:eastAsia="Times New Roman"/>
                <w:noProof/>
                <w:sz w:val="22"/>
                <w:highlight w:val="lightGray"/>
              </w:rPr>
            </w:pPr>
          </w:p>
        </w:tc>
      </w:tr>
      <w:tr w:rsidR="000448D2" w:rsidRPr="00205D93" w:rsidTr="009567AF">
        <w:trPr>
          <w:trHeight w:val="1168"/>
        </w:trPr>
        <w:tc>
          <w:tcPr>
            <w:tcW w:w="2552" w:type="dxa"/>
            <w:vMerge/>
          </w:tcPr>
          <w:p w:rsidR="000448D2" w:rsidRPr="00205D93" w:rsidRDefault="000448D2" w:rsidP="009567AF">
            <w:pPr>
              <w:widowControl w:val="0"/>
              <w:spacing w:before="0" w:after="0"/>
              <w:jc w:val="left"/>
              <w:rPr>
                <w:noProof/>
                <w:sz w:val="22"/>
                <w:highlight w:val="lightGray"/>
              </w:rPr>
            </w:pPr>
          </w:p>
        </w:tc>
        <w:tc>
          <w:tcPr>
            <w:tcW w:w="5811" w:type="dxa"/>
            <w:tcBorders>
              <w:top w:val="single" w:sz="4" w:space="0" w:color="auto"/>
              <w:bottom w:val="single" w:sz="4" w:space="0" w:color="auto"/>
            </w:tcBorders>
          </w:tcPr>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Beitrag zur Erreichung des Klimaziels der Union für 2030 und des Ziels der Klimaneutralität bis 2050 gemäß der Verordnung (EU) 2021/1119 (Anteil und Menge in kg CO</w:t>
            </w:r>
            <w:r w:rsidRPr="00205D93">
              <w:rPr>
                <w:noProof/>
                <w:sz w:val="22"/>
                <w:highlight w:val="lightGray"/>
                <w:vertAlign w:val="subscript"/>
              </w:rPr>
              <w:t>2</w:t>
            </w:r>
            <w:r w:rsidRPr="00205D93">
              <w:rPr>
                <w:noProof/>
                <w:sz w:val="22"/>
                <w:highlight w:val="lightGray"/>
              </w:rPr>
              <w:t>eq/(m</w:t>
            </w:r>
            <w:r w:rsidRPr="00205D93">
              <w:rPr>
                <w:noProof/>
                <w:sz w:val="22"/>
                <w:highlight w:val="lightGray"/>
                <w:vertAlign w:val="superscript"/>
              </w:rPr>
              <w:t>2</w:t>
            </w:r>
            <w:r w:rsidRPr="00205D93">
              <w:rPr>
                <w:noProof/>
                <w:sz w:val="22"/>
                <w:highlight w:val="lightGray"/>
              </w:rPr>
              <w:t xml:space="preserve">.a):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im Hinblick auf das allgemeine Dekarbonisierungsziel </w:t>
            </w:r>
          </w:p>
        </w:tc>
        <w:tc>
          <w:tcPr>
            <w:tcW w:w="4820" w:type="dxa"/>
            <w:tcBorders>
              <w:top w:val="single" w:sz="4" w:space="0" w:color="auto"/>
              <w:bottom w:val="single" w:sz="4" w:space="0" w:color="auto"/>
              <w:right w:val="nil"/>
            </w:tcBorders>
          </w:tcPr>
          <w:p w:rsidR="000448D2" w:rsidRPr="00205D93" w:rsidRDefault="000448D2" w:rsidP="009567AF">
            <w:pPr>
              <w:widowControl w:val="0"/>
              <w:spacing w:before="43" w:after="0" w:line="228" w:lineRule="auto"/>
              <w:ind w:left="369" w:right="-19" w:hanging="282"/>
              <w:jc w:val="left"/>
              <w:rPr>
                <w:rFonts w:eastAsia="Times New Roman"/>
                <w:noProof/>
                <w:sz w:val="22"/>
                <w:highlight w:val="lightGray"/>
              </w:rPr>
            </w:pPr>
          </w:p>
        </w:tc>
      </w:tr>
      <w:tr w:rsidR="000448D2" w:rsidRPr="00205D93" w:rsidTr="009567AF">
        <w:trPr>
          <w:trHeight w:val="1168"/>
        </w:trPr>
        <w:tc>
          <w:tcPr>
            <w:tcW w:w="2552" w:type="dxa"/>
            <w:tcBorders>
              <w:top w:val="single" w:sz="4" w:space="0" w:color="auto"/>
              <w:left w:val="nil"/>
            </w:tcBorders>
          </w:tcPr>
          <w:p w:rsidR="000448D2" w:rsidRPr="00205D93" w:rsidRDefault="000448D2" w:rsidP="009567AF">
            <w:pPr>
              <w:widowControl w:val="0"/>
              <w:spacing w:before="0" w:after="0"/>
              <w:jc w:val="left"/>
              <w:rPr>
                <w:noProof/>
                <w:sz w:val="22"/>
                <w:highlight w:val="lightGray"/>
              </w:rPr>
            </w:pPr>
            <w:r w:rsidRPr="00205D93">
              <w:rPr>
                <w:noProof/>
                <w:sz w:val="22"/>
                <w:highlight w:val="lightGray"/>
              </w:rPr>
              <w:t xml:space="preserve">c) Überblick über die umgesetzten und geplanten Strategien und Maßnahmen </w:t>
            </w:r>
          </w:p>
        </w:tc>
        <w:tc>
          <w:tcPr>
            <w:tcW w:w="5811" w:type="dxa"/>
            <w:tcBorders>
              <w:top w:val="single" w:sz="4" w:space="0" w:color="auto"/>
              <w:bottom w:val="single" w:sz="4" w:space="0" w:color="auto"/>
            </w:tcBorders>
          </w:tcPr>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Strategien und Maßnahmen in Bezug auf folgende Elemente:</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a) Ermittlung kosteneffizienter Konzepte für Renovierungen für verschiedene Gebäudearten und Klimazonen, wobei potenzielle einschlägige Auslösepunkte im Lebenszyklus des Gebäudes berücksichtigt werden sollten;</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b) nationale Mindestvorgaben für die Gesamtenergieeffizienz gemäß Artikel 9 und andere Strategien und Maßnahmen, die auf die Segmente des nationalen Gebäudebestands mit der schlechtesten Gesamtenergieeffizienz ausgerichtet sind;</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c) Förderung umfassender Renovierungen von Gebäuden, einschließlich umfassender Renovierungen in mehreren Stufen;</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d) Stärkung und Schutz schutzbedürftiger Kunden und Verringerung der Energiearmut, einschließlich Strategien und Maßnahmen gemäß Artikel 22 der Richtlinie (EU) .../... [Neufassung der Energieeffizienzrichtlinie], sowie Erschwinglichkeit von Wohnraum;</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e) Einrichtung zentraler Anlaufstellen oder ähnlicher Mechanismen für die Bereitstellung technischer, administrativer und finanzieller Beratung und Unterstützung;</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f) Dekarbonisierung der Wärme- und Kälteversorgung, auch durch Fernwärme- und Fernkältenetze, und schrittweiser Ausstieg aus fossilen Brennstoffen in der Wärme- und Kälteversorgung im Hinblick auf einen vollständigen Ausstieg bis spätestens 2040;</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g) Förderung erneuerbarer Energiequellen in Gebäuden im Einklang mit dem indikativen Ziel für den Anteil von Energie aus erneuerbaren Quellen im Gebäudesektor gemäß Artikel 15a Absatz 1 der Richtlinie (EU) 2018/2001 [geänderte Erneuerbare-Energien-Richtlinie];</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h) Verringerung der Lebenszyklus-Treibhausgasemissionen im Zusammenhang mit dem Bau, der Renovierung, dem Betrieb und dem Ende der Lebensdauer von Gebäuden sowie die Nutzung der CO</w:t>
            </w:r>
            <w:r w:rsidRPr="00205D93">
              <w:rPr>
                <w:noProof/>
                <w:sz w:val="22"/>
                <w:highlight w:val="lightGray"/>
                <w:vertAlign w:val="subscript"/>
              </w:rPr>
              <w:t>2</w:t>
            </w:r>
            <w:r w:rsidRPr="00205D93">
              <w:rPr>
                <w:noProof/>
                <w:sz w:val="22"/>
                <w:highlight w:val="lightGray"/>
              </w:rPr>
              <w:t>-Entfernung;</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i) Vermeidung und hochwertige Behandlung von Bau- und Abbruchabfällen im Einklang mit der Richtlinie 2008/98/EG</w:t>
            </w:r>
            <w:r w:rsidR="00DA3228" w:rsidRPr="00205D93">
              <w:rPr>
                <w:noProof/>
                <w:sz w:val="22"/>
                <w:highlight w:val="lightGray"/>
              </w:rPr>
              <w:t>, insbesondere im Hinblick auf die Abfallhierachie,</w:t>
            </w:r>
            <w:r w:rsidRPr="00205D93">
              <w:rPr>
                <w:noProof/>
                <w:sz w:val="22"/>
                <w:highlight w:val="lightGray"/>
              </w:rPr>
              <w:t xml:space="preserve"> und den Zielen der Kreislaufwirtschaft;</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j) Quartiers- und Nachbarschaftsansätze, unter Berücksichtigung der Rolle von Erneuerbare-Energie-Gemeinschaften und Bürgerenergiegemeinschaften;</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k) Verbesserung von Gebäuden, die sich im Eigentum öffentlicher Einrichtungen befinden, einschließlich Strategien und Maßnahmen gemäß den Artikeln 5, 6 und 7 der [Neufassung der Energieeffizienzrichtlinie];</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l) Förderung intelligenter Technologien und von Infrastrukturen in Gebäuden für eine nachhaltige Mobilität;</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m) Beseitigung von Marktbarrieren und Marktversagen;</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n) Schließen von Qualifikationslücken und Beheben von Missverhältnissen bei personellen Kapazitäten sowie Förderung von Bildungs-, Ausbildungs-, Weiterbildungs- und Umschulungsmöglichkeiten im Bausektor sowie in den Bereichen Energieeffizienz und erneuerbare Energie und</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o) Sensibilisierungskampagnen und andere Beratungsinstrumente.</w:t>
            </w: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p>
          <w:p w:rsidR="000448D2" w:rsidRPr="00205D93" w:rsidRDefault="000448D2" w:rsidP="009567AF">
            <w:pPr>
              <w:widowControl w:val="0"/>
              <w:tabs>
                <w:tab w:val="left" w:pos="1"/>
              </w:tabs>
              <w:spacing w:before="73" w:after="0" w:line="278" w:lineRule="exact"/>
              <w:jc w:val="left"/>
              <w:rPr>
                <w:rFonts w:eastAsia="Times New Roman"/>
                <w:noProof/>
                <w:sz w:val="22"/>
                <w:highlight w:val="lightGray"/>
              </w:rPr>
            </w:pPr>
            <w:r w:rsidRPr="00205D93">
              <w:rPr>
                <w:noProof/>
                <w:sz w:val="22"/>
                <w:highlight w:val="lightGray"/>
              </w:rPr>
              <w:t>Für alle Strategien und Maßnahmen: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Bezeichnung der Strategie oder Maßnahme</w:t>
            </w:r>
          </w:p>
          <w:p w:rsidR="005B4043"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Kurze Beschreibung (genauer Umfang, Ziel und Funktionsweise)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Quantifiziertes Ziel</w:t>
            </w:r>
            <w:r w:rsidRPr="00205D93">
              <w:rPr>
                <w:noProof/>
              </w:rPr>
              <w:tab/>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Art der Strategie oder Maßnahme (z. B. Maßnahme legislativer, wirtschaftlicher, steuerlicher Art; Aus- oder Weiterbildungsmaßnahme, Sensibilisierungsmaßnahme)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Vorgesehene Haushaltsmittel und Finanzierungsquellen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Für die Umsetzung der Strategie oder Maßnahme zuständige Stellen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Voraussichtliche Wirkung</w:t>
            </w:r>
            <w:r w:rsidRPr="00205D93">
              <w:rPr>
                <w:noProof/>
              </w:rPr>
              <w:tab/>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Stand der Durchführung</w:t>
            </w:r>
            <w:r w:rsidRPr="00205D93">
              <w:rPr>
                <w:noProof/>
              </w:rPr>
              <w:tab/>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Datum des Inkrafttretens</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Durchführungszeitraum</w:t>
            </w:r>
            <w:r w:rsidRPr="00205D93">
              <w:rPr>
                <w:noProof/>
              </w:rPr>
              <w:tab/>
            </w:r>
          </w:p>
          <w:p w:rsidR="000448D2" w:rsidRPr="00205D93" w:rsidRDefault="000448D2" w:rsidP="009567AF">
            <w:pPr>
              <w:widowControl w:val="0"/>
              <w:spacing w:before="0" w:after="0"/>
              <w:jc w:val="left"/>
              <w:rPr>
                <w:rFonts w:eastAsia="Times New Roman"/>
                <w:noProof/>
                <w:sz w:val="22"/>
                <w:highlight w:val="lightGray"/>
              </w:rPr>
            </w:pPr>
          </w:p>
        </w:tc>
        <w:tc>
          <w:tcPr>
            <w:tcW w:w="4820" w:type="dxa"/>
            <w:tcBorders>
              <w:top w:val="single" w:sz="4" w:space="0" w:color="auto"/>
              <w:bottom w:val="single" w:sz="4" w:space="0" w:color="auto"/>
              <w:right w:val="nil"/>
            </w:tcBorders>
          </w:tcPr>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Strategien und Maßnahmen in Bezug auf folgende Elemente:</w:t>
            </w: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a) Erhöhung der Klimaresilienz von Gebäuden;</w:t>
            </w: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b) Förderung des Energiedienstleistungsmarktes;</w:t>
            </w: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c) Verbesserung des Brandschutzes;</w:t>
            </w: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d) Stärkung der Katastrophenresilienz, einschließlich Risiken im Zusammenhang mit intensiven seismischen Aktivitäten;</w:t>
            </w: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e) Entfernung gefährlicher Stoffe einschließlich Asbest und</w:t>
            </w: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f) Zugänglichkeit für Menschen mit Behinderungen.</w:t>
            </w:r>
          </w:p>
          <w:p w:rsidR="000448D2" w:rsidRPr="00205D93" w:rsidRDefault="000448D2" w:rsidP="009567AF">
            <w:pPr>
              <w:widowControl w:val="0"/>
              <w:spacing w:before="0" w:after="0"/>
              <w:jc w:val="left"/>
              <w:rPr>
                <w:rFonts w:eastAsia="Times New Roman"/>
                <w:noProof/>
                <w:sz w:val="22"/>
                <w:highlight w:val="lightGray"/>
              </w:rPr>
            </w:pPr>
          </w:p>
          <w:p w:rsidR="000448D2" w:rsidRPr="00205D93" w:rsidRDefault="000448D2" w:rsidP="009567AF">
            <w:pPr>
              <w:widowControl w:val="0"/>
              <w:spacing w:before="0" w:after="0"/>
              <w:jc w:val="left"/>
              <w:rPr>
                <w:rFonts w:eastAsia="Times New Roman"/>
                <w:noProof/>
                <w:sz w:val="22"/>
                <w:highlight w:val="lightGray"/>
              </w:rPr>
            </w:pPr>
          </w:p>
          <w:p w:rsidR="000448D2" w:rsidRPr="00205D93" w:rsidRDefault="000448D2" w:rsidP="009567AF">
            <w:pPr>
              <w:widowControl w:val="0"/>
              <w:spacing w:before="0" w:after="0"/>
              <w:jc w:val="left"/>
              <w:rPr>
                <w:rFonts w:eastAsia="Times New Roman"/>
                <w:noProof/>
                <w:sz w:val="22"/>
                <w:highlight w:val="lightGray"/>
              </w:rPr>
            </w:pPr>
          </w:p>
          <w:p w:rsidR="000448D2" w:rsidRPr="00205D93" w:rsidRDefault="000448D2" w:rsidP="009567AF">
            <w:pPr>
              <w:widowControl w:val="0"/>
              <w:spacing w:before="0" w:after="0"/>
              <w:jc w:val="left"/>
              <w:rPr>
                <w:rFonts w:eastAsia="Times New Roman"/>
                <w:noProof/>
                <w:sz w:val="22"/>
                <w:highlight w:val="lightGray"/>
              </w:rPr>
            </w:pPr>
          </w:p>
          <w:p w:rsidR="000448D2" w:rsidRPr="00205D93" w:rsidRDefault="000448D2" w:rsidP="009567AF">
            <w:pPr>
              <w:widowControl w:val="0"/>
              <w:spacing w:before="0" w:after="0"/>
              <w:jc w:val="left"/>
              <w:rPr>
                <w:rFonts w:eastAsia="Times New Roman"/>
                <w:noProof/>
                <w:sz w:val="22"/>
                <w:highlight w:val="lightGray"/>
              </w:rPr>
            </w:pPr>
          </w:p>
          <w:p w:rsidR="000448D2" w:rsidRPr="00205D93" w:rsidRDefault="000448D2" w:rsidP="009567AF">
            <w:pPr>
              <w:widowControl w:val="0"/>
              <w:spacing w:before="0" w:after="0"/>
              <w:jc w:val="left"/>
              <w:rPr>
                <w:rFonts w:eastAsia="Times New Roman"/>
                <w:noProof/>
                <w:sz w:val="22"/>
                <w:highlight w:val="lightGray"/>
              </w:rPr>
            </w:pP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Für alle Strategien und Maßnahmen:</w:t>
            </w: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 Verwaltungsressourcen und -kapazitäten</w:t>
            </w:r>
          </w:p>
          <w:p w:rsidR="000448D2" w:rsidRPr="00205D93" w:rsidRDefault="000448D2" w:rsidP="009567AF">
            <w:pPr>
              <w:widowControl w:val="0"/>
              <w:spacing w:before="0" w:after="0"/>
              <w:jc w:val="left"/>
              <w:rPr>
                <w:rFonts w:eastAsia="Times New Roman"/>
                <w:noProof/>
                <w:sz w:val="22"/>
                <w:highlight w:val="lightGray"/>
              </w:rPr>
            </w:pPr>
            <w:r w:rsidRPr="00205D93">
              <w:rPr>
                <w:noProof/>
                <w:sz w:val="22"/>
                <w:highlight w:val="lightGray"/>
              </w:rPr>
              <w:t>- abgedeckte(r) Bereich(e):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Gebäude mit der schlechtesten Gesamtenergieeffizienz</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Mindestvorgaben für die Gesamtenergieeffizienz</w:t>
            </w:r>
          </w:p>
          <w:p w:rsidR="000448D2" w:rsidRPr="00205D93" w:rsidRDefault="000448D2" w:rsidP="000448D2">
            <w:pPr>
              <w:numPr>
                <w:ilvl w:val="1"/>
                <w:numId w:val="12"/>
              </w:numPr>
              <w:tabs>
                <w:tab w:val="left" w:pos="650"/>
              </w:tabs>
              <w:spacing w:before="73" w:line="278" w:lineRule="exact"/>
              <w:contextualSpacing/>
              <w:rPr>
                <w:rFonts w:eastAsia="Times New Roman"/>
                <w:noProof/>
                <w:sz w:val="22"/>
                <w:highlight w:val="lightGray"/>
              </w:rPr>
            </w:pPr>
            <w:r w:rsidRPr="00205D93">
              <w:rPr>
                <w:noProof/>
                <w:sz w:val="22"/>
                <w:highlight w:val="lightGray"/>
              </w:rPr>
              <w:t>Energiearmut, Sozialwohnungen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öffentliche Gebäude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Wohngebäude (Einfamilienhäuser, Mehrfamilienhäuser)</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Nichtwohngebäude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Industrie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erneuerbare Energiequellen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Ausstieg aus fossilen Brennstoffen in der Wärme- und Kälteversorgung</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Lebenszyklus-Treibhausgasemissionen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Kreislaufwirtschaft und Abfall</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zentrale Anlaufstellen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Renovierungspässe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intelligente Technologien</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nachhaltige Mobilität betreffende Aspekte in Gebäuden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Quartiers- und Nachbarschaftsansätze</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Kompetenzen, Aus- und Weiterbildung</w:t>
            </w:r>
          </w:p>
          <w:p w:rsidR="000448D2" w:rsidRPr="00205D93" w:rsidRDefault="000448D2" w:rsidP="00D57746">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Sensibilisierungskampagnen und Beratungsinstrumente</w:t>
            </w:r>
          </w:p>
          <w:p w:rsidR="000448D2" w:rsidRPr="00205D93" w:rsidRDefault="000448D2" w:rsidP="009567AF">
            <w:pPr>
              <w:widowControl w:val="0"/>
              <w:spacing w:before="73" w:after="0" w:line="278" w:lineRule="exact"/>
              <w:jc w:val="left"/>
              <w:rPr>
                <w:rFonts w:eastAsia="Times New Roman"/>
                <w:noProof/>
                <w:sz w:val="22"/>
                <w:highlight w:val="lightGray"/>
              </w:rPr>
            </w:pPr>
          </w:p>
        </w:tc>
      </w:tr>
      <w:tr w:rsidR="000448D2" w:rsidRPr="00205D93" w:rsidTr="009567AF">
        <w:trPr>
          <w:trHeight w:val="1168"/>
        </w:trPr>
        <w:tc>
          <w:tcPr>
            <w:tcW w:w="2552" w:type="dxa"/>
            <w:tcBorders>
              <w:top w:val="single" w:sz="4" w:space="0" w:color="auto"/>
              <w:left w:val="nil"/>
              <w:bottom w:val="single" w:sz="4" w:space="0" w:color="auto"/>
            </w:tcBorders>
          </w:tcPr>
          <w:p w:rsidR="000448D2" w:rsidRPr="00205D93" w:rsidRDefault="000448D2" w:rsidP="009567AF">
            <w:pPr>
              <w:widowControl w:val="0"/>
              <w:spacing w:before="0" w:after="0"/>
              <w:jc w:val="left"/>
              <w:rPr>
                <w:noProof/>
                <w:sz w:val="22"/>
                <w:highlight w:val="lightGray"/>
              </w:rPr>
            </w:pPr>
            <w:r w:rsidRPr="00205D93">
              <w:rPr>
                <w:noProof/>
                <w:sz w:val="22"/>
                <w:highlight w:val="lightGray"/>
              </w:rPr>
              <w:t xml:space="preserve">d) Übersicht über den Investitionsbedarf, die Finanzierungsquellen und die Verwaltungsressourcen </w:t>
            </w:r>
          </w:p>
        </w:tc>
        <w:tc>
          <w:tcPr>
            <w:tcW w:w="5811" w:type="dxa"/>
            <w:tcBorders>
              <w:top w:val="single" w:sz="4" w:space="0" w:color="auto"/>
              <w:bottom w:val="single" w:sz="4" w:space="0" w:color="auto"/>
            </w:tcBorders>
          </w:tcPr>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Gesamtinvestitionsbedarf für 2030, 2040, 2050 (in Mio. EUR)</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öffentliche Investitionen (in Mio. EUR)</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private Investitionen (in Mio. EUR)</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Haushaltsmittel </w:t>
            </w:r>
          </w:p>
          <w:p w:rsidR="000448D2" w:rsidRPr="00205D93" w:rsidRDefault="000448D2" w:rsidP="000448D2">
            <w:pPr>
              <w:widowControl w:val="0"/>
              <w:numPr>
                <w:ilvl w:val="1"/>
                <w:numId w:val="12"/>
              </w:numPr>
              <w:tabs>
                <w:tab w:val="left" w:pos="650"/>
              </w:tabs>
              <w:spacing w:before="73" w:after="0" w:line="278" w:lineRule="exact"/>
              <w:jc w:val="left"/>
              <w:rPr>
                <w:rFonts w:eastAsia="Times New Roman"/>
                <w:noProof/>
                <w:sz w:val="22"/>
                <w:highlight w:val="lightGray"/>
              </w:rPr>
            </w:pPr>
            <w:r w:rsidRPr="00205D93">
              <w:rPr>
                <w:noProof/>
                <w:sz w:val="22"/>
                <w:highlight w:val="lightGray"/>
              </w:rPr>
              <w:t xml:space="preserve">gesicherte Mittel </w:t>
            </w:r>
          </w:p>
        </w:tc>
        <w:tc>
          <w:tcPr>
            <w:tcW w:w="4820" w:type="dxa"/>
            <w:tcBorders>
              <w:top w:val="single" w:sz="4" w:space="0" w:color="auto"/>
              <w:bottom w:val="single" w:sz="4" w:space="0" w:color="auto"/>
              <w:right w:val="nil"/>
            </w:tcBorders>
          </w:tcPr>
          <w:p w:rsidR="000448D2" w:rsidRPr="00205D93" w:rsidRDefault="000448D2" w:rsidP="009567AF">
            <w:pPr>
              <w:widowControl w:val="0"/>
              <w:spacing w:before="43" w:after="0" w:line="228" w:lineRule="auto"/>
              <w:ind w:right="-19"/>
              <w:jc w:val="left"/>
              <w:rPr>
                <w:rFonts w:eastAsia="Times New Roman"/>
                <w:noProof/>
                <w:sz w:val="22"/>
                <w:highlight w:val="lightGray"/>
              </w:rPr>
            </w:pPr>
            <w:r w:rsidRPr="00205D93">
              <w:rPr>
                <w:noProof/>
                <w:sz w:val="22"/>
                <w:highlight w:val="lightGray"/>
              </w:rPr>
              <w:t>gesicherte Mittel</w:t>
            </w:r>
          </w:p>
        </w:tc>
      </w:tr>
    </w:tbl>
    <w:p w:rsidR="000448D2" w:rsidRPr="00205D93" w:rsidRDefault="000448D2" w:rsidP="009567AF">
      <w:pPr>
        <w:rPr>
          <w:noProof/>
          <w:highlight w:val="lightGray"/>
        </w:rPr>
        <w:sectPr w:rsidR="000448D2" w:rsidRPr="00205D93" w:rsidSect="00816C38">
          <w:headerReference w:type="default" r:id="rId17"/>
          <w:footerReference w:type="default" r:id="rId18"/>
          <w:headerReference w:type="first" r:id="rId19"/>
          <w:footerReference w:type="first" r:id="rId20"/>
          <w:pgSz w:w="16838" w:h="11906" w:orient="landscape"/>
          <w:pgMar w:top="1418" w:right="1134" w:bottom="1418" w:left="1134" w:header="709" w:footer="709" w:gutter="0"/>
          <w:pgNumType w:start="1"/>
          <w:cols w:space="709"/>
          <w:docGrid w:linePitch="326"/>
        </w:sectPr>
      </w:pPr>
    </w:p>
    <w:p w:rsidR="000448D2" w:rsidRPr="00205D93" w:rsidRDefault="000448D2" w:rsidP="009567AF">
      <w:pPr>
        <w:pStyle w:val="CRSeparator"/>
        <w:rPr>
          <w:noProof/>
        </w:rPr>
      </w:pP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 </w:t>
      </w:r>
    </w:p>
    <w:p w:rsidR="000448D2" w:rsidRPr="00205D93" w:rsidRDefault="000448D2" w:rsidP="00EC00AC">
      <w:pPr>
        <w:pStyle w:val="Annexetitre"/>
        <w:rPr>
          <w:noProof/>
          <w:highlight w:val="lightGray"/>
        </w:rPr>
      </w:pPr>
      <w:r w:rsidRPr="00205D93">
        <w:rPr>
          <w:noProof/>
          <w:highlight w:val="lightGray"/>
        </w:rPr>
        <w:t>ANHANG III</w:t>
      </w:r>
    </w:p>
    <w:p w:rsidR="000448D2" w:rsidRPr="00205D93" w:rsidRDefault="000448D2" w:rsidP="00B24379">
      <w:pPr>
        <w:pStyle w:val="ManualHeading1"/>
        <w:jc w:val="center"/>
        <w:rPr>
          <w:i/>
          <w:noProof/>
          <w:highlight w:val="lightGray"/>
        </w:rPr>
      </w:pPr>
      <w:r w:rsidRPr="00205D93">
        <w:rPr>
          <w:i/>
          <w:noProof/>
          <w:highlight w:val="lightGray"/>
        </w:rPr>
        <w:t>Anforderungen an neue und renovierte Nullemissionsgebäude und Berechnung des Lebenszyklus-Treibhauspotenzials</w:t>
      </w:r>
    </w:p>
    <w:p w:rsidR="000448D2" w:rsidRPr="00205D93" w:rsidRDefault="000448D2" w:rsidP="00B24379">
      <w:pPr>
        <w:pStyle w:val="ManualHeading2"/>
        <w:jc w:val="center"/>
        <w:rPr>
          <w:b w:val="0"/>
          <w:noProof/>
          <w:highlight w:val="lightGray"/>
        </w:rPr>
      </w:pPr>
      <w:r w:rsidRPr="00205D93">
        <w:rPr>
          <w:b w:val="0"/>
          <w:noProof/>
          <w:highlight w:val="lightGray"/>
        </w:rPr>
        <w:t>(gemäß Artikel 2 Nummer 2 und Artikel 7)</w:t>
      </w:r>
    </w:p>
    <w:p w:rsidR="000448D2" w:rsidRPr="00205D93" w:rsidRDefault="000448D2" w:rsidP="009567AF">
      <w:pPr>
        <w:spacing w:line="276" w:lineRule="auto"/>
        <w:rPr>
          <w:rFonts w:eastAsia="Times New Roman"/>
          <w:noProof/>
          <w:highlight w:val="lightGray"/>
        </w:rPr>
      </w:pPr>
      <w:r w:rsidRPr="00205D93">
        <w:rPr>
          <w:noProof/>
          <w:highlight w:val="lightGray"/>
        </w:rPr>
        <w:t>I. Anforderungen an Nullemissionsgebäude</w:t>
      </w:r>
    </w:p>
    <w:p w:rsidR="000448D2" w:rsidRPr="00205D93" w:rsidRDefault="000448D2" w:rsidP="009567AF">
      <w:pPr>
        <w:spacing w:line="276" w:lineRule="auto"/>
        <w:rPr>
          <w:noProof/>
          <w:highlight w:val="lightGray"/>
        </w:rPr>
      </w:pPr>
      <w:r w:rsidRPr="00205D93">
        <w:rPr>
          <w:noProof/>
          <w:highlight w:val="lightGray"/>
        </w:rPr>
        <w:t xml:space="preserve">Der jährliche Gesamtprimärenergieverbrauch eines neuen Nullemissionsgebäudes muss die in der nachstehenden Tabelle angegebenen maximalen Schwellenwerte einhalten. </w:t>
      </w:r>
    </w:p>
    <w:tbl>
      <w:tblPr>
        <w:tblW w:w="0" w:type="auto"/>
        <w:tblInd w:w="135" w:type="dxa"/>
        <w:tblLayout w:type="fixed"/>
        <w:tblLook w:val="04A0" w:firstRow="1" w:lastRow="0" w:firstColumn="1" w:lastColumn="0" w:noHBand="0" w:noVBand="1"/>
      </w:tblPr>
      <w:tblGrid>
        <w:gridCol w:w="2010"/>
        <w:gridCol w:w="2070"/>
        <w:gridCol w:w="2055"/>
        <w:gridCol w:w="2790"/>
      </w:tblGrid>
      <w:tr w:rsidR="000448D2" w:rsidRPr="00205D93"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A36901">
            <w:pPr>
              <w:jc w:val="center"/>
              <w:rPr>
                <w:rFonts w:eastAsia="Times New Roman"/>
                <w:b/>
                <w:bCs/>
                <w:noProof/>
                <w:highlight w:val="lightGray"/>
              </w:rPr>
            </w:pPr>
            <w:r w:rsidRPr="00205D93">
              <w:rPr>
                <w:b/>
                <w:bCs/>
                <w:noProof/>
                <w:highlight w:val="lightGray"/>
              </w:rPr>
              <w:t>Klimazone der EU</w:t>
            </w:r>
            <w:r w:rsidRPr="00205D93">
              <w:rPr>
                <w:rStyle w:val="FootnoteReference0"/>
                <w:rFonts w:eastAsia="Times New Roman"/>
                <w:b/>
                <w:bCs/>
                <w:noProof/>
                <w:highlight w:val="lightGray"/>
              </w:rPr>
              <w:footnoteReference w:id="1"/>
            </w:r>
          </w:p>
        </w:tc>
        <w:tc>
          <w:tcPr>
            <w:tcW w:w="207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b/>
                <w:bCs/>
                <w:noProof/>
                <w:highlight w:val="lightGray"/>
              </w:rPr>
            </w:pPr>
            <w:r w:rsidRPr="00205D93">
              <w:rPr>
                <w:b/>
                <w:bCs/>
                <w:noProof/>
                <w:highlight w:val="lightGray"/>
              </w:rPr>
              <w:t>Wohngebäude</w:t>
            </w:r>
          </w:p>
        </w:tc>
        <w:tc>
          <w:tcPr>
            <w:tcW w:w="2055"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b/>
                <w:bCs/>
                <w:noProof/>
                <w:highlight w:val="lightGray"/>
              </w:rPr>
            </w:pPr>
            <w:r w:rsidRPr="00205D93">
              <w:rPr>
                <w:b/>
                <w:bCs/>
                <w:noProof/>
                <w:highlight w:val="lightGray"/>
              </w:rPr>
              <w:t>Bürogebäude</w:t>
            </w:r>
          </w:p>
        </w:tc>
        <w:tc>
          <w:tcPr>
            <w:tcW w:w="279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b/>
                <w:bCs/>
                <w:noProof/>
                <w:highlight w:val="lightGray"/>
              </w:rPr>
            </w:pPr>
            <w:r w:rsidRPr="00205D93">
              <w:rPr>
                <w:b/>
                <w:bCs/>
                <w:noProof/>
                <w:highlight w:val="lightGray"/>
              </w:rPr>
              <w:t>Sonstige Nichtwohngebäude*</w:t>
            </w:r>
          </w:p>
        </w:tc>
      </w:tr>
      <w:tr w:rsidR="000448D2" w:rsidRPr="00205D93"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Mediterrane Klimazone</w:t>
            </w:r>
          </w:p>
        </w:tc>
        <w:tc>
          <w:tcPr>
            <w:tcW w:w="207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color w:val="000000"/>
                <w:highlight w:val="lightGray"/>
              </w:rPr>
            </w:pPr>
            <w:r w:rsidRPr="00205D93">
              <w:rPr>
                <w:noProof/>
                <w:color w:val="000000"/>
                <w:highlight w:val="lightGray"/>
              </w:rPr>
              <w:t>&lt; 60 kWh/(m</w:t>
            </w:r>
            <w:r w:rsidRPr="00205D93">
              <w:rPr>
                <w:noProof/>
                <w:color w:val="000000"/>
                <w:highlight w:val="lightGray"/>
                <w:vertAlign w:val="superscript"/>
              </w:rPr>
              <w:t>2</w:t>
            </w:r>
            <w:r w:rsidRPr="00205D93">
              <w:rPr>
                <w:noProof/>
                <w:color w:val="000000"/>
                <w:highlight w:val="lightGray"/>
              </w:rPr>
              <w:t>.a)</w:t>
            </w:r>
          </w:p>
        </w:tc>
        <w:tc>
          <w:tcPr>
            <w:tcW w:w="2055"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color w:val="000000"/>
                <w:highlight w:val="lightGray"/>
              </w:rPr>
            </w:pPr>
            <w:r w:rsidRPr="00205D93">
              <w:rPr>
                <w:noProof/>
                <w:color w:val="000000"/>
                <w:highlight w:val="lightGray"/>
              </w:rPr>
              <w:t>&lt; 70 kWh/(m</w:t>
            </w:r>
            <w:r w:rsidRPr="00205D93">
              <w:rPr>
                <w:noProof/>
                <w:color w:val="000000"/>
                <w:highlight w:val="lightGray"/>
                <w:vertAlign w:val="superscript"/>
              </w:rPr>
              <w:t>2</w:t>
            </w:r>
            <w:r w:rsidRPr="00205D93">
              <w:rPr>
                <w:noProof/>
                <w:color w:val="000000"/>
                <w:highlight w:val="lightGray"/>
              </w:rPr>
              <w:t>.a)</w:t>
            </w:r>
          </w:p>
        </w:tc>
        <w:tc>
          <w:tcPr>
            <w:tcW w:w="279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&lt; Niedrigstenergiegebäude – auf nationaler Ebene festgelegter Gesamtprimärenergieverbrauch</w:t>
            </w:r>
          </w:p>
        </w:tc>
      </w:tr>
      <w:tr w:rsidR="000448D2" w:rsidRPr="00205D93"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Maritime Klimazone</w:t>
            </w:r>
          </w:p>
        </w:tc>
        <w:tc>
          <w:tcPr>
            <w:tcW w:w="207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color w:val="000000"/>
                <w:highlight w:val="lightGray"/>
              </w:rPr>
            </w:pPr>
            <w:r w:rsidRPr="00205D93">
              <w:rPr>
                <w:noProof/>
                <w:color w:val="000000"/>
                <w:highlight w:val="lightGray"/>
              </w:rPr>
              <w:t>&lt; 60 kWh/(m</w:t>
            </w:r>
            <w:r w:rsidRPr="00205D93">
              <w:rPr>
                <w:noProof/>
                <w:color w:val="000000"/>
                <w:highlight w:val="lightGray"/>
                <w:vertAlign w:val="superscript"/>
              </w:rPr>
              <w:t>2</w:t>
            </w:r>
            <w:r w:rsidRPr="00205D93">
              <w:rPr>
                <w:noProof/>
                <w:color w:val="000000"/>
                <w:highlight w:val="lightGray"/>
              </w:rPr>
              <w:t>.a)</w:t>
            </w:r>
          </w:p>
        </w:tc>
        <w:tc>
          <w:tcPr>
            <w:tcW w:w="2055"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color w:val="000000"/>
                <w:highlight w:val="lightGray"/>
              </w:rPr>
            </w:pPr>
            <w:r w:rsidRPr="00205D93">
              <w:rPr>
                <w:noProof/>
                <w:color w:val="000000"/>
                <w:highlight w:val="lightGray"/>
              </w:rPr>
              <w:t>&lt; 85 kWh/(m</w:t>
            </w:r>
            <w:r w:rsidRPr="00205D93">
              <w:rPr>
                <w:noProof/>
                <w:color w:val="000000"/>
                <w:highlight w:val="lightGray"/>
                <w:vertAlign w:val="superscript"/>
              </w:rPr>
              <w:t>2</w:t>
            </w:r>
            <w:r w:rsidRPr="00205D93">
              <w:rPr>
                <w:noProof/>
                <w:color w:val="000000"/>
                <w:highlight w:val="lightGray"/>
              </w:rPr>
              <w:t>.a)</w:t>
            </w:r>
          </w:p>
        </w:tc>
        <w:tc>
          <w:tcPr>
            <w:tcW w:w="279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&lt; Niedrigstenergiegebäude – auf nationaler Ebene festgelegter Gesamtprimärenergieverbrauch</w:t>
            </w:r>
          </w:p>
        </w:tc>
      </w:tr>
      <w:tr w:rsidR="000448D2" w:rsidRPr="00205D93"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Kontinentale Klimazone</w:t>
            </w:r>
          </w:p>
        </w:tc>
        <w:tc>
          <w:tcPr>
            <w:tcW w:w="207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color w:val="000000"/>
                <w:highlight w:val="lightGray"/>
              </w:rPr>
            </w:pPr>
            <w:r w:rsidRPr="00205D93">
              <w:rPr>
                <w:noProof/>
                <w:color w:val="000000"/>
                <w:highlight w:val="lightGray"/>
              </w:rPr>
              <w:t>&lt; 65 kWh/(m</w:t>
            </w:r>
            <w:r w:rsidRPr="00205D93">
              <w:rPr>
                <w:noProof/>
                <w:color w:val="000000"/>
                <w:highlight w:val="lightGray"/>
                <w:vertAlign w:val="superscript"/>
              </w:rPr>
              <w:t>2</w:t>
            </w:r>
            <w:r w:rsidRPr="00205D93">
              <w:rPr>
                <w:noProof/>
                <w:color w:val="000000"/>
                <w:highlight w:val="lightGray"/>
              </w:rPr>
              <w:t>.a)</w:t>
            </w:r>
          </w:p>
        </w:tc>
        <w:tc>
          <w:tcPr>
            <w:tcW w:w="2055"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color w:val="000000"/>
                <w:highlight w:val="lightGray"/>
              </w:rPr>
            </w:pPr>
            <w:r w:rsidRPr="00205D93">
              <w:rPr>
                <w:noProof/>
                <w:color w:val="000000"/>
                <w:highlight w:val="lightGray"/>
              </w:rPr>
              <w:t>&lt; 85 kWh/(m</w:t>
            </w:r>
            <w:r w:rsidRPr="00205D93">
              <w:rPr>
                <w:noProof/>
                <w:color w:val="000000"/>
                <w:highlight w:val="lightGray"/>
                <w:vertAlign w:val="superscript"/>
              </w:rPr>
              <w:t>2</w:t>
            </w:r>
            <w:r w:rsidRPr="00205D93">
              <w:rPr>
                <w:noProof/>
                <w:color w:val="000000"/>
                <w:highlight w:val="lightGray"/>
              </w:rPr>
              <w:t>.a)</w:t>
            </w:r>
          </w:p>
        </w:tc>
        <w:tc>
          <w:tcPr>
            <w:tcW w:w="279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&lt; Niedrigstenergiegebäude – auf nationaler Ebene festgelegter Gesamtprimärenergieverbrauch</w:t>
            </w:r>
          </w:p>
        </w:tc>
      </w:tr>
      <w:tr w:rsidR="000448D2" w:rsidRPr="00205D93" w:rsidTr="009567AF">
        <w:trPr>
          <w:trHeight w:val="300"/>
        </w:trPr>
        <w:tc>
          <w:tcPr>
            <w:tcW w:w="201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Nördliche Klimazone</w:t>
            </w:r>
          </w:p>
        </w:tc>
        <w:tc>
          <w:tcPr>
            <w:tcW w:w="207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&lt; 75 kWh/(m</w:t>
            </w:r>
            <w:r w:rsidRPr="00205D93">
              <w:rPr>
                <w:noProof/>
                <w:highlight w:val="lightGray"/>
                <w:vertAlign w:val="superscript"/>
              </w:rPr>
              <w:t>2</w:t>
            </w:r>
            <w:r w:rsidRPr="00205D93">
              <w:rPr>
                <w:noProof/>
                <w:highlight w:val="lightGray"/>
              </w:rPr>
              <w:t>.a)</w:t>
            </w:r>
          </w:p>
        </w:tc>
        <w:tc>
          <w:tcPr>
            <w:tcW w:w="2055"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&lt; 90 kWh/(m</w:t>
            </w:r>
            <w:r w:rsidRPr="00205D93">
              <w:rPr>
                <w:noProof/>
                <w:highlight w:val="lightGray"/>
                <w:vertAlign w:val="superscript"/>
              </w:rPr>
              <w:t>2</w:t>
            </w:r>
            <w:r w:rsidRPr="00205D93">
              <w:rPr>
                <w:noProof/>
                <w:highlight w:val="lightGray"/>
              </w:rPr>
              <w:t>.a)</w:t>
            </w:r>
          </w:p>
        </w:tc>
        <w:tc>
          <w:tcPr>
            <w:tcW w:w="2790" w:type="dxa"/>
            <w:tcBorders>
              <w:top w:val="single" w:sz="8" w:space="0" w:color="auto"/>
              <w:left w:val="single" w:sz="8" w:space="0" w:color="auto"/>
              <w:bottom w:val="single" w:sz="8" w:space="0" w:color="auto"/>
              <w:right w:val="single" w:sz="8" w:space="0" w:color="auto"/>
            </w:tcBorders>
            <w:vAlign w:val="center"/>
          </w:tcPr>
          <w:p w:rsidR="000448D2" w:rsidRPr="00205D93" w:rsidRDefault="000448D2" w:rsidP="009567AF">
            <w:pPr>
              <w:jc w:val="center"/>
              <w:rPr>
                <w:rFonts w:eastAsia="Times New Roman"/>
                <w:noProof/>
                <w:highlight w:val="lightGray"/>
              </w:rPr>
            </w:pPr>
            <w:r w:rsidRPr="00205D93">
              <w:rPr>
                <w:noProof/>
                <w:highlight w:val="lightGray"/>
              </w:rPr>
              <w:t>&lt; Niedrigstenergiegebäude – auf nationaler Ebene festgelegter Gesamtprimärenergieverbrauch</w:t>
            </w:r>
          </w:p>
        </w:tc>
      </w:tr>
    </w:tbl>
    <w:p w:rsidR="000448D2" w:rsidRPr="00205D93" w:rsidRDefault="000448D2" w:rsidP="009567AF">
      <w:pPr>
        <w:spacing w:line="276" w:lineRule="auto"/>
        <w:rPr>
          <w:rFonts w:eastAsia="Times New Roman"/>
          <w:noProof/>
          <w:szCs w:val="24"/>
          <w:highlight w:val="lightGray"/>
        </w:rPr>
      </w:pPr>
      <w:r w:rsidRPr="00205D93">
        <w:rPr>
          <w:i/>
          <w:iCs/>
          <w:noProof/>
          <w:color w:val="000000"/>
          <w:szCs w:val="24"/>
          <w:highlight w:val="lightGray"/>
        </w:rPr>
        <w:t>*Anmerkung: Der Schwellenwert sollte niedriger sein als der Schwellenwert für den Gesamtprimärenergieverbrauch, der auf Ebene der Mitgliedstaaten für andere Arten von Niedrigstenergiegebäuden als Bürogebäude festgelegt wurde.</w:t>
      </w:r>
    </w:p>
    <w:p w:rsidR="000448D2" w:rsidRPr="00205D93" w:rsidRDefault="000448D2" w:rsidP="009567AF">
      <w:pPr>
        <w:spacing w:line="276" w:lineRule="auto"/>
        <w:rPr>
          <w:rFonts w:eastAsia="Times New Roman"/>
          <w:noProof/>
          <w:highlight w:val="lightGray"/>
        </w:rPr>
      </w:pPr>
      <w:r w:rsidRPr="00205D93">
        <w:rPr>
          <w:noProof/>
          <w:highlight w:val="lightGray"/>
        </w:rPr>
        <w:t xml:space="preserve">Der jährliche Gesamtprimärenergieverbrauch eines neuen oder renovierten Nullemissionsgebäudes wird auf jährlicher Nettobasis vollständig abgedeckt durch </w:t>
      </w:r>
    </w:p>
    <w:p w:rsidR="000448D2" w:rsidRPr="00205D93" w:rsidRDefault="000448D2" w:rsidP="00AC0266">
      <w:pPr>
        <w:pStyle w:val="Tiret0"/>
        <w:numPr>
          <w:ilvl w:val="0"/>
          <w:numId w:val="27"/>
        </w:numPr>
        <w:rPr>
          <w:noProof/>
          <w:highlight w:val="lightGray"/>
        </w:rPr>
      </w:pPr>
      <w:r w:rsidRPr="00205D93">
        <w:rPr>
          <w:noProof/>
          <w:highlight w:val="lightGray"/>
        </w:rPr>
        <w:t xml:space="preserve">am Standort erzeugte Energie aus erneuerbaren Quellen, die die Kriterien des Artikels 7 der Richtlinie (EU) 2018/2001 [geänderte Erneuerbare-Energien-Richtlinie] erfüllt, </w:t>
      </w:r>
    </w:p>
    <w:p w:rsidR="000448D2" w:rsidRPr="00205D93" w:rsidRDefault="000448D2" w:rsidP="00B92D8E">
      <w:pPr>
        <w:pStyle w:val="Tiret0"/>
        <w:rPr>
          <w:noProof/>
          <w:highlight w:val="lightGray"/>
        </w:rPr>
      </w:pPr>
      <w:r w:rsidRPr="00205D93">
        <w:rPr>
          <w:noProof/>
          <w:highlight w:val="lightGray"/>
        </w:rPr>
        <w:t xml:space="preserve">erneuerbare Energie, die von einer Erneuerbare-Energie-Gemeinschaft im Sinne des Artikels 22 der Richtlinie (EU) 2018/2001 [geänderte Erneuerbare-Energien-Richtlinie] bereitgestellt wird, oder </w:t>
      </w:r>
    </w:p>
    <w:p w:rsidR="000448D2" w:rsidRPr="00205D93" w:rsidRDefault="000448D2" w:rsidP="00B92D8E">
      <w:pPr>
        <w:pStyle w:val="Tiret0"/>
        <w:rPr>
          <w:noProof/>
          <w:highlight w:val="lightGray"/>
        </w:rPr>
      </w:pPr>
      <w:r w:rsidRPr="00205D93">
        <w:rPr>
          <w:noProof/>
          <w:highlight w:val="lightGray"/>
        </w:rPr>
        <w:t>erneuerbare Energie und Abwärme aus einem effizienten Fernwärme- und Fernkältesystem gemäß Artikel 24 Absatz 1 der Richtlinie (EU) .../... [Neufassung der Energieeffizienzrichtlinie].</w:t>
      </w:r>
    </w:p>
    <w:p w:rsidR="000448D2" w:rsidRPr="00205D93" w:rsidRDefault="000448D2" w:rsidP="009567AF">
      <w:pPr>
        <w:spacing w:line="276" w:lineRule="auto"/>
        <w:rPr>
          <w:rFonts w:eastAsia="Times New Roman"/>
          <w:noProof/>
          <w:highlight w:val="lightGray"/>
        </w:rPr>
      </w:pPr>
      <w:r w:rsidRPr="00205D93">
        <w:rPr>
          <w:noProof/>
          <w:highlight w:val="lightGray"/>
        </w:rPr>
        <w:t>Ein Nullemissionsgebäude darf an seinem Standort keine CO</w:t>
      </w:r>
      <w:r w:rsidRPr="00205D93">
        <w:rPr>
          <w:noProof/>
          <w:highlight w:val="lightGray"/>
          <w:vertAlign w:val="subscript"/>
        </w:rPr>
        <w:t>2</w:t>
      </w:r>
      <w:r w:rsidRPr="00205D93">
        <w:rPr>
          <w:noProof/>
          <w:highlight w:val="lightGray"/>
        </w:rPr>
        <w:t>-Emissionen aus fossilen Brennstoffen verursachen.</w:t>
      </w:r>
    </w:p>
    <w:p w:rsidR="00A165DE" w:rsidRPr="00205D93" w:rsidRDefault="00436324" w:rsidP="00B24379">
      <w:pPr>
        <w:spacing w:line="276" w:lineRule="auto"/>
        <w:rPr>
          <w:rFonts w:eastAsia="Times New Roman"/>
          <w:noProof/>
          <w:highlight w:val="lightGray"/>
        </w:rPr>
      </w:pPr>
      <w:r w:rsidRPr="00205D93">
        <w:rPr>
          <w:noProof/>
          <w:highlight w:val="lightGray"/>
        </w:rPr>
        <w:t xml:space="preserve">Nur in Fällen, in denen </w:t>
      </w:r>
      <w:r w:rsidR="000448D2" w:rsidRPr="00205D93">
        <w:rPr>
          <w:noProof/>
          <w:highlight w:val="lightGray"/>
        </w:rPr>
        <w:t>es aufgrund der Art des Gebäudes oder des fehlenden Zugangs zu Erneuerbare-Energie-Gemeinschaften oder geeigneten Fernwärme- und Fernkältesystemen technisch nicht realisierbar</w:t>
      </w:r>
      <w:r w:rsidRPr="00205D93">
        <w:rPr>
          <w:noProof/>
          <w:highlight w:val="lightGray"/>
        </w:rPr>
        <w:t xml:space="preserve"> ist</w:t>
      </w:r>
      <w:r w:rsidR="000448D2" w:rsidRPr="00205D93">
        <w:rPr>
          <w:noProof/>
          <w:highlight w:val="lightGray"/>
        </w:rPr>
        <w:t>, die Anforderungen gemäß Absatz 1 zu erfüllen, kann der jährliche Gesamtprimärenergieverbrauch unter Einhaltung der auf nationaler Ebene festgelegten Kriterien auch durch Energie aus dem Netz gedeckt werden.</w:t>
      </w:r>
    </w:p>
    <w:p w:rsidR="000448D2" w:rsidRPr="00205D93" w:rsidRDefault="000448D2" w:rsidP="00B24379">
      <w:pPr>
        <w:adjustRightInd w:val="0"/>
        <w:spacing w:before="0" w:after="0"/>
        <w:rPr>
          <w:rFonts w:eastAsia="Times New Roman"/>
          <w:noProof/>
          <w:highlight w:val="lightGray"/>
        </w:rPr>
      </w:pPr>
      <w:r w:rsidRPr="00205D93">
        <w:rPr>
          <w:noProof/>
          <w:highlight w:val="lightGray"/>
        </w:rPr>
        <w:t>II. Berechnung des Lebenszyklus-Treibhauspotenzials neuer Gebäude gemäß Artikel 7 Absatz 2</w:t>
      </w:r>
    </w:p>
    <w:p w:rsidR="000448D2" w:rsidRPr="00205D93" w:rsidRDefault="000448D2" w:rsidP="009567AF">
      <w:pPr>
        <w:rPr>
          <w:noProof/>
          <w:highlight w:val="lightGray"/>
        </w:rPr>
      </w:pPr>
      <w:r w:rsidRPr="00205D93">
        <w:rPr>
          <w:noProof/>
          <w:highlight w:val="lightGray"/>
        </w:rPr>
        <w:t>Für die Berechnung des Lebenszyklus-Treibhauspotenzials neuer Gebäude gemäß Artikel 7 Absatz 2 wird das Lebenszyklus-Treibhauspotenzial als numerischer Indikator, ausgedrückt in kg CO</w:t>
      </w:r>
      <w:r w:rsidRPr="00205D93">
        <w:rPr>
          <w:noProof/>
          <w:highlight w:val="lightGray"/>
          <w:vertAlign w:val="subscript"/>
        </w:rPr>
        <w:t>2</w:t>
      </w:r>
      <w:r w:rsidRPr="00205D93">
        <w:rPr>
          <w:noProof/>
          <w:highlight w:val="lightGray"/>
        </w:rPr>
        <w:t>eq/m² (Nutzfläche), für jede Lebenszyklusphase, gemittelt für ein Jahr eines Bezugszeitraums von 50 Jahren angegeben. Die Datenauswahl, die Festlegung des Szenarios und die Berechnungen erfolgen gemäß EN 15978 (EN 15978:2011. Nachhaltigkeit von Bauwerken. Bewertung der umweltbezogenen Qualität von Gebäuden. Berechnungsmethode). Der Umfang der Gebäudekomponenten und der technischen Ausrüstung entspricht der Definition für den Indikator 1.2 des</w:t>
      </w:r>
      <w:r w:rsidR="00CC077E">
        <w:rPr>
          <w:noProof/>
          <w:highlight w:val="lightGray"/>
        </w:rPr>
        <w:t xml:space="preserve"> </w:t>
      </w:r>
      <w:r w:rsidRPr="00205D93">
        <w:rPr>
          <w:noProof/>
          <w:highlight w:val="lightGray"/>
        </w:rPr>
        <w:t>gemeinsamen Level(s)-Rahmens der EU. Sofern ein nationales Berechnungsinstrument vorliegt oder für die Offenlegung oder die Erteilung von Baugenehmigungen erforderlich ist, kann dieses Instrument genutzt werden, um die erforderliche Offenlegung zu ermöglichen. Andere Berechnungsinstrumente können verwendet werden, wenn sie die im gemeinsamen Level(s)-Rahmen der EU festgelegten Mindestkriterien erfüllen. Wurden Daten zu spezifischen Bauprodukten gemäß der [überarbeiteten Bauprodukteverordnung] berechnet, sind diese, sofern verfügbar, zu verwenden.</w:t>
      </w:r>
    </w:p>
    <w:p w:rsidR="000448D2" w:rsidRPr="00205D93" w:rsidRDefault="000448D2" w:rsidP="009567AF">
      <w:pPr>
        <w:rPr>
          <w:noProof/>
        </w:rPr>
        <w:sectPr w:rsidR="000448D2" w:rsidRPr="00205D93" w:rsidSect="00816C38">
          <w:headerReference w:type="default" r:id="rId21"/>
          <w:footerReference w:type="default" r:id="rId22"/>
          <w:headerReference w:type="first" r:id="rId23"/>
          <w:footerReference w:type="first" r:id="rId24"/>
          <w:pgSz w:w="11906" w:h="16838"/>
          <w:pgMar w:top="1134" w:right="1418" w:bottom="1134" w:left="1418" w:header="709" w:footer="709" w:gutter="0"/>
          <w:pgNumType w:start="1"/>
          <w:cols w:space="709"/>
          <w:docGrid w:linePitch="326"/>
        </w:sectPr>
      </w:pP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2018/844 Artikel 1 Nummer 14 und Anhang Nummer 2</w:t>
      </w:r>
    </w:p>
    <w:p w:rsidR="000448D2" w:rsidRPr="00205D93" w:rsidRDefault="000448D2" w:rsidP="00EC00AC">
      <w:pPr>
        <w:pStyle w:val="Annexetitre"/>
        <w:rPr>
          <w:noProof/>
        </w:rPr>
      </w:pPr>
      <w:r w:rsidRPr="00205D93">
        <w:rPr>
          <w:noProof/>
        </w:rPr>
        <w:t>ANHANG </w:t>
      </w:r>
      <w:r w:rsidRPr="00205D93">
        <w:rPr>
          <w:rStyle w:val="CRMinorChangeAdded"/>
          <w:noProof/>
        </w:rPr>
        <w:t>IV</w:t>
      </w:r>
      <w:r w:rsidRPr="00205D93">
        <w:rPr>
          <w:rStyle w:val="CRMinorChangeDeleted"/>
          <w:noProof/>
        </w:rPr>
        <w:t>IA</w:t>
      </w:r>
    </w:p>
    <w:p w:rsidR="000448D2" w:rsidRPr="00205D93" w:rsidRDefault="000448D2" w:rsidP="00B24379">
      <w:pPr>
        <w:pStyle w:val="ManualHeading1"/>
        <w:ind w:left="851" w:hanging="851"/>
        <w:jc w:val="center"/>
        <w:rPr>
          <w:noProof/>
        </w:rPr>
      </w:pPr>
      <w:r w:rsidRPr="00205D93">
        <w:rPr>
          <w:i/>
          <w:iCs/>
          <w:noProof/>
        </w:rPr>
        <w:t>GEMEINSAMER ALLGEMEINER RAHMEN FÜR DIE BEWERTUNG DER INTELLIGENZFÄHIGKEIT VON GEBÄUDEN</w:t>
      </w:r>
    </w:p>
    <w:p w:rsidR="000448D2" w:rsidRPr="00205D93" w:rsidRDefault="000448D2" w:rsidP="00B92D8E">
      <w:pPr>
        <w:rPr>
          <w:noProof/>
        </w:rPr>
      </w:pPr>
      <w:r w:rsidRPr="00205D93">
        <w:rPr>
          <w:noProof/>
        </w:rPr>
        <w:t>1.</w:t>
      </w:r>
      <w:r w:rsidRPr="00205D93">
        <w:rPr>
          <w:noProof/>
        </w:rPr>
        <w:tab/>
        <w:t>Die Kommission legt die Definition des Intelligenzfähigkeitsindikators sowie eine Methode zu seiner Berechnung fest, um die Fähigkeiten eines Gebäudes oder eines Gebäudeteils, den Betrieb an den Bedarf der Bewohner und des Netzes anzupassen und seine Gesamtenergieeffizienz und -leistung zu verbessern, einschätzen zu können.</w:t>
      </w:r>
    </w:p>
    <w:p w:rsidR="000448D2" w:rsidRPr="00205D93" w:rsidRDefault="000448D2" w:rsidP="00B92D8E">
      <w:pPr>
        <w:rPr>
          <w:noProof/>
        </w:rPr>
      </w:pPr>
      <w:r w:rsidRPr="00205D93">
        <w:rPr>
          <w:noProof/>
        </w:rPr>
        <w:t>Der Intelligenzfähigkeitsindikator umfasst Merkmale für erhöhte Energieeinsparungen, Benchmarks und Flexibilität sowie verbesserte Funktionen und Fähigkeiten, die auf stärker vernetzte und intelligente Geräte zurückzuführen sind.</w:t>
      </w:r>
    </w:p>
    <w:p w:rsidR="000448D2" w:rsidRPr="00205D93" w:rsidRDefault="000448D2" w:rsidP="00B92D8E">
      <w:pPr>
        <w:rPr>
          <w:noProof/>
        </w:rPr>
      </w:pPr>
      <w:r w:rsidRPr="00205D93">
        <w:rPr>
          <w:noProof/>
        </w:rPr>
        <w:t>Bei der Methode werden unter anderem folgende Ausrüstungsmerkmale berücksichtigt: intelligente Zähler, Systeme für die Gebäudeautomatisierung und -steuerung, selbstregulierende Einrichtungen für die Regulierung der Raumlufttemperatur, eingebaute Haushaltsgeräte, Ladepunkte für Elektrofahrzeuge, Energiespeicherung und detaillierte Funktionen und Interoperabilität dieser Merkmale sowie positive Auswirkungen auf das Raumklima, die Gesamtenergieeffizienz, das Leistungsniveau und die gewonnene Flexibilität.</w:t>
      </w:r>
    </w:p>
    <w:p w:rsidR="000448D2" w:rsidRPr="00205D93" w:rsidRDefault="000448D2" w:rsidP="00B92D8E">
      <w:pPr>
        <w:rPr>
          <w:noProof/>
        </w:rPr>
      </w:pPr>
      <w:r w:rsidRPr="00205D93">
        <w:rPr>
          <w:noProof/>
        </w:rPr>
        <w:t>2.</w:t>
      </w:r>
      <w:r w:rsidRPr="00205D93">
        <w:rPr>
          <w:noProof/>
        </w:rPr>
        <w:tab/>
        <w:t>Die Methode stützt sich auf drei Hauptmerkmale des Gebäudes und des gebäudetechnischen Systems:</w:t>
      </w:r>
    </w:p>
    <w:p w:rsidR="000448D2" w:rsidRPr="00205D93" w:rsidRDefault="000448D2" w:rsidP="00AC0266">
      <w:pPr>
        <w:pStyle w:val="Point1letter"/>
        <w:numPr>
          <w:ilvl w:val="3"/>
          <w:numId w:val="28"/>
        </w:numPr>
        <w:rPr>
          <w:noProof/>
        </w:rPr>
      </w:pPr>
      <w:r w:rsidRPr="00205D93">
        <w:rPr>
          <w:noProof/>
        </w:rPr>
        <w:t>die Fähigkeit, die Gesamtenergieeffizienz und den Betrieb des Gebäudes aufrechtzuerhalten, indem der Energieverbrauch, beispielsweise durch die Nutzung von Energie aus erneuerbaren Quellen, angepasst wird,</w:t>
      </w:r>
    </w:p>
    <w:p w:rsidR="000448D2" w:rsidRPr="00205D93" w:rsidRDefault="000448D2" w:rsidP="00B92D8E">
      <w:pPr>
        <w:pStyle w:val="Point1letter"/>
        <w:rPr>
          <w:noProof/>
        </w:rPr>
      </w:pPr>
      <w:r w:rsidRPr="00205D93">
        <w:rPr>
          <w:noProof/>
        </w:rPr>
        <w:t>die Fähigkeit, den Betriebsmodus auf den Bedarf der Bewohner abzustimmen, wobei gebührend auf Benutzerfreundlichkeit, die Aufrechterhaltung eines gesunden Raumklimas und die Fähigkeit, den Energieverbrauch aufzuzeichnen, zu achten ist, und</w:t>
      </w:r>
    </w:p>
    <w:p w:rsidR="000448D2" w:rsidRPr="00205D93" w:rsidRDefault="000448D2" w:rsidP="00B92D8E">
      <w:pPr>
        <w:pStyle w:val="Point1letter"/>
        <w:rPr>
          <w:noProof/>
        </w:rPr>
      </w:pPr>
      <w:r w:rsidRPr="00205D93">
        <w:rPr>
          <w:noProof/>
        </w:rPr>
        <w:t>die Flexibilität des Gesamtenergiebedarfs eines Gebäudes, einschließlich seiner Fähigkeit, die Teilnahme an der aktiven und passiven sowie an der impliziten und expliziten Laststeuerung in Bezug auf das Netz zu ermöglichen, zum Beispiel durch Flexibilität und Kapazitäten zur Lastverschiebung.</w:t>
      </w:r>
    </w:p>
    <w:p w:rsidR="000448D2" w:rsidRPr="00205D93" w:rsidRDefault="000448D2" w:rsidP="009E3C5F">
      <w:pPr>
        <w:rPr>
          <w:noProof/>
        </w:rPr>
      </w:pPr>
      <w:r w:rsidRPr="00205D93">
        <w:rPr>
          <w:noProof/>
        </w:rPr>
        <w:t>3.</w:t>
      </w:r>
      <w:r w:rsidRPr="00205D93">
        <w:rPr>
          <w:noProof/>
        </w:rPr>
        <w:tab/>
        <w:t>Ferner können bei der Methode berücksichtigt werden:</w:t>
      </w:r>
    </w:p>
    <w:p w:rsidR="000448D2" w:rsidRPr="00205D93" w:rsidRDefault="000448D2" w:rsidP="00986F67">
      <w:pPr>
        <w:pStyle w:val="Point1letter"/>
        <w:numPr>
          <w:ilvl w:val="3"/>
          <w:numId w:val="26"/>
        </w:numPr>
        <w:rPr>
          <w:noProof/>
        </w:rPr>
      </w:pPr>
      <w:r w:rsidRPr="00205D93">
        <w:rPr>
          <w:noProof/>
        </w:rPr>
        <w:t>die Interoperabilität der Systeme (intelligente Zähler, Systeme für die Gebäudeautomatisierung und -steuerung, eingebaute Haushaltsgeräte, selbstregulierende Einrichtungen für die Regulierung der Raumlufttemperatur innerhalb des Gebäudes und Sensoren für Raumluftqualität und Belüftung) und</w:t>
      </w:r>
    </w:p>
    <w:p w:rsidR="000448D2" w:rsidRPr="00205D93" w:rsidRDefault="000448D2" w:rsidP="00B92D8E">
      <w:pPr>
        <w:pStyle w:val="Point1letter"/>
        <w:rPr>
          <w:noProof/>
        </w:rPr>
      </w:pPr>
      <w:r w:rsidRPr="00205D93">
        <w:rPr>
          <w:noProof/>
        </w:rPr>
        <w:t>positive Auswirkungen vorhandener Kommunikationsnetze, insbesondere hochgeschwindigkeitsfähiger gebäudeinterner physischer Infrastrukturen wie zum Beispiel eines freiwilligen Breitbandlabels und eines Zugangspunkts für Mehrfamilienhäuser im Sinne von Artikel 8 der Richtlinie 2014/61/EU des Europäischen Parlaments und des Rates</w:t>
      </w:r>
      <w:r w:rsidRPr="00205D93">
        <w:rPr>
          <w:rStyle w:val="FootnoteReference0"/>
          <w:noProof/>
        </w:rPr>
        <w:footnoteReference w:id="2"/>
      </w:r>
      <w:r w:rsidRPr="00205D93">
        <w:rPr>
          <w:noProof/>
        </w:rPr>
        <w:t>.</w:t>
      </w:r>
    </w:p>
    <w:p w:rsidR="000448D2" w:rsidRPr="00205D93" w:rsidRDefault="000448D2" w:rsidP="00B92D8E">
      <w:pPr>
        <w:rPr>
          <w:noProof/>
        </w:rPr>
      </w:pPr>
      <w:r w:rsidRPr="00205D93">
        <w:rPr>
          <w:noProof/>
        </w:rPr>
        <w:t>4.</w:t>
      </w:r>
      <w:r w:rsidRPr="00205D93">
        <w:rPr>
          <w:noProof/>
        </w:rPr>
        <w:tab/>
        <w:t>Die Methode darf keine negativen Auswirkungen auf bestehende nationale Systeme für Ausweise über die Gesamtenergieeffizienz haben und ergänzt entsprechende Initiativen auf nationaler Ebene, wobei dem Grundsatz der Eigenverantwortung des Bewohners, dem Datenschutz, dem Schutz der Privatsphäre und der Sicherheit — im Einklang mit den einschlägigen Rechtsvorschriften der Union über den Datenschutz und den Schutz der Privatsphäre sowie den besten verfügbaren Verfahren für Cybersicherheit — Rechnung getragen wird.</w:t>
      </w:r>
    </w:p>
    <w:p w:rsidR="000448D2" w:rsidRPr="00205D93" w:rsidRDefault="000448D2" w:rsidP="00B92D8E">
      <w:pPr>
        <w:rPr>
          <w:noProof/>
        </w:rPr>
      </w:pPr>
      <w:r w:rsidRPr="00205D93">
        <w:rPr>
          <w:noProof/>
        </w:rPr>
        <w:t>5.</w:t>
      </w:r>
      <w:r w:rsidRPr="00205D93">
        <w:rPr>
          <w:noProof/>
        </w:rPr>
        <w:tab/>
        <w:t>Mit der Methode wird das am besten geeignete Format des Parameters Intelligenzfähigkeitsindikator festgelegt, und die Methode muss einfach, transparent und für Verbraucher, Eigentümer, Investoren und Marktteilnehmer im Bereich Laststeuerung leicht verständlich sein.</w:t>
      </w:r>
    </w:p>
    <w:p w:rsidR="000448D2" w:rsidRPr="00205D93" w:rsidRDefault="000448D2">
      <w:pPr>
        <w:adjustRightInd w:val="0"/>
        <w:spacing w:before="0" w:after="0"/>
        <w:jc w:val="left"/>
        <w:rPr>
          <w:noProof/>
        </w:rPr>
        <w:sectPr w:rsidR="000448D2" w:rsidRPr="00205D93" w:rsidSect="00816C38">
          <w:pgSz w:w="11906" w:h="16838"/>
          <w:pgMar w:top="1134" w:right="1418" w:bottom="1134" w:left="1418" w:header="709" w:footer="709" w:gutter="0"/>
          <w:pgNumType w:start="1"/>
          <w:cols w:space="709"/>
          <w:docGrid w:linePitch="326"/>
        </w:sectPr>
      </w:pPr>
    </w:p>
    <w:p w:rsidR="000448D2" w:rsidRPr="00205D93" w:rsidRDefault="000448D2" w:rsidP="009567AF">
      <w:pPr>
        <w:pStyle w:val="CRSeparator"/>
        <w:rPr>
          <w:noProof/>
        </w:rPr>
      </w:pP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 </w:t>
      </w:r>
    </w:p>
    <w:p w:rsidR="000448D2" w:rsidRPr="00205D93" w:rsidRDefault="000448D2" w:rsidP="00EC00AC">
      <w:pPr>
        <w:pStyle w:val="Annexetitre"/>
        <w:rPr>
          <w:noProof/>
          <w:highlight w:val="lightGray"/>
        </w:rPr>
      </w:pPr>
      <w:r w:rsidRPr="00205D93">
        <w:rPr>
          <w:noProof/>
          <w:highlight w:val="lightGray"/>
        </w:rPr>
        <w:t>ANHANG V</w:t>
      </w:r>
    </w:p>
    <w:p w:rsidR="00405A76" w:rsidRPr="00205D93" w:rsidRDefault="000448D2" w:rsidP="00B24379">
      <w:pPr>
        <w:pStyle w:val="ManualHeading1"/>
        <w:jc w:val="center"/>
        <w:rPr>
          <w:i/>
          <w:noProof/>
          <w:highlight w:val="lightGray"/>
        </w:rPr>
      </w:pPr>
      <w:r w:rsidRPr="00205D93">
        <w:rPr>
          <w:i/>
          <w:noProof/>
          <w:highlight w:val="lightGray"/>
        </w:rPr>
        <w:t>Vorlage für Ausweise über die Gesamtenergieeffizienz</w:t>
      </w:r>
    </w:p>
    <w:p w:rsidR="000448D2" w:rsidRPr="00205D93" w:rsidRDefault="000448D2" w:rsidP="00B24379">
      <w:pPr>
        <w:pStyle w:val="ManualHeading2"/>
        <w:jc w:val="center"/>
        <w:rPr>
          <w:b w:val="0"/>
          <w:noProof/>
          <w:highlight w:val="lightGray"/>
        </w:rPr>
      </w:pPr>
      <w:r w:rsidRPr="00205D93">
        <w:rPr>
          <w:b w:val="0"/>
          <w:noProof/>
          <w:highlight w:val="lightGray"/>
        </w:rPr>
        <w:t>(gemäß Artikel 16)</w:t>
      </w:r>
    </w:p>
    <w:p w:rsidR="000448D2" w:rsidRPr="00205D93" w:rsidRDefault="000448D2" w:rsidP="009567AF">
      <w:pPr>
        <w:spacing w:line="259" w:lineRule="auto"/>
        <w:rPr>
          <w:noProof/>
          <w:highlight w:val="lightGray"/>
        </w:rPr>
      </w:pPr>
      <w:r w:rsidRPr="00205D93">
        <w:rPr>
          <w:noProof/>
          <w:highlight w:val="lightGray"/>
        </w:rPr>
        <w:t>1. Der Ausweis über die Gesamtenergieeffizienz muss auf seiner Vorderseite mindestens folgende Angaben enthalten:</w:t>
      </w:r>
    </w:p>
    <w:p w:rsidR="000448D2" w:rsidRPr="00205D93" w:rsidRDefault="000448D2" w:rsidP="00B92D8E">
      <w:pPr>
        <w:rPr>
          <w:noProof/>
          <w:highlight w:val="lightGray"/>
        </w:rPr>
      </w:pPr>
      <w:r w:rsidRPr="00205D93">
        <w:rPr>
          <w:noProof/>
          <w:highlight w:val="lightGray"/>
        </w:rPr>
        <w:t>a)</w:t>
      </w:r>
      <w:r w:rsidRPr="00205D93">
        <w:rPr>
          <w:noProof/>
        </w:rPr>
        <w:tab/>
      </w:r>
      <w:r w:rsidRPr="00205D93">
        <w:rPr>
          <w:noProof/>
          <w:highlight w:val="lightGray"/>
        </w:rPr>
        <w:t>die Gesamtenergieeffizienzklasse;</w:t>
      </w:r>
    </w:p>
    <w:p w:rsidR="000448D2" w:rsidRPr="00205D93" w:rsidRDefault="000448D2" w:rsidP="00B92D8E">
      <w:pPr>
        <w:rPr>
          <w:noProof/>
          <w:highlight w:val="lightGray"/>
        </w:rPr>
      </w:pPr>
      <w:r w:rsidRPr="00205D93">
        <w:rPr>
          <w:noProof/>
          <w:highlight w:val="lightGray"/>
        </w:rPr>
        <w:t>b)</w:t>
      </w:r>
      <w:r w:rsidRPr="00205D93">
        <w:rPr>
          <w:noProof/>
        </w:rPr>
        <w:tab/>
      </w:r>
      <w:r w:rsidRPr="00205D93">
        <w:rPr>
          <w:noProof/>
          <w:highlight w:val="lightGray"/>
        </w:rPr>
        <w:t>den berechneten jährlichen Primärenergieverbrauch in kWh/(m</w:t>
      </w:r>
      <w:r w:rsidRPr="00205D93">
        <w:rPr>
          <w:noProof/>
          <w:highlight w:val="lightGray"/>
          <w:vertAlign w:val="superscript"/>
        </w:rPr>
        <w:t>2</w:t>
      </w:r>
      <w:r w:rsidRPr="00205D93">
        <w:rPr>
          <w:noProof/>
          <w:highlight w:val="lightGray"/>
        </w:rPr>
        <w:t>.a);</w:t>
      </w:r>
    </w:p>
    <w:p w:rsidR="000448D2" w:rsidRPr="00205D93" w:rsidRDefault="000448D2" w:rsidP="00B92D8E">
      <w:pPr>
        <w:rPr>
          <w:noProof/>
          <w:highlight w:val="lightGray"/>
        </w:rPr>
      </w:pPr>
      <w:r w:rsidRPr="00205D93">
        <w:rPr>
          <w:noProof/>
          <w:highlight w:val="lightGray"/>
        </w:rPr>
        <w:t>c)</w:t>
      </w:r>
      <w:r w:rsidRPr="00205D93">
        <w:rPr>
          <w:noProof/>
        </w:rPr>
        <w:tab/>
      </w:r>
      <w:r w:rsidRPr="00205D93">
        <w:rPr>
          <w:noProof/>
          <w:highlight w:val="lightGray"/>
        </w:rPr>
        <w:t>den berechneten jährlichen Primärenergieverbrauch in kWh oder MWh;</w:t>
      </w:r>
    </w:p>
    <w:p w:rsidR="000448D2" w:rsidRPr="00205D93" w:rsidRDefault="000448D2" w:rsidP="00B92D8E">
      <w:pPr>
        <w:rPr>
          <w:noProof/>
          <w:highlight w:val="lightGray"/>
        </w:rPr>
      </w:pPr>
      <w:r w:rsidRPr="00205D93">
        <w:rPr>
          <w:noProof/>
          <w:highlight w:val="lightGray"/>
        </w:rPr>
        <w:t>d)</w:t>
      </w:r>
      <w:r w:rsidRPr="00205D93">
        <w:rPr>
          <w:noProof/>
        </w:rPr>
        <w:tab/>
      </w:r>
      <w:r w:rsidRPr="00205D93">
        <w:rPr>
          <w:noProof/>
          <w:highlight w:val="lightGray"/>
        </w:rPr>
        <w:t>den berechneten jährlichen Endenergieverbrauch in kWh/(m².a);</w:t>
      </w:r>
    </w:p>
    <w:p w:rsidR="000448D2" w:rsidRPr="00205D93" w:rsidRDefault="000448D2" w:rsidP="00B92D8E">
      <w:pPr>
        <w:rPr>
          <w:noProof/>
          <w:highlight w:val="lightGray"/>
        </w:rPr>
      </w:pPr>
      <w:r w:rsidRPr="00205D93">
        <w:rPr>
          <w:noProof/>
          <w:highlight w:val="lightGray"/>
        </w:rPr>
        <w:t>e)</w:t>
      </w:r>
      <w:r w:rsidRPr="00205D93">
        <w:rPr>
          <w:noProof/>
        </w:rPr>
        <w:tab/>
      </w:r>
      <w:r w:rsidRPr="00205D93">
        <w:rPr>
          <w:noProof/>
          <w:highlight w:val="lightGray"/>
        </w:rPr>
        <w:t>den berechneten jährlichen Endenergieverbrauch in kWh oder MWh;</w:t>
      </w:r>
    </w:p>
    <w:p w:rsidR="000448D2" w:rsidRPr="00205D93" w:rsidRDefault="000448D2" w:rsidP="00B92D8E">
      <w:pPr>
        <w:rPr>
          <w:noProof/>
          <w:highlight w:val="lightGray"/>
        </w:rPr>
      </w:pPr>
      <w:r w:rsidRPr="00205D93">
        <w:rPr>
          <w:noProof/>
          <w:highlight w:val="lightGray"/>
        </w:rPr>
        <w:t>f)</w:t>
      </w:r>
      <w:r w:rsidRPr="00205D93">
        <w:rPr>
          <w:noProof/>
        </w:rPr>
        <w:tab/>
      </w:r>
      <w:r w:rsidRPr="00205D93">
        <w:rPr>
          <w:noProof/>
          <w:highlight w:val="lightGray"/>
        </w:rPr>
        <w:t>die Erzeugung von Energie aus erneuerbaren Quellen in kWh oder MWh;</w:t>
      </w:r>
    </w:p>
    <w:p w:rsidR="000448D2" w:rsidRPr="00205D93" w:rsidRDefault="000448D2" w:rsidP="00B92D8E">
      <w:pPr>
        <w:rPr>
          <w:noProof/>
          <w:highlight w:val="lightGray"/>
        </w:rPr>
      </w:pPr>
      <w:r w:rsidRPr="00205D93">
        <w:rPr>
          <w:noProof/>
          <w:highlight w:val="lightGray"/>
        </w:rPr>
        <w:t>g)</w:t>
      </w:r>
      <w:r w:rsidRPr="00205D93">
        <w:rPr>
          <w:noProof/>
        </w:rPr>
        <w:tab/>
      </w:r>
      <w:r w:rsidRPr="00205D93">
        <w:rPr>
          <w:noProof/>
          <w:highlight w:val="lightGray"/>
        </w:rPr>
        <w:t>den Anteil erneuerbarer Energie am Energieverbrauch in %;</w:t>
      </w:r>
    </w:p>
    <w:p w:rsidR="000448D2" w:rsidRPr="00205D93" w:rsidRDefault="000448D2" w:rsidP="00B92D8E">
      <w:pPr>
        <w:rPr>
          <w:noProof/>
          <w:highlight w:val="lightGray"/>
        </w:rPr>
      </w:pPr>
      <w:r w:rsidRPr="00205D93">
        <w:rPr>
          <w:noProof/>
          <w:highlight w:val="lightGray"/>
        </w:rPr>
        <w:t>h)</w:t>
      </w:r>
      <w:r w:rsidRPr="00205D93">
        <w:rPr>
          <w:noProof/>
        </w:rPr>
        <w:tab/>
      </w:r>
      <w:r w:rsidRPr="00205D93">
        <w:rPr>
          <w:noProof/>
          <w:highlight w:val="lightGray"/>
        </w:rPr>
        <w:t>die betriebsbedingten Treibhausgasemissionen in kg CO</w:t>
      </w:r>
      <w:r w:rsidRPr="00205D93">
        <w:rPr>
          <w:noProof/>
          <w:highlight w:val="lightGray"/>
          <w:vertAlign w:val="subscript"/>
        </w:rPr>
        <w:t>2</w:t>
      </w:r>
      <w:r w:rsidRPr="00205D93">
        <w:rPr>
          <w:noProof/>
          <w:highlight w:val="lightGray"/>
        </w:rPr>
        <w:t>eq/(m</w:t>
      </w:r>
      <w:r w:rsidRPr="00205D93">
        <w:rPr>
          <w:noProof/>
          <w:highlight w:val="lightGray"/>
          <w:vertAlign w:val="superscript"/>
        </w:rPr>
        <w:t>2</w:t>
      </w:r>
      <w:r w:rsidRPr="00205D93">
        <w:rPr>
          <w:noProof/>
          <w:highlight w:val="lightGray"/>
        </w:rPr>
        <w:t>.a);</w:t>
      </w:r>
    </w:p>
    <w:p w:rsidR="000448D2" w:rsidRPr="00205D93" w:rsidRDefault="000448D2" w:rsidP="00B92D8E">
      <w:pPr>
        <w:rPr>
          <w:noProof/>
          <w:highlight w:val="lightGray"/>
        </w:rPr>
      </w:pPr>
      <w:r w:rsidRPr="00205D93">
        <w:rPr>
          <w:noProof/>
          <w:highlight w:val="lightGray"/>
        </w:rPr>
        <w:t>i)</w:t>
      </w:r>
      <w:r w:rsidRPr="00205D93">
        <w:rPr>
          <w:noProof/>
        </w:rPr>
        <w:tab/>
      </w:r>
      <w:r w:rsidRPr="00205D93">
        <w:rPr>
          <w:noProof/>
          <w:highlight w:val="lightGray"/>
        </w:rPr>
        <w:t>die Treibhausgasemissionsklasse (falls zutreffend).</w:t>
      </w:r>
    </w:p>
    <w:p w:rsidR="000448D2" w:rsidRPr="00205D93" w:rsidRDefault="000448D2" w:rsidP="009567AF">
      <w:pPr>
        <w:spacing w:line="259" w:lineRule="auto"/>
        <w:rPr>
          <w:noProof/>
          <w:highlight w:val="lightGray"/>
        </w:rPr>
      </w:pPr>
      <w:r w:rsidRPr="00205D93">
        <w:rPr>
          <w:noProof/>
          <w:highlight w:val="lightGray"/>
        </w:rPr>
        <w:t>2. Zusätzlich kann der Ausweis über die Gesamtenergieeffizienz folgende Indikatoren enthalten:</w:t>
      </w:r>
    </w:p>
    <w:p w:rsidR="000448D2" w:rsidRPr="00205D93" w:rsidRDefault="000448D2" w:rsidP="00D44D1B">
      <w:pPr>
        <w:rPr>
          <w:noProof/>
          <w:highlight w:val="lightGray"/>
        </w:rPr>
      </w:pPr>
      <w:r w:rsidRPr="00205D93">
        <w:rPr>
          <w:noProof/>
          <w:highlight w:val="lightGray"/>
        </w:rPr>
        <w:t>a)</w:t>
      </w:r>
      <w:r w:rsidRPr="00205D93">
        <w:rPr>
          <w:noProof/>
        </w:rPr>
        <w:tab/>
      </w:r>
      <w:r w:rsidRPr="00205D93">
        <w:rPr>
          <w:noProof/>
          <w:highlight w:val="lightGray"/>
        </w:rPr>
        <w:t>Energieverbrauch, Spitzenlast, Größe des Generators oder der Anlage, Hauptenergieträger und Hauptelement für jeden der folgenden Nutzungszwecke: Heizung, Kühlung, Warmwasserbereitung für den häuslichen Gebrauch, Lüftung und eingebaute Beleuchtung;</w:t>
      </w:r>
    </w:p>
    <w:p w:rsidR="000448D2" w:rsidRPr="00205D93" w:rsidRDefault="000448D2" w:rsidP="00D44D1B">
      <w:pPr>
        <w:rPr>
          <w:noProof/>
          <w:highlight w:val="lightGray"/>
        </w:rPr>
      </w:pPr>
      <w:r w:rsidRPr="00205D93">
        <w:rPr>
          <w:noProof/>
          <w:highlight w:val="lightGray"/>
        </w:rPr>
        <w:t>b)</w:t>
      </w:r>
      <w:r w:rsidRPr="00205D93">
        <w:rPr>
          <w:noProof/>
        </w:rPr>
        <w:tab/>
      </w:r>
      <w:r w:rsidRPr="00205D93">
        <w:rPr>
          <w:noProof/>
          <w:highlight w:val="lightGray"/>
        </w:rPr>
        <w:t>am Standort erzeugte erneuerbare Energie, Hauptenergieträger und Art der erneuerbaren Energiequelle;</w:t>
      </w:r>
    </w:p>
    <w:p w:rsidR="000448D2" w:rsidRPr="00205D93" w:rsidRDefault="000448D2" w:rsidP="00D44D1B">
      <w:pPr>
        <w:rPr>
          <w:noProof/>
          <w:highlight w:val="lightGray"/>
        </w:rPr>
      </w:pPr>
      <w:r w:rsidRPr="00205D93">
        <w:rPr>
          <w:noProof/>
          <w:highlight w:val="lightGray"/>
        </w:rPr>
        <w:t>c)</w:t>
      </w:r>
      <w:r w:rsidRPr="00205D93">
        <w:rPr>
          <w:noProof/>
        </w:rPr>
        <w:tab/>
      </w:r>
      <w:r w:rsidRPr="00205D93">
        <w:rPr>
          <w:noProof/>
          <w:highlight w:val="lightGray"/>
        </w:rPr>
        <w:t>eine Ja/Nein-Angabe darüber, ob für das Gebäude eine Berechnung des Treibhauspotenzials vorgenommen wurde;</w:t>
      </w:r>
    </w:p>
    <w:p w:rsidR="000448D2" w:rsidRPr="00205D93" w:rsidRDefault="000448D2" w:rsidP="00D44D1B">
      <w:pPr>
        <w:rPr>
          <w:noProof/>
          <w:highlight w:val="lightGray"/>
        </w:rPr>
      </w:pPr>
      <w:r w:rsidRPr="00205D93">
        <w:rPr>
          <w:noProof/>
          <w:highlight w:val="lightGray"/>
        </w:rPr>
        <w:t>d)</w:t>
      </w:r>
      <w:r w:rsidRPr="00205D93">
        <w:rPr>
          <w:noProof/>
        </w:rPr>
        <w:tab/>
      </w:r>
      <w:r w:rsidRPr="00205D93">
        <w:rPr>
          <w:noProof/>
          <w:highlight w:val="lightGray"/>
        </w:rPr>
        <w:t>den Wert des Lebenszyklus-Treibhauspotenzials (falls verfügbar);</w:t>
      </w:r>
    </w:p>
    <w:p w:rsidR="000448D2" w:rsidRPr="00205D93" w:rsidRDefault="000448D2" w:rsidP="00D44D1B">
      <w:pPr>
        <w:rPr>
          <w:noProof/>
          <w:highlight w:val="lightGray"/>
        </w:rPr>
      </w:pPr>
      <w:r w:rsidRPr="00205D93">
        <w:rPr>
          <w:noProof/>
          <w:highlight w:val="lightGray"/>
        </w:rPr>
        <w:t>e)</w:t>
      </w:r>
      <w:r w:rsidRPr="00205D93">
        <w:rPr>
          <w:noProof/>
        </w:rPr>
        <w:tab/>
      </w:r>
      <w:r w:rsidRPr="00205D93">
        <w:rPr>
          <w:noProof/>
          <w:highlight w:val="lightGray"/>
        </w:rPr>
        <w:t>Informationen über die CO</w:t>
      </w:r>
      <w:r w:rsidRPr="00205D93">
        <w:rPr>
          <w:noProof/>
          <w:highlight w:val="lightGray"/>
          <w:vertAlign w:val="subscript"/>
        </w:rPr>
        <w:t>2</w:t>
      </w:r>
      <w:r w:rsidRPr="00205D93">
        <w:rPr>
          <w:noProof/>
          <w:highlight w:val="lightGray"/>
        </w:rPr>
        <w:t>-Entfernung im Zusammenhang mit der vorübergehenden CO</w:t>
      </w:r>
      <w:r w:rsidRPr="00205D93">
        <w:rPr>
          <w:noProof/>
          <w:highlight w:val="lightGray"/>
          <w:vertAlign w:val="subscript"/>
        </w:rPr>
        <w:t>2</w:t>
      </w:r>
      <w:r w:rsidRPr="00205D93">
        <w:rPr>
          <w:noProof/>
          <w:highlight w:val="lightGray"/>
        </w:rPr>
        <w:t>-Speicherung in oder auf Gebäuden;</w:t>
      </w:r>
    </w:p>
    <w:p w:rsidR="000448D2" w:rsidRPr="00205D93" w:rsidRDefault="000448D2" w:rsidP="00D44D1B">
      <w:pPr>
        <w:rPr>
          <w:noProof/>
          <w:highlight w:val="lightGray"/>
        </w:rPr>
      </w:pPr>
      <w:r w:rsidRPr="00205D93">
        <w:rPr>
          <w:noProof/>
          <w:highlight w:val="lightGray"/>
        </w:rPr>
        <w:t>e)</w:t>
      </w:r>
      <w:r w:rsidRPr="00205D93">
        <w:rPr>
          <w:noProof/>
        </w:rPr>
        <w:tab/>
      </w:r>
      <w:r w:rsidRPr="00205D93">
        <w:rPr>
          <w:noProof/>
          <w:highlight w:val="lightGray"/>
        </w:rPr>
        <w:t>eine Ja/Nein-Angabe darüber, ob für das Gebäude ein Renovierungspass vorliegt;</w:t>
      </w:r>
    </w:p>
    <w:p w:rsidR="000448D2" w:rsidRPr="00205D93" w:rsidRDefault="000448D2" w:rsidP="00D44D1B">
      <w:pPr>
        <w:rPr>
          <w:noProof/>
          <w:highlight w:val="lightGray"/>
        </w:rPr>
      </w:pPr>
      <w:r w:rsidRPr="00205D93">
        <w:rPr>
          <w:noProof/>
          <w:highlight w:val="lightGray"/>
        </w:rPr>
        <w:t>f)</w:t>
      </w:r>
      <w:r w:rsidRPr="00205D93">
        <w:rPr>
          <w:noProof/>
        </w:rPr>
        <w:tab/>
      </w:r>
      <w:r w:rsidRPr="00205D93">
        <w:rPr>
          <w:noProof/>
          <w:highlight w:val="lightGray"/>
        </w:rPr>
        <w:t>den durchschnittlichen U-Wert für opake Elemente der Gebäudehülle;</w:t>
      </w:r>
    </w:p>
    <w:p w:rsidR="000448D2" w:rsidRPr="00205D93" w:rsidRDefault="000448D2" w:rsidP="00D44D1B">
      <w:pPr>
        <w:rPr>
          <w:noProof/>
          <w:highlight w:val="lightGray"/>
        </w:rPr>
      </w:pPr>
      <w:r w:rsidRPr="00205D93">
        <w:rPr>
          <w:noProof/>
          <w:highlight w:val="lightGray"/>
        </w:rPr>
        <w:t>g)</w:t>
      </w:r>
      <w:r w:rsidRPr="00205D93">
        <w:rPr>
          <w:noProof/>
        </w:rPr>
        <w:tab/>
      </w:r>
      <w:r w:rsidRPr="00205D93">
        <w:rPr>
          <w:noProof/>
          <w:highlight w:val="lightGray"/>
        </w:rPr>
        <w:t>den durchschnittlichen U-Wert für transparente Elemente der Gebäudehülle;</w:t>
      </w:r>
    </w:p>
    <w:p w:rsidR="000448D2" w:rsidRPr="00205D93" w:rsidRDefault="000448D2" w:rsidP="00D44D1B">
      <w:pPr>
        <w:rPr>
          <w:noProof/>
          <w:highlight w:val="lightGray"/>
        </w:rPr>
      </w:pPr>
      <w:r w:rsidRPr="00205D93">
        <w:rPr>
          <w:noProof/>
          <w:highlight w:val="lightGray"/>
        </w:rPr>
        <w:t>h)</w:t>
      </w:r>
      <w:r w:rsidRPr="00205D93">
        <w:rPr>
          <w:noProof/>
        </w:rPr>
        <w:tab/>
      </w:r>
      <w:r w:rsidRPr="00205D93">
        <w:rPr>
          <w:noProof/>
          <w:highlight w:val="lightGray"/>
        </w:rPr>
        <w:t>Art des am häufigsten vorkommenden transparenten Elements (z. B. Doppelglas-Fenster);</w:t>
      </w:r>
    </w:p>
    <w:p w:rsidR="000448D2" w:rsidRPr="00205D93" w:rsidRDefault="000448D2" w:rsidP="00D44D1B">
      <w:pPr>
        <w:rPr>
          <w:noProof/>
          <w:highlight w:val="lightGray"/>
        </w:rPr>
      </w:pPr>
      <w:r w:rsidRPr="00205D93">
        <w:rPr>
          <w:noProof/>
          <w:highlight w:val="lightGray"/>
        </w:rPr>
        <w:t>i)</w:t>
      </w:r>
      <w:r w:rsidRPr="00205D93">
        <w:rPr>
          <w:noProof/>
        </w:rPr>
        <w:tab/>
      </w:r>
      <w:r w:rsidRPr="00205D93">
        <w:rPr>
          <w:noProof/>
          <w:highlight w:val="lightGray"/>
        </w:rPr>
        <w:t>Ergebnisse der Analyse des Überhitzungsrisikos (falls verfügbar);</w:t>
      </w:r>
    </w:p>
    <w:p w:rsidR="000448D2" w:rsidRPr="00205D93" w:rsidRDefault="000448D2" w:rsidP="00D44D1B">
      <w:pPr>
        <w:rPr>
          <w:noProof/>
          <w:highlight w:val="lightGray"/>
        </w:rPr>
      </w:pPr>
      <w:r w:rsidRPr="00205D93">
        <w:rPr>
          <w:noProof/>
          <w:highlight w:val="lightGray"/>
        </w:rPr>
        <w:t>j)</w:t>
      </w:r>
      <w:r w:rsidRPr="00205D93">
        <w:rPr>
          <w:noProof/>
        </w:rPr>
        <w:tab/>
      </w:r>
      <w:r w:rsidRPr="00205D93">
        <w:rPr>
          <w:noProof/>
          <w:highlight w:val="lightGray"/>
        </w:rPr>
        <w:t>Vorhandensein fest installierter Sensoren zur Überwachung der Raumluftqualität;</w:t>
      </w:r>
    </w:p>
    <w:p w:rsidR="000448D2" w:rsidRPr="00205D93" w:rsidRDefault="000448D2" w:rsidP="00D44D1B">
      <w:pPr>
        <w:rPr>
          <w:noProof/>
          <w:highlight w:val="lightGray"/>
        </w:rPr>
      </w:pPr>
      <w:r w:rsidRPr="00205D93">
        <w:rPr>
          <w:noProof/>
          <w:highlight w:val="lightGray"/>
        </w:rPr>
        <w:t>k)</w:t>
      </w:r>
      <w:r w:rsidRPr="00205D93">
        <w:rPr>
          <w:noProof/>
        </w:rPr>
        <w:tab/>
      </w:r>
      <w:r w:rsidRPr="00205D93">
        <w:rPr>
          <w:noProof/>
          <w:highlight w:val="lightGray"/>
        </w:rPr>
        <w:t>Vorhandensein fest installierter Steuerungseinheiten, die auf die Raumluftqualität reagieren;</w:t>
      </w:r>
    </w:p>
    <w:p w:rsidR="000448D2" w:rsidRPr="00205D93" w:rsidRDefault="000448D2" w:rsidP="00D44D1B">
      <w:pPr>
        <w:rPr>
          <w:noProof/>
          <w:highlight w:val="lightGray"/>
        </w:rPr>
      </w:pPr>
      <w:r w:rsidRPr="00205D93">
        <w:rPr>
          <w:noProof/>
          <w:highlight w:val="lightGray"/>
        </w:rPr>
        <w:t>l)</w:t>
      </w:r>
      <w:r w:rsidRPr="00205D93">
        <w:rPr>
          <w:noProof/>
        </w:rPr>
        <w:tab/>
      </w:r>
      <w:r w:rsidRPr="00205D93">
        <w:rPr>
          <w:noProof/>
          <w:highlight w:val="lightGray"/>
        </w:rPr>
        <w:t>Anzahl und Art der Ladepunkte für Elektrofahrzeuge;</w:t>
      </w:r>
    </w:p>
    <w:p w:rsidR="000448D2" w:rsidRPr="00205D93" w:rsidRDefault="000448D2" w:rsidP="00D44D1B">
      <w:pPr>
        <w:rPr>
          <w:noProof/>
          <w:highlight w:val="lightGray"/>
        </w:rPr>
      </w:pPr>
      <w:r w:rsidRPr="00205D93">
        <w:rPr>
          <w:noProof/>
          <w:highlight w:val="lightGray"/>
        </w:rPr>
        <w:t>m)</w:t>
      </w:r>
      <w:r w:rsidRPr="00205D93">
        <w:rPr>
          <w:noProof/>
        </w:rPr>
        <w:tab/>
      </w:r>
      <w:r w:rsidRPr="00205D93">
        <w:rPr>
          <w:noProof/>
          <w:highlight w:val="lightGray"/>
        </w:rPr>
        <w:t>Vorhandensein, Art und Größe von Energiespeichersystemen;</w:t>
      </w:r>
    </w:p>
    <w:p w:rsidR="000448D2" w:rsidRPr="00205D93" w:rsidRDefault="000448D2" w:rsidP="00D44D1B">
      <w:pPr>
        <w:rPr>
          <w:noProof/>
          <w:highlight w:val="lightGray"/>
        </w:rPr>
      </w:pPr>
      <w:r w:rsidRPr="00205D93">
        <w:rPr>
          <w:noProof/>
          <w:highlight w:val="lightGray"/>
        </w:rPr>
        <w:t>n)</w:t>
      </w:r>
      <w:r w:rsidRPr="00205D93">
        <w:rPr>
          <w:noProof/>
        </w:rPr>
        <w:tab/>
      </w:r>
      <w:r w:rsidRPr="00205D93">
        <w:rPr>
          <w:noProof/>
          <w:highlight w:val="lightGray"/>
        </w:rPr>
        <w:t>Möglichkeit der Anpassung der Heizungsanlage an einen Betrieb mit effizienteren Temperatureinstellungen;</w:t>
      </w:r>
    </w:p>
    <w:p w:rsidR="000448D2" w:rsidRPr="00205D93" w:rsidRDefault="000448D2" w:rsidP="00D44D1B">
      <w:pPr>
        <w:rPr>
          <w:noProof/>
          <w:highlight w:val="lightGray"/>
        </w:rPr>
      </w:pPr>
      <w:r w:rsidRPr="00205D93">
        <w:rPr>
          <w:noProof/>
          <w:highlight w:val="lightGray"/>
        </w:rPr>
        <w:t>o)</w:t>
      </w:r>
      <w:r w:rsidRPr="00205D93">
        <w:rPr>
          <w:noProof/>
        </w:rPr>
        <w:tab/>
      </w:r>
      <w:r w:rsidRPr="00205D93">
        <w:rPr>
          <w:noProof/>
          <w:highlight w:val="lightGray"/>
        </w:rPr>
        <w:t>Möglichkeit der Anpassung der Klimaanlage an einen Betrieb mit effizienteren Temperatureinstellungen;</w:t>
      </w:r>
    </w:p>
    <w:p w:rsidR="000448D2" w:rsidRPr="00205D93" w:rsidRDefault="000448D2" w:rsidP="00D44D1B">
      <w:pPr>
        <w:rPr>
          <w:noProof/>
          <w:highlight w:val="lightGray"/>
        </w:rPr>
      </w:pPr>
      <w:r w:rsidRPr="00205D93">
        <w:rPr>
          <w:noProof/>
          <w:highlight w:val="lightGray"/>
        </w:rPr>
        <w:t>p)</w:t>
      </w:r>
      <w:r w:rsidRPr="00205D93">
        <w:rPr>
          <w:noProof/>
        </w:rPr>
        <w:tab/>
      </w:r>
      <w:r w:rsidRPr="00205D93">
        <w:rPr>
          <w:noProof/>
          <w:highlight w:val="lightGray"/>
        </w:rPr>
        <w:t>den erfassten Energieverbrauch</w:t>
      </w:r>
      <w:r w:rsidR="00436324" w:rsidRPr="00205D93">
        <w:rPr>
          <w:noProof/>
          <w:highlight w:val="lightGray"/>
        </w:rPr>
        <w:t>;</w:t>
      </w:r>
    </w:p>
    <w:p w:rsidR="00436324" w:rsidRPr="00205D93" w:rsidRDefault="00436324" w:rsidP="00D44D1B">
      <w:pPr>
        <w:rPr>
          <w:noProof/>
          <w:highlight w:val="lightGray"/>
        </w:rPr>
      </w:pPr>
      <w:r w:rsidRPr="00205D93">
        <w:rPr>
          <w:noProof/>
          <w:highlight w:val="lightGray"/>
        </w:rPr>
        <w:t>q)</w:t>
      </w:r>
      <w:r w:rsidRPr="00205D93">
        <w:rPr>
          <w:noProof/>
        </w:rPr>
        <w:tab/>
      </w:r>
      <w:r w:rsidRPr="00205D93">
        <w:rPr>
          <w:noProof/>
          <w:highlight w:val="lightGray"/>
        </w:rPr>
        <w:t>betriebsbedingte Feinstaubemissionen (PM2,5).</w:t>
      </w:r>
    </w:p>
    <w:p w:rsidR="000448D2" w:rsidRPr="00205D93" w:rsidRDefault="000448D2" w:rsidP="009567AF">
      <w:pPr>
        <w:spacing w:line="257" w:lineRule="auto"/>
        <w:rPr>
          <w:rFonts w:ascii="Calibri" w:hAnsi="Calibri" w:cs="Calibri"/>
          <w:noProof/>
          <w:sz w:val="22"/>
          <w:highlight w:val="lightGray"/>
        </w:rPr>
      </w:pPr>
      <w:r w:rsidRPr="00205D93">
        <w:rPr>
          <w:noProof/>
          <w:highlight w:val="lightGray"/>
        </w:rPr>
        <w:t>Der Ausweis über die Gesamtenergieeffizienz kann die folgenden Angaben über den Zusammenhang mit anderen Initiativen enthalten, sofern diese in dem betreffenden Mitgliedstaat Anwendung finden:</w:t>
      </w:r>
    </w:p>
    <w:p w:rsidR="000448D2" w:rsidRPr="00205D93" w:rsidRDefault="000448D2" w:rsidP="00D44D1B">
      <w:pPr>
        <w:rPr>
          <w:noProof/>
          <w:highlight w:val="lightGray"/>
        </w:rPr>
      </w:pPr>
      <w:r w:rsidRPr="00205D93">
        <w:rPr>
          <w:noProof/>
          <w:highlight w:val="lightGray"/>
        </w:rPr>
        <w:t>a)</w:t>
      </w:r>
      <w:r w:rsidRPr="00205D93">
        <w:rPr>
          <w:noProof/>
        </w:rPr>
        <w:tab/>
      </w:r>
      <w:r w:rsidRPr="00205D93">
        <w:rPr>
          <w:noProof/>
          <w:highlight w:val="lightGray"/>
        </w:rPr>
        <w:t>eine Ja/Nein-Angabe darüber, ob für das Gebäude eine Beurteilung der Intelligenzfähigkeit durchgeführt wurde;</w:t>
      </w:r>
    </w:p>
    <w:p w:rsidR="000448D2" w:rsidRPr="00205D93" w:rsidRDefault="000448D2" w:rsidP="00D44D1B">
      <w:pPr>
        <w:rPr>
          <w:noProof/>
          <w:highlight w:val="lightGray"/>
        </w:rPr>
      </w:pPr>
      <w:r w:rsidRPr="00205D93">
        <w:rPr>
          <w:noProof/>
          <w:highlight w:val="lightGray"/>
        </w:rPr>
        <w:t>b)</w:t>
      </w:r>
      <w:r w:rsidRPr="00205D93">
        <w:rPr>
          <w:noProof/>
        </w:rPr>
        <w:tab/>
      </w:r>
      <w:r w:rsidRPr="00205D93">
        <w:rPr>
          <w:noProof/>
          <w:highlight w:val="lightGray"/>
        </w:rPr>
        <w:t>den Wert der Beurteilung der Intelligenzfähigkeit (falls verfügbar);</w:t>
      </w:r>
    </w:p>
    <w:p w:rsidR="000448D2" w:rsidRPr="00205D93" w:rsidRDefault="000448D2" w:rsidP="00D44D1B">
      <w:pPr>
        <w:rPr>
          <w:noProof/>
          <w:highlight w:val="lightGray"/>
        </w:rPr>
      </w:pPr>
      <w:r w:rsidRPr="00205D93">
        <w:rPr>
          <w:noProof/>
          <w:highlight w:val="lightGray"/>
        </w:rPr>
        <w:t>c)</w:t>
      </w:r>
      <w:r w:rsidRPr="00205D93">
        <w:rPr>
          <w:noProof/>
        </w:rPr>
        <w:tab/>
      </w:r>
      <w:r w:rsidRPr="00205D93">
        <w:rPr>
          <w:noProof/>
          <w:highlight w:val="lightGray"/>
        </w:rPr>
        <w:t>eine Ja/Nein-Angabe darüber, ob für das Gebäude ein digitales Gebäudelogbuch verfügbar ist.</w:t>
      </w:r>
    </w:p>
    <w:p w:rsidR="003466EE" w:rsidRPr="00205D93" w:rsidRDefault="003466EE" w:rsidP="00D44D1B">
      <w:pPr>
        <w:rPr>
          <w:noProof/>
          <w:highlight w:val="lightGray"/>
        </w:rPr>
      </w:pPr>
      <w:r w:rsidRPr="00205D93">
        <w:rPr>
          <w:noProof/>
          <w:highlight w:val="lightGray"/>
        </w:rPr>
        <w:t>Es ist sicherzustellen, dass Menschen mit Behinderungen gleichermaßen Zugang zu den Informationen in den Ausweisen über die Gesamtenergieeffizienz haben.</w:t>
      </w:r>
    </w:p>
    <w:p w:rsidR="003466EE" w:rsidRPr="00205D93" w:rsidRDefault="003466EE" w:rsidP="00D44D1B">
      <w:pPr>
        <w:rPr>
          <w:noProof/>
          <w:highlight w:val="lightGray"/>
        </w:rPr>
      </w:pPr>
    </w:p>
    <w:p w:rsidR="003466EE" w:rsidRPr="00205D93" w:rsidRDefault="003466EE" w:rsidP="00D44D1B">
      <w:pPr>
        <w:rPr>
          <w:noProof/>
          <w:highlight w:val="lightGray"/>
        </w:rPr>
        <w:sectPr w:rsidR="003466EE" w:rsidRPr="00205D93" w:rsidSect="00816C38">
          <w:pgSz w:w="11906" w:h="16838"/>
          <w:pgMar w:top="1134" w:right="1418" w:bottom="1134" w:left="1418" w:header="709" w:footer="709" w:gutter="0"/>
          <w:pgNumType w:start="1"/>
          <w:cols w:space="709"/>
          <w:docGrid w:linePitch="326"/>
        </w:sectPr>
      </w:pP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xml:space="preserve"> 2010/31/EU (angepasst)</w:t>
      </w:r>
    </w:p>
    <w:p w:rsidR="000448D2" w:rsidRPr="00205D93" w:rsidRDefault="000448D2" w:rsidP="00EC00AC">
      <w:pPr>
        <w:pStyle w:val="Annexetitre"/>
        <w:rPr>
          <w:noProof/>
        </w:rPr>
      </w:pPr>
      <w:r w:rsidRPr="00205D93">
        <w:rPr>
          <w:noProof/>
        </w:rPr>
        <w:t>ANHANG </w:t>
      </w:r>
      <w:r w:rsidRPr="00205D93">
        <w:rPr>
          <w:rStyle w:val="CRMinorChangeAdded"/>
          <w:noProof/>
        </w:rPr>
        <w:t>VI</w:t>
      </w:r>
      <w:r w:rsidRPr="00205D93">
        <w:rPr>
          <w:rStyle w:val="CRMinorChangeDeleted"/>
          <w:noProof/>
        </w:rPr>
        <w:t>II</w:t>
      </w:r>
    </w:p>
    <w:p w:rsidR="000448D2" w:rsidRPr="00205D93" w:rsidRDefault="000448D2" w:rsidP="009916B2">
      <w:pPr>
        <w:pStyle w:val="ManualHeading1"/>
        <w:jc w:val="center"/>
        <w:rPr>
          <w:rStyle w:val="CRDeleted"/>
          <w:i/>
          <w:noProof/>
        </w:rPr>
      </w:pPr>
      <w:r w:rsidRPr="00205D93">
        <w:rPr>
          <w:i/>
          <w:iCs/>
          <w:noProof/>
        </w:rPr>
        <w:t>Unabhängiges Kontrollsystem für Ausweise über die Gesamtenergieeffizienz</w:t>
      </w:r>
      <w:r w:rsidRPr="00205D93">
        <w:rPr>
          <w:rStyle w:val="CRDeleted"/>
          <w:i/>
          <w:noProof/>
        </w:rPr>
        <w:t xml:space="preserve"> und Inspektionsberichte</w:t>
      </w:r>
    </w:p>
    <w:p w:rsidR="000448D2" w:rsidRPr="00205D93" w:rsidRDefault="000448D2" w:rsidP="009567AF">
      <w:pPr>
        <w:pStyle w:val="CRSeparator"/>
        <w:rPr>
          <w:noProof/>
        </w:rPr>
      </w:pP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 </w:t>
      </w:r>
    </w:p>
    <w:p w:rsidR="000448D2" w:rsidRPr="00205D93" w:rsidRDefault="000448D2" w:rsidP="009567AF">
      <w:pPr>
        <w:rPr>
          <w:noProof/>
          <w:highlight w:val="lightGray"/>
        </w:rPr>
      </w:pPr>
      <w:r w:rsidRPr="00205D93">
        <w:rPr>
          <w:noProof/>
          <w:highlight w:val="lightGray"/>
        </w:rPr>
        <w:t>1.</w:t>
      </w:r>
      <w:r w:rsidRPr="00205D93">
        <w:rPr>
          <w:noProof/>
        </w:rPr>
        <w:tab/>
      </w:r>
      <w:r w:rsidRPr="00205D93">
        <w:rPr>
          <w:noProof/>
          <w:highlight w:val="lightGray"/>
        </w:rPr>
        <w:t>Definition der Qualität des Ausweises über die Gesamtenergieeffizienz</w:t>
      </w:r>
    </w:p>
    <w:p w:rsidR="000448D2" w:rsidRPr="00205D93" w:rsidRDefault="000448D2" w:rsidP="009567AF">
      <w:pPr>
        <w:rPr>
          <w:noProof/>
          <w:highlight w:val="lightGray"/>
        </w:rPr>
      </w:pPr>
      <w:r w:rsidRPr="00205D93">
        <w:rPr>
          <w:noProof/>
          <w:highlight w:val="lightGray"/>
        </w:rPr>
        <w:t>Die Mitgliedstaaten legen eine klare Definition dessen fest, was als gültiger Ausweis über die Gesamtenergieeffizienz gilt.</w:t>
      </w:r>
    </w:p>
    <w:p w:rsidR="000448D2" w:rsidRPr="00205D93" w:rsidRDefault="000448D2" w:rsidP="009567AF">
      <w:pPr>
        <w:rPr>
          <w:noProof/>
        </w:rPr>
      </w:pPr>
      <w:r w:rsidRPr="00205D93">
        <w:rPr>
          <w:noProof/>
          <w:highlight w:val="lightGray"/>
        </w:rPr>
        <w:t>Die Definition eines gültigen Ausweises über die Gesamtenergieeffizienz muss Folgendes gewährleisten:</w:t>
      </w:r>
    </w:p>
    <w:p w:rsidR="000448D2" w:rsidRPr="00205D93" w:rsidRDefault="000448D2" w:rsidP="009567AF">
      <w:pPr>
        <w:pStyle w:val="CRSeparator"/>
        <w:rPr>
          <w:noProof/>
        </w:rPr>
      </w:pPr>
    </w:p>
    <w:p w:rsidR="000448D2" w:rsidRPr="00205D93" w:rsidRDefault="000448D2" w:rsidP="009567AF">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2010/31/EU (angepasst)</w:t>
      </w:r>
    </w:p>
    <w:p w:rsidR="000448D2" w:rsidRPr="00205D93" w:rsidRDefault="000448D2" w:rsidP="009567AF">
      <w:pPr>
        <w:pStyle w:val="CRReference"/>
        <w:rPr>
          <w:noProof/>
        </w:rPr>
      </w:pPr>
      <w:r w:rsidRPr="00205D93">
        <w:rPr>
          <w:noProof/>
        </w:rPr>
        <w:fldChar w:fldCharType="begin"/>
      </w:r>
      <w:r w:rsidRPr="00205D93">
        <w:rPr>
          <w:noProof/>
        </w:rPr>
        <w:instrText xml:space="preserve"> QUOTE "è" </w:instrText>
      </w:r>
      <w:r w:rsidRPr="00205D93">
        <w:rPr>
          <w:noProof/>
        </w:rPr>
        <w:fldChar w:fldCharType="separate"/>
      </w:r>
      <w:r w:rsidRPr="00205D93">
        <w:rPr>
          <w:rStyle w:val="CRMarker"/>
          <w:noProof/>
        </w:rPr>
        <w:t>è</w:t>
      </w:r>
      <w:r w:rsidRPr="00205D93">
        <w:rPr>
          <w:noProof/>
        </w:rPr>
        <w:fldChar w:fldCharType="end"/>
      </w:r>
      <w:r w:rsidRPr="00205D93">
        <w:rPr>
          <w:rStyle w:val="CRRefNum"/>
          <w:noProof/>
        </w:rPr>
        <w:t>1</w:t>
      </w:r>
      <w:r w:rsidRPr="00205D93">
        <w:rPr>
          <w:noProof/>
        </w:rPr>
        <w:t> 2018/844 Artikel 1 Nummer 14 und Anhang Nummer 3 Buchstabe a</w:t>
      </w: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"ð" </w:instrText>
      </w:r>
      <w:r w:rsidRPr="00205D93">
        <w:rPr>
          <w:noProof/>
          <w:highlight w:val="lightGray"/>
        </w:rPr>
        <w:fldChar w:fldCharType="separate"/>
      </w:r>
      <w:r w:rsidRPr="00205D93">
        <w:rPr>
          <w:rStyle w:val="CRMarker"/>
          <w:noProof/>
          <w:highlight w:val="lightGray"/>
        </w:rPr>
        <w:t>ð</w:t>
      </w:r>
      <w:r w:rsidRPr="00205D93">
        <w:rPr>
          <w:noProof/>
          <w:highlight w:val="lightGray"/>
        </w:rPr>
        <w:fldChar w:fldCharType="end"/>
      </w:r>
      <w:r w:rsidRPr="00205D93">
        <w:rPr>
          <w:noProof/>
          <w:highlight w:val="lightGray"/>
        </w:rPr>
        <w:t> neu </w:t>
      </w:r>
    </w:p>
    <w:p w:rsidR="000448D2" w:rsidRPr="00205D93" w:rsidRDefault="000448D2">
      <w:pPr>
        <w:rPr>
          <w:rStyle w:val="CRRefonteDeleted"/>
          <w:noProof/>
          <w:highlight w:val="lightGray"/>
        </w:rPr>
      </w:pPr>
      <w:r w:rsidRPr="00205D93">
        <w:rPr>
          <w:noProof/>
        </w:rPr>
        <w:t>1.</w:t>
      </w:r>
      <w:r w:rsidRPr="00205D93">
        <w:rPr>
          <w:noProof/>
        </w:rPr>
        <w:tab/>
      </w:r>
      <w:r w:rsidRPr="00205D93">
        <w:rPr>
          <w:noProof/>
        </w:rPr>
        <w:fldChar w:fldCharType="begin"/>
      </w:r>
      <w:r w:rsidRPr="00205D93">
        <w:rPr>
          <w:noProof/>
        </w:rPr>
        <w:instrText xml:space="preserve"> QUOTE "è" </w:instrText>
      </w:r>
      <w:r w:rsidRPr="00205D93">
        <w:rPr>
          <w:noProof/>
        </w:rPr>
        <w:fldChar w:fldCharType="separate"/>
      </w:r>
      <w:r w:rsidRPr="00205D93">
        <w:rPr>
          <w:rStyle w:val="CRMarker"/>
          <w:noProof/>
        </w:rPr>
        <w:t>è</w:t>
      </w:r>
      <w:r w:rsidRPr="00205D93">
        <w:rPr>
          <w:noProof/>
        </w:rPr>
        <w:fldChar w:fldCharType="end"/>
      </w:r>
      <w:r w:rsidR="003466EE" w:rsidRPr="00205D93">
        <w:rPr>
          <w:rStyle w:val="CRRefNum"/>
          <w:noProof/>
        </w:rPr>
        <w:t>1</w:t>
      </w:r>
      <w:r w:rsidRPr="00205D93">
        <w:rPr>
          <w:noProof/>
        </w:rPr>
        <w:t xml:space="preserve"> </w:t>
      </w:r>
      <w:r w:rsidRPr="00205D93">
        <w:rPr>
          <w:rStyle w:val="CRRefonteDeleted"/>
          <w:noProof/>
          <w:highlight w:val="lightGray"/>
        </w:rPr>
        <w:t>Die zuständigen Behörden oder die Stellen, denen die zuständigen Behörden die Verantwortung für die Anwendung des unabhängigen Kontrollsystems übertragen haben, nehmen eine Stichprobe aller jährlich ausgestellten Ausweise über die Gesamtenergieeffizienz und unterziehen diese Ausweise einer Überprüfung. Die Stichprobe muss ausreichend groß sein, um statistisch signifikante Ergebnisse über die Einhaltung zu gewährleisten.</w:t>
      </w:r>
      <w:r w:rsidRPr="00205D93">
        <w:rPr>
          <w:noProof/>
        </w:rPr>
        <w:t xml:space="preserve"> </w:t>
      </w:r>
      <w:r w:rsidRPr="00205D93">
        <w:rPr>
          <w:noProof/>
        </w:rPr>
        <w:fldChar w:fldCharType="begin"/>
      </w:r>
      <w:r w:rsidRPr="00205D93">
        <w:rPr>
          <w:noProof/>
        </w:rPr>
        <w:instrText xml:space="preserve"> QUOTE "ç" </w:instrText>
      </w:r>
      <w:r w:rsidRPr="00205D93">
        <w:rPr>
          <w:noProof/>
        </w:rPr>
        <w:fldChar w:fldCharType="separate"/>
      </w:r>
      <w:r w:rsidRPr="00205D93">
        <w:rPr>
          <w:rStyle w:val="CRMarker"/>
          <w:noProof/>
        </w:rPr>
        <w:t>ç</w:t>
      </w:r>
      <w:r w:rsidRPr="00205D93">
        <w:rPr>
          <w:noProof/>
        </w:rPr>
        <w:fldChar w:fldCharType="end"/>
      </w:r>
    </w:p>
    <w:p w:rsidR="000448D2" w:rsidRPr="00205D93" w:rsidRDefault="000448D2">
      <w:pPr>
        <w:rPr>
          <w:rStyle w:val="CRRefonteDeleted"/>
          <w:noProof/>
          <w:highlight w:val="lightGray"/>
        </w:rPr>
      </w:pPr>
      <w:r w:rsidRPr="00205D93">
        <w:rPr>
          <w:rStyle w:val="CRRefonteDeleted"/>
          <w:noProof/>
          <w:highlight w:val="lightGray"/>
        </w:rPr>
        <w:t>Die Überprüfung erfolgt auf der Grundlage der nachstehend angegebenen Optionen oder gleichwertiger Maßnahmen:</w:t>
      </w:r>
    </w:p>
    <w:p w:rsidR="000448D2" w:rsidRPr="00205D93" w:rsidRDefault="000448D2">
      <w:pPr>
        <w:pStyle w:val="Point0"/>
        <w:rPr>
          <w:noProof/>
        </w:rPr>
      </w:pPr>
      <w:r w:rsidRPr="00205D93">
        <w:rPr>
          <w:noProof/>
        </w:rPr>
        <w:tab/>
        <w:t>a)</w:t>
      </w:r>
      <w:r w:rsidRPr="00205D93">
        <w:rPr>
          <w:noProof/>
        </w:rPr>
        <w:tab/>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xml:space="preserve"> eine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r w:rsidRPr="00205D93">
        <w:rPr>
          <w:noProof/>
        </w:rPr>
        <w:t xml:space="preserve"> Validitätsprüfung der Eingabe-Gebäudedaten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(einschließlich einer Inaugenscheinnahme)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 die zur Ausstellung des Ausweises </w:t>
      </w:r>
      <w:r w:rsidRPr="00205D93">
        <w:rPr>
          <w:rStyle w:val="CRMinorChangeAdded"/>
          <w:noProof/>
        </w:rPr>
        <w:t>über die</w:t>
      </w:r>
      <w:r w:rsidRPr="00205D93">
        <w:rPr>
          <w:rStyle w:val="CRMinorChangeDeleted"/>
          <w:noProof/>
        </w:rPr>
        <w:t>der</w:t>
      </w:r>
      <w:r w:rsidRPr="00205D93">
        <w:rPr>
          <w:noProof/>
        </w:rPr>
        <w:t xml:space="preserve"> Gesamtenergieeffizienz verwendet wurden, und der im Ausweis angegebenen Ergebnisse;</w:t>
      </w:r>
    </w:p>
    <w:p w:rsidR="000448D2" w:rsidRPr="00205D93" w:rsidRDefault="000448D2" w:rsidP="009567AF">
      <w:pPr>
        <w:pStyle w:val="CRSeparator"/>
        <w:rPr>
          <w:noProof/>
        </w:rPr>
      </w:pP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w:t>
      </w:r>
    </w:p>
    <w:p w:rsidR="000448D2" w:rsidRPr="00205D93" w:rsidRDefault="009E3C5F" w:rsidP="009E3C5F">
      <w:pPr>
        <w:pStyle w:val="Point0"/>
        <w:rPr>
          <w:noProof/>
          <w:highlight w:val="lightGray"/>
        </w:rPr>
      </w:pPr>
      <w:r w:rsidRPr="00205D93">
        <w:rPr>
          <w:noProof/>
        </w:rPr>
        <w:tab/>
      </w:r>
      <w:r w:rsidRPr="00205D93">
        <w:rPr>
          <w:noProof/>
          <w:highlight w:val="lightGray"/>
        </w:rPr>
        <w:t>b)</w:t>
      </w:r>
      <w:r w:rsidRPr="00205D93">
        <w:rPr>
          <w:noProof/>
        </w:rPr>
        <w:tab/>
      </w:r>
      <w:r w:rsidRPr="00205D93">
        <w:rPr>
          <w:noProof/>
          <w:highlight w:val="lightGray"/>
        </w:rPr>
        <w:t>die Gültigkeit der Berechnungen;</w:t>
      </w:r>
    </w:p>
    <w:p w:rsidR="000448D2" w:rsidRPr="00205D93" w:rsidRDefault="009E3C5F" w:rsidP="009E3C5F">
      <w:pPr>
        <w:pStyle w:val="Point0"/>
        <w:rPr>
          <w:noProof/>
          <w:highlight w:val="lightGray"/>
        </w:rPr>
      </w:pPr>
      <w:r w:rsidRPr="00205D93">
        <w:rPr>
          <w:noProof/>
        </w:rPr>
        <w:tab/>
      </w:r>
      <w:r w:rsidRPr="00205D93">
        <w:rPr>
          <w:noProof/>
          <w:highlight w:val="lightGray"/>
        </w:rPr>
        <w:t>c)</w:t>
      </w:r>
      <w:r w:rsidRPr="00205D93">
        <w:rPr>
          <w:noProof/>
        </w:rPr>
        <w:tab/>
      </w:r>
      <w:r w:rsidRPr="00205D93">
        <w:rPr>
          <w:noProof/>
          <w:highlight w:val="lightGray"/>
        </w:rPr>
        <w:t>eine maximale Abweichung von der Gesamtenergieeffizienz eines Gebäudes, vorzugsweise ausgedrückt durch den numerischen Indikator für den Primärenergieverbrauch (in kWh/(m</w:t>
      </w:r>
      <w:r w:rsidRPr="00205D93">
        <w:rPr>
          <w:noProof/>
          <w:highlight w:val="lightGray"/>
          <w:vertAlign w:val="superscript"/>
        </w:rPr>
        <w:t>2</w:t>
      </w:r>
      <w:r w:rsidRPr="00205D93">
        <w:rPr>
          <w:noProof/>
          <w:highlight w:val="lightGray"/>
        </w:rPr>
        <w:t>.a));</w:t>
      </w:r>
    </w:p>
    <w:p w:rsidR="000448D2" w:rsidRPr="00205D93" w:rsidRDefault="009E3C5F" w:rsidP="009E3C5F">
      <w:pPr>
        <w:pStyle w:val="Point0"/>
        <w:rPr>
          <w:noProof/>
        </w:rPr>
      </w:pPr>
      <w:r w:rsidRPr="00205D93">
        <w:rPr>
          <w:noProof/>
        </w:rPr>
        <w:tab/>
      </w:r>
      <w:r w:rsidRPr="00205D93">
        <w:rPr>
          <w:noProof/>
          <w:highlight w:val="lightGray"/>
        </w:rPr>
        <w:t>d)</w:t>
      </w:r>
      <w:r w:rsidRPr="00205D93">
        <w:rPr>
          <w:noProof/>
        </w:rPr>
        <w:tab/>
      </w:r>
      <w:r w:rsidRPr="00205D93">
        <w:rPr>
          <w:noProof/>
          <w:highlight w:val="lightGray"/>
        </w:rPr>
        <w:t>eine Mindestanzahl von Elementen, die von den Ausgangs- oder Standardwerten abweichen.</w:t>
      </w:r>
    </w:p>
    <w:p w:rsidR="000448D2" w:rsidRPr="00205D93" w:rsidRDefault="000448D2" w:rsidP="009567AF">
      <w:pPr>
        <w:pStyle w:val="CRSeparator"/>
        <w:rPr>
          <w:noProof/>
        </w:rPr>
      </w:pPr>
    </w:p>
    <w:p w:rsidR="000448D2" w:rsidRPr="00205D93" w:rsidRDefault="000448D2" w:rsidP="009567AF">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2010/31/EU</w:t>
      </w:r>
    </w:p>
    <w:p w:rsidR="000448D2" w:rsidRPr="00205D93" w:rsidRDefault="000448D2" w:rsidP="009567AF">
      <w:pPr>
        <w:pStyle w:val="Point0"/>
        <w:rPr>
          <w:rStyle w:val="CRRefonteDeleted"/>
          <w:noProof/>
          <w:highlight w:val="lightGray"/>
        </w:rPr>
      </w:pPr>
      <w:r w:rsidRPr="00205D93">
        <w:rPr>
          <w:noProof/>
        </w:rPr>
        <w:tab/>
      </w:r>
      <w:r w:rsidRPr="00205D93">
        <w:rPr>
          <w:rStyle w:val="CRRefonteDeleted"/>
          <w:noProof/>
          <w:highlight w:val="lightGray"/>
        </w:rPr>
        <w:t>b)</w:t>
      </w:r>
      <w:r w:rsidRPr="00205D93">
        <w:rPr>
          <w:noProof/>
        </w:rPr>
        <w:tab/>
      </w:r>
      <w:r w:rsidRPr="00205D93">
        <w:rPr>
          <w:rStyle w:val="CRRefonteDeleted"/>
          <w:noProof/>
          <w:highlight w:val="lightGray"/>
        </w:rPr>
        <w:t>Prüfung der Eingabe-Daten und Überprüfung der Ergebnisse des Ausweises über die Gesamtenergieeffizienz, einschließlich der abgegebenen Empfehlungen;</w:t>
      </w:r>
    </w:p>
    <w:p w:rsidR="000448D2" w:rsidRPr="00205D93" w:rsidRDefault="000448D2" w:rsidP="009567AF">
      <w:pPr>
        <w:pStyle w:val="Point0"/>
        <w:rPr>
          <w:rStyle w:val="CRRefonteDeleted"/>
          <w:noProof/>
          <w:highlight w:val="lightGray"/>
        </w:rPr>
      </w:pPr>
      <w:r w:rsidRPr="00205D93">
        <w:rPr>
          <w:noProof/>
        </w:rPr>
        <w:tab/>
      </w:r>
      <w:r w:rsidRPr="00205D93">
        <w:rPr>
          <w:rStyle w:val="CRRefonteDeleted"/>
          <w:noProof/>
          <w:highlight w:val="lightGray"/>
        </w:rPr>
        <w:t>c)</w:t>
      </w:r>
      <w:r w:rsidRPr="00205D93">
        <w:rPr>
          <w:noProof/>
        </w:rPr>
        <w:tab/>
      </w:r>
      <w:r w:rsidRPr="00205D93">
        <w:rPr>
          <w:rStyle w:val="CRRefonteDeleted"/>
          <w:noProof/>
          <w:highlight w:val="lightGray"/>
        </w:rPr>
        <w:t>vollständige Prüfung der Eingabe-Gebäudedaten, die zur Ausstellung des Ausweises über die Gesamtenergieeffizienz verwendet wurden, vollständige Überprüfung der im Ausweis angegebenen Ergebnisse, einschließlich der abgegebenen Empfehlungen, und — falls möglich — Inaugenscheinnahme des Gebäudes zur Prüfung der Übereinstimmung zwischen den im Ausweis über die Gesamtenergieeffizienz angegebenen Spezifikationen mit dem Gebäude, für das der Ausweis erstellt wurde.</w:t>
      </w:r>
    </w:p>
    <w:p w:rsidR="000448D2" w:rsidRPr="00205D93" w:rsidRDefault="000448D2" w:rsidP="009567AF">
      <w:pPr>
        <w:rPr>
          <w:rStyle w:val="CRRefonteDeleted"/>
          <w:noProof/>
          <w:highlight w:val="lightGray"/>
        </w:rPr>
      </w:pPr>
      <w:r w:rsidRPr="00205D93">
        <w:rPr>
          <w:rStyle w:val="CRRefonteDeleted"/>
          <w:noProof/>
          <w:highlight w:val="lightGray"/>
        </w:rPr>
        <w:t>2.</w:t>
      </w:r>
      <w:r w:rsidRPr="00205D93">
        <w:rPr>
          <w:noProof/>
        </w:rPr>
        <w:tab/>
      </w:r>
      <w:r w:rsidRPr="00205D93">
        <w:rPr>
          <w:rStyle w:val="CRRefonteDeleted"/>
          <w:noProof/>
          <w:highlight w:val="lightGray"/>
        </w:rPr>
        <w:t>Die zuständigen Behörden oder die Stellen, denen die zuständigen Behörden die Verantwortung für die Anwendung des unabhängigen Kontrollsystems übertragen haben, nehmen eine Stichprobe mindestens eines statistisch signifikanten Prozentanteils aller jährlich ausgestellten Inspektionsberichte und unterziehen diese Berichte einer Überprüfung.</w:t>
      </w:r>
    </w:p>
    <w:p w:rsidR="000448D2" w:rsidRPr="00205D93" w:rsidRDefault="000448D2" w:rsidP="009567AF">
      <w:pPr>
        <w:pStyle w:val="CRSeparator"/>
        <w:rPr>
          <w:noProof/>
        </w:rPr>
      </w:pP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"ò" </w:instrText>
      </w:r>
      <w:r w:rsidRPr="00205D93">
        <w:rPr>
          <w:noProof/>
          <w:highlight w:val="lightGray"/>
        </w:rPr>
        <w:fldChar w:fldCharType="separate"/>
      </w:r>
      <w:r w:rsidRPr="00205D93">
        <w:rPr>
          <w:rStyle w:val="CRMarker"/>
          <w:noProof/>
          <w:highlight w:val="lightGray"/>
        </w:rPr>
        <w:t>ò</w:t>
      </w:r>
      <w:r w:rsidRPr="00205D93">
        <w:rPr>
          <w:noProof/>
          <w:highlight w:val="lightGray"/>
        </w:rPr>
        <w:fldChar w:fldCharType="end"/>
      </w:r>
      <w:r w:rsidRPr="00205D93">
        <w:rPr>
          <w:noProof/>
          <w:highlight w:val="lightGray"/>
        </w:rPr>
        <w:t> neu </w:t>
      </w:r>
    </w:p>
    <w:p w:rsidR="000448D2" w:rsidRPr="00205D93" w:rsidRDefault="000448D2" w:rsidP="009567AF">
      <w:pPr>
        <w:rPr>
          <w:noProof/>
          <w:highlight w:val="lightGray"/>
        </w:rPr>
      </w:pPr>
      <w:r w:rsidRPr="00205D93">
        <w:rPr>
          <w:noProof/>
          <w:highlight w:val="lightGray"/>
        </w:rPr>
        <w:t>Die Mitgliedstaaten können zusätzliche Elemente in die Definition eines gültigen Ausweises über die Gesamtenergieeffizienz aufnehmen, wie z. B. die maximale Abweichung bei Werten für bestimmte Eingabedaten.</w:t>
      </w:r>
    </w:p>
    <w:p w:rsidR="000448D2" w:rsidRPr="00205D93" w:rsidRDefault="000448D2" w:rsidP="009567AF">
      <w:pPr>
        <w:rPr>
          <w:noProof/>
          <w:highlight w:val="lightGray"/>
        </w:rPr>
      </w:pPr>
      <w:r w:rsidRPr="00205D93">
        <w:rPr>
          <w:noProof/>
          <w:highlight w:val="lightGray"/>
        </w:rPr>
        <w:t>2.</w:t>
      </w:r>
      <w:r w:rsidRPr="00205D93">
        <w:rPr>
          <w:noProof/>
        </w:rPr>
        <w:tab/>
      </w:r>
      <w:r w:rsidRPr="00205D93">
        <w:rPr>
          <w:noProof/>
          <w:highlight w:val="lightGray"/>
        </w:rPr>
        <w:t>Qualität des Kontrollsystems für Ausweise über die Gesamtenergieeffizienz</w:t>
      </w:r>
    </w:p>
    <w:p w:rsidR="000448D2" w:rsidRPr="00205D93" w:rsidRDefault="000448D2" w:rsidP="009567AF">
      <w:pPr>
        <w:rPr>
          <w:noProof/>
          <w:highlight w:val="lightGray"/>
        </w:rPr>
      </w:pPr>
      <w:r w:rsidRPr="00205D93">
        <w:rPr>
          <w:noProof/>
          <w:highlight w:val="lightGray"/>
        </w:rPr>
        <w:t>Die Mitgliedstaaten legen eine klare Definition dahin gehend fest, welche Qualitätsziele und welches Maß an statistischer Zuverlässigkeit mit dem Rahmen für den Ausweis über die Gesamtenergieeffizienz erreicht werden sollen. Das unabhängige Kontrollsystem gewährleistet für den bewerteten Zeitraum, der ein Jahr nicht überschreiten darf, dass mindestens 90 % der gültigen ausgestellten Ausweise über die Gesamtenergieeffizienz über eine statistische Zuverlässigkeit von 95 % verfügen.</w:t>
      </w:r>
    </w:p>
    <w:p w:rsidR="000448D2" w:rsidRPr="00205D93" w:rsidRDefault="000448D2" w:rsidP="009567AF">
      <w:pPr>
        <w:rPr>
          <w:noProof/>
          <w:highlight w:val="lightGray"/>
        </w:rPr>
      </w:pPr>
      <w:r w:rsidRPr="00205D93">
        <w:rPr>
          <w:noProof/>
          <w:highlight w:val="lightGray"/>
        </w:rPr>
        <w:t>Das Qualitätsniveau und das Maß an Zuverlässigkeit werden anhand von Stichproben ermittelt, und es wird geprüft, ob sie allen in der Definition eines gültigen Ausweises über die Gesamtenergieeffizienz festgelegten Elementen Rechnung tragen. Wurden die unabhängigen Kontrollsysteme nichtstaatlichen Stellen übertragen, müssen die Mitgliedstaaten eine Überprüfung durch Dritte zur Bewertung von mindestens 25 % der Stichprobe vorschreiben.</w:t>
      </w:r>
    </w:p>
    <w:p w:rsidR="000448D2" w:rsidRPr="00205D93" w:rsidRDefault="000448D2" w:rsidP="009567AF">
      <w:pPr>
        <w:rPr>
          <w:noProof/>
          <w:highlight w:val="lightGray"/>
        </w:rPr>
      </w:pPr>
      <w:r w:rsidRPr="00205D93">
        <w:rPr>
          <w:noProof/>
          <w:highlight w:val="lightGray"/>
        </w:rPr>
        <w:t>Die Gültigkeit der Eingabedaten wird anhand der vom unabhängigen Sachverständigen bereitgestellten Informationen überprüft. Diese Informationen können Produktzertifikate, Spezifikationen oder Gebäudepläne umfassen, die Einzelheiten zur Energieeffizienz der verschiedenen im Ausweis über die Gesamtenergieeffizienz berücksichtigten Elemente enthalten.</w:t>
      </w:r>
    </w:p>
    <w:p w:rsidR="000448D2" w:rsidRPr="00205D93" w:rsidRDefault="000448D2" w:rsidP="009567AF">
      <w:pPr>
        <w:rPr>
          <w:noProof/>
          <w:highlight w:val="lightGray"/>
        </w:rPr>
      </w:pPr>
      <w:r w:rsidRPr="00205D93">
        <w:rPr>
          <w:noProof/>
          <w:highlight w:val="lightGray"/>
        </w:rPr>
        <w:t>Die Gültigkeit der Eingabedaten wird bei mindestens 10 % der Ausweise über die Gesamtenergieeffizienz, die Teil der Stichprobe zur Bewertung der Gesamtqualität des Systems sind, durch eine Inaugenscheinnahme überprüft.</w:t>
      </w:r>
    </w:p>
    <w:p w:rsidR="000448D2" w:rsidRPr="00205D93" w:rsidRDefault="000448D2" w:rsidP="009567AF">
      <w:pPr>
        <w:rPr>
          <w:noProof/>
          <w:highlight w:val="lightGray"/>
        </w:rPr>
      </w:pPr>
      <w:r w:rsidRPr="00205D93">
        <w:rPr>
          <w:noProof/>
          <w:highlight w:val="lightGray"/>
        </w:rPr>
        <w:t>Zusätzlich zu einer Mindestanzahl an Stichproben zur Bestimmung der Gesamtqualität können die Mitgliedstaaten unterschiedliche Strategien anwenden, um eine mangelhafte Qualität von Ausweisen über die Gesamtenergieeffizienz zu erkennen und gezielt anzugehen und somit die Gesamtqualität des Systems zu verbessern. Eine solche gezielte Analyse kann nicht als Grundlage für die Messung der Gesamtqualität des Systems herangezogen werden.</w:t>
      </w:r>
    </w:p>
    <w:p w:rsidR="000448D2" w:rsidRPr="00205D93" w:rsidRDefault="000448D2" w:rsidP="009567AF">
      <w:pPr>
        <w:rPr>
          <w:noProof/>
          <w:highlight w:val="lightGray"/>
        </w:rPr>
      </w:pPr>
      <w:r w:rsidRPr="00205D93">
        <w:rPr>
          <w:noProof/>
          <w:highlight w:val="lightGray"/>
        </w:rPr>
        <w:t>Die Mitgliedstaaten ergreifen präventive und reaktive Maßnahmen, um die Qualität des gesamten Rahmens für den Ausweis über die Gesamtenergieeffizienz zu gewährleisten. Diese Maßnahmen können zusätzliche Schulungen für unabhängige Sachverständige, gezielte Probenahmen, die Verpflichtung zur erneuten Vorlage von Ausweisen über die Gesamtenergieeffizienz, verhältnismäßige Geldbußen und vorübergehende oder dauerhafte Verbote für Sachverständige umfassen.</w:t>
      </w:r>
    </w:p>
    <w:p w:rsidR="000448D2" w:rsidRPr="00205D93" w:rsidRDefault="000448D2" w:rsidP="009567AF">
      <w:pPr>
        <w:rPr>
          <w:noProof/>
          <w:highlight w:val="lightGray"/>
        </w:rPr>
      </w:pPr>
      <w:r w:rsidRPr="00205D93">
        <w:rPr>
          <w:noProof/>
          <w:highlight w:val="lightGray"/>
        </w:rPr>
        <w:t>Werden einer Datenbank Informationen hinzugefügt, muss es den nationalen Behörden zu Überwachungs- und Überprüfungszwecken möglich sein, den Urheber der Hinzufügung zu ermitteln.</w:t>
      </w:r>
    </w:p>
    <w:p w:rsidR="000448D2" w:rsidRPr="00205D93" w:rsidRDefault="00873471" w:rsidP="009567AF">
      <w:pPr>
        <w:rPr>
          <w:noProof/>
          <w:highlight w:val="lightGray"/>
        </w:rPr>
      </w:pPr>
      <w:r w:rsidRPr="00205D93">
        <w:rPr>
          <w:bCs/>
          <w:noProof/>
          <w:highlight w:val="lightGray"/>
        </w:rPr>
        <w:t>3.</w:t>
      </w:r>
      <w:r w:rsidRPr="00205D93">
        <w:rPr>
          <w:noProof/>
        </w:rPr>
        <w:tab/>
      </w:r>
      <w:r w:rsidRPr="00205D93">
        <w:rPr>
          <w:bCs/>
          <w:noProof/>
          <w:highlight w:val="lightGray"/>
        </w:rPr>
        <w:t>Verfügbarkeit von Ausweisen über die Gesamtenergieeffizienz</w:t>
      </w:r>
    </w:p>
    <w:p w:rsidR="000448D2" w:rsidRPr="00205D93" w:rsidRDefault="000448D2" w:rsidP="009567AF">
      <w:pPr>
        <w:rPr>
          <w:noProof/>
          <w:highlight w:val="lightGray"/>
        </w:rPr>
      </w:pPr>
      <w:r w:rsidRPr="00205D93">
        <w:rPr>
          <w:noProof/>
          <w:highlight w:val="lightGray"/>
        </w:rPr>
        <w:t>Im Rahmen des unabhängigen Kontrollsystems wird die Verfügbarkeit von Ausweisen über die Gesamtenergieeffizienz für potenzielle Käufer und Mieter überprüft, um sicherzustellen, dass diese bei ihrer Kauf- oder Mietentscheidung die Gesamtenergieeffizienz des Gebäudes berücksichtigen können.</w:t>
      </w:r>
    </w:p>
    <w:p w:rsidR="000448D2" w:rsidRPr="00205D93" w:rsidRDefault="000448D2" w:rsidP="009567AF">
      <w:pPr>
        <w:rPr>
          <w:noProof/>
          <w:highlight w:val="lightGray"/>
        </w:rPr>
      </w:pPr>
      <w:r w:rsidRPr="00205D93">
        <w:rPr>
          <w:noProof/>
          <w:highlight w:val="lightGray"/>
        </w:rPr>
        <w:t>Zudem wird im Rahmen des unabhängigen Kontrollsystems die Sichtbarkeit des Indikators der Gesamtenergieeffizienz und der Gesamtenergieeffizienzklasse in Werbemedien.</w:t>
      </w:r>
    </w:p>
    <w:p w:rsidR="000448D2" w:rsidRPr="00205D93" w:rsidRDefault="00873471" w:rsidP="009567AF">
      <w:pPr>
        <w:rPr>
          <w:noProof/>
          <w:highlight w:val="lightGray"/>
        </w:rPr>
      </w:pPr>
      <w:r w:rsidRPr="00205D93">
        <w:rPr>
          <w:bCs/>
          <w:noProof/>
          <w:highlight w:val="lightGray"/>
        </w:rPr>
        <w:t>4.</w:t>
      </w:r>
      <w:r w:rsidRPr="00205D93">
        <w:rPr>
          <w:noProof/>
        </w:rPr>
        <w:tab/>
      </w:r>
      <w:r w:rsidRPr="00205D93">
        <w:rPr>
          <w:bCs/>
          <w:noProof/>
          <w:highlight w:val="lightGray"/>
        </w:rPr>
        <w:t>Berücksichtigung von Gebäudetypologien</w:t>
      </w:r>
    </w:p>
    <w:p w:rsidR="000448D2" w:rsidRPr="00205D93" w:rsidRDefault="000448D2" w:rsidP="009567AF">
      <w:pPr>
        <w:rPr>
          <w:noProof/>
          <w:highlight w:val="lightGray"/>
        </w:rPr>
      </w:pPr>
      <w:r w:rsidRPr="00205D93">
        <w:rPr>
          <w:noProof/>
          <w:highlight w:val="lightGray"/>
        </w:rPr>
        <w:t>Im Rahmen des unabhängigen Kontrollsystems werden verschiedene Gebäudetypologien berücksichtigt, insbesondere die Gebäudetypologien, die auf dem Immobilienmarkt am häufigsten vorkommen, z. B. Einfamilienhäuser, Mehrfamilienhäuser, Bürogebäude oder Gebäude des Einzelhandels.</w:t>
      </w:r>
    </w:p>
    <w:p w:rsidR="000448D2" w:rsidRPr="00205D93" w:rsidRDefault="00873471" w:rsidP="009567AF">
      <w:pPr>
        <w:rPr>
          <w:noProof/>
          <w:highlight w:val="lightGray"/>
        </w:rPr>
      </w:pPr>
      <w:r w:rsidRPr="00205D93">
        <w:rPr>
          <w:bCs/>
          <w:noProof/>
          <w:highlight w:val="lightGray"/>
        </w:rPr>
        <w:t>5.</w:t>
      </w:r>
      <w:r w:rsidRPr="00205D93">
        <w:rPr>
          <w:noProof/>
        </w:rPr>
        <w:tab/>
      </w:r>
      <w:r w:rsidRPr="00205D93">
        <w:rPr>
          <w:bCs/>
          <w:noProof/>
          <w:highlight w:val="lightGray"/>
        </w:rPr>
        <w:t>Veröffentlichung von Informationen</w:t>
      </w:r>
    </w:p>
    <w:p w:rsidR="000448D2" w:rsidRPr="00205D93" w:rsidRDefault="000448D2" w:rsidP="009567AF">
      <w:pPr>
        <w:rPr>
          <w:noProof/>
          <w:highlight w:val="lightGray"/>
        </w:rPr>
      </w:pPr>
      <w:r w:rsidRPr="00205D93">
        <w:rPr>
          <w:noProof/>
          <w:highlight w:val="lightGray"/>
        </w:rPr>
        <w:t xml:space="preserve">Die Mitgliedstaaten veröffentlichen regelmäßig in der nationalen Datenbank für die Ausweise über die Gesamtenergieeffizienz mindestens die folgenden Informationen über das Qualitätskontrollsystem: </w:t>
      </w:r>
    </w:p>
    <w:p w:rsidR="000448D2" w:rsidRPr="00205D93" w:rsidRDefault="000448D2" w:rsidP="009E3C5F">
      <w:pPr>
        <w:rPr>
          <w:rFonts w:eastAsia="Times New Roman"/>
          <w:noProof/>
          <w:highlight w:val="lightGray"/>
        </w:rPr>
      </w:pPr>
      <w:r w:rsidRPr="00205D93">
        <w:rPr>
          <w:noProof/>
          <w:highlight w:val="lightGray"/>
        </w:rPr>
        <w:t>a)</w:t>
      </w:r>
      <w:r w:rsidRPr="00205D93">
        <w:rPr>
          <w:noProof/>
        </w:rPr>
        <w:tab/>
      </w:r>
      <w:r w:rsidRPr="00205D93">
        <w:rPr>
          <w:noProof/>
          <w:highlight w:val="lightGray"/>
        </w:rPr>
        <w:t xml:space="preserve">Definition der Qualität von Ausweisen über die Gesamtenergieeffizienz; </w:t>
      </w:r>
    </w:p>
    <w:p w:rsidR="000448D2" w:rsidRPr="00205D93" w:rsidRDefault="000448D2" w:rsidP="009E3C5F">
      <w:pPr>
        <w:rPr>
          <w:noProof/>
          <w:highlight w:val="lightGray"/>
        </w:rPr>
      </w:pPr>
      <w:r w:rsidRPr="00205D93">
        <w:rPr>
          <w:noProof/>
          <w:highlight w:val="lightGray"/>
        </w:rPr>
        <w:t>b)</w:t>
      </w:r>
      <w:r w:rsidRPr="00205D93">
        <w:rPr>
          <w:noProof/>
        </w:rPr>
        <w:tab/>
      </w:r>
      <w:r w:rsidRPr="00205D93">
        <w:rPr>
          <w:noProof/>
          <w:highlight w:val="lightGray"/>
        </w:rPr>
        <w:t>Qualitätsziele für das System der Ausweise über die Gesamtenergieeffizienz;</w:t>
      </w:r>
    </w:p>
    <w:p w:rsidR="000448D2" w:rsidRPr="00205D93" w:rsidRDefault="000448D2" w:rsidP="009E3C5F">
      <w:pPr>
        <w:rPr>
          <w:noProof/>
          <w:highlight w:val="lightGray"/>
        </w:rPr>
      </w:pPr>
      <w:r w:rsidRPr="00205D93">
        <w:rPr>
          <w:noProof/>
          <w:highlight w:val="lightGray"/>
        </w:rPr>
        <w:t>c)</w:t>
      </w:r>
      <w:r w:rsidRPr="00205D93">
        <w:rPr>
          <w:noProof/>
        </w:rPr>
        <w:tab/>
      </w:r>
      <w:r w:rsidRPr="00205D93">
        <w:rPr>
          <w:noProof/>
          <w:highlight w:val="lightGray"/>
        </w:rPr>
        <w:t xml:space="preserve">Ergebnisse der Qualitätsbewertung, einschließlich der Anzahl der bewerteten Ausweise und deren relativer Anteil an der Gesamtzahl der in dem betreffenden Zeitraum ausgestellten Ausweise (nach Gebäudetypologie); </w:t>
      </w:r>
    </w:p>
    <w:p w:rsidR="000448D2" w:rsidRPr="00205D93" w:rsidRDefault="000448D2" w:rsidP="009567AF">
      <w:pPr>
        <w:rPr>
          <w:noProof/>
        </w:rPr>
      </w:pPr>
      <w:r w:rsidRPr="00205D93">
        <w:rPr>
          <w:noProof/>
          <w:highlight w:val="lightGray"/>
        </w:rPr>
        <w:t>d)</w:t>
      </w:r>
      <w:r w:rsidRPr="00205D93">
        <w:rPr>
          <w:noProof/>
        </w:rPr>
        <w:tab/>
      </w:r>
      <w:r w:rsidRPr="00205D93">
        <w:rPr>
          <w:noProof/>
          <w:highlight w:val="lightGray"/>
        </w:rPr>
        <w:t>Maßnahmen zur Verbesserung der Gesamtqualität der Ausweise über die Gesamtenergieeffizienz bei Eintreten unvorhergesehener Ereignisse.</w:t>
      </w:r>
    </w:p>
    <w:p w:rsidR="000448D2" w:rsidRPr="00205D93" w:rsidRDefault="000448D2">
      <w:pPr>
        <w:pStyle w:val="CRSeparator"/>
        <w:rPr>
          <w:noProof/>
        </w:rPr>
      </w:pPr>
    </w:p>
    <w:p w:rsidR="000448D2" w:rsidRPr="00205D93" w:rsidRDefault="000448D2">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2018/844 Artikel 1 Nummer 14 und Anhang Nummer 3 Buchstabe b</w:t>
      </w:r>
    </w:p>
    <w:p w:rsidR="000448D2" w:rsidRPr="00205D93" w:rsidRDefault="000448D2" w:rsidP="00A36901">
      <w:pPr>
        <w:rPr>
          <w:noProof/>
          <w:highlight w:val="lightGray"/>
        </w:rPr>
        <w:sectPr w:rsidR="000448D2" w:rsidRPr="00205D93" w:rsidSect="00816C38">
          <w:pgSz w:w="11906" w:h="16838"/>
          <w:pgMar w:top="1134" w:right="1418" w:bottom="1134" w:left="1418" w:header="709" w:footer="709" w:gutter="0"/>
          <w:pgNumType w:start="1"/>
          <w:cols w:space="709"/>
          <w:docGrid w:linePitch="326"/>
        </w:sectPr>
      </w:pPr>
      <w:r w:rsidRPr="00205D93">
        <w:rPr>
          <w:rStyle w:val="CRRefonteDeleted"/>
          <w:noProof/>
          <w:highlight w:val="lightGray"/>
        </w:rPr>
        <w:t>3.</w:t>
      </w:r>
      <w:r w:rsidRPr="00205D93">
        <w:rPr>
          <w:noProof/>
        </w:rPr>
        <w:tab/>
      </w:r>
      <w:r w:rsidRPr="00205D93">
        <w:rPr>
          <w:rStyle w:val="CRRefonteDeleted"/>
          <w:noProof/>
          <w:highlight w:val="lightGray"/>
        </w:rPr>
        <w:t>Werden einer Datenbank Informationen hinzugefügt, muss es den nationalen Behörden zu Überwachungs- und Überprüfungszwecken möglich sein, den Urheber der Hinzufügung zu ermitteln.</w:t>
      </w:r>
    </w:p>
    <w:p w:rsidR="000448D2" w:rsidRPr="00205D93" w:rsidRDefault="000448D2" w:rsidP="009567AF">
      <w:pPr>
        <w:pStyle w:val="CRSeparator"/>
        <w:rPr>
          <w:noProof/>
        </w:rPr>
      </w:pPr>
    </w:p>
    <w:p w:rsidR="000448D2" w:rsidRPr="00205D93" w:rsidRDefault="000448D2" w:rsidP="009567AF">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2010/31/EU</w:t>
      </w:r>
    </w:p>
    <w:p w:rsidR="000448D2" w:rsidRPr="00205D93" w:rsidRDefault="000448D2" w:rsidP="009567AF">
      <w:pPr>
        <w:pStyle w:val="CRReference"/>
        <w:rPr>
          <w:noProof/>
          <w:highlight w:val="lightGray"/>
        </w:rPr>
      </w:pPr>
      <w:r w:rsidRPr="00205D93">
        <w:rPr>
          <w:noProof/>
          <w:highlight w:val="lightGray"/>
        </w:rPr>
        <w:fldChar w:fldCharType="begin"/>
      </w:r>
      <w:r w:rsidRPr="00205D93">
        <w:rPr>
          <w:noProof/>
          <w:highlight w:val="lightGray"/>
        </w:rPr>
        <w:instrText xml:space="preserve"> QUOTE "ð" </w:instrText>
      </w:r>
      <w:r w:rsidRPr="00205D93">
        <w:rPr>
          <w:noProof/>
          <w:highlight w:val="lightGray"/>
        </w:rPr>
        <w:fldChar w:fldCharType="separate"/>
      </w:r>
      <w:r w:rsidRPr="00205D93">
        <w:rPr>
          <w:rStyle w:val="CRMarker"/>
          <w:noProof/>
          <w:highlight w:val="lightGray"/>
        </w:rPr>
        <w:t>ð</w:t>
      </w:r>
      <w:r w:rsidRPr="00205D93">
        <w:rPr>
          <w:noProof/>
          <w:highlight w:val="lightGray"/>
        </w:rPr>
        <w:fldChar w:fldCharType="end"/>
      </w:r>
      <w:r w:rsidRPr="00205D93">
        <w:rPr>
          <w:noProof/>
          <w:highlight w:val="lightGray"/>
        </w:rPr>
        <w:t> neu </w:t>
      </w:r>
    </w:p>
    <w:p w:rsidR="000448D2" w:rsidRPr="00205D93" w:rsidRDefault="000448D2" w:rsidP="00EC00AC">
      <w:pPr>
        <w:pStyle w:val="Annexetitre"/>
        <w:rPr>
          <w:noProof/>
        </w:rPr>
      </w:pPr>
      <w:r w:rsidRPr="00205D93">
        <w:rPr>
          <w:noProof/>
        </w:rPr>
        <w:t>ANHANG </w:t>
      </w:r>
      <w:r w:rsidRPr="00205D93">
        <w:rPr>
          <w:rStyle w:val="CRMinorChangeAdded"/>
          <w:noProof/>
        </w:rPr>
        <w:t>VII</w:t>
      </w:r>
      <w:r w:rsidRPr="00205D93">
        <w:rPr>
          <w:rStyle w:val="CRMinorChangeDeleted"/>
          <w:noProof/>
        </w:rPr>
        <w:t>III</w:t>
      </w:r>
    </w:p>
    <w:p w:rsidR="000448D2" w:rsidRPr="00205D93" w:rsidRDefault="000448D2" w:rsidP="009916B2">
      <w:pPr>
        <w:pStyle w:val="ManualHeading1"/>
        <w:ind w:left="851" w:hanging="851"/>
        <w:jc w:val="center"/>
        <w:rPr>
          <w:noProof/>
        </w:rPr>
      </w:pPr>
      <w:r w:rsidRPr="00205D93">
        <w:rPr>
          <w:i/>
          <w:iCs/>
          <w:noProof/>
        </w:rPr>
        <w:t>Rahmen für eine Vergleichsmethode zur Berechnung kostenoptimaler Niveaus für die Anforderungen an die Gesamtenergieeffizienz von Gebäuden und Gebäudekomponenten</w:t>
      </w:r>
    </w:p>
    <w:p w:rsidR="000448D2" w:rsidRPr="00205D93" w:rsidRDefault="000448D2">
      <w:pPr>
        <w:rPr>
          <w:noProof/>
        </w:rPr>
      </w:pPr>
      <w:r w:rsidRPr="00205D93">
        <w:rPr>
          <w:noProof/>
        </w:rPr>
        <w:t xml:space="preserve">Der Rahmen für eine Vergleichsmethode ermöglicht es den Mitgliedstaaten, die Gesamtenergieeffizienz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und die Emissionseffizienz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von Gebäuden und Gebäudekomponenten zu bestimmen und die wirtschaftlichen Aspekte der die Gesamtenergieeffizienz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und die Emissionseffizienz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betreffenden Maßnahmen zu ermessen sowie beides ins Verhältnis zu setzen, um das kostenoptimale Niveau zu ermitteln.</w:t>
      </w:r>
    </w:p>
    <w:p w:rsidR="000448D2" w:rsidRPr="00205D93" w:rsidRDefault="000448D2">
      <w:pPr>
        <w:rPr>
          <w:noProof/>
        </w:rPr>
      </w:pPr>
      <w:r w:rsidRPr="00205D93">
        <w:rPr>
          <w:noProof/>
        </w:rPr>
        <w:t>Der Rahmen für eine Vergleichsmethode ist durch Leitlinien zu ergänzen, in denen beschrieben wird, wie dieser Rahmen bei der Berechnung kostenoptimaler Niveaus anzuwenden ist.</w:t>
      </w:r>
    </w:p>
    <w:p w:rsidR="000448D2" w:rsidRPr="00205D93" w:rsidRDefault="000448D2">
      <w:pPr>
        <w:rPr>
          <w:noProof/>
        </w:rPr>
      </w:pPr>
      <w:r w:rsidRPr="00205D93">
        <w:rPr>
          <w:noProof/>
        </w:rPr>
        <w:t xml:space="preserve">Der Rahmen für eine Vergleichsmethode gestattet die Berücksichtigung folgender Faktoren: Nutzungsmuster, Außenklimabedingungen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und deren zukünftigen Änderungen gemäß den besten verfügbaren klimawissenschaftlichen Erkenntnissen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 Investitionskosten, Gebäudekategorie, Wartungs- und Betriebskosten (einschließlich der Energiekosten und -einsparungen) sowie gegebenenfalls Einnahmen aus der Energieerzeugung</w:t>
      </w:r>
      <w:r w:rsidRPr="00205D93">
        <w:rPr>
          <w:rStyle w:val="CRMinorChangeAdded"/>
          <w:noProof/>
        </w:rPr>
        <w:t>,</w:t>
      </w:r>
      <w:r w:rsidRPr="00205D93">
        <w:rPr>
          <w:noProof/>
        </w:rPr>
        <w:t xml:space="preserve">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externe Effekte der Energienutzung in den Bereichen Umwelt und Gesundheit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und </w:t>
      </w:r>
      <w:r w:rsidRPr="00205D93">
        <w:rPr>
          <w:rStyle w:val="CRRefonteDeleted"/>
          <w:noProof/>
          <w:highlight w:val="lightGray"/>
        </w:rPr>
        <w:t>Entsorgungskosten</w:t>
      </w:r>
      <w:r w:rsidRPr="00205D93">
        <w:rPr>
          <w:noProof/>
        </w:rPr>
        <w:t xml:space="preserve">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gegebenenfalls Abfallbewirtschaftungskosten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Der Rahmen sollte auf die für diese Richtlinie relevanten Europäischen Normen gestützt werden.</w:t>
      </w:r>
    </w:p>
    <w:p w:rsidR="000448D2" w:rsidRPr="00205D93" w:rsidRDefault="000448D2">
      <w:pPr>
        <w:rPr>
          <w:noProof/>
        </w:rPr>
      </w:pPr>
      <w:r w:rsidRPr="00205D93">
        <w:rPr>
          <w:noProof/>
        </w:rPr>
        <w:t>Des Weiteren obliegt es der Kommission,</w:t>
      </w:r>
    </w:p>
    <w:p w:rsidR="000448D2" w:rsidRPr="00205D93" w:rsidRDefault="000448D2" w:rsidP="0004559D">
      <w:pPr>
        <w:pStyle w:val="Tiret0"/>
        <w:numPr>
          <w:ilvl w:val="0"/>
          <w:numId w:val="25"/>
        </w:numPr>
        <w:autoSpaceDE w:val="0"/>
        <w:autoSpaceDN w:val="0"/>
        <w:ind w:left="851" w:hanging="851"/>
        <w:rPr>
          <w:noProof/>
        </w:rPr>
      </w:pPr>
      <w:r w:rsidRPr="00205D93">
        <w:rPr>
          <w:noProof/>
        </w:rPr>
        <w:t>Leitlinien zur Flankierung des Rahmens für eine Vergleichsmethode bereitzustellen; diese Leitlinien werden es den Mitgliedstaaten ermöglichen, die nachstehend aufgeführten Maßnahmen durchzuführen;</w:t>
      </w:r>
    </w:p>
    <w:p w:rsidR="000448D2" w:rsidRPr="00205D93" w:rsidRDefault="000448D2" w:rsidP="0004559D">
      <w:pPr>
        <w:pStyle w:val="Tiret0"/>
        <w:numPr>
          <w:ilvl w:val="0"/>
          <w:numId w:val="25"/>
        </w:numPr>
        <w:autoSpaceDE w:val="0"/>
        <w:autoSpaceDN w:val="0"/>
        <w:ind w:left="851" w:hanging="851"/>
        <w:rPr>
          <w:noProof/>
        </w:rPr>
      </w:pPr>
      <w:r w:rsidRPr="00205D93">
        <w:rPr>
          <w:noProof/>
        </w:rPr>
        <w:t>Informationen über die geschätzten langfristigen Entwicklungen der Energiepreise bereitzustellen.</w:t>
      </w:r>
    </w:p>
    <w:p w:rsidR="000448D2" w:rsidRPr="00205D93" w:rsidRDefault="000448D2">
      <w:pPr>
        <w:rPr>
          <w:noProof/>
        </w:rPr>
      </w:pPr>
      <w:r w:rsidRPr="00205D93">
        <w:rPr>
          <w:noProof/>
        </w:rPr>
        <w:t>Für die Anwendung des Rahmens für eine Vergleichsmethode durch die Mitgliedstaaten sind auf der Ebene der Mitgliedstaaten in Parametern ausgedrückte allgemeine Bedingungen festzulegen.</w:t>
      </w:r>
    </w:p>
    <w:p w:rsidR="000448D2" w:rsidRPr="00205D93" w:rsidRDefault="000448D2">
      <w:pPr>
        <w:rPr>
          <w:noProof/>
        </w:rPr>
      </w:pPr>
      <w:r w:rsidRPr="00205D93">
        <w:rPr>
          <w:noProof/>
        </w:rPr>
        <w:t>Nach dem Rahmen für eine Vergleichsmethode sind die Mitgliedstaaten zu Folgendem verpflichtet:</w:t>
      </w:r>
    </w:p>
    <w:p w:rsidR="000448D2" w:rsidRPr="00205D93" w:rsidRDefault="000448D2" w:rsidP="0004559D">
      <w:pPr>
        <w:pStyle w:val="Tiret0"/>
        <w:numPr>
          <w:ilvl w:val="0"/>
          <w:numId w:val="25"/>
        </w:numPr>
        <w:autoSpaceDE w:val="0"/>
        <w:autoSpaceDN w:val="0"/>
        <w:ind w:left="851" w:hanging="851"/>
        <w:rPr>
          <w:noProof/>
        </w:rPr>
      </w:pPr>
      <w:r w:rsidRPr="00205D93">
        <w:rPr>
          <w:noProof/>
        </w:rPr>
        <w:t>Bestimmung von Referenzgebäuden, die durch ihre Auslegung und ihre geografische Lage, einschließlich der Innenraum- und Außenklimabedingungen, gekennzeichnet und repräsentativ sind. Als Referenzgebäude werden neue und bestehende Wohn- und Nichtwohngebäude herangezogen;</w:t>
      </w:r>
    </w:p>
    <w:p w:rsidR="000448D2" w:rsidRPr="00205D93" w:rsidRDefault="000448D2" w:rsidP="0004559D">
      <w:pPr>
        <w:pStyle w:val="Tiret0"/>
        <w:numPr>
          <w:ilvl w:val="0"/>
          <w:numId w:val="25"/>
        </w:numPr>
        <w:autoSpaceDE w:val="0"/>
        <w:autoSpaceDN w:val="0"/>
        <w:ind w:left="851" w:hanging="851"/>
        <w:rPr>
          <w:noProof/>
        </w:rPr>
      </w:pPr>
      <w:r w:rsidRPr="00205D93">
        <w:rPr>
          <w:noProof/>
        </w:rPr>
        <w:t>Festlegung von Energieeffizienzmaßnahmen, die in Bezug auf die Referenzgebäude zu bewerten sind. Dabei kann es sich um Maßnahmen für einzelne Gebäude insgesamt, für einzelne Gebäudekomponenten oder für Kombinationen von Gebäudekomponenten handeln;</w:t>
      </w:r>
    </w:p>
    <w:p w:rsidR="000448D2" w:rsidRPr="00205D93" w:rsidRDefault="000448D2" w:rsidP="0004559D">
      <w:pPr>
        <w:pStyle w:val="Tiret0"/>
        <w:numPr>
          <w:ilvl w:val="0"/>
          <w:numId w:val="25"/>
        </w:numPr>
        <w:autoSpaceDE w:val="0"/>
        <w:autoSpaceDN w:val="0"/>
        <w:ind w:left="851" w:hanging="851"/>
        <w:rPr>
          <w:noProof/>
        </w:rPr>
      </w:pPr>
      <w:r w:rsidRPr="00205D93">
        <w:rPr>
          <w:noProof/>
        </w:rPr>
        <w:t xml:space="preserve">Bestimmung des Endenergie- und des Primärenergiebedarfs </w:t>
      </w:r>
      <w:r w:rsidRPr="00CC077E">
        <w:rPr>
          <w:noProof/>
          <w:highlight w:val="lightGray"/>
        </w:rPr>
        <w:fldChar w:fldCharType="begin"/>
      </w:r>
      <w:r w:rsidRPr="00CC077E">
        <w:rPr>
          <w:noProof/>
          <w:highlight w:val="lightGray"/>
        </w:rPr>
        <w:instrText xml:space="preserve"> QUOTE "ð" </w:instrText>
      </w:r>
      <w:r w:rsidRPr="00CC077E">
        <w:rPr>
          <w:noProof/>
          <w:highlight w:val="lightGray"/>
        </w:rPr>
        <w:fldChar w:fldCharType="separate"/>
      </w:r>
      <w:r w:rsidRPr="00CC077E">
        <w:rPr>
          <w:rStyle w:val="CRMarker"/>
          <w:noProof/>
          <w:highlight w:val="lightGray"/>
        </w:rPr>
        <w:t>ð</w:t>
      </w:r>
      <w:r w:rsidRPr="00CC077E">
        <w:rPr>
          <w:noProof/>
          <w:highlight w:val="lightGray"/>
        </w:rPr>
        <w:fldChar w:fldCharType="end"/>
      </w:r>
      <w:r w:rsidRPr="00205D93">
        <w:rPr>
          <w:noProof/>
          <w:highlight w:val="lightGray"/>
        </w:rPr>
        <w:t> und der daraus resultierenden Emissionen </w:t>
      </w:r>
      <w:r w:rsidRPr="00205D93">
        <w:rPr>
          <w:noProof/>
          <w:highlight w:val="lightGray"/>
        </w:rPr>
        <w:fldChar w:fldCharType="begin"/>
      </w:r>
      <w:r w:rsidRPr="00205D93">
        <w:rPr>
          <w:noProof/>
          <w:highlight w:val="lightGray"/>
        </w:rPr>
        <w:instrText xml:space="preserve"> QUOTE "ï" </w:instrText>
      </w:r>
      <w:r w:rsidRPr="00205D93">
        <w:rPr>
          <w:noProof/>
          <w:highlight w:val="lightGray"/>
        </w:rPr>
        <w:fldChar w:fldCharType="separate"/>
      </w:r>
      <w:r w:rsidRPr="00205D93">
        <w:rPr>
          <w:rStyle w:val="CRMarker"/>
          <w:noProof/>
          <w:highlight w:val="lightGray"/>
        </w:rPr>
        <w:t>ï</w:t>
      </w:r>
      <w:r w:rsidRPr="00205D93">
        <w:rPr>
          <w:noProof/>
          <w:highlight w:val="lightGray"/>
        </w:rPr>
        <w:fldChar w:fldCharType="end"/>
      </w:r>
      <w:r w:rsidRPr="00205D93">
        <w:rPr>
          <w:noProof/>
        </w:rPr>
        <w:t xml:space="preserve"> der Referenzgebäude vor und nach Durchführung der definierten Energieeffizienzmaßnahmen;</w:t>
      </w:r>
    </w:p>
    <w:p w:rsidR="000448D2" w:rsidRPr="00205D93" w:rsidRDefault="000448D2" w:rsidP="0004559D">
      <w:pPr>
        <w:pStyle w:val="Tiret0"/>
        <w:numPr>
          <w:ilvl w:val="0"/>
          <w:numId w:val="25"/>
        </w:numPr>
        <w:autoSpaceDE w:val="0"/>
        <w:autoSpaceDN w:val="0"/>
        <w:ind w:left="851" w:hanging="851"/>
        <w:rPr>
          <w:noProof/>
        </w:rPr>
      </w:pPr>
      <w:r w:rsidRPr="00205D93">
        <w:rPr>
          <w:noProof/>
        </w:rPr>
        <w:t>Berechnung der Kosten (d. h. des Nettogegenwartswerts) der (im zweiten Gedankenstrich genannten) Energieeffizienzmaßnahmen über die zu erwartende wirtschaftliche Lebensdauer in Bezug auf die (im ersten Gedankenstrich genannten) Referenzgebäude unter Anwendung der Grundsätze des Rahmens für eine Vergleichsmethode.</w:t>
      </w:r>
    </w:p>
    <w:p w:rsidR="000448D2" w:rsidRPr="00205D93" w:rsidRDefault="000448D2">
      <w:pPr>
        <w:rPr>
          <w:noProof/>
        </w:rPr>
      </w:pPr>
      <w:r w:rsidRPr="00205D93">
        <w:rPr>
          <w:noProof/>
        </w:rPr>
        <w:t>Mit der Berechnung der Kosten der Energieeffizienzmaßnahmen über die zu erwartende wirtschaftliche Lebensdauer wird die Kosteneffizienz der verschiedenen Niveaus von Mindestanforderungen an die Gesamtenergieeffizienz von den Mitgliedstaaten bewertet. Dies ermöglicht die Festlegung kostenoptimaler Niveaus für die Anforderungen an die Gesamtenergieeffizienz.</w:t>
      </w:r>
    </w:p>
    <w:p w:rsidR="000448D2" w:rsidRPr="00205D93" w:rsidRDefault="000448D2">
      <w:pPr>
        <w:adjustRightInd w:val="0"/>
        <w:spacing w:before="0" w:after="0"/>
        <w:jc w:val="left"/>
        <w:rPr>
          <w:noProof/>
        </w:rPr>
        <w:sectPr w:rsidR="000448D2" w:rsidRPr="00205D93" w:rsidSect="00816C38">
          <w:pgSz w:w="11906" w:h="16838"/>
          <w:pgMar w:top="1134" w:right="1418" w:bottom="1134" w:left="1418" w:header="709" w:footer="709" w:gutter="0"/>
          <w:pgNumType w:start="1"/>
          <w:cols w:space="709"/>
          <w:docGrid w:linePitch="326"/>
        </w:sectPr>
      </w:pPr>
    </w:p>
    <w:p w:rsidR="000448D2" w:rsidRPr="00205D93" w:rsidRDefault="000448D2" w:rsidP="009567AF">
      <w:pPr>
        <w:pStyle w:val="CRSeparator"/>
        <w:rPr>
          <w:noProof/>
        </w:rPr>
      </w:pPr>
    </w:p>
    <w:p w:rsidR="000448D2" w:rsidRPr="00205D93" w:rsidRDefault="000448D2" w:rsidP="009567AF">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xml:space="preserve"> 2010/31/EU (angepasst)</w:t>
      </w:r>
    </w:p>
    <w:p w:rsidR="000448D2" w:rsidRPr="00205D93" w:rsidRDefault="000448D2" w:rsidP="00EC00AC">
      <w:pPr>
        <w:pStyle w:val="Annexetitre"/>
        <w:rPr>
          <w:noProof/>
        </w:rPr>
      </w:pPr>
      <w:r w:rsidRPr="00205D93">
        <w:rPr>
          <w:noProof/>
        </w:rPr>
        <w:t>ANHANG </w:t>
      </w:r>
      <w:r w:rsidRPr="00205D93">
        <w:rPr>
          <w:rStyle w:val="CRMinorChangeAdded"/>
          <w:noProof/>
        </w:rPr>
        <w:t>VIII</w:t>
      </w:r>
      <w:r w:rsidRPr="00205D93">
        <w:rPr>
          <w:rStyle w:val="CRMinorChangeDeleted"/>
          <w:noProof/>
        </w:rPr>
        <w:t>IV</w:t>
      </w:r>
    </w:p>
    <w:p w:rsidR="000448D2" w:rsidRPr="00205D93" w:rsidRDefault="000448D2" w:rsidP="009567AF">
      <w:pPr>
        <w:pStyle w:val="ManualHeading1"/>
        <w:ind w:left="851" w:hanging="851"/>
        <w:jc w:val="center"/>
        <w:rPr>
          <w:noProof/>
        </w:rPr>
      </w:pPr>
      <w:r w:rsidRPr="00205D93">
        <w:rPr>
          <w:rStyle w:val="CRDeleted"/>
          <w:noProof/>
        </w:rPr>
        <w:t>TEIL A</w:t>
      </w:r>
    </w:p>
    <w:tbl>
      <w:tblPr>
        <w:tblW w:w="0" w:type="auto"/>
        <w:tblLayout w:type="fixed"/>
        <w:tblLook w:val="0000" w:firstRow="0" w:lastRow="0" w:firstColumn="0" w:lastColumn="0" w:noHBand="0" w:noVBand="0"/>
      </w:tblPr>
      <w:tblGrid>
        <w:gridCol w:w="6314"/>
        <w:gridCol w:w="2972"/>
      </w:tblGrid>
      <w:tr w:rsidR="000448D2" w:rsidRPr="00205D93">
        <w:tc>
          <w:tcPr>
            <w:tcW w:w="9286" w:type="dxa"/>
            <w:gridSpan w:val="2"/>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rStyle w:val="CRDeleted"/>
                <w:i/>
                <w:noProof/>
              </w:rPr>
            </w:pPr>
            <w:r w:rsidRPr="00205D93">
              <w:rPr>
                <w:rStyle w:val="CRDeleted"/>
                <w:i/>
                <w:noProof/>
              </w:rPr>
              <w:t>Aufgehobene Richtlinie mit ihren nachfolgenden Änderungen</w:t>
            </w:r>
          </w:p>
        </w:tc>
      </w:tr>
      <w:tr w:rsidR="000448D2" w:rsidRPr="00205D93">
        <w:tc>
          <w:tcPr>
            <w:tcW w:w="9286" w:type="dxa"/>
            <w:gridSpan w:val="2"/>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rStyle w:val="CRDeleted"/>
                <w:i/>
                <w:noProof/>
              </w:rPr>
            </w:pPr>
            <w:r w:rsidRPr="00205D93">
              <w:rPr>
                <w:rStyle w:val="CRDeleted"/>
                <w:i/>
                <w:noProof/>
              </w:rPr>
              <w:t>(gemäß Artikel 29)</w:t>
            </w:r>
          </w:p>
        </w:tc>
      </w:tr>
      <w:tr w:rsidR="000448D2" w:rsidRPr="00205D93">
        <w:tc>
          <w:tcPr>
            <w:tcW w:w="6314"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Left"/>
              <w:rPr>
                <w:noProof/>
              </w:rPr>
            </w:pPr>
            <w:r w:rsidRPr="00205D93">
              <w:rPr>
                <w:rStyle w:val="CRDeleted"/>
                <w:noProof/>
              </w:rPr>
              <w:t>Richtlinie 2002/91/EG des Europäischen Parlaments und des Rates (ABl. L 1 vom 4.1.2003, S. 65).</w:t>
            </w:r>
          </w:p>
        </w:tc>
        <w:tc>
          <w:tcPr>
            <w:tcW w:w="2972"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Left"/>
              <w:rPr>
                <w:noProof/>
              </w:rPr>
            </w:pPr>
          </w:p>
        </w:tc>
      </w:tr>
      <w:tr w:rsidR="000448D2" w:rsidRPr="00205D93">
        <w:tc>
          <w:tcPr>
            <w:tcW w:w="6314"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Left"/>
              <w:rPr>
                <w:noProof/>
              </w:rPr>
            </w:pPr>
            <w:r w:rsidRPr="00205D93">
              <w:rPr>
                <w:rStyle w:val="CRDeleted"/>
                <w:noProof/>
              </w:rPr>
              <w:t>Verordnung (EG) Nr. 1137/2008 des Europäischen Parlaments und des Rates (ABl. L 311 vom 21.11.2008, S. 1).</w:t>
            </w:r>
          </w:p>
        </w:tc>
        <w:tc>
          <w:tcPr>
            <w:tcW w:w="2972"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Left"/>
              <w:rPr>
                <w:noProof/>
              </w:rPr>
            </w:pPr>
            <w:r w:rsidRPr="00205D93">
              <w:rPr>
                <w:rStyle w:val="CRDeleted"/>
                <w:noProof/>
              </w:rPr>
              <w:t>Nur Nummer 9.9 des Anhangs</w:t>
            </w:r>
          </w:p>
        </w:tc>
      </w:tr>
    </w:tbl>
    <w:p w:rsidR="000448D2" w:rsidRPr="00205D93" w:rsidRDefault="000448D2" w:rsidP="009567AF">
      <w:pPr>
        <w:pStyle w:val="ManualHeading1"/>
        <w:ind w:left="851" w:hanging="851"/>
        <w:jc w:val="center"/>
        <w:rPr>
          <w:noProof/>
        </w:rPr>
      </w:pPr>
      <w:r w:rsidRPr="00205D93">
        <w:rPr>
          <w:rStyle w:val="CRDeleted"/>
          <w:noProof/>
        </w:rPr>
        <w:t>TEIL B</w:t>
      </w:r>
    </w:p>
    <w:tbl>
      <w:tblPr>
        <w:tblW w:w="0" w:type="auto"/>
        <w:tblLayout w:type="fixed"/>
        <w:tblLook w:val="0000" w:firstRow="0" w:lastRow="0" w:firstColumn="0" w:lastColumn="0" w:noHBand="0" w:noVBand="0"/>
      </w:tblPr>
      <w:tblGrid>
        <w:gridCol w:w="2043"/>
        <w:gridCol w:w="2693"/>
        <w:gridCol w:w="4550"/>
      </w:tblGrid>
      <w:tr w:rsidR="000448D2" w:rsidRPr="00205D93">
        <w:tc>
          <w:tcPr>
            <w:tcW w:w="9286" w:type="dxa"/>
            <w:gridSpan w:val="3"/>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noProof/>
              </w:rPr>
            </w:pPr>
            <w:r w:rsidRPr="00205D93">
              <w:rPr>
                <w:rStyle w:val="CRDeleted"/>
                <w:i/>
                <w:noProof/>
              </w:rPr>
              <w:t>Fristen für die Umsetzung in innerstaatliches Recht und für die Anwendung</w:t>
            </w:r>
          </w:p>
        </w:tc>
      </w:tr>
      <w:tr w:rsidR="000448D2" w:rsidRPr="00205D93">
        <w:tc>
          <w:tcPr>
            <w:tcW w:w="9286" w:type="dxa"/>
            <w:gridSpan w:val="3"/>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noProof/>
              </w:rPr>
            </w:pPr>
            <w:r w:rsidRPr="00205D93">
              <w:rPr>
                <w:rStyle w:val="CRDeleted"/>
                <w:i/>
                <w:noProof/>
              </w:rPr>
              <w:t>(gemäß Artikel 29)</w:t>
            </w:r>
          </w:p>
        </w:tc>
      </w:tr>
      <w:tr w:rsidR="000448D2" w:rsidRPr="00205D93">
        <w:tc>
          <w:tcPr>
            <w:tcW w:w="2043"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noProof/>
              </w:rPr>
            </w:pPr>
            <w:r w:rsidRPr="00205D93">
              <w:rPr>
                <w:rStyle w:val="CRDeleted"/>
                <w:noProof/>
              </w:rPr>
              <w:t>Richtlinie</w:t>
            </w:r>
          </w:p>
        </w:tc>
        <w:tc>
          <w:tcPr>
            <w:tcW w:w="2693"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noProof/>
              </w:rPr>
            </w:pPr>
            <w:r w:rsidRPr="00205D93">
              <w:rPr>
                <w:rStyle w:val="CRDeleted"/>
                <w:noProof/>
              </w:rPr>
              <w:t>Umsetzungsfrist</w:t>
            </w:r>
          </w:p>
        </w:tc>
        <w:tc>
          <w:tcPr>
            <w:tcW w:w="4550"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noProof/>
              </w:rPr>
            </w:pPr>
            <w:r w:rsidRPr="00205D93">
              <w:rPr>
                <w:rStyle w:val="CRDeleted"/>
                <w:noProof/>
              </w:rPr>
              <w:t>Datum der Anwendung</w:t>
            </w:r>
          </w:p>
        </w:tc>
      </w:tr>
      <w:tr w:rsidR="000448D2" w:rsidRPr="00205D93">
        <w:tc>
          <w:tcPr>
            <w:tcW w:w="2043"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Left"/>
              <w:rPr>
                <w:noProof/>
              </w:rPr>
            </w:pPr>
            <w:r w:rsidRPr="00205D93">
              <w:rPr>
                <w:rStyle w:val="CRDeleted"/>
                <w:noProof/>
              </w:rPr>
              <w:t>2002/91/EG</w:t>
            </w:r>
          </w:p>
        </w:tc>
        <w:tc>
          <w:tcPr>
            <w:tcW w:w="2693"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Left"/>
              <w:rPr>
                <w:noProof/>
              </w:rPr>
            </w:pPr>
            <w:r w:rsidRPr="00205D93">
              <w:rPr>
                <w:rStyle w:val="CRDeleted"/>
                <w:noProof/>
              </w:rPr>
              <w:t>4. Januar 2006</w:t>
            </w:r>
          </w:p>
        </w:tc>
        <w:tc>
          <w:tcPr>
            <w:tcW w:w="4550"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Left"/>
              <w:rPr>
                <w:noProof/>
              </w:rPr>
            </w:pPr>
            <w:r w:rsidRPr="00205D93">
              <w:rPr>
                <w:rStyle w:val="CRDeleted"/>
                <w:noProof/>
              </w:rPr>
              <w:t>4. Januar 2009, nur Artikel 7, 8 und 9</w:t>
            </w:r>
          </w:p>
        </w:tc>
      </w:tr>
    </w:tbl>
    <w:p w:rsidR="000448D2" w:rsidRPr="00205D93" w:rsidRDefault="000448D2" w:rsidP="009916B2">
      <w:pPr>
        <w:pStyle w:val="ManualHeading1"/>
        <w:jc w:val="center"/>
        <w:rPr>
          <w:i/>
          <w:noProof/>
        </w:rPr>
      </w:pPr>
      <w:r w:rsidRPr="00205D93">
        <w:rPr>
          <w:i/>
          <w:noProof/>
        </w:rPr>
        <w:t>Teil A</w:t>
      </w:r>
    </w:p>
    <w:p w:rsidR="000448D2" w:rsidRPr="00205D93" w:rsidRDefault="000448D2" w:rsidP="009916B2">
      <w:pPr>
        <w:pStyle w:val="ManualHeading2"/>
        <w:jc w:val="center"/>
        <w:rPr>
          <w:noProof/>
        </w:rPr>
      </w:pPr>
      <w:r w:rsidRPr="00205D93">
        <w:rPr>
          <w:b w:val="0"/>
          <w:bCs/>
          <w:noProof/>
        </w:rPr>
        <w:t>Aufgehobene Richtlinie</w:t>
      </w:r>
      <w:r w:rsidRPr="00205D93">
        <w:rPr>
          <w:noProof/>
        </w:rPr>
        <w:t xml:space="preserve"> </w:t>
      </w:r>
      <w:r w:rsidRPr="00205D93">
        <w:rPr>
          <w:noProof/>
        </w:rPr>
        <w:br/>
      </w:r>
      <w:r w:rsidRPr="00205D93">
        <w:rPr>
          <w:b w:val="0"/>
          <w:bCs/>
          <w:noProof/>
        </w:rPr>
        <w:t>mit der Liste ihrer nachfolgenden Änderungen</w:t>
      </w:r>
      <w:r w:rsidRPr="00205D93">
        <w:rPr>
          <w:noProof/>
        </w:rPr>
        <w:t xml:space="preserve"> </w:t>
      </w:r>
      <w:r w:rsidRPr="00205D93">
        <w:rPr>
          <w:noProof/>
        </w:rPr>
        <w:br/>
      </w:r>
      <w:r w:rsidRPr="00205D93">
        <w:rPr>
          <w:b w:val="0"/>
          <w:noProof/>
        </w:rPr>
        <w:t>(gemäß Artikel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28"/>
      </w:tblGrid>
      <w:tr w:rsidR="000448D2" w:rsidRPr="00205D93" w:rsidTr="009567AF">
        <w:trPr>
          <w:jc w:val="center"/>
        </w:trPr>
        <w:tc>
          <w:tcPr>
            <w:tcW w:w="4659" w:type="dxa"/>
          </w:tcPr>
          <w:p w:rsidR="000448D2" w:rsidRPr="00205D93" w:rsidRDefault="000448D2" w:rsidP="009567AF">
            <w:pPr>
              <w:widowControl w:val="0"/>
              <w:tabs>
                <w:tab w:val="right" w:pos="9600"/>
              </w:tabs>
              <w:suppressAutoHyphens/>
              <w:spacing w:before="0" w:after="240"/>
              <w:ind w:left="284" w:hanging="11"/>
              <w:jc w:val="left"/>
              <w:rPr>
                <w:rFonts w:eastAsia="Times New Roman"/>
                <w:noProof/>
              </w:rPr>
            </w:pPr>
            <w:r w:rsidRPr="00205D93">
              <w:rPr>
                <w:noProof/>
              </w:rPr>
              <w:t xml:space="preserve">Richtlinie 2010/31/EU des Europäischen Parlaments und des Rates </w:t>
            </w:r>
            <w:r w:rsidRPr="00205D93">
              <w:rPr>
                <w:noProof/>
              </w:rPr>
              <w:br/>
              <w:t>(ABl. L 153 vom 18.6.2010, S. 13)</w:t>
            </w:r>
          </w:p>
        </w:tc>
        <w:tc>
          <w:tcPr>
            <w:tcW w:w="4630" w:type="dxa"/>
          </w:tcPr>
          <w:p w:rsidR="000448D2" w:rsidRPr="00205D93" w:rsidRDefault="000448D2" w:rsidP="009567AF">
            <w:pPr>
              <w:widowControl w:val="0"/>
              <w:tabs>
                <w:tab w:val="right" w:pos="9600"/>
              </w:tabs>
              <w:suppressAutoHyphens/>
              <w:spacing w:before="0" w:after="240"/>
              <w:ind w:left="176"/>
              <w:jc w:val="left"/>
              <w:rPr>
                <w:rFonts w:eastAsia="Times New Roman"/>
                <w:noProof/>
                <w:lang w:eastAsia="fr-BE"/>
              </w:rPr>
            </w:pPr>
          </w:p>
        </w:tc>
      </w:tr>
      <w:tr w:rsidR="000448D2" w:rsidRPr="00205D93" w:rsidTr="009567AF">
        <w:trPr>
          <w:jc w:val="center"/>
        </w:trPr>
        <w:tc>
          <w:tcPr>
            <w:tcW w:w="4659" w:type="dxa"/>
          </w:tcPr>
          <w:p w:rsidR="000448D2" w:rsidRPr="00205D93" w:rsidRDefault="000448D2" w:rsidP="00D906F0">
            <w:pPr>
              <w:widowControl w:val="0"/>
              <w:tabs>
                <w:tab w:val="right" w:pos="9600"/>
              </w:tabs>
              <w:suppressAutoHyphens/>
              <w:spacing w:before="0" w:after="240"/>
              <w:ind w:left="284" w:hanging="11"/>
              <w:jc w:val="left"/>
              <w:rPr>
                <w:noProof/>
              </w:rPr>
            </w:pPr>
            <w:r w:rsidRPr="00205D93">
              <w:rPr>
                <w:noProof/>
              </w:rPr>
              <w:t xml:space="preserve">Richtlinie (EU) 2018/844 des Europäischen Parlaments und des Rates </w:t>
            </w:r>
            <w:r w:rsidRPr="00205D93">
              <w:rPr>
                <w:noProof/>
              </w:rPr>
              <w:br/>
              <w:t>(ABl. L 156 vom 19.6.2018, S. 75)</w:t>
            </w:r>
          </w:p>
        </w:tc>
        <w:tc>
          <w:tcPr>
            <w:tcW w:w="4630" w:type="dxa"/>
          </w:tcPr>
          <w:p w:rsidR="000448D2" w:rsidRPr="00205D93" w:rsidRDefault="000448D2" w:rsidP="009567AF">
            <w:pPr>
              <w:widowControl w:val="0"/>
              <w:tabs>
                <w:tab w:val="right" w:pos="9600"/>
              </w:tabs>
              <w:suppressAutoHyphens/>
              <w:spacing w:before="0" w:after="240"/>
              <w:ind w:left="176" w:hanging="11"/>
              <w:jc w:val="left"/>
              <w:rPr>
                <w:rFonts w:eastAsia="Times New Roman"/>
                <w:noProof/>
              </w:rPr>
            </w:pPr>
            <w:r w:rsidRPr="00205D93">
              <w:rPr>
                <w:noProof/>
              </w:rPr>
              <w:t>nur Artikel 1</w:t>
            </w:r>
          </w:p>
        </w:tc>
      </w:tr>
      <w:tr w:rsidR="000448D2" w:rsidRPr="00205D93" w:rsidTr="009567AF">
        <w:trPr>
          <w:jc w:val="center"/>
        </w:trPr>
        <w:tc>
          <w:tcPr>
            <w:tcW w:w="4659" w:type="dxa"/>
          </w:tcPr>
          <w:p w:rsidR="000448D2" w:rsidRPr="00205D93" w:rsidRDefault="000448D2" w:rsidP="00D906F0">
            <w:pPr>
              <w:widowControl w:val="0"/>
              <w:tabs>
                <w:tab w:val="right" w:pos="9600"/>
              </w:tabs>
              <w:suppressAutoHyphens/>
              <w:spacing w:before="0" w:after="240"/>
              <w:ind w:left="284" w:hanging="11"/>
              <w:jc w:val="left"/>
              <w:rPr>
                <w:noProof/>
              </w:rPr>
            </w:pPr>
            <w:r w:rsidRPr="00205D93">
              <w:rPr>
                <w:noProof/>
              </w:rPr>
              <w:t xml:space="preserve">Verordnung (EU) 2018/1999 des Europäischen Parlaments und des Rates </w:t>
            </w:r>
            <w:r w:rsidRPr="00205D93">
              <w:rPr>
                <w:noProof/>
              </w:rPr>
              <w:br/>
              <w:t>(ABl. L 328 vom 21.12.2018, S. 1)</w:t>
            </w:r>
          </w:p>
        </w:tc>
        <w:tc>
          <w:tcPr>
            <w:tcW w:w="4630" w:type="dxa"/>
          </w:tcPr>
          <w:p w:rsidR="000448D2" w:rsidRPr="00205D93" w:rsidRDefault="000448D2" w:rsidP="009567AF">
            <w:pPr>
              <w:widowControl w:val="0"/>
              <w:tabs>
                <w:tab w:val="right" w:pos="9600"/>
              </w:tabs>
              <w:suppressAutoHyphens/>
              <w:spacing w:before="0" w:after="240"/>
              <w:ind w:left="176" w:hanging="11"/>
              <w:jc w:val="left"/>
              <w:rPr>
                <w:rFonts w:eastAsia="Times New Roman"/>
                <w:noProof/>
              </w:rPr>
            </w:pPr>
            <w:r w:rsidRPr="00205D93">
              <w:rPr>
                <w:noProof/>
              </w:rPr>
              <w:t>nur Artikel 53</w:t>
            </w:r>
          </w:p>
        </w:tc>
      </w:tr>
    </w:tbl>
    <w:p w:rsidR="000448D2" w:rsidRPr="00205D93" w:rsidRDefault="000448D2" w:rsidP="009567AF">
      <w:pPr>
        <w:widowControl w:val="0"/>
        <w:tabs>
          <w:tab w:val="right" w:pos="9600"/>
        </w:tabs>
        <w:suppressAutoHyphens/>
        <w:spacing w:before="0" w:after="240"/>
        <w:jc w:val="center"/>
        <w:outlineLvl w:val="0"/>
        <w:rPr>
          <w:rFonts w:eastAsia="Times New Roman"/>
          <w:noProof/>
          <w:lang w:eastAsia="fr-BE"/>
        </w:rPr>
      </w:pPr>
    </w:p>
    <w:p w:rsidR="000448D2" w:rsidRPr="00205D93" w:rsidRDefault="000448D2" w:rsidP="009916B2">
      <w:pPr>
        <w:pStyle w:val="ManualHeading1"/>
        <w:jc w:val="center"/>
        <w:rPr>
          <w:i/>
          <w:noProof/>
        </w:rPr>
      </w:pPr>
      <w:r w:rsidRPr="00205D93">
        <w:rPr>
          <w:i/>
          <w:noProof/>
        </w:rPr>
        <w:t>Teil B</w:t>
      </w:r>
    </w:p>
    <w:p w:rsidR="000448D2" w:rsidRPr="00205D93" w:rsidRDefault="000448D2" w:rsidP="009916B2">
      <w:pPr>
        <w:pStyle w:val="ManualHeading2"/>
        <w:jc w:val="center"/>
        <w:rPr>
          <w:b w:val="0"/>
          <w:bCs/>
          <w:noProof/>
        </w:rPr>
      </w:pPr>
      <w:r w:rsidRPr="00205D93">
        <w:rPr>
          <w:b w:val="0"/>
          <w:bCs/>
          <w:noProof/>
        </w:rPr>
        <w:t>Fristen für die Umsetzung in nationales Recht und Zeitpunkte der Anwendung</w:t>
      </w:r>
    </w:p>
    <w:p w:rsidR="000448D2" w:rsidRPr="00205D93" w:rsidRDefault="000448D2" w:rsidP="006D146E">
      <w:pPr>
        <w:pStyle w:val="ManualHeading2"/>
        <w:jc w:val="center"/>
        <w:rPr>
          <w:b w:val="0"/>
          <w:noProof/>
        </w:rPr>
      </w:pPr>
      <w:r w:rsidRPr="00205D93">
        <w:rPr>
          <w:b w:val="0"/>
          <w:noProof/>
        </w:rPr>
        <w:t>(gemäß Artikel 33)</w:t>
      </w:r>
    </w:p>
    <w:tbl>
      <w:tblPr>
        <w:tblW w:w="0" w:type="auto"/>
        <w:jc w:val="center"/>
        <w:tblBorders>
          <w:insideV w:val="single" w:sz="4" w:space="0" w:color="auto"/>
        </w:tblBorders>
        <w:tblLook w:val="01E0" w:firstRow="1" w:lastRow="1" w:firstColumn="1" w:lastColumn="1" w:noHBand="0" w:noVBand="0"/>
      </w:tblPr>
      <w:tblGrid>
        <w:gridCol w:w="3079"/>
        <w:gridCol w:w="3107"/>
        <w:gridCol w:w="3100"/>
      </w:tblGrid>
      <w:tr w:rsidR="000448D2" w:rsidRPr="00205D93" w:rsidTr="009567AF">
        <w:trPr>
          <w:jc w:val="center"/>
        </w:trPr>
        <w:tc>
          <w:tcPr>
            <w:tcW w:w="3079" w:type="dxa"/>
            <w:tcBorders>
              <w:top w:val="single" w:sz="4" w:space="0" w:color="auto"/>
              <w:left w:val="single" w:sz="4" w:space="0" w:color="auto"/>
              <w:bottom w:val="single" w:sz="4" w:space="0" w:color="auto"/>
            </w:tcBorders>
          </w:tcPr>
          <w:p w:rsidR="000448D2" w:rsidRPr="00205D93" w:rsidRDefault="000448D2" w:rsidP="009567AF">
            <w:pPr>
              <w:keepNext/>
              <w:widowControl w:val="0"/>
              <w:tabs>
                <w:tab w:val="right" w:pos="9600"/>
              </w:tabs>
              <w:suppressAutoHyphens/>
              <w:spacing w:before="0" w:after="0"/>
              <w:jc w:val="center"/>
              <w:rPr>
                <w:rFonts w:eastAsia="Times New Roman"/>
                <w:noProof/>
              </w:rPr>
            </w:pPr>
            <w:r w:rsidRPr="00205D93">
              <w:rPr>
                <w:noProof/>
              </w:rPr>
              <w:t>Richtlinie</w:t>
            </w:r>
          </w:p>
        </w:tc>
        <w:tc>
          <w:tcPr>
            <w:tcW w:w="3107" w:type="dxa"/>
            <w:tcBorders>
              <w:top w:val="single" w:sz="4" w:space="0" w:color="auto"/>
              <w:bottom w:val="single" w:sz="4" w:space="0" w:color="auto"/>
            </w:tcBorders>
          </w:tcPr>
          <w:p w:rsidR="000448D2" w:rsidRPr="00205D93" w:rsidRDefault="000448D2" w:rsidP="009567AF">
            <w:pPr>
              <w:keepNext/>
              <w:widowControl w:val="0"/>
              <w:tabs>
                <w:tab w:val="right" w:pos="9600"/>
              </w:tabs>
              <w:suppressAutoHyphens/>
              <w:spacing w:before="0" w:after="0"/>
              <w:jc w:val="center"/>
              <w:rPr>
                <w:rFonts w:eastAsia="Times New Roman"/>
                <w:noProof/>
              </w:rPr>
            </w:pPr>
            <w:r w:rsidRPr="00205D93">
              <w:rPr>
                <w:noProof/>
              </w:rPr>
              <w:t>Umsetzungsfrist</w:t>
            </w:r>
          </w:p>
        </w:tc>
        <w:tc>
          <w:tcPr>
            <w:tcW w:w="3100" w:type="dxa"/>
            <w:tcBorders>
              <w:top w:val="single" w:sz="4" w:space="0" w:color="auto"/>
              <w:bottom w:val="single" w:sz="4" w:space="0" w:color="auto"/>
              <w:right w:val="single" w:sz="4" w:space="0" w:color="auto"/>
            </w:tcBorders>
          </w:tcPr>
          <w:p w:rsidR="000448D2" w:rsidRPr="00205D93" w:rsidRDefault="000448D2" w:rsidP="009567AF">
            <w:pPr>
              <w:keepNext/>
              <w:widowControl w:val="0"/>
              <w:tabs>
                <w:tab w:val="right" w:pos="9600"/>
              </w:tabs>
              <w:suppressAutoHyphens/>
              <w:spacing w:before="0" w:after="0"/>
              <w:jc w:val="center"/>
              <w:rPr>
                <w:rFonts w:eastAsia="Times New Roman"/>
                <w:noProof/>
              </w:rPr>
            </w:pPr>
            <w:r w:rsidRPr="00205D93">
              <w:rPr>
                <w:noProof/>
              </w:rPr>
              <w:t>Zeitpunkt der Anwendung</w:t>
            </w:r>
          </w:p>
          <w:p w:rsidR="000448D2" w:rsidRPr="00205D93" w:rsidRDefault="000448D2" w:rsidP="009567AF">
            <w:pPr>
              <w:keepNext/>
              <w:widowControl w:val="0"/>
              <w:tabs>
                <w:tab w:val="right" w:pos="9600"/>
              </w:tabs>
              <w:suppressAutoHyphens/>
              <w:spacing w:before="0" w:after="0"/>
              <w:jc w:val="center"/>
              <w:rPr>
                <w:rFonts w:eastAsia="Times New Roman"/>
                <w:noProof/>
                <w:lang w:eastAsia="fr-BE"/>
              </w:rPr>
            </w:pPr>
          </w:p>
        </w:tc>
      </w:tr>
      <w:tr w:rsidR="000448D2" w:rsidRPr="00205D93" w:rsidTr="009567AF">
        <w:trPr>
          <w:jc w:val="center"/>
        </w:trPr>
        <w:tc>
          <w:tcPr>
            <w:tcW w:w="3079" w:type="dxa"/>
            <w:tcBorders>
              <w:top w:val="single" w:sz="4" w:space="0" w:color="auto"/>
              <w:left w:val="single" w:sz="4" w:space="0" w:color="auto"/>
              <w:bottom w:val="single" w:sz="4" w:space="0" w:color="auto"/>
            </w:tcBorders>
          </w:tcPr>
          <w:p w:rsidR="000448D2" w:rsidRPr="00205D93" w:rsidRDefault="000448D2" w:rsidP="009567AF">
            <w:pPr>
              <w:keepNext/>
              <w:widowControl w:val="0"/>
              <w:tabs>
                <w:tab w:val="right" w:pos="9600"/>
              </w:tabs>
              <w:suppressAutoHyphens/>
              <w:spacing w:before="0" w:after="0"/>
              <w:jc w:val="center"/>
              <w:rPr>
                <w:rFonts w:eastAsia="Times New Roman"/>
                <w:noProof/>
              </w:rPr>
            </w:pPr>
            <w:r w:rsidRPr="00205D93">
              <w:rPr>
                <w:noProof/>
              </w:rPr>
              <w:t>2010/31/EU</w:t>
            </w:r>
          </w:p>
        </w:tc>
        <w:tc>
          <w:tcPr>
            <w:tcW w:w="3107" w:type="dxa"/>
            <w:tcBorders>
              <w:top w:val="single" w:sz="4" w:space="0" w:color="auto"/>
              <w:bottom w:val="single" w:sz="4" w:space="0" w:color="auto"/>
            </w:tcBorders>
          </w:tcPr>
          <w:p w:rsidR="000448D2" w:rsidRPr="00205D93" w:rsidRDefault="000448D2" w:rsidP="009567AF">
            <w:pPr>
              <w:keepNext/>
              <w:widowControl w:val="0"/>
              <w:tabs>
                <w:tab w:val="right" w:pos="9600"/>
              </w:tabs>
              <w:suppressAutoHyphens/>
              <w:spacing w:before="0" w:after="0"/>
              <w:jc w:val="center"/>
              <w:rPr>
                <w:rFonts w:eastAsia="Times New Roman"/>
                <w:noProof/>
              </w:rPr>
            </w:pPr>
            <w:r w:rsidRPr="00205D93">
              <w:rPr>
                <w:noProof/>
              </w:rPr>
              <w:t>9. Juli 2012</w:t>
            </w:r>
          </w:p>
        </w:tc>
        <w:tc>
          <w:tcPr>
            <w:tcW w:w="3100" w:type="dxa"/>
            <w:tcBorders>
              <w:top w:val="single" w:sz="4" w:space="0" w:color="auto"/>
              <w:bottom w:val="single" w:sz="4" w:space="0" w:color="auto"/>
              <w:right w:val="single" w:sz="4" w:space="0" w:color="auto"/>
            </w:tcBorders>
          </w:tcPr>
          <w:p w:rsidR="000448D2" w:rsidRPr="00205D93" w:rsidRDefault="000448D2" w:rsidP="009567AF">
            <w:pPr>
              <w:keepNext/>
              <w:widowControl w:val="0"/>
              <w:tabs>
                <w:tab w:val="right" w:pos="9600"/>
              </w:tabs>
              <w:suppressAutoHyphens/>
              <w:spacing w:before="0" w:after="0"/>
              <w:jc w:val="center"/>
              <w:rPr>
                <w:noProof/>
                <w:shd w:val="clear" w:color="auto" w:fill="FFFFFF"/>
              </w:rPr>
            </w:pPr>
            <w:r w:rsidRPr="00205D93">
              <w:rPr>
                <w:noProof/>
                <w:shd w:val="clear" w:color="auto" w:fill="FFFFFF"/>
              </w:rPr>
              <w:t xml:space="preserve">Artikel 2, 3, 9, 11, 12, 13, 17, 18, 20 und 27 ab 9. Januar 2013; </w:t>
            </w:r>
          </w:p>
          <w:p w:rsidR="000448D2" w:rsidRPr="00205D93" w:rsidRDefault="000448D2" w:rsidP="009567AF">
            <w:pPr>
              <w:keepNext/>
              <w:widowControl w:val="0"/>
              <w:tabs>
                <w:tab w:val="right" w:pos="9600"/>
              </w:tabs>
              <w:suppressAutoHyphens/>
              <w:spacing w:before="0" w:after="0"/>
              <w:jc w:val="center"/>
              <w:rPr>
                <w:rFonts w:eastAsia="Times New Roman"/>
                <w:noProof/>
              </w:rPr>
            </w:pPr>
            <w:r w:rsidRPr="00205D93">
              <w:rPr>
                <w:noProof/>
                <w:shd w:val="clear" w:color="auto" w:fill="FFFFFF"/>
              </w:rPr>
              <w:t>Artikel 4, 5, 6, 7, 8, 14, 15 und 16 ab 9. Januar 2013 in Bezug auf Gebäude, die von Behörden genutzt werden, und ab 9. Juli 2013 in Bezug auf alle übrigen Gebäude</w:t>
            </w:r>
          </w:p>
        </w:tc>
      </w:tr>
      <w:tr w:rsidR="000448D2" w:rsidRPr="00205D93" w:rsidTr="009567AF">
        <w:trPr>
          <w:jc w:val="center"/>
        </w:trPr>
        <w:tc>
          <w:tcPr>
            <w:tcW w:w="3079" w:type="dxa"/>
            <w:tcBorders>
              <w:top w:val="single" w:sz="4" w:space="0" w:color="auto"/>
              <w:left w:val="single" w:sz="4" w:space="0" w:color="auto"/>
              <w:bottom w:val="single" w:sz="4" w:space="0" w:color="auto"/>
            </w:tcBorders>
          </w:tcPr>
          <w:p w:rsidR="000448D2" w:rsidRPr="00205D93" w:rsidRDefault="000448D2" w:rsidP="009567AF">
            <w:pPr>
              <w:keepNext/>
              <w:widowControl w:val="0"/>
              <w:tabs>
                <w:tab w:val="right" w:pos="9600"/>
              </w:tabs>
              <w:suppressAutoHyphens/>
              <w:spacing w:before="0" w:after="0"/>
              <w:jc w:val="center"/>
              <w:rPr>
                <w:noProof/>
              </w:rPr>
            </w:pPr>
            <w:r w:rsidRPr="00205D93">
              <w:rPr>
                <w:noProof/>
              </w:rPr>
              <w:t>(EU) 2018/844</w:t>
            </w:r>
          </w:p>
        </w:tc>
        <w:tc>
          <w:tcPr>
            <w:tcW w:w="3107" w:type="dxa"/>
            <w:tcBorders>
              <w:top w:val="single" w:sz="4" w:space="0" w:color="auto"/>
              <w:bottom w:val="single" w:sz="4" w:space="0" w:color="auto"/>
            </w:tcBorders>
          </w:tcPr>
          <w:p w:rsidR="000448D2" w:rsidRPr="00205D93" w:rsidRDefault="000448D2" w:rsidP="009567AF">
            <w:pPr>
              <w:keepNext/>
              <w:widowControl w:val="0"/>
              <w:tabs>
                <w:tab w:val="right" w:pos="9600"/>
              </w:tabs>
              <w:suppressAutoHyphens/>
              <w:spacing w:before="0" w:after="0"/>
              <w:jc w:val="center"/>
              <w:rPr>
                <w:rFonts w:eastAsia="Times New Roman"/>
                <w:noProof/>
              </w:rPr>
            </w:pPr>
            <w:r w:rsidRPr="00205D93">
              <w:rPr>
                <w:noProof/>
              </w:rPr>
              <w:t>10. März 2020</w:t>
            </w:r>
          </w:p>
        </w:tc>
        <w:tc>
          <w:tcPr>
            <w:tcW w:w="3100" w:type="dxa"/>
            <w:tcBorders>
              <w:top w:val="single" w:sz="4" w:space="0" w:color="auto"/>
              <w:bottom w:val="single" w:sz="4" w:space="0" w:color="auto"/>
              <w:right w:val="single" w:sz="4" w:space="0" w:color="auto"/>
            </w:tcBorders>
          </w:tcPr>
          <w:p w:rsidR="000448D2" w:rsidRPr="00205D93" w:rsidRDefault="000448D2" w:rsidP="009567AF">
            <w:pPr>
              <w:keepNext/>
              <w:widowControl w:val="0"/>
              <w:tabs>
                <w:tab w:val="right" w:pos="9600"/>
              </w:tabs>
              <w:suppressAutoHyphens/>
              <w:spacing w:before="0" w:after="0"/>
              <w:jc w:val="center"/>
              <w:rPr>
                <w:noProof/>
                <w:shd w:val="clear" w:color="auto" w:fill="FFFFFF"/>
              </w:rPr>
            </w:pPr>
          </w:p>
        </w:tc>
      </w:tr>
    </w:tbl>
    <w:p w:rsidR="000448D2" w:rsidRPr="00205D93" w:rsidRDefault="000448D2">
      <w:pPr>
        <w:rPr>
          <w:noProof/>
        </w:rPr>
      </w:pPr>
    </w:p>
    <w:p w:rsidR="000448D2" w:rsidRPr="00205D93" w:rsidRDefault="000448D2">
      <w:pPr>
        <w:adjustRightInd w:val="0"/>
        <w:spacing w:before="0" w:after="0"/>
        <w:jc w:val="left"/>
        <w:rPr>
          <w:noProof/>
        </w:rPr>
        <w:sectPr w:rsidR="000448D2" w:rsidRPr="00205D93" w:rsidSect="00816C38">
          <w:pgSz w:w="11906" w:h="16838"/>
          <w:pgMar w:top="1134" w:right="1418" w:bottom="1134" w:left="1418" w:header="709" w:footer="709" w:gutter="0"/>
          <w:pgNumType w:start="1"/>
          <w:cols w:space="709"/>
          <w:docGrid w:linePitch="326"/>
        </w:sectPr>
      </w:pPr>
    </w:p>
    <w:p w:rsidR="000448D2" w:rsidRPr="00205D93" w:rsidRDefault="000448D2" w:rsidP="009567AF">
      <w:pPr>
        <w:pStyle w:val="CRSeparator"/>
        <w:rPr>
          <w:noProof/>
        </w:rPr>
      </w:pPr>
    </w:p>
    <w:p w:rsidR="000448D2" w:rsidRPr="00205D93" w:rsidRDefault="000448D2" w:rsidP="009567AF">
      <w:pPr>
        <w:pStyle w:val="CRReference"/>
        <w:rPr>
          <w:noProof/>
        </w:rPr>
      </w:pPr>
      <w:r w:rsidRPr="00205D93">
        <w:rPr>
          <w:noProof/>
        </w:rPr>
        <w:fldChar w:fldCharType="begin"/>
      </w:r>
      <w:r w:rsidRPr="00205D93">
        <w:rPr>
          <w:noProof/>
        </w:rPr>
        <w:instrText xml:space="preserve"> QUOTE "ê" </w:instrText>
      </w:r>
      <w:r w:rsidRPr="00205D93">
        <w:rPr>
          <w:noProof/>
        </w:rPr>
        <w:fldChar w:fldCharType="separate"/>
      </w:r>
      <w:r w:rsidRPr="00205D93">
        <w:rPr>
          <w:rStyle w:val="CRMarker"/>
          <w:noProof/>
        </w:rPr>
        <w:t>ê</w:t>
      </w:r>
      <w:r w:rsidRPr="00205D93">
        <w:rPr>
          <w:noProof/>
        </w:rPr>
        <w:fldChar w:fldCharType="end"/>
      </w:r>
      <w:r w:rsidRPr="00205D93">
        <w:rPr>
          <w:noProof/>
        </w:rPr>
        <w:t> 2010/31/EU (angepasst)</w:t>
      </w:r>
    </w:p>
    <w:p w:rsidR="000448D2" w:rsidRPr="00205D93" w:rsidRDefault="000448D2" w:rsidP="00EC00AC">
      <w:pPr>
        <w:pStyle w:val="Annexetitre"/>
        <w:rPr>
          <w:noProof/>
        </w:rPr>
      </w:pPr>
      <w:r w:rsidRPr="00205D93">
        <w:rPr>
          <w:noProof/>
        </w:rPr>
        <w:t>ANHANG </w:t>
      </w:r>
      <w:r w:rsidRPr="00205D93">
        <w:rPr>
          <w:rStyle w:val="CRMinorChangeAdded"/>
          <w:noProof/>
        </w:rPr>
        <w:t>IX</w:t>
      </w:r>
      <w:r w:rsidRPr="00205D93">
        <w:rPr>
          <w:rStyle w:val="CRMinorChangeDeleted"/>
          <w:noProof/>
        </w:rPr>
        <w:t>V</w:t>
      </w:r>
    </w:p>
    <w:tbl>
      <w:tblPr>
        <w:tblW w:w="0" w:type="auto"/>
        <w:tblInd w:w="696" w:type="dxa"/>
        <w:tblLayout w:type="fixed"/>
        <w:tblLook w:val="0000" w:firstRow="0" w:lastRow="0" w:firstColumn="0" w:lastColumn="0" w:noHBand="0" w:noVBand="0"/>
      </w:tblPr>
      <w:tblGrid>
        <w:gridCol w:w="3236"/>
        <w:gridCol w:w="4657"/>
      </w:tblGrid>
      <w:tr w:rsidR="000448D2" w:rsidRPr="00205D93">
        <w:tc>
          <w:tcPr>
            <w:tcW w:w="7893" w:type="dxa"/>
            <w:gridSpan w:val="2"/>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noProof/>
              </w:rPr>
            </w:pPr>
            <w:r w:rsidRPr="00205D93">
              <w:rPr>
                <w:noProof/>
              </w:rPr>
              <w:t>Entsprechungstabelle</w:t>
            </w:r>
          </w:p>
        </w:tc>
      </w:tr>
      <w:tr w:rsidR="000448D2" w:rsidRPr="00205D93">
        <w:tc>
          <w:tcPr>
            <w:tcW w:w="3236"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noProof/>
              </w:rPr>
            </w:pPr>
            <w:r w:rsidRPr="00205D93">
              <w:rPr>
                <w:noProof/>
              </w:rPr>
              <w:t>Richtlinie </w:t>
            </w:r>
            <w:r w:rsidRPr="00205D93">
              <w:rPr>
                <w:rStyle w:val="CRDeleted"/>
                <w:noProof/>
              </w:rPr>
              <w:t>2002/91/EG</w:t>
            </w:r>
            <w:r w:rsidRPr="00205D93">
              <w:rPr>
                <w:noProof/>
              </w:rPr>
              <w:t xml:space="preserve"> </w:t>
            </w:r>
            <w:r w:rsidRPr="00205D93">
              <w:rPr>
                <w:noProof/>
              </w:rPr>
              <w:fldChar w:fldCharType="begin"/>
            </w:r>
            <w:r w:rsidRPr="00205D93">
              <w:rPr>
                <w:noProof/>
              </w:rPr>
              <w:instrText xml:space="preserve"> QUOTE "Ö" </w:instrText>
            </w:r>
            <w:r w:rsidRPr="00205D93">
              <w:rPr>
                <w:noProof/>
              </w:rPr>
              <w:fldChar w:fldCharType="separate"/>
            </w:r>
            <w:r w:rsidRPr="00205D93">
              <w:rPr>
                <w:rStyle w:val="CRMarker"/>
                <w:noProof/>
              </w:rPr>
              <w:t>Ö</w:t>
            </w:r>
            <w:r w:rsidRPr="00205D93">
              <w:rPr>
                <w:noProof/>
              </w:rPr>
              <w:fldChar w:fldCharType="end"/>
            </w:r>
            <w:r w:rsidRPr="00205D93">
              <w:rPr>
                <w:noProof/>
              </w:rPr>
              <w:t> 2010/31/EU </w:t>
            </w:r>
            <w:r w:rsidRPr="00205D93">
              <w:rPr>
                <w:noProof/>
              </w:rPr>
              <w:fldChar w:fldCharType="begin"/>
            </w:r>
            <w:r w:rsidRPr="00205D93">
              <w:rPr>
                <w:noProof/>
              </w:rPr>
              <w:instrText xml:space="preserve"> QUOTE "Õ" </w:instrText>
            </w:r>
            <w:r w:rsidRPr="00205D93">
              <w:rPr>
                <w:noProof/>
              </w:rPr>
              <w:fldChar w:fldCharType="separate"/>
            </w:r>
            <w:r w:rsidRPr="00205D93">
              <w:rPr>
                <w:rStyle w:val="CRMarker"/>
                <w:noProof/>
              </w:rPr>
              <w:t>Õ</w:t>
            </w:r>
            <w:r w:rsidRPr="00205D93">
              <w:rPr>
                <w:noProof/>
              </w:rPr>
              <w:fldChar w:fldCharType="end"/>
            </w:r>
          </w:p>
        </w:tc>
        <w:tc>
          <w:tcPr>
            <w:tcW w:w="4657" w:type="dxa"/>
            <w:tcBorders>
              <w:top w:val="single" w:sz="2" w:space="0" w:color="auto"/>
              <w:left w:val="single" w:sz="2" w:space="0" w:color="auto"/>
              <w:bottom w:val="single" w:sz="2" w:space="0" w:color="auto"/>
              <w:right w:val="single" w:sz="2" w:space="0" w:color="auto"/>
            </w:tcBorders>
          </w:tcPr>
          <w:p w:rsidR="000448D2" w:rsidRPr="00205D93" w:rsidRDefault="000448D2">
            <w:pPr>
              <w:pStyle w:val="NormalCentered"/>
              <w:rPr>
                <w:noProof/>
              </w:rPr>
            </w:pPr>
            <w:r w:rsidRPr="00205D93">
              <w:rPr>
                <w:noProof/>
              </w:rPr>
              <w:t>Vorliegende Richtlinie</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3E6881">
            <w:pPr>
              <w:pStyle w:val="NormalCentered"/>
              <w:jc w:val="left"/>
              <w:rPr>
                <w:noProof/>
              </w:rPr>
            </w:pPr>
            <w:r w:rsidRPr="00205D93">
              <w:rPr>
                <w:noProof/>
              </w:rPr>
              <w:t>Artikel 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3E6881">
            <w:pPr>
              <w:pStyle w:val="NormalCentered"/>
              <w:jc w:val="left"/>
              <w:rPr>
                <w:noProof/>
              </w:rPr>
            </w:pPr>
            <w:r w:rsidRPr="00205D93">
              <w:rPr>
                <w:noProof/>
              </w:rPr>
              <w:t>Artikel 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3E6881">
            <w:pPr>
              <w:pStyle w:val="NormalCentered"/>
              <w:jc w:val="left"/>
              <w:rPr>
                <w:noProof/>
              </w:rPr>
            </w:pPr>
            <w:r w:rsidRPr="00205D93">
              <w:rPr>
                <w:noProof/>
              </w:rPr>
              <w:t>Arti</w:t>
            </w:r>
            <w:r w:rsidR="003E6881" w:rsidRPr="00205D93">
              <w:rPr>
                <w:noProof/>
              </w:rPr>
              <w:t>kel </w:t>
            </w:r>
            <w:r w:rsidRPr="00205D93">
              <w:rPr>
                <w:noProof/>
              </w:rPr>
              <w:t>2</w:t>
            </w:r>
            <w:r w:rsidR="003E6881" w:rsidRPr="00205D93">
              <w:rPr>
                <w:noProof/>
              </w:rPr>
              <w:t xml:space="preserve"> Nummer </w:t>
            </w:r>
            <w:r w:rsidRPr="00205D93">
              <w:rPr>
                <w:noProof/>
              </w:rPr>
              <w:t>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3E6881">
            <w:pPr>
              <w:pStyle w:val="NormalCentered"/>
              <w:jc w:val="left"/>
              <w:rPr>
                <w:noProof/>
              </w:rPr>
            </w:pPr>
            <w:r w:rsidRPr="00205D93">
              <w:rPr>
                <w:noProof/>
              </w:rPr>
              <w:t>Arti</w:t>
            </w:r>
            <w:r w:rsidR="003E6881" w:rsidRPr="00205D93">
              <w:rPr>
                <w:noProof/>
              </w:rPr>
              <w:t>kel </w:t>
            </w:r>
            <w:r w:rsidRPr="00205D93">
              <w:rPr>
                <w:noProof/>
              </w:rPr>
              <w:t>2</w:t>
            </w:r>
            <w:r w:rsidR="003E6881" w:rsidRPr="00205D93">
              <w:rPr>
                <w:noProof/>
              </w:rPr>
              <w:t xml:space="preserve"> Nummer </w:t>
            </w:r>
            <w:r w:rsidRPr="00205D93">
              <w:rPr>
                <w:noProof/>
              </w:rPr>
              <w:t>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4</w:t>
            </w:r>
            <w:r w:rsidRPr="00205D93">
              <w:rPr>
                <w:noProof/>
              </w:rPr>
              <w:t xml:space="preserve"> und </w:t>
            </w:r>
            <w:r w:rsidR="007C65EF" w:rsidRPr="00205D93">
              <w:rPr>
                <w:noProof/>
              </w:rPr>
              <w:t>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3E6881">
            <w:pPr>
              <w:pStyle w:val="NormalCentered"/>
              <w:jc w:val="left"/>
              <w:rPr>
                <w:noProof/>
              </w:rPr>
            </w:pPr>
            <w:r w:rsidRPr="00205D93">
              <w:rPr>
                <w:noProof/>
              </w:rPr>
              <w:t>Arti</w:t>
            </w:r>
            <w:r w:rsidR="003E6881" w:rsidRPr="00205D93">
              <w:rPr>
                <w:noProof/>
              </w:rPr>
              <w:t>kel </w:t>
            </w:r>
            <w:r w:rsidRPr="00205D93">
              <w:rPr>
                <w:noProof/>
              </w:rPr>
              <w:t>2</w:t>
            </w:r>
            <w:r w:rsidR="003E6881" w:rsidRPr="00205D93">
              <w:rPr>
                <w:noProof/>
              </w:rPr>
              <w:t xml:space="preserve"> Nummern </w:t>
            </w:r>
            <w:r w:rsidRPr="00205D93">
              <w:rPr>
                <w:noProof/>
              </w:rPr>
              <w:t xml:space="preserve">3, 3a, 4 </w:t>
            </w:r>
            <w:r w:rsidR="003E6881" w:rsidRPr="00205D93">
              <w:rPr>
                <w:noProof/>
              </w:rPr>
              <w:t>u</w:t>
            </w:r>
            <w:r w:rsidRPr="00205D93">
              <w:rPr>
                <w:noProof/>
              </w:rPr>
              <w:t>nd 5</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6</w:t>
            </w:r>
            <w:r w:rsidRPr="00205D93">
              <w:rPr>
                <w:noProof/>
              </w:rPr>
              <w:t>,</w:t>
            </w:r>
            <w:r w:rsidR="007C65EF" w:rsidRPr="00205D93">
              <w:rPr>
                <w:noProof/>
              </w:rPr>
              <w:t xml:space="preserve"> 7, 8 </w:t>
            </w:r>
            <w:r w:rsidRPr="00205D93">
              <w:rPr>
                <w:noProof/>
              </w:rPr>
              <w:t>u</w:t>
            </w:r>
            <w:r w:rsidR="007C65EF" w:rsidRPr="00205D93">
              <w:rPr>
                <w:noProof/>
              </w:rPr>
              <w:t>nd 9</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 xml:space="preserve">10, 11 </w:t>
            </w:r>
            <w:r w:rsidRPr="00205D93">
              <w:rPr>
                <w:noProof/>
              </w:rPr>
              <w:t>u</w:t>
            </w:r>
            <w:r w:rsidR="007C65EF" w:rsidRPr="00205D93">
              <w:rPr>
                <w:noProof/>
              </w:rPr>
              <w:t>nd 12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w:t>
            </w:r>
            <w:r w:rsidR="007C65EF" w:rsidRPr="00205D93">
              <w:rPr>
                <w:noProof/>
              </w:rPr>
              <w:t>2</w:t>
            </w:r>
            <w:r w:rsidRPr="00205D93">
              <w:rPr>
                <w:noProof/>
              </w:rPr>
              <w:t xml:space="preserve"> Nummern </w:t>
            </w:r>
            <w:r w:rsidR="007C65EF" w:rsidRPr="00205D93">
              <w:rPr>
                <w:noProof/>
              </w:rPr>
              <w:t xml:space="preserve">6, 7, </w:t>
            </w:r>
            <w:r w:rsidRPr="00205D93">
              <w:rPr>
                <w:noProof/>
              </w:rPr>
              <w:t>8</w:t>
            </w:r>
            <w:r w:rsidR="007C65EF" w:rsidRPr="00205D93">
              <w:rPr>
                <w:noProof/>
              </w:rPr>
              <w:t xml:space="preserve"> </w:t>
            </w:r>
            <w:r w:rsidRPr="00205D93">
              <w:rPr>
                <w:noProof/>
              </w:rPr>
              <w:t>u</w:t>
            </w:r>
            <w:r w:rsidR="007C65EF" w:rsidRPr="00205D93">
              <w:rPr>
                <w:noProof/>
              </w:rPr>
              <w:t>nd 9</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13,</w:t>
            </w:r>
            <w:r w:rsidRPr="00205D93">
              <w:rPr>
                <w:noProof/>
              </w:rPr>
              <w:t xml:space="preserve"> </w:t>
            </w:r>
            <w:r w:rsidR="007C65EF" w:rsidRPr="00205D93">
              <w:rPr>
                <w:noProof/>
              </w:rPr>
              <w:t>14,</w:t>
            </w:r>
            <w:r w:rsidRPr="00205D93">
              <w:rPr>
                <w:noProof/>
              </w:rPr>
              <w:t xml:space="preserve"> </w:t>
            </w:r>
            <w:r w:rsidR="007C65EF" w:rsidRPr="00205D93">
              <w:rPr>
                <w:noProof/>
              </w:rPr>
              <w:t xml:space="preserve">15 </w:t>
            </w:r>
            <w:r w:rsidRPr="00205D93">
              <w:rPr>
                <w:noProof/>
              </w:rPr>
              <w:t>u</w:t>
            </w:r>
            <w:r w:rsidR="007C65EF" w:rsidRPr="00205D93">
              <w:rPr>
                <w:noProof/>
              </w:rPr>
              <w:t>nd 16</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 xml:space="preserve">17, 18, 19 </w:t>
            </w:r>
            <w:r w:rsidRPr="00205D93">
              <w:rPr>
                <w:noProof/>
              </w:rPr>
              <w:t>u</w:t>
            </w:r>
            <w:r w:rsidR="007C65EF" w:rsidRPr="00205D93">
              <w:rPr>
                <w:noProof/>
              </w:rPr>
              <w:t>nd 20</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10</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3E6881">
            <w:pPr>
              <w:pStyle w:val="NormalCentered"/>
              <w:jc w:val="left"/>
              <w:rPr>
                <w:noProof/>
              </w:rPr>
            </w:pPr>
            <w:r w:rsidRPr="00205D93">
              <w:rPr>
                <w:noProof/>
              </w:rPr>
              <w:t>Arti</w:t>
            </w:r>
            <w:r w:rsidR="003E6881" w:rsidRPr="00205D93">
              <w:rPr>
                <w:noProof/>
              </w:rPr>
              <w:t>kel </w:t>
            </w:r>
            <w:r w:rsidRPr="00205D93">
              <w:rPr>
                <w:noProof/>
              </w:rPr>
              <w:t>2</w:t>
            </w:r>
            <w:r w:rsidR="003E6881" w:rsidRPr="00205D93">
              <w:rPr>
                <w:noProof/>
              </w:rPr>
              <w:t xml:space="preserve"> Nummer </w:t>
            </w:r>
            <w:r w:rsidRPr="00205D93">
              <w:rPr>
                <w:noProof/>
              </w:rPr>
              <w:t>21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 xml:space="preserve">22, 23, 24, 25, 26 </w:t>
            </w:r>
            <w:r w:rsidRPr="00205D93">
              <w:rPr>
                <w:noProof/>
              </w:rPr>
              <w:t>u</w:t>
            </w:r>
            <w:r w:rsidR="007C65EF" w:rsidRPr="00205D93">
              <w:rPr>
                <w:noProof/>
              </w:rPr>
              <w:t>nd 27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 xml:space="preserve">11, 12, 13 </w:t>
            </w:r>
            <w:r w:rsidRPr="00205D93">
              <w:rPr>
                <w:noProof/>
              </w:rPr>
              <w:t>u</w:t>
            </w:r>
            <w:r w:rsidR="007C65EF" w:rsidRPr="00205D93">
              <w:rPr>
                <w:noProof/>
              </w:rPr>
              <w:t>nd 14</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 xml:space="preserve">28, 29, 30 </w:t>
            </w:r>
            <w:r w:rsidRPr="00205D93">
              <w:rPr>
                <w:noProof/>
              </w:rPr>
              <w:t>u</w:t>
            </w:r>
            <w:r w:rsidR="007C65EF" w:rsidRPr="00205D93">
              <w:rPr>
                <w:noProof/>
              </w:rPr>
              <w:t>nd 31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 xml:space="preserve">32, 33, 34, 35, 36 </w:t>
            </w:r>
            <w:r w:rsidRPr="00205D93">
              <w:rPr>
                <w:noProof/>
              </w:rPr>
              <w:t>u</w:t>
            </w:r>
            <w:r w:rsidR="007C65EF" w:rsidRPr="00205D93">
              <w:rPr>
                <w:noProof/>
              </w:rPr>
              <w:t>nd 37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15</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37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3E6881">
            <w:pPr>
              <w:pStyle w:val="NormalCentered"/>
              <w:jc w:val="left"/>
              <w:rPr>
                <w:noProof/>
              </w:rPr>
            </w:pPr>
            <w:r w:rsidRPr="00205D93">
              <w:rPr>
                <w:noProof/>
              </w:rPr>
              <w:t>Arti</w:t>
            </w:r>
            <w:r w:rsidR="003E6881" w:rsidRPr="00205D93">
              <w:rPr>
                <w:noProof/>
              </w:rPr>
              <w:t>kel </w:t>
            </w:r>
            <w:r w:rsidRPr="00205D93">
              <w:rPr>
                <w:noProof/>
              </w:rPr>
              <w:t>2</w:t>
            </w:r>
            <w:r w:rsidR="003E6881" w:rsidRPr="00205D93">
              <w:rPr>
                <w:noProof/>
              </w:rPr>
              <w:t xml:space="preserve"> Nummern </w:t>
            </w:r>
            <w:r w:rsidRPr="00205D93">
              <w:rPr>
                <w:noProof/>
              </w:rPr>
              <w:t xml:space="preserve">15, 15a, 15b, 15c, 16 </w:t>
            </w:r>
            <w:r w:rsidR="003E6881" w:rsidRPr="00205D93">
              <w:rPr>
                <w:noProof/>
              </w:rPr>
              <w:t>u</w:t>
            </w:r>
            <w:r w:rsidRPr="00205D93">
              <w:rPr>
                <w:noProof/>
              </w:rPr>
              <w:t>nd 17</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 xml:space="preserve">38, 39, 40, 41, 42 </w:t>
            </w:r>
            <w:r w:rsidRPr="00205D93">
              <w:rPr>
                <w:noProof/>
              </w:rPr>
              <w:t>u</w:t>
            </w:r>
            <w:r w:rsidR="007C65EF" w:rsidRPr="00205D93">
              <w:rPr>
                <w:noProof/>
              </w:rPr>
              <w:t>nd 43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18</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19</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44</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Nummern </w:t>
            </w:r>
            <w:r w:rsidR="007C65EF" w:rsidRPr="00205D93">
              <w:rPr>
                <w:noProof/>
              </w:rPr>
              <w:t xml:space="preserve">45, 46, 47, 48, 49, 50, 51, 52, 53, 54, 55, 56 </w:t>
            </w:r>
            <w:r w:rsidRPr="00205D93">
              <w:rPr>
                <w:noProof/>
              </w:rPr>
              <w:t>u</w:t>
            </w:r>
            <w:r w:rsidR="007C65EF" w:rsidRPr="00205D93">
              <w:rPr>
                <w:noProof/>
              </w:rPr>
              <w:t>nd 57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 Nummer </w:t>
            </w:r>
            <w:r w:rsidR="007C65EF" w:rsidRPr="00205D93">
              <w:rPr>
                <w:noProof/>
              </w:rPr>
              <w:t>20</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noProof/>
              </w:rPr>
              <w:t>—</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w:t>
            </w:r>
            <w:r w:rsidR="007C65EF" w:rsidRPr="00205D93">
              <w:rPr>
                <w:noProof/>
              </w:rPr>
              <w:t>2a</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w:t>
            </w:r>
            <w:r w:rsidR="007C65EF" w:rsidRPr="00205D93">
              <w:rPr>
                <w:noProof/>
              </w:rPr>
              <w:t>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4</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4</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855591">
            <w:pPr>
              <w:pStyle w:val="NormalCentered"/>
              <w:jc w:val="left"/>
              <w:rPr>
                <w:noProof/>
              </w:rPr>
            </w:pPr>
            <w:r w:rsidRPr="00205D93">
              <w:rPr>
                <w:noProof/>
              </w:rPr>
              <w:t>Arti</w:t>
            </w:r>
            <w:r w:rsidR="00855591" w:rsidRPr="00205D93">
              <w:rPr>
                <w:noProof/>
              </w:rPr>
              <w:t>kel </w:t>
            </w:r>
            <w:r w:rsidRPr="00205D93">
              <w:rPr>
                <w:noProof/>
              </w:rPr>
              <w:t>5</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6</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855591">
            <w:pPr>
              <w:pStyle w:val="NormalCentered"/>
              <w:jc w:val="left"/>
              <w:rPr>
                <w:noProof/>
              </w:rPr>
            </w:pPr>
            <w:r w:rsidRPr="00205D93">
              <w:rPr>
                <w:noProof/>
              </w:rPr>
              <w:t>Arti</w:t>
            </w:r>
            <w:r w:rsidR="00855591" w:rsidRPr="00205D93">
              <w:rPr>
                <w:noProof/>
              </w:rPr>
              <w:t>kel </w:t>
            </w:r>
            <w:r w:rsidRPr="00205D93">
              <w:rPr>
                <w:noProof/>
              </w:rPr>
              <w:t xml:space="preserve">6 </w:t>
            </w:r>
            <w:r w:rsidR="00855591" w:rsidRPr="00205D93">
              <w:rPr>
                <w:noProof/>
              </w:rPr>
              <w:t>u</w:t>
            </w:r>
            <w:r w:rsidRPr="00205D93">
              <w:rPr>
                <w:noProof/>
              </w:rPr>
              <w:t>nd 9</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7</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8</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9</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10</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855591">
            <w:pPr>
              <w:pStyle w:val="NormalCentered"/>
              <w:jc w:val="left"/>
              <w:rPr>
                <w:noProof/>
              </w:rPr>
            </w:pPr>
            <w:r w:rsidRPr="00205D93">
              <w:rPr>
                <w:noProof/>
              </w:rPr>
              <w:t>Arti</w:t>
            </w:r>
            <w:r w:rsidR="00855591" w:rsidRPr="00205D93">
              <w:rPr>
                <w:noProof/>
              </w:rPr>
              <w:t>kel </w:t>
            </w:r>
            <w:r w:rsidRPr="00205D93">
              <w:rPr>
                <w:noProof/>
              </w:rPr>
              <w:t>8</w:t>
            </w:r>
            <w:r w:rsidR="00855591" w:rsidRPr="00205D93">
              <w:rPr>
                <w:noProof/>
              </w:rPr>
              <w:t xml:space="preserve"> Absätze </w:t>
            </w:r>
            <w:r w:rsidRPr="00205D93">
              <w:rPr>
                <w:noProof/>
              </w:rPr>
              <w:t>1</w:t>
            </w:r>
            <w:r w:rsidR="00855591" w:rsidRPr="00205D93">
              <w:rPr>
                <w:noProof/>
              </w:rPr>
              <w:t xml:space="preserve"> und </w:t>
            </w:r>
            <w:r w:rsidRPr="00205D93">
              <w:rPr>
                <w:noProof/>
              </w:rPr>
              <w:t>9</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855591">
            <w:pPr>
              <w:pStyle w:val="NormalCentered"/>
              <w:jc w:val="left"/>
              <w:rPr>
                <w:noProof/>
              </w:rPr>
            </w:pPr>
            <w:r w:rsidRPr="00205D93">
              <w:rPr>
                <w:noProof/>
              </w:rPr>
              <w:t>Arti</w:t>
            </w:r>
            <w:r w:rsidR="00855591" w:rsidRPr="00205D93">
              <w:rPr>
                <w:noProof/>
              </w:rPr>
              <w:t>kel </w:t>
            </w:r>
            <w:r w:rsidRPr="00205D93">
              <w:rPr>
                <w:noProof/>
              </w:rPr>
              <w:t>8</w:t>
            </w:r>
            <w:r w:rsidR="00855591" w:rsidRPr="00205D93">
              <w:rPr>
                <w:noProof/>
              </w:rPr>
              <w:t xml:space="preserve"> Absätze </w:t>
            </w:r>
            <w:r w:rsidRPr="00205D93">
              <w:rPr>
                <w:noProof/>
              </w:rPr>
              <w:t>2</w:t>
            </w:r>
            <w:r w:rsidR="00855591" w:rsidRPr="00205D93">
              <w:rPr>
                <w:noProof/>
              </w:rPr>
              <w:t xml:space="preserve"> bis </w:t>
            </w:r>
            <w:r w:rsidRPr="00205D93">
              <w:rPr>
                <w:noProof/>
              </w:rPr>
              <w:t>8</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855591" w:rsidP="00855591">
            <w:pPr>
              <w:pStyle w:val="NormalCentered"/>
              <w:jc w:val="left"/>
              <w:rPr>
                <w:noProof/>
              </w:rPr>
            </w:pPr>
            <w:r w:rsidRPr="00205D93">
              <w:rPr>
                <w:noProof/>
              </w:rPr>
              <w:t>Artikel </w:t>
            </w:r>
            <w:r w:rsidR="007C65EF" w:rsidRPr="00205D93">
              <w:rPr>
                <w:noProof/>
              </w:rPr>
              <w:t>8</w:t>
            </w:r>
            <w:r w:rsidRPr="00205D93">
              <w:rPr>
                <w:noProof/>
              </w:rPr>
              <w:t xml:space="preserve"> Absätze </w:t>
            </w:r>
            <w:r w:rsidR="007C65EF" w:rsidRPr="00205D93">
              <w:rPr>
                <w:noProof/>
              </w:rPr>
              <w:t>10</w:t>
            </w:r>
            <w:r w:rsidRPr="00205D93">
              <w:rPr>
                <w:noProof/>
              </w:rPr>
              <w:t xml:space="preserve"> und </w:t>
            </w:r>
            <w:r w:rsidR="007C65EF" w:rsidRPr="00205D93">
              <w:rPr>
                <w:noProof/>
              </w:rPr>
              <w:t>11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14</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10</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16</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18</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19</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w:t>
            </w:r>
            <w:r w:rsidR="007C65EF" w:rsidRPr="00205D93">
              <w:rPr>
                <w:noProof/>
              </w:rPr>
              <w:t xml:space="preserve">14 </w:t>
            </w:r>
            <w:r w:rsidRPr="00205D93">
              <w:rPr>
                <w:noProof/>
              </w:rPr>
              <w:t>u</w:t>
            </w:r>
            <w:r w:rsidR="007C65EF" w:rsidRPr="00205D93">
              <w:rPr>
                <w:noProof/>
              </w:rPr>
              <w:t>nd 15</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20</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16</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17</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18</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24</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19</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19a</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noProof/>
              </w:rPr>
              <w:t>—</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3E6881">
            <w:pPr>
              <w:pStyle w:val="NormalCentered"/>
              <w:jc w:val="left"/>
              <w:rPr>
                <w:noProof/>
              </w:rPr>
            </w:pPr>
            <w:r w:rsidRPr="00205D93">
              <w:rPr>
                <w:noProof/>
              </w:rPr>
              <w:t>Artikel 2</w:t>
            </w:r>
            <w:r w:rsidR="007C65EF" w:rsidRPr="00205D93">
              <w:rPr>
                <w:noProof/>
              </w:rPr>
              <w:t>0</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26</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28</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29</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26</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30</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27</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28</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29</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30</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34</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3E6881" w:rsidP="007C65EF">
            <w:pPr>
              <w:pStyle w:val="NormalCentered"/>
              <w:jc w:val="left"/>
              <w:rPr>
                <w:noProof/>
              </w:rPr>
            </w:pPr>
            <w:r w:rsidRPr="00205D93">
              <w:rPr>
                <w:noProof/>
              </w:rPr>
              <w:t>Artikel </w:t>
            </w:r>
            <w:r w:rsidR="007C65EF" w:rsidRPr="00205D93">
              <w:rPr>
                <w:noProof/>
              </w:rPr>
              <w:t>35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III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IA</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IV</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Centered"/>
              <w:jc w:val="left"/>
              <w:rPr>
                <w:noProof/>
              </w:rPr>
            </w:pPr>
            <w:r w:rsidRPr="00205D93">
              <w:rPr>
                <w:rStyle w:val="CRDeleted"/>
                <w:noProof/>
                <w:lang w:eastAsia="en-GB"/>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V</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II</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VI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III</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VII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IV</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VIII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V</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855591" w:rsidP="007C65EF">
            <w:pPr>
              <w:pStyle w:val="NormalCentered"/>
              <w:jc w:val="left"/>
              <w:rPr>
                <w:noProof/>
              </w:rPr>
            </w:pPr>
            <w:r w:rsidRPr="00205D93">
              <w:rPr>
                <w:noProof/>
              </w:rPr>
              <w:t>Anhang </w:t>
            </w:r>
            <w:r w:rsidR="007C65EF" w:rsidRPr="00205D93">
              <w:rPr>
                <w:noProof/>
              </w:rPr>
              <w:t>IX</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Nummern 2 und 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4 und Anhang 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Nummern 5, 6, 7, 8, 9, 10 und 11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4</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14</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5</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6</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16</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7</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8</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18</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 Nummer 19</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3 und Anhang 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4 Absatz 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4 Absatz 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4 Absatz 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4 Absatz 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4 Absatz 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5</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6 Absatz 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6 Absätze 2 und 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6</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8, 9 und 10</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7 Absatz 1 Unterabsatz 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11 Absatz 8 und Artikel 12 Absatz 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7 Absatz 1 Unterabsatz 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11 Absatz 6</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7 Absatz 1 Unterabsatz 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12 Absatz 6</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7 Absatz 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11 Absätze 1 und 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11 Absätze 3, 4, 5, 7 und 9</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12 Absätze 1, 3, 4, 5 und 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7 Absatz 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13 Absätze 1und 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13 Absatz 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8 Buchstabe a</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14 Absätze 1 und 3</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14 Absatz 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8 Buchstabe b</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14 Absatz 4</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14 Absatz 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9</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15 Absatz 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15 Absätze 2, 3, 4 und 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16</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10</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18</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11 Einleitung</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19</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11 Buchstaben a und b</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20 Absatz 1 und Artikel 20 Absatz 2 Unterabsatz 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20 Absatz 2 Unterabsatz 1 und Artikel 20 Absätze 3 und 4</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23, 24 und 25</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14 Absatz 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26 Absatz 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14 Absätze 2 und 3</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26 Absatz 2</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27</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15 Absatz 1</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28</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15 Absatz 2</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29</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16</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30</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17</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Artikel 31</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Anhang</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Anhang I</w:t>
            </w:r>
          </w:p>
        </w:tc>
      </w:tr>
      <w:tr w:rsidR="007C65EF" w:rsidRPr="00205D93">
        <w:tc>
          <w:tcPr>
            <w:tcW w:w="3236"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w:t>
            </w:r>
          </w:p>
        </w:tc>
        <w:tc>
          <w:tcPr>
            <w:tcW w:w="4657" w:type="dxa"/>
            <w:tcBorders>
              <w:top w:val="single" w:sz="2" w:space="0" w:color="auto"/>
              <w:left w:val="single" w:sz="2" w:space="0" w:color="auto"/>
              <w:bottom w:val="single" w:sz="2" w:space="0" w:color="auto"/>
              <w:right w:val="single" w:sz="2" w:space="0" w:color="auto"/>
            </w:tcBorders>
          </w:tcPr>
          <w:p w:rsidR="007C65EF" w:rsidRPr="00205D93" w:rsidRDefault="007C65EF" w:rsidP="007C65EF">
            <w:pPr>
              <w:pStyle w:val="NormalLeft"/>
              <w:rPr>
                <w:noProof/>
              </w:rPr>
            </w:pPr>
            <w:r w:rsidRPr="00205D93">
              <w:rPr>
                <w:rStyle w:val="CRDeleted"/>
                <w:noProof/>
              </w:rPr>
              <w:t>Anhänge II bis V</w:t>
            </w:r>
          </w:p>
        </w:tc>
      </w:tr>
    </w:tbl>
    <w:p w:rsidR="00160333" w:rsidRPr="00205D93" w:rsidRDefault="00160333" w:rsidP="000448D2">
      <w:pPr>
        <w:rPr>
          <w:noProof/>
        </w:rPr>
      </w:pPr>
    </w:p>
    <w:sectPr w:rsidR="00160333" w:rsidRPr="00205D93" w:rsidSect="00816C38">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7E" w:rsidRDefault="00CC077E" w:rsidP="00160333">
      <w:pPr>
        <w:spacing w:before="0" w:after="0"/>
      </w:pPr>
      <w:r>
        <w:separator/>
      </w:r>
    </w:p>
  </w:endnote>
  <w:endnote w:type="continuationSeparator" w:id="0">
    <w:p w:rsidR="00CC077E" w:rsidRDefault="00CC077E" w:rsidP="001603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Times New Roman"/>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tka Banner">
    <w:panose1 w:val="02000505000000020004"/>
    <w:charset w:val="00"/>
    <w:family w:val="auto"/>
    <w:pitch w:val="variable"/>
    <w:sig w:usb0="A00002EF" w:usb1="4000204B" w:usb2="00000000" w:usb3="00000000" w:csb0="0000019F" w:csb1="00000000"/>
  </w:font>
  <w:font w:name="EC Square Sans Cond Pro">
    <w:altName w:val="Bahnschrift Light"/>
    <w:charset w:val="00"/>
    <w:family w:val="swiss"/>
    <w:pitch w:val="variable"/>
    <w:sig w:usb0="00000001" w:usb1="500000D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EC Square Sans Pro">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7E" w:rsidRPr="00816C38" w:rsidRDefault="00816C38" w:rsidP="00816C38">
    <w:pPr>
      <w:pStyle w:val="Footer"/>
      <w:rPr>
        <w:rFonts w:ascii="Arial" w:hAnsi="Arial" w:cs="Arial"/>
        <w:b/>
        <w:sz w:val="48"/>
      </w:rPr>
    </w:pPr>
    <w:r w:rsidRPr="00816C38">
      <w:rPr>
        <w:rFonts w:ascii="Arial" w:hAnsi="Arial" w:cs="Arial"/>
        <w:b/>
        <w:sz w:val="48"/>
      </w:rPr>
      <w:t>DE</w:t>
    </w:r>
    <w:r w:rsidRPr="00816C38">
      <w:rPr>
        <w:rFonts w:ascii="Arial" w:hAnsi="Arial" w:cs="Arial"/>
        <w:b/>
        <w:sz w:val="48"/>
      </w:rPr>
      <w:tab/>
    </w:r>
    <w:r w:rsidRPr="00816C38">
      <w:rPr>
        <w:rFonts w:ascii="Arial" w:hAnsi="Arial" w:cs="Arial"/>
        <w:b/>
        <w:sz w:val="48"/>
      </w:rPr>
      <w:tab/>
    </w:r>
    <w:r w:rsidRPr="00816C38">
      <w:tab/>
    </w:r>
    <w:r w:rsidRPr="00816C3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Footer"/>
      <w:rPr>
        <w:rFonts w:ascii="Arial" w:hAnsi="Arial" w:cs="Arial"/>
        <w:b/>
        <w:sz w:val="48"/>
      </w:rPr>
    </w:pPr>
    <w:r w:rsidRPr="00816C38">
      <w:rPr>
        <w:rFonts w:ascii="Arial" w:hAnsi="Arial" w:cs="Arial"/>
        <w:b/>
        <w:sz w:val="48"/>
      </w:rPr>
      <w:t>DE</w:t>
    </w:r>
    <w:r w:rsidRPr="00816C3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16C38">
      <w:tab/>
    </w:r>
    <w:r w:rsidRPr="00816C38">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FooterLandscape"/>
      <w:rPr>
        <w:rFonts w:ascii="Arial" w:hAnsi="Arial" w:cs="Arial"/>
        <w:b/>
        <w:sz w:val="48"/>
      </w:rPr>
    </w:pPr>
    <w:r w:rsidRPr="00816C38">
      <w:rPr>
        <w:rFonts w:ascii="Arial" w:hAnsi="Arial" w:cs="Arial"/>
        <w:b/>
        <w:sz w:val="48"/>
      </w:rPr>
      <w:t>DE</w:t>
    </w:r>
    <w:r w:rsidRPr="00816C3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16C38">
      <w:tab/>
    </w:r>
    <w:r w:rsidRPr="00816C38">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7E" w:rsidRPr="00816C38" w:rsidRDefault="00816C38" w:rsidP="00816C38">
    <w:pPr>
      <w:pStyle w:val="Footer"/>
      <w:rPr>
        <w:rFonts w:ascii="Arial" w:hAnsi="Arial" w:cs="Arial"/>
        <w:b/>
        <w:sz w:val="48"/>
      </w:rPr>
    </w:pPr>
    <w:r w:rsidRPr="00816C38">
      <w:rPr>
        <w:rFonts w:ascii="Arial" w:hAnsi="Arial" w:cs="Arial"/>
        <w:b/>
        <w:sz w:val="48"/>
      </w:rPr>
      <w:t>DE</w:t>
    </w:r>
    <w:r w:rsidRPr="00816C3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16C38">
      <w:tab/>
    </w:r>
    <w:r w:rsidRPr="00816C38">
      <w:rPr>
        <w:rFonts w:ascii="Arial" w:hAnsi="Arial" w:cs="Arial"/>
        <w:b/>
        <w:sz w:val="48"/>
      </w:rPr>
      <w:t>DE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7E" w:rsidRDefault="00CC077E" w:rsidP="00160333">
      <w:pPr>
        <w:spacing w:before="0" w:after="0"/>
      </w:pPr>
      <w:r>
        <w:separator/>
      </w:r>
    </w:p>
  </w:footnote>
  <w:footnote w:type="continuationSeparator" w:id="0">
    <w:p w:rsidR="00CC077E" w:rsidRDefault="00CC077E" w:rsidP="00160333">
      <w:pPr>
        <w:spacing w:before="0" w:after="0"/>
      </w:pPr>
      <w:r>
        <w:continuationSeparator/>
      </w:r>
    </w:p>
  </w:footnote>
  <w:footnote w:id="1">
    <w:p w:rsidR="00CC077E" w:rsidRDefault="00CC077E">
      <w:pPr>
        <w:pStyle w:val="FootnoteText"/>
      </w:pPr>
      <w:r>
        <w:rPr>
          <w:rStyle w:val="FootnoteReference0"/>
          <w:highlight w:val="lightGray"/>
        </w:rPr>
        <w:footnoteRef/>
      </w:r>
      <w:r>
        <w:tab/>
      </w:r>
      <w:r>
        <w:rPr>
          <w:sz w:val="22"/>
          <w:szCs w:val="22"/>
          <w:highlight w:val="lightGray"/>
        </w:rPr>
        <w:t>Mediterrane Klimazone: CY, HR, IT, EL, MT, ES, PT, Maritime Klimazone: BE, DK, IE, DE, FR, LU, NL, Kontinentale Klimazone: AT, BG, CZ, HU, PL, RO, SL, SK, Nördliche Klimazone: EE, FI, LV, LT, SE.</w:t>
      </w:r>
    </w:p>
  </w:footnote>
  <w:footnote w:id="2">
    <w:p w:rsidR="00CC077E" w:rsidRDefault="00CC077E">
      <w:pPr>
        <w:pStyle w:val="FootnoteText"/>
      </w:pPr>
      <w:r>
        <w:rPr>
          <w:rStyle w:val="FootnoteReference0"/>
          <w:lang w:val="en-US"/>
        </w:rPr>
        <w:footnoteRef/>
      </w:r>
      <w:r>
        <w:tab/>
        <w:t>Richtlinie 2014/61/EU des Europäischen Parlaments und des Rates vom 15. Mai 2014 über Maßnahmen zur Reduzierung der Kosten des Ausbaus von Hochgeschwindigkeitsnetzen für die elektronische Kommunikation (ABl. L 155 vom 23.5.2014,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7E" w:rsidRPr="00EF399C" w:rsidRDefault="00CC077E" w:rsidP="00816C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38" w:rsidRPr="00816C38" w:rsidRDefault="00816C38" w:rsidP="00816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842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E893F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C64B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22EB6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647B9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5AEC6F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F3A4D"/>
    <w:multiLevelType w:val="hybridMultilevel"/>
    <w:tmpl w:val="FF54D748"/>
    <w:lvl w:ilvl="0" w:tplc="A0EE43A2">
      <w:start w:val="1"/>
      <w:numFmt w:val="bullet"/>
      <w:pStyle w:val="JRCTextbulletedlist1"/>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262BC8"/>
    <w:multiLevelType w:val="hybridMultilevel"/>
    <w:tmpl w:val="51FECC92"/>
    <w:styleLink w:val="StyleNumberedLeft025Hanging025"/>
    <w:lvl w:ilvl="0" w:tplc="BD68BB48">
      <w:start w:val="1"/>
      <w:numFmt w:val="decimal"/>
      <w:lvlText w:val="%1."/>
      <w:lvlJc w:val="left"/>
      <w:pPr>
        <w:tabs>
          <w:tab w:val="num" w:pos="936"/>
        </w:tabs>
        <w:ind w:left="936" w:hanging="360"/>
      </w:pPr>
      <w:rPr>
        <w:rFonts w:ascii="Palatino Linotype" w:hAnsi="Palatino Linotype" w:hint="default"/>
      </w:rPr>
    </w:lvl>
    <w:lvl w:ilvl="1" w:tplc="4160673A">
      <w:start w:val="1"/>
      <w:numFmt w:val="lowerLetter"/>
      <w:lvlText w:val="%2."/>
      <w:lvlJc w:val="left"/>
      <w:pPr>
        <w:tabs>
          <w:tab w:val="num" w:pos="1440"/>
        </w:tabs>
        <w:ind w:left="1440" w:hanging="360"/>
      </w:pPr>
      <w:rPr>
        <w:rFonts w:hint="default"/>
      </w:rPr>
    </w:lvl>
    <w:lvl w:ilvl="2" w:tplc="9A867AFA">
      <w:start w:val="1"/>
      <w:numFmt w:val="lowerRoman"/>
      <w:lvlText w:val="%3."/>
      <w:lvlJc w:val="right"/>
      <w:pPr>
        <w:tabs>
          <w:tab w:val="num" w:pos="2160"/>
        </w:tabs>
        <w:ind w:left="2160" w:hanging="180"/>
      </w:pPr>
      <w:rPr>
        <w:rFonts w:hint="default"/>
      </w:rPr>
    </w:lvl>
    <w:lvl w:ilvl="3" w:tplc="43AA3A16">
      <w:start w:val="1"/>
      <w:numFmt w:val="decimal"/>
      <w:lvlText w:val="%4."/>
      <w:lvlJc w:val="left"/>
      <w:pPr>
        <w:tabs>
          <w:tab w:val="num" w:pos="2880"/>
        </w:tabs>
        <w:ind w:left="2880" w:hanging="360"/>
      </w:pPr>
      <w:rPr>
        <w:rFonts w:hint="default"/>
      </w:rPr>
    </w:lvl>
    <w:lvl w:ilvl="4" w:tplc="AB508ADE">
      <w:start w:val="1"/>
      <w:numFmt w:val="lowerLetter"/>
      <w:lvlText w:val="%5."/>
      <w:lvlJc w:val="left"/>
      <w:pPr>
        <w:tabs>
          <w:tab w:val="num" w:pos="3600"/>
        </w:tabs>
        <w:ind w:left="3600" w:hanging="360"/>
      </w:pPr>
      <w:rPr>
        <w:rFonts w:hint="default"/>
      </w:rPr>
    </w:lvl>
    <w:lvl w:ilvl="5" w:tplc="00CC0884">
      <w:start w:val="1"/>
      <w:numFmt w:val="lowerRoman"/>
      <w:lvlText w:val="%6."/>
      <w:lvlJc w:val="right"/>
      <w:pPr>
        <w:tabs>
          <w:tab w:val="num" w:pos="4320"/>
        </w:tabs>
        <w:ind w:left="4320" w:hanging="180"/>
      </w:pPr>
      <w:rPr>
        <w:rFonts w:hint="default"/>
      </w:rPr>
    </w:lvl>
    <w:lvl w:ilvl="6" w:tplc="083669A8">
      <w:start w:val="1"/>
      <w:numFmt w:val="decimal"/>
      <w:lvlText w:val="%7."/>
      <w:lvlJc w:val="left"/>
      <w:pPr>
        <w:tabs>
          <w:tab w:val="num" w:pos="5040"/>
        </w:tabs>
        <w:ind w:left="5040" w:hanging="360"/>
      </w:pPr>
      <w:rPr>
        <w:rFonts w:hint="default"/>
      </w:rPr>
    </w:lvl>
    <w:lvl w:ilvl="7" w:tplc="B42C785E">
      <w:start w:val="1"/>
      <w:numFmt w:val="lowerLetter"/>
      <w:lvlText w:val="%8."/>
      <w:lvlJc w:val="left"/>
      <w:pPr>
        <w:tabs>
          <w:tab w:val="num" w:pos="5760"/>
        </w:tabs>
        <w:ind w:left="5760" w:hanging="360"/>
      </w:pPr>
      <w:rPr>
        <w:rFonts w:hint="default"/>
      </w:rPr>
    </w:lvl>
    <w:lvl w:ilvl="8" w:tplc="4AEEE40A">
      <w:start w:val="1"/>
      <w:numFmt w:val="lowerRoman"/>
      <w:lvlText w:val="%9."/>
      <w:lvlJc w:val="right"/>
      <w:pPr>
        <w:tabs>
          <w:tab w:val="num" w:pos="6480"/>
        </w:tabs>
        <w:ind w:left="6480" w:hanging="180"/>
      </w:pPr>
      <w:rPr>
        <w:rFonts w:hint="default"/>
      </w:rPr>
    </w:lvl>
  </w:abstractNum>
  <w:abstractNum w:abstractNumId="1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9E1170"/>
    <w:multiLevelType w:val="hybridMultilevel"/>
    <w:tmpl w:val="6CC8D766"/>
    <w:lvl w:ilvl="0" w:tplc="F9E2074A">
      <w:start w:val="1"/>
      <w:numFmt w:val="bullet"/>
      <w:pStyle w:val="Bulletparagraph"/>
      <w:lvlText w:val=""/>
      <w:lvlJc w:val="left"/>
      <w:pPr>
        <w:ind w:left="720" w:hanging="360"/>
      </w:pPr>
      <w:rPr>
        <w:rFonts w:ascii="Symbol" w:hAnsi="Symbol" w:hint="default"/>
        <w:color w:val="EF5A4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DD3599"/>
    <w:multiLevelType w:val="multilevel"/>
    <w:tmpl w:val="9B0ED194"/>
    <w:styleLink w:val="NumbListFigures"/>
    <w:lvl w:ilvl="0">
      <w:start w:val="1"/>
      <w:numFmt w:val="decimal"/>
      <w:lvlText w:val="Figure %1."/>
      <w:lvlJc w:val="left"/>
      <w:pPr>
        <w:tabs>
          <w:tab w:val="num" w:pos="1077"/>
        </w:tabs>
        <w:ind w:left="1077" w:hanging="1077"/>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D63E1C"/>
    <w:multiLevelType w:val="hybridMultilevel"/>
    <w:tmpl w:val="42E6EFA2"/>
    <w:styleLink w:val="StyleBulleted"/>
    <w:lvl w:ilvl="0" w:tplc="1F9884E0">
      <w:start w:val="1"/>
      <w:numFmt w:val="bullet"/>
      <w:lvlText w:val="»"/>
      <w:lvlJc w:val="left"/>
      <w:pPr>
        <w:tabs>
          <w:tab w:val="num" w:pos="972"/>
        </w:tabs>
        <w:ind w:left="972" w:hanging="432"/>
      </w:pPr>
      <w:rPr>
        <w:rFonts w:ascii="Palatino Linotype" w:hAnsi="Palatino Linotype" w:hint="default"/>
      </w:rPr>
    </w:lvl>
    <w:lvl w:ilvl="1" w:tplc="F0F23DC6">
      <w:start w:val="1"/>
      <w:numFmt w:val="bullet"/>
      <w:lvlText w:val="o"/>
      <w:lvlJc w:val="left"/>
      <w:pPr>
        <w:tabs>
          <w:tab w:val="num" w:pos="1440"/>
        </w:tabs>
        <w:ind w:left="1440" w:hanging="360"/>
      </w:pPr>
      <w:rPr>
        <w:rFonts w:ascii="Courier New" w:hAnsi="Courier New" w:hint="default"/>
      </w:rPr>
    </w:lvl>
    <w:lvl w:ilvl="2" w:tplc="4A7A784A">
      <w:start w:val="1"/>
      <w:numFmt w:val="bullet"/>
      <w:lvlText w:val=""/>
      <w:lvlJc w:val="left"/>
      <w:pPr>
        <w:tabs>
          <w:tab w:val="num" w:pos="2160"/>
        </w:tabs>
        <w:ind w:left="2160" w:hanging="360"/>
      </w:pPr>
      <w:rPr>
        <w:rFonts w:ascii="Wingdings" w:hAnsi="Wingdings" w:hint="default"/>
      </w:rPr>
    </w:lvl>
    <w:lvl w:ilvl="3" w:tplc="4640925A">
      <w:start w:val="1"/>
      <w:numFmt w:val="bullet"/>
      <w:lvlText w:val=""/>
      <w:lvlJc w:val="left"/>
      <w:pPr>
        <w:tabs>
          <w:tab w:val="num" w:pos="2880"/>
        </w:tabs>
        <w:ind w:left="2880" w:hanging="360"/>
      </w:pPr>
      <w:rPr>
        <w:rFonts w:ascii="Symbol" w:hAnsi="Symbol" w:hint="default"/>
      </w:rPr>
    </w:lvl>
    <w:lvl w:ilvl="4" w:tplc="F768D27C">
      <w:start w:val="1"/>
      <w:numFmt w:val="bullet"/>
      <w:lvlText w:val="o"/>
      <w:lvlJc w:val="left"/>
      <w:pPr>
        <w:tabs>
          <w:tab w:val="num" w:pos="3600"/>
        </w:tabs>
        <w:ind w:left="3600" w:hanging="360"/>
      </w:pPr>
      <w:rPr>
        <w:rFonts w:ascii="Courier New" w:hAnsi="Courier New" w:cs="Courier New" w:hint="default"/>
      </w:rPr>
    </w:lvl>
    <w:lvl w:ilvl="5" w:tplc="6180CCE0">
      <w:start w:val="1"/>
      <w:numFmt w:val="bullet"/>
      <w:lvlText w:val=""/>
      <w:lvlJc w:val="left"/>
      <w:pPr>
        <w:tabs>
          <w:tab w:val="num" w:pos="4320"/>
        </w:tabs>
        <w:ind w:left="4320" w:hanging="360"/>
      </w:pPr>
      <w:rPr>
        <w:rFonts w:ascii="Wingdings" w:hAnsi="Wingdings" w:hint="default"/>
      </w:rPr>
    </w:lvl>
    <w:lvl w:ilvl="6" w:tplc="5590C8D2">
      <w:start w:val="1"/>
      <w:numFmt w:val="bullet"/>
      <w:lvlText w:val=""/>
      <w:lvlJc w:val="left"/>
      <w:pPr>
        <w:tabs>
          <w:tab w:val="num" w:pos="5040"/>
        </w:tabs>
        <w:ind w:left="5040" w:hanging="360"/>
      </w:pPr>
      <w:rPr>
        <w:rFonts w:ascii="Symbol" w:hAnsi="Symbol" w:hint="default"/>
      </w:rPr>
    </w:lvl>
    <w:lvl w:ilvl="7" w:tplc="A2763C08">
      <w:start w:val="1"/>
      <w:numFmt w:val="bullet"/>
      <w:lvlText w:val="o"/>
      <w:lvlJc w:val="left"/>
      <w:pPr>
        <w:tabs>
          <w:tab w:val="num" w:pos="5760"/>
        </w:tabs>
        <w:ind w:left="5760" w:hanging="360"/>
      </w:pPr>
      <w:rPr>
        <w:rFonts w:ascii="Courier New" w:hAnsi="Courier New" w:cs="Courier New" w:hint="default"/>
      </w:rPr>
    </w:lvl>
    <w:lvl w:ilvl="8" w:tplc="4ABA1F46">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636C55"/>
    <w:multiLevelType w:val="multilevel"/>
    <w:tmpl w:val="8F320F56"/>
    <w:styleLink w:val="NumblistTables"/>
    <w:lvl w:ilvl="0">
      <w:start w:val="1"/>
      <w:numFmt w:val="decimal"/>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ACF7DB0"/>
    <w:multiLevelType w:val="multilevel"/>
    <w:tmpl w:val="7FC402A0"/>
    <w:lvl w:ilvl="0">
      <w:start w:val="1"/>
      <w:numFmt w:val="decimal"/>
      <w:pStyle w:val="JRCLevel-1title"/>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pStyle w:val="JRCLevel-4title"/>
      <w:lvlText w:val="%1.%2.%3.%4"/>
      <w:lvlJc w:val="left"/>
      <w:pPr>
        <w:ind w:left="864" w:hanging="864"/>
      </w:pPr>
      <w:rPr>
        <w:rFonts w:hint="default"/>
      </w:rPr>
    </w:lvl>
    <w:lvl w:ilvl="4">
      <w:start w:val="1"/>
      <w:numFmt w:val="decimal"/>
      <w:pStyle w:val="JRCLevel-5titl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AC96003"/>
    <w:multiLevelType w:val="hybridMultilevel"/>
    <w:tmpl w:val="FA2899C8"/>
    <w:styleLink w:val="StyleBulleted6"/>
    <w:lvl w:ilvl="0" w:tplc="A0AA4AD0">
      <w:start w:val="1"/>
      <w:numFmt w:val="bullet"/>
      <w:lvlText w:val="»"/>
      <w:lvlJc w:val="left"/>
      <w:pPr>
        <w:tabs>
          <w:tab w:val="num" w:pos="720"/>
        </w:tabs>
        <w:ind w:left="720" w:hanging="360"/>
      </w:pPr>
      <w:rPr>
        <w:rFonts w:ascii="Palatino Linotype" w:hAnsi="Palatino Linotype" w:hint="default"/>
      </w:rPr>
    </w:lvl>
    <w:lvl w:ilvl="1" w:tplc="937A3A0C">
      <w:start w:val="1"/>
      <w:numFmt w:val="bullet"/>
      <w:lvlText w:val="o"/>
      <w:lvlJc w:val="left"/>
      <w:pPr>
        <w:tabs>
          <w:tab w:val="num" w:pos="1080"/>
        </w:tabs>
        <w:ind w:left="1080" w:hanging="360"/>
      </w:pPr>
      <w:rPr>
        <w:rFonts w:ascii="Courier New" w:hAnsi="Courier New" w:hint="default"/>
      </w:rPr>
    </w:lvl>
    <w:lvl w:ilvl="2" w:tplc="3FE21642">
      <w:start w:val="1"/>
      <w:numFmt w:val="bullet"/>
      <w:lvlText w:val=""/>
      <w:lvlJc w:val="left"/>
      <w:pPr>
        <w:tabs>
          <w:tab w:val="num" w:pos="2160"/>
        </w:tabs>
        <w:ind w:left="2160" w:hanging="360"/>
      </w:pPr>
      <w:rPr>
        <w:rFonts w:ascii="Wingdings" w:hAnsi="Wingdings" w:hint="default"/>
      </w:rPr>
    </w:lvl>
    <w:lvl w:ilvl="3" w:tplc="27FA1ECA">
      <w:start w:val="1"/>
      <w:numFmt w:val="bullet"/>
      <w:lvlText w:val=""/>
      <w:lvlJc w:val="left"/>
      <w:pPr>
        <w:tabs>
          <w:tab w:val="num" w:pos="2880"/>
        </w:tabs>
        <w:ind w:left="2880" w:hanging="360"/>
      </w:pPr>
      <w:rPr>
        <w:rFonts w:ascii="Symbol" w:hAnsi="Symbol" w:hint="default"/>
      </w:rPr>
    </w:lvl>
    <w:lvl w:ilvl="4" w:tplc="9A7E5C7C">
      <w:start w:val="1"/>
      <w:numFmt w:val="bullet"/>
      <w:lvlText w:val="o"/>
      <w:lvlJc w:val="left"/>
      <w:pPr>
        <w:tabs>
          <w:tab w:val="num" w:pos="3600"/>
        </w:tabs>
        <w:ind w:left="3600" w:hanging="360"/>
      </w:pPr>
      <w:rPr>
        <w:rFonts w:ascii="Courier New" w:hAnsi="Courier New" w:cs="Courier New" w:hint="default"/>
      </w:rPr>
    </w:lvl>
    <w:lvl w:ilvl="5" w:tplc="870EB1B4">
      <w:start w:val="1"/>
      <w:numFmt w:val="bullet"/>
      <w:lvlText w:val=""/>
      <w:lvlJc w:val="left"/>
      <w:pPr>
        <w:tabs>
          <w:tab w:val="num" w:pos="4320"/>
        </w:tabs>
        <w:ind w:left="4320" w:hanging="360"/>
      </w:pPr>
      <w:rPr>
        <w:rFonts w:ascii="Wingdings" w:hAnsi="Wingdings" w:hint="default"/>
      </w:rPr>
    </w:lvl>
    <w:lvl w:ilvl="6" w:tplc="B9047016">
      <w:start w:val="1"/>
      <w:numFmt w:val="bullet"/>
      <w:lvlText w:val=""/>
      <w:lvlJc w:val="left"/>
      <w:pPr>
        <w:tabs>
          <w:tab w:val="num" w:pos="5040"/>
        </w:tabs>
        <w:ind w:left="5040" w:hanging="360"/>
      </w:pPr>
      <w:rPr>
        <w:rFonts w:ascii="Symbol" w:hAnsi="Symbol" w:hint="default"/>
      </w:rPr>
    </w:lvl>
    <w:lvl w:ilvl="7" w:tplc="94867270">
      <w:start w:val="1"/>
      <w:numFmt w:val="bullet"/>
      <w:lvlText w:val="o"/>
      <w:lvlJc w:val="left"/>
      <w:pPr>
        <w:tabs>
          <w:tab w:val="num" w:pos="5760"/>
        </w:tabs>
        <w:ind w:left="5760" w:hanging="360"/>
      </w:pPr>
      <w:rPr>
        <w:rFonts w:ascii="Courier New" w:hAnsi="Courier New" w:cs="Courier New" w:hint="default"/>
      </w:rPr>
    </w:lvl>
    <w:lvl w:ilvl="8" w:tplc="9D08B66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3120C9"/>
    <w:multiLevelType w:val="hybridMultilevel"/>
    <w:tmpl w:val="F4EED30A"/>
    <w:lvl w:ilvl="0" w:tplc="E76E0960">
      <w:start w:val="2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46113D4F"/>
    <w:multiLevelType w:val="multilevel"/>
    <w:tmpl w:val="0809001D"/>
    <w:styleLink w:val="NumbListFigur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B9C3117"/>
    <w:multiLevelType w:val="hybridMultilevel"/>
    <w:tmpl w:val="FAC8524A"/>
    <w:lvl w:ilvl="0" w:tplc="6E6A412E">
      <w:numFmt w:val="bullet"/>
      <w:lvlText w:val="—"/>
      <w:lvlJc w:val="left"/>
      <w:pPr>
        <w:ind w:left="369" w:hanging="282"/>
      </w:pPr>
      <w:rPr>
        <w:rFonts w:ascii="Cambria" w:eastAsia="Times New Roman" w:hAnsi="Cambria" w:hint="default"/>
        <w:w w:val="95"/>
        <w:sz w:val="19"/>
      </w:rPr>
    </w:lvl>
    <w:lvl w:ilvl="1" w:tplc="F9E8D980">
      <w:numFmt w:val="bullet"/>
      <w:lvlText w:val="—"/>
      <w:lvlJc w:val="left"/>
      <w:pPr>
        <w:ind w:left="649" w:hanging="281"/>
      </w:pPr>
      <w:rPr>
        <w:rFonts w:ascii="Cambria" w:eastAsia="Times New Roman" w:hAnsi="Cambria" w:hint="default"/>
        <w:w w:val="95"/>
        <w:sz w:val="19"/>
      </w:rPr>
    </w:lvl>
    <w:lvl w:ilvl="2" w:tplc="8A8EEA46">
      <w:numFmt w:val="bullet"/>
      <w:lvlText w:val="•"/>
      <w:lvlJc w:val="left"/>
      <w:pPr>
        <w:ind w:left="979" w:hanging="281"/>
      </w:pPr>
      <w:rPr>
        <w:rFonts w:hint="default"/>
      </w:rPr>
    </w:lvl>
    <w:lvl w:ilvl="3" w:tplc="35C8A1A8">
      <w:numFmt w:val="bullet"/>
      <w:lvlText w:val="•"/>
      <w:lvlJc w:val="left"/>
      <w:pPr>
        <w:ind w:left="1318" w:hanging="281"/>
      </w:pPr>
      <w:rPr>
        <w:rFonts w:hint="default"/>
      </w:rPr>
    </w:lvl>
    <w:lvl w:ilvl="4" w:tplc="3A68361A">
      <w:numFmt w:val="bullet"/>
      <w:lvlText w:val="•"/>
      <w:lvlJc w:val="left"/>
      <w:pPr>
        <w:ind w:left="1658" w:hanging="281"/>
      </w:pPr>
      <w:rPr>
        <w:rFonts w:hint="default"/>
      </w:rPr>
    </w:lvl>
    <w:lvl w:ilvl="5" w:tplc="FCDAD96E">
      <w:numFmt w:val="bullet"/>
      <w:lvlText w:val="•"/>
      <w:lvlJc w:val="left"/>
      <w:pPr>
        <w:ind w:left="1997" w:hanging="281"/>
      </w:pPr>
      <w:rPr>
        <w:rFonts w:hint="default"/>
      </w:rPr>
    </w:lvl>
    <w:lvl w:ilvl="6" w:tplc="023E54C8">
      <w:numFmt w:val="bullet"/>
      <w:lvlText w:val="•"/>
      <w:lvlJc w:val="left"/>
      <w:pPr>
        <w:ind w:left="2337" w:hanging="281"/>
      </w:pPr>
      <w:rPr>
        <w:rFonts w:hint="default"/>
      </w:rPr>
    </w:lvl>
    <w:lvl w:ilvl="7" w:tplc="ECCAB7FA">
      <w:numFmt w:val="bullet"/>
      <w:lvlText w:val="•"/>
      <w:lvlJc w:val="left"/>
      <w:pPr>
        <w:ind w:left="2676" w:hanging="281"/>
      </w:pPr>
      <w:rPr>
        <w:rFonts w:hint="default"/>
      </w:rPr>
    </w:lvl>
    <w:lvl w:ilvl="8" w:tplc="AA423FB8">
      <w:numFmt w:val="bullet"/>
      <w:lvlText w:val="•"/>
      <w:lvlJc w:val="left"/>
      <w:pPr>
        <w:ind w:left="3016" w:hanging="281"/>
      </w:pPr>
      <w:rPr>
        <w:rFonts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11116A"/>
    <w:multiLevelType w:val="hybridMultilevel"/>
    <w:tmpl w:val="E3A2492E"/>
    <w:lvl w:ilvl="0" w:tplc="FDE01BE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AD954A1"/>
    <w:multiLevelType w:val="hybridMultilevel"/>
    <w:tmpl w:val="D0D2C42A"/>
    <w:lvl w:ilvl="0" w:tplc="0330B98C">
      <w:numFmt w:val="bullet"/>
      <w:lvlText w:val="—"/>
      <w:lvlJc w:val="left"/>
      <w:pPr>
        <w:ind w:left="370" w:hanging="282"/>
      </w:pPr>
      <w:rPr>
        <w:rFonts w:ascii="Cambria" w:eastAsia="Times New Roman" w:hAnsi="Cambria" w:hint="default"/>
        <w:w w:val="95"/>
        <w:sz w:val="19"/>
      </w:rPr>
    </w:lvl>
    <w:lvl w:ilvl="1" w:tplc="BFB87AA8">
      <w:numFmt w:val="bullet"/>
      <w:lvlText w:val="—"/>
      <w:lvlJc w:val="left"/>
      <w:pPr>
        <w:ind w:left="650" w:hanging="281"/>
      </w:pPr>
      <w:rPr>
        <w:rFonts w:ascii="Cambria" w:eastAsia="Times New Roman" w:hAnsi="Cambria" w:hint="default"/>
        <w:w w:val="95"/>
        <w:sz w:val="19"/>
      </w:rPr>
    </w:lvl>
    <w:lvl w:ilvl="2" w:tplc="FC3AC860">
      <w:numFmt w:val="bullet"/>
      <w:lvlText w:val="•"/>
      <w:lvlJc w:val="left"/>
      <w:pPr>
        <w:ind w:left="997" w:hanging="281"/>
      </w:pPr>
      <w:rPr>
        <w:rFonts w:hint="default"/>
      </w:rPr>
    </w:lvl>
    <w:lvl w:ilvl="3" w:tplc="A1EC5BD0">
      <w:numFmt w:val="bullet"/>
      <w:lvlText w:val="•"/>
      <w:lvlJc w:val="left"/>
      <w:pPr>
        <w:ind w:left="1334" w:hanging="281"/>
      </w:pPr>
      <w:rPr>
        <w:rFonts w:hint="default"/>
      </w:rPr>
    </w:lvl>
    <w:lvl w:ilvl="4" w:tplc="AE0EE386">
      <w:numFmt w:val="bullet"/>
      <w:lvlText w:val="•"/>
      <w:lvlJc w:val="left"/>
      <w:pPr>
        <w:ind w:left="1671" w:hanging="281"/>
      </w:pPr>
      <w:rPr>
        <w:rFonts w:hint="default"/>
      </w:rPr>
    </w:lvl>
    <w:lvl w:ilvl="5" w:tplc="17AA2A80">
      <w:numFmt w:val="bullet"/>
      <w:lvlText w:val="•"/>
      <w:lvlJc w:val="left"/>
      <w:pPr>
        <w:ind w:left="2008" w:hanging="281"/>
      </w:pPr>
      <w:rPr>
        <w:rFonts w:hint="default"/>
      </w:rPr>
    </w:lvl>
    <w:lvl w:ilvl="6" w:tplc="BC721186">
      <w:numFmt w:val="bullet"/>
      <w:lvlText w:val="•"/>
      <w:lvlJc w:val="left"/>
      <w:pPr>
        <w:ind w:left="2346" w:hanging="281"/>
      </w:pPr>
      <w:rPr>
        <w:rFonts w:hint="default"/>
      </w:rPr>
    </w:lvl>
    <w:lvl w:ilvl="7" w:tplc="936CFC10">
      <w:numFmt w:val="bullet"/>
      <w:lvlText w:val="•"/>
      <w:lvlJc w:val="left"/>
      <w:pPr>
        <w:ind w:left="2683" w:hanging="281"/>
      </w:pPr>
      <w:rPr>
        <w:rFonts w:hint="default"/>
      </w:rPr>
    </w:lvl>
    <w:lvl w:ilvl="8" w:tplc="7BBEA0FE">
      <w:numFmt w:val="bullet"/>
      <w:lvlText w:val="•"/>
      <w:lvlJc w:val="left"/>
      <w:pPr>
        <w:ind w:left="3020" w:hanging="281"/>
      </w:pPr>
      <w:rPr>
        <w:rFonts w:hint="default"/>
      </w:r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0"/>
  </w:num>
  <w:num w:numId="3">
    <w:abstractNumId w:val="3"/>
  </w:num>
  <w:num w:numId="4">
    <w:abstractNumId w:val="12"/>
  </w:num>
  <w:num w:numId="5">
    <w:abstractNumId w:val="8"/>
  </w:num>
  <w:num w:numId="6">
    <w:abstractNumId w:val="6"/>
  </w:num>
  <w:num w:numId="7">
    <w:abstractNumId w:val="5"/>
  </w:num>
  <w:num w:numId="8">
    <w:abstractNumId w:val="4"/>
  </w:num>
  <w:num w:numId="9">
    <w:abstractNumId w:val="2"/>
  </w:num>
  <w:num w:numId="10">
    <w:abstractNumId w:val="1"/>
  </w:num>
  <w:num w:numId="11">
    <w:abstractNumId w:val="37"/>
  </w:num>
  <w:num w:numId="12">
    <w:abstractNumId w:val="30"/>
  </w:num>
  <w:num w:numId="13">
    <w:abstractNumId w:val="22"/>
  </w:num>
  <w:num w:numId="14">
    <w:abstractNumId w:val="35"/>
  </w:num>
  <w:num w:numId="15">
    <w:abstractNumId w:val="33"/>
  </w:num>
  <w:num w:numId="16">
    <w:abstractNumId w:val="21"/>
  </w:num>
  <w:num w:numId="17">
    <w:abstractNumId w:val="10"/>
  </w:num>
  <w:num w:numId="18">
    <w:abstractNumId w:val="18"/>
  </w:num>
  <w:num w:numId="19">
    <w:abstractNumId w:val="9"/>
  </w:num>
  <w:num w:numId="20">
    <w:abstractNumId w:val="16"/>
  </w:num>
  <w:num w:numId="21">
    <w:abstractNumId w:val="17"/>
  </w:num>
  <w:num w:numId="22">
    <w:abstractNumId w:val="27"/>
  </w:num>
  <w:num w:numId="23">
    <w:abstractNumId w:val="14"/>
  </w:num>
  <w:num w:numId="24">
    <w:abstractNumId w:val="11"/>
  </w:num>
  <w:num w:numId="25">
    <w:abstractNumId w:val="32"/>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36"/>
  </w:num>
  <w:num w:numId="32">
    <w:abstractNumId w:val="20"/>
  </w:num>
  <w:num w:numId="33">
    <w:abstractNumId w:val="24"/>
  </w:num>
  <w:num w:numId="34">
    <w:abstractNumId w:val="15"/>
  </w:num>
  <w:num w:numId="35">
    <w:abstractNumId w:val="34"/>
  </w:num>
  <w:num w:numId="36">
    <w:abstractNumId w:val="13"/>
  </w:num>
  <w:num w:numId="37">
    <w:abstractNumId w:val="26"/>
  </w:num>
  <w:num w:numId="38">
    <w:abstractNumId w:val="29"/>
  </w:num>
  <w:num w:numId="39">
    <w:abstractNumId w:val="31"/>
  </w:num>
  <w:num w:numId="40">
    <w:abstractNumId w:val="19"/>
  </w:num>
  <w:num w:numId="41">
    <w:abstractNumId w:val="28"/>
  </w:num>
  <w:num w:numId="42">
    <w:abstractNumId w:val="38"/>
  </w:num>
  <w:num w:numId="43">
    <w:abstractNumId w:val="34"/>
  </w:num>
  <w:num w:numId="44">
    <w:abstractNumId w:val="34"/>
  </w:num>
  <w:num w:numId="45">
    <w:abstractNumId w:val="34"/>
  </w:num>
  <w:num w:numId="46">
    <w:abstractNumId w:val="25"/>
  </w:num>
  <w:num w:numId="47">
    <w:abstractNumId w:val="15"/>
  </w:num>
  <w:num w:numId="48">
    <w:abstractNumId w:val="15"/>
  </w:num>
  <w:num w:numId="49">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27 16:15: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8"/>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zum Vorschlag für eine"/>
    <w:docVar w:name="LW_ACCOMPAGNANT.CP" w:val="zum Vorschlag für eine"/>
    <w:docVar w:name="LW_ANNEX_NBR_FIRST" w:val="1"/>
    <w:docVar w:name="LW_ANNEX_NBR_LAST" w:val="9"/>
    <w:docVar w:name="LW_ANNEX_UNIQUE" w:val="0"/>
    <w:docVar w:name="LW_CORRIGENDUM" w:val="&lt;UNUSED&gt;"/>
    <w:docVar w:name="LW_COVERPAGE_EXISTS" w:val="True"/>
    <w:docVar w:name="LW_COVERPAGE_GUID" w:val="2ABFE3AF-0EFA-4DBC-9381-488D2BEEF2FD"/>
    <w:docVar w:name="LW_COVERPAGE_TYPE" w:val="1"/>
    <w:docVar w:name="LW_CROSSREFERENCE" w:val="{SEC(2021) 430 final} - {SWD(2021) 453 final} - {SWD(2021) 454 final}"/>
    <w:docVar w:name="LW_DocType" w:val="ANNEX"/>
    <w:docVar w:name="LW_EMISSION" w:val="15.12.2021"/>
    <w:docVar w:name="LW_EMISSION_ISODATE" w:val="2021-12-15"/>
    <w:docVar w:name="LW_EMISSION_LOCATION" w:val="BRX"/>
    <w:docVar w:name="LW_EMISSION_PREFIX" w:val="Brüssel, den "/>
    <w:docVar w:name="LW_EMISSION_SUFFIX" w:val=" "/>
    <w:docVar w:name="LW_ID_DOCSTRUCTURE" w:val="COM/ANNEX"/>
    <w:docVar w:name="LW_ID_DOCTYPE" w:val="SG-017"/>
    <w:docVar w:name="LW_LANGUE" w:val="DE"/>
    <w:docVar w:name="LW_LEVEL_OF_SENSITIVITY" w:val="Standard treatment"/>
    <w:docVar w:name="LW_NOM.INST" w:val="EUROPÄISCHE KOMMISSION"/>
    <w:docVar w:name="LW_NOM.INST_JOINTDOC" w:val="&lt;EMPTY&gt;"/>
    <w:docVar w:name="LW_OBJETACTEPRINCIPAL" w:val="über die Gesamtenergieeffizienz von Gebäuden (Neufassung)"/>
    <w:docVar w:name="LW_OBJETACTEPRINCIPAL.CP" w:val="über die Gesamtenergieeffizienz von Gebäuden (Neufassung)"/>
    <w:docVar w:name="LW_PART_NBR" w:val="&lt;UNUSED&gt;"/>
    <w:docVar w:name="LW_PART_NBR_TOTAL" w:val="&lt;UNUSED&gt;"/>
    <w:docVar w:name="LW_REF.INST.NEW" w:val="COM"/>
    <w:docVar w:name="LW_REF.INST.NEW_ADOPTED" w:val="final"/>
    <w:docVar w:name="LW_REF.INST.NEW_TEXT" w:val="(2021)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HÄNGE"/>
    <w:docVar w:name="LW_TYPE.DOC.CP" w:val="ANHÄNGE"/>
    <w:docVar w:name="LW_TYPEACTEPRINCIPAL" w:val="Richtlinie des Europäischen Parlaments und des Rates"/>
    <w:docVar w:name="LW_TYPEACTEPRINCIPAL.CP" w:val="Richtlinie des Europäischen Parlaments und des Rates"/>
    <w:docVar w:name="LwApiVersions" w:val="LW4CoDe 1.23.2.0; LW 8.0, Build 20211117"/>
  </w:docVars>
  <w:rsids>
    <w:rsidRoot w:val="00160333"/>
    <w:rsid w:val="000331CB"/>
    <w:rsid w:val="000448D2"/>
    <w:rsid w:val="0004559D"/>
    <w:rsid w:val="000944AF"/>
    <w:rsid w:val="000A6E91"/>
    <w:rsid w:val="000D0DCD"/>
    <w:rsid w:val="000E198E"/>
    <w:rsid w:val="000E42C6"/>
    <w:rsid w:val="0012730B"/>
    <w:rsid w:val="00141FC5"/>
    <w:rsid w:val="00160333"/>
    <w:rsid w:val="00172B99"/>
    <w:rsid w:val="00190226"/>
    <w:rsid w:val="001A31DF"/>
    <w:rsid w:val="001B0DC2"/>
    <w:rsid w:val="001C2816"/>
    <w:rsid w:val="001C7344"/>
    <w:rsid w:val="001D6F25"/>
    <w:rsid w:val="001D7661"/>
    <w:rsid w:val="0020276F"/>
    <w:rsid w:val="00205D93"/>
    <w:rsid w:val="00212331"/>
    <w:rsid w:val="00212852"/>
    <w:rsid w:val="00213231"/>
    <w:rsid w:val="0021724A"/>
    <w:rsid w:val="002440F6"/>
    <w:rsid w:val="00253D41"/>
    <w:rsid w:val="002653FD"/>
    <w:rsid w:val="0028496F"/>
    <w:rsid w:val="002927DA"/>
    <w:rsid w:val="002B5982"/>
    <w:rsid w:val="002E4958"/>
    <w:rsid w:val="002E74CB"/>
    <w:rsid w:val="00306ABB"/>
    <w:rsid w:val="003112F6"/>
    <w:rsid w:val="003171DA"/>
    <w:rsid w:val="0034611E"/>
    <w:rsid w:val="003466EE"/>
    <w:rsid w:val="00355564"/>
    <w:rsid w:val="00364D56"/>
    <w:rsid w:val="00371E3D"/>
    <w:rsid w:val="003A23A1"/>
    <w:rsid w:val="003B32B0"/>
    <w:rsid w:val="003B672F"/>
    <w:rsid w:val="003E6881"/>
    <w:rsid w:val="003F4FE7"/>
    <w:rsid w:val="00405A76"/>
    <w:rsid w:val="00421ECA"/>
    <w:rsid w:val="00436324"/>
    <w:rsid w:val="004468FD"/>
    <w:rsid w:val="00461A8E"/>
    <w:rsid w:val="004631DB"/>
    <w:rsid w:val="00467ED9"/>
    <w:rsid w:val="004B3026"/>
    <w:rsid w:val="004B5F98"/>
    <w:rsid w:val="004F5008"/>
    <w:rsid w:val="00521529"/>
    <w:rsid w:val="005215B3"/>
    <w:rsid w:val="00536673"/>
    <w:rsid w:val="005826C2"/>
    <w:rsid w:val="00585ED8"/>
    <w:rsid w:val="00591366"/>
    <w:rsid w:val="005A3E60"/>
    <w:rsid w:val="005B4043"/>
    <w:rsid w:val="005D1DE4"/>
    <w:rsid w:val="005F45B2"/>
    <w:rsid w:val="006171C6"/>
    <w:rsid w:val="00640ED7"/>
    <w:rsid w:val="00654DBA"/>
    <w:rsid w:val="00656F69"/>
    <w:rsid w:val="00680B37"/>
    <w:rsid w:val="00686DC8"/>
    <w:rsid w:val="00687343"/>
    <w:rsid w:val="006B2152"/>
    <w:rsid w:val="006D146E"/>
    <w:rsid w:val="006F14DB"/>
    <w:rsid w:val="0070029A"/>
    <w:rsid w:val="007121AA"/>
    <w:rsid w:val="00724686"/>
    <w:rsid w:val="00727E41"/>
    <w:rsid w:val="00731592"/>
    <w:rsid w:val="00761D40"/>
    <w:rsid w:val="00767762"/>
    <w:rsid w:val="00790257"/>
    <w:rsid w:val="007A04A1"/>
    <w:rsid w:val="007A7A25"/>
    <w:rsid w:val="007C65EF"/>
    <w:rsid w:val="007D3858"/>
    <w:rsid w:val="007D5C25"/>
    <w:rsid w:val="007D7088"/>
    <w:rsid w:val="007E53B6"/>
    <w:rsid w:val="007E7F98"/>
    <w:rsid w:val="007F1029"/>
    <w:rsid w:val="007F1334"/>
    <w:rsid w:val="00803901"/>
    <w:rsid w:val="00804E1C"/>
    <w:rsid w:val="00805C07"/>
    <w:rsid w:val="008102AF"/>
    <w:rsid w:val="00816C38"/>
    <w:rsid w:val="00826426"/>
    <w:rsid w:val="00827826"/>
    <w:rsid w:val="00834E82"/>
    <w:rsid w:val="00855591"/>
    <w:rsid w:val="008563AC"/>
    <w:rsid w:val="008650EF"/>
    <w:rsid w:val="00873471"/>
    <w:rsid w:val="0087523C"/>
    <w:rsid w:val="008C5B49"/>
    <w:rsid w:val="00926C86"/>
    <w:rsid w:val="0093586A"/>
    <w:rsid w:val="009373B4"/>
    <w:rsid w:val="009567AF"/>
    <w:rsid w:val="0097054A"/>
    <w:rsid w:val="0097375D"/>
    <w:rsid w:val="00986B33"/>
    <w:rsid w:val="00986F67"/>
    <w:rsid w:val="00987AD5"/>
    <w:rsid w:val="009916B2"/>
    <w:rsid w:val="009C3F17"/>
    <w:rsid w:val="009E3C5F"/>
    <w:rsid w:val="00A145EF"/>
    <w:rsid w:val="00A165DE"/>
    <w:rsid w:val="00A36901"/>
    <w:rsid w:val="00A37BF3"/>
    <w:rsid w:val="00A447E9"/>
    <w:rsid w:val="00A62C51"/>
    <w:rsid w:val="00A7437E"/>
    <w:rsid w:val="00AC0266"/>
    <w:rsid w:val="00AC10A5"/>
    <w:rsid w:val="00AD72D4"/>
    <w:rsid w:val="00AF7F9F"/>
    <w:rsid w:val="00B24379"/>
    <w:rsid w:val="00B65604"/>
    <w:rsid w:val="00B65DF5"/>
    <w:rsid w:val="00B67872"/>
    <w:rsid w:val="00B711EC"/>
    <w:rsid w:val="00B856AB"/>
    <w:rsid w:val="00B92D8E"/>
    <w:rsid w:val="00BA4D7E"/>
    <w:rsid w:val="00BB0CF3"/>
    <w:rsid w:val="00BC5950"/>
    <w:rsid w:val="00BF17AA"/>
    <w:rsid w:val="00C06943"/>
    <w:rsid w:val="00C07A84"/>
    <w:rsid w:val="00C12983"/>
    <w:rsid w:val="00C1704C"/>
    <w:rsid w:val="00C24556"/>
    <w:rsid w:val="00C27A9A"/>
    <w:rsid w:val="00C40131"/>
    <w:rsid w:val="00C41599"/>
    <w:rsid w:val="00CC077E"/>
    <w:rsid w:val="00CC1C76"/>
    <w:rsid w:val="00CD4E3A"/>
    <w:rsid w:val="00CD6C81"/>
    <w:rsid w:val="00CE4068"/>
    <w:rsid w:val="00D0142A"/>
    <w:rsid w:val="00D14C0C"/>
    <w:rsid w:val="00D3419F"/>
    <w:rsid w:val="00D44D1B"/>
    <w:rsid w:val="00D57746"/>
    <w:rsid w:val="00D61321"/>
    <w:rsid w:val="00D708BB"/>
    <w:rsid w:val="00D84182"/>
    <w:rsid w:val="00D906F0"/>
    <w:rsid w:val="00DA2242"/>
    <w:rsid w:val="00DA3228"/>
    <w:rsid w:val="00DA60D5"/>
    <w:rsid w:val="00DB2C10"/>
    <w:rsid w:val="00DB7F9F"/>
    <w:rsid w:val="00DD744D"/>
    <w:rsid w:val="00DE2106"/>
    <w:rsid w:val="00DE795F"/>
    <w:rsid w:val="00E01273"/>
    <w:rsid w:val="00E0221E"/>
    <w:rsid w:val="00E3207A"/>
    <w:rsid w:val="00E6241C"/>
    <w:rsid w:val="00E7295D"/>
    <w:rsid w:val="00E72D49"/>
    <w:rsid w:val="00E871BC"/>
    <w:rsid w:val="00EA0E6F"/>
    <w:rsid w:val="00EA27D4"/>
    <w:rsid w:val="00EA5E92"/>
    <w:rsid w:val="00EC00AC"/>
    <w:rsid w:val="00EE7B36"/>
    <w:rsid w:val="00EF23F5"/>
    <w:rsid w:val="00EF399C"/>
    <w:rsid w:val="00EF3FF8"/>
    <w:rsid w:val="00F12B8A"/>
    <w:rsid w:val="00F36FB8"/>
    <w:rsid w:val="00F60E32"/>
    <w:rsid w:val="00FB0A0B"/>
    <w:rsid w:val="00FF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B26506A-9406-4AC5-86B5-5026B31B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rsid w:val="00BB0CF3"/>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45"/>
      </w:numPr>
      <w:outlineLvl w:val="3"/>
    </w:pPr>
    <w:rPr>
      <w:rFonts w:eastAsiaTheme="majorEastAsia"/>
      <w:bCs/>
      <w:iCs/>
    </w:rPr>
  </w:style>
  <w:style w:type="paragraph" w:styleId="Heading5">
    <w:name w:val="heading 5"/>
    <w:basedOn w:val="Normal"/>
    <w:next w:val="Text2"/>
    <w:link w:val="Heading5Char"/>
    <w:uiPriority w:val="9"/>
    <w:unhideWhenUsed/>
    <w:qFormat/>
    <w:rsid w:val="002927DA"/>
    <w:pPr>
      <w:keepNext/>
      <w:numPr>
        <w:ilvl w:val="4"/>
        <w:numId w:val="45"/>
      </w:numPr>
      <w:outlineLvl w:val="4"/>
    </w:pPr>
    <w:rPr>
      <w:rFonts w:eastAsiaTheme="majorEastAsia"/>
    </w:rPr>
  </w:style>
  <w:style w:type="paragraph" w:styleId="Heading6">
    <w:name w:val="heading 6"/>
    <w:basedOn w:val="Normal"/>
    <w:next w:val="Text2"/>
    <w:link w:val="Heading6Char"/>
    <w:uiPriority w:val="9"/>
    <w:unhideWhenUsed/>
    <w:qFormat/>
    <w:rsid w:val="002927DA"/>
    <w:pPr>
      <w:keepNext/>
      <w:numPr>
        <w:ilvl w:val="5"/>
        <w:numId w:val="45"/>
      </w:numPr>
      <w:outlineLvl w:val="5"/>
    </w:pPr>
    <w:rPr>
      <w:rFonts w:eastAsiaTheme="majorEastAsia"/>
      <w:iCs/>
    </w:rPr>
  </w:style>
  <w:style w:type="paragraph" w:styleId="Heading7">
    <w:name w:val="heading 7"/>
    <w:basedOn w:val="Normal"/>
    <w:next w:val="Text2"/>
    <w:link w:val="Heading7Char"/>
    <w:uiPriority w:val="9"/>
    <w:unhideWhenUsed/>
    <w:qFormat/>
    <w:rsid w:val="002927DA"/>
    <w:pPr>
      <w:keepNext/>
      <w:numPr>
        <w:ilvl w:val="6"/>
        <w:numId w:val="45"/>
      </w:numPr>
      <w:outlineLvl w:val="6"/>
    </w:pPr>
    <w:rPr>
      <w:rFonts w:eastAsiaTheme="majorEastAsia"/>
      <w:iCs/>
    </w:rPr>
  </w:style>
  <w:style w:type="paragraph" w:styleId="Heading8">
    <w:name w:val="heading 8"/>
    <w:basedOn w:val="Normal"/>
    <w:next w:val="Normal"/>
    <w:link w:val="Heading8Char"/>
    <w:uiPriority w:val="99"/>
    <w:qFormat/>
    <w:rsid w:val="004468FD"/>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4468FD"/>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927DA"/>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rsid w:val="002927DA"/>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rsid w:val="002927DA"/>
    <w:rPr>
      <w:rFonts w:ascii="Times New Roman" w:eastAsiaTheme="majorEastAsia" w:hAnsi="Times New Roman" w:cs="Times New Roman"/>
      <w:iCs/>
      <w:sz w:val="24"/>
      <w:lang w:val="de-DE"/>
    </w:rPr>
  </w:style>
  <w:style w:type="character" w:customStyle="1" w:styleId="Heading8Char">
    <w:name w:val="Heading 8 Char"/>
    <w:basedOn w:val="DefaultParagraphFont"/>
    <w:link w:val="Heading8"/>
    <w:uiPriority w:val="9"/>
    <w:rsid w:val="004468FD"/>
    <w:rPr>
      <w:rFonts w:ascii="Arial" w:eastAsiaTheme="minorEastAsia" w:hAnsi="Arial" w:cs="Arial"/>
      <w:i/>
      <w:iCs/>
      <w:sz w:val="20"/>
      <w:szCs w:val="20"/>
      <w:lang w:val="de-DE" w:eastAsia="en-GB"/>
    </w:rPr>
  </w:style>
  <w:style w:type="character" w:customStyle="1" w:styleId="Heading9Char">
    <w:name w:val="Heading 9 Char"/>
    <w:basedOn w:val="DefaultParagraphFont"/>
    <w:link w:val="Heading9"/>
    <w:uiPriority w:val="9"/>
    <w:rsid w:val="004468FD"/>
    <w:rPr>
      <w:rFonts w:ascii="Arial" w:eastAsiaTheme="minorEastAsia" w:hAnsi="Arial" w:cs="Arial"/>
      <w:i/>
      <w:iCs/>
      <w:sz w:val="18"/>
      <w:szCs w:val="18"/>
      <w:lang w:val="de-DE" w:eastAsia="en-GB"/>
    </w:rPr>
  </w:style>
  <w:style w:type="paragraph" w:styleId="ListNumber">
    <w:name w:val="List Number"/>
    <w:basedOn w:val="Normal"/>
    <w:uiPriority w:val="99"/>
    <w:rsid w:val="004468FD"/>
    <w:pPr>
      <w:numPr>
        <w:numId w:val="1"/>
      </w:numPr>
    </w:pPr>
    <w:rPr>
      <w:rFonts w:eastAsia="Times New Roman"/>
      <w:lang w:eastAsia="en-GB"/>
    </w:rPr>
  </w:style>
  <w:style w:type="paragraph" w:styleId="ListNumber4">
    <w:name w:val="List Number 4"/>
    <w:basedOn w:val="Normal"/>
    <w:rsid w:val="004468FD"/>
    <w:pPr>
      <w:numPr>
        <w:numId w:val="2"/>
      </w:numPr>
    </w:pPr>
    <w:rPr>
      <w:rFonts w:eastAsia="Times New Roman"/>
      <w:lang w:eastAsia="en-GB"/>
    </w:rPr>
  </w:style>
  <w:style w:type="paragraph" w:styleId="ListBullet5">
    <w:name w:val="List Bullet 5"/>
    <w:basedOn w:val="Normal"/>
    <w:autoRedefine/>
    <w:rsid w:val="004468FD"/>
    <w:pPr>
      <w:numPr>
        <w:numId w:val="3"/>
      </w:numPr>
      <w:spacing w:before="0" w:after="240"/>
    </w:pPr>
    <w:rPr>
      <w:rFonts w:eastAsia="Times New Roman"/>
      <w:sz w:val="20"/>
      <w:szCs w:val="20"/>
      <w:lang w:eastAsia="nl-BE"/>
    </w:rPr>
  </w:style>
  <w:style w:type="paragraph" w:customStyle="1" w:styleId="Bulletparagraph">
    <w:name w:val="Bullet paragraph"/>
    <w:basedOn w:val="BodyText"/>
    <w:uiPriority w:val="1"/>
    <w:qFormat/>
    <w:rsid w:val="004468FD"/>
    <w:pPr>
      <w:numPr>
        <w:numId w:val="4"/>
      </w:numPr>
      <w:tabs>
        <w:tab w:val="left" w:pos="0"/>
        <w:tab w:val="num" w:pos="850"/>
      </w:tabs>
      <w:autoSpaceDE w:val="0"/>
      <w:autoSpaceDN w:val="0"/>
      <w:spacing w:before="133" w:line="276" w:lineRule="auto"/>
      <w:ind w:left="850" w:right="-14" w:hanging="850"/>
      <w:jc w:val="left"/>
    </w:pPr>
    <w:rPr>
      <w:rFonts w:ascii="Georgia" w:eastAsia="Calluna" w:hAnsi="Georgia" w:cs="Calluna"/>
      <w:color w:val="000000"/>
      <w:sz w:val="22"/>
      <w:szCs w:val="20"/>
    </w:rPr>
  </w:style>
  <w:style w:type="paragraph" w:styleId="BodyText">
    <w:name w:val="Body Text"/>
    <w:aliases w:val="Double indent,heading_txt,bodytxy2,CV Body Text,One Page Summary,jtext,John1,bt,Body Text 1,contents,RFQ Text,RFQ,body text,t,sp,Resume Text,text,sbs,block text,bt4,body text4,bt5,body text5,bt1,body text1,Block text,BODY TEXT,RFP Text,Text"/>
    <w:basedOn w:val="Normal"/>
    <w:link w:val="BodyTextChar"/>
    <w:unhideWhenUsed/>
    <w:qFormat/>
    <w:rsid w:val="004468FD"/>
  </w:style>
  <w:style w:type="character" w:customStyle="1" w:styleId="BodyTextChar">
    <w:name w:val="Body Text Char"/>
    <w:aliases w:val="Double indent Char,heading_txt Char,bodytxy2 Char,CV Body Text Char,One Page Summary Char,jtext Char,John1 Char,bt Char,Body Text 1 Char,contents Char,RFQ Text Char,RFQ Char,body text Char,t Char,sp Char,Resume Text Char,text Char"/>
    <w:basedOn w:val="DefaultParagraphFont"/>
    <w:link w:val="BodyText"/>
    <w:rsid w:val="004468FD"/>
    <w:rPr>
      <w:rFonts w:ascii="Times New Roman" w:hAnsi="Times New Roman" w:cs="Times New Roman"/>
      <w:sz w:val="24"/>
      <w:lang w:val="de-DE"/>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Conclusion de partie,OBC Bu,L"/>
    <w:basedOn w:val="Normal"/>
    <w:link w:val="ListParagraphChar"/>
    <w:uiPriority w:val="34"/>
    <w:qFormat/>
    <w:rsid w:val="004468FD"/>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locked/>
    <w:rsid w:val="004468FD"/>
    <w:rPr>
      <w:lang w:val="de-DE"/>
    </w:rPr>
  </w:style>
  <w:style w:type="paragraph" w:styleId="TableofFigures">
    <w:name w:val="table of figures"/>
    <w:basedOn w:val="Normal"/>
    <w:next w:val="Normal"/>
    <w:uiPriority w:val="99"/>
    <w:semiHidden/>
    <w:unhideWhenUsed/>
    <w:rsid w:val="004468FD"/>
    <w:pPr>
      <w:spacing w:after="0"/>
    </w:pPr>
  </w:style>
  <w:style w:type="paragraph" w:styleId="ListBullet">
    <w:name w:val="List Bullet"/>
    <w:basedOn w:val="Normal"/>
    <w:unhideWhenUsed/>
    <w:rsid w:val="004468FD"/>
    <w:pPr>
      <w:numPr>
        <w:numId w:val="5"/>
      </w:numPr>
      <w:contextualSpacing/>
    </w:pPr>
  </w:style>
  <w:style w:type="paragraph" w:styleId="ListBullet2">
    <w:name w:val="List Bullet 2"/>
    <w:basedOn w:val="Normal"/>
    <w:uiPriority w:val="99"/>
    <w:semiHidden/>
    <w:unhideWhenUsed/>
    <w:rsid w:val="004468FD"/>
    <w:pPr>
      <w:numPr>
        <w:numId w:val="6"/>
      </w:numPr>
      <w:contextualSpacing/>
    </w:pPr>
  </w:style>
  <w:style w:type="paragraph" w:styleId="ListBullet3">
    <w:name w:val="List Bullet 3"/>
    <w:basedOn w:val="Normal"/>
    <w:uiPriority w:val="99"/>
    <w:semiHidden/>
    <w:unhideWhenUsed/>
    <w:rsid w:val="004468FD"/>
    <w:pPr>
      <w:numPr>
        <w:numId w:val="7"/>
      </w:numPr>
      <w:contextualSpacing/>
    </w:pPr>
  </w:style>
  <w:style w:type="paragraph" w:styleId="ListBullet4">
    <w:name w:val="List Bullet 4"/>
    <w:basedOn w:val="Normal"/>
    <w:uiPriority w:val="99"/>
    <w:semiHidden/>
    <w:unhideWhenUsed/>
    <w:rsid w:val="004468FD"/>
    <w:pPr>
      <w:numPr>
        <w:numId w:val="8"/>
      </w:numPr>
      <w:contextualSpacing/>
    </w:pPr>
  </w:style>
  <w:style w:type="paragraph" w:styleId="ListNumber2">
    <w:name w:val="List Number 2"/>
    <w:basedOn w:val="Normal"/>
    <w:uiPriority w:val="99"/>
    <w:semiHidden/>
    <w:unhideWhenUsed/>
    <w:rsid w:val="004468FD"/>
    <w:pPr>
      <w:numPr>
        <w:numId w:val="9"/>
      </w:numPr>
      <w:contextualSpacing/>
    </w:pPr>
  </w:style>
  <w:style w:type="paragraph" w:styleId="ListNumber3">
    <w:name w:val="List Number 3"/>
    <w:basedOn w:val="Normal"/>
    <w:semiHidden/>
    <w:unhideWhenUsed/>
    <w:rsid w:val="004468FD"/>
    <w:pPr>
      <w:numPr>
        <w:numId w:val="10"/>
      </w:numPr>
      <w:contextualSpacing/>
    </w:pPr>
  </w:style>
  <w:style w:type="character" w:styleId="CommentReference">
    <w:name w:val="annotation reference"/>
    <w:basedOn w:val="DefaultParagraphFont"/>
    <w:uiPriority w:val="99"/>
    <w:unhideWhenUsed/>
    <w:rsid w:val="004468FD"/>
    <w:rPr>
      <w:sz w:val="16"/>
      <w:szCs w:val="16"/>
    </w:rPr>
  </w:style>
  <w:style w:type="paragraph" w:styleId="CommentText">
    <w:name w:val="annotation text"/>
    <w:aliases w:val="Text poznámky"/>
    <w:basedOn w:val="Normal"/>
    <w:link w:val="CommentTextChar"/>
    <w:uiPriority w:val="99"/>
    <w:unhideWhenUsed/>
    <w:rsid w:val="004468FD"/>
    <w:rPr>
      <w:sz w:val="20"/>
      <w:szCs w:val="20"/>
    </w:rPr>
  </w:style>
  <w:style w:type="character" w:customStyle="1" w:styleId="CommentTextChar">
    <w:name w:val="Comment Text Char"/>
    <w:aliases w:val="Text poznámky Char"/>
    <w:basedOn w:val="DefaultParagraphFont"/>
    <w:link w:val="CommentText"/>
    <w:uiPriority w:val="99"/>
    <w:rsid w:val="004468FD"/>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4468FD"/>
    <w:rPr>
      <w:b/>
      <w:bCs/>
    </w:rPr>
  </w:style>
  <w:style w:type="character" w:customStyle="1" w:styleId="CommentSubjectChar">
    <w:name w:val="Comment Subject Char"/>
    <w:basedOn w:val="CommentTextChar"/>
    <w:link w:val="CommentSubject"/>
    <w:uiPriority w:val="99"/>
    <w:semiHidden/>
    <w:rsid w:val="004468FD"/>
    <w:rPr>
      <w:rFonts w:ascii="Times New Roman" w:hAnsi="Times New Roman" w:cs="Times New Roman"/>
      <w:b/>
      <w:bCs/>
      <w:sz w:val="20"/>
      <w:szCs w:val="20"/>
      <w:lang w:val="de-DE"/>
    </w:rPr>
  </w:style>
  <w:style w:type="paragraph" w:styleId="BalloonText">
    <w:name w:val="Balloon Text"/>
    <w:basedOn w:val="Normal"/>
    <w:link w:val="BalloonTextChar"/>
    <w:uiPriority w:val="99"/>
    <w:semiHidden/>
    <w:unhideWhenUsed/>
    <w:rsid w:val="004468F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8FD"/>
    <w:rPr>
      <w:rFonts w:ascii="Segoe UI" w:hAnsi="Segoe UI" w:cs="Segoe UI"/>
      <w:sz w:val="18"/>
      <w:szCs w:val="18"/>
      <w:lang w:val="de-DE"/>
    </w:rPr>
  </w:style>
  <w:style w:type="paragraph" w:customStyle="1" w:styleId="Annexetitreacte">
    <w:name w:val="Annexe titre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Rfrenceinstitutionelle">
    <w:name w:val="Référence institutionelle"/>
    <w:basedOn w:val="Normal"/>
    <w:next w:val="Statut"/>
    <w:uiPriority w:val="99"/>
    <w:rsid w:val="004468FD"/>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rsid w:val="004468FD"/>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rsid w:val="004468FD"/>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4468FD"/>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4468FD"/>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4468FD"/>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4468FD"/>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rsid w:val="004468FD"/>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rsid w:val="004468FD"/>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sid w:val="004468FD"/>
    <w:rPr>
      <w:rFonts w:cs="Times New Roman"/>
    </w:rPr>
  </w:style>
  <w:style w:type="paragraph" w:customStyle="1" w:styleId="Prliminairetitre">
    <w:name w:val="Préliminaire titre"/>
    <w:basedOn w:val="Normal"/>
    <w:next w:val="Normal"/>
    <w:uiPriority w:val="99"/>
    <w:rsid w:val="004468FD"/>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rsid w:val="004468FD"/>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rsid w:val="004468FD"/>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rsid w:val="004468FD"/>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uiPriority w:val="99"/>
    <w:rsid w:val="004468FD"/>
    <w:rPr>
      <w:rFonts w:ascii="Wingdings" w:hAnsi="Wingdings" w:cs="Wingdings"/>
    </w:rPr>
  </w:style>
  <w:style w:type="paragraph" w:customStyle="1" w:styleId="CRSeparator">
    <w:name w:val="CR Separator"/>
    <w:basedOn w:val="Normal"/>
    <w:next w:val="CRReference"/>
    <w:uiPriority w:val="99"/>
    <w:rsid w:val="004468FD"/>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rsid w:val="004468FD"/>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sid w:val="004468FD"/>
    <w:rPr>
      <w:rFonts w:cs="Times New Roman"/>
      <w:vertAlign w:val="subscript"/>
    </w:rPr>
  </w:style>
  <w:style w:type="paragraph" w:customStyle="1" w:styleId="CRParaDeleted">
    <w:name w:val="CR ParaDeleted"/>
    <w:basedOn w:val="Normal"/>
    <w:next w:val="Normal"/>
    <w:uiPriority w:val="99"/>
    <w:rsid w:val="004468FD"/>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4468FD"/>
    <w:rPr>
      <w:rFonts w:cs="Times New Roman"/>
    </w:rPr>
  </w:style>
  <w:style w:type="paragraph" w:customStyle="1" w:styleId="Titredumodificateur">
    <w:name w:val="Titre du modificateur"/>
    <w:basedOn w:val="Normal"/>
    <w:next w:val="Annexetitrefichefinacte"/>
    <w:uiPriority w:val="99"/>
    <w:rsid w:val="004468FD"/>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4468FD"/>
    <w:pPr>
      <w:autoSpaceDE w:val="0"/>
      <w:autoSpaceDN w:val="0"/>
      <w:spacing w:before="0"/>
      <w:jc w:val="left"/>
    </w:pPr>
    <w:rPr>
      <w:rFonts w:eastAsiaTheme="minorEastAsia"/>
      <w:szCs w:val="24"/>
      <w:lang w:eastAsia="en-GB"/>
    </w:rPr>
  </w:style>
  <w:style w:type="character" w:customStyle="1" w:styleId="TypedudocumentChar">
    <w:name w:val="Type du document Char"/>
    <w:locked/>
    <w:rsid w:val="004468FD"/>
    <w:rPr>
      <w:rFonts w:ascii="Times New Roman" w:hAnsi="Times New Roman" w:cs="Times New Roman"/>
      <w:b/>
      <w:sz w:val="24"/>
      <w:lang w:val="de-DE"/>
    </w:rPr>
  </w:style>
  <w:style w:type="character" w:customStyle="1" w:styleId="CRMinorChangeAdded">
    <w:name w:val="CR Minor Change Added"/>
    <w:rsid w:val="004468FD"/>
    <w:rPr>
      <w:u w:val="double"/>
      <w:lang w:val="de-DE" w:eastAsia="x-none"/>
    </w:rPr>
  </w:style>
  <w:style w:type="character" w:customStyle="1" w:styleId="CRDeleted">
    <w:name w:val="CR Deleted"/>
    <w:basedOn w:val="DefaultParagraphFont"/>
    <w:rsid w:val="004468FD"/>
    <w:rPr>
      <w:rFonts w:cs="Times New Roman"/>
      <w:dstrike/>
      <w:lang w:val="de-DE" w:eastAsia="x-none"/>
    </w:rPr>
  </w:style>
  <w:style w:type="character" w:customStyle="1" w:styleId="CRMinorChangeDeleted">
    <w:name w:val="CR Minor Change Deleted"/>
    <w:basedOn w:val="DefaultParagraphFont"/>
    <w:rsid w:val="004468FD"/>
    <w:rPr>
      <w:rFonts w:cs="Times New Roman"/>
      <w:dstrike/>
      <w:u w:val="double"/>
      <w:lang w:val="de-DE" w:eastAsia="x-none"/>
    </w:rPr>
  </w:style>
  <w:style w:type="character" w:customStyle="1" w:styleId="CRRefonteDeleted">
    <w:name w:val="CR Refonte Deleted"/>
    <w:basedOn w:val="DefaultParagraphFont"/>
    <w:rsid w:val="004468FD"/>
    <w:rPr>
      <w:rFonts w:cs="Times New Roman"/>
      <w:dstrike/>
      <w:lang w:val="de-DE" w:eastAsia="x-none"/>
    </w:rPr>
  </w:style>
  <w:style w:type="character" w:customStyle="1" w:styleId="super">
    <w:name w:val="super"/>
    <w:rsid w:val="004468FD"/>
  </w:style>
  <w:style w:type="paragraph" w:styleId="Revision">
    <w:name w:val="Revision"/>
    <w:hidden/>
    <w:uiPriority w:val="99"/>
    <w:semiHidden/>
    <w:rsid w:val="004468FD"/>
    <w:pPr>
      <w:spacing w:after="0" w:line="240" w:lineRule="auto"/>
    </w:pPr>
    <w:rPr>
      <w:rFonts w:ascii="Times New Roman" w:eastAsiaTheme="minorEastAsia" w:hAnsi="Times New Roman" w:cs="Times New Roman"/>
      <w:sz w:val="24"/>
      <w:szCs w:val="24"/>
      <w:lang w:eastAsia="en-GB"/>
    </w:rPr>
  </w:style>
  <w:style w:type="paragraph" w:customStyle="1" w:styleId="FooterCoverPage">
    <w:name w:val="Footer Cover Page"/>
    <w:basedOn w:val="Normal"/>
    <w:link w:val="FooterCoverPageChar"/>
    <w:rsid w:val="004468FD"/>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sid w:val="004468FD"/>
    <w:rPr>
      <w:rFonts w:ascii="Times New Roman" w:eastAsia="Calibri" w:hAnsi="Times New Roman" w:cs="Times New Roman"/>
      <w:sz w:val="24"/>
      <w:lang w:val="de-DE"/>
    </w:rPr>
  </w:style>
  <w:style w:type="paragraph" w:customStyle="1" w:styleId="HeaderCoverPage">
    <w:name w:val="Header Cover Page"/>
    <w:basedOn w:val="Normal"/>
    <w:link w:val="HeaderCoverPageChar"/>
    <w:rsid w:val="004468FD"/>
    <w:pPr>
      <w:tabs>
        <w:tab w:val="center" w:pos="4535"/>
        <w:tab w:val="right" w:pos="9071"/>
      </w:tabs>
      <w:spacing w:before="0"/>
    </w:pPr>
    <w:rPr>
      <w:rFonts w:eastAsia="Calibri"/>
    </w:rPr>
  </w:style>
  <w:style w:type="character" w:customStyle="1" w:styleId="HeaderCoverPageChar">
    <w:name w:val="Header Cover Page Char"/>
    <w:link w:val="HeaderCoverPage"/>
    <w:rsid w:val="004468FD"/>
    <w:rPr>
      <w:rFonts w:ascii="Times New Roman" w:eastAsia="Calibri" w:hAnsi="Times New Roman" w:cs="Times New Roman"/>
      <w:sz w:val="24"/>
      <w:lang w:val="de-DE"/>
    </w:rPr>
  </w:style>
  <w:style w:type="paragraph" w:customStyle="1" w:styleId="ListDash1">
    <w:name w:val="List Dash 1"/>
    <w:basedOn w:val="Text1"/>
    <w:rsid w:val="004468FD"/>
    <w:pPr>
      <w:numPr>
        <w:numId w:val="15"/>
      </w:numPr>
      <w:spacing w:before="0" w:after="240"/>
    </w:pPr>
    <w:rPr>
      <w:rFonts w:eastAsia="Times New Roman"/>
      <w:szCs w:val="20"/>
    </w:rPr>
  </w:style>
  <w:style w:type="table" w:styleId="TableGrid">
    <w:name w:val="Table Grid"/>
    <w:aliases w:val="Document Table,CV1,Table Format 1,HTG,Tabela Renova,TabelEcorys,Deloitte,Simple table,simple table,Gena,Tabellengitternetz"/>
    <w:basedOn w:val="TableNormal"/>
    <w:uiPriority w:val="5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rsid w:val="004468FD"/>
    <w:pPr>
      <w:keepNext/>
      <w:spacing w:before="0" w:after="480"/>
      <w:jc w:val="center"/>
    </w:pPr>
    <w:rPr>
      <w:rFonts w:eastAsia="Times New Roman"/>
      <w:b/>
      <w:sz w:val="32"/>
      <w:szCs w:val="20"/>
    </w:rPr>
  </w:style>
  <w:style w:type="character" w:customStyle="1" w:styleId="AnnexTitleChar">
    <w:name w:val="Annex Title Char"/>
    <w:link w:val="AnnexTitle"/>
    <w:rsid w:val="004468FD"/>
    <w:rPr>
      <w:rFonts w:ascii="Times New Roman" w:eastAsia="Times New Roman" w:hAnsi="Times New Roman" w:cs="Times New Roman"/>
      <w:b/>
      <w:sz w:val="32"/>
      <w:szCs w:val="20"/>
      <w:lang w:val="de-DE"/>
    </w:rPr>
  </w:style>
  <w:style w:type="table" w:customStyle="1" w:styleId="CV11">
    <w:name w:val="CV11"/>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4468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ensitivityRightChar">
    <w:name w:val="Header Sensitivity Right Char"/>
    <w:rsid w:val="004468FD"/>
    <w:rPr>
      <w:rFonts w:ascii="Times New Roman" w:hAnsi="Times New Roman" w:cs="Times New Roman"/>
      <w:sz w:val="28"/>
      <w:lang w:val="de-DE"/>
    </w:rPr>
  </w:style>
  <w:style w:type="paragraph" w:customStyle="1" w:styleId="CM1">
    <w:name w:val="CM1"/>
    <w:basedOn w:val="Normal"/>
    <w:next w:val="Normal"/>
    <w:uiPriority w:val="99"/>
    <w:rsid w:val="004468FD"/>
    <w:pPr>
      <w:autoSpaceDE w:val="0"/>
      <w:autoSpaceDN w:val="0"/>
      <w:adjustRightInd w:val="0"/>
      <w:spacing w:before="0" w:after="0"/>
      <w:jc w:val="left"/>
    </w:pPr>
    <w:rPr>
      <w:rFonts w:eastAsia="Calibri"/>
      <w:szCs w:val="24"/>
    </w:rPr>
  </w:style>
  <w:style w:type="paragraph" w:customStyle="1" w:styleId="CM3">
    <w:name w:val="CM3"/>
    <w:basedOn w:val="Normal"/>
    <w:next w:val="Normal"/>
    <w:uiPriority w:val="99"/>
    <w:rsid w:val="004468FD"/>
    <w:pPr>
      <w:autoSpaceDE w:val="0"/>
      <w:autoSpaceDN w:val="0"/>
      <w:adjustRightInd w:val="0"/>
      <w:spacing w:before="0" w:after="0"/>
      <w:jc w:val="left"/>
    </w:pPr>
    <w:rPr>
      <w:rFonts w:eastAsia="Calibri"/>
      <w:szCs w:val="24"/>
    </w:rPr>
  </w:style>
  <w:style w:type="paragraph" w:customStyle="1" w:styleId="CM4">
    <w:name w:val="CM4"/>
    <w:basedOn w:val="Normal"/>
    <w:next w:val="Normal"/>
    <w:uiPriority w:val="99"/>
    <w:rsid w:val="004468FD"/>
    <w:pPr>
      <w:autoSpaceDE w:val="0"/>
      <w:autoSpaceDN w:val="0"/>
      <w:adjustRightInd w:val="0"/>
      <w:spacing w:before="0" w:after="0"/>
      <w:jc w:val="left"/>
    </w:pPr>
    <w:rPr>
      <w:rFonts w:eastAsia="Calibri"/>
      <w:szCs w:val="24"/>
    </w:rPr>
  </w:style>
  <w:style w:type="numbering" w:customStyle="1" w:styleId="StyleBulleted6">
    <w:name w:val="Style Bulleted6"/>
    <w:rsid w:val="004468FD"/>
    <w:pPr>
      <w:numPr>
        <w:numId w:val="16"/>
      </w:numPr>
    </w:pPr>
  </w:style>
  <w:style w:type="table" w:customStyle="1" w:styleId="Mainbidtables">
    <w:name w:val="Main bid tables"/>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numbering" w:customStyle="1" w:styleId="StyleNumberedLeft025Hanging025">
    <w:name w:val="Style Numbered Left:  0.25&quot; Hanging:  0.25&quot;"/>
    <w:basedOn w:val="NoList"/>
    <w:rsid w:val="004468FD"/>
    <w:pPr>
      <w:numPr>
        <w:numId w:val="17"/>
      </w:numPr>
    </w:pPr>
  </w:style>
  <w:style w:type="table" w:styleId="PlainTable1">
    <w:name w:val="Plain Table 1"/>
    <w:basedOn w:val="TableNormal"/>
    <w:uiPriority w:val="41"/>
    <w:rsid w:val="004468FD"/>
    <w:pPr>
      <w:spacing w:after="0" w:line="240" w:lineRule="auto"/>
    </w:pPr>
    <w:rPr>
      <w:rFonts w:eastAsia="Calibri" w:cs="Arial"/>
      <w:sz w:val="20"/>
      <w:szCs w:val="20"/>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una-pos">
    <w:name w:val="luna-pos"/>
    <w:rsid w:val="004468FD"/>
  </w:style>
  <w:style w:type="character" w:customStyle="1" w:styleId="one-click-content">
    <w:name w:val="one-click-content"/>
    <w:rsid w:val="004468FD"/>
  </w:style>
  <w:style w:type="character" w:customStyle="1" w:styleId="luna-example">
    <w:name w:val="luna-example"/>
    <w:rsid w:val="004468FD"/>
  </w:style>
  <w:style w:type="paragraph" w:styleId="EndnoteText">
    <w:name w:val="endnote text"/>
    <w:basedOn w:val="Normal"/>
    <w:link w:val="EndnoteTextChar"/>
    <w:uiPriority w:val="99"/>
    <w:semiHidden/>
    <w:unhideWhenUsed/>
    <w:rsid w:val="004468FD"/>
    <w:pPr>
      <w:spacing w:before="0" w:after="0"/>
      <w:jc w:val="left"/>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4468FD"/>
    <w:rPr>
      <w:rFonts w:ascii="Calibri" w:eastAsia="Calibri" w:hAnsi="Calibri" w:cs="Arial"/>
      <w:sz w:val="20"/>
      <w:szCs w:val="20"/>
      <w:lang w:val="de-DE"/>
    </w:rPr>
  </w:style>
  <w:style w:type="character" w:styleId="EndnoteReference">
    <w:name w:val="endnote reference"/>
    <w:uiPriority w:val="99"/>
    <w:semiHidden/>
    <w:unhideWhenUsed/>
    <w:rsid w:val="004468FD"/>
    <w:rPr>
      <w:vertAlign w:val="superscript"/>
    </w:rPr>
  </w:style>
  <w:style w:type="character" w:styleId="FollowedHyperlink">
    <w:name w:val="FollowedHyperlink"/>
    <w:uiPriority w:val="99"/>
    <w:semiHidden/>
    <w:unhideWhenUsed/>
    <w:rsid w:val="004468FD"/>
    <w:rPr>
      <w:color w:val="800080"/>
      <w:u w:val="single"/>
    </w:rPr>
  </w:style>
  <w:style w:type="character" w:customStyle="1" w:styleId="normaltextrun">
    <w:name w:val="normaltextrun"/>
    <w:rsid w:val="004468FD"/>
  </w:style>
  <w:style w:type="paragraph" w:customStyle="1" w:styleId="paragraph">
    <w:name w:val="paragraph"/>
    <w:basedOn w:val="Normal"/>
    <w:rsid w:val="004468FD"/>
    <w:pPr>
      <w:spacing w:before="100" w:beforeAutospacing="1" w:after="100" w:afterAutospacing="1"/>
      <w:jc w:val="left"/>
    </w:pPr>
    <w:rPr>
      <w:rFonts w:eastAsia="Times New Roman"/>
      <w:sz w:val="20"/>
      <w:szCs w:val="24"/>
      <w:lang w:eastAsia="en-GB"/>
    </w:rPr>
  </w:style>
  <w:style w:type="paragraph" w:styleId="NormalWeb">
    <w:name w:val="Normal (Web)"/>
    <w:basedOn w:val="Normal"/>
    <w:uiPriority w:val="99"/>
    <w:unhideWhenUsed/>
    <w:rsid w:val="004468FD"/>
    <w:pPr>
      <w:spacing w:before="100" w:beforeAutospacing="1" w:after="100" w:afterAutospacing="1"/>
      <w:jc w:val="left"/>
    </w:pPr>
    <w:rPr>
      <w:rFonts w:eastAsia="Times New Roman"/>
      <w:szCs w:val="24"/>
      <w:lang w:eastAsia="en-GB"/>
    </w:rPr>
  </w:style>
  <w:style w:type="character" w:styleId="IntenseEmphasis">
    <w:name w:val="Intense Emphasis"/>
    <w:uiPriority w:val="21"/>
    <w:qFormat/>
    <w:rsid w:val="004468FD"/>
    <w:rPr>
      <w:i/>
      <w:iCs/>
      <w:color w:val="4F81BD"/>
    </w:rPr>
  </w:style>
  <w:style w:type="paragraph" w:customStyle="1" w:styleId="Default">
    <w:name w:val="Default"/>
    <w:rsid w:val="004468F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Mainbidtables1">
    <w:name w:val="Main bid tables1"/>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2">
    <w:name w:val="Main bid tables2"/>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3">
    <w:name w:val="Main bid tables3"/>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4">
    <w:name w:val="Main bid tables4"/>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table" w:customStyle="1" w:styleId="Mainbidtables5">
    <w:name w:val="Main bid tables5"/>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character" w:styleId="Emphasis">
    <w:name w:val="Emphasis"/>
    <w:qFormat/>
    <w:rsid w:val="004468FD"/>
    <w:rPr>
      <w:i/>
      <w:iCs/>
    </w:rPr>
  </w:style>
  <w:style w:type="paragraph" w:customStyle="1" w:styleId="Body">
    <w:name w:val="Body"/>
    <w:basedOn w:val="Normal"/>
    <w:link w:val="BodyChar"/>
    <w:qFormat/>
    <w:rsid w:val="004468FD"/>
    <w:pPr>
      <w:spacing w:before="0" w:after="240"/>
      <w:jc w:val="left"/>
    </w:pPr>
    <w:rPr>
      <w:rFonts w:ascii="Verdana" w:eastAsia="Times New Roman" w:hAnsi="Verdana"/>
      <w:sz w:val="18"/>
      <w:szCs w:val="20"/>
      <w:lang w:eastAsia="nl-BE"/>
    </w:rPr>
  </w:style>
  <w:style w:type="character" w:customStyle="1" w:styleId="BodyChar">
    <w:name w:val="Body Char"/>
    <w:link w:val="Body"/>
    <w:rsid w:val="004468FD"/>
    <w:rPr>
      <w:rFonts w:ascii="Verdana" w:eastAsia="Times New Roman" w:hAnsi="Verdana" w:cs="Times New Roman"/>
      <w:sz w:val="18"/>
      <w:szCs w:val="20"/>
      <w:lang w:val="de-DE" w:eastAsia="nl-BE"/>
    </w:rPr>
  </w:style>
  <w:style w:type="character" w:customStyle="1" w:styleId="CommentTextChar1">
    <w:name w:val="Comment Text Char1"/>
    <w:uiPriority w:val="99"/>
    <w:rsid w:val="004468FD"/>
    <w:rPr>
      <w:rFonts w:ascii="Times New Roman" w:eastAsia="Times New Roman" w:hAnsi="Times New Roman" w:cs="Times New Roman"/>
      <w:sz w:val="20"/>
      <w:szCs w:val="20"/>
      <w:lang w:val="de-DE" w:eastAsia="nl-BE"/>
    </w:rPr>
  </w:style>
  <w:style w:type="character" w:customStyle="1" w:styleId="eop">
    <w:name w:val="eop"/>
    <w:rsid w:val="004468FD"/>
  </w:style>
  <w:style w:type="table" w:customStyle="1" w:styleId="Style3">
    <w:name w:val="Style3"/>
    <w:basedOn w:val="TableNormal"/>
    <w:uiPriority w:val="99"/>
    <w:rsid w:val="004468FD"/>
    <w:pPr>
      <w:spacing w:after="0" w:line="240" w:lineRule="auto"/>
    </w:pPr>
    <w:rPr>
      <w:rFonts w:ascii="Verdana" w:eastAsia="Times New Roman" w:hAnsi="Verdana" w:cs="Times New Roman"/>
      <w:color w:val="000000"/>
      <w:sz w:val="20"/>
      <w:szCs w:val="20"/>
      <w:lang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ascii="Sitka Banner" w:hAnsi="Sitka Banner"/>
        <w:color w:val="FFFFFF"/>
        <w:sz w:val="20"/>
      </w:rPr>
      <w:tblPr/>
      <w:tcPr>
        <w:shd w:val="clear" w:color="auto" w:fill="002395"/>
      </w:tcPr>
    </w:tblStylePr>
  </w:style>
  <w:style w:type="paragraph" w:customStyle="1" w:styleId="Bulletsinglelinelist">
    <w:name w:val="Bullet single line list"/>
    <w:basedOn w:val="Bulletparagraph"/>
    <w:uiPriority w:val="1"/>
    <w:qFormat/>
    <w:rsid w:val="004468FD"/>
    <w:pPr>
      <w:numPr>
        <w:numId w:val="0"/>
      </w:numPr>
      <w:ind w:left="720" w:hanging="360"/>
      <w:contextualSpacing/>
    </w:pPr>
  </w:style>
  <w:style w:type="paragraph" w:customStyle="1" w:styleId="CaptionTitle">
    <w:name w:val="Caption Title"/>
    <w:basedOn w:val="Normal"/>
    <w:link w:val="CaptionTitleChar"/>
    <w:qFormat/>
    <w:rsid w:val="004468FD"/>
    <w:pPr>
      <w:spacing w:before="0" w:after="0"/>
      <w:jc w:val="center"/>
    </w:pPr>
    <w:rPr>
      <w:rFonts w:ascii="EC Square Sans Cond Pro" w:eastAsia="Times New Roman" w:hAnsi="EC Square Sans Cond Pro"/>
      <w:b/>
      <w:bCs/>
      <w:caps/>
      <w:smallCaps/>
      <w:color w:val="2E2E2E"/>
      <w:sz w:val="20"/>
      <w:szCs w:val="24"/>
      <w:u w:val="single"/>
    </w:rPr>
  </w:style>
  <w:style w:type="character" w:customStyle="1" w:styleId="CaptionTitleChar">
    <w:name w:val="Caption Title Char"/>
    <w:link w:val="CaptionTitle"/>
    <w:rsid w:val="004468FD"/>
    <w:rPr>
      <w:rFonts w:ascii="EC Square Sans Cond Pro" w:eastAsia="Times New Roman" w:hAnsi="EC Square Sans Cond Pro" w:cs="Times New Roman"/>
      <w:b/>
      <w:bCs/>
      <w:caps/>
      <w:smallCaps/>
      <w:color w:val="2E2E2E"/>
      <w:sz w:val="20"/>
      <w:szCs w:val="24"/>
      <w:u w:val="single"/>
      <w:lang w:val="de-DE"/>
    </w:rPr>
  </w:style>
  <w:style w:type="paragraph" w:customStyle="1" w:styleId="msonormal0">
    <w:name w:val="msonormal"/>
    <w:basedOn w:val="Normal"/>
    <w:rsid w:val="004468FD"/>
    <w:pPr>
      <w:spacing w:before="100" w:beforeAutospacing="1" w:after="100" w:afterAutospacing="1"/>
      <w:jc w:val="left"/>
    </w:pPr>
    <w:rPr>
      <w:rFonts w:eastAsia="Times New Roman"/>
      <w:szCs w:val="24"/>
      <w:lang w:eastAsia="en-GB"/>
    </w:rPr>
  </w:style>
  <w:style w:type="character" w:customStyle="1" w:styleId="textrun">
    <w:name w:val="textrun"/>
    <w:rsid w:val="004468FD"/>
  </w:style>
  <w:style w:type="character" w:customStyle="1" w:styleId="spellingerror">
    <w:name w:val="spellingerror"/>
    <w:rsid w:val="004468FD"/>
  </w:style>
  <w:style w:type="character" w:customStyle="1" w:styleId="linebreakblob">
    <w:name w:val="linebreakblob"/>
    <w:rsid w:val="004468FD"/>
  </w:style>
  <w:style w:type="character" w:customStyle="1" w:styleId="scxw103124961">
    <w:name w:val="scxw103124961"/>
    <w:rsid w:val="004468FD"/>
  </w:style>
  <w:style w:type="paragraph" w:customStyle="1" w:styleId="Source">
    <w:name w:val="Source"/>
    <w:basedOn w:val="Normal"/>
    <w:link w:val="SourceChar"/>
    <w:qFormat/>
    <w:rsid w:val="004468FD"/>
    <w:pPr>
      <w:spacing w:before="0" w:line="264" w:lineRule="auto"/>
      <w:jc w:val="right"/>
    </w:pPr>
    <w:rPr>
      <w:rFonts w:ascii="Calibri" w:eastAsia="Times New Roman" w:hAnsi="Calibri" w:cs="Calibri"/>
      <w:i/>
      <w:noProof/>
      <w:color w:val="000000"/>
      <w:sz w:val="20"/>
      <w:szCs w:val="18"/>
      <w:lang w:eastAsia="en-GB"/>
    </w:rPr>
  </w:style>
  <w:style w:type="character" w:customStyle="1" w:styleId="SourceChar">
    <w:name w:val="Source Char"/>
    <w:link w:val="Source"/>
    <w:rsid w:val="004468FD"/>
    <w:rPr>
      <w:rFonts w:ascii="Calibri" w:eastAsia="Times New Roman" w:hAnsi="Calibri" w:cs="Calibri"/>
      <w:i/>
      <w:noProof/>
      <w:color w:val="000000"/>
      <w:sz w:val="20"/>
      <w:szCs w:val="18"/>
      <w:lang w:val="de-DE" w:eastAsia="en-GB"/>
    </w:rPr>
  </w:style>
  <w:style w:type="paragraph" w:customStyle="1" w:styleId="Normal2">
    <w:name w:val="Normal2"/>
    <w:basedOn w:val="Normal"/>
    <w:link w:val="Normal2Char"/>
    <w:qFormat/>
    <w:rsid w:val="004468FD"/>
    <w:pPr>
      <w:spacing w:before="0" w:after="240"/>
    </w:pPr>
    <w:rPr>
      <w:rFonts w:ascii="Cambria" w:eastAsia="Times New Roman" w:hAnsi="Cambria"/>
      <w:szCs w:val="20"/>
    </w:rPr>
  </w:style>
  <w:style w:type="character" w:customStyle="1" w:styleId="Normal2Char">
    <w:name w:val="Normal2 Char"/>
    <w:link w:val="Normal2"/>
    <w:rsid w:val="004468FD"/>
    <w:rPr>
      <w:rFonts w:ascii="Cambria" w:eastAsia="Times New Roman" w:hAnsi="Cambria" w:cs="Times New Roman"/>
      <w:sz w:val="24"/>
      <w:szCs w:val="20"/>
      <w:lang w:val="de-DE"/>
    </w:rPr>
  </w:style>
  <w:style w:type="character" w:customStyle="1" w:styleId="Style1">
    <w:name w:val="Style1"/>
    <w:uiPriority w:val="1"/>
    <w:rsid w:val="004468FD"/>
    <w:rPr>
      <w:rFonts w:ascii="Arial" w:hAnsi="Arial"/>
      <w:b w:val="0"/>
      <w:i w:val="0"/>
      <w:spacing w:val="0"/>
      <w:position w:val="0"/>
      <w:sz w:val="24"/>
    </w:rPr>
  </w:style>
  <w:style w:type="character" w:customStyle="1" w:styleId="None">
    <w:name w:val="None"/>
    <w:rsid w:val="004468FD"/>
  </w:style>
  <w:style w:type="character" w:styleId="Strong">
    <w:name w:val="Strong"/>
    <w:uiPriority w:val="22"/>
    <w:qFormat/>
    <w:rsid w:val="004468FD"/>
    <w:rPr>
      <w:b/>
      <w:bCs/>
    </w:rPr>
  </w:style>
  <w:style w:type="paragraph" w:customStyle="1" w:styleId="BodyA">
    <w:name w:val="Body A"/>
    <w:link w:val="BodyAChar"/>
    <w:rsid w:val="004468FD"/>
    <w:pPr>
      <w:shd w:val="clear" w:color="000000" w:fill="auto"/>
      <w:bidi/>
      <w:spacing w:after="0" w:line="240" w:lineRule="auto"/>
      <w:jc w:val="both"/>
    </w:pPr>
    <w:rPr>
      <w:rFonts w:ascii="Times New Roman" w:eastAsia="Times New Roman" w:hAnsi="Times New Roman" w:cs="Times New Roman"/>
      <w:color w:val="000000"/>
      <w:sz w:val="24"/>
      <w:szCs w:val="24"/>
      <w:vertAlign w:val="subscript"/>
      <w:lang w:eastAsia="en-GB"/>
    </w:rPr>
  </w:style>
  <w:style w:type="character" w:customStyle="1" w:styleId="BodyAChar">
    <w:name w:val="Body A Char"/>
    <w:link w:val="BodyA"/>
    <w:rsid w:val="004468FD"/>
    <w:rPr>
      <w:rFonts w:ascii="Times New Roman" w:eastAsia="Times New Roman" w:hAnsi="Times New Roman" w:cs="Times New Roman"/>
      <w:color w:val="000000"/>
      <w:sz w:val="24"/>
      <w:szCs w:val="24"/>
      <w:shd w:val="clear" w:color="000000" w:fill="auto"/>
      <w:vertAlign w:val="subscript"/>
      <w:lang w:val="de-DE" w:eastAsia="en-GB"/>
    </w:rPr>
  </w:style>
  <w:style w:type="paragraph" w:customStyle="1" w:styleId="UBATabellentext">
    <w:name w:val="UBA_Tabellentext"/>
    <w:link w:val="UBATabellentextZchn"/>
    <w:qFormat/>
    <w:rsid w:val="004468FD"/>
    <w:rPr>
      <w:rFonts w:ascii="Cambria" w:eastAsia="Calibri" w:hAnsi="Cambria" w:cs="Arial"/>
      <w:color w:val="000000"/>
      <w:sz w:val="20"/>
    </w:rPr>
  </w:style>
  <w:style w:type="paragraph" w:customStyle="1" w:styleId="UBATabellenkopf">
    <w:name w:val="UBA_Tabellenkopf"/>
    <w:basedOn w:val="UBATabellentext"/>
    <w:qFormat/>
    <w:rsid w:val="004468FD"/>
    <w:pPr>
      <w:spacing w:after="0" w:line="240" w:lineRule="auto"/>
    </w:pPr>
    <w:rPr>
      <w:b/>
    </w:rPr>
  </w:style>
  <w:style w:type="paragraph" w:customStyle="1" w:styleId="Standardtext">
    <w:name w:val="Standardtext"/>
    <w:basedOn w:val="Normal"/>
    <w:qFormat/>
    <w:rsid w:val="004468FD"/>
    <w:pPr>
      <w:spacing w:before="0" w:after="180" w:line="280" w:lineRule="atLeast"/>
    </w:pPr>
    <w:rPr>
      <w:rFonts w:ascii="Arial" w:eastAsia="Calibri" w:hAnsi="Arial" w:cs="Arial"/>
      <w:sz w:val="22"/>
    </w:rPr>
  </w:style>
  <w:style w:type="character" w:customStyle="1" w:styleId="menu-text">
    <w:name w:val="menu-text"/>
    <w:rsid w:val="004468FD"/>
  </w:style>
  <w:style w:type="character" w:customStyle="1" w:styleId="UBATabellentextZchn">
    <w:name w:val="UBA_Tabellentext Zchn"/>
    <w:link w:val="UBATabellentext"/>
    <w:rsid w:val="004468FD"/>
    <w:rPr>
      <w:rFonts w:ascii="Cambria" w:eastAsia="Calibri" w:hAnsi="Cambria" w:cs="Arial"/>
      <w:color w:val="000000"/>
      <w:sz w:val="20"/>
      <w:lang w:val="de-DE"/>
    </w:rPr>
  </w:style>
  <w:style w:type="paragraph" w:customStyle="1" w:styleId="TableTextLeft">
    <w:name w:val="~TableTextLeft"/>
    <w:basedOn w:val="Normal"/>
    <w:qFormat/>
    <w:rsid w:val="004468FD"/>
    <w:pPr>
      <w:spacing w:before="40" w:after="40"/>
      <w:jc w:val="left"/>
    </w:pPr>
    <w:rPr>
      <w:rFonts w:ascii="Calibri" w:eastAsia="Calibri" w:hAnsi="Calibri" w:cs="Arial"/>
      <w:color w:val="000000"/>
      <w:sz w:val="20"/>
    </w:rPr>
  </w:style>
  <w:style w:type="paragraph" w:customStyle="1" w:styleId="UBATabellenundAbbildungsunterschrift">
    <w:name w:val="UBA_Tabellen_und_Abbildungsunterschrift"/>
    <w:basedOn w:val="UBATabellentext"/>
    <w:qFormat/>
    <w:rsid w:val="004468FD"/>
    <w:pPr>
      <w:contextualSpacing/>
    </w:pPr>
    <w:rPr>
      <w:sz w:val="18"/>
    </w:rPr>
  </w:style>
  <w:style w:type="table" w:customStyle="1" w:styleId="UBATabellegrau">
    <w:name w:val="UBA_Tabelle_grau"/>
    <w:basedOn w:val="TableNormal"/>
    <w:uiPriority w:val="99"/>
    <w:rsid w:val="004468FD"/>
    <w:pPr>
      <w:spacing w:after="0" w:line="240" w:lineRule="auto"/>
    </w:pPr>
    <w:rPr>
      <w:rFonts w:eastAsia="Calibri" w:cs="Arial"/>
      <w:color w:val="000000"/>
      <w:sz w:val="20"/>
      <w:szCs w:val="20"/>
      <w:lang w:eastAsia="en-GB"/>
    </w:rPr>
    <w:tblPr>
      <w:tblStyleRowBandSize w:val="1"/>
      <w:tblInd w:w="113" w:type="dxa"/>
      <w:tblBorders>
        <w:insideV w:val="single" w:sz="4" w:space="0" w:color="000000"/>
      </w:tblBorders>
      <w:tblCellMar>
        <w:top w:w="85" w:type="dxa"/>
        <w:bottom w:w="85" w:type="dxa"/>
      </w:tblCellMar>
    </w:tblPr>
    <w:tblStylePr w:type="firstRow">
      <w:tblPr/>
      <w:trPr>
        <w:tblHeader/>
      </w:trPr>
      <w:tcPr>
        <w:shd w:val="clear" w:color="auto" w:fill="BFBFBF"/>
      </w:tcPr>
    </w:tblStylePr>
    <w:tblStylePr w:type="band2Horz">
      <w:tblPr/>
      <w:tcPr>
        <w:shd w:val="clear" w:color="auto" w:fill="F2F2F2"/>
      </w:tcPr>
    </w:tblStylePr>
  </w:style>
  <w:style w:type="paragraph" w:customStyle="1" w:styleId="FooterAddress">
    <w:name w:val="Footer Address"/>
    <w:basedOn w:val="Footer"/>
    <w:link w:val="FooterAddressChar"/>
    <w:qFormat/>
    <w:rsid w:val="004468FD"/>
    <w:pPr>
      <w:tabs>
        <w:tab w:val="clear" w:pos="4535"/>
        <w:tab w:val="clear" w:pos="9071"/>
        <w:tab w:val="clear" w:pos="9921"/>
        <w:tab w:val="center" w:pos="4536"/>
        <w:tab w:val="right" w:pos="9072"/>
      </w:tabs>
      <w:autoSpaceDE w:val="0"/>
      <w:autoSpaceDN w:val="0"/>
      <w:ind w:left="0" w:right="0"/>
    </w:pPr>
    <w:rPr>
      <w:rFonts w:eastAsiaTheme="minorEastAsia"/>
      <w:szCs w:val="24"/>
      <w:lang w:eastAsia="en-GB"/>
    </w:rPr>
  </w:style>
  <w:style w:type="character" w:customStyle="1" w:styleId="FooterAddressChar">
    <w:name w:val="Footer Address Char"/>
    <w:link w:val="FooterAddress"/>
    <w:rsid w:val="004468FD"/>
    <w:rPr>
      <w:rFonts w:ascii="Times New Roman" w:eastAsiaTheme="minorEastAsia" w:hAnsi="Times New Roman" w:cs="Times New Roman"/>
      <w:sz w:val="24"/>
      <w:szCs w:val="24"/>
      <w:lang w:val="de-DE" w:eastAsia="en-GB"/>
    </w:rPr>
  </w:style>
  <w:style w:type="table" w:customStyle="1" w:styleId="Tablestylegreen">
    <w:name w:val="Tablestyle_green"/>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Segoe UI Symbol" w:hAnsi="Segoe UI Symbol"/>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Segoe UI Symbol" w:hAnsi="Segoe UI Symbol"/>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Segoe UI Symbol" w:hAnsi="Segoe UI Symbo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Segoe UI Symbol" w:hAnsi="Segoe UI Symbol"/>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paragraph" w:customStyle="1" w:styleId="JRCText">
    <w:name w:val="JRC_Text"/>
    <w:basedOn w:val="Normal"/>
    <w:autoRedefine/>
    <w:qFormat/>
    <w:rsid w:val="004468FD"/>
    <w:pPr>
      <w:spacing w:before="0" w:after="200" w:line="264" w:lineRule="auto"/>
    </w:pPr>
    <w:rPr>
      <w:rFonts w:eastAsia="Calibri"/>
      <w:szCs w:val="20"/>
    </w:rPr>
  </w:style>
  <w:style w:type="character" w:customStyle="1" w:styleId="Bodytext2Bold">
    <w:name w:val="Body text|2 + Bold"/>
    <w:semiHidden/>
    <w:unhideWhenUsed/>
    <w:rsid w:val="004468FD"/>
    <w:rPr>
      <w:rFonts w:ascii="Arial" w:eastAsia="Arial" w:hAnsi="Arial" w:cs="Arial"/>
      <w:b/>
      <w:bCs/>
      <w:i w:val="0"/>
      <w:iCs w:val="0"/>
      <w:smallCaps w:val="0"/>
      <w:strike w:val="0"/>
      <w:color w:val="000000"/>
      <w:spacing w:val="0"/>
      <w:w w:val="100"/>
      <w:position w:val="0"/>
      <w:sz w:val="20"/>
      <w:szCs w:val="20"/>
      <w:u w:val="none"/>
      <w:lang w:val="de-DE" w:eastAsia="da-DK" w:bidi="da-DK"/>
    </w:rPr>
  </w:style>
  <w:style w:type="character" w:customStyle="1" w:styleId="Bodytext2">
    <w:name w:val="Body text|2"/>
    <w:semiHidden/>
    <w:unhideWhenUsed/>
    <w:rsid w:val="004468FD"/>
    <w:rPr>
      <w:rFonts w:ascii="Arial" w:eastAsia="Arial" w:hAnsi="Arial" w:cs="Arial"/>
      <w:b w:val="0"/>
      <w:bCs w:val="0"/>
      <w:i w:val="0"/>
      <w:iCs w:val="0"/>
      <w:smallCaps w:val="0"/>
      <w:strike w:val="0"/>
      <w:color w:val="000000"/>
      <w:spacing w:val="0"/>
      <w:w w:val="100"/>
      <w:position w:val="0"/>
      <w:sz w:val="20"/>
      <w:szCs w:val="20"/>
      <w:u w:val="none"/>
      <w:lang w:val="de-DE" w:eastAsia="da-DK" w:bidi="da-DK"/>
    </w:rPr>
  </w:style>
  <w:style w:type="character" w:customStyle="1" w:styleId="Tablecaption2">
    <w:name w:val="Table caption|2_"/>
    <w:link w:val="Tablecaption20"/>
    <w:rsid w:val="004468FD"/>
    <w:rPr>
      <w:rFonts w:ascii="Arial" w:eastAsia="Arial" w:hAnsi="Arial" w:cs="Arial"/>
      <w:b/>
      <w:bCs/>
      <w:sz w:val="20"/>
      <w:szCs w:val="20"/>
      <w:shd w:val="clear" w:color="auto" w:fill="FFFFFF"/>
    </w:rPr>
  </w:style>
  <w:style w:type="paragraph" w:customStyle="1" w:styleId="Tablecaption20">
    <w:name w:val="Table caption|2"/>
    <w:basedOn w:val="Normal"/>
    <w:link w:val="Tablecaption2"/>
    <w:rsid w:val="004468FD"/>
    <w:pPr>
      <w:widowControl w:val="0"/>
      <w:shd w:val="clear" w:color="auto" w:fill="FFFFFF"/>
      <w:spacing w:before="0" w:after="0" w:line="224" w:lineRule="exact"/>
      <w:jc w:val="left"/>
    </w:pPr>
    <w:rPr>
      <w:rFonts w:ascii="Arial" w:eastAsia="Arial" w:hAnsi="Arial" w:cs="Arial"/>
      <w:b/>
      <w:bCs/>
      <w:sz w:val="20"/>
      <w:szCs w:val="20"/>
    </w:rPr>
  </w:style>
  <w:style w:type="character" w:customStyle="1" w:styleId="Hyperlink0">
    <w:name w:val="Hyperlink.0"/>
    <w:rsid w:val="004468FD"/>
    <w:rPr>
      <w:rFonts w:ascii="Verdana" w:eastAsia="Verdana" w:hAnsi="Verdana" w:cs="Verdana"/>
      <w:sz w:val="18"/>
      <w:szCs w:val="18"/>
      <w:lang w:val="de-DE"/>
    </w:rPr>
  </w:style>
  <w:style w:type="character" w:customStyle="1" w:styleId="mw-headline">
    <w:name w:val="mw-headline"/>
    <w:rsid w:val="004468FD"/>
  </w:style>
  <w:style w:type="table" w:customStyle="1" w:styleId="TableGrid251">
    <w:name w:val="Table Grid251"/>
    <w:basedOn w:val="TableNormal"/>
    <w:next w:val="TableGrid"/>
    <w:uiPriority w:val="59"/>
    <w:rsid w:val="004468FD"/>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CCovertitle">
    <w:name w:val="JRC_Cover_title"/>
    <w:basedOn w:val="Normal"/>
    <w:autoRedefine/>
    <w:qFormat/>
    <w:rsid w:val="004468FD"/>
    <w:pPr>
      <w:spacing w:before="600" w:after="600" w:line="640" w:lineRule="exact"/>
      <w:ind w:left="-567"/>
      <w:jc w:val="left"/>
    </w:pPr>
    <w:rPr>
      <w:rFonts w:ascii="EC Square Sans Pro" w:eastAsia="Calibri" w:hAnsi="EC Square Sans Pro"/>
      <w:noProof/>
      <w:sz w:val="56"/>
      <w:szCs w:val="56"/>
      <w:lang w:eastAsia="en-GB"/>
    </w:rPr>
  </w:style>
  <w:style w:type="paragraph" w:customStyle="1" w:styleId="JRCLevel-2title">
    <w:name w:val="JRC_Level-2_title"/>
    <w:basedOn w:val="Heading2"/>
    <w:next w:val="JRCText"/>
    <w:autoRedefine/>
    <w:qFormat/>
    <w:rsid w:val="004468FD"/>
    <w:pPr>
      <w:keepLines/>
      <w:numPr>
        <w:ilvl w:val="0"/>
        <w:numId w:val="0"/>
      </w:numPr>
      <w:spacing w:before="240"/>
      <w:ind w:left="432" w:hanging="432"/>
    </w:pPr>
    <w:rPr>
      <w:rFonts w:ascii="EC Square Sans Pro" w:eastAsia="Times New Roman" w:hAnsi="EC Square Sans Pro"/>
      <w:iCs/>
    </w:rPr>
  </w:style>
  <w:style w:type="paragraph" w:customStyle="1" w:styleId="JRCLevel-1title">
    <w:name w:val="JRC_Level-1_title"/>
    <w:basedOn w:val="Heading1"/>
    <w:next w:val="JRCText"/>
    <w:autoRedefine/>
    <w:qFormat/>
    <w:rsid w:val="004468FD"/>
    <w:pPr>
      <w:pageBreakBefore/>
      <w:numPr>
        <w:numId w:val="18"/>
      </w:numPr>
      <w:spacing w:before="0"/>
      <w:jc w:val="left"/>
    </w:pPr>
    <w:rPr>
      <w:rFonts w:ascii="EC Square Sans Pro" w:eastAsia="Calibri" w:hAnsi="EC Square Sans Pro"/>
      <w:bCs w:val="0"/>
      <w:smallCaps w:val="0"/>
      <w:sz w:val="26"/>
      <w:szCs w:val="24"/>
    </w:rPr>
  </w:style>
  <w:style w:type="paragraph" w:customStyle="1" w:styleId="JRCLevel-4title">
    <w:name w:val="JRC_Level-4_title"/>
    <w:basedOn w:val="Normal"/>
    <w:next w:val="JRCText"/>
    <w:autoRedefine/>
    <w:qFormat/>
    <w:rsid w:val="004468FD"/>
    <w:pPr>
      <w:keepNext/>
      <w:numPr>
        <w:ilvl w:val="3"/>
        <w:numId w:val="18"/>
      </w:numPr>
      <w:spacing w:before="240"/>
      <w:jc w:val="left"/>
    </w:pPr>
    <w:rPr>
      <w:rFonts w:ascii="EC Square Sans Pro" w:eastAsia="Times New Roman" w:hAnsi="EC Square Sans Pro"/>
      <w:b/>
      <w:i/>
      <w:sz w:val="20"/>
      <w:lang w:eastAsia="en-GB"/>
    </w:rPr>
  </w:style>
  <w:style w:type="paragraph" w:customStyle="1" w:styleId="JRCLevel-5title">
    <w:name w:val="JRC_Level-5_title"/>
    <w:basedOn w:val="Normal"/>
    <w:next w:val="JRCText"/>
    <w:autoRedefine/>
    <w:qFormat/>
    <w:rsid w:val="004468FD"/>
    <w:pPr>
      <w:keepNext/>
      <w:numPr>
        <w:ilvl w:val="4"/>
        <w:numId w:val="18"/>
      </w:numPr>
      <w:spacing w:before="200" w:after="0"/>
      <w:jc w:val="left"/>
      <w:outlineLvl w:val="4"/>
    </w:pPr>
    <w:rPr>
      <w:rFonts w:ascii="EC Square Sans Pro" w:eastAsia="Times New Roman" w:hAnsi="EC Square Sans Pro"/>
      <w:sz w:val="20"/>
      <w:lang w:eastAsia="en-GB"/>
    </w:rPr>
  </w:style>
  <w:style w:type="paragraph" w:customStyle="1" w:styleId="JRCTextbulletedlist1">
    <w:name w:val="JRC_Text_bulleted_list1"/>
    <w:basedOn w:val="Normal"/>
    <w:autoRedefine/>
    <w:qFormat/>
    <w:rsid w:val="004468FD"/>
    <w:pPr>
      <w:numPr>
        <w:numId w:val="19"/>
      </w:numPr>
    </w:pPr>
    <w:rPr>
      <w:rFonts w:ascii="EC Square Sans Pro" w:eastAsia="Times New Roman" w:hAnsi="EC Square Sans Pro"/>
      <w:sz w:val="20"/>
      <w:lang w:eastAsia="en-GB"/>
    </w:rPr>
  </w:style>
  <w:style w:type="character" w:customStyle="1" w:styleId="highlight">
    <w:name w:val="highlight"/>
    <w:rsid w:val="004468FD"/>
  </w:style>
  <w:style w:type="paragraph" w:styleId="Bibliography">
    <w:name w:val="Bibliography"/>
    <w:basedOn w:val="Normal"/>
    <w:next w:val="Normal"/>
    <w:uiPriority w:val="37"/>
    <w:semiHidden/>
    <w:unhideWhenUsed/>
    <w:rsid w:val="004468FD"/>
    <w:pPr>
      <w:spacing w:before="0" w:after="200" w:line="276" w:lineRule="auto"/>
      <w:jc w:val="left"/>
    </w:pPr>
    <w:rPr>
      <w:rFonts w:ascii="Calibri" w:eastAsia="Calibri" w:hAnsi="Calibri" w:cs="Arial"/>
      <w:sz w:val="22"/>
    </w:rPr>
  </w:style>
  <w:style w:type="table" w:customStyle="1" w:styleId="Mainbidtables6">
    <w:name w:val="Main bid tables6"/>
    <w:basedOn w:val="TableNormal"/>
    <w:uiPriority w:val="99"/>
    <w:rsid w:val="004468FD"/>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cPr>
    </w:tblStylePr>
  </w:style>
  <w:style w:type="paragraph" w:customStyle="1" w:styleId="CitaviBibliographyEntry">
    <w:name w:val="Citavi Bibliography Entry"/>
    <w:basedOn w:val="Normal"/>
    <w:link w:val="CitaviBibliographyEntryChar"/>
    <w:rsid w:val="004468FD"/>
    <w:pPr>
      <w:tabs>
        <w:tab w:val="left" w:pos="283"/>
      </w:tabs>
      <w:spacing w:before="0"/>
      <w:ind w:left="283" w:hanging="283"/>
      <w:jc w:val="left"/>
    </w:pPr>
    <w:rPr>
      <w:rFonts w:ascii="Arial" w:eastAsia="Times New Roman" w:hAnsi="Arial"/>
      <w:sz w:val="20"/>
      <w:szCs w:val="24"/>
    </w:rPr>
  </w:style>
  <w:style w:type="character" w:customStyle="1" w:styleId="CitaviBibliographyEntryChar">
    <w:name w:val="Citavi Bibliography Entry Char"/>
    <w:link w:val="CitaviBibliographyEntry"/>
    <w:rsid w:val="004468FD"/>
    <w:rPr>
      <w:rFonts w:ascii="Arial" w:eastAsia="Times New Roman" w:hAnsi="Arial" w:cs="Times New Roman"/>
      <w:sz w:val="20"/>
      <w:szCs w:val="24"/>
      <w:lang w:val="de-DE"/>
    </w:rPr>
  </w:style>
  <w:style w:type="numbering" w:customStyle="1" w:styleId="StyleBulleted">
    <w:name w:val="Style Bulleted"/>
    <w:basedOn w:val="NoList"/>
    <w:rsid w:val="004468FD"/>
    <w:pPr>
      <w:numPr>
        <w:numId w:val="20"/>
      </w:numPr>
    </w:pPr>
  </w:style>
  <w:style w:type="paragraph" w:customStyle="1" w:styleId="Normal1">
    <w:name w:val="Normal1"/>
    <w:basedOn w:val="Normal"/>
    <w:rsid w:val="004468FD"/>
    <w:pPr>
      <w:spacing w:before="100" w:beforeAutospacing="1" w:after="100" w:afterAutospacing="1"/>
      <w:jc w:val="left"/>
    </w:pPr>
    <w:rPr>
      <w:rFonts w:eastAsia="Times New Roman"/>
      <w:szCs w:val="24"/>
      <w:lang w:eastAsia="en-GB"/>
    </w:rPr>
  </w:style>
  <w:style w:type="character" w:customStyle="1" w:styleId="footnotereference">
    <w:name w:val="footnotereference"/>
    <w:rsid w:val="004468FD"/>
  </w:style>
  <w:style w:type="paragraph" w:customStyle="1" w:styleId="font0">
    <w:name w:val="font0"/>
    <w:basedOn w:val="Normal"/>
    <w:rsid w:val="004468FD"/>
    <w:pPr>
      <w:spacing w:before="100" w:beforeAutospacing="1" w:after="100" w:afterAutospacing="1"/>
      <w:jc w:val="left"/>
    </w:pPr>
    <w:rPr>
      <w:rFonts w:ascii="Arial" w:eastAsia="Times New Roman" w:hAnsi="Arial" w:cs="Arial"/>
      <w:sz w:val="16"/>
      <w:szCs w:val="16"/>
      <w:lang w:eastAsia="en-GB"/>
    </w:rPr>
  </w:style>
  <w:style w:type="paragraph" w:customStyle="1" w:styleId="font5">
    <w:name w:val="font5"/>
    <w:basedOn w:val="Normal"/>
    <w:rsid w:val="004468FD"/>
    <w:pPr>
      <w:spacing w:before="100" w:beforeAutospacing="1" w:after="100" w:afterAutospacing="1"/>
      <w:jc w:val="left"/>
    </w:pPr>
    <w:rPr>
      <w:rFonts w:ascii="Tahoma" w:eastAsia="Times New Roman" w:hAnsi="Tahoma" w:cs="Tahoma"/>
      <w:color w:val="000000"/>
      <w:sz w:val="18"/>
      <w:szCs w:val="18"/>
      <w:lang w:eastAsia="en-GB"/>
    </w:rPr>
  </w:style>
  <w:style w:type="paragraph" w:customStyle="1" w:styleId="font6">
    <w:name w:val="font6"/>
    <w:basedOn w:val="Normal"/>
    <w:rsid w:val="004468FD"/>
    <w:pPr>
      <w:spacing w:before="100" w:beforeAutospacing="1" w:after="100" w:afterAutospacing="1"/>
      <w:jc w:val="left"/>
    </w:pPr>
    <w:rPr>
      <w:rFonts w:ascii="Tahoma" w:eastAsia="Times New Roman" w:hAnsi="Tahoma" w:cs="Tahoma"/>
      <w:b/>
      <w:bCs/>
      <w:color w:val="000000"/>
      <w:sz w:val="18"/>
      <w:szCs w:val="18"/>
      <w:lang w:eastAsia="en-GB"/>
    </w:rPr>
  </w:style>
  <w:style w:type="paragraph" w:customStyle="1" w:styleId="xl110">
    <w:name w:val="xl110"/>
    <w:basedOn w:val="Normal"/>
    <w:rsid w:val="004468FD"/>
    <w:pPr>
      <w:spacing w:before="100" w:beforeAutospacing="1" w:after="100" w:afterAutospacing="1"/>
      <w:jc w:val="left"/>
    </w:pPr>
    <w:rPr>
      <w:rFonts w:eastAsia="Times New Roman"/>
      <w:b/>
      <w:bCs/>
      <w:szCs w:val="24"/>
      <w:lang w:eastAsia="en-GB"/>
    </w:rPr>
  </w:style>
  <w:style w:type="paragraph" w:customStyle="1" w:styleId="xl111">
    <w:name w:val="xl111"/>
    <w:basedOn w:val="Normal"/>
    <w:rsid w:val="004468FD"/>
    <w:pPr>
      <w:spacing w:before="100" w:beforeAutospacing="1" w:after="100" w:afterAutospacing="1"/>
      <w:jc w:val="center"/>
    </w:pPr>
    <w:rPr>
      <w:rFonts w:eastAsia="Times New Roman"/>
      <w:szCs w:val="24"/>
      <w:lang w:eastAsia="en-GB"/>
    </w:rPr>
  </w:style>
  <w:style w:type="paragraph" w:customStyle="1" w:styleId="xl112">
    <w:name w:val="xl112"/>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13">
    <w:name w:val="xl113"/>
    <w:basedOn w:val="Normal"/>
    <w:rsid w:val="004468FD"/>
    <w:pPr>
      <w:pBdr>
        <w:bottom w:val="single" w:sz="4" w:space="0" w:color="auto"/>
      </w:pBdr>
      <w:spacing w:before="100" w:beforeAutospacing="1" w:after="100" w:afterAutospacing="1"/>
      <w:jc w:val="center"/>
    </w:pPr>
    <w:rPr>
      <w:rFonts w:eastAsia="Times New Roman"/>
      <w:szCs w:val="24"/>
      <w:lang w:eastAsia="en-GB"/>
    </w:rPr>
  </w:style>
  <w:style w:type="paragraph" w:customStyle="1" w:styleId="xl114">
    <w:name w:val="xl114"/>
    <w:basedOn w:val="Normal"/>
    <w:rsid w:val="004468FD"/>
    <w:pPr>
      <w:spacing w:before="100" w:beforeAutospacing="1" w:after="100" w:afterAutospacing="1"/>
      <w:jc w:val="left"/>
    </w:pPr>
    <w:rPr>
      <w:rFonts w:eastAsia="Times New Roman"/>
      <w:b/>
      <w:bCs/>
      <w:szCs w:val="24"/>
      <w:lang w:eastAsia="en-GB"/>
    </w:rPr>
  </w:style>
  <w:style w:type="paragraph" w:customStyle="1" w:styleId="xl115">
    <w:name w:val="xl115"/>
    <w:basedOn w:val="Normal"/>
    <w:rsid w:val="004468FD"/>
    <w:pPr>
      <w:spacing w:before="100" w:beforeAutospacing="1" w:after="100" w:afterAutospacing="1"/>
      <w:jc w:val="left"/>
    </w:pPr>
    <w:rPr>
      <w:rFonts w:eastAsia="Times New Roman"/>
      <w:b/>
      <w:bCs/>
      <w:szCs w:val="24"/>
      <w:lang w:eastAsia="en-GB"/>
    </w:rPr>
  </w:style>
  <w:style w:type="paragraph" w:customStyle="1" w:styleId="xl116">
    <w:name w:val="xl116"/>
    <w:basedOn w:val="Normal"/>
    <w:rsid w:val="004468FD"/>
    <w:pPr>
      <w:pBdr>
        <w:top w:val="single" w:sz="8"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17">
    <w:name w:val="xl117"/>
    <w:basedOn w:val="Normal"/>
    <w:rsid w:val="004468FD"/>
    <w:pPr>
      <w:pBdr>
        <w:top w:val="single" w:sz="8" w:space="0" w:color="auto"/>
      </w:pBdr>
      <w:spacing w:before="100" w:beforeAutospacing="1" w:after="100" w:afterAutospacing="1"/>
      <w:jc w:val="left"/>
    </w:pPr>
    <w:rPr>
      <w:rFonts w:eastAsia="Times New Roman"/>
      <w:szCs w:val="24"/>
      <w:lang w:eastAsia="en-GB"/>
    </w:rPr>
  </w:style>
  <w:style w:type="paragraph" w:customStyle="1" w:styleId="xl118">
    <w:name w:val="xl118"/>
    <w:basedOn w:val="Normal"/>
    <w:rsid w:val="004468FD"/>
    <w:pPr>
      <w:pBdr>
        <w:top w:val="single" w:sz="8" w:space="0" w:color="auto"/>
        <w:right w:val="single" w:sz="8" w:space="0" w:color="auto"/>
      </w:pBdr>
      <w:spacing w:before="100" w:beforeAutospacing="1" w:after="100" w:afterAutospacing="1"/>
      <w:jc w:val="left"/>
    </w:pPr>
    <w:rPr>
      <w:rFonts w:eastAsia="Times New Roman"/>
      <w:szCs w:val="24"/>
      <w:lang w:eastAsia="en-GB"/>
    </w:rPr>
  </w:style>
  <w:style w:type="paragraph" w:customStyle="1" w:styleId="xl119">
    <w:name w:val="xl119"/>
    <w:basedOn w:val="Normal"/>
    <w:rsid w:val="004468FD"/>
    <w:pPr>
      <w:pBdr>
        <w:top w:val="single" w:sz="4" w:space="0" w:color="auto"/>
        <w:left w:val="single" w:sz="8" w:space="0" w:color="auto"/>
        <w:right w:val="single" w:sz="4" w:space="0" w:color="auto"/>
      </w:pBdr>
      <w:spacing w:before="100" w:beforeAutospacing="1" w:after="100" w:afterAutospacing="1"/>
      <w:jc w:val="center"/>
    </w:pPr>
    <w:rPr>
      <w:rFonts w:eastAsia="Times New Roman"/>
      <w:b/>
      <w:bCs/>
      <w:szCs w:val="24"/>
      <w:lang w:eastAsia="en-GB"/>
    </w:rPr>
  </w:style>
  <w:style w:type="paragraph" w:customStyle="1" w:styleId="xl120">
    <w:name w:val="xl120"/>
    <w:basedOn w:val="Normal"/>
    <w:rsid w:val="004468FD"/>
    <w:pPr>
      <w:pBdr>
        <w:top w:val="single" w:sz="4" w:space="0" w:color="auto"/>
        <w:bottom w:val="single" w:sz="8" w:space="0" w:color="auto"/>
      </w:pBdr>
      <w:spacing w:before="100" w:beforeAutospacing="1" w:after="100" w:afterAutospacing="1"/>
      <w:jc w:val="center"/>
    </w:pPr>
    <w:rPr>
      <w:rFonts w:eastAsia="Times New Roman"/>
      <w:szCs w:val="24"/>
      <w:lang w:eastAsia="en-GB"/>
    </w:rPr>
  </w:style>
  <w:style w:type="paragraph" w:customStyle="1" w:styleId="xl121">
    <w:name w:val="xl121"/>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22">
    <w:name w:val="xl122"/>
    <w:basedOn w:val="Normal"/>
    <w:rsid w:val="004468FD"/>
    <w:pPr>
      <w:pBdr>
        <w:top w:val="single" w:sz="4" w:space="0" w:color="auto"/>
        <w:left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3">
    <w:name w:val="xl123"/>
    <w:basedOn w:val="Normal"/>
    <w:rsid w:val="004468FD"/>
    <w:pPr>
      <w:pBdr>
        <w:top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4">
    <w:name w:val="xl124"/>
    <w:basedOn w:val="Normal"/>
    <w:rsid w:val="004468FD"/>
    <w:pPr>
      <w:pBdr>
        <w:top w:val="single" w:sz="4" w:space="0" w:color="auto"/>
        <w:right w:val="single" w:sz="8"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5">
    <w:name w:val="xl125"/>
    <w:basedOn w:val="Normal"/>
    <w:rsid w:val="004468FD"/>
    <w:pPr>
      <w:pBdr>
        <w:top w:val="single" w:sz="4" w:space="0" w:color="auto"/>
        <w:right w:val="single" w:sz="4"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6">
    <w:name w:val="xl126"/>
    <w:basedOn w:val="Normal"/>
    <w:rsid w:val="004468FD"/>
    <w:pPr>
      <w:pBdr>
        <w:right w:val="single" w:sz="4"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7">
    <w:name w:val="xl127"/>
    <w:basedOn w:val="Normal"/>
    <w:rsid w:val="004468FD"/>
    <w:pPr>
      <w:pBdr>
        <w:right w:val="single" w:sz="8" w:space="0" w:color="auto"/>
      </w:pBdr>
      <w:shd w:val="clear" w:color="000000" w:fill="C1EEFF"/>
      <w:spacing w:before="100" w:beforeAutospacing="1" w:after="100" w:afterAutospacing="1"/>
      <w:jc w:val="center"/>
    </w:pPr>
    <w:rPr>
      <w:rFonts w:eastAsia="Times New Roman"/>
      <w:szCs w:val="24"/>
      <w:lang w:eastAsia="en-GB"/>
    </w:rPr>
  </w:style>
  <w:style w:type="paragraph" w:customStyle="1" w:styleId="xl128">
    <w:name w:val="xl128"/>
    <w:basedOn w:val="Normal"/>
    <w:rsid w:val="004468FD"/>
    <w:pPr>
      <w:pBdr>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29">
    <w:name w:val="xl129"/>
    <w:basedOn w:val="Normal"/>
    <w:rsid w:val="004468FD"/>
    <w:pPr>
      <w:pBdr>
        <w:top w:val="single" w:sz="4" w:space="0" w:color="auto"/>
      </w:pBdr>
      <w:spacing w:before="100" w:beforeAutospacing="1" w:after="100" w:afterAutospacing="1"/>
      <w:jc w:val="center"/>
    </w:pPr>
    <w:rPr>
      <w:rFonts w:eastAsia="Times New Roman"/>
      <w:szCs w:val="24"/>
      <w:lang w:eastAsia="en-GB"/>
    </w:rPr>
  </w:style>
  <w:style w:type="paragraph" w:customStyle="1" w:styleId="xl130">
    <w:name w:val="xl130"/>
    <w:basedOn w:val="Normal"/>
    <w:rsid w:val="004468FD"/>
    <w:pPr>
      <w:pBdr>
        <w:top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1">
    <w:name w:val="xl131"/>
    <w:basedOn w:val="Normal"/>
    <w:rsid w:val="004468FD"/>
    <w:pPr>
      <w:spacing w:before="100" w:beforeAutospacing="1" w:after="100" w:afterAutospacing="1"/>
      <w:jc w:val="center"/>
      <w:textAlignment w:val="top"/>
    </w:pPr>
    <w:rPr>
      <w:rFonts w:eastAsia="Times New Roman"/>
      <w:szCs w:val="24"/>
      <w:lang w:eastAsia="en-GB"/>
    </w:rPr>
  </w:style>
  <w:style w:type="paragraph" w:customStyle="1" w:styleId="xl132">
    <w:name w:val="xl132"/>
    <w:basedOn w:val="Normal"/>
    <w:rsid w:val="004468FD"/>
    <w:pPr>
      <w:pBdr>
        <w:bottom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33">
    <w:name w:val="xl133"/>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4">
    <w:name w:val="xl134"/>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5">
    <w:name w:val="xl135"/>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6">
    <w:name w:val="xl136"/>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37">
    <w:name w:val="xl137"/>
    <w:basedOn w:val="Normal"/>
    <w:rsid w:val="004468FD"/>
    <w:pPr>
      <w:pBdr>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38">
    <w:name w:val="xl138"/>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139">
    <w:name w:val="xl139"/>
    <w:basedOn w:val="Normal"/>
    <w:rsid w:val="004468FD"/>
    <w:pPr>
      <w:pBdr>
        <w:top w:val="single" w:sz="8"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40">
    <w:name w:val="xl140"/>
    <w:basedOn w:val="Normal"/>
    <w:rsid w:val="004468FD"/>
    <w:pPr>
      <w:pBdr>
        <w:top w:val="single" w:sz="8" w:space="0" w:color="auto"/>
      </w:pBdr>
      <w:spacing w:before="100" w:beforeAutospacing="1" w:after="100" w:afterAutospacing="1"/>
      <w:jc w:val="center"/>
    </w:pPr>
    <w:rPr>
      <w:rFonts w:eastAsia="Times New Roman"/>
      <w:szCs w:val="24"/>
      <w:lang w:eastAsia="en-GB"/>
    </w:rPr>
  </w:style>
  <w:style w:type="paragraph" w:customStyle="1" w:styleId="xl141">
    <w:name w:val="xl141"/>
    <w:basedOn w:val="Normal"/>
    <w:rsid w:val="004468FD"/>
    <w:pPr>
      <w:pBdr>
        <w:left w:val="single" w:sz="8" w:space="0" w:color="auto"/>
      </w:pBdr>
      <w:spacing w:before="100" w:beforeAutospacing="1" w:after="100" w:afterAutospacing="1"/>
      <w:jc w:val="left"/>
    </w:pPr>
    <w:rPr>
      <w:rFonts w:eastAsia="Times New Roman"/>
      <w:b/>
      <w:bCs/>
      <w:szCs w:val="24"/>
      <w:lang w:eastAsia="en-GB"/>
    </w:rPr>
  </w:style>
  <w:style w:type="paragraph" w:customStyle="1" w:styleId="xl142">
    <w:name w:val="xl142"/>
    <w:basedOn w:val="Normal"/>
    <w:rsid w:val="004468FD"/>
    <w:pPr>
      <w:pBdr>
        <w:top w:val="single" w:sz="4" w:space="0" w:color="auto"/>
        <w:left w:val="single" w:sz="8" w:space="0" w:color="auto"/>
      </w:pBdr>
      <w:spacing w:before="100" w:beforeAutospacing="1" w:after="100" w:afterAutospacing="1"/>
      <w:jc w:val="left"/>
    </w:pPr>
    <w:rPr>
      <w:rFonts w:eastAsia="Times New Roman"/>
      <w:b/>
      <w:bCs/>
      <w:szCs w:val="24"/>
      <w:lang w:eastAsia="en-GB"/>
    </w:rPr>
  </w:style>
  <w:style w:type="paragraph" w:customStyle="1" w:styleId="xl143">
    <w:name w:val="xl143"/>
    <w:basedOn w:val="Normal"/>
    <w:rsid w:val="004468FD"/>
    <w:pPr>
      <w:pBdr>
        <w:top w:val="single" w:sz="4" w:space="0" w:color="auto"/>
        <w:left w:val="single" w:sz="8" w:space="0" w:color="auto"/>
      </w:pBdr>
      <w:spacing w:before="100" w:beforeAutospacing="1" w:after="100" w:afterAutospacing="1"/>
      <w:jc w:val="left"/>
      <w:textAlignment w:val="top"/>
    </w:pPr>
    <w:rPr>
      <w:rFonts w:eastAsia="Times New Roman"/>
      <w:b/>
      <w:bCs/>
      <w:szCs w:val="24"/>
      <w:lang w:eastAsia="en-GB"/>
    </w:rPr>
  </w:style>
  <w:style w:type="paragraph" w:customStyle="1" w:styleId="xl144">
    <w:name w:val="xl144"/>
    <w:basedOn w:val="Normal"/>
    <w:rsid w:val="004468FD"/>
    <w:pPr>
      <w:pBdr>
        <w:left w:val="single" w:sz="8" w:space="0" w:color="auto"/>
      </w:pBdr>
      <w:spacing w:before="100" w:beforeAutospacing="1" w:after="100" w:afterAutospacing="1"/>
      <w:jc w:val="left"/>
      <w:textAlignment w:val="top"/>
    </w:pPr>
    <w:rPr>
      <w:rFonts w:eastAsia="Times New Roman"/>
      <w:b/>
      <w:bCs/>
      <w:szCs w:val="24"/>
      <w:lang w:eastAsia="en-GB"/>
    </w:rPr>
  </w:style>
  <w:style w:type="paragraph" w:customStyle="1" w:styleId="xl145">
    <w:name w:val="xl145"/>
    <w:basedOn w:val="Normal"/>
    <w:rsid w:val="004468FD"/>
    <w:pPr>
      <w:pBdr>
        <w:left w:val="single" w:sz="8" w:space="0" w:color="auto"/>
        <w:bottom w:val="single" w:sz="4" w:space="0" w:color="auto"/>
      </w:pBdr>
      <w:spacing w:before="100" w:beforeAutospacing="1" w:after="100" w:afterAutospacing="1"/>
      <w:jc w:val="left"/>
      <w:textAlignment w:val="top"/>
    </w:pPr>
    <w:rPr>
      <w:rFonts w:eastAsia="Times New Roman"/>
      <w:b/>
      <w:bCs/>
      <w:szCs w:val="24"/>
      <w:lang w:eastAsia="en-GB"/>
    </w:rPr>
  </w:style>
  <w:style w:type="paragraph" w:customStyle="1" w:styleId="xl146">
    <w:name w:val="xl146"/>
    <w:basedOn w:val="Normal"/>
    <w:rsid w:val="004468FD"/>
    <w:pPr>
      <w:pBdr>
        <w:left w:val="single" w:sz="8" w:space="0" w:color="auto"/>
        <w:bottom w:val="single" w:sz="8" w:space="0" w:color="auto"/>
      </w:pBdr>
      <w:spacing w:before="100" w:beforeAutospacing="1" w:after="100" w:afterAutospacing="1"/>
      <w:jc w:val="left"/>
    </w:pPr>
    <w:rPr>
      <w:rFonts w:eastAsia="Times New Roman"/>
      <w:b/>
      <w:bCs/>
      <w:szCs w:val="24"/>
      <w:lang w:eastAsia="en-GB"/>
    </w:rPr>
  </w:style>
  <w:style w:type="paragraph" w:customStyle="1" w:styleId="xl147">
    <w:name w:val="xl147"/>
    <w:basedOn w:val="Normal"/>
    <w:rsid w:val="004468F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Cs w:val="24"/>
      <w:lang w:eastAsia="en-GB"/>
    </w:rPr>
  </w:style>
  <w:style w:type="paragraph" w:customStyle="1" w:styleId="xl148">
    <w:name w:val="xl148"/>
    <w:basedOn w:val="Normal"/>
    <w:rsid w:val="004468FD"/>
    <w:pPr>
      <w:pBdr>
        <w:top w:val="single" w:sz="4" w:space="0" w:color="auto"/>
        <w:left w:val="single" w:sz="4" w:space="0" w:color="auto"/>
        <w:right w:val="single" w:sz="8" w:space="0" w:color="auto"/>
      </w:pBdr>
      <w:spacing w:before="100" w:beforeAutospacing="1" w:after="100" w:afterAutospacing="1"/>
      <w:jc w:val="center"/>
    </w:pPr>
    <w:rPr>
      <w:rFonts w:eastAsia="Times New Roman"/>
      <w:b/>
      <w:bCs/>
      <w:szCs w:val="24"/>
      <w:lang w:eastAsia="en-GB"/>
    </w:rPr>
  </w:style>
  <w:style w:type="paragraph" w:customStyle="1" w:styleId="xl149">
    <w:name w:val="xl149"/>
    <w:basedOn w:val="Normal"/>
    <w:rsid w:val="004468FD"/>
    <w:pPr>
      <w:pBdr>
        <w:top w:val="single" w:sz="8" w:space="0" w:color="auto"/>
        <w:left w:val="single" w:sz="8"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50">
    <w:name w:val="xl150"/>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51">
    <w:name w:val="xl151"/>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52">
    <w:name w:val="xl152"/>
    <w:basedOn w:val="Normal"/>
    <w:rsid w:val="004468FD"/>
    <w:pPr>
      <w:pBdr>
        <w:left w:val="single" w:sz="8" w:space="0" w:color="auto"/>
        <w:bottom w:val="single" w:sz="4" w:space="0" w:color="auto"/>
      </w:pBdr>
      <w:spacing w:before="100" w:beforeAutospacing="1" w:after="100" w:afterAutospacing="1"/>
      <w:jc w:val="left"/>
    </w:pPr>
    <w:rPr>
      <w:rFonts w:eastAsia="Times New Roman"/>
      <w:b/>
      <w:bCs/>
      <w:szCs w:val="24"/>
      <w:lang w:eastAsia="en-GB"/>
    </w:rPr>
  </w:style>
  <w:style w:type="paragraph" w:customStyle="1" w:styleId="xl153">
    <w:name w:val="xl153"/>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54">
    <w:name w:val="xl154"/>
    <w:basedOn w:val="Normal"/>
    <w:rsid w:val="004468FD"/>
    <w:pPr>
      <w:pBdr>
        <w:top w:val="single" w:sz="8" w:space="0" w:color="auto"/>
        <w:left w:val="single" w:sz="8" w:space="0" w:color="auto"/>
        <w:bottom w:val="single" w:sz="4" w:space="0" w:color="auto"/>
      </w:pBdr>
      <w:spacing w:before="100" w:beforeAutospacing="1" w:after="100" w:afterAutospacing="1"/>
      <w:jc w:val="center"/>
    </w:pPr>
    <w:rPr>
      <w:rFonts w:eastAsia="Times New Roman"/>
      <w:b/>
      <w:bCs/>
      <w:szCs w:val="24"/>
      <w:lang w:eastAsia="en-GB"/>
    </w:rPr>
  </w:style>
  <w:style w:type="paragraph" w:customStyle="1" w:styleId="xl155">
    <w:name w:val="xl155"/>
    <w:basedOn w:val="Normal"/>
    <w:rsid w:val="004468FD"/>
    <w:pPr>
      <w:pBdr>
        <w:top w:val="single" w:sz="8" w:space="0" w:color="auto"/>
        <w:bottom w:val="single" w:sz="4" w:space="0" w:color="auto"/>
      </w:pBdr>
      <w:spacing w:before="100" w:beforeAutospacing="1" w:after="100" w:afterAutospacing="1"/>
      <w:jc w:val="center"/>
    </w:pPr>
    <w:rPr>
      <w:rFonts w:eastAsia="Times New Roman"/>
      <w:b/>
      <w:bCs/>
      <w:szCs w:val="24"/>
      <w:lang w:eastAsia="en-GB"/>
    </w:rPr>
  </w:style>
  <w:style w:type="paragraph" w:customStyle="1" w:styleId="xl156">
    <w:name w:val="xl156"/>
    <w:basedOn w:val="Normal"/>
    <w:rsid w:val="004468FD"/>
    <w:pPr>
      <w:pBdr>
        <w:top w:val="single" w:sz="8" w:space="0" w:color="auto"/>
        <w:bottom w:val="single" w:sz="4" w:space="0" w:color="auto"/>
        <w:right w:val="single" w:sz="8" w:space="0" w:color="auto"/>
      </w:pBdr>
      <w:spacing w:before="100" w:beforeAutospacing="1" w:after="100" w:afterAutospacing="1"/>
      <w:jc w:val="center"/>
    </w:pPr>
    <w:rPr>
      <w:rFonts w:eastAsia="Times New Roman"/>
      <w:b/>
      <w:bCs/>
      <w:szCs w:val="24"/>
      <w:lang w:eastAsia="en-GB"/>
    </w:rPr>
  </w:style>
  <w:style w:type="paragraph" w:customStyle="1" w:styleId="xl157">
    <w:name w:val="xl157"/>
    <w:basedOn w:val="Normal"/>
    <w:rsid w:val="004468FD"/>
    <w:pPr>
      <w:pBdr>
        <w:left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58">
    <w:name w:val="xl158"/>
    <w:basedOn w:val="Normal"/>
    <w:rsid w:val="004468FD"/>
    <w:pPr>
      <w:pBdr>
        <w:top w:val="single" w:sz="4" w:space="0" w:color="auto"/>
        <w:left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159">
    <w:name w:val="xl159"/>
    <w:basedOn w:val="Normal"/>
    <w:rsid w:val="004468FD"/>
    <w:pPr>
      <w:pBdr>
        <w:top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160">
    <w:name w:val="xl160"/>
    <w:basedOn w:val="Normal"/>
    <w:rsid w:val="004468FD"/>
    <w:pPr>
      <w:pBdr>
        <w:top w:val="single" w:sz="4" w:space="0" w:color="auto"/>
        <w:left w:val="single" w:sz="8" w:space="0" w:color="auto"/>
        <w:bottom w:val="single" w:sz="4" w:space="0" w:color="auto"/>
      </w:pBdr>
      <w:spacing w:before="100" w:beforeAutospacing="1" w:after="100" w:afterAutospacing="1"/>
      <w:jc w:val="left"/>
    </w:pPr>
    <w:rPr>
      <w:rFonts w:eastAsia="Times New Roman"/>
      <w:b/>
      <w:bCs/>
      <w:szCs w:val="24"/>
      <w:lang w:eastAsia="en-GB"/>
    </w:rPr>
  </w:style>
  <w:style w:type="paragraph" w:customStyle="1" w:styleId="xl161">
    <w:name w:val="xl161"/>
    <w:basedOn w:val="Normal"/>
    <w:rsid w:val="004468FD"/>
    <w:pPr>
      <w:pBdr>
        <w:top w:val="single" w:sz="4" w:space="0" w:color="auto"/>
        <w:left w:val="single" w:sz="8" w:space="0" w:color="auto"/>
        <w:bottom w:val="single" w:sz="8" w:space="0" w:color="auto"/>
      </w:pBdr>
      <w:spacing w:before="100" w:beforeAutospacing="1" w:after="100" w:afterAutospacing="1"/>
      <w:jc w:val="left"/>
    </w:pPr>
    <w:rPr>
      <w:rFonts w:eastAsia="Times New Roman"/>
      <w:b/>
      <w:bCs/>
      <w:szCs w:val="24"/>
      <w:lang w:eastAsia="en-GB"/>
    </w:rPr>
  </w:style>
  <w:style w:type="paragraph" w:customStyle="1" w:styleId="xl162">
    <w:name w:val="xl162"/>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3">
    <w:name w:val="xl163"/>
    <w:basedOn w:val="Normal"/>
    <w:rsid w:val="004468FD"/>
    <w:pPr>
      <w:pBdr>
        <w:top w:val="single" w:sz="8" w:space="0" w:color="auto"/>
        <w:left w:val="single" w:sz="8" w:space="0" w:color="auto"/>
        <w:bottom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4">
    <w:name w:val="xl164"/>
    <w:basedOn w:val="Normal"/>
    <w:rsid w:val="004468FD"/>
    <w:pPr>
      <w:pBdr>
        <w:top w:val="single" w:sz="8" w:space="0" w:color="auto"/>
        <w:bottom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5">
    <w:name w:val="xl165"/>
    <w:basedOn w:val="Normal"/>
    <w:rsid w:val="004468FD"/>
    <w:pPr>
      <w:pBdr>
        <w:top w:val="single" w:sz="8" w:space="0" w:color="auto"/>
        <w:bottom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66">
    <w:name w:val="xl166"/>
    <w:basedOn w:val="Normal"/>
    <w:rsid w:val="004468FD"/>
    <w:pPr>
      <w:pBdr>
        <w:top w:val="single" w:sz="4" w:space="0" w:color="auto"/>
        <w:left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67">
    <w:name w:val="xl167"/>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168">
    <w:name w:val="xl168"/>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69">
    <w:name w:val="xl169"/>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0">
    <w:name w:val="xl170"/>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71">
    <w:name w:val="xl171"/>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2">
    <w:name w:val="xl172"/>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3">
    <w:name w:val="xl173"/>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174">
    <w:name w:val="xl174"/>
    <w:basedOn w:val="Normal"/>
    <w:rsid w:val="004468FD"/>
    <w:pPr>
      <w:pBdr>
        <w:left w:val="single" w:sz="4" w:space="0" w:color="auto"/>
        <w:right w:val="single" w:sz="4" w:space="0" w:color="auto"/>
      </w:pBdr>
      <w:shd w:val="clear" w:color="000000" w:fill="FFF1D0"/>
      <w:spacing w:before="100" w:beforeAutospacing="1" w:after="100" w:afterAutospacing="1"/>
      <w:jc w:val="center"/>
    </w:pPr>
    <w:rPr>
      <w:rFonts w:eastAsia="Times New Roman"/>
      <w:szCs w:val="24"/>
      <w:lang w:eastAsia="en-GB"/>
    </w:rPr>
  </w:style>
  <w:style w:type="paragraph" w:customStyle="1" w:styleId="xl175">
    <w:name w:val="xl175"/>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6">
    <w:name w:val="xl176"/>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7">
    <w:name w:val="xl177"/>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78">
    <w:name w:val="xl178"/>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79">
    <w:name w:val="xl179"/>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80">
    <w:name w:val="xl180"/>
    <w:basedOn w:val="Normal"/>
    <w:rsid w:val="004468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i/>
      <w:iCs/>
      <w:szCs w:val="24"/>
      <w:lang w:eastAsia="en-GB"/>
    </w:rPr>
  </w:style>
  <w:style w:type="paragraph" w:customStyle="1" w:styleId="xl181">
    <w:name w:val="xl181"/>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182">
    <w:name w:val="xl182"/>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en-GB"/>
    </w:rPr>
  </w:style>
  <w:style w:type="paragraph" w:customStyle="1" w:styleId="xl183">
    <w:name w:val="xl183"/>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184">
    <w:name w:val="xl18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5">
    <w:name w:val="xl185"/>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6">
    <w:name w:val="xl186"/>
    <w:basedOn w:val="Normal"/>
    <w:rsid w:val="004468FD"/>
    <w:pPr>
      <w:pBdr>
        <w:top w:val="single" w:sz="8" w:space="0" w:color="auto"/>
        <w:left w:val="single" w:sz="8"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87">
    <w:name w:val="xl187"/>
    <w:basedOn w:val="Normal"/>
    <w:rsid w:val="004468FD"/>
    <w:pPr>
      <w:pBdr>
        <w:top w:val="single" w:sz="8" w:space="0" w:color="auto"/>
        <w:left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188">
    <w:name w:val="xl188"/>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89">
    <w:name w:val="xl189"/>
    <w:basedOn w:val="Normal"/>
    <w:rsid w:val="004468FD"/>
    <w:pPr>
      <w:pBdr>
        <w:top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0">
    <w:name w:val="xl190"/>
    <w:basedOn w:val="Normal"/>
    <w:rsid w:val="004468FD"/>
    <w:pPr>
      <w:pBdr>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1">
    <w:name w:val="xl191"/>
    <w:basedOn w:val="Normal"/>
    <w:rsid w:val="004468FD"/>
    <w:pPr>
      <w:pBdr>
        <w:bottom w:val="single" w:sz="4" w:space="0" w:color="auto"/>
        <w:right w:val="single" w:sz="4" w:space="0" w:color="auto"/>
      </w:pBdr>
      <w:spacing w:before="100" w:beforeAutospacing="1" w:after="100" w:afterAutospacing="1"/>
      <w:jc w:val="center"/>
      <w:textAlignment w:val="top"/>
    </w:pPr>
    <w:rPr>
      <w:rFonts w:eastAsia="Times New Roman"/>
      <w:szCs w:val="24"/>
      <w:lang w:eastAsia="en-GB"/>
    </w:rPr>
  </w:style>
  <w:style w:type="paragraph" w:customStyle="1" w:styleId="xl192">
    <w:name w:val="xl192"/>
    <w:basedOn w:val="Normal"/>
    <w:rsid w:val="004468FD"/>
    <w:pPr>
      <w:pBdr>
        <w:top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93">
    <w:name w:val="xl193"/>
    <w:basedOn w:val="Normal"/>
    <w:rsid w:val="004468FD"/>
    <w:pPr>
      <w:pBdr>
        <w:right w:val="single" w:sz="4" w:space="0" w:color="auto"/>
      </w:pBdr>
      <w:spacing w:before="100" w:beforeAutospacing="1" w:after="100" w:afterAutospacing="1"/>
      <w:jc w:val="center"/>
    </w:pPr>
    <w:rPr>
      <w:rFonts w:eastAsia="Times New Roman"/>
      <w:szCs w:val="24"/>
      <w:lang w:eastAsia="en-GB"/>
    </w:rPr>
  </w:style>
  <w:style w:type="paragraph" w:customStyle="1" w:styleId="xl194">
    <w:name w:val="xl194"/>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195">
    <w:name w:val="xl195"/>
    <w:basedOn w:val="Normal"/>
    <w:rsid w:val="004468FD"/>
    <w:pPr>
      <w:pBdr>
        <w:top w:val="single" w:sz="4" w:space="0" w:color="auto"/>
        <w:bottom w:val="single" w:sz="4"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196">
    <w:name w:val="xl196"/>
    <w:basedOn w:val="Normal"/>
    <w:rsid w:val="004468FD"/>
    <w:pPr>
      <w:pBdr>
        <w:top w:val="single" w:sz="4" w:space="0" w:color="auto"/>
        <w:left w:val="single" w:sz="4" w:space="0" w:color="auto"/>
        <w:bottom w:val="single" w:sz="4" w:space="0" w:color="auto"/>
      </w:pBdr>
      <w:spacing w:before="100" w:beforeAutospacing="1" w:after="100" w:afterAutospacing="1"/>
      <w:jc w:val="left"/>
    </w:pPr>
    <w:rPr>
      <w:rFonts w:eastAsia="Times New Roman"/>
      <w:i/>
      <w:iCs/>
      <w:szCs w:val="24"/>
      <w:lang w:eastAsia="en-GB"/>
    </w:rPr>
  </w:style>
  <w:style w:type="paragraph" w:customStyle="1" w:styleId="xl197">
    <w:name w:val="xl197"/>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98">
    <w:name w:val="xl198"/>
    <w:basedOn w:val="Normal"/>
    <w:rsid w:val="004468FD"/>
    <w:pPr>
      <w:pBdr>
        <w:top w:val="single" w:sz="4" w:space="0" w:color="auto"/>
        <w:bottom w:val="single" w:sz="4" w:space="0" w:color="auto"/>
      </w:pBdr>
      <w:spacing w:before="100" w:beforeAutospacing="1" w:after="100" w:afterAutospacing="1"/>
      <w:jc w:val="center"/>
    </w:pPr>
    <w:rPr>
      <w:rFonts w:eastAsia="Times New Roman"/>
      <w:szCs w:val="24"/>
      <w:lang w:eastAsia="en-GB"/>
    </w:rPr>
  </w:style>
  <w:style w:type="paragraph" w:customStyle="1" w:styleId="xl199">
    <w:name w:val="xl199"/>
    <w:basedOn w:val="Normal"/>
    <w:rsid w:val="004468FD"/>
    <w:pPr>
      <w:spacing w:before="100" w:beforeAutospacing="1" w:after="100" w:afterAutospacing="1"/>
      <w:jc w:val="center"/>
      <w:textAlignment w:val="center"/>
    </w:pPr>
    <w:rPr>
      <w:rFonts w:eastAsia="Times New Roman"/>
      <w:szCs w:val="24"/>
      <w:lang w:eastAsia="en-GB"/>
    </w:rPr>
  </w:style>
  <w:style w:type="paragraph" w:customStyle="1" w:styleId="xl200">
    <w:name w:val="xl200"/>
    <w:basedOn w:val="Normal"/>
    <w:rsid w:val="004468FD"/>
    <w:pPr>
      <w:pBdr>
        <w:left w:val="single" w:sz="4" w:space="0" w:color="auto"/>
      </w:pBdr>
      <w:spacing w:before="100" w:beforeAutospacing="1" w:after="100" w:afterAutospacing="1"/>
      <w:jc w:val="center"/>
      <w:textAlignment w:val="center"/>
    </w:pPr>
    <w:rPr>
      <w:rFonts w:eastAsia="Times New Roman"/>
      <w:szCs w:val="24"/>
      <w:lang w:eastAsia="en-GB"/>
    </w:rPr>
  </w:style>
  <w:style w:type="paragraph" w:customStyle="1" w:styleId="xl201">
    <w:name w:val="xl201"/>
    <w:basedOn w:val="Normal"/>
    <w:rsid w:val="004468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2">
    <w:name w:val="xl202"/>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203">
    <w:name w:val="xl203"/>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i/>
      <w:iCs/>
      <w:szCs w:val="24"/>
      <w:lang w:eastAsia="en-GB"/>
    </w:rPr>
  </w:style>
  <w:style w:type="paragraph" w:customStyle="1" w:styleId="xl204">
    <w:name w:val="xl20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05">
    <w:name w:val="xl205"/>
    <w:basedOn w:val="Normal"/>
    <w:rsid w:val="004468F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6">
    <w:name w:val="xl206"/>
    <w:basedOn w:val="Normal"/>
    <w:rsid w:val="004468FD"/>
    <w:pPr>
      <w:pBdr>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07">
    <w:name w:val="xl207"/>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08">
    <w:name w:val="xl208"/>
    <w:basedOn w:val="Normal"/>
    <w:rsid w:val="004468FD"/>
    <w:pPr>
      <w:pBdr>
        <w:top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09">
    <w:name w:val="xl209"/>
    <w:basedOn w:val="Normal"/>
    <w:rsid w:val="004468FD"/>
    <w:pPr>
      <w:pBdr>
        <w:left w:val="single" w:sz="4" w:space="0" w:color="auto"/>
        <w:bottom w:val="single" w:sz="8" w:space="0" w:color="auto"/>
      </w:pBdr>
      <w:spacing w:before="100" w:beforeAutospacing="1" w:after="100" w:afterAutospacing="1"/>
      <w:jc w:val="left"/>
    </w:pPr>
    <w:rPr>
      <w:rFonts w:eastAsia="Times New Roman"/>
      <w:i/>
      <w:iCs/>
      <w:szCs w:val="24"/>
      <w:lang w:eastAsia="en-GB"/>
    </w:rPr>
  </w:style>
  <w:style w:type="paragraph" w:customStyle="1" w:styleId="xl210">
    <w:name w:val="xl210"/>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211">
    <w:name w:val="xl211"/>
    <w:basedOn w:val="Normal"/>
    <w:rsid w:val="004468FD"/>
    <w:pPr>
      <w:pBdr>
        <w:bottom w:val="single" w:sz="8" w:space="0" w:color="auto"/>
      </w:pBdr>
      <w:spacing w:before="100" w:beforeAutospacing="1" w:after="100" w:afterAutospacing="1"/>
      <w:jc w:val="center"/>
    </w:pPr>
    <w:rPr>
      <w:rFonts w:eastAsia="Times New Roman"/>
      <w:szCs w:val="24"/>
      <w:lang w:eastAsia="en-GB"/>
    </w:rPr>
  </w:style>
  <w:style w:type="paragraph" w:customStyle="1" w:styleId="xl212">
    <w:name w:val="xl212"/>
    <w:basedOn w:val="Normal"/>
    <w:rsid w:val="004468FD"/>
    <w:pPr>
      <w:pBdr>
        <w:bottom w:val="single" w:sz="8"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xl213">
    <w:name w:val="xl213"/>
    <w:basedOn w:val="Normal"/>
    <w:rsid w:val="004468FD"/>
    <w:pPr>
      <w:pBdr>
        <w:top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14">
    <w:name w:val="xl214"/>
    <w:basedOn w:val="Normal"/>
    <w:rsid w:val="004468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15">
    <w:name w:val="xl215"/>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left"/>
    </w:pPr>
    <w:rPr>
      <w:rFonts w:eastAsia="Times New Roman"/>
      <w:b/>
      <w:bCs/>
      <w:szCs w:val="24"/>
      <w:lang w:eastAsia="en-GB"/>
    </w:rPr>
  </w:style>
  <w:style w:type="paragraph" w:customStyle="1" w:styleId="xl216">
    <w:name w:val="xl216"/>
    <w:basedOn w:val="Normal"/>
    <w:rsid w:val="004468FD"/>
    <w:pPr>
      <w:pBdr>
        <w:top w:val="single" w:sz="8" w:space="0" w:color="auto"/>
        <w:left w:val="single" w:sz="4" w:space="0" w:color="auto"/>
        <w:bottom w:val="single" w:sz="4" w:space="0" w:color="auto"/>
        <w:right w:val="single" w:sz="4"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7">
    <w:name w:val="xl217"/>
    <w:basedOn w:val="Normal"/>
    <w:rsid w:val="004468FD"/>
    <w:pPr>
      <w:pBdr>
        <w:top w:val="single" w:sz="8" w:space="0" w:color="auto"/>
        <w:left w:val="single" w:sz="4" w:space="0" w:color="auto"/>
        <w:bottom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8">
    <w:name w:val="xl218"/>
    <w:basedOn w:val="Normal"/>
    <w:rsid w:val="004468FD"/>
    <w:pPr>
      <w:pBdr>
        <w:top w:val="single" w:sz="8" w:space="0" w:color="auto"/>
        <w:left w:val="single" w:sz="4" w:space="0" w:color="auto"/>
        <w:right w:val="single" w:sz="8" w:space="0" w:color="auto"/>
      </w:pBdr>
      <w:shd w:val="clear" w:color="000000" w:fill="EDFFC4"/>
      <w:spacing w:before="100" w:beforeAutospacing="1" w:after="100" w:afterAutospacing="1"/>
      <w:jc w:val="center"/>
    </w:pPr>
    <w:rPr>
      <w:rFonts w:eastAsia="Times New Roman"/>
      <w:b/>
      <w:bCs/>
      <w:szCs w:val="24"/>
      <w:lang w:eastAsia="en-GB"/>
    </w:rPr>
  </w:style>
  <w:style w:type="paragraph" w:customStyle="1" w:styleId="xl219">
    <w:name w:val="xl219"/>
    <w:basedOn w:val="Normal"/>
    <w:rsid w:val="004468FD"/>
    <w:pPr>
      <w:pBdr>
        <w:top w:val="single" w:sz="8"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0">
    <w:name w:val="xl220"/>
    <w:basedOn w:val="Normal"/>
    <w:rsid w:val="004468FD"/>
    <w:pPr>
      <w:pBdr>
        <w:top w:val="single" w:sz="8"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1">
    <w:name w:val="xl221"/>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en-GB"/>
    </w:rPr>
  </w:style>
  <w:style w:type="paragraph" w:customStyle="1" w:styleId="xl222">
    <w:name w:val="xl222"/>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3">
    <w:name w:val="xl223"/>
    <w:basedOn w:val="Normal"/>
    <w:rsid w:val="004468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en-GB"/>
    </w:rPr>
  </w:style>
  <w:style w:type="paragraph" w:customStyle="1" w:styleId="xl224">
    <w:name w:val="xl224"/>
    <w:basedOn w:val="Normal"/>
    <w:rsid w:val="004468F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en-GB"/>
    </w:rPr>
  </w:style>
  <w:style w:type="paragraph" w:customStyle="1" w:styleId="LegalNumPar">
    <w:name w:val="LegalNumPar"/>
    <w:basedOn w:val="Normal"/>
    <w:rsid w:val="004468FD"/>
    <w:pPr>
      <w:spacing w:before="0" w:after="200" w:line="360" w:lineRule="auto"/>
      <w:ind w:left="476" w:hanging="476"/>
      <w:jc w:val="left"/>
    </w:pPr>
    <w:rPr>
      <w:rFonts w:ascii="Calibri" w:eastAsia="Calibri" w:hAnsi="Calibri" w:cs="Arial"/>
    </w:rPr>
  </w:style>
  <w:style w:type="paragraph" w:customStyle="1" w:styleId="LegalNumPar2">
    <w:name w:val="LegalNumPar2"/>
    <w:basedOn w:val="Normal"/>
    <w:rsid w:val="004468FD"/>
    <w:pPr>
      <w:spacing w:before="0" w:after="200" w:line="360" w:lineRule="auto"/>
      <w:ind w:left="953" w:hanging="477"/>
      <w:jc w:val="left"/>
    </w:pPr>
    <w:rPr>
      <w:rFonts w:ascii="Calibri" w:eastAsia="Calibri" w:hAnsi="Calibri" w:cs="Arial"/>
    </w:rPr>
  </w:style>
  <w:style w:type="paragraph" w:customStyle="1" w:styleId="LegalNumPar3">
    <w:name w:val="LegalNumPar3"/>
    <w:basedOn w:val="Normal"/>
    <w:rsid w:val="004468FD"/>
    <w:pPr>
      <w:spacing w:before="0" w:after="200" w:line="360" w:lineRule="auto"/>
      <w:ind w:left="1429" w:hanging="476"/>
      <w:jc w:val="left"/>
    </w:pPr>
    <w:rPr>
      <w:rFonts w:ascii="Calibri" w:eastAsia="Calibri" w:hAnsi="Calibri" w:cs="Arial"/>
    </w:rPr>
  </w:style>
  <w:style w:type="paragraph" w:customStyle="1" w:styleId="TableText">
    <w:name w:val="TableText"/>
    <w:aliases w:val="TableTextNoSpace"/>
    <w:basedOn w:val="Normal"/>
    <w:uiPriority w:val="31"/>
    <w:qFormat/>
    <w:rsid w:val="004468FD"/>
    <w:pPr>
      <w:spacing w:after="0"/>
      <w:ind w:left="113"/>
      <w:jc w:val="left"/>
    </w:pPr>
    <w:rPr>
      <w:rFonts w:ascii="Verdana" w:eastAsia="Calibri" w:hAnsi="Verdana" w:cs="Arial"/>
      <w:color w:val="000000"/>
      <w:sz w:val="20"/>
    </w:rPr>
  </w:style>
  <w:style w:type="numbering" w:customStyle="1" w:styleId="NumblistTables">
    <w:name w:val="Numblist Tables"/>
    <w:uiPriority w:val="99"/>
    <w:rsid w:val="004468FD"/>
    <w:pPr>
      <w:numPr>
        <w:numId w:val="21"/>
      </w:numPr>
    </w:pPr>
  </w:style>
  <w:style w:type="table" w:styleId="TableElegant">
    <w:name w:val="Table Elegant"/>
    <w:basedOn w:val="TableNormal"/>
    <w:rsid w:val="004468FD"/>
    <w:pPr>
      <w:spacing w:after="240" w:line="240" w:lineRule="auto"/>
      <w:jc w:val="both"/>
    </w:pPr>
    <w:rPr>
      <w:rFonts w:ascii="Times New Roman" w:eastAsia="Times New Roman" w:hAnsi="Times New Roman" w:cs="Times New Roman"/>
      <w:sz w:val="20"/>
      <w:szCs w:val="20"/>
      <w:lang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Heading">
    <w:name w:val="TableHeading"/>
    <w:aliases w:val="TableHeadingWhite"/>
    <w:basedOn w:val="Normal"/>
    <w:uiPriority w:val="30"/>
    <w:qFormat/>
    <w:rsid w:val="004468FD"/>
    <w:pPr>
      <w:spacing w:after="0"/>
      <w:ind w:left="113"/>
      <w:jc w:val="left"/>
    </w:pPr>
    <w:rPr>
      <w:rFonts w:ascii="Verdana" w:eastAsia="Calibri" w:hAnsi="Verdana" w:cs="Arial"/>
      <w:b/>
      <w:color w:val="FFFFFF"/>
      <w:sz w:val="20"/>
    </w:rPr>
  </w:style>
  <w:style w:type="character" w:customStyle="1" w:styleId="TableChar">
    <w:name w:val="Table Char"/>
    <w:uiPriority w:val="29"/>
    <w:rsid w:val="004468FD"/>
    <w:rPr>
      <w:rFonts w:ascii="Verdana" w:eastAsia="Times New Roman" w:hAnsi="Verdana" w:cs="Times New Roman"/>
      <w:bCs/>
      <w:i/>
      <w:szCs w:val="22"/>
      <w:lang w:val="de-DE" w:eastAsia="en-US"/>
    </w:rPr>
  </w:style>
  <w:style w:type="numbering" w:customStyle="1" w:styleId="NumbListFigures">
    <w:name w:val="NumbList Figures"/>
    <w:uiPriority w:val="99"/>
    <w:rsid w:val="004468FD"/>
    <w:pPr>
      <w:numPr>
        <w:numId w:val="23"/>
      </w:numPr>
    </w:pPr>
  </w:style>
  <w:style w:type="paragraph" w:customStyle="1" w:styleId="FigureTitle">
    <w:name w:val="Figure Title"/>
    <w:basedOn w:val="Normal"/>
    <w:uiPriority w:val="29"/>
    <w:qFormat/>
    <w:rsid w:val="004468FD"/>
    <w:pPr>
      <w:keepNext/>
      <w:keepLines/>
      <w:tabs>
        <w:tab w:val="num" w:pos="1077"/>
      </w:tabs>
      <w:ind w:left="1077" w:hanging="1077"/>
      <w:jc w:val="left"/>
      <w:outlineLvl w:val="2"/>
    </w:pPr>
    <w:rPr>
      <w:rFonts w:ascii="Verdana" w:eastAsia="Times New Roman" w:hAnsi="Verdana"/>
      <w:bCs/>
      <w:i/>
      <w:sz w:val="20"/>
    </w:rPr>
  </w:style>
  <w:style w:type="numbering" w:customStyle="1" w:styleId="NumbListFigure">
    <w:name w:val="NumbList Figure"/>
    <w:uiPriority w:val="99"/>
    <w:rsid w:val="004468FD"/>
    <w:pPr>
      <w:numPr>
        <w:numId w:val="22"/>
      </w:numPr>
    </w:pPr>
  </w:style>
  <w:style w:type="table" w:styleId="GridTable5Dark-Accent1">
    <w:name w:val="Grid Table 5 Dark Accent 1"/>
    <w:basedOn w:val="TableNormal"/>
    <w:uiPriority w:val="50"/>
    <w:rsid w:val="004468FD"/>
    <w:pPr>
      <w:spacing w:after="0" w:line="240" w:lineRule="auto"/>
    </w:pPr>
    <w:rPr>
      <w:rFonts w:eastAsia="Calibri" w:cs="Arial"/>
      <w:sz w:val="20"/>
      <w:szCs w:val="20"/>
      <w:lang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PlainTable3">
    <w:name w:val="Plain Table 3"/>
    <w:basedOn w:val="TableNormal"/>
    <w:uiPriority w:val="43"/>
    <w:rsid w:val="004468FD"/>
    <w:pPr>
      <w:spacing w:after="0" w:line="240" w:lineRule="auto"/>
    </w:pPr>
    <w:rPr>
      <w:rFonts w:eastAsia="Calibri" w:cs="Arial"/>
      <w:sz w:val="20"/>
      <w:szCs w:val="20"/>
      <w:lang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jlqj4b">
    <w:name w:val="jlqj4b"/>
    <w:rsid w:val="004468FD"/>
  </w:style>
  <w:style w:type="paragraph" w:customStyle="1" w:styleId="Briefinglist1">
    <w:name w:val="Briefing list 1"/>
    <w:basedOn w:val="Normal"/>
    <w:link w:val="Briefinglist1Char"/>
    <w:rsid w:val="004468FD"/>
    <w:pPr>
      <w:keepLines/>
      <w:numPr>
        <w:numId w:val="24"/>
      </w:numPr>
      <w:spacing w:before="0"/>
    </w:pPr>
    <w:rPr>
      <w:rFonts w:ascii="Arial" w:eastAsia="Times New Roman" w:hAnsi="Arial"/>
      <w:sz w:val="22"/>
      <w:szCs w:val="24"/>
      <w:lang w:eastAsia="en-GB"/>
    </w:rPr>
  </w:style>
  <w:style w:type="character" w:customStyle="1" w:styleId="Briefinglist1Char">
    <w:name w:val="Briefing list 1 Char"/>
    <w:link w:val="Briefinglist1"/>
    <w:rsid w:val="004468FD"/>
    <w:rPr>
      <w:rFonts w:ascii="Arial" w:eastAsia="Times New Roman" w:hAnsi="Arial" w:cs="Times New Roman"/>
      <w:szCs w:val="24"/>
      <w:lang w:val="en-GB" w:eastAsia="en-GB"/>
    </w:rPr>
  </w:style>
  <w:style w:type="table" w:customStyle="1" w:styleId="Tablestylegreen1">
    <w:name w:val="Tablestyle_green1"/>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Bahnschrift SemiBold SemiConden" w:hAnsi="Bahnschrift SemiBold SemiConden"/>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Bahnschrift SemiBold SemiConden" w:hAnsi="Bahnschrift SemiBold SemiConden"/>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table" w:customStyle="1" w:styleId="Tablestylegreen2">
    <w:name w:val="Tablestyle_green2"/>
    <w:basedOn w:val="TableNormal"/>
    <w:rsid w:val="004468FD"/>
    <w:pPr>
      <w:spacing w:after="0" w:line="240" w:lineRule="auto"/>
    </w:pPr>
    <w:rPr>
      <w:rFonts w:ascii="Verdana" w:eastAsia="Times New Roman" w:hAnsi="Verdana" w:cs="Times New Roman"/>
      <w:color w:val="000000"/>
      <w:sz w:val="16"/>
      <w:szCs w:val="20"/>
      <w:lang w:eastAsia="de-DE"/>
    </w:rPr>
    <w:tblPr>
      <w:tblStyleRowBandSize w:val="1"/>
      <w:tblInd w:w="108" w:type="dxa"/>
    </w:tblPr>
    <w:tcPr>
      <w:vAlign w:val="center"/>
    </w:tcPr>
    <w:tblStylePr w:type="firstRow">
      <w:rPr>
        <w:rFonts w:ascii="Bahnschrift SemiBold SemiConden" w:hAnsi="Bahnschrift SemiBold SemiConden"/>
        <w:b/>
        <w:color w:val="FFFFFF"/>
        <w:sz w:val="16"/>
      </w:rPr>
      <w:tblPr/>
      <w:tcPr>
        <w:tcBorders>
          <w:top w:val="single" w:sz="4" w:space="0" w:color="7AB800"/>
          <w:left w:val="single" w:sz="4" w:space="0" w:color="7AB800"/>
          <w:bottom w:val="single" w:sz="4" w:space="0" w:color="7AB800"/>
          <w:right w:val="single" w:sz="4" w:space="0" w:color="7AB800"/>
          <w:insideH w:val="single" w:sz="4" w:space="0" w:color="7AB800"/>
          <w:insideV w:val="single" w:sz="4" w:space="0" w:color="FFFFFF"/>
          <w:tl2br w:val="nil"/>
          <w:tr2bl w:val="nil"/>
        </w:tcBorders>
        <w:shd w:val="clear" w:color="auto" w:fill="7AB800"/>
      </w:tcPr>
    </w:tblStylePr>
    <w:tblStylePr w:type="lastRow">
      <w:rPr>
        <w:rFonts w:ascii="Bahnschrift SemiBold SemiConden" w:hAnsi="Bahnschrift SemiBold SemiConden"/>
        <w:sz w:val="16"/>
      </w:rPr>
      <w:tblPr/>
      <w:tcPr>
        <w:tcBorders>
          <w:top w:val="nil"/>
          <w:left w:val="single" w:sz="4" w:space="0" w:color="8B8D8E"/>
          <w:bottom w:val="single" w:sz="18" w:space="0" w:color="7AB800"/>
          <w:right w:val="single" w:sz="4" w:space="0" w:color="8B8D8E"/>
          <w:insideH w:val="nil"/>
          <w:insideV w:val="single" w:sz="4" w:space="0" w:color="8B8D8E"/>
          <w:tl2br w:val="nil"/>
          <w:tr2bl w:val="nil"/>
        </w:tcBorders>
      </w:tcPr>
    </w:tblStylePr>
    <w:tblStylePr w:type="band1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tblStylePr w:type="band2Horz">
      <w:rPr>
        <w:rFonts w:ascii="Bahnschrift SemiBold SemiConden" w:hAnsi="Bahnschrift SemiBold SemiConden"/>
        <w:sz w:val="16"/>
      </w:rPr>
      <w:tblPr/>
      <w:tcPr>
        <w:tcBorders>
          <w:top w:val="nil"/>
          <w:left w:val="single" w:sz="4" w:space="0" w:color="8B8D8E"/>
          <w:bottom w:val="single" w:sz="4" w:space="0" w:color="8B8D8E"/>
          <w:right w:val="single" w:sz="4" w:space="0" w:color="8B8D8E"/>
          <w:insideH w:val="nil"/>
          <w:insideV w:val="single" w:sz="4" w:space="0" w:color="8B8D8E"/>
          <w:tl2br w:val="nil"/>
          <w:tr2bl w:val="nil"/>
        </w:tcBorders>
      </w:tcPr>
    </w:tblStylePr>
  </w:style>
  <w:style w:type="paragraph" w:customStyle="1" w:styleId="text20">
    <w:name w:val="text2"/>
    <w:basedOn w:val="Normal"/>
    <w:rsid w:val="004468FD"/>
    <w:pPr>
      <w:spacing w:before="100" w:beforeAutospacing="1" w:after="100" w:afterAutospacing="1"/>
      <w:jc w:val="left"/>
    </w:pPr>
    <w:rPr>
      <w:rFonts w:eastAsia="Times New Roman"/>
      <w:szCs w:val="24"/>
      <w:lang w:eastAsia="en-GB"/>
    </w:rPr>
  </w:style>
  <w:style w:type="paragraph" w:customStyle="1" w:styleId="Titreobjet">
    <w:name w:val="Titre objet"/>
    <w:basedOn w:val="Normal"/>
    <w:next w:val="IntrtEEE"/>
    <w:uiPriority w:val="99"/>
    <w:rsid w:val="004468FD"/>
    <w:pPr>
      <w:spacing w:before="360" w:after="360"/>
      <w:jc w:val="center"/>
    </w:pPr>
    <w:rPr>
      <w:b/>
    </w:rPr>
  </w:style>
  <w:style w:type="paragraph" w:customStyle="1" w:styleId="TitreobjetPagedecouverture">
    <w:name w:val="Titre objet (Page de couverture)"/>
    <w:basedOn w:val="Titreobjet"/>
    <w:next w:val="IntrtEEEPagedecouverture"/>
    <w:rsid w:val="004468FD"/>
  </w:style>
  <w:style w:type="paragraph" w:customStyle="1" w:styleId="Text21">
    <w:name w:val="Text 2"/>
    <w:basedOn w:val="Normal"/>
    <w:rsid w:val="00BB0CF3"/>
    <w:pPr>
      <w:ind w:left="1417"/>
    </w:pPr>
  </w:style>
  <w:style w:type="paragraph" w:customStyle="1" w:styleId="Text22">
    <w:name w:val="Text 2"/>
    <w:basedOn w:val="Normal"/>
    <w:rsid w:val="00BB0CF3"/>
    <w:pPr>
      <w:ind w:left="1417"/>
    </w:pPr>
  </w:style>
  <w:style w:type="paragraph" w:customStyle="1" w:styleId="Text23">
    <w:name w:val="Text 2"/>
    <w:basedOn w:val="Normal"/>
    <w:rsid w:val="00BB0CF3"/>
    <w:pPr>
      <w:ind w:left="1417"/>
    </w:pPr>
  </w:style>
  <w:style w:type="paragraph" w:customStyle="1" w:styleId="Text24">
    <w:name w:val="Text 2"/>
    <w:basedOn w:val="Normal"/>
    <w:rsid w:val="00BB0CF3"/>
    <w:pPr>
      <w:ind w:left="1417"/>
    </w:pPr>
  </w:style>
  <w:style w:type="character" w:styleId="FootnoteReference0">
    <w:name w:val="footnote reference"/>
    <w:basedOn w:val="DefaultParagraphFont"/>
    <w:uiPriority w:val="99"/>
    <w:semiHidden/>
    <w:unhideWhenUsed/>
    <w:rsid w:val="00BB0CF3"/>
    <w:rPr>
      <w:shd w:val="clear" w:color="auto" w:fill="auto"/>
      <w:vertAlign w:val="superscript"/>
    </w:rPr>
  </w:style>
  <w:style w:type="paragraph" w:customStyle="1" w:styleId="Text25">
    <w:name w:val="Text 2"/>
    <w:basedOn w:val="Normal"/>
    <w:rsid w:val="00BB0CF3"/>
    <w:pPr>
      <w:ind w:left="1417"/>
    </w:pPr>
  </w:style>
  <w:style w:type="paragraph" w:customStyle="1" w:styleId="Text26">
    <w:name w:val="Text 2"/>
    <w:basedOn w:val="Normal"/>
    <w:uiPriority w:val="99"/>
    <w:rsid w:val="00BB0CF3"/>
    <w:pPr>
      <w:ind w:left="1417"/>
    </w:pPr>
  </w:style>
  <w:style w:type="paragraph" w:styleId="Caption">
    <w:name w:val="caption"/>
    <w:basedOn w:val="Normal"/>
    <w:next w:val="Normal"/>
    <w:uiPriority w:val="99"/>
    <w:unhideWhenUsed/>
    <w:qFormat/>
    <w:rsid w:val="007D3858"/>
    <w:pPr>
      <w:spacing w:before="0" w:after="200"/>
    </w:pPr>
    <w:rPr>
      <w:i/>
      <w:iCs/>
      <w:color w:val="1F497D" w:themeColor="text2"/>
      <w:sz w:val="18"/>
      <w:szCs w:val="18"/>
    </w:rPr>
  </w:style>
  <w:style w:type="character" w:styleId="Hyperlink">
    <w:name w:val="Hyperlink"/>
    <w:basedOn w:val="DefaultParagraphFont"/>
    <w:uiPriority w:val="99"/>
    <w:unhideWhenUsed/>
    <w:qFormat/>
    <w:rsid w:val="00724686"/>
    <w:rPr>
      <w:color w:val="0000FF" w:themeColor="hyperlink"/>
      <w:u w:val="single"/>
    </w:rPr>
  </w:style>
  <w:style w:type="numbering" w:customStyle="1" w:styleId="NoList1">
    <w:name w:val="No List1"/>
    <w:next w:val="NoList"/>
    <w:uiPriority w:val="99"/>
    <w:semiHidden/>
    <w:unhideWhenUsed/>
    <w:rsid w:val="00926C86"/>
  </w:style>
  <w:style w:type="paragraph" w:customStyle="1" w:styleId="Text27">
    <w:name w:val="Text 2"/>
    <w:basedOn w:val="Normal"/>
    <w:rsid w:val="00BB0CF3"/>
    <w:pPr>
      <w:ind w:left="1417"/>
    </w:pPr>
  </w:style>
  <w:style w:type="paragraph" w:customStyle="1" w:styleId="Text28">
    <w:name w:val="Text 2"/>
    <w:basedOn w:val="Normal"/>
    <w:rsid w:val="00BB0CF3"/>
    <w:pPr>
      <w:ind w:left="1417"/>
    </w:pPr>
  </w:style>
  <w:style w:type="paragraph" w:customStyle="1" w:styleId="Text29">
    <w:name w:val="Text 2"/>
    <w:basedOn w:val="Normal"/>
    <w:uiPriority w:val="99"/>
    <w:rsid w:val="00BB0CF3"/>
    <w:pPr>
      <w:ind w:left="1417"/>
    </w:pPr>
  </w:style>
  <w:style w:type="paragraph" w:customStyle="1" w:styleId="Text2a">
    <w:name w:val="Text 2"/>
    <w:basedOn w:val="Normal"/>
    <w:rsid w:val="00BB0CF3"/>
    <w:pPr>
      <w:ind w:left="1417"/>
    </w:pPr>
  </w:style>
  <w:style w:type="paragraph" w:customStyle="1" w:styleId="Text2b">
    <w:name w:val="Text 2"/>
    <w:basedOn w:val="Normal"/>
    <w:rsid w:val="00BB0CF3"/>
    <w:pPr>
      <w:ind w:left="1417"/>
    </w:pPr>
  </w:style>
  <w:style w:type="paragraph" w:customStyle="1" w:styleId="Text2c">
    <w:name w:val="Text 2"/>
    <w:basedOn w:val="Normal"/>
    <w:rsid w:val="00BB0CF3"/>
    <w:pPr>
      <w:ind w:left="1417"/>
    </w:pPr>
  </w:style>
  <w:style w:type="paragraph" w:customStyle="1" w:styleId="Text2d">
    <w:name w:val="Text 2"/>
    <w:basedOn w:val="Normal"/>
    <w:rsid w:val="00BB0CF3"/>
    <w:pPr>
      <w:ind w:left="1417"/>
    </w:pPr>
  </w:style>
  <w:style w:type="paragraph" w:customStyle="1" w:styleId="Text2e">
    <w:name w:val="Text 2"/>
    <w:basedOn w:val="Normal"/>
    <w:rsid w:val="00BB0CF3"/>
    <w:pPr>
      <w:ind w:left="1417"/>
    </w:pPr>
  </w:style>
  <w:style w:type="paragraph" w:customStyle="1" w:styleId="Text2f">
    <w:name w:val="Text 2"/>
    <w:basedOn w:val="Normal"/>
    <w:rsid w:val="00BB0CF3"/>
    <w:pPr>
      <w:ind w:left="1417"/>
    </w:pPr>
  </w:style>
  <w:style w:type="paragraph" w:customStyle="1" w:styleId="Text2f0">
    <w:name w:val="Text 2"/>
    <w:basedOn w:val="Normal"/>
    <w:rsid w:val="00BB0CF3"/>
    <w:pPr>
      <w:ind w:left="1417"/>
    </w:pPr>
  </w:style>
  <w:style w:type="paragraph" w:customStyle="1" w:styleId="Text2f1">
    <w:name w:val="Text 2"/>
    <w:basedOn w:val="Normal"/>
    <w:rsid w:val="00BB0CF3"/>
    <w:pPr>
      <w:ind w:left="1417"/>
    </w:pPr>
  </w:style>
  <w:style w:type="paragraph" w:styleId="Header">
    <w:name w:val="header"/>
    <w:basedOn w:val="Normal"/>
    <w:link w:val="HeaderChar"/>
    <w:uiPriority w:val="99"/>
    <w:unhideWhenUsed/>
    <w:rsid w:val="00816C38"/>
    <w:pPr>
      <w:tabs>
        <w:tab w:val="center" w:pos="4535"/>
        <w:tab w:val="right" w:pos="9071"/>
      </w:tabs>
      <w:spacing w:before="0"/>
    </w:pPr>
  </w:style>
  <w:style w:type="character" w:customStyle="1" w:styleId="HeaderChar">
    <w:name w:val="Header Char"/>
    <w:basedOn w:val="DefaultParagraphFont"/>
    <w:link w:val="Header"/>
    <w:uiPriority w:val="99"/>
    <w:rsid w:val="00816C38"/>
    <w:rPr>
      <w:rFonts w:ascii="Times New Roman" w:hAnsi="Times New Roman" w:cs="Times New Roman"/>
      <w:sz w:val="24"/>
      <w:lang w:val="de-DE"/>
    </w:rPr>
  </w:style>
  <w:style w:type="paragraph" w:styleId="Footer">
    <w:name w:val="footer"/>
    <w:basedOn w:val="Normal"/>
    <w:link w:val="FooterChar"/>
    <w:uiPriority w:val="99"/>
    <w:unhideWhenUsed/>
    <w:rsid w:val="00816C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16C38"/>
    <w:rPr>
      <w:rFonts w:ascii="Times New Roman" w:hAnsi="Times New Roman" w:cs="Times New Roman"/>
      <w:sz w:val="24"/>
      <w:lang w:val="de-DE"/>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816C38"/>
    <w:pPr>
      <w:tabs>
        <w:tab w:val="center" w:pos="7285"/>
        <w:tab w:val="right" w:pos="14003"/>
      </w:tabs>
      <w:spacing w:before="0"/>
    </w:pPr>
  </w:style>
  <w:style w:type="paragraph" w:customStyle="1" w:styleId="FooterLandscape">
    <w:name w:val="FooterLandscape"/>
    <w:basedOn w:val="Normal"/>
    <w:rsid w:val="00816C38"/>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816C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16C38"/>
    <w:pPr>
      <w:spacing w:before="0"/>
      <w:jc w:val="right"/>
    </w:pPr>
    <w:rPr>
      <w:sz w:val="28"/>
    </w:rPr>
  </w:style>
  <w:style w:type="paragraph" w:customStyle="1" w:styleId="FooterSensitivity">
    <w:name w:val="Footer Sensitivity"/>
    <w:basedOn w:val="Normal"/>
    <w:rsid w:val="00816C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29"/>
      </w:numPr>
    </w:pPr>
  </w:style>
  <w:style w:type="paragraph" w:customStyle="1" w:styleId="Tiret1">
    <w:name w:val="Tiret 1"/>
    <w:basedOn w:val="Point1"/>
    <w:rsid w:val="00BB0CF3"/>
    <w:pPr>
      <w:numPr>
        <w:numId w:val="30"/>
      </w:numPr>
    </w:pPr>
  </w:style>
  <w:style w:type="paragraph" w:customStyle="1" w:styleId="Tiret2">
    <w:name w:val="Tiret 2"/>
    <w:basedOn w:val="Point2"/>
    <w:rsid w:val="00BB0CF3"/>
    <w:pPr>
      <w:numPr>
        <w:numId w:val="31"/>
      </w:numPr>
    </w:pPr>
  </w:style>
  <w:style w:type="paragraph" w:customStyle="1" w:styleId="Tiret3">
    <w:name w:val="Tiret 3"/>
    <w:basedOn w:val="Point3"/>
    <w:rsid w:val="00BB0CF3"/>
    <w:pPr>
      <w:numPr>
        <w:numId w:val="32"/>
      </w:numPr>
    </w:pPr>
  </w:style>
  <w:style w:type="paragraph" w:customStyle="1" w:styleId="Tiret4">
    <w:name w:val="Tiret 4"/>
    <w:basedOn w:val="Point4"/>
    <w:rsid w:val="00BB0CF3"/>
    <w:pPr>
      <w:numPr>
        <w:numId w:val="33"/>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9"/>
      </w:numPr>
    </w:pPr>
  </w:style>
  <w:style w:type="paragraph" w:customStyle="1" w:styleId="NumPar2">
    <w:name w:val="NumPar 2"/>
    <w:basedOn w:val="Normal"/>
    <w:next w:val="Text1"/>
    <w:rsid w:val="00BB0CF3"/>
    <w:pPr>
      <w:numPr>
        <w:ilvl w:val="1"/>
        <w:numId w:val="49"/>
      </w:numPr>
    </w:pPr>
  </w:style>
  <w:style w:type="paragraph" w:customStyle="1" w:styleId="NumPar3">
    <w:name w:val="NumPar 3"/>
    <w:basedOn w:val="Normal"/>
    <w:next w:val="Text1"/>
    <w:rsid w:val="00BB0CF3"/>
    <w:pPr>
      <w:numPr>
        <w:ilvl w:val="2"/>
        <w:numId w:val="49"/>
      </w:numPr>
    </w:pPr>
  </w:style>
  <w:style w:type="paragraph" w:customStyle="1" w:styleId="NumPar4">
    <w:name w:val="NumPar 4"/>
    <w:basedOn w:val="Normal"/>
    <w:next w:val="Text1"/>
    <w:rsid w:val="00BB0CF3"/>
    <w:pPr>
      <w:numPr>
        <w:ilvl w:val="3"/>
        <w:numId w:val="49"/>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36"/>
      </w:numPr>
    </w:pPr>
  </w:style>
  <w:style w:type="paragraph" w:customStyle="1" w:styleId="Point1number">
    <w:name w:val="Point 1 (number)"/>
    <w:basedOn w:val="Normal"/>
    <w:rsid w:val="00BB0CF3"/>
    <w:pPr>
      <w:numPr>
        <w:ilvl w:val="2"/>
        <w:numId w:val="36"/>
      </w:numPr>
    </w:pPr>
  </w:style>
  <w:style w:type="paragraph" w:customStyle="1" w:styleId="Point2number">
    <w:name w:val="Point 2 (number)"/>
    <w:basedOn w:val="Normal"/>
    <w:rsid w:val="00BB0CF3"/>
    <w:pPr>
      <w:numPr>
        <w:ilvl w:val="4"/>
        <w:numId w:val="36"/>
      </w:numPr>
    </w:pPr>
  </w:style>
  <w:style w:type="paragraph" w:customStyle="1" w:styleId="Point3number">
    <w:name w:val="Point 3 (number)"/>
    <w:basedOn w:val="Normal"/>
    <w:rsid w:val="00BB0CF3"/>
    <w:pPr>
      <w:numPr>
        <w:ilvl w:val="6"/>
        <w:numId w:val="36"/>
      </w:numPr>
    </w:pPr>
  </w:style>
  <w:style w:type="paragraph" w:customStyle="1" w:styleId="Point0letter">
    <w:name w:val="Point 0 (letter)"/>
    <w:basedOn w:val="Normal"/>
    <w:rsid w:val="00BB0CF3"/>
    <w:pPr>
      <w:numPr>
        <w:ilvl w:val="1"/>
        <w:numId w:val="36"/>
      </w:numPr>
    </w:pPr>
  </w:style>
  <w:style w:type="paragraph" w:customStyle="1" w:styleId="Point1letter">
    <w:name w:val="Point 1 (letter)"/>
    <w:basedOn w:val="Normal"/>
    <w:rsid w:val="00BB0CF3"/>
    <w:pPr>
      <w:numPr>
        <w:ilvl w:val="3"/>
        <w:numId w:val="36"/>
      </w:numPr>
    </w:pPr>
  </w:style>
  <w:style w:type="paragraph" w:customStyle="1" w:styleId="Point2letter">
    <w:name w:val="Point 2 (letter)"/>
    <w:basedOn w:val="Normal"/>
    <w:rsid w:val="00BB0CF3"/>
    <w:pPr>
      <w:numPr>
        <w:ilvl w:val="5"/>
        <w:numId w:val="36"/>
      </w:numPr>
    </w:pPr>
  </w:style>
  <w:style w:type="paragraph" w:customStyle="1" w:styleId="Point3letter">
    <w:name w:val="Point 3 (letter)"/>
    <w:basedOn w:val="Normal"/>
    <w:rsid w:val="00BB0CF3"/>
    <w:pPr>
      <w:numPr>
        <w:ilvl w:val="7"/>
        <w:numId w:val="36"/>
      </w:numPr>
    </w:pPr>
  </w:style>
  <w:style w:type="paragraph" w:customStyle="1" w:styleId="Point4letter">
    <w:name w:val="Point 4 (letter)"/>
    <w:basedOn w:val="Normal"/>
    <w:rsid w:val="00BB0CF3"/>
    <w:pPr>
      <w:numPr>
        <w:ilvl w:val="8"/>
        <w:numId w:val="36"/>
      </w:numPr>
    </w:pPr>
  </w:style>
  <w:style w:type="paragraph" w:customStyle="1" w:styleId="Bullet0">
    <w:name w:val="Bullet 0"/>
    <w:basedOn w:val="Normal"/>
    <w:rsid w:val="00BB0CF3"/>
    <w:pPr>
      <w:numPr>
        <w:numId w:val="37"/>
      </w:numPr>
    </w:pPr>
  </w:style>
  <w:style w:type="paragraph" w:customStyle="1" w:styleId="Bullet1">
    <w:name w:val="Bullet 1"/>
    <w:basedOn w:val="Normal"/>
    <w:rsid w:val="00BB0CF3"/>
    <w:pPr>
      <w:numPr>
        <w:numId w:val="38"/>
      </w:numPr>
    </w:pPr>
  </w:style>
  <w:style w:type="paragraph" w:customStyle="1" w:styleId="Bullet2">
    <w:name w:val="Bullet 2"/>
    <w:basedOn w:val="Normal"/>
    <w:rsid w:val="00BB0CF3"/>
    <w:pPr>
      <w:numPr>
        <w:numId w:val="39"/>
      </w:numPr>
    </w:pPr>
  </w:style>
  <w:style w:type="paragraph" w:customStyle="1" w:styleId="Bullet3">
    <w:name w:val="Bullet 3"/>
    <w:basedOn w:val="Normal"/>
    <w:rsid w:val="00BB0CF3"/>
    <w:pPr>
      <w:numPr>
        <w:numId w:val="40"/>
      </w:numPr>
    </w:pPr>
  </w:style>
  <w:style w:type="paragraph" w:customStyle="1" w:styleId="Bullet4">
    <w:name w:val="Bullet 4"/>
    <w:basedOn w:val="Normal"/>
    <w:rsid w:val="00BB0CF3"/>
    <w:pPr>
      <w:numPr>
        <w:numId w:val="41"/>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42"/>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customStyle="1" w:styleId="ManualHeading5">
    <w:name w:val="Manual Heading 5"/>
    <w:basedOn w:val="Normal"/>
    <w:next w:val="Text2"/>
    <w:rsid w:val="002927DA"/>
    <w:pPr>
      <w:keepNext/>
      <w:tabs>
        <w:tab w:val="left" w:pos="1417"/>
      </w:tabs>
      <w:ind w:left="1417" w:hanging="1417"/>
      <w:outlineLvl w:val="4"/>
    </w:pPr>
  </w:style>
  <w:style w:type="paragraph" w:customStyle="1" w:styleId="ManualHeading6">
    <w:name w:val="Manual Heading 6"/>
    <w:basedOn w:val="Normal"/>
    <w:next w:val="Text2"/>
    <w:rsid w:val="002927DA"/>
    <w:pPr>
      <w:keepNext/>
      <w:tabs>
        <w:tab w:val="left" w:pos="1417"/>
      </w:tabs>
      <w:ind w:left="1417" w:hanging="1417"/>
      <w:outlineLvl w:val="5"/>
    </w:pPr>
  </w:style>
  <w:style w:type="paragraph" w:customStyle="1" w:styleId="ManualHeading7">
    <w:name w:val="Manual Heading 7"/>
    <w:basedOn w:val="Normal"/>
    <w:next w:val="Text2"/>
    <w:rsid w:val="002927DA"/>
    <w:pPr>
      <w:keepNext/>
      <w:tabs>
        <w:tab w:val="left" w:pos="1417"/>
      </w:tabs>
      <w:ind w:left="1417" w:hanging="1417"/>
      <w:outlineLvl w:val="6"/>
    </w:pPr>
  </w:style>
  <w:style w:type="paragraph" w:customStyle="1" w:styleId="Text5">
    <w:name w:val="Text 5"/>
    <w:basedOn w:val="Normal"/>
    <w:rsid w:val="002927DA"/>
    <w:pPr>
      <w:ind w:left="3118"/>
    </w:pPr>
  </w:style>
  <w:style w:type="paragraph" w:customStyle="1" w:styleId="Text6">
    <w:name w:val="Text 6"/>
    <w:basedOn w:val="Normal"/>
    <w:rsid w:val="002927DA"/>
    <w:pPr>
      <w:ind w:left="3685"/>
    </w:pPr>
  </w:style>
  <w:style w:type="paragraph" w:customStyle="1" w:styleId="Point5">
    <w:name w:val="Point 5"/>
    <w:basedOn w:val="Normal"/>
    <w:rsid w:val="002927DA"/>
    <w:pPr>
      <w:ind w:left="3685" w:hanging="567"/>
    </w:pPr>
  </w:style>
  <w:style w:type="paragraph" w:customStyle="1" w:styleId="Tiret5">
    <w:name w:val="Tiret 5"/>
    <w:basedOn w:val="Point5"/>
    <w:rsid w:val="002927DA"/>
    <w:pPr>
      <w:numPr>
        <w:numId w:val="46"/>
      </w:numPr>
    </w:pPr>
  </w:style>
  <w:style w:type="paragraph" w:customStyle="1" w:styleId="NumPar5">
    <w:name w:val="NumPar 5"/>
    <w:basedOn w:val="Normal"/>
    <w:next w:val="Text2"/>
    <w:rsid w:val="002927DA"/>
    <w:pPr>
      <w:numPr>
        <w:ilvl w:val="4"/>
        <w:numId w:val="49"/>
      </w:numPr>
    </w:pPr>
  </w:style>
  <w:style w:type="paragraph" w:customStyle="1" w:styleId="NumPar6">
    <w:name w:val="NumPar 6"/>
    <w:basedOn w:val="Normal"/>
    <w:next w:val="Text2"/>
    <w:rsid w:val="002927DA"/>
    <w:pPr>
      <w:numPr>
        <w:ilvl w:val="5"/>
        <w:numId w:val="49"/>
      </w:numPr>
    </w:pPr>
  </w:style>
  <w:style w:type="paragraph" w:customStyle="1" w:styleId="NumPar7">
    <w:name w:val="NumPar 7"/>
    <w:basedOn w:val="Normal"/>
    <w:next w:val="Text2"/>
    <w:rsid w:val="002927DA"/>
    <w:pPr>
      <w:numPr>
        <w:ilvl w:val="6"/>
        <w:numId w:val="49"/>
      </w:numPr>
    </w:pPr>
  </w:style>
  <w:style w:type="paragraph" w:customStyle="1" w:styleId="ManualNumPar5">
    <w:name w:val="Manual NumPar 5"/>
    <w:basedOn w:val="Normal"/>
    <w:next w:val="Text2"/>
    <w:rsid w:val="002927DA"/>
    <w:pPr>
      <w:ind w:left="1417" w:hanging="1417"/>
    </w:pPr>
  </w:style>
  <w:style w:type="paragraph" w:customStyle="1" w:styleId="ManualNumPar6">
    <w:name w:val="Manual NumPar 6"/>
    <w:basedOn w:val="Normal"/>
    <w:next w:val="Text2"/>
    <w:rsid w:val="002927DA"/>
    <w:pPr>
      <w:ind w:left="1417" w:hanging="1417"/>
    </w:pPr>
  </w:style>
  <w:style w:type="paragraph" w:customStyle="1" w:styleId="ManualNumPar7">
    <w:name w:val="Manual NumPar 7"/>
    <w:basedOn w:val="Normal"/>
    <w:next w:val="Text2"/>
    <w:rsid w:val="002927DA"/>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EAC3-AF49-41FB-A8D4-BFDB0D3B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32</Pages>
  <Words>6998</Words>
  <Characters>39895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 Dorthe Helene (ENER)</dc:creator>
  <cp:keywords/>
  <dc:description/>
  <cp:lastModifiedBy>EC CoDe</cp:lastModifiedBy>
  <cp:revision>21</cp:revision>
  <dcterms:created xsi:type="dcterms:W3CDTF">2022-01-24T13:54:00Z</dcterms:created>
  <dcterms:modified xsi:type="dcterms:W3CDTF">2022-01-27T15:15:00Z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9</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