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13" w:rsidRPr="00A3009F" w:rsidRDefault="00BD72CF" w:rsidP="00BD72CF">
      <w:pPr>
        <w:pStyle w:val="Pagedecouverture"/>
        <w:rPr>
          <w:noProof/>
          <w:lang w:val="en-IE"/>
        </w:rPr>
      </w:pPr>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96AAF4B-22DF-4540-A9AE-50EC447385DD" style="width:455.25pt;height:414pt">
            <v:imagedata r:id="rId8" o:title=""/>
          </v:shape>
        </w:pict>
      </w:r>
    </w:p>
    <w:p w:rsidR="00322C13" w:rsidRPr="00A3009F" w:rsidRDefault="00322C13" w:rsidP="00322C13">
      <w:pPr>
        <w:rPr>
          <w:noProof/>
          <w:lang w:val="en-IE"/>
        </w:rPr>
        <w:sectPr w:rsidR="00322C13" w:rsidRPr="00A3009F" w:rsidSect="00BD72CF">
          <w:footerReference w:type="default" r:id="rId9"/>
          <w:pgSz w:w="11907" w:h="16839"/>
          <w:pgMar w:top="1134" w:right="1417" w:bottom="1134" w:left="1417" w:header="709" w:footer="709" w:gutter="0"/>
          <w:pgNumType w:start="0"/>
          <w:cols w:space="720"/>
          <w:docGrid w:linePitch="360"/>
        </w:sectPr>
      </w:pPr>
    </w:p>
    <w:p w:rsidR="00322C13" w:rsidRPr="00A3009F" w:rsidRDefault="00322C13" w:rsidP="00F11F0D">
      <w:pPr>
        <w:pStyle w:val="Exposdesmotifstitre"/>
        <w:rPr>
          <w:noProof/>
          <w:lang w:val="en-IE"/>
        </w:rPr>
      </w:pPr>
      <w:bookmarkStart w:id="0" w:name="_GoBack"/>
      <w:bookmarkEnd w:id="0"/>
      <w:r w:rsidRPr="00A3009F">
        <w:rPr>
          <w:noProof/>
          <w:lang w:val="en-IE"/>
        </w:rPr>
        <w:lastRenderedPageBreak/>
        <w:t>EXPLANATORY MEMORANDUM</w:t>
      </w:r>
    </w:p>
    <w:p w:rsidR="00F057D0" w:rsidRPr="00A3009F" w:rsidRDefault="00F057D0" w:rsidP="00F057D0">
      <w:pPr>
        <w:pStyle w:val="ManualHeading1"/>
        <w:rPr>
          <w:noProof/>
          <w:lang w:val="en-IE"/>
        </w:rPr>
      </w:pPr>
      <w:r w:rsidRPr="00A3009F">
        <w:rPr>
          <w:noProof/>
          <w:lang w:val="en-IE"/>
        </w:rPr>
        <w:t>1.</w:t>
      </w:r>
      <w:r w:rsidRPr="00A3009F">
        <w:rPr>
          <w:noProof/>
          <w:lang w:val="en-IE"/>
        </w:rPr>
        <w:tab/>
        <w:t>CONTEXT OF THE PROPOSAL</w:t>
      </w:r>
    </w:p>
    <w:p w:rsidR="00F057D0" w:rsidRPr="00A3009F" w:rsidRDefault="00F057D0" w:rsidP="00F057D0">
      <w:pPr>
        <w:pStyle w:val="ManualHeading2"/>
        <w:rPr>
          <w:rFonts w:eastAsia="Arial Unicode MS"/>
          <w:noProof/>
          <w:lang w:val="en-IE"/>
        </w:rPr>
      </w:pPr>
      <w:r w:rsidRPr="00A3009F">
        <w:rPr>
          <w:rFonts w:eastAsia="Arial Unicode MS"/>
          <w:noProof/>
          <w:color w:val="000000"/>
          <w:u w:color="000000"/>
          <w:bdr w:val="nil"/>
          <w:lang w:val="en-IE" w:eastAsia="en-GB"/>
        </w:rPr>
        <w:t>•</w:t>
      </w:r>
      <w:r w:rsidRPr="00A3009F">
        <w:rPr>
          <w:rFonts w:eastAsia="Arial Unicode MS"/>
          <w:noProof/>
          <w:color w:val="000000"/>
          <w:u w:color="000000"/>
          <w:bdr w:val="nil"/>
          <w:lang w:val="en-IE" w:eastAsia="en-GB"/>
        </w:rPr>
        <w:tab/>
      </w:r>
      <w:r w:rsidRPr="00A3009F">
        <w:rPr>
          <w:rFonts w:eastAsia="Arial Unicode MS"/>
          <w:noProof/>
          <w:lang w:val="en-IE"/>
        </w:rPr>
        <w:t>Reasons for and objectives of the proposal</w:t>
      </w:r>
    </w:p>
    <w:p w:rsidR="00D066D2" w:rsidRPr="00A3009F" w:rsidRDefault="00D066D2" w:rsidP="00A3009F">
      <w:pPr>
        <w:pBdr>
          <w:top w:val="nil"/>
          <w:left w:val="nil"/>
          <w:bottom w:val="nil"/>
          <w:right w:val="nil"/>
          <w:between w:val="nil"/>
          <w:bar w:val="nil"/>
        </w:pBdr>
        <w:rPr>
          <w:noProof/>
          <w:lang w:val="en-IE"/>
        </w:rPr>
      </w:pPr>
      <w:r w:rsidRPr="00A3009F">
        <w:rPr>
          <w:noProof/>
          <w:lang w:val="en-IE"/>
        </w:rPr>
        <w:t xml:space="preserve">The right of Union citizens to move and reside freely within the European Union, enshrined in </w:t>
      </w:r>
      <w:r w:rsidRPr="00A3009F">
        <w:rPr>
          <w:rFonts w:eastAsia="Arial Unicode MS"/>
          <w:noProof/>
          <w:lang w:val="en-IE"/>
        </w:rPr>
        <w:t>Article 21 of the Treaty on the Functioning of the European Union (TFEU),</w:t>
      </w:r>
      <w:r w:rsidRPr="00A3009F">
        <w:rPr>
          <w:noProof/>
          <w:lang w:val="en-IE"/>
        </w:rPr>
        <w:t xml:space="preserve"> is one of the Union’s most cherished achievements, and an important driver of its economy. At the same time, the ongoing coronavirus disease 2019 (‘COVID</w:t>
      </w:r>
      <w:r w:rsidRPr="00A3009F">
        <w:rPr>
          <w:rFonts w:ascii="Cambria Math" w:hAnsi="Cambria Math" w:cs="Cambria Math"/>
          <w:noProof/>
          <w:lang w:val="en-IE"/>
        </w:rPr>
        <w:t>‑</w:t>
      </w:r>
      <w:r w:rsidRPr="00A3009F">
        <w:rPr>
          <w:noProof/>
          <w:lang w:val="en-IE"/>
        </w:rPr>
        <w:t xml:space="preserve">19’) pandemic </w:t>
      </w:r>
      <w:r w:rsidR="009522AC" w:rsidRPr="00A3009F">
        <w:rPr>
          <w:noProof/>
          <w:lang w:val="en-IE"/>
        </w:rPr>
        <w:t xml:space="preserve">continues to </w:t>
      </w:r>
      <w:r w:rsidRPr="00A3009F">
        <w:rPr>
          <w:noProof/>
          <w:lang w:val="en-IE"/>
        </w:rPr>
        <w:t>pose an extraordinary threat to public health across the Union. This has led Member States to adopt public health measures seeking to protect individuals’ health as well as the capacity of their healthcare systems</w:t>
      </w:r>
      <w:r w:rsidR="009522AC" w:rsidRPr="00A3009F">
        <w:rPr>
          <w:noProof/>
          <w:lang w:val="en-IE"/>
        </w:rPr>
        <w:t>, some of which have been related to travel</w:t>
      </w:r>
      <w:r w:rsidR="000F4B75">
        <w:rPr>
          <w:noProof/>
          <w:lang w:val="en-IE"/>
        </w:rPr>
        <w:t xml:space="preserve"> between Member States</w:t>
      </w:r>
      <w:r w:rsidRPr="00A3009F">
        <w:rPr>
          <w:noProof/>
          <w:lang w:val="en-IE"/>
        </w:rPr>
        <w:t>.</w:t>
      </w:r>
    </w:p>
    <w:p w:rsidR="00061F5B" w:rsidRPr="00A3009F" w:rsidRDefault="00D066D2" w:rsidP="00A3009F">
      <w:pPr>
        <w:pBdr>
          <w:top w:val="nil"/>
          <w:left w:val="nil"/>
          <w:bottom w:val="nil"/>
          <w:right w:val="nil"/>
          <w:between w:val="nil"/>
          <w:bar w:val="nil"/>
        </w:pBdr>
        <w:rPr>
          <w:noProof/>
          <w:color w:val="000000"/>
          <w:szCs w:val="24"/>
          <w:lang w:val="en-IE"/>
        </w:rPr>
      </w:pPr>
      <w:r w:rsidRPr="00A3009F">
        <w:rPr>
          <w:noProof/>
          <w:lang w:val="en-IE"/>
        </w:rPr>
        <w:t>To facilitate safe free movement during the COVID-19 pandemic, the European Parliament and the Council adopted, on 14 June 2021, Regulation (EU) 2021/953</w:t>
      </w:r>
      <w:r w:rsidRPr="00A3009F">
        <w:rPr>
          <w:rStyle w:val="FootnoteReference"/>
          <w:noProof/>
          <w:lang w:val="en-IE"/>
        </w:rPr>
        <w:footnoteReference w:id="2"/>
      </w:r>
      <w:r w:rsidRPr="00A3009F">
        <w:rPr>
          <w:noProof/>
          <w:lang w:val="en-IE"/>
        </w:rPr>
        <w:t xml:space="preserve"> establishing the EU Digital COVID Certificate framework for the issuance, verification and acceptance of interoperable COVID-19 vaccination, test and recovery certificates</w:t>
      </w:r>
      <w:r w:rsidRPr="00A3009F">
        <w:rPr>
          <w:rStyle w:val="FootnoteReference"/>
          <w:noProof/>
          <w:lang w:val="en-IE"/>
        </w:rPr>
        <w:footnoteReference w:id="3"/>
      </w:r>
      <w:r w:rsidRPr="00A3009F">
        <w:rPr>
          <w:noProof/>
          <w:lang w:val="en-IE"/>
        </w:rPr>
        <w:t>.</w:t>
      </w:r>
      <w:r w:rsidR="00174F7E" w:rsidRPr="00A3009F">
        <w:rPr>
          <w:noProof/>
          <w:lang w:val="en-IE"/>
        </w:rPr>
        <w:t xml:space="preserve"> </w:t>
      </w:r>
      <w:r w:rsidR="00061F5B" w:rsidRPr="00A3009F">
        <w:rPr>
          <w:noProof/>
          <w:lang w:val="en-IE"/>
        </w:rPr>
        <w:t xml:space="preserve">Regulation (EU) 2021/953 </w:t>
      </w:r>
      <w:r w:rsidR="00061F5B" w:rsidRPr="00A3009F">
        <w:rPr>
          <w:noProof/>
          <w:color w:val="000000"/>
          <w:szCs w:val="24"/>
          <w:lang w:val="en-IE"/>
        </w:rPr>
        <w:t xml:space="preserve">facilitates free movement by providing citizens with interoperable and mutually accepted certificates on COVID-19 vaccination, testing and recovery that they can use when travelling. Where Member States waive certain restrictions on free movement for persons in the possession of proof of vaccination, test or recovery, the </w:t>
      </w:r>
      <w:r w:rsidR="009522AC" w:rsidRPr="00A3009F">
        <w:rPr>
          <w:noProof/>
          <w:color w:val="000000"/>
          <w:szCs w:val="24"/>
          <w:lang w:val="en-IE"/>
        </w:rPr>
        <w:t>EU Digital COVID Certificate</w:t>
      </w:r>
      <w:r w:rsidR="00061F5B" w:rsidRPr="00A3009F">
        <w:rPr>
          <w:noProof/>
          <w:color w:val="000000"/>
          <w:szCs w:val="24"/>
          <w:lang w:val="en-IE"/>
        </w:rPr>
        <w:t xml:space="preserve"> allow</w:t>
      </w:r>
      <w:r w:rsidR="009522AC" w:rsidRPr="00A3009F">
        <w:rPr>
          <w:noProof/>
          <w:color w:val="000000"/>
          <w:szCs w:val="24"/>
          <w:lang w:val="en-IE"/>
        </w:rPr>
        <w:t>s</w:t>
      </w:r>
      <w:r w:rsidR="00061F5B" w:rsidRPr="00A3009F">
        <w:rPr>
          <w:noProof/>
          <w:color w:val="000000"/>
          <w:szCs w:val="24"/>
          <w:lang w:val="en-IE"/>
        </w:rPr>
        <w:t xml:space="preserve"> citizens to profit from these exemptions. </w:t>
      </w:r>
    </w:p>
    <w:p w:rsidR="00D066D2" w:rsidRPr="00A3009F" w:rsidRDefault="00061F5B" w:rsidP="00A3009F">
      <w:pPr>
        <w:pBdr>
          <w:top w:val="nil"/>
          <w:left w:val="nil"/>
          <w:bottom w:val="nil"/>
          <w:right w:val="nil"/>
          <w:between w:val="nil"/>
          <w:bar w:val="nil"/>
        </w:pBdr>
        <w:rPr>
          <w:noProof/>
          <w:szCs w:val="24"/>
          <w:lang w:val="en-IE"/>
        </w:rPr>
      </w:pPr>
      <w:r w:rsidRPr="00A3009F">
        <w:rPr>
          <w:noProof/>
          <w:lang w:val="en-IE"/>
        </w:rPr>
        <w:t xml:space="preserve">Since its adoption, the EU Digital COVID Certificate has been successfully rolled out across the Union, with more than 1 billion certificates issued by the end of 2021. </w:t>
      </w:r>
      <w:r w:rsidR="00174F7E" w:rsidRPr="00A3009F">
        <w:rPr>
          <w:noProof/>
          <w:szCs w:val="24"/>
          <w:lang w:val="en-IE"/>
        </w:rPr>
        <w:t xml:space="preserve">The EU Digital COVID Certificate is thus a widely available and reliably accepted tool to facilitate free movement during the COVID-19 pandemic. According to a Eurobarometer survey published in September 2021, about </w:t>
      </w:r>
      <w:r w:rsidR="000E2D26" w:rsidRPr="00A3009F">
        <w:rPr>
          <w:noProof/>
          <w:szCs w:val="24"/>
          <w:lang w:val="en-IE"/>
        </w:rPr>
        <w:t>two-thirds</w:t>
      </w:r>
      <w:r w:rsidR="00174F7E" w:rsidRPr="00A3009F">
        <w:rPr>
          <w:noProof/>
          <w:szCs w:val="24"/>
          <w:lang w:val="en-IE"/>
        </w:rPr>
        <w:t xml:space="preserve"> (65%) of respondents agreed that the EU Digital COVID Certificate is the safest means for free travel in Europe during the COVID-19 pandemic</w:t>
      </w:r>
      <w:r w:rsidR="00174F7E" w:rsidRPr="00A3009F">
        <w:rPr>
          <w:rStyle w:val="FootnoteReference"/>
          <w:noProof/>
          <w:szCs w:val="24"/>
          <w:lang w:val="en-IE"/>
        </w:rPr>
        <w:footnoteReference w:id="4"/>
      </w:r>
      <w:r w:rsidR="00174F7E" w:rsidRPr="00A3009F">
        <w:rPr>
          <w:noProof/>
          <w:szCs w:val="24"/>
          <w:lang w:val="en-IE"/>
        </w:rPr>
        <w:t>. Almost all Member States also use the EU Digital COVID Certificate for domestic purposes, with studies estimating that its use has resulted in increased vaccination uptake</w:t>
      </w:r>
      <w:r w:rsidR="00174F7E" w:rsidRPr="00A3009F">
        <w:rPr>
          <w:rStyle w:val="FootnoteReference"/>
          <w:noProof/>
          <w:szCs w:val="24"/>
          <w:lang w:val="en-IE"/>
        </w:rPr>
        <w:footnoteReference w:id="5"/>
      </w:r>
      <w:r w:rsidR="00174F7E" w:rsidRPr="00A3009F">
        <w:rPr>
          <w:noProof/>
          <w:szCs w:val="24"/>
          <w:lang w:val="en-IE"/>
        </w:rPr>
        <w:t xml:space="preserve">, lower hospital </w:t>
      </w:r>
      <w:r w:rsidR="005D1972">
        <w:rPr>
          <w:noProof/>
          <w:szCs w:val="24"/>
          <w:lang w:val="en-IE"/>
        </w:rPr>
        <w:t>admissions</w:t>
      </w:r>
      <w:r w:rsidR="00174F7E" w:rsidRPr="00A3009F">
        <w:rPr>
          <w:noProof/>
          <w:szCs w:val="24"/>
          <w:lang w:val="en-IE"/>
        </w:rPr>
        <w:t>, fewer economic losses and, most importantly, fewer deaths</w:t>
      </w:r>
      <w:r w:rsidR="00174F7E" w:rsidRPr="00A3009F">
        <w:rPr>
          <w:rStyle w:val="FootnoteReference"/>
          <w:noProof/>
          <w:szCs w:val="24"/>
          <w:lang w:val="en-IE"/>
        </w:rPr>
        <w:footnoteReference w:id="6"/>
      </w:r>
      <w:r w:rsidR="00174F7E" w:rsidRPr="00A3009F">
        <w:rPr>
          <w:noProof/>
          <w:szCs w:val="24"/>
          <w:lang w:val="en-IE"/>
        </w:rPr>
        <w:t>.</w:t>
      </w:r>
    </w:p>
    <w:p w:rsidR="00FE73F4" w:rsidRPr="00A3009F" w:rsidRDefault="007D7466" w:rsidP="00A3009F">
      <w:pPr>
        <w:pBdr>
          <w:top w:val="nil"/>
          <w:left w:val="nil"/>
          <w:bottom w:val="nil"/>
          <w:right w:val="nil"/>
          <w:between w:val="nil"/>
          <w:bar w:val="nil"/>
        </w:pBdr>
        <w:rPr>
          <w:noProof/>
          <w:lang w:val="en-IE"/>
        </w:rPr>
      </w:pPr>
      <w:r w:rsidRPr="00A3009F">
        <w:rPr>
          <w:noProof/>
          <w:szCs w:val="24"/>
          <w:lang w:val="en-IE"/>
        </w:rPr>
        <w:t xml:space="preserve">In addition, the EU Digital COVID Certificate system has proven to be the only functioning COVID-19 certificate system operational at international level on a large scale. </w:t>
      </w:r>
      <w:r w:rsidR="00D002B2" w:rsidRPr="00D002B2">
        <w:rPr>
          <w:noProof/>
          <w:szCs w:val="24"/>
          <w:lang w:val="en-IE"/>
        </w:rPr>
        <w:t xml:space="preserve">As </w:t>
      </w:r>
      <w:r w:rsidR="0050465F">
        <w:rPr>
          <w:noProof/>
          <w:szCs w:val="24"/>
          <w:lang w:val="en-IE"/>
        </w:rPr>
        <w:t>a result</w:t>
      </w:r>
      <w:r w:rsidR="00D002B2" w:rsidRPr="00D002B2">
        <w:rPr>
          <w:noProof/>
          <w:szCs w:val="24"/>
          <w:lang w:val="en-IE"/>
        </w:rPr>
        <w:t xml:space="preserve">, the EU Digital COVID Certificate has gained increasing </w:t>
      </w:r>
      <w:r w:rsidR="00E26E65">
        <w:rPr>
          <w:noProof/>
          <w:szCs w:val="24"/>
          <w:lang w:val="en-IE"/>
        </w:rPr>
        <w:t>global</w:t>
      </w:r>
      <w:r w:rsidR="00D002B2" w:rsidRPr="00D002B2">
        <w:rPr>
          <w:noProof/>
          <w:szCs w:val="24"/>
          <w:lang w:val="en-IE"/>
        </w:rPr>
        <w:t xml:space="preserve"> significance and </w:t>
      </w:r>
      <w:r w:rsidR="0050465F">
        <w:rPr>
          <w:noProof/>
          <w:szCs w:val="24"/>
          <w:lang w:val="en-IE"/>
        </w:rPr>
        <w:t>contributed to</w:t>
      </w:r>
      <w:r w:rsidR="00D002B2" w:rsidRPr="00D002B2">
        <w:rPr>
          <w:noProof/>
          <w:szCs w:val="24"/>
          <w:lang w:val="en-IE"/>
        </w:rPr>
        <w:t xml:space="preserve"> addressing the pandemic at </w:t>
      </w:r>
      <w:r w:rsidR="00E26E65">
        <w:rPr>
          <w:noProof/>
          <w:szCs w:val="24"/>
          <w:lang w:val="en-IE"/>
        </w:rPr>
        <w:t>the international</w:t>
      </w:r>
      <w:r w:rsidR="00D002B2" w:rsidRPr="00D002B2">
        <w:rPr>
          <w:noProof/>
          <w:szCs w:val="24"/>
          <w:lang w:val="en-IE"/>
        </w:rPr>
        <w:t xml:space="preserve"> level</w:t>
      </w:r>
      <w:r w:rsidR="0050465F">
        <w:rPr>
          <w:noProof/>
          <w:szCs w:val="24"/>
          <w:lang w:val="en-IE"/>
        </w:rPr>
        <w:t>,</w:t>
      </w:r>
      <w:r w:rsidR="00D002B2" w:rsidRPr="00D002B2">
        <w:rPr>
          <w:noProof/>
          <w:szCs w:val="24"/>
          <w:lang w:val="en-IE"/>
        </w:rPr>
        <w:t xml:space="preserve"> by facilitating safe international travel and </w:t>
      </w:r>
      <w:r w:rsidR="00D002B2">
        <w:rPr>
          <w:noProof/>
          <w:szCs w:val="24"/>
          <w:lang w:val="en-IE"/>
        </w:rPr>
        <w:t xml:space="preserve">international </w:t>
      </w:r>
      <w:r w:rsidR="00D002B2" w:rsidRPr="00D002B2">
        <w:rPr>
          <w:noProof/>
          <w:szCs w:val="24"/>
          <w:lang w:val="en-IE"/>
        </w:rPr>
        <w:t xml:space="preserve">recovery. </w:t>
      </w:r>
      <w:r w:rsidRPr="00A3009F">
        <w:rPr>
          <w:noProof/>
          <w:szCs w:val="24"/>
          <w:lang w:val="en-IE"/>
        </w:rPr>
        <w:t xml:space="preserve">By </w:t>
      </w:r>
      <w:r w:rsidR="00187718" w:rsidRPr="00187718">
        <w:rPr>
          <w:noProof/>
          <w:szCs w:val="24"/>
          <w:lang w:val="en-IE"/>
        </w:rPr>
        <w:t>31</w:t>
      </w:r>
      <w:r w:rsidRPr="00837676">
        <w:rPr>
          <w:noProof/>
          <w:lang w:val="en-IE"/>
        </w:rPr>
        <w:t xml:space="preserve"> January 2022</w:t>
      </w:r>
      <w:r w:rsidRPr="00187718">
        <w:rPr>
          <w:noProof/>
          <w:szCs w:val="24"/>
          <w:lang w:val="en-IE"/>
        </w:rPr>
        <w:t>,</w:t>
      </w:r>
      <w:r w:rsidRPr="00A3009F">
        <w:rPr>
          <w:noProof/>
          <w:szCs w:val="24"/>
          <w:lang w:val="en-IE"/>
        </w:rPr>
        <w:t xml:space="preserve"> the three non-EU </w:t>
      </w:r>
      <w:r w:rsidRPr="00A3009F">
        <w:rPr>
          <w:noProof/>
          <w:lang w:val="en-IE"/>
        </w:rPr>
        <w:t>European Economic Area countries</w:t>
      </w:r>
      <w:r w:rsidRPr="00A3009F">
        <w:rPr>
          <w:rStyle w:val="FootnoteReference"/>
          <w:noProof/>
          <w:lang w:val="en-IE"/>
        </w:rPr>
        <w:footnoteReference w:id="7"/>
      </w:r>
      <w:r w:rsidRPr="00A3009F">
        <w:rPr>
          <w:noProof/>
          <w:lang w:val="en-IE"/>
        </w:rPr>
        <w:t>, Switzerland</w:t>
      </w:r>
      <w:r w:rsidRPr="00A3009F">
        <w:rPr>
          <w:rStyle w:val="FootnoteReference"/>
          <w:noProof/>
          <w:lang w:val="en-IE"/>
        </w:rPr>
        <w:footnoteReference w:id="8"/>
      </w:r>
      <w:r w:rsidRPr="00A3009F">
        <w:rPr>
          <w:noProof/>
          <w:lang w:val="en-IE"/>
        </w:rPr>
        <w:t xml:space="preserve"> and 29 other third countries and territories</w:t>
      </w:r>
      <w:r w:rsidRPr="00A3009F">
        <w:rPr>
          <w:rStyle w:val="FootnoteReference"/>
          <w:noProof/>
          <w:lang w:val="en-IE"/>
        </w:rPr>
        <w:footnoteReference w:id="9"/>
      </w:r>
      <w:r w:rsidRPr="00A3009F">
        <w:rPr>
          <w:noProof/>
          <w:lang w:val="en-IE"/>
        </w:rPr>
        <w:t xml:space="preserve"> are connected to the EU Digital COVID Certificate system, with more expected to join in the future.</w:t>
      </w:r>
      <w:r w:rsidR="00570FF2">
        <w:rPr>
          <w:noProof/>
          <w:lang w:val="en-IE"/>
        </w:rPr>
        <w:t xml:space="preserve"> </w:t>
      </w:r>
      <w:r w:rsidR="00CB7D32">
        <w:rPr>
          <w:noProof/>
          <w:lang w:val="en-IE"/>
        </w:rPr>
        <w:t xml:space="preserve">The EU Digital COVID Certificate system has been recognised as one of the </w:t>
      </w:r>
      <w:r w:rsidR="00CB7D32">
        <w:rPr>
          <w:noProof/>
        </w:rPr>
        <w:t>key digital solutions to restore international mobility</w:t>
      </w:r>
      <w:r w:rsidR="00CB7D32">
        <w:rPr>
          <w:rStyle w:val="FootnoteReference"/>
          <w:noProof/>
        </w:rPr>
        <w:footnoteReference w:id="10"/>
      </w:r>
      <w:r w:rsidR="00CB7D32">
        <w:rPr>
          <w:noProof/>
        </w:rPr>
        <w:t>, with the International Air Transport Association urging countries to adopt the EU Digital COVID Certificate as the global standard</w:t>
      </w:r>
      <w:r w:rsidR="00CB7D32">
        <w:rPr>
          <w:rStyle w:val="FootnoteReference"/>
          <w:noProof/>
        </w:rPr>
        <w:footnoteReference w:id="11"/>
      </w:r>
      <w:r w:rsidR="00CB7D32">
        <w:rPr>
          <w:noProof/>
        </w:rPr>
        <w:t xml:space="preserve">. </w:t>
      </w:r>
      <w:r w:rsidR="00570FF2">
        <w:rPr>
          <w:noProof/>
          <w:lang w:val="en-IE"/>
        </w:rPr>
        <w:t>The Commission will continue its efforts to support third countries interested in developing interoperable COVID-19 certificate systems</w:t>
      </w:r>
      <w:r w:rsidR="002C2E11">
        <w:rPr>
          <w:noProof/>
          <w:lang w:val="en-IE"/>
        </w:rPr>
        <w:t>. This may</w:t>
      </w:r>
      <w:r w:rsidR="00570FF2">
        <w:rPr>
          <w:noProof/>
          <w:lang w:val="en-IE"/>
        </w:rPr>
        <w:t xml:space="preserve"> includ</w:t>
      </w:r>
      <w:r w:rsidR="002C2E11">
        <w:rPr>
          <w:noProof/>
          <w:lang w:val="en-IE"/>
        </w:rPr>
        <w:t>e</w:t>
      </w:r>
      <w:r w:rsidR="00570FF2">
        <w:rPr>
          <w:noProof/>
          <w:lang w:val="en-IE"/>
        </w:rPr>
        <w:t xml:space="preserve"> offering additional </w:t>
      </w:r>
      <w:r w:rsidR="00570FF2" w:rsidRPr="00570FF2">
        <w:rPr>
          <w:noProof/>
          <w:lang w:val="en-IE"/>
        </w:rPr>
        <w:t>open source reference solutions</w:t>
      </w:r>
      <w:r w:rsidR="00570FF2">
        <w:rPr>
          <w:noProof/>
          <w:lang w:val="en-IE"/>
        </w:rPr>
        <w:t xml:space="preserve"> </w:t>
      </w:r>
      <w:r w:rsidR="00BF7398">
        <w:rPr>
          <w:noProof/>
          <w:lang w:val="en-IE"/>
        </w:rPr>
        <w:t xml:space="preserve">that </w:t>
      </w:r>
      <w:r w:rsidR="00570FF2">
        <w:rPr>
          <w:noProof/>
          <w:lang w:val="en-IE"/>
        </w:rPr>
        <w:t xml:space="preserve">allow for the conversion of </w:t>
      </w:r>
      <w:r w:rsidR="007254D0">
        <w:rPr>
          <w:noProof/>
          <w:lang w:val="en-IE"/>
        </w:rPr>
        <w:t xml:space="preserve">third-country </w:t>
      </w:r>
      <w:r w:rsidR="00570FF2">
        <w:rPr>
          <w:noProof/>
          <w:lang w:val="en-IE"/>
        </w:rPr>
        <w:t xml:space="preserve">certificates into a format that is interoperable with the EU Digital </w:t>
      </w:r>
      <w:r w:rsidR="005D1972">
        <w:rPr>
          <w:noProof/>
          <w:lang w:val="en-IE"/>
        </w:rPr>
        <w:t>COVID</w:t>
      </w:r>
      <w:r w:rsidR="00570FF2">
        <w:rPr>
          <w:noProof/>
          <w:lang w:val="en-IE"/>
        </w:rPr>
        <w:t xml:space="preserve"> Certificate</w:t>
      </w:r>
      <w:r w:rsidR="003172DA">
        <w:rPr>
          <w:noProof/>
          <w:lang w:val="en-IE"/>
        </w:rPr>
        <w:t>, as it</w:t>
      </w:r>
      <w:r w:rsidR="003172DA" w:rsidRPr="002B274B">
        <w:rPr>
          <w:noProof/>
        </w:rPr>
        <w:t xml:space="preserve"> </w:t>
      </w:r>
      <w:r w:rsidR="003172DA">
        <w:rPr>
          <w:noProof/>
        </w:rPr>
        <w:t>is</w:t>
      </w:r>
      <w:r w:rsidR="003172DA" w:rsidRPr="002B274B">
        <w:rPr>
          <w:noProof/>
        </w:rPr>
        <w:t xml:space="preserve"> </w:t>
      </w:r>
      <w:r w:rsidR="003172DA">
        <w:rPr>
          <w:noProof/>
        </w:rPr>
        <w:t>also</w:t>
      </w:r>
      <w:r w:rsidR="003172DA" w:rsidRPr="002B274B">
        <w:rPr>
          <w:noProof/>
        </w:rPr>
        <w:t xml:space="preserve"> possible to connect third countries </w:t>
      </w:r>
      <w:r w:rsidR="004029A6">
        <w:rPr>
          <w:noProof/>
          <w:lang w:val="en-IE"/>
        </w:rPr>
        <w:t>the</w:t>
      </w:r>
      <w:r w:rsidR="003172DA">
        <w:rPr>
          <w:noProof/>
          <w:lang w:val="en-IE"/>
        </w:rPr>
        <w:t xml:space="preserve"> </w:t>
      </w:r>
      <w:r w:rsidR="003219E8">
        <w:rPr>
          <w:noProof/>
          <w:lang w:val="en-IE"/>
        </w:rPr>
        <w:t>certificates</w:t>
      </w:r>
      <w:r w:rsidR="004029A6">
        <w:rPr>
          <w:noProof/>
          <w:lang w:val="en-IE"/>
        </w:rPr>
        <w:t xml:space="preserve"> of which</w:t>
      </w:r>
      <w:r w:rsidR="003172DA">
        <w:rPr>
          <w:noProof/>
          <w:lang w:val="en-IE"/>
        </w:rPr>
        <w:t xml:space="preserve"> are made interoperable b</w:t>
      </w:r>
      <w:r w:rsidR="007254D0" w:rsidRPr="00855429">
        <w:rPr>
          <w:noProof/>
          <w:lang w:val="en-IE"/>
        </w:rPr>
        <w:t xml:space="preserve">y </w:t>
      </w:r>
      <w:r w:rsidR="003172DA">
        <w:rPr>
          <w:noProof/>
        </w:rPr>
        <w:t>means of conversion</w:t>
      </w:r>
      <w:r w:rsidR="004B554B">
        <w:rPr>
          <w:rStyle w:val="FootnoteReference"/>
          <w:noProof/>
          <w:lang w:val="en-IE"/>
        </w:rPr>
        <w:footnoteReference w:id="12"/>
      </w:r>
      <w:r w:rsidR="003172DA" w:rsidRPr="00837676">
        <w:rPr>
          <w:noProof/>
        </w:rPr>
        <w:t>.</w:t>
      </w:r>
    </w:p>
    <w:p w:rsidR="00174F7E" w:rsidRPr="00A3009F" w:rsidRDefault="00174F7E" w:rsidP="00A3009F">
      <w:pPr>
        <w:pBdr>
          <w:top w:val="nil"/>
          <w:left w:val="nil"/>
          <w:bottom w:val="nil"/>
          <w:right w:val="nil"/>
          <w:between w:val="nil"/>
          <w:bar w:val="nil"/>
        </w:pBdr>
        <w:rPr>
          <w:noProof/>
          <w:lang w:val="en-IE"/>
        </w:rPr>
      </w:pPr>
      <w:r w:rsidRPr="00A3009F">
        <w:rPr>
          <w:noProof/>
          <w:lang w:val="en-IE"/>
        </w:rPr>
        <w:t xml:space="preserve">To make best use of the EU Digital COVID Certificate framework, the Council </w:t>
      </w:r>
      <w:r w:rsidR="002C69E6" w:rsidRPr="00A3009F">
        <w:rPr>
          <w:noProof/>
          <w:lang w:val="en-IE"/>
        </w:rPr>
        <w:t xml:space="preserve">has adopted </w:t>
      </w:r>
      <w:r w:rsidRPr="00A3009F">
        <w:rPr>
          <w:noProof/>
          <w:lang w:val="en-IE"/>
        </w:rPr>
        <w:t xml:space="preserve">several recommendations </w:t>
      </w:r>
      <w:r w:rsidR="002C69E6" w:rsidRPr="00A3009F">
        <w:rPr>
          <w:noProof/>
          <w:lang w:val="en-IE"/>
        </w:rPr>
        <w:t>on</w:t>
      </w:r>
      <w:r w:rsidR="00061F5B" w:rsidRPr="00A3009F">
        <w:rPr>
          <w:noProof/>
          <w:lang w:val="en-IE"/>
        </w:rPr>
        <w:t xml:space="preserve"> a coordinated approach to </w:t>
      </w:r>
      <w:r w:rsidR="00D82768">
        <w:rPr>
          <w:noProof/>
          <w:lang w:val="en-IE"/>
        </w:rPr>
        <w:t>facilitate safe</w:t>
      </w:r>
      <w:r w:rsidR="00061F5B" w:rsidRPr="00A3009F">
        <w:rPr>
          <w:noProof/>
          <w:lang w:val="en-IE"/>
        </w:rPr>
        <w:t xml:space="preserve"> free movement </w:t>
      </w:r>
      <w:r w:rsidR="00D82768">
        <w:rPr>
          <w:noProof/>
          <w:lang w:val="en-IE"/>
        </w:rPr>
        <w:t>during</w:t>
      </w:r>
      <w:r w:rsidR="00061F5B" w:rsidRPr="00A3009F">
        <w:rPr>
          <w:noProof/>
          <w:lang w:val="en-IE"/>
        </w:rPr>
        <w:t xml:space="preserve"> the COVID-19 pandemic. According to the most recent update, Council Recommendation (EU) 2022/</w:t>
      </w:r>
      <w:r w:rsidR="0000746E">
        <w:rPr>
          <w:noProof/>
        </w:rPr>
        <w:t>107</w:t>
      </w:r>
      <w:r w:rsidR="00061F5B" w:rsidRPr="00A3009F">
        <w:rPr>
          <w:noProof/>
          <w:lang w:val="en-IE"/>
        </w:rPr>
        <w:t xml:space="preserve"> adopted on 25 January 2022</w:t>
      </w:r>
      <w:r w:rsidR="00061F5B" w:rsidRPr="00A3009F">
        <w:rPr>
          <w:rStyle w:val="FootnoteReference"/>
          <w:noProof/>
          <w:lang w:val="en-IE"/>
        </w:rPr>
        <w:footnoteReference w:id="13"/>
      </w:r>
      <w:r w:rsidR="00061F5B" w:rsidRPr="00A3009F">
        <w:rPr>
          <w:noProof/>
          <w:lang w:val="en-IE"/>
        </w:rPr>
        <w:t>, holders of EU Digital COVID Certificates meeting certain requirements should, in almost all circumstances, not be subject to any additional requirements when exercising their free movement rights.</w:t>
      </w:r>
      <w:r w:rsidR="002C69E6" w:rsidRPr="00A3009F">
        <w:rPr>
          <w:noProof/>
          <w:lang w:val="en-IE"/>
        </w:rPr>
        <w:t xml:space="preserve"> This ‘person-based approach’ thus necessitates the </w:t>
      </w:r>
      <w:r w:rsidR="000E7D0C">
        <w:rPr>
          <w:noProof/>
          <w:lang w:val="en-IE"/>
        </w:rPr>
        <w:t>continuous</w:t>
      </w:r>
      <w:r w:rsidR="000E7D0C" w:rsidRPr="00A3009F">
        <w:rPr>
          <w:noProof/>
          <w:lang w:val="en-IE"/>
        </w:rPr>
        <w:t xml:space="preserve"> </w:t>
      </w:r>
      <w:r w:rsidR="002C69E6" w:rsidRPr="00A3009F">
        <w:rPr>
          <w:noProof/>
          <w:lang w:val="en-IE"/>
        </w:rPr>
        <w:t>availability of EU Digital COVID Certificates.</w:t>
      </w:r>
    </w:p>
    <w:p w:rsidR="00061F5B" w:rsidRPr="00A3009F" w:rsidRDefault="00061F5B" w:rsidP="00A3009F">
      <w:pPr>
        <w:rPr>
          <w:noProof/>
          <w:lang w:val="en-IE"/>
        </w:rPr>
      </w:pPr>
      <w:r w:rsidRPr="00A3009F">
        <w:rPr>
          <w:noProof/>
          <w:lang w:val="en-IE"/>
        </w:rPr>
        <w:t xml:space="preserve">Since the adoption of Regulation (EU) 2021/953, the epidemiological situation with regard to the COVID-19 pandemic has evolved considerably. On the one hand, </w:t>
      </w:r>
      <w:r w:rsidR="0075451C">
        <w:rPr>
          <w:noProof/>
          <w:lang w:val="en-IE"/>
        </w:rPr>
        <w:t xml:space="preserve">by 31 January 2022, </w:t>
      </w:r>
      <w:r w:rsidRPr="00A3009F">
        <w:rPr>
          <w:noProof/>
          <w:lang w:val="en-IE"/>
        </w:rPr>
        <w:t xml:space="preserve">more than </w:t>
      </w:r>
      <w:r w:rsidRPr="00837676">
        <w:rPr>
          <w:noProof/>
          <w:lang w:val="en-IE"/>
        </w:rPr>
        <w:t>80%</w:t>
      </w:r>
      <w:r w:rsidRPr="00A3009F">
        <w:rPr>
          <w:noProof/>
          <w:lang w:val="en-IE"/>
        </w:rPr>
        <w:t xml:space="preserve"> of the adult population in the Union have completed their primary vaccination cycle, and more than </w:t>
      </w:r>
      <w:r w:rsidRPr="00837676">
        <w:rPr>
          <w:noProof/>
          <w:lang w:val="en-IE"/>
        </w:rPr>
        <w:t>50%</w:t>
      </w:r>
      <w:r w:rsidRPr="00A3009F">
        <w:rPr>
          <w:noProof/>
          <w:lang w:val="en-IE"/>
        </w:rPr>
        <w:t xml:space="preserve"> have received a booster dose, despite significant </w:t>
      </w:r>
      <w:r w:rsidR="00D7239B">
        <w:rPr>
          <w:noProof/>
          <w:lang w:val="en-IE"/>
        </w:rPr>
        <w:t>differences</w:t>
      </w:r>
      <w:r w:rsidR="00D7239B" w:rsidRPr="00A3009F">
        <w:rPr>
          <w:noProof/>
          <w:lang w:val="en-IE"/>
        </w:rPr>
        <w:t xml:space="preserve"> </w:t>
      </w:r>
      <w:r w:rsidRPr="00A3009F">
        <w:rPr>
          <w:noProof/>
          <w:lang w:val="en-IE"/>
        </w:rPr>
        <w:t>between Member States</w:t>
      </w:r>
      <w:r w:rsidRPr="00A3009F">
        <w:rPr>
          <w:rStyle w:val="FootnoteReference"/>
          <w:noProof/>
          <w:lang w:val="en-IE"/>
        </w:rPr>
        <w:footnoteReference w:id="14"/>
      </w:r>
      <w:r w:rsidR="002C69E6" w:rsidRPr="00A3009F">
        <w:rPr>
          <w:noProof/>
          <w:lang w:val="en-IE"/>
        </w:rPr>
        <w:t xml:space="preserve">. </w:t>
      </w:r>
      <w:r w:rsidR="00570FF2">
        <w:rPr>
          <w:noProof/>
          <w:lang w:val="en-IE"/>
        </w:rPr>
        <w:t xml:space="preserve">Increasing vaccine uptake remains a crucial objective in the fight against the pandemic, given the protection against hospitalisation and severe disease afforded by vaccination, and thus plays an important role in ensuring that </w:t>
      </w:r>
      <w:r w:rsidR="00570FF2">
        <w:rPr>
          <w:noProof/>
        </w:rPr>
        <w:t>restrictions to the free movement of persons can be lifted</w:t>
      </w:r>
      <w:r w:rsidRPr="00A3009F">
        <w:rPr>
          <w:noProof/>
          <w:lang w:val="en-IE"/>
        </w:rPr>
        <w:t>.</w:t>
      </w:r>
    </w:p>
    <w:p w:rsidR="00A41F28" w:rsidRDefault="00061F5B" w:rsidP="00A3009F">
      <w:pPr>
        <w:rPr>
          <w:noProof/>
          <w:lang w:val="en-IE"/>
        </w:rPr>
      </w:pPr>
      <w:r w:rsidRPr="00A3009F">
        <w:rPr>
          <w:noProof/>
          <w:lang w:val="en-IE"/>
        </w:rPr>
        <w:t>On the other hand, the spread of the SARS-CoV-2 variant</w:t>
      </w:r>
      <w:r w:rsidR="00D002B2">
        <w:rPr>
          <w:noProof/>
          <w:lang w:val="en-IE"/>
        </w:rPr>
        <w:t xml:space="preserve"> of concern</w:t>
      </w:r>
      <w:r w:rsidRPr="00A3009F">
        <w:rPr>
          <w:noProof/>
          <w:lang w:val="en-IE"/>
        </w:rPr>
        <w:t xml:space="preserve"> ‘Delta’ in the second half of 2021 caused </w:t>
      </w:r>
      <w:r w:rsidR="002C69E6" w:rsidRPr="00A3009F">
        <w:rPr>
          <w:noProof/>
          <w:lang w:val="en-IE"/>
        </w:rPr>
        <w:t xml:space="preserve">significant </w:t>
      </w:r>
      <w:r w:rsidRPr="00A3009F">
        <w:rPr>
          <w:noProof/>
          <w:lang w:val="en-IE"/>
        </w:rPr>
        <w:t xml:space="preserve">increases in the number of infections, hospitalisation and deaths, requiring Member States to adopt strict public health measures in an effort to protect </w:t>
      </w:r>
      <w:r w:rsidR="000F4B75">
        <w:rPr>
          <w:noProof/>
          <w:lang w:val="en-IE"/>
        </w:rPr>
        <w:t xml:space="preserve">their </w:t>
      </w:r>
      <w:r w:rsidRPr="00A3009F">
        <w:rPr>
          <w:noProof/>
          <w:lang w:val="en-IE"/>
        </w:rPr>
        <w:t xml:space="preserve">healthcare system capacity. </w:t>
      </w:r>
      <w:r w:rsidR="00A41F28" w:rsidRPr="00D92A68">
        <w:rPr>
          <w:noProof/>
          <w:lang w:val="en-IE"/>
        </w:rPr>
        <w:t xml:space="preserve">In early 2022, </w:t>
      </w:r>
      <w:r w:rsidR="00A41F28" w:rsidRPr="0026360C">
        <w:rPr>
          <w:noProof/>
          <w:lang w:val="en-IE"/>
        </w:rPr>
        <w:t xml:space="preserve">the SARS-CoV-2 variant </w:t>
      </w:r>
      <w:r w:rsidR="00D002B2">
        <w:rPr>
          <w:noProof/>
          <w:lang w:val="en-IE"/>
        </w:rPr>
        <w:t xml:space="preserve">of concern </w:t>
      </w:r>
      <w:r w:rsidR="00A41F28" w:rsidRPr="0026360C">
        <w:rPr>
          <w:noProof/>
          <w:lang w:val="en-IE"/>
        </w:rPr>
        <w:t xml:space="preserve">‘Omicron’ </w:t>
      </w:r>
      <w:r w:rsidR="00A41F28" w:rsidRPr="000F4CD4">
        <w:rPr>
          <w:noProof/>
          <w:lang w:val="en-IE"/>
        </w:rPr>
        <w:t xml:space="preserve">caused sharp increases </w:t>
      </w:r>
      <w:r w:rsidR="00A41F28" w:rsidRPr="003162A9">
        <w:rPr>
          <w:noProof/>
          <w:lang w:val="en-IE"/>
        </w:rPr>
        <w:t>in the number of COV</w:t>
      </w:r>
      <w:r w:rsidR="00A41F28">
        <w:rPr>
          <w:noProof/>
          <w:lang w:val="en-IE"/>
        </w:rPr>
        <w:t xml:space="preserve">ID-19 cases, rapidly replacing </w:t>
      </w:r>
      <w:r w:rsidR="00A41F28" w:rsidRPr="003162A9">
        <w:rPr>
          <w:noProof/>
          <w:lang w:val="en-IE"/>
        </w:rPr>
        <w:t xml:space="preserve">Delta and reaching an unprecedented intensity of community transmission </w:t>
      </w:r>
      <w:r w:rsidR="00A41F28" w:rsidRPr="00476F77">
        <w:rPr>
          <w:noProof/>
          <w:lang w:val="en-IE"/>
        </w:rPr>
        <w:t>across the Union</w:t>
      </w:r>
      <w:r w:rsidR="00A41F28">
        <w:rPr>
          <w:noProof/>
          <w:lang w:val="en-IE"/>
        </w:rPr>
        <w:t>.</w:t>
      </w:r>
    </w:p>
    <w:p w:rsidR="00061F5B" w:rsidRPr="00A3009F" w:rsidRDefault="00A41F28" w:rsidP="00A3009F">
      <w:pPr>
        <w:rPr>
          <w:noProof/>
          <w:lang w:val="en-IE"/>
        </w:rPr>
      </w:pPr>
      <w:r w:rsidRPr="00476F77">
        <w:rPr>
          <w:noProof/>
          <w:lang w:val="en-IE"/>
        </w:rPr>
        <w:t>As noted by the European Centre for Disease Prevention and Control</w:t>
      </w:r>
      <w:r w:rsidR="001032A4">
        <w:rPr>
          <w:noProof/>
          <w:lang w:val="en-IE"/>
        </w:rPr>
        <w:t xml:space="preserve"> (ECDC)</w:t>
      </w:r>
      <w:r w:rsidRPr="00476F77">
        <w:rPr>
          <w:noProof/>
          <w:lang w:val="en-IE"/>
        </w:rPr>
        <w:t xml:space="preserve"> in its Rapid Risk Assessment of 27 January 2022</w:t>
      </w:r>
      <w:r>
        <w:rPr>
          <w:rStyle w:val="FootnoteReference"/>
          <w:noProof/>
          <w:lang w:val="en-IE"/>
        </w:rPr>
        <w:footnoteReference w:id="15"/>
      </w:r>
      <w:r w:rsidRPr="004D2A17">
        <w:rPr>
          <w:noProof/>
          <w:lang w:val="en-IE"/>
        </w:rPr>
        <w:t xml:space="preserve">, Omicron infections appear less likely to lead to a severe clinical outcome that requires hospitalisation or admission to intensive care units. </w:t>
      </w:r>
      <w:r w:rsidRPr="00D92A68">
        <w:rPr>
          <w:noProof/>
          <w:lang w:val="en-IE"/>
        </w:rPr>
        <w:t xml:space="preserve">Although the reduction in severity is partially due to inherent characteristics of the virus, results from vaccine effectiveness studies have shown that </w:t>
      </w:r>
      <w:r w:rsidR="00D82768">
        <w:rPr>
          <w:noProof/>
          <w:lang w:val="en-IE"/>
        </w:rPr>
        <w:t xml:space="preserve">vaccination plays </w:t>
      </w:r>
      <w:r w:rsidRPr="00D92A68">
        <w:rPr>
          <w:noProof/>
          <w:lang w:val="en-IE"/>
        </w:rPr>
        <w:t xml:space="preserve">a significant role in preventing severe clinical outcomes from Omicron infection, with effectiveness against severe illness increasing significantly among people having received three vaccine doses. Furthermore, given the very high levels of community transmission, leading to many people being sick at the same time, </w:t>
      </w:r>
      <w:r>
        <w:rPr>
          <w:noProof/>
          <w:lang w:val="en-IE"/>
        </w:rPr>
        <w:t>Member States are likely to</w:t>
      </w:r>
      <w:r w:rsidRPr="004D2A17">
        <w:rPr>
          <w:noProof/>
          <w:lang w:val="en-IE"/>
        </w:rPr>
        <w:t xml:space="preserve"> undergo a period of substantial pressure on their healthcare systems and on</w:t>
      </w:r>
      <w:r>
        <w:rPr>
          <w:noProof/>
          <w:lang w:val="en-IE"/>
        </w:rPr>
        <w:t xml:space="preserve"> </w:t>
      </w:r>
      <w:r w:rsidRPr="004D2A17">
        <w:rPr>
          <w:noProof/>
          <w:lang w:val="en-IE"/>
        </w:rPr>
        <w:t>the functioning of the society as a whole</w:t>
      </w:r>
      <w:r>
        <w:rPr>
          <w:noProof/>
          <w:lang w:val="en-IE"/>
        </w:rPr>
        <w:t xml:space="preserve">, </w:t>
      </w:r>
      <w:r w:rsidRPr="004D2A17">
        <w:rPr>
          <w:noProof/>
          <w:lang w:val="en-IE"/>
        </w:rPr>
        <w:t>mainly through absence from work and education</w:t>
      </w:r>
      <w:r w:rsidR="00061F5B" w:rsidRPr="00A3009F">
        <w:rPr>
          <w:noProof/>
          <w:lang w:val="en-IE"/>
        </w:rPr>
        <w:t>.</w:t>
      </w:r>
    </w:p>
    <w:p w:rsidR="00061F5B" w:rsidRPr="00A3009F" w:rsidRDefault="00D002B2" w:rsidP="00A3009F">
      <w:pPr>
        <w:rPr>
          <w:noProof/>
          <w:lang w:val="en-IE"/>
        </w:rPr>
      </w:pPr>
      <w:r w:rsidRPr="00A3009F">
        <w:rPr>
          <w:noProof/>
          <w:lang w:val="en-IE"/>
        </w:rPr>
        <w:t xml:space="preserve">After a peak in Omicron cases, a high proportion of the population </w:t>
      </w:r>
      <w:r w:rsidR="00A43824">
        <w:rPr>
          <w:noProof/>
          <w:lang w:val="en-IE"/>
        </w:rPr>
        <w:t>is expected</w:t>
      </w:r>
      <w:r w:rsidR="00090444">
        <w:rPr>
          <w:noProof/>
          <w:lang w:val="en-IE"/>
        </w:rPr>
        <w:t xml:space="preserve"> to enjoy</w:t>
      </w:r>
      <w:r w:rsidRPr="00A3009F">
        <w:rPr>
          <w:noProof/>
          <w:lang w:val="en-IE"/>
        </w:rPr>
        <w:t xml:space="preserve">, at least for a certain period, protection from COVID-19 </w:t>
      </w:r>
      <w:r w:rsidR="001D33EA">
        <w:rPr>
          <w:noProof/>
          <w:lang w:val="en-IE"/>
        </w:rPr>
        <w:t xml:space="preserve">either </w:t>
      </w:r>
      <w:r w:rsidRPr="00A3009F">
        <w:rPr>
          <w:noProof/>
          <w:lang w:val="en-IE"/>
        </w:rPr>
        <w:t xml:space="preserve">due to </w:t>
      </w:r>
      <w:r w:rsidR="001D33EA">
        <w:rPr>
          <w:noProof/>
          <w:lang w:val="en-IE"/>
        </w:rPr>
        <w:t xml:space="preserve">vaccination or </w:t>
      </w:r>
      <w:r>
        <w:rPr>
          <w:noProof/>
          <w:lang w:val="en-IE"/>
        </w:rPr>
        <w:t xml:space="preserve">prior </w:t>
      </w:r>
      <w:r w:rsidRPr="00A3009F">
        <w:rPr>
          <w:noProof/>
          <w:lang w:val="en-IE"/>
        </w:rPr>
        <w:t>infection</w:t>
      </w:r>
      <w:r w:rsidR="001D33EA">
        <w:rPr>
          <w:noProof/>
          <w:lang w:val="en-IE"/>
        </w:rPr>
        <w:t>, or both</w:t>
      </w:r>
      <w:r w:rsidRPr="00A3009F">
        <w:rPr>
          <w:noProof/>
          <w:lang w:val="en-IE"/>
        </w:rPr>
        <w:t xml:space="preserve">. However, it is not possible to predict the impact of a possible increase in infections in the second half of 2022. In addition, </w:t>
      </w:r>
      <w:r>
        <w:rPr>
          <w:noProof/>
          <w:lang w:val="en-IE"/>
        </w:rPr>
        <w:t xml:space="preserve">the possibility of </w:t>
      </w:r>
      <w:r w:rsidRPr="00A3009F">
        <w:rPr>
          <w:noProof/>
          <w:lang w:val="en-IE"/>
        </w:rPr>
        <w:t xml:space="preserve">a </w:t>
      </w:r>
      <w:r>
        <w:rPr>
          <w:noProof/>
          <w:lang w:val="en-IE"/>
        </w:rPr>
        <w:t>worsening</w:t>
      </w:r>
      <w:r w:rsidRPr="00A3009F">
        <w:rPr>
          <w:noProof/>
          <w:lang w:val="en-IE"/>
        </w:rPr>
        <w:t xml:space="preserve"> of the pandemic </w:t>
      </w:r>
      <w:r>
        <w:rPr>
          <w:noProof/>
          <w:lang w:val="en-IE"/>
        </w:rPr>
        <w:t>situation because</w:t>
      </w:r>
      <w:r w:rsidRPr="00A3009F">
        <w:rPr>
          <w:noProof/>
          <w:lang w:val="en-IE"/>
        </w:rPr>
        <w:t xml:space="preserve"> of the emergence of new SARS-CoV-2 variants </w:t>
      </w:r>
      <w:r>
        <w:rPr>
          <w:noProof/>
          <w:lang w:val="en-IE"/>
        </w:rPr>
        <w:t xml:space="preserve">of concern </w:t>
      </w:r>
      <w:r w:rsidR="00114EB9">
        <w:rPr>
          <w:noProof/>
          <w:lang w:val="en-IE"/>
        </w:rPr>
        <w:t>can</w:t>
      </w:r>
      <w:r w:rsidRPr="00A3009F">
        <w:rPr>
          <w:noProof/>
          <w:lang w:val="en-IE"/>
        </w:rPr>
        <w:t xml:space="preserve">not be </w:t>
      </w:r>
      <w:r>
        <w:rPr>
          <w:noProof/>
          <w:lang w:val="en-IE"/>
        </w:rPr>
        <w:t>ruled out</w:t>
      </w:r>
      <w:r w:rsidR="00061F5B" w:rsidRPr="00A3009F">
        <w:rPr>
          <w:noProof/>
          <w:lang w:val="en-IE"/>
        </w:rPr>
        <w:t>.</w:t>
      </w:r>
    </w:p>
    <w:p w:rsidR="00061F5B" w:rsidRPr="00A3009F" w:rsidRDefault="002C69E6" w:rsidP="00A3009F">
      <w:pPr>
        <w:pBdr>
          <w:top w:val="nil"/>
          <w:left w:val="nil"/>
          <w:bottom w:val="nil"/>
          <w:right w:val="nil"/>
          <w:between w:val="nil"/>
          <w:bar w:val="nil"/>
        </w:pBdr>
        <w:rPr>
          <w:noProof/>
          <w:lang w:val="en-IE"/>
        </w:rPr>
      </w:pPr>
      <w:r w:rsidRPr="00A3009F">
        <w:rPr>
          <w:noProof/>
          <w:lang w:val="en-IE"/>
        </w:rPr>
        <w:t>In view of the above,</w:t>
      </w:r>
      <w:r w:rsidR="00061F5B" w:rsidRPr="00A3009F">
        <w:rPr>
          <w:noProof/>
          <w:lang w:val="en-IE"/>
        </w:rPr>
        <w:t xml:space="preserve"> </w:t>
      </w:r>
      <w:r w:rsidRPr="00A3009F">
        <w:rPr>
          <w:noProof/>
          <w:lang w:val="en-IE"/>
        </w:rPr>
        <w:t>it</w:t>
      </w:r>
      <w:r w:rsidR="00061F5B" w:rsidRPr="00A3009F">
        <w:rPr>
          <w:noProof/>
          <w:lang w:val="en-IE"/>
        </w:rPr>
        <w:t xml:space="preserve"> cannot be excluded that Member States continue to require Union citizens exercising their right to free movement to present proof of COVID-19 vaccination, test or recovery beyond 30 June 2022, that is, the date when </w:t>
      </w:r>
      <w:r w:rsidR="00061F5B" w:rsidRPr="00A3009F">
        <w:rPr>
          <w:rFonts w:eastAsiaTheme="minorEastAsia"/>
          <w:noProof/>
          <w:lang w:val="en-IE"/>
        </w:rPr>
        <w:t>Regulation (EU) 2021/953 is currently set to expire</w:t>
      </w:r>
      <w:r w:rsidRPr="00A3009F">
        <w:rPr>
          <w:noProof/>
          <w:lang w:val="en-IE"/>
        </w:rPr>
        <w:t xml:space="preserve">. </w:t>
      </w:r>
      <w:r w:rsidR="00061F5B" w:rsidRPr="00A3009F">
        <w:rPr>
          <w:noProof/>
          <w:lang w:val="en-IE"/>
        </w:rPr>
        <w:t xml:space="preserve">It is </w:t>
      </w:r>
      <w:r w:rsidRPr="00A3009F">
        <w:rPr>
          <w:noProof/>
          <w:lang w:val="en-IE"/>
        </w:rPr>
        <w:t xml:space="preserve">thus </w:t>
      </w:r>
      <w:r w:rsidR="00061F5B" w:rsidRPr="00A3009F">
        <w:rPr>
          <w:noProof/>
          <w:lang w:val="en-IE"/>
        </w:rPr>
        <w:t xml:space="preserve">important to avoid that Union citizens and their family members are deprived of the possibility to make use of their EU Digital COVID Certificates, which are an effective, secure and privacy-preserving way of proving one’s COVID-19 status, in </w:t>
      </w:r>
      <w:r w:rsidR="006F2126" w:rsidRPr="00A3009F">
        <w:rPr>
          <w:noProof/>
          <w:lang w:val="en-IE"/>
        </w:rPr>
        <w:t>the</w:t>
      </w:r>
      <w:r w:rsidR="00061F5B" w:rsidRPr="00A3009F">
        <w:rPr>
          <w:noProof/>
          <w:lang w:val="en-IE"/>
        </w:rPr>
        <w:t xml:space="preserve"> event that certain restrictions to free movement based on public health are still in place after 30 June 2022.</w:t>
      </w:r>
    </w:p>
    <w:p w:rsidR="00061F5B" w:rsidRPr="00A3009F" w:rsidRDefault="00061F5B" w:rsidP="00A3009F">
      <w:pPr>
        <w:pBdr>
          <w:top w:val="nil"/>
          <w:left w:val="nil"/>
          <w:bottom w:val="nil"/>
          <w:right w:val="nil"/>
          <w:between w:val="nil"/>
          <w:bar w:val="nil"/>
        </w:pBdr>
        <w:rPr>
          <w:noProof/>
          <w:lang w:val="en-IE"/>
        </w:rPr>
      </w:pPr>
      <w:r w:rsidRPr="00A3009F">
        <w:rPr>
          <w:noProof/>
          <w:lang w:val="en-IE"/>
        </w:rPr>
        <w:t>At the same</w:t>
      </w:r>
      <w:r w:rsidR="00EF6692">
        <w:rPr>
          <w:noProof/>
          <w:lang w:val="en-IE"/>
        </w:rPr>
        <w:t xml:space="preserve"> time</w:t>
      </w:r>
      <w:r w:rsidRPr="00A3009F">
        <w:rPr>
          <w:noProof/>
          <w:lang w:val="en-IE"/>
        </w:rPr>
        <w:t xml:space="preserve">, given that any restrictions to the free movement of persons within the Union put in place to limit the spread of SARS-CoV-2, including the requirement to present EU Digital COVID Certificates, should be lifted as soon as the epidemiological situation allows, the Commission proposes to limit the extension </w:t>
      </w:r>
      <w:r w:rsidRPr="00A3009F">
        <w:rPr>
          <w:rFonts w:eastAsiaTheme="minorEastAsia"/>
          <w:noProof/>
          <w:lang w:val="en-IE"/>
        </w:rPr>
        <w:t>to</w:t>
      </w:r>
      <w:r w:rsidRPr="00A3009F">
        <w:rPr>
          <w:noProof/>
          <w:lang w:val="en-IE"/>
        </w:rPr>
        <w:t xml:space="preserve"> 12 months. </w:t>
      </w:r>
      <w:r w:rsidR="000F4B75">
        <w:rPr>
          <w:noProof/>
          <w:lang w:val="en-IE"/>
        </w:rPr>
        <w:t>Furthermore</w:t>
      </w:r>
      <w:r w:rsidRPr="00A3009F">
        <w:rPr>
          <w:noProof/>
          <w:lang w:val="en-IE"/>
        </w:rPr>
        <w:t xml:space="preserve">, the extension of the Regulation should not be understood as requiring Member States, in particular those that </w:t>
      </w:r>
      <w:r w:rsidR="001D33EA" w:rsidRPr="00A3009F">
        <w:rPr>
          <w:noProof/>
          <w:lang w:val="en-IE"/>
        </w:rPr>
        <w:t>lift domestic public health measures</w:t>
      </w:r>
      <w:r w:rsidRPr="00A3009F">
        <w:rPr>
          <w:noProof/>
          <w:lang w:val="en-IE"/>
        </w:rPr>
        <w:t>, to maintain or impose free movement restrictions.</w:t>
      </w:r>
    </w:p>
    <w:p w:rsidR="00BB5BF5" w:rsidRPr="00A3009F" w:rsidRDefault="00BB5BF5" w:rsidP="00A3009F">
      <w:pPr>
        <w:pBdr>
          <w:top w:val="nil"/>
          <w:left w:val="nil"/>
          <w:bottom w:val="nil"/>
          <w:right w:val="nil"/>
          <w:between w:val="nil"/>
          <w:bar w:val="nil"/>
        </w:pBdr>
        <w:rPr>
          <w:rFonts w:eastAsiaTheme="minorEastAsia"/>
          <w:noProof/>
          <w:lang w:val="en-IE"/>
        </w:rPr>
      </w:pPr>
      <w:r w:rsidRPr="00A3009F">
        <w:rPr>
          <w:noProof/>
          <w:lang w:val="en-IE"/>
        </w:rPr>
        <w:t>In addition, the Commission also propose</w:t>
      </w:r>
      <w:r w:rsidR="00AF7A81" w:rsidRPr="00A3009F">
        <w:rPr>
          <w:noProof/>
          <w:lang w:val="en-IE"/>
        </w:rPr>
        <w:t>s</w:t>
      </w:r>
      <w:r w:rsidRPr="00A3009F">
        <w:rPr>
          <w:noProof/>
          <w:lang w:val="en-IE"/>
        </w:rPr>
        <w:t xml:space="preserve"> to amend a small number of other provisions of </w:t>
      </w:r>
      <w:r w:rsidRPr="00A3009F">
        <w:rPr>
          <w:rFonts w:eastAsiaTheme="minorEastAsia"/>
          <w:noProof/>
          <w:lang w:val="en-IE"/>
        </w:rPr>
        <w:t>Regulation (EU) 2021/953.</w:t>
      </w:r>
    </w:p>
    <w:p w:rsidR="00BB5BF5" w:rsidRPr="00A3009F" w:rsidRDefault="00BB5BF5" w:rsidP="00A3009F">
      <w:pPr>
        <w:pBdr>
          <w:top w:val="nil"/>
          <w:left w:val="nil"/>
          <w:bottom w:val="nil"/>
          <w:right w:val="nil"/>
          <w:between w:val="nil"/>
          <w:bar w:val="nil"/>
        </w:pBdr>
        <w:rPr>
          <w:noProof/>
          <w:lang w:val="en-IE"/>
        </w:rPr>
      </w:pPr>
      <w:r w:rsidRPr="00A3009F">
        <w:rPr>
          <w:noProof/>
          <w:lang w:val="en-IE"/>
        </w:rPr>
        <w:t>According to Regulation (EU) 2021/953, test certificates are to be issued based on two types of tests for SARS-CoV-2 infection, namely molecular nucleic acid amplification tests (NAAT), including those using reverse transcription polymerase chain reaction (RT-PCR), and rapid antigen test</w:t>
      </w:r>
      <w:r w:rsidR="006F2126" w:rsidRPr="00A3009F">
        <w:rPr>
          <w:noProof/>
          <w:lang w:val="en-IE"/>
        </w:rPr>
        <w:t>s</w:t>
      </w:r>
      <w:r w:rsidRPr="00A3009F">
        <w:rPr>
          <w:noProof/>
          <w:lang w:val="en-IE"/>
        </w:rPr>
        <w:t xml:space="preserve">, which rely on detection of viral proteins (antigens) using a lateral flow immunoassay that gives results in less than 30 minutes, provided they are carried out by health professionals or by skilled testing personnel. On the other hand, Regulation (EU) 2021/953 </w:t>
      </w:r>
      <w:r w:rsidR="007E412B">
        <w:rPr>
          <w:noProof/>
          <w:lang w:val="en-IE"/>
        </w:rPr>
        <w:t>does</w:t>
      </w:r>
      <w:r w:rsidRPr="00A3009F">
        <w:rPr>
          <w:noProof/>
          <w:lang w:val="en-IE"/>
        </w:rPr>
        <w:t xml:space="preserve"> not cover </w:t>
      </w:r>
      <w:r w:rsidR="001D33EA">
        <w:rPr>
          <w:noProof/>
          <w:lang w:val="en-IE"/>
        </w:rPr>
        <w:t xml:space="preserve">other types of </w:t>
      </w:r>
      <w:r w:rsidRPr="00A3009F">
        <w:rPr>
          <w:noProof/>
          <w:lang w:val="en-IE"/>
        </w:rPr>
        <w:t>antigenic assays, such as enzyme-linked immunosorbent assays (ELISA) or automated immunoassays, which test for antigens in a laboratory setting.</w:t>
      </w:r>
    </w:p>
    <w:p w:rsidR="00BB5BF5" w:rsidRPr="00A3009F" w:rsidRDefault="00BB5BF5" w:rsidP="00A3009F">
      <w:pPr>
        <w:pBdr>
          <w:top w:val="nil"/>
          <w:left w:val="nil"/>
          <w:bottom w:val="nil"/>
          <w:right w:val="nil"/>
          <w:between w:val="nil"/>
          <w:bar w:val="nil"/>
        </w:pBdr>
        <w:rPr>
          <w:noProof/>
          <w:lang w:val="en-IE"/>
        </w:rPr>
      </w:pPr>
      <w:r w:rsidRPr="00A3009F">
        <w:rPr>
          <w:noProof/>
          <w:lang w:val="en-IE"/>
        </w:rPr>
        <w:t>As of July 2021, the technical working group</w:t>
      </w:r>
      <w:r w:rsidR="001D33EA">
        <w:rPr>
          <w:noProof/>
          <w:lang w:val="en-IE"/>
        </w:rPr>
        <w:t xml:space="preserve"> </w:t>
      </w:r>
      <w:r w:rsidR="001D33EA" w:rsidRPr="00A3009F">
        <w:rPr>
          <w:rFonts w:eastAsia="Times New Roman"/>
          <w:noProof/>
          <w:lang w:val="en-IE"/>
        </w:rPr>
        <w:t>on COVID-19 diagnostic tests</w:t>
      </w:r>
      <w:r w:rsidRPr="00A3009F">
        <w:rPr>
          <w:rStyle w:val="FootnoteReference"/>
          <w:noProof/>
          <w:lang w:val="en-IE"/>
        </w:rPr>
        <w:footnoteReference w:id="16"/>
      </w:r>
      <w:r w:rsidR="00261AA6">
        <w:rPr>
          <w:rFonts w:eastAsia="Times New Roman"/>
          <w:noProof/>
          <w:lang w:val="en-IE"/>
        </w:rPr>
        <w:t>,</w:t>
      </w:r>
      <w:r w:rsidRPr="00A3009F">
        <w:rPr>
          <w:noProof/>
          <w:lang w:val="en-IE"/>
        </w:rPr>
        <w:t xml:space="preserve"> responsible for preparing updates to the common list of COVID-19 rapid antigen tests</w:t>
      </w:r>
      <w:r w:rsidRPr="00A3009F">
        <w:rPr>
          <w:rStyle w:val="FootnoteReference"/>
          <w:noProof/>
          <w:lang w:val="en-IE"/>
        </w:rPr>
        <w:footnoteReference w:id="17"/>
      </w:r>
      <w:r w:rsidRPr="00A3009F">
        <w:rPr>
          <w:noProof/>
          <w:lang w:val="en-IE"/>
        </w:rPr>
        <w:t xml:space="preserve"> agreed by the Health Security Committee</w:t>
      </w:r>
      <w:r w:rsidR="00261AA6">
        <w:rPr>
          <w:noProof/>
          <w:lang w:val="en-IE"/>
        </w:rPr>
        <w:t>,</w:t>
      </w:r>
      <w:r w:rsidRPr="00A3009F">
        <w:rPr>
          <w:noProof/>
          <w:lang w:val="en-IE"/>
        </w:rPr>
        <w:t xml:space="preserve"> also reviews proposals put forward by Member States and manufacturers for COVID-19 laboratory-based antigenic assays. These proposals are assessed against the same criteria as </w:t>
      </w:r>
      <w:r w:rsidR="00F500AF">
        <w:rPr>
          <w:noProof/>
          <w:lang w:val="en-IE"/>
        </w:rPr>
        <w:t xml:space="preserve">those used for </w:t>
      </w:r>
      <w:r w:rsidRPr="00A3009F">
        <w:rPr>
          <w:noProof/>
          <w:lang w:val="en-IE"/>
        </w:rPr>
        <w:t xml:space="preserve">rapid antigen tests, and the Health Security Committee has established a list of </w:t>
      </w:r>
      <w:r w:rsidR="0008581B">
        <w:rPr>
          <w:noProof/>
          <w:lang w:val="en-IE"/>
        </w:rPr>
        <w:t>the</w:t>
      </w:r>
      <w:r w:rsidR="0008581B" w:rsidRPr="00A3009F">
        <w:rPr>
          <w:noProof/>
          <w:lang w:val="en-IE"/>
        </w:rPr>
        <w:t xml:space="preserve"> </w:t>
      </w:r>
      <w:r w:rsidRPr="00A3009F">
        <w:rPr>
          <w:noProof/>
          <w:lang w:val="en-IE"/>
        </w:rPr>
        <w:t>laboratory-based antigenic assays that meet these criteria.</w:t>
      </w:r>
      <w:r w:rsidR="006F2126" w:rsidRPr="00A3009F">
        <w:rPr>
          <w:noProof/>
          <w:lang w:val="en-IE"/>
        </w:rPr>
        <w:t xml:space="preserve"> </w:t>
      </w:r>
      <w:r w:rsidRPr="00A3009F">
        <w:rPr>
          <w:noProof/>
          <w:lang w:val="en-IE"/>
        </w:rPr>
        <w:t>As a result, an</w:t>
      </w:r>
      <w:r w:rsidR="007E412B">
        <w:rPr>
          <w:noProof/>
          <w:lang w:val="en-IE"/>
        </w:rPr>
        <w:t>d</w:t>
      </w:r>
      <w:r w:rsidRPr="00A3009F">
        <w:rPr>
          <w:noProof/>
          <w:lang w:val="en-IE"/>
        </w:rPr>
        <w:t xml:space="preserve"> in an effort to enlarge the scope of </w:t>
      </w:r>
      <w:r w:rsidR="00EB1970">
        <w:rPr>
          <w:noProof/>
          <w:lang w:val="en-IE"/>
        </w:rPr>
        <w:t xml:space="preserve">the </w:t>
      </w:r>
      <w:r w:rsidRPr="00A3009F">
        <w:rPr>
          <w:noProof/>
          <w:lang w:val="en-IE"/>
        </w:rPr>
        <w:t>different types of diagnostic tests that may be used as the basis for the issuance of an EU Digital COVID Certificate, the Commission propose</w:t>
      </w:r>
      <w:r w:rsidR="00DC1B55">
        <w:rPr>
          <w:noProof/>
          <w:lang w:val="en-IE"/>
        </w:rPr>
        <w:t>s</w:t>
      </w:r>
      <w:r w:rsidRPr="00A3009F">
        <w:rPr>
          <w:noProof/>
          <w:lang w:val="en-IE"/>
        </w:rPr>
        <w:t xml:space="preserve"> </w:t>
      </w:r>
      <w:r w:rsidR="006F2126" w:rsidRPr="00A3009F">
        <w:rPr>
          <w:noProof/>
          <w:lang w:val="en-IE"/>
        </w:rPr>
        <w:t xml:space="preserve">that it should be </w:t>
      </w:r>
      <w:r w:rsidRPr="00A3009F">
        <w:rPr>
          <w:noProof/>
          <w:lang w:val="en-IE"/>
        </w:rPr>
        <w:t>possible</w:t>
      </w:r>
      <w:r w:rsidR="00EB1970">
        <w:rPr>
          <w:noProof/>
          <w:lang w:val="en-IE"/>
        </w:rPr>
        <w:t xml:space="preserve"> for Member States</w:t>
      </w:r>
      <w:r w:rsidRPr="00A3009F">
        <w:rPr>
          <w:noProof/>
          <w:lang w:val="en-IE"/>
        </w:rPr>
        <w:t xml:space="preserve"> to issue test certificates on the basis of </w:t>
      </w:r>
      <w:r w:rsidR="006F2126" w:rsidRPr="00A3009F">
        <w:rPr>
          <w:noProof/>
          <w:lang w:val="en-IE"/>
        </w:rPr>
        <w:t>listed laboratory-based antigenic assays</w:t>
      </w:r>
      <w:r w:rsidRPr="00A3009F">
        <w:rPr>
          <w:noProof/>
          <w:lang w:val="en-IE"/>
        </w:rPr>
        <w:t>.</w:t>
      </w:r>
    </w:p>
    <w:p w:rsidR="00F4705B" w:rsidRPr="00A3009F" w:rsidRDefault="00F4705B" w:rsidP="00A3009F">
      <w:pPr>
        <w:rPr>
          <w:noProof/>
          <w:lang w:val="en-IE"/>
        </w:rPr>
      </w:pPr>
      <w:r w:rsidRPr="00A3009F">
        <w:rPr>
          <w:noProof/>
          <w:lang w:val="en-IE"/>
        </w:rPr>
        <w:t xml:space="preserve">Scientific progress also takes place in other areas of the fight against COVID-19, in particular vaccination. Vaccine manufacturers continue the development of new and/or adapted COVID-19 vaccines, and studies are carried out regarding the continued effectiveness of existing </w:t>
      </w:r>
      <w:r w:rsidR="00F307B2">
        <w:rPr>
          <w:noProof/>
          <w:lang w:val="en-IE"/>
        </w:rPr>
        <w:t>ones</w:t>
      </w:r>
      <w:r w:rsidRPr="00A3009F">
        <w:rPr>
          <w:noProof/>
          <w:lang w:val="en-IE"/>
        </w:rPr>
        <w:t>. It is necessary to ensure that the EU Digital COVID Certificate system can adapt to new developments in this area, such as a possible rollout of COVID-19 vaccines targeting SARS-CoV-2 variants. This progress may require future adaptations to the information included in the vaccination certificate, in particular regarding the COVID-19 vaccines administered</w:t>
      </w:r>
      <w:r w:rsidR="00D92A68" w:rsidRPr="00A3009F">
        <w:rPr>
          <w:noProof/>
          <w:lang w:val="en-IE"/>
        </w:rPr>
        <w:t xml:space="preserve">, </w:t>
      </w:r>
      <w:r w:rsidR="00D92A68">
        <w:rPr>
          <w:noProof/>
          <w:lang w:val="en-IE"/>
        </w:rPr>
        <w:t>such as</w:t>
      </w:r>
      <w:r w:rsidR="00D92A68" w:rsidRPr="00A3009F">
        <w:rPr>
          <w:noProof/>
          <w:lang w:val="en-IE"/>
        </w:rPr>
        <w:t xml:space="preserve"> by way of </w:t>
      </w:r>
      <w:r w:rsidR="00D92A68">
        <w:rPr>
          <w:noProof/>
          <w:lang w:val="en-IE"/>
        </w:rPr>
        <w:t xml:space="preserve">a </w:t>
      </w:r>
      <w:r w:rsidR="00D92A68" w:rsidRPr="00A3009F">
        <w:rPr>
          <w:noProof/>
          <w:lang w:val="en-IE"/>
        </w:rPr>
        <w:t>delegated act adopted pursuant to Article 5(2) of the Regulation.</w:t>
      </w:r>
    </w:p>
    <w:p w:rsidR="00E7441F" w:rsidRDefault="006912A6" w:rsidP="001941F8">
      <w:pPr>
        <w:rPr>
          <w:noProof/>
          <w:lang w:val="en-IE"/>
        </w:rPr>
      </w:pPr>
      <w:r w:rsidRPr="00A3009F">
        <w:rPr>
          <w:noProof/>
          <w:lang w:val="en-IE"/>
        </w:rPr>
        <w:t xml:space="preserve">In particular in light of the emergence of new SARS-CoV-2 variants of concern, the continued development and study of COVID-19 vaccines remains crucial. In this context, it is important to facilitate the participation of volunteers in clinical trials, that is, studies performed to investigate the safety or efficacy of a medicine, such as a COVID-19 vaccine. </w:t>
      </w:r>
      <w:r w:rsidR="009F36C6" w:rsidRPr="009F36C6">
        <w:rPr>
          <w:noProof/>
          <w:lang w:val="en-IE"/>
        </w:rPr>
        <w:t xml:space="preserve">Clinical research plays a fundamental role in the development of vaccines. Voluntary participation in clinical trials should therefore be encouraged. Depriving volunteers from access to </w:t>
      </w:r>
      <w:r w:rsidR="009F36C6">
        <w:rPr>
          <w:noProof/>
          <w:lang w:val="en-IE"/>
        </w:rPr>
        <w:t xml:space="preserve">EU </w:t>
      </w:r>
      <w:r w:rsidR="009F36C6" w:rsidRPr="009F36C6">
        <w:rPr>
          <w:noProof/>
          <w:lang w:val="en-IE"/>
        </w:rPr>
        <w:t xml:space="preserve">Digital </w:t>
      </w:r>
      <w:r w:rsidR="009F36C6">
        <w:rPr>
          <w:noProof/>
          <w:lang w:val="en-IE"/>
        </w:rPr>
        <w:t>COVID</w:t>
      </w:r>
      <w:r w:rsidR="009F36C6" w:rsidRPr="009F36C6">
        <w:rPr>
          <w:noProof/>
          <w:lang w:val="en-IE"/>
        </w:rPr>
        <w:t xml:space="preserve"> Certificate</w:t>
      </w:r>
      <w:r w:rsidR="009F36C6">
        <w:rPr>
          <w:noProof/>
          <w:lang w:val="en-IE"/>
        </w:rPr>
        <w:t>s</w:t>
      </w:r>
      <w:r w:rsidR="009F36C6" w:rsidRPr="009F36C6">
        <w:rPr>
          <w:noProof/>
          <w:lang w:val="en-IE"/>
        </w:rPr>
        <w:t xml:space="preserve"> could constitute a major disincentive</w:t>
      </w:r>
      <w:r w:rsidR="009F36C6">
        <w:rPr>
          <w:noProof/>
          <w:lang w:val="en-IE"/>
        </w:rPr>
        <w:t xml:space="preserve"> to participate,</w:t>
      </w:r>
      <w:r w:rsidR="009F36C6" w:rsidRPr="009F36C6">
        <w:rPr>
          <w:noProof/>
          <w:lang w:val="en-IE"/>
        </w:rPr>
        <w:t xml:space="preserve"> delaying the conclusion of clinical trials</w:t>
      </w:r>
      <w:r w:rsidR="009F36C6">
        <w:rPr>
          <w:noProof/>
          <w:lang w:val="en-IE"/>
        </w:rPr>
        <w:t xml:space="preserve"> and</w:t>
      </w:r>
      <w:r w:rsidR="009F36C6" w:rsidRPr="009F36C6">
        <w:rPr>
          <w:noProof/>
          <w:lang w:val="en-IE"/>
        </w:rPr>
        <w:t xml:space="preserve"> negatively impacting public health</w:t>
      </w:r>
      <w:r w:rsidR="009F36C6">
        <w:rPr>
          <w:noProof/>
          <w:lang w:val="en-IE"/>
        </w:rPr>
        <w:t xml:space="preserve"> </w:t>
      </w:r>
      <w:r w:rsidR="00545DFA">
        <w:rPr>
          <w:noProof/>
          <w:lang w:val="en-IE"/>
        </w:rPr>
        <w:t>more</w:t>
      </w:r>
      <w:r w:rsidR="009F36C6">
        <w:rPr>
          <w:noProof/>
          <w:lang w:val="en-IE"/>
        </w:rPr>
        <w:t xml:space="preserve"> general</w:t>
      </w:r>
      <w:r w:rsidR="00545DFA">
        <w:rPr>
          <w:noProof/>
          <w:lang w:val="en-IE"/>
        </w:rPr>
        <w:t>ly</w:t>
      </w:r>
      <w:r w:rsidR="009F36C6" w:rsidRPr="009F36C6">
        <w:rPr>
          <w:noProof/>
          <w:lang w:val="en-IE"/>
        </w:rPr>
        <w:t xml:space="preserve">. </w:t>
      </w:r>
      <w:r w:rsidR="00E7441F" w:rsidRPr="00A92D51">
        <w:rPr>
          <w:noProof/>
          <w:lang w:val="en-IE"/>
        </w:rPr>
        <w:t>In addition, the integrity of clinical trials, including in terms of data blinding and confidentiality, should be preserved to ensure</w:t>
      </w:r>
      <w:r w:rsidR="00E7441F">
        <w:rPr>
          <w:noProof/>
          <w:lang w:val="en-IE"/>
        </w:rPr>
        <w:t xml:space="preserve"> the validity of their results.</w:t>
      </w:r>
    </w:p>
    <w:p w:rsidR="00545DFA" w:rsidRDefault="00E7441F" w:rsidP="00A3009F">
      <w:pPr>
        <w:rPr>
          <w:noProof/>
          <w:lang w:val="en-IE"/>
        </w:rPr>
      </w:pPr>
      <w:r>
        <w:rPr>
          <w:noProof/>
          <w:lang w:val="en-IE"/>
        </w:rPr>
        <w:t>For this purpose, persons participating in c</w:t>
      </w:r>
      <w:r w:rsidRPr="00A92D51">
        <w:rPr>
          <w:noProof/>
          <w:lang w:val="en-IE"/>
        </w:rPr>
        <w:t>linical trial</w:t>
      </w:r>
      <w:r>
        <w:rPr>
          <w:noProof/>
          <w:lang w:val="en-IE"/>
        </w:rPr>
        <w:t xml:space="preserve">s </w:t>
      </w:r>
      <w:r w:rsidRPr="005B17A3">
        <w:rPr>
          <w:noProof/>
          <w:lang w:val="en-IE"/>
        </w:rPr>
        <w:t>that have been approved by Member States’ ethical committees and competent authorities</w:t>
      </w:r>
      <w:r w:rsidRPr="00A92D51">
        <w:rPr>
          <w:noProof/>
          <w:lang w:val="en-IE"/>
        </w:rPr>
        <w:t xml:space="preserve"> </w:t>
      </w:r>
      <w:r>
        <w:rPr>
          <w:noProof/>
          <w:lang w:val="en-IE"/>
        </w:rPr>
        <w:t>should be able</w:t>
      </w:r>
      <w:r w:rsidRPr="00A92D51">
        <w:rPr>
          <w:noProof/>
          <w:lang w:val="en-IE"/>
        </w:rPr>
        <w:t xml:space="preserve"> to receive an EU Digital COVID Certificate</w:t>
      </w:r>
      <w:r w:rsidR="00547EE8">
        <w:rPr>
          <w:noProof/>
          <w:lang w:val="en-IE"/>
        </w:rPr>
        <w:t xml:space="preserve">. These may be issued by </w:t>
      </w:r>
      <w:r w:rsidRPr="00A92D51">
        <w:rPr>
          <w:noProof/>
          <w:lang w:val="en-IE"/>
        </w:rPr>
        <w:t xml:space="preserve">the Member State where </w:t>
      </w:r>
      <w:r>
        <w:rPr>
          <w:noProof/>
          <w:lang w:val="en-IE"/>
        </w:rPr>
        <w:t xml:space="preserve">the </w:t>
      </w:r>
      <w:r w:rsidRPr="00A92D51">
        <w:rPr>
          <w:noProof/>
          <w:lang w:val="en-IE"/>
        </w:rPr>
        <w:t xml:space="preserve">dose is administered </w:t>
      </w:r>
      <w:r>
        <w:rPr>
          <w:noProof/>
          <w:lang w:val="en-IE"/>
        </w:rPr>
        <w:t>regardless whether the</w:t>
      </w:r>
      <w:r w:rsidR="005A4B34">
        <w:rPr>
          <w:noProof/>
          <w:lang w:val="en-IE"/>
        </w:rPr>
        <w:t xml:space="preserve"> participants</w:t>
      </w:r>
      <w:r>
        <w:rPr>
          <w:noProof/>
          <w:lang w:val="en-IE"/>
        </w:rPr>
        <w:t xml:space="preserve"> have received the COVID-19 vaccine candidate or the dose administered to the control group</w:t>
      </w:r>
      <w:r w:rsidR="005A4B34">
        <w:rPr>
          <w:noProof/>
          <w:lang w:val="en-IE"/>
        </w:rPr>
        <w:t xml:space="preserve"> to </w:t>
      </w:r>
      <w:r w:rsidR="005A4B34" w:rsidRPr="00A92D51">
        <w:rPr>
          <w:noProof/>
          <w:lang w:val="en-IE"/>
        </w:rPr>
        <w:t>avoid</w:t>
      </w:r>
      <w:r w:rsidR="005A4B34" w:rsidRPr="00A92D51">
        <w:rPr>
          <w:noProof/>
          <w:lang w:val="en-US"/>
        </w:rPr>
        <w:t xml:space="preserve"> undermining </w:t>
      </w:r>
      <w:r w:rsidR="005A4B34">
        <w:rPr>
          <w:noProof/>
          <w:lang w:val="en-US"/>
        </w:rPr>
        <w:t xml:space="preserve">the </w:t>
      </w:r>
      <w:r w:rsidR="005A4B34" w:rsidRPr="00A92D51">
        <w:rPr>
          <w:noProof/>
          <w:lang w:val="en-US"/>
        </w:rPr>
        <w:t>studies</w:t>
      </w:r>
      <w:r w:rsidR="00E5407E">
        <w:rPr>
          <w:noProof/>
          <w:lang w:val="en-IE"/>
        </w:rPr>
        <w:t xml:space="preserve">. </w:t>
      </w:r>
      <w:r w:rsidR="00545DFA" w:rsidRPr="00A92D51">
        <w:rPr>
          <w:noProof/>
          <w:lang w:val="en-IE"/>
        </w:rPr>
        <w:t xml:space="preserve">It should be clarified that </w:t>
      </w:r>
      <w:r w:rsidR="00837676">
        <w:rPr>
          <w:noProof/>
          <w:lang w:val="en-IE"/>
        </w:rPr>
        <w:t xml:space="preserve">other </w:t>
      </w:r>
      <w:r w:rsidR="00545DFA">
        <w:rPr>
          <w:noProof/>
          <w:lang w:val="en-IE"/>
        </w:rPr>
        <w:t xml:space="preserve">Member States may accept </w:t>
      </w:r>
      <w:r w:rsidR="00545DFA" w:rsidRPr="00A92D51">
        <w:rPr>
          <w:noProof/>
          <w:lang w:val="en-IE"/>
        </w:rPr>
        <w:t>such certificates</w:t>
      </w:r>
      <w:r w:rsidR="00545DFA" w:rsidRPr="00837676">
        <w:rPr>
          <w:noProof/>
          <w:color w:val="1F497D"/>
        </w:rPr>
        <w:t xml:space="preserve"> </w:t>
      </w:r>
      <w:r w:rsidR="00545DFA" w:rsidRPr="00A92D51">
        <w:rPr>
          <w:noProof/>
          <w:lang w:val="en-IE"/>
        </w:rPr>
        <w:t>in order to waive restrictions to free movement put in place to limit the spread of SARS-CoV-2. If a COVID-19 vaccine undergoing clinical trials is subsequently granted a marketing authorisation pursuant to Regulation (EC) No 726/2004</w:t>
      </w:r>
      <w:r w:rsidR="00435581" w:rsidRPr="00A3009F">
        <w:rPr>
          <w:rStyle w:val="FootnoteReference"/>
          <w:noProof/>
          <w:lang w:val="en-IE"/>
        </w:rPr>
        <w:footnoteReference w:id="18"/>
      </w:r>
      <w:r w:rsidR="00545DFA" w:rsidRPr="00A92D51">
        <w:rPr>
          <w:noProof/>
          <w:lang w:val="en-IE"/>
        </w:rPr>
        <w:t xml:space="preserve">, vaccination certificates for that vaccine fall, as of that moment, within the scope of the first subparagraph of Article 5(5) of Regulation (EU) 2021/953. </w:t>
      </w:r>
      <w:r w:rsidR="00545DFA">
        <w:rPr>
          <w:noProof/>
          <w:lang w:val="en-IE"/>
        </w:rPr>
        <w:t xml:space="preserve">To ensure a </w:t>
      </w:r>
      <w:r w:rsidR="00545DFA" w:rsidRPr="00A92D51">
        <w:rPr>
          <w:noProof/>
          <w:lang w:val="en-IE"/>
        </w:rPr>
        <w:t xml:space="preserve">coherent approach with regards to </w:t>
      </w:r>
      <w:r w:rsidR="00545DFA">
        <w:rPr>
          <w:noProof/>
          <w:lang w:val="en-IE"/>
        </w:rPr>
        <w:t xml:space="preserve">the </w:t>
      </w:r>
      <w:r w:rsidR="00545DFA" w:rsidRPr="00A92D51">
        <w:rPr>
          <w:noProof/>
          <w:lang w:val="en-IE"/>
        </w:rPr>
        <w:t>acceptance of certificates issued for a COVID-19 vaccine undergoing clinical trials that has not yet received a marketing authorisation</w:t>
      </w:r>
      <w:r w:rsidR="00545DFA">
        <w:rPr>
          <w:noProof/>
          <w:lang w:val="en-IE"/>
        </w:rPr>
        <w:t xml:space="preserve">, the </w:t>
      </w:r>
      <w:r w:rsidR="00545DFA" w:rsidRPr="00A92D51">
        <w:rPr>
          <w:noProof/>
          <w:lang w:val="en-IE"/>
        </w:rPr>
        <w:t>Health Security Committee</w:t>
      </w:r>
      <w:r>
        <w:rPr>
          <w:noProof/>
          <w:lang w:val="en-IE"/>
        </w:rPr>
        <w:t xml:space="preserve">, ECDC or </w:t>
      </w:r>
      <w:r w:rsidR="00AB3391" w:rsidRPr="00A3009F">
        <w:rPr>
          <w:noProof/>
          <w:lang w:val="en-IE"/>
        </w:rPr>
        <w:t>the European Medicines Agency</w:t>
      </w:r>
      <w:r w:rsidR="00AB3391">
        <w:rPr>
          <w:noProof/>
          <w:lang w:val="en-IE"/>
        </w:rPr>
        <w:t xml:space="preserve"> (EMA)</w:t>
      </w:r>
      <w:r w:rsidR="00545DFA">
        <w:rPr>
          <w:noProof/>
          <w:lang w:val="en-IE"/>
        </w:rPr>
        <w:t xml:space="preserve"> may be asked to issue guidance</w:t>
      </w:r>
      <w:r w:rsidR="00545DFA" w:rsidRPr="00A92D51">
        <w:rPr>
          <w:noProof/>
          <w:lang w:val="en-IE"/>
        </w:rPr>
        <w:t>, which should take into account the ethical and scientific criteria necessary for carrying out clinical trials.</w:t>
      </w:r>
    </w:p>
    <w:p w:rsidR="00BB5BF5" w:rsidRPr="00A3009F" w:rsidRDefault="00AD2D2C" w:rsidP="00A3009F">
      <w:pPr>
        <w:rPr>
          <w:noProof/>
          <w:lang w:val="en-IE"/>
        </w:rPr>
      </w:pPr>
      <w:r w:rsidRPr="00A3009F">
        <w:rPr>
          <w:noProof/>
          <w:lang w:val="en-IE"/>
        </w:rPr>
        <w:t xml:space="preserve">Vaccination </w:t>
      </w:r>
      <w:r w:rsidR="00BB5BF5" w:rsidRPr="00A3009F">
        <w:rPr>
          <w:noProof/>
          <w:lang w:val="en-IE"/>
        </w:rPr>
        <w:t xml:space="preserve">certificates issued by Member States </w:t>
      </w:r>
      <w:r w:rsidR="006912A6" w:rsidRPr="00A3009F">
        <w:rPr>
          <w:noProof/>
          <w:lang w:val="en-IE"/>
        </w:rPr>
        <w:t>in the EU Digital COVID Certificate format must</w:t>
      </w:r>
      <w:r w:rsidR="00BB5BF5" w:rsidRPr="00A3009F">
        <w:rPr>
          <w:noProof/>
          <w:lang w:val="en-IE"/>
        </w:rPr>
        <w:t xml:space="preserve"> contain</w:t>
      </w:r>
      <w:r w:rsidR="00F4705B" w:rsidRPr="00A3009F">
        <w:rPr>
          <w:noProof/>
          <w:lang w:val="en-IE"/>
        </w:rPr>
        <w:t>, among other information,</w:t>
      </w:r>
      <w:r w:rsidR="00BB5BF5" w:rsidRPr="00A3009F">
        <w:rPr>
          <w:noProof/>
          <w:lang w:val="en-IE"/>
        </w:rPr>
        <w:t xml:space="preserve"> the number of doses administered to the holder. The Commission propose</w:t>
      </w:r>
      <w:r w:rsidR="00F4705B" w:rsidRPr="00A3009F">
        <w:rPr>
          <w:noProof/>
          <w:lang w:val="en-IE"/>
        </w:rPr>
        <w:t>s</w:t>
      </w:r>
      <w:r w:rsidR="00BB5BF5" w:rsidRPr="00A3009F">
        <w:rPr>
          <w:noProof/>
          <w:lang w:val="en-IE"/>
        </w:rPr>
        <w:t xml:space="preserve"> to clarify that this</w:t>
      </w:r>
      <w:r w:rsidR="000F4B75">
        <w:rPr>
          <w:noProof/>
          <w:lang w:val="en-IE"/>
        </w:rPr>
        <w:t xml:space="preserve"> obligation is not limited to</w:t>
      </w:r>
      <w:r w:rsidR="00BB5BF5" w:rsidRPr="00A3009F">
        <w:rPr>
          <w:noProof/>
          <w:lang w:val="en-IE"/>
        </w:rPr>
        <w:t xml:space="preserve"> doses administered in the Member State issuing the certificate, </w:t>
      </w:r>
      <w:r w:rsidR="000F4B75">
        <w:rPr>
          <w:noProof/>
          <w:lang w:val="en-IE"/>
        </w:rPr>
        <w:t xml:space="preserve">but covers all doses administered </w:t>
      </w:r>
      <w:r w:rsidR="007B437A">
        <w:rPr>
          <w:noProof/>
          <w:lang w:val="en-IE"/>
        </w:rPr>
        <w:t xml:space="preserve">to the holder, including </w:t>
      </w:r>
      <w:r w:rsidR="000F4B75">
        <w:rPr>
          <w:noProof/>
          <w:lang w:val="en-IE"/>
        </w:rPr>
        <w:t xml:space="preserve">in </w:t>
      </w:r>
      <w:r w:rsidR="007B437A">
        <w:rPr>
          <w:noProof/>
          <w:lang w:val="en-IE"/>
        </w:rPr>
        <w:t xml:space="preserve">other </w:t>
      </w:r>
      <w:r w:rsidR="000F4B75">
        <w:rPr>
          <w:noProof/>
          <w:lang w:val="en-IE"/>
        </w:rPr>
        <w:t>Member States. Limiting the indication of previous doses to those received in the Member State issuing the certificate</w:t>
      </w:r>
      <w:r w:rsidR="00BB5BF5" w:rsidRPr="00A3009F">
        <w:rPr>
          <w:noProof/>
          <w:lang w:val="en-IE"/>
        </w:rPr>
        <w:t xml:space="preserve"> could lead to a divergence between the number actually administered </w:t>
      </w:r>
      <w:r w:rsidR="00DC1B55">
        <w:rPr>
          <w:noProof/>
          <w:lang w:val="en-IE"/>
        </w:rPr>
        <w:t xml:space="preserve">and </w:t>
      </w:r>
      <w:r w:rsidR="00BB5BF5" w:rsidRPr="00A3009F">
        <w:rPr>
          <w:noProof/>
          <w:lang w:val="en-IE"/>
        </w:rPr>
        <w:t xml:space="preserve">that indicated on the certificate. The administration of previous doses in other Member States </w:t>
      </w:r>
      <w:r w:rsidR="000F4B75">
        <w:rPr>
          <w:noProof/>
          <w:lang w:val="en-IE"/>
        </w:rPr>
        <w:t>is</w:t>
      </w:r>
      <w:r w:rsidR="00BB5BF5" w:rsidRPr="00A3009F">
        <w:rPr>
          <w:noProof/>
          <w:lang w:val="en-IE"/>
        </w:rPr>
        <w:t xml:space="preserve"> proven by means of </w:t>
      </w:r>
      <w:r w:rsidR="000F4B75">
        <w:rPr>
          <w:noProof/>
          <w:lang w:val="en-IE"/>
        </w:rPr>
        <w:t>the corresponding</w:t>
      </w:r>
      <w:r w:rsidR="00BB5BF5" w:rsidRPr="00A3009F">
        <w:rPr>
          <w:noProof/>
          <w:lang w:val="en-IE"/>
        </w:rPr>
        <w:t xml:space="preserve"> valid EU Digital COVID Certificate</w:t>
      </w:r>
      <w:r w:rsidR="000F4B75">
        <w:rPr>
          <w:noProof/>
          <w:lang w:val="en-IE"/>
        </w:rPr>
        <w:t>s, which must be issued to the persons concerned pursuant to Article 5(1)</w:t>
      </w:r>
      <w:r w:rsidR="000F4B75" w:rsidRPr="00A3009F">
        <w:rPr>
          <w:noProof/>
          <w:lang w:val="en-IE"/>
        </w:rPr>
        <w:t xml:space="preserve"> of Regulation (EU) 2021/953</w:t>
      </w:r>
      <w:r w:rsidR="00BB5BF5" w:rsidRPr="00A3009F">
        <w:rPr>
          <w:noProof/>
          <w:lang w:val="en-IE"/>
        </w:rPr>
        <w:t xml:space="preserve">. </w:t>
      </w:r>
      <w:r w:rsidR="006912A6" w:rsidRPr="00A3009F">
        <w:rPr>
          <w:noProof/>
          <w:lang w:val="en-IE"/>
        </w:rPr>
        <w:t xml:space="preserve">Where the information in the certificate is incorrect, the holder is entitled, pursuant to </w:t>
      </w:r>
      <w:r w:rsidR="00BB5BF5" w:rsidRPr="00A3009F">
        <w:rPr>
          <w:noProof/>
          <w:lang w:val="en-IE"/>
        </w:rPr>
        <w:t xml:space="preserve">Article 3(4) of </w:t>
      </w:r>
      <w:r w:rsidR="006912A6" w:rsidRPr="00A3009F">
        <w:rPr>
          <w:noProof/>
          <w:lang w:val="en-IE"/>
        </w:rPr>
        <w:t>Regulation (EU) 2021/953</w:t>
      </w:r>
      <w:r w:rsidR="00BB5BF5" w:rsidRPr="00A3009F">
        <w:rPr>
          <w:noProof/>
          <w:lang w:val="en-IE"/>
        </w:rPr>
        <w:t>, to request the issuance of a new certificate.</w:t>
      </w:r>
    </w:p>
    <w:p w:rsidR="000F7947" w:rsidRDefault="000F7947" w:rsidP="00A3009F">
      <w:pPr>
        <w:rPr>
          <w:noProof/>
          <w:lang w:val="en-IE"/>
        </w:rPr>
      </w:pPr>
      <w:r w:rsidRPr="00A3009F">
        <w:rPr>
          <w:noProof/>
          <w:lang w:val="en-IE"/>
        </w:rPr>
        <w:t>The Commission does not propose to extend the scope of Regulation (EU) 2021/953 as far as the domestic use of EU Digital COVID Certificates is concerned.</w:t>
      </w:r>
      <w:r w:rsidR="00956E24" w:rsidRPr="00A3009F">
        <w:rPr>
          <w:noProof/>
          <w:lang w:val="en-IE"/>
        </w:rPr>
        <w:t xml:space="preserve"> As noted in Recital 48 of Regulation (EU) 2021/953,</w:t>
      </w:r>
      <w:r w:rsidRPr="00A3009F">
        <w:rPr>
          <w:noProof/>
          <w:lang w:val="en-IE"/>
        </w:rPr>
        <w:t xml:space="preserve"> Member States may process personal data</w:t>
      </w:r>
      <w:r w:rsidR="00956E24" w:rsidRPr="00A3009F">
        <w:rPr>
          <w:noProof/>
          <w:lang w:val="en-IE"/>
        </w:rPr>
        <w:t xml:space="preserve"> contained in EU Digital COVID Certificates</w:t>
      </w:r>
      <w:r w:rsidRPr="00A3009F">
        <w:rPr>
          <w:noProof/>
          <w:lang w:val="en-IE"/>
        </w:rPr>
        <w:t xml:space="preserve"> for other purposes, if the legal basis for the processing of such data for other purposes, including the related retention periods, is provided for in national law, which must comply with Union data protection law</w:t>
      </w:r>
      <w:r w:rsidR="00956E24" w:rsidRPr="00A3009F">
        <w:rPr>
          <w:noProof/>
          <w:lang w:val="en-IE"/>
        </w:rPr>
        <w:t xml:space="preserve">. Regulation (EU) 2021/953 thus neither prescribes nor prohibits the domestic use of EU Digital COVID Certificate, which remains within the remit of Member States </w:t>
      </w:r>
      <w:r w:rsidR="00982038" w:rsidRPr="00A3009F">
        <w:rPr>
          <w:noProof/>
          <w:lang w:val="en-IE"/>
        </w:rPr>
        <w:t xml:space="preserve">and subject to judicial </w:t>
      </w:r>
      <w:r w:rsidR="00956E24" w:rsidRPr="00A3009F">
        <w:rPr>
          <w:noProof/>
          <w:lang w:val="en-IE"/>
        </w:rPr>
        <w:t>control by national courts.</w:t>
      </w:r>
    </w:p>
    <w:p w:rsidR="000D637E" w:rsidRDefault="000D637E" w:rsidP="00A3009F">
      <w:pPr>
        <w:rPr>
          <w:noProof/>
        </w:rPr>
      </w:pPr>
      <w:r>
        <w:rPr>
          <w:noProof/>
          <w:lang w:val="en-IE"/>
        </w:rPr>
        <w:t>On 18 October 2021, the Commission published its first report on the EU Digital COVID Certificate</w:t>
      </w:r>
      <w:r>
        <w:rPr>
          <w:rStyle w:val="FootnoteReference"/>
          <w:noProof/>
          <w:lang w:val="en-IE"/>
        </w:rPr>
        <w:footnoteReference w:id="19"/>
      </w:r>
      <w:r>
        <w:rPr>
          <w:noProof/>
          <w:lang w:val="en-IE"/>
        </w:rPr>
        <w:t xml:space="preserve">. Pursuant to Article 16(2) of </w:t>
      </w:r>
      <w:r w:rsidRPr="00A3009F">
        <w:rPr>
          <w:noProof/>
          <w:lang w:val="en-IE"/>
        </w:rPr>
        <w:t>Regulation (EU) 2021/953</w:t>
      </w:r>
      <w:r>
        <w:rPr>
          <w:noProof/>
          <w:lang w:val="en-IE"/>
        </w:rPr>
        <w:t xml:space="preserve">, the Commission is to </w:t>
      </w:r>
      <w:r>
        <w:rPr>
          <w:noProof/>
        </w:rPr>
        <w:t xml:space="preserve">submit a second report to the European Parliament and to the Council on the application of the Regulation by 31 March 2022. That report is to contain, in particular, an assessment of the impact of this Regulation on the facilitation of free movement, including on travel and tourism and the acceptance of the different types of vaccine, fundamental rights and non-discrimination, as well as on the protection of personal data during the COVID-19 pandemic. </w:t>
      </w:r>
    </w:p>
    <w:p w:rsidR="000D637E" w:rsidRPr="00A3009F" w:rsidRDefault="000D637E" w:rsidP="00A3009F">
      <w:pPr>
        <w:rPr>
          <w:noProof/>
          <w:lang w:val="en-IE"/>
        </w:rPr>
      </w:pPr>
      <w:r>
        <w:rPr>
          <w:noProof/>
        </w:rPr>
        <w:t xml:space="preserve">As noted in the first report, the Commission is putting forward </w:t>
      </w:r>
      <w:r w:rsidR="00CE5D84">
        <w:rPr>
          <w:noProof/>
        </w:rPr>
        <w:t>this</w:t>
      </w:r>
      <w:r>
        <w:rPr>
          <w:noProof/>
        </w:rPr>
        <w:t xml:space="preserve"> proposal prior to the adoption of the second report in order to ensure that, for reasons of legal certainty, the necessary legislative procedure can be concluded sufficiently in time before June 2022. At the same time, </w:t>
      </w:r>
      <w:r w:rsidR="00D128D3">
        <w:rPr>
          <w:noProof/>
        </w:rPr>
        <w:t>this proposal builds on an analysis of the different aspects to be covered in that report. For the reasons set out in this proposal, the Commission considers that the EU Digital COVID Certificate has positively affected free movement within the EU</w:t>
      </w:r>
      <w:r w:rsidR="00CB7D32">
        <w:rPr>
          <w:noProof/>
        </w:rPr>
        <w:t xml:space="preserve">, given that its absence </w:t>
      </w:r>
      <w:r w:rsidR="00CE5D84">
        <w:rPr>
          <w:noProof/>
        </w:rPr>
        <w:t>would</w:t>
      </w:r>
      <w:r w:rsidR="00CB7D32">
        <w:rPr>
          <w:noProof/>
        </w:rPr>
        <w:t xml:space="preserve"> </w:t>
      </w:r>
      <w:r w:rsidR="00CE5D84">
        <w:rPr>
          <w:noProof/>
        </w:rPr>
        <w:t xml:space="preserve">likely </w:t>
      </w:r>
      <w:r w:rsidR="00CB7D32">
        <w:rPr>
          <w:noProof/>
        </w:rPr>
        <w:t>have resulted in the development of incompatible national solutions</w:t>
      </w:r>
      <w:r w:rsidR="00D128D3">
        <w:rPr>
          <w:noProof/>
        </w:rPr>
        <w:t>. To widen the scope of the different types of vaccines accepted, the Commission proposes to include COVID-19 vaccines undergoing clinical trials. The impact of extending the EU Digital COVID Certificate Regulation on fundamental rights, non-discrimination and the protection of personal data is addressed below.</w:t>
      </w:r>
    </w:p>
    <w:p w:rsidR="00F057D0" w:rsidRPr="00A3009F" w:rsidRDefault="00F057D0" w:rsidP="00F057D0">
      <w:pPr>
        <w:pStyle w:val="ManualHeading2"/>
        <w:rPr>
          <w:rFonts w:eastAsia="Arial Unicode MS"/>
          <w:noProof/>
          <w:color w:val="000000"/>
          <w:u w:color="000000"/>
          <w:bdr w:val="nil"/>
          <w:lang w:val="en-IE" w:eastAsia="en-GB"/>
        </w:rPr>
      </w:pPr>
      <w:r w:rsidRPr="00A3009F">
        <w:rPr>
          <w:rFonts w:eastAsia="Arial Unicode MS"/>
          <w:noProof/>
          <w:color w:val="000000"/>
          <w:u w:color="000000"/>
          <w:bdr w:val="nil"/>
          <w:lang w:val="en-IE" w:eastAsia="en-GB"/>
        </w:rPr>
        <w:t>•</w:t>
      </w:r>
      <w:r w:rsidRPr="00A3009F">
        <w:rPr>
          <w:rFonts w:eastAsia="Arial Unicode MS"/>
          <w:noProof/>
          <w:color w:val="000000"/>
          <w:u w:color="000000"/>
          <w:bdr w:val="nil"/>
          <w:lang w:val="en-IE" w:eastAsia="en-GB"/>
        </w:rPr>
        <w:tab/>
      </w:r>
      <w:r w:rsidRPr="00A3009F">
        <w:rPr>
          <w:rFonts w:eastAsia="Arial Unicode MS"/>
          <w:noProof/>
          <w:lang w:val="en-IE"/>
        </w:rPr>
        <w:t>Consistency with existing policy provisions in the policy area</w:t>
      </w:r>
    </w:p>
    <w:p w:rsidR="00F057D0" w:rsidRPr="00A3009F" w:rsidRDefault="00F057D0" w:rsidP="00F057D0">
      <w:pPr>
        <w:rPr>
          <w:noProof/>
          <w:highlight w:val="yellow"/>
          <w:lang w:val="en-IE"/>
        </w:rPr>
      </w:pPr>
      <w:r w:rsidRPr="00A3009F">
        <w:rPr>
          <w:rFonts w:eastAsiaTheme="minorEastAsia"/>
          <w:noProof/>
          <w:lang w:val="en-IE"/>
        </w:rPr>
        <w:t xml:space="preserve">The proposal complements other policy initiatives adopted in the field of free movement during the COVID-19 pandemic, such as Council Recommendations </w:t>
      </w:r>
      <w:r w:rsidR="0000746E">
        <w:rPr>
          <w:rFonts w:eastAsiaTheme="minorEastAsia"/>
          <w:noProof/>
          <w:lang w:val="en-IE"/>
        </w:rPr>
        <w:t xml:space="preserve">(EU) </w:t>
      </w:r>
      <w:r w:rsidRPr="00A3009F">
        <w:rPr>
          <w:rFonts w:eastAsiaTheme="minorEastAsia"/>
          <w:noProof/>
          <w:lang w:val="en-IE"/>
        </w:rPr>
        <w:t xml:space="preserve">2020/1475, 2021/119, 2021/961 and </w:t>
      </w:r>
      <w:r w:rsidR="0000746E">
        <w:rPr>
          <w:noProof/>
        </w:rPr>
        <w:t>2022/107</w:t>
      </w:r>
      <w:r w:rsidRPr="00A3009F">
        <w:rPr>
          <w:rFonts w:eastAsiaTheme="minorEastAsia"/>
          <w:noProof/>
          <w:lang w:val="en-IE"/>
        </w:rPr>
        <w:t>. In particular, Council Recommendation</w:t>
      </w:r>
      <w:r w:rsidR="00531E27">
        <w:rPr>
          <w:rFonts w:eastAsiaTheme="minorEastAsia"/>
          <w:noProof/>
          <w:lang w:val="en-IE"/>
        </w:rPr>
        <w:t xml:space="preserve"> (EU)</w:t>
      </w:r>
      <w:r w:rsidRPr="00A3009F">
        <w:rPr>
          <w:rFonts w:eastAsiaTheme="minorEastAsia"/>
          <w:noProof/>
          <w:lang w:val="en-IE"/>
        </w:rPr>
        <w:t xml:space="preserve"> </w:t>
      </w:r>
      <w:r w:rsidR="00531E27">
        <w:rPr>
          <w:noProof/>
        </w:rPr>
        <w:t>2022/107</w:t>
      </w:r>
      <w:r w:rsidRPr="00A3009F">
        <w:rPr>
          <w:rFonts w:eastAsiaTheme="minorEastAsia"/>
          <w:noProof/>
          <w:lang w:val="en-IE"/>
        </w:rPr>
        <w:t xml:space="preserve"> </w:t>
      </w:r>
      <w:r w:rsidR="00E256B3" w:rsidRPr="00A3009F">
        <w:rPr>
          <w:rFonts w:eastAsiaTheme="minorEastAsia"/>
          <w:noProof/>
          <w:lang w:val="en-IE"/>
        </w:rPr>
        <w:t>provides that the holders of valid EU Digital COVID Certificates should</w:t>
      </w:r>
      <w:r w:rsidR="000F7947" w:rsidRPr="00A3009F">
        <w:rPr>
          <w:rFonts w:eastAsiaTheme="minorEastAsia"/>
          <w:noProof/>
          <w:lang w:val="en-IE"/>
        </w:rPr>
        <w:t>,</w:t>
      </w:r>
      <w:r w:rsidR="00E256B3" w:rsidRPr="00A3009F">
        <w:rPr>
          <w:rFonts w:eastAsiaTheme="minorEastAsia"/>
          <w:noProof/>
          <w:lang w:val="en-IE"/>
        </w:rPr>
        <w:t xml:space="preserve"> in </w:t>
      </w:r>
      <w:r w:rsidR="000F7947" w:rsidRPr="00A3009F">
        <w:rPr>
          <w:rFonts w:eastAsiaTheme="minorEastAsia"/>
          <w:noProof/>
          <w:lang w:val="en-IE"/>
        </w:rPr>
        <w:t>almost all</w:t>
      </w:r>
      <w:r w:rsidR="00E256B3" w:rsidRPr="00A3009F">
        <w:rPr>
          <w:rFonts w:eastAsiaTheme="minorEastAsia"/>
          <w:noProof/>
          <w:lang w:val="en-IE"/>
        </w:rPr>
        <w:t xml:space="preserve"> cases</w:t>
      </w:r>
      <w:r w:rsidR="000F7947" w:rsidRPr="00A3009F">
        <w:rPr>
          <w:rFonts w:eastAsiaTheme="minorEastAsia"/>
          <w:noProof/>
          <w:lang w:val="en-IE"/>
        </w:rPr>
        <w:t>,</w:t>
      </w:r>
      <w:r w:rsidR="00E256B3" w:rsidRPr="00A3009F">
        <w:rPr>
          <w:rFonts w:eastAsiaTheme="minorEastAsia"/>
          <w:noProof/>
          <w:lang w:val="en-IE"/>
        </w:rPr>
        <w:t xml:space="preserve"> not be subject to additional restrictions</w:t>
      </w:r>
      <w:r w:rsidRPr="00A3009F">
        <w:rPr>
          <w:noProof/>
          <w:lang w:val="en-IE"/>
        </w:rPr>
        <w:t>.</w:t>
      </w:r>
    </w:p>
    <w:p w:rsidR="00F057D0" w:rsidRPr="00A3009F" w:rsidRDefault="00F057D0" w:rsidP="00F057D0">
      <w:pPr>
        <w:rPr>
          <w:noProof/>
          <w:lang w:val="en-IE"/>
        </w:rPr>
      </w:pPr>
      <w:r w:rsidRPr="00A3009F">
        <w:rPr>
          <w:rFonts w:eastAsia="Times New Roman"/>
          <w:noProof/>
          <w:lang w:val="en-IE"/>
        </w:rPr>
        <w:t>Directive 2004/38/EC of the European Parliament and of the Council</w:t>
      </w:r>
      <w:r w:rsidRPr="00A3009F">
        <w:rPr>
          <w:rStyle w:val="FootnoteReference"/>
          <w:noProof/>
          <w:lang w:val="en-IE"/>
        </w:rPr>
        <w:footnoteReference w:id="20"/>
      </w:r>
      <w:r w:rsidRPr="00A3009F">
        <w:rPr>
          <w:noProof/>
          <w:lang w:val="en-IE"/>
        </w:rPr>
        <w:t xml:space="preserve"> sets out the conditions for the exercise of the right of free movement and residence (both temporary and permanent) in the </w:t>
      </w:r>
      <w:r w:rsidR="00496FEB" w:rsidRPr="00A3009F">
        <w:rPr>
          <w:noProof/>
          <w:lang w:val="en-IE"/>
        </w:rPr>
        <w:t>Union</w:t>
      </w:r>
      <w:r w:rsidRPr="00A3009F">
        <w:rPr>
          <w:noProof/>
          <w:lang w:val="en-IE"/>
        </w:rPr>
        <w:t xml:space="preserve"> for </w:t>
      </w:r>
      <w:r w:rsidR="00496FEB" w:rsidRPr="00A3009F">
        <w:rPr>
          <w:noProof/>
          <w:lang w:val="en-IE"/>
        </w:rPr>
        <w:t>Union</w:t>
      </w:r>
      <w:r w:rsidRPr="00A3009F">
        <w:rPr>
          <w:noProof/>
          <w:lang w:val="en-IE"/>
        </w:rPr>
        <w:t xml:space="preserve"> citizens and their family members. Directive 2004/38/EC provides that Member States may restrict the freedom of movement and residence of </w:t>
      </w:r>
      <w:r w:rsidR="00496FEB" w:rsidRPr="00A3009F">
        <w:rPr>
          <w:noProof/>
          <w:lang w:val="en-IE"/>
        </w:rPr>
        <w:t>Union</w:t>
      </w:r>
      <w:r w:rsidRPr="00A3009F">
        <w:rPr>
          <w:noProof/>
          <w:lang w:val="en-IE"/>
        </w:rPr>
        <w:t xml:space="preserve"> citizens and their family members, irrespective of nationality, on grounds of public policy, public security or public health.</w:t>
      </w:r>
    </w:p>
    <w:p w:rsidR="00F057D0" w:rsidRPr="00A3009F" w:rsidRDefault="00F057D0" w:rsidP="00F057D0">
      <w:pPr>
        <w:rPr>
          <w:noProof/>
          <w:lang w:val="en-IE"/>
        </w:rPr>
      </w:pPr>
      <w:r w:rsidRPr="00A3009F">
        <w:rPr>
          <w:noProof/>
          <w:lang w:val="en-IE"/>
        </w:rPr>
        <w:t xml:space="preserve">Regulation (EU) 2021/953 is the only existing </w:t>
      </w:r>
      <w:r w:rsidR="00496FEB" w:rsidRPr="00A3009F">
        <w:rPr>
          <w:noProof/>
          <w:lang w:val="en-IE"/>
        </w:rPr>
        <w:t>Union</w:t>
      </w:r>
      <w:r w:rsidRPr="00A3009F">
        <w:rPr>
          <w:noProof/>
          <w:lang w:val="en-IE"/>
        </w:rPr>
        <w:t xml:space="preserve"> legislation containing provisions on the issuance, verification and acceptance of certificates documenting the holder’s </w:t>
      </w:r>
      <w:r w:rsidR="00E256B3" w:rsidRPr="00A3009F">
        <w:rPr>
          <w:noProof/>
          <w:lang w:val="en-IE"/>
        </w:rPr>
        <w:t>COVID-19</w:t>
      </w:r>
      <w:r w:rsidRPr="00A3009F">
        <w:rPr>
          <w:noProof/>
          <w:lang w:val="en-IE"/>
        </w:rPr>
        <w:t xml:space="preserve"> status</w:t>
      </w:r>
      <w:r w:rsidR="00E256B3" w:rsidRPr="00A3009F">
        <w:rPr>
          <w:noProof/>
          <w:lang w:val="en-IE"/>
        </w:rPr>
        <w:t>. As Member States may, as a public health measure, continue to require t</w:t>
      </w:r>
      <w:r w:rsidRPr="00A3009F">
        <w:rPr>
          <w:noProof/>
          <w:lang w:val="en-IE"/>
        </w:rPr>
        <w:t xml:space="preserve">he production of such certificates </w:t>
      </w:r>
      <w:r w:rsidR="00E256B3" w:rsidRPr="00A3009F">
        <w:rPr>
          <w:noProof/>
          <w:lang w:val="en-IE"/>
        </w:rPr>
        <w:t xml:space="preserve">in order </w:t>
      </w:r>
      <w:r w:rsidRPr="00A3009F">
        <w:rPr>
          <w:noProof/>
          <w:lang w:val="en-IE"/>
        </w:rPr>
        <w:t xml:space="preserve">to waive certain restrictions on the right to free movement imposed during </w:t>
      </w:r>
      <w:r w:rsidR="00E256B3" w:rsidRPr="00A3009F">
        <w:rPr>
          <w:noProof/>
          <w:lang w:val="en-IE"/>
        </w:rPr>
        <w:t>the COVID-19</w:t>
      </w:r>
      <w:r w:rsidRPr="00A3009F">
        <w:rPr>
          <w:noProof/>
          <w:lang w:val="en-IE"/>
        </w:rPr>
        <w:t xml:space="preserve"> pandemic</w:t>
      </w:r>
      <w:r w:rsidR="00E256B3" w:rsidRPr="00A3009F">
        <w:rPr>
          <w:noProof/>
          <w:lang w:val="en-IE"/>
        </w:rPr>
        <w:t>, i</w:t>
      </w:r>
      <w:r w:rsidRPr="00A3009F">
        <w:rPr>
          <w:noProof/>
          <w:lang w:val="en-IE"/>
        </w:rPr>
        <w:t xml:space="preserve">t is necessary to extend the period of application of </w:t>
      </w:r>
      <w:r w:rsidR="00271A41" w:rsidRPr="00A3009F">
        <w:rPr>
          <w:noProof/>
          <w:lang w:val="en-IE"/>
        </w:rPr>
        <w:t xml:space="preserve">the </w:t>
      </w:r>
      <w:r w:rsidRPr="00A3009F">
        <w:rPr>
          <w:noProof/>
          <w:lang w:val="en-IE"/>
        </w:rPr>
        <w:t>Regulation.</w:t>
      </w:r>
    </w:p>
    <w:p w:rsidR="00F057D0" w:rsidRPr="00A3009F" w:rsidRDefault="00F057D0" w:rsidP="00F057D0">
      <w:pPr>
        <w:pStyle w:val="ManualHeading2"/>
        <w:rPr>
          <w:rFonts w:eastAsia="Arial Unicode MS"/>
          <w:noProof/>
          <w:lang w:val="en-IE"/>
        </w:rPr>
      </w:pPr>
      <w:r w:rsidRPr="00A3009F">
        <w:rPr>
          <w:rFonts w:eastAsia="Arial Unicode MS"/>
          <w:noProof/>
          <w:color w:val="000000"/>
          <w:u w:color="000000"/>
          <w:bdr w:val="nil"/>
          <w:lang w:val="en-IE" w:eastAsia="en-GB"/>
        </w:rPr>
        <w:t>•</w:t>
      </w:r>
      <w:r w:rsidRPr="00A3009F">
        <w:rPr>
          <w:rFonts w:eastAsia="Arial Unicode MS"/>
          <w:noProof/>
          <w:color w:val="000000"/>
          <w:u w:color="000000"/>
          <w:bdr w:val="nil"/>
          <w:lang w:val="en-IE" w:eastAsia="en-GB"/>
        </w:rPr>
        <w:tab/>
      </w:r>
      <w:r w:rsidRPr="00A3009F">
        <w:rPr>
          <w:rFonts w:eastAsia="Arial Unicode MS"/>
          <w:noProof/>
          <w:lang w:val="en-IE"/>
        </w:rPr>
        <w:t>Consistency with other Union policies</w:t>
      </w:r>
    </w:p>
    <w:p w:rsidR="00F057D0" w:rsidRPr="00A3009F" w:rsidRDefault="00F057D0" w:rsidP="00F057D0">
      <w:pPr>
        <w:rPr>
          <w:rStyle w:val="highlight"/>
          <w:noProof/>
          <w:lang w:val="en-IE"/>
        </w:rPr>
      </w:pPr>
      <w:r w:rsidRPr="00A3009F">
        <w:rPr>
          <w:rFonts w:eastAsia="Times New Roman"/>
          <w:noProof/>
          <w:lang w:val="en-IE"/>
        </w:rPr>
        <w:t xml:space="preserve">This proposal is part of the package of </w:t>
      </w:r>
      <w:r w:rsidR="00496FEB" w:rsidRPr="00A3009F">
        <w:rPr>
          <w:rFonts w:eastAsia="Times New Roman"/>
          <w:noProof/>
          <w:lang w:val="en-IE"/>
        </w:rPr>
        <w:t>Union</w:t>
      </w:r>
      <w:r w:rsidRPr="00A3009F">
        <w:rPr>
          <w:rFonts w:eastAsia="Times New Roman"/>
          <w:noProof/>
          <w:lang w:val="en-IE"/>
        </w:rPr>
        <w:t xml:space="preserve"> measures to respond to the COVID-19 pandemic. It builds, in particular, on work carried out in the </w:t>
      </w:r>
      <w:r w:rsidRPr="00A3009F">
        <w:rPr>
          <w:noProof/>
          <w:lang w:val="en-IE"/>
        </w:rPr>
        <w:t>Health Security Committee</w:t>
      </w:r>
      <w:r w:rsidR="00494766" w:rsidRPr="00A3009F">
        <w:rPr>
          <w:noProof/>
          <w:lang w:val="en-IE"/>
        </w:rPr>
        <w:t xml:space="preserve">, </w:t>
      </w:r>
      <w:r w:rsidRPr="00A3009F">
        <w:rPr>
          <w:noProof/>
          <w:lang w:val="en-IE"/>
        </w:rPr>
        <w:t xml:space="preserve">the </w:t>
      </w:r>
      <w:r w:rsidRPr="00A3009F">
        <w:rPr>
          <w:rFonts w:eastAsia="Times New Roman"/>
          <w:noProof/>
          <w:szCs w:val="24"/>
          <w:lang w:val="en-IE"/>
        </w:rPr>
        <w:t>eHealth Network</w:t>
      </w:r>
      <w:r w:rsidR="00496FEB" w:rsidRPr="00A3009F">
        <w:rPr>
          <w:rFonts w:eastAsia="Times New Roman"/>
          <w:noProof/>
          <w:szCs w:val="24"/>
          <w:lang w:val="en-IE"/>
        </w:rPr>
        <w:t>,</w:t>
      </w:r>
      <w:r w:rsidR="00494766" w:rsidRPr="00A3009F">
        <w:rPr>
          <w:rFonts w:eastAsia="Times New Roman"/>
          <w:noProof/>
          <w:szCs w:val="24"/>
          <w:lang w:val="en-IE"/>
        </w:rPr>
        <w:t xml:space="preserve"> and the EU Digital COVID Certificate Committee</w:t>
      </w:r>
      <w:r w:rsidRPr="00A3009F">
        <w:rPr>
          <w:rStyle w:val="highlight"/>
          <w:noProof/>
          <w:lang w:val="en-IE"/>
        </w:rPr>
        <w:t>.</w:t>
      </w:r>
    </w:p>
    <w:p w:rsidR="007069AD" w:rsidRDefault="00F057D0" w:rsidP="00F057D0">
      <w:pPr>
        <w:rPr>
          <w:noProof/>
          <w:lang w:val="en-IE"/>
        </w:rPr>
      </w:pPr>
      <w:r w:rsidRPr="00A3009F">
        <w:rPr>
          <w:noProof/>
          <w:lang w:val="en-IE"/>
        </w:rPr>
        <w:t xml:space="preserve">This proposal is complemented by proposal </w:t>
      </w:r>
      <w:r w:rsidR="000D1697" w:rsidRPr="000D1697">
        <w:rPr>
          <w:rFonts w:eastAsia="Times New Roman"/>
          <w:noProof/>
          <w:lang w:val="en-IE"/>
        </w:rPr>
        <w:t>COM(2022</w:t>
      </w:r>
      <w:r w:rsidR="000D1697" w:rsidRPr="006E1086">
        <w:rPr>
          <w:rFonts w:eastAsia="Times New Roman"/>
          <w:noProof/>
          <w:lang w:val="en-IE"/>
        </w:rPr>
        <w:t>) 55</w:t>
      </w:r>
      <w:r w:rsidR="007069AD" w:rsidRPr="00ED0120">
        <w:rPr>
          <w:rFonts w:eastAsia="Times New Roman"/>
          <w:noProof/>
          <w:lang w:val="en-IE"/>
        </w:rPr>
        <w:t xml:space="preserve"> final</w:t>
      </w:r>
      <w:r w:rsidRPr="006E1086">
        <w:rPr>
          <w:rFonts w:eastAsia="Times New Roman"/>
          <w:noProof/>
          <w:lang w:val="en-IE"/>
        </w:rPr>
        <w:t>,</w:t>
      </w:r>
      <w:r w:rsidRPr="00A3009F">
        <w:rPr>
          <w:noProof/>
          <w:lang w:val="en-IE"/>
        </w:rPr>
        <w:t xml:space="preserve"> </w:t>
      </w:r>
      <w:r w:rsidR="007069AD" w:rsidRPr="00A3009F">
        <w:rPr>
          <w:noProof/>
          <w:lang w:val="en-IE"/>
        </w:rPr>
        <w:t xml:space="preserve">which </w:t>
      </w:r>
      <w:r w:rsidR="00496FEB" w:rsidRPr="00A3009F">
        <w:rPr>
          <w:noProof/>
          <w:lang w:val="en-IE"/>
        </w:rPr>
        <w:t>seeks to extend</w:t>
      </w:r>
      <w:r w:rsidR="007069AD" w:rsidRPr="00A3009F">
        <w:rPr>
          <w:noProof/>
          <w:lang w:val="en-IE"/>
        </w:rPr>
        <w:t xml:space="preserve"> the application of</w:t>
      </w:r>
      <w:r w:rsidRPr="00A3009F">
        <w:rPr>
          <w:noProof/>
          <w:lang w:val="en-IE"/>
        </w:rPr>
        <w:t xml:space="preserve"> Regulation (EU) 2021/954 </w:t>
      </w:r>
      <w:r w:rsidR="007069AD" w:rsidRPr="00A3009F">
        <w:rPr>
          <w:noProof/>
          <w:lang w:val="en-IE"/>
        </w:rPr>
        <w:t>on a framework for the issuance, verification and acceptance of interoperable COVID-19 vaccination, test and recovery certificates (EU Digital COVID Certificate) with regard to third-country nationals legally staying or residing in the territories of Member States during the COVID-19 pandemic</w:t>
      </w:r>
      <w:r w:rsidR="007069AD" w:rsidRPr="00A3009F">
        <w:rPr>
          <w:rStyle w:val="FootnoteReference"/>
          <w:noProof/>
          <w:lang w:val="en-IE"/>
        </w:rPr>
        <w:footnoteReference w:id="21"/>
      </w:r>
      <w:r w:rsidR="007069AD" w:rsidRPr="00A3009F">
        <w:rPr>
          <w:noProof/>
          <w:lang w:val="en-IE"/>
        </w:rPr>
        <w:t>.</w:t>
      </w:r>
    </w:p>
    <w:p w:rsidR="0060703E" w:rsidRPr="00A3009F" w:rsidRDefault="0060703E" w:rsidP="00F057D0">
      <w:pPr>
        <w:rPr>
          <w:noProof/>
          <w:highlight w:val="yellow"/>
          <w:lang w:val="en-IE"/>
        </w:rPr>
      </w:pPr>
      <w:r w:rsidRPr="00617674">
        <w:rPr>
          <w:noProof/>
          <w:lang w:val="en-IE"/>
        </w:rPr>
        <w:t xml:space="preserve">In its proposal for a Council Recommendation </w:t>
      </w:r>
      <w:r w:rsidRPr="004D2A17">
        <w:rPr>
          <w:noProof/>
        </w:rPr>
        <w:t xml:space="preserve">amending Recommendation (EU) 2020/912 on </w:t>
      </w:r>
      <w:r w:rsidRPr="00D92A68">
        <w:rPr>
          <w:noProof/>
        </w:rPr>
        <w:t>the temporary restriction on non-essential travel into the EU and the possible lifting of such restriction</w:t>
      </w:r>
      <w:r w:rsidRPr="004D2A17">
        <w:rPr>
          <w:rStyle w:val="FootnoteReference"/>
          <w:noProof/>
        </w:rPr>
        <w:footnoteReference w:id="22"/>
      </w:r>
      <w:r w:rsidRPr="004D2A17">
        <w:rPr>
          <w:noProof/>
        </w:rPr>
        <w:t xml:space="preserve">, </w:t>
      </w:r>
      <w:r w:rsidR="005911AD" w:rsidRPr="004D2A17">
        <w:rPr>
          <w:noProof/>
        </w:rPr>
        <w:t>the Commission</w:t>
      </w:r>
      <w:r w:rsidR="005911AD">
        <w:rPr>
          <w:noProof/>
        </w:rPr>
        <w:t xml:space="preserve"> proposed </w:t>
      </w:r>
      <w:r w:rsidR="005911AD" w:rsidRPr="00FC75A5">
        <w:rPr>
          <w:noProof/>
        </w:rPr>
        <w:t>to establish a clear link between</w:t>
      </w:r>
      <w:r w:rsidR="005911AD">
        <w:rPr>
          <w:noProof/>
        </w:rPr>
        <w:t xml:space="preserve"> Council </w:t>
      </w:r>
      <w:r w:rsidR="005911AD" w:rsidRPr="00EB4957">
        <w:rPr>
          <w:noProof/>
        </w:rPr>
        <w:t xml:space="preserve">Recommendation (EU) 2020/912 </w:t>
      </w:r>
      <w:r w:rsidR="005911AD" w:rsidRPr="00FC75A5">
        <w:rPr>
          <w:noProof/>
        </w:rPr>
        <w:t xml:space="preserve">and the EU Digital COVID Certificate so to assist the Member States authorities in </w:t>
      </w:r>
      <w:r w:rsidR="005911AD" w:rsidRPr="003B447A">
        <w:rPr>
          <w:noProof/>
        </w:rPr>
        <w:t>verifying the authenticity, validity and integrity of the certificates issued by third countries</w:t>
      </w:r>
      <w:r w:rsidR="005911AD">
        <w:rPr>
          <w:noProof/>
        </w:rPr>
        <w:t>.</w:t>
      </w:r>
    </w:p>
    <w:p w:rsidR="00F057D0" w:rsidRPr="00A3009F" w:rsidRDefault="00F057D0" w:rsidP="00F057D0">
      <w:pPr>
        <w:rPr>
          <w:rFonts w:eastAsia="Times New Roman"/>
          <w:noProof/>
          <w:lang w:val="en-IE"/>
        </w:rPr>
      </w:pPr>
      <w:r w:rsidRPr="00A3009F">
        <w:rPr>
          <w:noProof/>
          <w:lang w:val="en-IE"/>
        </w:rPr>
        <w:t xml:space="preserve">This proposal is without prejudice to the Schengen rules as regards the entry conditions for third country nationals. </w:t>
      </w:r>
      <w:r w:rsidRPr="00A3009F">
        <w:rPr>
          <w:rFonts w:eastAsia="Times New Roman"/>
          <w:noProof/>
          <w:lang w:val="en-IE"/>
        </w:rPr>
        <w:t>The proposed Regulation should not be understood as encouraging or facilitating the reintroduction of border controls, which remain a measure of last resort subject to the conditions of the Schengen Borders Code</w:t>
      </w:r>
      <w:r w:rsidR="00496FEB" w:rsidRPr="00A3009F">
        <w:rPr>
          <w:rStyle w:val="FootnoteReference"/>
          <w:noProof/>
          <w:lang w:val="en-IE"/>
        </w:rPr>
        <w:footnoteReference w:id="23"/>
      </w:r>
      <w:r w:rsidRPr="00A3009F">
        <w:rPr>
          <w:rFonts w:eastAsia="Times New Roman"/>
          <w:noProof/>
          <w:lang w:val="en-IE"/>
        </w:rPr>
        <w:t>.</w:t>
      </w:r>
    </w:p>
    <w:p w:rsidR="00F057D0" w:rsidRPr="00A3009F" w:rsidRDefault="00F057D0" w:rsidP="00F057D0">
      <w:pPr>
        <w:rPr>
          <w:noProof/>
          <w:lang w:val="en-IE"/>
        </w:rPr>
      </w:pPr>
      <w:r w:rsidRPr="00A3009F">
        <w:rPr>
          <w:rFonts w:eastAsia="Times New Roman"/>
          <w:noProof/>
          <w:lang w:val="en-IE"/>
        </w:rPr>
        <w:t>This proposal also fully respects Member States’ competences in the definition of their health policy (Article 168 TFEU).</w:t>
      </w:r>
    </w:p>
    <w:p w:rsidR="00F057D0" w:rsidRPr="00A3009F" w:rsidRDefault="00F057D0" w:rsidP="00F057D0">
      <w:pPr>
        <w:pStyle w:val="ManualHeading1"/>
        <w:rPr>
          <w:noProof/>
          <w:lang w:val="en-IE"/>
        </w:rPr>
      </w:pPr>
      <w:r w:rsidRPr="00A3009F">
        <w:rPr>
          <w:noProof/>
          <w:lang w:val="en-IE"/>
        </w:rPr>
        <w:t>2.</w:t>
      </w:r>
      <w:r w:rsidRPr="00A3009F">
        <w:rPr>
          <w:noProof/>
          <w:lang w:val="en-IE"/>
        </w:rPr>
        <w:tab/>
        <w:t>LEGAL BASIS, SUBSIDIARITY AND PROPORTIONALITY</w:t>
      </w:r>
    </w:p>
    <w:p w:rsidR="00F057D0" w:rsidRPr="00A3009F" w:rsidRDefault="00F057D0" w:rsidP="00A3009F">
      <w:pPr>
        <w:pStyle w:val="ManualHeading2"/>
        <w:rPr>
          <w:rFonts w:eastAsia="Arial Unicode MS"/>
          <w:noProof/>
          <w:u w:color="000000"/>
          <w:bdr w:val="nil"/>
          <w:lang w:val="en-IE" w:eastAsia="en-GB"/>
        </w:rPr>
      </w:pPr>
      <w:r w:rsidRPr="00A3009F">
        <w:rPr>
          <w:rFonts w:eastAsia="Arial Unicode MS"/>
          <w:noProof/>
          <w:u w:color="000000"/>
          <w:bdr w:val="nil"/>
          <w:lang w:val="en-IE" w:eastAsia="en-GB"/>
        </w:rPr>
        <w:t>•</w:t>
      </w:r>
      <w:r w:rsidRPr="00A3009F">
        <w:rPr>
          <w:rFonts w:eastAsia="Arial Unicode MS"/>
          <w:noProof/>
          <w:u w:color="000000"/>
          <w:bdr w:val="nil"/>
          <w:lang w:val="en-IE" w:eastAsia="en-GB"/>
        </w:rPr>
        <w:tab/>
        <w:t>Legal basis</w:t>
      </w:r>
    </w:p>
    <w:p w:rsidR="00F057D0" w:rsidRPr="00A3009F" w:rsidRDefault="00F057D0" w:rsidP="00A3009F">
      <w:pPr>
        <w:rPr>
          <w:rFonts w:eastAsia="Times New Roman"/>
          <w:noProof/>
          <w:lang w:val="en-IE"/>
        </w:rPr>
      </w:pPr>
      <w:r w:rsidRPr="00A3009F">
        <w:rPr>
          <w:rFonts w:eastAsia="Times New Roman"/>
          <w:noProof/>
          <w:lang w:val="en-IE"/>
        </w:rPr>
        <w:t xml:space="preserve">Article 21(1) TFEU confers on </w:t>
      </w:r>
      <w:r w:rsidR="00496FEB" w:rsidRPr="00A3009F">
        <w:rPr>
          <w:rFonts w:eastAsia="Times New Roman"/>
          <w:noProof/>
          <w:lang w:val="en-IE"/>
        </w:rPr>
        <w:t>Union</w:t>
      </w:r>
      <w:r w:rsidRPr="00A3009F">
        <w:rPr>
          <w:rFonts w:eastAsia="Times New Roman"/>
          <w:noProof/>
          <w:lang w:val="en-IE"/>
        </w:rPr>
        <w:t xml:space="preserve"> citizens the right to move and reside freely within the territory of the Member States. Article 21(2) provides for the possibility for the </w:t>
      </w:r>
      <w:r w:rsidR="00496FEB" w:rsidRPr="00A3009F">
        <w:rPr>
          <w:rFonts w:eastAsia="Times New Roman"/>
          <w:noProof/>
          <w:lang w:val="en-IE"/>
        </w:rPr>
        <w:t>Union</w:t>
      </w:r>
      <w:r w:rsidRPr="00A3009F">
        <w:rPr>
          <w:rFonts w:eastAsia="Times New Roman"/>
          <w:noProof/>
          <w:lang w:val="en-IE"/>
        </w:rPr>
        <w:t xml:space="preserve"> to act and to adopt provisions with a view to facilitating the right to move and reside freely within the territory of the Member States if action to attain this objective is necessary to facilitate the exercise of this right. The ordinary legislative procedure applies.</w:t>
      </w:r>
    </w:p>
    <w:p w:rsidR="00BC10D8" w:rsidRPr="00A3009F" w:rsidRDefault="00BC10D8" w:rsidP="00A3009F">
      <w:pPr>
        <w:rPr>
          <w:rFonts w:eastAsia="Times New Roman"/>
          <w:noProof/>
          <w:lang w:val="en-IE"/>
        </w:rPr>
      </w:pPr>
      <w:r w:rsidRPr="00A3009F">
        <w:rPr>
          <w:rFonts w:eastAsia="Times New Roman"/>
          <w:noProof/>
          <w:lang w:val="en-IE"/>
        </w:rPr>
        <w:t xml:space="preserve">The proposal would amend </w:t>
      </w:r>
      <w:r w:rsidRPr="00A3009F">
        <w:rPr>
          <w:noProof/>
          <w:lang w:val="en-IE"/>
        </w:rPr>
        <w:t xml:space="preserve">Regulation (EU) 2021/953, which is equally based on </w:t>
      </w:r>
      <w:r w:rsidRPr="00A3009F">
        <w:rPr>
          <w:rFonts w:eastAsia="Times New Roman"/>
          <w:noProof/>
          <w:lang w:val="en-IE"/>
        </w:rPr>
        <w:t>Article 21(1) TFEU.</w:t>
      </w:r>
    </w:p>
    <w:p w:rsidR="00F057D0" w:rsidRPr="00A3009F" w:rsidRDefault="00F057D0" w:rsidP="00F057D0">
      <w:pPr>
        <w:pStyle w:val="ManualHeading2"/>
        <w:rPr>
          <w:rFonts w:eastAsia="Arial Unicode MS"/>
          <w:noProof/>
          <w:u w:color="000000"/>
          <w:bdr w:val="nil"/>
          <w:lang w:val="en-IE" w:eastAsia="en-GB"/>
        </w:rPr>
      </w:pPr>
      <w:r w:rsidRPr="00A3009F">
        <w:rPr>
          <w:rFonts w:eastAsia="Arial Unicode MS"/>
          <w:noProof/>
          <w:u w:color="000000"/>
          <w:bdr w:val="nil"/>
          <w:lang w:val="en-IE" w:eastAsia="en-GB"/>
        </w:rPr>
        <w:t>•</w:t>
      </w:r>
      <w:r w:rsidRPr="00A3009F">
        <w:rPr>
          <w:rFonts w:eastAsia="Arial Unicode MS"/>
          <w:noProof/>
          <w:u w:color="000000"/>
          <w:bdr w:val="nil"/>
          <w:lang w:val="en-IE" w:eastAsia="en-GB"/>
        </w:rPr>
        <w:tab/>
        <w:t xml:space="preserve">Subsidiarity </w:t>
      </w:r>
    </w:p>
    <w:p w:rsidR="00F057D0" w:rsidRPr="00A3009F" w:rsidRDefault="00F057D0" w:rsidP="00F057D0">
      <w:pPr>
        <w:rPr>
          <w:noProof/>
          <w:u w:color="000000"/>
          <w:bdr w:val="nil"/>
          <w:lang w:val="en-IE" w:eastAsia="en-GB"/>
        </w:rPr>
      </w:pPr>
      <w:r w:rsidRPr="00A3009F">
        <w:rPr>
          <w:noProof/>
          <w:u w:color="000000"/>
          <w:bdr w:val="nil"/>
          <w:lang w:val="en-IE" w:eastAsia="en-GB"/>
        </w:rPr>
        <w:t xml:space="preserve">The objectives of this proposal, namely to </w:t>
      </w:r>
      <w:r w:rsidR="00BC10D8" w:rsidRPr="00A3009F">
        <w:rPr>
          <w:noProof/>
          <w:u w:color="000000"/>
          <w:bdr w:val="nil"/>
          <w:lang w:val="en-IE" w:eastAsia="en-GB"/>
        </w:rPr>
        <w:t xml:space="preserve">extend the application of </w:t>
      </w:r>
      <w:r w:rsidR="00BC10D8" w:rsidRPr="00A3009F">
        <w:rPr>
          <w:noProof/>
          <w:lang w:val="en-IE"/>
        </w:rPr>
        <w:t xml:space="preserve">Regulation (EU) 2021/953 and amend certain provisions thereof, </w:t>
      </w:r>
      <w:r w:rsidRPr="00A3009F">
        <w:rPr>
          <w:noProof/>
          <w:u w:color="000000"/>
          <w:bdr w:val="nil"/>
          <w:lang w:val="en-IE" w:eastAsia="en-GB"/>
        </w:rPr>
        <w:t xml:space="preserve">cannot be achieved by the Member States independently. Action at </w:t>
      </w:r>
      <w:r w:rsidR="00496FEB" w:rsidRPr="00A3009F">
        <w:rPr>
          <w:noProof/>
          <w:u w:color="000000"/>
          <w:bdr w:val="nil"/>
          <w:lang w:val="en-IE" w:eastAsia="en-GB"/>
        </w:rPr>
        <w:t>Union</w:t>
      </w:r>
      <w:r w:rsidRPr="00A3009F">
        <w:rPr>
          <w:noProof/>
          <w:u w:color="000000"/>
          <w:bdr w:val="nil"/>
          <w:lang w:val="en-IE" w:eastAsia="en-GB"/>
        </w:rPr>
        <w:t xml:space="preserve"> level is thus necessary.</w:t>
      </w:r>
    </w:p>
    <w:p w:rsidR="00BC10D8" w:rsidRPr="00A3009F" w:rsidRDefault="00F057D0" w:rsidP="00F057D0">
      <w:pPr>
        <w:rPr>
          <w:noProof/>
          <w:u w:color="000000"/>
          <w:bdr w:val="nil"/>
          <w:lang w:val="en-IE" w:eastAsia="en-GB"/>
        </w:rPr>
      </w:pPr>
      <w:r w:rsidRPr="00A3009F">
        <w:rPr>
          <w:noProof/>
          <w:u w:color="000000"/>
          <w:bdr w:val="nil"/>
          <w:lang w:val="en-IE" w:eastAsia="en-GB"/>
        </w:rPr>
        <w:t xml:space="preserve">Absence to act at </w:t>
      </w:r>
      <w:r w:rsidR="00496FEB" w:rsidRPr="00A3009F">
        <w:rPr>
          <w:noProof/>
          <w:u w:color="000000"/>
          <w:bdr w:val="nil"/>
          <w:lang w:val="en-IE" w:eastAsia="en-GB"/>
        </w:rPr>
        <w:t>Union</w:t>
      </w:r>
      <w:r w:rsidRPr="00A3009F">
        <w:rPr>
          <w:noProof/>
          <w:u w:color="000000"/>
          <w:bdr w:val="nil"/>
          <w:lang w:val="en-IE" w:eastAsia="en-GB"/>
        </w:rPr>
        <w:t xml:space="preserve"> level would </w:t>
      </w:r>
      <w:r w:rsidR="00BC10D8" w:rsidRPr="00A3009F">
        <w:rPr>
          <w:noProof/>
          <w:u w:color="000000"/>
          <w:bdr w:val="nil"/>
          <w:lang w:val="en-IE" w:eastAsia="en-GB"/>
        </w:rPr>
        <w:t xml:space="preserve">result in </w:t>
      </w:r>
      <w:r w:rsidR="00BC10D8" w:rsidRPr="00A3009F">
        <w:rPr>
          <w:noProof/>
          <w:lang w:val="en-IE"/>
        </w:rPr>
        <w:t>Regulation (EU) 2021/953 ceasing to apply, including the legal basis to operate the EU Digital COVID Certificate trust framework. In addition, Union citizens and their family members would no longer enjoy a right to receive interoperable COVID-19 vaccination, test and recovery certificates. Finally, Member States would no longer be required to accept EU Digital COVID Certificate</w:t>
      </w:r>
      <w:r w:rsidR="00D42318">
        <w:rPr>
          <w:noProof/>
          <w:lang w:val="en-IE"/>
        </w:rPr>
        <w:t>s</w:t>
      </w:r>
      <w:r w:rsidR="00BC10D8" w:rsidRPr="00A3009F">
        <w:rPr>
          <w:noProof/>
          <w:lang w:val="en-IE"/>
        </w:rPr>
        <w:t xml:space="preserve"> when </w:t>
      </w:r>
      <w:r w:rsidR="00D42318">
        <w:rPr>
          <w:noProof/>
          <w:lang w:val="en-IE"/>
        </w:rPr>
        <w:t>waiving</w:t>
      </w:r>
      <w:r w:rsidR="00D42318" w:rsidRPr="00A3009F">
        <w:rPr>
          <w:noProof/>
          <w:lang w:val="en-IE"/>
        </w:rPr>
        <w:t xml:space="preserve"> </w:t>
      </w:r>
      <w:r w:rsidR="00BC10D8" w:rsidRPr="00A3009F">
        <w:rPr>
          <w:noProof/>
          <w:lang w:val="en-IE"/>
        </w:rPr>
        <w:t>restrictions for persons who can provide proof of a certain COVID-19 status.</w:t>
      </w:r>
    </w:p>
    <w:p w:rsidR="00F057D0" w:rsidRPr="00A3009F" w:rsidRDefault="00F057D0" w:rsidP="00F057D0">
      <w:pPr>
        <w:pStyle w:val="ManualHeading2"/>
        <w:rPr>
          <w:rFonts w:eastAsia="Arial Unicode MS"/>
          <w:noProof/>
          <w:u w:color="000000"/>
          <w:bdr w:val="nil"/>
          <w:lang w:val="en-IE" w:eastAsia="en-GB"/>
        </w:rPr>
      </w:pPr>
      <w:r w:rsidRPr="00A3009F">
        <w:rPr>
          <w:rFonts w:eastAsia="Arial Unicode MS"/>
          <w:noProof/>
          <w:u w:color="000000"/>
          <w:bdr w:val="nil"/>
          <w:lang w:val="en-IE" w:eastAsia="en-GB"/>
        </w:rPr>
        <w:t>•</w:t>
      </w:r>
      <w:r w:rsidRPr="00A3009F">
        <w:rPr>
          <w:rFonts w:eastAsia="Arial Unicode MS"/>
          <w:noProof/>
          <w:u w:color="000000"/>
          <w:bdr w:val="nil"/>
          <w:lang w:val="en-IE" w:eastAsia="en-GB"/>
        </w:rPr>
        <w:tab/>
        <w:t>Proportionality</w:t>
      </w:r>
    </w:p>
    <w:p w:rsidR="00F057D0" w:rsidRPr="00A3009F" w:rsidRDefault="00496FEB" w:rsidP="00F057D0">
      <w:pPr>
        <w:rPr>
          <w:rFonts w:eastAsia="Times New Roman"/>
          <w:noProof/>
          <w:lang w:val="en-IE"/>
        </w:rPr>
      </w:pPr>
      <w:r w:rsidRPr="00A3009F">
        <w:rPr>
          <w:rFonts w:eastAsia="Times New Roman"/>
          <w:noProof/>
          <w:lang w:val="en-IE"/>
        </w:rPr>
        <w:t>Union</w:t>
      </w:r>
      <w:r w:rsidR="00F057D0" w:rsidRPr="00A3009F">
        <w:rPr>
          <w:rFonts w:eastAsia="Times New Roman"/>
          <w:noProof/>
          <w:lang w:val="en-IE"/>
        </w:rPr>
        <w:t xml:space="preserve"> action can add considerable value in addressing the challenges identified above and is the only way by which a single, streamlined and accepted </w:t>
      </w:r>
      <w:r w:rsidR="00BC10D8" w:rsidRPr="00A3009F">
        <w:rPr>
          <w:rFonts w:eastAsia="Times New Roman"/>
          <w:noProof/>
          <w:lang w:val="en-IE"/>
        </w:rPr>
        <w:t xml:space="preserve">COVID-19 certificate </w:t>
      </w:r>
      <w:r w:rsidR="00F057D0" w:rsidRPr="00A3009F">
        <w:rPr>
          <w:rFonts w:eastAsia="Times New Roman"/>
          <w:noProof/>
          <w:lang w:val="en-IE"/>
        </w:rPr>
        <w:t xml:space="preserve">framework can be maintained. </w:t>
      </w:r>
    </w:p>
    <w:p w:rsidR="00F057D0" w:rsidRPr="00A3009F" w:rsidRDefault="00F057D0" w:rsidP="00F057D0">
      <w:pPr>
        <w:rPr>
          <w:rFonts w:eastAsia="Times New Roman"/>
          <w:noProof/>
          <w:lang w:val="en-IE"/>
        </w:rPr>
      </w:pPr>
      <w:r w:rsidRPr="00A3009F">
        <w:rPr>
          <w:rFonts w:eastAsia="Times New Roman"/>
          <w:noProof/>
          <w:lang w:val="en-IE"/>
        </w:rPr>
        <w:t>The adoption of unilateral or uncoordinated measures regarding COVID-19 certificates</w:t>
      </w:r>
      <w:r w:rsidRPr="00A3009F">
        <w:rPr>
          <w:noProof/>
          <w:lang w:val="en-IE"/>
        </w:rPr>
        <w:t xml:space="preserve"> on COVID-19 vaccination, testing and recovery</w:t>
      </w:r>
      <w:r w:rsidRPr="00A3009F">
        <w:rPr>
          <w:rFonts w:eastAsia="Times New Roman"/>
          <w:noProof/>
          <w:lang w:val="en-IE"/>
        </w:rPr>
        <w:t xml:space="preserve"> is likely to lead to restrictions on free movement that are inconsistent and fragmented, resulting in uncertainty for </w:t>
      </w:r>
      <w:r w:rsidR="00496FEB" w:rsidRPr="00A3009F">
        <w:rPr>
          <w:rFonts w:eastAsia="Times New Roman"/>
          <w:noProof/>
          <w:lang w:val="en-IE"/>
        </w:rPr>
        <w:t>Union</w:t>
      </w:r>
      <w:r w:rsidRPr="00A3009F">
        <w:rPr>
          <w:rFonts w:eastAsia="Times New Roman"/>
          <w:noProof/>
          <w:lang w:val="en-IE"/>
        </w:rPr>
        <w:t xml:space="preserve"> citizens when exercising their rights. </w:t>
      </w:r>
    </w:p>
    <w:p w:rsidR="00F057D0" w:rsidRPr="00A3009F" w:rsidRDefault="00F057D0" w:rsidP="00F057D0">
      <w:pPr>
        <w:rPr>
          <w:rFonts w:eastAsia="Times New Roman"/>
          <w:noProof/>
          <w:lang w:val="en-IE"/>
        </w:rPr>
      </w:pPr>
      <w:r w:rsidRPr="00A3009F">
        <w:rPr>
          <w:rFonts w:eastAsia="Times New Roman"/>
          <w:noProof/>
          <w:lang w:val="en-IE"/>
        </w:rPr>
        <w:t xml:space="preserve">The proposal </w:t>
      </w:r>
      <w:r w:rsidR="00AB27F3">
        <w:rPr>
          <w:rFonts w:eastAsia="Times New Roman"/>
          <w:noProof/>
          <w:lang w:val="en-IE"/>
        </w:rPr>
        <w:t xml:space="preserve">does not alter the existing provisions </w:t>
      </w:r>
      <w:r w:rsidR="000B0A6B">
        <w:rPr>
          <w:rFonts w:eastAsia="Times New Roman"/>
          <w:noProof/>
          <w:lang w:val="en-IE"/>
        </w:rPr>
        <w:t xml:space="preserve">of </w:t>
      </w:r>
      <w:r w:rsidR="000B0A6B" w:rsidRPr="00A3009F">
        <w:rPr>
          <w:noProof/>
          <w:lang w:val="en-IE"/>
        </w:rPr>
        <w:t>Regulation (EU) 2021/953</w:t>
      </w:r>
      <w:r w:rsidR="000B0A6B">
        <w:rPr>
          <w:noProof/>
          <w:lang w:val="en-IE"/>
        </w:rPr>
        <w:t xml:space="preserve"> </w:t>
      </w:r>
      <w:r w:rsidR="00AB27F3">
        <w:rPr>
          <w:rFonts w:eastAsia="Times New Roman"/>
          <w:noProof/>
          <w:lang w:val="en-IE"/>
        </w:rPr>
        <w:t xml:space="preserve">on </w:t>
      </w:r>
      <w:r w:rsidRPr="00A3009F">
        <w:rPr>
          <w:rFonts w:eastAsia="Times New Roman"/>
          <w:noProof/>
          <w:lang w:val="en-IE"/>
        </w:rPr>
        <w:t>the processing of personal</w:t>
      </w:r>
      <w:r w:rsidR="00B11110">
        <w:rPr>
          <w:rFonts w:eastAsia="Times New Roman"/>
          <w:noProof/>
          <w:lang w:val="en-IE"/>
        </w:rPr>
        <w:t xml:space="preserve"> data.</w:t>
      </w:r>
      <w:r w:rsidRPr="00A3009F">
        <w:rPr>
          <w:rFonts w:eastAsia="Times New Roman"/>
          <w:noProof/>
          <w:lang w:val="en-IE"/>
        </w:rPr>
        <w:t xml:space="preserve"> </w:t>
      </w:r>
    </w:p>
    <w:p w:rsidR="00BC10D8" w:rsidRPr="00A3009F" w:rsidRDefault="00BC10D8" w:rsidP="00F057D0">
      <w:pPr>
        <w:rPr>
          <w:rFonts w:eastAsia="Times New Roman"/>
          <w:noProof/>
          <w:lang w:val="en-IE"/>
        </w:rPr>
      </w:pPr>
      <w:r w:rsidRPr="00A3009F">
        <w:rPr>
          <w:rFonts w:eastAsia="Times New Roman"/>
          <w:noProof/>
          <w:lang w:val="en-IE"/>
        </w:rPr>
        <w:t xml:space="preserve">The amended Regulation would again be time-limited, to ensure that </w:t>
      </w:r>
      <w:r w:rsidRPr="00A3009F">
        <w:rPr>
          <w:noProof/>
          <w:lang w:val="en-IE"/>
        </w:rPr>
        <w:t>any restrictions to the free movement of persons within the Union put in place to limit the spread of SARS-CoV-2, including the requirement to present EU Digital COVID Certificates, are lifted as soon as the epidemiological situation allows.</w:t>
      </w:r>
    </w:p>
    <w:p w:rsidR="00F057D0" w:rsidRPr="00A3009F" w:rsidRDefault="00F057D0" w:rsidP="00F057D0">
      <w:pPr>
        <w:pStyle w:val="ManualHeading2"/>
        <w:rPr>
          <w:rFonts w:eastAsia="Arial Unicode MS"/>
          <w:noProof/>
          <w:u w:color="000000"/>
          <w:bdr w:val="nil"/>
          <w:lang w:val="en-IE" w:eastAsia="en-GB"/>
        </w:rPr>
      </w:pPr>
      <w:r w:rsidRPr="00A3009F">
        <w:rPr>
          <w:rFonts w:eastAsia="Arial Unicode MS"/>
          <w:noProof/>
          <w:u w:color="000000"/>
          <w:bdr w:val="nil"/>
          <w:lang w:val="en-IE" w:eastAsia="en-GB"/>
        </w:rPr>
        <w:t>•</w:t>
      </w:r>
      <w:r w:rsidRPr="00A3009F">
        <w:rPr>
          <w:rFonts w:eastAsia="Arial Unicode MS"/>
          <w:noProof/>
          <w:u w:color="000000"/>
          <w:bdr w:val="nil"/>
          <w:lang w:val="en-IE" w:eastAsia="en-GB"/>
        </w:rPr>
        <w:tab/>
        <w:t>Choice of the instrument</w:t>
      </w:r>
    </w:p>
    <w:p w:rsidR="00F057D0" w:rsidRPr="00A3009F" w:rsidRDefault="00F057D0" w:rsidP="00F057D0">
      <w:pPr>
        <w:rPr>
          <w:noProof/>
          <w:lang w:val="en-IE"/>
        </w:rPr>
      </w:pPr>
      <w:r w:rsidRPr="00A3009F">
        <w:rPr>
          <w:noProof/>
          <w:lang w:val="en-IE"/>
        </w:rPr>
        <w:t>A</w:t>
      </w:r>
      <w:r w:rsidR="007351AC" w:rsidRPr="00A3009F">
        <w:rPr>
          <w:noProof/>
          <w:lang w:val="en-IE"/>
        </w:rPr>
        <w:t>s it is proposed to amend Regulation (EU) 2021/953, a</w:t>
      </w:r>
      <w:r w:rsidRPr="00A3009F">
        <w:rPr>
          <w:noProof/>
          <w:lang w:val="en-IE"/>
        </w:rPr>
        <w:t xml:space="preserve"> Regulation is the </w:t>
      </w:r>
      <w:r w:rsidR="007351AC" w:rsidRPr="00A3009F">
        <w:rPr>
          <w:noProof/>
          <w:lang w:val="en-IE"/>
        </w:rPr>
        <w:t>only possible</w:t>
      </w:r>
      <w:r w:rsidRPr="00A3009F">
        <w:rPr>
          <w:noProof/>
          <w:lang w:val="en-IE"/>
        </w:rPr>
        <w:t xml:space="preserve"> legal instrument.</w:t>
      </w:r>
    </w:p>
    <w:p w:rsidR="00F057D0" w:rsidRPr="00A3009F" w:rsidRDefault="00F057D0" w:rsidP="00F057D0">
      <w:pPr>
        <w:pStyle w:val="ManualHeading1"/>
        <w:rPr>
          <w:noProof/>
          <w:lang w:val="en-IE"/>
        </w:rPr>
      </w:pPr>
      <w:r w:rsidRPr="00A3009F">
        <w:rPr>
          <w:noProof/>
          <w:lang w:val="en-IE"/>
        </w:rPr>
        <w:t>3.</w:t>
      </w:r>
      <w:r w:rsidRPr="00A3009F">
        <w:rPr>
          <w:noProof/>
          <w:lang w:val="en-IE"/>
        </w:rPr>
        <w:tab/>
        <w:t>RESULTS OF EX-POST EVALUATIONS, STAKEHOLDER CONSULTATIONS AND IMPACT ASSESSMENTS</w:t>
      </w:r>
    </w:p>
    <w:p w:rsidR="00F057D0" w:rsidRPr="00A3009F" w:rsidRDefault="00F057D0" w:rsidP="00A3009F">
      <w:pPr>
        <w:pStyle w:val="ManualHeading2"/>
        <w:rPr>
          <w:rFonts w:eastAsia="Arial Unicode MS"/>
          <w:noProof/>
          <w:u w:color="000000"/>
          <w:bdr w:val="nil"/>
          <w:lang w:val="en-IE" w:eastAsia="en-GB"/>
        </w:rPr>
      </w:pPr>
      <w:r w:rsidRPr="00A3009F">
        <w:rPr>
          <w:rFonts w:eastAsia="Arial Unicode MS"/>
          <w:noProof/>
          <w:u w:color="000000"/>
          <w:bdr w:val="nil"/>
          <w:lang w:val="en-IE" w:eastAsia="en-GB"/>
        </w:rPr>
        <w:t>•</w:t>
      </w:r>
      <w:r w:rsidRPr="00A3009F">
        <w:rPr>
          <w:rFonts w:eastAsia="Arial Unicode MS"/>
          <w:noProof/>
          <w:u w:color="000000"/>
          <w:bdr w:val="nil"/>
          <w:lang w:val="en-IE" w:eastAsia="en-GB"/>
        </w:rPr>
        <w:tab/>
        <w:t>Stakeholder consultations</w:t>
      </w:r>
    </w:p>
    <w:p w:rsidR="00F057D0" w:rsidRPr="00A3009F" w:rsidRDefault="00F057D0" w:rsidP="00A3009F">
      <w:pPr>
        <w:rPr>
          <w:noProof/>
          <w:lang w:val="en-IE"/>
        </w:rPr>
      </w:pPr>
      <w:r w:rsidRPr="00A3009F">
        <w:rPr>
          <w:rFonts w:eastAsia="Times New Roman"/>
          <w:noProof/>
          <w:lang w:val="en-IE"/>
        </w:rPr>
        <w:t>The proposal takes into account the discussions held at regu</w:t>
      </w:r>
      <w:r w:rsidR="007351AC" w:rsidRPr="00A3009F">
        <w:rPr>
          <w:rFonts w:eastAsia="Times New Roman"/>
          <w:noProof/>
          <w:lang w:val="en-IE"/>
        </w:rPr>
        <w:t xml:space="preserve">lar intervals with Member State </w:t>
      </w:r>
      <w:r w:rsidR="00496FEB" w:rsidRPr="00A3009F">
        <w:rPr>
          <w:rFonts w:eastAsia="Times New Roman"/>
          <w:noProof/>
          <w:lang w:val="en-IE"/>
        </w:rPr>
        <w:t xml:space="preserve">authorities </w:t>
      </w:r>
      <w:r w:rsidRPr="00A3009F">
        <w:rPr>
          <w:rFonts w:eastAsia="Times New Roman"/>
          <w:noProof/>
          <w:lang w:val="en-IE"/>
        </w:rPr>
        <w:t>in different fora.</w:t>
      </w:r>
    </w:p>
    <w:p w:rsidR="00F057D0" w:rsidRPr="00A3009F" w:rsidRDefault="00F057D0" w:rsidP="00A3009F">
      <w:pPr>
        <w:pStyle w:val="ManualHeading2"/>
        <w:rPr>
          <w:rFonts w:eastAsia="Arial Unicode MS"/>
          <w:noProof/>
          <w:u w:color="000000"/>
          <w:bdr w:val="nil"/>
          <w:lang w:val="en-IE" w:eastAsia="en-GB"/>
        </w:rPr>
      </w:pPr>
      <w:r w:rsidRPr="00A3009F">
        <w:rPr>
          <w:rFonts w:eastAsia="Arial Unicode MS"/>
          <w:noProof/>
          <w:u w:color="000000"/>
          <w:bdr w:val="nil"/>
          <w:lang w:val="en-IE" w:eastAsia="en-GB"/>
        </w:rPr>
        <w:t>•</w:t>
      </w:r>
      <w:r w:rsidRPr="00A3009F">
        <w:rPr>
          <w:rFonts w:eastAsia="Arial Unicode MS"/>
          <w:noProof/>
          <w:u w:color="000000"/>
          <w:bdr w:val="nil"/>
          <w:lang w:val="en-IE" w:eastAsia="en-GB"/>
        </w:rPr>
        <w:tab/>
        <w:t>Collection and use of expertise</w:t>
      </w:r>
    </w:p>
    <w:p w:rsidR="00F057D0" w:rsidRPr="00A3009F" w:rsidRDefault="00F057D0" w:rsidP="00A3009F">
      <w:pPr>
        <w:rPr>
          <w:rFonts w:eastAsiaTheme="minorEastAsia"/>
          <w:noProof/>
          <w:lang w:val="en-IE"/>
        </w:rPr>
      </w:pPr>
      <w:r w:rsidRPr="00A3009F">
        <w:rPr>
          <w:rFonts w:eastAsiaTheme="minorEastAsia"/>
          <w:noProof/>
          <w:lang w:val="en-IE"/>
        </w:rPr>
        <w:t xml:space="preserve">The proposal builds on </w:t>
      </w:r>
      <w:r w:rsidRPr="00A3009F">
        <w:rPr>
          <w:rFonts w:eastAsia="Times New Roman"/>
          <w:noProof/>
          <w:lang w:val="en-IE"/>
        </w:rPr>
        <w:t xml:space="preserve">the </w:t>
      </w:r>
      <w:r w:rsidR="007351AC" w:rsidRPr="00A3009F">
        <w:rPr>
          <w:rFonts w:eastAsia="Times New Roman"/>
          <w:noProof/>
          <w:lang w:val="en-IE"/>
        </w:rPr>
        <w:t xml:space="preserve">epidemiological information and assessments provided by ECDC, the </w:t>
      </w:r>
      <w:r w:rsidR="007351AC" w:rsidRPr="00A3009F">
        <w:rPr>
          <w:noProof/>
          <w:lang w:val="en-IE"/>
        </w:rPr>
        <w:t xml:space="preserve">assessment of the safety, effectiveness and quality of COVID-19 vaccines </w:t>
      </w:r>
      <w:r w:rsidR="00496FEB" w:rsidRPr="00A3009F">
        <w:rPr>
          <w:noProof/>
          <w:lang w:val="en-IE"/>
        </w:rPr>
        <w:t xml:space="preserve">carried out </w:t>
      </w:r>
      <w:r w:rsidR="007351AC" w:rsidRPr="00A3009F">
        <w:rPr>
          <w:noProof/>
          <w:lang w:val="en-IE"/>
        </w:rPr>
        <w:t xml:space="preserve">by </w:t>
      </w:r>
      <w:r w:rsidR="001032A4">
        <w:rPr>
          <w:noProof/>
          <w:lang w:val="en-IE"/>
        </w:rPr>
        <w:t>EMA</w:t>
      </w:r>
      <w:r w:rsidR="007351AC" w:rsidRPr="00A3009F">
        <w:rPr>
          <w:noProof/>
          <w:lang w:val="en-IE"/>
        </w:rPr>
        <w:t xml:space="preserve">, </w:t>
      </w:r>
      <w:r w:rsidR="007351AC" w:rsidRPr="00A3009F">
        <w:rPr>
          <w:rFonts w:eastAsia="Times New Roman"/>
          <w:noProof/>
          <w:lang w:val="en-IE"/>
        </w:rPr>
        <w:t xml:space="preserve">the </w:t>
      </w:r>
      <w:r w:rsidRPr="00A3009F">
        <w:rPr>
          <w:rFonts w:eastAsia="Times New Roman"/>
          <w:noProof/>
          <w:lang w:val="en-IE"/>
        </w:rPr>
        <w:t>technical exchanges taking place within the Health Security Committee</w:t>
      </w:r>
      <w:r w:rsidR="007351AC" w:rsidRPr="00A3009F">
        <w:rPr>
          <w:rFonts w:eastAsia="Times New Roman"/>
          <w:noProof/>
          <w:lang w:val="en-IE"/>
        </w:rPr>
        <w:t>, its technical working group on COVID-19 diagnostic tests and</w:t>
      </w:r>
      <w:r w:rsidRPr="00A3009F">
        <w:rPr>
          <w:rFonts w:eastAsia="Times New Roman"/>
          <w:noProof/>
          <w:lang w:val="en-IE"/>
        </w:rPr>
        <w:t xml:space="preserve"> the eHealth Network, </w:t>
      </w:r>
      <w:r w:rsidR="007351AC" w:rsidRPr="00A3009F">
        <w:rPr>
          <w:rFonts w:eastAsia="Times New Roman"/>
          <w:noProof/>
          <w:lang w:val="en-IE"/>
        </w:rPr>
        <w:t>as well as</w:t>
      </w:r>
      <w:r w:rsidRPr="00A3009F">
        <w:rPr>
          <w:rFonts w:eastAsia="Times New Roman"/>
          <w:noProof/>
          <w:lang w:val="en-IE"/>
        </w:rPr>
        <w:t xml:space="preserve"> relevant available scientific evidence</w:t>
      </w:r>
      <w:r w:rsidRPr="00A3009F">
        <w:rPr>
          <w:rFonts w:eastAsiaTheme="minorEastAsia"/>
          <w:noProof/>
          <w:lang w:val="en-IE"/>
        </w:rPr>
        <w:t>.</w:t>
      </w:r>
    </w:p>
    <w:p w:rsidR="00F057D0" w:rsidRPr="00A3009F" w:rsidRDefault="00F057D0" w:rsidP="00A3009F">
      <w:pPr>
        <w:pStyle w:val="ManualHeading2"/>
        <w:rPr>
          <w:rFonts w:eastAsia="Arial Unicode MS"/>
          <w:noProof/>
          <w:u w:color="000000"/>
          <w:bdr w:val="nil"/>
          <w:lang w:val="en-IE" w:eastAsia="en-GB"/>
        </w:rPr>
      </w:pPr>
      <w:r w:rsidRPr="00A3009F">
        <w:rPr>
          <w:rFonts w:eastAsia="Arial Unicode MS"/>
          <w:noProof/>
          <w:u w:color="000000"/>
          <w:bdr w:val="nil"/>
          <w:lang w:val="en-IE" w:eastAsia="en-GB"/>
        </w:rPr>
        <w:t>•</w:t>
      </w:r>
      <w:r w:rsidRPr="00A3009F">
        <w:rPr>
          <w:rFonts w:eastAsia="Arial Unicode MS"/>
          <w:noProof/>
          <w:u w:color="000000"/>
          <w:bdr w:val="nil"/>
          <w:lang w:val="en-IE" w:eastAsia="en-GB"/>
        </w:rPr>
        <w:tab/>
        <w:t>Impact assessment</w:t>
      </w:r>
    </w:p>
    <w:p w:rsidR="00F057D0" w:rsidRPr="00A3009F" w:rsidRDefault="00F057D0" w:rsidP="00A3009F">
      <w:pPr>
        <w:rPr>
          <w:noProof/>
          <w:lang w:val="en-IE"/>
        </w:rPr>
      </w:pPr>
      <w:r w:rsidRPr="00A3009F">
        <w:rPr>
          <w:rFonts w:eastAsiaTheme="minorEastAsia"/>
          <w:noProof/>
          <w:szCs w:val="24"/>
          <w:lang w:val="en-IE"/>
        </w:rPr>
        <w:t>In view of the urgency and the limited scope of the proposal, the Commission did not carry out an impact assessment.</w:t>
      </w:r>
    </w:p>
    <w:p w:rsidR="00F057D0" w:rsidRPr="00A3009F" w:rsidRDefault="00F057D0" w:rsidP="00A3009F">
      <w:pPr>
        <w:pStyle w:val="ManualHeading2"/>
        <w:rPr>
          <w:rFonts w:eastAsia="Arial Unicode MS"/>
          <w:noProof/>
          <w:u w:color="000000"/>
          <w:bdr w:val="nil"/>
          <w:lang w:val="en-IE" w:eastAsia="en-GB"/>
        </w:rPr>
      </w:pPr>
      <w:r w:rsidRPr="00A3009F">
        <w:rPr>
          <w:rFonts w:eastAsia="Arial Unicode MS"/>
          <w:noProof/>
          <w:u w:color="000000"/>
          <w:bdr w:val="nil"/>
          <w:lang w:val="en-IE" w:eastAsia="en-GB"/>
        </w:rPr>
        <w:t>•</w:t>
      </w:r>
      <w:r w:rsidRPr="00A3009F">
        <w:rPr>
          <w:rFonts w:eastAsia="Arial Unicode MS"/>
          <w:noProof/>
          <w:u w:color="000000"/>
          <w:bdr w:val="nil"/>
          <w:lang w:val="en-IE" w:eastAsia="en-GB"/>
        </w:rPr>
        <w:tab/>
        <w:t>Fundamental rights</w:t>
      </w:r>
    </w:p>
    <w:p w:rsidR="00F057D0" w:rsidRPr="00A3009F" w:rsidRDefault="00F057D0" w:rsidP="00A3009F">
      <w:pPr>
        <w:rPr>
          <w:rFonts w:eastAsia="Times New Roman"/>
          <w:noProof/>
          <w:lang w:val="en-IE"/>
        </w:rPr>
      </w:pPr>
      <w:r w:rsidRPr="00A3009F">
        <w:rPr>
          <w:noProof/>
          <w:lang w:val="en-IE"/>
        </w:rPr>
        <w:t>This proposal positively affects the fundamental right of freedom of movement and residence under Article 45 of the Charter of Fundamental Rights of the European Union</w:t>
      </w:r>
      <w:r w:rsidRPr="00A3009F">
        <w:rPr>
          <w:b/>
          <w:noProof/>
          <w:lang w:val="en-IE"/>
        </w:rPr>
        <w:t xml:space="preserve"> </w:t>
      </w:r>
      <w:r w:rsidRPr="00A3009F">
        <w:rPr>
          <w:noProof/>
          <w:lang w:val="en-IE"/>
        </w:rPr>
        <w:t xml:space="preserve">(Charter). It does so by </w:t>
      </w:r>
      <w:r w:rsidR="00496FEB" w:rsidRPr="00A3009F">
        <w:rPr>
          <w:noProof/>
          <w:lang w:val="en-IE"/>
        </w:rPr>
        <w:t xml:space="preserve">ensuring that citizens continue to enjoy access to </w:t>
      </w:r>
      <w:r w:rsidRPr="00A3009F">
        <w:rPr>
          <w:noProof/>
          <w:lang w:val="en-IE"/>
        </w:rPr>
        <w:t xml:space="preserve">interoperable and mutually accepted certificates on COVID-19 vaccination, testing and recovery that they can use when travelling. </w:t>
      </w:r>
      <w:r w:rsidRPr="00A3009F">
        <w:rPr>
          <w:rFonts w:eastAsia="Times New Roman"/>
          <w:noProof/>
          <w:lang w:val="en-IE"/>
        </w:rPr>
        <w:t xml:space="preserve">Where Member States waive certain restrictions on free movement for persons in the possession of proof of vaccination, test or recovery, </w:t>
      </w:r>
      <w:r w:rsidR="00EB75EA" w:rsidRPr="00A3009F">
        <w:rPr>
          <w:rFonts w:eastAsia="Times New Roman"/>
          <w:noProof/>
          <w:lang w:val="en-IE"/>
        </w:rPr>
        <w:t>EU Digital COVID Certificates</w:t>
      </w:r>
      <w:r w:rsidRPr="00A3009F">
        <w:rPr>
          <w:rFonts w:eastAsia="Times New Roman"/>
          <w:noProof/>
          <w:lang w:val="en-IE"/>
        </w:rPr>
        <w:t xml:space="preserve"> will allow citizens to </w:t>
      </w:r>
      <w:r w:rsidR="007351AC" w:rsidRPr="00A3009F">
        <w:rPr>
          <w:rFonts w:eastAsia="Times New Roman"/>
          <w:noProof/>
          <w:lang w:val="en-IE"/>
        </w:rPr>
        <w:t xml:space="preserve">continue to </w:t>
      </w:r>
      <w:r w:rsidRPr="00A3009F">
        <w:rPr>
          <w:rFonts w:eastAsia="Times New Roman"/>
          <w:noProof/>
          <w:lang w:val="en-IE"/>
        </w:rPr>
        <w:t xml:space="preserve">profit from these exemptions. </w:t>
      </w:r>
    </w:p>
    <w:p w:rsidR="007351AC" w:rsidRPr="00A3009F" w:rsidRDefault="00F057D0" w:rsidP="00A3009F">
      <w:pPr>
        <w:rPr>
          <w:rFonts w:eastAsia="Times New Roman"/>
          <w:noProof/>
          <w:lang w:val="en-IE"/>
        </w:rPr>
      </w:pPr>
      <w:r w:rsidRPr="00A3009F">
        <w:rPr>
          <w:rFonts w:eastAsia="Times New Roman"/>
          <w:noProof/>
          <w:lang w:val="en-IE"/>
        </w:rPr>
        <w:t>Th</w:t>
      </w:r>
      <w:r w:rsidR="007351AC" w:rsidRPr="00A3009F">
        <w:rPr>
          <w:rFonts w:eastAsia="Times New Roman"/>
          <w:noProof/>
          <w:lang w:val="en-IE"/>
        </w:rPr>
        <w:t xml:space="preserve">e extension of </w:t>
      </w:r>
      <w:r w:rsidR="007351AC" w:rsidRPr="00A3009F">
        <w:rPr>
          <w:noProof/>
          <w:lang w:val="en-IE"/>
        </w:rPr>
        <w:t>Regulation (EU) 2021/953</w:t>
      </w:r>
      <w:r w:rsidRPr="00A3009F">
        <w:rPr>
          <w:rFonts w:eastAsia="Times New Roman"/>
          <w:noProof/>
          <w:lang w:val="en-IE"/>
        </w:rPr>
        <w:t xml:space="preserve"> should not be understood as facilitating or encouraging the adoption of </w:t>
      </w:r>
      <w:r w:rsidR="000B0A6B">
        <w:rPr>
          <w:rFonts w:eastAsia="Times New Roman"/>
          <w:noProof/>
          <w:lang w:val="en-IE"/>
        </w:rPr>
        <w:t xml:space="preserve">public </w:t>
      </w:r>
      <w:r w:rsidR="00496FEB" w:rsidRPr="00A3009F">
        <w:rPr>
          <w:rFonts w:eastAsia="Times New Roman"/>
          <w:noProof/>
          <w:lang w:val="en-IE"/>
        </w:rPr>
        <w:t xml:space="preserve">health related </w:t>
      </w:r>
      <w:r w:rsidRPr="00A3009F">
        <w:rPr>
          <w:rFonts w:eastAsia="Times New Roman"/>
          <w:noProof/>
          <w:lang w:val="en-IE"/>
        </w:rPr>
        <w:t>restrictions to free movement during the pandemic. Rather, it seeks to provide a harmonised framework for the recognition of COVID-19 certificates in the event that a Member State applies such restrictions. Any limitations to the freedom of movement within the EU justified on grounds of public policy, public security or public health must be necessary, proportionate and based on objective and non-discriminatory criteria. The decision as to whether to introduce restrictions to free movement remains the responsibility of the Member States, which must act in compliance with EU law.</w:t>
      </w:r>
    </w:p>
    <w:p w:rsidR="00F057D0" w:rsidRDefault="00F057D0" w:rsidP="00A3009F">
      <w:pPr>
        <w:rPr>
          <w:rFonts w:eastAsia="Times New Roman"/>
          <w:noProof/>
          <w:lang w:val="en-IE"/>
        </w:rPr>
      </w:pPr>
      <w:r w:rsidRPr="00A3009F">
        <w:rPr>
          <w:rFonts w:eastAsia="Times New Roman"/>
          <w:noProof/>
          <w:lang w:val="en-IE"/>
        </w:rPr>
        <w:t>Equally, Member States retain the flexibility not to introduce restrictions to free movement</w:t>
      </w:r>
      <w:r w:rsidR="007351AC" w:rsidRPr="00A3009F">
        <w:rPr>
          <w:noProof/>
          <w:lang w:val="en-IE"/>
        </w:rPr>
        <w:t xml:space="preserve">, in particular those that lift domestic public health </w:t>
      </w:r>
      <w:r w:rsidR="00496FEB" w:rsidRPr="00A3009F">
        <w:rPr>
          <w:noProof/>
          <w:lang w:val="en-IE"/>
        </w:rPr>
        <w:t>measures</w:t>
      </w:r>
      <w:r w:rsidRPr="00A3009F">
        <w:rPr>
          <w:rFonts w:eastAsia="Times New Roman"/>
          <w:noProof/>
          <w:lang w:val="en-IE"/>
        </w:rPr>
        <w:t>.</w:t>
      </w:r>
    </w:p>
    <w:p w:rsidR="00D128D3" w:rsidRPr="00A3009F" w:rsidRDefault="00913A9C" w:rsidP="001E5AA7">
      <w:pPr>
        <w:rPr>
          <w:rFonts w:eastAsia="Times New Roman"/>
          <w:noProof/>
          <w:szCs w:val="24"/>
          <w:lang w:val="en-IE"/>
        </w:rPr>
      </w:pPr>
      <w:r>
        <w:rPr>
          <w:rFonts w:eastAsia="Times New Roman"/>
          <w:noProof/>
          <w:lang w:val="en-IE"/>
        </w:rPr>
        <w:t>The EU Digital COVID Certificate framework ensures n</w:t>
      </w:r>
      <w:r w:rsidR="00D128D3">
        <w:rPr>
          <w:rFonts w:eastAsia="Times New Roman"/>
          <w:noProof/>
          <w:lang w:val="en-IE"/>
        </w:rPr>
        <w:t xml:space="preserve">on-discrimination </w:t>
      </w:r>
      <w:r>
        <w:rPr>
          <w:rFonts w:eastAsia="Times New Roman"/>
          <w:noProof/>
          <w:lang w:val="en-IE"/>
        </w:rPr>
        <w:t xml:space="preserve">by including </w:t>
      </w:r>
      <w:r w:rsidR="00D128D3">
        <w:rPr>
          <w:rFonts w:eastAsia="Times New Roman"/>
          <w:noProof/>
          <w:lang w:val="en-IE"/>
        </w:rPr>
        <w:t xml:space="preserve">interoperable vaccination, test and recovery certificates. </w:t>
      </w:r>
      <w:r w:rsidR="001C39CA">
        <w:rPr>
          <w:rFonts w:eastAsia="Times New Roman"/>
          <w:noProof/>
          <w:lang w:val="en-IE"/>
        </w:rPr>
        <w:t>All Member States are obliged to issue the three different types of certificates</w:t>
      </w:r>
      <w:r>
        <w:rPr>
          <w:rFonts w:eastAsia="Times New Roman"/>
          <w:noProof/>
          <w:lang w:val="en-IE"/>
        </w:rPr>
        <w:t xml:space="preserve">, and </w:t>
      </w:r>
      <w:r w:rsidRPr="00A3009F">
        <w:rPr>
          <w:noProof/>
          <w:lang w:val="en-IE"/>
        </w:rPr>
        <w:t>Council Recommendation (EU) 2022/</w:t>
      </w:r>
      <w:r>
        <w:rPr>
          <w:noProof/>
        </w:rPr>
        <w:t>107 sets out a coordinated approach as to the</w:t>
      </w:r>
      <w:r w:rsidR="00C61BDA">
        <w:rPr>
          <w:noProof/>
        </w:rPr>
        <w:t>ir</w:t>
      </w:r>
      <w:r>
        <w:rPr>
          <w:noProof/>
        </w:rPr>
        <w:t xml:space="preserve"> acceptance</w:t>
      </w:r>
      <w:r w:rsidR="001C39CA">
        <w:rPr>
          <w:rFonts w:eastAsia="Times New Roman"/>
          <w:noProof/>
          <w:lang w:val="en-IE"/>
        </w:rPr>
        <w:t xml:space="preserve">. </w:t>
      </w:r>
      <w:r w:rsidR="00F63A20">
        <w:rPr>
          <w:rFonts w:eastAsia="Times New Roman"/>
          <w:noProof/>
          <w:szCs w:val="24"/>
          <w:lang w:val="en-IE" w:eastAsia="en-IE"/>
        </w:rPr>
        <w:t>As a result</w:t>
      </w:r>
      <w:r w:rsidR="00D128D3" w:rsidRPr="007C4717">
        <w:rPr>
          <w:rFonts w:eastAsia="Times New Roman"/>
          <w:noProof/>
          <w:szCs w:val="24"/>
          <w:lang w:val="en-IE" w:eastAsia="en-IE"/>
        </w:rPr>
        <w:t xml:space="preserve">, as many persons as possible </w:t>
      </w:r>
      <w:r>
        <w:rPr>
          <w:rFonts w:eastAsia="Times New Roman"/>
          <w:noProof/>
          <w:szCs w:val="24"/>
          <w:lang w:val="en-IE" w:eastAsia="en-IE"/>
        </w:rPr>
        <w:t>are</w:t>
      </w:r>
      <w:r w:rsidR="00D128D3" w:rsidRPr="007C4717">
        <w:rPr>
          <w:rFonts w:eastAsia="Times New Roman"/>
          <w:noProof/>
          <w:szCs w:val="24"/>
          <w:lang w:val="en-IE" w:eastAsia="en-IE"/>
        </w:rPr>
        <w:t xml:space="preserve"> able to benefit from an EU Digital COVID Certificate when </w:t>
      </w:r>
      <w:r w:rsidR="00D128D3">
        <w:rPr>
          <w:rFonts w:eastAsia="Times New Roman"/>
          <w:noProof/>
          <w:szCs w:val="24"/>
          <w:lang w:val="en-IE" w:eastAsia="en-IE"/>
        </w:rPr>
        <w:t>exercising their right to free movement</w:t>
      </w:r>
      <w:r w:rsidR="00D128D3" w:rsidRPr="007C4717">
        <w:rPr>
          <w:rFonts w:eastAsia="Times New Roman"/>
          <w:noProof/>
          <w:szCs w:val="24"/>
          <w:lang w:val="en-IE" w:eastAsia="en-IE"/>
        </w:rPr>
        <w:t>.</w:t>
      </w:r>
      <w:r w:rsidR="00D128D3">
        <w:rPr>
          <w:rFonts w:eastAsia="Times New Roman"/>
          <w:noProof/>
          <w:szCs w:val="24"/>
          <w:lang w:val="en-IE" w:eastAsia="en-IE"/>
        </w:rPr>
        <w:t xml:space="preserve"> </w:t>
      </w:r>
      <w:r w:rsidR="00FB513B">
        <w:rPr>
          <w:rFonts w:eastAsia="Times New Roman"/>
          <w:noProof/>
          <w:szCs w:val="24"/>
          <w:lang w:val="en-IE" w:eastAsia="en-IE"/>
        </w:rPr>
        <w:t xml:space="preserve">Not extending </w:t>
      </w:r>
      <w:r w:rsidR="00FB513B" w:rsidRPr="00A3009F">
        <w:rPr>
          <w:noProof/>
          <w:lang w:val="en-IE"/>
        </w:rPr>
        <w:t>Regulation (EU) 2021/953</w:t>
      </w:r>
      <w:r w:rsidR="00FB513B">
        <w:rPr>
          <w:noProof/>
          <w:lang w:val="en-IE"/>
        </w:rPr>
        <w:t xml:space="preserve"> would likely result in obstacles in this regard, as Union citizens would no longer enjoy a right to receive the three different types of certificates throughout the Union, but would likely be subject to different national COVID-19 certificate systems, which may not necessarily cover, at the same time, vaccination, test and recovery. </w:t>
      </w:r>
      <w:r>
        <w:rPr>
          <w:rFonts w:eastAsia="Times New Roman"/>
          <w:noProof/>
          <w:szCs w:val="24"/>
          <w:lang w:val="en-IE" w:eastAsia="en-IE"/>
        </w:rPr>
        <w:t xml:space="preserve">At the same time, the </w:t>
      </w:r>
      <w:r w:rsidR="00C61BDA">
        <w:rPr>
          <w:rFonts w:eastAsia="Times New Roman"/>
          <w:noProof/>
          <w:szCs w:val="24"/>
          <w:lang w:val="en-IE" w:eastAsia="en-IE"/>
        </w:rPr>
        <w:t xml:space="preserve">medical </w:t>
      </w:r>
      <w:r>
        <w:rPr>
          <w:rFonts w:eastAsia="Times New Roman"/>
          <w:noProof/>
          <w:szCs w:val="24"/>
          <w:lang w:val="en-IE" w:eastAsia="en-IE"/>
        </w:rPr>
        <w:t xml:space="preserve">events proven by the certificates – vaccination, test or recovery – cannot be considered </w:t>
      </w:r>
      <w:r w:rsidR="00C61BDA">
        <w:rPr>
          <w:rFonts w:eastAsia="Times New Roman"/>
          <w:noProof/>
          <w:szCs w:val="24"/>
          <w:lang w:val="en-IE" w:eastAsia="en-IE"/>
        </w:rPr>
        <w:t>as</w:t>
      </w:r>
      <w:r w:rsidR="0002470C">
        <w:rPr>
          <w:rFonts w:eastAsia="Times New Roman"/>
          <w:noProof/>
          <w:szCs w:val="24"/>
          <w:lang w:val="en-IE" w:eastAsia="en-IE"/>
        </w:rPr>
        <w:t xml:space="preserve"> equal</w:t>
      </w:r>
      <w:r>
        <w:rPr>
          <w:rFonts w:eastAsia="Times New Roman"/>
          <w:noProof/>
          <w:szCs w:val="24"/>
          <w:lang w:val="en-IE" w:eastAsia="en-IE"/>
        </w:rPr>
        <w:t xml:space="preserve"> fro</w:t>
      </w:r>
      <w:r w:rsidR="001E5AA7">
        <w:rPr>
          <w:rFonts w:eastAsia="Times New Roman"/>
          <w:noProof/>
          <w:szCs w:val="24"/>
          <w:lang w:val="en-IE" w:eastAsia="en-IE"/>
        </w:rPr>
        <w:t>m a public health point of view, given that u</w:t>
      </w:r>
      <w:r w:rsidR="001E5AA7" w:rsidRPr="001E5AA7">
        <w:rPr>
          <w:rFonts w:eastAsia="Times New Roman"/>
          <w:noProof/>
          <w:szCs w:val="24"/>
          <w:lang w:val="en-IE" w:eastAsia="en-IE"/>
        </w:rPr>
        <w:t>nvaccinated and partially</w:t>
      </w:r>
      <w:r w:rsidR="001E5AA7">
        <w:rPr>
          <w:rFonts w:eastAsia="Times New Roman"/>
          <w:noProof/>
          <w:szCs w:val="24"/>
          <w:lang w:val="en-IE" w:eastAsia="en-IE"/>
        </w:rPr>
        <w:t xml:space="preserve"> </w:t>
      </w:r>
      <w:r w:rsidR="001E5AA7" w:rsidRPr="001E5AA7">
        <w:rPr>
          <w:rFonts w:eastAsia="Times New Roman"/>
          <w:noProof/>
          <w:szCs w:val="24"/>
          <w:lang w:val="en-IE" w:eastAsia="en-IE"/>
        </w:rPr>
        <w:t>vaccinated people remain at much higher risk of severe outcomes</w:t>
      </w:r>
      <w:r w:rsidR="00C61BDA">
        <w:rPr>
          <w:rStyle w:val="FootnoteReference"/>
          <w:rFonts w:eastAsia="Times New Roman"/>
          <w:noProof/>
          <w:szCs w:val="24"/>
          <w:lang w:val="en-IE" w:eastAsia="en-IE"/>
        </w:rPr>
        <w:footnoteReference w:id="24"/>
      </w:r>
      <w:r w:rsidR="0002470C">
        <w:rPr>
          <w:rFonts w:eastAsia="Times New Roman"/>
          <w:noProof/>
          <w:szCs w:val="24"/>
          <w:lang w:val="en-IE" w:eastAsia="en-IE"/>
        </w:rPr>
        <w:t>. This is also reflected in the inherently different rules regarding the validity of the certificates</w:t>
      </w:r>
      <w:r w:rsidR="00C61BDA">
        <w:rPr>
          <w:rFonts w:eastAsia="Times New Roman"/>
          <w:noProof/>
          <w:szCs w:val="24"/>
          <w:lang w:val="en-IE" w:eastAsia="en-IE"/>
        </w:rPr>
        <w:t xml:space="preserve">. </w:t>
      </w:r>
    </w:p>
    <w:p w:rsidR="00F057D0" w:rsidRPr="00A3009F" w:rsidRDefault="00B11110" w:rsidP="009B154C">
      <w:pPr>
        <w:rPr>
          <w:noProof/>
          <w:lang w:val="en-IE"/>
        </w:rPr>
      </w:pPr>
      <w:r>
        <w:rPr>
          <w:noProof/>
          <w:lang w:val="en-IE"/>
        </w:rPr>
        <w:t xml:space="preserve">By extending the application of </w:t>
      </w:r>
      <w:r w:rsidRPr="00A3009F">
        <w:rPr>
          <w:noProof/>
          <w:lang w:val="en-IE"/>
        </w:rPr>
        <w:t>Regulation (EU) 2021/953</w:t>
      </w:r>
      <w:r>
        <w:rPr>
          <w:noProof/>
          <w:lang w:val="en-IE"/>
        </w:rPr>
        <w:t>,</w:t>
      </w:r>
      <w:r w:rsidRPr="00A3009F">
        <w:rPr>
          <w:rFonts w:eastAsia="Times New Roman"/>
          <w:noProof/>
          <w:lang w:val="en-IE"/>
        </w:rPr>
        <w:t xml:space="preserve"> </w:t>
      </w:r>
      <w:r>
        <w:rPr>
          <w:noProof/>
          <w:lang w:val="en-IE"/>
        </w:rPr>
        <w:t>t</w:t>
      </w:r>
      <w:r w:rsidR="00F057D0" w:rsidRPr="00A3009F">
        <w:rPr>
          <w:noProof/>
          <w:lang w:val="en-IE"/>
        </w:rPr>
        <w:t>his proposal implies processing of personal data</w:t>
      </w:r>
      <w:r w:rsidR="00F302F9">
        <w:rPr>
          <w:noProof/>
          <w:lang w:val="en-IE"/>
        </w:rPr>
        <w:t>, as set out in that Regulation, by another year</w:t>
      </w:r>
      <w:r w:rsidR="00F057D0" w:rsidRPr="00A3009F">
        <w:rPr>
          <w:noProof/>
          <w:lang w:val="en-IE"/>
        </w:rPr>
        <w:t>.</w:t>
      </w:r>
      <w:r w:rsidR="00F302F9">
        <w:rPr>
          <w:noProof/>
          <w:lang w:val="en-IE"/>
        </w:rPr>
        <w:t xml:space="preserve"> </w:t>
      </w:r>
      <w:r w:rsidR="00B258EB">
        <w:rPr>
          <w:noProof/>
          <w:lang w:val="en-IE"/>
        </w:rPr>
        <w:t xml:space="preserve">The Commission does not propose changes to the Regulation’s data protection framework. In particular, </w:t>
      </w:r>
      <w:r w:rsidR="001F718A">
        <w:rPr>
          <w:noProof/>
          <w:lang w:val="en-IE"/>
        </w:rPr>
        <w:t xml:space="preserve">personal data contained in the certificates that is processed during their verification must not be retained beyond the verification process. </w:t>
      </w:r>
      <w:r w:rsidR="00F057D0" w:rsidRPr="00A3009F">
        <w:rPr>
          <w:noProof/>
          <w:lang w:val="en-IE"/>
        </w:rPr>
        <w:t>Regulation (EU) 2016/679 of the European Parliament and of the Council</w:t>
      </w:r>
      <w:r w:rsidR="00F057D0" w:rsidRPr="00A3009F">
        <w:rPr>
          <w:rStyle w:val="FootnoteReference"/>
          <w:noProof/>
          <w:lang w:val="en-IE"/>
        </w:rPr>
        <w:footnoteReference w:id="25"/>
      </w:r>
      <w:r w:rsidR="00F057D0" w:rsidRPr="00A3009F">
        <w:rPr>
          <w:noProof/>
          <w:lang w:val="en-IE"/>
        </w:rPr>
        <w:t xml:space="preserve"> </w:t>
      </w:r>
      <w:r w:rsidR="00F302F9">
        <w:rPr>
          <w:noProof/>
          <w:lang w:val="en-IE"/>
        </w:rPr>
        <w:t xml:space="preserve">continues to </w:t>
      </w:r>
      <w:r w:rsidR="00F057D0" w:rsidRPr="00A3009F">
        <w:rPr>
          <w:noProof/>
          <w:lang w:val="en-IE"/>
        </w:rPr>
        <w:t>appl</w:t>
      </w:r>
      <w:r w:rsidR="00F302F9">
        <w:rPr>
          <w:noProof/>
          <w:lang w:val="en-IE"/>
        </w:rPr>
        <w:t>y</w:t>
      </w:r>
      <w:r w:rsidR="00F057D0" w:rsidRPr="00A3009F">
        <w:rPr>
          <w:noProof/>
          <w:lang w:val="en-IE"/>
        </w:rPr>
        <w:t xml:space="preserve">. </w:t>
      </w:r>
    </w:p>
    <w:p w:rsidR="00F057D0" w:rsidRPr="00617674" w:rsidRDefault="00F057D0" w:rsidP="00617674">
      <w:pPr>
        <w:pStyle w:val="ManualHeading1"/>
        <w:rPr>
          <w:noProof/>
          <w:lang w:val="en-IE"/>
        </w:rPr>
      </w:pPr>
      <w:r w:rsidRPr="00617674">
        <w:rPr>
          <w:noProof/>
          <w:lang w:val="en-IE"/>
        </w:rPr>
        <w:t>4.</w:t>
      </w:r>
      <w:r w:rsidRPr="00617674">
        <w:rPr>
          <w:noProof/>
          <w:lang w:val="en-IE"/>
        </w:rPr>
        <w:tab/>
        <w:t>BUDGETARY IMPLICATIONS</w:t>
      </w:r>
    </w:p>
    <w:p w:rsidR="00F057D0" w:rsidRPr="00A3009F" w:rsidRDefault="009222DC" w:rsidP="00617674">
      <w:pPr>
        <w:pBdr>
          <w:top w:val="nil"/>
          <w:left w:val="nil"/>
          <w:bottom w:val="nil"/>
          <w:right w:val="nil"/>
          <w:between w:val="nil"/>
          <w:bar w:val="nil"/>
        </w:pBdr>
        <w:rPr>
          <w:rFonts w:eastAsia="Arial Unicode MS"/>
          <w:noProof/>
          <w:highlight w:val="yellow"/>
          <w:lang w:val="en-IE"/>
        </w:rPr>
      </w:pPr>
      <w:r>
        <w:rPr>
          <w:rFonts w:eastAsia="Arial Unicode MS"/>
          <w:noProof/>
        </w:rPr>
        <w:t xml:space="preserve">The Commission will use funds from the </w:t>
      </w:r>
      <w:r>
        <w:rPr>
          <w:noProof/>
        </w:rPr>
        <w:t>Digital Europe Programme</w:t>
      </w:r>
      <w:r>
        <w:rPr>
          <w:rFonts w:eastAsia="Arial Unicode MS"/>
          <w:noProof/>
        </w:rPr>
        <w:t xml:space="preserve"> to support the initiative. </w:t>
      </w:r>
      <w:r w:rsidR="004B18AA">
        <w:rPr>
          <w:rFonts w:eastAsia="Arial Unicode MS"/>
          <w:noProof/>
        </w:rPr>
        <w:t>A Legislative Financial Statement is submitted with this proposal.</w:t>
      </w:r>
    </w:p>
    <w:p w:rsidR="00F057D0" w:rsidRPr="00A3009F" w:rsidRDefault="00F057D0" w:rsidP="00617674">
      <w:pPr>
        <w:pStyle w:val="ManualHeading1"/>
        <w:rPr>
          <w:noProof/>
          <w:lang w:val="en-IE"/>
        </w:rPr>
      </w:pPr>
      <w:r w:rsidRPr="00A3009F">
        <w:rPr>
          <w:noProof/>
          <w:lang w:val="en-IE"/>
        </w:rPr>
        <w:t>5.</w:t>
      </w:r>
      <w:r w:rsidRPr="00A3009F">
        <w:rPr>
          <w:noProof/>
          <w:lang w:val="en-IE"/>
        </w:rPr>
        <w:tab/>
        <w:t>OTHER ELEMENTS</w:t>
      </w:r>
    </w:p>
    <w:p w:rsidR="00F057D0" w:rsidRPr="00A3009F" w:rsidRDefault="00F057D0" w:rsidP="009B154C">
      <w:pPr>
        <w:pStyle w:val="ManualHeading2"/>
        <w:rPr>
          <w:rFonts w:eastAsia="Arial Unicode MS"/>
          <w:noProof/>
          <w:u w:color="000000"/>
          <w:bdr w:val="nil"/>
          <w:lang w:val="en-IE" w:eastAsia="en-GB"/>
        </w:rPr>
      </w:pPr>
      <w:r w:rsidRPr="00A3009F">
        <w:rPr>
          <w:rFonts w:eastAsia="Arial Unicode MS"/>
          <w:noProof/>
          <w:u w:color="000000"/>
          <w:bdr w:val="nil"/>
          <w:lang w:val="en-IE" w:eastAsia="en-GB"/>
        </w:rPr>
        <w:t>•</w:t>
      </w:r>
      <w:r w:rsidRPr="00A3009F">
        <w:rPr>
          <w:rFonts w:eastAsia="Arial Unicode MS"/>
          <w:noProof/>
          <w:u w:color="000000"/>
          <w:bdr w:val="nil"/>
          <w:lang w:val="en-IE" w:eastAsia="en-GB"/>
        </w:rPr>
        <w:tab/>
        <w:t>Implementation plans and monitoring, evaluation and reporting arrangements</w:t>
      </w:r>
    </w:p>
    <w:p w:rsidR="003837CB" w:rsidRPr="00A3009F" w:rsidRDefault="003837CB" w:rsidP="00A3009F">
      <w:pPr>
        <w:pBdr>
          <w:top w:val="nil"/>
          <w:left w:val="nil"/>
          <w:bottom w:val="nil"/>
          <w:right w:val="nil"/>
          <w:between w:val="nil"/>
          <w:bar w:val="nil"/>
        </w:pBdr>
        <w:rPr>
          <w:rFonts w:eastAsia="Arial Unicode MS"/>
          <w:noProof/>
          <w:lang w:val="en-IE"/>
        </w:rPr>
      </w:pPr>
      <w:r w:rsidRPr="00A3009F">
        <w:rPr>
          <w:noProof/>
          <w:lang w:val="en-IE"/>
        </w:rPr>
        <w:t>The Commission will continue to closely monitor the implementation of Regulation (EU) 2021/953</w:t>
      </w:r>
      <w:r w:rsidR="00EB75EA" w:rsidRPr="00A3009F">
        <w:rPr>
          <w:noProof/>
          <w:lang w:val="en-IE"/>
        </w:rPr>
        <w:t>, the evolution of the epidemiological situation,</w:t>
      </w:r>
      <w:r w:rsidRPr="00A3009F">
        <w:rPr>
          <w:noProof/>
          <w:lang w:val="en-IE"/>
        </w:rPr>
        <w:t xml:space="preserve"> as well as relevant </w:t>
      </w:r>
      <w:r w:rsidR="00EB75EA" w:rsidRPr="00A3009F">
        <w:rPr>
          <w:noProof/>
          <w:lang w:val="en-IE"/>
        </w:rPr>
        <w:t>scientific progress.</w:t>
      </w:r>
    </w:p>
    <w:p w:rsidR="00F057D0" w:rsidRPr="00A3009F" w:rsidRDefault="00F057D0" w:rsidP="00A3009F">
      <w:pPr>
        <w:pStyle w:val="ManualHeading2"/>
        <w:rPr>
          <w:rFonts w:eastAsia="Arial Unicode MS"/>
          <w:noProof/>
          <w:u w:color="000000"/>
          <w:bdr w:val="nil"/>
          <w:lang w:val="en-IE" w:eastAsia="en-GB"/>
        </w:rPr>
      </w:pPr>
      <w:r w:rsidRPr="00A3009F">
        <w:rPr>
          <w:rFonts w:eastAsia="Arial Unicode MS"/>
          <w:noProof/>
          <w:u w:color="000000"/>
          <w:bdr w:val="nil"/>
          <w:lang w:val="en-IE" w:eastAsia="en-GB"/>
        </w:rPr>
        <w:t>•</w:t>
      </w:r>
      <w:r w:rsidRPr="00A3009F">
        <w:rPr>
          <w:rFonts w:eastAsia="Arial Unicode MS"/>
          <w:noProof/>
          <w:u w:color="000000"/>
          <w:bdr w:val="nil"/>
          <w:lang w:val="en-IE" w:eastAsia="en-GB"/>
        </w:rPr>
        <w:tab/>
        <w:t>Detailed explanation of the specific provisions of the proposal</w:t>
      </w:r>
    </w:p>
    <w:p w:rsidR="00F057D0" w:rsidRPr="00A3009F" w:rsidRDefault="00F057D0" w:rsidP="00A3009F">
      <w:pPr>
        <w:pBdr>
          <w:top w:val="nil"/>
          <w:left w:val="nil"/>
          <w:bottom w:val="nil"/>
          <w:right w:val="nil"/>
          <w:between w:val="nil"/>
          <w:bar w:val="nil"/>
        </w:pBdr>
        <w:rPr>
          <w:noProof/>
          <w:lang w:val="en-IE"/>
        </w:rPr>
      </w:pPr>
      <w:r w:rsidRPr="00A3009F">
        <w:rPr>
          <w:noProof/>
          <w:u w:val="single"/>
          <w:lang w:val="en-IE"/>
        </w:rPr>
        <w:t>Article 1</w:t>
      </w:r>
      <w:r w:rsidRPr="00A3009F">
        <w:rPr>
          <w:noProof/>
          <w:lang w:val="en-IE"/>
        </w:rPr>
        <w:t xml:space="preserve"> </w:t>
      </w:r>
      <w:r w:rsidR="00A76FFD" w:rsidRPr="00A3009F">
        <w:rPr>
          <w:noProof/>
          <w:lang w:val="en-IE"/>
        </w:rPr>
        <w:t xml:space="preserve">contains the </w:t>
      </w:r>
      <w:r w:rsidR="00F444A0" w:rsidRPr="00A3009F">
        <w:rPr>
          <w:noProof/>
          <w:lang w:val="en-IE"/>
        </w:rPr>
        <w:t>proposed</w:t>
      </w:r>
      <w:r w:rsidR="00A76FFD" w:rsidRPr="00A3009F">
        <w:rPr>
          <w:noProof/>
          <w:lang w:val="en-IE"/>
        </w:rPr>
        <w:t xml:space="preserve"> changes to Regulation (EU) 2021/953, which are:</w:t>
      </w:r>
    </w:p>
    <w:p w:rsidR="00A76FFD" w:rsidRPr="00A3009F" w:rsidRDefault="00A76FFD" w:rsidP="00BA5413">
      <w:pPr>
        <w:pStyle w:val="Tiret0"/>
        <w:numPr>
          <w:ilvl w:val="0"/>
          <w:numId w:val="9"/>
        </w:numPr>
        <w:rPr>
          <w:noProof/>
          <w:lang w:val="en-IE"/>
        </w:rPr>
      </w:pPr>
      <w:r w:rsidRPr="00A3009F">
        <w:rPr>
          <w:noProof/>
          <w:lang w:val="en-IE"/>
        </w:rPr>
        <w:t xml:space="preserve">A broadening of the definition of SARS-CoV-2 tests that rely on the detection of viral proteins (antigens) to include </w:t>
      </w:r>
      <w:r w:rsidR="00812AF8">
        <w:rPr>
          <w:noProof/>
          <w:lang w:val="en-IE"/>
        </w:rPr>
        <w:t xml:space="preserve">antigenic </w:t>
      </w:r>
      <w:r w:rsidRPr="00A3009F">
        <w:rPr>
          <w:noProof/>
          <w:lang w:val="en-IE"/>
        </w:rPr>
        <w:t xml:space="preserve">assays performed in a laboratory setting and not </w:t>
      </w:r>
      <w:r w:rsidR="00066283">
        <w:rPr>
          <w:noProof/>
          <w:lang w:val="en-IE"/>
        </w:rPr>
        <w:t>only</w:t>
      </w:r>
      <w:r w:rsidRPr="00A3009F">
        <w:rPr>
          <w:noProof/>
          <w:lang w:val="en-IE"/>
        </w:rPr>
        <w:t xml:space="preserve"> rapid antigen tests that give results in less than 30 minutes. Corresponding changes are proposed to Articles 3(1), 6(2)(b), 7(4) and point 2(i) of the Annex.</w:t>
      </w:r>
    </w:p>
    <w:p w:rsidR="005E2042" w:rsidRPr="00A41F28" w:rsidRDefault="005E2042" w:rsidP="00855429">
      <w:pPr>
        <w:pStyle w:val="Tiret0"/>
        <w:rPr>
          <w:noProof/>
          <w:lang w:val="en-IE"/>
        </w:rPr>
      </w:pPr>
      <w:r w:rsidRPr="00D92A68">
        <w:rPr>
          <w:noProof/>
          <w:lang w:val="en-IE"/>
        </w:rPr>
        <w:t>A</w:t>
      </w:r>
      <w:r w:rsidR="005920EE" w:rsidRPr="00D92A68">
        <w:rPr>
          <w:noProof/>
          <w:lang w:val="en-IE"/>
        </w:rPr>
        <w:t>n explicit</w:t>
      </w:r>
      <w:r w:rsidRPr="00D92A68">
        <w:rPr>
          <w:noProof/>
          <w:lang w:val="en-IE"/>
        </w:rPr>
        <w:t xml:space="preserve"> clarification that vaccination certificates are to contain the number of doses administered to the holder, regardless </w:t>
      </w:r>
      <w:r w:rsidR="00855429" w:rsidRPr="00855429">
        <w:rPr>
          <w:noProof/>
          <w:lang w:val="en-IE"/>
        </w:rPr>
        <w:t>of the Member State in which</w:t>
      </w:r>
      <w:r w:rsidR="00DA1F1B" w:rsidRPr="00D92A68">
        <w:rPr>
          <w:noProof/>
          <w:lang w:val="en-IE"/>
        </w:rPr>
        <w:t xml:space="preserve"> </w:t>
      </w:r>
      <w:r w:rsidRPr="00D92A68">
        <w:rPr>
          <w:noProof/>
          <w:lang w:val="en-IE"/>
        </w:rPr>
        <w:t xml:space="preserve">they have been administered, to </w:t>
      </w:r>
      <w:r w:rsidR="000F4B75" w:rsidRPr="0026360C">
        <w:rPr>
          <w:noProof/>
          <w:lang w:val="en-IE"/>
        </w:rPr>
        <w:t xml:space="preserve">make sure that </w:t>
      </w:r>
      <w:r w:rsidRPr="00A41F28">
        <w:rPr>
          <w:noProof/>
          <w:lang w:val="en-IE"/>
        </w:rPr>
        <w:t xml:space="preserve">the overall number </w:t>
      </w:r>
      <w:r w:rsidR="000F4B75" w:rsidRPr="00A41F28">
        <w:rPr>
          <w:noProof/>
          <w:lang w:val="en-IE"/>
        </w:rPr>
        <w:t xml:space="preserve">actually </w:t>
      </w:r>
      <w:r w:rsidRPr="00A41F28">
        <w:rPr>
          <w:noProof/>
          <w:lang w:val="en-IE"/>
        </w:rPr>
        <w:t>administered</w:t>
      </w:r>
      <w:r w:rsidR="000F4B75" w:rsidRPr="00A41F28">
        <w:rPr>
          <w:noProof/>
          <w:lang w:val="en-IE"/>
        </w:rPr>
        <w:t xml:space="preserve"> is accurately reflected</w:t>
      </w:r>
      <w:r w:rsidRPr="00A41F28">
        <w:rPr>
          <w:noProof/>
          <w:lang w:val="en-IE"/>
        </w:rPr>
        <w:t>.</w:t>
      </w:r>
      <w:r w:rsidR="008B4DD7">
        <w:rPr>
          <w:noProof/>
          <w:lang w:val="en-IE"/>
        </w:rPr>
        <w:t xml:space="preserve"> </w:t>
      </w:r>
    </w:p>
    <w:p w:rsidR="002A73A3" w:rsidRPr="00A3009F" w:rsidRDefault="00D70067" w:rsidP="002A73A3">
      <w:pPr>
        <w:pStyle w:val="Tiret0"/>
        <w:rPr>
          <w:noProof/>
          <w:lang w:val="en-IE"/>
        </w:rPr>
      </w:pPr>
      <w:r>
        <w:rPr>
          <w:noProof/>
          <w:lang w:val="en-IE"/>
        </w:rPr>
        <w:t xml:space="preserve">A clarification that EU Digital COVID Certificates </w:t>
      </w:r>
      <w:r w:rsidR="008B4DD7">
        <w:rPr>
          <w:noProof/>
          <w:lang w:val="en-IE"/>
        </w:rPr>
        <w:t>may</w:t>
      </w:r>
      <w:r>
        <w:rPr>
          <w:noProof/>
          <w:lang w:val="en-IE"/>
        </w:rPr>
        <w:t xml:space="preserve"> also be issued to persons participating in clinical trials for COVID-19 vaccines, and th</w:t>
      </w:r>
      <w:r w:rsidR="008B4DD7">
        <w:rPr>
          <w:noProof/>
          <w:lang w:val="en-IE"/>
        </w:rPr>
        <w:t xml:space="preserve">at such </w:t>
      </w:r>
      <w:r w:rsidR="005E2042" w:rsidRPr="00A3009F">
        <w:rPr>
          <w:noProof/>
          <w:lang w:val="en-IE"/>
        </w:rPr>
        <w:t xml:space="preserve">certificates may be accepted by </w:t>
      </w:r>
      <w:r w:rsidR="00837676">
        <w:rPr>
          <w:noProof/>
          <w:lang w:val="en-IE"/>
        </w:rPr>
        <w:t xml:space="preserve">other </w:t>
      </w:r>
      <w:r w:rsidR="005E2042" w:rsidRPr="00A3009F">
        <w:rPr>
          <w:noProof/>
          <w:lang w:val="en-IE"/>
        </w:rPr>
        <w:t xml:space="preserve">Member States in order to waive restrictions to free movement. </w:t>
      </w:r>
      <w:r w:rsidR="003378C4">
        <w:rPr>
          <w:noProof/>
          <w:lang w:val="en-IE"/>
        </w:rPr>
        <w:t>T</w:t>
      </w:r>
      <w:r w:rsidR="003378C4" w:rsidRPr="0066386C">
        <w:rPr>
          <w:noProof/>
          <w:lang w:val="en-IE"/>
        </w:rPr>
        <w:t xml:space="preserve">he Health Security Committee, ECDC or EMA </w:t>
      </w:r>
      <w:r w:rsidR="003378C4">
        <w:rPr>
          <w:noProof/>
          <w:lang w:val="en-IE"/>
        </w:rPr>
        <w:t xml:space="preserve">may be asked by the Commission </w:t>
      </w:r>
      <w:r w:rsidR="003378C4" w:rsidRPr="0066386C">
        <w:rPr>
          <w:noProof/>
          <w:lang w:val="en-IE"/>
        </w:rPr>
        <w:t xml:space="preserve">to issue guidance </w:t>
      </w:r>
      <w:r w:rsidR="003378C4">
        <w:rPr>
          <w:noProof/>
          <w:lang w:val="en-IE"/>
        </w:rPr>
        <w:t xml:space="preserve">on the </w:t>
      </w:r>
      <w:r w:rsidR="003378C4" w:rsidRPr="0066386C">
        <w:rPr>
          <w:noProof/>
          <w:lang w:val="en-IE"/>
        </w:rPr>
        <w:t xml:space="preserve">acceptance of </w:t>
      </w:r>
      <w:r w:rsidR="003378C4">
        <w:rPr>
          <w:noProof/>
          <w:lang w:val="en-IE"/>
        </w:rPr>
        <w:t xml:space="preserve">COVID-19 </w:t>
      </w:r>
      <w:r w:rsidR="003378C4" w:rsidRPr="0066386C">
        <w:rPr>
          <w:noProof/>
          <w:lang w:val="en-IE"/>
        </w:rPr>
        <w:t>vaccines undergoing clinical trials</w:t>
      </w:r>
      <w:r w:rsidR="003378C4">
        <w:rPr>
          <w:noProof/>
          <w:lang w:val="en-IE"/>
        </w:rPr>
        <w:t xml:space="preserve">. </w:t>
      </w:r>
      <w:r w:rsidR="00D42318">
        <w:rPr>
          <w:noProof/>
          <w:lang w:val="en-IE"/>
        </w:rPr>
        <w:t>I</w:t>
      </w:r>
      <w:r w:rsidR="00D42318" w:rsidRPr="00A3009F">
        <w:rPr>
          <w:noProof/>
          <w:lang w:val="en-IE"/>
        </w:rPr>
        <w:t>f the COVID-19 vaccine is later granted marketing authorisation at EU level</w:t>
      </w:r>
      <w:r w:rsidR="00D42318">
        <w:rPr>
          <w:noProof/>
          <w:lang w:val="en-IE"/>
        </w:rPr>
        <w:t>,</w:t>
      </w:r>
      <w:r w:rsidR="00D42318" w:rsidRPr="00A3009F">
        <w:rPr>
          <w:noProof/>
          <w:lang w:val="en-IE"/>
        </w:rPr>
        <w:t xml:space="preserve"> </w:t>
      </w:r>
      <w:r w:rsidR="00D42318">
        <w:rPr>
          <w:noProof/>
          <w:lang w:val="en-IE"/>
        </w:rPr>
        <w:t>s</w:t>
      </w:r>
      <w:r w:rsidR="005E2042" w:rsidRPr="00A3009F">
        <w:rPr>
          <w:noProof/>
          <w:lang w:val="en-IE"/>
        </w:rPr>
        <w:t>uch certificates fall under the obligatory acceptance set out in Article 5(5), first subparagraph, of Regulation (EU) 2021/953.</w:t>
      </w:r>
    </w:p>
    <w:p w:rsidR="005E2042" w:rsidRPr="00A3009F" w:rsidRDefault="005E2042" w:rsidP="00A3009F">
      <w:pPr>
        <w:pStyle w:val="Tiret0"/>
        <w:rPr>
          <w:noProof/>
          <w:lang w:val="en-IE"/>
        </w:rPr>
      </w:pPr>
      <w:r w:rsidRPr="00A3009F">
        <w:rPr>
          <w:noProof/>
          <w:lang w:val="en-IE"/>
        </w:rPr>
        <w:t>A</w:t>
      </w:r>
      <w:r w:rsidR="00066283">
        <w:rPr>
          <w:noProof/>
          <w:lang w:val="en-IE"/>
        </w:rPr>
        <w:t xml:space="preserve">n extension by 12 months of the period of </w:t>
      </w:r>
      <w:r w:rsidRPr="00A3009F">
        <w:rPr>
          <w:noProof/>
          <w:lang w:val="en-IE"/>
        </w:rPr>
        <w:t xml:space="preserve">application </w:t>
      </w:r>
      <w:r w:rsidR="0093260C" w:rsidRPr="00A3009F">
        <w:rPr>
          <w:noProof/>
          <w:lang w:val="en-IE"/>
        </w:rPr>
        <w:t>set out in Article 17 of</w:t>
      </w:r>
      <w:r w:rsidRPr="00A3009F">
        <w:rPr>
          <w:noProof/>
          <w:lang w:val="en-IE"/>
        </w:rPr>
        <w:t xml:space="preserve"> Regulation (EU) 2021/953</w:t>
      </w:r>
      <w:r w:rsidR="00066283">
        <w:rPr>
          <w:noProof/>
          <w:lang w:val="en-IE"/>
        </w:rPr>
        <w:t>,</w:t>
      </w:r>
      <w:r w:rsidRPr="00A3009F">
        <w:rPr>
          <w:noProof/>
          <w:lang w:val="en-IE"/>
        </w:rPr>
        <w:t xml:space="preserve"> as well as </w:t>
      </w:r>
      <w:r w:rsidR="000B0A6B">
        <w:rPr>
          <w:noProof/>
          <w:lang w:val="en-IE"/>
        </w:rPr>
        <w:t xml:space="preserve">of </w:t>
      </w:r>
      <w:r w:rsidRPr="00A3009F">
        <w:rPr>
          <w:noProof/>
          <w:lang w:val="en-IE"/>
        </w:rPr>
        <w:t xml:space="preserve">the power to adopt delegated acts </w:t>
      </w:r>
      <w:r w:rsidR="00066283">
        <w:rPr>
          <w:noProof/>
          <w:lang w:val="en-IE"/>
        </w:rPr>
        <w:t xml:space="preserve">set out </w:t>
      </w:r>
      <w:r w:rsidRPr="00A3009F">
        <w:rPr>
          <w:noProof/>
          <w:lang w:val="en-IE"/>
        </w:rPr>
        <w:t xml:space="preserve">in its Article 12. </w:t>
      </w:r>
    </w:p>
    <w:p w:rsidR="005E2042" w:rsidRPr="00A3009F" w:rsidRDefault="005E2042" w:rsidP="00A3009F">
      <w:pPr>
        <w:pStyle w:val="Tiret0"/>
        <w:rPr>
          <w:noProof/>
          <w:lang w:val="en-IE"/>
        </w:rPr>
      </w:pPr>
      <w:r w:rsidRPr="00A3009F">
        <w:rPr>
          <w:noProof/>
          <w:lang w:val="en-IE"/>
        </w:rPr>
        <w:t xml:space="preserve">The correction of </w:t>
      </w:r>
      <w:r w:rsidR="001C18CC">
        <w:rPr>
          <w:noProof/>
          <w:lang w:val="en-IE"/>
        </w:rPr>
        <w:t xml:space="preserve">a </w:t>
      </w:r>
      <w:r w:rsidRPr="00A3009F">
        <w:rPr>
          <w:noProof/>
          <w:lang w:val="en-IE"/>
        </w:rPr>
        <w:t>wrong cross-reference in Article 13(2) of Regulation (EU) 2021/953.</w:t>
      </w:r>
    </w:p>
    <w:p w:rsidR="005E2042" w:rsidRPr="00A3009F" w:rsidRDefault="005E2042" w:rsidP="005E2042">
      <w:pPr>
        <w:rPr>
          <w:noProof/>
          <w:lang w:val="en-IE"/>
        </w:rPr>
      </w:pPr>
    </w:p>
    <w:p w:rsidR="000025AB" w:rsidRPr="00A3009F" w:rsidRDefault="000025AB" w:rsidP="00F057D0">
      <w:pPr>
        <w:rPr>
          <w:noProof/>
          <w:lang w:val="en-IE"/>
        </w:rPr>
        <w:sectPr w:rsidR="000025AB" w:rsidRPr="00A3009F" w:rsidSect="00BD72CF">
          <w:footerReference w:type="default" r:id="rId10"/>
          <w:footerReference w:type="first" r:id="rId11"/>
          <w:pgSz w:w="11907" w:h="16839"/>
          <w:pgMar w:top="1134" w:right="1417" w:bottom="1134" w:left="1417" w:header="709" w:footer="709" w:gutter="0"/>
          <w:cols w:space="708"/>
          <w:docGrid w:linePitch="360"/>
        </w:sectPr>
      </w:pPr>
    </w:p>
    <w:p w:rsidR="007E390A" w:rsidRDefault="007E390A" w:rsidP="007E390A">
      <w:pPr>
        <w:pStyle w:val="Rfrenceinterinstitutionnelle"/>
        <w:rPr>
          <w:noProof/>
        </w:rPr>
      </w:pPr>
      <w:r w:rsidRPr="007E390A">
        <w:t>2022/0031 (COD)</w:t>
      </w:r>
    </w:p>
    <w:p w:rsidR="00322C13" w:rsidRPr="00A3009F" w:rsidRDefault="00BB4930" w:rsidP="00BB4930">
      <w:pPr>
        <w:pStyle w:val="Statut"/>
        <w:rPr>
          <w:noProof/>
          <w:lang w:val="en-IE"/>
        </w:rPr>
      </w:pPr>
      <w:r w:rsidRPr="00BB4930">
        <w:rPr>
          <w:noProof/>
        </w:rPr>
        <w:t>Proposal for a</w:t>
      </w:r>
    </w:p>
    <w:p w:rsidR="00322C13" w:rsidRPr="00A3009F" w:rsidRDefault="00BB4930" w:rsidP="00BB4930">
      <w:pPr>
        <w:pStyle w:val="Typedudocument"/>
        <w:rPr>
          <w:noProof/>
          <w:lang w:val="en-IE"/>
        </w:rPr>
      </w:pPr>
      <w:r w:rsidRPr="00BB4930">
        <w:rPr>
          <w:noProof/>
        </w:rPr>
        <w:t>REGULATION OF THE EUROPEAN PARLIAMENT AND OF THE COUNCIL</w:t>
      </w:r>
    </w:p>
    <w:p w:rsidR="00322C13" w:rsidRPr="00A3009F" w:rsidRDefault="00BB4930" w:rsidP="00BB4930">
      <w:pPr>
        <w:pStyle w:val="Titreobjet"/>
        <w:rPr>
          <w:noProof/>
          <w:lang w:val="en-IE"/>
        </w:rPr>
      </w:pPr>
      <w:r w:rsidRPr="00BB4930">
        <w:rPr>
          <w:noProof/>
        </w:rPr>
        <w:t>amending Regulation (EU) 2021/953 on a framework for the issuance, verification and acceptance of interoperable COVID-19 vaccination, test and recovery certificates (EU Digital COVID Certificate) to facilitate free movement during the COVID-19 pandemic</w:t>
      </w:r>
    </w:p>
    <w:p w:rsidR="00322C13" w:rsidRPr="00A3009F" w:rsidRDefault="00BB4930" w:rsidP="00BB4930">
      <w:pPr>
        <w:pStyle w:val="IntrtEEE"/>
        <w:rPr>
          <w:noProof/>
          <w:lang w:val="en-IE"/>
        </w:rPr>
      </w:pPr>
      <w:r w:rsidRPr="00BB4930">
        <w:rPr>
          <w:noProof/>
        </w:rPr>
        <w:t>(Text with EEA relevance)</w:t>
      </w:r>
    </w:p>
    <w:p w:rsidR="00322C13" w:rsidRPr="00A3009F" w:rsidRDefault="00322C13" w:rsidP="00F11F0D">
      <w:pPr>
        <w:pStyle w:val="Institutionquiagit"/>
        <w:rPr>
          <w:noProof/>
          <w:lang w:val="en-IE"/>
        </w:rPr>
      </w:pPr>
      <w:r w:rsidRPr="00A3009F">
        <w:rPr>
          <w:noProof/>
          <w:lang w:val="en-IE"/>
        </w:rPr>
        <w:t>THE EUROPEAN PARLIAMENT AND THE COUNCIL OF THE EUROPEAN UNION,</w:t>
      </w:r>
    </w:p>
    <w:p w:rsidR="00322C13" w:rsidRPr="00A3009F" w:rsidRDefault="00322C13" w:rsidP="00F11F0D">
      <w:pPr>
        <w:rPr>
          <w:noProof/>
          <w:lang w:val="en-IE"/>
        </w:rPr>
      </w:pPr>
      <w:r w:rsidRPr="00A3009F">
        <w:rPr>
          <w:noProof/>
          <w:lang w:val="en-IE"/>
        </w:rPr>
        <w:t xml:space="preserve">Having regard to the Treaty on the Functioning of the European Union, and in particular Article </w:t>
      </w:r>
      <w:r w:rsidR="003F0D8B" w:rsidRPr="00A3009F">
        <w:rPr>
          <w:noProof/>
          <w:lang w:val="en-IE"/>
        </w:rPr>
        <w:t>21(2)</w:t>
      </w:r>
      <w:r w:rsidRPr="00A3009F">
        <w:rPr>
          <w:noProof/>
          <w:lang w:val="en-IE"/>
        </w:rPr>
        <w:t xml:space="preserve"> thereof,</w:t>
      </w:r>
    </w:p>
    <w:p w:rsidR="00322C13" w:rsidRPr="00A3009F" w:rsidRDefault="00322C13" w:rsidP="00F11F0D">
      <w:pPr>
        <w:rPr>
          <w:noProof/>
          <w:lang w:val="en-IE"/>
        </w:rPr>
      </w:pPr>
      <w:r w:rsidRPr="00A3009F">
        <w:rPr>
          <w:noProof/>
          <w:lang w:val="en-IE"/>
        </w:rPr>
        <w:t>Having regard to the proposal from the European Commission,</w:t>
      </w:r>
    </w:p>
    <w:p w:rsidR="00322C13" w:rsidRPr="00A3009F" w:rsidRDefault="00322C13" w:rsidP="00F11F0D">
      <w:pPr>
        <w:rPr>
          <w:noProof/>
          <w:lang w:val="en-IE"/>
        </w:rPr>
      </w:pPr>
      <w:r w:rsidRPr="00A3009F">
        <w:rPr>
          <w:noProof/>
          <w:lang w:val="en-IE"/>
        </w:rPr>
        <w:t>After transmission of the draft legislative act to the national parliaments,</w:t>
      </w:r>
    </w:p>
    <w:p w:rsidR="00322C13" w:rsidRPr="00A3009F" w:rsidRDefault="00322C13" w:rsidP="00F11F0D">
      <w:pPr>
        <w:rPr>
          <w:noProof/>
          <w:lang w:val="en-IE"/>
        </w:rPr>
      </w:pPr>
      <w:r w:rsidRPr="00A3009F">
        <w:rPr>
          <w:noProof/>
          <w:lang w:val="en-IE"/>
        </w:rPr>
        <w:t>Acting in accordance with the ordinary legislative procedure,</w:t>
      </w:r>
    </w:p>
    <w:p w:rsidR="00322C13" w:rsidRPr="00A3009F" w:rsidRDefault="00322C13" w:rsidP="00F11F0D">
      <w:pPr>
        <w:rPr>
          <w:noProof/>
          <w:lang w:val="en-IE"/>
        </w:rPr>
      </w:pPr>
      <w:r w:rsidRPr="00A3009F">
        <w:rPr>
          <w:noProof/>
          <w:lang w:val="en-IE"/>
        </w:rPr>
        <w:t>Whereas:</w:t>
      </w:r>
    </w:p>
    <w:p w:rsidR="0019102B" w:rsidRPr="00A3009F" w:rsidRDefault="008D631C" w:rsidP="008D631C">
      <w:pPr>
        <w:pStyle w:val="ManualConsidrant"/>
        <w:rPr>
          <w:noProof/>
          <w:lang w:val="en-IE"/>
        </w:rPr>
      </w:pPr>
      <w:r w:rsidRPr="008D631C">
        <w:t>(1)</w:t>
      </w:r>
      <w:r w:rsidRPr="008D631C">
        <w:tab/>
      </w:r>
      <w:r w:rsidR="0019102B" w:rsidRPr="00A3009F">
        <w:rPr>
          <w:noProof/>
          <w:lang w:val="en-IE"/>
        </w:rPr>
        <w:t xml:space="preserve">Regulation (EU) 2021/953 </w:t>
      </w:r>
      <w:r w:rsidR="00CE611C">
        <w:rPr>
          <w:noProof/>
          <w:lang w:val="en-IE"/>
        </w:rPr>
        <w:t>of the European Parliament and of the Council</w:t>
      </w:r>
      <w:r w:rsidR="00CE611C">
        <w:rPr>
          <w:rStyle w:val="FootnoteReference"/>
          <w:noProof/>
          <w:lang w:val="en-IE"/>
        </w:rPr>
        <w:footnoteReference w:id="26"/>
      </w:r>
      <w:r w:rsidR="00CE611C">
        <w:rPr>
          <w:noProof/>
          <w:lang w:val="en-IE"/>
        </w:rPr>
        <w:t xml:space="preserve"> </w:t>
      </w:r>
      <w:r w:rsidR="0019102B" w:rsidRPr="00A3009F">
        <w:rPr>
          <w:noProof/>
          <w:lang w:val="en-IE"/>
        </w:rPr>
        <w:t>lays down a framework for the issuance, verification and acceptance of interoperable COVID-19 vaccination, test and recovery certificates (EU Digital COVID Certificate) for the purpose of facilitating the holders’ exercise of their right to free movement during the COVID-19 pandemic. It is also to contribute to facilitating the gradual lifting of restrictions to free movement put in place by the Member States, in accordance with Union law, to limit the spread of SARS-CoV-2, in a coordinated manner.</w:t>
      </w:r>
    </w:p>
    <w:p w:rsidR="00CB35B6" w:rsidRPr="00A41F28" w:rsidRDefault="008D631C" w:rsidP="008D631C">
      <w:pPr>
        <w:pStyle w:val="ManualConsidrant"/>
        <w:rPr>
          <w:noProof/>
          <w:lang w:val="en-IE"/>
        </w:rPr>
      </w:pPr>
      <w:r w:rsidRPr="008D631C">
        <w:t>(2)</w:t>
      </w:r>
      <w:r w:rsidRPr="008D631C">
        <w:tab/>
      </w:r>
      <w:r w:rsidR="00B5749D" w:rsidRPr="00D92A68">
        <w:rPr>
          <w:noProof/>
          <w:lang w:val="en-IE"/>
        </w:rPr>
        <w:t>According to Regulation (EU) 2021/953, test certificates are to be issued based on two types of tests for SARS-CoV-2 infection, namely molecular nucleic acid amplification tests (</w:t>
      </w:r>
      <w:r w:rsidR="00CE611C" w:rsidRPr="00D92A68">
        <w:rPr>
          <w:noProof/>
          <w:lang w:val="en-IE"/>
        </w:rPr>
        <w:t>‘</w:t>
      </w:r>
      <w:r w:rsidR="00B5749D" w:rsidRPr="00D92A68">
        <w:rPr>
          <w:noProof/>
          <w:lang w:val="en-IE"/>
        </w:rPr>
        <w:t>NAAT</w:t>
      </w:r>
      <w:r w:rsidR="00CE611C" w:rsidRPr="00D92A68">
        <w:rPr>
          <w:noProof/>
          <w:lang w:val="en-IE"/>
        </w:rPr>
        <w:t>’</w:t>
      </w:r>
      <w:r w:rsidR="00B5749D" w:rsidRPr="0026360C">
        <w:rPr>
          <w:noProof/>
          <w:lang w:val="en-IE"/>
        </w:rPr>
        <w:t>), including those using reverse transcription polymerase chain reaction (</w:t>
      </w:r>
      <w:r w:rsidR="00CE611C" w:rsidRPr="003162A9">
        <w:rPr>
          <w:noProof/>
          <w:lang w:val="en-IE"/>
        </w:rPr>
        <w:t>‘</w:t>
      </w:r>
      <w:r w:rsidR="00B5749D" w:rsidRPr="00A41F28">
        <w:rPr>
          <w:noProof/>
          <w:lang w:val="en-IE"/>
        </w:rPr>
        <w:t>RT-PCR</w:t>
      </w:r>
      <w:r w:rsidR="00CE611C" w:rsidRPr="00A41F28">
        <w:rPr>
          <w:noProof/>
          <w:lang w:val="en-IE"/>
        </w:rPr>
        <w:t>’</w:t>
      </w:r>
      <w:r w:rsidR="00B5749D" w:rsidRPr="00A41F28">
        <w:rPr>
          <w:noProof/>
          <w:lang w:val="en-IE"/>
        </w:rPr>
        <w:t>), and rapid antigen test</w:t>
      </w:r>
      <w:r w:rsidR="006F2126" w:rsidRPr="00A41F28">
        <w:rPr>
          <w:noProof/>
          <w:lang w:val="en-IE"/>
        </w:rPr>
        <w:t>s</w:t>
      </w:r>
      <w:r w:rsidR="00B5749D" w:rsidRPr="00A41F28">
        <w:rPr>
          <w:noProof/>
          <w:lang w:val="en-IE"/>
        </w:rPr>
        <w:t>, which rely on detection of viral proteins (antigens) using a lateral flow immunoassay that gives results in less than 30 minutes</w:t>
      </w:r>
      <w:r w:rsidR="008A31D2" w:rsidRPr="00A41F28">
        <w:rPr>
          <w:noProof/>
          <w:lang w:val="en-IE"/>
        </w:rPr>
        <w:t>, provided they are carried out by health professionals or by skilled testing personnel</w:t>
      </w:r>
      <w:r w:rsidR="00B5749D" w:rsidRPr="00A41F28">
        <w:rPr>
          <w:noProof/>
          <w:lang w:val="en-IE"/>
        </w:rPr>
        <w:t xml:space="preserve">. </w:t>
      </w:r>
      <w:r w:rsidR="00CE611C" w:rsidRPr="00A41F28">
        <w:rPr>
          <w:noProof/>
          <w:lang w:val="en-IE"/>
        </w:rPr>
        <w:t>However</w:t>
      </w:r>
      <w:r w:rsidR="00B5749D" w:rsidRPr="00A41F28">
        <w:rPr>
          <w:noProof/>
          <w:lang w:val="en-IE"/>
        </w:rPr>
        <w:t xml:space="preserve">, Regulation (EU) 2021/953 </w:t>
      </w:r>
      <w:r w:rsidR="007E412B" w:rsidRPr="00A41F28">
        <w:rPr>
          <w:noProof/>
          <w:lang w:val="en-IE"/>
        </w:rPr>
        <w:t>does</w:t>
      </w:r>
      <w:r w:rsidR="00B5749D" w:rsidRPr="00A41F28">
        <w:rPr>
          <w:noProof/>
          <w:lang w:val="en-IE"/>
        </w:rPr>
        <w:t xml:space="preserve"> not cover antigenic assays, such as enzyme-linked immunosorbent assays or automated immunoassays, which test for antigens in a laboratory setting. As of July 2021, the technical working group</w:t>
      </w:r>
      <w:r w:rsidR="00261AA6">
        <w:rPr>
          <w:noProof/>
          <w:lang w:val="en-IE"/>
        </w:rPr>
        <w:t xml:space="preserve"> on COVID-19 diagnostic tests</w:t>
      </w:r>
      <w:r w:rsidR="00B5749D" w:rsidRPr="00A3009F">
        <w:rPr>
          <w:rStyle w:val="FootnoteReference"/>
          <w:noProof/>
          <w:lang w:val="en-IE"/>
        </w:rPr>
        <w:footnoteReference w:id="27"/>
      </w:r>
      <w:r w:rsidR="00261AA6">
        <w:rPr>
          <w:noProof/>
          <w:lang w:val="en-IE"/>
        </w:rPr>
        <w:t>,</w:t>
      </w:r>
      <w:r w:rsidR="00B5749D" w:rsidRPr="00D92A68">
        <w:rPr>
          <w:noProof/>
          <w:lang w:val="en-IE"/>
        </w:rPr>
        <w:t xml:space="preserve"> responsible for preparing updates to the </w:t>
      </w:r>
      <w:r w:rsidR="008A31D2" w:rsidRPr="00D92A68">
        <w:rPr>
          <w:noProof/>
          <w:lang w:val="en-IE"/>
        </w:rPr>
        <w:t>common list of COVID-19 rapid antigen tests</w:t>
      </w:r>
      <w:r w:rsidR="008A31D2" w:rsidRPr="00A3009F">
        <w:rPr>
          <w:rStyle w:val="FootnoteReference"/>
          <w:noProof/>
          <w:lang w:val="en-IE"/>
        </w:rPr>
        <w:footnoteReference w:id="28"/>
      </w:r>
      <w:r w:rsidR="008A31D2" w:rsidRPr="00D92A68">
        <w:rPr>
          <w:noProof/>
          <w:lang w:val="en-IE"/>
        </w:rPr>
        <w:t xml:space="preserve"> agreed by the Health Security Committee established by Article 17 of Decision No 1082/2013/EU of the European Parliament and of the Council</w:t>
      </w:r>
      <w:r w:rsidR="008A31D2" w:rsidRPr="00A3009F">
        <w:rPr>
          <w:rStyle w:val="FootnoteReference"/>
          <w:noProof/>
          <w:lang w:val="en-IE"/>
        </w:rPr>
        <w:footnoteReference w:id="29"/>
      </w:r>
      <w:r w:rsidR="00261AA6">
        <w:rPr>
          <w:noProof/>
          <w:lang w:val="en-IE"/>
        </w:rPr>
        <w:t>,</w:t>
      </w:r>
      <w:r w:rsidR="008A31D2" w:rsidRPr="00D92A68">
        <w:rPr>
          <w:noProof/>
          <w:lang w:val="en-IE"/>
        </w:rPr>
        <w:t xml:space="preserve"> </w:t>
      </w:r>
      <w:r w:rsidR="00B5749D" w:rsidRPr="00D92A68">
        <w:rPr>
          <w:noProof/>
          <w:lang w:val="en-IE"/>
        </w:rPr>
        <w:t xml:space="preserve">also reviews proposals put forward by </w:t>
      </w:r>
      <w:r w:rsidR="008A31D2" w:rsidRPr="00D92A68">
        <w:rPr>
          <w:noProof/>
          <w:lang w:val="en-IE"/>
        </w:rPr>
        <w:t>Member States</w:t>
      </w:r>
      <w:r w:rsidR="00B5749D" w:rsidRPr="0026360C">
        <w:rPr>
          <w:noProof/>
          <w:lang w:val="en-IE"/>
        </w:rPr>
        <w:t xml:space="preserve"> and manufa</w:t>
      </w:r>
      <w:r w:rsidR="008A31D2" w:rsidRPr="000F4CD4">
        <w:rPr>
          <w:noProof/>
          <w:lang w:val="en-IE"/>
        </w:rPr>
        <w:t>cturers for COVID-19 laboratory-</w:t>
      </w:r>
      <w:r w:rsidR="00B5749D" w:rsidRPr="00A41F28">
        <w:rPr>
          <w:noProof/>
          <w:lang w:val="en-IE"/>
        </w:rPr>
        <w:t>based antigenic assays. Th</w:t>
      </w:r>
      <w:r w:rsidR="00CE611C" w:rsidRPr="00A41F28">
        <w:rPr>
          <w:noProof/>
          <w:lang w:val="en-IE"/>
        </w:rPr>
        <w:t>o</w:t>
      </w:r>
      <w:r w:rsidR="00B5749D" w:rsidRPr="00A41F28">
        <w:rPr>
          <w:noProof/>
          <w:lang w:val="en-IE"/>
        </w:rPr>
        <w:t>se proposals are assessed against the same criteria as</w:t>
      </w:r>
      <w:r w:rsidR="00F500AF" w:rsidRPr="00A41F28">
        <w:rPr>
          <w:noProof/>
          <w:lang w:val="en-IE"/>
        </w:rPr>
        <w:t xml:space="preserve"> those used for</w:t>
      </w:r>
      <w:r w:rsidR="00B5749D" w:rsidRPr="00A41F28">
        <w:rPr>
          <w:noProof/>
          <w:lang w:val="en-IE"/>
        </w:rPr>
        <w:t xml:space="preserve"> rapid antigen tests</w:t>
      </w:r>
      <w:r w:rsidR="008A31D2" w:rsidRPr="00A41F28">
        <w:rPr>
          <w:noProof/>
          <w:lang w:val="en-IE"/>
        </w:rPr>
        <w:t>, and the Health Security Committee has established a list of th</w:t>
      </w:r>
      <w:r w:rsidR="00CE611C" w:rsidRPr="00A41F28">
        <w:rPr>
          <w:noProof/>
          <w:lang w:val="en-IE"/>
        </w:rPr>
        <w:t>e</w:t>
      </w:r>
      <w:r w:rsidR="008A31D2" w:rsidRPr="00A41F28">
        <w:rPr>
          <w:noProof/>
          <w:lang w:val="en-IE"/>
        </w:rPr>
        <w:t xml:space="preserve"> laboratory-based antigenic assays that meet th</w:t>
      </w:r>
      <w:r w:rsidR="00CE611C" w:rsidRPr="00A41F28">
        <w:rPr>
          <w:noProof/>
          <w:lang w:val="en-IE"/>
        </w:rPr>
        <w:t>o</w:t>
      </w:r>
      <w:r w:rsidR="008A31D2" w:rsidRPr="00A41F28">
        <w:rPr>
          <w:noProof/>
          <w:lang w:val="en-IE"/>
        </w:rPr>
        <w:t>se criteria</w:t>
      </w:r>
      <w:r w:rsidR="00B5749D" w:rsidRPr="00A41F28">
        <w:rPr>
          <w:noProof/>
          <w:lang w:val="en-IE"/>
        </w:rPr>
        <w:t>.</w:t>
      </w:r>
      <w:r w:rsidR="008A31D2" w:rsidRPr="00A41F28">
        <w:rPr>
          <w:noProof/>
          <w:lang w:val="en-IE"/>
        </w:rPr>
        <w:t xml:space="preserve"> As a result, an</w:t>
      </w:r>
      <w:r w:rsidR="007E412B" w:rsidRPr="00A41F28">
        <w:rPr>
          <w:noProof/>
          <w:lang w:val="en-IE"/>
        </w:rPr>
        <w:t>d</w:t>
      </w:r>
      <w:r w:rsidR="008A31D2" w:rsidRPr="00A41F28">
        <w:rPr>
          <w:noProof/>
          <w:lang w:val="en-IE"/>
        </w:rPr>
        <w:t xml:space="preserve"> in an effort to enlarge the scope of </w:t>
      </w:r>
      <w:r w:rsidR="007F79F0">
        <w:rPr>
          <w:noProof/>
          <w:lang w:val="en-IE"/>
        </w:rPr>
        <w:t xml:space="preserve">the </w:t>
      </w:r>
      <w:r w:rsidR="008A31D2" w:rsidRPr="00A41F28">
        <w:rPr>
          <w:noProof/>
          <w:lang w:val="en-IE"/>
        </w:rPr>
        <w:t xml:space="preserve">different types of diagnostic tests that may be used as the basis for the issuance of an EU Digital COVID Certificate, the definition for rapid antigen tests should be adapted to include laboratory-based antigenic assays. </w:t>
      </w:r>
      <w:r w:rsidR="00FC1FA4" w:rsidRPr="00A41F28">
        <w:rPr>
          <w:noProof/>
          <w:lang w:val="en-IE"/>
        </w:rPr>
        <w:t xml:space="preserve">It should thus be possible </w:t>
      </w:r>
      <w:r w:rsidR="0093713A">
        <w:rPr>
          <w:noProof/>
          <w:lang w:val="en-IE"/>
        </w:rPr>
        <w:t xml:space="preserve">for Member States </w:t>
      </w:r>
      <w:r w:rsidR="00FC1FA4" w:rsidRPr="00A41F28">
        <w:rPr>
          <w:noProof/>
          <w:lang w:val="en-IE"/>
        </w:rPr>
        <w:t xml:space="preserve">to issue test certificates on the basis of </w:t>
      </w:r>
      <w:r w:rsidR="00261AA6">
        <w:rPr>
          <w:noProof/>
          <w:lang w:val="en-IE"/>
        </w:rPr>
        <w:t xml:space="preserve">the </w:t>
      </w:r>
      <w:r w:rsidR="00FC1FA4" w:rsidRPr="00A41F28">
        <w:rPr>
          <w:noProof/>
          <w:lang w:val="en-IE"/>
        </w:rPr>
        <w:t xml:space="preserve">antigen tests included in the </w:t>
      </w:r>
      <w:r w:rsidR="008413A2" w:rsidRPr="00A41F28">
        <w:rPr>
          <w:noProof/>
          <w:lang w:val="en-IE"/>
        </w:rPr>
        <w:t xml:space="preserve">EU </w:t>
      </w:r>
      <w:r w:rsidR="00FC1FA4" w:rsidRPr="00A41F28">
        <w:rPr>
          <w:noProof/>
          <w:lang w:val="en-IE"/>
        </w:rPr>
        <w:t>common list agreed, and regularly updated, by the Health Security Committee as meeting the established quality criteria.</w:t>
      </w:r>
    </w:p>
    <w:p w:rsidR="0093580D" w:rsidRPr="00A3009F" w:rsidRDefault="008D631C" w:rsidP="008D631C">
      <w:pPr>
        <w:pStyle w:val="ManualConsidrant"/>
        <w:rPr>
          <w:noProof/>
          <w:lang w:val="en-IE"/>
        </w:rPr>
      </w:pPr>
      <w:r w:rsidRPr="008D631C">
        <w:t>(3)</w:t>
      </w:r>
      <w:r w:rsidRPr="008D631C">
        <w:tab/>
      </w:r>
      <w:r w:rsidR="00927BDE" w:rsidRPr="00A3009F">
        <w:rPr>
          <w:noProof/>
          <w:lang w:val="en-IE"/>
        </w:rPr>
        <w:t xml:space="preserve">In accordance with Article </w:t>
      </w:r>
      <w:r w:rsidR="0093580D" w:rsidRPr="00A3009F">
        <w:rPr>
          <w:noProof/>
          <w:lang w:val="en-IE"/>
        </w:rPr>
        <w:t>5</w:t>
      </w:r>
      <w:r w:rsidR="00927BDE" w:rsidRPr="00A3009F">
        <w:rPr>
          <w:noProof/>
          <w:lang w:val="en-IE"/>
        </w:rPr>
        <w:t xml:space="preserve"> of Regulation (EU) 2021/953</w:t>
      </w:r>
      <w:r w:rsidR="0093580D" w:rsidRPr="00A3009F">
        <w:rPr>
          <w:noProof/>
          <w:lang w:val="en-IE"/>
        </w:rPr>
        <w:t xml:space="preserve">, vaccination certificates issued by Member States are to contain the number of doses administered to the holder. </w:t>
      </w:r>
      <w:r w:rsidR="005851EE">
        <w:rPr>
          <w:noProof/>
          <w:lang w:val="en-IE"/>
        </w:rPr>
        <w:t>It should be clarified in the text of the Regulation</w:t>
      </w:r>
      <w:r w:rsidR="005851EE" w:rsidRPr="005851EE">
        <w:rPr>
          <w:noProof/>
          <w:lang w:val="en-IE"/>
        </w:rPr>
        <w:t xml:space="preserve"> </w:t>
      </w:r>
      <w:r w:rsidR="005851EE">
        <w:rPr>
          <w:noProof/>
          <w:lang w:val="en-IE"/>
        </w:rPr>
        <w:t>that t</w:t>
      </w:r>
      <w:r w:rsidR="00F500AF">
        <w:rPr>
          <w:noProof/>
          <w:lang w:val="en-IE"/>
        </w:rPr>
        <w:t>his is intended to reflect all doses administered</w:t>
      </w:r>
      <w:r w:rsidR="00804F9F">
        <w:rPr>
          <w:noProof/>
          <w:lang w:val="en-IE"/>
        </w:rPr>
        <w:t>, in any Member State</w:t>
      </w:r>
      <w:r w:rsidR="00F500AF">
        <w:rPr>
          <w:noProof/>
          <w:lang w:val="en-IE"/>
        </w:rPr>
        <w:t xml:space="preserve">, not just those administered in the Member State issuing the certificate. </w:t>
      </w:r>
      <w:r w:rsidR="000E7D0C">
        <w:rPr>
          <w:noProof/>
          <w:lang w:val="en-IE"/>
        </w:rPr>
        <w:t>Limiting the indication of previous doses to those received in the Member State issuing the certificate</w:t>
      </w:r>
      <w:r w:rsidR="000E7D0C" w:rsidRPr="00A3009F">
        <w:rPr>
          <w:noProof/>
          <w:lang w:val="en-IE"/>
        </w:rPr>
        <w:t xml:space="preserve"> could lead to a divergence between the number actually administered </w:t>
      </w:r>
      <w:r w:rsidR="000E7D0C">
        <w:rPr>
          <w:noProof/>
          <w:lang w:val="en-IE"/>
        </w:rPr>
        <w:t xml:space="preserve">and </w:t>
      </w:r>
      <w:r w:rsidR="000E7D0C" w:rsidRPr="00A3009F">
        <w:rPr>
          <w:noProof/>
          <w:lang w:val="en-IE"/>
        </w:rPr>
        <w:t>that indicated on the certificate</w:t>
      </w:r>
      <w:r w:rsidR="00A41F28">
        <w:rPr>
          <w:noProof/>
          <w:lang w:val="en-IE"/>
        </w:rPr>
        <w:t>,</w:t>
      </w:r>
      <w:r w:rsidR="000E7D0C">
        <w:rPr>
          <w:noProof/>
          <w:lang w:val="en-IE"/>
        </w:rPr>
        <w:t xml:space="preserve"> and </w:t>
      </w:r>
      <w:r w:rsidR="00A41F28">
        <w:rPr>
          <w:noProof/>
          <w:lang w:val="en-IE"/>
        </w:rPr>
        <w:t xml:space="preserve">could </w:t>
      </w:r>
      <w:r w:rsidR="000E7D0C">
        <w:rPr>
          <w:noProof/>
          <w:lang w:val="en-IE"/>
        </w:rPr>
        <w:t xml:space="preserve">prevent holders from making use of their certificate when exercising </w:t>
      </w:r>
      <w:r w:rsidR="000E7D0C">
        <w:rPr>
          <w:noProof/>
        </w:rPr>
        <w:t>the right to free movement within the Union</w:t>
      </w:r>
      <w:r w:rsidR="000E7D0C">
        <w:rPr>
          <w:noProof/>
          <w:lang w:val="en-IE"/>
        </w:rPr>
        <w:t xml:space="preserve">. </w:t>
      </w:r>
      <w:r w:rsidR="0093580D" w:rsidRPr="00A3009F">
        <w:rPr>
          <w:noProof/>
          <w:lang w:val="en-IE"/>
        </w:rPr>
        <w:t xml:space="preserve">The administration of previous doses in other Member States </w:t>
      </w:r>
      <w:r w:rsidR="00642B52">
        <w:rPr>
          <w:noProof/>
          <w:lang w:val="en-IE"/>
        </w:rPr>
        <w:t>is</w:t>
      </w:r>
      <w:r w:rsidR="0093580D" w:rsidRPr="00A3009F">
        <w:rPr>
          <w:noProof/>
          <w:lang w:val="en-IE"/>
        </w:rPr>
        <w:t xml:space="preserve"> proven by means of valid EU Digital COVID Certificate</w:t>
      </w:r>
      <w:r w:rsidR="00642B52">
        <w:rPr>
          <w:noProof/>
          <w:lang w:val="en-IE"/>
        </w:rPr>
        <w:t>s, and a Member State should not require additional information or evidence from citizens holding such certificates</w:t>
      </w:r>
      <w:r w:rsidR="00F96167">
        <w:rPr>
          <w:noProof/>
          <w:lang w:val="en-IE"/>
        </w:rPr>
        <w:t>, such as the batch number of previous doses</w:t>
      </w:r>
      <w:r w:rsidR="0093580D" w:rsidRPr="00A3009F">
        <w:rPr>
          <w:noProof/>
          <w:lang w:val="en-IE"/>
        </w:rPr>
        <w:t xml:space="preserve">. </w:t>
      </w:r>
      <w:r w:rsidR="00804F9F">
        <w:rPr>
          <w:noProof/>
          <w:lang w:val="en-IE"/>
        </w:rPr>
        <w:t xml:space="preserve">In this context, the rules for accepting </w:t>
      </w:r>
      <w:r w:rsidR="007F79F0">
        <w:rPr>
          <w:noProof/>
          <w:lang w:val="en-IE"/>
        </w:rPr>
        <w:t xml:space="preserve">vaccination certificates issued by </w:t>
      </w:r>
      <w:r w:rsidR="00804F9F">
        <w:rPr>
          <w:noProof/>
          <w:lang w:val="en-IE"/>
        </w:rPr>
        <w:t xml:space="preserve">other Member States set out in Article 5(5) </w:t>
      </w:r>
      <w:r w:rsidR="00804F9F" w:rsidRPr="00A3009F">
        <w:rPr>
          <w:noProof/>
          <w:lang w:val="en-IE"/>
        </w:rPr>
        <w:t>of Regulation (EU) 2021/953</w:t>
      </w:r>
      <w:r w:rsidR="00804F9F">
        <w:rPr>
          <w:noProof/>
          <w:lang w:val="en-IE"/>
        </w:rPr>
        <w:t xml:space="preserve"> apply. In addition, v</w:t>
      </w:r>
      <w:r w:rsidR="00804F9F">
        <w:rPr>
          <w:noProof/>
        </w:rPr>
        <w:t>accination certificates covered by an implementing act adopted pursuant to Articles 3(10) and 8(2) of Regulation (EU) 2021/953 are</w:t>
      </w:r>
      <w:r w:rsidR="00926833">
        <w:rPr>
          <w:noProof/>
        </w:rPr>
        <w:t>, for the purpose of facilitating the holders’ exercise of their right to free movement,</w:t>
      </w:r>
      <w:r w:rsidR="00804F9F">
        <w:rPr>
          <w:noProof/>
        </w:rPr>
        <w:t xml:space="preserve"> to be accepted under the same conditions as EU Digital COVID Certificates</w:t>
      </w:r>
      <w:r w:rsidR="00926833">
        <w:rPr>
          <w:noProof/>
        </w:rPr>
        <w:t xml:space="preserve"> issued by Member States</w:t>
      </w:r>
      <w:r w:rsidR="00804F9F">
        <w:rPr>
          <w:noProof/>
        </w:rPr>
        <w:t xml:space="preserve">. </w:t>
      </w:r>
      <w:r w:rsidR="0093580D" w:rsidRPr="00A3009F">
        <w:rPr>
          <w:noProof/>
          <w:lang w:val="en-IE"/>
        </w:rPr>
        <w:t xml:space="preserve">According to Article 3(4) of </w:t>
      </w:r>
      <w:r w:rsidR="009E0A95" w:rsidRPr="00A3009F">
        <w:rPr>
          <w:noProof/>
          <w:lang w:val="en-IE"/>
        </w:rPr>
        <w:t>Regulation (EU) 2021/953</w:t>
      </w:r>
      <w:r w:rsidR="0093580D" w:rsidRPr="00A3009F">
        <w:rPr>
          <w:noProof/>
          <w:lang w:val="en-IE"/>
        </w:rPr>
        <w:t>, the holder of an EU Digital COVID Certificate is entitled to request the issuance of a new certificate if the personal data contained in the original certificate are not accurate, including with regard to the vaccination of the holder.</w:t>
      </w:r>
    </w:p>
    <w:p w:rsidR="00EA0752" w:rsidRPr="00A92D51" w:rsidRDefault="008D631C" w:rsidP="008D631C">
      <w:pPr>
        <w:pStyle w:val="ManualConsidrant"/>
        <w:rPr>
          <w:noProof/>
          <w:lang w:val="en-IE"/>
        </w:rPr>
      </w:pPr>
      <w:r w:rsidRPr="008D631C">
        <w:t>(4)</w:t>
      </w:r>
      <w:r w:rsidRPr="008D631C">
        <w:tab/>
      </w:r>
      <w:r w:rsidR="001416B3" w:rsidRPr="00A92D51">
        <w:rPr>
          <w:noProof/>
          <w:lang w:val="en-IE"/>
        </w:rPr>
        <w:t>In particular in light o</w:t>
      </w:r>
      <w:r w:rsidR="00EA0752" w:rsidRPr="00A92D51">
        <w:rPr>
          <w:noProof/>
          <w:lang w:val="en-IE"/>
        </w:rPr>
        <w:t>f</w:t>
      </w:r>
      <w:r w:rsidR="001416B3" w:rsidRPr="00A92D51">
        <w:rPr>
          <w:noProof/>
          <w:lang w:val="en-IE"/>
        </w:rPr>
        <w:t xml:space="preserve"> the emergence of new SARS-CoV-2 variants of concern, the continued development and study of COVID-19 vaccine</w:t>
      </w:r>
      <w:r w:rsidR="00EA0752" w:rsidRPr="00A92D51">
        <w:rPr>
          <w:noProof/>
          <w:lang w:val="en-IE"/>
        </w:rPr>
        <w:t>s</w:t>
      </w:r>
      <w:r w:rsidR="001416B3" w:rsidRPr="00A92D51">
        <w:rPr>
          <w:noProof/>
          <w:lang w:val="en-IE"/>
        </w:rPr>
        <w:t xml:space="preserve"> is </w:t>
      </w:r>
      <w:r w:rsidR="00EA0752" w:rsidRPr="00A92D51">
        <w:rPr>
          <w:noProof/>
          <w:lang w:val="en-IE"/>
        </w:rPr>
        <w:t xml:space="preserve">a crucial aspect in the fight against the COVID-19 pandemic. In this context, it is important to facilitate the participation of volunteers in clinical trials, that is, studies performed to investigate the safety or efficacy of a medicine, such as a COVID-19 vaccine. </w:t>
      </w:r>
      <w:r w:rsidR="00E33FA6" w:rsidRPr="00A92D51">
        <w:rPr>
          <w:noProof/>
          <w:lang w:val="en-IE"/>
        </w:rPr>
        <w:t xml:space="preserve">Clinical research plays a fundamental role in the development of vaccines, and voluntary participation in clinical trials should therefore be encouraged. Depriving volunteers from access to EU Digital COVID Certificates could constitute a major disincentive to participate, delaying the conclusion of clinical trials and negatively impacting public health more generally. In addition, the integrity of clinical trials, including in terms of data blinding and confidentiality, should be preserved to ensure the validity of their results. </w:t>
      </w:r>
      <w:r w:rsidR="007904BC">
        <w:rPr>
          <w:noProof/>
          <w:lang w:val="en-IE"/>
        </w:rPr>
        <w:t xml:space="preserve">It should thus be clarified that Member States may issue </w:t>
      </w:r>
      <w:r w:rsidR="009E0A95" w:rsidRPr="00A92D51">
        <w:rPr>
          <w:noProof/>
          <w:lang w:val="en-IE"/>
        </w:rPr>
        <w:t>EU Digital COVID Certificate</w:t>
      </w:r>
      <w:r w:rsidR="00381F5B">
        <w:rPr>
          <w:noProof/>
          <w:lang w:val="en-IE"/>
        </w:rPr>
        <w:t>s</w:t>
      </w:r>
      <w:r w:rsidR="007904BC">
        <w:rPr>
          <w:noProof/>
          <w:lang w:val="en-IE"/>
        </w:rPr>
        <w:t xml:space="preserve"> to participants in c</w:t>
      </w:r>
      <w:r w:rsidR="007904BC" w:rsidRPr="00A92D51">
        <w:rPr>
          <w:noProof/>
          <w:lang w:val="en-IE"/>
        </w:rPr>
        <w:t>linical trial</w:t>
      </w:r>
      <w:r w:rsidR="007904BC">
        <w:rPr>
          <w:noProof/>
          <w:lang w:val="en-IE"/>
        </w:rPr>
        <w:t xml:space="preserve">s </w:t>
      </w:r>
      <w:r w:rsidR="007904BC" w:rsidRPr="005B17A3">
        <w:rPr>
          <w:noProof/>
          <w:lang w:val="en-IE"/>
        </w:rPr>
        <w:t>that have been approved by Member States’ ethical committees and competent authorities</w:t>
      </w:r>
      <w:r w:rsidR="00E33FA6" w:rsidRPr="00A92D51">
        <w:rPr>
          <w:noProof/>
          <w:lang w:val="en-IE"/>
        </w:rPr>
        <w:t xml:space="preserve">, </w:t>
      </w:r>
      <w:r w:rsidR="00C85016">
        <w:rPr>
          <w:noProof/>
          <w:lang w:val="en-IE"/>
        </w:rPr>
        <w:t xml:space="preserve">regardless whether they have received the COVID-19 vaccine candidate or, to </w:t>
      </w:r>
      <w:r w:rsidR="00C85016" w:rsidRPr="00A92D51">
        <w:rPr>
          <w:noProof/>
          <w:lang w:val="en-IE"/>
        </w:rPr>
        <w:t>avoid</w:t>
      </w:r>
      <w:r w:rsidR="00C85016" w:rsidRPr="00A92D51">
        <w:rPr>
          <w:noProof/>
          <w:lang w:val="en-US"/>
        </w:rPr>
        <w:t xml:space="preserve"> undermining the studies</w:t>
      </w:r>
      <w:r w:rsidR="00C85016">
        <w:rPr>
          <w:noProof/>
          <w:lang w:val="en-US"/>
        </w:rPr>
        <w:t>,</w:t>
      </w:r>
      <w:r w:rsidR="00C85016">
        <w:rPr>
          <w:noProof/>
          <w:lang w:val="en-IE"/>
        </w:rPr>
        <w:t xml:space="preserve"> the dose administered to the control group</w:t>
      </w:r>
      <w:r w:rsidR="000E20EE" w:rsidRPr="000E20EE">
        <w:rPr>
          <w:noProof/>
          <w:lang w:val="en-IE"/>
        </w:rPr>
        <w:t xml:space="preserve">. </w:t>
      </w:r>
      <w:r w:rsidR="00EA0752" w:rsidRPr="00A92D51">
        <w:rPr>
          <w:noProof/>
          <w:lang w:val="en-IE"/>
        </w:rPr>
        <w:t xml:space="preserve">In addition, </w:t>
      </w:r>
      <w:r w:rsidR="00E33FA6" w:rsidRPr="00A92D51">
        <w:rPr>
          <w:noProof/>
          <w:lang w:val="en-IE"/>
        </w:rPr>
        <w:t xml:space="preserve">it should be clarified that </w:t>
      </w:r>
      <w:r w:rsidR="00837676">
        <w:rPr>
          <w:noProof/>
          <w:lang w:val="en-IE"/>
        </w:rPr>
        <w:t xml:space="preserve">other </w:t>
      </w:r>
      <w:r w:rsidR="00E33FA6" w:rsidRPr="00A92D51">
        <w:rPr>
          <w:noProof/>
          <w:lang w:val="en-IE"/>
        </w:rPr>
        <w:t>Member States may accept vaccination certificates for COVID-19 vaccines undergoing clinical trials</w:t>
      </w:r>
      <w:r w:rsidR="00E33FA6" w:rsidRPr="00837676">
        <w:rPr>
          <w:noProof/>
          <w:color w:val="1F497D"/>
        </w:rPr>
        <w:t xml:space="preserve"> </w:t>
      </w:r>
      <w:r w:rsidR="00E33FA6" w:rsidRPr="00A92D51">
        <w:rPr>
          <w:noProof/>
          <w:lang w:val="en-IE"/>
        </w:rPr>
        <w:t xml:space="preserve">in order to waive restrictions to free movement </w:t>
      </w:r>
      <w:r w:rsidR="008B54D2" w:rsidRPr="00A92D51">
        <w:rPr>
          <w:noProof/>
          <w:lang w:val="en-IE"/>
        </w:rPr>
        <w:t>put in place, in accordance with Union law, in response to the COVID-19 pandemic</w:t>
      </w:r>
      <w:r w:rsidR="00E33FA6" w:rsidRPr="00A92D51">
        <w:rPr>
          <w:noProof/>
          <w:lang w:val="en-IE"/>
        </w:rPr>
        <w:t>. If a COVID-19 vaccine undergoing clinical trials is subsequently granted a marketing authorisation pursuant to Regulation (EC) No 726/2004</w:t>
      </w:r>
      <w:r w:rsidR="00435581" w:rsidRPr="00A3009F">
        <w:rPr>
          <w:rStyle w:val="FootnoteReference"/>
          <w:noProof/>
          <w:lang w:val="en-IE"/>
        </w:rPr>
        <w:footnoteReference w:id="30"/>
      </w:r>
      <w:r w:rsidR="00E33FA6" w:rsidRPr="00A92D51">
        <w:rPr>
          <w:noProof/>
          <w:lang w:val="en-IE"/>
        </w:rPr>
        <w:t>, vaccination certificates for that vaccine fall, as of that moment, within the scope of the first subparagraph of Article 5(5) of Regulation (EU) 2021/953. To ensure a coherent approach, the</w:t>
      </w:r>
      <w:r w:rsidR="005C00AA">
        <w:rPr>
          <w:noProof/>
          <w:lang w:val="en-IE"/>
        </w:rPr>
        <w:t xml:space="preserve"> Commission should be empowered to ask the</w:t>
      </w:r>
      <w:r w:rsidR="00E33FA6" w:rsidRPr="00A92D51">
        <w:rPr>
          <w:noProof/>
          <w:lang w:val="en-IE"/>
        </w:rPr>
        <w:t xml:space="preserve"> Health Security Committee</w:t>
      </w:r>
      <w:r w:rsidR="00926833">
        <w:rPr>
          <w:noProof/>
          <w:lang w:val="en-IE"/>
        </w:rPr>
        <w:t xml:space="preserve">, the </w:t>
      </w:r>
      <w:r w:rsidR="00926833" w:rsidRPr="00476F77">
        <w:rPr>
          <w:noProof/>
          <w:lang w:val="en-IE"/>
        </w:rPr>
        <w:t>European Centre for Disease Prevention and Control</w:t>
      </w:r>
      <w:r w:rsidR="00926833">
        <w:rPr>
          <w:noProof/>
          <w:lang w:val="en-IE"/>
        </w:rPr>
        <w:t xml:space="preserve"> (ECDC) or </w:t>
      </w:r>
      <w:r w:rsidR="00926833" w:rsidRPr="00A3009F">
        <w:rPr>
          <w:noProof/>
          <w:lang w:val="en-IE"/>
        </w:rPr>
        <w:t>the European Medicines Agency</w:t>
      </w:r>
      <w:r w:rsidR="00926833">
        <w:rPr>
          <w:noProof/>
          <w:lang w:val="en-IE"/>
        </w:rPr>
        <w:t xml:space="preserve"> (EMA)</w:t>
      </w:r>
      <w:r w:rsidR="00E33FA6" w:rsidRPr="00A92D51">
        <w:rPr>
          <w:noProof/>
          <w:lang w:val="en-IE"/>
        </w:rPr>
        <w:t xml:space="preserve"> to issue guidance</w:t>
      </w:r>
      <w:r w:rsidR="00494377">
        <w:rPr>
          <w:noProof/>
          <w:lang w:val="en-IE"/>
        </w:rPr>
        <w:t xml:space="preserve"> </w:t>
      </w:r>
      <w:r w:rsidR="00494377" w:rsidRPr="00A92D51">
        <w:rPr>
          <w:noProof/>
          <w:lang w:val="en-IE"/>
        </w:rPr>
        <w:t>with regards to the acceptance of certificates issued for a COVID-19 vaccine undergoing clinical trials that has not yet received a marketing authorisation</w:t>
      </w:r>
      <w:r w:rsidR="00E33FA6" w:rsidRPr="00A92D51">
        <w:rPr>
          <w:noProof/>
          <w:lang w:val="en-IE"/>
        </w:rPr>
        <w:t>, which should take into account the ethical and scientific criteria necessary for carrying out clinical trials.</w:t>
      </w:r>
    </w:p>
    <w:p w:rsidR="005B2BC6" w:rsidRPr="00A3009F" w:rsidRDefault="008D631C" w:rsidP="008D631C">
      <w:pPr>
        <w:pStyle w:val="ManualConsidrant"/>
        <w:rPr>
          <w:noProof/>
          <w:lang w:val="en-IE"/>
        </w:rPr>
      </w:pPr>
      <w:r w:rsidRPr="008D631C">
        <w:t>(5)</w:t>
      </w:r>
      <w:r w:rsidRPr="008D631C">
        <w:tab/>
      </w:r>
      <w:r w:rsidR="000B0D75" w:rsidRPr="00A3009F">
        <w:rPr>
          <w:noProof/>
          <w:lang w:val="en-IE"/>
        </w:rPr>
        <w:t xml:space="preserve">Since the adoption of Regulation (EU) 2021/953, the epidemiological situation with regard to the COVID-19 pandemic has evolved considerably. On the one hand, </w:t>
      </w:r>
      <w:r w:rsidR="00983F80">
        <w:rPr>
          <w:noProof/>
          <w:lang w:val="en-IE"/>
        </w:rPr>
        <w:t xml:space="preserve">by 31 January 2022, </w:t>
      </w:r>
      <w:r w:rsidR="000B0D75" w:rsidRPr="00A3009F">
        <w:rPr>
          <w:noProof/>
          <w:lang w:val="en-IE"/>
        </w:rPr>
        <w:t xml:space="preserve">more than </w:t>
      </w:r>
      <w:r w:rsidR="000B0D75" w:rsidRPr="00837676">
        <w:rPr>
          <w:noProof/>
          <w:lang w:val="en-IE"/>
        </w:rPr>
        <w:t>80%</w:t>
      </w:r>
      <w:r w:rsidR="000B0D75" w:rsidRPr="00A3009F">
        <w:rPr>
          <w:noProof/>
          <w:lang w:val="en-IE"/>
        </w:rPr>
        <w:t xml:space="preserve"> of the adult population in the Union have completed their primary vaccination cycle, and more than </w:t>
      </w:r>
      <w:r w:rsidR="000B0D75" w:rsidRPr="00837676">
        <w:rPr>
          <w:noProof/>
          <w:lang w:val="en-IE"/>
        </w:rPr>
        <w:t>50%</w:t>
      </w:r>
      <w:r w:rsidR="000B0D75" w:rsidRPr="00A3009F">
        <w:rPr>
          <w:noProof/>
          <w:lang w:val="en-IE"/>
        </w:rPr>
        <w:t xml:space="preserve"> have received a booster dose, despite significant </w:t>
      </w:r>
      <w:r w:rsidR="00D7239B">
        <w:rPr>
          <w:noProof/>
          <w:lang w:val="en-IE"/>
        </w:rPr>
        <w:t xml:space="preserve">differences </w:t>
      </w:r>
      <w:r w:rsidR="000B0D75" w:rsidRPr="00A3009F">
        <w:rPr>
          <w:noProof/>
          <w:lang w:val="en-IE"/>
        </w:rPr>
        <w:t>between Member States</w:t>
      </w:r>
      <w:r w:rsidR="000B0D75" w:rsidRPr="00A3009F">
        <w:rPr>
          <w:rStyle w:val="FootnoteReference"/>
          <w:noProof/>
          <w:lang w:val="en-IE"/>
        </w:rPr>
        <w:footnoteReference w:id="31"/>
      </w:r>
      <w:r w:rsidR="009E0A95">
        <w:rPr>
          <w:noProof/>
          <w:lang w:val="en-IE"/>
        </w:rPr>
        <w:t>.</w:t>
      </w:r>
      <w:r w:rsidR="00350FCF" w:rsidRPr="00A3009F">
        <w:rPr>
          <w:noProof/>
          <w:lang w:val="en-IE"/>
        </w:rPr>
        <w:t xml:space="preserve"> </w:t>
      </w:r>
      <w:r w:rsidR="009E0A95">
        <w:rPr>
          <w:noProof/>
          <w:lang w:val="en-IE"/>
        </w:rPr>
        <w:t xml:space="preserve">Increasing vaccine uptake remains a crucial objective in the fight against the pandemic, given the </w:t>
      </w:r>
      <w:r w:rsidR="00D7239B">
        <w:rPr>
          <w:noProof/>
          <w:lang w:val="en-IE"/>
        </w:rPr>
        <w:t xml:space="preserve">increased </w:t>
      </w:r>
      <w:r w:rsidR="009E0A95">
        <w:rPr>
          <w:noProof/>
          <w:lang w:val="en-IE"/>
        </w:rPr>
        <w:t xml:space="preserve">protection against hospitalisation and severe disease afforded by vaccination, and thus plays an important role in ensuring that </w:t>
      </w:r>
      <w:r w:rsidR="009E0A95">
        <w:rPr>
          <w:noProof/>
        </w:rPr>
        <w:t>restrictions to the free movement of persons can be lifted</w:t>
      </w:r>
      <w:r w:rsidR="005B2BC6" w:rsidRPr="00A3009F">
        <w:rPr>
          <w:noProof/>
          <w:lang w:val="en-IE"/>
        </w:rPr>
        <w:t>.</w:t>
      </w:r>
    </w:p>
    <w:p w:rsidR="00E66C2F" w:rsidRPr="003162A9" w:rsidRDefault="008D631C" w:rsidP="008D631C">
      <w:pPr>
        <w:pStyle w:val="ManualConsidrant"/>
        <w:rPr>
          <w:noProof/>
          <w:lang w:val="en-IE"/>
        </w:rPr>
      </w:pPr>
      <w:r w:rsidRPr="008D631C">
        <w:t>(6)</w:t>
      </w:r>
      <w:r w:rsidRPr="008D631C">
        <w:tab/>
      </w:r>
      <w:r w:rsidR="00350FCF" w:rsidRPr="004D2A17">
        <w:rPr>
          <w:noProof/>
          <w:lang w:val="en-IE"/>
        </w:rPr>
        <w:t xml:space="preserve">On the other hand, the spread of the SARS-CoV-2 variant </w:t>
      </w:r>
      <w:r w:rsidR="00D7239B">
        <w:rPr>
          <w:noProof/>
          <w:lang w:val="en-IE"/>
        </w:rPr>
        <w:t xml:space="preserve">of concern </w:t>
      </w:r>
      <w:r w:rsidR="00350FCF" w:rsidRPr="004D2A17">
        <w:rPr>
          <w:noProof/>
          <w:lang w:val="en-IE"/>
        </w:rPr>
        <w:t xml:space="preserve">‘Delta’ in the second half of 2021 caused </w:t>
      </w:r>
      <w:r w:rsidR="00D42318" w:rsidRPr="004D2A17">
        <w:rPr>
          <w:noProof/>
          <w:lang w:val="en-IE"/>
        </w:rPr>
        <w:t xml:space="preserve">an </w:t>
      </w:r>
      <w:r w:rsidR="00350FCF" w:rsidRPr="004D2A17">
        <w:rPr>
          <w:noProof/>
          <w:lang w:val="en-IE"/>
        </w:rPr>
        <w:t xml:space="preserve">increase in the number of infections, hospitalisation and deaths, requiring Member States to adopt strict public health measures in an effort to protect healthcare system capacity. </w:t>
      </w:r>
      <w:r w:rsidR="00E2624F" w:rsidRPr="00D92A68">
        <w:rPr>
          <w:noProof/>
          <w:lang w:val="en-IE"/>
        </w:rPr>
        <w:t xml:space="preserve">In early 2022, </w:t>
      </w:r>
      <w:r w:rsidR="009E0A95" w:rsidRPr="0026360C">
        <w:rPr>
          <w:noProof/>
          <w:lang w:val="en-IE"/>
        </w:rPr>
        <w:t>the SARS-CoV-2 variant</w:t>
      </w:r>
      <w:r w:rsidR="00D7239B">
        <w:rPr>
          <w:noProof/>
          <w:lang w:val="en-IE"/>
        </w:rPr>
        <w:t xml:space="preserve"> of concern</w:t>
      </w:r>
      <w:r w:rsidR="009E0A95" w:rsidRPr="0026360C">
        <w:rPr>
          <w:noProof/>
          <w:lang w:val="en-IE"/>
        </w:rPr>
        <w:t xml:space="preserve"> ‘Omicron’ </w:t>
      </w:r>
      <w:r w:rsidR="00E2624F" w:rsidRPr="000F4CD4">
        <w:rPr>
          <w:noProof/>
          <w:lang w:val="en-IE"/>
        </w:rPr>
        <w:t xml:space="preserve">caused sharp increases </w:t>
      </w:r>
      <w:r w:rsidR="00E2624F" w:rsidRPr="003162A9">
        <w:rPr>
          <w:noProof/>
          <w:lang w:val="en-IE"/>
        </w:rPr>
        <w:t>in the number of COV</w:t>
      </w:r>
      <w:r w:rsidR="003162A9">
        <w:rPr>
          <w:noProof/>
          <w:lang w:val="en-IE"/>
        </w:rPr>
        <w:t xml:space="preserve">ID-19 cases, rapidly replacing </w:t>
      </w:r>
      <w:r w:rsidR="00E2624F" w:rsidRPr="003162A9">
        <w:rPr>
          <w:noProof/>
          <w:lang w:val="en-IE"/>
        </w:rPr>
        <w:t xml:space="preserve">Delta and reaching an unprecedented intensity of community transmission </w:t>
      </w:r>
      <w:r w:rsidR="009E0A95" w:rsidRPr="000A42DC">
        <w:rPr>
          <w:noProof/>
          <w:lang w:val="en-IE"/>
        </w:rPr>
        <w:t>across the Union</w:t>
      </w:r>
      <w:r w:rsidR="00350FCF" w:rsidRPr="000A42DC">
        <w:rPr>
          <w:noProof/>
          <w:lang w:val="en-IE"/>
        </w:rPr>
        <w:t xml:space="preserve">. </w:t>
      </w:r>
      <w:r w:rsidR="00E2624F" w:rsidRPr="000A42DC">
        <w:rPr>
          <w:noProof/>
          <w:lang w:val="en-IE"/>
        </w:rPr>
        <w:t xml:space="preserve">As noted by </w:t>
      </w:r>
      <w:r w:rsidR="00926833">
        <w:rPr>
          <w:noProof/>
          <w:lang w:val="en-IE"/>
        </w:rPr>
        <w:t>ECDC</w:t>
      </w:r>
      <w:r w:rsidR="00E2624F" w:rsidRPr="00617674">
        <w:rPr>
          <w:noProof/>
          <w:lang w:val="en-IE"/>
        </w:rPr>
        <w:t xml:space="preserve"> in its Rapid Risk Assessment of 27 January 2022</w:t>
      </w:r>
      <w:r w:rsidR="00E2624F">
        <w:rPr>
          <w:rStyle w:val="FootnoteReference"/>
          <w:noProof/>
          <w:lang w:val="en-IE"/>
        </w:rPr>
        <w:footnoteReference w:id="32"/>
      </w:r>
      <w:r w:rsidR="00E2624F" w:rsidRPr="004D2A17">
        <w:rPr>
          <w:noProof/>
          <w:lang w:val="en-IE"/>
        </w:rPr>
        <w:t xml:space="preserve">, Omicron infections appear less likely to lead to a severe clinical outcome that requires hospitalisation or admission to intensive care units. </w:t>
      </w:r>
      <w:r w:rsidR="00E2624F" w:rsidRPr="00D92A68">
        <w:rPr>
          <w:noProof/>
          <w:lang w:val="en-IE"/>
        </w:rPr>
        <w:t xml:space="preserve">Although the reduction in severity is partially due to inherent characteristics of the virus, results from vaccine effectiveness studies have shown that </w:t>
      </w:r>
      <w:r w:rsidR="00D82768">
        <w:rPr>
          <w:noProof/>
          <w:lang w:val="en-IE"/>
        </w:rPr>
        <w:t>vaccination plays a</w:t>
      </w:r>
      <w:r w:rsidR="00E2624F" w:rsidRPr="00D92A68">
        <w:rPr>
          <w:noProof/>
          <w:lang w:val="en-IE"/>
        </w:rPr>
        <w:t xml:space="preserve"> significant role in preventing severe clinical outcomes from Omicron infection, with effectiveness against severe illness increasing significantly among people having received three vaccine doses. Furthermore, given the very high levels of community transmission, leading to many people being sick at the same time, </w:t>
      </w:r>
      <w:r w:rsidR="00E2624F">
        <w:rPr>
          <w:noProof/>
          <w:lang w:val="en-IE"/>
        </w:rPr>
        <w:t>Member States are likely to</w:t>
      </w:r>
      <w:r w:rsidR="00E2624F" w:rsidRPr="004D2A17">
        <w:rPr>
          <w:noProof/>
          <w:lang w:val="en-IE"/>
        </w:rPr>
        <w:t xml:space="preserve"> undergo a period of substantial pressure on their healthcare systems and on</w:t>
      </w:r>
      <w:r w:rsidR="00E2624F">
        <w:rPr>
          <w:noProof/>
          <w:lang w:val="en-IE"/>
        </w:rPr>
        <w:t xml:space="preserve"> </w:t>
      </w:r>
      <w:r w:rsidR="00E2624F" w:rsidRPr="004D2A17">
        <w:rPr>
          <w:noProof/>
          <w:lang w:val="en-IE"/>
        </w:rPr>
        <w:t>the functioning of the society as a whole</w:t>
      </w:r>
      <w:r w:rsidR="00B53A6E">
        <w:rPr>
          <w:noProof/>
          <w:lang w:val="en-IE"/>
        </w:rPr>
        <w:t xml:space="preserve">, </w:t>
      </w:r>
      <w:r w:rsidR="00E2624F" w:rsidRPr="004D2A17">
        <w:rPr>
          <w:noProof/>
          <w:lang w:val="en-IE"/>
        </w:rPr>
        <w:t>mainly through absence from work and education</w:t>
      </w:r>
      <w:r w:rsidR="00350FCF" w:rsidRPr="003162A9">
        <w:rPr>
          <w:noProof/>
          <w:lang w:val="en-IE"/>
        </w:rPr>
        <w:t>.</w:t>
      </w:r>
    </w:p>
    <w:p w:rsidR="000B0D75" w:rsidRPr="00A3009F" w:rsidRDefault="008D631C" w:rsidP="008D631C">
      <w:pPr>
        <w:pStyle w:val="ManualConsidrant"/>
        <w:rPr>
          <w:noProof/>
          <w:lang w:val="en-IE"/>
        </w:rPr>
      </w:pPr>
      <w:r w:rsidRPr="008D631C">
        <w:t>(7)</w:t>
      </w:r>
      <w:r w:rsidRPr="008D631C">
        <w:tab/>
      </w:r>
      <w:r w:rsidR="00D7239B" w:rsidRPr="00A3009F">
        <w:rPr>
          <w:noProof/>
          <w:lang w:val="en-IE"/>
        </w:rPr>
        <w:t xml:space="preserve">After a peak in Omicron cases, a high proportion of the population </w:t>
      </w:r>
      <w:r w:rsidR="00A43824">
        <w:rPr>
          <w:noProof/>
          <w:lang w:val="en-IE"/>
        </w:rPr>
        <w:t>is expected</w:t>
      </w:r>
      <w:r w:rsidR="00090444">
        <w:rPr>
          <w:noProof/>
          <w:lang w:val="en-IE"/>
        </w:rPr>
        <w:t xml:space="preserve"> to enjoy</w:t>
      </w:r>
      <w:r w:rsidR="00D7239B" w:rsidRPr="00A3009F">
        <w:rPr>
          <w:noProof/>
          <w:lang w:val="en-IE"/>
        </w:rPr>
        <w:t xml:space="preserve">, at least for a certain period, protection from COVID-19 </w:t>
      </w:r>
      <w:r w:rsidR="00D7239B">
        <w:rPr>
          <w:noProof/>
          <w:lang w:val="en-IE"/>
        </w:rPr>
        <w:t xml:space="preserve">either </w:t>
      </w:r>
      <w:r w:rsidR="00D7239B" w:rsidRPr="00A3009F">
        <w:rPr>
          <w:noProof/>
          <w:lang w:val="en-IE"/>
        </w:rPr>
        <w:t xml:space="preserve">due to </w:t>
      </w:r>
      <w:r w:rsidR="00D7239B">
        <w:rPr>
          <w:noProof/>
          <w:lang w:val="en-IE"/>
        </w:rPr>
        <w:t xml:space="preserve">vaccination or prior </w:t>
      </w:r>
      <w:r w:rsidR="00D7239B" w:rsidRPr="00A3009F">
        <w:rPr>
          <w:noProof/>
          <w:lang w:val="en-IE"/>
        </w:rPr>
        <w:t>infection</w:t>
      </w:r>
      <w:r w:rsidR="00D7239B">
        <w:rPr>
          <w:noProof/>
          <w:lang w:val="en-IE"/>
        </w:rPr>
        <w:t>, or both</w:t>
      </w:r>
      <w:r w:rsidR="00D7239B" w:rsidRPr="00A3009F">
        <w:rPr>
          <w:noProof/>
          <w:lang w:val="en-IE"/>
        </w:rPr>
        <w:t xml:space="preserve">. However, it is not possible to predict the impact of a possible increase in infections in the second half of 2022. In addition, </w:t>
      </w:r>
      <w:r w:rsidR="00D7239B">
        <w:rPr>
          <w:noProof/>
          <w:lang w:val="en-IE"/>
        </w:rPr>
        <w:t xml:space="preserve">the possibility of </w:t>
      </w:r>
      <w:r w:rsidR="00D7239B" w:rsidRPr="00A3009F">
        <w:rPr>
          <w:noProof/>
          <w:lang w:val="en-IE"/>
        </w:rPr>
        <w:t xml:space="preserve">a </w:t>
      </w:r>
      <w:r w:rsidR="00D7239B">
        <w:rPr>
          <w:noProof/>
          <w:lang w:val="en-IE"/>
        </w:rPr>
        <w:t>worsening</w:t>
      </w:r>
      <w:r w:rsidR="00D7239B" w:rsidRPr="00A3009F">
        <w:rPr>
          <w:noProof/>
          <w:lang w:val="en-IE"/>
        </w:rPr>
        <w:t xml:space="preserve"> of the pandemic </w:t>
      </w:r>
      <w:r w:rsidR="00D7239B">
        <w:rPr>
          <w:noProof/>
          <w:lang w:val="en-IE"/>
        </w:rPr>
        <w:t>situation because</w:t>
      </w:r>
      <w:r w:rsidR="00D7239B" w:rsidRPr="00A3009F">
        <w:rPr>
          <w:noProof/>
          <w:lang w:val="en-IE"/>
        </w:rPr>
        <w:t xml:space="preserve"> of the emergence of new SARS-CoV-2 variants </w:t>
      </w:r>
      <w:r w:rsidR="00D7239B">
        <w:rPr>
          <w:noProof/>
          <w:lang w:val="en-IE"/>
        </w:rPr>
        <w:t xml:space="preserve">of concern </w:t>
      </w:r>
      <w:r w:rsidR="00D7239B" w:rsidRPr="00A3009F">
        <w:rPr>
          <w:noProof/>
          <w:lang w:val="en-IE"/>
        </w:rPr>
        <w:t xml:space="preserve">cannot be </w:t>
      </w:r>
      <w:r w:rsidR="00D7239B">
        <w:rPr>
          <w:noProof/>
          <w:lang w:val="en-IE"/>
        </w:rPr>
        <w:t>ruled out</w:t>
      </w:r>
      <w:r w:rsidR="005B2BC6" w:rsidRPr="00A3009F">
        <w:rPr>
          <w:noProof/>
          <w:lang w:val="en-IE"/>
        </w:rPr>
        <w:t>.</w:t>
      </w:r>
      <w:r w:rsidR="00B53A6E">
        <w:rPr>
          <w:noProof/>
          <w:lang w:val="en-IE"/>
        </w:rPr>
        <w:t xml:space="preserve"> As also noted by </w:t>
      </w:r>
      <w:r w:rsidR="00926833">
        <w:rPr>
          <w:noProof/>
          <w:lang w:val="en-IE"/>
        </w:rPr>
        <w:t>ECDC</w:t>
      </w:r>
      <w:r w:rsidR="00B53A6E">
        <w:rPr>
          <w:noProof/>
          <w:lang w:val="en-IE"/>
        </w:rPr>
        <w:t>, s</w:t>
      </w:r>
      <w:r w:rsidR="00B53A6E" w:rsidRPr="00B53A6E">
        <w:rPr>
          <w:noProof/>
          <w:lang w:val="en-IE"/>
        </w:rPr>
        <w:t>ignificant uncertainties remain at this stage of the COVID-19 pandemic</w:t>
      </w:r>
      <w:r w:rsidR="00B53A6E">
        <w:rPr>
          <w:noProof/>
          <w:lang w:val="en-IE"/>
        </w:rPr>
        <w:t>.</w:t>
      </w:r>
    </w:p>
    <w:p w:rsidR="005B2BC6" w:rsidRPr="00A3009F" w:rsidRDefault="008D631C" w:rsidP="008D631C">
      <w:pPr>
        <w:pStyle w:val="ManualConsidrant"/>
        <w:rPr>
          <w:noProof/>
          <w:lang w:val="en-IE"/>
        </w:rPr>
      </w:pPr>
      <w:r w:rsidRPr="008D631C">
        <w:t>(8)</w:t>
      </w:r>
      <w:r w:rsidRPr="008D631C">
        <w:tab/>
      </w:r>
      <w:r w:rsidR="009E0A95">
        <w:rPr>
          <w:noProof/>
          <w:lang w:val="en-IE"/>
        </w:rPr>
        <w:t>As a result, i</w:t>
      </w:r>
      <w:r w:rsidR="005B2BC6" w:rsidRPr="00A3009F">
        <w:rPr>
          <w:noProof/>
          <w:lang w:val="en-IE"/>
        </w:rPr>
        <w:t xml:space="preserve">t cannot be excluded that Member States continue to require Union citizens exercising their right to free movement to present proof of COVID-19 vaccination, test or recovery beyond 30 June 2022, the date when </w:t>
      </w:r>
      <w:r w:rsidR="005B2BC6" w:rsidRPr="00A3009F">
        <w:rPr>
          <w:rFonts w:eastAsiaTheme="minorEastAsia"/>
          <w:noProof/>
          <w:lang w:val="en-IE"/>
        </w:rPr>
        <w:t>Regulation (EU) 2021/953 is set to expire</w:t>
      </w:r>
      <w:r w:rsidR="005B2BC6" w:rsidRPr="00A3009F">
        <w:rPr>
          <w:noProof/>
          <w:lang w:val="en-IE"/>
        </w:rPr>
        <w:t xml:space="preserve">. </w:t>
      </w:r>
      <w:r w:rsidR="009E0A95">
        <w:rPr>
          <w:noProof/>
          <w:lang w:val="en-IE"/>
        </w:rPr>
        <w:t>It is thus important to avoid that</w:t>
      </w:r>
      <w:r w:rsidR="00D42318">
        <w:rPr>
          <w:noProof/>
          <w:lang w:val="en-IE"/>
        </w:rPr>
        <w:t>, in the event that certain restrictions to free movement based on public health are still in place after 30 June 2022,</w:t>
      </w:r>
      <w:r w:rsidR="009E0A95">
        <w:rPr>
          <w:noProof/>
          <w:lang w:val="en-IE"/>
        </w:rPr>
        <w:t xml:space="preserve"> Union citizens and their family members are deprived of the possibility to make use of their EU Digital COVID Certificates, which are an effective, secure and privacy-preserving way of proving one’s COVID-19 status</w:t>
      </w:r>
      <w:r w:rsidR="005B2BC6" w:rsidRPr="00A3009F">
        <w:rPr>
          <w:noProof/>
          <w:lang w:val="en-IE"/>
        </w:rPr>
        <w:t xml:space="preserve">. </w:t>
      </w:r>
      <w:r w:rsidR="00771C20" w:rsidRPr="00A3009F">
        <w:rPr>
          <w:noProof/>
          <w:lang w:val="en-IE"/>
        </w:rPr>
        <w:t>At the same</w:t>
      </w:r>
      <w:r w:rsidR="00CE611C">
        <w:rPr>
          <w:noProof/>
          <w:lang w:val="en-IE"/>
        </w:rPr>
        <w:t xml:space="preserve"> time</w:t>
      </w:r>
      <w:r w:rsidR="00771C20" w:rsidRPr="00A3009F">
        <w:rPr>
          <w:noProof/>
          <w:lang w:val="en-IE"/>
        </w:rPr>
        <w:t xml:space="preserve">, given that any restrictions to the free movement of persons within the Union put in place to limit the spread of SARS-CoV-2, including the requirement to present EU Digital COVID Certificates, should be lifted as soon as the epidemiological situation allows, the extension of the application </w:t>
      </w:r>
      <w:r w:rsidR="000F2BAA" w:rsidRPr="00A3009F">
        <w:rPr>
          <w:noProof/>
          <w:lang w:val="en-IE"/>
        </w:rPr>
        <w:t xml:space="preserve">of </w:t>
      </w:r>
      <w:r w:rsidR="00771C20" w:rsidRPr="00A3009F">
        <w:rPr>
          <w:rFonts w:eastAsiaTheme="minorEastAsia"/>
          <w:noProof/>
          <w:lang w:val="en-IE"/>
        </w:rPr>
        <w:t>Regulation (EU) 2021/953 should be limited to</w:t>
      </w:r>
      <w:r w:rsidR="00771C20" w:rsidRPr="00A3009F">
        <w:rPr>
          <w:noProof/>
          <w:lang w:val="en-IE"/>
        </w:rPr>
        <w:t xml:space="preserve"> 12 months. </w:t>
      </w:r>
      <w:r w:rsidR="00E66C2F" w:rsidRPr="00A3009F">
        <w:rPr>
          <w:noProof/>
          <w:lang w:val="en-IE"/>
        </w:rPr>
        <w:t>In addition, the extension of th</w:t>
      </w:r>
      <w:r w:rsidR="00CE611C">
        <w:rPr>
          <w:noProof/>
          <w:lang w:val="en-IE"/>
        </w:rPr>
        <w:t>at</w:t>
      </w:r>
      <w:r w:rsidR="00E66C2F" w:rsidRPr="00A3009F">
        <w:rPr>
          <w:noProof/>
          <w:lang w:val="en-IE"/>
        </w:rPr>
        <w:t xml:space="preserve"> Regulation should not be understood as requiring Member States, in particular those that </w:t>
      </w:r>
      <w:r w:rsidR="00B44E6E" w:rsidRPr="00A3009F">
        <w:rPr>
          <w:noProof/>
          <w:lang w:val="en-IE"/>
        </w:rPr>
        <w:t xml:space="preserve">lift domestic public health </w:t>
      </w:r>
      <w:r w:rsidR="00ED013E">
        <w:rPr>
          <w:noProof/>
          <w:lang w:val="en-IE"/>
        </w:rPr>
        <w:t>measures</w:t>
      </w:r>
      <w:r w:rsidR="00E66C2F" w:rsidRPr="00A3009F">
        <w:rPr>
          <w:noProof/>
          <w:lang w:val="en-IE"/>
        </w:rPr>
        <w:t xml:space="preserve">, to maintain or impose free movement restrictions. </w:t>
      </w:r>
      <w:r w:rsidR="00771C20" w:rsidRPr="00A3009F">
        <w:rPr>
          <w:noProof/>
          <w:lang w:val="en-IE"/>
        </w:rPr>
        <w:t xml:space="preserve">The power to adopt acts in accordance with Article 290 </w:t>
      </w:r>
      <w:r w:rsidR="009E76EA" w:rsidRPr="00A3009F">
        <w:rPr>
          <w:noProof/>
          <w:lang w:val="en-IE"/>
        </w:rPr>
        <w:t>of the Treaty on the Functioning of the European Union</w:t>
      </w:r>
      <w:r w:rsidR="00771C20" w:rsidRPr="00A3009F">
        <w:rPr>
          <w:noProof/>
          <w:lang w:val="en-IE"/>
        </w:rPr>
        <w:t xml:space="preserve"> delegated to the Commission pursuant to </w:t>
      </w:r>
      <w:r w:rsidR="00771C20" w:rsidRPr="00A3009F">
        <w:rPr>
          <w:rFonts w:eastAsiaTheme="minorEastAsia"/>
          <w:noProof/>
          <w:lang w:val="en-IE"/>
        </w:rPr>
        <w:t>Regulation (EU) 2021/953 should be equally extended.</w:t>
      </w:r>
      <w:r w:rsidR="00F20701">
        <w:rPr>
          <w:rFonts w:eastAsiaTheme="minorEastAsia"/>
          <w:noProof/>
          <w:lang w:val="en-IE"/>
        </w:rPr>
        <w:t xml:space="preserve"> </w:t>
      </w:r>
      <w:r w:rsidR="00F20701" w:rsidRPr="00617674">
        <w:rPr>
          <w:noProof/>
          <w:lang w:val="en-IE"/>
        </w:rPr>
        <w:t>It is necessary to ensure that the EU Digital COVID Certificate system can adapt to scientific progress in containing the COVID-19 pandemic.</w:t>
      </w:r>
    </w:p>
    <w:p w:rsidR="007017F7" w:rsidRPr="00A3009F" w:rsidRDefault="008D631C" w:rsidP="008D631C">
      <w:pPr>
        <w:pStyle w:val="ManualConsidrant"/>
        <w:rPr>
          <w:noProof/>
          <w:lang w:val="en-IE"/>
        </w:rPr>
      </w:pPr>
      <w:r w:rsidRPr="008D631C">
        <w:t>(9)</w:t>
      </w:r>
      <w:r w:rsidRPr="008D631C">
        <w:tab/>
      </w:r>
      <w:r w:rsidR="00CB35B6" w:rsidRPr="00A3009F">
        <w:rPr>
          <w:noProof/>
          <w:lang w:val="en-IE"/>
        </w:rPr>
        <w:t xml:space="preserve">The incorrect cross-reference in Article 13 of </w:t>
      </w:r>
      <w:r w:rsidR="007017F7" w:rsidRPr="00A3009F">
        <w:rPr>
          <w:noProof/>
          <w:lang w:val="en-IE"/>
        </w:rPr>
        <w:t xml:space="preserve">Regulation (EU) 2021/953 </w:t>
      </w:r>
      <w:r w:rsidR="00CB35B6" w:rsidRPr="00A3009F">
        <w:rPr>
          <w:noProof/>
          <w:lang w:val="en-IE"/>
        </w:rPr>
        <w:t>should be corrected</w:t>
      </w:r>
      <w:r w:rsidR="007017F7" w:rsidRPr="00A3009F">
        <w:rPr>
          <w:noProof/>
          <w:lang w:val="en-IE"/>
        </w:rPr>
        <w:t>.</w:t>
      </w:r>
    </w:p>
    <w:p w:rsidR="009E0A95" w:rsidRDefault="008D631C" w:rsidP="008D631C">
      <w:pPr>
        <w:pStyle w:val="ManualConsidrant"/>
        <w:rPr>
          <w:noProof/>
          <w:lang w:val="en-IE"/>
        </w:rPr>
      </w:pPr>
      <w:r w:rsidRPr="008D631C">
        <w:t>(10)</w:t>
      </w:r>
      <w:r w:rsidRPr="008D631C">
        <w:tab/>
      </w:r>
      <w:r w:rsidR="00E8604D" w:rsidRPr="00A3009F">
        <w:rPr>
          <w:noProof/>
          <w:lang w:val="en-IE"/>
        </w:rPr>
        <w:t>Regulation (EU) 2021/953 should therefore be amended accordingly.</w:t>
      </w:r>
    </w:p>
    <w:p w:rsidR="00E8604D" w:rsidRPr="00A3009F" w:rsidRDefault="008D631C" w:rsidP="008D631C">
      <w:pPr>
        <w:pStyle w:val="ManualConsidrant"/>
        <w:rPr>
          <w:noProof/>
          <w:lang w:val="en-IE"/>
        </w:rPr>
      </w:pPr>
      <w:r w:rsidRPr="008D631C">
        <w:t>(11)</w:t>
      </w:r>
      <w:r w:rsidRPr="008D631C">
        <w:tab/>
      </w:r>
      <w:r w:rsidR="00CD2F51">
        <w:rPr>
          <w:noProof/>
          <w:lang w:val="en-IE"/>
        </w:rPr>
        <w:t>Similarly, Regulation (EU) 2022</w:t>
      </w:r>
      <w:r w:rsidR="00AF287B" w:rsidRPr="00A3009F">
        <w:rPr>
          <w:noProof/>
          <w:lang w:val="en-IE"/>
        </w:rPr>
        <w:t>/XXXX of the European Parliament and of the Council</w:t>
      </w:r>
      <w:r w:rsidR="00AF287B" w:rsidRPr="00A3009F">
        <w:rPr>
          <w:rStyle w:val="FootnoteReference"/>
          <w:noProof/>
          <w:lang w:val="en-IE"/>
        </w:rPr>
        <w:footnoteReference w:id="33"/>
      </w:r>
      <w:r w:rsidR="00AF287B" w:rsidRPr="00A3009F">
        <w:rPr>
          <w:noProof/>
          <w:lang w:val="en-IE"/>
        </w:rPr>
        <w:t xml:space="preserve"> </w:t>
      </w:r>
      <w:r w:rsidR="000D472B">
        <w:rPr>
          <w:noProof/>
          <w:lang w:val="en-IE"/>
        </w:rPr>
        <w:t>prolongs</w:t>
      </w:r>
      <w:r w:rsidR="00AF287B" w:rsidRPr="00A3009F">
        <w:rPr>
          <w:noProof/>
          <w:lang w:val="en-IE"/>
        </w:rPr>
        <w:t xml:space="preserve"> the period of application of Regulation (EU) 2021/954 of the European Parliament and of the Council</w:t>
      </w:r>
      <w:r w:rsidR="00AF287B" w:rsidRPr="00A3009F">
        <w:rPr>
          <w:rStyle w:val="FootnoteReference"/>
          <w:noProof/>
          <w:lang w:val="en-IE"/>
        </w:rPr>
        <w:footnoteReference w:id="34"/>
      </w:r>
      <w:r w:rsidR="00AF287B" w:rsidRPr="00A3009F">
        <w:rPr>
          <w:noProof/>
          <w:lang w:val="en-IE"/>
        </w:rPr>
        <w:t>, which extends the EU Digital COVID Certificate framework to third-country nationals who are legally staying or residing in the Schengen area without controls at internal borders and applies as a matter of Schengen acquis, without prejudice to the specific rules on the crossing of internal borders set out in Regulation (EU) 2016/399 of the European Parliament and of the Council</w:t>
      </w:r>
      <w:r w:rsidR="00AF287B" w:rsidRPr="00A3009F">
        <w:rPr>
          <w:rStyle w:val="FootnoteReference"/>
          <w:noProof/>
          <w:lang w:val="en-IE"/>
        </w:rPr>
        <w:footnoteReference w:id="35"/>
      </w:r>
      <w:r w:rsidR="00AF287B" w:rsidRPr="00A3009F">
        <w:rPr>
          <w:noProof/>
          <w:lang w:val="en-IE"/>
        </w:rPr>
        <w:t>.</w:t>
      </w:r>
    </w:p>
    <w:p w:rsidR="003F0D8B" w:rsidRPr="00A3009F" w:rsidRDefault="008D631C" w:rsidP="008D631C">
      <w:pPr>
        <w:pStyle w:val="ManualConsidrant"/>
        <w:rPr>
          <w:noProof/>
          <w:lang w:val="en-IE"/>
        </w:rPr>
      </w:pPr>
      <w:r w:rsidRPr="008D631C">
        <w:t>(12)</w:t>
      </w:r>
      <w:r w:rsidRPr="008D631C">
        <w:tab/>
      </w:r>
      <w:r w:rsidR="001416B3" w:rsidRPr="00A3009F">
        <w:rPr>
          <w:noProof/>
          <w:lang w:val="en-IE"/>
        </w:rPr>
        <w:t xml:space="preserve">Given the urgency of the situation related to the COVID-19 pandemic, this Regulation should enter into force on the third day following that of its publication in the </w:t>
      </w:r>
      <w:r w:rsidR="001416B3" w:rsidRPr="00A3009F">
        <w:rPr>
          <w:i/>
          <w:noProof/>
          <w:lang w:val="en-IE"/>
        </w:rPr>
        <w:t>Official Journal of the European Union</w:t>
      </w:r>
      <w:r w:rsidR="003F0D8B" w:rsidRPr="00A3009F">
        <w:rPr>
          <w:noProof/>
          <w:lang w:val="en-IE"/>
        </w:rPr>
        <w:t>.</w:t>
      </w:r>
      <w:r w:rsidR="0019102B" w:rsidRPr="00A3009F">
        <w:rPr>
          <w:noProof/>
          <w:lang w:val="en-IE"/>
        </w:rPr>
        <w:t xml:space="preserve"> </w:t>
      </w:r>
    </w:p>
    <w:p w:rsidR="00041121" w:rsidRPr="00A3009F" w:rsidRDefault="008D631C" w:rsidP="008D631C">
      <w:pPr>
        <w:pStyle w:val="ManualConsidrant"/>
        <w:rPr>
          <w:noProof/>
          <w:lang w:val="en-IE"/>
        </w:rPr>
      </w:pPr>
      <w:r w:rsidRPr="008D631C">
        <w:t>(13)</w:t>
      </w:r>
      <w:r w:rsidRPr="008D631C">
        <w:tab/>
      </w:r>
      <w:r w:rsidR="003F0D8B" w:rsidRPr="00A3009F">
        <w:rPr>
          <w:noProof/>
          <w:lang w:val="en-IE"/>
        </w:rPr>
        <w:t>The European Data Prot</w:t>
      </w:r>
      <w:r w:rsidR="003F0D8B" w:rsidRPr="00D92A68">
        <w:rPr>
          <w:noProof/>
          <w:lang w:val="en-IE"/>
        </w:rPr>
        <w:t xml:space="preserve">ection Supervisor </w:t>
      </w:r>
      <w:r w:rsidR="003F0D8B" w:rsidRPr="0026360C">
        <w:rPr>
          <w:noProof/>
          <w:lang w:val="en-IE"/>
        </w:rPr>
        <w:t>and</w:t>
      </w:r>
      <w:r w:rsidR="003F0D8B" w:rsidRPr="000F4CD4">
        <w:rPr>
          <w:noProof/>
          <w:lang w:val="en-IE"/>
        </w:rPr>
        <w:t xml:space="preserve"> the</w:t>
      </w:r>
      <w:r w:rsidR="003F0D8B" w:rsidRPr="003162A9">
        <w:rPr>
          <w:noProof/>
          <w:lang w:val="en-IE"/>
        </w:rPr>
        <w:t xml:space="preserve"> </w:t>
      </w:r>
      <w:r w:rsidR="003F0D8B" w:rsidRPr="00617674">
        <w:rPr>
          <w:noProof/>
          <w:lang w:val="en-IE"/>
        </w:rPr>
        <w:t>European Data Protection Board</w:t>
      </w:r>
      <w:r w:rsidR="003F0D8B" w:rsidRPr="00D92A68">
        <w:rPr>
          <w:noProof/>
          <w:lang w:val="en-IE"/>
        </w:rPr>
        <w:t xml:space="preserve"> were</w:t>
      </w:r>
      <w:r w:rsidR="003F0D8B" w:rsidRPr="0026360C">
        <w:rPr>
          <w:noProof/>
          <w:lang w:val="en-IE"/>
        </w:rPr>
        <w:t xml:space="preserve"> co</w:t>
      </w:r>
      <w:r w:rsidR="003F0D8B" w:rsidRPr="000F4CD4">
        <w:rPr>
          <w:noProof/>
          <w:lang w:val="en-IE"/>
        </w:rPr>
        <w:t xml:space="preserve">nsulted </w:t>
      </w:r>
      <w:r w:rsidR="003F0D8B" w:rsidRPr="003162A9">
        <w:rPr>
          <w:noProof/>
          <w:lang w:val="en-IE"/>
        </w:rPr>
        <w:t xml:space="preserve">in accordance with Article 42 of Regulation (EU) 2018/1725 and delivered a </w:t>
      </w:r>
      <w:r w:rsidR="003F0D8B" w:rsidRPr="00617674">
        <w:rPr>
          <w:noProof/>
          <w:lang w:val="en-IE"/>
        </w:rPr>
        <w:t>joint</w:t>
      </w:r>
      <w:r w:rsidR="003F0D8B" w:rsidRPr="00D92A68">
        <w:rPr>
          <w:noProof/>
          <w:lang w:val="en-IE"/>
        </w:rPr>
        <w:t xml:space="preserve"> opinion</w:t>
      </w:r>
      <w:r w:rsidR="003F0D8B" w:rsidRPr="00A3009F">
        <w:rPr>
          <w:noProof/>
          <w:lang w:val="en-IE"/>
        </w:rPr>
        <w:t xml:space="preserve"> on XXXX</w:t>
      </w:r>
      <w:r w:rsidR="009B154C">
        <w:rPr>
          <w:rStyle w:val="FootnoteReference"/>
          <w:noProof/>
          <w:lang w:val="en-IE"/>
        </w:rPr>
        <w:footnoteReference w:id="36"/>
      </w:r>
      <w:r w:rsidR="003F0D8B" w:rsidRPr="00A3009F">
        <w:rPr>
          <w:noProof/>
          <w:lang w:val="en-IE"/>
        </w:rPr>
        <w:t>,</w:t>
      </w:r>
    </w:p>
    <w:p w:rsidR="00322C13" w:rsidRPr="00A3009F" w:rsidRDefault="00322C13" w:rsidP="00F11F0D">
      <w:pPr>
        <w:pStyle w:val="Formuledadoption"/>
        <w:rPr>
          <w:noProof/>
          <w:lang w:val="en-IE"/>
        </w:rPr>
      </w:pPr>
      <w:r w:rsidRPr="00A3009F">
        <w:rPr>
          <w:noProof/>
          <w:lang w:val="en-IE"/>
        </w:rPr>
        <w:t>HAVE ADOPTED THIS REGULATION:</w:t>
      </w:r>
    </w:p>
    <w:p w:rsidR="00322C13" w:rsidRPr="00A3009F" w:rsidRDefault="00322C13" w:rsidP="00F11F0D">
      <w:pPr>
        <w:pStyle w:val="Titrearticle"/>
        <w:rPr>
          <w:noProof/>
          <w:lang w:val="en-IE"/>
        </w:rPr>
      </w:pPr>
      <w:r w:rsidRPr="00A3009F">
        <w:rPr>
          <w:noProof/>
          <w:lang w:val="en-IE"/>
        </w:rPr>
        <w:t>Article 1</w:t>
      </w:r>
    </w:p>
    <w:p w:rsidR="0092434B" w:rsidRPr="00A3009F" w:rsidRDefault="0092434B" w:rsidP="007017F7">
      <w:pPr>
        <w:rPr>
          <w:noProof/>
          <w:lang w:val="en-IE"/>
        </w:rPr>
      </w:pPr>
      <w:r w:rsidRPr="00A3009F">
        <w:rPr>
          <w:noProof/>
          <w:lang w:val="en-IE"/>
        </w:rPr>
        <w:t>Regulation (EU) 2021/953 is amended as follows:</w:t>
      </w:r>
    </w:p>
    <w:p w:rsidR="00EF46CD" w:rsidRPr="00A3009F" w:rsidRDefault="008D631C" w:rsidP="008D631C">
      <w:pPr>
        <w:pStyle w:val="Point1"/>
        <w:rPr>
          <w:noProof/>
          <w:lang w:val="en-IE"/>
        </w:rPr>
      </w:pPr>
      <w:r w:rsidRPr="008D631C">
        <w:t>(1)</w:t>
      </w:r>
      <w:r w:rsidRPr="008D631C">
        <w:tab/>
      </w:r>
      <w:r w:rsidR="00EF46CD" w:rsidRPr="00A3009F">
        <w:rPr>
          <w:noProof/>
          <w:lang w:val="en-IE"/>
        </w:rPr>
        <w:t xml:space="preserve">in </w:t>
      </w:r>
      <w:r w:rsidR="002331CD">
        <w:rPr>
          <w:noProof/>
          <w:lang w:val="en-IE"/>
        </w:rPr>
        <w:t>Article 2</w:t>
      </w:r>
      <w:r w:rsidR="00EF46CD" w:rsidRPr="00A3009F">
        <w:rPr>
          <w:noProof/>
          <w:lang w:val="en-IE"/>
        </w:rPr>
        <w:t xml:space="preserve">, paragraph 5 is </w:t>
      </w:r>
      <w:r w:rsidR="00E07AC3" w:rsidRPr="00A3009F">
        <w:rPr>
          <w:noProof/>
          <w:lang w:val="en-IE"/>
        </w:rPr>
        <w:t>replaced by the following</w:t>
      </w:r>
      <w:r w:rsidR="00EF46CD" w:rsidRPr="00A3009F">
        <w:rPr>
          <w:noProof/>
          <w:lang w:val="en-IE"/>
        </w:rPr>
        <w:t>:</w:t>
      </w:r>
    </w:p>
    <w:p w:rsidR="00CE611C" w:rsidRDefault="00E07AC3" w:rsidP="00837676">
      <w:pPr>
        <w:pStyle w:val="Text2"/>
        <w:rPr>
          <w:noProof/>
          <w:lang w:val="en-IE"/>
        </w:rPr>
      </w:pPr>
      <w:r w:rsidRPr="00A3009F">
        <w:rPr>
          <w:noProof/>
          <w:lang w:val="en-IE"/>
        </w:rPr>
        <w:t>“(5) “</w:t>
      </w:r>
      <w:r w:rsidR="00836DBE" w:rsidRPr="00A3009F">
        <w:rPr>
          <w:noProof/>
          <w:lang w:val="en-IE"/>
        </w:rPr>
        <w:t>antigen test” means a test</w:t>
      </w:r>
      <w:r w:rsidR="00CE611C">
        <w:rPr>
          <w:noProof/>
          <w:lang w:val="en-IE"/>
        </w:rPr>
        <w:t>, of one of the following categories,</w:t>
      </w:r>
      <w:r w:rsidR="00836DBE" w:rsidRPr="00A3009F">
        <w:rPr>
          <w:noProof/>
          <w:lang w:val="en-IE"/>
        </w:rPr>
        <w:t xml:space="preserve"> that relies on detection of viral proteins (antigens) to reveal the presence of SARS-CoV-2</w:t>
      </w:r>
      <w:r w:rsidR="00CE611C">
        <w:rPr>
          <w:noProof/>
          <w:lang w:val="en-IE"/>
        </w:rPr>
        <w:t>:</w:t>
      </w:r>
    </w:p>
    <w:p w:rsidR="0000746E" w:rsidRDefault="008D631C" w:rsidP="008D631C">
      <w:pPr>
        <w:pStyle w:val="Point3"/>
        <w:rPr>
          <w:noProof/>
          <w:lang w:val="en-IE"/>
        </w:rPr>
      </w:pPr>
      <w:r w:rsidRPr="008D631C">
        <w:t>(a)</w:t>
      </w:r>
      <w:r w:rsidRPr="008D631C">
        <w:tab/>
      </w:r>
      <w:r w:rsidR="00836DBE" w:rsidRPr="00A3009F">
        <w:rPr>
          <w:noProof/>
          <w:lang w:val="en-IE"/>
        </w:rPr>
        <w:t>rapid antigen test</w:t>
      </w:r>
      <w:r w:rsidR="0049417E">
        <w:rPr>
          <w:noProof/>
          <w:lang w:val="en-IE"/>
        </w:rPr>
        <w:t>s</w:t>
      </w:r>
      <w:r w:rsidR="00030496">
        <w:rPr>
          <w:noProof/>
          <w:lang w:val="en-IE"/>
        </w:rPr>
        <w:t xml:space="preserve">, such as </w:t>
      </w:r>
      <w:r w:rsidR="00836DBE" w:rsidRPr="00A3009F">
        <w:rPr>
          <w:noProof/>
          <w:lang w:val="en-IE"/>
        </w:rPr>
        <w:t>lateral flow immunoassay</w:t>
      </w:r>
      <w:r w:rsidR="006C53B7">
        <w:rPr>
          <w:noProof/>
          <w:lang w:val="en-IE"/>
        </w:rPr>
        <w:t>s</w:t>
      </w:r>
      <w:r w:rsidR="00836DBE" w:rsidRPr="00A3009F">
        <w:rPr>
          <w:noProof/>
          <w:lang w:val="en-IE"/>
        </w:rPr>
        <w:t xml:space="preserve"> that give results in less than 30 minutes</w:t>
      </w:r>
      <w:r w:rsidR="0000746E">
        <w:rPr>
          <w:noProof/>
          <w:lang w:val="en-IE"/>
        </w:rPr>
        <w:t>,</w:t>
      </w:r>
      <w:r w:rsidR="00836DBE" w:rsidRPr="00A3009F">
        <w:rPr>
          <w:noProof/>
          <w:lang w:val="en-IE"/>
        </w:rPr>
        <w:t xml:space="preserve"> </w:t>
      </w:r>
    </w:p>
    <w:p w:rsidR="00EF46CD" w:rsidRPr="00A3009F" w:rsidRDefault="008D631C" w:rsidP="008D631C">
      <w:pPr>
        <w:pStyle w:val="Point3"/>
        <w:rPr>
          <w:noProof/>
          <w:lang w:val="en-IE"/>
        </w:rPr>
      </w:pPr>
      <w:r w:rsidRPr="008D631C">
        <w:t>(b)</w:t>
      </w:r>
      <w:r w:rsidRPr="008D631C">
        <w:tab/>
      </w:r>
      <w:r w:rsidR="00030496">
        <w:rPr>
          <w:noProof/>
          <w:lang w:val="en-IE"/>
        </w:rPr>
        <w:t>antigenic assays</w:t>
      </w:r>
      <w:r w:rsidR="00836DBE" w:rsidRPr="00A3009F">
        <w:rPr>
          <w:noProof/>
          <w:lang w:val="en-IE"/>
        </w:rPr>
        <w:t xml:space="preserve"> performed in a laboratory setting, such as enzyme-linked immunosorbent assays or automated immunoassays</w:t>
      </w:r>
      <w:r w:rsidR="00030496">
        <w:rPr>
          <w:noProof/>
          <w:lang w:val="en-IE"/>
        </w:rPr>
        <w:t xml:space="preserve"> for detection of viral antigens</w:t>
      </w:r>
      <w:r w:rsidR="00E07AC3" w:rsidRPr="00A3009F">
        <w:rPr>
          <w:noProof/>
          <w:lang w:val="en-IE"/>
        </w:rPr>
        <w:t>;</w:t>
      </w:r>
      <w:r w:rsidR="00EF46CD" w:rsidRPr="00A3009F">
        <w:rPr>
          <w:noProof/>
          <w:lang w:val="en-IE"/>
        </w:rPr>
        <w:t>”;</w:t>
      </w:r>
    </w:p>
    <w:p w:rsidR="00636CA7" w:rsidRDefault="008D631C" w:rsidP="008D631C">
      <w:pPr>
        <w:pStyle w:val="Point1"/>
        <w:rPr>
          <w:noProof/>
          <w:lang w:val="en-IE"/>
        </w:rPr>
      </w:pPr>
      <w:r w:rsidRPr="008D631C">
        <w:t>(2)</w:t>
      </w:r>
      <w:r w:rsidRPr="008D631C">
        <w:tab/>
      </w:r>
      <w:r w:rsidR="00636CA7">
        <w:rPr>
          <w:noProof/>
          <w:lang w:val="en-IE"/>
        </w:rPr>
        <w:t>Article 3 is amended as follows:</w:t>
      </w:r>
    </w:p>
    <w:p w:rsidR="00EF46CD" w:rsidRPr="00A3009F" w:rsidRDefault="008D631C" w:rsidP="008D631C">
      <w:pPr>
        <w:pStyle w:val="Point2"/>
        <w:rPr>
          <w:noProof/>
          <w:lang w:val="en-IE"/>
        </w:rPr>
      </w:pPr>
      <w:r w:rsidRPr="008D631C">
        <w:t>(a)</w:t>
      </w:r>
      <w:r w:rsidRPr="008D631C">
        <w:tab/>
      </w:r>
      <w:r w:rsidR="0000746E">
        <w:rPr>
          <w:noProof/>
          <w:lang w:val="en-IE"/>
        </w:rPr>
        <w:t>paragraph 1</w:t>
      </w:r>
      <w:r w:rsidR="00EF46CD" w:rsidRPr="00A3009F">
        <w:rPr>
          <w:noProof/>
          <w:lang w:val="en-IE"/>
        </w:rPr>
        <w:t xml:space="preserve"> is amended as follows:</w:t>
      </w:r>
    </w:p>
    <w:p w:rsidR="00EF46CD" w:rsidRPr="00A3009F" w:rsidRDefault="002C17D2" w:rsidP="00837676">
      <w:pPr>
        <w:pStyle w:val="PointTriple3"/>
        <w:rPr>
          <w:noProof/>
          <w:lang w:val="en-IE"/>
        </w:rPr>
      </w:pPr>
      <w:r w:rsidRPr="002C17D2">
        <w:rPr>
          <w:noProof/>
          <w:lang w:val="en-IE"/>
        </w:rPr>
        <w:t>(i</w:t>
      </w:r>
      <w:r>
        <w:rPr>
          <w:noProof/>
          <w:lang w:val="en-IE"/>
        </w:rPr>
        <w:t>)</w:t>
      </w:r>
      <w:r>
        <w:rPr>
          <w:noProof/>
          <w:lang w:val="en-IE"/>
        </w:rPr>
        <w:tab/>
      </w:r>
      <w:r w:rsidR="00EF46CD" w:rsidRPr="00A3009F">
        <w:rPr>
          <w:noProof/>
          <w:lang w:val="en-IE"/>
        </w:rPr>
        <w:t>point (b) is replaced by the following:</w:t>
      </w:r>
    </w:p>
    <w:p w:rsidR="00EF46CD" w:rsidRPr="00A3009F" w:rsidRDefault="00EF46CD" w:rsidP="00837676">
      <w:pPr>
        <w:pStyle w:val="Text4"/>
        <w:rPr>
          <w:noProof/>
          <w:lang w:val="en-IE"/>
        </w:rPr>
      </w:pPr>
      <w:r w:rsidRPr="00A3009F">
        <w:rPr>
          <w:noProof/>
          <w:lang w:val="en-IE"/>
        </w:rPr>
        <w:t>“</w:t>
      </w:r>
      <w:r w:rsidR="00E07AC3" w:rsidRPr="00A3009F">
        <w:rPr>
          <w:noProof/>
          <w:lang w:val="en-IE"/>
        </w:rPr>
        <w:t xml:space="preserve">(b) </w:t>
      </w:r>
      <w:r w:rsidR="00836DBE" w:rsidRPr="00A3009F">
        <w:rPr>
          <w:noProof/>
          <w:lang w:val="en-IE"/>
        </w:rPr>
        <w:t xml:space="preserve">a certificate confirming that the holder has been subject to a NAAT test, or an antigen test listed in the </w:t>
      </w:r>
      <w:r w:rsidR="008413A2">
        <w:rPr>
          <w:noProof/>
          <w:lang w:val="en-IE"/>
        </w:rPr>
        <w:t xml:space="preserve">EU </w:t>
      </w:r>
      <w:r w:rsidR="00836DBE" w:rsidRPr="00A3009F">
        <w:rPr>
          <w:noProof/>
          <w:lang w:val="en-IE"/>
        </w:rPr>
        <w:t>common list of COVID</w:t>
      </w:r>
      <w:r w:rsidR="00836DBE" w:rsidRPr="00A3009F">
        <w:rPr>
          <w:noProof/>
          <w:lang w:val="en-IE"/>
        </w:rPr>
        <w:noBreakHyphen/>
        <w:t>19 antigen tests</w:t>
      </w:r>
      <w:r w:rsidR="00D14648">
        <w:rPr>
          <w:noProof/>
          <w:lang w:val="en-IE"/>
        </w:rPr>
        <w:t xml:space="preserve"> agreed by the Health Security Committee</w:t>
      </w:r>
      <w:r w:rsidR="00836DBE" w:rsidRPr="00A3009F">
        <w:rPr>
          <w:noProof/>
          <w:lang w:val="en-IE"/>
        </w:rPr>
        <w:t>, carried out by health professionals or by skilled testing personnel in the Member State issuing the certificate and indicating the type of test, the date on which it was carried out and the result of the test (test certificate)</w:t>
      </w:r>
      <w:r w:rsidR="00E07AC3" w:rsidRPr="00A3009F">
        <w:rPr>
          <w:noProof/>
          <w:lang w:val="en-IE"/>
        </w:rPr>
        <w:t>;</w:t>
      </w:r>
      <w:r w:rsidRPr="00A3009F">
        <w:rPr>
          <w:noProof/>
          <w:lang w:val="en-IE"/>
        </w:rPr>
        <w:t>”;</w:t>
      </w:r>
    </w:p>
    <w:p w:rsidR="00EF46CD" w:rsidRPr="00A3009F" w:rsidRDefault="002C17D2" w:rsidP="00837676">
      <w:pPr>
        <w:pStyle w:val="PointDouble3"/>
        <w:rPr>
          <w:noProof/>
          <w:lang w:val="en-IE"/>
        </w:rPr>
      </w:pPr>
      <w:r>
        <w:rPr>
          <w:noProof/>
          <w:lang w:val="en-IE"/>
        </w:rPr>
        <w:t>(ii)</w:t>
      </w:r>
      <w:r>
        <w:rPr>
          <w:noProof/>
          <w:lang w:val="en-IE"/>
        </w:rPr>
        <w:tab/>
      </w:r>
      <w:r w:rsidR="00EF46CD" w:rsidRPr="00A3009F">
        <w:rPr>
          <w:noProof/>
          <w:lang w:val="en-IE"/>
        </w:rPr>
        <w:t xml:space="preserve">the </w:t>
      </w:r>
      <w:r w:rsidR="0000746E">
        <w:rPr>
          <w:noProof/>
          <w:lang w:val="en-IE"/>
        </w:rPr>
        <w:t xml:space="preserve">second </w:t>
      </w:r>
      <w:r w:rsidR="00EF46CD" w:rsidRPr="00A3009F">
        <w:rPr>
          <w:noProof/>
          <w:lang w:val="en-IE"/>
        </w:rPr>
        <w:t>subparagraph is replaced by the following:</w:t>
      </w:r>
    </w:p>
    <w:p w:rsidR="00EF46CD" w:rsidRDefault="00EF46CD" w:rsidP="00837676">
      <w:pPr>
        <w:pStyle w:val="Text4"/>
        <w:rPr>
          <w:noProof/>
          <w:lang w:val="en-IE"/>
        </w:rPr>
      </w:pPr>
      <w:r w:rsidRPr="00A3009F">
        <w:rPr>
          <w:noProof/>
          <w:lang w:val="en-IE"/>
        </w:rPr>
        <w:t>“</w:t>
      </w:r>
      <w:r w:rsidR="00E07AC3" w:rsidRPr="00A3009F">
        <w:rPr>
          <w:noProof/>
          <w:lang w:val="en-IE"/>
        </w:rPr>
        <w:t xml:space="preserve">The Commission shall publish the </w:t>
      </w:r>
      <w:r w:rsidR="008413A2">
        <w:rPr>
          <w:noProof/>
          <w:lang w:val="en-IE"/>
        </w:rPr>
        <w:t xml:space="preserve">EU </w:t>
      </w:r>
      <w:r w:rsidR="00D14648">
        <w:rPr>
          <w:noProof/>
          <w:lang w:val="en-IE"/>
        </w:rPr>
        <w:t xml:space="preserve">common </w:t>
      </w:r>
      <w:r w:rsidR="00E07AC3" w:rsidRPr="00A3009F">
        <w:rPr>
          <w:noProof/>
          <w:lang w:val="en-IE"/>
        </w:rPr>
        <w:t>list of COVID</w:t>
      </w:r>
      <w:r w:rsidR="00E07AC3" w:rsidRPr="00A3009F">
        <w:rPr>
          <w:noProof/>
          <w:lang w:val="en-IE"/>
        </w:rPr>
        <w:noBreakHyphen/>
        <w:t xml:space="preserve">19 antigen tests </w:t>
      </w:r>
      <w:r w:rsidR="00D14648">
        <w:rPr>
          <w:noProof/>
          <w:lang w:val="en-IE"/>
        </w:rPr>
        <w:t>agreed by the Health Security Committee</w:t>
      </w:r>
      <w:r w:rsidR="00E07AC3" w:rsidRPr="00A3009F">
        <w:rPr>
          <w:noProof/>
          <w:lang w:val="en-IE"/>
        </w:rPr>
        <w:t>, including any updates.</w:t>
      </w:r>
      <w:r w:rsidRPr="00A3009F">
        <w:rPr>
          <w:noProof/>
          <w:lang w:val="en-IE"/>
        </w:rPr>
        <w:t>”;</w:t>
      </w:r>
    </w:p>
    <w:p w:rsidR="00532DF9" w:rsidRDefault="008D631C" w:rsidP="008D631C">
      <w:pPr>
        <w:pStyle w:val="Point2"/>
        <w:rPr>
          <w:noProof/>
          <w:lang w:val="en-IE"/>
        </w:rPr>
      </w:pPr>
      <w:r w:rsidRPr="008D631C">
        <w:t>(b)</w:t>
      </w:r>
      <w:r w:rsidRPr="008D631C">
        <w:tab/>
      </w:r>
      <w:r w:rsidR="00532DF9">
        <w:rPr>
          <w:noProof/>
          <w:lang w:val="en-IE"/>
        </w:rPr>
        <w:t>paragraph 11 is amended as follows:</w:t>
      </w:r>
    </w:p>
    <w:p w:rsidR="00532DF9" w:rsidRPr="00A3009F" w:rsidRDefault="0066386C" w:rsidP="00A92D51">
      <w:pPr>
        <w:pStyle w:val="Text3"/>
        <w:rPr>
          <w:noProof/>
          <w:lang w:val="en-IE"/>
        </w:rPr>
      </w:pPr>
      <w:r>
        <w:rPr>
          <w:noProof/>
          <w:lang w:val="en-IE"/>
        </w:rPr>
        <w:t>“</w:t>
      </w:r>
      <w:r w:rsidRPr="0066386C">
        <w:rPr>
          <w:noProof/>
          <w:lang w:val="en-IE"/>
        </w:rPr>
        <w:t>Where necessary, the Commission shall ask the Health Security Committee, ECDC or EMA to issue guidance on the available scientific evidence on the effects of medical events documented in the certificates referred to in paragraph 1, in particular with regard to new SARS</w:t>
      </w:r>
      <w:r>
        <w:rPr>
          <w:noProof/>
          <w:lang w:val="en-IE"/>
        </w:rPr>
        <w:t>-</w:t>
      </w:r>
      <w:r w:rsidRPr="0066386C">
        <w:rPr>
          <w:noProof/>
          <w:lang w:val="en-IE"/>
        </w:rPr>
        <w:t>CoV</w:t>
      </w:r>
      <w:r>
        <w:rPr>
          <w:noProof/>
          <w:lang w:val="en-IE"/>
        </w:rPr>
        <w:t>-</w:t>
      </w:r>
      <w:r w:rsidRPr="0066386C">
        <w:rPr>
          <w:noProof/>
          <w:lang w:val="en-IE"/>
        </w:rPr>
        <w:t>2 variants of concern</w:t>
      </w:r>
      <w:r>
        <w:rPr>
          <w:noProof/>
          <w:lang w:val="en-IE"/>
        </w:rPr>
        <w:t xml:space="preserve">, and on </w:t>
      </w:r>
      <w:r w:rsidR="008B4DD7">
        <w:rPr>
          <w:noProof/>
          <w:lang w:val="en-IE"/>
        </w:rPr>
        <w:t xml:space="preserve">the </w:t>
      </w:r>
      <w:r w:rsidRPr="0066386C">
        <w:rPr>
          <w:noProof/>
          <w:lang w:val="en-IE"/>
        </w:rPr>
        <w:t xml:space="preserve">acceptance of </w:t>
      </w:r>
      <w:r>
        <w:rPr>
          <w:noProof/>
          <w:lang w:val="en-IE"/>
        </w:rPr>
        <w:t xml:space="preserve">COVID-19 </w:t>
      </w:r>
      <w:r w:rsidRPr="0066386C">
        <w:rPr>
          <w:noProof/>
          <w:lang w:val="en-IE"/>
        </w:rPr>
        <w:t xml:space="preserve">vaccines undergoing clinical trials in </w:t>
      </w:r>
      <w:r>
        <w:rPr>
          <w:noProof/>
          <w:lang w:val="en-IE"/>
        </w:rPr>
        <w:t>the Member States.”;</w:t>
      </w:r>
    </w:p>
    <w:p w:rsidR="00E7102A" w:rsidRPr="00A3009F" w:rsidRDefault="008D631C" w:rsidP="008D631C">
      <w:pPr>
        <w:pStyle w:val="Point1"/>
        <w:rPr>
          <w:noProof/>
          <w:lang w:val="en-IE"/>
        </w:rPr>
      </w:pPr>
      <w:r w:rsidRPr="008D631C">
        <w:t>(3)</w:t>
      </w:r>
      <w:r w:rsidRPr="008D631C">
        <w:tab/>
      </w:r>
      <w:r w:rsidR="00E7102A" w:rsidRPr="00A3009F">
        <w:rPr>
          <w:noProof/>
          <w:lang w:val="en-IE"/>
        </w:rPr>
        <w:t>Article 5 is amended as follows:</w:t>
      </w:r>
    </w:p>
    <w:p w:rsidR="00E7102A" w:rsidRPr="00A3009F" w:rsidRDefault="008D631C" w:rsidP="008D631C">
      <w:pPr>
        <w:pStyle w:val="Point2"/>
        <w:rPr>
          <w:noProof/>
          <w:lang w:val="en-IE"/>
        </w:rPr>
      </w:pPr>
      <w:r w:rsidRPr="008D631C">
        <w:t>(a)</w:t>
      </w:r>
      <w:r w:rsidRPr="008D631C">
        <w:tab/>
      </w:r>
      <w:r w:rsidR="00E7102A" w:rsidRPr="00A3009F">
        <w:rPr>
          <w:noProof/>
          <w:lang w:val="en-IE"/>
        </w:rPr>
        <w:t>in paragraph 2, point (b) is replaced by the following:</w:t>
      </w:r>
    </w:p>
    <w:p w:rsidR="00E7102A" w:rsidRPr="00A3009F" w:rsidRDefault="00E7102A" w:rsidP="00E7102A">
      <w:pPr>
        <w:pStyle w:val="Text3"/>
        <w:rPr>
          <w:noProof/>
          <w:lang w:val="en-IE"/>
        </w:rPr>
      </w:pPr>
      <w:r w:rsidRPr="00A3009F">
        <w:rPr>
          <w:noProof/>
          <w:lang w:val="en-IE"/>
        </w:rPr>
        <w:t>“</w:t>
      </w:r>
      <w:r w:rsidR="0000746E">
        <w:rPr>
          <w:noProof/>
          <w:lang w:val="en-IE"/>
        </w:rPr>
        <w:t xml:space="preserve">(b) </w:t>
      </w:r>
      <w:r w:rsidR="00836DBE" w:rsidRPr="00A3009F">
        <w:rPr>
          <w:noProof/>
          <w:lang w:val="en-IE"/>
        </w:rPr>
        <w:t>information about the COVID</w:t>
      </w:r>
      <w:r w:rsidR="00836DBE" w:rsidRPr="00A3009F">
        <w:rPr>
          <w:noProof/>
          <w:lang w:val="en-IE"/>
        </w:rPr>
        <w:noBreakHyphen/>
        <w:t xml:space="preserve">19 vaccine and the number of doses administered to the holder, regardless </w:t>
      </w:r>
      <w:r w:rsidR="00855429" w:rsidRPr="00855429">
        <w:rPr>
          <w:noProof/>
          <w:lang w:val="en-IE"/>
        </w:rPr>
        <w:t>of the Member State in which</w:t>
      </w:r>
      <w:r w:rsidR="00855429">
        <w:rPr>
          <w:noProof/>
          <w:lang w:val="en-IE"/>
        </w:rPr>
        <w:t xml:space="preserve"> </w:t>
      </w:r>
      <w:r w:rsidR="00836DBE" w:rsidRPr="00A3009F">
        <w:rPr>
          <w:noProof/>
          <w:lang w:val="en-IE"/>
        </w:rPr>
        <w:t>they have been administered</w:t>
      </w:r>
      <w:r w:rsidRPr="00A3009F">
        <w:rPr>
          <w:noProof/>
          <w:lang w:val="en-IE"/>
        </w:rPr>
        <w:t>;”;</w:t>
      </w:r>
    </w:p>
    <w:p w:rsidR="005B17A3" w:rsidRPr="00A3009F" w:rsidRDefault="008D631C" w:rsidP="008D631C">
      <w:pPr>
        <w:pStyle w:val="Point2"/>
        <w:rPr>
          <w:noProof/>
          <w:lang w:val="en-IE"/>
        </w:rPr>
      </w:pPr>
      <w:r w:rsidRPr="008D631C">
        <w:t>(b)</w:t>
      </w:r>
      <w:r w:rsidRPr="008D631C">
        <w:tab/>
      </w:r>
      <w:r w:rsidR="009019AC">
        <w:rPr>
          <w:noProof/>
          <w:lang w:val="en-IE"/>
        </w:rPr>
        <w:t xml:space="preserve">in paragraph 5, </w:t>
      </w:r>
      <w:r w:rsidR="005B17A3" w:rsidRPr="005B17A3">
        <w:rPr>
          <w:noProof/>
          <w:lang w:val="en-IE"/>
        </w:rPr>
        <w:t xml:space="preserve">the following </w:t>
      </w:r>
      <w:r w:rsidR="009019AC">
        <w:rPr>
          <w:noProof/>
          <w:lang w:val="en-IE"/>
        </w:rPr>
        <w:t>sub</w:t>
      </w:r>
      <w:r w:rsidR="005B17A3" w:rsidRPr="005B17A3">
        <w:rPr>
          <w:noProof/>
          <w:lang w:val="en-IE"/>
        </w:rPr>
        <w:t>paragraph is added</w:t>
      </w:r>
      <w:r w:rsidR="005B17A3" w:rsidRPr="00A3009F">
        <w:rPr>
          <w:noProof/>
          <w:lang w:val="en-IE"/>
        </w:rPr>
        <w:t>:</w:t>
      </w:r>
    </w:p>
    <w:p w:rsidR="005B17A3" w:rsidRPr="001941F8" w:rsidRDefault="005B17A3" w:rsidP="000C4AE9">
      <w:pPr>
        <w:pStyle w:val="Text3"/>
        <w:rPr>
          <w:noProof/>
          <w:lang w:val="en-IE"/>
        </w:rPr>
      </w:pPr>
      <w:r>
        <w:rPr>
          <w:noProof/>
          <w:lang w:val="en-IE"/>
        </w:rPr>
        <w:t>“</w:t>
      </w:r>
      <w:r w:rsidRPr="005B17A3">
        <w:rPr>
          <w:noProof/>
          <w:lang w:val="en-IE"/>
        </w:rPr>
        <w:t xml:space="preserve">Member States may also issue vaccination certificates </w:t>
      </w:r>
      <w:r w:rsidR="002D1695">
        <w:rPr>
          <w:noProof/>
        </w:rPr>
        <w:t>referred to in point (a) of Article 3(1)</w:t>
      </w:r>
      <w:r w:rsidR="002D1695" w:rsidRPr="005B17A3">
        <w:rPr>
          <w:noProof/>
          <w:lang w:val="en-IE"/>
        </w:rPr>
        <w:t xml:space="preserve"> </w:t>
      </w:r>
      <w:r w:rsidRPr="005B17A3">
        <w:rPr>
          <w:noProof/>
          <w:lang w:val="en-IE"/>
        </w:rPr>
        <w:t xml:space="preserve">to </w:t>
      </w:r>
      <w:r w:rsidRPr="00B2513A">
        <w:rPr>
          <w:noProof/>
        </w:rPr>
        <w:t>persons</w:t>
      </w:r>
      <w:r w:rsidRPr="005B17A3">
        <w:rPr>
          <w:noProof/>
          <w:lang w:val="en-IE"/>
        </w:rPr>
        <w:t xml:space="preserve"> </w:t>
      </w:r>
      <w:r>
        <w:rPr>
          <w:noProof/>
          <w:lang w:val="en-IE"/>
        </w:rPr>
        <w:t>participating in</w:t>
      </w:r>
      <w:r w:rsidRPr="005B17A3">
        <w:rPr>
          <w:noProof/>
          <w:lang w:val="en-IE"/>
        </w:rPr>
        <w:t xml:space="preserve"> clinical trials </w:t>
      </w:r>
      <w:r w:rsidR="006A71C5">
        <w:rPr>
          <w:noProof/>
          <w:lang w:val="en-IE"/>
        </w:rPr>
        <w:t xml:space="preserve">that concern a COVID-19 vaccine and </w:t>
      </w:r>
      <w:r w:rsidRPr="005B17A3">
        <w:rPr>
          <w:noProof/>
          <w:lang w:val="en-IE"/>
        </w:rPr>
        <w:t>that have been approved by Member States’ ethical committees and competent authorities</w:t>
      </w:r>
      <w:r>
        <w:rPr>
          <w:noProof/>
          <w:lang w:val="en-IE"/>
        </w:rPr>
        <w:t xml:space="preserve">, regardless whether they have </w:t>
      </w:r>
      <w:r w:rsidR="002D1695">
        <w:rPr>
          <w:noProof/>
          <w:lang w:val="en-IE"/>
        </w:rPr>
        <w:t xml:space="preserve">been administered </w:t>
      </w:r>
      <w:r>
        <w:rPr>
          <w:noProof/>
          <w:lang w:val="en-IE"/>
        </w:rPr>
        <w:t xml:space="preserve">the vaccine candidate or </w:t>
      </w:r>
      <w:r w:rsidR="002D1695">
        <w:rPr>
          <w:noProof/>
          <w:lang w:val="en-IE"/>
        </w:rPr>
        <w:t>the dose administered to</w:t>
      </w:r>
      <w:r>
        <w:rPr>
          <w:noProof/>
          <w:lang w:val="en-IE"/>
        </w:rPr>
        <w:t xml:space="preserve"> the control group.</w:t>
      </w:r>
      <w:r w:rsidR="002D1695">
        <w:rPr>
          <w:noProof/>
          <w:lang w:val="en-IE"/>
        </w:rPr>
        <w:t xml:space="preserve"> </w:t>
      </w:r>
      <w:r w:rsidR="00D3298E">
        <w:rPr>
          <w:noProof/>
          <w:lang w:val="en-IE"/>
        </w:rPr>
        <w:t xml:space="preserve">The information about the COVID-19 vaccine to be </w:t>
      </w:r>
      <w:r w:rsidR="00D3298E" w:rsidRPr="00B2513A">
        <w:rPr>
          <w:noProof/>
        </w:rPr>
        <w:t>included in the vaccination certificate in accordance with the specific data fields set out in point 1 of the Annex</w:t>
      </w:r>
      <w:r w:rsidR="00D3298E">
        <w:rPr>
          <w:noProof/>
        </w:rPr>
        <w:t xml:space="preserve"> shall not undermine the integrity of the clinical trial.</w:t>
      </w:r>
      <w:r w:rsidR="00D3298E">
        <w:rPr>
          <w:noProof/>
          <w:lang w:val="en-IE"/>
        </w:rPr>
        <w:t xml:space="preserve"> </w:t>
      </w:r>
      <w:r w:rsidR="002D1695">
        <w:rPr>
          <w:noProof/>
          <w:lang w:val="en-IE"/>
        </w:rPr>
        <w:t>Member States may accept vaccination certificates</w:t>
      </w:r>
      <w:r w:rsidR="001F5492">
        <w:rPr>
          <w:noProof/>
          <w:lang w:val="en-IE"/>
        </w:rPr>
        <w:t xml:space="preserve"> </w:t>
      </w:r>
      <w:r w:rsidR="00A92F5D">
        <w:rPr>
          <w:noProof/>
          <w:lang w:val="en-IE"/>
        </w:rPr>
        <w:t xml:space="preserve">issued </w:t>
      </w:r>
      <w:r w:rsidR="00837676">
        <w:rPr>
          <w:noProof/>
          <w:lang w:val="en-IE"/>
        </w:rPr>
        <w:t xml:space="preserve">by other Member States </w:t>
      </w:r>
      <w:r w:rsidR="002D1695">
        <w:rPr>
          <w:noProof/>
          <w:lang w:val="en-IE"/>
        </w:rPr>
        <w:t>in accorda</w:t>
      </w:r>
      <w:r w:rsidR="001F5492">
        <w:rPr>
          <w:noProof/>
          <w:lang w:val="en-IE"/>
        </w:rPr>
        <w:t xml:space="preserve">nce with this paragraph </w:t>
      </w:r>
      <w:r w:rsidR="001F5492" w:rsidRPr="00B2513A">
        <w:rPr>
          <w:noProof/>
        </w:rPr>
        <w:t xml:space="preserve">in order to waive restrictions to free </w:t>
      </w:r>
      <w:r w:rsidR="001F5492" w:rsidRPr="00F01AB1">
        <w:rPr>
          <w:noProof/>
        </w:rPr>
        <w:t>movement put in place, in accordance with Union law, to limit the spread of SARS</w:t>
      </w:r>
      <w:r w:rsidR="001F5492" w:rsidRPr="00F01AB1">
        <w:rPr>
          <w:noProof/>
        </w:rPr>
        <w:noBreakHyphen/>
        <w:t>CoV</w:t>
      </w:r>
      <w:r w:rsidR="001F5492" w:rsidRPr="00F01AB1">
        <w:rPr>
          <w:noProof/>
        </w:rPr>
        <w:noBreakHyphen/>
        <w:t>2</w:t>
      </w:r>
      <w:r w:rsidR="001F5492">
        <w:rPr>
          <w:noProof/>
        </w:rPr>
        <w:t>.”;</w:t>
      </w:r>
    </w:p>
    <w:p w:rsidR="00E7102A" w:rsidRPr="00A3009F" w:rsidRDefault="008D631C" w:rsidP="008D631C">
      <w:pPr>
        <w:pStyle w:val="Point1"/>
        <w:rPr>
          <w:noProof/>
          <w:lang w:val="en-IE"/>
        </w:rPr>
      </w:pPr>
      <w:r w:rsidRPr="008D631C">
        <w:t>(4)</w:t>
      </w:r>
      <w:r w:rsidRPr="008D631C">
        <w:tab/>
      </w:r>
      <w:r w:rsidR="00E7102A" w:rsidRPr="00A3009F">
        <w:rPr>
          <w:noProof/>
          <w:lang w:val="en-IE"/>
        </w:rPr>
        <w:t>in Article 6(2), point (b) is replaced by the following:</w:t>
      </w:r>
    </w:p>
    <w:p w:rsidR="00E7102A" w:rsidRPr="00A3009F" w:rsidRDefault="00E7102A" w:rsidP="00837676">
      <w:pPr>
        <w:pStyle w:val="Text2"/>
        <w:rPr>
          <w:noProof/>
          <w:lang w:val="en-IE"/>
        </w:rPr>
      </w:pPr>
      <w:r w:rsidRPr="00A3009F">
        <w:rPr>
          <w:noProof/>
          <w:lang w:val="en-IE"/>
        </w:rPr>
        <w:t xml:space="preserve">“(b) </w:t>
      </w:r>
      <w:r w:rsidR="00E07AC3" w:rsidRPr="00A3009F">
        <w:rPr>
          <w:noProof/>
          <w:lang w:val="en-IE"/>
        </w:rPr>
        <w:t>information about the NAAT test or antigen test to which the holder was subject</w:t>
      </w:r>
      <w:r w:rsidRPr="00A3009F">
        <w:rPr>
          <w:noProof/>
          <w:lang w:val="en-IE"/>
        </w:rPr>
        <w:t>;”;</w:t>
      </w:r>
    </w:p>
    <w:p w:rsidR="00A76FFD" w:rsidRPr="00A3009F" w:rsidRDefault="008D631C" w:rsidP="008D631C">
      <w:pPr>
        <w:pStyle w:val="Point1"/>
        <w:rPr>
          <w:noProof/>
          <w:lang w:val="en-IE"/>
        </w:rPr>
      </w:pPr>
      <w:r w:rsidRPr="008D631C">
        <w:t>(5)</w:t>
      </w:r>
      <w:r w:rsidRPr="008D631C">
        <w:tab/>
      </w:r>
      <w:r w:rsidR="00A76FFD" w:rsidRPr="00A3009F">
        <w:rPr>
          <w:noProof/>
          <w:lang w:val="en-IE"/>
        </w:rPr>
        <w:t>in Article 7, paragraph 4 is replaced by the following:</w:t>
      </w:r>
    </w:p>
    <w:p w:rsidR="00A76FFD" w:rsidRPr="00A3009F" w:rsidRDefault="00A76FFD" w:rsidP="00837676">
      <w:pPr>
        <w:pStyle w:val="Text2"/>
        <w:rPr>
          <w:noProof/>
          <w:lang w:val="en-IE"/>
        </w:rPr>
      </w:pPr>
      <w:r w:rsidRPr="00A3009F">
        <w:rPr>
          <w:noProof/>
          <w:lang w:val="en-IE"/>
        </w:rPr>
        <w:t>“</w:t>
      </w:r>
      <w:r w:rsidR="0000746E">
        <w:rPr>
          <w:noProof/>
          <w:lang w:val="en-IE"/>
        </w:rPr>
        <w:t xml:space="preserve">4. </w:t>
      </w:r>
      <w:r w:rsidRPr="00A3009F">
        <w:rPr>
          <w:noProof/>
          <w:lang w:val="en-IE"/>
        </w:rPr>
        <w:t>On the basis of guidance received pursuant to Article 3(11), the Commission is empowered to adopt delegated acts in accordance with Article 12 to amend paragraph 1 of this Article and point (c) of Article 3(1) to allow for the issuance of the certificate of recovery on the basis of a positive antigen test, antibody test, including a serological test for antibodies against SARS</w:t>
      </w:r>
      <w:r w:rsidRPr="00A3009F">
        <w:rPr>
          <w:noProof/>
          <w:lang w:val="en-IE"/>
        </w:rPr>
        <w:noBreakHyphen/>
        <w:t>CoV</w:t>
      </w:r>
      <w:r w:rsidRPr="00A3009F">
        <w:rPr>
          <w:noProof/>
          <w:lang w:val="en-IE"/>
        </w:rPr>
        <w:noBreakHyphen/>
        <w:t>2, or any other scientifically validated method. Such delegated acts shall also amend point 3 of the Annex by adding, modifying or removing the data fields falling under the categories of personal data referred to in points (b) and (c) of paragraph 2 of this Article.”;</w:t>
      </w:r>
    </w:p>
    <w:p w:rsidR="007017F7" w:rsidRPr="00A3009F" w:rsidRDefault="008D631C" w:rsidP="008D631C">
      <w:pPr>
        <w:pStyle w:val="Point1"/>
        <w:rPr>
          <w:noProof/>
          <w:lang w:val="en-IE"/>
        </w:rPr>
      </w:pPr>
      <w:r w:rsidRPr="008D631C">
        <w:t>(6)</w:t>
      </w:r>
      <w:r w:rsidRPr="008D631C">
        <w:tab/>
      </w:r>
      <w:r w:rsidR="0092434B" w:rsidRPr="00A3009F">
        <w:rPr>
          <w:noProof/>
          <w:lang w:val="en-IE"/>
        </w:rPr>
        <w:t>i</w:t>
      </w:r>
      <w:r w:rsidR="007017F7" w:rsidRPr="00A3009F">
        <w:rPr>
          <w:noProof/>
          <w:lang w:val="en-IE"/>
        </w:rPr>
        <w:t>n Article 1</w:t>
      </w:r>
      <w:r w:rsidR="000C0F57" w:rsidRPr="00A3009F">
        <w:rPr>
          <w:noProof/>
          <w:lang w:val="en-IE"/>
        </w:rPr>
        <w:t xml:space="preserve">2, </w:t>
      </w:r>
      <w:r w:rsidR="007017F7" w:rsidRPr="00A3009F">
        <w:rPr>
          <w:noProof/>
          <w:lang w:val="en-IE"/>
        </w:rPr>
        <w:t>paragraph</w:t>
      </w:r>
      <w:r w:rsidR="000C0F57" w:rsidRPr="00A3009F">
        <w:rPr>
          <w:noProof/>
          <w:lang w:val="en-IE"/>
        </w:rPr>
        <w:t xml:space="preserve"> 2</w:t>
      </w:r>
      <w:r w:rsidR="007017F7" w:rsidRPr="00A3009F">
        <w:rPr>
          <w:noProof/>
          <w:lang w:val="en-IE"/>
        </w:rPr>
        <w:t xml:space="preserve"> is replaced by the following:</w:t>
      </w:r>
    </w:p>
    <w:p w:rsidR="007017F7" w:rsidRPr="00A3009F" w:rsidRDefault="007017F7" w:rsidP="00837676">
      <w:pPr>
        <w:pStyle w:val="Text2"/>
        <w:rPr>
          <w:noProof/>
          <w:lang w:val="en-IE"/>
        </w:rPr>
      </w:pPr>
      <w:r w:rsidRPr="00A3009F">
        <w:rPr>
          <w:noProof/>
          <w:lang w:val="en-IE"/>
        </w:rPr>
        <w:t>“</w:t>
      </w:r>
      <w:r w:rsidR="000C0F57" w:rsidRPr="00A3009F">
        <w:rPr>
          <w:noProof/>
          <w:lang w:val="en-IE"/>
        </w:rPr>
        <w:t>2. The power to adopt delegated acts referred to in Article 5(2), Article 6(2) and Article 7(1) and (2) shall be conferred on the Commission for a period of 24 months from 1 July 2021</w:t>
      </w:r>
      <w:r w:rsidR="0092434B" w:rsidRPr="00A3009F">
        <w:rPr>
          <w:noProof/>
          <w:lang w:val="en-IE"/>
        </w:rPr>
        <w:t>.”;</w:t>
      </w:r>
    </w:p>
    <w:p w:rsidR="000C0F57" w:rsidRPr="00A3009F" w:rsidRDefault="008D631C" w:rsidP="008D631C">
      <w:pPr>
        <w:pStyle w:val="Point1"/>
        <w:rPr>
          <w:noProof/>
          <w:lang w:val="en-IE"/>
        </w:rPr>
      </w:pPr>
      <w:r w:rsidRPr="008D631C">
        <w:t>(7)</w:t>
      </w:r>
      <w:r w:rsidRPr="008D631C">
        <w:tab/>
      </w:r>
      <w:r w:rsidR="000C0F57" w:rsidRPr="00A3009F">
        <w:rPr>
          <w:noProof/>
          <w:lang w:val="en-IE"/>
        </w:rPr>
        <w:t>in Article 13, paragraph 2 is replaced by the following:</w:t>
      </w:r>
    </w:p>
    <w:p w:rsidR="000C0F57" w:rsidRPr="00A3009F" w:rsidRDefault="000C0F57" w:rsidP="00837676">
      <w:pPr>
        <w:pStyle w:val="Text2"/>
        <w:rPr>
          <w:noProof/>
          <w:lang w:val="en-IE"/>
        </w:rPr>
      </w:pPr>
      <w:r w:rsidRPr="00A3009F">
        <w:rPr>
          <w:noProof/>
          <w:lang w:val="en-IE"/>
        </w:rPr>
        <w:t>“2. Either the European Parliament or the Council may object to a delegated act in accordance with the procedure referred to in Article 12(6). In such a case, the Commission shall repeal the act immediately following the notification of the decision to object by the European Parliament or by the Council.”;</w:t>
      </w:r>
    </w:p>
    <w:p w:rsidR="002F48E2" w:rsidRPr="00A3009F" w:rsidRDefault="008D631C" w:rsidP="008D631C">
      <w:pPr>
        <w:pStyle w:val="Point1"/>
        <w:rPr>
          <w:noProof/>
          <w:lang w:val="en-IE"/>
        </w:rPr>
      </w:pPr>
      <w:r w:rsidRPr="008D631C">
        <w:t>(8)</w:t>
      </w:r>
      <w:r w:rsidRPr="008D631C">
        <w:tab/>
      </w:r>
      <w:r w:rsidR="0092434B" w:rsidRPr="00A3009F">
        <w:rPr>
          <w:noProof/>
          <w:lang w:val="en-IE"/>
        </w:rPr>
        <w:t>i</w:t>
      </w:r>
      <w:r w:rsidR="002F48E2" w:rsidRPr="00A3009F">
        <w:rPr>
          <w:noProof/>
          <w:lang w:val="en-IE"/>
        </w:rPr>
        <w:t>n Article 17, the second paragraph is replaced by the following:</w:t>
      </w:r>
    </w:p>
    <w:p w:rsidR="00322C13" w:rsidRPr="00A3009F" w:rsidRDefault="002F48E2" w:rsidP="00837676">
      <w:pPr>
        <w:pStyle w:val="Text2"/>
        <w:rPr>
          <w:noProof/>
          <w:lang w:val="en-IE"/>
        </w:rPr>
      </w:pPr>
      <w:r w:rsidRPr="00A3009F">
        <w:rPr>
          <w:noProof/>
          <w:lang w:val="en-IE"/>
        </w:rPr>
        <w:t>“It shall ap</w:t>
      </w:r>
      <w:r w:rsidR="0019102B" w:rsidRPr="00A3009F">
        <w:rPr>
          <w:noProof/>
          <w:lang w:val="en-IE"/>
        </w:rPr>
        <w:t>ply from 1 July 2021 to 30 June</w:t>
      </w:r>
      <w:r w:rsidRPr="00A3009F">
        <w:rPr>
          <w:noProof/>
          <w:lang w:val="en-IE"/>
        </w:rPr>
        <w:t xml:space="preserve"> </w:t>
      </w:r>
      <w:r w:rsidR="00481CF2" w:rsidRPr="00A3009F">
        <w:rPr>
          <w:noProof/>
          <w:lang w:val="en-IE"/>
        </w:rPr>
        <w:t>2023</w:t>
      </w:r>
      <w:r w:rsidR="00E07AC3" w:rsidRPr="00A3009F">
        <w:rPr>
          <w:noProof/>
          <w:lang w:val="en-IE"/>
        </w:rPr>
        <w:t>.”;</w:t>
      </w:r>
    </w:p>
    <w:p w:rsidR="00E07AC3" w:rsidRPr="00A3009F" w:rsidRDefault="008D631C" w:rsidP="008D631C">
      <w:pPr>
        <w:pStyle w:val="Point1"/>
        <w:rPr>
          <w:noProof/>
          <w:lang w:val="en-IE"/>
        </w:rPr>
      </w:pPr>
      <w:r w:rsidRPr="008D631C">
        <w:t>(9)</w:t>
      </w:r>
      <w:r w:rsidRPr="008D631C">
        <w:tab/>
      </w:r>
      <w:r w:rsidR="00E07AC3" w:rsidRPr="00A3009F">
        <w:rPr>
          <w:noProof/>
          <w:lang w:val="en-IE"/>
        </w:rPr>
        <w:t xml:space="preserve">in the Annex, point </w:t>
      </w:r>
      <w:r w:rsidR="0000746E">
        <w:rPr>
          <w:noProof/>
          <w:lang w:val="en-IE"/>
        </w:rPr>
        <w:t>2</w:t>
      </w:r>
      <w:r w:rsidR="00E07AC3" w:rsidRPr="00A3009F">
        <w:rPr>
          <w:noProof/>
          <w:lang w:val="en-IE"/>
        </w:rPr>
        <w:t>(i) is replaced by the following:</w:t>
      </w:r>
    </w:p>
    <w:p w:rsidR="00E07AC3" w:rsidRPr="00A3009F" w:rsidRDefault="00E07AC3" w:rsidP="00837676">
      <w:pPr>
        <w:pStyle w:val="Text2"/>
        <w:rPr>
          <w:noProof/>
          <w:lang w:val="en-IE"/>
        </w:rPr>
      </w:pPr>
      <w:r w:rsidRPr="00A3009F">
        <w:rPr>
          <w:noProof/>
          <w:lang w:val="en-IE"/>
        </w:rPr>
        <w:t>“(i) testing centre or facility (optional for antigen test);”.</w:t>
      </w:r>
    </w:p>
    <w:p w:rsidR="00322C13" w:rsidRPr="00A3009F" w:rsidRDefault="00322C13" w:rsidP="00F11F0D">
      <w:pPr>
        <w:pStyle w:val="Titrearticle"/>
        <w:rPr>
          <w:noProof/>
          <w:lang w:val="en-IE"/>
        </w:rPr>
      </w:pPr>
      <w:r w:rsidRPr="00A3009F">
        <w:rPr>
          <w:noProof/>
          <w:lang w:val="en-IE"/>
        </w:rPr>
        <w:t xml:space="preserve">Article </w:t>
      </w:r>
      <w:r w:rsidR="007017F7" w:rsidRPr="00A3009F">
        <w:rPr>
          <w:noProof/>
          <w:lang w:val="en-IE"/>
        </w:rPr>
        <w:t>3</w:t>
      </w:r>
    </w:p>
    <w:p w:rsidR="00322C13" w:rsidRPr="00A3009F" w:rsidRDefault="001416B3" w:rsidP="00F11F0D">
      <w:pPr>
        <w:rPr>
          <w:noProof/>
          <w:lang w:val="en-IE"/>
        </w:rPr>
      </w:pPr>
      <w:r w:rsidRPr="00A3009F">
        <w:rPr>
          <w:noProof/>
          <w:lang w:val="en-IE"/>
        </w:rPr>
        <w:t>This Regulation shall enter into force on the third day following that of its publication</w:t>
      </w:r>
      <w:r w:rsidR="00322C13" w:rsidRPr="00A3009F">
        <w:rPr>
          <w:noProof/>
          <w:lang w:val="en-IE"/>
        </w:rPr>
        <w:t xml:space="preserve"> in the </w:t>
      </w:r>
      <w:r w:rsidR="00322C13" w:rsidRPr="00A3009F">
        <w:rPr>
          <w:i/>
          <w:noProof/>
          <w:lang w:val="en-IE"/>
        </w:rPr>
        <w:t>Official Journal of the European Union</w:t>
      </w:r>
      <w:r w:rsidR="00322C13" w:rsidRPr="00A3009F">
        <w:rPr>
          <w:noProof/>
          <w:lang w:val="en-IE"/>
        </w:rPr>
        <w:t>.</w:t>
      </w:r>
    </w:p>
    <w:p w:rsidR="00322C13" w:rsidRPr="00A3009F" w:rsidRDefault="00322C13" w:rsidP="00F11F0D">
      <w:pPr>
        <w:pStyle w:val="Applicationdirecte"/>
        <w:rPr>
          <w:noProof/>
          <w:lang w:val="en-IE"/>
        </w:rPr>
      </w:pPr>
      <w:r w:rsidRPr="00A3009F">
        <w:rPr>
          <w:noProof/>
          <w:lang w:val="en-IE"/>
        </w:rPr>
        <w:t>This Regulation shall be binding in its entirety and directly applicable in all Member States.</w:t>
      </w:r>
    </w:p>
    <w:p w:rsidR="00322C13" w:rsidRPr="00A3009F" w:rsidRDefault="008A266C" w:rsidP="0043295D">
      <w:pPr>
        <w:pStyle w:val="Fait"/>
        <w:rPr>
          <w:noProof/>
          <w:lang w:val="en-IE"/>
        </w:rPr>
      </w:pPr>
      <w:r w:rsidRPr="008A266C">
        <w:t>Done at Brussels,</w:t>
      </w:r>
    </w:p>
    <w:p w:rsidR="00322C13" w:rsidRPr="00A3009F" w:rsidRDefault="00322C13" w:rsidP="0043295D">
      <w:pPr>
        <w:pStyle w:val="Institutionquisigne"/>
        <w:rPr>
          <w:noProof/>
          <w:lang w:val="en-IE"/>
        </w:rPr>
      </w:pPr>
      <w:r w:rsidRPr="00A3009F">
        <w:rPr>
          <w:noProof/>
          <w:lang w:val="en-IE"/>
        </w:rPr>
        <w:t>For the European Parliament</w:t>
      </w:r>
      <w:r w:rsidRPr="00A3009F">
        <w:rPr>
          <w:noProof/>
          <w:lang w:val="en-IE"/>
        </w:rPr>
        <w:tab/>
        <w:t>For the Council</w:t>
      </w:r>
    </w:p>
    <w:p w:rsidR="00F910D9" w:rsidRPr="00F910D9" w:rsidRDefault="00322C13" w:rsidP="00BB4930">
      <w:pPr>
        <w:pStyle w:val="Personnequisigne"/>
        <w:rPr>
          <w:noProof/>
          <w:lang w:val="en-IE"/>
        </w:rPr>
      </w:pPr>
      <w:r w:rsidRPr="00A3009F">
        <w:rPr>
          <w:noProof/>
          <w:lang w:val="en-IE"/>
        </w:rPr>
        <w:t>The President</w:t>
      </w:r>
      <w:r w:rsidRPr="00A3009F">
        <w:rPr>
          <w:noProof/>
          <w:lang w:val="en-IE"/>
        </w:rPr>
        <w:tab/>
        <w:t>The President</w:t>
      </w:r>
    </w:p>
    <w:p w:rsidR="007D02A8" w:rsidRDefault="007D02A8" w:rsidP="007D02A8">
      <w:pPr>
        <w:rPr>
          <w:noProof/>
        </w:rPr>
        <w:sectPr w:rsidR="007D02A8" w:rsidSect="00BD72CF">
          <w:footnotePr>
            <w:numRestart w:val="eachSect"/>
          </w:footnotePr>
          <w:pgSz w:w="11907" w:h="16839"/>
          <w:pgMar w:top="1134" w:right="1417" w:bottom="1134" w:left="1417" w:header="709" w:footer="709" w:gutter="0"/>
          <w:cols w:space="708"/>
          <w:docGrid w:linePitch="360"/>
        </w:sectPr>
      </w:pPr>
    </w:p>
    <w:p w:rsidR="007D02A8" w:rsidRPr="00D925BB" w:rsidRDefault="007D02A8" w:rsidP="007D02A8">
      <w:pPr>
        <w:pStyle w:val="Fichefinanciretitre"/>
        <w:rPr>
          <w:noProof/>
        </w:rPr>
      </w:pPr>
      <w:r w:rsidRPr="00D925BB">
        <w:rPr>
          <w:noProof/>
        </w:rPr>
        <w:t>LEGISLATIVE FINANCIAL STATEMENT</w:t>
      </w:r>
    </w:p>
    <w:p w:rsidR="007D02A8" w:rsidRPr="00D925BB" w:rsidRDefault="007D02A8" w:rsidP="007D02A8">
      <w:pPr>
        <w:pStyle w:val="ManualHeading1"/>
        <w:rPr>
          <w:noProof/>
        </w:rPr>
      </w:pPr>
      <w:r w:rsidRPr="00D925BB">
        <w:rPr>
          <w:noProof/>
        </w:rPr>
        <w:t>1.</w:t>
      </w:r>
      <w:r w:rsidRPr="00D925BB">
        <w:rPr>
          <w:noProof/>
        </w:rPr>
        <w:tab/>
        <w:t xml:space="preserve">FRAMEWORK OF THE PROPOSAL/INITIATIVE </w:t>
      </w:r>
    </w:p>
    <w:p w:rsidR="007D02A8" w:rsidRPr="00D925BB" w:rsidRDefault="007D02A8" w:rsidP="007D02A8">
      <w:pPr>
        <w:pStyle w:val="ManualHeading2"/>
        <w:rPr>
          <w:b w:val="0"/>
          <w:noProof/>
        </w:rPr>
      </w:pPr>
      <w:r w:rsidRPr="00D925BB">
        <w:rPr>
          <w:noProof/>
        </w:rPr>
        <w:tab/>
      </w:r>
      <w:r w:rsidRPr="00D925BB">
        <w:rPr>
          <w:b w:val="0"/>
          <w:noProof/>
        </w:rPr>
        <w:t>1.1.</w:t>
      </w:r>
      <w:r w:rsidRPr="00D925BB">
        <w:rPr>
          <w:b w:val="0"/>
          <w:noProof/>
        </w:rPr>
        <w:tab/>
        <w:t xml:space="preserve">Title of the proposal/initiative </w:t>
      </w:r>
    </w:p>
    <w:p w:rsidR="007D02A8" w:rsidRPr="00D925BB" w:rsidRDefault="007D02A8" w:rsidP="007D02A8">
      <w:pPr>
        <w:pStyle w:val="ManualHeading2"/>
        <w:rPr>
          <w:b w:val="0"/>
          <w:noProof/>
        </w:rPr>
      </w:pPr>
      <w:r w:rsidRPr="00D925BB">
        <w:rPr>
          <w:b w:val="0"/>
          <w:noProof/>
        </w:rPr>
        <w:tab/>
        <w:t>1.2.</w:t>
      </w:r>
      <w:r w:rsidRPr="00D925BB">
        <w:rPr>
          <w:b w:val="0"/>
          <w:noProof/>
        </w:rPr>
        <w:tab/>
      </w:r>
      <w:bookmarkStart w:id="1" w:name="_Toc514938011"/>
      <w:bookmarkStart w:id="2" w:name="_Toc520485027"/>
      <w:r w:rsidRPr="00D925BB">
        <w:rPr>
          <w:b w:val="0"/>
          <w:noProof/>
        </w:rPr>
        <w:t>Policy area(s) concerned</w:t>
      </w:r>
      <w:bookmarkEnd w:id="1"/>
      <w:bookmarkEnd w:id="2"/>
    </w:p>
    <w:p w:rsidR="007D02A8" w:rsidRPr="00D925BB" w:rsidRDefault="007D02A8" w:rsidP="007D02A8">
      <w:pPr>
        <w:pStyle w:val="ManualHeading2"/>
        <w:rPr>
          <w:b w:val="0"/>
          <w:noProof/>
        </w:rPr>
      </w:pPr>
      <w:r w:rsidRPr="00D925BB">
        <w:rPr>
          <w:b w:val="0"/>
          <w:noProof/>
        </w:rPr>
        <w:tab/>
        <w:t>1.3.</w:t>
      </w:r>
      <w:r w:rsidRPr="00D925BB">
        <w:rPr>
          <w:b w:val="0"/>
          <w:noProof/>
        </w:rPr>
        <w:tab/>
        <w:t xml:space="preserve">Nature of the proposal/initiative </w:t>
      </w:r>
    </w:p>
    <w:p w:rsidR="007D02A8" w:rsidRPr="00D925BB" w:rsidRDefault="007D02A8" w:rsidP="007D02A8">
      <w:pPr>
        <w:pStyle w:val="ManualHeading2"/>
        <w:rPr>
          <w:b w:val="0"/>
          <w:noProof/>
        </w:rPr>
      </w:pPr>
      <w:r w:rsidRPr="00D925BB">
        <w:rPr>
          <w:b w:val="0"/>
          <w:noProof/>
        </w:rPr>
        <w:tab/>
        <w:t>1.4.</w:t>
      </w:r>
      <w:r w:rsidRPr="00D925BB">
        <w:rPr>
          <w:b w:val="0"/>
          <w:noProof/>
        </w:rPr>
        <w:tab/>
        <w:t xml:space="preserve">Objective(s) </w:t>
      </w:r>
    </w:p>
    <w:p w:rsidR="007D02A8" w:rsidRPr="00D925BB" w:rsidRDefault="007D02A8" w:rsidP="007D02A8">
      <w:pPr>
        <w:pStyle w:val="ManualHeading3"/>
        <w:rPr>
          <w:noProof/>
        </w:rPr>
      </w:pPr>
      <w:r w:rsidRPr="00D925BB">
        <w:rPr>
          <w:noProof/>
        </w:rPr>
        <w:tab/>
        <w:t>1.4.1</w:t>
      </w:r>
      <w:r w:rsidRPr="00D925BB">
        <w:rPr>
          <w:noProof/>
        </w:rPr>
        <w:tab/>
        <w:t>General objective(s)</w:t>
      </w:r>
    </w:p>
    <w:p w:rsidR="007D02A8" w:rsidRPr="00D925BB" w:rsidRDefault="007D02A8" w:rsidP="007D02A8">
      <w:pPr>
        <w:pStyle w:val="ManualHeading3"/>
        <w:rPr>
          <w:noProof/>
        </w:rPr>
      </w:pPr>
      <w:r w:rsidRPr="00D925BB">
        <w:rPr>
          <w:noProof/>
        </w:rPr>
        <w:tab/>
        <w:t>1.4.2</w:t>
      </w:r>
      <w:r w:rsidRPr="00D925BB">
        <w:rPr>
          <w:noProof/>
        </w:rPr>
        <w:tab/>
        <w:t>Specific objective(s)</w:t>
      </w:r>
    </w:p>
    <w:p w:rsidR="007D02A8" w:rsidRPr="00D925BB" w:rsidRDefault="007D02A8" w:rsidP="007D02A8">
      <w:pPr>
        <w:pStyle w:val="ManualHeading3"/>
        <w:rPr>
          <w:noProof/>
        </w:rPr>
      </w:pPr>
      <w:r w:rsidRPr="00D925BB">
        <w:rPr>
          <w:noProof/>
        </w:rPr>
        <w:tab/>
        <w:t>1.4.3</w:t>
      </w:r>
      <w:r w:rsidRPr="00D925BB">
        <w:rPr>
          <w:noProof/>
        </w:rPr>
        <w:tab/>
        <w:t>Expected result(s) and impact</w:t>
      </w:r>
    </w:p>
    <w:p w:rsidR="007D02A8" w:rsidRPr="00D925BB" w:rsidRDefault="007D02A8" w:rsidP="007D02A8">
      <w:pPr>
        <w:pStyle w:val="ManualHeading3"/>
        <w:rPr>
          <w:noProof/>
        </w:rPr>
      </w:pPr>
      <w:r w:rsidRPr="00D925BB">
        <w:rPr>
          <w:noProof/>
        </w:rPr>
        <w:tab/>
        <w:t>1.4.4</w:t>
      </w:r>
      <w:r w:rsidRPr="00D925BB">
        <w:rPr>
          <w:noProof/>
        </w:rPr>
        <w:tab/>
        <w:t>Indicators of performance</w:t>
      </w:r>
    </w:p>
    <w:p w:rsidR="007D02A8" w:rsidRPr="00D925BB" w:rsidRDefault="007D02A8" w:rsidP="007D02A8">
      <w:pPr>
        <w:pStyle w:val="ManualHeading2"/>
        <w:rPr>
          <w:b w:val="0"/>
          <w:noProof/>
        </w:rPr>
      </w:pPr>
      <w:r w:rsidRPr="00D925BB">
        <w:rPr>
          <w:b w:val="0"/>
          <w:noProof/>
        </w:rPr>
        <w:tab/>
        <w:t>1.5.</w:t>
      </w:r>
      <w:r w:rsidRPr="00D925BB">
        <w:rPr>
          <w:b w:val="0"/>
          <w:noProof/>
        </w:rPr>
        <w:tab/>
        <w:t xml:space="preserve">Grounds for the proposal/initiative </w:t>
      </w:r>
    </w:p>
    <w:p w:rsidR="007D02A8" w:rsidRPr="00D925BB" w:rsidRDefault="007D02A8" w:rsidP="007D02A8">
      <w:pPr>
        <w:pStyle w:val="ManualHeading3"/>
        <w:rPr>
          <w:noProof/>
        </w:rPr>
      </w:pPr>
      <w:r w:rsidRPr="00D925BB">
        <w:rPr>
          <w:noProof/>
        </w:rPr>
        <w:tab/>
        <w:t>1.5.1</w:t>
      </w:r>
      <w:r w:rsidRPr="00D925BB">
        <w:rPr>
          <w:noProof/>
        </w:rPr>
        <w:tab/>
        <w:t>Requirement(s) to be met in the short or long term including a detailed timeline for roll-out of the implementation of the initiative</w:t>
      </w:r>
    </w:p>
    <w:p w:rsidR="007D02A8" w:rsidRPr="00D925BB" w:rsidRDefault="007D02A8" w:rsidP="007D02A8">
      <w:pPr>
        <w:pStyle w:val="ManualHeading3"/>
        <w:rPr>
          <w:noProof/>
        </w:rPr>
      </w:pPr>
      <w:r w:rsidRPr="00D925BB">
        <w:rPr>
          <w:noProof/>
        </w:rPr>
        <w:tab/>
        <w:t>1.5.2</w:t>
      </w:r>
      <w:r w:rsidRPr="00D925BB">
        <w:rPr>
          <w:noProof/>
        </w:rPr>
        <w:tab/>
        <w:t>Added value of Union involvement</w:t>
      </w:r>
    </w:p>
    <w:p w:rsidR="007D02A8" w:rsidRPr="00D925BB" w:rsidRDefault="007D02A8" w:rsidP="007D02A8">
      <w:pPr>
        <w:pStyle w:val="ManualHeading3"/>
        <w:rPr>
          <w:noProof/>
        </w:rPr>
      </w:pPr>
      <w:r w:rsidRPr="00D925BB">
        <w:rPr>
          <w:noProof/>
        </w:rPr>
        <w:tab/>
        <w:t>1.5.3</w:t>
      </w:r>
      <w:r w:rsidRPr="00D925BB">
        <w:rPr>
          <w:noProof/>
        </w:rPr>
        <w:tab/>
      </w:r>
      <w:bookmarkStart w:id="3" w:name="_Toc514938030"/>
      <w:bookmarkStart w:id="4" w:name="_Toc520485037"/>
      <w:r w:rsidRPr="00D925BB">
        <w:rPr>
          <w:noProof/>
        </w:rPr>
        <w:t>Lessons learned from similar experiences in the past</w:t>
      </w:r>
      <w:bookmarkEnd w:id="3"/>
      <w:bookmarkEnd w:id="4"/>
    </w:p>
    <w:p w:rsidR="007D02A8" w:rsidRPr="00D925BB" w:rsidRDefault="007D02A8" w:rsidP="007D02A8">
      <w:pPr>
        <w:pStyle w:val="ManualHeading3"/>
        <w:rPr>
          <w:noProof/>
        </w:rPr>
      </w:pPr>
      <w:r w:rsidRPr="00D925BB">
        <w:rPr>
          <w:noProof/>
        </w:rPr>
        <w:tab/>
        <w:t>1.5.4</w:t>
      </w:r>
      <w:r w:rsidRPr="00D925BB">
        <w:rPr>
          <w:noProof/>
        </w:rPr>
        <w:tab/>
        <w:t>Compatibility with the Multiannual Financial Framework and possible synergies with other appropriate instruments</w:t>
      </w:r>
    </w:p>
    <w:p w:rsidR="007D02A8" w:rsidRPr="00D925BB" w:rsidRDefault="007D02A8" w:rsidP="007D02A8">
      <w:pPr>
        <w:pStyle w:val="ManualHeading3"/>
        <w:rPr>
          <w:noProof/>
        </w:rPr>
      </w:pPr>
      <w:r w:rsidRPr="00D925BB">
        <w:rPr>
          <w:noProof/>
        </w:rPr>
        <w:tab/>
        <w:t>1.5.5</w:t>
      </w:r>
      <w:r w:rsidRPr="00D925BB">
        <w:rPr>
          <w:noProof/>
        </w:rPr>
        <w:tab/>
        <w:t>Assessment of the different available financing options, including scope for redeployment</w:t>
      </w:r>
    </w:p>
    <w:p w:rsidR="007D02A8" w:rsidRPr="00D925BB" w:rsidRDefault="007D02A8" w:rsidP="007D02A8">
      <w:pPr>
        <w:pStyle w:val="ManualHeading2"/>
        <w:rPr>
          <w:b w:val="0"/>
          <w:noProof/>
        </w:rPr>
      </w:pPr>
      <w:r w:rsidRPr="00D925BB">
        <w:rPr>
          <w:b w:val="0"/>
          <w:noProof/>
        </w:rPr>
        <w:tab/>
        <w:t>1.6.</w:t>
      </w:r>
      <w:r w:rsidRPr="00D925BB">
        <w:rPr>
          <w:b w:val="0"/>
          <w:noProof/>
        </w:rPr>
        <w:tab/>
      </w:r>
      <w:bookmarkStart w:id="5" w:name="_Toc514938039"/>
      <w:bookmarkStart w:id="6" w:name="_Toc520485040"/>
      <w:r w:rsidRPr="00D925BB">
        <w:rPr>
          <w:b w:val="0"/>
          <w:noProof/>
        </w:rPr>
        <w:t>Duration and financial impact of the proposal/initiative</w:t>
      </w:r>
      <w:bookmarkEnd w:id="5"/>
      <w:bookmarkEnd w:id="6"/>
      <w:r w:rsidRPr="00D925BB">
        <w:rPr>
          <w:b w:val="0"/>
          <w:noProof/>
        </w:rPr>
        <w:t xml:space="preserve"> </w:t>
      </w:r>
    </w:p>
    <w:p w:rsidR="007D02A8" w:rsidRPr="00D925BB" w:rsidRDefault="007D02A8" w:rsidP="007D02A8">
      <w:pPr>
        <w:pStyle w:val="ManualHeading2"/>
        <w:rPr>
          <w:b w:val="0"/>
          <w:noProof/>
        </w:rPr>
      </w:pPr>
      <w:r w:rsidRPr="00D925BB">
        <w:rPr>
          <w:b w:val="0"/>
          <w:noProof/>
        </w:rPr>
        <w:tab/>
        <w:t>1.7.</w:t>
      </w:r>
      <w:r w:rsidRPr="00D925BB">
        <w:rPr>
          <w:b w:val="0"/>
          <w:noProof/>
        </w:rPr>
        <w:tab/>
        <w:t xml:space="preserve">Management mode(s) planned </w:t>
      </w:r>
    </w:p>
    <w:p w:rsidR="007D02A8" w:rsidRPr="00D925BB" w:rsidRDefault="007D02A8" w:rsidP="007D02A8">
      <w:pPr>
        <w:pStyle w:val="ManualHeading1"/>
        <w:rPr>
          <w:noProof/>
        </w:rPr>
      </w:pPr>
      <w:r w:rsidRPr="00D925BB">
        <w:rPr>
          <w:noProof/>
        </w:rPr>
        <w:t>2.</w:t>
      </w:r>
      <w:r w:rsidRPr="00D925BB">
        <w:rPr>
          <w:noProof/>
        </w:rPr>
        <w:tab/>
        <w:t xml:space="preserve">MANAGEMENT MEASURES </w:t>
      </w:r>
    </w:p>
    <w:p w:rsidR="007D02A8" w:rsidRPr="00D925BB" w:rsidRDefault="007D02A8" w:rsidP="007D02A8">
      <w:pPr>
        <w:pStyle w:val="ManualHeading2"/>
        <w:rPr>
          <w:b w:val="0"/>
          <w:noProof/>
        </w:rPr>
      </w:pPr>
      <w:r w:rsidRPr="00D925BB">
        <w:rPr>
          <w:b w:val="0"/>
          <w:noProof/>
        </w:rPr>
        <w:tab/>
        <w:t>2.1.</w:t>
      </w:r>
      <w:r w:rsidRPr="00D925BB">
        <w:rPr>
          <w:b w:val="0"/>
          <w:noProof/>
        </w:rPr>
        <w:tab/>
        <w:t xml:space="preserve">Monitoring and reporting rules </w:t>
      </w:r>
    </w:p>
    <w:p w:rsidR="007D02A8" w:rsidRPr="00D925BB" w:rsidRDefault="007D02A8" w:rsidP="007D02A8">
      <w:pPr>
        <w:pStyle w:val="ManualHeading2"/>
        <w:rPr>
          <w:b w:val="0"/>
          <w:noProof/>
        </w:rPr>
      </w:pPr>
      <w:r w:rsidRPr="00D925BB">
        <w:rPr>
          <w:b w:val="0"/>
          <w:noProof/>
        </w:rPr>
        <w:tab/>
        <w:t>2.2.</w:t>
      </w:r>
      <w:r w:rsidRPr="00D925BB">
        <w:rPr>
          <w:b w:val="0"/>
          <w:noProof/>
        </w:rPr>
        <w:tab/>
        <w:t xml:space="preserve">Management and control system(s) </w:t>
      </w:r>
    </w:p>
    <w:p w:rsidR="007D02A8" w:rsidRPr="00D925BB" w:rsidRDefault="007D02A8" w:rsidP="007D02A8">
      <w:pPr>
        <w:pStyle w:val="ManualHeading3"/>
        <w:rPr>
          <w:noProof/>
        </w:rPr>
      </w:pPr>
      <w:r w:rsidRPr="00D925BB">
        <w:rPr>
          <w:noProof/>
        </w:rPr>
        <w:tab/>
        <w:t>2.2.1</w:t>
      </w:r>
      <w:r w:rsidRPr="00D925BB">
        <w:rPr>
          <w:noProof/>
        </w:rPr>
        <w:tab/>
        <w:t>Justification of the management mode(s), the funding implementation mechanism(s), the payment modalities and the control strategy proposed</w:t>
      </w:r>
    </w:p>
    <w:p w:rsidR="007D02A8" w:rsidRPr="00D925BB" w:rsidRDefault="007D02A8" w:rsidP="007D02A8">
      <w:pPr>
        <w:pStyle w:val="ManualHeading3"/>
        <w:rPr>
          <w:noProof/>
        </w:rPr>
      </w:pPr>
      <w:r w:rsidRPr="00D925BB">
        <w:rPr>
          <w:noProof/>
        </w:rPr>
        <w:tab/>
        <w:t>2.2.2</w:t>
      </w:r>
      <w:r w:rsidRPr="00D925BB">
        <w:rPr>
          <w:noProof/>
        </w:rPr>
        <w:tab/>
        <w:t>Information concerning the risks identified and the internal control system(s) set up to mitigate them</w:t>
      </w:r>
    </w:p>
    <w:p w:rsidR="007D02A8" w:rsidRPr="00D925BB" w:rsidRDefault="007D02A8" w:rsidP="007D02A8">
      <w:pPr>
        <w:pStyle w:val="ManualHeading3"/>
        <w:rPr>
          <w:noProof/>
        </w:rPr>
      </w:pPr>
      <w:r w:rsidRPr="00D925BB">
        <w:rPr>
          <w:noProof/>
        </w:rPr>
        <w:tab/>
        <w:t>2.2.3</w:t>
      </w:r>
      <w:r w:rsidRPr="00D925BB">
        <w:rPr>
          <w:noProof/>
        </w:rPr>
        <w:tab/>
        <w:t>Estimation and justification of the cost-effectiveness of the controls</w:t>
      </w:r>
    </w:p>
    <w:p w:rsidR="007D02A8" w:rsidRPr="00D925BB" w:rsidRDefault="007D02A8" w:rsidP="007D02A8">
      <w:pPr>
        <w:pStyle w:val="ManualHeading2"/>
        <w:rPr>
          <w:b w:val="0"/>
          <w:noProof/>
        </w:rPr>
      </w:pPr>
      <w:r w:rsidRPr="00D925BB">
        <w:rPr>
          <w:b w:val="0"/>
          <w:noProof/>
        </w:rPr>
        <w:tab/>
        <w:t>2.3.</w:t>
      </w:r>
      <w:r w:rsidRPr="00D925BB">
        <w:rPr>
          <w:b w:val="0"/>
          <w:noProof/>
        </w:rPr>
        <w:tab/>
        <w:t xml:space="preserve">Measures to prevent fraud and irregularities </w:t>
      </w:r>
    </w:p>
    <w:p w:rsidR="007D02A8" w:rsidRPr="00D925BB" w:rsidRDefault="007D02A8" w:rsidP="007D02A8">
      <w:pPr>
        <w:pStyle w:val="Text1"/>
        <w:rPr>
          <w:noProof/>
        </w:rPr>
      </w:pPr>
    </w:p>
    <w:p w:rsidR="007D02A8" w:rsidRPr="00D925BB" w:rsidRDefault="007D02A8" w:rsidP="007D02A8">
      <w:pPr>
        <w:pStyle w:val="ManualHeading1"/>
        <w:rPr>
          <w:noProof/>
        </w:rPr>
      </w:pPr>
      <w:r w:rsidRPr="00D925BB">
        <w:rPr>
          <w:noProof/>
        </w:rPr>
        <w:t>3.</w:t>
      </w:r>
      <w:r w:rsidRPr="00D925BB">
        <w:rPr>
          <w:noProof/>
        </w:rPr>
        <w:tab/>
        <w:t xml:space="preserve">ESTIMATED FINANCIAL IMPACT OF THE PROPOSAL/INITIATIVE </w:t>
      </w:r>
    </w:p>
    <w:p w:rsidR="007D02A8" w:rsidRPr="00D925BB" w:rsidRDefault="007D02A8" w:rsidP="007D02A8">
      <w:pPr>
        <w:pStyle w:val="ManualHeading2"/>
        <w:rPr>
          <w:b w:val="0"/>
          <w:noProof/>
        </w:rPr>
      </w:pPr>
      <w:r w:rsidRPr="00D925BB">
        <w:rPr>
          <w:b w:val="0"/>
          <w:noProof/>
        </w:rPr>
        <w:tab/>
        <w:t>3.1.</w:t>
      </w:r>
      <w:r w:rsidRPr="00D925BB">
        <w:rPr>
          <w:b w:val="0"/>
          <w:noProof/>
        </w:rPr>
        <w:tab/>
      </w:r>
      <w:bookmarkStart w:id="7" w:name="_Toc514938051"/>
      <w:bookmarkStart w:id="8" w:name="_Toc520485050"/>
      <w:r w:rsidRPr="00D925BB">
        <w:rPr>
          <w:b w:val="0"/>
          <w:noProof/>
        </w:rPr>
        <w:t>Heading(s) of the multiannual financial framework and expenditure budget line(s) affected</w:t>
      </w:r>
      <w:bookmarkEnd w:id="7"/>
      <w:bookmarkEnd w:id="8"/>
      <w:r w:rsidRPr="00D925BB">
        <w:rPr>
          <w:b w:val="0"/>
          <w:noProof/>
        </w:rPr>
        <w:t xml:space="preserve"> </w:t>
      </w:r>
    </w:p>
    <w:p w:rsidR="007D02A8" w:rsidRPr="00D925BB" w:rsidRDefault="007D02A8" w:rsidP="007D02A8">
      <w:pPr>
        <w:pStyle w:val="ManualHeading2"/>
        <w:rPr>
          <w:noProof/>
        </w:rPr>
      </w:pPr>
      <w:r w:rsidRPr="00D925BB">
        <w:rPr>
          <w:b w:val="0"/>
          <w:noProof/>
        </w:rPr>
        <w:tab/>
        <w:t>3.2.</w:t>
      </w:r>
      <w:r w:rsidRPr="00D925BB">
        <w:rPr>
          <w:b w:val="0"/>
          <w:noProof/>
        </w:rPr>
        <w:tab/>
      </w:r>
      <w:bookmarkStart w:id="9" w:name="_Toc514938052"/>
      <w:bookmarkStart w:id="10" w:name="_Toc520485051"/>
      <w:r w:rsidRPr="00D925BB">
        <w:rPr>
          <w:b w:val="0"/>
          <w:noProof/>
        </w:rPr>
        <w:t>Estimated financial impact of the proposal on appropriations</w:t>
      </w:r>
      <w:bookmarkEnd w:id="9"/>
      <w:bookmarkEnd w:id="10"/>
      <w:r w:rsidRPr="00D925BB">
        <w:rPr>
          <w:noProof/>
        </w:rPr>
        <w:t xml:space="preserve"> </w:t>
      </w:r>
    </w:p>
    <w:p w:rsidR="007D02A8" w:rsidRPr="00D925BB" w:rsidRDefault="007D02A8" w:rsidP="007D02A8">
      <w:pPr>
        <w:pStyle w:val="ManualHeading3"/>
        <w:rPr>
          <w:noProof/>
        </w:rPr>
      </w:pPr>
      <w:bookmarkStart w:id="11" w:name="_Toc514938053"/>
      <w:bookmarkStart w:id="12" w:name="_Toc520485052"/>
      <w:r w:rsidRPr="00D925BB">
        <w:rPr>
          <w:noProof/>
        </w:rPr>
        <w:tab/>
        <w:t>3.2.1.Summary of estimated impact on expenditure</w:t>
      </w:r>
      <w:bookmarkEnd w:id="11"/>
      <w:bookmarkEnd w:id="12"/>
      <w:r w:rsidRPr="00D925BB">
        <w:rPr>
          <w:noProof/>
        </w:rPr>
        <w:t xml:space="preserve"> </w:t>
      </w:r>
    </w:p>
    <w:p w:rsidR="007D02A8" w:rsidRPr="00D925BB" w:rsidRDefault="007D02A8" w:rsidP="007D02A8">
      <w:pPr>
        <w:pStyle w:val="ManualHeading3"/>
        <w:rPr>
          <w:noProof/>
        </w:rPr>
      </w:pPr>
      <w:r w:rsidRPr="00D925BB">
        <w:rPr>
          <w:noProof/>
        </w:rPr>
        <w:tab/>
        <w:t xml:space="preserve">3.2.2.Estimated output funded with operational appropriations </w:t>
      </w:r>
    </w:p>
    <w:p w:rsidR="007D02A8" w:rsidRPr="00D925BB" w:rsidRDefault="007D02A8" w:rsidP="007D02A8">
      <w:pPr>
        <w:pStyle w:val="ManualHeading3"/>
        <w:rPr>
          <w:noProof/>
        </w:rPr>
      </w:pPr>
      <w:r w:rsidRPr="00D925BB">
        <w:rPr>
          <w:noProof/>
        </w:rPr>
        <w:tab/>
        <w:t>3.2.3.Summary of estimated impact on administrative appropriations</w:t>
      </w:r>
    </w:p>
    <w:p w:rsidR="007D02A8" w:rsidRPr="00D925BB" w:rsidRDefault="007D02A8" w:rsidP="007D02A8">
      <w:pPr>
        <w:pStyle w:val="ManualHeading3"/>
        <w:rPr>
          <w:noProof/>
        </w:rPr>
      </w:pPr>
      <w:r w:rsidRPr="00D925BB">
        <w:rPr>
          <w:noProof/>
        </w:rPr>
        <w:tab/>
        <w:t>3.2.4.Compatibility with the current multiannual financial framework</w:t>
      </w:r>
    </w:p>
    <w:p w:rsidR="007D02A8" w:rsidRPr="00D925BB" w:rsidRDefault="007D02A8" w:rsidP="007D02A8">
      <w:pPr>
        <w:pStyle w:val="ManualHeading3"/>
        <w:rPr>
          <w:noProof/>
        </w:rPr>
      </w:pPr>
      <w:r w:rsidRPr="00D925BB">
        <w:rPr>
          <w:noProof/>
        </w:rPr>
        <w:tab/>
        <w:t xml:space="preserve">3.2.5.Third-party contributions </w:t>
      </w:r>
    </w:p>
    <w:p w:rsidR="007D02A8" w:rsidRPr="00D925BB" w:rsidRDefault="007D02A8" w:rsidP="007D02A8">
      <w:pPr>
        <w:pStyle w:val="ManualHeading2"/>
        <w:jc w:val="left"/>
        <w:rPr>
          <w:b w:val="0"/>
          <w:noProof/>
        </w:rPr>
        <w:sectPr w:rsidR="007D02A8" w:rsidRPr="00D925BB" w:rsidSect="00BD72CF">
          <w:pgSz w:w="11907" w:h="16840" w:code="9"/>
          <w:pgMar w:top="1134" w:right="1418" w:bottom="1134" w:left="1418" w:header="709" w:footer="709" w:gutter="0"/>
          <w:cols w:space="708"/>
          <w:docGrid w:linePitch="360"/>
        </w:sectPr>
      </w:pPr>
      <w:r w:rsidRPr="00D925BB">
        <w:rPr>
          <w:b w:val="0"/>
          <w:noProof/>
        </w:rPr>
        <w:tab/>
        <w:t>3.3.</w:t>
      </w:r>
      <w:r w:rsidRPr="00D925BB">
        <w:rPr>
          <w:b w:val="0"/>
          <w:noProof/>
        </w:rPr>
        <w:tab/>
        <w:t>Estimated impact on revenue</w:t>
      </w:r>
    </w:p>
    <w:p w:rsidR="007D02A8" w:rsidRPr="00D925BB" w:rsidRDefault="007D02A8" w:rsidP="007D02A8">
      <w:pPr>
        <w:jc w:val="center"/>
        <w:rPr>
          <w:noProof/>
        </w:rPr>
      </w:pPr>
      <w:r w:rsidRPr="00D925BB">
        <w:rPr>
          <w:b/>
          <w:noProof/>
          <w:u w:val="single"/>
        </w:rPr>
        <w:t>LEGISLATIVE FINANCIAL STATEMENT</w:t>
      </w:r>
    </w:p>
    <w:p w:rsidR="007D02A8" w:rsidRPr="00D925BB" w:rsidRDefault="007D02A8" w:rsidP="007D02A8">
      <w:pPr>
        <w:pStyle w:val="ManualHeading1"/>
        <w:rPr>
          <w:noProof/>
        </w:rPr>
      </w:pPr>
      <w:r w:rsidRPr="00D925BB">
        <w:rPr>
          <w:noProof/>
        </w:rPr>
        <w:t>1.</w:t>
      </w:r>
      <w:r w:rsidRPr="00D925BB">
        <w:rPr>
          <w:noProof/>
        </w:rPr>
        <w:tab/>
        <w:t xml:space="preserve">FRAMEWORK OF THE PROPOSAL/INITIATIVE </w:t>
      </w:r>
    </w:p>
    <w:p w:rsidR="007D02A8" w:rsidRPr="00D925BB" w:rsidRDefault="007D02A8" w:rsidP="007D02A8">
      <w:pPr>
        <w:pStyle w:val="ManualHeading2"/>
        <w:rPr>
          <w:noProof/>
        </w:rPr>
      </w:pPr>
      <w:r w:rsidRPr="00D925BB">
        <w:rPr>
          <w:noProof/>
        </w:rPr>
        <w:t>1.1.</w:t>
      </w:r>
      <w:r w:rsidRPr="00D925BB">
        <w:rPr>
          <w:noProof/>
        </w:rPr>
        <w:tab/>
        <w:t xml:space="preserve">Title of the proposal/initiative </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D925BB">
        <w:rPr>
          <w:noProof/>
        </w:rPr>
        <w:t xml:space="preserve">Proposal for a Regulation of the European Parliament </w:t>
      </w:r>
      <w:r w:rsidRPr="00A722F1">
        <w:rPr>
          <w:noProof/>
        </w:rPr>
        <w:t>and of the Council</w:t>
      </w:r>
      <w:r w:rsidRPr="00D925BB">
        <w:rPr>
          <w:noProof/>
        </w:rPr>
        <w:t xml:space="preserve"> amending Regulation (EU) 2021/953 </w:t>
      </w:r>
      <w:r w:rsidRPr="00A722F1">
        <w:rPr>
          <w:noProof/>
        </w:rPr>
        <w:t>on a framework for the issuance, verification and acceptance of interoperable COVID-19 vaccination, test and recovery certificates (EU Digital COVID Certificate) to facilitate free movement during the COVID-19 pandemic.</w:t>
      </w:r>
    </w:p>
    <w:p w:rsidR="007D02A8" w:rsidRPr="00A722F1" w:rsidRDefault="007D02A8" w:rsidP="007D02A8">
      <w:pPr>
        <w:pStyle w:val="ManualHeading2"/>
        <w:rPr>
          <w:noProof/>
          <w:szCs w:val="24"/>
        </w:rPr>
      </w:pPr>
      <w:r w:rsidRPr="00A722F1">
        <w:rPr>
          <w:noProof/>
        </w:rPr>
        <w:t>1.2.</w:t>
      </w:r>
      <w:r w:rsidRPr="00A722F1">
        <w:rPr>
          <w:noProof/>
        </w:rPr>
        <w:tab/>
        <w:t xml:space="preserve">Policy area(s) concerned </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Free movement of persons within the European Union</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Recovery and Resilience</w:t>
      </w:r>
    </w:p>
    <w:p w:rsidR="007D02A8" w:rsidRPr="00A722F1" w:rsidRDefault="007D02A8" w:rsidP="007D02A8">
      <w:pPr>
        <w:pStyle w:val="ManualHeading2"/>
        <w:rPr>
          <w:bCs/>
          <w:noProof/>
          <w:szCs w:val="24"/>
        </w:rPr>
      </w:pPr>
      <w:r w:rsidRPr="00A722F1">
        <w:rPr>
          <w:noProof/>
        </w:rPr>
        <w:t>1.3.</w:t>
      </w:r>
      <w:r w:rsidRPr="00A722F1">
        <w:rPr>
          <w:noProof/>
        </w:rPr>
        <w:tab/>
        <w:t xml:space="preserve">Nature of the proposal/initiative </w:t>
      </w:r>
    </w:p>
    <w:p w:rsidR="007D02A8" w:rsidRPr="00A722F1" w:rsidRDefault="007D02A8" w:rsidP="007D02A8">
      <w:pPr>
        <w:pStyle w:val="Text1"/>
        <w:rPr>
          <w:b/>
          <w:noProof/>
          <w:sz w:val="22"/>
        </w:rPr>
      </w:pPr>
      <w:r w:rsidRPr="00A722F1">
        <w:rPr>
          <w:noProof/>
          <w:sz w:val="22"/>
        </w:rPr>
        <w:sym w:font="Wingdings" w:char="F0A8"/>
      </w:r>
      <w:r w:rsidRPr="00A722F1">
        <w:rPr>
          <w:b/>
          <w:i/>
          <w:noProof/>
          <w:sz w:val="22"/>
        </w:rPr>
        <w:t xml:space="preserve"> </w:t>
      </w:r>
      <w:r w:rsidRPr="00A722F1">
        <w:rPr>
          <w:b/>
          <w:noProof/>
        </w:rPr>
        <w:t>a new action</w:t>
      </w:r>
      <w:r w:rsidRPr="00A722F1">
        <w:rPr>
          <w:b/>
          <w:noProof/>
          <w:sz w:val="22"/>
        </w:rPr>
        <w:t xml:space="preserve"> </w:t>
      </w:r>
    </w:p>
    <w:p w:rsidR="007D02A8" w:rsidRPr="00A722F1" w:rsidRDefault="007D02A8" w:rsidP="007D02A8">
      <w:pPr>
        <w:pStyle w:val="Text1"/>
        <w:rPr>
          <w:noProof/>
          <w:sz w:val="22"/>
        </w:rPr>
      </w:pPr>
      <w:r w:rsidRPr="00A722F1">
        <w:rPr>
          <w:noProof/>
          <w:sz w:val="22"/>
        </w:rPr>
        <w:sym w:font="Wingdings" w:char="F0A8"/>
      </w:r>
      <w:r w:rsidRPr="00A722F1">
        <w:rPr>
          <w:i/>
          <w:noProof/>
          <w:sz w:val="22"/>
        </w:rPr>
        <w:t xml:space="preserve"> </w:t>
      </w:r>
      <w:r w:rsidRPr="00A722F1">
        <w:rPr>
          <w:b/>
          <w:noProof/>
        </w:rPr>
        <w:t>a new action following a pilot project/preparatory action</w:t>
      </w:r>
      <w:r w:rsidRPr="00A722F1">
        <w:rPr>
          <w:rStyle w:val="FootnoteReference"/>
          <w:b/>
          <w:noProof/>
        </w:rPr>
        <w:footnoteReference w:id="37"/>
      </w:r>
      <w:r w:rsidRPr="00A722F1">
        <w:rPr>
          <w:noProof/>
          <w:sz w:val="22"/>
        </w:rPr>
        <w:t xml:space="preserve"> </w:t>
      </w:r>
    </w:p>
    <w:p w:rsidR="007D02A8" w:rsidRPr="00A722F1" w:rsidRDefault="007D02A8" w:rsidP="007D02A8">
      <w:pPr>
        <w:pStyle w:val="Text1"/>
        <w:rPr>
          <w:noProof/>
          <w:sz w:val="22"/>
        </w:rPr>
      </w:pPr>
      <w:r w:rsidRPr="00A722F1">
        <w:rPr>
          <w:noProof/>
          <w:sz w:val="22"/>
        </w:rPr>
        <w:sym w:font="Wingdings" w:char="F078"/>
      </w:r>
      <w:r w:rsidRPr="00A722F1">
        <w:rPr>
          <w:i/>
          <w:noProof/>
          <w:sz w:val="22"/>
        </w:rPr>
        <w:t xml:space="preserve"> </w:t>
      </w:r>
      <w:r w:rsidRPr="00A722F1">
        <w:rPr>
          <w:b/>
          <w:noProof/>
        </w:rPr>
        <w:t>the extension of an existing action</w:t>
      </w:r>
      <w:r w:rsidRPr="00A722F1">
        <w:rPr>
          <w:noProof/>
          <w:sz w:val="22"/>
        </w:rPr>
        <w:t xml:space="preserve"> </w:t>
      </w:r>
    </w:p>
    <w:p w:rsidR="007D02A8" w:rsidRPr="00A722F1" w:rsidRDefault="007D02A8" w:rsidP="007D02A8">
      <w:pPr>
        <w:pStyle w:val="Text1"/>
        <w:rPr>
          <w:noProof/>
        </w:rPr>
      </w:pPr>
      <w:r w:rsidRPr="00A722F1">
        <w:rPr>
          <w:noProof/>
          <w:sz w:val="22"/>
        </w:rPr>
        <w:sym w:font="Wingdings" w:char="F0A8"/>
      </w:r>
      <w:r w:rsidRPr="00A722F1">
        <w:rPr>
          <w:i/>
          <w:noProof/>
          <w:sz w:val="22"/>
        </w:rPr>
        <w:t xml:space="preserve"> </w:t>
      </w:r>
      <w:r w:rsidRPr="00A722F1">
        <w:rPr>
          <w:b/>
          <w:noProof/>
        </w:rPr>
        <w:t>a merger or redirection of one or more actions towards another/a new action</w:t>
      </w:r>
      <w:r w:rsidRPr="00A722F1">
        <w:rPr>
          <w:noProof/>
        </w:rPr>
        <w:t xml:space="preserve"> </w:t>
      </w:r>
    </w:p>
    <w:p w:rsidR="007D02A8" w:rsidRPr="00A722F1" w:rsidRDefault="007D02A8" w:rsidP="007D02A8">
      <w:pPr>
        <w:pStyle w:val="ManualHeading2"/>
        <w:rPr>
          <w:bCs/>
          <w:noProof/>
          <w:szCs w:val="24"/>
        </w:rPr>
      </w:pPr>
      <w:r w:rsidRPr="00A722F1">
        <w:rPr>
          <w:noProof/>
        </w:rPr>
        <w:t>1.4.</w:t>
      </w:r>
      <w:r w:rsidRPr="00A722F1">
        <w:rPr>
          <w:noProof/>
        </w:rPr>
        <w:tab/>
        <w:t>Objectives</w:t>
      </w:r>
    </w:p>
    <w:p w:rsidR="007D02A8" w:rsidRPr="00A722F1" w:rsidRDefault="007D02A8" w:rsidP="007D02A8">
      <w:pPr>
        <w:pStyle w:val="ManualHeading3"/>
        <w:rPr>
          <w:noProof/>
        </w:rPr>
      </w:pPr>
      <w:bookmarkStart w:id="13" w:name="_Toc514938016"/>
      <w:bookmarkStart w:id="14" w:name="_Toc520485030"/>
      <w:r w:rsidRPr="00A722F1">
        <w:rPr>
          <w:noProof/>
        </w:rPr>
        <w:t>1.4.1.</w:t>
      </w:r>
      <w:r w:rsidRPr="00A722F1">
        <w:rPr>
          <w:noProof/>
        </w:rPr>
        <w:tab/>
        <w:t>General objective</w:t>
      </w:r>
      <w:bookmarkEnd w:id="13"/>
      <w:bookmarkEnd w:id="14"/>
      <w:r w:rsidRPr="00A722F1">
        <w:rPr>
          <w:noProof/>
        </w:rPr>
        <w:t>(s)</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The general objective of this Regulation is to extend</w:t>
      </w:r>
      <w:r>
        <w:rPr>
          <w:noProof/>
        </w:rPr>
        <w:t>, by 12 months,</w:t>
      </w:r>
      <w:r w:rsidRPr="00A722F1">
        <w:rPr>
          <w:noProof/>
        </w:rPr>
        <w:t xml:space="preserve"> the application of Regulation (EU) 2021/953, wh</w:t>
      </w:r>
      <w:r>
        <w:rPr>
          <w:noProof/>
        </w:rPr>
        <w:t>ich lays down a framework for the issuance, verification and acceptance of interoperable COVID-19 vaccination, test and recovery certificates (EU Digital COVID Certificate) for the purpose of facilitating the holders’ exercise of their right to free movement during the COVID-19 pandemic</w:t>
      </w:r>
    </w:p>
    <w:p w:rsidR="007D02A8" w:rsidRPr="00A722F1" w:rsidRDefault="007D02A8" w:rsidP="007D02A8">
      <w:pPr>
        <w:pStyle w:val="ManualHeading3"/>
        <w:rPr>
          <w:bCs/>
          <w:noProof/>
          <w:szCs w:val="24"/>
        </w:rPr>
      </w:pPr>
      <w:bookmarkStart w:id="15" w:name="_Toc514938018"/>
      <w:bookmarkStart w:id="16" w:name="_Toc520485031"/>
      <w:r w:rsidRPr="00A722F1">
        <w:rPr>
          <w:noProof/>
        </w:rPr>
        <w:t>1.4.2.</w:t>
      </w:r>
      <w:r w:rsidRPr="00A722F1">
        <w:rPr>
          <w:noProof/>
        </w:rPr>
        <w:tab/>
        <w:t>Specific objective(s</w:t>
      </w:r>
      <w:bookmarkEnd w:id="15"/>
      <w:bookmarkEnd w:id="16"/>
      <w:r w:rsidRPr="00A722F1">
        <w:rPr>
          <w:noProof/>
        </w:rPr>
        <w:t>)</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u w:val="single"/>
        </w:rPr>
      </w:pPr>
      <w:r w:rsidRPr="00A722F1">
        <w:rPr>
          <w:noProof/>
          <w:u w:val="single"/>
        </w:rPr>
        <w:t>Specific objective No 1</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lang w:val="en-US"/>
        </w:rPr>
      </w:pPr>
      <w:r w:rsidRPr="00A722F1">
        <w:rPr>
          <w:noProof/>
          <w:lang w:val="en-US"/>
        </w:rPr>
        <w:t xml:space="preserve">To continue the operations and maintenance of the EU Digital </w:t>
      </w:r>
      <w:r>
        <w:rPr>
          <w:noProof/>
          <w:lang w:val="en-US"/>
        </w:rPr>
        <w:t>COVID</w:t>
      </w:r>
      <w:r w:rsidRPr="00A722F1">
        <w:rPr>
          <w:noProof/>
          <w:lang w:val="en-US"/>
        </w:rPr>
        <w:t xml:space="preserve"> Certificate trust framework established </w:t>
      </w:r>
      <w:r>
        <w:rPr>
          <w:noProof/>
          <w:lang w:val="en-US"/>
        </w:rPr>
        <w:t>by</w:t>
      </w:r>
      <w:r w:rsidRPr="00A722F1">
        <w:rPr>
          <w:noProof/>
          <w:lang w:val="en-US"/>
        </w:rPr>
        <w:t xml:space="preserve"> Regulation (EU) 2021/953.</w:t>
      </w:r>
    </w:p>
    <w:p w:rsidR="007D02A8" w:rsidRPr="00A722F1" w:rsidRDefault="007D02A8" w:rsidP="007D02A8">
      <w:pPr>
        <w:pStyle w:val="ManualHeading3"/>
        <w:rPr>
          <w:noProof/>
        </w:rPr>
      </w:pPr>
      <w:bookmarkStart w:id="17" w:name="_Toc514938019"/>
      <w:bookmarkStart w:id="18" w:name="_Toc520485032"/>
      <w:r w:rsidRPr="00A722F1">
        <w:rPr>
          <w:noProof/>
        </w:rPr>
        <w:t>1.4.3.</w:t>
      </w:r>
      <w:r w:rsidRPr="00A722F1">
        <w:rPr>
          <w:noProof/>
        </w:rPr>
        <w:tab/>
        <w:t>Expected result(s) and impact</w:t>
      </w:r>
      <w:bookmarkEnd w:id="17"/>
      <w:bookmarkEnd w:id="18"/>
    </w:p>
    <w:p w:rsidR="007D02A8" w:rsidRPr="00A722F1" w:rsidRDefault="007D02A8" w:rsidP="007D02A8">
      <w:pPr>
        <w:pStyle w:val="Text1"/>
        <w:rPr>
          <w:i/>
          <w:noProof/>
          <w:sz w:val="20"/>
        </w:rPr>
      </w:pPr>
      <w:r w:rsidRPr="00A722F1">
        <w:rPr>
          <w:i/>
          <w:noProof/>
          <w:sz w:val="20"/>
        </w:rPr>
        <w:t>Specify the effects which the proposal/initiative should have on the beneficiaries/groups targeted.</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rFonts w:eastAsia="Times New Roman"/>
          <w:noProof/>
        </w:rPr>
        <w:t xml:space="preserve">The proposal will extend the operation of the framework </w:t>
      </w:r>
      <w:r>
        <w:rPr>
          <w:noProof/>
        </w:rPr>
        <w:t>for the issuance, verification and acceptance of interoperable COVID-19 vaccination, test and recovery certificates for the purpose of facilitating the holders’ exercise of their right to free movement during the COVID-19 pandemic</w:t>
      </w:r>
      <w:r w:rsidRPr="00A722F1">
        <w:rPr>
          <w:noProof/>
          <w:lang w:val="en-IE"/>
        </w:rPr>
        <w:t xml:space="preserve">. This </w:t>
      </w:r>
      <w:r>
        <w:rPr>
          <w:noProof/>
          <w:lang w:val="en-IE"/>
        </w:rPr>
        <w:t>should</w:t>
      </w:r>
      <w:r w:rsidRPr="00A722F1">
        <w:rPr>
          <w:noProof/>
          <w:lang w:val="en-IE"/>
        </w:rPr>
        <w:t xml:space="preserve"> allow EU citizens and their family members exercis</w:t>
      </w:r>
      <w:r>
        <w:rPr>
          <w:noProof/>
          <w:lang w:val="en-IE"/>
        </w:rPr>
        <w:t>ing</w:t>
      </w:r>
      <w:r w:rsidRPr="00A722F1">
        <w:rPr>
          <w:noProof/>
          <w:lang w:val="en-IE"/>
        </w:rPr>
        <w:t xml:space="preserve"> their right to free movement to </w:t>
      </w:r>
      <w:r>
        <w:rPr>
          <w:noProof/>
          <w:lang w:val="en-IE"/>
        </w:rPr>
        <w:t xml:space="preserve">continue </w:t>
      </w:r>
      <w:r w:rsidRPr="00A722F1">
        <w:rPr>
          <w:noProof/>
          <w:lang w:val="en-IE"/>
        </w:rPr>
        <w:t>demonstrat</w:t>
      </w:r>
      <w:r>
        <w:rPr>
          <w:noProof/>
          <w:lang w:val="en-IE"/>
        </w:rPr>
        <w:t>ing</w:t>
      </w:r>
      <w:r w:rsidRPr="00A722F1">
        <w:rPr>
          <w:noProof/>
          <w:lang w:val="en-IE"/>
        </w:rPr>
        <w:t xml:space="preserve"> that they fulfil public health requirements imposed, in compliance with EU law, by the Member State of destination. </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 xml:space="preserve">Support will be provided to maintain the technological infrastructure necessary for the </w:t>
      </w:r>
      <w:r>
        <w:rPr>
          <w:noProof/>
        </w:rPr>
        <w:t>EU Digital COVID Certificate</w:t>
      </w:r>
      <w:r w:rsidRPr="00A722F1">
        <w:rPr>
          <w:noProof/>
        </w:rPr>
        <w:t xml:space="preserve"> framework.</w:t>
      </w:r>
    </w:p>
    <w:p w:rsidR="007D02A8" w:rsidRPr="00A722F1" w:rsidRDefault="007D02A8" w:rsidP="007D02A8">
      <w:pPr>
        <w:pStyle w:val="ManualHeading3"/>
        <w:rPr>
          <w:noProof/>
          <w:szCs w:val="24"/>
        </w:rPr>
      </w:pPr>
      <w:bookmarkStart w:id="19" w:name="_Toc514938023"/>
      <w:bookmarkStart w:id="20" w:name="_Toc520485033"/>
      <w:r w:rsidRPr="00A722F1">
        <w:rPr>
          <w:noProof/>
        </w:rPr>
        <w:t>1.4.4.</w:t>
      </w:r>
      <w:r w:rsidRPr="00A722F1">
        <w:rPr>
          <w:noProof/>
        </w:rPr>
        <w:tab/>
        <w:t>Indicators of performance</w:t>
      </w:r>
      <w:bookmarkEnd w:id="19"/>
      <w:bookmarkEnd w:id="20"/>
    </w:p>
    <w:p w:rsidR="007D02A8" w:rsidRPr="00A722F1" w:rsidRDefault="007D02A8" w:rsidP="007D02A8">
      <w:pPr>
        <w:pStyle w:val="Text1"/>
        <w:rPr>
          <w:i/>
          <w:noProof/>
          <w:sz w:val="20"/>
        </w:rPr>
      </w:pPr>
      <w:r w:rsidRPr="00A722F1">
        <w:rPr>
          <w:i/>
          <w:noProof/>
          <w:sz w:val="20"/>
        </w:rPr>
        <w:t>Specify the indicators for monitoring progress and achievements.</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u w:val="single"/>
        </w:rPr>
      </w:pPr>
      <w:r w:rsidRPr="00A722F1">
        <w:rPr>
          <w:noProof/>
          <w:u w:val="single"/>
        </w:rPr>
        <w:t>System in operation in 2022/2023</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 xml:space="preserve">The Commission should ensure that the EU-level supporting digital infrastructure </w:t>
      </w:r>
      <w:r>
        <w:rPr>
          <w:noProof/>
        </w:rPr>
        <w:t>remains</w:t>
      </w:r>
      <w:r w:rsidRPr="00A722F1">
        <w:rPr>
          <w:noProof/>
        </w:rPr>
        <w:t xml:space="preserve"> in place, as well as that it is operated and monitored effectively.</w:t>
      </w:r>
    </w:p>
    <w:p w:rsidR="007D02A8" w:rsidRPr="00A722F1" w:rsidRDefault="007D02A8" w:rsidP="007D02A8">
      <w:pPr>
        <w:pStyle w:val="ManualHeading2"/>
        <w:rPr>
          <w:bCs/>
          <w:noProof/>
          <w:szCs w:val="24"/>
        </w:rPr>
      </w:pPr>
      <w:bookmarkStart w:id="21" w:name="_Toc514938025"/>
      <w:bookmarkStart w:id="22" w:name="_Toc520485034"/>
      <w:r w:rsidRPr="00A722F1">
        <w:rPr>
          <w:noProof/>
        </w:rPr>
        <w:t>1.5.</w:t>
      </w:r>
      <w:r w:rsidRPr="00A722F1">
        <w:rPr>
          <w:noProof/>
        </w:rPr>
        <w:tab/>
        <w:t>Grounds for the proposal/initiative</w:t>
      </w:r>
      <w:bookmarkEnd w:id="21"/>
      <w:bookmarkEnd w:id="22"/>
      <w:r w:rsidRPr="00A722F1">
        <w:rPr>
          <w:noProof/>
        </w:rPr>
        <w:t xml:space="preserve"> </w:t>
      </w:r>
    </w:p>
    <w:p w:rsidR="007D02A8" w:rsidRPr="00A722F1" w:rsidRDefault="007D02A8" w:rsidP="007D02A8">
      <w:pPr>
        <w:pStyle w:val="ManualHeading3"/>
        <w:rPr>
          <w:noProof/>
        </w:rPr>
      </w:pPr>
      <w:bookmarkStart w:id="23" w:name="_Toc514938026"/>
      <w:bookmarkStart w:id="24" w:name="_Toc520485035"/>
      <w:r w:rsidRPr="00A722F1">
        <w:rPr>
          <w:noProof/>
        </w:rPr>
        <w:t>1.5.1.</w:t>
      </w:r>
      <w:r w:rsidRPr="00A722F1">
        <w:rPr>
          <w:noProof/>
        </w:rPr>
        <w:tab/>
        <w:t>Requirements to be met in the short or long term including a detailed timeline for roll-out of the implementation of the initiative</w:t>
      </w:r>
      <w:bookmarkEnd w:id="23"/>
      <w:bookmarkEnd w:id="24"/>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The EU Digital COVID Certificate framework lays out the format and content of certificates on COVID-19 vaccination, testing and recovery. The EU Digital COVID Certificate framework ensures that these certificates are issued in an interoperable format and are reliably verified when presented by the holder in other Member States, thereby facilitating free movement within the EU.</w:t>
      </w:r>
      <w:r>
        <w:rPr>
          <w:noProof/>
        </w:rPr>
        <w:t xml:space="preserve"> It will </w:t>
      </w:r>
      <w:r w:rsidRPr="00A722F1">
        <w:rPr>
          <w:noProof/>
        </w:rPr>
        <w:t xml:space="preserve">apply </w:t>
      </w:r>
      <w:r>
        <w:rPr>
          <w:noProof/>
        </w:rPr>
        <w:t>until 30 June 2023</w:t>
      </w:r>
      <w:r w:rsidRPr="00A722F1">
        <w:rPr>
          <w:noProof/>
        </w:rPr>
        <w:t xml:space="preserve">. </w:t>
      </w:r>
    </w:p>
    <w:p w:rsidR="007D02A8" w:rsidRPr="00A722F1" w:rsidRDefault="007D02A8" w:rsidP="007D02A8">
      <w:pPr>
        <w:pStyle w:val="ManualHeading3"/>
        <w:rPr>
          <w:bCs/>
          <w:noProof/>
          <w:szCs w:val="24"/>
        </w:rPr>
      </w:pPr>
      <w:r w:rsidRPr="00A722F1">
        <w:rPr>
          <w:noProof/>
        </w:rPr>
        <w:t>1.5.2.</w:t>
      </w:r>
      <w:r w:rsidRPr="00A722F1">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lang w:val="en-IE"/>
        </w:rPr>
      </w:pPr>
      <w:r w:rsidRPr="00A722F1">
        <w:rPr>
          <w:noProof/>
        </w:rPr>
        <w:t xml:space="preserve">Reasons for action at European level (ex-ante): </w:t>
      </w:r>
      <w:r w:rsidRPr="00A722F1">
        <w:rPr>
          <w:noProof/>
          <w:lang w:val="en-IE"/>
        </w:rPr>
        <w:t>The objectives of this proposal, namely to facilitate the free movement within the EU during the COVID-19 pandemic by maintaining a secure and interoperable system to issue and verify certificates on the holder’s vaccination, testing and recovery status, cannot be sufficiently achieved by the Member States independently but can rather, by reason of the scale and effects of the action, be better achieved at EU level. Action at EU level is thus necessary.</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 xml:space="preserve">Expected generated Union added value (ex-post): The </w:t>
      </w:r>
      <w:r w:rsidRPr="00A722F1">
        <w:rPr>
          <w:noProof/>
          <w:lang w:val="en-IE"/>
        </w:rPr>
        <w:t>absence to act at EU level is likely to result in Member States adopting different systems, resulting in citizens exercising their free movement rights experiencing problems in the acceptance of their documents in other Member States. In particular, it is necessary to continue to agree on the technical standards to be used to ensure interoperability, security and verifiability of the certificates being issued.</w:t>
      </w:r>
    </w:p>
    <w:p w:rsidR="007D02A8" w:rsidRPr="00A722F1" w:rsidRDefault="007D02A8" w:rsidP="007D02A8">
      <w:pPr>
        <w:pStyle w:val="ManualHeading3"/>
        <w:rPr>
          <w:bCs/>
          <w:noProof/>
          <w:szCs w:val="24"/>
        </w:rPr>
      </w:pPr>
      <w:r w:rsidRPr="00A722F1">
        <w:rPr>
          <w:noProof/>
        </w:rPr>
        <w:t>1.5.3.</w:t>
      </w:r>
      <w:r w:rsidRPr="00A722F1">
        <w:rPr>
          <w:noProof/>
        </w:rPr>
        <w:tab/>
        <w:t>Lessons learned from similar experiences in the past</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This is a continuation of an existing initiative established under Regulation (EU) 2021/953.</w:t>
      </w:r>
    </w:p>
    <w:p w:rsidR="007D02A8" w:rsidRPr="00A722F1" w:rsidRDefault="007D02A8" w:rsidP="007D02A8">
      <w:pPr>
        <w:pStyle w:val="ManualHeading3"/>
        <w:rPr>
          <w:bCs/>
          <w:noProof/>
          <w:szCs w:val="24"/>
        </w:rPr>
      </w:pPr>
      <w:bookmarkStart w:id="25" w:name="_Toc514938033"/>
      <w:bookmarkStart w:id="26" w:name="_Toc520485038"/>
      <w:r w:rsidRPr="00A722F1">
        <w:rPr>
          <w:noProof/>
        </w:rPr>
        <w:t>1.5.4.</w:t>
      </w:r>
      <w:r w:rsidRPr="00A722F1">
        <w:rPr>
          <w:noProof/>
        </w:rPr>
        <w:tab/>
        <w:t>Compatibility with the Multiannual Financial Framework and possible synergies with other appropriate instruments</w:t>
      </w:r>
      <w:bookmarkEnd w:id="25"/>
      <w:bookmarkEnd w:id="26"/>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 xml:space="preserve">The Commission intends to support the continuation of urgent measures through EU Programmes, </w:t>
      </w:r>
      <w:r>
        <w:rPr>
          <w:noProof/>
        </w:rPr>
        <w:t>in this particular case, via</w:t>
      </w:r>
      <w:r w:rsidRPr="00A722F1">
        <w:rPr>
          <w:noProof/>
        </w:rPr>
        <w:t xml:space="preserve"> the Digital Europe Programme (DEP)</w:t>
      </w:r>
      <w:r>
        <w:rPr>
          <w:noProof/>
        </w:rPr>
        <w:t xml:space="preserve">. </w:t>
      </w:r>
      <w:r w:rsidRPr="00A722F1">
        <w:rPr>
          <w:noProof/>
        </w:rPr>
        <w:t>Financing is compatible with the Multiannual Financial Framework 2021-2027. The Commission will take the appropriate initiative to ensure that resources are mobilised in due time.</w:t>
      </w:r>
    </w:p>
    <w:p w:rsidR="007D02A8" w:rsidRPr="00A722F1" w:rsidRDefault="007D02A8" w:rsidP="007D02A8">
      <w:pPr>
        <w:pStyle w:val="ManualHeading3"/>
        <w:rPr>
          <w:noProof/>
        </w:rPr>
      </w:pPr>
      <w:bookmarkStart w:id="27" w:name="_Toc514938036"/>
      <w:bookmarkStart w:id="28" w:name="_Toc520485039"/>
      <w:r w:rsidRPr="00A722F1">
        <w:rPr>
          <w:noProof/>
        </w:rPr>
        <w:t>1.5.5.</w:t>
      </w:r>
      <w:r w:rsidRPr="00A722F1">
        <w:rPr>
          <w:noProof/>
        </w:rPr>
        <w:tab/>
        <w:t>Assessment of the different available financing options, including scope for redeployment</w:t>
      </w:r>
      <w:bookmarkEnd w:id="27"/>
      <w:bookmarkEnd w:id="28"/>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 xml:space="preserve">Financial support from the Union may cover the following actions: </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u w:val="single"/>
        </w:rPr>
        <w:t>Operation and maintenance of EU-systems supporting interoperability</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 xml:space="preserve">The Commission will use </w:t>
      </w:r>
      <w:r w:rsidRPr="00A722F1">
        <w:rPr>
          <w:rFonts w:eastAsia="Arial Unicode MS"/>
          <w:noProof/>
        </w:rPr>
        <w:t xml:space="preserve">funds from appropriation under the DEP </w:t>
      </w:r>
      <w:r w:rsidRPr="00A722F1">
        <w:rPr>
          <w:noProof/>
        </w:rPr>
        <w:t xml:space="preserve">to support measures under the initiative. </w:t>
      </w:r>
    </w:p>
    <w:p w:rsidR="007D02A8" w:rsidRPr="00A722F1" w:rsidRDefault="007D02A8" w:rsidP="007D02A8">
      <w:pPr>
        <w:pStyle w:val="ManualHeading2"/>
        <w:rPr>
          <w:bCs/>
          <w:noProof/>
          <w:szCs w:val="24"/>
        </w:rPr>
      </w:pPr>
      <w:r w:rsidRPr="00A722F1">
        <w:rPr>
          <w:noProof/>
        </w:rPr>
        <w:t>1.6.</w:t>
      </w:r>
      <w:r w:rsidRPr="00A722F1">
        <w:rPr>
          <w:noProof/>
        </w:rPr>
        <w:tab/>
        <w:t xml:space="preserve">Duration and financial impact </w:t>
      </w:r>
    </w:p>
    <w:p w:rsidR="007D02A8" w:rsidRPr="00A722F1" w:rsidRDefault="007D02A8" w:rsidP="007D02A8">
      <w:pPr>
        <w:pStyle w:val="Text1"/>
        <w:rPr>
          <w:noProof/>
        </w:rPr>
      </w:pPr>
      <w:r w:rsidRPr="00A722F1">
        <w:rPr>
          <w:noProof/>
        </w:rPr>
        <w:sym w:font="Wingdings" w:char="F078"/>
      </w:r>
      <w:r w:rsidRPr="00A722F1">
        <w:rPr>
          <w:b/>
          <w:i/>
          <w:noProof/>
        </w:rPr>
        <w:t xml:space="preserve"> </w:t>
      </w:r>
      <w:r w:rsidRPr="00A722F1">
        <w:rPr>
          <w:b/>
          <w:noProof/>
        </w:rPr>
        <w:t xml:space="preserve">limited duration </w:t>
      </w:r>
    </w:p>
    <w:p w:rsidR="007D02A8" w:rsidRPr="00A722F1" w:rsidRDefault="007D02A8" w:rsidP="007D02A8">
      <w:pPr>
        <w:pStyle w:val="ListDash2"/>
        <w:rPr>
          <w:noProof/>
        </w:rPr>
      </w:pPr>
      <w:r w:rsidRPr="00A722F1">
        <w:rPr>
          <w:noProof/>
        </w:rPr>
        <w:sym w:font="Wingdings" w:char="F078"/>
      </w:r>
      <w:r w:rsidRPr="00A722F1">
        <w:rPr>
          <w:noProof/>
        </w:rPr>
        <w:tab/>
        <w:t>The amended Regulation will apply until 30 June 2023.</w:t>
      </w:r>
    </w:p>
    <w:p w:rsidR="007D02A8" w:rsidRPr="00A722F1" w:rsidRDefault="007D02A8" w:rsidP="007D02A8">
      <w:pPr>
        <w:pStyle w:val="ListDash2"/>
        <w:rPr>
          <w:noProof/>
        </w:rPr>
      </w:pPr>
      <w:r w:rsidRPr="00A722F1">
        <w:rPr>
          <w:noProof/>
        </w:rPr>
        <w:sym w:font="Wingdings" w:char="F078"/>
      </w:r>
      <w:r w:rsidRPr="00A722F1">
        <w:rPr>
          <w:noProof/>
        </w:rPr>
        <w:tab/>
        <w:t xml:space="preserve">Financial impact from 2022 for commitment and payment appropriations. </w:t>
      </w:r>
    </w:p>
    <w:p w:rsidR="007D02A8" w:rsidRPr="00A722F1" w:rsidRDefault="007D02A8" w:rsidP="007D02A8">
      <w:pPr>
        <w:pStyle w:val="Text1"/>
        <w:rPr>
          <w:noProof/>
        </w:rPr>
      </w:pPr>
      <w:r w:rsidRPr="00A722F1">
        <w:rPr>
          <w:noProof/>
        </w:rPr>
        <w:sym w:font="Wingdings" w:char="F0A8"/>
      </w:r>
      <w:r w:rsidRPr="00A722F1">
        <w:rPr>
          <w:b/>
          <w:i/>
          <w:noProof/>
        </w:rPr>
        <w:t xml:space="preserve"> </w:t>
      </w:r>
      <w:r w:rsidRPr="00A722F1">
        <w:rPr>
          <w:b/>
          <w:noProof/>
        </w:rPr>
        <w:t>unlimited duration</w:t>
      </w:r>
    </w:p>
    <w:p w:rsidR="007D02A8" w:rsidRPr="00A722F1" w:rsidRDefault="007D02A8" w:rsidP="007D02A8">
      <w:pPr>
        <w:pStyle w:val="ManualHeading2"/>
        <w:rPr>
          <w:bCs/>
          <w:noProof/>
          <w:szCs w:val="24"/>
        </w:rPr>
      </w:pPr>
      <w:r w:rsidRPr="00A722F1">
        <w:rPr>
          <w:noProof/>
        </w:rPr>
        <w:t>1.7.</w:t>
      </w:r>
      <w:r w:rsidRPr="00A722F1">
        <w:rPr>
          <w:noProof/>
        </w:rPr>
        <w:tab/>
        <w:t>Management mode(s) planned</w:t>
      </w:r>
      <w:r w:rsidRPr="00A722F1">
        <w:rPr>
          <w:rStyle w:val="FootnoteReference"/>
          <w:noProof/>
        </w:rPr>
        <w:footnoteReference w:id="38"/>
      </w:r>
      <w:r w:rsidRPr="00A722F1">
        <w:rPr>
          <w:rStyle w:val="FootnoteReference"/>
          <w:noProof/>
        </w:rPr>
        <w:t xml:space="preserve"> </w:t>
      </w:r>
    </w:p>
    <w:p w:rsidR="007D02A8" w:rsidRPr="00A722F1" w:rsidRDefault="007D02A8" w:rsidP="007D02A8">
      <w:pPr>
        <w:pStyle w:val="Text1"/>
        <w:rPr>
          <w:noProof/>
        </w:rPr>
      </w:pPr>
      <w:r w:rsidRPr="00A722F1">
        <w:rPr>
          <w:noProof/>
        </w:rPr>
        <w:sym w:font="Wingdings" w:char="F078"/>
      </w:r>
      <w:r w:rsidRPr="00A722F1">
        <w:rPr>
          <w:i/>
          <w:noProof/>
        </w:rPr>
        <w:t xml:space="preserve"> </w:t>
      </w:r>
      <w:r w:rsidRPr="00A722F1">
        <w:rPr>
          <w:b/>
          <w:noProof/>
        </w:rPr>
        <w:t>Direct management</w:t>
      </w:r>
      <w:r w:rsidRPr="00A722F1">
        <w:rPr>
          <w:noProof/>
        </w:rPr>
        <w:t xml:space="preserve"> by the Commission</w:t>
      </w:r>
    </w:p>
    <w:p w:rsidR="007D02A8" w:rsidRPr="00A722F1" w:rsidRDefault="007D02A8" w:rsidP="007D02A8">
      <w:pPr>
        <w:pStyle w:val="ListDash2"/>
        <w:rPr>
          <w:rFonts w:cs="EUAlbertina"/>
          <w:noProof/>
        </w:rPr>
      </w:pPr>
      <w:r w:rsidRPr="00A722F1">
        <w:rPr>
          <w:noProof/>
        </w:rPr>
        <w:sym w:font="Wingdings" w:char="F078"/>
      </w:r>
      <w:r w:rsidRPr="00A722F1">
        <w:rPr>
          <w:noProof/>
        </w:rPr>
        <w:t xml:space="preserve"> by its departments, including by its staff in the Union delegations; </w:t>
      </w:r>
    </w:p>
    <w:p w:rsidR="007D02A8" w:rsidRPr="00A722F1" w:rsidRDefault="007D02A8" w:rsidP="007D02A8">
      <w:pPr>
        <w:pStyle w:val="ListDash2"/>
        <w:rPr>
          <w:noProof/>
        </w:rPr>
      </w:pPr>
      <w:r w:rsidRPr="00A722F1">
        <w:rPr>
          <w:noProof/>
        </w:rPr>
        <w:sym w:font="Wingdings" w:char="F0A8"/>
      </w:r>
      <w:r w:rsidRPr="00A722F1">
        <w:rPr>
          <w:noProof/>
        </w:rPr>
        <w:tab/>
        <w:t xml:space="preserve">by the executive agencies </w:t>
      </w:r>
    </w:p>
    <w:p w:rsidR="007D02A8" w:rsidRPr="00A722F1" w:rsidRDefault="007D02A8" w:rsidP="007D02A8">
      <w:pPr>
        <w:pStyle w:val="Text1"/>
        <w:rPr>
          <w:noProof/>
        </w:rPr>
      </w:pPr>
      <w:r w:rsidRPr="00A722F1">
        <w:rPr>
          <w:noProof/>
        </w:rPr>
        <w:sym w:font="Wingdings" w:char="F0A8"/>
      </w:r>
      <w:r w:rsidRPr="00A722F1">
        <w:rPr>
          <w:b/>
          <w:i/>
          <w:noProof/>
        </w:rPr>
        <w:t xml:space="preserve"> </w:t>
      </w:r>
      <w:r w:rsidRPr="00A722F1">
        <w:rPr>
          <w:b/>
          <w:noProof/>
        </w:rPr>
        <w:t>Shared management</w:t>
      </w:r>
      <w:r w:rsidRPr="00A722F1">
        <w:rPr>
          <w:noProof/>
        </w:rPr>
        <w:t xml:space="preserve"> with the Member States </w:t>
      </w:r>
    </w:p>
    <w:p w:rsidR="007D02A8" w:rsidRPr="00A722F1" w:rsidRDefault="007D02A8" w:rsidP="007D02A8">
      <w:pPr>
        <w:pStyle w:val="Text1"/>
        <w:rPr>
          <w:noProof/>
        </w:rPr>
      </w:pPr>
      <w:r w:rsidRPr="00A722F1">
        <w:rPr>
          <w:noProof/>
        </w:rPr>
        <w:sym w:font="Wingdings" w:char="F0A8"/>
      </w:r>
      <w:r w:rsidRPr="00A722F1">
        <w:rPr>
          <w:i/>
          <w:noProof/>
        </w:rPr>
        <w:t xml:space="preserve"> </w:t>
      </w:r>
      <w:r w:rsidRPr="00A722F1">
        <w:rPr>
          <w:b/>
          <w:noProof/>
        </w:rPr>
        <w:t>Indirect management</w:t>
      </w:r>
      <w:r w:rsidRPr="00A722F1">
        <w:rPr>
          <w:noProof/>
        </w:rPr>
        <w:t xml:space="preserve"> by entrusting budget implementation tasks to:</w:t>
      </w:r>
    </w:p>
    <w:p w:rsidR="007D02A8" w:rsidRPr="00A722F1" w:rsidRDefault="007D02A8" w:rsidP="007D02A8">
      <w:pPr>
        <w:pStyle w:val="ListDash2"/>
        <w:rPr>
          <w:noProof/>
        </w:rPr>
      </w:pPr>
      <w:r w:rsidRPr="00A722F1">
        <w:rPr>
          <w:noProof/>
        </w:rPr>
        <w:sym w:font="Wingdings" w:char="F0A8"/>
      </w:r>
      <w:r w:rsidRPr="00A722F1">
        <w:rPr>
          <w:noProof/>
        </w:rPr>
        <w:t xml:space="preserve"> third countries or the bodies they have designated;</w:t>
      </w:r>
    </w:p>
    <w:p w:rsidR="007D02A8" w:rsidRPr="00A722F1" w:rsidRDefault="007D02A8" w:rsidP="007D02A8">
      <w:pPr>
        <w:pStyle w:val="ListDash2"/>
        <w:rPr>
          <w:noProof/>
        </w:rPr>
      </w:pPr>
      <w:r w:rsidRPr="00A722F1">
        <w:rPr>
          <w:noProof/>
        </w:rPr>
        <w:sym w:font="Wingdings" w:char="F0A8"/>
      </w:r>
      <w:r w:rsidRPr="00A722F1">
        <w:rPr>
          <w:noProof/>
        </w:rPr>
        <w:t xml:space="preserve"> international organisations and their agencies (to be specified);</w:t>
      </w:r>
    </w:p>
    <w:p w:rsidR="007D02A8" w:rsidRPr="00A722F1" w:rsidRDefault="007D02A8" w:rsidP="007D02A8">
      <w:pPr>
        <w:pStyle w:val="ListDash2"/>
        <w:rPr>
          <w:noProof/>
        </w:rPr>
      </w:pPr>
      <w:r w:rsidRPr="00A722F1">
        <w:rPr>
          <w:noProof/>
        </w:rPr>
        <w:sym w:font="Wingdings" w:char="F0A8"/>
      </w:r>
      <w:r w:rsidRPr="00A722F1">
        <w:rPr>
          <w:noProof/>
        </w:rPr>
        <w:t xml:space="preserve"> the EIB and the European Investment Fund;</w:t>
      </w:r>
    </w:p>
    <w:p w:rsidR="007D02A8" w:rsidRPr="00A722F1" w:rsidRDefault="007D02A8" w:rsidP="007D02A8">
      <w:pPr>
        <w:pStyle w:val="ListDash2"/>
        <w:rPr>
          <w:noProof/>
        </w:rPr>
      </w:pPr>
      <w:r w:rsidRPr="00A722F1">
        <w:rPr>
          <w:noProof/>
        </w:rPr>
        <w:sym w:font="Wingdings" w:char="F0A8"/>
      </w:r>
      <w:r w:rsidRPr="00A722F1">
        <w:rPr>
          <w:noProof/>
        </w:rPr>
        <w:t xml:space="preserve"> bodies referred to in Articles 70 and 71 of the Financial Regulation;</w:t>
      </w:r>
    </w:p>
    <w:p w:rsidR="007D02A8" w:rsidRPr="00A722F1" w:rsidRDefault="007D02A8" w:rsidP="007D02A8">
      <w:pPr>
        <w:pStyle w:val="ListDash2"/>
        <w:rPr>
          <w:noProof/>
        </w:rPr>
      </w:pPr>
      <w:r w:rsidRPr="00A722F1">
        <w:rPr>
          <w:noProof/>
        </w:rPr>
        <w:sym w:font="Wingdings" w:char="F0A8"/>
      </w:r>
      <w:r w:rsidRPr="00A722F1">
        <w:rPr>
          <w:noProof/>
        </w:rPr>
        <w:t xml:space="preserve"> public law bodies;</w:t>
      </w:r>
    </w:p>
    <w:p w:rsidR="007D02A8" w:rsidRPr="00A722F1" w:rsidRDefault="007D02A8" w:rsidP="007D02A8">
      <w:pPr>
        <w:pStyle w:val="ListDash2"/>
        <w:rPr>
          <w:noProof/>
        </w:rPr>
      </w:pPr>
      <w:r w:rsidRPr="00A722F1">
        <w:rPr>
          <w:noProof/>
        </w:rPr>
        <w:sym w:font="Wingdings" w:char="F0A8"/>
      </w:r>
      <w:r w:rsidRPr="00A722F1">
        <w:rPr>
          <w:noProof/>
        </w:rPr>
        <w:t xml:space="preserve"> bodies governed by private law with a public service mission to the extent that they provide adequate financial guarantees;</w:t>
      </w:r>
    </w:p>
    <w:p w:rsidR="007D02A8" w:rsidRPr="00A722F1" w:rsidRDefault="007D02A8" w:rsidP="007D02A8">
      <w:pPr>
        <w:pStyle w:val="ListDash2"/>
        <w:rPr>
          <w:noProof/>
        </w:rPr>
      </w:pPr>
      <w:r w:rsidRPr="00A722F1">
        <w:rPr>
          <w:noProof/>
        </w:rPr>
        <w:sym w:font="Wingdings" w:char="F0A8"/>
      </w:r>
      <w:r w:rsidRPr="00A722F1">
        <w:rPr>
          <w:noProof/>
        </w:rPr>
        <w:t xml:space="preserve"> bodies governed by the private law of a Member State that are entrusted with the implementation of a public-private partnership and that provide adequate financial guarantees;</w:t>
      </w:r>
    </w:p>
    <w:p w:rsidR="007D02A8" w:rsidRPr="00A722F1" w:rsidRDefault="007D02A8" w:rsidP="007D02A8">
      <w:pPr>
        <w:pStyle w:val="ListDash2"/>
        <w:rPr>
          <w:noProof/>
        </w:rPr>
      </w:pPr>
      <w:r w:rsidRPr="00A722F1">
        <w:rPr>
          <w:noProof/>
        </w:rPr>
        <w:sym w:font="Wingdings" w:char="F0A8"/>
      </w:r>
      <w:r w:rsidRPr="00A722F1">
        <w:rPr>
          <w:noProof/>
        </w:rPr>
        <w:t xml:space="preserve"> persons entrusted with the implementation of specific actions in the CFSP pursuant to Title V of the TEU, and identified in the relevant basic act.</w:t>
      </w:r>
    </w:p>
    <w:p w:rsidR="007D02A8" w:rsidRPr="00A722F1" w:rsidRDefault="007D02A8" w:rsidP="007D02A8">
      <w:pPr>
        <w:pStyle w:val="ListDash2"/>
        <w:rPr>
          <w:i/>
          <w:noProof/>
          <w:sz w:val="18"/>
          <w:u w:val="single"/>
        </w:rPr>
      </w:pPr>
      <w:r w:rsidRPr="00A722F1">
        <w:rPr>
          <w:i/>
          <w:noProof/>
          <w:sz w:val="18"/>
        </w:rPr>
        <w:t>If more than one management mode is indicated, please provide details in the ‘Comments’ section.</w:t>
      </w:r>
    </w:p>
    <w:p w:rsidR="007D02A8" w:rsidRPr="00A722F1" w:rsidRDefault="007D02A8" w:rsidP="007D02A8">
      <w:pPr>
        <w:rPr>
          <w:noProof/>
        </w:rPr>
      </w:pPr>
      <w:r w:rsidRPr="00A722F1">
        <w:rPr>
          <w:noProof/>
        </w:rPr>
        <w:t xml:space="preserve">Comments </w:t>
      </w:r>
    </w:p>
    <w:p w:rsidR="007D02A8" w:rsidRPr="00A722F1" w:rsidRDefault="007D02A8" w:rsidP="007D02A8">
      <w:pPr>
        <w:pBdr>
          <w:top w:val="single" w:sz="4" w:space="1" w:color="auto"/>
          <w:left w:val="single" w:sz="4" w:space="0" w:color="auto"/>
          <w:bottom w:val="single" w:sz="4" w:space="1" w:color="auto"/>
          <w:right w:val="single" w:sz="4" w:space="4" w:color="auto"/>
        </w:pBdr>
        <w:rPr>
          <w:noProof/>
        </w:rPr>
      </w:pPr>
      <w:r w:rsidRPr="00A722F1">
        <w:rPr>
          <w:noProof/>
        </w:rPr>
        <w:t>None.</w:t>
      </w:r>
    </w:p>
    <w:p w:rsidR="007D02A8" w:rsidRPr="00A722F1" w:rsidRDefault="007D02A8" w:rsidP="007D02A8">
      <w:pPr>
        <w:rPr>
          <w:noProof/>
        </w:rPr>
        <w:sectPr w:rsidR="007D02A8" w:rsidRPr="00A722F1" w:rsidSect="00BD72CF">
          <w:pgSz w:w="11907" w:h="16840" w:code="9"/>
          <w:pgMar w:top="1134" w:right="1418" w:bottom="1134" w:left="1418" w:header="709" w:footer="709" w:gutter="0"/>
          <w:cols w:space="708"/>
          <w:docGrid w:linePitch="360"/>
        </w:sectPr>
      </w:pPr>
    </w:p>
    <w:p w:rsidR="007D02A8" w:rsidRPr="00A722F1" w:rsidRDefault="007D02A8" w:rsidP="007D02A8">
      <w:pPr>
        <w:pStyle w:val="ManualHeading1"/>
        <w:rPr>
          <w:bCs/>
          <w:noProof/>
          <w:szCs w:val="24"/>
        </w:rPr>
      </w:pPr>
      <w:r w:rsidRPr="00A722F1">
        <w:rPr>
          <w:noProof/>
        </w:rPr>
        <w:t>2.</w:t>
      </w:r>
      <w:r w:rsidRPr="00A722F1">
        <w:rPr>
          <w:noProof/>
        </w:rPr>
        <w:tab/>
        <w:t xml:space="preserve">MANAGEMENT MEASURES </w:t>
      </w:r>
    </w:p>
    <w:p w:rsidR="007D02A8" w:rsidRPr="00A722F1" w:rsidRDefault="007D02A8" w:rsidP="007D02A8">
      <w:pPr>
        <w:pStyle w:val="ManualHeading2"/>
        <w:rPr>
          <w:noProof/>
        </w:rPr>
      </w:pPr>
      <w:r w:rsidRPr="00A722F1">
        <w:rPr>
          <w:noProof/>
        </w:rPr>
        <w:t>2.1.</w:t>
      </w:r>
      <w:r w:rsidRPr="00A722F1">
        <w:rPr>
          <w:noProof/>
        </w:rPr>
        <w:tab/>
        <w:t xml:space="preserve">Monitoring and reporting rules </w:t>
      </w:r>
    </w:p>
    <w:p w:rsidR="007D02A8" w:rsidRPr="00A722F1" w:rsidRDefault="007D02A8" w:rsidP="007D02A8">
      <w:pPr>
        <w:pStyle w:val="Text1"/>
        <w:rPr>
          <w:i/>
          <w:noProof/>
          <w:sz w:val="20"/>
          <w:u w:val="single"/>
        </w:rPr>
      </w:pPr>
      <w:r w:rsidRPr="00A722F1">
        <w:rPr>
          <w:i/>
          <w:noProof/>
          <w:sz w:val="20"/>
        </w:rPr>
        <w:t>Specify frequency and conditions.</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 xml:space="preserve">Actions receiving financial assistance under this proposal </w:t>
      </w:r>
      <w:r>
        <w:rPr>
          <w:noProof/>
        </w:rPr>
        <w:t>will</w:t>
      </w:r>
      <w:r w:rsidRPr="00A722F1">
        <w:rPr>
          <w:noProof/>
        </w:rPr>
        <w:t xml:space="preserve"> be monitored regularly.</w:t>
      </w:r>
    </w:p>
    <w:p w:rsidR="007D02A8" w:rsidRPr="00A722F1" w:rsidRDefault="007D02A8" w:rsidP="007D02A8">
      <w:pPr>
        <w:pStyle w:val="ManualHeading2"/>
        <w:rPr>
          <w:bCs/>
          <w:noProof/>
          <w:szCs w:val="24"/>
        </w:rPr>
      </w:pPr>
      <w:r w:rsidRPr="00A722F1">
        <w:rPr>
          <w:noProof/>
        </w:rPr>
        <w:t>2.2.</w:t>
      </w:r>
      <w:r w:rsidRPr="00A722F1">
        <w:rPr>
          <w:noProof/>
        </w:rPr>
        <w:tab/>
        <w:t xml:space="preserve">Management and control system(s) </w:t>
      </w:r>
    </w:p>
    <w:p w:rsidR="007D02A8" w:rsidRPr="00A722F1" w:rsidRDefault="007D02A8" w:rsidP="007D02A8">
      <w:pPr>
        <w:pStyle w:val="ManualHeading3"/>
        <w:rPr>
          <w:noProof/>
        </w:rPr>
      </w:pPr>
      <w:bookmarkStart w:id="29" w:name="_Toc514938046"/>
      <w:bookmarkStart w:id="30" w:name="_Toc520485045"/>
      <w:r w:rsidRPr="00A722F1">
        <w:rPr>
          <w:noProof/>
        </w:rPr>
        <w:t>2.2.1.</w:t>
      </w:r>
      <w:r w:rsidRPr="00A722F1">
        <w:rPr>
          <w:noProof/>
        </w:rPr>
        <w:tab/>
        <w:t>Justification of the management mode(s), the funding implementation mechanism(s), the payment modalities and the control strategy proposed</w:t>
      </w:r>
      <w:bookmarkEnd w:id="29"/>
      <w:bookmarkEnd w:id="30"/>
      <w:r w:rsidRPr="00A722F1">
        <w:rPr>
          <w:noProof/>
        </w:rPr>
        <w:t xml:space="preserve"> </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u w:val="single"/>
        </w:rPr>
      </w:pPr>
      <w:r w:rsidRPr="00A722F1">
        <w:rPr>
          <w:noProof/>
          <w:u w:val="single"/>
        </w:rPr>
        <w:t>Management mode</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The actions supporting the aims of the Regulation will be implemented directly as provided for by the Financial Regulation.</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The Commission shall provide any support required and duly justified for the development and operations of any needed EU-level interoperability infrastructure. This set-up is considered the most appropriate to achieve the objectives of the Regulation by fully taking into consideration the principles of economy, efficiency and best value for money.</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u w:val="single"/>
        </w:rPr>
      </w:pPr>
      <w:r w:rsidRPr="00A722F1">
        <w:rPr>
          <w:noProof/>
          <w:u w:val="single"/>
        </w:rPr>
        <w:t>Funding Instruments</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The actions to be funded to achieve the aims of the Regulation will be drawn from the Digital Europe Programme</w:t>
      </w:r>
      <w:r>
        <w:rPr>
          <w:noProof/>
        </w:rPr>
        <w:t>.</w:t>
      </w:r>
      <w:r w:rsidRPr="00A722F1">
        <w:rPr>
          <w:noProof/>
        </w:rPr>
        <w:t xml:space="preserve"> </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u w:val="single"/>
        </w:rPr>
      </w:pPr>
      <w:r w:rsidRPr="00A722F1">
        <w:rPr>
          <w:noProof/>
          <w:u w:val="single"/>
        </w:rPr>
        <w:t>Control strategies</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The control strategies will take into account the risk of the respective implementation mechanism and funding tools.</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For grants</w:t>
      </w:r>
      <w:r>
        <w:rPr>
          <w:noProof/>
        </w:rPr>
        <w:t>,</w:t>
      </w:r>
      <w:r w:rsidRPr="00A722F1">
        <w:rPr>
          <w:noProof/>
        </w:rPr>
        <w:t xml:space="preserve"> the control strategy will be set up accordingly and will focus on three key stages of grant implementation, in accordance with the Financial Regulation:</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a. The organisation of calls and the selection of proposals that fit the policy objectives of the Regulation,</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b. Operational, monitoring and ex-ante controls that cover project implementation, public procurement, pre-financing, interim and final payments</w:t>
      </w:r>
      <w:r>
        <w:rPr>
          <w:noProof/>
        </w:rPr>
        <w:t>,</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c. Ex-post controls of projects and payments.</w:t>
      </w:r>
    </w:p>
    <w:p w:rsidR="007D02A8" w:rsidRPr="00A722F1" w:rsidRDefault="007D02A8" w:rsidP="007D02A8">
      <w:pPr>
        <w:pStyle w:val="ManualHeading3"/>
        <w:rPr>
          <w:bCs/>
          <w:noProof/>
          <w:szCs w:val="24"/>
        </w:rPr>
      </w:pPr>
      <w:bookmarkStart w:id="31" w:name="_Toc514938047"/>
      <w:bookmarkStart w:id="32" w:name="_Toc520485046"/>
      <w:r w:rsidRPr="00A722F1">
        <w:rPr>
          <w:noProof/>
        </w:rPr>
        <w:t>2.2.2.</w:t>
      </w:r>
      <w:r w:rsidRPr="00A722F1">
        <w:rPr>
          <w:noProof/>
        </w:rPr>
        <w:tab/>
        <w:t>Information concerning the risks identified and the internal control system(s) set up to mitigate them</w:t>
      </w:r>
      <w:bookmarkEnd w:id="31"/>
      <w:bookmarkEnd w:id="32"/>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The key control functions foreseen for the programme include focusing on the policy objectives while taking into account the internal control objectives (legality and regularity, control efficiency and cost effectiveness). They will aim to ensure the involvement of all actors, appropriate budgetary flexibility and consistent ex-ante and ex-post controls and may be risk-differentiated.</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The Commission’s existing internal control system applies to ensure that funds available under the Digital Europe Programme are used properly and in line with appropriate legislation.</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The current system is setup as follows:</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 xml:space="preserve">a. The internal control team within DG CONNECT focuses on compliance with administrative procedures and legislation in force. The Internal Control Framework of the Commission is used for this purpose. Other Commission services involved in the implementation of the </w:t>
      </w:r>
      <w:r>
        <w:rPr>
          <w:noProof/>
        </w:rPr>
        <w:t xml:space="preserve">initiative </w:t>
      </w:r>
      <w:r w:rsidRPr="00A722F1">
        <w:rPr>
          <w:noProof/>
        </w:rPr>
        <w:t>will follow the same Control Framework</w:t>
      </w:r>
      <w:r>
        <w:rPr>
          <w:noProof/>
        </w:rPr>
        <w:t>,</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b. Regular audit of grants and contracts by external auditors, which will be awarded under this Regulation will be fully incorporated in annual audit plans</w:t>
      </w:r>
      <w:r>
        <w:rPr>
          <w:noProof/>
        </w:rPr>
        <w:t>,</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c. Evaluation of overall activities by external evaluators.</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Actions performed may be audited by the European Anti-Fraud Office (OLAF) and the Court of Auditors.</w:t>
      </w:r>
    </w:p>
    <w:p w:rsidR="007D02A8" w:rsidRPr="00A722F1" w:rsidRDefault="007D02A8" w:rsidP="007D02A8">
      <w:pPr>
        <w:pStyle w:val="ManualHeading3"/>
        <w:rPr>
          <w:noProof/>
        </w:rPr>
      </w:pPr>
      <w:bookmarkStart w:id="33" w:name="_Toc514938048"/>
      <w:bookmarkStart w:id="34" w:name="_Toc520485047"/>
      <w:r w:rsidRPr="00A722F1">
        <w:rPr>
          <w:noProof/>
        </w:rPr>
        <w:t>2.2.3.</w:t>
      </w:r>
      <w:r w:rsidRPr="00A722F1">
        <w:rPr>
          <w:noProof/>
        </w:rPr>
        <w:tab/>
        <w:t>Estimation and justification of the cost-effectiveness of the controls (ratio of "control costs ÷ value of the related funds managed"), and assessment of the expected levels of risk of error (at payment &amp; at closure)</w:t>
      </w:r>
      <w:bookmarkEnd w:id="33"/>
      <w:bookmarkEnd w:id="34"/>
      <w:r w:rsidRPr="00A722F1">
        <w:rPr>
          <w:noProof/>
        </w:rPr>
        <w:t xml:space="preserve"> </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u w:val="single"/>
        </w:rPr>
      </w:pPr>
      <w:r w:rsidRPr="00A722F1">
        <w:rPr>
          <w:noProof/>
          <w:u w:val="single"/>
        </w:rPr>
        <w:t>Estimated level of error</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 xml:space="preserve">The aim is to maintain a residual error rate under 2% threshold for all spending related to the implementation of the measures to achieve the aim of the Regulation, while limiting the control burden for Member States to achieve the right balance between the legality and regularity objective with other objectives like the effectiveness of the </w:t>
      </w:r>
      <w:r>
        <w:rPr>
          <w:noProof/>
        </w:rPr>
        <w:t xml:space="preserve">EU </w:t>
      </w:r>
      <w:r w:rsidRPr="00A722F1">
        <w:rPr>
          <w:noProof/>
        </w:rPr>
        <w:t xml:space="preserve">Digital </w:t>
      </w:r>
      <w:r>
        <w:rPr>
          <w:noProof/>
        </w:rPr>
        <w:t>COVID</w:t>
      </w:r>
      <w:r w:rsidRPr="00A722F1">
        <w:rPr>
          <w:noProof/>
        </w:rPr>
        <w:t xml:space="preserve"> Certificate framework.</w:t>
      </w:r>
    </w:p>
    <w:p w:rsidR="007D02A8" w:rsidRPr="00A722F1" w:rsidRDefault="007D02A8" w:rsidP="007D02A8">
      <w:pPr>
        <w:pStyle w:val="ManualHeading2"/>
        <w:rPr>
          <w:bCs/>
          <w:noProof/>
          <w:szCs w:val="24"/>
        </w:rPr>
      </w:pPr>
      <w:r w:rsidRPr="00A722F1">
        <w:rPr>
          <w:noProof/>
        </w:rPr>
        <w:t>2.3.</w:t>
      </w:r>
      <w:r w:rsidRPr="00A722F1">
        <w:rPr>
          <w:noProof/>
        </w:rPr>
        <w:tab/>
        <w:t xml:space="preserve">Measures to prevent fraud and irregularities </w:t>
      </w:r>
    </w:p>
    <w:p w:rsidR="007D02A8" w:rsidRPr="00A722F1" w:rsidRDefault="007D02A8" w:rsidP="007D02A8">
      <w:pPr>
        <w:pStyle w:val="Text1"/>
        <w:rPr>
          <w:i/>
          <w:noProof/>
          <w:sz w:val="20"/>
        </w:rPr>
      </w:pPr>
      <w:r w:rsidRPr="00A722F1">
        <w:rPr>
          <w:i/>
          <w:noProof/>
          <w:sz w:val="20"/>
        </w:rPr>
        <w:t>Specify existing or envisaged prevention and protection measures, e.g. from the Anti-Fraud Strategy.</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 xml:space="preserve">DG CONNECT is determined to fight against fraud at all stages of the management process. The DG has developed and implements a comprehensive anti-fraud strategy covering all major business activities and fraud risks identified. This includes an enhanced use of intelligence using advanced IT tools (notably in grant management) and continuous training and information for staff. Overall the entire set of control measures proposed also aims for a positive impact on the fight against fraud. </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r w:rsidRPr="00A722F1">
        <w:rPr>
          <w:noProof/>
        </w:rPr>
        <w:t>The legislation will ensure that key controls such as audits and/or on-the-spot checks can be carried out by the Commission services, including OLAF, using the standard provisions recommended by OLAF.</w:t>
      </w:r>
    </w:p>
    <w:p w:rsidR="007D02A8" w:rsidRPr="00A722F1" w:rsidRDefault="007D02A8" w:rsidP="007D02A8">
      <w:pPr>
        <w:rPr>
          <w:noProof/>
        </w:rPr>
        <w:sectPr w:rsidR="007D02A8" w:rsidRPr="00A722F1" w:rsidSect="00BD72CF">
          <w:pgSz w:w="11907" w:h="16840" w:code="9"/>
          <w:pgMar w:top="1134" w:right="1418" w:bottom="1134" w:left="1418" w:header="709" w:footer="709" w:gutter="0"/>
          <w:cols w:space="708"/>
          <w:docGrid w:linePitch="360"/>
        </w:sectPr>
      </w:pPr>
    </w:p>
    <w:p w:rsidR="007D02A8" w:rsidRPr="00A722F1" w:rsidRDefault="007D02A8" w:rsidP="007D02A8">
      <w:pPr>
        <w:pStyle w:val="ManualHeading1"/>
        <w:rPr>
          <w:bCs/>
          <w:noProof/>
          <w:szCs w:val="24"/>
        </w:rPr>
      </w:pPr>
      <w:r w:rsidRPr="00A722F1">
        <w:rPr>
          <w:noProof/>
        </w:rPr>
        <w:t>3.</w:t>
      </w:r>
      <w:r w:rsidRPr="00A722F1">
        <w:rPr>
          <w:noProof/>
        </w:rPr>
        <w:tab/>
        <w:t xml:space="preserve">ESTIMATED FINANCIAL IMPACT OF THE PROPOSAL/INITIATIVE </w:t>
      </w:r>
    </w:p>
    <w:p w:rsidR="007D02A8" w:rsidRPr="00A722F1" w:rsidRDefault="007D02A8" w:rsidP="007D02A8">
      <w:pPr>
        <w:pStyle w:val="ManualHeading2"/>
        <w:rPr>
          <w:noProof/>
        </w:rPr>
      </w:pPr>
      <w:r w:rsidRPr="00A722F1">
        <w:rPr>
          <w:noProof/>
        </w:rPr>
        <w:t>3.1.</w:t>
      </w:r>
      <w:r w:rsidRPr="00A722F1">
        <w:rPr>
          <w:noProof/>
        </w:rPr>
        <w:tab/>
        <w:t xml:space="preserve">Heading(s) of the multiannual financial framework and expenditure budget line(s) affected </w:t>
      </w:r>
    </w:p>
    <w:p w:rsidR="007D02A8" w:rsidRPr="00A722F1" w:rsidRDefault="007D02A8" w:rsidP="007D02A8">
      <w:pPr>
        <w:pStyle w:val="ListBullet1"/>
        <w:rPr>
          <w:noProof/>
        </w:rPr>
      </w:pPr>
      <w:r w:rsidRPr="00A722F1">
        <w:rPr>
          <w:noProof/>
        </w:rPr>
        <w:t xml:space="preserve">Existing budget lines </w:t>
      </w:r>
    </w:p>
    <w:p w:rsidR="007D02A8" w:rsidRPr="00A722F1" w:rsidRDefault="007D02A8" w:rsidP="007D02A8">
      <w:pPr>
        <w:pStyle w:val="Text1"/>
        <w:rPr>
          <w:i/>
          <w:noProof/>
        </w:rPr>
      </w:pPr>
      <w:r w:rsidRPr="00A722F1">
        <w:rPr>
          <w:i/>
          <w:noProof/>
          <w:u w:val="single"/>
        </w:rPr>
        <w:t>In order</w:t>
      </w:r>
      <w:r w:rsidRPr="00A722F1">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16"/>
        <w:gridCol w:w="1134"/>
        <w:gridCol w:w="1046"/>
        <w:gridCol w:w="1080"/>
        <w:gridCol w:w="956"/>
        <w:gridCol w:w="1448"/>
      </w:tblGrid>
      <w:tr w:rsidR="007D02A8" w:rsidRPr="00A722F1" w:rsidTr="000E727E">
        <w:tc>
          <w:tcPr>
            <w:tcW w:w="1080" w:type="dxa"/>
            <w:vMerge w:val="restart"/>
            <w:vAlign w:val="center"/>
          </w:tcPr>
          <w:p w:rsidR="007D02A8" w:rsidRPr="00A722F1" w:rsidRDefault="007D02A8" w:rsidP="000E727E">
            <w:pPr>
              <w:spacing w:before="60" w:after="60"/>
              <w:jc w:val="center"/>
              <w:rPr>
                <w:noProof/>
              </w:rPr>
            </w:pPr>
            <w:r w:rsidRPr="00A722F1">
              <w:rPr>
                <w:noProof/>
                <w:sz w:val="18"/>
              </w:rPr>
              <w:t>Heading of multiannual financial framework</w:t>
            </w:r>
          </w:p>
        </w:tc>
        <w:tc>
          <w:tcPr>
            <w:tcW w:w="3816" w:type="dxa"/>
            <w:vAlign w:val="center"/>
          </w:tcPr>
          <w:p w:rsidR="007D02A8" w:rsidRPr="00A722F1" w:rsidRDefault="007D02A8" w:rsidP="000E727E">
            <w:pPr>
              <w:spacing w:before="60" w:after="60"/>
              <w:jc w:val="center"/>
              <w:rPr>
                <w:noProof/>
              </w:rPr>
            </w:pPr>
            <w:r w:rsidRPr="00A722F1">
              <w:rPr>
                <w:noProof/>
                <w:sz w:val="20"/>
              </w:rPr>
              <w:t>Budget line</w:t>
            </w:r>
          </w:p>
        </w:tc>
        <w:tc>
          <w:tcPr>
            <w:tcW w:w="1134" w:type="dxa"/>
            <w:vAlign w:val="center"/>
          </w:tcPr>
          <w:p w:rsidR="007D02A8" w:rsidRPr="00A722F1" w:rsidRDefault="007D02A8" w:rsidP="000E727E">
            <w:pPr>
              <w:spacing w:before="60" w:after="60"/>
              <w:jc w:val="center"/>
              <w:rPr>
                <w:noProof/>
              </w:rPr>
            </w:pPr>
            <w:r w:rsidRPr="00A722F1">
              <w:rPr>
                <w:noProof/>
                <w:sz w:val="18"/>
              </w:rPr>
              <w:t xml:space="preserve">Type of </w:t>
            </w:r>
            <w:r w:rsidRPr="00A722F1">
              <w:rPr>
                <w:noProof/>
                <w:sz w:val="22"/>
              </w:rPr>
              <w:br/>
            </w:r>
            <w:r w:rsidRPr="00A722F1">
              <w:rPr>
                <w:noProof/>
                <w:sz w:val="18"/>
              </w:rPr>
              <w:t>expenditure</w:t>
            </w:r>
          </w:p>
        </w:tc>
        <w:tc>
          <w:tcPr>
            <w:tcW w:w="4530" w:type="dxa"/>
            <w:gridSpan w:val="4"/>
            <w:vAlign w:val="center"/>
          </w:tcPr>
          <w:p w:rsidR="007D02A8" w:rsidRPr="00A722F1" w:rsidRDefault="007D02A8" w:rsidP="000E727E">
            <w:pPr>
              <w:spacing w:before="60" w:after="60"/>
              <w:jc w:val="center"/>
              <w:rPr>
                <w:noProof/>
              </w:rPr>
            </w:pPr>
            <w:r w:rsidRPr="00A722F1">
              <w:rPr>
                <w:noProof/>
                <w:sz w:val="20"/>
              </w:rPr>
              <w:t xml:space="preserve">Contribution </w:t>
            </w:r>
          </w:p>
        </w:tc>
      </w:tr>
      <w:tr w:rsidR="007D02A8" w:rsidRPr="00A722F1" w:rsidTr="000E727E">
        <w:tc>
          <w:tcPr>
            <w:tcW w:w="1080" w:type="dxa"/>
            <w:vMerge/>
            <w:vAlign w:val="center"/>
          </w:tcPr>
          <w:p w:rsidR="007D02A8" w:rsidRPr="00A722F1" w:rsidRDefault="007D02A8" w:rsidP="000E727E">
            <w:pPr>
              <w:jc w:val="center"/>
              <w:rPr>
                <w:noProof/>
              </w:rPr>
            </w:pPr>
          </w:p>
        </w:tc>
        <w:tc>
          <w:tcPr>
            <w:tcW w:w="3816" w:type="dxa"/>
            <w:vAlign w:val="center"/>
          </w:tcPr>
          <w:p w:rsidR="007D02A8" w:rsidRPr="00A722F1" w:rsidRDefault="007D02A8" w:rsidP="000E727E">
            <w:pPr>
              <w:rPr>
                <w:noProof/>
              </w:rPr>
            </w:pPr>
            <w:r w:rsidRPr="00A722F1">
              <w:rPr>
                <w:noProof/>
                <w:sz w:val="20"/>
              </w:rPr>
              <w:t xml:space="preserve">Number </w:t>
            </w:r>
            <w:r w:rsidRPr="00A722F1">
              <w:rPr>
                <w:noProof/>
                <w:sz w:val="22"/>
              </w:rPr>
              <w:br/>
            </w:r>
          </w:p>
        </w:tc>
        <w:tc>
          <w:tcPr>
            <w:tcW w:w="1134" w:type="dxa"/>
            <w:vAlign w:val="center"/>
          </w:tcPr>
          <w:p w:rsidR="007D02A8" w:rsidRPr="00A722F1" w:rsidRDefault="007D02A8" w:rsidP="000E727E">
            <w:pPr>
              <w:jc w:val="center"/>
              <w:rPr>
                <w:noProof/>
              </w:rPr>
            </w:pPr>
            <w:r w:rsidRPr="00A722F1">
              <w:rPr>
                <w:noProof/>
                <w:sz w:val="18"/>
              </w:rPr>
              <w:t>Diff./Non-diff.</w:t>
            </w:r>
            <w:r w:rsidRPr="00A722F1">
              <w:rPr>
                <w:rStyle w:val="FootnoteReference"/>
                <w:noProof/>
                <w:sz w:val="18"/>
              </w:rPr>
              <w:footnoteReference w:id="39"/>
            </w:r>
          </w:p>
        </w:tc>
        <w:tc>
          <w:tcPr>
            <w:tcW w:w="1046" w:type="dxa"/>
            <w:vAlign w:val="center"/>
          </w:tcPr>
          <w:p w:rsidR="007D02A8" w:rsidRPr="00A722F1" w:rsidRDefault="007D02A8" w:rsidP="000E727E">
            <w:pPr>
              <w:jc w:val="center"/>
              <w:rPr>
                <w:noProof/>
              </w:rPr>
            </w:pPr>
            <w:r w:rsidRPr="00A722F1">
              <w:rPr>
                <w:noProof/>
                <w:sz w:val="18"/>
              </w:rPr>
              <w:t>from EFTA countries</w:t>
            </w:r>
            <w:r w:rsidRPr="00A722F1">
              <w:rPr>
                <w:rStyle w:val="FootnoteReference"/>
                <w:noProof/>
                <w:sz w:val="18"/>
              </w:rPr>
              <w:footnoteReference w:id="40"/>
            </w:r>
          </w:p>
          <w:p w:rsidR="007D02A8" w:rsidRPr="00A722F1" w:rsidRDefault="007D02A8" w:rsidP="000E727E">
            <w:pPr>
              <w:spacing w:before="0" w:after="0"/>
              <w:jc w:val="center"/>
              <w:rPr>
                <w:b/>
                <w:noProof/>
                <w:sz w:val="18"/>
              </w:rPr>
            </w:pPr>
          </w:p>
        </w:tc>
        <w:tc>
          <w:tcPr>
            <w:tcW w:w="1080" w:type="dxa"/>
            <w:vAlign w:val="center"/>
          </w:tcPr>
          <w:p w:rsidR="007D02A8" w:rsidRPr="00A722F1" w:rsidRDefault="007D02A8" w:rsidP="000E727E">
            <w:pPr>
              <w:jc w:val="center"/>
              <w:rPr>
                <w:noProof/>
              </w:rPr>
            </w:pPr>
            <w:r w:rsidRPr="00A722F1">
              <w:rPr>
                <w:noProof/>
                <w:sz w:val="18"/>
              </w:rPr>
              <w:t>from candidate countries</w:t>
            </w:r>
            <w:r w:rsidRPr="00A722F1">
              <w:rPr>
                <w:rStyle w:val="FootnoteReference"/>
                <w:noProof/>
                <w:sz w:val="18"/>
              </w:rPr>
              <w:footnoteReference w:id="41"/>
            </w:r>
          </w:p>
          <w:p w:rsidR="007D02A8" w:rsidRPr="00A722F1" w:rsidRDefault="007D02A8" w:rsidP="000E727E">
            <w:pPr>
              <w:spacing w:before="0" w:after="0"/>
              <w:jc w:val="center"/>
              <w:rPr>
                <w:noProof/>
                <w:sz w:val="18"/>
              </w:rPr>
            </w:pPr>
          </w:p>
        </w:tc>
        <w:tc>
          <w:tcPr>
            <w:tcW w:w="956" w:type="dxa"/>
            <w:vAlign w:val="center"/>
          </w:tcPr>
          <w:p w:rsidR="007D02A8" w:rsidRPr="00A722F1" w:rsidRDefault="007D02A8" w:rsidP="000E727E">
            <w:pPr>
              <w:jc w:val="center"/>
              <w:rPr>
                <w:noProof/>
                <w:sz w:val="18"/>
              </w:rPr>
            </w:pPr>
            <w:r w:rsidRPr="00A722F1">
              <w:rPr>
                <w:noProof/>
                <w:sz w:val="18"/>
              </w:rPr>
              <w:t>from third countries</w:t>
            </w:r>
          </w:p>
        </w:tc>
        <w:tc>
          <w:tcPr>
            <w:tcW w:w="1448" w:type="dxa"/>
            <w:vAlign w:val="center"/>
          </w:tcPr>
          <w:p w:rsidR="007D02A8" w:rsidRPr="00A722F1" w:rsidRDefault="007D02A8" w:rsidP="000E727E">
            <w:pPr>
              <w:jc w:val="center"/>
              <w:rPr>
                <w:noProof/>
              </w:rPr>
            </w:pPr>
            <w:r w:rsidRPr="00A722F1">
              <w:rPr>
                <w:noProof/>
                <w:sz w:val="16"/>
              </w:rPr>
              <w:t xml:space="preserve">within the meaning of Article 21(2)(b) of the Financial Regulation </w:t>
            </w:r>
          </w:p>
        </w:tc>
      </w:tr>
      <w:tr w:rsidR="007D02A8" w:rsidRPr="00A722F1" w:rsidTr="000E727E">
        <w:tc>
          <w:tcPr>
            <w:tcW w:w="1080" w:type="dxa"/>
            <w:vAlign w:val="center"/>
          </w:tcPr>
          <w:p w:rsidR="007D02A8" w:rsidRPr="00A722F1" w:rsidRDefault="007D02A8" w:rsidP="000E727E">
            <w:pPr>
              <w:spacing w:before="240" w:line="480" w:lineRule="auto"/>
              <w:jc w:val="center"/>
              <w:rPr>
                <w:noProof/>
              </w:rPr>
            </w:pPr>
            <w:r w:rsidRPr="00A722F1">
              <w:rPr>
                <w:noProof/>
              </w:rPr>
              <w:t>01</w:t>
            </w:r>
          </w:p>
        </w:tc>
        <w:tc>
          <w:tcPr>
            <w:tcW w:w="3816" w:type="dxa"/>
            <w:vAlign w:val="center"/>
          </w:tcPr>
          <w:p w:rsidR="007D02A8" w:rsidRPr="00A722F1" w:rsidRDefault="007D02A8" w:rsidP="000E727E">
            <w:pPr>
              <w:spacing w:before="60"/>
              <w:rPr>
                <w:noProof/>
                <w:sz w:val="22"/>
              </w:rPr>
            </w:pPr>
            <w:r w:rsidRPr="00A722F1">
              <w:rPr>
                <w:noProof/>
                <w:sz w:val="22"/>
              </w:rPr>
              <w:t>02 04 Digital Europe Programme</w:t>
            </w:r>
          </w:p>
        </w:tc>
        <w:tc>
          <w:tcPr>
            <w:tcW w:w="1134" w:type="dxa"/>
            <w:vAlign w:val="center"/>
          </w:tcPr>
          <w:p w:rsidR="007D02A8" w:rsidRPr="00A722F1" w:rsidRDefault="007D02A8" w:rsidP="000E727E">
            <w:pPr>
              <w:jc w:val="center"/>
              <w:rPr>
                <w:noProof/>
                <w:sz w:val="22"/>
              </w:rPr>
            </w:pPr>
            <w:r w:rsidRPr="00A722F1">
              <w:rPr>
                <w:noProof/>
                <w:sz w:val="22"/>
              </w:rPr>
              <w:t>Diff</w:t>
            </w:r>
          </w:p>
        </w:tc>
        <w:tc>
          <w:tcPr>
            <w:tcW w:w="1046" w:type="dxa"/>
            <w:vAlign w:val="center"/>
          </w:tcPr>
          <w:p w:rsidR="007D02A8" w:rsidRPr="00A722F1" w:rsidRDefault="007D02A8" w:rsidP="000E727E">
            <w:pPr>
              <w:jc w:val="center"/>
              <w:rPr>
                <w:noProof/>
                <w:sz w:val="20"/>
                <w:szCs w:val="20"/>
              </w:rPr>
            </w:pPr>
            <w:r w:rsidRPr="00A722F1">
              <w:rPr>
                <w:noProof/>
                <w:sz w:val="20"/>
                <w:szCs w:val="20"/>
              </w:rPr>
              <w:t>YES</w:t>
            </w:r>
          </w:p>
        </w:tc>
        <w:tc>
          <w:tcPr>
            <w:tcW w:w="1080" w:type="dxa"/>
            <w:vAlign w:val="center"/>
          </w:tcPr>
          <w:p w:rsidR="007D02A8" w:rsidRPr="00A722F1" w:rsidRDefault="007D02A8" w:rsidP="000E727E">
            <w:pPr>
              <w:jc w:val="center"/>
              <w:rPr>
                <w:noProof/>
                <w:sz w:val="20"/>
                <w:szCs w:val="20"/>
              </w:rPr>
            </w:pPr>
            <w:r w:rsidRPr="00A722F1">
              <w:rPr>
                <w:noProof/>
                <w:sz w:val="22"/>
              </w:rPr>
              <w:t>YES (if specified in the annual work programme)</w:t>
            </w:r>
          </w:p>
        </w:tc>
        <w:tc>
          <w:tcPr>
            <w:tcW w:w="956" w:type="dxa"/>
            <w:vAlign w:val="center"/>
          </w:tcPr>
          <w:p w:rsidR="007D02A8" w:rsidRPr="00A722F1" w:rsidRDefault="007D02A8" w:rsidP="000E727E">
            <w:pPr>
              <w:jc w:val="center"/>
              <w:rPr>
                <w:noProof/>
                <w:sz w:val="20"/>
                <w:szCs w:val="20"/>
              </w:rPr>
            </w:pPr>
            <w:r w:rsidRPr="00A722F1">
              <w:rPr>
                <w:noProof/>
                <w:sz w:val="22"/>
              </w:rPr>
              <w:t>Part of the Programme</w:t>
            </w:r>
          </w:p>
        </w:tc>
        <w:tc>
          <w:tcPr>
            <w:tcW w:w="1448" w:type="dxa"/>
            <w:vAlign w:val="center"/>
          </w:tcPr>
          <w:p w:rsidR="007D02A8" w:rsidRPr="00A722F1" w:rsidRDefault="007D02A8" w:rsidP="000E727E">
            <w:pPr>
              <w:jc w:val="center"/>
              <w:rPr>
                <w:noProof/>
                <w:sz w:val="20"/>
                <w:szCs w:val="20"/>
              </w:rPr>
            </w:pPr>
            <w:r w:rsidRPr="00A722F1">
              <w:rPr>
                <w:noProof/>
                <w:sz w:val="20"/>
                <w:szCs w:val="20"/>
              </w:rPr>
              <w:t>NO</w:t>
            </w:r>
          </w:p>
        </w:tc>
      </w:tr>
    </w:tbl>
    <w:p w:rsidR="007D02A8" w:rsidRPr="00A722F1" w:rsidRDefault="007D02A8" w:rsidP="007D02A8">
      <w:pPr>
        <w:rPr>
          <w:noProof/>
        </w:rPr>
      </w:pPr>
    </w:p>
    <w:p w:rsidR="007D02A8" w:rsidRPr="00A722F1" w:rsidRDefault="007D02A8" w:rsidP="007D02A8">
      <w:pPr>
        <w:rPr>
          <w:noProof/>
        </w:rPr>
        <w:sectPr w:rsidR="007D02A8" w:rsidRPr="00A722F1" w:rsidSect="00BD72CF">
          <w:pgSz w:w="11907" w:h="16840" w:code="1"/>
          <w:pgMar w:top="1134" w:right="1418" w:bottom="1134" w:left="1418" w:header="709" w:footer="709" w:gutter="0"/>
          <w:cols w:space="708"/>
          <w:docGrid w:linePitch="360"/>
        </w:sectPr>
      </w:pPr>
    </w:p>
    <w:p w:rsidR="007D02A8" w:rsidRPr="00A722F1" w:rsidRDefault="007D02A8" w:rsidP="007D02A8">
      <w:pPr>
        <w:pStyle w:val="ManualHeading2"/>
        <w:rPr>
          <w:bCs/>
          <w:noProof/>
          <w:szCs w:val="24"/>
        </w:rPr>
      </w:pPr>
      <w:r w:rsidRPr="00A722F1">
        <w:rPr>
          <w:noProof/>
        </w:rPr>
        <w:t>3.2.</w:t>
      </w:r>
      <w:r w:rsidRPr="00A722F1">
        <w:rPr>
          <w:noProof/>
        </w:rPr>
        <w:tab/>
        <w:t xml:space="preserve">Estimated impact on expenditure </w:t>
      </w:r>
    </w:p>
    <w:p w:rsidR="007D02A8" w:rsidRPr="00A722F1" w:rsidRDefault="007D02A8" w:rsidP="007D02A8">
      <w:pPr>
        <w:pStyle w:val="ManualHeading3"/>
        <w:rPr>
          <w:noProof/>
        </w:rPr>
      </w:pPr>
      <w:r w:rsidRPr="00A722F1">
        <w:rPr>
          <w:noProof/>
        </w:rPr>
        <w:t>3.2.1.</w:t>
      </w:r>
      <w:r w:rsidRPr="00A722F1">
        <w:rPr>
          <w:noProof/>
        </w:rPr>
        <w:tab/>
        <w:t xml:space="preserve">Summary of estimated impact on expenditure </w:t>
      </w:r>
    </w:p>
    <w:p w:rsidR="007D02A8" w:rsidRPr="00A722F1" w:rsidRDefault="007D02A8" w:rsidP="007D02A8">
      <w:pPr>
        <w:pStyle w:val="ListDash1"/>
        <w:rPr>
          <w:noProof/>
        </w:rPr>
      </w:pPr>
      <w:r w:rsidRPr="00A722F1">
        <w:rPr>
          <w:noProof/>
        </w:rPr>
        <w:sym w:font="Wingdings" w:char="F0A8"/>
      </w:r>
      <w:r w:rsidRPr="00A722F1">
        <w:rPr>
          <w:noProof/>
        </w:rPr>
        <w:tab/>
        <w:t xml:space="preserve">The proposal/initiative does not require the use of operational appropriations </w:t>
      </w:r>
    </w:p>
    <w:p w:rsidR="007D02A8" w:rsidRPr="00A722F1" w:rsidRDefault="007D02A8" w:rsidP="007D02A8">
      <w:pPr>
        <w:pStyle w:val="ListDash1"/>
        <w:rPr>
          <w:noProof/>
        </w:rPr>
      </w:pPr>
      <w:r w:rsidRPr="00A722F1">
        <w:rPr>
          <w:noProof/>
        </w:rPr>
        <w:sym w:font="Wingdings" w:char="F06E"/>
      </w:r>
      <w:r w:rsidRPr="00A722F1">
        <w:rPr>
          <w:noProof/>
        </w:rPr>
        <w:tab/>
        <w:t>The proposal/initiative requires the use of operational appropriations, as explained below:</w:t>
      </w:r>
    </w:p>
    <w:p w:rsidR="007D02A8" w:rsidRPr="00A722F1" w:rsidRDefault="007D02A8" w:rsidP="007D02A8">
      <w:pPr>
        <w:spacing w:after="0"/>
        <w:jc w:val="right"/>
        <w:rPr>
          <w:noProof/>
          <w:sz w:val="18"/>
          <w:szCs w:val="18"/>
        </w:rPr>
      </w:pPr>
      <w:r w:rsidRPr="00A722F1">
        <w:rPr>
          <w:noProof/>
          <w:sz w:val="18"/>
          <w:szCs w:val="18"/>
        </w:rPr>
        <w:t>EUR million (to three decimal places)</w:t>
      </w:r>
    </w:p>
    <w:p w:rsidR="007D02A8" w:rsidRPr="00A722F1" w:rsidRDefault="007D02A8" w:rsidP="007D02A8">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3708"/>
        <w:gridCol w:w="1440"/>
        <w:gridCol w:w="63"/>
        <w:gridCol w:w="185"/>
        <w:gridCol w:w="406"/>
        <w:gridCol w:w="904"/>
        <w:gridCol w:w="720"/>
        <w:gridCol w:w="1624"/>
        <w:gridCol w:w="1625"/>
        <w:gridCol w:w="1624"/>
        <w:gridCol w:w="1452"/>
      </w:tblGrid>
      <w:tr w:rsidR="007D02A8" w:rsidRPr="00A722F1" w:rsidTr="000E727E">
        <w:trPr>
          <w:gridBefore w:val="1"/>
          <w:wBefore w:w="252" w:type="dxa"/>
          <w:jc w:val="center"/>
        </w:trPr>
        <w:tc>
          <w:tcPr>
            <w:tcW w:w="5396" w:type="dxa"/>
            <w:gridSpan w:val="4"/>
            <w:shd w:val="thinDiagStripe" w:color="C0C0C0" w:fill="auto"/>
            <w:vAlign w:val="center"/>
          </w:tcPr>
          <w:p w:rsidR="007D02A8" w:rsidRPr="00A722F1" w:rsidRDefault="007D02A8" w:rsidP="000E727E">
            <w:pPr>
              <w:spacing w:before="60" w:after="60"/>
              <w:jc w:val="center"/>
              <w:rPr>
                <w:b/>
                <w:noProof/>
              </w:rPr>
            </w:pPr>
            <w:r w:rsidRPr="00A722F1">
              <w:rPr>
                <w:b/>
                <w:noProof/>
                <w:sz w:val="22"/>
              </w:rPr>
              <w:t xml:space="preserve">Heading of multiannual financial </w:t>
            </w:r>
            <w:r w:rsidRPr="00A722F1">
              <w:rPr>
                <w:noProof/>
                <w:sz w:val="22"/>
              </w:rPr>
              <w:br/>
            </w:r>
            <w:r w:rsidRPr="00A722F1">
              <w:rPr>
                <w:b/>
                <w:noProof/>
                <w:sz w:val="22"/>
              </w:rPr>
              <w:t xml:space="preserve">framework </w:t>
            </w:r>
          </w:p>
        </w:tc>
        <w:tc>
          <w:tcPr>
            <w:tcW w:w="1310" w:type="dxa"/>
            <w:gridSpan w:val="2"/>
            <w:vAlign w:val="center"/>
          </w:tcPr>
          <w:p w:rsidR="007D02A8" w:rsidRPr="00A722F1" w:rsidRDefault="007D02A8" w:rsidP="000E727E">
            <w:pPr>
              <w:spacing w:before="60" w:after="60"/>
              <w:jc w:val="center"/>
              <w:rPr>
                <w:noProof/>
              </w:rPr>
            </w:pPr>
            <w:r w:rsidRPr="00A722F1">
              <w:rPr>
                <w:noProof/>
                <w:sz w:val="22"/>
              </w:rPr>
              <w:t>01</w:t>
            </w:r>
          </w:p>
        </w:tc>
        <w:tc>
          <w:tcPr>
            <w:tcW w:w="7045" w:type="dxa"/>
            <w:gridSpan w:val="5"/>
            <w:vAlign w:val="center"/>
          </w:tcPr>
          <w:p w:rsidR="007D02A8" w:rsidRPr="00A722F1" w:rsidRDefault="007D02A8" w:rsidP="000E727E">
            <w:pPr>
              <w:spacing w:before="60" w:after="60"/>
              <w:rPr>
                <w:noProof/>
              </w:rPr>
            </w:pPr>
            <w:r w:rsidRPr="00A722F1">
              <w:rPr>
                <w:noProof/>
              </w:rPr>
              <w:t>Single Market, Innovation and Digital</w:t>
            </w:r>
          </w:p>
        </w:tc>
      </w:tr>
      <w:tr w:rsidR="007D02A8" w:rsidRPr="00A722F1" w:rsidTr="000E727E">
        <w:tblPrEx>
          <w:jc w:val="left"/>
        </w:tblPrEx>
        <w:trPr>
          <w:gridAfter w:val="1"/>
          <w:wAfter w:w="1452" w:type="dxa"/>
        </w:trPr>
        <w:tc>
          <w:tcPr>
            <w:tcW w:w="3960" w:type="dxa"/>
            <w:gridSpan w:val="2"/>
            <w:vAlign w:val="center"/>
          </w:tcPr>
          <w:p w:rsidR="007D02A8" w:rsidRPr="00A722F1" w:rsidRDefault="007D02A8" w:rsidP="000E727E">
            <w:pPr>
              <w:jc w:val="center"/>
              <w:rPr>
                <w:noProof/>
              </w:rPr>
            </w:pPr>
            <w:r w:rsidRPr="00A722F1">
              <w:rPr>
                <w:noProof/>
                <w:sz w:val="22"/>
              </w:rPr>
              <w:t>DG CONNECT</w:t>
            </w:r>
          </w:p>
        </w:tc>
        <w:tc>
          <w:tcPr>
            <w:tcW w:w="1503" w:type="dxa"/>
            <w:gridSpan w:val="2"/>
          </w:tcPr>
          <w:p w:rsidR="007D02A8" w:rsidRPr="00A722F1" w:rsidRDefault="007D02A8" w:rsidP="000E727E">
            <w:pPr>
              <w:rPr>
                <w:noProof/>
                <w:sz w:val="20"/>
              </w:rPr>
            </w:pPr>
          </w:p>
        </w:tc>
        <w:tc>
          <w:tcPr>
            <w:tcW w:w="591" w:type="dxa"/>
            <w:gridSpan w:val="2"/>
          </w:tcPr>
          <w:p w:rsidR="007D02A8" w:rsidRPr="00A722F1" w:rsidRDefault="007D02A8" w:rsidP="000E727E">
            <w:pPr>
              <w:jc w:val="center"/>
              <w:rPr>
                <w:noProof/>
                <w:sz w:val="20"/>
              </w:rPr>
            </w:pPr>
          </w:p>
        </w:tc>
        <w:tc>
          <w:tcPr>
            <w:tcW w:w="1624" w:type="dxa"/>
            <w:gridSpan w:val="2"/>
            <w:vAlign w:val="center"/>
          </w:tcPr>
          <w:p w:rsidR="007D02A8" w:rsidRPr="00A722F1" w:rsidRDefault="007D02A8" w:rsidP="000E727E">
            <w:pPr>
              <w:jc w:val="center"/>
              <w:rPr>
                <w:noProof/>
                <w:sz w:val="20"/>
              </w:rPr>
            </w:pPr>
            <w:r w:rsidRPr="00A722F1">
              <w:rPr>
                <w:noProof/>
                <w:sz w:val="20"/>
              </w:rPr>
              <w:t>Year</w:t>
            </w:r>
            <w:r w:rsidRPr="00A722F1">
              <w:rPr>
                <w:noProof/>
                <w:sz w:val="22"/>
              </w:rPr>
              <w:br/>
            </w:r>
            <w:r w:rsidRPr="00A722F1">
              <w:rPr>
                <w:b/>
                <w:noProof/>
                <w:sz w:val="20"/>
              </w:rPr>
              <w:t>2022</w:t>
            </w:r>
          </w:p>
        </w:tc>
        <w:tc>
          <w:tcPr>
            <w:tcW w:w="1624" w:type="dxa"/>
            <w:vAlign w:val="center"/>
          </w:tcPr>
          <w:p w:rsidR="007D02A8" w:rsidRPr="00A722F1" w:rsidRDefault="007D02A8" w:rsidP="000E727E">
            <w:pPr>
              <w:jc w:val="center"/>
              <w:rPr>
                <w:noProof/>
                <w:sz w:val="20"/>
              </w:rPr>
            </w:pPr>
            <w:r w:rsidRPr="00A722F1">
              <w:rPr>
                <w:noProof/>
                <w:sz w:val="20"/>
              </w:rPr>
              <w:t>Year</w:t>
            </w:r>
            <w:r w:rsidRPr="00A722F1">
              <w:rPr>
                <w:noProof/>
                <w:sz w:val="22"/>
              </w:rPr>
              <w:br/>
            </w:r>
            <w:r w:rsidRPr="00A722F1">
              <w:rPr>
                <w:b/>
                <w:noProof/>
                <w:sz w:val="20"/>
              </w:rPr>
              <w:t>2023</w:t>
            </w:r>
          </w:p>
        </w:tc>
        <w:tc>
          <w:tcPr>
            <w:tcW w:w="1625" w:type="dxa"/>
            <w:vAlign w:val="center"/>
          </w:tcPr>
          <w:p w:rsidR="007D02A8" w:rsidRPr="00A722F1" w:rsidRDefault="007D02A8" w:rsidP="000E727E">
            <w:pPr>
              <w:jc w:val="center"/>
              <w:rPr>
                <w:noProof/>
                <w:sz w:val="20"/>
              </w:rPr>
            </w:pPr>
            <w:r w:rsidRPr="00A722F1">
              <w:rPr>
                <w:noProof/>
                <w:sz w:val="20"/>
              </w:rPr>
              <w:t>Year</w:t>
            </w:r>
            <w:r w:rsidRPr="00A722F1">
              <w:rPr>
                <w:noProof/>
                <w:sz w:val="22"/>
              </w:rPr>
              <w:br/>
            </w:r>
            <w:r w:rsidRPr="00A722F1">
              <w:rPr>
                <w:b/>
                <w:noProof/>
                <w:sz w:val="20"/>
              </w:rPr>
              <w:t>2024</w:t>
            </w:r>
          </w:p>
        </w:tc>
        <w:tc>
          <w:tcPr>
            <w:tcW w:w="1624" w:type="dxa"/>
            <w:vAlign w:val="center"/>
          </w:tcPr>
          <w:p w:rsidR="007D02A8" w:rsidRPr="00A722F1" w:rsidRDefault="007D02A8" w:rsidP="000E727E">
            <w:pPr>
              <w:jc w:val="center"/>
              <w:rPr>
                <w:b/>
                <w:noProof/>
                <w:sz w:val="20"/>
              </w:rPr>
            </w:pPr>
            <w:r w:rsidRPr="00A722F1">
              <w:rPr>
                <w:b/>
                <w:noProof/>
                <w:sz w:val="20"/>
              </w:rPr>
              <w:t>TOTAL</w:t>
            </w:r>
          </w:p>
        </w:tc>
      </w:tr>
      <w:tr w:rsidR="007D02A8" w:rsidRPr="00A722F1" w:rsidTr="000E727E">
        <w:tblPrEx>
          <w:jc w:val="left"/>
        </w:tblPrEx>
        <w:trPr>
          <w:gridAfter w:val="1"/>
          <w:wAfter w:w="1452" w:type="dxa"/>
          <w:trHeight w:val="213"/>
        </w:trPr>
        <w:tc>
          <w:tcPr>
            <w:tcW w:w="6054" w:type="dxa"/>
            <w:gridSpan w:val="6"/>
            <w:vAlign w:val="center"/>
          </w:tcPr>
          <w:p w:rsidR="007D02A8" w:rsidRPr="00A722F1" w:rsidRDefault="007D02A8" w:rsidP="000E727E">
            <w:pPr>
              <w:spacing w:before="20" w:after="20"/>
              <w:rPr>
                <w:noProof/>
                <w:sz w:val="21"/>
              </w:rPr>
            </w:pPr>
            <w:r w:rsidRPr="00A722F1">
              <w:rPr>
                <w:noProof/>
                <w:sz w:val="21"/>
              </w:rPr>
              <w:sym w:font="Wingdings" w:char="F09F"/>
            </w:r>
            <w:r w:rsidRPr="00A722F1">
              <w:rPr>
                <w:noProof/>
                <w:sz w:val="21"/>
              </w:rPr>
              <w:t xml:space="preserve"> Operational appropriations </w:t>
            </w:r>
          </w:p>
        </w:tc>
        <w:tc>
          <w:tcPr>
            <w:tcW w:w="1624" w:type="dxa"/>
            <w:gridSpan w:val="2"/>
            <w:vAlign w:val="center"/>
          </w:tcPr>
          <w:p w:rsidR="007D02A8" w:rsidRPr="00A722F1" w:rsidRDefault="007D02A8" w:rsidP="000E727E">
            <w:pPr>
              <w:rPr>
                <w:noProof/>
                <w:sz w:val="20"/>
              </w:rPr>
            </w:pPr>
          </w:p>
        </w:tc>
        <w:tc>
          <w:tcPr>
            <w:tcW w:w="1624" w:type="dxa"/>
            <w:vAlign w:val="center"/>
          </w:tcPr>
          <w:p w:rsidR="007D02A8" w:rsidRPr="00A722F1" w:rsidRDefault="007D02A8" w:rsidP="000E727E">
            <w:pPr>
              <w:rPr>
                <w:noProof/>
                <w:sz w:val="20"/>
              </w:rPr>
            </w:pPr>
          </w:p>
        </w:tc>
        <w:tc>
          <w:tcPr>
            <w:tcW w:w="1625" w:type="dxa"/>
            <w:vAlign w:val="center"/>
          </w:tcPr>
          <w:p w:rsidR="007D02A8" w:rsidRPr="00A722F1" w:rsidRDefault="007D02A8" w:rsidP="000E727E">
            <w:pPr>
              <w:rPr>
                <w:noProof/>
                <w:sz w:val="20"/>
              </w:rPr>
            </w:pPr>
          </w:p>
        </w:tc>
        <w:tc>
          <w:tcPr>
            <w:tcW w:w="1624" w:type="dxa"/>
            <w:vAlign w:val="center"/>
          </w:tcPr>
          <w:p w:rsidR="007D02A8" w:rsidRPr="00A722F1" w:rsidRDefault="007D02A8" w:rsidP="000E727E">
            <w:pPr>
              <w:rPr>
                <w:b/>
                <w:noProof/>
                <w:sz w:val="20"/>
              </w:rPr>
            </w:pPr>
          </w:p>
        </w:tc>
      </w:tr>
      <w:tr w:rsidR="007D02A8" w:rsidRPr="00A722F1" w:rsidTr="000E727E">
        <w:tblPrEx>
          <w:jc w:val="left"/>
        </w:tblPrEx>
        <w:trPr>
          <w:gridAfter w:val="1"/>
          <w:wAfter w:w="1452" w:type="dxa"/>
          <w:trHeight w:val="277"/>
        </w:trPr>
        <w:tc>
          <w:tcPr>
            <w:tcW w:w="3960" w:type="dxa"/>
            <w:gridSpan w:val="2"/>
            <w:vMerge w:val="restart"/>
            <w:vAlign w:val="center"/>
          </w:tcPr>
          <w:p w:rsidR="007D02A8" w:rsidRPr="00A722F1" w:rsidRDefault="007D02A8" w:rsidP="000E727E">
            <w:pPr>
              <w:rPr>
                <w:noProof/>
              </w:rPr>
            </w:pPr>
            <w:r w:rsidRPr="00A722F1">
              <w:rPr>
                <w:noProof/>
                <w:sz w:val="22"/>
              </w:rPr>
              <w:t>02 04 Digital Europe Programme</w:t>
            </w:r>
            <w:r>
              <w:rPr>
                <w:rStyle w:val="FootnoteReference"/>
                <w:noProof/>
                <w:sz w:val="22"/>
              </w:rPr>
              <w:footnoteReference w:id="42"/>
            </w:r>
          </w:p>
        </w:tc>
        <w:tc>
          <w:tcPr>
            <w:tcW w:w="1440" w:type="dxa"/>
            <w:vAlign w:val="center"/>
          </w:tcPr>
          <w:p w:rsidR="007D02A8" w:rsidRPr="00A722F1" w:rsidRDefault="007D02A8" w:rsidP="000E727E">
            <w:pPr>
              <w:spacing w:before="20" w:after="20"/>
              <w:rPr>
                <w:noProof/>
                <w:sz w:val="18"/>
              </w:rPr>
            </w:pPr>
            <w:r w:rsidRPr="00A722F1">
              <w:rPr>
                <w:noProof/>
                <w:sz w:val="18"/>
              </w:rPr>
              <w:t>Commitments</w:t>
            </w:r>
          </w:p>
        </w:tc>
        <w:tc>
          <w:tcPr>
            <w:tcW w:w="654" w:type="dxa"/>
            <w:gridSpan w:val="3"/>
            <w:vAlign w:val="center"/>
          </w:tcPr>
          <w:p w:rsidR="007D02A8" w:rsidRPr="00A722F1" w:rsidRDefault="007D02A8" w:rsidP="000E727E">
            <w:pPr>
              <w:spacing w:before="20" w:after="20"/>
              <w:jc w:val="center"/>
              <w:rPr>
                <w:noProof/>
                <w:sz w:val="14"/>
              </w:rPr>
            </w:pPr>
            <w:r w:rsidRPr="00A722F1">
              <w:rPr>
                <w:noProof/>
                <w:sz w:val="14"/>
              </w:rPr>
              <w:t>(1a)</w:t>
            </w:r>
          </w:p>
        </w:tc>
        <w:tc>
          <w:tcPr>
            <w:tcW w:w="1624" w:type="dxa"/>
            <w:gridSpan w:val="2"/>
            <w:vAlign w:val="center"/>
          </w:tcPr>
          <w:p w:rsidR="007D02A8" w:rsidRPr="00A722F1" w:rsidRDefault="007D02A8" w:rsidP="000E727E">
            <w:pPr>
              <w:spacing w:before="20" w:after="20"/>
              <w:jc w:val="right"/>
              <w:rPr>
                <w:noProof/>
                <w:sz w:val="20"/>
              </w:rPr>
            </w:pPr>
            <w:r w:rsidRPr="00A722F1">
              <w:rPr>
                <w:noProof/>
                <w:color w:val="000000"/>
                <w:sz w:val="20"/>
              </w:rPr>
              <w:t>3,000</w:t>
            </w:r>
          </w:p>
        </w:tc>
        <w:tc>
          <w:tcPr>
            <w:tcW w:w="1624" w:type="dxa"/>
            <w:vAlign w:val="center"/>
          </w:tcPr>
          <w:p w:rsidR="007D02A8" w:rsidRPr="00A722F1" w:rsidRDefault="007D02A8" w:rsidP="000E727E">
            <w:pPr>
              <w:spacing w:before="20" w:after="20"/>
              <w:jc w:val="right"/>
              <w:rPr>
                <w:noProof/>
                <w:sz w:val="20"/>
              </w:rPr>
            </w:pPr>
            <w:r>
              <w:rPr>
                <w:noProof/>
                <w:color w:val="000000"/>
                <w:sz w:val="20"/>
              </w:rPr>
              <w:t>4</w:t>
            </w:r>
            <w:r w:rsidRPr="00A722F1">
              <w:rPr>
                <w:noProof/>
                <w:color w:val="000000"/>
                <w:sz w:val="20"/>
              </w:rPr>
              <w:t>,000</w:t>
            </w:r>
          </w:p>
        </w:tc>
        <w:tc>
          <w:tcPr>
            <w:tcW w:w="1625" w:type="dxa"/>
            <w:vAlign w:val="center"/>
          </w:tcPr>
          <w:p w:rsidR="007D02A8" w:rsidRPr="00A722F1" w:rsidRDefault="007D02A8" w:rsidP="000E727E">
            <w:pPr>
              <w:spacing w:before="20" w:after="20"/>
              <w:jc w:val="right"/>
              <w:rPr>
                <w:noProof/>
                <w:sz w:val="20"/>
              </w:rPr>
            </w:pPr>
          </w:p>
        </w:tc>
        <w:tc>
          <w:tcPr>
            <w:tcW w:w="1624" w:type="dxa"/>
            <w:vAlign w:val="center"/>
          </w:tcPr>
          <w:p w:rsidR="007D02A8" w:rsidRPr="00A722F1" w:rsidRDefault="007D02A8" w:rsidP="000E727E">
            <w:pPr>
              <w:spacing w:before="20" w:after="20"/>
              <w:jc w:val="right"/>
              <w:rPr>
                <w:b/>
                <w:noProof/>
                <w:sz w:val="20"/>
              </w:rPr>
            </w:pPr>
            <w:r>
              <w:rPr>
                <w:noProof/>
                <w:color w:val="000000"/>
                <w:sz w:val="20"/>
              </w:rPr>
              <w:t>7</w:t>
            </w:r>
            <w:r w:rsidRPr="00A722F1">
              <w:rPr>
                <w:noProof/>
                <w:color w:val="000000"/>
                <w:sz w:val="20"/>
              </w:rPr>
              <w:t>,000</w:t>
            </w:r>
          </w:p>
        </w:tc>
      </w:tr>
      <w:tr w:rsidR="007D02A8" w:rsidRPr="00A722F1" w:rsidTr="000E727E">
        <w:tblPrEx>
          <w:jc w:val="left"/>
        </w:tblPrEx>
        <w:trPr>
          <w:gridAfter w:val="1"/>
          <w:wAfter w:w="1452" w:type="dxa"/>
        </w:trPr>
        <w:tc>
          <w:tcPr>
            <w:tcW w:w="3960" w:type="dxa"/>
            <w:gridSpan w:val="2"/>
            <w:vMerge/>
          </w:tcPr>
          <w:p w:rsidR="007D02A8" w:rsidRPr="00A722F1" w:rsidRDefault="007D02A8" w:rsidP="000E727E">
            <w:pPr>
              <w:jc w:val="center"/>
              <w:rPr>
                <w:noProof/>
                <w:sz w:val="20"/>
              </w:rPr>
            </w:pPr>
          </w:p>
        </w:tc>
        <w:tc>
          <w:tcPr>
            <w:tcW w:w="1440" w:type="dxa"/>
            <w:vAlign w:val="center"/>
          </w:tcPr>
          <w:p w:rsidR="007D02A8" w:rsidRPr="00A722F1" w:rsidRDefault="007D02A8" w:rsidP="000E727E">
            <w:pPr>
              <w:spacing w:before="20" w:after="20"/>
              <w:rPr>
                <w:noProof/>
                <w:sz w:val="18"/>
              </w:rPr>
            </w:pPr>
            <w:r w:rsidRPr="00A722F1">
              <w:rPr>
                <w:noProof/>
                <w:sz w:val="18"/>
              </w:rPr>
              <w:t>Payments</w:t>
            </w:r>
          </w:p>
        </w:tc>
        <w:tc>
          <w:tcPr>
            <w:tcW w:w="654" w:type="dxa"/>
            <w:gridSpan w:val="3"/>
            <w:vAlign w:val="center"/>
          </w:tcPr>
          <w:p w:rsidR="007D02A8" w:rsidRPr="00A722F1" w:rsidRDefault="007D02A8" w:rsidP="000E727E">
            <w:pPr>
              <w:spacing w:before="20" w:after="20"/>
              <w:jc w:val="center"/>
              <w:rPr>
                <w:noProof/>
                <w:sz w:val="14"/>
              </w:rPr>
            </w:pPr>
            <w:r w:rsidRPr="00A722F1">
              <w:rPr>
                <w:noProof/>
                <w:sz w:val="14"/>
              </w:rPr>
              <w:t>(2a)</w:t>
            </w:r>
          </w:p>
        </w:tc>
        <w:tc>
          <w:tcPr>
            <w:tcW w:w="1624" w:type="dxa"/>
            <w:gridSpan w:val="2"/>
            <w:vAlign w:val="center"/>
          </w:tcPr>
          <w:p w:rsidR="007D02A8" w:rsidRPr="00A722F1" w:rsidRDefault="007D02A8" w:rsidP="000E727E">
            <w:pPr>
              <w:spacing w:before="20" w:after="20"/>
              <w:jc w:val="right"/>
              <w:rPr>
                <w:noProof/>
                <w:sz w:val="20"/>
              </w:rPr>
            </w:pPr>
            <w:r w:rsidRPr="00A722F1">
              <w:rPr>
                <w:noProof/>
                <w:color w:val="000000"/>
                <w:sz w:val="20"/>
              </w:rPr>
              <w:t>3,000</w:t>
            </w:r>
          </w:p>
        </w:tc>
        <w:tc>
          <w:tcPr>
            <w:tcW w:w="1624" w:type="dxa"/>
            <w:vAlign w:val="center"/>
          </w:tcPr>
          <w:p w:rsidR="007D02A8" w:rsidRPr="00A722F1" w:rsidRDefault="007D02A8" w:rsidP="000E727E">
            <w:pPr>
              <w:spacing w:before="20" w:after="20"/>
              <w:jc w:val="right"/>
              <w:rPr>
                <w:noProof/>
                <w:sz w:val="20"/>
              </w:rPr>
            </w:pPr>
            <w:r>
              <w:rPr>
                <w:noProof/>
                <w:color w:val="000000"/>
                <w:sz w:val="20"/>
              </w:rPr>
              <w:t>4,</w:t>
            </w:r>
            <w:r w:rsidRPr="00A722F1">
              <w:rPr>
                <w:noProof/>
                <w:color w:val="000000"/>
                <w:sz w:val="20"/>
              </w:rPr>
              <w:t>000</w:t>
            </w:r>
          </w:p>
        </w:tc>
        <w:tc>
          <w:tcPr>
            <w:tcW w:w="1625" w:type="dxa"/>
            <w:vAlign w:val="center"/>
          </w:tcPr>
          <w:p w:rsidR="007D02A8" w:rsidRPr="00A722F1" w:rsidRDefault="007D02A8" w:rsidP="000E727E">
            <w:pPr>
              <w:spacing w:before="20" w:after="20"/>
              <w:jc w:val="right"/>
              <w:rPr>
                <w:noProof/>
                <w:sz w:val="20"/>
              </w:rPr>
            </w:pPr>
          </w:p>
        </w:tc>
        <w:tc>
          <w:tcPr>
            <w:tcW w:w="1624" w:type="dxa"/>
            <w:vAlign w:val="center"/>
          </w:tcPr>
          <w:p w:rsidR="007D02A8" w:rsidRPr="00A722F1" w:rsidRDefault="007D02A8" w:rsidP="000E727E">
            <w:pPr>
              <w:spacing w:before="20" w:after="20"/>
              <w:jc w:val="right"/>
              <w:rPr>
                <w:b/>
                <w:noProof/>
                <w:sz w:val="20"/>
              </w:rPr>
            </w:pPr>
            <w:r>
              <w:rPr>
                <w:noProof/>
                <w:color w:val="000000"/>
                <w:sz w:val="20"/>
              </w:rPr>
              <w:t>7</w:t>
            </w:r>
            <w:r w:rsidRPr="00A722F1">
              <w:rPr>
                <w:noProof/>
                <w:color w:val="000000"/>
                <w:sz w:val="20"/>
              </w:rPr>
              <w:t>,000</w:t>
            </w:r>
          </w:p>
        </w:tc>
      </w:tr>
      <w:tr w:rsidR="007D02A8" w:rsidRPr="00A722F1" w:rsidTr="000E727E">
        <w:tblPrEx>
          <w:jc w:val="left"/>
        </w:tblPrEx>
        <w:trPr>
          <w:gridAfter w:val="1"/>
          <w:wAfter w:w="1452" w:type="dxa"/>
        </w:trPr>
        <w:tc>
          <w:tcPr>
            <w:tcW w:w="3960" w:type="dxa"/>
            <w:gridSpan w:val="2"/>
            <w:vMerge w:val="restart"/>
            <w:vAlign w:val="center"/>
          </w:tcPr>
          <w:p w:rsidR="007D02A8" w:rsidRPr="00A722F1" w:rsidRDefault="007D02A8" w:rsidP="000E727E">
            <w:pPr>
              <w:jc w:val="center"/>
              <w:rPr>
                <w:b/>
                <w:noProof/>
              </w:rPr>
            </w:pPr>
            <w:r w:rsidRPr="00A722F1">
              <w:rPr>
                <w:b/>
                <w:noProof/>
                <w:sz w:val="22"/>
              </w:rPr>
              <w:t>TOTAL appropriations</w:t>
            </w:r>
            <w:r w:rsidRPr="00A722F1">
              <w:rPr>
                <w:noProof/>
                <w:sz w:val="22"/>
              </w:rPr>
              <w:br/>
            </w:r>
            <w:r w:rsidRPr="00A722F1">
              <w:rPr>
                <w:b/>
                <w:noProof/>
                <w:sz w:val="22"/>
              </w:rPr>
              <w:t>for DG</w:t>
            </w:r>
            <w:r w:rsidRPr="00A722F1">
              <w:rPr>
                <w:noProof/>
                <w:sz w:val="22"/>
              </w:rPr>
              <w:t xml:space="preserve"> </w:t>
            </w:r>
            <w:r w:rsidRPr="00A722F1">
              <w:rPr>
                <w:b/>
                <w:noProof/>
                <w:sz w:val="22"/>
              </w:rPr>
              <w:t>CONNECT under Heading 1</w:t>
            </w:r>
          </w:p>
        </w:tc>
        <w:tc>
          <w:tcPr>
            <w:tcW w:w="1440" w:type="dxa"/>
            <w:vAlign w:val="center"/>
          </w:tcPr>
          <w:p w:rsidR="007D02A8" w:rsidRPr="00A722F1" w:rsidRDefault="007D02A8" w:rsidP="000E727E">
            <w:pPr>
              <w:rPr>
                <w:noProof/>
                <w:sz w:val="18"/>
              </w:rPr>
            </w:pPr>
            <w:r w:rsidRPr="00A722F1">
              <w:rPr>
                <w:noProof/>
                <w:sz w:val="18"/>
              </w:rPr>
              <w:t>Commitments</w:t>
            </w:r>
          </w:p>
        </w:tc>
        <w:tc>
          <w:tcPr>
            <w:tcW w:w="654" w:type="dxa"/>
            <w:gridSpan w:val="3"/>
            <w:vAlign w:val="center"/>
          </w:tcPr>
          <w:p w:rsidR="007D02A8" w:rsidRPr="00A722F1" w:rsidRDefault="007D02A8" w:rsidP="000E727E">
            <w:pPr>
              <w:jc w:val="center"/>
              <w:rPr>
                <w:noProof/>
                <w:sz w:val="14"/>
              </w:rPr>
            </w:pPr>
            <w:r w:rsidRPr="00A722F1">
              <w:rPr>
                <w:noProof/>
                <w:sz w:val="14"/>
              </w:rPr>
              <w:t>=1a</w:t>
            </w:r>
          </w:p>
        </w:tc>
        <w:tc>
          <w:tcPr>
            <w:tcW w:w="1624" w:type="dxa"/>
            <w:gridSpan w:val="2"/>
            <w:vAlign w:val="center"/>
          </w:tcPr>
          <w:p w:rsidR="007D02A8" w:rsidRPr="00A722F1" w:rsidRDefault="007D02A8" w:rsidP="000E727E">
            <w:pPr>
              <w:spacing w:before="20" w:after="20"/>
              <w:jc w:val="right"/>
              <w:rPr>
                <w:noProof/>
                <w:sz w:val="20"/>
              </w:rPr>
            </w:pPr>
            <w:r w:rsidRPr="00A722F1">
              <w:rPr>
                <w:noProof/>
                <w:color w:val="000000"/>
                <w:sz w:val="20"/>
              </w:rPr>
              <w:t>3,000</w:t>
            </w:r>
          </w:p>
        </w:tc>
        <w:tc>
          <w:tcPr>
            <w:tcW w:w="1624" w:type="dxa"/>
            <w:vAlign w:val="center"/>
          </w:tcPr>
          <w:p w:rsidR="007D02A8" w:rsidRPr="00A722F1" w:rsidRDefault="007D02A8" w:rsidP="000E727E">
            <w:pPr>
              <w:spacing w:before="20" w:after="20"/>
              <w:jc w:val="right"/>
              <w:rPr>
                <w:noProof/>
                <w:sz w:val="20"/>
              </w:rPr>
            </w:pPr>
            <w:r>
              <w:rPr>
                <w:noProof/>
                <w:color w:val="000000"/>
                <w:sz w:val="20"/>
              </w:rPr>
              <w:t>4,0</w:t>
            </w:r>
            <w:r w:rsidRPr="00A722F1">
              <w:rPr>
                <w:noProof/>
                <w:color w:val="000000"/>
                <w:sz w:val="20"/>
              </w:rPr>
              <w:t>00</w:t>
            </w:r>
          </w:p>
        </w:tc>
        <w:tc>
          <w:tcPr>
            <w:tcW w:w="1625" w:type="dxa"/>
            <w:vAlign w:val="center"/>
          </w:tcPr>
          <w:p w:rsidR="007D02A8" w:rsidRPr="00A722F1" w:rsidRDefault="007D02A8" w:rsidP="000E727E">
            <w:pPr>
              <w:spacing w:before="20" w:after="20"/>
              <w:jc w:val="right"/>
              <w:rPr>
                <w:noProof/>
                <w:sz w:val="20"/>
              </w:rPr>
            </w:pPr>
          </w:p>
        </w:tc>
        <w:tc>
          <w:tcPr>
            <w:tcW w:w="1624" w:type="dxa"/>
            <w:vAlign w:val="center"/>
          </w:tcPr>
          <w:p w:rsidR="007D02A8" w:rsidRPr="00A722F1" w:rsidRDefault="007D02A8" w:rsidP="000E727E">
            <w:pPr>
              <w:spacing w:before="20" w:after="20"/>
              <w:jc w:val="right"/>
              <w:rPr>
                <w:b/>
                <w:noProof/>
                <w:sz w:val="20"/>
              </w:rPr>
            </w:pPr>
            <w:r>
              <w:rPr>
                <w:noProof/>
                <w:color w:val="000000"/>
                <w:sz w:val="20"/>
              </w:rPr>
              <w:t>7</w:t>
            </w:r>
            <w:r w:rsidRPr="00A722F1">
              <w:rPr>
                <w:noProof/>
                <w:color w:val="000000"/>
                <w:sz w:val="20"/>
              </w:rPr>
              <w:t>,000</w:t>
            </w:r>
          </w:p>
        </w:tc>
      </w:tr>
      <w:tr w:rsidR="007D02A8" w:rsidRPr="00A722F1" w:rsidTr="000E727E">
        <w:tblPrEx>
          <w:jc w:val="left"/>
        </w:tblPrEx>
        <w:trPr>
          <w:gridAfter w:val="1"/>
          <w:wAfter w:w="1452" w:type="dxa"/>
        </w:trPr>
        <w:tc>
          <w:tcPr>
            <w:tcW w:w="3960" w:type="dxa"/>
            <w:gridSpan w:val="2"/>
            <w:vMerge/>
          </w:tcPr>
          <w:p w:rsidR="007D02A8" w:rsidRPr="00A722F1" w:rsidRDefault="007D02A8" w:rsidP="000E727E">
            <w:pPr>
              <w:rPr>
                <w:noProof/>
                <w:sz w:val="20"/>
              </w:rPr>
            </w:pPr>
          </w:p>
        </w:tc>
        <w:tc>
          <w:tcPr>
            <w:tcW w:w="1440" w:type="dxa"/>
            <w:vAlign w:val="center"/>
          </w:tcPr>
          <w:p w:rsidR="007D02A8" w:rsidRPr="00A722F1" w:rsidRDefault="007D02A8" w:rsidP="000E727E">
            <w:pPr>
              <w:rPr>
                <w:noProof/>
                <w:sz w:val="18"/>
              </w:rPr>
            </w:pPr>
            <w:r w:rsidRPr="00A722F1">
              <w:rPr>
                <w:noProof/>
                <w:sz w:val="18"/>
              </w:rPr>
              <w:t>Payments</w:t>
            </w:r>
          </w:p>
        </w:tc>
        <w:tc>
          <w:tcPr>
            <w:tcW w:w="654" w:type="dxa"/>
            <w:gridSpan w:val="3"/>
            <w:vAlign w:val="center"/>
          </w:tcPr>
          <w:p w:rsidR="007D02A8" w:rsidRPr="00A722F1" w:rsidRDefault="007D02A8" w:rsidP="000E727E">
            <w:pPr>
              <w:jc w:val="center"/>
              <w:rPr>
                <w:noProof/>
                <w:sz w:val="14"/>
              </w:rPr>
            </w:pPr>
            <w:r w:rsidRPr="00A722F1">
              <w:rPr>
                <w:noProof/>
                <w:sz w:val="14"/>
              </w:rPr>
              <w:t>=2a</w:t>
            </w:r>
          </w:p>
        </w:tc>
        <w:tc>
          <w:tcPr>
            <w:tcW w:w="1624" w:type="dxa"/>
            <w:gridSpan w:val="2"/>
            <w:vAlign w:val="center"/>
          </w:tcPr>
          <w:p w:rsidR="007D02A8" w:rsidRPr="00A722F1" w:rsidRDefault="007D02A8" w:rsidP="000E727E">
            <w:pPr>
              <w:spacing w:before="20" w:after="20"/>
              <w:jc w:val="right"/>
              <w:rPr>
                <w:noProof/>
                <w:sz w:val="20"/>
              </w:rPr>
            </w:pPr>
            <w:r w:rsidRPr="00A722F1">
              <w:rPr>
                <w:noProof/>
                <w:color w:val="000000"/>
                <w:sz w:val="20"/>
              </w:rPr>
              <w:t>3,000</w:t>
            </w:r>
          </w:p>
        </w:tc>
        <w:tc>
          <w:tcPr>
            <w:tcW w:w="1624" w:type="dxa"/>
            <w:vAlign w:val="center"/>
          </w:tcPr>
          <w:p w:rsidR="007D02A8" w:rsidRPr="00A722F1" w:rsidRDefault="007D02A8" w:rsidP="000E727E">
            <w:pPr>
              <w:spacing w:before="20" w:after="20"/>
              <w:jc w:val="right"/>
              <w:rPr>
                <w:noProof/>
                <w:sz w:val="20"/>
              </w:rPr>
            </w:pPr>
            <w:r>
              <w:rPr>
                <w:noProof/>
                <w:sz w:val="20"/>
              </w:rPr>
              <w:t>4,000</w:t>
            </w:r>
          </w:p>
        </w:tc>
        <w:tc>
          <w:tcPr>
            <w:tcW w:w="1625" w:type="dxa"/>
            <w:vAlign w:val="center"/>
          </w:tcPr>
          <w:p w:rsidR="007D02A8" w:rsidRPr="00A722F1" w:rsidRDefault="007D02A8" w:rsidP="000E727E">
            <w:pPr>
              <w:spacing w:before="20" w:after="20"/>
              <w:jc w:val="right"/>
              <w:rPr>
                <w:noProof/>
                <w:sz w:val="20"/>
              </w:rPr>
            </w:pPr>
          </w:p>
        </w:tc>
        <w:tc>
          <w:tcPr>
            <w:tcW w:w="1624" w:type="dxa"/>
            <w:vAlign w:val="center"/>
          </w:tcPr>
          <w:p w:rsidR="007D02A8" w:rsidRPr="00A722F1" w:rsidRDefault="007D02A8" w:rsidP="000E727E">
            <w:pPr>
              <w:spacing w:before="20" w:after="20"/>
              <w:jc w:val="right"/>
              <w:rPr>
                <w:b/>
                <w:noProof/>
                <w:sz w:val="20"/>
              </w:rPr>
            </w:pPr>
            <w:r>
              <w:rPr>
                <w:noProof/>
                <w:color w:val="000000"/>
                <w:sz w:val="20"/>
              </w:rPr>
              <w:t>7</w:t>
            </w:r>
            <w:r w:rsidRPr="00A722F1">
              <w:rPr>
                <w:noProof/>
                <w:color w:val="000000"/>
                <w:sz w:val="20"/>
              </w:rPr>
              <w:t>,000</w:t>
            </w:r>
          </w:p>
        </w:tc>
      </w:tr>
    </w:tbl>
    <w:p w:rsidR="007D02A8" w:rsidRPr="00A722F1" w:rsidRDefault="007D02A8" w:rsidP="007D02A8">
      <w:pPr>
        <w:spacing w:before="0" w:after="0"/>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624"/>
        <w:gridCol w:w="1624"/>
        <w:gridCol w:w="1624"/>
        <w:gridCol w:w="1625"/>
      </w:tblGrid>
      <w:tr w:rsidR="007D02A8" w:rsidRPr="00A722F1" w:rsidTr="000E727E">
        <w:trPr>
          <w:trHeight w:val="277"/>
        </w:trPr>
        <w:tc>
          <w:tcPr>
            <w:tcW w:w="3960" w:type="dxa"/>
            <w:vMerge w:val="restart"/>
            <w:vAlign w:val="center"/>
          </w:tcPr>
          <w:p w:rsidR="007D02A8" w:rsidRPr="00A722F1" w:rsidRDefault="007D02A8" w:rsidP="000E727E">
            <w:pPr>
              <w:spacing w:before="20" w:after="20"/>
              <w:rPr>
                <w:noProof/>
              </w:rPr>
            </w:pPr>
            <w:r w:rsidRPr="00A722F1">
              <w:rPr>
                <w:noProof/>
                <w:sz w:val="22"/>
              </w:rPr>
              <w:br w:type="page"/>
            </w:r>
            <w:r w:rsidRPr="00A722F1">
              <w:rPr>
                <w:noProof/>
                <w:sz w:val="21"/>
              </w:rPr>
              <w:sym w:font="Wingdings" w:char="F09F"/>
            </w:r>
            <w:r w:rsidRPr="00A722F1">
              <w:rPr>
                <w:noProof/>
                <w:sz w:val="21"/>
              </w:rPr>
              <w:t xml:space="preserve"> TOTAL operational appropriations </w:t>
            </w:r>
          </w:p>
        </w:tc>
        <w:tc>
          <w:tcPr>
            <w:tcW w:w="1440" w:type="dxa"/>
            <w:vAlign w:val="center"/>
          </w:tcPr>
          <w:p w:rsidR="007D02A8" w:rsidRPr="00A722F1" w:rsidRDefault="007D02A8" w:rsidP="000E727E">
            <w:pPr>
              <w:spacing w:beforeLines="20" w:before="48" w:afterLines="20" w:after="48"/>
              <w:rPr>
                <w:noProof/>
                <w:sz w:val="18"/>
              </w:rPr>
            </w:pPr>
            <w:r w:rsidRPr="00A722F1">
              <w:rPr>
                <w:noProof/>
                <w:sz w:val="18"/>
              </w:rPr>
              <w:t>Commitments</w:t>
            </w:r>
          </w:p>
        </w:tc>
        <w:tc>
          <w:tcPr>
            <w:tcW w:w="654" w:type="dxa"/>
            <w:vAlign w:val="center"/>
          </w:tcPr>
          <w:p w:rsidR="007D02A8" w:rsidRPr="00A722F1" w:rsidRDefault="007D02A8" w:rsidP="000E727E">
            <w:pPr>
              <w:spacing w:beforeLines="20" w:before="48" w:afterLines="20" w:after="48"/>
              <w:jc w:val="center"/>
              <w:rPr>
                <w:noProof/>
                <w:sz w:val="14"/>
              </w:rPr>
            </w:pPr>
            <w:r w:rsidRPr="00A722F1">
              <w:rPr>
                <w:noProof/>
                <w:sz w:val="14"/>
              </w:rPr>
              <w:t>(4)</w:t>
            </w:r>
          </w:p>
        </w:tc>
        <w:tc>
          <w:tcPr>
            <w:tcW w:w="1624" w:type="dxa"/>
            <w:vAlign w:val="center"/>
          </w:tcPr>
          <w:p w:rsidR="007D02A8" w:rsidRPr="00A722F1" w:rsidRDefault="007D02A8" w:rsidP="000E727E">
            <w:pPr>
              <w:spacing w:before="20" w:after="20"/>
              <w:jc w:val="right"/>
              <w:rPr>
                <w:noProof/>
                <w:sz w:val="20"/>
              </w:rPr>
            </w:pPr>
            <w:r w:rsidRPr="00A722F1">
              <w:rPr>
                <w:noProof/>
                <w:color w:val="000000"/>
                <w:sz w:val="20"/>
              </w:rPr>
              <w:t>3,000</w:t>
            </w:r>
          </w:p>
        </w:tc>
        <w:tc>
          <w:tcPr>
            <w:tcW w:w="1624" w:type="dxa"/>
            <w:vAlign w:val="center"/>
          </w:tcPr>
          <w:p w:rsidR="007D02A8" w:rsidRPr="00A722F1" w:rsidRDefault="007D02A8" w:rsidP="000E727E">
            <w:pPr>
              <w:spacing w:before="20" w:after="20"/>
              <w:jc w:val="right"/>
              <w:rPr>
                <w:noProof/>
                <w:sz w:val="20"/>
              </w:rPr>
            </w:pPr>
            <w:r>
              <w:rPr>
                <w:noProof/>
                <w:color w:val="000000"/>
                <w:sz w:val="20"/>
              </w:rPr>
              <w:t>4</w:t>
            </w:r>
            <w:r w:rsidRPr="00A722F1">
              <w:rPr>
                <w:noProof/>
                <w:color w:val="000000"/>
                <w:sz w:val="20"/>
              </w:rPr>
              <w:t>,000</w:t>
            </w:r>
          </w:p>
        </w:tc>
        <w:tc>
          <w:tcPr>
            <w:tcW w:w="1624" w:type="dxa"/>
            <w:vAlign w:val="center"/>
          </w:tcPr>
          <w:p w:rsidR="007D02A8" w:rsidRPr="00A722F1" w:rsidRDefault="007D02A8" w:rsidP="000E727E">
            <w:pPr>
              <w:spacing w:before="20" w:after="20"/>
              <w:jc w:val="right"/>
              <w:rPr>
                <w:noProof/>
                <w:sz w:val="20"/>
              </w:rPr>
            </w:pPr>
          </w:p>
        </w:tc>
        <w:tc>
          <w:tcPr>
            <w:tcW w:w="1625" w:type="dxa"/>
            <w:vAlign w:val="center"/>
          </w:tcPr>
          <w:p w:rsidR="007D02A8" w:rsidRPr="00A722F1" w:rsidRDefault="007D02A8" w:rsidP="000E727E">
            <w:pPr>
              <w:spacing w:before="20" w:after="20"/>
              <w:jc w:val="right"/>
              <w:rPr>
                <w:noProof/>
                <w:sz w:val="20"/>
              </w:rPr>
            </w:pPr>
            <w:r>
              <w:rPr>
                <w:noProof/>
                <w:color w:val="000000"/>
                <w:sz w:val="20"/>
              </w:rPr>
              <w:t>7</w:t>
            </w:r>
            <w:r w:rsidRPr="00A722F1">
              <w:rPr>
                <w:noProof/>
                <w:color w:val="000000"/>
                <w:sz w:val="20"/>
              </w:rPr>
              <w:t>,000</w:t>
            </w:r>
          </w:p>
        </w:tc>
      </w:tr>
      <w:tr w:rsidR="007D02A8" w:rsidRPr="00A722F1" w:rsidTr="000E727E">
        <w:tc>
          <w:tcPr>
            <w:tcW w:w="3960" w:type="dxa"/>
            <w:vMerge/>
          </w:tcPr>
          <w:p w:rsidR="007D02A8" w:rsidRPr="00A722F1" w:rsidRDefault="007D02A8" w:rsidP="000E727E">
            <w:pPr>
              <w:jc w:val="center"/>
              <w:rPr>
                <w:noProof/>
                <w:sz w:val="20"/>
              </w:rPr>
            </w:pPr>
          </w:p>
        </w:tc>
        <w:tc>
          <w:tcPr>
            <w:tcW w:w="1440" w:type="dxa"/>
            <w:vAlign w:val="center"/>
          </w:tcPr>
          <w:p w:rsidR="007D02A8" w:rsidRPr="00A722F1" w:rsidRDefault="007D02A8" w:rsidP="000E727E">
            <w:pPr>
              <w:spacing w:beforeLines="20" w:before="48" w:afterLines="20" w:after="48"/>
              <w:rPr>
                <w:noProof/>
                <w:sz w:val="18"/>
              </w:rPr>
            </w:pPr>
            <w:r w:rsidRPr="00A722F1">
              <w:rPr>
                <w:noProof/>
                <w:sz w:val="18"/>
              </w:rPr>
              <w:t>Payments</w:t>
            </w:r>
          </w:p>
        </w:tc>
        <w:tc>
          <w:tcPr>
            <w:tcW w:w="654" w:type="dxa"/>
            <w:vAlign w:val="center"/>
          </w:tcPr>
          <w:p w:rsidR="007D02A8" w:rsidRPr="00A722F1" w:rsidRDefault="007D02A8" w:rsidP="000E727E">
            <w:pPr>
              <w:spacing w:beforeLines="20" w:before="48" w:afterLines="20" w:after="48"/>
              <w:jc w:val="center"/>
              <w:rPr>
                <w:noProof/>
                <w:sz w:val="14"/>
              </w:rPr>
            </w:pPr>
            <w:r w:rsidRPr="00A722F1">
              <w:rPr>
                <w:noProof/>
                <w:sz w:val="14"/>
              </w:rPr>
              <w:t>(5)</w:t>
            </w:r>
          </w:p>
        </w:tc>
        <w:tc>
          <w:tcPr>
            <w:tcW w:w="1624" w:type="dxa"/>
            <w:vAlign w:val="center"/>
          </w:tcPr>
          <w:p w:rsidR="007D02A8" w:rsidRPr="00A722F1" w:rsidRDefault="007D02A8" w:rsidP="000E727E">
            <w:pPr>
              <w:spacing w:before="20" w:after="20"/>
              <w:jc w:val="right"/>
              <w:rPr>
                <w:noProof/>
                <w:sz w:val="20"/>
              </w:rPr>
            </w:pPr>
            <w:r w:rsidRPr="00A722F1">
              <w:rPr>
                <w:noProof/>
                <w:color w:val="000000"/>
                <w:sz w:val="20"/>
              </w:rPr>
              <w:t>3,000</w:t>
            </w:r>
          </w:p>
        </w:tc>
        <w:tc>
          <w:tcPr>
            <w:tcW w:w="1624" w:type="dxa"/>
            <w:vAlign w:val="center"/>
          </w:tcPr>
          <w:p w:rsidR="007D02A8" w:rsidRPr="00A722F1" w:rsidRDefault="007D02A8" w:rsidP="000E727E">
            <w:pPr>
              <w:spacing w:before="20" w:after="20"/>
              <w:jc w:val="right"/>
              <w:rPr>
                <w:noProof/>
                <w:sz w:val="20"/>
              </w:rPr>
            </w:pPr>
            <w:r>
              <w:rPr>
                <w:noProof/>
                <w:color w:val="000000"/>
                <w:sz w:val="20"/>
              </w:rPr>
              <w:t>4,</w:t>
            </w:r>
            <w:r w:rsidRPr="00A722F1">
              <w:rPr>
                <w:noProof/>
                <w:color w:val="000000"/>
                <w:sz w:val="20"/>
              </w:rPr>
              <w:t>000</w:t>
            </w:r>
          </w:p>
        </w:tc>
        <w:tc>
          <w:tcPr>
            <w:tcW w:w="1624" w:type="dxa"/>
            <w:vAlign w:val="center"/>
          </w:tcPr>
          <w:p w:rsidR="007D02A8" w:rsidRPr="00A722F1" w:rsidRDefault="007D02A8" w:rsidP="000E727E">
            <w:pPr>
              <w:spacing w:before="20" w:after="20"/>
              <w:jc w:val="right"/>
              <w:rPr>
                <w:noProof/>
                <w:sz w:val="20"/>
              </w:rPr>
            </w:pPr>
          </w:p>
        </w:tc>
        <w:tc>
          <w:tcPr>
            <w:tcW w:w="1625" w:type="dxa"/>
            <w:vAlign w:val="center"/>
          </w:tcPr>
          <w:p w:rsidR="007D02A8" w:rsidRPr="00A722F1" w:rsidRDefault="007D02A8" w:rsidP="000E727E">
            <w:pPr>
              <w:spacing w:before="20" w:after="20"/>
              <w:jc w:val="right"/>
              <w:rPr>
                <w:noProof/>
                <w:sz w:val="20"/>
              </w:rPr>
            </w:pPr>
            <w:r>
              <w:rPr>
                <w:noProof/>
                <w:color w:val="000000"/>
                <w:sz w:val="20"/>
              </w:rPr>
              <w:t>7</w:t>
            </w:r>
            <w:r w:rsidRPr="00A722F1">
              <w:rPr>
                <w:noProof/>
                <w:color w:val="000000"/>
                <w:sz w:val="20"/>
              </w:rPr>
              <w:t>,000</w:t>
            </w:r>
          </w:p>
        </w:tc>
      </w:tr>
      <w:tr w:rsidR="007D02A8" w:rsidRPr="00A722F1" w:rsidTr="000E727E">
        <w:tc>
          <w:tcPr>
            <w:tcW w:w="3960" w:type="dxa"/>
            <w:vMerge w:val="restart"/>
            <w:shd w:val="thinDiagStripe" w:color="C0C0C0" w:fill="auto"/>
            <w:vAlign w:val="center"/>
          </w:tcPr>
          <w:p w:rsidR="007D02A8" w:rsidRPr="00A722F1" w:rsidRDefault="007D02A8" w:rsidP="000E727E">
            <w:pPr>
              <w:jc w:val="center"/>
              <w:rPr>
                <w:b/>
                <w:noProof/>
              </w:rPr>
            </w:pPr>
            <w:r w:rsidRPr="00A722F1">
              <w:rPr>
                <w:b/>
                <w:noProof/>
                <w:sz w:val="22"/>
              </w:rPr>
              <w:t xml:space="preserve">TOTAL appropriations </w:t>
            </w:r>
            <w:r w:rsidRPr="00A722F1">
              <w:rPr>
                <w:noProof/>
                <w:sz w:val="22"/>
              </w:rPr>
              <w:br/>
            </w:r>
            <w:r w:rsidRPr="00A722F1">
              <w:rPr>
                <w:b/>
                <w:noProof/>
                <w:sz w:val="22"/>
              </w:rPr>
              <w:t>under HEADING 01</w:t>
            </w:r>
            <w:r w:rsidRPr="00A722F1">
              <w:rPr>
                <w:noProof/>
                <w:sz w:val="22"/>
              </w:rPr>
              <w:br/>
              <w:t>of the multiannual financial framework</w:t>
            </w:r>
          </w:p>
        </w:tc>
        <w:tc>
          <w:tcPr>
            <w:tcW w:w="1440" w:type="dxa"/>
            <w:vAlign w:val="center"/>
          </w:tcPr>
          <w:p w:rsidR="007D02A8" w:rsidRPr="00A722F1" w:rsidRDefault="007D02A8" w:rsidP="000E727E">
            <w:pPr>
              <w:rPr>
                <w:noProof/>
                <w:sz w:val="18"/>
              </w:rPr>
            </w:pPr>
            <w:r w:rsidRPr="00A722F1">
              <w:rPr>
                <w:noProof/>
                <w:sz w:val="18"/>
              </w:rPr>
              <w:t>Commitments</w:t>
            </w:r>
          </w:p>
        </w:tc>
        <w:tc>
          <w:tcPr>
            <w:tcW w:w="654" w:type="dxa"/>
            <w:vAlign w:val="center"/>
          </w:tcPr>
          <w:p w:rsidR="007D02A8" w:rsidRPr="00A722F1" w:rsidRDefault="007D02A8" w:rsidP="000E727E">
            <w:pPr>
              <w:jc w:val="center"/>
              <w:rPr>
                <w:noProof/>
                <w:sz w:val="14"/>
              </w:rPr>
            </w:pPr>
            <w:r w:rsidRPr="00A722F1">
              <w:rPr>
                <w:noProof/>
                <w:sz w:val="14"/>
              </w:rPr>
              <w:t>=4</w:t>
            </w:r>
          </w:p>
        </w:tc>
        <w:tc>
          <w:tcPr>
            <w:tcW w:w="1624" w:type="dxa"/>
            <w:vAlign w:val="center"/>
          </w:tcPr>
          <w:p w:rsidR="007D02A8" w:rsidRPr="00A722F1" w:rsidRDefault="007D02A8" w:rsidP="000E727E">
            <w:pPr>
              <w:spacing w:before="20" w:after="20"/>
              <w:jc w:val="right"/>
              <w:rPr>
                <w:noProof/>
                <w:sz w:val="20"/>
              </w:rPr>
            </w:pPr>
            <w:r w:rsidRPr="00A722F1">
              <w:rPr>
                <w:noProof/>
                <w:color w:val="000000"/>
                <w:sz w:val="20"/>
              </w:rPr>
              <w:t>3,000</w:t>
            </w:r>
          </w:p>
        </w:tc>
        <w:tc>
          <w:tcPr>
            <w:tcW w:w="1624" w:type="dxa"/>
            <w:vAlign w:val="center"/>
          </w:tcPr>
          <w:p w:rsidR="007D02A8" w:rsidRPr="00A722F1" w:rsidRDefault="007D02A8" w:rsidP="000E727E">
            <w:pPr>
              <w:spacing w:before="20" w:after="20"/>
              <w:jc w:val="right"/>
              <w:rPr>
                <w:noProof/>
                <w:sz w:val="20"/>
              </w:rPr>
            </w:pPr>
            <w:r>
              <w:rPr>
                <w:noProof/>
                <w:color w:val="000000"/>
                <w:sz w:val="20"/>
              </w:rPr>
              <w:t>4,0</w:t>
            </w:r>
            <w:r w:rsidRPr="00A722F1">
              <w:rPr>
                <w:noProof/>
                <w:color w:val="000000"/>
                <w:sz w:val="20"/>
              </w:rPr>
              <w:t>00</w:t>
            </w:r>
          </w:p>
        </w:tc>
        <w:tc>
          <w:tcPr>
            <w:tcW w:w="1624" w:type="dxa"/>
            <w:vAlign w:val="center"/>
          </w:tcPr>
          <w:p w:rsidR="007D02A8" w:rsidRPr="00A722F1" w:rsidRDefault="007D02A8" w:rsidP="000E727E">
            <w:pPr>
              <w:spacing w:before="20" w:after="20"/>
              <w:jc w:val="right"/>
              <w:rPr>
                <w:noProof/>
                <w:sz w:val="20"/>
              </w:rPr>
            </w:pPr>
          </w:p>
        </w:tc>
        <w:tc>
          <w:tcPr>
            <w:tcW w:w="1625" w:type="dxa"/>
            <w:vAlign w:val="center"/>
          </w:tcPr>
          <w:p w:rsidR="007D02A8" w:rsidRPr="00A722F1" w:rsidRDefault="007D02A8" w:rsidP="000E727E">
            <w:pPr>
              <w:spacing w:before="20" w:after="20"/>
              <w:jc w:val="right"/>
              <w:rPr>
                <w:noProof/>
                <w:sz w:val="20"/>
              </w:rPr>
            </w:pPr>
            <w:r>
              <w:rPr>
                <w:noProof/>
                <w:color w:val="000000"/>
                <w:sz w:val="20"/>
              </w:rPr>
              <w:t>7</w:t>
            </w:r>
            <w:r w:rsidRPr="00A722F1">
              <w:rPr>
                <w:noProof/>
                <w:color w:val="000000"/>
                <w:sz w:val="20"/>
              </w:rPr>
              <w:t>,000</w:t>
            </w:r>
          </w:p>
        </w:tc>
      </w:tr>
      <w:tr w:rsidR="007D02A8" w:rsidRPr="00A722F1" w:rsidTr="000E727E">
        <w:tc>
          <w:tcPr>
            <w:tcW w:w="3960" w:type="dxa"/>
            <w:vMerge/>
            <w:shd w:val="thinDiagStripe" w:color="C0C0C0" w:fill="auto"/>
          </w:tcPr>
          <w:p w:rsidR="007D02A8" w:rsidRPr="00A722F1" w:rsidRDefault="007D02A8" w:rsidP="000E727E">
            <w:pPr>
              <w:rPr>
                <w:noProof/>
                <w:sz w:val="20"/>
              </w:rPr>
            </w:pPr>
          </w:p>
        </w:tc>
        <w:tc>
          <w:tcPr>
            <w:tcW w:w="1440" w:type="dxa"/>
            <w:vAlign w:val="center"/>
          </w:tcPr>
          <w:p w:rsidR="007D02A8" w:rsidRPr="00A722F1" w:rsidRDefault="007D02A8" w:rsidP="000E727E">
            <w:pPr>
              <w:rPr>
                <w:noProof/>
                <w:sz w:val="18"/>
              </w:rPr>
            </w:pPr>
            <w:r w:rsidRPr="00A722F1">
              <w:rPr>
                <w:noProof/>
                <w:sz w:val="18"/>
              </w:rPr>
              <w:t>Payments</w:t>
            </w:r>
          </w:p>
        </w:tc>
        <w:tc>
          <w:tcPr>
            <w:tcW w:w="654" w:type="dxa"/>
            <w:vAlign w:val="center"/>
          </w:tcPr>
          <w:p w:rsidR="007D02A8" w:rsidRPr="00A722F1" w:rsidRDefault="007D02A8" w:rsidP="000E727E">
            <w:pPr>
              <w:jc w:val="center"/>
              <w:rPr>
                <w:noProof/>
                <w:sz w:val="14"/>
              </w:rPr>
            </w:pPr>
            <w:r w:rsidRPr="00A722F1">
              <w:rPr>
                <w:noProof/>
                <w:sz w:val="14"/>
              </w:rPr>
              <w:t>=5</w:t>
            </w:r>
          </w:p>
        </w:tc>
        <w:tc>
          <w:tcPr>
            <w:tcW w:w="1624" w:type="dxa"/>
            <w:vAlign w:val="center"/>
          </w:tcPr>
          <w:p w:rsidR="007D02A8" w:rsidRPr="00A722F1" w:rsidRDefault="007D02A8" w:rsidP="000E727E">
            <w:pPr>
              <w:spacing w:before="20" w:after="20"/>
              <w:jc w:val="right"/>
              <w:rPr>
                <w:noProof/>
                <w:sz w:val="20"/>
              </w:rPr>
            </w:pPr>
            <w:r w:rsidRPr="00A722F1">
              <w:rPr>
                <w:noProof/>
                <w:color w:val="000000"/>
                <w:sz w:val="20"/>
              </w:rPr>
              <w:t>3,000</w:t>
            </w:r>
          </w:p>
        </w:tc>
        <w:tc>
          <w:tcPr>
            <w:tcW w:w="1624" w:type="dxa"/>
            <w:vAlign w:val="center"/>
          </w:tcPr>
          <w:p w:rsidR="007D02A8" w:rsidRPr="00A722F1" w:rsidRDefault="007D02A8" w:rsidP="000E727E">
            <w:pPr>
              <w:spacing w:before="20" w:after="20"/>
              <w:jc w:val="right"/>
              <w:rPr>
                <w:noProof/>
                <w:sz w:val="20"/>
              </w:rPr>
            </w:pPr>
            <w:r>
              <w:rPr>
                <w:noProof/>
                <w:sz w:val="20"/>
              </w:rPr>
              <w:t>4,000</w:t>
            </w:r>
          </w:p>
        </w:tc>
        <w:tc>
          <w:tcPr>
            <w:tcW w:w="1624" w:type="dxa"/>
            <w:vAlign w:val="center"/>
          </w:tcPr>
          <w:p w:rsidR="007D02A8" w:rsidRPr="00A722F1" w:rsidRDefault="007D02A8" w:rsidP="000E727E">
            <w:pPr>
              <w:spacing w:before="20" w:after="20"/>
              <w:jc w:val="right"/>
              <w:rPr>
                <w:noProof/>
                <w:sz w:val="20"/>
              </w:rPr>
            </w:pPr>
          </w:p>
        </w:tc>
        <w:tc>
          <w:tcPr>
            <w:tcW w:w="1625" w:type="dxa"/>
            <w:vAlign w:val="center"/>
          </w:tcPr>
          <w:p w:rsidR="007D02A8" w:rsidRPr="00A722F1" w:rsidRDefault="007D02A8" w:rsidP="000E727E">
            <w:pPr>
              <w:spacing w:before="20" w:after="20"/>
              <w:jc w:val="right"/>
              <w:rPr>
                <w:noProof/>
                <w:sz w:val="20"/>
              </w:rPr>
            </w:pPr>
            <w:r>
              <w:rPr>
                <w:noProof/>
                <w:color w:val="000000"/>
                <w:sz w:val="20"/>
              </w:rPr>
              <w:t>7</w:t>
            </w:r>
            <w:r w:rsidRPr="00A722F1">
              <w:rPr>
                <w:noProof/>
                <w:color w:val="000000"/>
                <w:sz w:val="20"/>
              </w:rPr>
              <w:t>,000</w:t>
            </w:r>
          </w:p>
        </w:tc>
      </w:tr>
    </w:tbl>
    <w:p w:rsidR="007D02A8" w:rsidRPr="00A722F1" w:rsidRDefault="007D02A8" w:rsidP="007D02A8">
      <w:pPr>
        <w:spacing w:before="0" w:after="0"/>
        <w:jc w:val="left"/>
        <w:rPr>
          <w:noProof/>
        </w:rPr>
      </w:pPr>
      <w:r w:rsidRPr="00A722F1">
        <w:rPr>
          <w:noProof/>
        </w:rPr>
        <w:br w:type="page"/>
      </w:r>
    </w:p>
    <w:p w:rsidR="007D02A8" w:rsidRPr="00A722F1" w:rsidRDefault="007D02A8" w:rsidP="007D02A8">
      <w:pPr>
        <w:spacing w:before="0" w:after="0"/>
        <w:jc w:val="left"/>
        <w:rPr>
          <w:noProof/>
        </w:rPr>
      </w:pPr>
      <w:bookmarkStart w:id="35" w:name="_Toc514938054"/>
      <w:bookmarkStart w:id="36" w:name="_Toc5204850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D02A8" w:rsidRPr="00A722F1" w:rsidTr="000E727E">
        <w:trPr>
          <w:jc w:val="center"/>
        </w:trPr>
        <w:tc>
          <w:tcPr>
            <w:tcW w:w="4744" w:type="dxa"/>
            <w:shd w:val="thinDiagStripe" w:color="C0C0C0" w:fill="auto"/>
            <w:vAlign w:val="center"/>
          </w:tcPr>
          <w:p w:rsidR="007D02A8" w:rsidRPr="00A722F1" w:rsidRDefault="007D02A8" w:rsidP="000E727E">
            <w:pPr>
              <w:spacing w:before="60" w:after="60"/>
              <w:jc w:val="center"/>
              <w:rPr>
                <w:b/>
                <w:noProof/>
              </w:rPr>
            </w:pPr>
            <w:r w:rsidRPr="00A722F1">
              <w:rPr>
                <w:noProof/>
                <w:sz w:val="22"/>
              </w:rPr>
              <w:br w:type="page"/>
            </w:r>
            <w:r w:rsidRPr="00A722F1">
              <w:rPr>
                <w:b/>
                <w:noProof/>
                <w:sz w:val="22"/>
              </w:rPr>
              <w:t xml:space="preserve">Heading of multiannual financial </w:t>
            </w:r>
            <w:r w:rsidRPr="00A722F1">
              <w:rPr>
                <w:noProof/>
                <w:sz w:val="22"/>
              </w:rPr>
              <w:br/>
            </w:r>
            <w:r w:rsidRPr="00A722F1">
              <w:rPr>
                <w:b/>
                <w:noProof/>
                <w:sz w:val="22"/>
              </w:rPr>
              <w:t xml:space="preserve">framework </w:t>
            </w:r>
          </w:p>
        </w:tc>
        <w:tc>
          <w:tcPr>
            <w:tcW w:w="1080" w:type="dxa"/>
            <w:shd w:val="thinDiagStripe" w:color="C0C0C0" w:fill="auto"/>
            <w:vAlign w:val="center"/>
          </w:tcPr>
          <w:p w:rsidR="007D02A8" w:rsidRPr="00A722F1" w:rsidRDefault="007D02A8" w:rsidP="000E727E">
            <w:pPr>
              <w:spacing w:before="60" w:after="60"/>
              <w:jc w:val="center"/>
              <w:rPr>
                <w:noProof/>
              </w:rPr>
            </w:pPr>
            <w:r w:rsidRPr="00A722F1">
              <w:rPr>
                <w:b/>
                <w:noProof/>
                <w:sz w:val="22"/>
              </w:rPr>
              <w:t>7</w:t>
            </w:r>
          </w:p>
        </w:tc>
        <w:tc>
          <w:tcPr>
            <w:tcW w:w="7817" w:type="dxa"/>
            <w:vAlign w:val="center"/>
          </w:tcPr>
          <w:p w:rsidR="007D02A8" w:rsidRPr="00A722F1" w:rsidRDefault="007D02A8" w:rsidP="000E727E">
            <w:pPr>
              <w:spacing w:before="60" w:after="60"/>
              <w:rPr>
                <w:noProof/>
              </w:rPr>
            </w:pPr>
            <w:r w:rsidRPr="00A722F1">
              <w:rPr>
                <w:noProof/>
                <w:sz w:val="22"/>
              </w:rPr>
              <w:t>‘Administrative expenditure’</w:t>
            </w:r>
          </w:p>
        </w:tc>
      </w:tr>
    </w:tbl>
    <w:p w:rsidR="007D02A8" w:rsidRPr="00A722F1" w:rsidRDefault="007D02A8" w:rsidP="007D02A8">
      <w:pPr>
        <w:jc w:val="right"/>
        <w:rPr>
          <w:noProof/>
          <w:sz w:val="20"/>
        </w:rPr>
      </w:pPr>
      <w:r w:rsidRPr="00A722F1">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10"/>
        <w:gridCol w:w="1624"/>
        <w:gridCol w:w="1624"/>
        <w:gridCol w:w="1625"/>
        <w:gridCol w:w="1701"/>
      </w:tblGrid>
      <w:tr w:rsidR="007D02A8" w:rsidRPr="00A722F1" w:rsidTr="000E727E">
        <w:tc>
          <w:tcPr>
            <w:tcW w:w="3960" w:type="dxa"/>
            <w:tcBorders>
              <w:top w:val="nil"/>
              <w:left w:val="nil"/>
              <w:right w:val="nil"/>
            </w:tcBorders>
            <w:vAlign w:val="center"/>
          </w:tcPr>
          <w:p w:rsidR="007D02A8" w:rsidRPr="00A722F1" w:rsidRDefault="007D02A8" w:rsidP="000E727E">
            <w:pPr>
              <w:jc w:val="center"/>
              <w:rPr>
                <w:noProof/>
              </w:rPr>
            </w:pPr>
          </w:p>
        </w:tc>
        <w:tc>
          <w:tcPr>
            <w:tcW w:w="1560" w:type="dxa"/>
            <w:tcBorders>
              <w:top w:val="nil"/>
              <w:left w:val="nil"/>
              <w:right w:val="nil"/>
            </w:tcBorders>
          </w:tcPr>
          <w:p w:rsidR="007D02A8" w:rsidRPr="00A722F1" w:rsidRDefault="007D02A8" w:rsidP="000E727E">
            <w:pPr>
              <w:rPr>
                <w:noProof/>
                <w:sz w:val="20"/>
              </w:rPr>
            </w:pPr>
          </w:p>
        </w:tc>
        <w:tc>
          <w:tcPr>
            <w:tcW w:w="510" w:type="dxa"/>
            <w:tcBorders>
              <w:top w:val="nil"/>
              <w:left w:val="nil"/>
            </w:tcBorders>
          </w:tcPr>
          <w:p w:rsidR="007D02A8" w:rsidRPr="00A722F1" w:rsidRDefault="007D02A8" w:rsidP="000E727E">
            <w:pPr>
              <w:jc w:val="center"/>
              <w:rPr>
                <w:noProof/>
                <w:sz w:val="20"/>
              </w:rPr>
            </w:pPr>
          </w:p>
        </w:tc>
        <w:tc>
          <w:tcPr>
            <w:tcW w:w="1624" w:type="dxa"/>
            <w:vAlign w:val="center"/>
          </w:tcPr>
          <w:p w:rsidR="007D02A8" w:rsidRPr="00A722F1" w:rsidRDefault="007D02A8" w:rsidP="000E727E">
            <w:pPr>
              <w:jc w:val="center"/>
              <w:rPr>
                <w:noProof/>
                <w:sz w:val="20"/>
              </w:rPr>
            </w:pPr>
            <w:r w:rsidRPr="00A722F1">
              <w:rPr>
                <w:noProof/>
                <w:sz w:val="20"/>
              </w:rPr>
              <w:t>Year</w:t>
            </w:r>
            <w:r w:rsidRPr="00A722F1">
              <w:rPr>
                <w:noProof/>
                <w:sz w:val="22"/>
              </w:rPr>
              <w:br/>
            </w:r>
            <w:r w:rsidRPr="00A722F1">
              <w:rPr>
                <w:b/>
                <w:noProof/>
                <w:sz w:val="20"/>
              </w:rPr>
              <w:t>2022</w:t>
            </w:r>
          </w:p>
        </w:tc>
        <w:tc>
          <w:tcPr>
            <w:tcW w:w="1624" w:type="dxa"/>
            <w:vAlign w:val="center"/>
          </w:tcPr>
          <w:p w:rsidR="007D02A8" w:rsidRPr="00A722F1" w:rsidRDefault="007D02A8" w:rsidP="000E727E">
            <w:pPr>
              <w:jc w:val="center"/>
              <w:rPr>
                <w:noProof/>
                <w:sz w:val="20"/>
              </w:rPr>
            </w:pPr>
            <w:r w:rsidRPr="00A722F1">
              <w:rPr>
                <w:noProof/>
                <w:sz w:val="20"/>
              </w:rPr>
              <w:t>Year</w:t>
            </w:r>
            <w:r w:rsidRPr="00A722F1">
              <w:rPr>
                <w:noProof/>
                <w:sz w:val="22"/>
              </w:rPr>
              <w:br/>
            </w:r>
            <w:r w:rsidRPr="00A722F1">
              <w:rPr>
                <w:b/>
                <w:noProof/>
                <w:sz w:val="20"/>
              </w:rPr>
              <w:t>2023</w:t>
            </w:r>
          </w:p>
        </w:tc>
        <w:tc>
          <w:tcPr>
            <w:tcW w:w="1625" w:type="dxa"/>
            <w:vAlign w:val="center"/>
          </w:tcPr>
          <w:p w:rsidR="007D02A8" w:rsidRPr="00A722F1" w:rsidRDefault="007D02A8" w:rsidP="000E727E">
            <w:pPr>
              <w:jc w:val="center"/>
              <w:rPr>
                <w:noProof/>
                <w:sz w:val="20"/>
              </w:rPr>
            </w:pPr>
            <w:r w:rsidRPr="00A722F1">
              <w:rPr>
                <w:noProof/>
                <w:sz w:val="20"/>
              </w:rPr>
              <w:t>Year</w:t>
            </w:r>
            <w:r w:rsidRPr="00A722F1">
              <w:rPr>
                <w:noProof/>
                <w:sz w:val="22"/>
              </w:rPr>
              <w:br/>
            </w:r>
            <w:r w:rsidRPr="00A722F1">
              <w:rPr>
                <w:b/>
                <w:noProof/>
                <w:sz w:val="20"/>
              </w:rPr>
              <w:t>2024</w:t>
            </w:r>
          </w:p>
        </w:tc>
        <w:tc>
          <w:tcPr>
            <w:tcW w:w="1701" w:type="dxa"/>
            <w:vAlign w:val="center"/>
          </w:tcPr>
          <w:p w:rsidR="007D02A8" w:rsidRPr="00A722F1" w:rsidRDefault="007D02A8" w:rsidP="000E727E">
            <w:pPr>
              <w:jc w:val="center"/>
              <w:rPr>
                <w:b/>
                <w:noProof/>
                <w:sz w:val="20"/>
              </w:rPr>
            </w:pPr>
            <w:r w:rsidRPr="00A722F1">
              <w:rPr>
                <w:b/>
                <w:noProof/>
                <w:sz w:val="20"/>
              </w:rPr>
              <w:t>TOTAL</w:t>
            </w:r>
          </w:p>
        </w:tc>
      </w:tr>
      <w:tr w:rsidR="007D02A8" w:rsidRPr="00A722F1" w:rsidTr="000E727E">
        <w:trPr>
          <w:gridAfter w:val="4"/>
          <w:wAfter w:w="6574" w:type="dxa"/>
        </w:trPr>
        <w:tc>
          <w:tcPr>
            <w:tcW w:w="6030" w:type="dxa"/>
            <w:gridSpan w:val="3"/>
            <w:vAlign w:val="center"/>
          </w:tcPr>
          <w:p w:rsidR="007D02A8" w:rsidRPr="00A722F1" w:rsidRDefault="007D02A8" w:rsidP="000E727E">
            <w:pPr>
              <w:spacing w:before="60" w:after="60"/>
              <w:jc w:val="center"/>
              <w:rPr>
                <w:noProof/>
              </w:rPr>
            </w:pPr>
            <w:r w:rsidRPr="00A722F1">
              <w:rPr>
                <w:noProof/>
                <w:sz w:val="22"/>
              </w:rPr>
              <w:t>DGs CONNECT + JUST + SANTE + DIGIT</w:t>
            </w:r>
          </w:p>
        </w:tc>
      </w:tr>
      <w:tr w:rsidR="007D02A8" w:rsidRPr="00A722F1" w:rsidTr="000E727E">
        <w:trPr>
          <w:trHeight w:val="313"/>
        </w:trPr>
        <w:tc>
          <w:tcPr>
            <w:tcW w:w="6030" w:type="dxa"/>
            <w:gridSpan w:val="3"/>
            <w:vAlign w:val="center"/>
          </w:tcPr>
          <w:p w:rsidR="007D02A8" w:rsidRPr="00A722F1" w:rsidRDefault="007D02A8" w:rsidP="000E727E">
            <w:pPr>
              <w:spacing w:before="20" w:after="20"/>
              <w:rPr>
                <w:noProof/>
              </w:rPr>
            </w:pPr>
            <w:r w:rsidRPr="00A722F1">
              <w:rPr>
                <w:noProof/>
                <w:sz w:val="22"/>
              </w:rPr>
              <w:sym w:font="Wingdings" w:char="F09F"/>
            </w:r>
            <w:r w:rsidRPr="00A722F1">
              <w:rPr>
                <w:noProof/>
                <w:sz w:val="22"/>
              </w:rPr>
              <w:t xml:space="preserve"> Human resources </w:t>
            </w:r>
          </w:p>
        </w:tc>
        <w:tc>
          <w:tcPr>
            <w:tcW w:w="1624" w:type="dxa"/>
            <w:vAlign w:val="center"/>
          </w:tcPr>
          <w:p w:rsidR="007D02A8" w:rsidRPr="00A722F1" w:rsidRDefault="007D02A8" w:rsidP="000E727E">
            <w:pPr>
              <w:spacing w:before="20" w:after="20"/>
              <w:jc w:val="right"/>
              <w:rPr>
                <w:noProof/>
                <w:sz w:val="20"/>
              </w:rPr>
            </w:pPr>
            <w:r>
              <w:rPr>
                <w:noProof/>
                <w:sz w:val="20"/>
              </w:rPr>
              <w:t>1,501</w:t>
            </w:r>
          </w:p>
        </w:tc>
        <w:tc>
          <w:tcPr>
            <w:tcW w:w="1624" w:type="dxa"/>
            <w:vAlign w:val="center"/>
          </w:tcPr>
          <w:p w:rsidR="007D02A8" w:rsidRPr="00A722F1" w:rsidRDefault="007D02A8" w:rsidP="000E727E">
            <w:pPr>
              <w:spacing w:before="20" w:after="20"/>
              <w:jc w:val="right"/>
              <w:rPr>
                <w:noProof/>
                <w:sz w:val="20"/>
              </w:rPr>
            </w:pPr>
            <w:r>
              <w:rPr>
                <w:noProof/>
                <w:sz w:val="20"/>
              </w:rPr>
              <w:t>1,501</w:t>
            </w:r>
          </w:p>
        </w:tc>
        <w:tc>
          <w:tcPr>
            <w:tcW w:w="1625" w:type="dxa"/>
            <w:vAlign w:val="center"/>
          </w:tcPr>
          <w:p w:rsidR="007D02A8" w:rsidRPr="00A722F1" w:rsidRDefault="007D02A8" w:rsidP="000E727E">
            <w:pPr>
              <w:spacing w:before="20" w:after="20"/>
              <w:jc w:val="right"/>
              <w:rPr>
                <w:noProof/>
                <w:sz w:val="20"/>
              </w:rPr>
            </w:pPr>
          </w:p>
        </w:tc>
        <w:tc>
          <w:tcPr>
            <w:tcW w:w="1701" w:type="dxa"/>
            <w:vAlign w:val="center"/>
          </w:tcPr>
          <w:p w:rsidR="007D02A8" w:rsidRPr="00A722F1" w:rsidRDefault="007D02A8" w:rsidP="000E727E">
            <w:pPr>
              <w:spacing w:before="20" w:after="20"/>
              <w:jc w:val="right"/>
              <w:rPr>
                <w:noProof/>
                <w:sz w:val="20"/>
              </w:rPr>
            </w:pPr>
            <w:r>
              <w:rPr>
                <w:noProof/>
                <w:sz w:val="20"/>
              </w:rPr>
              <w:t>3,002</w:t>
            </w:r>
          </w:p>
        </w:tc>
      </w:tr>
      <w:tr w:rsidR="007D02A8" w:rsidRPr="00A722F1" w:rsidTr="000E727E">
        <w:trPr>
          <w:trHeight w:val="351"/>
        </w:trPr>
        <w:tc>
          <w:tcPr>
            <w:tcW w:w="6030" w:type="dxa"/>
            <w:gridSpan w:val="3"/>
            <w:vAlign w:val="center"/>
          </w:tcPr>
          <w:p w:rsidR="007D02A8" w:rsidRPr="00A722F1" w:rsidRDefault="007D02A8" w:rsidP="000E727E">
            <w:pPr>
              <w:spacing w:before="20" w:after="20"/>
              <w:rPr>
                <w:noProof/>
              </w:rPr>
            </w:pPr>
            <w:r w:rsidRPr="00A722F1">
              <w:rPr>
                <w:noProof/>
                <w:sz w:val="22"/>
              </w:rPr>
              <w:sym w:font="Wingdings" w:char="F09F"/>
            </w:r>
            <w:r w:rsidRPr="00A722F1">
              <w:rPr>
                <w:noProof/>
                <w:sz w:val="22"/>
              </w:rPr>
              <w:t xml:space="preserve"> Other administrative expenditure </w:t>
            </w:r>
          </w:p>
        </w:tc>
        <w:tc>
          <w:tcPr>
            <w:tcW w:w="1624" w:type="dxa"/>
            <w:vAlign w:val="center"/>
          </w:tcPr>
          <w:p w:rsidR="007D02A8" w:rsidRPr="00A722F1" w:rsidRDefault="007D02A8" w:rsidP="000E727E">
            <w:pPr>
              <w:spacing w:before="20" w:after="20"/>
              <w:jc w:val="right"/>
              <w:rPr>
                <w:b/>
                <w:noProof/>
                <w:sz w:val="20"/>
              </w:rPr>
            </w:pPr>
          </w:p>
        </w:tc>
        <w:tc>
          <w:tcPr>
            <w:tcW w:w="1624" w:type="dxa"/>
            <w:vAlign w:val="center"/>
          </w:tcPr>
          <w:p w:rsidR="007D02A8" w:rsidRPr="00A722F1" w:rsidRDefault="007D02A8" w:rsidP="000E727E">
            <w:pPr>
              <w:spacing w:before="20" w:after="20"/>
              <w:jc w:val="right"/>
              <w:rPr>
                <w:b/>
                <w:noProof/>
                <w:sz w:val="20"/>
              </w:rPr>
            </w:pPr>
          </w:p>
        </w:tc>
        <w:tc>
          <w:tcPr>
            <w:tcW w:w="1625" w:type="dxa"/>
            <w:vAlign w:val="center"/>
          </w:tcPr>
          <w:p w:rsidR="007D02A8" w:rsidRPr="00A722F1" w:rsidRDefault="007D02A8" w:rsidP="000E727E">
            <w:pPr>
              <w:spacing w:before="20" w:after="20"/>
              <w:jc w:val="right"/>
              <w:rPr>
                <w:b/>
                <w:noProof/>
                <w:sz w:val="20"/>
              </w:rPr>
            </w:pPr>
          </w:p>
        </w:tc>
        <w:tc>
          <w:tcPr>
            <w:tcW w:w="1701" w:type="dxa"/>
            <w:vAlign w:val="center"/>
          </w:tcPr>
          <w:p w:rsidR="007D02A8" w:rsidRPr="00A722F1" w:rsidRDefault="007D02A8" w:rsidP="000E727E">
            <w:pPr>
              <w:spacing w:before="20" w:after="20"/>
              <w:jc w:val="right"/>
              <w:rPr>
                <w:noProof/>
                <w:sz w:val="20"/>
              </w:rPr>
            </w:pPr>
          </w:p>
        </w:tc>
      </w:tr>
      <w:tr w:rsidR="007D02A8" w:rsidRPr="00A722F1" w:rsidTr="000E727E">
        <w:tc>
          <w:tcPr>
            <w:tcW w:w="3960" w:type="dxa"/>
            <w:vAlign w:val="center"/>
          </w:tcPr>
          <w:p w:rsidR="007D02A8" w:rsidRPr="00A722F1" w:rsidRDefault="007D02A8" w:rsidP="000E727E">
            <w:pPr>
              <w:jc w:val="center"/>
              <w:rPr>
                <w:b/>
                <w:noProof/>
              </w:rPr>
            </w:pPr>
            <w:r w:rsidRPr="00A722F1">
              <w:rPr>
                <w:b/>
                <w:noProof/>
                <w:sz w:val="22"/>
              </w:rPr>
              <w:t>TOTAL DGs CONNECT</w:t>
            </w:r>
            <w:r w:rsidRPr="00A722F1">
              <w:rPr>
                <w:noProof/>
                <w:sz w:val="22"/>
              </w:rPr>
              <w:t xml:space="preserve"> </w:t>
            </w:r>
            <w:r w:rsidRPr="00A722F1">
              <w:rPr>
                <w:b/>
                <w:noProof/>
                <w:sz w:val="22"/>
              </w:rPr>
              <w:t>+ JUST + SANTE + DIGIT</w:t>
            </w:r>
          </w:p>
        </w:tc>
        <w:tc>
          <w:tcPr>
            <w:tcW w:w="2070" w:type="dxa"/>
            <w:gridSpan w:val="2"/>
            <w:vAlign w:val="center"/>
          </w:tcPr>
          <w:p w:rsidR="007D02A8" w:rsidRPr="00A722F1" w:rsidRDefault="007D02A8" w:rsidP="000E727E">
            <w:pPr>
              <w:rPr>
                <w:noProof/>
                <w:sz w:val="14"/>
              </w:rPr>
            </w:pPr>
            <w:r w:rsidRPr="00A722F1">
              <w:rPr>
                <w:noProof/>
                <w:sz w:val="18"/>
              </w:rPr>
              <w:t xml:space="preserve">Appropriations </w:t>
            </w:r>
          </w:p>
        </w:tc>
        <w:tc>
          <w:tcPr>
            <w:tcW w:w="1624" w:type="dxa"/>
            <w:vAlign w:val="center"/>
          </w:tcPr>
          <w:p w:rsidR="007D02A8" w:rsidRPr="00A722F1" w:rsidRDefault="007D02A8" w:rsidP="000E727E">
            <w:pPr>
              <w:spacing w:before="20" w:after="20"/>
              <w:jc w:val="right"/>
              <w:rPr>
                <w:noProof/>
                <w:sz w:val="20"/>
              </w:rPr>
            </w:pPr>
            <w:r>
              <w:rPr>
                <w:noProof/>
                <w:sz w:val="20"/>
              </w:rPr>
              <w:t>1,501</w:t>
            </w:r>
          </w:p>
        </w:tc>
        <w:tc>
          <w:tcPr>
            <w:tcW w:w="1624" w:type="dxa"/>
            <w:vAlign w:val="center"/>
          </w:tcPr>
          <w:p w:rsidR="007D02A8" w:rsidRPr="00A722F1" w:rsidRDefault="007D02A8" w:rsidP="000E727E">
            <w:pPr>
              <w:spacing w:before="20" w:after="20"/>
              <w:jc w:val="right"/>
              <w:rPr>
                <w:noProof/>
                <w:sz w:val="20"/>
              </w:rPr>
            </w:pPr>
            <w:r>
              <w:rPr>
                <w:noProof/>
                <w:sz w:val="20"/>
              </w:rPr>
              <w:t>1,501</w:t>
            </w:r>
          </w:p>
        </w:tc>
        <w:tc>
          <w:tcPr>
            <w:tcW w:w="1625" w:type="dxa"/>
            <w:vAlign w:val="center"/>
          </w:tcPr>
          <w:p w:rsidR="007D02A8" w:rsidRPr="00A722F1" w:rsidRDefault="007D02A8" w:rsidP="000E727E">
            <w:pPr>
              <w:spacing w:before="20" w:after="20"/>
              <w:jc w:val="right"/>
              <w:rPr>
                <w:noProof/>
                <w:sz w:val="20"/>
              </w:rPr>
            </w:pPr>
          </w:p>
        </w:tc>
        <w:tc>
          <w:tcPr>
            <w:tcW w:w="1701" w:type="dxa"/>
            <w:vAlign w:val="center"/>
          </w:tcPr>
          <w:p w:rsidR="007D02A8" w:rsidRPr="00A722F1" w:rsidRDefault="007D02A8" w:rsidP="000E727E">
            <w:pPr>
              <w:spacing w:before="20" w:after="20"/>
              <w:jc w:val="right"/>
              <w:rPr>
                <w:noProof/>
                <w:sz w:val="20"/>
              </w:rPr>
            </w:pPr>
            <w:r>
              <w:rPr>
                <w:noProof/>
                <w:sz w:val="20"/>
              </w:rPr>
              <w:t>3,002</w:t>
            </w:r>
          </w:p>
        </w:tc>
      </w:tr>
    </w:tbl>
    <w:p w:rsidR="007D02A8" w:rsidRPr="00A722F1" w:rsidRDefault="007D02A8" w:rsidP="007D02A8">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1624"/>
        <w:gridCol w:w="1624"/>
        <w:gridCol w:w="1625"/>
        <w:gridCol w:w="1701"/>
      </w:tblGrid>
      <w:tr w:rsidR="007D02A8" w:rsidRPr="00A722F1" w:rsidTr="000E727E">
        <w:tc>
          <w:tcPr>
            <w:tcW w:w="3960" w:type="dxa"/>
            <w:shd w:val="thinDiagStripe" w:color="C0C0C0" w:fill="auto"/>
            <w:vAlign w:val="center"/>
          </w:tcPr>
          <w:p w:rsidR="007D02A8" w:rsidRPr="00A722F1" w:rsidRDefault="007D02A8" w:rsidP="000E727E">
            <w:pPr>
              <w:jc w:val="center"/>
              <w:rPr>
                <w:b/>
                <w:noProof/>
              </w:rPr>
            </w:pPr>
            <w:r w:rsidRPr="00A722F1">
              <w:rPr>
                <w:b/>
                <w:noProof/>
                <w:sz w:val="22"/>
              </w:rPr>
              <w:t>TOTAL appropriations</w:t>
            </w:r>
            <w:r w:rsidRPr="00A722F1">
              <w:rPr>
                <w:noProof/>
                <w:sz w:val="22"/>
              </w:rPr>
              <w:br/>
            </w:r>
            <w:r w:rsidRPr="00A722F1">
              <w:rPr>
                <w:b/>
                <w:noProof/>
                <w:sz w:val="22"/>
              </w:rPr>
              <w:t>under HEADING 7</w:t>
            </w:r>
            <w:r w:rsidRPr="00A722F1">
              <w:rPr>
                <w:noProof/>
                <w:sz w:val="22"/>
              </w:rPr>
              <w:br/>
              <w:t>of the multiannual financial framework</w:t>
            </w:r>
            <w:r w:rsidRPr="00A722F1">
              <w:rPr>
                <w:b/>
                <w:noProof/>
                <w:sz w:val="22"/>
              </w:rPr>
              <w:t xml:space="preserve"> </w:t>
            </w:r>
          </w:p>
        </w:tc>
        <w:tc>
          <w:tcPr>
            <w:tcW w:w="2094" w:type="dxa"/>
            <w:vAlign w:val="center"/>
          </w:tcPr>
          <w:p w:rsidR="007D02A8" w:rsidRPr="00A722F1" w:rsidRDefault="007D02A8" w:rsidP="000E727E">
            <w:pPr>
              <w:spacing w:before="40" w:after="40"/>
              <w:rPr>
                <w:noProof/>
              </w:rPr>
            </w:pPr>
            <w:r w:rsidRPr="00A722F1">
              <w:rPr>
                <w:noProof/>
                <w:sz w:val="18"/>
              </w:rPr>
              <w:t>(Total commitments = Total payments)</w:t>
            </w:r>
          </w:p>
        </w:tc>
        <w:tc>
          <w:tcPr>
            <w:tcW w:w="1624" w:type="dxa"/>
            <w:vAlign w:val="center"/>
          </w:tcPr>
          <w:p w:rsidR="007D02A8" w:rsidRPr="00A722F1" w:rsidRDefault="007D02A8" w:rsidP="000E727E">
            <w:pPr>
              <w:spacing w:before="20" w:after="20"/>
              <w:jc w:val="right"/>
              <w:rPr>
                <w:noProof/>
                <w:sz w:val="20"/>
              </w:rPr>
            </w:pPr>
            <w:r>
              <w:rPr>
                <w:noProof/>
                <w:sz w:val="20"/>
              </w:rPr>
              <w:t>1,501</w:t>
            </w:r>
          </w:p>
        </w:tc>
        <w:tc>
          <w:tcPr>
            <w:tcW w:w="1624" w:type="dxa"/>
            <w:vAlign w:val="center"/>
          </w:tcPr>
          <w:p w:rsidR="007D02A8" w:rsidRPr="00A722F1" w:rsidRDefault="007D02A8" w:rsidP="000E727E">
            <w:pPr>
              <w:spacing w:before="20" w:after="20"/>
              <w:jc w:val="right"/>
              <w:rPr>
                <w:noProof/>
                <w:sz w:val="20"/>
              </w:rPr>
            </w:pPr>
            <w:r>
              <w:rPr>
                <w:noProof/>
                <w:sz w:val="20"/>
              </w:rPr>
              <w:t>1,501</w:t>
            </w:r>
          </w:p>
        </w:tc>
        <w:tc>
          <w:tcPr>
            <w:tcW w:w="1625" w:type="dxa"/>
            <w:vAlign w:val="center"/>
          </w:tcPr>
          <w:p w:rsidR="007D02A8" w:rsidRPr="00A722F1" w:rsidRDefault="007D02A8" w:rsidP="000E727E">
            <w:pPr>
              <w:spacing w:before="20" w:after="20"/>
              <w:jc w:val="right"/>
              <w:rPr>
                <w:noProof/>
                <w:sz w:val="20"/>
              </w:rPr>
            </w:pPr>
          </w:p>
        </w:tc>
        <w:tc>
          <w:tcPr>
            <w:tcW w:w="1701" w:type="dxa"/>
            <w:vAlign w:val="center"/>
          </w:tcPr>
          <w:p w:rsidR="007D02A8" w:rsidRPr="00A722F1" w:rsidRDefault="007D02A8" w:rsidP="000E727E">
            <w:pPr>
              <w:spacing w:before="20" w:after="20"/>
              <w:jc w:val="right"/>
              <w:rPr>
                <w:noProof/>
                <w:sz w:val="20"/>
              </w:rPr>
            </w:pPr>
            <w:r>
              <w:rPr>
                <w:noProof/>
                <w:sz w:val="20"/>
              </w:rPr>
              <w:t>3,002</w:t>
            </w:r>
          </w:p>
        </w:tc>
      </w:tr>
    </w:tbl>
    <w:p w:rsidR="007D02A8" w:rsidRPr="00A722F1" w:rsidRDefault="007D02A8" w:rsidP="007D02A8">
      <w:pPr>
        <w:jc w:val="right"/>
        <w:rPr>
          <w:noProof/>
          <w:sz w:val="20"/>
          <w:lang w:eastAsia="en-GB"/>
        </w:rPr>
      </w:pPr>
      <w:r w:rsidRPr="00A722F1">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624"/>
        <w:gridCol w:w="1624"/>
        <w:gridCol w:w="1625"/>
        <w:gridCol w:w="1701"/>
      </w:tblGrid>
      <w:tr w:rsidR="007D02A8" w:rsidRPr="00A722F1" w:rsidTr="000E727E">
        <w:tc>
          <w:tcPr>
            <w:tcW w:w="3960" w:type="dxa"/>
            <w:tcBorders>
              <w:top w:val="nil"/>
              <w:left w:val="nil"/>
              <w:bottom w:val="single" w:sz="4" w:space="0" w:color="auto"/>
              <w:right w:val="nil"/>
            </w:tcBorders>
            <w:vAlign w:val="center"/>
          </w:tcPr>
          <w:p w:rsidR="007D02A8" w:rsidRPr="00A722F1" w:rsidRDefault="007D02A8" w:rsidP="000E727E">
            <w:pPr>
              <w:spacing w:line="276" w:lineRule="auto"/>
              <w:jc w:val="center"/>
              <w:rPr>
                <w:noProof/>
              </w:rPr>
            </w:pPr>
          </w:p>
        </w:tc>
        <w:tc>
          <w:tcPr>
            <w:tcW w:w="1560" w:type="dxa"/>
            <w:tcBorders>
              <w:top w:val="nil"/>
              <w:left w:val="nil"/>
              <w:bottom w:val="single" w:sz="4" w:space="0" w:color="auto"/>
              <w:right w:val="nil"/>
            </w:tcBorders>
          </w:tcPr>
          <w:p w:rsidR="007D02A8" w:rsidRPr="00A722F1" w:rsidRDefault="007D02A8" w:rsidP="000E727E">
            <w:pPr>
              <w:spacing w:line="276" w:lineRule="auto"/>
              <w:rPr>
                <w:noProof/>
                <w:sz w:val="20"/>
              </w:rPr>
            </w:pPr>
          </w:p>
        </w:tc>
        <w:tc>
          <w:tcPr>
            <w:tcW w:w="534" w:type="dxa"/>
            <w:tcBorders>
              <w:top w:val="nil"/>
              <w:left w:val="nil"/>
              <w:bottom w:val="single" w:sz="4" w:space="0" w:color="auto"/>
              <w:right w:val="single" w:sz="4" w:space="0" w:color="auto"/>
            </w:tcBorders>
          </w:tcPr>
          <w:p w:rsidR="007D02A8" w:rsidRPr="00A722F1" w:rsidRDefault="007D02A8" w:rsidP="000E727E">
            <w:pPr>
              <w:spacing w:line="276" w:lineRule="auto"/>
              <w:jc w:val="center"/>
              <w:rPr>
                <w:noProof/>
                <w:sz w:val="20"/>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7D02A8" w:rsidRPr="00A722F1" w:rsidRDefault="007D02A8" w:rsidP="000E727E">
            <w:pPr>
              <w:spacing w:line="276" w:lineRule="auto"/>
              <w:jc w:val="center"/>
              <w:rPr>
                <w:noProof/>
                <w:sz w:val="20"/>
              </w:rPr>
            </w:pPr>
            <w:r w:rsidRPr="00A722F1">
              <w:rPr>
                <w:noProof/>
                <w:sz w:val="20"/>
              </w:rPr>
              <w:t>Year</w:t>
            </w:r>
            <w:r w:rsidRPr="00A722F1">
              <w:rPr>
                <w:noProof/>
                <w:sz w:val="22"/>
              </w:rPr>
              <w:br/>
            </w:r>
            <w:r w:rsidRPr="00A722F1">
              <w:rPr>
                <w:b/>
                <w:noProof/>
                <w:sz w:val="20"/>
              </w:rPr>
              <w:t>2022</w:t>
            </w:r>
          </w:p>
        </w:tc>
        <w:tc>
          <w:tcPr>
            <w:tcW w:w="1624" w:type="dxa"/>
            <w:tcBorders>
              <w:top w:val="single" w:sz="4" w:space="0" w:color="auto"/>
              <w:left w:val="single" w:sz="4" w:space="0" w:color="auto"/>
              <w:bottom w:val="single" w:sz="4" w:space="0" w:color="auto"/>
              <w:right w:val="single" w:sz="4" w:space="0" w:color="auto"/>
            </w:tcBorders>
            <w:vAlign w:val="center"/>
            <w:hideMark/>
          </w:tcPr>
          <w:p w:rsidR="007D02A8" w:rsidRPr="00A722F1" w:rsidRDefault="007D02A8" w:rsidP="000E727E">
            <w:pPr>
              <w:spacing w:line="276" w:lineRule="auto"/>
              <w:jc w:val="center"/>
              <w:rPr>
                <w:noProof/>
                <w:sz w:val="20"/>
              </w:rPr>
            </w:pPr>
            <w:r w:rsidRPr="00A722F1">
              <w:rPr>
                <w:noProof/>
                <w:sz w:val="20"/>
              </w:rPr>
              <w:t>Year</w:t>
            </w:r>
            <w:r w:rsidRPr="00A722F1">
              <w:rPr>
                <w:noProof/>
                <w:sz w:val="22"/>
              </w:rPr>
              <w:br/>
            </w:r>
            <w:r w:rsidRPr="00A722F1">
              <w:rPr>
                <w:b/>
                <w:noProof/>
                <w:sz w:val="20"/>
              </w:rPr>
              <w:t>2023</w:t>
            </w:r>
          </w:p>
        </w:tc>
        <w:tc>
          <w:tcPr>
            <w:tcW w:w="1625" w:type="dxa"/>
            <w:tcBorders>
              <w:top w:val="single" w:sz="4" w:space="0" w:color="auto"/>
              <w:left w:val="single" w:sz="4" w:space="0" w:color="auto"/>
              <w:bottom w:val="single" w:sz="4" w:space="0" w:color="auto"/>
              <w:right w:val="single" w:sz="4" w:space="0" w:color="auto"/>
            </w:tcBorders>
            <w:vAlign w:val="center"/>
            <w:hideMark/>
          </w:tcPr>
          <w:p w:rsidR="007D02A8" w:rsidRPr="00A722F1" w:rsidRDefault="007D02A8" w:rsidP="000E727E">
            <w:pPr>
              <w:spacing w:line="276" w:lineRule="auto"/>
              <w:jc w:val="center"/>
              <w:rPr>
                <w:noProof/>
                <w:sz w:val="20"/>
              </w:rPr>
            </w:pPr>
            <w:r w:rsidRPr="00A722F1">
              <w:rPr>
                <w:noProof/>
                <w:sz w:val="20"/>
              </w:rPr>
              <w:t>Year</w:t>
            </w:r>
            <w:r w:rsidRPr="00A722F1">
              <w:rPr>
                <w:noProof/>
                <w:sz w:val="22"/>
              </w:rPr>
              <w:br/>
            </w:r>
            <w:r w:rsidRPr="00A722F1">
              <w:rPr>
                <w:b/>
                <w:noProof/>
                <w:sz w:val="20"/>
              </w:rPr>
              <w:t>2024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02A8" w:rsidRPr="00A722F1" w:rsidRDefault="007D02A8" w:rsidP="000E727E">
            <w:pPr>
              <w:spacing w:line="276" w:lineRule="auto"/>
              <w:jc w:val="center"/>
              <w:rPr>
                <w:b/>
                <w:noProof/>
                <w:sz w:val="20"/>
              </w:rPr>
            </w:pPr>
            <w:r w:rsidRPr="00A722F1">
              <w:rPr>
                <w:b/>
                <w:noProof/>
                <w:sz w:val="20"/>
              </w:rPr>
              <w:t>TOTAL</w:t>
            </w:r>
          </w:p>
        </w:tc>
      </w:tr>
      <w:tr w:rsidR="007D02A8" w:rsidRPr="00A722F1" w:rsidTr="000E727E">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7D02A8" w:rsidRPr="00A722F1" w:rsidRDefault="007D02A8" w:rsidP="000E727E">
            <w:pPr>
              <w:spacing w:line="276" w:lineRule="auto"/>
              <w:jc w:val="center"/>
              <w:rPr>
                <w:b/>
                <w:noProof/>
              </w:rPr>
            </w:pPr>
            <w:r w:rsidRPr="00A722F1">
              <w:rPr>
                <w:b/>
                <w:noProof/>
                <w:sz w:val="22"/>
              </w:rPr>
              <w:t xml:space="preserve">TOTAL appropriations </w:t>
            </w:r>
            <w:r w:rsidRPr="00A722F1">
              <w:rPr>
                <w:noProof/>
                <w:sz w:val="22"/>
              </w:rPr>
              <w:br/>
            </w:r>
            <w:r w:rsidRPr="00A722F1">
              <w:rPr>
                <w:b/>
                <w:noProof/>
                <w:sz w:val="22"/>
              </w:rPr>
              <w:t>under HEADINGS 1 to 7</w:t>
            </w:r>
            <w:r w:rsidRPr="00A722F1">
              <w:rPr>
                <w:noProof/>
                <w:sz w:val="22"/>
              </w:rPr>
              <w:br/>
              <w:t>of the multiannual financial framework</w:t>
            </w:r>
            <w:r w:rsidRPr="00A722F1">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7D02A8" w:rsidRPr="00A722F1" w:rsidRDefault="007D02A8" w:rsidP="000E727E">
            <w:pPr>
              <w:spacing w:line="276" w:lineRule="auto"/>
              <w:rPr>
                <w:noProof/>
                <w:sz w:val="14"/>
              </w:rPr>
            </w:pPr>
            <w:r w:rsidRPr="00A722F1">
              <w:rPr>
                <w:noProof/>
                <w:sz w:val="18"/>
              </w:rPr>
              <w:t>Commitments</w:t>
            </w:r>
          </w:p>
        </w:tc>
        <w:tc>
          <w:tcPr>
            <w:tcW w:w="1624" w:type="dxa"/>
            <w:tcBorders>
              <w:top w:val="single" w:sz="4" w:space="0" w:color="auto"/>
              <w:left w:val="single" w:sz="4" w:space="0" w:color="auto"/>
              <w:bottom w:val="single" w:sz="4" w:space="0" w:color="auto"/>
              <w:right w:val="single" w:sz="4" w:space="0" w:color="auto"/>
            </w:tcBorders>
            <w:vAlign w:val="center"/>
            <w:hideMark/>
          </w:tcPr>
          <w:p w:rsidR="007D02A8" w:rsidRPr="00A722F1" w:rsidRDefault="007D02A8" w:rsidP="000E727E">
            <w:pPr>
              <w:spacing w:before="60" w:after="60" w:line="276" w:lineRule="auto"/>
              <w:jc w:val="right"/>
              <w:rPr>
                <w:noProof/>
                <w:sz w:val="20"/>
              </w:rPr>
            </w:pPr>
            <w:r>
              <w:rPr>
                <w:noProof/>
                <w:sz w:val="20"/>
              </w:rPr>
              <w:t>4,501</w:t>
            </w:r>
          </w:p>
        </w:tc>
        <w:tc>
          <w:tcPr>
            <w:tcW w:w="1624" w:type="dxa"/>
            <w:tcBorders>
              <w:top w:val="single" w:sz="4" w:space="0" w:color="auto"/>
              <w:left w:val="single" w:sz="4" w:space="0" w:color="auto"/>
              <w:bottom w:val="single" w:sz="4" w:space="0" w:color="auto"/>
              <w:right w:val="single" w:sz="4" w:space="0" w:color="auto"/>
            </w:tcBorders>
            <w:vAlign w:val="center"/>
          </w:tcPr>
          <w:p w:rsidR="007D02A8" w:rsidRPr="00A722F1" w:rsidRDefault="007D02A8" w:rsidP="000E727E">
            <w:pPr>
              <w:spacing w:before="60" w:after="60" w:line="276" w:lineRule="auto"/>
              <w:jc w:val="right"/>
              <w:rPr>
                <w:noProof/>
                <w:sz w:val="20"/>
              </w:rPr>
            </w:pPr>
            <w:r>
              <w:rPr>
                <w:noProof/>
                <w:sz w:val="20"/>
              </w:rPr>
              <w:t>5,501</w:t>
            </w:r>
          </w:p>
        </w:tc>
        <w:tc>
          <w:tcPr>
            <w:tcW w:w="1625" w:type="dxa"/>
            <w:tcBorders>
              <w:top w:val="single" w:sz="4" w:space="0" w:color="auto"/>
              <w:left w:val="single" w:sz="4" w:space="0" w:color="auto"/>
              <w:bottom w:val="single" w:sz="4" w:space="0" w:color="auto"/>
              <w:right w:val="single" w:sz="4" w:space="0" w:color="auto"/>
            </w:tcBorders>
            <w:vAlign w:val="center"/>
          </w:tcPr>
          <w:p w:rsidR="007D02A8" w:rsidRPr="00A722F1" w:rsidRDefault="007D02A8" w:rsidP="000E727E">
            <w:pPr>
              <w:spacing w:before="60" w:after="60" w:line="276" w:lineRule="auto"/>
              <w:jc w:val="right"/>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D02A8" w:rsidRPr="00A722F1" w:rsidRDefault="007D02A8" w:rsidP="000E727E">
            <w:pPr>
              <w:spacing w:before="60" w:after="60" w:line="276" w:lineRule="auto"/>
              <w:jc w:val="right"/>
              <w:rPr>
                <w:b/>
                <w:noProof/>
                <w:sz w:val="20"/>
              </w:rPr>
            </w:pPr>
            <w:r>
              <w:rPr>
                <w:b/>
                <w:noProof/>
                <w:sz w:val="20"/>
              </w:rPr>
              <w:t>10,002</w:t>
            </w:r>
          </w:p>
        </w:tc>
      </w:tr>
      <w:tr w:rsidR="007D02A8" w:rsidRPr="00A722F1" w:rsidTr="000E727E">
        <w:tc>
          <w:tcPr>
            <w:tcW w:w="3960" w:type="dxa"/>
            <w:vMerge/>
            <w:tcBorders>
              <w:top w:val="single" w:sz="4" w:space="0" w:color="auto"/>
              <w:left w:val="single" w:sz="4" w:space="0" w:color="auto"/>
              <w:bottom w:val="single" w:sz="4" w:space="0" w:color="auto"/>
              <w:right w:val="single" w:sz="4" w:space="0" w:color="auto"/>
            </w:tcBorders>
            <w:vAlign w:val="center"/>
            <w:hideMark/>
          </w:tcPr>
          <w:p w:rsidR="007D02A8" w:rsidRPr="00A722F1" w:rsidRDefault="007D02A8" w:rsidP="000E727E">
            <w:pPr>
              <w:spacing w:before="0" w:after="0" w:line="276" w:lineRule="auto"/>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rsidR="007D02A8" w:rsidRPr="00A722F1" w:rsidRDefault="007D02A8" w:rsidP="000E727E">
            <w:pPr>
              <w:spacing w:line="276" w:lineRule="auto"/>
              <w:rPr>
                <w:noProof/>
                <w:sz w:val="14"/>
              </w:rPr>
            </w:pPr>
            <w:r w:rsidRPr="00A722F1">
              <w:rPr>
                <w:noProof/>
                <w:sz w:val="18"/>
              </w:rPr>
              <w:t>Payments</w:t>
            </w:r>
          </w:p>
        </w:tc>
        <w:tc>
          <w:tcPr>
            <w:tcW w:w="1624" w:type="dxa"/>
            <w:tcBorders>
              <w:top w:val="single" w:sz="4" w:space="0" w:color="auto"/>
              <w:left w:val="single" w:sz="4" w:space="0" w:color="auto"/>
              <w:bottom w:val="single" w:sz="4" w:space="0" w:color="auto"/>
              <w:right w:val="single" w:sz="4" w:space="0" w:color="auto"/>
            </w:tcBorders>
            <w:vAlign w:val="center"/>
            <w:hideMark/>
          </w:tcPr>
          <w:p w:rsidR="007D02A8" w:rsidRPr="00A722F1" w:rsidRDefault="007D02A8" w:rsidP="000E727E">
            <w:pPr>
              <w:spacing w:before="60" w:after="60" w:line="276" w:lineRule="auto"/>
              <w:jc w:val="right"/>
              <w:rPr>
                <w:noProof/>
                <w:sz w:val="20"/>
              </w:rPr>
            </w:pPr>
            <w:r>
              <w:rPr>
                <w:noProof/>
                <w:sz w:val="20"/>
              </w:rPr>
              <w:t>4,501</w:t>
            </w:r>
          </w:p>
        </w:tc>
        <w:tc>
          <w:tcPr>
            <w:tcW w:w="1624" w:type="dxa"/>
            <w:tcBorders>
              <w:top w:val="single" w:sz="4" w:space="0" w:color="auto"/>
              <w:left w:val="single" w:sz="4" w:space="0" w:color="auto"/>
              <w:bottom w:val="single" w:sz="4" w:space="0" w:color="auto"/>
              <w:right w:val="single" w:sz="4" w:space="0" w:color="auto"/>
            </w:tcBorders>
            <w:vAlign w:val="center"/>
          </w:tcPr>
          <w:p w:rsidR="007D02A8" w:rsidRPr="00A722F1" w:rsidRDefault="007D02A8" w:rsidP="000E727E">
            <w:pPr>
              <w:spacing w:before="60" w:after="60" w:line="276" w:lineRule="auto"/>
              <w:jc w:val="right"/>
              <w:rPr>
                <w:noProof/>
                <w:sz w:val="20"/>
              </w:rPr>
            </w:pPr>
            <w:r>
              <w:rPr>
                <w:noProof/>
                <w:sz w:val="20"/>
              </w:rPr>
              <w:t>5,501</w:t>
            </w:r>
          </w:p>
        </w:tc>
        <w:tc>
          <w:tcPr>
            <w:tcW w:w="1625" w:type="dxa"/>
            <w:tcBorders>
              <w:top w:val="single" w:sz="4" w:space="0" w:color="auto"/>
              <w:left w:val="single" w:sz="4" w:space="0" w:color="auto"/>
              <w:bottom w:val="single" w:sz="4" w:space="0" w:color="auto"/>
              <w:right w:val="single" w:sz="4" w:space="0" w:color="auto"/>
            </w:tcBorders>
            <w:vAlign w:val="center"/>
          </w:tcPr>
          <w:p w:rsidR="007D02A8" w:rsidRPr="00A722F1" w:rsidRDefault="007D02A8" w:rsidP="000E727E">
            <w:pPr>
              <w:spacing w:before="60" w:after="60" w:line="276" w:lineRule="auto"/>
              <w:jc w:val="right"/>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D02A8" w:rsidRPr="00A722F1" w:rsidRDefault="007D02A8" w:rsidP="000E727E">
            <w:pPr>
              <w:spacing w:before="60" w:after="60" w:line="276" w:lineRule="auto"/>
              <w:jc w:val="right"/>
              <w:rPr>
                <w:b/>
                <w:noProof/>
                <w:sz w:val="20"/>
              </w:rPr>
            </w:pPr>
            <w:r>
              <w:rPr>
                <w:b/>
                <w:noProof/>
                <w:sz w:val="20"/>
              </w:rPr>
              <w:t>10,002</w:t>
            </w:r>
          </w:p>
        </w:tc>
      </w:tr>
    </w:tbl>
    <w:p w:rsidR="007D02A8" w:rsidRPr="00A722F1" w:rsidRDefault="007D02A8" w:rsidP="007D02A8">
      <w:pPr>
        <w:rPr>
          <w:noProof/>
        </w:rPr>
      </w:pPr>
    </w:p>
    <w:p w:rsidR="007D02A8" w:rsidRPr="00A722F1" w:rsidRDefault="007D02A8" w:rsidP="007D02A8">
      <w:pPr>
        <w:spacing w:before="0" w:after="200" w:line="276" w:lineRule="auto"/>
        <w:jc w:val="left"/>
        <w:rPr>
          <w:noProof/>
        </w:rPr>
      </w:pPr>
      <w:r w:rsidRPr="00A722F1">
        <w:rPr>
          <w:noProof/>
        </w:rPr>
        <w:br w:type="page"/>
      </w:r>
    </w:p>
    <w:bookmarkEnd w:id="35"/>
    <w:bookmarkEnd w:id="36"/>
    <w:p w:rsidR="007D02A8" w:rsidRPr="00A722F1" w:rsidRDefault="007D02A8" w:rsidP="007D02A8">
      <w:pPr>
        <w:pStyle w:val="ManualHeading3"/>
        <w:rPr>
          <w:bCs/>
          <w:noProof/>
          <w:szCs w:val="24"/>
        </w:rPr>
      </w:pPr>
      <w:r w:rsidRPr="00A722F1">
        <w:rPr>
          <w:noProof/>
        </w:rPr>
        <w:t>3.2.2.</w:t>
      </w:r>
      <w:r w:rsidRPr="00A722F1">
        <w:rPr>
          <w:noProof/>
        </w:rPr>
        <w:tab/>
        <w:t xml:space="preserve">Estimated output funded with operational appropriations </w:t>
      </w:r>
    </w:p>
    <w:p w:rsidR="007D02A8" w:rsidRPr="00A722F1" w:rsidRDefault="007D02A8" w:rsidP="007D02A8">
      <w:pPr>
        <w:jc w:val="right"/>
        <w:rPr>
          <w:noProof/>
          <w:sz w:val="20"/>
          <w:lang w:val="en-US"/>
        </w:rPr>
      </w:pPr>
      <w:r w:rsidRPr="00A722F1">
        <w:rPr>
          <w:noProof/>
          <w:sz w:val="20"/>
        </w:rPr>
        <w:t>Commitment appropriations in EUR million (to three decimal places)</w:t>
      </w:r>
      <w:r w:rsidRPr="00A722F1">
        <w:rPr>
          <w:noProof/>
          <w:sz w:val="20"/>
          <w:lang w:val="en-US"/>
        </w:rPr>
        <w:t>.</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1"/>
        <w:gridCol w:w="789"/>
        <w:gridCol w:w="540"/>
        <w:gridCol w:w="648"/>
        <w:gridCol w:w="432"/>
        <w:gridCol w:w="720"/>
        <w:gridCol w:w="540"/>
        <w:gridCol w:w="720"/>
        <w:gridCol w:w="720"/>
        <w:gridCol w:w="900"/>
      </w:tblGrid>
      <w:tr w:rsidR="007D02A8" w:rsidRPr="00A722F1" w:rsidTr="000E727E">
        <w:trPr>
          <w:jc w:val="center"/>
        </w:trPr>
        <w:tc>
          <w:tcPr>
            <w:tcW w:w="1423" w:type="dxa"/>
            <w:vMerge w:val="restart"/>
            <w:vAlign w:val="center"/>
          </w:tcPr>
          <w:p w:rsidR="007D02A8" w:rsidRPr="00A722F1" w:rsidRDefault="007D02A8" w:rsidP="000E727E">
            <w:pPr>
              <w:ind w:right="-29"/>
              <w:jc w:val="center"/>
              <w:rPr>
                <w:b/>
                <w:noProof/>
                <w:sz w:val="18"/>
                <w:szCs w:val="18"/>
              </w:rPr>
            </w:pPr>
            <w:r w:rsidRPr="00A722F1">
              <w:rPr>
                <w:b/>
                <w:noProof/>
                <w:sz w:val="18"/>
              </w:rPr>
              <w:t xml:space="preserve">Indicate objectives and outputs </w:t>
            </w:r>
          </w:p>
          <w:p w:rsidR="007D02A8" w:rsidRPr="00A722F1" w:rsidRDefault="007D02A8" w:rsidP="000E727E">
            <w:pPr>
              <w:ind w:right="-29"/>
              <w:jc w:val="center"/>
              <w:rPr>
                <w:b/>
                <w:noProof/>
                <w:sz w:val="18"/>
                <w:szCs w:val="18"/>
              </w:rPr>
            </w:pPr>
          </w:p>
          <w:p w:rsidR="007D02A8" w:rsidRPr="00A722F1" w:rsidRDefault="007D02A8" w:rsidP="000E727E">
            <w:pPr>
              <w:ind w:right="-29"/>
              <w:jc w:val="center"/>
              <w:rPr>
                <w:noProof/>
                <w:sz w:val="18"/>
                <w:szCs w:val="18"/>
              </w:rPr>
            </w:pPr>
            <w:r w:rsidRPr="00A722F1">
              <w:rPr>
                <w:noProof/>
                <w:sz w:val="18"/>
              </w:rPr>
              <w:sym w:font="Wingdings" w:char="F0F2"/>
            </w:r>
          </w:p>
        </w:tc>
        <w:tc>
          <w:tcPr>
            <w:tcW w:w="720" w:type="dxa"/>
            <w:vAlign w:val="center"/>
          </w:tcPr>
          <w:p w:rsidR="007D02A8" w:rsidRPr="00A722F1" w:rsidRDefault="007D02A8" w:rsidP="000E727E">
            <w:pPr>
              <w:ind w:right="-29"/>
              <w:jc w:val="center"/>
              <w:rPr>
                <w:noProof/>
                <w:sz w:val="18"/>
                <w:szCs w:val="18"/>
              </w:rPr>
            </w:pPr>
          </w:p>
        </w:tc>
        <w:tc>
          <w:tcPr>
            <w:tcW w:w="701" w:type="dxa"/>
            <w:vAlign w:val="center"/>
          </w:tcPr>
          <w:p w:rsidR="007D02A8" w:rsidRPr="00A722F1" w:rsidRDefault="007D02A8" w:rsidP="000E727E">
            <w:pPr>
              <w:ind w:right="-29"/>
              <w:jc w:val="center"/>
              <w:rPr>
                <w:noProof/>
                <w:sz w:val="18"/>
                <w:szCs w:val="18"/>
              </w:rPr>
            </w:pPr>
          </w:p>
        </w:tc>
        <w:tc>
          <w:tcPr>
            <w:tcW w:w="1224" w:type="dxa"/>
            <w:gridSpan w:val="2"/>
            <w:tcBorders>
              <w:left w:val="nil"/>
            </w:tcBorders>
            <w:vAlign w:val="center"/>
          </w:tcPr>
          <w:p w:rsidR="007D02A8" w:rsidRPr="00A722F1" w:rsidRDefault="007D02A8" w:rsidP="000E727E">
            <w:pPr>
              <w:ind w:right="-29"/>
              <w:jc w:val="center"/>
              <w:rPr>
                <w:noProof/>
                <w:sz w:val="18"/>
                <w:szCs w:val="18"/>
              </w:rPr>
            </w:pPr>
            <w:r w:rsidRPr="00A722F1">
              <w:rPr>
                <w:b/>
                <w:noProof/>
                <w:sz w:val="18"/>
              </w:rPr>
              <w:t>2022</w:t>
            </w:r>
          </w:p>
        </w:tc>
        <w:tc>
          <w:tcPr>
            <w:tcW w:w="1260" w:type="dxa"/>
            <w:gridSpan w:val="2"/>
            <w:vAlign w:val="center"/>
          </w:tcPr>
          <w:p w:rsidR="007D02A8" w:rsidRPr="00A722F1" w:rsidRDefault="007D02A8" w:rsidP="000E727E">
            <w:pPr>
              <w:ind w:right="-29"/>
              <w:jc w:val="center"/>
              <w:rPr>
                <w:noProof/>
                <w:sz w:val="18"/>
                <w:szCs w:val="18"/>
              </w:rPr>
            </w:pPr>
            <w:r w:rsidRPr="00A722F1">
              <w:rPr>
                <w:noProof/>
                <w:sz w:val="18"/>
              </w:rPr>
              <w:t>2023</w:t>
            </w:r>
          </w:p>
        </w:tc>
        <w:tc>
          <w:tcPr>
            <w:tcW w:w="1440" w:type="dxa"/>
            <w:gridSpan w:val="2"/>
            <w:vAlign w:val="center"/>
          </w:tcPr>
          <w:p w:rsidR="007D02A8" w:rsidRPr="00A722F1" w:rsidRDefault="007D02A8" w:rsidP="000E727E">
            <w:pPr>
              <w:ind w:right="-29"/>
              <w:jc w:val="center"/>
              <w:rPr>
                <w:noProof/>
                <w:sz w:val="18"/>
                <w:szCs w:val="18"/>
              </w:rPr>
            </w:pPr>
            <w:r w:rsidRPr="00A722F1">
              <w:rPr>
                <w:noProof/>
                <w:sz w:val="18"/>
              </w:rPr>
              <w:t>2024</w:t>
            </w:r>
          </w:p>
        </w:tc>
        <w:tc>
          <w:tcPr>
            <w:tcW w:w="1620" w:type="dxa"/>
            <w:gridSpan w:val="2"/>
            <w:vAlign w:val="center"/>
          </w:tcPr>
          <w:p w:rsidR="007D02A8" w:rsidRPr="00A722F1" w:rsidRDefault="007D02A8" w:rsidP="000E727E">
            <w:pPr>
              <w:ind w:right="-29"/>
              <w:jc w:val="center"/>
              <w:rPr>
                <w:noProof/>
                <w:sz w:val="18"/>
                <w:szCs w:val="18"/>
              </w:rPr>
            </w:pPr>
            <w:r w:rsidRPr="00A722F1">
              <w:rPr>
                <w:noProof/>
                <w:sz w:val="18"/>
              </w:rPr>
              <w:t>2025</w:t>
            </w:r>
          </w:p>
        </w:tc>
        <w:tc>
          <w:tcPr>
            <w:tcW w:w="3600" w:type="dxa"/>
            <w:gridSpan w:val="6"/>
            <w:vAlign w:val="center"/>
          </w:tcPr>
          <w:p w:rsidR="007D02A8" w:rsidRPr="00A722F1" w:rsidRDefault="007D02A8" w:rsidP="000E727E">
            <w:pPr>
              <w:jc w:val="center"/>
              <w:rPr>
                <w:strike/>
                <w:noProof/>
                <w:sz w:val="18"/>
                <w:szCs w:val="18"/>
              </w:rPr>
            </w:pPr>
            <w:r w:rsidRPr="00A722F1">
              <w:rPr>
                <w:strike/>
                <w:noProof/>
                <w:sz w:val="18"/>
              </w:rPr>
              <w:t>Enter as many years as necessary to show the duration of the impact (see point 1.6)</w:t>
            </w:r>
          </w:p>
        </w:tc>
        <w:tc>
          <w:tcPr>
            <w:tcW w:w="1620" w:type="dxa"/>
            <w:gridSpan w:val="2"/>
            <w:tcBorders>
              <w:left w:val="nil"/>
              <w:bottom w:val="nil"/>
            </w:tcBorders>
            <w:vAlign w:val="center"/>
          </w:tcPr>
          <w:p w:rsidR="007D02A8" w:rsidRPr="00A722F1" w:rsidRDefault="007D02A8" w:rsidP="000E727E">
            <w:pPr>
              <w:ind w:right="-29"/>
              <w:jc w:val="center"/>
              <w:rPr>
                <w:noProof/>
                <w:sz w:val="18"/>
                <w:szCs w:val="18"/>
              </w:rPr>
            </w:pPr>
            <w:r w:rsidRPr="00A722F1">
              <w:rPr>
                <w:b/>
                <w:noProof/>
                <w:sz w:val="18"/>
              </w:rPr>
              <w:t>TOTAL</w:t>
            </w:r>
          </w:p>
        </w:tc>
      </w:tr>
      <w:tr w:rsidR="007D02A8" w:rsidRPr="00A722F1" w:rsidTr="000E727E">
        <w:trPr>
          <w:jc w:val="center"/>
        </w:trPr>
        <w:tc>
          <w:tcPr>
            <w:tcW w:w="1423" w:type="dxa"/>
            <w:vMerge/>
            <w:vAlign w:val="center"/>
          </w:tcPr>
          <w:p w:rsidR="007D02A8" w:rsidRPr="00A722F1" w:rsidRDefault="007D02A8" w:rsidP="000E727E">
            <w:pPr>
              <w:ind w:right="-29"/>
              <w:jc w:val="center"/>
              <w:rPr>
                <w:noProof/>
                <w:sz w:val="18"/>
                <w:szCs w:val="18"/>
              </w:rPr>
            </w:pPr>
          </w:p>
        </w:tc>
        <w:tc>
          <w:tcPr>
            <w:tcW w:w="12185" w:type="dxa"/>
            <w:gridSpan w:val="18"/>
            <w:vAlign w:val="center"/>
          </w:tcPr>
          <w:p w:rsidR="007D02A8" w:rsidRPr="00A722F1" w:rsidRDefault="007D02A8" w:rsidP="000E727E">
            <w:pPr>
              <w:spacing w:before="60" w:after="60"/>
              <w:ind w:right="-29"/>
              <w:jc w:val="center"/>
              <w:rPr>
                <w:noProof/>
                <w:sz w:val="18"/>
                <w:szCs w:val="18"/>
              </w:rPr>
            </w:pPr>
            <w:r w:rsidRPr="00A722F1">
              <w:rPr>
                <w:b/>
                <w:noProof/>
                <w:sz w:val="18"/>
              </w:rPr>
              <w:t>OUTPUTS</w:t>
            </w:r>
          </w:p>
        </w:tc>
      </w:tr>
      <w:tr w:rsidR="007D02A8" w:rsidRPr="00A722F1" w:rsidTr="000E727E">
        <w:trPr>
          <w:cantSplit/>
          <w:trHeight w:val="1134"/>
          <w:jc w:val="center"/>
        </w:trPr>
        <w:tc>
          <w:tcPr>
            <w:tcW w:w="1423" w:type="dxa"/>
            <w:vMerge/>
            <w:vAlign w:val="center"/>
          </w:tcPr>
          <w:p w:rsidR="007D02A8" w:rsidRPr="00A722F1" w:rsidRDefault="007D02A8" w:rsidP="000E727E">
            <w:pPr>
              <w:rPr>
                <w:noProof/>
                <w:sz w:val="18"/>
                <w:szCs w:val="18"/>
              </w:rPr>
            </w:pPr>
          </w:p>
        </w:tc>
        <w:tc>
          <w:tcPr>
            <w:tcW w:w="720" w:type="dxa"/>
            <w:vAlign w:val="center"/>
          </w:tcPr>
          <w:p w:rsidR="007D02A8" w:rsidRPr="00A722F1" w:rsidRDefault="007D02A8" w:rsidP="000E727E">
            <w:pPr>
              <w:jc w:val="center"/>
              <w:rPr>
                <w:noProof/>
                <w:sz w:val="18"/>
                <w:szCs w:val="18"/>
              </w:rPr>
            </w:pPr>
            <w:r w:rsidRPr="00A722F1">
              <w:rPr>
                <w:noProof/>
                <w:sz w:val="18"/>
              </w:rPr>
              <w:t>Type</w:t>
            </w:r>
            <w:r w:rsidRPr="00A722F1">
              <w:rPr>
                <w:rStyle w:val="FootnoteReference"/>
                <w:noProof/>
                <w:sz w:val="18"/>
              </w:rPr>
              <w:footnoteReference w:id="43"/>
            </w:r>
          </w:p>
          <w:p w:rsidR="007D02A8" w:rsidRPr="00A722F1" w:rsidRDefault="007D02A8" w:rsidP="000E727E">
            <w:pPr>
              <w:spacing w:before="0" w:after="0"/>
              <w:jc w:val="center"/>
              <w:rPr>
                <w:noProof/>
                <w:sz w:val="18"/>
                <w:szCs w:val="18"/>
              </w:rPr>
            </w:pPr>
          </w:p>
        </w:tc>
        <w:tc>
          <w:tcPr>
            <w:tcW w:w="701" w:type="dxa"/>
            <w:vAlign w:val="center"/>
          </w:tcPr>
          <w:p w:rsidR="007D02A8" w:rsidRPr="00A722F1" w:rsidRDefault="007D02A8" w:rsidP="000E727E">
            <w:pPr>
              <w:jc w:val="center"/>
              <w:rPr>
                <w:noProof/>
                <w:sz w:val="18"/>
                <w:szCs w:val="18"/>
              </w:rPr>
            </w:pPr>
            <w:r w:rsidRPr="00A722F1">
              <w:rPr>
                <w:noProof/>
                <w:sz w:val="18"/>
              </w:rPr>
              <w:t>Average cost</w:t>
            </w:r>
          </w:p>
        </w:tc>
        <w:tc>
          <w:tcPr>
            <w:tcW w:w="504" w:type="dxa"/>
            <w:tcBorders>
              <w:left w:val="nil"/>
              <w:right w:val="dashSmallGap" w:sz="4" w:space="0" w:color="auto"/>
            </w:tcBorders>
            <w:shd w:val="pct10" w:color="auto" w:fill="auto"/>
            <w:textDirection w:val="btLr"/>
            <w:vAlign w:val="center"/>
          </w:tcPr>
          <w:p w:rsidR="007D02A8" w:rsidRPr="00A722F1" w:rsidRDefault="007D02A8" w:rsidP="000E727E">
            <w:pPr>
              <w:ind w:left="113" w:right="113"/>
              <w:jc w:val="center"/>
              <w:rPr>
                <w:noProof/>
                <w:sz w:val="18"/>
                <w:szCs w:val="18"/>
              </w:rPr>
            </w:pPr>
            <w:r w:rsidRPr="00A722F1">
              <w:rPr>
                <w:noProof/>
                <w:sz w:val="18"/>
              </w:rPr>
              <w:t>No</w:t>
            </w:r>
          </w:p>
        </w:tc>
        <w:tc>
          <w:tcPr>
            <w:tcW w:w="720" w:type="dxa"/>
            <w:tcBorders>
              <w:left w:val="dashSmallGap" w:sz="4" w:space="0" w:color="auto"/>
            </w:tcBorders>
            <w:shd w:val="pct10" w:color="auto" w:fill="auto"/>
            <w:vAlign w:val="center"/>
          </w:tcPr>
          <w:p w:rsidR="007D02A8" w:rsidRPr="00A722F1" w:rsidRDefault="007D02A8" w:rsidP="000E727E">
            <w:pPr>
              <w:jc w:val="center"/>
              <w:rPr>
                <w:noProof/>
                <w:sz w:val="18"/>
                <w:szCs w:val="18"/>
              </w:rPr>
            </w:pPr>
            <w:r w:rsidRPr="00A722F1">
              <w:rPr>
                <w:noProof/>
                <w:sz w:val="18"/>
              </w:rPr>
              <w:t>Cost</w:t>
            </w:r>
          </w:p>
        </w:tc>
        <w:tc>
          <w:tcPr>
            <w:tcW w:w="540" w:type="dxa"/>
            <w:tcBorders>
              <w:right w:val="dashSmallGap" w:sz="4" w:space="0" w:color="auto"/>
            </w:tcBorders>
            <w:shd w:val="pct10" w:color="auto" w:fill="auto"/>
            <w:textDirection w:val="btLr"/>
            <w:vAlign w:val="center"/>
          </w:tcPr>
          <w:p w:rsidR="007D02A8" w:rsidRPr="00A722F1" w:rsidRDefault="007D02A8" w:rsidP="000E727E">
            <w:pPr>
              <w:ind w:left="113" w:right="113"/>
              <w:jc w:val="center"/>
              <w:rPr>
                <w:noProof/>
                <w:sz w:val="18"/>
                <w:szCs w:val="18"/>
              </w:rPr>
            </w:pPr>
            <w:r w:rsidRPr="00A722F1">
              <w:rPr>
                <w:noProof/>
                <w:sz w:val="18"/>
              </w:rPr>
              <w:t>No</w:t>
            </w:r>
          </w:p>
        </w:tc>
        <w:tc>
          <w:tcPr>
            <w:tcW w:w="720" w:type="dxa"/>
            <w:tcBorders>
              <w:left w:val="dashSmallGap" w:sz="4" w:space="0" w:color="auto"/>
            </w:tcBorders>
            <w:shd w:val="pct10" w:color="auto" w:fill="auto"/>
            <w:vAlign w:val="center"/>
          </w:tcPr>
          <w:p w:rsidR="007D02A8" w:rsidRPr="00A722F1" w:rsidRDefault="007D02A8" w:rsidP="000E727E">
            <w:pPr>
              <w:jc w:val="center"/>
              <w:rPr>
                <w:noProof/>
                <w:sz w:val="18"/>
                <w:szCs w:val="18"/>
              </w:rPr>
            </w:pPr>
            <w:r w:rsidRPr="00A722F1">
              <w:rPr>
                <w:noProof/>
                <w:sz w:val="18"/>
              </w:rPr>
              <w:t>Cost</w:t>
            </w:r>
          </w:p>
        </w:tc>
        <w:tc>
          <w:tcPr>
            <w:tcW w:w="720" w:type="dxa"/>
            <w:tcBorders>
              <w:right w:val="dashSmallGap" w:sz="4" w:space="0" w:color="auto"/>
            </w:tcBorders>
            <w:shd w:val="pct10" w:color="auto" w:fill="auto"/>
            <w:textDirection w:val="btLr"/>
            <w:vAlign w:val="center"/>
          </w:tcPr>
          <w:p w:rsidR="007D02A8" w:rsidRPr="00A722F1" w:rsidRDefault="007D02A8" w:rsidP="000E727E">
            <w:pPr>
              <w:ind w:left="113" w:right="113"/>
              <w:jc w:val="center"/>
              <w:rPr>
                <w:noProof/>
                <w:sz w:val="18"/>
                <w:szCs w:val="18"/>
              </w:rPr>
            </w:pPr>
            <w:r w:rsidRPr="00A722F1">
              <w:rPr>
                <w:noProof/>
                <w:sz w:val="18"/>
              </w:rPr>
              <w:t>No</w:t>
            </w:r>
          </w:p>
        </w:tc>
        <w:tc>
          <w:tcPr>
            <w:tcW w:w="720" w:type="dxa"/>
            <w:tcBorders>
              <w:left w:val="dashSmallGap" w:sz="4" w:space="0" w:color="auto"/>
            </w:tcBorders>
            <w:shd w:val="pct10" w:color="auto" w:fill="auto"/>
            <w:vAlign w:val="center"/>
          </w:tcPr>
          <w:p w:rsidR="007D02A8" w:rsidRPr="00A722F1" w:rsidRDefault="007D02A8" w:rsidP="000E727E">
            <w:pPr>
              <w:jc w:val="center"/>
              <w:rPr>
                <w:noProof/>
                <w:sz w:val="18"/>
                <w:szCs w:val="18"/>
              </w:rPr>
            </w:pPr>
            <w:r w:rsidRPr="00A722F1">
              <w:rPr>
                <w:noProof/>
                <w:sz w:val="18"/>
              </w:rPr>
              <w:t>Cost</w:t>
            </w:r>
          </w:p>
        </w:tc>
        <w:tc>
          <w:tcPr>
            <w:tcW w:w="831" w:type="dxa"/>
            <w:tcBorders>
              <w:right w:val="dashSmallGap" w:sz="4" w:space="0" w:color="auto"/>
            </w:tcBorders>
            <w:shd w:val="pct10" w:color="auto" w:fill="auto"/>
            <w:textDirection w:val="btLr"/>
            <w:vAlign w:val="center"/>
          </w:tcPr>
          <w:p w:rsidR="007D02A8" w:rsidRPr="00A722F1" w:rsidRDefault="007D02A8" w:rsidP="000E727E">
            <w:pPr>
              <w:ind w:left="113" w:right="113"/>
              <w:jc w:val="center"/>
              <w:rPr>
                <w:noProof/>
                <w:sz w:val="18"/>
                <w:szCs w:val="18"/>
              </w:rPr>
            </w:pPr>
            <w:r w:rsidRPr="00A722F1">
              <w:rPr>
                <w:noProof/>
                <w:sz w:val="18"/>
              </w:rPr>
              <w:t>No</w:t>
            </w:r>
          </w:p>
        </w:tc>
        <w:tc>
          <w:tcPr>
            <w:tcW w:w="789" w:type="dxa"/>
            <w:tcBorders>
              <w:left w:val="dashSmallGap" w:sz="4" w:space="0" w:color="auto"/>
            </w:tcBorders>
            <w:shd w:val="pct10" w:color="auto" w:fill="auto"/>
            <w:vAlign w:val="center"/>
          </w:tcPr>
          <w:p w:rsidR="007D02A8" w:rsidRPr="00A722F1" w:rsidRDefault="007D02A8" w:rsidP="000E727E">
            <w:pPr>
              <w:jc w:val="center"/>
              <w:rPr>
                <w:noProof/>
                <w:sz w:val="18"/>
                <w:szCs w:val="18"/>
              </w:rPr>
            </w:pPr>
            <w:r w:rsidRPr="00A722F1">
              <w:rPr>
                <w:noProof/>
                <w:sz w:val="18"/>
              </w:rPr>
              <w:t>Cost</w:t>
            </w:r>
          </w:p>
        </w:tc>
        <w:tc>
          <w:tcPr>
            <w:tcW w:w="540" w:type="dxa"/>
            <w:tcBorders>
              <w:right w:val="dashSmallGap" w:sz="4" w:space="0" w:color="auto"/>
            </w:tcBorders>
            <w:shd w:val="pct10" w:color="auto" w:fill="auto"/>
            <w:textDirection w:val="btLr"/>
            <w:vAlign w:val="center"/>
          </w:tcPr>
          <w:p w:rsidR="007D02A8" w:rsidRPr="00A722F1" w:rsidRDefault="007D02A8" w:rsidP="000E727E">
            <w:pPr>
              <w:ind w:left="113" w:right="113"/>
              <w:jc w:val="center"/>
              <w:rPr>
                <w:noProof/>
                <w:sz w:val="18"/>
                <w:szCs w:val="18"/>
              </w:rPr>
            </w:pPr>
            <w:r w:rsidRPr="00A722F1">
              <w:rPr>
                <w:noProof/>
                <w:sz w:val="18"/>
              </w:rPr>
              <w:t>No</w:t>
            </w:r>
          </w:p>
        </w:tc>
        <w:tc>
          <w:tcPr>
            <w:tcW w:w="648" w:type="dxa"/>
            <w:tcBorders>
              <w:left w:val="dashSmallGap" w:sz="4" w:space="0" w:color="auto"/>
            </w:tcBorders>
            <w:shd w:val="pct10" w:color="auto" w:fill="auto"/>
            <w:vAlign w:val="center"/>
          </w:tcPr>
          <w:p w:rsidR="007D02A8" w:rsidRPr="00A722F1" w:rsidRDefault="007D02A8" w:rsidP="000E727E">
            <w:pPr>
              <w:jc w:val="center"/>
              <w:rPr>
                <w:noProof/>
                <w:sz w:val="18"/>
                <w:szCs w:val="18"/>
              </w:rPr>
            </w:pPr>
            <w:r w:rsidRPr="00A722F1">
              <w:rPr>
                <w:noProof/>
                <w:sz w:val="18"/>
              </w:rPr>
              <w:t>Cost</w:t>
            </w:r>
          </w:p>
        </w:tc>
        <w:tc>
          <w:tcPr>
            <w:tcW w:w="432" w:type="dxa"/>
            <w:tcBorders>
              <w:right w:val="dashSmallGap" w:sz="4" w:space="0" w:color="auto"/>
            </w:tcBorders>
            <w:shd w:val="pct10" w:color="auto" w:fill="auto"/>
            <w:textDirection w:val="btLr"/>
            <w:vAlign w:val="center"/>
          </w:tcPr>
          <w:p w:rsidR="007D02A8" w:rsidRPr="00A722F1" w:rsidRDefault="007D02A8" w:rsidP="000E727E">
            <w:pPr>
              <w:ind w:left="113" w:right="113"/>
              <w:jc w:val="center"/>
              <w:rPr>
                <w:noProof/>
                <w:sz w:val="18"/>
                <w:szCs w:val="18"/>
              </w:rPr>
            </w:pPr>
            <w:r w:rsidRPr="00A722F1">
              <w:rPr>
                <w:noProof/>
                <w:sz w:val="18"/>
              </w:rPr>
              <w:t>No</w:t>
            </w:r>
          </w:p>
        </w:tc>
        <w:tc>
          <w:tcPr>
            <w:tcW w:w="720" w:type="dxa"/>
            <w:tcBorders>
              <w:left w:val="dashSmallGap" w:sz="4" w:space="0" w:color="auto"/>
            </w:tcBorders>
            <w:shd w:val="pct10" w:color="auto" w:fill="auto"/>
            <w:vAlign w:val="center"/>
          </w:tcPr>
          <w:p w:rsidR="007D02A8" w:rsidRPr="00A722F1" w:rsidRDefault="007D02A8" w:rsidP="000E727E">
            <w:pPr>
              <w:jc w:val="center"/>
              <w:rPr>
                <w:noProof/>
                <w:sz w:val="18"/>
                <w:szCs w:val="18"/>
              </w:rPr>
            </w:pPr>
            <w:r w:rsidRPr="00A722F1">
              <w:rPr>
                <w:noProof/>
                <w:sz w:val="18"/>
              </w:rPr>
              <w:t>Cost</w:t>
            </w:r>
          </w:p>
        </w:tc>
        <w:tc>
          <w:tcPr>
            <w:tcW w:w="540" w:type="dxa"/>
            <w:tcBorders>
              <w:right w:val="dashSmallGap" w:sz="4" w:space="0" w:color="auto"/>
            </w:tcBorders>
            <w:shd w:val="pct10" w:color="auto" w:fill="auto"/>
            <w:textDirection w:val="btLr"/>
            <w:vAlign w:val="center"/>
          </w:tcPr>
          <w:p w:rsidR="007D02A8" w:rsidRPr="00A722F1" w:rsidRDefault="007D02A8" w:rsidP="000E727E">
            <w:pPr>
              <w:ind w:left="113" w:right="113"/>
              <w:jc w:val="center"/>
              <w:rPr>
                <w:noProof/>
                <w:sz w:val="18"/>
                <w:szCs w:val="18"/>
              </w:rPr>
            </w:pPr>
            <w:r w:rsidRPr="00A722F1">
              <w:rPr>
                <w:noProof/>
                <w:sz w:val="18"/>
              </w:rPr>
              <w:t>No</w:t>
            </w:r>
          </w:p>
        </w:tc>
        <w:tc>
          <w:tcPr>
            <w:tcW w:w="720" w:type="dxa"/>
            <w:tcBorders>
              <w:left w:val="dashSmallGap" w:sz="4" w:space="0" w:color="auto"/>
            </w:tcBorders>
            <w:shd w:val="pct10" w:color="auto" w:fill="auto"/>
            <w:vAlign w:val="center"/>
          </w:tcPr>
          <w:p w:rsidR="007D02A8" w:rsidRPr="00A722F1" w:rsidRDefault="007D02A8" w:rsidP="000E727E">
            <w:pPr>
              <w:jc w:val="center"/>
              <w:rPr>
                <w:noProof/>
                <w:sz w:val="18"/>
                <w:szCs w:val="18"/>
              </w:rPr>
            </w:pPr>
            <w:r w:rsidRPr="00A722F1">
              <w:rPr>
                <w:noProof/>
                <w:sz w:val="18"/>
              </w:rPr>
              <w:t>Cost</w:t>
            </w:r>
          </w:p>
        </w:tc>
        <w:tc>
          <w:tcPr>
            <w:tcW w:w="720" w:type="dxa"/>
            <w:tcBorders>
              <w:right w:val="dashSmallGap" w:sz="4" w:space="0" w:color="auto"/>
            </w:tcBorders>
            <w:shd w:val="pct10" w:color="auto" w:fill="auto"/>
            <w:vAlign w:val="center"/>
          </w:tcPr>
          <w:p w:rsidR="007D02A8" w:rsidRPr="00A722F1" w:rsidRDefault="007D02A8" w:rsidP="000E727E">
            <w:pPr>
              <w:jc w:val="center"/>
              <w:rPr>
                <w:noProof/>
                <w:sz w:val="18"/>
                <w:szCs w:val="18"/>
              </w:rPr>
            </w:pPr>
            <w:r w:rsidRPr="00A722F1">
              <w:rPr>
                <w:noProof/>
                <w:sz w:val="18"/>
              </w:rPr>
              <w:t>Total No</w:t>
            </w:r>
          </w:p>
        </w:tc>
        <w:tc>
          <w:tcPr>
            <w:tcW w:w="900" w:type="dxa"/>
            <w:tcBorders>
              <w:left w:val="dashSmallGap" w:sz="4" w:space="0" w:color="auto"/>
            </w:tcBorders>
            <w:shd w:val="pct10" w:color="auto" w:fill="auto"/>
            <w:vAlign w:val="center"/>
          </w:tcPr>
          <w:p w:rsidR="007D02A8" w:rsidRPr="00A722F1" w:rsidRDefault="007D02A8" w:rsidP="000E727E">
            <w:pPr>
              <w:jc w:val="center"/>
              <w:rPr>
                <w:noProof/>
                <w:sz w:val="18"/>
                <w:szCs w:val="18"/>
              </w:rPr>
            </w:pPr>
            <w:r w:rsidRPr="00A722F1">
              <w:rPr>
                <w:noProof/>
                <w:sz w:val="18"/>
              </w:rPr>
              <w:t>Total cost</w:t>
            </w:r>
          </w:p>
        </w:tc>
      </w:tr>
      <w:tr w:rsidR="007D02A8" w:rsidRPr="00A722F1" w:rsidTr="000E727E">
        <w:trPr>
          <w:jc w:val="center"/>
        </w:trPr>
        <w:tc>
          <w:tcPr>
            <w:tcW w:w="13608" w:type="dxa"/>
            <w:gridSpan w:val="19"/>
            <w:vAlign w:val="center"/>
          </w:tcPr>
          <w:p w:rsidR="007D02A8" w:rsidRPr="00A722F1" w:rsidRDefault="007D02A8" w:rsidP="000E727E">
            <w:pPr>
              <w:spacing w:before="0" w:after="0"/>
              <w:ind w:right="-29"/>
              <w:jc w:val="left"/>
              <w:rPr>
                <w:noProof/>
                <w:sz w:val="18"/>
              </w:rPr>
            </w:pPr>
            <w:r w:rsidRPr="00A722F1">
              <w:rPr>
                <w:noProof/>
                <w:sz w:val="18"/>
              </w:rPr>
              <w:t>SPECIFIC OBJECTIVE No 1</w:t>
            </w:r>
          </w:p>
          <w:p w:rsidR="007D02A8" w:rsidRPr="00A722F1" w:rsidRDefault="007D02A8" w:rsidP="000E727E">
            <w:pPr>
              <w:spacing w:before="0" w:after="0"/>
              <w:ind w:right="-29"/>
              <w:jc w:val="left"/>
              <w:rPr>
                <w:noProof/>
                <w:sz w:val="18"/>
                <w:szCs w:val="18"/>
              </w:rPr>
            </w:pPr>
            <w:r w:rsidRPr="00A722F1">
              <w:rPr>
                <w:noProof/>
                <w:sz w:val="18"/>
              </w:rPr>
              <w:t xml:space="preserve">To continue the operations and maintenance of the EU Digital </w:t>
            </w:r>
            <w:r>
              <w:rPr>
                <w:noProof/>
                <w:sz w:val="18"/>
              </w:rPr>
              <w:t>COVID</w:t>
            </w:r>
            <w:r w:rsidRPr="00A722F1">
              <w:rPr>
                <w:noProof/>
                <w:sz w:val="18"/>
              </w:rPr>
              <w:t xml:space="preserve"> Certificate trust framework established </w:t>
            </w:r>
            <w:r>
              <w:rPr>
                <w:noProof/>
                <w:sz w:val="18"/>
              </w:rPr>
              <w:t>by</w:t>
            </w:r>
            <w:r w:rsidRPr="00A722F1">
              <w:rPr>
                <w:noProof/>
                <w:sz w:val="18"/>
              </w:rPr>
              <w:t xml:space="preserve"> Regulation (EU) 2021/953</w:t>
            </w:r>
          </w:p>
        </w:tc>
      </w:tr>
      <w:tr w:rsidR="007D02A8" w:rsidRPr="00A722F1" w:rsidTr="000E727E">
        <w:trPr>
          <w:trHeight w:hRule="exact" w:val="369"/>
          <w:jc w:val="center"/>
        </w:trPr>
        <w:tc>
          <w:tcPr>
            <w:tcW w:w="2143" w:type="dxa"/>
            <w:gridSpan w:val="2"/>
            <w:vAlign w:val="center"/>
          </w:tcPr>
          <w:p w:rsidR="007D02A8" w:rsidRPr="00A722F1" w:rsidRDefault="007D02A8" w:rsidP="000E727E">
            <w:pPr>
              <w:spacing w:before="0" w:after="0" w:line="276" w:lineRule="auto"/>
              <w:jc w:val="left"/>
              <w:rPr>
                <w:noProof/>
                <w:sz w:val="10"/>
              </w:rPr>
            </w:pPr>
            <w:r w:rsidRPr="00A722F1">
              <w:rPr>
                <w:noProof/>
                <w:sz w:val="10"/>
              </w:rPr>
              <w:t>Operations and maintenance of the trust framework</w:t>
            </w:r>
          </w:p>
        </w:tc>
        <w:tc>
          <w:tcPr>
            <w:tcW w:w="701" w:type="dxa"/>
          </w:tcPr>
          <w:p w:rsidR="007D02A8" w:rsidRPr="00A722F1" w:rsidRDefault="007D02A8" w:rsidP="000E727E">
            <w:pPr>
              <w:ind w:right="-29"/>
              <w:jc w:val="center"/>
              <w:rPr>
                <w:noProof/>
                <w:sz w:val="18"/>
                <w:szCs w:val="18"/>
              </w:rPr>
            </w:pPr>
          </w:p>
        </w:tc>
        <w:tc>
          <w:tcPr>
            <w:tcW w:w="504" w:type="dxa"/>
          </w:tcPr>
          <w:p w:rsidR="007D02A8" w:rsidRPr="00A722F1" w:rsidRDefault="007D02A8" w:rsidP="000E727E">
            <w:pPr>
              <w:ind w:right="-29"/>
              <w:jc w:val="center"/>
              <w:rPr>
                <w:noProof/>
                <w:sz w:val="18"/>
                <w:szCs w:val="18"/>
              </w:rPr>
            </w:pPr>
            <w:r w:rsidRPr="00A722F1">
              <w:rPr>
                <w:noProof/>
                <w:sz w:val="18"/>
                <w:szCs w:val="18"/>
              </w:rPr>
              <w:t>1</w:t>
            </w:r>
          </w:p>
        </w:tc>
        <w:tc>
          <w:tcPr>
            <w:tcW w:w="720" w:type="dxa"/>
          </w:tcPr>
          <w:p w:rsidR="007D02A8" w:rsidRPr="00A722F1" w:rsidRDefault="007D02A8" w:rsidP="000E727E">
            <w:pPr>
              <w:ind w:right="-29"/>
              <w:jc w:val="center"/>
              <w:rPr>
                <w:noProof/>
                <w:sz w:val="18"/>
                <w:szCs w:val="18"/>
              </w:rPr>
            </w:pPr>
            <w:r>
              <w:rPr>
                <w:noProof/>
                <w:sz w:val="18"/>
                <w:szCs w:val="18"/>
              </w:rPr>
              <w:t>3</w:t>
            </w:r>
            <w:r w:rsidRPr="00A722F1">
              <w:rPr>
                <w:noProof/>
                <w:sz w:val="18"/>
                <w:szCs w:val="18"/>
              </w:rPr>
              <w:t>,000</w:t>
            </w:r>
          </w:p>
        </w:tc>
        <w:tc>
          <w:tcPr>
            <w:tcW w:w="540" w:type="dxa"/>
          </w:tcPr>
          <w:p w:rsidR="007D02A8" w:rsidRPr="00A722F1" w:rsidRDefault="007D02A8" w:rsidP="000E727E">
            <w:pPr>
              <w:ind w:right="-29"/>
              <w:jc w:val="center"/>
              <w:rPr>
                <w:noProof/>
                <w:sz w:val="18"/>
                <w:szCs w:val="18"/>
              </w:rPr>
            </w:pPr>
          </w:p>
        </w:tc>
        <w:tc>
          <w:tcPr>
            <w:tcW w:w="720" w:type="dxa"/>
          </w:tcPr>
          <w:p w:rsidR="007D02A8" w:rsidRPr="00A722F1" w:rsidRDefault="007D02A8" w:rsidP="000E727E">
            <w:pPr>
              <w:ind w:right="-29"/>
              <w:jc w:val="center"/>
              <w:rPr>
                <w:noProof/>
                <w:sz w:val="18"/>
                <w:szCs w:val="18"/>
              </w:rPr>
            </w:pPr>
            <w:r>
              <w:rPr>
                <w:noProof/>
                <w:sz w:val="18"/>
                <w:szCs w:val="18"/>
              </w:rPr>
              <w:t>4</w:t>
            </w:r>
            <w:r w:rsidRPr="00A722F1">
              <w:rPr>
                <w:noProof/>
                <w:sz w:val="18"/>
                <w:szCs w:val="18"/>
              </w:rPr>
              <w:t>,000</w:t>
            </w:r>
          </w:p>
        </w:tc>
        <w:tc>
          <w:tcPr>
            <w:tcW w:w="720" w:type="dxa"/>
          </w:tcPr>
          <w:p w:rsidR="007D02A8" w:rsidRPr="00A722F1" w:rsidRDefault="007D02A8" w:rsidP="000E727E">
            <w:pPr>
              <w:ind w:right="-29"/>
              <w:jc w:val="center"/>
              <w:rPr>
                <w:noProof/>
                <w:sz w:val="18"/>
                <w:szCs w:val="18"/>
              </w:rPr>
            </w:pPr>
          </w:p>
        </w:tc>
        <w:tc>
          <w:tcPr>
            <w:tcW w:w="720" w:type="dxa"/>
          </w:tcPr>
          <w:p w:rsidR="007D02A8" w:rsidRPr="00A722F1" w:rsidRDefault="007D02A8" w:rsidP="000E727E">
            <w:pPr>
              <w:ind w:right="-29"/>
              <w:jc w:val="center"/>
              <w:rPr>
                <w:noProof/>
                <w:sz w:val="18"/>
                <w:szCs w:val="18"/>
              </w:rPr>
            </w:pPr>
          </w:p>
        </w:tc>
        <w:tc>
          <w:tcPr>
            <w:tcW w:w="831" w:type="dxa"/>
          </w:tcPr>
          <w:p w:rsidR="007D02A8" w:rsidRPr="00A722F1" w:rsidRDefault="007D02A8" w:rsidP="000E727E">
            <w:pPr>
              <w:ind w:right="-29"/>
              <w:jc w:val="center"/>
              <w:rPr>
                <w:noProof/>
                <w:sz w:val="18"/>
                <w:szCs w:val="18"/>
              </w:rPr>
            </w:pPr>
          </w:p>
        </w:tc>
        <w:tc>
          <w:tcPr>
            <w:tcW w:w="789" w:type="dxa"/>
          </w:tcPr>
          <w:p w:rsidR="007D02A8" w:rsidRPr="00A722F1" w:rsidRDefault="007D02A8" w:rsidP="000E727E">
            <w:pPr>
              <w:ind w:right="-29"/>
              <w:jc w:val="center"/>
              <w:rPr>
                <w:noProof/>
                <w:sz w:val="18"/>
                <w:szCs w:val="18"/>
              </w:rPr>
            </w:pPr>
          </w:p>
        </w:tc>
        <w:tc>
          <w:tcPr>
            <w:tcW w:w="540" w:type="dxa"/>
          </w:tcPr>
          <w:p w:rsidR="007D02A8" w:rsidRPr="00A722F1" w:rsidRDefault="007D02A8" w:rsidP="000E727E">
            <w:pPr>
              <w:ind w:right="-29"/>
              <w:jc w:val="center"/>
              <w:rPr>
                <w:noProof/>
                <w:sz w:val="18"/>
                <w:szCs w:val="18"/>
              </w:rPr>
            </w:pPr>
          </w:p>
        </w:tc>
        <w:tc>
          <w:tcPr>
            <w:tcW w:w="648" w:type="dxa"/>
          </w:tcPr>
          <w:p w:rsidR="007D02A8" w:rsidRPr="00A722F1" w:rsidRDefault="007D02A8" w:rsidP="000E727E">
            <w:pPr>
              <w:ind w:right="-29"/>
              <w:jc w:val="center"/>
              <w:rPr>
                <w:noProof/>
                <w:sz w:val="18"/>
                <w:szCs w:val="18"/>
              </w:rPr>
            </w:pPr>
          </w:p>
        </w:tc>
        <w:tc>
          <w:tcPr>
            <w:tcW w:w="432" w:type="dxa"/>
          </w:tcPr>
          <w:p w:rsidR="007D02A8" w:rsidRPr="00A722F1" w:rsidRDefault="007D02A8" w:rsidP="000E727E">
            <w:pPr>
              <w:ind w:right="-29"/>
              <w:jc w:val="center"/>
              <w:rPr>
                <w:noProof/>
                <w:sz w:val="18"/>
                <w:szCs w:val="18"/>
              </w:rPr>
            </w:pPr>
          </w:p>
        </w:tc>
        <w:tc>
          <w:tcPr>
            <w:tcW w:w="720" w:type="dxa"/>
          </w:tcPr>
          <w:p w:rsidR="007D02A8" w:rsidRPr="00A722F1" w:rsidRDefault="007D02A8" w:rsidP="000E727E">
            <w:pPr>
              <w:ind w:right="-29"/>
              <w:jc w:val="center"/>
              <w:rPr>
                <w:noProof/>
                <w:sz w:val="18"/>
                <w:szCs w:val="18"/>
              </w:rPr>
            </w:pPr>
          </w:p>
        </w:tc>
        <w:tc>
          <w:tcPr>
            <w:tcW w:w="540" w:type="dxa"/>
          </w:tcPr>
          <w:p w:rsidR="007D02A8" w:rsidRPr="00A722F1" w:rsidRDefault="007D02A8" w:rsidP="000E727E">
            <w:pPr>
              <w:ind w:right="-29"/>
              <w:jc w:val="center"/>
              <w:rPr>
                <w:noProof/>
                <w:sz w:val="18"/>
                <w:szCs w:val="18"/>
              </w:rPr>
            </w:pPr>
          </w:p>
        </w:tc>
        <w:tc>
          <w:tcPr>
            <w:tcW w:w="720" w:type="dxa"/>
          </w:tcPr>
          <w:p w:rsidR="007D02A8" w:rsidRPr="00A722F1" w:rsidRDefault="007D02A8" w:rsidP="000E727E">
            <w:pPr>
              <w:ind w:right="-29"/>
              <w:jc w:val="center"/>
              <w:rPr>
                <w:noProof/>
                <w:sz w:val="18"/>
                <w:szCs w:val="18"/>
              </w:rPr>
            </w:pPr>
          </w:p>
        </w:tc>
        <w:tc>
          <w:tcPr>
            <w:tcW w:w="720" w:type="dxa"/>
          </w:tcPr>
          <w:p w:rsidR="007D02A8" w:rsidRPr="00A722F1" w:rsidRDefault="007D02A8" w:rsidP="000E727E">
            <w:pPr>
              <w:ind w:right="-29"/>
              <w:jc w:val="center"/>
              <w:rPr>
                <w:noProof/>
                <w:sz w:val="18"/>
                <w:szCs w:val="18"/>
              </w:rPr>
            </w:pPr>
          </w:p>
        </w:tc>
        <w:tc>
          <w:tcPr>
            <w:tcW w:w="900" w:type="dxa"/>
          </w:tcPr>
          <w:p w:rsidR="007D02A8" w:rsidRPr="00A722F1" w:rsidRDefault="007D02A8" w:rsidP="000E727E">
            <w:pPr>
              <w:ind w:right="-29"/>
              <w:jc w:val="center"/>
              <w:rPr>
                <w:noProof/>
                <w:sz w:val="18"/>
                <w:szCs w:val="18"/>
              </w:rPr>
            </w:pPr>
            <w:r>
              <w:rPr>
                <w:noProof/>
                <w:sz w:val="18"/>
                <w:szCs w:val="18"/>
              </w:rPr>
              <w:t>7,000</w:t>
            </w:r>
          </w:p>
        </w:tc>
      </w:tr>
      <w:tr w:rsidR="007D02A8" w:rsidRPr="00A722F1" w:rsidTr="000E727E">
        <w:trPr>
          <w:jc w:val="center"/>
        </w:trPr>
        <w:tc>
          <w:tcPr>
            <w:tcW w:w="2844" w:type="dxa"/>
            <w:gridSpan w:val="3"/>
            <w:tcBorders>
              <w:bottom w:val="single" w:sz="12" w:space="0" w:color="auto"/>
            </w:tcBorders>
            <w:vAlign w:val="center"/>
          </w:tcPr>
          <w:p w:rsidR="007D02A8" w:rsidRPr="00A722F1" w:rsidRDefault="007D02A8" w:rsidP="000E727E">
            <w:pPr>
              <w:jc w:val="center"/>
              <w:rPr>
                <w:noProof/>
                <w:sz w:val="18"/>
                <w:szCs w:val="18"/>
              </w:rPr>
            </w:pPr>
            <w:r w:rsidRPr="00A722F1">
              <w:rPr>
                <w:noProof/>
                <w:sz w:val="18"/>
              </w:rPr>
              <w:t>Subtotal for specific objective No 1</w:t>
            </w:r>
          </w:p>
        </w:tc>
        <w:tc>
          <w:tcPr>
            <w:tcW w:w="504" w:type="dxa"/>
            <w:tcBorders>
              <w:bottom w:val="single" w:sz="12" w:space="0" w:color="auto"/>
            </w:tcBorders>
          </w:tcPr>
          <w:p w:rsidR="007D02A8" w:rsidRPr="00A722F1" w:rsidRDefault="007D02A8" w:rsidP="000E727E">
            <w:pPr>
              <w:ind w:right="-29"/>
              <w:jc w:val="center"/>
              <w:rPr>
                <w:noProof/>
                <w:sz w:val="18"/>
                <w:szCs w:val="18"/>
              </w:rPr>
            </w:pPr>
          </w:p>
        </w:tc>
        <w:tc>
          <w:tcPr>
            <w:tcW w:w="720" w:type="dxa"/>
            <w:tcBorders>
              <w:bottom w:val="single" w:sz="12" w:space="0" w:color="auto"/>
            </w:tcBorders>
          </w:tcPr>
          <w:p w:rsidR="007D02A8" w:rsidRPr="00A722F1" w:rsidRDefault="007D02A8" w:rsidP="000E727E">
            <w:pPr>
              <w:ind w:right="-29"/>
              <w:jc w:val="center"/>
              <w:rPr>
                <w:noProof/>
                <w:sz w:val="18"/>
                <w:szCs w:val="18"/>
              </w:rPr>
            </w:pPr>
            <w:r>
              <w:rPr>
                <w:noProof/>
                <w:sz w:val="18"/>
                <w:szCs w:val="18"/>
              </w:rPr>
              <w:t>3</w:t>
            </w:r>
            <w:r w:rsidRPr="00A722F1">
              <w:rPr>
                <w:noProof/>
                <w:sz w:val="18"/>
                <w:szCs w:val="18"/>
              </w:rPr>
              <w:t>,000</w:t>
            </w:r>
          </w:p>
        </w:tc>
        <w:tc>
          <w:tcPr>
            <w:tcW w:w="540" w:type="dxa"/>
            <w:tcBorders>
              <w:bottom w:val="single" w:sz="12" w:space="0" w:color="auto"/>
            </w:tcBorders>
          </w:tcPr>
          <w:p w:rsidR="007D02A8" w:rsidRPr="00A722F1" w:rsidRDefault="007D02A8" w:rsidP="000E727E">
            <w:pPr>
              <w:ind w:right="-29"/>
              <w:jc w:val="center"/>
              <w:rPr>
                <w:noProof/>
                <w:sz w:val="18"/>
                <w:szCs w:val="18"/>
              </w:rPr>
            </w:pPr>
          </w:p>
        </w:tc>
        <w:tc>
          <w:tcPr>
            <w:tcW w:w="720" w:type="dxa"/>
            <w:tcBorders>
              <w:bottom w:val="single" w:sz="12" w:space="0" w:color="auto"/>
            </w:tcBorders>
          </w:tcPr>
          <w:p w:rsidR="007D02A8" w:rsidRPr="00A722F1" w:rsidRDefault="007D02A8" w:rsidP="000E727E">
            <w:pPr>
              <w:ind w:right="-29"/>
              <w:jc w:val="center"/>
              <w:rPr>
                <w:noProof/>
                <w:sz w:val="18"/>
                <w:szCs w:val="18"/>
              </w:rPr>
            </w:pPr>
            <w:r>
              <w:rPr>
                <w:noProof/>
                <w:sz w:val="18"/>
                <w:szCs w:val="18"/>
              </w:rPr>
              <w:t>4</w:t>
            </w:r>
            <w:r w:rsidRPr="00A722F1">
              <w:rPr>
                <w:noProof/>
                <w:sz w:val="18"/>
                <w:szCs w:val="18"/>
              </w:rPr>
              <w:t>,000</w:t>
            </w:r>
          </w:p>
        </w:tc>
        <w:tc>
          <w:tcPr>
            <w:tcW w:w="720" w:type="dxa"/>
            <w:tcBorders>
              <w:bottom w:val="single" w:sz="12" w:space="0" w:color="auto"/>
            </w:tcBorders>
          </w:tcPr>
          <w:p w:rsidR="007D02A8" w:rsidRPr="00A722F1" w:rsidRDefault="007D02A8" w:rsidP="000E727E">
            <w:pPr>
              <w:ind w:right="-29"/>
              <w:jc w:val="center"/>
              <w:rPr>
                <w:noProof/>
                <w:sz w:val="18"/>
                <w:szCs w:val="18"/>
              </w:rPr>
            </w:pPr>
          </w:p>
        </w:tc>
        <w:tc>
          <w:tcPr>
            <w:tcW w:w="720" w:type="dxa"/>
            <w:tcBorders>
              <w:bottom w:val="single" w:sz="12" w:space="0" w:color="auto"/>
            </w:tcBorders>
          </w:tcPr>
          <w:p w:rsidR="007D02A8" w:rsidRPr="00A722F1" w:rsidRDefault="007D02A8" w:rsidP="000E727E">
            <w:pPr>
              <w:ind w:right="-29"/>
              <w:jc w:val="center"/>
              <w:rPr>
                <w:noProof/>
                <w:sz w:val="18"/>
                <w:szCs w:val="18"/>
              </w:rPr>
            </w:pPr>
          </w:p>
        </w:tc>
        <w:tc>
          <w:tcPr>
            <w:tcW w:w="831" w:type="dxa"/>
            <w:tcBorders>
              <w:bottom w:val="single" w:sz="12" w:space="0" w:color="auto"/>
            </w:tcBorders>
          </w:tcPr>
          <w:p w:rsidR="007D02A8" w:rsidRPr="00A722F1" w:rsidRDefault="007D02A8" w:rsidP="000E727E">
            <w:pPr>
              <w:ind w:right="-29"/>
              <w:jc w:val="center"/>
              <w:rPr>
                <w:noProof/>
                <w:sz w:val="18"/>
                <w:szCs w:val="18"/>
              </w:rPr>
            </w:pPr>
          </w:p>
        </w:tc>
        <w:tc>
          <w:tcPr>
            <w:tcW w:w="789" w:type="dxa"/>
            <w:tcBorders>
              <w:bottom w:val="single" w:sz="12" w:space="0" w:color="auto"/>
            </w:tcBorders>
          </w:tcPr>
          <w:p w:rsidR="007D02A8" w:rsidRPr="00A722F1" w:rsidRDefault="007D02A8" w:rsidP="000E727E">
            <w:pPr>
              <w:ind w:right="-29"/>
              <w:jc w:val="center"/>
              <w:rPr>
                <w:noProof/>
                <w:sz w:val="18"/>
                <w:szCs w:val="18"/>
              </w:rPr>
            </w:pPr>
          </w:p>
        </w:tc>
        <w:tc>
          <w:tcPr>
            <w:tcW w:w="540" w:type="dxa"/>
            <w:tcBorders>
              <w:bottom w:val="single" w:sz="12" w:space="0" w:color="auto"/>
            </w:tcBorders>
          </w:tcPr>
          <w:p w:rsidR="007D02A8" w:rsidRPr="00A722F1" w:rsidRDefault="007D02A8" w:rsidP="000E727E">
            <w:pPr>
              <w:ind w:right="-29"/>
              <w:jc w:val="center"/>
              <w:rPr>
                <w:noProof/>
                <w:sz w:val="18"/>
                <w:szCs w:val="18"/>
              </w:rPr>
            </w:pPr>
          </w:p>
        </w:tc>
        <w:tc>
          <w:tcPr>
            <w:tcW w:w="648" w:type="dxa"/>
            <w:tcBorders>
              <w:bottom w:val="single" w:sz="12" w:space="0" w:color="auto"/>
            </w:tcBorders>
          </w:tcPr>
          <w:p w:rsidR="007D02A8" w:rsidRPr="00A722F1" w:rsidRDefault="007D02A8" w:rsidP="000E727E">
            <w:pPr>
              <w:ind w:right="-29"/>
              <w:jc w:val="center"/>
              <w:rPr>
                <w:noProof/>
                <w:sz w:val="18"/>
                <w:szCs w:val="18"/>
              </w:rPr>
            </w:pPr>
          </w:p>
        </w:tc>
        <w:tc>
          <w:tcPr>
            <w:tcW w:w="432" w:type="dxa"/>
            <w:tcBorders>
              <w:bottom w:val="single" w:sz="12" w:space="0" w:color="auto"/>
            </w:tcBorders>
          </w:tcPr>
          <w:p w:rsidR="007D02A8" w:rsidRPr="00A722F1" w:rsidRDefault="007D02A8" w:rsidP="000E727E">
            <w:pPr>
              <w:ind w:right="-29"/>
              <w:jc w:val="center"/>
              <w:rPr>
                <w:noProof/>
                <w:sz w:val="18"/>
                <w:szCs w:val="18"/>
              </w:rPr>
            </w:pPr>
          </w:p>
        </w:tc>
        <w:tc>
          <w:tcPr>
            <w:tcW w:w="720" w:type="dxa"/>
            <w:tcBorders>
              <w:bottom w:val="single" w:sz="12" w:space="0" w:color="auto"/>
            </w:tcBorders>
          </w:tcPr>
          <w:p w:rsidR="007D02A8" w:rsidRPr="00A722F1" w:rsidRDefault="007D02A8" w:rsidP="000E727E">
            <w:pPr>
              <w:ind w:right="-29"/>
              <w:jc w:val="center"/>
              <w:rPr>
                <w:noProof/>
                <w:sz w:val="18"/>
                <w:szCs w:val="18"/>
              </w:rPr>
            </w:pPr>
          </w:p>
        </w:tc>
        <w:tc>
          <w:tcPr>
            <w:tcW w:w="540" w:type="dxa"/>
            <w:tcBorders>
              <w:bottom w:val="single" w:sz="12" w:space="0" w:color="auto"/>
            </w:tcBorders>
          </w:tcPr>
          <w:p w:rsidR="007D02A8" w:rsidRPr="00A722F1" w:rsidRDefault="007D02A8" w:rsidP="000E727E">
            <w:pPr>
              <w:ind w:right="-29"/>
              <w:jc w:val="center"/>
              <w:rPr>
                <w:noProof/>
                <w:sz w:val="18"/>
                <w:szCs w:val="18"/>
              </w:rPr>
            </w:pPr>
          </w:p>
        </w:tc>
        <w:tc>
          <w:tcPr>
            <w:tcW w:w="720" w:type="dxa"/>
            <w:tcBorders>
              <w:bottom w:val="single" w:sz="12" w:space="0" w:color="auto"/>
            </w:tcBorders>
          </w:tcPr>
          <w:p w:rsidR="007D02A8" w:rsidRPr="00A722F1" w:rsidRDefault="007D02A8" w:rsidP="000E727E">
            <w:pPr>
              <w:ind w:right="-29"/>
              <w:jc w:val="center"/>
              <w:rPr>
                <w:noProof/>
                <w:sz w:val="18"/>
                <w:szCs w:val="18"/>
              </w:rPr>
            </w:pPr>
          </w:p>
        </w:tc>
        <w:tc>
          <w:tcPr>
            <w:tcW w:w="720" w:type="dxa"/>
            <w:tcBorders>
              <w:bottom w:val="single" w:sz="12" w:space="0" w:color="auto"/>
            </w:tcBorders>
          </w:tcPr>
          <w:p w:rsidR="007D02A8" w:rsidRPr="00A722F1" w:rsidRDefault="007D02A8" w:rsidP="000E727E">
            <w:pPr>
              <w:ind w:right="-29"/>
              <w:jc w:val="center"/>
              <w:rPr>
                <w:noProof/>
                <w:sz w:val="18"/>
                <w:szCs w:val="18"/>
              </w:rPr>
            </w:pPr>
          </w:p>
        </w:tc>
        <w:tc>
          <w:tcPr>
            <w:tcW w:w="900" w:type="dxa"/>
            <w:tcBorders>
              <w:bottom w:val="single" w:sz="12" w:space="0" w:color="auto"/>
            </w:tcBorders>
          </w:tcPr>
          <w:p w:rsidR="007D02A8" w:rsidRPr="00A722F1" w:rsidRDefault="007D02A8" w:rsidP="000E727E">
            <w:pPr>
              <w:ind w:right="-29"/>
              <w:jc w:val="center"/>
              <w:rPr>
                <w:noProof/>
                <w:sz w:val="18"/>
                <w:szCs w:val="18"/>
              </w:rPr>
            </w:pPr>
            <w:r>
              <w:rPr>
                <w:noProof/>
                <w:sz w:val="18"/>
                <w:szCs w:val="18"/>
              </w:rPr>
              <w:t>7,000</w:t>
            </w:r>
          </w:p>
        </w:tc>
      </w:tr>
      <w:tr w:rsidR="007D02A8" w:rsidRPr="00A722F1" w:rsidTr="000E727E">
        <w:trPr>
          <w:jc w:val="center"/>
        </w:trPr>
        <w:tc>
          <w:tcPr>
            <w:tcW w:w="2844" w:type="dxa"/>
            <w:gridSpan w:val="3"/>
            <w:tcBorders>
              <w:top w:val="single" w:sz="12" w:space="0" w:color="auto"/>
              <w:left w:val="single" w:sz="12" w:space="0" w:color="auto"/>
              <w:bottom w:val="single" w:sz="12" w:space="0" w:color="auto"/>
            </w:tcBorders>
            <w:vAlign w:val="center"/>
          </w:tcPr>
          <w:p w:rsidR="007D02A8" w:rsidRPr="00A722F1" w:rsidRDefault="007D02A8" w:rsidP="000E727E">
            <w:pPr>
              <w:ind w:right="-29"/>
              <w:jc w:val="center"/>
              <w:rPr>
                <w:noProof/>
                <w:sz w:val="18"/>
                <w:szCs w:val="18"/>
              </w:rPr>
            </w:pPr>
            <w:r w:rsidRPr="00A722F1">
              <w:rPr>
                <w:b/>
                <w:noProof/>
                <w:sz w:val="18"/>
              </w:rPr>
              <w:t>TOTALS</w:t>
            </w:r>
          </w:p>
        </w:tc>
        <w:tc>
          <w:tcPr>
            <w:tcW w:w="504" w:type="dxa"/>
            <w:tcBorders>
              <w:top w:val="single" w:sz="12" w:space="0" w:color="auto"/>
              <w:bottom w:val="single" w:sz="12" w:space="0" w:color="auto"/>
            </w:tcBorders>
          </w:tcPr>
          <w:p w:rsidR="007D02A8" w:rsidRPr="00A722F1" w:rsidRDefault="007D02A8" w:rsidP="000E727E">
            <w:pPr>
              <w:spacing w:before="180" w:after="180"/>
              <w:ind w:right="-29"/>
              <w:jc w:val="center"/>
              <w:rPr>
                <w:noProof/>
                <w:sz w:val="18"/>
                <w:szCs w:val="18"/>
              </w:rPr>
            </w:pPr>
          </w:p>
        </w:tc>
        <w:tc>
          <w:tcPr>
            <w:tcW w:w="720" w:type="dxa"/>
            <w:tcBorders>
              <w:top w:val="single" w:sz="12" w:space="0" w:color="auto"/>
              <w:bottom w:val="single" w:sz="12" w:space="0" w:color="auto"/>
            </w:tcBorders>
          </w:tcPr>
          <w:p w:rsidR="007D02A8" w:rsidRPr="005E3A21" w:rsidRDefault="007D02A8" w:rsidP="000E727E">
            <w:pPr>
              <w:spacing w:before="180" w:after="180"/>
              <w:ind w:right="-29"/>
              <w:jc w:val="center"/>
              <w:rPr>
                <w:b/>
                <w:bCs/>
                <w:noProof/>
                <w:sz w:val="18"/>
                <w:szCs w:val="18"/>
              </w:rPr>
            </w:pPr>
            <w:r w:rsidRPr="005E3A21">
              <w:rPr>
                <w:b/>
                <w:bCs/>
                <w:noProof/>
                <w:sz w:val="18"/>
                <w:szCs w:val="18"/>
              </w:rPr>
              <w:t>3,000</w:t>
            </w:r>
          </w:p>
        </w:tc>
        <w:tc>
          <w:tcPr>
            <w:tcW w:w="540" w:type="dxa"/>
            <w:tcBorders>
              <w:top w:val="single" w:sz="12" w:space="0" w:color="auto"/>
              <w:bottom w:val="single" w:sz="12" w:space="0" w:color="auto"/>
            </w:tcBorders>
          </w:tcPr>
          <w:p w:rsidR="007D02A8" w:rsidRPr="005E3A21" w:rsidRDefault="007D02A8" w:rsidP="000E727E">
            <w:pPr>
              <w:spacing w:before="180" w:after="180"/>
              <w:ind w:right="-29"/>
              <w:jc w:val="center"/>
              <w:rPr>
                <w:b/>
                <w:bCs/>
                <w:noProof/>
                <w:sz w:val="18"/>
                <w:szCs w:val="18"/>
              </w:rPr>
            </w:pPr>
          </w:p>
        </w:tc>
        <w:tc>
          <w:tcPr>
            <w:tcW w:w="720" w:type="dxa"/>
            <w:tcBorders>
              <w:top w:val="single" w:sz="12" w:space="0" w:color="auto"/>
              <w:bottom w:val="single" w:sz="12" w:space="0" w:color="auto"/>
            </w:tcBorders>
          </w:tcPr>
          <w:p w:rsidR="007D02A8" w:rsidRPr="005E3A21" w:rsidRDefault="007D02A8" w:rsidP="000E727E">
            <w:pPr>
              <w:spacing w:before="180" w:after="180"/>
              <w:ind w:right="-29"/>
              <w:jc w:val="center"/>
              <w:rPr>
                <w:b/>
                <w:bCs/>
                <w:noProof/>
                <w:sz w:val="18"/>
                <w:szCs w:val="18"/>
              </w:rPr>
            </w:pPr>
            <w:r w:rsidRPr="005E3A21">
              <w:rPr>
                <w:b/>
                <w:bCs/>
                <w:noProof/>
                <w:sz w:val="18"/>
                <w:szCs w:val="18"/>
              </w:rPr>
              <w:t>4,000</w:t>
            </w:r>
          </w:p>
        </w:tc>
        <w:tc>
          <w:tcPr>
            <w:tcW w:w="720" w:type="dxa"/>
            <w:tcBorders>
              <w:top w:val="single" w:sz="12" w:space="0" w:color="auto"/>
              <w:bottom w:val="single" w:sz="12" w:space="0" w:color="auto"/>
            </w:tcBorders>
          </w:tcPr>
          <w:p w:rsidR="007D02A8" w:rsidRPr="005E3A21" w:rsidRDefault="007D02A8" w:rsidP="000E727E">
            <w:pPr>
              <w:spacing w:before="180" w:after="180"/>
              <w:ind w:right="-29"/>
              <w:jc w:val="center"/>
              <w:rPr>
                <w:b/>
                <w:bCs/>
                <w:noProof/>
                <w:sz w:val="18"/>
                <w:szCs w:val="18"/>
              </w:rPr>
            </w:pPr>
          </w:p>
        </w:tc>
        <w:tc>
          <w:tcPr>
            <w:tcW w:w="720" w:type="dxa"/>
            <w:tcBorders>
              <w:top w:val="single" w:sz="12" w:space="0" w:color="auto"/>
              <w:bottom w:val="single" w:sz="12" w:space="0" w:color="auto"/>
            </w:tcBorders>
          </w:tcPr>
          <w:p w:rsidR="007D02A8" w:rsidRPr="005E3A21" w:rsidRDefault="007D02A8" w:rsidP="000E727E">
            <w:pPr>
              <w:spacing w:before="180" w:after="180"/>
              <w:ind w:right="-29"/>
              <w:jc w:val="center"/>
              <w:rPr>
                <w:b/>
                <w:bCs/>
                <w:noProof/>
                <w:sz w:val="18"/>
                <w:szCs w:val="18"/>
              </w:rPr>
            </w:pPr>
          </w:p>
        </w:tc>
        <w:tc>
          <w:tcPr>
            <w:tcW w:w="831" w:type="dxa"/>
            <w:tcBorders>
              <w:top w:val="single" w:sz="12" w:space="0" w:color="auto"/>
              <w:bottom w:val="single" w:sz="12" w:space="0" w:color="auto"/>
            </w:tcBorders>
          </w:tcPr>
          <w:p w:rsidR="007D02A8" w:rsidRPr="005E3A21" w:rsidRDefault="007D02A8" w:rsidP="000E727E">
            <w:pPr>
              <w:spacing w:before="180" w:after="180"/>
              <w:ind w:right="-29"/>
              <w:jc w:val="center"/>
              <w:rPr>
                <w:b/>
                <w:bCs/>
                <w:noProof/>
                <w:sz w:val="18"/>
                <w:szCs w:val="18"/>
              </w:rPr>
            </w:pPr>
          </w:p>
        </w:tc>
        <w:tc>
          <w:tcPr>
            <w:tcW w:w="789" w:type="dxa"/>
            <w:tcBorders>
              <w:top w:val="single" w:sz="12" w:space="0" w:color="auto"/>
              <w:bottom w:val="single" w:sz="12" w:space="0" w:color="auto"/>
            </w:tcBorders>
          </w:tcPr>
          <w:p w:rsidR="007D02A8" w:rsidRPr="005E3A21" w:rsidRDefault="007D02A8" w:rsidP="000E727E">
            <w:pPr>
              <w:spacing w:before="180" w:after="180"/>
              <w:ind w:right="-29"/>
              <w:jc w:val="center"/>
              <w:rPr>
                <w:b/>
                <w:bCs/>
                <w:noProof/>
                <w:sz w:val="18"/>
                <w:szCs w:val="18"/>
              </w:rPr>
            </w:pPr>
          </w:p>
        </w:tc>
        <w:tc>
          <w:tcPr>
            <w:tcW w:w="540" w:type="dxa"/>
            <w:tcBorders>
              <w:top w:val="single" w:sz="12" w:space="0" w:color="auto"/>
              <w:bottom w:val="single" w:sz="12" w:space="0" w:color="auto"/>
            </w:tcBorders>
          </w:tcPr>
          <w:p w:rsidR="007D02A8" w:rsidRPr="005E3A21" w:rsidRDefault="007D02A8" w:rsidP="000E727E">
            <w:pPr>
              <w:spacing w:before="180" w:after="180"/>
              <w:ind w:right="-29"/>
              <w:jc w:val="center"/>
              <w:rPr>
                <w:b/>
                <w:bCs/>
                <w:noProof/>
                <w:sz w:val="18"/>
                <w:szCs w:val="18"/>
              </w:rPr>
            </w:pPr>
          </w:p>
        </w:tc>
        <w:tc>
          <w:tcPr>
            <w:tcW w:w="648" w:type="dxa"/>
            <w:tcBorders>
              <w:top w:val="single" w:sz="12" w:space="0" w:color="auto"/>
              <w:bottom w:val="single" w:sz="12" w:space="0" w:color="auto"/>
            </w:tcBorders>
          </w:tcPr>
          <w:p w:rsidR="007D02A8" w:rsidRPr="005E3A21" w:rsidRDefault="007D02A8" w:rsidP="000E727E">
            <w:pPr>
              <w:spacing w:before="180" w:after="180"/>
              <w:ind w:right="-29"/>
              <w:jc w:val="center"/>
              <w:rPr>
                <w:b/>
                <w:bCs/>
                <w:noProof/>
                <w:sz w:val="18"/>
                <w:szCs w:val="18"/>
              </w:rPr>
            </w:pPr>
          </w:p>
        </w:tc>
        <w:tc>
          <w:tcPr>
            <w:tcW w:w="432" w:type="dxa"/>
            <w:tcBorders>
              <w:top w:val="single" w:sz="12" w:space="0" w:color="auto"/>
              <w:bottom w:val="single" w:sz="12" w:space="0" w:color="auto"/>
            </w:tcBorders>
          </w:tcPr>
          <w:p w:rsidR="007D02A8" w:rsidRPr="005E3A21" w:rsidRDefault="007D02A8" w:rsidP="000E727E">
            <w:pPr>
              <w:spacing w:before="180" w:after="180"/>
              <w:ind w:right="-29"/>
              <w:jc w:val="center"/>
              <w:rPr>
                <w:b/>
                <w:bCs/>
                <w:noProof/>
                <w:sz w:val="18"/>
                <w:szCs w:val="18"/>
              </w:rPr>
            </w:pPr>
          </w:p>
        </w:tc>
        <w:tc>
          <w:tcPr>
            <w:tcW w:w="720" w:type="dxa"/>
            <w:tcBorders>
              <w:top w:val="single" w:sz="12" w:space="0" w:color="auto"/>
              <w:bottom w:val="single" w:sz="12" w:space="0" w:color="auto"/>
            </w:tcBorders>
          </w:tcPr>
          <w:p w:rsidR="007D02A8" w:rsidRPr="005E3A21" w:rsidRDefault="007D02A8" w:rsidP="000E727E">
            <w:pPr>
              <w:spacing w:before="180" w:after="180"/>
              <w:ind w:right="-29"/>
              <w:jc w:val="center"/>
              <w:rPr>
                <w:b/>
                <w:bCs/>
                <w:noProof/>
                <w:sz w:val="18"/>
                <w:szCs w:val="18"/>
              </w:rPr>
            </w:pPr>
          </w:p>
        </w:tc>
        <w:tc>
          <w:tcPr>
            <w:tcW w:w="540" w:type="dxa"/>
            <w:tcBorders>
              <w:top w:val="single" w:sz="12" w:space="0" w:color="auto"/>
              <w:bottom w:val="single" w:sz="12" w:space="0" w:color="auto"/>
            </w:tcBorders>
          </w:tcPr>
          <w:p w:rsidR="007D02A8" w:rsidRPr="005E3A21" w:rsidRDefault="007D02A8" w:rsidP="000E727E">
            <w:pPr>
              <w:spacing w:before="180" w:after="180"/>
              <w:ind w:right="-29"/>
              <w:jc w:val="center"/>
              <w:rPr>
                <w:b/>
                <w:bCs/>
                <w:noProof/>
                <w:sz w:val="18"/>
                <w:szCs w:val="18"/>
              </w:rPr>
            </w:pPr>
          </w:p>
        </w:tc>
        <w:tc>
          <w:tcPr>
            <w:tcW w:w="720" w:type="dxa"/>
            <w:tcBorders>
              <w:top w:val="single" w:sz="12" w:space="0" w:color="auto"/>
              <w:bottom w:val="single" w:sz="12" w:space="0" w:color="auto"/>
            </w:tcBorders>
          </w:tcPr>
          <w:p w:rsidR="007D02A8" w:rsidRPr="005E3A21" w:rsidRDefault="007D02A8" w:rsidP="000E727E">
            <w:pPr>
              <w:spacing w:before="180" w:after="180"/>
              <w:ind w:right="-29"/>
              <w:jc w:val="center"/>
              <w:rPr>
                <w:b/>
                <w:bCs/>
                <w:noProof/>
                <w:sz w:val="18"/>
                <w:szCs w:val="18"/>
              </w:rPr>
            </w:pPr>
          </w:p>
        </w:tc>
        <w:tc>
          <w:tcPr>
            <w:tcW w:w="720" w:type="dxa"/>
            <w:tcBorders>
              <w:top w:val="single" w:sz="12" w:space="0" w:color="auto"/>
              <w:bottom w:val="single" w:sz="12" w:space="0" w:color="auto"/>
            </w:tcBorders>
          </w:tcPr>
          <w:p w:rsidR="007D02A8" w:rsidRPr="005E3A21" w:rsidRDefault="007D02A8" w:rsidP="000E727E">
            <w:pPr>
              <w:spacing w:before="180" w:after="180"/>
              <w:ind w:right="-29"/>
              <w:jc w:val="center"/>
              <w:rPr>
                <w:b/>
                <w:bCs/>
                <w:noProof/>
                <w:sz w:val="18"/>
                <w:szCs w:val="18"/>
              </w:rPr>
            </w:pPr>
          </w:p>
        </w:tc>
        <w:tc>
          <w:tcPr>
            <w:tcW w:w="900" w:type="dxa"/>
            <w:tcBorders>
              <w:top w:val="single" w:sz="12" w:space="0" w:color="auto"/>
              <w:bottom w:val="single" w:sz="12" w:space="0" w:color="auto"/>
              <w:right w:val="single" w:sz="12" w:space="0" w:color="auto"/>
            </w:tcBorders>
          </w:tcPr>
          <w:p w:rsidR="007D02A8" w:rsidRPr="005E3A21" w:rsidRDefault="007D02A8" w:rsidP="000E727E">
            <w:pPr>
              <w:spacing w:before="180" w:after="180"/>
              <w:ind w:right="-29"/>
              <w:jc w:val="center"/>
              <w:rPr>
                <w:b/>
                <w:bCs/>
                <w:noProof/>
                <w:sz w:val="18"/>
                <w:szCs w:val="18"/>
              </w:rPr>
            </w:pPr>
            <w:r w:rsidRPr="005E3A21">
              <w:rPr>
                <w:b/>
                <w:bCs/>
                <w:noProof/>
                <w:sz w:val="18"/>
                <w:szCs w:val="18"/>
              </w:rPr>
              <w:t>7,000</w:t>
            </w:r>
          </w:p>
        </w:tc>
      </w:tr>
    </w:tbl>
    <w:p w:rsidR="007D02A8" w:rsidRPr="00A722F1" w:rsidRDefault="007D02A8" w:rsidP="007D02A8">
      <w:pPr>
        <w:rPr>
          <w:noProof/>
        </w:rPr>
        <w:sectPr w:rsidR="007D02A8" w:rsidRPr="00A722F1" w:rsidSect="00BD72CF">
          <w:headerReference w:type="default" r:id="rId12"/>
          <w:footerReference w:type="default" r:id="rId13"/>
          <w:headerReference w:type="first" r:id="rId14"/>
          <w:footerReference w:type="first" r:id="rId15"/>
          <w:pgSz w:w="16840" w:h="11907" w:orient="landscape" w:code="9"/>
          <w:pgMar w:top="1134" w:right="1418" w:bottom="567" w:left="1418" w:header="709" w:footer="709" w:gutter="0"/>
          <w:cols w:space="708"/>
          <w:docGrid w:linePitch="360"/>
        </w:sectPr>
      </w:pPr>
    </w:p>
    <w:p w:rsidR="007D02A8" w:rsidRPr="00A722F1" w:rsidRDefault="007D02A8" w:rsidP="007D02A8">
      <w:pPr>
        <w:pStyle w:val="ManualHeading3"/>
        <w:rPr>
          <w:bCs/>
          <w:noProof/>
          <w:szCs w:val="24"/>
        </w:rPr>
      </w:pPr>
      <w:bookmarkStart w:id="37" w:name="_Toc514938055"/>
      <w:bookmarkStart w:id="38" w:name="_Toc520485054"/>
      <w:r w:rsidRPr="00A722F1">
        <w:rPr>
          <w:noProof/>
        </w:rPr>
        <w:t>3.2.3.</w:t>
      </w:r>
      <w:r w:rsidRPr="00A722F1">
        <w:rPr>
          <w:noProof/>
        </w:rPr>
        <w:tab/>
        <w:t>Summary of estimated impact on administrative appropriations</w:t>
      </w:r>
      <w:bookmarkEnd w:id="37"/>
      <w:bookmarkEnd w:id="38"/>
      <w:r w:rsidRPr="00A722F1">
        <w:rPr>
          <w:noProof/>
        </w:rPr>
        <w:t xml:space="preserve"> </w:t>
      </w:r>
    </w:p>
    <w:p w:rsidR="007D02A8" w:rsidRPr="00A722F1" w:rsidRDefault="007D02A8" w:rsidP="007D02A8">
      <w:pPr>
        <w:pStyle w:val="ListDash1"/>
        <w:rPr>
          <w:noProof/>
        </w:rPr>
      </w:pPr>
      <w:r w:rsidRPr="00A722F1">
        <w:rPr>
          <w:noProof/>
        </w:rPr>
        <w:sym w:font="Wingdings" w:char="F0A8"/>
      </w:r>
      <w:r w:rsidRPr="00A722F1">
        <w:rPr>
          <w:noProof/>
        </w:rPr>
        <w:tab/>
        <w:t xml:space="preserve">The proposal/initiative does not require the use of appropriations of an administrative nature </w:t>
      </w:r>
    </w:p>
    <w:p w:rsidR="007D02A8" w:rsidRPr="00A722F1" w:rsidRDefault="007D02A8" w:rsidP="007D02A8">
      <w:pPr>
        <w:pStyle w:val="ListDash1"/>
        <w:rPr>
          <w:noProof/>
        </w:rPr>
      </w:pPr>
      <w:r w:rsidRPr="00A722F1">
        <w:rPr>
          <w:noProof/>
        </w:rPr>
        <w:sym w:font="Wingdings" w:char="F06E"/>
      </w:r>
      <w:r w:rsidRPr="00A722F1">
        <w:rPr>
          <w:noProof/>
        </w:rPr>
        <w:tab/>
        <w:t>The proposal/initiative requires the use of appropriations of an administrative nature, as explained below:</w:t>
      </w:r>
    </w:p>
    <w:p w:rsidR="007D02A8" w:rsidRPr="00A722F1" w:rsidRDefault="007D02A8" w:rsidP="007D02A8">
      <w:pPr>
        <w:jc w:val="right"/>
        <w:rPr>
          <w:noProof/>
          <w:sz w:val="20"/>
        </w:rPr>
      </w:pPr>
      <w:r w:rsidRPr="00A722F1">
        <w:rPr>
          <w:noProof/>
          <w:sz w:val="20"/>
        </w:rPr>
        <w:t>EUR million (to three decimal places)</w:t>
      </w:r>
    </w:p>
    <w:tbl>
      <w:tblPr>
        <w:tblW w:w="837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5"/>
        <w:gridCol w:w="1417"/>
        <w:gridCol w:w="1418"/>
        <w:gridCol w:w="1417"/>
        <w:gridCol w:w="1418"/>
      </w:tblGrid>
      <w:tr w:rsidR="007D02A8" w:rsidRPr="00A722F1" w:rsidTr="000E727E">
        <w:trPr>
          <w:trHeight w:val="585"/>
        </w:trPr>
        <w:tc>
          <w:tcPr>
            <w:tcW w:w="2705" w:type="dxa"/>
          </w:tcPr>
          <w:p w:rsidR="007D02A8" w:rsidRPr="00A722F1" w:rsidRDefault="007D02A8" w:rsidP="000E727E">
            <w:pPr>
              <w:spacing w:before="60" w:after="60" w:line="200" w:lineRule="exact"/>
              <w:rPr>
                <w:noProof/>
                <w:sz w:val="16"/>
                <w:szCs w:val="16"/>
              </w:rPr>
            </w:pPr>
          </w:p>
        </w:tc>
        <w:tc>
          <w:tcPr>
            <w:tcW w:w="1417" w:type="dxa"/>
            <w:vAlign w:val="center"/>
          </w:tcPr>
          <w:p w:rsidR="007D02A8" w:rsidRPr="00A722F1" w:rsidRDefault="007D02A8" w:rsidP="000E727E">
            <w:pPr>
              <w:spacing w:before="60" w:after="60" w:line="200" w:lineRule="exact"/>
              <w:jc w:val="center"/>
              <w:rPr>
                <w:noProof/>
                <w:sz w:val="16"/>
                <w:szCs w:val="16"/>
              </w:rPr>
            </w:pPr>
            <w:r w:rsidRPr="00A722F1">
              <w:rPr>
                <w:noProof/>
                <w:sz w:val="20"/>
              </w:rPr>
              <w:t>Year</w:t>
            </w:r>
            <w:r w:rsidRPr="00A722F1">
              <w:rPr>
                <w:noProof/>
                <w:sz w:val="22"/>
              </w:rPr>
              <w:br/>
            </w:r>
            <w:r w:rsidRPr="00A722F1">
              <w:rPr>
                <w:b/>
                <w:noProof/>
                <w:sz w:val="20"/>
              </w:rPr>
              <w:t>2022</w:t>
            </w:r>
          </w:p>
        </w:tc>
        <w:tc>
          <w:tcPr>
            <w:tcW w:w="1418" w:type="dxa"/>
            <w:vAlign w:val="center"/>
          </w:tcPr>
          <w:p w:rsidR="007D02A8" w:rsidRPr="00A722F1" w:rsidRDefault="007D02A8" w:rsidP="000E727E">
            <w:pPr>
              <w:spacing w:before="60" w:after="60" w:line="200" w:lineRule="exact"/>
              <w:jc w:val="center"/>
              <w:rPr>
                <w:noProof/>
                <w:sz w:val="16"/>
                <w:szCs w:val="16"/>
              </w:rPr>
            </w:pPr>
            <w:r w:rsidRPr="00A722F1">
              <w:rPr>
                <w:noProof/>
                <w:sz w:val="20"/>
              </w:rPr>
              <w:t>Year</w:t>
            </w:r>
            <w:r w:rsidRPr="00A722F1">
              <w:rPr>
                <w:noProof/>
                <w:sz w:val="22"/>
              </w:rPr>
              <w:br/>
            </w:r>
            <w:r w:rsidRPr="00A722F1">
              <w:rPr>
                <w:b/>
                <w:noProof/>
                <w:sz w:val="20"/>
              </w:rPr>
              <w:t>2023</w:t>
            </w:r>
          </w:p>
        </w:tc>
        <w:tc>
          <w:tcPr>
            <w:tcW w:w="1417" w:type="dxa"/>
            <w:vAlign w:val="center"/>
          </w:tcPr>
          <w:p w:rsidR="007D02A8" w:rsidRPr="00A722F1" w:rsidRDefault="007D02A8" w:rsidP="000E727E">
            <w:pPr>
              <w:spacing w:before="60" w:after="60" w:line="200" w:lineRule="exact"/>
              <w:jc w:val="center"/>
              <w:rPr>
                <w:noProof/>
                <w:sz w:val="16"/>
                <w:szCs w:val="16"/>
              </w:rPr>
            </w:pPr>
            <w:r w:rsidRPr="00A722F1">
              <w:rPr>
                <w:noProof/>
                <w:sz w:val="20"/>
              </w:rPr>
              <w:t>Year</w:t>
            </w:r>
            <w:r w:rsidRPr="00A722F1">
              <w:rPr>
                <w:noProof/>
                <w:sz w:val="22"/>
              </w:rPr>
              <w:br/>
            </w:r>
            <w:r w:rsidRPr="00A722F1">
              <w:rPr>
                <w:b/>
                <w:noProof/>
                <w:sz w:val="20"/>
              </w:rPr>
              <w:t>2024</w:t>
            </w:r>
          </w:p>
        </w:tc>
        <w:tc>
          <w:tcPr>
            <w:tcW w:w="1418" w:type="dxa"/>
            <w:vAlign w:val="center"/>
          </w:tcPr>
          <w:p w:rsidR="007D02A8" w:rsidRPr="00A722F1" w:rsidRDefault="007D02A8" w:rsidP="000E727E">
            <w:pPr>
              <w:spacing w:before="60" w:after="60" w:line="200" w:lineRule="exact"/>
              <w:jc w:val="center"/>
              <w:rPr>
                <w:b/>
                <w:noProof/>
                <w:sz w:val="16"/>
                <w:szCs w:val="16"/>
              </w:rPr>
            </w:pPr>
            <w:r w:rsidRPr="00A722F1">
              <w:rPr>
                <w:b/>
                <w:noProof/>
                <w:sz w:val="16"/>
              </w:rPr>
              <w:t>TOTAL</w:t>
            </w:r>
          </w:p>
        </w:tc>
      </w:tr>
    </w:tbl>
    <w:p w:rsidR="007D02A8" w:rsidRPr="00A722F1" w:rsidRDefault="007D02A8" w:rsidP="007D02A8">
      <w:pPr>
        <w:spacing w:line="200" w:lineRule="exact"/>
        <w:rPr>
          <w:noProof/>
          <w:sz w:val="16"/>
          <w:szCs w:val="16"/>
        </w:rPr>
      </w:pPr>
    </w:p>
    <w:tbl>
      <w:tblPr>
        <w:tblW w:w="837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5"/>
        <w:gridCol w:w="1417"/>
        <w:gridCol w:w="1418"/>
        <w:gridCol w:w="1417"/>
        <w:gridCol w:w="1418"/>
      </w:tblGrid>
      <w:tr w:rsidR="007D02A8" w:rsidRPr="00A722F1" w:rsidTr="000E727E">
        <w:trPr>
          <w:trHeight w:val="585"/>
        </w:trPr>
        <w:tc>
          <w:tcPr>
            <w:tcW w:w="2705" w:type="dxa"/>
            <w:shd w:val="clear" w:color="auto" w:fill="CCCCCC"/>
            <w:vAlign w:val="center"/>
          </w:tcPr>
          <w:p w:rsidR="007D02A8" w:rsidRPr="00A722F1" w:rsidRDefault="007D02A8" w:rsidP="000E727E">
            <w:pPr>
              <w:spacing w:before="60" w:after="60" w:line="200" w:lineRule="exact"/>
              <w:jc w:val="center"/>
              <w:rPr>
                <w:b/>
                <w:noProof/>
                <w:sz w:val="16"/>
                <w:szCs w:val="16"/>
              </w:rPr>
            </w:pPr>
            <w:r w:rsidRPr="00A722F1">
              <w:rPr>
                <w:b/>
                <w:noProof/>
                <w:sz w:val="16"/>
              </w:rPr>
              <w:t>HEADING 7</w:t>
            </w:r>
            <w:r w:rsidRPr="00A722F1">
              <w:rPr>
                <w:noProof/>
                <w:sz w:val="22"/>
              </w:rPr>
              <w:br/>
            </w:r>
            <w:r w:rsidRPr="00A722F1">
              <w:rPr>
                <w:b/>
                <w:noProof/>
                <w:sz w:val="16"/>
              </w:rPr>
              <w:t>of the multiannual financial framework</w:t>
            </w:r>
          </w:p>
        </w:tc>
        <w:tc>
          <w:tcPr>
            <w:tcW w:w="1417" w:type="dxa"/>
            <w:vAlign w:val="center"/>
          </w:tcPr>
          <w:p w:rsidR="007D02A8" w:rsidRPr="00A722F1" w:rsidRDefault="007D02A8" w:rsidP="000E727E">
            <w:pPr>
              <w:spacing w:before="60" w:after="60" w:line="200" w:lineRule="exact"/>
              <w:jc w:val="right"/>
              <w:rPr>
                <w:noProof/>
                <w:sz w:val="16"/>
                <w:szCs w:val="16"/>
              </w:rPr>
            </w:pPr>
          </w:p>
        </w:tc>
        <w:tc>
          <w:tcPr>
            <w:tcW w:w="1418" w:type="dxa"/>
            <w:vAlign w:val="center"/>
          </w:tcPr>
          <w:p w:rsidR="007D02A8" w:rsidRPr="00A722F1" w:rsidRDefault="007D02A8" w:rsidP="000E727E">
            <w:pPr>
              <w:spacing w:before="60" w:after="60" w:line="200" w:lineRule="exact"/>
              <w:jc w:val="right"/>
              <w:rPr>
                <w:noProof/>
                <w:sz w:val="16"/>
                <w:szCs w:val="16"/>
              </w:rPr>
            </w:pPr>
          </w:p>
        </w:tc>
        <w:tc>
          <w:tcPr>
            <w:tcW w:w="1417" w:type="dxa"/>
            <w:vAlign w:val="center"/>
          </w:tcPr>
          <w:p w:rsidR="007D02A8" w:rsidRPr="00A722F1" w:rsidRDefault="007D02A8" w:rsidP="000E727E">
            <w:pPr>
              <w:spacing w:before="60" w:after="60" w:line="200" w:lineRule="exact"/>
              <w:jc w:val="right"/>
              <w:rPr>
                <w:noProof/>
                <w:sz w:val="16"/>
                <w:szCs w:val="16"/>
              </w:rPr>
            </w:pPr>
          </w:p>
        </w:tc>
        <w:tc>
          <w:tcPr>
            <w:tcW w:w="1418" w:type="dxa"/>
            <w:vAlign w:val="center"/>
          </w:tcPr>
          <w:p w:rsidR="007D02A8" w:rsidRPr="00A722F1" w:rsidRDefault="007D02A8" w:rsidP="000E727E">
            <w:pPr>
              <w:spacing w:before="60" w:after="60" w:line="200" w:lineRule="exact"/>
              <w:jc w:val="right"/>
              <w:rPr>
                <w:b/>
                <w:noProof/>
                <w:sz w:val="16"/>
                <w:szCs w:val="16"/>
              </w:rPr>
            </w:pPr>
          </w:p>
        </w:tc>
      </w:tr>
      <w:tr w:rsidR="007D02A8" w:rsidRPr="00A722F1" w:rsidTr="000E727E">
        <w:trPr>
          <w:trHeight w:val="585"/>
        </w:trPr>
        <w:tc>
          <w:tcPr>
            <w:tcW w:w="2705" w:type="dxa"/>
            <w:vAlign w:val="center"/>
          </w:tcPr>
          <w:p w:rsidR="007D02A8" w:rsidRPr="00A722F1" w:rsidRDefault="007D02A8" w:rsidP="000E727E">
            <w:pPr>
              <w:spacing w:before="60" w:after="60" w:line="200" w:lineRule="exact"/>
              <w:ind w:left="72"/>
              <w:jc w:val="left"/>
              <w:rPr>
                <w:noProof/>
                <w:sz w:val="16"/>
                <w:szCs w:val="16"/>
              </w:rPr>
            </w:pPr>
            <w:r w:rsidRPr="00A722F1">
              <w:rPr>
                <w:noProof/>
                <w:sz w:val="16"/>
              </w:rPr>
              <w:t xml:space="preserve">Human resources </w:t>
            </w:r>
          </w:p>
        </w:tc>
        <w:tc>
          <w:tcPr>
            <w:tcW w:w="1417" w:type="dxa"/>
            <w:vAlign w:val="center"/>
          </w:tcPr>
          <w:p w:rsidR="007D02A8" w:rsidRPr="00A722F1" w:rsidRDefault="007D02A8" w:rsidP="000E727E">
            <w:pPr>
              <w:spacing w:before="60" w:after="60" w:line="200" w:lineRule="exact"/>
              <w:jc w:val="right"/>
              <w:rPr>
                <w:noProof/>
                <w:sz w:val="16"/>
                <w:szCs w:val="16"/>
              </w:rPr>
            </w:pPr>
            <w:r>
              <w:rPr>
                <w:noProof/>
                <w:sz w:val="20"/>
              </w:rPr>
              <w:t>1,501</w:t>
            </w:r>
          </w:p>
        </w:tc>
        <w:tc>
          <w:tcPr>
            <w:tcW w:w="1418" w:type="dxa"/>
            <w:vAlign w:val="center"/>
          </w:tcPr>
          <w:p w:rsidR="007D02A8" w:rsidRPr="00A722F1" w:rsidRDefault="007D02A8" w:rsidP="000E727E">
            <w:pPr>
              <w:spacing w:before="60" w:after="60" w:line="200" w:lineRule="exact"/>
              <w:jc w:val="right"/>
              <w:rPr>
                <w:noProof/>
                <w:sz w:val="16"/>
                <w:szCs w:val="16"/>
              </w:rPr>
            </w:pPr>
            <w:r>
              <w:rPr>
                <w:noProof/>
                <w:sz w:val="20"/>
              </w:rPr>
              <w:t>1,501</w:t>
            </w:r>
          </w:p>
        </w:tc>
        <w:tc>
          <w:tcPr>
            <w:tcW w:w="1417" w:type="dxa"/>
            <w:vAlign w:val="center"/>
          </w:tcPr>
          <w:p w:rsidR="007D02A8" w:rsidRPr="00A722F1" w:rsidRDefault="007D02A8" w:rsidP="000E727E">
            <w:pPr>
              <w:spacing w:before="60" w:after="60" w:line="200" w:lineRule="exact"/>
              <w:jc w:val="right"/>
              <w:rPr>
                <w:noProof/>
                <w:sz w:val="16"/>
                <w:szCs w:val="16"/>
              </w:rPr>
            </w:pPr>
          </w:p>
        </w:tc>
        <w:tc>
          <w:tcPr>
            <w:tcW w:w="1418" w:type="dxa"/>
            <w:vAlign w:val="center"/>
          </w:tcPr>
          <w:p w:rsidR="007D02A8" w:rsidRPr="00A722F1" w:rsidRDefault="007D02A8" w:rsidP="000E727E">
            <w:pPr>
              <w:spacing w:before="60" w:after="60" w:line="200" w:lineRule="exact"/>
              <w:jc w:val="right"/>
              <w:rPr>
                <w:b/>
                <w:noProof/>
                <w:sz w:val="16"/>
                <w:szCs w:val="16"/>
              </w:rPr>
            </w:pPr>
            <w:r>
              <w:rPr>
                <w:b/>
                <w:noProof/>
                <w:sz w:val="20"/>
              </w:rPr>
              <w:t>3,002</w:t>
            </w:r>
          </w:p>
        </w:tc>
      </w:tr>
      <w:tr w:rsidR="007D02A8" w:rsidRPr="00A722F1" w:rsidTr="000E727E">
        <w:trPr>
          <w:trHeight w:val="585"/>
        </w:trPr>
        <w:tc>
          <w:tcPr>
            <w:tcW w:w="2705" w:type="dxa"/>
            <w:vAlign w:val="center"/>
          </w:tcPr>
          <w:p w:rsidR="007D02A8" w:rsidRPr="00A722F1" w:rsidRDefault="007D02A8" w:rsidP="000E727E">
            <w:pPr>
              <w:spacing w:before="60" w:after="60" w:line="200" w:lineRule="exact"/>
              <w:ind w:left="72"/>
              <w:jc w:val="left"/>
              <w:rPr>
                <w:noProof/>
                <w:sz w:val="16"/>
                <w:szCs w:val="16"/>
              </w:rPr>
            </w:pPr>
            <w:r w:rsidRPr="00A722F1">
              <w:rPr>
                <w:noProof/>
                <w:sz w:val="16"/>
              </w:rPr>
              <w:t xml:space="preserve">Other administrative expenditure </w:t>
            </w:r>
          </w:p>
        </w:tc>
        <w:tc>
          <w:tcPr>
            <w:tcW w:w="1417" w:type="dxa"/>
            <w:vAlign w:val="center"/>
          </w:tcPr>
          <w:p w:rsidR="007D02A8" w:rsidRPr="00A722F1" w:rsidRDefault="007D02A8" w:rsidP="000E727E">
            <w:pPr>
              <w:spacing w:before="60" w:after="60" w:line="200" w:lineRule="exact"/>
              <w:jc w:val="right"/>
              <w:rPr>
                <w:noProof/>
                <w:sz w:val="16"/>
                <w:szCs w:val="16"/>
              </w:rPr>
            </w:pPr>
          </w:p>
        </w:tc>
        <w:tc>
          <w:tcPr>
            <w:tcW w:w="1418" w:type="dxa"/>
            <w:vAlign w:val="center"/>
          </w:tcPr>
          <w:p w:rsidR="007D02A8" w:rsidRPr="00A722F1" w:rsidRDefault="007D02A8" w:rsidP="000E727E">
            <w:pPr>
              <w:spacing w:before="60" w:after="60" w:line="200" w:lineRule="exact"/>
              <w:jc w:val="right"/>
              <w:rPr>
                <w:noProof/>
                <w:sz w:val="16"/>
                <w:szCs w:val="16"/>
              </w:rPr>
            </w:pPr>
          </w:p>
        </w:tc>
        <w:tc>
          <w:tcPr>
            <w:tcW w:w="1417" w:type="dxa"/>
            <w:vAlign w:val="center"/>
          </w:tcPr>
          <w:p w:rsidR="007D02A8" w:rsidRPr="00A722F1" w:rsidRDefault="007D02A8" w:rsidP="000E727E">
            <w:pPr>
              <w:spacing w:before="60" w:after="60" w:line="200" w:lineRule="exact"/>
              <w:jc w:val="right"/>
              <w:rPr>
                <w:noProof/>
                <w:sz w:val="16"/>
                <w:szCs w:val="16"/>
              </w:rPr>
            </w:pPr>
          </w:p>
        </w:tc>
        <w:tc>
          <w:tcPr>
            <w:tcW w:w="1418" w:type="dxa"/>
            <w:vAlign w:val="center"/>
          </w:tcPr>
          <w:p w:rsidR="007D02A8" w:rsidRPr="00A722F1" w:rsidRDefault="007D02A8" w:rsidP="000E727E">
            <w:pPr>
              <w:spacing w:before="60" w:after="60" w:line="200" w:lineRule="exact"/>
              <w:jc w:val="right"/>
              <w:rPr>
                <w:b/>
                <w:noProof/>
                <w:sz w:val="16"/>
                <w:szCs w:val="16"/>
              </w:rPr>
            </w:pPr>
          </w:p>
        </w:tc>
      </w:tr>
      <w:tr w:rsidR="007D02A8" w:rsidRPr="00A722F1" w:rsidTr="000E727E">
        <w:trPr>
          <w:trHeight w:val="585"/>
        </w:trPr>
        <w:tc>
          <w:tcPr>
            <w:tcW w:w="2705" w:type="dxa"/>
            <w:shd w:val="clear" w:color="auto" w:fill="CCCCCC"/>
            <w:vAlign w:val="center"/>
          </w:tcPr>
          <w:p w:rsidR="007D02A8" w:rsidRPr="00A722F1" w:rsidRDefault="007D02A8" w:rsidP="000E727E">
            <w:pPr>
              <w:spacing w:before="60" w:after="60" w:line="200" w:lineRule="exact"/>
              <w:jc w:val="center"/>
              <w:rPr>
                <w:b/>
                <w:noProof/>
                <w:sz w:val="16"/>
                <w:szCs w:val="16"/>
              </w:rPr>
            </w:pPr>
            <w:r w:rsidRPr="00A722F1">
              <w:rPr>
                <w:b/>
                <w:noProof/>
                <w:sz w:val="16"/>
              </w:rPr>
              <w:t>Subtotal HEADING 7</w:t>
            </w:r>
            <w:r w:rsidRPr="00A722F1">
              <w:rPr>
                <w:noProof/>
                <w:sz w:val="22"/>
              </w:rPr>
              <w:br/>
            </w:r>
            <w:r w:rsidRPr="00A722F1">
              <w:rPr>
                <w:b/>
                <w:noProof/>
                <w:sz w:val="16"/>
              </w:rPr>
              <w:t xml:space="preserve">of the multiannual financial framework </w:t>
            </w:r>
          </w:p>
        </w:tc>
        <w:tc>
          <w:tcPr>
            <w:tcW w:w="1417" w:type="dxa"/>
            <w:vAlign w:val="center"/>
          </w:tcPr>
          <w:p w:rsidR="007D02A8" w:rsidRPr="00A722F1" w:rsidRDefault="007D02A8" w:rsidP="000E727E">
            <w:pPr>
              <w:spacing w:before="60" w:after="60" w:line="200" w:lineRule="exact"/>
              <w:jc w:val="right"/>
              <w:rPr>
                <w:b/>
                <w:noProof/>
                <w:sz w:val="16"/>
                <w:szCs w:val="16"/>
              </w:rPr>
            </w:pPr>
            <w:r>
              <w:rPr>
                <w:noProof/>
                <w:sz w:val="20"/>
              </w:rPr>
              <w:t>1,501</w:t>
            </w:r>
          </w:p>
        </w:tc>
        <w:tc>
          <w:tcPr>
            <w:tcW w:w="1418" w:type="dxa"/>
            <w:vAlign w:val="center"/>
          </w:tcPr>
          <w:p w:rsidR="007D02A8" w:rsidRPr="00A722F1" w:rsidRDefault="007D02A8" w:rsidP="000E727E">
            <w:pPr>
              <w:spacing w:before="60" w:after="60" w:line="200" w:lineRule="exact"/>
              <w:jc w:val="right"/>
              <w:rPr>
                <w:noProof/>
                <w:sz w:val="16"/>
                <w:szCs w:val="16"/>
              </w:rPr>
            </w:pPr>
            <w:r>
              <w:rPr>
                <w:noProof/>
                <w:sz w:val="20"/>
              </w:rPr>
              <w:t>1,501</w:t>
            </w:r>
          </w:p>
        </w:tc>
        <w:tc>
          <w:tcPr>
            <w:tcW w:w="1417" w:type="dxa"/>
            <w:vAlign w:val="center"/>
          </w:tcPr>
          <w:p w:rsidR="007D02A8" w:rsidRPr="00A722F1" w:rsidRDefault="007D02A8" w:rsidP="000E727E">
            <w:pPr>
              <w:spacing w:before="60" w:after="60" w:line="200" w:lineRule="exact"/>
              <w:jc w:val="right"/>
              <w:rPr>
                <w:noProof/>
                <w:sz w:val="16"/>
                <w:szCs w:val="16"/>
              </w:rPr>
            </w:pPr>
          </w:p>
        </w:tc>
        <w:tc>
          <w:tcPr>
            <w:tcW w:w="1418" w:type="dxa"/>
            <w:vAlign w:val="center"/>
          </w:tcPr>
          <w:p w:rsidR="007D02A8" w:rsidRPr="00A722F1" w:rsidRDefault="007D02A8" w:rsidP="000E727E">
            <w:pPr>
              <w:spacing w:before="60" w:after="60" w:line="200" w:lineRule="exact"/>
              <w:jc w:val="right"/>
              <w:rPr>
                <w:b/>
                <w:noProof/>
                <w:sz w:val="16"/>
                <w:szCs w:val="16"/>
              </w:rPr>
            </w:pPr>
            <w:r>
              <w:rPr>
                <w:b/>
                <w:noProof/>
                <w:sz w:val="20"/>
              </w:rPr>
              <w:t>3,002</w:t>
            </w:r>
          </w:p>
        </w:tc>
      </w:tr>
    </w:tbl>
    <w:p w:rsidR="007D02A8" w:rsidRPr="00A722F1" w:rsidRDefault="007D02A8" w:rsidP="007D02A8">
      <w:pPr>
        <w:spacing w:line="200" w:lineRule="exact"/>
        <w:rPr>
          <w:noProof/>
          <w:sz w:val="16"/>
          <w:szCs w:val="16"/>
        </w:rPr>
      </w:pPr>
    </w:p>
    <w:tbl>
      <w:tblPr>
        <w:tblW w:w="837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5"/>
        <w:gridCol w:w="1417"/>
        <w:gridCol w:w="1418"/>
        <w:gridCol w:w="1417"/>
        <w:gridCol w:w="1418"/>
      </w:tblGrid>
      <w:tr w:rsidR="007D02A8" w:rsidRPr="00A722F1" w:rsidTr="000E727E">
        <w:trPr>
          <w:trHeight w:val="585"/>
        </w:trPr>
        <w:tc>
          <w:tcPr>
            <w:tcW w:w="2705" w:type="dxa"/>
            <w:shd w:val="clear" w:color="auto" w:fill="CCCCCC"/>
            <w:vAlign w:val="center"/>
          </w:tcPr>
          <w:p w:rsidR="007D02A8" w:rsidRPr="00A722F1" w:rsidRDefault="007D02A8" w:rsidP="000E727E">
            <w:pPr>
              <w:spacing w:before="60" w:after="60" w:line="200" w:lineRule="exact"/>
              <w:jc w:val="center"/>
              <w:rPr>
                <w:noProof/>
                <w:sz w:val="16"/>
                <w:szCs w:val="16"/>
              </w:rPr>
            </w:pPr>
            <w:r w:rsidRPr="00A722F1">
              <w:rPr>
                <w:b/>
                <w:noProof/>
                <w:sz w:val="16"/>
              </w:rPr>
              <w:t>Outside HEADING 7</w:t>
            </w:r>
            <w:r w:rsidRPr="00A722F1">
              <w:rPr>
                <w:rStyle w:val="FootnoteReference"/>
                <w:b/>
                <w:noProof/>
                <w:sz w:val="16"/>
              </w:rPr>
              <w:footnoteReference w:id="44"/>
            </w:r>
            <w:r w:rsidRPr="00A722F1">
              <w:rPr>
                <w:noProof/>
                <w:sz w:val="22"/>
              </w:rPr>
              <w:br/>
            </w:r>
            <w:r w:rsidRPr="00A722F1">
              <w:rPr>
                <w:b/>
                <w:noProof/>
                <w:sz w:val="16"/>
              </w:rPr>
              <w:t xml:space="preserve">of the multiannual financial framework </w:t>
            </w:r>
          </w:p>
          <w:p w:rsidR="007D02A8" w:rsidRPr="00A722F1" w:rsidRDefault="007D02A8" w:rsidP="000E727E">
            <w:pPr>
              <w:spacing w:before="0" w:after="0" w:line="200" w:lineRule="exact"/>
              <w:jc w:val="center"/>
              <w:rPr>
                <w:b/>
                <w:noProof/>
                <w:sz w:val="16"/>
                <w:szCs w:val="16"/>
              </w:rPr>
            </w:pPr>
          </w:p>
        </w:tc>
        <w:tc>
          <w:tcPr>
            <w:tcW w:w="1417" w:type="dxa"/>
            <w:vAlign w:val="center"/>
          </w:tcPr>
          <w:p w:rsidR="007D02A8" w:rsidRPr="00A722F1" w:rsidRDefault="007D02A8" w:rsidP="000E727E">
            <w:pPr>
              <w:spacing w:before="60" w:after="60" w:line="200" w:lineRule="exact"/>
              <w:jc w:val="right"/>
              <w:rPr>
                <w:noProof/>
                <w:sz w:val="16"/>
                <w:szCs w:val="16"/>
              </w:rPr>
            </w:pPr>
          </w:p>
        </w:tc>
        <w:tc>
          <w:tcPr>
            <w:tcW w:w="1418" w:type="dxa"/>
            <w:vAlign w:val="center"/>
          </w:tcPr>
          <w:p w:rsidR="007D02A8" w:rsidRPr="00A722F1" w:rsidRDefault="007D02A8" w:rsidP="000E727E">
            <w:pPr>
              <w:spacing w:before="60" w:after="60" w:line="200" w:lineRule="exact"/>
              <w:jc w:val="right"/>
              <w:rPr>
                <w:noProof/>
                <w:sz w:val="16"/>
                <w:szCs w:val="16"/>
              </w:rPr>
            </w:pPr>
          </w:p>
        </w:tc>
        <w:tc>
          <w:tcPr>
            <w:tcW w:w="1417" w:type="dxa"/>
            <w:vAlign w:val="center"/>
          </w:tcPr>
          <w:p w:rsidR="007D02A8" w:rsidRPr="00A722F1" w:rsidRDefault="007D02A8" w:rsidP="000E727E">
            <w:pPr>
              <w:spacing w:before="60" w:after="60" w:line="200" w:lineRule="exact"/>
              <w:jc w:val="right"/>
              <w:rPr>
                <w:noProof/>
                <w:sz w:val="16"/>
                <w:szCs w:val="16"/>
              </w:rPr>
            </w:pPr>
          </w:p>
        </w:tc>
        <w:tc>
          <w:tcPr>
            <w:tcW w:w="1418" w:type="dxa"/>
            <w:vAlign w:val="center"/>
          </w:tcPr>
          <w:p w:rsidR="007D02A8" w:rsidRPr="00A722F1" w:rsidRDefault="007D02A8" w:rsidP="000E727E">
            <w:pPr>
              <w:spacing w:before="60" w:after="60" w:line="200" w:lineRule="exact"/>
              <w:jc w:val="right"/>
              <w:rPr>
                <w:b/>
                <w:noProof/>
                <w:sz w:val="16"/>
                <w:szCs w:val="16"/>
              </w:rPr>
            </w:pPr>
          </w:p>
        </w:tc>
      </w:tr>
      <w:tr w:rsidR="007D02A8" w:rsidRPr="00A722F1" w:rsidTr="000E727E">
        <w:trPr>
          <w:trHeight w:val="585"/>
        </w:trPr>
        <w:tc>
          <w:tcPr>
            <w:tcW w:w="2705" w:type="dxa"/>
            <w:vAlign w:val="center"/>
          </w:tcPr>
          <w:p w:rsidR="007D02A8" w:rsidRPr="00A722F1" w:rsidRDefault="007D02A8" w:rsidP="000E727E">
            <w:pPr>
              <w:spacing w:before="60" w:after="60" w:line="200" w:lineRule="exact"/>
              <w:ind w:left="72"/>
              <w:jc w:val="left"/>
              <w:rPr>
                <w:noProof/>
                <w:sz w:val="16"/>
                <w:szCs w:val="16"/>
              </w:rPr>
            </w:pPr>
            <w:r w:rsidRPr="00A722F1">
              <w:rPr>
                <w:noProof/>
                <w:sz w:val="16"/>
              </w:rPr>
              <w:t xml:space="preserve">Human resources </w:t>
            </w:r>
          </w:p>
        </w:tc>
        <w:tc>
          <w:tcPr>
            <w:tcW w:w="1417" w:type="dxa"/>
            <w:vAlign w:val="center"/>
          </w:tcPr>
          <w:p w:rsidR="007D02A8" w:rsidRPr="00A722F1" w:rsidRDefault="007D02A8" w:rsidP="000E727E">
            <w:pPr>
              <w:spacing w:before="60" w:after="60" w:line="200" w:lineRule="exact"/>
              <w:jc w:val="right"/>
              <w:rPr>
                <w:noProof/>
                <w:sz w:val="16"/>
                <w:szCs w:val="16"/>
              </w:rPr>
            </w:pPr>
          </w:p>
        </w:tc>
        <w:tc>
          <w:tcPr>
            <w:tcW w:w="1418" w:type="dxa"/>
            <w:vAlign w:val="center"/>
          </w:tcPr>
          <w:p w:rsidR="007D02A8" w:rsidRPr="00A722F1" w:rsidRDefault="007D02A8" w:rsidP="000E727E">
            <w:pPr>
              <w:spacing w:before="60" w:after="60" w:line="200" w:lineRule="exact"/>
              <w:jc w:val="right"/>
              <w:rPr>
                <w:noProof/>
                <w:sz w:val="16"/>
                <w:szCs w:val="16"/>
              </w:rPr>
            </w:pPr>
          </w:p>
        </w:tc>
        <w:tc>
          <w:tcPr>
            <w:tcW w:w="1417" w:type="dxa"/>
            <w:vAlign w:val="center"/>
          </w:tcPr>
          <w:p w:rsidR="007D02A8" w:rsidRPr="00A722F1" w:rsidRDefault="007D02A8" w:rsidP="000E727E">
            <w:pPr>
              <w:spacing w:before="60" w:after="60" w:line="200" w:lineRule="exact"/>
              <w:jc w:val="right"/>
              <w:rPr>
                <w:noProof/>
                <w:sz w:val="16"/>
                <w:szCs w:val="16"/>
              </w:rPr>
            </w:pPr>
          </w:p>
        </w:tc>
        <w:tc>
          <w:tcPr>
            <w:tcW w:w="1418" w:type="dxa"/>
            <w:vAlign w:val="center"/>
          </w:tcPr>
          <w:p w:rsidR="007D02A8" w:rsidRPr="00A722F1" w:rsidRDefault="007D02A8" w:rsidP="000E727E">
            <w:pPr>
              <w:spacing w:before="60" w:after="60" w:line="200" w:lineRule="exact"/>
              <w:jc w:val="right"/>
              <w:rPr>
                <w:b/>
                <w:noProof/>
                <w:sz w:val="16"/>
                <w:szCs w:val="16"/>
              </w:rPr>
            </w:pPr>
          </w:p>
        </w:tc>
      </w:tr>
      <w:tr w:rsidR="007D02A8" w:rsidRPr="00A722F1" w:rsidTr="000E727E">
        <w:trPr>
          <w:trHeight w:val="585"/>
        </w:trPr>
        <w:tc>
          <w:tcPr>
            <w:tcW w:w="2705" w:type="dxa"/>
            <w:vAlign w:val="center"/>
          </w:tcPr>
          <w:p w:rsidR="007D02A8" w:rsidRPr="00A722F1" w:rsidRDefault="007D02A8" w:rsidP="000E727E">
            <w:pPr>
              <w:spacing w:before="60" w:after="60" w:line="200" w:lineRule="exact"/>
              <w:ind w:left="72"/>
              <w:jc w:val="left"/>
              <w:rPr>
                <w:noProof/>
                <w:sz w:val="16"/>
                <w:szCs w:val="16"/>
              </w:rPr>
            </w:pPr>
            <w:r w:rsidRPr="00A722F1">
              <w:rPr>
                <w:noProof/>
                <w:sz w:val="16"/>
              </w:rPr>
              <w:t xml:space="preserve">Other expenditure </w:t>
            </w:r>
            <w:r w:rsidRPr="00A722F1">
              <w:rPr>
                <w:noProof/>
                <w:sz w:val="22"/>
              </w:rPr>
              <w:br/>
            </w:r>
            <w:r w:rsidRPr="00A722F1">
              <w:rPr>
                <w:noProof/>
                <w:sz w:val="16"/>
              </w:rPr>
              <w:t>of an administrative nature</w:t>
            </w:r>
          </w:p>
        </w:tc>
        <w:tc>
          <w:tcPr>
            <w:tcW w:w="1417" w:type="dxa"/>
            <w:vAlign w:val="center"/>
          </w:tcPr>
          <w:p w:rsidR="007D02A8" w:rsidRPr="00A722F1" w:rsidRDefault="007D02A8" w:rsidP="000E727E">
            <w:pPr>
              <w:spacing w:before="60" w:after="60" w:line="200" w:lineRule="exact"/>
              <w:jc w:val="right"/>
              <w:rPr>
                <w:noProof/>
                <w:sz w:val="16"/>
                <w:szCs w:val="16"/>
              </w:rPr>
            </w:pPr>
          </w:p>
        </w:tc>
        <w:tc>
          <w:tcPr>
            <w:tcW w:w="1418" w:type="dxa"/>
            <w:vAlign w:val="center"/>
          </w:tcPr>
          <w:p w:rsidR="007D02A8" w:rsidRPr="00A722F1" w:rsidRDefault="007D02A8" w:rsidP="000E727E">
            <w:pPr>
              <w:spacing w:before="60" w:after="60" w:line="200" w:lineRule="exact"/>
              <w:jc w:val="right"/>
              <w:rPr>
                <w:noProof/>
                <w:sz w:val="16"/>
                <w:szCs w:val="16"/>
              </w:rPr>
            </w:pPr>
          </w:p>
        </w:tc>
        <w:tc>
          <w:tcPr>
            <w:tcW w:w="1417" w:type="dxa"/>
            <w:vAlign w:val="center"/>
          </w:tcPr>
          <w:p w:rsidR="007D02A8" w:rsidRPr="00A722F1" w:rsidRDefault="007D02A8" w:rsidP="000E727E">
            <w:pPr>
              <w:spacing w:before="60" w:after="60" w:line="200" w:lineRule="exact"/>
              <w:jc w:val="right"/>
              <w:rPr>
                <w:noProof/>
                <w:sz w:val="16"/>
                <w:szCs w:val="16"/>
              </w:rPr>
            </w:pPr>
          </w:p>
        </w:tc>
        <w:tc>
          <w:tcPr>
            <w:tcW w:w="1418" w:type="dxa"/>
            <w:vAlign w:val="center"/>
          </w:tcPr>
          <w:p w:rsidR="007D02A8" w:rsidRPr="00A722F1" w:rsidRDefault="007D02A8" w:rsidP="000E727E">
            <w:pPr>
              <w:spacing w:before="60" w:after="60" w:line="200" w:lineRule="exact"/>
              <w:jc w:val="right"/>
              <w:rPr>
                <w:b/>
                <w:noProof/>
                <w:sz w:val="16"/>
                <w:szCs w:val="16"/>
              </w:rPr>
            </w:pPr>
          </w:p>
        </w:tc>
      </w:tr>
      <w:tr w:rsidR="007D02A8" w:rsidRPr="00A722F1" w:rsidTr="000E727E">
        <w:trPr>
          <w:trHeight w:val="585"/>
        </w:trPr>
        <w:tc>
          <w:tcPr>
            <w:tcW w:w="2705" w:type="dxa"/>
            <w:shd w:val="clear" w:color="auto" w:fill="CCCCCC"/>
            <w:vAlign w:val="center"/>
          </w:tcPr>
          <w:p w:rsidR="007D02A8" w:rsidRPr="00A722F1" w:rsidRDefault="007D02A8" w:rsidP="000E727E">
            <w:pPr>
              <w:spacing w:before="60" w:after="60" w:line="200" w:lineRule="exact"/>
              <w:jc w:val="center"/>
              <w:rPr>
                <w:b/>
                <w:noProof/>
                <w:sz w:val="16"/>
                <w:szCs w:val="16"/>
              </w:rPr>
            </w:pPr>
            <w:r w:rsidRPr="00A722F1">
              <w:rPr>
                <w:b/>
                <w:noProof/>
                <w:sz w:val="16"/>
              </w:rPr>
              <w:t xml:space="preserve">Subtotal </w:t>
            </w:r>
            <w:r w:rsidRPr="00A722F1">
              <w:rPr>
                <w:noProof/>
                <w:sz w:val="22"/>
              </w:rPr>
              <w:br/>
            </w:r>
            <w:r w:rsidRPr="00A722F1">
              <w:rPr>
                <w:b/>
                <w:noProof/>
                <w:sz w:val="16"/>
              </w:rPr>
              <w:t>outside HEADING 7</w:t>
            </w:r>
            <w:r w:rsidRPr="00A722F1">
              <w:rPr>
                <w:noProof/>
                <w:sz w:val="22"/>
              </w:rPr>
              <w:br/>
            </w:r>
            <w:r w:rsidRPr="00A722F1">
              <w:rPr>
                <w:b/>
                <w:noProof/>
                <w:sz w:val="16"/>
              </w:rPr>
              <w:t xml:space="preserve">of the multiannual financial framework </w:t>
            </w:r>
          </w:p>
        </w:tc>
        <w:tc>
          <w:tcPr>
            <w:tcW w:w="1417" w:type="dxa"/>
            <w:vAlign w:val="center"/>
          </w:tcPr>
          <w:p w:rsidR="007D02A8" w:rsidRPr="00A722F1" w:rsidRDefault="007D02A8" w:rsidP="000E727E">
            <w:pPr>
              <w:spacing w:before="60" w:after="60" w:line="200" w:lineRule="exact"/>
              <w:jc w:val="right"/>
              <w:rPr>
                <w:noProof/>
                <w:sz w:val="16"/>
                <w:szCs w:val="16"/>
              </w:rPr>
            </w:pPr>
          </w:p>
        </w:tc>
        <w:tc>
          <w:tcPr>
            <w:tcW w:w="1418" w:type="dxa"/>
            <w:vAlign w:val="center"/>
          </w:tcPr>
          <w:p w:rsidR="007D02A8" w:rsidRPr="00A722F1" w:rsidRDefault="007D02A8" w:rsidP="000E727E">
            <w:pPr>
              <w:spacing w:before="60" w:after="60" w:line="200" w:lineRule="exact"/>
              <w:jc w:val="right"/>
              <w:rPr>
                <w:noProof/>
                <w:sz w:val="16"/>
                <w:szCs w:val="16"/>
              </w:rPr>
            </w:pPr>
          </w:p>
        </w:tc>
        <w:tc>
          <w:tcPr>
            <w:tcW w:w="1417" w:type="dxa"/>
            <w:vAlign w:val="center"/>
          </w:tcPr>
          <w:p w:rsidR="007D02A8" w:rsidRPr="00A722F1" w:rsidRDefault="007D02A8" w:rsidP="000E727E">
            <w:pPr>
              <w:spacing w:before="60" w:after="60" w:line="200" w:lineRule="exact"/>
              <w:jc w:val="right"/>
              <w:rPr>
                <w:noProof/>
                <w:sz w:val="16"/>
                <w:szCs w:val="16"/>
              </w:rPr>
            </w:pPr>
          </w:p>
        </w:tc>
        <w:tc>
          <w:tcPr>
            <w:tcW w:w="1418" w:type="dxa"/>
            <w:vAlign w:val="center"/>
          </w:tcPr>
          <w:p w:rsidR="007D02A8" w:rsidRPr="00A722F1" w:rsidRDefault="007D02A8" w:rsidP="000E727E">
            <w:pPr>
              <w:spacing w:before="60" w:after="60" w:line="200" w:lineRule="exact"/>
              <w:jc w:val="right"/>
              <w:rPr>
                <w:b/>
                <w:noProof/>
                <w:sz w:val="16"/>
                <w:szCs w:val="16"/>
              </w:rPr>
            </w:pPr>
          </w:p>
        </w:tc>
      </w:tr>
    </w:tbl>
    <w:p w:rsidR="007D02A8" w:rsidRPr="00A722F1" w:rsidRDefault="007D02A8" w:rsidP="007D02A8">
      <w:pPr>
        <w:spacing w:line="200" w:lineRule="exact"/>
        <w:rPr>
          <w:noProof/>
          <w:sz w:val="16"/>
          <w:szCs w:val="16"/>
        </w:rPr>
      </w:pPr>
    </w:p>
    <w:tbl>
      <w:tblPr>
        <w:tblW w:w="8375" w:type="dxa"/>
        <w:tblInd w:w="-612" w:type="dxa"/>
        <w:tblLayout w:type="fixed"/>
        <w:tblLook w:val="01E0" w:firstRow="1" w:lastRow="1" w:firstColumn="1" w:lastColumn="1" w:noHBand="0" w:noVBand="0"/>
      </w:tblPr>
      <w:tblGrid>
        <w:gridCol w:w="2705"/>
        <w:gridCol w:w="1417"/>
        <w:gridCol w:w="1418"/>
        <w:gridCol w:w="1417"/>
        <w:gridCol w:w="1418"/>
      </w:tblGrid>
      <w:tr w:rsidR="007D02A8" w:rsidRPr="00A722F1" w:rsidTr="000E727E">
        <w:trPr>
          <w:trHeight w:val="585"/>
        </w:trPr>
        <w:tc>
          <w:tcPr>
            <w:tcW w:w="2705" w:type="dxa"/>
            <w:tcBorders>
              <w:top w:val="single" w:sz="12" w:space="0" w:color="auto"/>
              <w:left w:val="single" w:sz="12" w:space="0" w:color="auto"/>
              <w:bottom w:val="single" w:sz="12" w:space="0" w:color="auto"/>
              <w:right w:val="single" w:sz="2" w:space="0" w:color="auto"/>
            </w:tcBorders>
            <w:vAlign w:val="center"/>
          </w:tcPr>
          <w:p w:rsidR="007D02A8" w:rsidRPr="00A722F1" w:rsidRDefault="007D02A8" w:rsidP="000E727E">
            <w:pPr>
              <w:spacing w:before="60" w:after="60" w:line="200" w:lineRule="exact"/>
              <w:jc w:val="center"/>
              <w:rPr>
                <w:noProof/>
                <w:sz w:val="16"/>
                <w:szCs w:val="16"/>
              </w:rPr>
            </w:pPr>
            <w:r w:rsidRPr="00A722F1">
              <w:rPr>
                <w:b/>
                <w:noProof/>
                <w:sz w:val="16"/>
              </w:rPr>
              <w:t>TOTAL</w:t>
            </w:r>
          </w:p>
        </w:tc>
        <w:tc>
          <w:tcPr>
            <w:tcW w:w="1417" w:type="dxa"/>
            <w:tcBorders>
              <w:top w:val="single" w:sz="12" w:space="0" w:color="auto"/>
              <w:left w:val="single" w:sz="2" w:space="0" w:color="auto"/>
              <w:bottom w:val="single" w:sz="12" w:space="0" w:color="auto"/>
              <w:right w:val="single" w:sz="2" w:space="0" w:color="auto"/>
            </w:tcBorders>
            <w:vAlign w:val="center"/>
          </w:tcPr>
          <w:p w:rsidR="007D02A8" w:rsidRPr="00A722F1" w:rsidRDefault="007D02A8" w:rsidP="000E727E">
            <w:pPr>
              <w:spacing w:before="60" w:after="60" w:line="200" w:lineRule="exact"/>
              <w:jc w:val="right"/>
              <w:rPr>
                <w:b/>
                <w:noProof/>
                <w:sz w:val="16"/>
                <w:szCs w:val="16"/>
              </w:rPr>
            </w:pPr>
            <w:r>
              <w:rPr>
                <w:b/>
                <w:noProof/>
                <w:sz w:val="20"/>
              </w:rPr>
              <w:t>1,501</w:t>
            </w:r>
          </w:p>
        </w:tc>
        <w:tc>
          <w:tcPr>
            <w:tcW w:w="1418" w:type="dxa"/>
            <w:tcBorders>
              <w:top w:val="single" w:sz="12" w:space="0" w:color="auto"/>
              <w:left w:val="single" w:sz="2" w:space="0" w:color="auto"/>
              <w:bottom w:val="single" w:sz="12" w:space="0" w:color="auto"/>
              <w:right w:val="single" w:sz="2" w:space="0" w:color="auto"/>
            </w:tcBorders>
            <w:vAlign w:val="center"/>
          </w:tcPr>
          <w:p w:rsidR="007D02A8" w:rsidRPr="00A722F1" w:rsidRDefault="007D02A8" w:rsidP="000E727E">
            <w:pPr>
              <w:spacing w:before="60" w:after="60" w:line="200" w:lineRule="exact"/>
              <w:jc w:val="right"/>
              <w:rPr>
                <w:b/>
                <w:noProof/>
                <w:sz w:val="20"/>
              </w:rPr>
            </w:pPr>
            <w:r>
              <w:rPr>
                <w:b/>
                <w:noProof/>
                <w:sz w:val="20"/>
              </w:rPr>
              <w:t>1,501</w:t>
            </w:r>
          </w:p>
        </w:tc>
        <w:tc>
          <w:tcPr>
            <w:tcW w:w="1417" w:type="dxa"/>
            <w:tcBorders>
              <w:top w:val="single" w:sz="12" w:space="0" w:color="auto"/>
              <w:left w:val="single" w:sz="2" w:space="0" w:color="auto"/>
              <w:bottom w:val="single" w:sz="12" w:space="0" w:color="auto"/>
              <w:right w:val="single" w:sz="2" w:space="0" w:color="auto"/>
            </w:tcBorders>
            <w:vAlign w:val="center"/>
          </w:tcPr>
          <w:p w:rsidR="007D02A8" w:rsidRPr="00A722F1" w:rsidRDefault="007D02A8" w:rsidP="000E727E">
            <w:pPr>
              <w:spacing w:before="60" w:after="60" w:line="200" w:lineRule="exact"/>
              <w:jc w:val="right"/>
              <w:rPr>
                <w:b/>
                <w:noProof/>
                <w:sz w:val="16"/>
                <w:szCs w:val="16"/>
              </w:rPr>
            </w:pPr>
          </w:p>
        </w:tc>
        <w:tc>
          <w:tcPr>
            <w:tcW w:w="1418" w:type="dxa"/>
            <w:tcBorders>
              <w:top w:val="single" w:sz="12" w:space="0" w:color="auto"/>
              <w:left w:val="single" w:sz="2" w:space="0" w:color="auto"/>
              <w:bottom w:val="single" w:sz="12" w:space="0" w:color="auto"/>
              <w:right w:val="single" w:sz="12" w:space="0" w:color="auto"/>
            </w:tcBorders>
            <w:vAlign w:val="center"/>
          </w:tcPr>
          <w:p w:rsidR="007D02A8" w:rsidRPr="00A722F1" w:rsidRDefault="007D02A8" w:rsidP="000E727E">
            <w:pPr>
              <w:spacing w:before="60" w:after="60" w:line="200" w:lineRule="exact"/>
              <w:jc w:val="right"/>
              <w:rPr>
                <w:b/>
                <w:noProof/>
                <w:sz w:val="16"/>
                <w:szCs w:val="16"/>
              </w:rPr>
            </w:pPr>
            <w:r>
              <w:rPr>
                <w:b/>
                <w:noProof/>
                <w:sz w:val="20"/>
              </w:rPr>
              <w:t>3,002</w:t>
            </w:r>
          </w:p>
        </w:tc>
      </w:tr>
    </w:tbl>
    <w:p w:rsidR="007D02A8" w:rsidRPr="00A722F1" w:rsidRDefault="007D02A8" w:rsidP="007D02A8">
      <w:pPr>
        <w:rPr>
          <w:noProof/>
          <w:sz w:val="18"/>
          <w:szCs w:val="18"/>
        </w:rPr>
      </w:pPr>
      <w:r w:rsidRPr="00A722F1">
        <w:rPr>
          <w:noProof/>
          <w:sz w:val="18"/>
          <w:szCs w:val="18"/>
        </w:rPr>
        <w:t>The appropriations required for human resources and other expenditure of an administrative nature will be met by appropriations from the DGs that are already assigned to management of the action and/or have been redeployed within the DGs, together if necessary with any additional allocation which may be granted to the managing DGs under the annual allocation procedure and in the light of budgetary constraints.</w:t>
      </w:r>
    </w:p>
    <w:p w:rsidR="007D02A8" w:rsidRPr="00A722F1" w:rsidRDefault="007D02A8" w:rsidP="007D02A8">
      <w:pPr>
        <w:pStyle w:val="ListDash1"/>
        <w:rPr>
          <w:noProof/>
        </w:rPr>
        <w:sectPr w:rsidR="007D02A8" w:rsidRPr="00A722F1" w:rsidSect="00BD72CF">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p>
    <w:p w:rsidR="007D02A8" w:rsidRPr="00A722F1" w:rsidRDefault="007D02A8" w:rsidP="007D02A8">
      <w:pPr>
        <w:pStyle w:val="ManualHeading4"/>
        <w:rPr>
          <w:bCs/>
          <w:noProof/>
          <w:szCs w:val="24"/>
        </w:rPr>
      </w:pPr>
      <w:r w:rsidRPr="00A722F1">
        <w:rPr>
          <w:noProof/>
        </w:rPr>
        <w:t>3.2.3.1.</w:t>
      </w:r>
      <w:r w:rsidRPr="00A722F1">
        <w:rPr>
          <w:noProof/>
        </w:rPr>
        <w:tab/>
        <w:t xml:space="preserve">Estimated requirements of human resources </w:t>
      </w:r>
    </w:p>
    <w:p w:rsidR="007D02A8" w:rsidRPr="00A722F1" w:rsidRDefault="007D02A8" w:rsidP="007D02A8">
      <w:pPr>
        <w:pStyle w:val="ListDash1"/>
        <w:rPr>
          <w:noProof/>
        </w:rPr>
      </w:pPr>
      <w:r w:rsidRPr="00A722F1">
        <w:rPr>
          <w:noProof/>
        </w:rPr>
        <w:sym w:font="Wingdings" w:char="F0A8"/>
      </w:r>
      <w:r w:rsidRPr="00A722F1">
        <w:rPr>
          <w:noProof/>
        </w:rPr>
        <w:tab/>
        <w:t xml:space="preserve">The proposal/initiative does not require the use of human resources. </w:t>
      </w:r>
    </w:p>
    <w:p w:rsidR="007D02A8" w:rsidRPr="00A722F1" w:rsidRDefault="007D02A8" w:rsidP="007D02A8">
      <w:pPr>
        <w:pStyle w:val="ListDash1"/>
        <w:rPr>
          <w:noProof/>
        </w:rPr>
      </w:pPr>
      <w:r w:rsidRPr="00A722F1">
        <w:rPr>
          <w:noProof/>
        </w:rPr>
        <w:sym w:font="Wingdings" w:char="F06E"/>
      </w:r>
      <w:r w:rsidRPr="00A722F1">
        <w:rPr>
          <w:noProof/>
        </w:rPr>
        <w:tab/>
        <w:t>The proposal/initiative requires the use of human resources, as explained below:</w:t>
      </w:r>
    </w:p>
    <w:p w:rsidR="007D02A8" w:rsidRPr="00A722F1" w:rsidRDefault="007D02A8" w:rsidP="007D02A8">
      <w:pPr>
        <w:spacing w:after="60"/>
        <w:jc w:val="right"/>
        <w:rPr>
          <w:i/>
          <w:noProof/>
          <w:sz w:val="20"/>
        </w:rPr>
      </w:pPr>
      <w:r w:rsidRPr="00A722F1">
        <w:rPr>
          <w:i/>
          <w:noProof/>
          <w:sz w:val="20"/>
        </w:rPr>
        <w:t>Estimate to be expressed in full time equivalent units</w:t>
      </w:r>
      <w:r>
        <w:rPr>
          <w:i/>
          <w:noProof/>
          <w:sz w:val="20"/>
        </w:rPr>
        <w:t xml:space="preserve"> (FTE)</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270"/>
        <w:gridCol w:w="839"/>
        <w:gridCol w:w="731"/>
        <w:gridCol w:w="731"/>
        <w:gridCol w:w="731"/>
        <w:gridCol w:w="731"/>
        <w:gridCol w:w="731"/>
        <w:gridCol w:w="731"/>
      </w:tblGrid>
      <w:tr w:rsidR="007D02A8" w:rsidRPr="00A722F1" w:rsidTr="000E727E">
        <w:trPr>
          <w:gridBefore w:val="1"/>
          <w:wBefore w:w="15" w:type="dxa"/>
          <w:trHeight w:val="289"/>
          <w:jc w:val="center"/>
        </w:trPr>
        <w:tc>
          <w:tcPr>
            <w:tcW w:w="4646" w:type="dxa"/>
            <w:gridSpan w:val="2"/>
            <w:shd w:val="clear" w:color="auto" w:fill="auto"/>
          </w:tcPr>
          <w:p w:rsidR="007D02A8" w:rsidRPr="00A722F1" w:rsidRDefault="007D02A8" w:rsidP="000E727E">
            <w:pPr>
              <w:pStyle w:val="Text1"/>
              <w:spacing w:before="40" w:after="40"/>
              <w:ind w:left="0"/>
              <w:jc w:val="center"/>
              <w:rPr>
                <w:i/>
                <w:noProof/>
                <w:sz w:val="16"/>
                <w:szCs w:val="16"/>
              </w:rPr>
            </w:pPr>
          </w:p>
        </w:tc>
        <w:tc>
          <w:tcPr>
            <w:tcW w:w="839" w:type="dxa"/>
            <w:shd w:val="clear" w:color="auto" w:fill="auto"/>
            <w:vAlign w:val="center"/>
          </w:tcPr>
          <w:p w:rsidR="007D02A8" w:rsidRPr="00A722F1" w:rsidRDefault="007D02A8" w:rsidP="000E727E">
            <w:pPr>
              <w:spacing w:before="20" w:after="20"/>
              <w:jc w:val="center"/>
              <w:rPr>
                <w:noProof/>
                <w:sz w:val="16"/>
                <w:szCs w:val="16"/>
              </w:rPr>
            </w:pPr>
            <w:r w:rsidRPr="00A722F1">
              <w:rPr>
                <w:noProof/>
                <w:sz w:val="20"/>
              </w:rPr>
              <w:t>Year</w:t>
            </w:r>
            <w:r w:rsidRPr="00A722F1">
              <w:rPr>
                <w:noProof/>
                <w:sz w:val="22"/>
              </w:rPr>
              <w:br/>
            </w:r>
            <w:r w:rsidRPr="00A722F1">
              <w:rPr>
                <w:b/>
                <w:noProof/>
                <w:sz w:val="20"/>
              </w:rPr>
              <w:t>2022</w:t>
            </w:r>
          </w:p>
        </w:tc>
        <w:tc>
          <w:tcPr>
            <w:tcW w:w="731" w:type="dxa"/>
            <w:shd w:val="clear" w:color="auto" w:fill="auto"/>
            <w:vAlign w:val="center"/>
          </w:tcPr>
          <w:p w:rsidR="007D02A8" w:rsidRPr="00A722F1" w:rsidRDefault="007D02A8" w:rsidP="000E727E">
            <w:pPr>
              <w:spacing w:before="20" w:after="20"/>
              <w:jc w:val="center"/>
              <w:rPr>
                <w:noProof/>
                <w:sz w:val="16"/>
                <w:szCs w:val="16"/>
              </w:rPr>
            </w:pPr>
            <w:r w:rsidRPr="00A722F1">
              <w:rPr>
                <w:noProof/>
                <w:sz w:val="20"/>
              </w:rPr>
              <w:t>Year</w:t>
            </w:r>
            <w:r w:rsidRPr="00A722F1">
              <w:rPr>
                <w:noProof/>
                <w:sz w:val="22"/>
              </w:rPr>
              <w:br/>
            </w:r>
            <w:r w:rsidRPr="00A722F1">
              <w:rPr>
                <w:b/>
                <w:noProof/>
                <w:sz w:val="20"/>
              </w:rPr>
              <w:t>2023</w:t>
            </w:r>
          </w:p>
        </w:tc>
        <w:tc>
          <w:tcPr>
            <w:tcW w:w="731" w:type="dxa"/>
            <w:shd w:val="clear" w:color="auto" w:fill="auto"/>
            <w:vAlign w:val="center"/>
          </w:tcPr>
          <w:p w:rsidR="007D02A8" w:rsidRPr="00A722F1" w:rsidRDefault="007D02A8" w:rsidP="000E727E">
            <w:pPr>
              <w:spacing w:before="20" w:after="20"/>
              <w:jc w:val="center"/>
              <w:rPr>
                <w:noProof/>
                <w:sz w:val="16"/>
                <w:szCs w:val="16"/>
              </w:rPr>
            </w:pPr>
            <w:r w:rsidRPr="00A722F1">
              <w:rPr>
                <w:noProof/>
                <w:sz w:val="20"/>
              </w:rPr>
              <w:t>Year</w:t>
            </w:r>
            <w:r w:rsidRPr="00A722F1">
              <w:rPr>
                <w:noProof/>
                <w:sz w:val="22"/>
              </w:rPr>
              <w:br/>
            </w:r>
            <w:r w:rsidRPr="00A722F1">
              <w:rPr>
                <w:b/>
                <w:noProof/>
                <w:sz w:val="20"/>
              </w:rPr>
              <w:t>2024</w:t>
            </w:r>
          </w:p>
        </w:tc>
        <w:tc>
          <w:tcPr>
            <w:tcW w:w="731" w:type="dxa"/>
            <w:shd w:val="clear" w:color="auto" w:fill="auto"/>
            <w:vAlign w:val="center"/>
          </w:tcPr>
          <w:p w:rsidR="007D02A8" w:rsidRPr="00A722F1" w:rsidRDefault="007D02A8" w:rsidP="000E727E">
            <w:pPr>
              <w:spacing w:before="20" w:after="20"/>
              <w:jc w:val="center"/>
              <w:rPr>
                <w:noProof/>
                <w:sz w:val="16"/>
                <w:szCs w:val="16"/>
              </w:rPr>
            </w:pPr>
            <w:r w:rsidRPr="00A722F1">
              <w:rPr>
                <w:noProof/>
                <w:sz w:val="20"/>
              </w:rPr>
              <w:t>Year</w:t>
            </w:r>
            <w:r w:rsidRPr="00A722F1">
              <w:rPr>
                <w:noProof/>
                <w:sz w:val="22"/>
              </w:rPr>
              <w:br/>
            </w:r>
            <w:r w:rsidRPr="00A722F1">
              <w:rPr>
                <w:b/>
                <w:noProof/>
                <w:sz w:val="20"/>
              </w:rPr>
              <w:t>2025</w:t>
            </w:r>
          </w:p>
        </w:tc>
        <w:tc>
          <w:tcPr>
            <w:tcW w:w="2193" w:type="dxa"/>
            <w:gridSpan w:val="3"/>
            <w:shd w:val="clear" w:color="auto" w:fill="auto"/>
            <w:vAlign w:val="center"/>
          </w:tcPr>
          <w:p w:rsidR="007D02A8" w:rsidRPr="00A722F1" w:rsidRDefault="007D02A8" w:rsidP="000E727E">
            <w:pPr>
              <w:jc w:val="center"/>
              <w:rPr>
                <w:b/>
                <w:noProof/>
                <w:sz w:val="16"/>
                <w:szCs w:val="16"/>
              </w:rPr>
            </w:pPr>
            <w:r w:rsidRPr="00A722F1">
              <w:rPr>
                <w:noProof/>
                <w:sz w:val="16"/>
              </w:rPr>
              <w:t>Enter as many years as necessary to show the duration of the impact (see point 1.6)</w:t>
            </w:r>
          </w:p>
        </w:tc>
      </w:tr>
      <w:tr w:rsidR="007D02A8" w:rsidRPr="00A722F1" w:rsidTr="000E727E">
        <w:trPr>
          <w:gridBefore w:val="1"/>
          <w:wBefore w:w="15" w:type="dxa"/>
          <w:trHeight w:val="289"/>
          <w:jc w:val="center"/>
        </w:trPr>
        <w:tc>
          <w:tcPr>
            <w:tcW w:w="9871" w:type="dxa"/>
            <w:gridSpan w:val="9"/>
            <w:shd w:val="clear" w:color="auto" w:fill="auto"/>
          </w:tcPr>
          <w:p w:rsidR="007D02A8" w:rsidRPr="00A722F1" w:rsidRDefault="007D02A8" w:rsidP="000E727E">
            <w:pPr>
              <w:jc w:val="left"/>
              <w:rPr>
                <w:noProof/>
                <w:sz w:val="16"/>
                <w:szCs w:val="16"/>
              </w:rPr>
            </w:pPr>
            <w:r w:rsidRPr="00A722F1">
              <w:rPr>
                <w:b/>
                <w:noProof/>
                <w:sz w:val="16"/>
              </w:rPr>
              <w:sym w:font="Wingdings" w:char="F09F"/>
            </w:r>
            <w:r w:rsidRPr="00A722F1">
              <w:rPr>
                <w:b/>
                <w:noProof/>
                <w:sz w:val="16"/>
              </w:rPr>
              <w:t xml:space="preserve"> Establishment plan posts (officials and temporary staff)</w:t>
            </w:r>
          </w:p>
        </w:tc>
      </w:tr>
      <w:tr w:rsidR="007D02A8" w:rsidRPr="00A722F1" w:rsidTr="000E727E">
        <w:trPr>
          <w:gridBefore w:val="1"/>
          <w:wBefore w:w="15" w:type="dxa"/>
          <w:trHeight w:val="289"/>
          <w:jc w:val="center"/>
        </w:trPr>
        <w:tc>
          <w:tcPr>
            <w:tcW w:w="4646" w:type="dxa"/>
            <w:gridSpan w:val="2"/>
            <w:shd w:val="clear" w:color="auto" w:fill="auto"/>
            <w:vAlign w:val="center"/>
          </w:tcPr>
          <w:p w:rsidR="007D02A8" w:rsidRPr="00A722F1" w:rsidRDefault="007D02A8" w:rsidP="000E727E">
            <w:pPr>
              <w:pStyle w:val="Text1"/>
              <w:spacing w:beforeLines="20" w:before="48" w:afterLines="20" w:after="48"/>
              <w:ind w:left="134"/>
              <w:jc w:val="left"/>
              <w:rPr>
                <w:b/>
                <w:noProof/>
                <w:sz w:val="16"/>
                <w:szCs w:val="16"/>
              </w:rPr>
            </w:pPr>
            <w:r w:rsidRPr="00A722F1">
              <w:rPr>
                <w:noProof/>
                <w:sz w:val="16"/>
              </w:rPr>
              <w:t>20 01 02 01</w:t>
            </w:r>
            <w:r w:rsidRPr="00A722F1">
              <w:rPr>
                <w:rFonts w:ascii="Arial Narrow" w:hAnsi="Arial Narrow"/>
                <w:noProof/>
                <w:color w:val="000000"/>
                <w:sz w:val="20"/>
                <w:szCs w:val="20"/>
              </w:rPr>
              <w:t xml:space="preserve"> </w:t>
            </w:r>
            <w:r w:rsidRPr="00A722F1">
              <w:rPr>
                <w:noProof/>
                <w:sz w:val="16"/>
              </w:rPr>
              <w:t>(Headquarters and Commission’s Representation Offices)</w:t>
            </w:r>
          </w:p>
        </w:tc>
        <w:tc>
          <w:tcPr>
            <w:tcW w:w="839" w:type="dxa"/>
            <w:shd w:val="clear" w:color="auto" w:fill="auto"/>
            <w:vAlign w:val="center"/>
          </w:tcPr>
          <w:p w:rsidR="007D02A8" w:rsidRPr="00A722F1" w:rsidRDefault="007D02A8" w:rsidP="000E727E">
            <w:pPr>
              <w:spacing w:beforeLines="20" w:before="48" w:afterLines="20" w:after="48"/>
              <w:jc w:val="center"/>
              <w:rPr>
                <w:noProof/>
                <w:sz w:val="16"/>
                <w:szCs w:val="16"/>
              </w:rPr>
            </w:pPr>
            <w:r>
              <w:rPr>
                <w:noProof/>
                <w:sz w:val="16"/>
                <w:szCs w:val="16"/>
              </w:rPr>
              <w:t>9</w:t>
            </w: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r>
              <w:rPr>
                <w:noProof/>
                <w:sz w:val="16"/>
                <w:szCs w:val="16"/>
              </w:rPr>
              <w:t>9</w:t>
            </w: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r>
      <w:tr w:rsidR="007D02A8" w:rsidRPr="00A722F1" w:rsidTr="000E727E">
        <w:trPr>
          <w:gridBefore w:val="1"/>
          <w:wBefore w:w="15" w:type="dxa"/>
          <w:trHeight w:val="289"/>
          <w:jc w:val="center"/>
        </w:trPr>
        <w:tc>
          <w:tcPr>
            <w:tcW w:w="4646" w:type="dxa"/>
            <w:gridSpan w:val="2"/>
            <w:shd w:val="clear" w:color="auto" w:fill="auto"/>
            <w:vAlign w:val="center"/>
          </w:tcPr>
          <w:p w:rsidR="007D02A8" w:rsidRPr="00A722F1" w:rsidRDefault="007D02A8" w:rsidP="000E727E">
            <w:pPr>
              <w:pStyle w:val="Text1"/>
              <w:spacing w:beforeLines="20" w:before="48" w:afterLines="20" w:after="48"/>
              <w:ind w:left="134"/>
              <w:jc w:val="left"/>
              <w:rPr>
                <w:noProof/>
                <w:sz w:val="16"/>
              </w:rPr>
            </w:pPr>
            <w:r w:rsidRPr="00A722F1">
              <w:rPr>
                <w:noProof/>
                <w:sz w:val="16"/>
              </w:rPr>
              <w:t>20 01 02 03 (Delegations)</w:t>
            </w:r>
          </w:p>
        </w:tc>
        <w:tc>
          <w:tcPr>
            <w:tcW w:w="839"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r>
      <w:tr w:rsidR="007D02A8" w:rsidRPr="00A722F1" w:rsidTr="000E727E">
        <w:trPr>
          <w:gridBefore w:val="1"/>
          <w:wBefore w:w="15" w:type="dxa"/>
          <w:trHeight w:val="289"/>
          <w:jc w:val="center"/>
        </w:trPr>
        <w:tc>
          <w:tcPr>
            <w:tcW w:w="4646" w:type="dxa"/>
            <w:gridSpan w:val="2"/>
            <w:shd w:val="clear" w:color="auto" w:fill="auto"/>
            <w:vAlign w:val="center"/>
          </w:tcPr>
          <w:p w:rsidR="007D02A8" w:rsidRPr="00A722F1" w:rsidRDefault="007D02A8" w:rsidP="000E727E">
            <w:pPr>
              <w:pStyle w:val="Text1"/>
              <w:spacing w:beforeLines="20" w:before="48" w:afterLines="20" w:after="48"/>
              <w:ind w:left="134"/>
              <w:jc w:val="left"/>
              <w:rPr>
                <w:noProof/>
                <w:sz w:val="16"/>
                <w:szCs w:val="16"/>
              </w:rPr>
            </w:pPr>
            <w:r w:rsidRPr="00A722F1">
              <w:rPr>
                <w:noProof/>
                <w:sz w:val="16"/>
              </w:rPr>
              <w:t>01 01 01 01</w:t>
            </w:r>
            <w:r w:rsidRPr="00A722F1">
              <w:rPr>
                <w:rFonts w:ascii="Arial Narrow" w:hAnsi="Arial Narrow"/>
                <w:noProof/>
                <w:color w:val="000000"/>
                <w:sz w:val="20"/>
                <w:szCs w:val="20"/>
              </w:rPr>
              <w:t xml:space="preserve"> </w:t>
            </w:r>
            <w:r w:rsidRPr="00A722F1">
              <w:rPr>
                <w:noProof/>
                <w:sz w:val="16"/>
              </w:rPr>
              <w:t xml:space="preserve"> (Indirect research)</w:t>
            </w:r>
          </w:p>
        </w:tc>
        <w:tc>
          <w:tcPr>
            <w:tcW w:w="839"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r>
      <w:tr w:rsidR="007D02A8" w:rsidRPr="00A722F1" w:rsidTr="000E727E">
        <w:trPr>
          <w:gridBefore w:val="1"/>
          <w:wBefore w:w="15" w:type="dxa"/>
          <w:trHeight w:val="289"/>
          <w:jc w:val="center"/>
        </w:trPr>
        <w:tc>
          <w:tcPr>
            <w:tcW w:w="4646" w:type="dxa"/>
            <w:gridSpan w:val="2"/>
            <w:shd w:val="clear" w:color="auto" w:fill="auto"/>
            <w:vAlign w:val="center"/>
          </w:tcPr>
          <w:p w:rsidR="007D02A8" w:rsidRPr="00A722F1" w:rsidRDefault="007D02A8" w:rsidP="000E727E">
            <w:pPr>
              <w:pStyle w:val="Text1"/>
              <w:spacing w:beforeLines="20" w:before="48" w:afterLines="20" w:after="48"/>
              <w:ind w:left="134"/>
              <w:jc w:val="left"/>
              <w:rPr>
                <w:noProof/>
                <w:sz w:val="16"/>
                <w:szCs w:val="16"/>
              </w:rPr>
            </w:pPr>
            <w:r w:rsidRPr="00A722F1">
              <w:rPr>
                <w:noProof/>
                <w:sz w:val="16"/>
              </w:rPr>
              <w:t xml:space="preserve"> 01 01 01 11 (Direct research)</w:t>
            </w:r>
          </w:p>
        </w:tc>
        <w:tc>
          <w:tcPr>
            <w:tcW w:w="839"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r>
      <w:tr w:rsidR="007D02A8" w:rsidRPr="00A722F1" w:rsidTr="000E727E">
        <w:trPr>
          <w:gridBefore w:val="1"/>
          <w:wBefore w:w="15" w:type="dxa"/>
          <w:trHeight w:val="289"/>
          <w:jc w:val="center"/>
        </w:trPr>
        <w:tc>
          <w:tcPr>
            <w:tcW w:w="4646" w:type="dxa"/>
            <w:gridSpan w:val="2"/>
            <w:shd w:val="clear" w:color="auto" w:fill="auto"/>
            <w:vAlign w:val="center"/>
          </w:tcPr>
          <w:p w:rsidR="007D02A8" w:rsidRPr="00A722F1" w:rsidRDefault="007D02A8" w:rsidP="000E727E">
            <w:pPr>
              <w:pStyle w:val="Text1"/>
              <w:spacing w:beforeLines="20" w:before="48" w:afterLines="20" w:after="48"/>
              <w:ind w:left="134"/>
              <w:jc w:val="left"/>
              <w:rPr>
                <w:noProof/>
                <w:sz w:val="16"/>
              </w:rPr>
            </w:pPr>
            <w:r w:rsidRPr="00A722F1">
              <w:rPr>
                <w:noProof/>
                <w:sz w:val="16"/>
              </w:rPr>
              <w:t>Other budget lines (specify)</w:t>
            </w:r>
          </w:p>
        </w:tc>
        <w:tc>
          <w:tcPr>
            <w:tcW w:w="839"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r>
      <w:tr w:rsidR="007D02A8" w:rsidRPr="00A722F1" w:rsidTr="000E727E">
        <w:trPr>
          <w:trHeight w:val="248"/>
          <w:jc w:val="center"/>
        </w:trPr>
        <w:tc>
          <w:tcPr>
            <w:tcW w:w="9886" w:type="dxa"/>
            <w:gridSpan w:val="10"/>
            <w:shd w:val="clear" w:color="auto" w:fill="auto"/>
            <w:vAlign w:val="center"/>
          </w:tcPr>
          <w:p w:rsidR="007D02A8" w:rsidRPr="00A722F1" w:rsidRDefault="007D02A8" w:rsidP="000E727E">
            <w:pPr>
              <w:pStyle w:val="Text1"/>
              <w:spacing w:before="60" w:after="60"/>
              <w:ind w:left="0"/>
              <w:jc w:val="left"/>
              <w:rPr>
                <w:b/>
                <w:noProof/>
                <w:sz w:val="16"/>
                <w:szCs w:val="16"/>
              </w:rPr>
            </w:pPr>
            <w:r w:rsidRPr="00A722F1">
              <w:rPr>
                <w:b/>
                <w:noProof/>
                <w:sz w:val="16"/>
              </w:rPr>
              <w:sym w:font="Wingdings" w:char="F09F"/>
            </w:r>
            <w:r w:rsidRPr="00A722F1">
              <w:rPr>
                <w:b/>
                <w:noProof/>
                <w:sz w:val="16"/>
              </w:rPr>
              <w:t xml:space="preserve"> External staff (in Full Time Equivalent unit: FTE)</w:t>
            </w:r>
            <w:r w:rsidRPr="00A722F1">
              <w:rPr>
                <w:rStyle w:val="FootnoteReference"/>
                <w:b/>
                <w:noProof/>
                <w:sz w:val="16"/>
              </w:rPr>
              <w:footnoteReference w:id="45"/>
            </w:r>
          </w:p>
          <w:p w:rsidR="007D02A8" w:rsidRPr="00A722F1" w:rsidRDefault="007D02A8" w:rsidP="000E727E">
            <w:pPr>
              <w:pStyle w:val="Text1"/>
              <w:spacing w:before="0" w:after="0"/>
              <w:ind w:left="0"/>
              <w:jc w:val="left"/>
              <w:rPr>
                <w:noProof/>
                <w:sz w:val="16"/>
                <w:szCs w:val="16"/>
              </w:rPr>
            </w:pPr>
          </w:p>
        </w:tc>
      </w:tr>
      <w:tr w:rsidR="007D02A8" w:rsidRPr="00A722F1" w:rsidTr="000E727E">
        <w:trPr>
          <w:gridBefore w:val="1"/>
          <w:wBefore w:w="15" w:type="dxa"/>
          <w:trHeight w:val="289"/>
          <w:jc w:val="center"/>
        </w:trPr>
        <w:tc>
          <w:tcPr>
            <w:tcW w:w="4646" w:type="dxa"/>
            <w:gridSpan w:val="2"/>
            <w:shd w:val="clear" w:color="auto" w:fill="auto"/>
            <w:vAlign w:val="center"/>
          </w:tcPr>
          <w:p w:rsidR="007D02A8" w:rsidRPr="00A722F1" w:rsidRDefault="007D02A8" w:rsidP="000E727E">
            <w:pPr>
              <w:pStyle w:val="Text1"/>
              <w:spacing w:beforeLines="20" w:before="48" w:afterLines="20" w:after="48"/>
              <w:ind w:left="136"/>
              <w:jc w:val="left"/>
              <w:rPr>
                <w:b/>
                <w:noProof/>
                <w:sz w:val="16"/>
                <w:szCs w:val="16"/>
              </w:rPr>
            </w:pPr>
            <w:r w:rsidRPr="00A722F1">
              <w:rPr>
                <w:noProof/>
                <w:sz w:val="16"/>
              </w:rPr>
              <w:t>20 02 01</w:t>
            </w:r>
            <w:r w:rsidRPr="00A722F1">
              <w:rPr>
                <w:rFonts w:ascii="Arial Narrow" w:hAnsi="Arial Narrow"/>
                <w:noProof/>
                <w:color w:val="000000"/>
                <w:sz w:val="20"/>
                <w:szCs w:val="20"/>
              </w:rPr>
              <w:t xml:space="preserve"> </w:t>
            </w:r>
            <w:r w:rsidRPr="00A722F1">
              <w:rPr>
                <w:noProof/>
                <w:sz w:val="16"/>
              </w:rPr>
              <w:t>(END)</w:t>
            </w:r>
          </w:p>
        </w:tc>
        <w:tc>
          <w:tcPr>
            <w:tcW w:w="839" w:type="dxa"/>
            <w:shd w:val="clear" w:color="auto" w:fill="auto"/>
            <w:vAlign w:val="center"/>
          </w:tcPr>
          <w:p w:rsidR="007D02A8" w:rsidRPr="00A722F1" w:rsidRDefault="007D02A8" w:rsidP="000E727E">
            <w:pPr>
              <w:spacing w:beforeLines="20" w:before="48" w:afterLines="20" w:after="48"/>
              <w:jc w:val="center"/>
              <w:rPr>
                <w:noProof/>
                <w:sz w:val="16"/>
                <w:szCs w:val="16"/>
              </w:rPr>
            </w:pPr>
            <w:r w:rsidRPr="00A722F1">
              <w:rPr>
                <w:noProof/>
                <w:sz w:val="16"/>
                <w:szCs w:val="16"/>
              </w:rPr>
              <w:t>1</w:t>
            </w: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r w:rsidRPr="00A722F1">
              <w:rPr>
                <w:noProof/>
                <w:sz w:val="16"/>
                <w:szCs w:val="16"/>
              </w:rPr>
              <w:t>1</w:t>
            </w: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r>
      <w:tr w:rsidR="007D02A8" w:rsidRPr="00A722F1" w:rsidTr="000E727E">
        <w:trPr>
          <w:gridBefore w:val="1"/>
          <w:wBefore w:w="15" w:type="dxa"/>
          <w:trHeight w:val="289"/>
          <w:jc w:val="center"/>
        </w:trPr>
        <w:tc>
          <w:tcPr>
            <w:tcW w:w="4646" w:type="dxa"/>
            <w:gridSpan w:val="2"/>
            <w:shd w:val="clear" w:color="auto" w:fill="auto"/>
            <w:vAlign w:val="center"/>
          </w:tcPr>
          <w:p w:rsidR="007D02A8" w:rsidRPr="00A722F1" w:rsidRDefault="007D02A8" w:rsidP="000E727E">
            <w:pPr>
              <w:pStyle w:val="Text1"/>
              <w:spacing w:beforeLines="20" w:before="48" w:afterLines="20" w:after="48"/>
              <w:ind w:left="136"/>
              <w:jc w:val="left"/>
              <w:rPr>
                <w:noProof/>
                <w:sz w:val="16"/>
              </w:rPr>
            </w:pPr>
            <w:r w:rsidRPr="00A722F1">
              <w:rPr>
                <w:noProof/>
                <w:sz w:val="16"/>
              </w:rPr>
              <w:t>20 02 03 (AC, AL, END, INT and JPD in the delegations)</w:t>
            </w:r>
          </w:p>
        </w:tc>
        <w:tc>
          <w:tcPr>
            <w:tcW w:w="839"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r>
      <w:tr w:rsidR="007D02A8" w:rsidRPr="00A722F1" w:rsidTr="000E727E">
        <w:trPr>
          <w:gridBefore w:val="1"/>
          <w:wBefore w:w="15" w:type="dxa"/>
          <w:trHeight w:val="289"/>
          <w:jc w:val="center"/>
        </w:trPr>
        <w:tc>
          <w:tcPr>
            <w:tcW w:w="2376" w:type="dxa"/>
            <w:vMerge w:val="restart"/>
            <w:shd w:val="clear" w:color="auto" w:fill="auto"/>
            <w:vAlign w:val="center"/>
          </w:tcPr>
          <w:p w:rsidR="007D02A8" w:rsidRPr="00A722F1" w:rsidRDefault="007D02A8" w:rsidP="000E727E">
            <w:pPr>
              <w:pStyle w:val="Text1"/>
              <w:spacing w:beforeLines="20" w:before="48" w:afterLines="20" w:after="48"/>
              <w:ind w:left="136"/>
              <w:jc w:val="left"/>
              <w:rPr>
                <w:b/>
                <w:noProof/>
                <w:sz w:val="16"/>
                <w:szCs w:val="16"/>
              </w:rPr>
            </w:pPr>
            <w:r w:rsidRPr="00A722F1">
              <w:rPr>
                <w:b/>
                <w:noProof/>
                <w:sz w:val="16"/>
                <w:szCs w:val="16"/>
              </w:rPr>
              <w:t>XX</w:t>
            </w:r>
            <w:r w:rsidRPr="00A722F1">
              <w:rPr>
                <w:noProof/>
                <w:sz w:val="16"/>
                <w:szCs w:val="16"/>
              </w:rPr>
              <w:t xml:space="preserve"> 01  xx </w:t>
            </w:r>
            <w:r w:rsidRPr="00A722F1">
              <w:rPr>
                <w:b/>
                <w:noProof/>
                <w:sz w:val="16"/>
                <w:szCs w:val="16"/>
              </w:rPr>
              <w:t xml:space="preserve">yy zz </w:t>
            </w:r>
            <w:r w:rsidRPr="00A722F1">
              <w:rPr>
                <w:b/>
                <w:i/>
                <w:noProof/>
                <w:sz w:val="16"/>
              </w:rPr>
              <w:t xml:space="preserve"> </w:t>
            </w:r>
            <w:r w:rsidRPr="00A722F1">
              <w:rPr>
                <w:rStyle w:val="FootnoteReference"/>
                <w:b/>
                <w:i/>
                <w:noProof/>
                <w:sz w:val="16"/>
              </w:rPr>
              <w:footnoteReference w:id="46"/>
            </w:r>
          </w:p>
          <w:p w:rsidR="007D02A8" w:rsidRPr="00A722F1" w:rsidRDefault="007D02A8" w:rsidP="000E727E">
            <w:pPr>
              <w:pStyle w:val="Text1"/>
              <w:spacing w:beforeLines="20" w:before="48" w:afterLines="20" w:after="48"/>
              <w:ind w:left="136"/>
              <w:jc w:val="left"/>
              <w:rPr>
                <w:b/>
                <w:noProof/>
                <w:sz w:val="16"/>
                <w:szCs w:val="16"/>
              </w:rPr>
            </w:pPr>
          </w:p>
        </w:tc>
        <w:tc>
          <w:tcPr>
            <w:tcW w:w="2270" w:type="dxa"/>
            <w:shd w:val="clear" w:color="auto" w:fill="auto"/>
            <w:vAlign w:val="center"/>
          </w:tcPr>
          <w:p w:rsidR="007D02A8" w:rsidRPr="00A722F1" w:rsidRDefault="007D02A8" w:rsidP="000E727E">
            <w:pPr>
              <w:pStyle w:val="Text1"/>
              <w:spacing w:beforeLines="20" w:before="48" w:afterLines="20" w:after="48"/>
              <w:ind w:left="136"/>
              <w:jc w:val="left"/>
              <w:rPr>
                <w:b/>
                <w:noProof/>
                <w:sz w:val="16"/>
                <w:szCs w:val="16"/>
              </w:rPr>
            </w:pPr>
            <w:r w:rsidRPr="00A722F1">
              <w:rPr>
                <w:noProof/>
                <w:sz w:val="16"/>
              </w:rPr>
              <w:t>- at Headquarters</w:t>
            </w:r>
          </w:p>
          <w:p w:rsidR="007D02A8" w:rsidRPr="00A722F1" w:rsidRDefault="007D02A8" w:rsidP="000E727E">
            <w:pPr>
              <w:pStyle w:val="Text1"/>
              <w:spacing w:beforeLines="20" w:before="48" w:afterLines="20" w:after="48"/>
              <w:ind w:left="136"/>
              <w:jc w:val="left"/>
              <w:rPr>
                <w:b/>
                <w:noProof/>
                <w:sz w:val="16"/>
                <w:szCs w:val="16"/>
              </w:rPr>
            </w:pPr>
          </w:p>
        </w:tc>
        <w:tc>
          <w:tcPr>
            <w:tcW w:w="839" w:type="dxa"/>
            <w:shd w:val="clear" w:color="auto" w:fill="auto"/>
            <w:vAlign w:val="center"/>
          </w:tcPr>
          <w:p w:rsidR="007D02A8" w:rsidRPr="00A722F1" w:rsidRDefault="007D02A8" w:rsidP="000E727E">
            <w:pPr>
              <w:pStyle w:val="Text1"/>
              <w:spacing w:beforeLines="20" w:before="48" w:afterLines="20" w:after="48"/>
              <w:ind w:left="0"/>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r>
      <w:tr w:rsidR="007D02A8" w:rsidRPr="00A722F1" w:rsidTr="000E727E">
        <w:trPr>
          <w:gridBefore w:val="1"/>
          <w:wBefore w:w="15" w:type="dxa"/>
          <w:trHeight w:val="289"/>
          <w:jc w:val="center"/>
        </w:trPr>
        <w:tc>
          <w:tcPr>
            <w:tcW w:w="2376" w:type="dxa"/>
            <w:vMerge/>
            <w:shd w:val="clear" w:color="auto" w:fill="auto"/>
            <w:vAlign w:val="center"/>
          </w:tcPr>
          <w:p w:rsidR="007D02A8" w:rsidRPr="00A722F1" w:rsidRDefault="007D02A8" w:rsidP="000E727E">
            <w:pPr>
              <w:pStyle w:val="Text1"/>
              <w:spacing w:beforeLines="20" w:before="48" w:afterLines="20" w:after="48"/>
              <w:ind w:left="136"/>
              <w:jc w:val="left"/>
              <w:rPr>
                <w:b/>
                <w:noProof/>
                <w:sz w:val="16"/>
                <w:szCs w:val="16"/>
              </w:rPr>
            </w:pPr>
          </w:p>
        </w:tc>
        <w:tc>
          <w:tcPr>
            <w:tcW w:w="2270" w:type="dxa"/>
            <w:shd w:val="clear" w:color="auto" w:fill="auto"/>
            <w:vAlign w:val="center"/>
          </w:tcPr>
          <w:p w:rsidR="007D02A8" w:rsidRPr="00A722F1" w:rsidRDefault="007D02A8" w:rsidP="000E727E">
            <w:pPr>
              <w:pStyle w:val="Text1"/>
              <w:spacing w:beforeLines="20" w:before="48" w:afterLines="20" w:after="48"/>
              <w:ind w:left="136"/>
              <w:jc w:val="left"/>
              <w:rPr>
                <w:b/>
                <w:noProof/>
                <w:sz w:val="16"/>
                <w:szCs w:val="16"/>
              </w:rPr>
            </w:pPr>
            <w:r w:rsidRPr="00A722F1">
              <w:rPr>
                <w:noProof/>
                <w:sz w:val="16"/>
              </w:rPr>
              <w:t xml:space="preserve">- in Delegations </w:t>
            </w:r>
          </w:p>
        </w:tc>
        <w:tc>
          <w:tcPr>
            <w:tcW w:w="839" w:type="dxa"/>
            <w:shd w:val="clear" w:color="auto" w:fill="auto"/>
            <w:vAlign w:val="center"/>
          </w:tcPr>
          <w:p w:rsidR="007D02A8" w:rsidRPr="00A722F1" w:rsidRDefault="007D02A8" w:rsidP="000E727E">
            <w:pPr>
              <w:pStyle w:val="Text1"/>
              <w:spacing w:beforeLines="20" w:before="48" w:afterLines="20" w:after="48"/>
              <w:ind w:left="0"/>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r>
      <w:tr w:rsidR="007D02A8" w:rsidRPr="00A722F1" w:rsidTr="000E727E">
        <w:trPr>
          <w:gridBefore w:val="1"/>
          <w:wBefore w:w="15" w:type="dxa"/>
          <w:trHeight w:val="289"/>
          <w:jc w:val="center"/>
        </w:trPr>
        <w:tc>
          <w:tcPr>
            <w:tcW w:w="4646" w:type="dxa"/>
            <w:gridSpan w:val="2"/>
            <w:shd w:val="clear" w:color="auto" w:fill="auto"/>
            <w:vAlign w:val="center"/>
          </w:tcPr>
          <w:p w:rsidR="007D02A8" w:rsidRPr="00A722F1" w:rsidRDefault="007D02A8" w:rsidP="000E727E">
            <w:pPr>
              <w:pStyle w:val="Text1"/>
              <w:spacing w:beforeLines="20" w:before="48" w:afterLines="20" w:after="48"/>
              <w:ind w:left="136"/>
              <w:jc w:val="left"/>
              <w:rPr>
                <w:noProof/>
                <w:sz w:val="16"/>
                <w:szCs w:val="16"/>
              </w:rPr>
            </w:pPr>
            <w:r w:rsidRPr="00A722F1">
              <w:rPr>
                <w:noProof/>
                <w:sz w:val="16"/>
              </w:rPr>
              <w:t>01 01 01 02</w:t>
            </w:r>
            <w:r w:rsidRPr="00A722F1">
              <w:rPr>
                <w:rFonts w:ascii="Arial Narrow" w:hAnsi="Arial Narrow"/>
                <w:noProof/>
                <w:color w:val="000000"/>
                <w:sz w:val="20"/>
                <w:szCs w:val="20"/>
              </w:rPr>
              <w:t xml:space="preserve"> </w:t>
            </w:r>
            <w:r w:rsidRPr="00A722F1">
              <w:rPr>
                <w:noProof/>
                <w:sz w:val="16"/>
                <w:szCs w:val="16"/>
              </w:rPr>
              <w:t>(AC, END, INT - Indirect research)</w:t>
            </w:r>
          </w:p>
        </w:tc>
        <w:tc>
          <w:tcPr>
            <w:tcW w:w="839"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r>
      <w:tr w:rsidR="007D02A8" w:rsidRPr="00A722F1" w:rsidTr="000E727E">
        <w:trPr>
          <w:gridBefore w:val="1"/>
          <w:wBefore w:w="15" w:type="dxa"/>
          <w:trHeight w:val="289"/>
          <w:jc w:val="center"/>
        </w:trPr>
        <w:tc>
          <w:tcPr>
            <w:tcW w:w="4646" w:type="dxa"/>
            <w:gridSpan w:val="2"/>
            <w:shd w:val="clear" w:color="auto" w:fill="auto"/>
            <w:vAlign w:val="center"/>
          </w:tcPr>
          <w:p w:rsidR="007D02A8" w:rsidRPr="00A722F1" w:rsidRDefault="007D02A8" w:rsidP="000E727E">
            <w:pPr>
              <w:pStyle w:val="Text1"/>
              <w:spacing w:beforeLines="20" w:before="48" w:afterLines="20" w:after="48"/>
              <w:ind w:left="136"/>
              <w:jc w:val="left"/>
              <w:rPr>
                <w:noProof/>
                <w:color w:val="FF0000"/>
                <w:sz w:val="16"/>
                <w:szCs w:val="16"/>
              </w:rPr>
            </w:pPr>
            <w:r w:rsidRPr="00A722F1">
              <w:rPr>
                <w:noProof/>
                <w:sz w:val="16"/>
              </w:rPr>
              <w:t xml:space="preserve"> 01 01 01 12 (AC, END, INT - Direct research)</w:t>
            </w:r>
          </w:p>
        </w:tc>
        <w:tc>
          <w:tcPr>
            <w:tcW w:w="839"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r>
      <w:tr w:rsidR="007D02A8" w:rsidRPr="00A722F1" w:rsidTr="000E727E">
        <w:trPr>
          <w:gridBefore w:val="1"/>
          <w:wBefore w:w="15" w:type="dxa"/>
          <w:trHeight w:val="289"/>
          <w:jc w:val="center"/>
        </w:trPr>
        <w:tc>
          <w:tcPr>
            <w:tcW w:w="4646" w:type="dxa"/>
            <w:gridSpan w:val="2"/>
            <w:shd w:val="clear" w:color="auto" w:fill="auto"/>
            <w:vAlign w:val="center"/>
          </w:tcPr>
          <w:p w:rsidR="007D02A8" w:rsidRPr="00A722F1" w:rsidRDefault="007D02A8" w:rsidP="000E727E">
            <w:pPr>
              <w:pStyle w:val="Text1"/>
              <w:spacing w:beforeLines="20" w:before="48" w:afterLines="20" w:after="48"/>
              <w:ind w:left="136"/>
              <w:jc w:val="left"/>
              <w:rPr>
                <w:noProof/>
                <w:sz w:val="16"/>
              </w:rPr>
            </w:pPr>
            <w:r w:rsidRPr="00A722F1">
              <w:rPr>
                <w:noProof/>
                <w:sz w:val="16"/>
              </w:rPr>
              <w:t>Other budget lines (specify)</w:t>
            </w:r>
          </w:p>
        </w:tc>
        <w:tc>
          <w:tcPr>
            <w:tcW w:w="839"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c>
          <w:tcPr>
            <w:tcW w:w="731" w:type="dxa"/>
            <w:shd w:val="clear" w:color="auto" w:fill="auto"/>
            <w:vAlign w:val="center"/>
          </w:tcPr>
          <w:p w:rsidR="007D02A8" w:rsidRPr="00A722F1" w:rsidRDefault="007D02A8" w:rsidP="000E727E">
            <w:pPr>
              <w:spacing w:beforeLines="20" w:before="48" w:afterLines="20" w:after="48"/>
              <w:jc w:val="center"/>
              <w:rPr>
                <w:noProof/>
                <w:sz w:val="16"/>
                <w:szCs w:val="16"/>
              </w:rPr>
            </w:pPr>
          </w:p>
        </w:tc>
      </w:tr>
      <w:tr w:rsidR="007D02A8" w:rsidRPr="00A722F1" w:rsidTr="000E727E">
        <w:trPr>
          <w:gridBefore w:val="1"/>
          <w:wBefore w:w="15" w:type="dxa"/>
          <w:trHeight w:val="289"/>
          <w:jc w:val="center"/>
        </w:trPr>
        <w:tc>
          <w:tcPr>
            <w:tcW w:w="4646" w:type="dxa"/>
            <w:gridSpan w:val="2"/>
            <w:tcBorders>
              <w:top w:val="double" w:sz="4" w:space="0" w:color="auto"/>
            </w:tcBorders>
            <w:shd w:val="clear" w:color="auto" w:fill="auto"/>
            <w:vAlign w:val="center"/>
          </w:tcPr>
          <w:p w:rsidR="007D02A8" w:rsidRPr="00A722F1" w:rsidRDefault="007D02A8" w:rsidP="000E727E">
            <w:pPr>
              <w:pStyle w:val="Text1"/>
              <w:spacing w:beforeLines="20" w:before="48" w:afterLines="20" w:after="48"/>
              <w:ind w:left="136"/>
              <w:jc w:val="left"/>
              <w:rPr>
                <w:noProof/>
                <w:sz w:val="16"/>
                <w:szCs w:val="16"/>
              </w:rPr>
            </w:pPr>
            <w:r w:rsidRPr="00A722F1">
              <w:rPr>
                <w:b/>
                <w:noProof/>
                <w:sz w:val="16"/>
              </w:rPr>
              <w:t>TOTAL</w:t>
            </w:r>
          </w:p>
        </w:tc>
        <w:tc>
          <w:tcPr>
            <w:tcW w:w="839" w:type="dxa"/>
            <w:tcBorders>
              <w:top w:val="double" w:sz="4" w:space="0" w:color="auto"/>
            </w:tcBorders>
            <w:shd w:val="clear" w:color="auto" w:fill="auto"/>
            <w:vAlign w:val="center"/>
          </w:tcPr>
          <w:p w:rsidR="007D02A8" w:rsidRPr="00A722F1" w:rsidRDefault="007D02A8" w:rsidP="000E727E">
            <w:pPr>
              <w:spacing w:beforeLines="20" w:before="48" w:afterLines="20" w:after="48"/>
              <w:jc w:val="center"/>
              <w:rPr>
                <w:b/>
                <w:noProof/>
                <w:sz w:val="16"/>
                <w:szCs w:val="16"/>
              </w:rPr>
            </w:pPr>
            <w:r>
              <w:rPr>
                <w:b/>
                <w:noProof/>
                <w:sz w:val="16"/>
                <w:szCs w:val="16"/>
              </w:rPr>
              <w:t>10</w:t>
            </w:r>
          </w:p>
        </w:tc>
        <w:tc>
          <w:tcPr>
            <w:tcW w:w="731" w:type="dxa"/>
            <w:tcBorders>
              <w:top w:val="double" w:sz="4" w:space="0" w:color="auto"/>
            </w:tcBorders>
            <w:shd w:val="clear" w:color="auto" w:fill="auto"/>
            <w:vAlign w:val="center"/>
          </w:tcPr>
          <w:p w:rsidR="007D02A8" w:rsidRPr="00A722F1" w:rsidRDefault="007D02A8" w:rsidP="000E727E">
            <w:pPr>
              <w:spacing w:beforeLines="20" w:before="48" w:afterLines="20" w:after="48"/>
              <w:jc w:val="center"/>
              <w:rPr>
                <w:b/>
                <w:noProof/>
                <w:sz w:val="16"/>
                <w:szCs w:val="16"/>
              </w:rPr>
            </w:pPr>
            <w:r>
              <w:rPr>
                <w:b/>
                <w:noProof/>
                <w:sz w:val="16"/>
                <w:szCs w:val="16"/>
              </w:rPr>
              <w:t>10</w:t>
            </w:r>
          </w:p>
        </w:tc>
        <w:tc>
          <w:tcPr>
            <w:tcW w:w="731" w:type="dxa"/>
            <w:tcBorders>
              <w:top w:val="double" w:sz="4" w:space="0" w:color="auto"/>
            </w:tcBorders>
            <w:shd w:val="clear" w:color="auto" w:fill="auto"/>
            <w:vAlign w:val="center"/>
          </w:tcPr>
          <w:p w:rsidR="007D02A8" w:rsidRPr="00A722F1" w:rsidRDefault="007D02A8" w:rsidP="000E727E">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7D02A8" w:rsidRPr="00A722F1" w:rsidRDefault="007D02A8" w:rsidP="000E727E">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7D02A8" w:rsidRPr="00A722F1" w:rsidRDefault="007D02A8" w:rsidP="000E727E">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7D02A8" w:rsidRPr="00A722F1" w:rsidRDefault="007D02A8" w:rsidP="000E727E">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7D02A8" w:rsidRPr="00A722F1" w:rsidRDefault="007D02A8" w:rsidP="000E727E">
            <w:pPr>
              <w:spacing w:beforeLines="20" w:before="48" w:afterLines="20" w:after="48"/>
              <w:jc w:val="center"/>
              <w:rPr>
                <w:b/>
                <w:noProof/>
                <w:sz w:val="16"/>
                <w:szCs w:val="16"/>
              </w:rPr>
            </w:pPr>
          </w:p>
        </w:tc>
      </w:tr>
    </w:tbl>
    <w:p w:rsidR="007D02A8" w:rsidRPr="00A722F1" w:rsidRDefault="007D02A8" w:rsidP="007D02A8">
      <w:pPr>
        <w:pStyle w:val="Text1"/>
        <w:spacing w:before="60" w:after="60"/>
        <w:ind w:left="851"/>
        <w:rPr>
          <w:noProof/>
          <w:sz w:val="18"/>
          <w:szCs w:val="18"/>
        </w:rPr>
      </w:pPr>
      <w:r w:rsidRPr="00A722F1">
        <w:rPr>
          <w:b/>
          <w:noProof/>
          <w:sz w:val="18"/>
          <w:szCs w:val="18"/>
        </w:rPr>
        <w:t>XX</w:t>
      </w:r>
      <w:r w:rsidRPr="00A722F1">
        <w:rPr>
          <w:noProof/>
          <w:sz w:val="18"/>
          <w:szCs w:val="18"/>
        </w:rPr>
        <w:t xml:space="preserve"> is the policy area or budget title concerned.</w:t>
      </w:r>
    </w:p>
    <w:p w:rsidR="007D02A8" w:rsidRPr="00A722F1" w:rsidRDefault="007D02A8" w:rsidP="007D02A8">
      <w:pPr>
        <w:pStyle w:val="Text1"/>
        <w:rPr>
          <w:noProof/>
          <w:sz w:val="18"/>
          <w:szCs w:val="18"/>
        </w:rPr>
      </w:pPr>
      <w:r w:rsidRPr="00A722F1">
        <w:rPr>
          <w:noProof/>
          <w:sz w:val="18"/>
        </w:rPr>
        <w:t>The human resources required will be met by staff from the DGs who are already assigned to management of the action and/or have been redeployed within the DGs, together if necessary with any additional allocation which may be granted to the managing DGs under the annual allocation procedure and in the light of budgetary constraints.</w:t>
      </w:r>
    </w:p>
    <w:p w:rsidR="007D02A8" w:rsidRPr="00A722F1" w:rsidRDefault="007D02A8" w:rsidP="007D02A8">
      <w:pPr>
        <w:rPr>
          <w:noProof/>
          <w:sz w:val="20"/>
        </w:rPr>
      </w:pPr>
      <w:r w:rsidRPr="00A722F1">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7D02A8" w:rsidRPr="00A722F1" w:rsidTr="000E727E">
        <w:tc>
          <w:tcPr>
            <w:tcW w:w="3240" w:type="dxa"/>
          </w:tcPr>
          <w:p w:rsidR="007D02A8" w:rsidRPr="00A722F1" w:rsidRDefault="007D02A8" w:rsidP="000E727E">
            <w:pPr>
              <w:rPr>
                <w:noProof/>
                <w:sz w:val="20"/>
              </w:rPr>
            </w:pPr>
            <w:r w:rsidRPr="00A722F1">
              <w:rPr>
                <w:noProof/>
                <w:sz w:val="20"/>
              </w:rPr>
              <w:t>Officials and temporary staff</w:t>
            </w:r>
          </w:p>
        </w:tc>
        <w:tc>
          <w:tcPr>
            <w:tcW w:w="7200" w:type="dxa"/>
          </w:tcPr>
          <w:p w:rsidR="007D02A8" w:rsidRPr="00A722F1" w:rsidRDefault="007D02A8" w:rsidP="000E727E">
            <w:pPr>
              <w:rPr>
                <w:noProof/>
                <w:sz w:val="20"/>
              </w:rPr>
            </w:pPr>
            <w:r w:rsidRPr="00A722F1">
              <w:rPr>
                <w:noProof/>
                <w:sz w:val="20"/>
              </w:rPr>
              <w:t>Staff will be entrusted with the development, monitoring and implementation of this Regulation, the technical specifications adopted on its basis, the monitoring of the technical implementation (via framework contract and grants) as well as the support to Member States for the development of their national applications.</w:t>
            </w:r>
          </w:p>
          <w:p w:rsidR="007D02A8" w:rsidRPr="00A722F1" w:rsidRDefault="007D02A8" w:rsidP="000E727E">
            <w:pPr>
              <w:rPr>
                <w:noProof/>
                <w:sz w:val="20"/>
              </w:rPr>
            </w:pPr>
          </w:p>
        </w:tc>
      </w:tr>
      <w:tr w:rsidR="007D02A8" w:rsidRPr="00A722F1" w:rsidTr="000E727E">
        <w:tc>
          <w:tcPr>
            <w:tcW w:w="3240" w:type="dxa"/>
          </w:tcPr>
          <w:p w:rsidR="007D02A8" w:rsidRPr="00A722F1" w:rsidRDefault="007D02A8" w:rsidP="000E727E">
            <w:pPr>
              <w:spacing w:before="60" w:after="60"/>
              <w:rPr>
                <w:noProof/>
                <w:sz w:val="20"/>
              </w:rPr>
            </w:pPr>
            <w:r w:rsidRPr="00A722F1">
              <w:rPr>
                <w:noProof/>
                <w:sz w:val="20"/>
              </w:rPr>
              <w:t>External staff</w:t>
            </w:r>
          </w:p>
        </w:tc>
        <w:tc>
          <w:tcPr>
            <w:tcW w:w="7200" w:type="dxa"/>
          </w:tcPr>
          <w:p w:rsidR="007D02A8" w:rsidRPr="00A722F1" w:rsidRDefault="007D02A8" w:rsidP="000E727E">
            <w:pPr>
              <w:rPr>
                <w:noProof/>
                <w:sz w:val="20"/>
              </w:rPr>
            </w:pPr>
          </w:p>
        </w:tc>
      </w:tr>
    </w:tbl>
    <w:p w:rsidR="007D02A8" w:rsidRPr="00A722F1" w:rsidRDefault="007D02A8" w:rsidP="007D02A8">
      <w:pPr>
        <w:rPr>
          <w:noProof/>
        </w:rPr>
        <w:sectPr w:rsidR="007D02A8" w:rsidRPr="00A722F1" w:rsidSect="00BD72CF">
          <w:pgSz w:w="11907" w:h="16840"/>
          <w:pgMar w:top="1134" w:right="1418" w:bottom="1134" w:left="1418" w:header="709" w:footer="709" w:gutter="0"/>
          <w:cols w:space="708"/>
          <w:docGrid w:linePitch="360"/>
        </w:sectPr>
      </w:pPr>
    </w:p>
    <w:p w:rsidR="007D02A8" w:rsidRPr="00A722F1" w:rsidRDefault="007D02A8" w:rsidP="007D02A8">
      <w:pPr>
        <w:pStyle w:val="ManualHeading3"/>
        <w:rPr>
          <w:noProof/>
        </w:rPr>
      </w:pPr>
      <w:bookmarkStart w:id="39" w:name="_Toc514938056"/>
      <w:bookmarkStart w:id="40" w:name="_Toc520485055"/>
      <w:r w:rsidRPr="00A722F1">
        <w:rPr>
          <w:noProof/>
        </w:rPr>
        <w:t>3.2.4.</w:t>
      </w:r>
      <w:r w:rsidRPr="00A722F1">
        <w:rPr>
          <w:noProof/>
        </w:rPr>
        <w:tab/>
        <w:t>Compatibility with the current multiannual financial framework</w:t>
      </w:r>
      <w:bookmarkEnd w:id="39"/>
      <w:bookmarkEnd w:id="40"/>
      <w:r w:rsidRPr="00A722F1">
        <w:rPr>
          <w:noProof/>
        </w:rPr>
        <w:t xml:space="preserve"> </w:t>
      </w:r>
    </w:p>
    <w:p w:rsidR="007D02A8" w:rsidRPr="00A722F1" w:rsidRDefault="007D02A8" w:rsidP="007D02A8">
      <w:pPr>
        <w:pStyle w:val="Text1"/>
        <w:rPr>
          <w:noProof/>
        </w:rPr>
      </w:pPr>
      <w:r w:rsidRPr="00A722F1">
        <w:rPr>
          <w:noProof/>
        </w:rPr>
        <w:t>The proposal/initiative:</w:t>
      </w:r>
    </w:p>
    <w:p w:rsidR="007D02A8" w:rsidRPr="00A722F1" w:rsidRDefault="007D02A8" w:rsidP="007D02A8">
      <w:pPr>
        <w:pStyle w:val="ListDash1"/>
        <w:rPr>
          <w:noProof/>
        </w:rPr>
      </w:pPr>
      <w:r w:rsidRPr="00A722F1">
        <w:rPr>
          <w:noProof/>
        </w:rPr>
        <w:sym w:font="Wingdings" w:char="F06E"/>
      </w:r>
      <w:r w:rsidRPr="00A722F1">
        <w:rPr>
          <w:noProof/>
        </w:rPr>
        <w:tab/>
        <w:t>can be financed through redeployment within the relevant headings of the Multiannual Financial Framework (MFF).</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The </w:t>
      </w:r>
      <w:r w:rsidRPr="00A722F1">
        <w:rPr>
          <w:noProof/>
          <w:sz w:val="20"/>
        </w:rPr>
        <w:t xml:space="preserve">Digital Europe Programme </w:t>
      </w:r>
      <w:r>
        <w:rPr>
          <w:noProof/>
          <w:sz w:val="20"/>
        </w:rPr>
        <w:t>will finance the costs of this initiative</w:t>
      </w:r>
      <w:r w:rsidRPr="00A722F1">
        <w:rPr>
          <w:noProof/>
          <w:sz w:val="20"/>
        </w:rPr>
        <w:t xml:space="preserve"> </w:t>
      </w:r>
    </w:p>
    <w:p w:rsidR="007D02A8" w:rsidRPr="00A722F1" w:rsidRDefault="007D02A8" w:rsidP="007D02A8">
      <w:pPr>
        <w:pStyle w:val="ListDash1"/>
        <w:rPr>
          <w:noProof/>
        </w:rPr>
      </w:pPr>
      <w:r w:rsidRPr="00A722F1">
        <w:rPr>
          <w:noProof/>
        </w:rPr>
        <w:sym w:font="Wingdings" w:char="F0A8"/>
      </w:r>
      <w:r w:rsidRPr="00A722F1">
        <w:rPr>
          <w:noProof/>
        </w:rPr>
        <w:tab/>
        <w:t>requires use of the unallocated margin under the relevant heading of the MFF and/or use of the special instruments as defined in the MFF Regulation.</w:t>
      </w:r>
    </w:p>
    <w:p w:rsidR="007D02A8" w:rsidRPr="00A722F1" w:rsidRDefault="007D02A8" w:rsidP="007D02A8">
      <w:pPr>
        <w:pStyle w:val="ListDash1"/>
        <w:rPr>
          <w:noProof/>
        </w:rPr>
      </w:pPr>
      <w:r w:rsidRPr="00A722F1">
        <w:rPr>
          <w:noProof/>
        </w:rPr>
        <w:sym w:font="Wingdings" w:char="F0A8"/>
      </w:r>
      <w:r w:rsidRPr="00A722F1">
        <w:rPr>
          <w:noProof/>
        </w:rPr>
        <w:tab/>
        <w:t>requires a revision of the MFF.</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sz w:val="20"/>
        </w:rPr>
      </w:pPr>
      <w:r w:rsidRPr="00A722F1">
        <w:rPr>
          <w:noProof/>
          <w:sz w:val="20"/>
        </w:rPr>
        <w:t xml:space="preserve"> </w:t>
      </w:r>
    </w:p>
    <w:p w:rsidR="007D02A8" w:rsidRPr="00A722F1" w:rsidRDefault="007D02A8" w:rsidP="007D02A8">
      <w:pPr>
        <w:pStyle w:val="ManualHeading3"/>
        <w:rPr>
          <w:bCs/>
          <w:noProof/>
          <w:szCs w:val="24"/>
        </w:rPr>
      </w:pPr>
      <w:bookmarkStart w:id="41" w:name="_Toc514938058"/>
      <w:bookmarkStart w:id="42" w:name="_Toc520485056"/>
      <w:r w:rsidRPr="00A722F1">
        <w:rPr>
          <w:noProof/>
        </w:rPr>
        <w:t>3.2.5.</w:t>
      </w:r>
      <w:r w:rsidRPr="00A722F1">
        <w:rPr>
          <w:noProof/>
        </w:rPr>
        <w:tab/>
        <w:t>Third-party contributions</w:t>
      </w:r>
      <w:bookmarkEnd w:id="41"/>
      <w:bookmarkEnd w:id="42"/>
      <w:r w:rsidRPr="00A722F1">
        <w:rPr>
          <w:noProof/>
        </w:rPr>
        <w:t xml:space="preserve"> </w:t>
      </w:r>
    </w:p>
    <w:p w:rsidR="007D02A8" w:rsidRPr="00A722F1" w:rsidRDefault="007D02A8" w:rsidP="007D02A8">
      <w:pPr>
        <w:pStyle w:val="Text1"/>
        <w:rPr>
          <w:noProof/>
        </w:rPr>
      </w:pPr>
      <w:r w:rsidRPr="00A722F1">
        <w:rPr>
          <w:noProof/>
        </w:rPr>
        <w:t>The proposal/initiative:</w:t>
      </w:r>
    </w:p>
    <w:p w:rsidR="007D02A8" w:rsidRPr="00A722F1" w:rsidRDefault="007D02A8" w:rsidP="007D02A8">
      <w:pPr>
        <w:pStyle w:val="ListDash1"/>
        <w:rPr>
          <w:noProof/>
        </w:rPr>
      </w:pPr>
      <w:r w:rsidRPr="00A722F1">
        <w:rPr>
          <w:noProof/>
        </w:rPr>
        <w:sym w:font="Wingdings" w:char="F06E"/>
      </w:r>
      <w:r w:rsidRPr="00A722F1">
        <w:rPr>
          <w:noProof/>
        </w:rPr>
        <w:tab/>
        <w:t>does not provide for co-financing by third parties</w:t>
      </w:r>
    </w:p>
    <w:p w:rsidR="007D02A8" w:rsidRPr="00A722F1" w:rsidRDefault="007D02A8" w:rsidP="007D02A8">
      <w:pPr>
        <w:pStyle w:val="ListDash1"/>
        <w:rPr>
          <w:noProof/>
        </w:rPr>
      </w:pPr>
      <w:r w:rsidRPr="00A722F1">
        <w:rPr>
          <w:noProof/>
        </w:rPr>
        <w:sym w:font="Wingdings" w:char="F0A8"/>
      </w:r>
      <w:r w:rsidRPr="00A722F1">
        <w:rPr>
          <w:noProof/>
        </w:rPr>
        <w:tab/>
        <w:t>provides for the co-financing by third parties estimated below:</w:t>
      </w:r>
    </w:p>
    <w:p w:rsidR="007D02A8" w:rsidRPr="00A722F1" w:rsidRDefault="007D02A8" w:rsidP="007D02A8">
      <w:pPr>
        <w:jc w:val="right"/>
        <w:rPr>
          <w:noProof/>
          <w:sz w:val="20"/>
        </w:rPr>
      </w:pPr>
      <w:r w:rsidRPr="00A722F1">
        <w:rPr>
          <w:noProof/>
          <w:sz w:val="20"/>
        </w:rPr>
        <w:t>Appropriations in EUR million (to three decimal places)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3"/>
        <w:gridCol w:w="874"/>
        <w:gridCol w:w="874"/>
        <w:gridCol w:w="874"/>
        <w:gridCol w:w="873"/>
        <w:gridCol w:w="873"/>
        <w:gridCol w:w="873"/>
        <w:gridCol w:w="875"/>
        <w:gridCol w:w="1050"/>
      </w:tblGrid>
      <w:tr w:rsidR="007D02A8" w:rsidRPr="00A722F1" w:rsidTr="000E727E">
        <w:trPr>
          <w:cantSplit/>
        </w:trPr>
        <w:tc>
          <w:tcPr>
            <w:tcW w:w="1142" w:type="pct"/>
          </w:tcPr>
          <w:p w:rsidR="007D02A8" w:rsidRPr="00A722F1" w:rsidRDefault="007D02A8" w:rsidP="000E727E">
            <w:pPr>
              <w:spacing w:before="60" w:after="60"/>
              <w:rPr>
                <w:noProof/>
                <w:sz w:val="20"/>
              </w:rPr>
            </w:pPr>
          </w:p>
        </w:tc>
        <w:tc>
          <w:tcPr>
            <w:tcW w:w="470" w:type="pct"/>
            <w:vAlign w:val="center"/>
          </w:tcPr>
          <w:p w:rsidR="007D02A8" w:rsidRPr="00A722F1" w:rsidRDefault="007D02A8" w:rsidP="000E727E">
            <w:pPr>
              <w:jc w:val="center"/>
              <w:rPr>
                <w:noProof/>
                <w:sz w:val="20"/>
              </w:rPr>
            </w:pPr>
            <w:r w:rsidRPr="00A722F1">
              <w:rPr>
                <w:noProof/>
                <w:sz w:val="20"/>
              </w:rPr>
              <w:t>Year</w:t>
            </w:r>
            <w:r w:rsidRPr="00A722F1">
              <w:rPr>
                <w:noProof/>
                <w:sz w:val="22"/>
              </w:rPr>
              <w:br/>
            </w:r>
            <w:r w:rsidRPr="00A722F1">
              <w:rPr>
                <w:b/>
                <w:noProof/>
                <w:sz w:val="20"/>
              </w:rPr>
              <w:t>N</w:t>
            </w:r>
            <w:r w:rsidRPr="00A722F1">
              <w:rPr>
                <w:rStyle w:val="FootnoteReference"/>
                <w:b/>
                <w:noProof/>
                <w:sz w:val="20"/>
              </w:rPr>
              <w:footnoteReference w:id="47"/>
            </w:r>
          </w:p>
        </w:tc>
        <w:tc>
          <w:tcPr>
            <w:tcW w:w="470" w:type="pct"/>
            <w:vAlign w:val="center"/>
          </w:tcPr>
          <w:p w:rsidR="007D02A8" w:rsidRPr="00A722F1" w:rsidRDefault="007D02A8" w:rsidP="000E727E">
            <w:pPr>
              <w:jc w:val="center"/>
              <w:rPr>
                <w:noProof/>
                <w:sz w:val="20"/>
              </w:rPr>
            </w:pPr>
            <w:r w:rsidRPr="00A722F1">
              <w:rPr>
                <w:noProof/>
                <w:sz w:val="20"/>
              </w:rPr>
              <w:t>Year</w:t>
            </w:r>
            <w:r w:rsidRPr="00A722F1">
              <w:rPr>
                <w:noProof/>
                <w:sz w:val="22"/>
              </w:rPr>
              <w:br/>
            </w:r>
            <w:r w:rsidRPr="00A722F1">
              <w:rPr>
                <w:b/>
                <w:noProof/>
                <w:sz w:val="20"/>
              </w:rPr>
              <w:t>N+1</w:t>
            </w:r>
          </w:p>
        </w:tc>
        <w:tc>
          <w:tcPr>
            <w:tcW w:w="470" w:type="pct"/>
            <w:vAlign w:val="center"/>
          </w:tcPr>
          <w:p w:rsidR="007D02A8" w:rsidRPr="00A722F1" w:rsidRDefault="007D02A8" w:rsidP="000E727E">
            <w:pPr>
              <w:jc w:val="center"/>
              <w:rPr>
                <w:noProof/>
                <w:sz w:val="20"/>
              </w:rPr>
            </w:pPr>
            <w:r w:rsidRPr="00A722F1">
              <w:rPr>
                <w:noProof/>
                <w:sz w:val="20"/>
              </w:rPr>
              <w:t>Year</w:t>
            </w:r>
            <w:r w:rsidRPr="00A722F1">
              <w:rPr>
                <w:noProof/>
                <w:sz w:val="22"/>
              </w:rPr>
              <w:br/>
            </w:r>
            <w:r w:rsidRPr="00A722F1">
              <w:rPr>
                <w:b/>
                <w:noProof/>
                <w:sz w:val="20"/>
              </w:rPr>
              <w:t>N+2</w:t>
            </w:r>
          </w:p>
        </w:tc>
        <w:tc>
          <w:tcPr>
            <w:tcW w:w="470" w:type="pct"/>
            <w:vAlign w:val="center"/>
          </w:tcPr>
          <w:p w:rsidR="007D02A8" w:rsidRPr="00A722F1" w:rsidRDefault="007D02A8" w:rsidP="000E727E">
            <w:pPr>
              <w:jc w:val="center"/>
              <w:rPr>
                <w:noProof/>
                <w:sz w:val="20"/>
              </w:rPr>
            </w:pPr>
            <w:r w:rsidRPr="00A722F1">
              <w:rPr>
                <w:noProof/>
                <w:sz w:val="20"/>
              </w:rPr>
              <w:t>Year</w:t>
            </w:r>
            <w:r w:rsidRPr="00A722F1">
              <w:rPr>
                <w:noProof/>
                <w:sz w:val="22"/>
              </w:rPr>
              <w:br/>
            </w:r>
            <w:r w:rsidRPr="00A722F1">
              <w:rPr>
                <w:b/>
                <w:noProof/>
                <w:sz w:val="20"/>
              </w:rPr>
              <w:t>N+3</w:t>
            </w:r>
          </w:p>
        </w:tc>
        <w:tc>
          <w:tcPr>
            <w:tcW w:w="1411" w:type="pct"/>
            <w:gridSpan w:val="3"/>
            <w:vAlign w:val="center"/>
          </w:tcPr>
          <w:p w:rsidR="007D02A8" w:rsidRPr="00A722F1" w:rsidRDefault="007D02A8" w:rsidP="000E727E">
            <w:pPr>
              <w:jc w:val="center"/>
              <w:rPr>
                <w:b/>
                <w:noProof/>
                <w:sz w:val="20"/>
              </w:rPr>
            </w:pPr>
            <w:r w:rsidRPr="00A722F1">
              <w:rPr>
                <w:noProof/>
                <w:sz w:val="20"/>
              </w:rPr>
              <w:t>Enter as many years as necessary to show the duration of the impact (see point 1.6)</w:t>
            </w:r>
          </w:p>
        </w:tc>
        <w:tc>
          <w:tcPr>
            <w:tcW w:w="565" w:type="pct"/>
            <w:vAlign w:val="center"/>
          </w:tcPr>
          <w:p w:rsidR="007D02A8" w:rsidRPr="00A722F1" w:rsidRDefault="007D02A8" w:rsidP="000E727E">
            <w:pPr>
              <w:spacing w:before="60" w:after="60"/>
              <w:jc w:val="center"/>
              <w:rPr>
                <w:noProof/>
                <w:sz w:val="20"/>
              </w:rPr>
            </w:pPr>
            <w:r w:rsidRPr="00A722F1">
              <w:rPr>
                <w:noProof/>
                <w:sz w:val="20"/>
              </w:rPr>
              <w:t>Total</w:t>
            </w:r>
          </w:p>
        </w:tc>
      </w:tr>
      <w:tr w:rsidR="007D02A8" w:rsidRPr="00A722F1" w:rsidTr="000E727E">
        <w:trPr>
          <w:cantSplit/>
        </w:trPr>
        <w:tc>
          <w:tcPr>
            <w:tcW w:w="1142" w:type="pct"/>
          </w:tcPr>
          <w:p w:rsidR="007D02A8" w:rsidRPr="00A722F1" w:rsidRDefault="007D02A8" w:rsidP="000E727E">
            <w:pPr>
              <w:rPr>
                <w:noProof/>
              </w:rPr>
            </w:pPr>
            <w:r w:rsidRPr="00A722F1">
              <w:rPr>
                <w:noProof/>
                <w:sz w:val="20"/>
              </w:rPr>
              <w:t>Specify the co-financing body</w:t>
            </w:r>
            <w:r w:rsidRPr="00A722F1">
              <w:rPr>
                <w:i/>
                <w:noProof/>
                <w:sz w:val="20"/>
              </w:rPr>
              <w:t xml:space="preserve"> </w:t>
            </w:r>
          </w:p>
        </w:tc>
        <w:tc>
          <w:tcPr>
            <w:tcW w:w="470" w:type="pct"/>
            <w:vAlign w:val="center"/>
          </w:tcPr>
          <w:p w:rsidR="007D02A8" w:rsidRPr="00A722F1" w:rsidRDefault="007D02A8" w:rsidP="000E727E">
            <w:pPr>
              <w:spacing w:before="60" w:after="60"/>
              <w:jc w:val="center"/>
              <w:rPr>
                <w:noProof/>
                <w:sz w:val="20"/>
              </w:rPr>
            </w:pPr>
          </w:p>
        </w:tc>
        <w:tc>
          <w:tcPr>
            <w:tcW w:w="470" w:type="pct"/>
            <w:vAlign w:val="center"/>
          </w:tcPr>
          <w:p w:rsidR="007D02A8" w:rsidRPr="00A722F1" w:rsidRDefault="007D02A8" w:rsidP="000E727E">
            <w:pPr>
              <w:spacing w:before="60" w:after="60"/>
              <w:jc w:val="center"/>
              <w:rPr>
                <w:noProof/>
                <w:sz w:val="20"/>
              </w:rPr>
            </w:pPr>
          </w:p>
        </w:tc>
        <w:tc>
          <w:tcPr>
            <w:tcW w:w="470" w:type="pct"/>
            <w:vAlign w:val="center"/>
          </w:tcPr>
          <w:p w:rsidR="007D02A8" w:rsidRPr="00A722F1" w:rsidRDefault="007D02A8" w:rsidP="000E727E">
            <w:pPr>
              <w:spacing w:before="60" w:after="60"/>
              <w:jc w:val="center"/>
              <w:rPr>
                <w:noProof/>
                <w:sz w:val="20"/>
              </w:rPr>
            </w:pPr>
          </w:p>
        </w:tc>
        <w:tc>
          <w:tcPr>
            <w:tcW w:w="470" w:type="pct"/>
            <w:vAlign w:val="center"/>
          </w:tcPr>
          <w:p w:rsidR="007D02A8" w:rsidRPr="00A722F1" w:rsidRDefault="007D02A8" w:rsidP="000E727E">
            <w:pPr>
              <w:spacing w:before="60" w:after="60"/>
              <w:jc w:val="center"/>
              <w:rPr>
                <w:noProof/>
                <w:sz w:val="20"/>
              </w:rPr>
            </w:pPr>
          </w:p>
        </w:tc>
        <w:tc>
          <w:tcPr>
            <w:tcW w:w="470" w:type="pct"/>
            <w:vAlign w:val="center"/>
          </w:tcPr>
          <w:p w:rsidR="007D02A8" w:rsidRPr="00A722F1" w:rsidRDefault="007D02A8" w:rsidP="000E727E">
            <w:pPr>
              <w:spacing w:before="60" w:after="60"/>
              <w:jc w:val="center"/>
              <w:rPr>
                <w:noProof/>
                <w:sz w:val="20"/>
              </w:rPr>
            </w:pPr>
          </w:p>
        </w:tc>
        <w:tc>
          <w:tcPr>
            <w:tcW w:w="470" w:type="pct"/>
            <w:vAlign w:val="center"/>
          </w:tcPr>
          <w:p w:rsidR="007D02A8" w:rsidRPr="00A722F1" w:rsidRDefault="007D02A8" w:rsidP="000E727E">
            <w:pPr>
              <w:spacing w:before="60" w:after="60"/>
              <w:jc w:val="center"/>
              <w:rPr>
                <w:noProof/>
                <w:sz w:val="20"/>
              </w:rPr>
            </w:pPr>
          </w:p>
        </w:tc>
        <w:tc>
          <w:tcPr>
            <w:tcW w:w="470" w:type="pct"/>
            <w:vAlign w:val="center"/>
          </w:tcPr>
          <w:p w:rsidR="007D02A8" w:rsidRPr="00A722F1" w:rsidRDefault="007D02A8" w:rsidP="000E727E">
            <w:pPr>
              <w:spacing w:before="60" w:after="60"/>
              <w:jc w:val="center"/>
              <w:rPr>
                <w:noProof/>
                <w:sz w:val="20"/>
              </w:rPr>
            </w:pPr>
          </w:p>
        </w:tc>
        <w:tc>
          <w:tcPr>
            <w:tcW w:w="565" w:type="pct"/>
            <w:vAlign w:val="center"/>
          </w:tcPr>
          <w:p w:rsidR="007D02A8" w:rsidRPr="00A722F1" w:rsidRDefault="007D02A8" w:rsidP="000E727E">
            <w:pPr>
              <w:spacing w:before="60" w:after="60"/>
              <w:jc w:val="center"/>
              <w:rPr>
                <w:noProof/>
                <w:sz w:val="20"/>
              </w:rPr>
            </w:pPr>
          </w:p>
        </w:tc>
      </w:tr>
      <w:tr w:rsidR="007D02A8" w:rsidRPr="00A722F1" w:rsidTr="000E727E">
        <w:trPr>
          <w:cantSplit/>
        </w:trPr>
        <w:tc>
          <w:tcPr>
            <w:tcW w:w="1142" w:type="pct"/>
          </w:tcPr>
          <w:p w:rsidR="007D02A8" w:rsidRPr="00A722F1" w:rsidRDefault="007D02A8" w:rsidP="000E727E">
            <w:pPr>
              <w:spacing w:before="60" w:after="60"/>
              <w:jc w:val="left"/>
              <w:rPr>
                <w:noProof/>
                <w:sz w:val="20"/>
              </w:rPr>
            </w:pPr>
            <w:r w:rsidRPr="00A722F1">
              <w:rPr>
                <w:noProof/>
                <w:sz w:val="20"/>
              </w:rPr>
              <w:t xml:space="preserve">TOTAL appropriations co-financed </w:t>
            </w:r>
          </w:p>
        </w:tc>
        <w:tc>
          <w:tcPr>
            <w:tcW w:w="470" w:type="pct"/>
            <w:vAlign w:val="center"/>
          </w:tcPr>
          <w:p w:rsidR="007D02A8" w:rsidRPr="00A722F1" w:rsidRDefault="007D02A8" w:rsidP="000E727E">
            <w:pPr>
              <w:spacing w:before="60" w:after="60"/>
              <w:jc w:val="center"/>
              <w:rPr>
                <w:noProof/>
                <w:sz w:val="20"/>
              </w:rPr>
            </w:pPr>
          </w:p>
        </w:tc>
        <w:tc>
          <w:tcPr>
            <w:tcW w:w="470" w:type="pct"/>
            <w:vAlign w:val="center"/>
          </w:tcPr>
          <w:p w:rsidR="007D02A8" w:rsidRPr="00A722F1" w:rsidRDefault="007D02A8" w:rsidP="000E727E">
            <w:pPr>
              <w:spacing w:before="60" w:after="60"/>
              <w:jc w:val="center"/>
              <w:rPr>
                <w:noProof/>
                <w:sz w:val="20"/>
              </w:rPr>
            </w:pPr>
          </w:p>
        </w:tc>
        <w:tc>
          <w:tcPr>
            <w:tcW w:w="470" w:type="pct"/>
            <w:vAlign w:val="center"/>
          </w:tcPr>
          <w:p w:rsidR="007D02A8" w:rsidRPr="00A722F1" w:rsidRDefault="007D02A8" w:rsidP="000E727E">
            <w:pPr>
              <w:spacing w:before="60" w:after="60"/>
              <w:jc w:val="center"/>
              <w:rPr>
                <w:noProof/>
                <w:sz w:val="20"/>
              </w:rPr>
            </w:pPr>
          </w:p>
        </w:tc>
        <w:tc>
          <w:tcPr>
            <w:tcW w:w="470" w:type="pct"/>
            <w:vAlign w:val="center"/>
          </w:tcPr>
          <w:p w:rsidR="007D02A8" w:rsidRPr="00A722F1" w:rsidRDefault="007D02A8" w:rsidP="000E727E">
            <w:pPr>
              <w:spacing w:before="60" w:after="60"/>
              <w:jc w:val="center"/>
              <w:rPr>
                <w:noProof/>
                <w:sz w:val="20"/>
              </w:rPr>
            </w:pPr>
          </w:p>
        </w:tc>
        <w:tc>
          <w:tcPr>
            <w:tcW w:w="470" w:type="pct"/>
            <w:vAlign w:val="center"/>
          </w:tcPr>
          <w:p w:rsidR="007D02A8" w:rsidRPr="00A722F1" w:rsidRDefault="007D02A8" w:rsidP="000E727E">
            <w:pPr>
              <w:spacing w:before="60" w:after="60"/>
              <w:jc w:val="center"/>
              <w:rPr>
                <w:noProof/>
                <w:sz w:val="20"/>
              </w:rPr>
            </w:pPr>
          </w:p>
        </w:tc>
        <w:tc>
          <w:tcPr>
            <w:tcW w:w="470" w:type="pct"/>
            <w:vAlign w:val="center"/>
          </w:tcPr>
          <w:p w:rsidR="007D02A8" w:rsidRPr="00A722F1" w:rsidRDefault="007D02A8" w:rsidP="000E727E">
            <w:pPr>
              <w:spacing w:before="60" w:after="60"/>
              <w:jc w:val="center"/>
              <w:rPr>
                <w:noProof/>
                <w:sz w:val="20"/>
              </w:rPr>
            </w:pPr>
          </w:p>
        </w:tc>
        <w:tc>
          <w:tcPr>
            <w:tcW w:w="470" w:type="pct"/>
            <w:vAlign w:val="center"/>
          </w:tcPr>
          <w:p w:rsidR="007D02A8" w:rsidRPr="00A722F1" w:rsidRDefault="007D02A8" w:rsidP="000E727E">
            <w:pPr>
              <w:spacing w:before="60" w:after="60"/>
              <w:jc w:val="center"/>
              <w:rPr>
                <w:noProof/>
                <w:sz w:val="20"/>
              </w:rPr>
            </w:pPr>
          </w:p>
        </w:tc>
        <w:tc>
          <w:tcPr>
            <w:tcW w:w="565" w:type="pct"/>
            <w:vAlign w:val="center"/>
          </w:tcPr>
          <w:p w:rsidR="007D02A8" w:rsidRPr="00A722F1" w:rsidRDefault="007D02A8" w:rsidP="000E727E">
            <w:pPr>
              <w:spacing w:before="60" w:after="60"/>
              <w:jc w:val="center"/>
              <w:rPr>
                <w:noProof/>
                <w:sz w:val="20"/>
              </w:rPr>
            </w:pPr>
          </w:p>
        </w:tc>
      </w:tr>
    </w:tbl>
    <w:p w:rsidR="007D02A8" w:rsidRPr="00A722F1" w:rsidRDefault="007D02A8" w:rsidP="007D02A8">
      <w:pPr>
        <w:pStyle w:val="ManualHeading2"/>
        <w:rPr>
          <w:bCs/>
          <w:noProof/>
          <w:szCs w:val="24"/>
        </w:rPr>
      </w:pPr>
      <w:r w:rsidRPr="00A722F1">
        <w:rPr>
          <w:noProof/>
        </w:rPr>
        <w:br w:type="page"/>
      </w:r>
      <w:bookmarkStart w:id="43" w:name="_Toc514938059"/>
      <w:bookmarkStart w:id="44" w:name="_Toc520485057"/>
      <w:r w:rsidRPr="00A722F1">
        <w:rPr>
          <w:noProof/>
        </w:rPr>
        <w:t>3.3.</w:t>
      </w:r>
      <w:r w:rsidRPr="00A722F1">
        <w:rPr>
          <w:noProof/>
        </w:rPr>
        <w:tab/>
        <w:t>Estimated impact on revenue</w:t>
      </w:r>
      <w:bookmarkEnd w:id="43"/>
      <w:bookmarkEnd w:id="44"/>
      <w:r w:rsidRPr="00A722F1">
        <w:rPr>
          <w:noProof/>
        </w:rPr>
        <w:t xml:space="preserve"> </w:t>
      </w:r>
    </w:p>
    <w:p w:rsidR="007D02A8" w:rsidRPr="00A722F1" w:rsidRDefault="007D02A8" w:rsidP="007D02A8">
      <w:pPr>
        <w:pStyle w:val="ListDash1"/>
        <w:rPr>
          <w:noProof/>
        </w:rPr>
      </w:pPr>
      <w:r w:rsidRPr="00A722F1">
        <w:rPr>
          <w:noProof/>
        </w:rPr>
        <w:sym w:font="Wingdings" w:char="F06E"/>
      </w:r>
      <w:r w:rsidRPr="00A722F1">
        <w:rPr>
          <w:noProof/>
        </w:rPr>
        <w:tab/>
        <w:t>The proposal/initiative has no financial impact on revenue.</w:t>
      </w:r>
    </w:p>
    <w:p w:rsidR="007D02A8" w:rsidRPr="00A722F1" w:rsidRDefault="007D02A8" w:rsidP="007D02A8">
      <w:pPr>
        <w:pStyle w:val="ListDash1"/>
        <w:rPr>
          <w:noProof/>
        </w:rPr>
      </w:pPr>
      <w:r w:rsidRPr="00A722F1">
        <w:rPr>
          <w:noProof/>
        </w:rPr>
        <w:sym w:font="Wingdings" w:char="F0A8"/>
      </w:r>
      <w:r w:rsidRPr="00A722F1">
        <w:rPr>
          <w:noProof/>
        </w:rPr>
        <w:tab/>
        <w:t>The proposal/initiative has the following financial impact:</w:t>
      </w:r>
    </w:p>
    <w:p w:rsidR="007D02A8" w:rsidRPr="00A722F1" w:rsidRDefault="007D02A8" w:rsidP="007D02A8">
      <w:pPr>
        <w:pStyle w:val="ListNumberLevel3"/>
        <w:tabs>
          <w:tab w:val="clear" w:pos="2126"/>
        </w:tabs>
        <w:rPr>
          <w:noProof/>
        </w:rPr>
      </w:pPr>
      <w:r w:rsidRPr="00A722F1">
        <w:rPr>
          <w:noProof/>
        </w:rPr>
        <w:sym w:font="Wingdings" w:char="F0A8"/>
      </w:r>
      <w:r w:rsidRPr="00A722F1">
        <w:rPr>
          <w:noProof/>
        </w:rPr>
        <w:tab/>
        <w:t xml:space="preserve">on own resources </w:t>
      </w:r>
    </w:p>
    <w:p w:rsidR="007D02A8" w:rsidRPr="00A722F1" w:rsidRDefault="007D02A8" w:rsidP="007D02A8">
      <w:pPr>
        <w:pStyle w:val="ListNumberLevel3"/>
        <w:tabs>
          <w:tab w:val="clear" w:pos="2126"/>
        </w:tabs>
        <w:rPr>
          <w:noProof/>
        </w:rPr>
      </w:pPr>
      <w:r w:rsidRPr="00A722F1">
        <w:rPr>
          <w:noProof/>
        </w:rPr>
        <w:sym w:font="Wingdings" w:char="F0A8"/>
      </w:r>
      <w:r w:rsidRPr="00A722F1">
        <w:rPr>
          <w:noProof/>
        </w:rPr>
        <w:tab/>
        <w:t>on other revenue</w:t>
      </w:r>
    </w:p>
    <w:p w:rsidR="007D02A8" w:rsidRPr="00A722F1" w:rsidRDefault="007D02A8" w:rsidP="007D02A8">
      <w:pPr>
        <w:pStyle w:val="ListNumberLevel3"/>
        <w:tabs>
          <w:tab w:val="clear" w:pos="2126"/>
        </w:tabs>
        <w:rPr>
          <w:noProof/>
        </w:rPr>
      </w:pPr>
      <w:r w:rsidRPr="00A722F1">
        <w:rPr>
          <w:noProof/>
        </w:rPr>
        <w:t xml:space="preserve">please indicate, if the revenue is assigned to expenditure lines </w:t>
      </w:r>
      <w:r w:rsidRPr="00A722F1">
        <w:rPr>
          <w:noProof/>
        </w:rPr>
        <w:sym w:font="Wingdings" w:char="F0A8"/>
      </w:r>
      <w:r w:rsidRPr="00A722F1">
        <w:rPr>
          <w:noProof/>
        </w:rPr>
        <w:tab/>
      </w:r>
    </w:p>
    <w:p w:rsidR="007D02A8" w:rsidRPr="00A722F1" w:rsidRDefault="007D02A8" w:rsidP="007D02A8">
      <w:pPr>
        <w:ind w:left="4320"/>
        <w:jc w:val="right"/>
        <w:rPr>
          <w:i/>
          <w:noProof/>
          <w:sz w:val="16"/>
        </w:rPr>
      </w:pPr>
      <w:r w:rsidRPr="00A722F1">
        <w:rPr>
          <w:noProof/>
          <w:sz w:val="20"/>
        </w:rPr>
        <w:t xml:space="preserve">     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1306"/>
        <w:gridCol w:w="882"/>
        <w:gridCol w:w="769"/>
        <w:gridCol w:w="769"/>
        <w:gridCol w:w="926"/>
        <w:gridCol w:w="926"/>
        <w:gridCol w:w="926"/>
        <w:gridCol w:w="929"/>
      </w:tblGrid>
      <w:tr w:rsidR="007D02A8" w:rsidRPr="00A722F1" w:rsidTr="000E727E">
        <w:trPr>
          <w:trHeight w:val="388"/>
        </w:trPr>
        <w:tc>
          <w:tcPr>
            <w:tcW w:w="1009" w:type="pct"/>
            <w:vMerge w:val="restart"/>
            <w:vAlign w:val="center"/>
          </w:tcPr>
          <w:p w:rsidR="007D02A8" w:rsidRPr="00A722F1" w:rsidRDefault="007D02A8" w:rsidP="000E727E">
            <w:pPr>
              <w:spacing w:before="40" w:after="40"/>
              <w:rPr>
                <w:noProof/>
                <w:sz w:val="18"/>
              </w:rPr>
            </w:pPr>
            <w:r w:rsidRPr="00A722F1">
              <w:rPr>
                <w:noProof/>
                <w:sz w:val="18"/>
              </w:rPr>
              <w:t>Budget revenue line:</w:t>
            </w:r>
          </w:p>
        </w:tc>
        <w:tc>
          <w:tcPr>
            <w:tcW w:w="624" w:type="pct"/>
            <w:vMerge w:val="restart"/>
            <w:vAlign w:val="center"/>
          </w:tcPr>
          <w:p w:rsidR="007D02A8" w:rsidRPr="00A722F1" w:rsidRDefault="007D02A8" w:rsidP="000E727E">
            <w:pPr>
              <w:jc w:val="center"/>
              <w:rPr>
                <w:noProof/>
                <w:sz w:val="18"/>
              </w:rPr>
            </w:pPr>
            <w:r w:rsidRPr="00A722F1">
              <w:rPr>
                <w:noProof/>
                <w:sz w:val="18"/>
              </w:rPr>
              <w:t>Appropriations available for the current financial year</w:t>
            </w:r>
          </w:p>
        </w:tc>
        <w:tc>
          <w:tcPr>
            <w:tcW w:w="3367" w:type="pct"/>
            <w:gridSpan w:val="7"/>
            <w:vAlign w:val="center"/>
          </w:tcPr>
          <w:p w:rsidR="007D02A8" w:rsidRPr="00A722F1" w:rsidRDefault="007D02A8" w:rsidP="000E727E">
            <w:pPr>
              <w:jc w:val="center"/>
              <w:rPr>
                <w:noProof/>
                <w:sz w:val="18"/>
              </w:rPr>
            </w:pPr>
            <w:r w:rsidRPr="00A722F1">
              <w:rPr>
                <w:noProof/>
                <w:sz w:val="18"/>
              </w:rPr>
              <w:t>Impact of the proposal/initiative</w:t>
            </w:r>
            <w:r w:rsidRPr="00A722F1">
              <w:rPr>
                <w:rStyle w:val="FootnoteReference"/>
                <w:noProof/>
                <w:sz w:val="18"/>
              </w:rPr>
              <w:footnoteReference w:id="48"/>
            </w:r>
          </w:p>
        </w:tc>
      </w:tr>
      <w:tr w:rsidR="007D02A8" w:rsidRPr="00A722F1" w:rsidTr="000E727E">
        <w:trPr>
          <w:trHeight w:val="388"/>
        </w:trPr>
        <w:tc>
          <w:tcPr>
            <w:tcW w:w="1009" w:type="pct"/>
            <w:vMerge/>
          </w:tcPr>
          <w:p w:rsidR="007D02A8" w:rsidRPr="00A722F1" w:rsidRDefault="007D02A8" w:rsidP="000E727E">
            <w:pPr>
              <w:spacing w:before="40" w:after="40"/>
              <w:rPr>
                <w:noProof/>
                <w:sz w:val="18"/>
              </w:rPr>
            </w:pPr>
          </w:p>
        </w:tc>
        <w:tc>
          <w:tcPr>
            <w:tcW w:w="624" w:type="pct"/>
            <w:vMerge/>
          </w:tcPr>
          <w:p w:rsidR="007D02A8" w:rsidRPr="00A722F1" w:rsidRDefault="007D02A8" w:rsidP="000E727E">
            <w:pPr>
              <w:spacing w:beforeLines="40" w:before="96" w:afterLines="40" w:after="96"/>
              <w:rPr>
                <w:i/>
                <w:noProof/>
                <w:sz w:val="18"/>
              </w:rPr>
            </w:pPr>
          </w:p>
        </w:tc>
        <w:tc>
          <w:tcPr>
            <w:tcW w:w="485" w:type="pct"/>
            <w:vAlign w:val="center"/>
          </w:tcPr>
          <w:p w:rsidR="007D02A8" w:rsidRPr="00A722F1" w:rsidRDefault="007D02A8" w:rsidP="000E727E">
            <w:pPr>
              <w:jc w:val="center"/>
              <w:rPr>
                <w:noProof/>
                <w:sz w:val="18"/>
              </w:rPr>
            </w:pPr>
            <w:r w:rsidRPr="00A722F1">
              <w:rPr>
                <w:noProof/>
                <w:sz w:val="18"/>
              </w:rPr>
              <w:t>Year</w:t>
            </w:r>
            <w:r w:rsidRPr="00A722F1">
              <w:rPr>
                <w:noProof/>
                <w:sz w:val="22"/>
              </w:rPr>
              <w:br/>
            </w:r>
            <w:r w:rsidRPr="00A722F1">
              <w:rPr>
                <w:b/>
                <w:noProof/>
                <w:sz w:val="18"/>
              </w:rPr>
              <w:t>N</w:t>
            </w:r>
          </w:p>
        </w:tc>
        <w:tc>
          <w:tcPr>
            <w:tcW w:w="424" w:type="pct"/>
            <w:vAlign w:val="center"/>
          </w:tcPr>
          <w:p w:rsidR="007D02A8" w:rsidRPr="00A722F1" w:rsidRDefault="007D02A8" w:rsidP="000E727E">
            <w:pPr>
              <w:jc w:val="center"/>
              <w:rPr>
                <w:noProof/>
                <w:sz w:val="18"/>
              </w:rPr>
            </w:pPr>
            <w:r w:rsidRPr="00A722F1">
              <w:rPr>
                <w:noProof/>
                <w:sz w:val="18"/>
              </w:rPr>
              <w:t>Year</w:t>
            </w:r>
            <w:r w:rsidRPr="00A722F1">
              <w:rPr>
                <w:noProof/>
                <w:sz w:val="22"/>
              </w:rPr>
              <w:br/>
            </w:r>
            <w:r w:rsidRPr="00A722F1">
              <w:rPr>
                <w:b/>
                <w:noProof/>
                <w:sz w:val="18"/>
              </w:rPr>
              <w:t>N+1</w:t>
            </w:r>
          </w:p>
        </w:tc>
        <w:tc>
          <w:tcPr>
            <w:tcW w:w="424" w:type="pct"/>
            <w:vAlign w:val="center"/>
          </w:tcPr>
          <w:p w:rsidR="007D02A8" w:rsidRPr="00A722F1" w:rsidRDefault="007D02A8" w:rsidP="000E727E">
            <w:pPr>
              <w:jc w:val="center"/>
              <w:rPr>
                <w:noProof/>
                <w:sz w:val="18"/>
              </w:rPr>
            </w:pPr>
            <w:r w:rsidRPr="00A722F1">
              <w:rPr>
                <w:noProof/>
                <w:sz w:val="18"/>
              </w:rPr>
              <w:t>Year</w:t>
            </w:r>
            <w:r w:rsidRPr="00A722F1">
              <w:rPr>
                <w:noProof/>
                <w:sz w:val="22"/>
              </w:rPr>
              <w:br/>
            </w:r>
            <w:r w:rsidRPr="00A722F1">
              <w:rPr>
                <w:b/>
                <w:noProof/>
                <w:sz w:val="18"/>
              </w:rPr>
              <w:t>N+2</w:t>
            </w:r>
          </w:p>
        </w:tc>
        <w:tc>
          <w:tcPr>
            <w:tcW w:w="508" w:type="pct"/>
            <w:vAlign w:val="center"/>
          </w:tcPr>
          <w:p w:rsidR="007D02A8" w:rsidRPr="00A722F1" w:rsidRDefault="007D02A8" w:rsidP="000E727E">
            <w:pPr>
              <w:jc w:val="center"/>
              <w:rPr>
                <w:noProof/>
                <w:sz w:val="18"/>
              </w:rPr>
            </w:pPr>
            <w:r w:rsidRPr="00A722F1">
              <w:rPr>
                <w:noProof/>
                <w:sz w:val="18"/>
              </w:rPr>
              <w:t>Year</w:t>
            </w:r>
            <w:r w:rsidRPr="00A722F1">
              <w:rPr>
                <w:noProof/>
                <w:sz w:val="22"/>
              </w:rPr>
              <w:br/>
            </w:r>
            <w:r w:rsidRPr="00A722F1">
              <w:rPr>
                <w:b/>
                <w:noProof/>
                <w:sz w:val="18"/>
              </w:rPr>
              <w:t>N+3</w:t>
            </w:r>
          </w:p>
        </w:tc>
        <w:tc>
          <w:tcPr>
            <w:tcW w:w="1525" w:type="pct"/>
            <w:gridSpan w:val="3"/>
            <w:vAlign w:val="center"/>
          </w:tcPr>
          <w:p w:rsidR="007D02A8" w:rsidRPr="00A722F1" w:rsidRDefault="007D02A8" w:rsidP="000E727E">
            <w:pPr>
              <w:jc w:val="center"/>
              <w:rPr>
                <w:b/>
                <w:noProof/>
                <w:sz w:val="18"/>
              </w:rPr>
            </w:pPr>
            <w:r w:rsidRPr="00A722F1">
              <w:rPr>
                <w:noProof/>
                <w:sz w:val="18"/>
              </w:rPr>
              <w:t>Enter as many years as necessary to show the duration of the impact (see point 1.6)</w:t>
            </w:r>
          </w:p>
        </w:tc>
      </w:tr>
      <w:tr w:rsidR="007D02A8" w:rsidRPr="00A722F1" w:rsidTr="000E727E">
        <w:trPr>
          <w:trHeight w:val="388"/>
        </w:trPr>
        <w:tc>
          <w:tcPr>
            <w:tcW w:w="1009" w:type="pct"/>
            <w:vAlign w:val="center"/>
          </w:tcPr>
          <w:p w:rsidR="007D02A8" w:rsidRPr="00A722F1" w:rsidRDefault="007D02A8" w:rsidP="000E727E">
            <w:pPr>
              <w:spacing w:before="40" w:after="40"/>
              <w:rPr>
                <w:noProof/>
                <w:sz w:val="18"/>
              </w:rPr>
            </w:pPr>
            <w:r w:rsidRPr="00A722F1">
              <w:rPr>
                <w:noProof/>
                <w:sz w:val="18"/>
              </w:rPr>
              <w:t>Article ………….</w:t>
            </w:r>
          </w:p>
        </w:tc>
        <w:tc>
          <w:tcPr>
            <w:tcW w:w="624" w:type="pct"/>
          </w:tcPr>
          <w:p w:rsidR="007D02A8" w:rsidRPr="00A722F1" w:rsidRDefault="007D02A8" w:rsidP="000E727E">
            <w:pPr>
              <w:spacing w:beforeLines="40" w:before="96" w:afterLines="40" w:after="96"/>
              <w:jc w:val="center"/>
              <w:rPr>
                <w:i/>
                <w:noProof/>
                <w:sz w:val="18"/>
              </w:rPr>
            </w:pPr>
          </w:p>
        </w:tc>
        <w:tc>
          <w:tcPr>
            <w:tcW w:w="485" w:type="pct"/>
          </w:tcPr>
          <w:p w:rsidR="007D02A8" w:rsidRPr="00A722F1" w:rsidRDefault="007D02A8" w:rsidP="000E727E">
            <w:pPr>
              <w:spacing w:beforeLines="40" w:before="96" w:afterLines="40" w:after="96"/>
              <w:jc w:val="center"/>
              <w:rPr>
                <w:noProof/>
                <w:sz w:val="18"/>
              </w:rPr>
            </w:pPr>
          </w:p>
        </w:tc>
        <w:tc>
          <w:tcPr>
            <w:tcW w:w="424" w:type="pct"/>
          </w:tcPr>
          <w:p w:rsidR="007D02A8" w:rsidRPr="00A722F1" w:rsidRDefault="007D02A8" w:rsidP="000E727E">
            <w:pPr>
              <w:spacing w:beforeLines="40" w:before="96" w:afterLines="40" w:after="96"/>
              <w:jc w:val="center"/>
              <w:rPr>
                <w:noProof/>
                <w:sz w:val="18"/>
              </w:rPr>
            </w:pPr>
          </w:p>
        </w:tc>
        <w:tc>
          <w:tcPr>
            <w:tcW w:w="424" w:type="pct"/>
          </w:tcPr>
          <w:p w:rsidR="007D02A8" w:rsidRPr="00A722F1" w:rsidRDefault="007D02A8" w:rsidP="000E727E">
            <w:pPr>
              <w:spacing w:beforeLines="40" w:before="96" w:afterLines="40" w:after="96"/>
              <w:jc w:val="center"/>
              <w:rPr>
                <w:noProof/>
                <w:sz w:val="18"/>
              </w:rPr>
            </w:pPr>
          </w:p>
        </w:tc>
        <w:tc>
          <w:tcPr>
            <w:tcW w:w="508" w:type="pct"/>
          </w:tcPr>
          <w:p w:rsidR="007D02A8" w:rsidRPr="00A722F1" w:rsidRDefault="007D02A8" w:rsidP="000E727E">
            <w:pPr>
              <w:spacing w:beforeLines="40" w:before="96" w:afterLines="40" w:after="96"/>
              <w:jc w:val="center"/>
              <w:rPr>
                <w:noProof/>
                <w:sz w:val="18"/>
              </w:rPr>
            </w:pPr>
          </w:p>
        </w:tc>
        <w:tc>
          <w:tcPr>
            <w:tcW w:w="508" w:type="pct"/>
          </w:tcPr>
          <w:p w:rsidR="007D02A8" w:rsidRPr="00A722F1" w:rsidRDefault="007D02A8" w:rsidP="000E727E">
            <w:pPr>
              <w:spacing w:beforeLines="40" w:before="96" w:afterLines="40" w:after="96"/>
              <w:jc w:val="center"/>
              <w:rPr>
                <w:noProof/>
                <w:sz w:val="18"/>
              </w:rPr>
            </w:pPr>
          </w:p>
        </w:tc>
        <w:tc>
          <w:tcPr>
            <w:tcW w:w="508" w:type="pct"/>
          </w:tcPr>
          <w:p w:rsidR="007D02A8" w:rsidRPr="00A722F1" w:rsidRDefault="007D02A8" w:rsidP="000E727E">
            <w:pPr>
              <w:spacing w:beforeLines="40" w:before="96" w:afterLines="40" w:after="96"/>
              <w:jc w:val="center"/>
              <w:rPr>
                <w:noProof/>
                <w:sz w:val="18"/>
              </w:rPr>
            </w:pPr>
          </w:p>
        </w:tc>
        <w:tc>
          <w:tcPr>
            <w:tcW w:w="508" w:type="pct"/>
          </w:tcPr>
          <w:p w:rsidR="007D02A8" w:rsidRPr="00A722F1" w:rsidRDefault="007D02A8" w:rsidP="000E727E">
            <w:pPr>
              <w:spacing w:beforeLines="40" w:before="96" w:afterLines="40" w:after="96"/>
              <w:jc w:val="center"/>
              <w:rPr>
                <w:noProof/>
                <w:sz w:val="18"/>
              </w:rPr>
            </w:pPr>
          </w:p>
        </w:tc>
      </w:tr>
    </w:tbl>
    <w:p w:rsidR="007D02A8" w:rsidRPr="00A722F1" w:rsidRDefault="007D02A8" w:rsidP="007D02A8">
      <w:pPr>
        <w:pStyle w:val="Text1"/>
        <w:rPr>
          <w:noProof/>
          <w:sz w:val="20"/>
        </w:rPr>
      </w:pPr>
      <w:r w:rsidRPr="00A722F1">
        <w:rPr>
          <w:noProof/>
          <w:sz w:val="20"/>
        </w:rPr>
        <w:t>For assigned revenue, specify the budget expenditure line(s) affected.</w:t>
      </w:r>
    </w:p>
    <w:p w:rsidR="007D02A8" w:rsidRPr="00A722F1" w:rsidRDefault="007D02A8" w:rsidP="007D02A8">
      <w:pPr>
        <w:pStyle w:val="Text1"/>
        <w:pBdr>
          <w:top w:val="single" w:sz="4" w:space="1" w:color="auto"/>
          <w:left w:val="single" w:sz="4" w:space="4" w:color="auto"/>
          <w:bottom w:val="single" w:sz="4" w:space="1" w:color="auto"/>
          <w:right w:val="single" w:sz="4" w:space="4" w:color="auto"/>
        </w:pBdr>
        <w:rPr>
          <w:noProof/>
        </w:rPr>
      </w:pPr>
    </w:p>
    <w:p w:rsidR="007D02A8" w:rsidRDefault="007D02A8" w:rsidP="007D02A8">
      <w:pPr>
        <w:pStyle w:val="Text1"/>
        <w:rPr>
          <w:noProof/>
          <w:sz w:val="20"/>
        </w:rPr>
      </w:pPr>
      <w:r w:rsidRPr="00A722F1">
        <w:rPr>
          <w:noProof/>
          <w:sz w:val="20"/>
        </w:rPr>
        <w:t>Other remarks (e.g. method/formula used for calculating the impact on revenue or any other information).</w:t>
      </w:r>
    </w:p>
    <w:p w:rsidR="007D02A8" w:rsidRDefault="007D02A8" w:rsidP="007D02A8">
      <w:pPr>
        <w:pStyle w:val="Text1"/>
        <w:pBdr>
          <w:top w:val="single" w:sz="4" w:space="1" w:color="auto"/>
          <w:left w:val="single" w:sz="4" w:space="4" w:color="auto"/>
          <w:bottom w:val="single" w:sz="4" w:space="1" w:color="auto"/>
          <w:right w:val="single" w:sz="4" w:space="4" w:color="auto"/>
        </w:pBdr>
        <w:rPr>
          <w:noProof/>
        </w:rPr>
      </w:pPr>
    </w:p>
    <w:p w:rsidR="00322C13" w:rsidRPr="007D02A8" w:rsidRDefault="00322C13" w:rsidP="00853201">
      <w:pPr>
        <w:rPr>
          <w:noProof/>
        </w:rPr>
      </w:pPr>
    </w:p>
    <w:sectPr w:rsidR="00322C13" w:rsidRPr="007D02A8" w:rsidSect="00BD72CF">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ECE" w:rsidRDefault="00327ECE" w:rsidP="00322C13">
      <w:pPr>
        <w:spacing w:before="0" w:after="0"/>
      </w:pPr>
      <w:r>
        <w:separator/>
      </w:r>
    </w:p>
  </w:endnote>
  <w:endnote w:type="continuationSeparator" w:id="0">
    <w:p w:rsidR="00327ECE" w:rsidRDefault="00327ECE" w:rsidP="00322C13">
      <w:pPr>
        <w:spacing w:before="0" w:after="0"/>
      </w:pPr>
      <w:r>
        <w:continuationSeparator/>
      </w:r>
    </w:p>
  </w:endnote>
  <w:endnote w:type="continuationNotice" w:id="1">
    <w:p w:rsidR="00327ECE" w:rsidRDefault="00327E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3E" w:rsidRPr="00BD72CF" w:rsidRDefault="00BD72CF" w:rsidP="00BD72CF">
    <w:pPr>
      <w:pStyle w:val="Footer"/>
      <w:rPr>
        <w:rFonts w:ascii="Arial" w:hAnsi="Arial" w:cs="Arial"/>
        <w:b/>
        <w:sz w:val="48"/>
      </w:rPr>
    </w:pPr>
    <w:r w:rsidRPr="00BD72CF">
      <w:rPr>
        <w:rFonts w:ascii="Arial" w:hAnsi="Arial" w:cs="Arial"/>
        <w:b/>
        <w:sz w:val="48"/>
      </w:rPr>
      <w:t>EN</w:t>
    </w:r>
    <w:r w:rsidRPr="00BD72CF">
      <w:rPr>
        <w:rFonts w:ascii="Arial" w:hAnsi="Arial" w:cs="Arial"/>
        <w:b/>
        <w:sz w:val="48"/>
      </w:rPr>
      <w:tab/>
    </w:r>
    <w:r w:rsidRPr="00BD72CF">
      <w:rPr>
        <w:rFonts w:ascii="Arial" w:hAnsi="Arial" w:cs="Arial"/>
        <w:b/>
        <w:sz w:val="48"/>
      </w:rPr>
      <w:tab/>
    </w:r>
    <w:r w:rsidRPr="00BD72CF">
      <w:tab/>
    </w:r>
    <w:r w:rsidRPr="00BD72C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2CF" w:rsidRPr="00BD72CF" w:rsidRDefault="00BD72CF" w:rsidP="00BD72CF">
    <w:pPr>
      <w:pStyle w:val="Footer"/>
      <w:rPr>
        <w:rFonts w:ascii="Arial" w:hAnsi="Arial" w:cs="Arial"/>
        <w:b/>
        <w:sz w:val="48"/>
      </w:rPr>
    </w:pPr>
    <w:r w:rsidRPr="00BD72CF">
      <w:rPr>
        <w:rFonts w:ascii="Arial" w:hAnsi="Arial" w:cs="Arial"/>
        <w:b/>
        <w:sz w:val="48"/>
      </w:rPr>
      <w:t>EN</w:t>
    </w:r>
    <w:r w:rsidRPr="00BD72CF">
      <w:rPr>
        <w:rFonts w:ascii="Arial" w:hAnsi="Arial" w:cs="Arial"/>
        <w:b/>
        <w:sz w:val="48"/>
      </w:rPr>
      <w:tab/>
    </w:r>
    <w:r>
      <w:fldChar w:fldCharType="begin"/>
    </w:r>
    <w:r>
      <w:instrText xml:space="preserve"> PAGE  \* MERGEFORMAT </w:instrText>
    </w:r>
    <w:r>
      <w:fldChar w:fldCharType="separate"/>
    </w:r>
    <w:r w:rsidR="0043295D">
      <w:rPr>
        <w:noProof/>
      </w:rPr>
      <w:t>16</w:t>
    </w:r>
    <w:r>
      <w:fldChar w:fldCharType="end"/>
    </w:r>
    <w:r>
      <w:tab/>
    </w:r>
    <w:r w:rsidRPr="00BD72CF">
      <w:tab/>
    </w:r>
    <w:r w:rsidRPr="00BD72C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2CF" w:rsidRPr="00BD72CF" w:rsidRDefault="00BD72CF" w:rsidP="00BD72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2CF" w:rsidRPr="00BD72CF" w:rsidRDefault="00BD72CF" w:rsidP="00BD72CF">
    <w:pPr>
      <w:pStyle w:val="FooterLandscape"/>
      <w:rPr>
        <w:rFonts w:ascii="Arial" w:hAnsi="Arial" w:cs="Arial"/>
        <w:b/>
        <w:sz w:val="48"/>
      </w:rPr>
    </w:pPr>
    <w:r w:rsidRPr="00BD72CF">
      <w:rPr>
        <w:rFonts w:ascii="Arial" w:hAnsi="Arial" w:cs="Arial"/>
        <w:b/>
        <w:sz w:val="48"/>
      </w:rPr>
      <w:t>EN</w:t>
    </w:r>
    <w:r w:rsidRPr="00BD72C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D72CF">
      <w:tab/>
    </w:r>
    <w:r w:rsidRPr="00BD72CF">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2CF" w:rsidRPr="00BD72CF" w:rsidRDefault="00BD72CF" w:rsidP="00BD72CF">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025" w:rsidRPr="00BD72CF" w:rsidRDefault="00BD72CF" w:rsidP="00BD72CF">
    <w:pPr>
      <w:pStyle w:val="Footer"/>
      <w:rPr>
        <w:rFonts w:ascii="Arial" w:hAnsi="Arial" w:cs="Arial"/>
        <w:b/>
        <w:sz w:val="48"/>
      </w:rPr>
    </w:pPr>
    <w:r w:rsidRPr="00BD72CF">
      <w:rPr>
        <w:rFonts w:ascii="Arial" w:hAnsi="Arial" w:cs="Arial"/>
        <w:b/>
        <w:sz w:val="48"/>
      </w:rPr>
      <w:t>EN</w:t>
    </w:r>
    <w:r w:rsidRPr="00BD72C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BD72CF">
      <w:tab/>
    </w:r>
    <w:r w:rsidRPr="00BD72CF">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2CF" w:rsidRPr="00BD72CF" w:rsidRDefault="00BD72CF" w:rsidP="00BD7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ECE" w:rsidRDefault="00327ECE" w:rsidP="00322C13">
      <w:pPr>
        <w:spacing w:before="0" w:after="0"/>
      </w:pPr>
      <w:r>
        <w:separator/>
      </w:r>
    </w:p>
  </w:footnote>
  <w:footnote w:type="continuationSeparator" w:id="0">
    <w:p w:rsidR="00327ECE" w:rsidRDefault="00327ECE" w:rsidP="00322C13">
      <w:pPr>
        <w:spacing w:before="0" w:after="0"/>
      </w:pPr>
      <w:r>
        <w:continuationSeparator/>
      </w:r>
    </w:p>
  </w:footnote>
  <w:footnote w:type="continuationNotice" w:id="1">
    <w:p w:rsidR="00327ECE" w:rsidRDefault="00327ECE">
      <w:pPr>
        <w:spacing w:before="0" w:after="0"/>
      </w:pPr>
    </w:p>
  </w:footnote>
  <w:footnote w:id="2">
    <w:p w:rsidR="0060703E" w:rsidRPr="00F73EB0" w:rsidRDefault="0060703E" w:rsidP="00D066D2">
      <w:pPr>
        <w:pStyle w:val="FootnoteText"/>
        <w:rPr>
          <w:lang w:val="en-IE"/>
        </w:rPr>
      </w:pPr>
      <w:r w:rsidRPr="00C3745B">
        <w:rPr>
          <w:rStyle w:val="FootnoteReference"/>
        </w:rPr>
        <w:footnoteRef/>
      </w:r>
      <w:r>
        <w:tab/>
      </w:r>
      <w:r w:rsidRPr="007B0EB6">
        <w:rPr>
          <w:lang w:val="en-IE"/>
        </w:rPr>
        <w:t xml:space="preserve">Regulation (EU) 2021/953 of the European Parliament and of the Council of 14 June 2021 on a framework for the issuance, verification and acceptance of interoperable COVID-19 vaccination, test and recovery certificates (EU Digital COVID Certificate) to facilitate free movement during the COVID-19 </w:t>
      </w:r>
      <w:r>
        <w:rPr>
          <w:lang w:val="en-IE"/>
        </w:rPr>
        <w:t>pandemic (</w:t>
      </w:r>
      <w:r w:rsidRPr="007B0EB6">
        <w:rPr>
          <w:lang w:val="en-IE"/>
        </w:rPr>
        <w:t>OJ L 211, 15.6.2021, p. 1</w:t>
      </w:r>
      <w:r>
        <w:rPr>
          <w:lang w:val="en-IE"/>
        </w:rPr>
        <w:t>).</w:t>
      </w:r>
    </w:p>
  </w:footnote>
  <w:footnote w:id="3">
    <w:p w:rsidR="0060703E" w:rsidRPr="00104676" w:rsidRDefault="0060703E" w:rsidP="00D066D2">
      <w:pPr>
        <w:pStyle w:val="FootnoteText"/>
      </w:pPr>
      <w:r w:rsidRPr="00C3745B">
        <w:rPr>
          <w:rStyle w:val="FootnoteReference"/>
        </w:rPr>
        <w:footnoteRef/>
      </w:r>
      <w:r>
        <w:tab/>
        <w:t>Accompanied by Regulation (EU) 2021/954 of the European Parliament and of the Council of 14 June 2021 on a framework for the issuance, verification and acceptance of interoperable COVID-19 vaccination, test and recovery certificates (EU Digital COVID Certificate) with regard to third-country nationals legally staying or residing in the territories of Member States during the COVID-19 pandemic (OJ L 211, 15.6.2021, p. 24).</w:t>
      </w:r>
    </w:p>
  </w:footnote>
  <w:footnote w:id="4">
    <w:p w:rsidR="0060703E" w:rsidRPr="00F73EB0" w:rsidRDefault="0060703E" w:rsidP="00174F7E">
      <w:pPr>
        <w:pStyle w:val="FootnoteText"/>
        <w:rPr>
          <w:lang w:val="en-IE"/>
        </w:rPr>
      </w:pPr>
      <w:r w:rsidRPr="00C3745B">
        <w:rPr>
          <w:rStyle w:val="FootnoteReference"/>
        </w:rPr>
        <w:footnoteRef/>
      </w:r>
      <w:r>
        <w:tab/>
      </w:r>
      <w:r w:rsidRPr="00C209DC">
        <w:t xml:space="preserve">Available at: </w:t>
      </w:r>
      <w:hyperlink r:id="rId1" w:history="1">
        <w:r w:rsidRPr="00C209DC">
          <w:rPr>
            <w:rStyle w:val="Hyperlink"/>
          </w:rPr>
          <w:t>https://www.europarl.europa.eu/at-your-service/files/be-heard/eurobarometer/2021/soteu-flash-survey/soteu-2021-report-en.pdf</w:t>
        </w:r>
      </w:hyperlink>
    </w:p>
  </w:footnote>
  <w:footnote w:id="5">
    <w:p w:rsidR="0060703E" w:rsidRPr="00174F7E" w:rsidRDefault="0060703E">
      <w:pPr>
        <w:pStyle w:val="FootnoteText"/>
        <w:rPr>
          <w:lang w:val="en-IE"/>
        </w:rPr>
      </w:pPr>
      <w:r w:rsidRPr="00933085">
        <w:rPr>
          <w:rStyle w:val="FootnoteReference"/>
        </w:rPr>
        <w:footnoteRef/>
      </w:r>
      <w:r>
        <w:tab/>
      </w:r>
      <w:hyperlink r:id="rId2" w:history="1">
        <w:r w:rsidRPr="003B6DA0">
          <w:rPr>
            <w:rStyle w:val="Hyperlink"/>
            <w:lang w:val="en-IE"/>
          </w:rPr>
          <w:t>https://www.medrxiv.org/content/10.1101/2021.10.21.21265355v2</w:t>
        </w:r>
      </w:hyperlink>
      <w:r>
        <w:rPr>
          <w:lang w:val="en-IE"/>
        </w:rPr>
        <w:t xml:space="preserve"> </w:t>
      </w:r>
    </w:p>
  </w:footnote>
  <w:footnote w:id="6">
    <w:p w:rsidR="0060703E" w:rsidRPr="00174F7E" w:rsidRDefault="0060703E">
      <w:pPr>
        <w:pStyle w:val="FootnoteText"/>
        <w:rPr>
          <w:lang w:val="en-IE"/>
        </w:rPr>
      </w:pPr>
      <w:r w:rsidRPr="00933085">
        <w:rPr>
          <w:rStyle w:val="FootnoteReference"/>
        </w:rPr>
        <w:footnoteRef/>
      </w:r>
      <w:r>
        <w:tab/>
      </w:r>
      <w:hyperlink r:id="rId3" w:history="1">
        <w:r w:rsidRPr="003B6DA0">
          <w:rPr>
            <w:rStyle w:val="Hyperlink"/>
            <w:lang w:val="en-IE"/>
          </w:rPr>
          <w:t>https://www.bruegel.org/2022/01/the-effect-of-covid-certificates-on-vaccine-uptake-public-health-and-the-economy/</w:t>
        </w:r>
      </w:hyperlink>
      <w:r>
        <w:rPr>
          <w:lang w:val="en-IE"/>
        </w:rPr>
        <w:t xml:space="preserve"> </w:t>
      </w:r>
    </w:p>
  </w:footnote>
  <w:footnote w:id="7">
    <w:p w:rsidR="0060703E" w:rsidRPr="00693B63" w:rsidRDefault="0060703E" w:rsidP="007D7466">
      <w:pPr>
        <w:pStyle w:val="FootnoteText"/>
        <w:rPr>
          <w:lang w:val="en-IE"/>
        </w:rPr>
      </w:pPr>
      <w:r w:rsidRPr="008E12FD">
        <w:rPr>
          <w:rStyle w:val="FootnoteReference"/>
        </w:rPr>
        <w:footnoteRef/>
      </w:r>
      <w:r>
        <w:tab/>
      </w:r>
      <w:r>
        <w:rPr>
          <w:lang w:val="en-IE"/>
        </w:rPr>
        <w:t>Iceland, Liechtenstein and Norway.</w:t>
      </w:r>
    </w:p>
  </w:footnote>
  <w:footnote w:id="8">
    <w:p w:rsidR="0060703E" w:rsidRPr="0018104C" w:rsidRDefault="0060703E" w:rsidP="007D7466">
      <w:pPr>
        <w:pStyle w:val="FootnoteText"/>
      </w:pPr>
      <w:r w:rsidRPr="00166536">
        <w:rPr>
          <w:rStyle w:val="FootnoteReference"/>
        </w:rPr>
        <w:footnoteRef/>
      </w:r>
      <w:r>
        <w:tab/>
        <w:t>Union citizens and Swiss nationals enjoy reciprocal rights of entry and residence based on the Agreement between the European Community and its Member States, of the one part, and the Swiss Confederation, of the other, on the free movement of persons (</w:t>
      </w:r>
      <w:r w:rsidRPr="00C61F64">
        <w:t>OJ L 114, 30.4.2002, p. 6</w:t>
      </w:r>
      <w:r>
        <w:t>).</w:t>
      </w:r>
    </w:p>
  </w:footnote>
  <w:footnote w:id="9">
    <w:p w:rsidR="0060703E" w:rsidRPr="00853298" w:rsidRDefault="0060703E" w:rsidP="007D7466">
      <w:pPr>
        <w:pStyle w:val="FootnoteText"/>
      </w:pPr>
      <w:r w:rsidRPr="00166536">
        <w:rPr>
          <w:rStyle w:val="FootnoteReference"/>
        </w:rPr>
        <w:footnoteRef/>
      </w:r>
      <w:r>
        <w:tab/>
      </w:r>
      <w:hyperlink r:id="rId4" w:anchor="recognition-of-covid-certificates-from-third-non-eu-countries" w:history="1">
        <w:r w:rsidRPr="00805673">
          <w:rPr>
            <w:rStyle w:val="Hyperlink"/>
          </w:rPr>
          <w:t>https://ec.europa.eu/info/live-work-travel-eu/coronavirus-response/safe-covid-19-vaccines-europeans/eu-digital-covid-certificate_en#recognition-of-covid-certificates-from-third-non-eu-countries</w:t>
        </w:r>
      </w:hyperlink>
      <w:r>
        <w:t xml:space="preserve"> </w:t>
      </w:r>
    </w:p>
  </w:footnote>
  <w:footnote w:id="10">
    <w:p w:rsidR="00CB7D32" w:rsidRPr="009754C7" w:rsidRDefault="00CB7D32">
      <w:pPr>
        <w:pStyle w:val="FootnoteText"/>
        <w:rPr>
          <w:lang w:val="en-IE"/>
        </w:rPr>
      </w:pPr>
      <w:r w:rsidRPr="00516FC4">
        <w:rPr>
          <w:rStyle w:val="FootnoteReference"/>
        </w:rPr>
        <w:footnoteRef/>
      </w:r>
      <w:r w:rsidR="00516FC4">
        <w:tab/>
      </w:r>
      <w:hyperlink r:id="rId5" w:history="1">
        <w:r w:rsidRPr="0034112C">
          <w:rPr>
            <w:rStyle w:val="Hyperlink"/>
            <w:lang w:val="en-IE"/>
          </w:rPr>
          <w:t>https://wttc.org/News-Article/WTTC-identifies-digital-solutions-for-governments-worldwide-to-significantly-restore-international-mobility</w:t>
        </w:r>
      </w:hyperlink>
      <w:r>
        <w:rPr>
          <w:lang w:val="en-IE"/>
        </w:rPr>
        <w:t xml:space="preserve"> </w:t>
      </w:r>
    </w:p>
  </w:footnote>
  <w:footnote w:id="11">
    <w:p w:rsidR="00CB7D32" w:rsidRPr="009754C7" w:rsidRDefault="00CB7D32">
      <w:pPr>
        <w:pStyle w:val="FootnoteText"/>
        <w:rPr>
          <w:lang w:val="en-IE"/>
        </w:rPr>
      </w:pPr>
      <w:r w:rsidRPr="00516FC4">
        <w:rPr>
          <w:rStyle w:val="FootnoteReference"/>
        </w:rPr>
        <w:footnoteRef/>
      </w:r>
      <w:r w:rsidR="00516FC4">
        <w:tab/>
      </w:r>
      <w:hyperlink r:id="rId6" w:history="1">
        <w:r w:rsidRPr="0034112C">
          <w:rPr>
            <w:rStyle w:val="Hyperlink"/>
            <w:lang w:val="en-IE"/>
          </w:rPr>
          <w:t>https://www.iata.org/en/pressroom/2021-releases/2021-08-26-01/</w:t>
        </w:r>
      </w:hyperlink>
      <w:r>
        <w:rPr>
          <w:lang w:val="en-IE"/>
        </w:rPr>
        <w:t xml:space="preserve"> </w:t>
      </w:r>
    </w:p>
  </w:footnote>
  <w:footnote w:id="12">
    <w:p w:rsidR="004B554B" w:rsidRPr="002B274B" w:rsidRDefault="004B554B" w:rsidP="004B554B">
      <w:pPr>
        <w:pStyle w:val="FootnoteText"/>
        <w:rPr>
          <w:lang w:val="en-IE"/>
        </w:rPr>
      </w:pPr>
      <w:r w:rsidRPr="002C17D2">
        <w:rPr>
          <w:rStyle w:val="FootnoteReference"/>
        </w:rPr>
        <w:footnoteRef/>
      </w:r>
      <w:r w:rsidR="002C17D2">
        <w:tab/>
      </w:r>
      <w:r>
        <w:rPr>
          <w:lang w:val="en-IE"/>
        </w:rPr>
        <w:t xml:space="preserve">By means of an </w:t>
      </w:r>
      <w:r>
        <w:t>implementing act adopted pursuant to Article 8(2) of Regulation (EU) 2021/953.</w:t>
      </w:r>
    </w:p>
  </w:footnote>
  <w:footnote w:id="13">
    <w:p w:rsidR="0060703E" w:rsidRPr="00061F5B" w:rsidRDefault="0060703E">
      <w:pPr>
        <w:pStyle w:val="FootnoteText"/>
        <w:rPr>
          <w:lang w:val="en-IE"/>
        </w:rPr>
      </w:pPr>
      <w:r w:rsidRPr="00933085">
        <w:rPr>
          <w:rStyle w:val="FootnoteReference"/>
        </w:rPr>
        <w:footnoteRef/>
      </w:r>
      <w:r>
        <w:tab/>
        <w:t>Council Recommendation (EU) 2022/107 of 25 January 2022 on a coordinated approach to facilitate safe free movement during the COVID-19 pandemic and replacing Recommendation (EU) 2020/1475 (</w:t>
      </w:r>
      <w:r w:rsidRPr="0000746E">
        <w:t>OJ L 18, 27.1.2022, p. 110</w:t>
      </w:r>
      <w:r>
        <w:t>).</w:t>
      </w:r>
    </w:p>
  </w:footnote>
  <w:footnote w:id="14">
    <w:p w:rsidR="0060703E" w:rsidRPr="000B0D75" w:rsidRDefault="0060703E" w:rsidP="00061F5B">
      <w:pPr>
        <w:pStyle w:val="FootnoteText"/>
        <w:rPr>
          <w:lang w:val="en-IE"/>
        </w:rPr>
      </w:pPr>
      <w:r w:rsidRPr="00933085">
        <w:rPr>
          <w:rStyle w:val="FootnoteReference"/>
        </w:rPr>
        <w:footnoteRef/>
      </w:r>
      <w:r>
        <w:tab/>
      </w:r>
      <w:hyperlink r:id="rId7" w:history="1">
        <w:r w:rsidRPr="00F67047">
          <w:rPr>
            <w:rStyle w:val="Hyperlink"/>
            <w:lang w:val="en-IE"/>
          </w:rPr>
          <w:t>https://vaccinetracker.ecdc.europa.eu/public/extensions/COVID-19/vaccine-tracker.html</w:t>
        </w:r>
      </w:hyperlink>
      <w:r>
        <w:rPr>
          <w:lang w:val="en-IE"/>
        </w:rPr>
        <w:t xml:space="preserve"> </w:t>
      </w:r>
    </w:p>
  </w:footnote>
  <w:footnote w:id="15">
    <w:p w:rsidR="00A41F28" w:rsidRPr="00476F77" w:rsidRDefault="00A41F28" w:rsidP="00A41F28">
      <w:pPr>
        <w:pStyle w:val="FootnoteText"/>
        <w:rPr>
          <w:lang w:val="en-IE"/>
        </w:rPr>
      </w:pPr>
      <w:r w:rsidRPr="002C17D2">
        <w:rPr>
          <w:rStyle w:val="FootnoteReference"/>
        </w:rPr>
        <w:footnoteRef/>
      </w:r>
      <w:r w:rsidR="002C17D2" w:rsidRPr="00837676">
        <w:tab/>
      </w:r>
      <w:hyperlink r:id="rId8" w:history="1">
        <w:r w:rsidRPr="008A2514">
          <w:rPr>
            <w:rStyle w:val="Hyperlink"/>
            <w:lang w:val="en-IE"/>
          </w:rPr>
          <w:t>https://www.ecdc.europa.eu/sites/default/files/documents/RRA-19th%20update-27-jan-2022.pdf</w:t>
        </w:r>
      </w:hyperlink>
      <w:r>
        <w:rPr>
          <w:lang w:val="en-IE"/>
        </w:rPr>
        <w:t xml:space="preserve"> </w:t>
      </w:r>
    </w:p>
  </w:footnote>
  <w:footnote w:id="16">
    <w:p w:rsidR="0060703E" w:rsidRPr="00B5749D" w:rsidRDefault="0060703E" w:rsidP="00BB5BF5">
      <w:pPr>
        <w:pStyle w:val="FootnoteText"/>
        <w:rPr>
          <w:lang w:val="en-IE"/>
        </w:rPr>
      </w:pPr>
      <w:r w:rsidRPr="00933085">
        <w:rPr>
          <w:rStyle w:val="FootnoteReference"/>
        </w:rPr>
        <w:footnoteRef/>
      </w:r>
      <w:r>
        <w:tab/>
      </w:r>
      <w:hyperlink r:id="rId9" w:history="1">
        <w:r w:rsidRPr="00F67047">
          <w:rPr>
            <w:rStyle w:val="Hyperlink"/>
          </w:rPr>
          <w:t>https://ec.europa.eu/health/health-security-and-infectious-diseases/crisis-management/covid-19-diagnostic-tests_en</w:t>
        </w:r>
      </w:hyperlink>
      <w:r>
        <w:t xml:space="preserve"> </w:t>
      </w:r>
    </w:p>
  </w:footnote>
  <w:footnote w:id="17">
    <w:p w:rsidR="0060703E" w:rsidRPr="008A31D2" w:rsidRDefault="0060703E" w:rsidP="00BB5BF5">
      <w:pPr>
        <w:pStyle w:val="FootnoteText"/>
      </w:pPr>
      <w:r w:rsidRPr="00933085">
        <w:rPr>
          <w:rStyle w:val="FootnoteReference"/>
        </w:rPr>
        <w:footnoteRef/>
      </w:r>
      <w:r>
        <w:tab/>
      </w:r>
      <w:hyperlink r:id="rId10" w:history="1">
        <w:r w:rsidRPr="00F67047">
          <w:rPr>
            <w:rStyle w:val="Hyperlink"/>
          </w:rPr>
          <w:t>https://ec.europa.eu/health/system/files/2022-01/covid-19_rat_common-list_en.pdf</w:t>
        </w:r>
      </w:hyperlink>
      <w:r>
        <w:t xml:space="preserve"> </w:t>
      </w:r>
    </w:p>
  </w:footnote>
  <w:footnote w:id="18">
    <w:p w:rsidR="00435581" w:rsidRPr="006912A6" w:rsidRDefault="00435581" w:rsidP="00435581">
      <w:pPr>
        <w:pStyle w:val="FootnoteText"/>
      </w:pPr>
      <w:r w:rsidRPr="00933085">
        <w:rPr>
          <w:rStyle w:val="FootnoteReference"/>
        </w:rPr>
        <w:footnoteRef/>
      </w:r>
      <w:r>
        <w:tab/>
      </w:r>
      <w:r w:rsidRPr="006912A6">
        <w:t>Regulation (EC) No 726/2004 of the European Parliament and of the Council of 31 March 2004 laying down Community procedures for the authorisation and supervision of medicinal products for human and veterinary use and establishing a European Medicines Agency</w:t>
      </w:r>
      <w:r>
        <w:t xml:space="preserve"> (</w:t>
      </w:r>
      <w:r w:rsidRPr="006912A6">
        <w:t>OJ L 136, 30.4.2004, p. 1</w:t>
      </w:r>
      <w:r>
        <w:t>).</w:t>
      </w:r>
    </w:p>
  </w:footnote>
  <w:footnote w:id="19">
    <w:p w:rsidR="000D637E" w:rsidRPr="009754C7" w:rsidRDefault="000D637E">
      <w:pPr>
        <w:pStyle w:val="FootnoteText"/>
        <w:rPr>
          <w:lang w:val="en-IE"/>
        </w:rPr>
      </w:pPr>
      <w:r w:rsidRPr="00516FC4">
        <w:rPr>
          <w:rStyle w:val="FootnoteReference"/>
        </w:rPr>
        <w:footnoteRef/>
      </w:r>
      <w:r w:rsidR="00516FC4">
        <w:tab/>
      </w:r>
      <w:r>
        <w:rPr>
          <w:rStyle w:val="iceouttxt"/>
        </w:rPr>
        <w:t>Report from the Commission to the European Parliament and the Council pursuant to Article 16(1) of Regulation (EU) 2021/953 of the European Parliament and of the Council on a framework for the issuance, verification and acceptance of interoperable COVID-19 vaccination, test and recovery certificates (EU Digital COVID Certificate) to facilitate free movement during the COVID-19 pandemic (COM(2021) 649 final).</w:t>
      </w:r>
    </w:p>
  </w:footnote>
  <w:footnote w:id="20">
    <w:p w:rsidR="0060703E" w:rsidRDefault="0060703E" w:rsidP="00F057D0">
      <w:pPr>
        <w:pStyle w:val="FootnoteText"/>
      </w:pPr>
      <w:r>
        <w:rPr>
          <w:rStyle w:val="FootnoteReference"/>
        </w:rPr>
        <w:footnoteRef/>
      </w:r>
      <w:r>
        <w:tab/>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footnote>
  <w:footnote w:id="21">
    <w:p w:rsidR="0060703E" w:rsidRPr="000F2BAA" w:rsidRDefault="0060703E">
      <w:pPr>
        <w:pStyle w:val="FootnoteText"/>
        <w:rPr>
          <w:lang w:val="en-IE"/>
        </w:rPr>
      </w:pPr>
      <w:r w:rsidRPr="00933085">
        <w:rPr>
          <w:rStyle w:val="FootnoteReference"/>
        </w:rPr>
        <w:footnoteRef/>
      </w:r>
      <w:r>
        <w:tab/>
      </w:r>
      <w:r w:rsidRPr="007069AD">
        <w:rPr>
          <w:lang w:val="en-IE"/>
        </w:rPr>
        <w:t>OJ L 211, 15.6.2021, p. 24</w:t>
      </w:r>
      <w:r>
        <w:rPr>
          <w:lang w:val="en-IE"/>
        </w:rPr>
        <w:t>.</w:t>
      </w:r>
    </w:p>
  </w:footnote>
  <w:footnote w:id="22">
    <w:p w:rsidR="0060703E" w:rsidRPr="00617674" w:rsidRDefault="0060703E">
      <w:pPr>
        <w:pStyle w:val="FootnoteText"/>
        <w:rPr>
          <w:lang w:val="en-IE"/>
        </w:rPr>
      </w:pPr>
      <w:r w:rsidRPr="002C17D2">
        <w:rPr>
          <w:rStyle w:val="FootnoteReference"/>
        </w:rPr>
        <w:footnoteRef/>
      </w:r>
      <w:r w:rsidR="002C17D2" w:rsidRPr="00837676">
        <w:tab/>
      </w:r>
      <w:r>
        <w:rPr>
          <w:lang w:val="en-IE"/>
        </w:rPr>
        <w:t>COM(2021) 754 final.</w:t>
      </w:r>
    </w:p>
  </w:footnote>
  <w:footnote w:id="23">
    <w:p w:rsidR="0060703E" w:rsidRPr="009522AC" w:rsidRDefault="0060703E" w:rsidP="00496FEB">
      <w:pPr>
        <w:pStyle w:val="FootnoteText"/>
        <w:rPr>
          <w:lang w:val="en-IE"/>
        </w:rPr>
      </w:pPr>
      <w:r w:rsidRPr="00933085">
        <w:rPr>
          <w:rStyle w:val="FootnoteReference"/>
        </w:rPr>
        <w:footnoteRef/>
      </w:r>
      <w:r>
        <w:tab/>
      </w:r>
      <w:r w:rsidRPr="00AF287B">
        <w:rPr>
          <w:lang w:val="en-IE"/>
        </w:rPr>
        <w:t>Regulation (EU) 2016/399 of the European Parliament and of the Council of 9 March 2016 on a Union Code on the rules governing the movement of persons across borders (Schengen Borders Code) (OJ L 77, 23.3.2016, p. 1).</w:t>
      </w:r>
    </w:p>
  </w:footnote>
  <w:footnote w:id="24">
    <w:p w:rsidR="00C61BDA" w:rsidRPr="00C61BDA" w:rsidRDefault="00C61BDA">
      <w:pPr>
        <w:pStyle w:val="FootnoteText"/>
        <w:rPr>
          <w:lang w:val="en-IE"/>
        </w:rPr>
      </w:pPr>
      <w:r w:rsidRPr="00516FC4">
        <w:rPr>
          <w:rStyle w:val="FootnoteReference"/>
        </w:rPr>
        <w:footnoteRef/>
      </w:r>
      <w:r w:rsidR="00516FC4">
        <w:tab/>
      </w:r>
      <w:hyperlink r:id="rId11" w:history="1">
        <w:r w:rsidRPr="0034112C">
          <w:rPr>
            <w:rStyle w:val="Hyperlink"/>
            <w:lang w:val="en-IE"/>
          </w:rPr>
          <w:t>https://www.ecdc.europa.eu/sites/default/files/documents/RRA-19-update-27-jan-2022.pdf</w:t>
        </w:r>
      </w:hyperlink>
      <w:r>
        <w:rPr>
          <w:lang w:val="en-IE"/>
        </w:rPr>
        <w:t xml:space="preserve"> </w:t>
      </w:r>
    </w:p>
  </w:footnote>
  <w:footnote w:id="25">
    <w:p w:rsidR="0060703E" w:rsidRDefault="0060703E" w:rsidP="00F057D0">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26">
    <w:p w:rsidR="0060703E" w:rsidRPr="00805025" w:rsidRDefault="0060703E" w:rsidP="00CE611C">
      <w:pPr>
        <w:pStyle w:val="FootnoteText"/>
      </w:pPr>
      <w:r w:rsidRPr="002C17D2">
        <w:rPr>
          <w:rStyle w:val="FootnoteReference"/>
        </w:rPr>
        <w:footnoteRef/>
      </w:r>
      <w:r w:rsidR="002C17D2">
        <w:tab/>
      </w:r>
      <w:r w:rsidRPr="00804FA2">
        <w:t>Regulation (EU) 2021/953 of the European Parliament and of the Council of 14 June 2021 on a framework for the issuance, verification and acceptance of interoperable COVID-19 vaccination, test and recovery certificates (EU Digital COVID Certificate) to facilitate free movement during the COVID-19 pandemic</w:t>
      </w:r>
      <w:r>
        <w:t xml:space="preserve"> </w:t>
      </w:r>
      <w:r w:rsidRPr="00804FA2">
        <w:t>(</w:t>
      </w:r>
      <w:r w:rsidRPr="008D4C87">
        <w:rPr>
          <w:iCs/>
        </w:rPr>
        <w:t>OJ L 211, 15.6.2021, p. 1).</w:t>
      </w:r>
    </w:p>
  </w:footnote>
  <w:footnote w:id="27">
    <w:p w:rsidR="0060703E" w:rsidRPr="00B5749D" w:rsidRDefault="0060703E">
      <w:pPr>
        <w:pStyle w:val="FootnoteText"/>
        <w:rPr>
          <w:lang w:val="en-IE"/>
        </w:rPr>
      </w:pPr>
      <w:r w:rsidRPr="00933085">
        <w:rPr>
          <w:rStyle w:val="FootnoteReference"/>
        </w:rPr>
        <w:footnoteRef/>
      </w:r>
      <w:r>
        <w:tab/>
      </w:r>
      <w:hyperlink r:id="rId12" w:history="1">
        <w:r w:rsidRPr="00F67047">
          <w:rPr>
            <w:rStyle w:val="Hyperlink"/>
          </w:rPr>
          <w:t>https://ec.europa.eu/health/health-security-and-infectious-diseases/crisis-management/covid-19-diagnostic-tests_en</w:t>
        </w:r>
      </w:hyperlink>
      <w:r>
        <w:t xml:space="preserve"> </w:t>
      </w:r>
    </w:p>
  </w:footnote>
  <w:footnote w:id="28">
    <w:p w:rsidR="0060703E" w:rsidRPr="008A31D2" w:rsidRDefault="0060703E">
      <w:pPr>
        <w:pStyle w:val="FootnoteText"/>
      </w:pPr>
      <w:r w:rsidRPr="00933085">
        <w:rPr>
          <w:rStyle w:val="FootnoteReference"/>
        </w:rPr>
        <w:footnoteRef/>
      </w:r>
      <w:r>
        <w:tab/>
      </w:r>
      <w:hyperlink r:id="rId13" w:history="1">
        <w:r w:rsidRPr="00F67047">
          <w:rPr>
            <w:rStyle w:val="Hyperlink"/>
          </w:rPr>
          <w:t>https://ec.europa.eu/health/system/files/2022-01/covid-19_rat_common-list_en.pdf</w:t>
        </w:r>
      </w:hyperlink>
      <w:r>
        <w:t xml:space="preserve"> </w:t>
      </w:r>
    </w:p>
  </w:footnote>
  <w:footnote w:id="29">
    <w:p w:rsidR="0060703E" w:rsidRPr="008A31D2" w:rsidRDefault="0060703E">
      <w:pPr>
        <w:pStyle w:val="FootnoteText"/>
        <w:rPr>
          <w:lang w:val="en-IE"/>
        </w:rPr>
      </w:pPr>
      <w:r w:rsidRPr="00933085">
        <w:rPr>
          <w:rStyle w:val="FootnoteReference"/>
        </w:rPr>
        <w:footnoteRef/>
      </w:r>
      <w:r>
        <w:tab/>
      </w:r>
      <w:r w:rsidRPr="008A31D2">
        <w:rPr>
          <w:lang w:val="en-IE"/>
        </w:rPr>
        <w:t>Decision No 1082/2013/EU of the European Parliament and of the Council of 22 October 2013 on serious cross-border threats to health and repealing Decision No 2119/98/EC (OJ L 293, 5.11.2013, p. 1).</w:t>
      </w:r>
    </w:p>
  </w:footnote>
  <w:footnote w:id="30">
    <w:p w:rsidR="00435581" w:rsidRPr="006912A6" w:rsidRDefault="00435581" w:rsidP="00435581">
      <w:pPr>
        <w:pStyle w:val="FootnoteText"/>
      </w:pPr>
      <w:r w:rsidRPr="00933085">
        <w:rPr>
          <w:rStyle w:val="FootnoteReference"/>
        </w:rPr>
        <w:footnoteRef/>
      </w:r>
      <w:r>
        <w:tab/>
      </w:r>
      <w:r w:rsidRPr="006912A6">
        <w:t>Regulation (EC) No 726/2004 of the European Parliament and of the Council of 31 March 2004 laying down Community procedures for the authorisation and supervision of medicinal products for human and veterinary use and establishing a European Medicines Agency</w:t>
      </w:r>
      <w:r>
        <w:t xml:space="preserve"> (</w:t>
      </w:r>
      <w:r w:rsidRPr="006912A6">
        <w:t>OJ L 136, 30.4.2004, p. 1</w:t>
      </w:r>
      <w:r>
        <w:t>).</w:t>
      </w:r>
    </w:p>
  </w:footnote>
  <w:footnote w:id="31">
    <w:p w:rsidR="0060703E" w:rsidRPr="000B0D75" w:rsidRDefault="0060703E">
      <w:pPr>
        <w:pStyle w:val="FootnoteText"/>
        <w:rPr>
          <w:lang w:val="en-IE"/>
        </w:rPr>
      </w:pPr>
      <w:r w:rsidRPr="00933085">
        <w:rPr>
          <w:rStyle w:val="FootnoteReference"/>
        </w:rPr>
        <w:footnoteRef/>
      </w:r>
      <w:r>
        <w:tab/>
      </w:r>
      <w:hyperlink r:id="rId14" w:history="1">
        <w:r w:rsidRPr="00F67047">
          <w:rPr>
            <w:rStyle w:val="Hyperlink"/>
            <w:lang w:val="en-IE"/>
          </w:rPr>
          <w:t>https://vaccinetracker.ecdc.europa.eu/public/extensions/COVID-19/vaccine-tracker.html</w:t>
        </w:r>
      </w:hyperlink>
      <w:r>
        <w:rPr>
          <w:lang w:val="en-IE"/>
        </w:rPr>
        <w:t xml:space="preserve"> </w:t>
      </w:r>
    </w:p>
  </w:footnote>
  <w:footnote w:id="32">
    <w:p w:rsidR="0060703E" w:rsidRPr="00617674" w:rsidRDefault="0060703E">
      <w:pPr>
        <w:pStyle w:val="FootnoteText"/>
        <w:rPr>
          <w:lang w:val="en-IE"/>
        </w:rPr>
      </w:pPr>
      <w:r w:rsidRPr="002C17D2">
        <w:rPr>
          <w:rStyle w:val="FootnoteReference"/>
        </w:rPr>
        <w:footnoteRef/>
      </w:r>
      <w:r w:rsidR="002C17D2" w:rsidRPr="00837676">
        <w:tab/>
      </w:r>
      <w:hyperlink r:id="rId15" w:history="1">
        <w:r w:rsidRPr="008A2514">
          <w:rPr>
            <w:rStyle w:val="Hyperlink"/>
            <w:lang w:val="en-IE"/>
          </w:rPr>
          <w:t>https://www.ecdc.europa.eu/sites/default/files/documents/RRA-19th%20update-27-jan-2022.pdf</w:t>
        </w:r>
      </w:hyperlink>
      <w:r>
        <w:rPr>
          <w:lang w:val="en-IE"/>
        </w:rPr>
        <w:t xml:space="preserve"> </w:t>
      </w:r>
    </w:p>
  </w:footnote>
  <w:footnote w:id="33">
    <w:p w:rsidR="0060703E" w:rsidRPr="009522AC" w:rsidRDefault="0060703E">
      <w:pPr>
        <w:pStyle w:val="FootnoteText"/>
      </w:pPr>
      <w:r w:rsidRPr="00933085">
        <w:rPr>
          <w:rStyle w:val="FootnoteReference"/>
        </w:rPr>
        <w:footnoteRef/>
      </w:r>
      <w:r>
        <w:tab/>
        <w:t>Reference to be added.</w:t>
      </w:r>
    </w:p>
  </w:footnote>
  <w:footnote w:id="34">
    <w:p w:rsidR="0060703E" w:rsidRPr="009522AC" w:rsidRDefault="0060703E">
      <w:pPr>
        <w:pStyle w:val="FootnoteText"/>
        <w:rPr>
          <w:lang w:val="en-IE"/>
        </w:rPr>
      </w:pPr>
      <w:r w:rsidRPr="00933085">
        <w:rPr>
          <w:rStyle w:val="FootnoteReference"/>
        </w:rPr>
        <w:footnoteRef/>
      </w:r>
      <w:r>
        <w:tab/>
        <w:t>Regulation (EU) 2021/954 of the European Parliament and of the Council of 14 June 2021 on a framework for the issuance, verification and acceptance of interoperable COVID 19 vaccination, test and recovery certificates (EU Digital COVID Certificate) with regard to third-country nationals legally staying or residing in the territories of Member States during the COVID 19 pandemic (</w:t>
      </w:r>
      <w:r w:rsidRPr="00AF287B">
        <w:t>OJ L 211, 15.6.2021, p. 24</w:t>
      </w:r>
      <w:r>
        <w:t>).</w:t>
      </w:r>
    </w:p>
  </w:footnote>
  <w:footnote w:id="35">
    <w:p w:rsidR="0060703E" w:rsidRPr="009522AC" w:rsidRDefault="0060703E">
      <w:pPr>
        <w:pStyle w:val="FootnoteText"/>
        <w:rPr>
          <w:lang w:val="en-IE"/>
        </w:rPr>
      </w:pPr>
      <w:r w:rsidRPr="00933085">
        <w:rPr>
          <w:rStyle w:val="FootnoteReference"/>
        </w:rPr>
        <w:footnoteRef/>
      </w:r>
      <w:r>
        <w:tab/>
      </w:r>
      <w:r w:rsidRPr="00AF287B">
        <w:rPr>
          <w:lang w:val="en-IE"/>
        </w:rPr>
        <w:t>Regulation (EU) 2016/399 of the European Parliament and of the Council of 9 March 2016 on a Union Code on the rules governing the movement of persons across borders (Schengen Borders Code) (OJ L 77, 23.3.2016, p. 1).</w:t>
      </w:r>
    </w:p>
  </w:footnote>
  <w:footnote w:id="36">
    <w:p w:rsidR="0060703E" w:rsidRPr="00617674" w:rsidRDefault="0060703E">
      <w:pPr>
        <w:pStyle w:val="FootnoteText"/>
        <w:rPr>
          <w:lang w:val="en-IE"/>
        </w:rPr>
      </w:pPr>
      <w:r w:rsidRPr="002C17D2">
        <w:rPr>
          <w:rStyle w:val="FootnoteReference"/>
        </w:rPr>
        <w:footnoteRef/>
      </w:r>
      <w:r w:rsidR="002C17D2" w:rsidRPr="00837676">
        <w:tab/>
      </w:r>
      <w:r>
        <w:rPr>
          <w:lang w:val="en-IE"/>
        </w:rPr>
        <w:t>Reference to be added.</w:t>
      </w:r>
    </w:p>
  </w:footnote>
  <w:footnote w:id="37">
    <w:p w:rsidR="007D02A8" w:rsidRDefault="007D02A8" w:rsidP="007D02A8">
      <w:pPr>
        <w:pStyle w:val="FootnoteText"/>
        <w:rPr>
          <w:szCs w:val="24"/>
        </w:rPr>
      </w:pPr>
      <w:r>
        <w:rPr>
          <w:rStyle w:val="FootnoteReference"/>
        </w:rPr>
        <w:footnoteRef/>
      </w:r>
      <w:r>
        <w:tab/>
        <w:t>As referred to in Article 58(2)(a) or (b) of the Financial Regulation.</w:t>
      </w:r>
    </w:p>
  </w:footnote>
  <w:footnote w:id="38">
    <w:p w:rsidR="007D02A8" w:rsidRDefault="007D02A8" w:rsidP="007D02A8">
      <w:pPr>
        <w:pStyle w:val="FootnoteText"/>
        <w:rPr>
          <w:szCs w:val="24"/>
        </w:rPr>
      </w:pPr>
      <w:r>
        <w:rPr>
          <w:rStyle w:val="FootnoteReference"/>
        </w:rPr>
        <w:footnoteRef/>
      </w:r>
      <w:r>
        <w:tab/>
        <w:t xml:space="preserve">Details of management modes and references to the Financial Regulation may be found on the BudgWeb site: </w:t>
      </w:r>
      <w:hyperlink r:id="rId16" w:history="1">
        <w:r>
          <w:rPr>
            <w:rStyle w:val="Hyperlink"/>
            <w:sz w:val="18"/>
          </w:rPr>
          <w:t>http://www.cc.cec/budg/man/budgmanag/budgmanag_en.html</w:t>
        </w:r>
      </w:hyperlink>
    </w:p>
  </w:footnote>
  <w:footnote w:id="39">
    <w:p w:rsidR="007D02A8" w:rsidRDefault="007D02A8" w:rsidP="007D02A8">
      <w:pPr>
        <w:pStyle w:val="FootnoteText"/>
        <w:rPr>
          <w:szCs w:val="24"/>
        </w:rPr>
      </w:pPr>
      <w:r>
        <w:rPr>
          <w:rStyle w:val="FootnoteReference"/>
        </w:rPr>
        <w:footnoteRef/>
      </w:r>
      <w:r>
        <w:tab/>
        <w:t>Diff. = Differentiated appropriations / Non-diff. = Non-differentiated appropriations.</w:t>
      </w:r>
    </w:p>
  </w:footnote>
  <w:footnote w:id="40">
    <w:p w:rsidR="007D02A8" w:rsidRDefault="007D02A8" w:rsidP="007D02A8">
      <w:pPr>
        <w:pStyle w:val="FootnoteText"/>
        <w:rPr>
          <w:szCs w:val="24"/>
        </w:rPr>
      </w:pPr>
      <w:r>
        <w:rPr>
          <w:rStyle w:val="FootnoteReference"/>
        </w:rPr>
        <w:footnoteRef/>
      </w:r>
      <w:r>
        <w:tab/>
        <w:t xml:space="preserve">EFTA: European Free Trade Association. </w:t>
      </w:r>
    </w:p>
  </w:footnote>
  <w:footnote w:id="41">
    <w:p w:rsidR="007D02A8" w:rsidRDefault="007D02A8" w:rsidP="007D02A8">
      <w:pPr>
        <w:pStyle w:val="FootnoteText"/>
        <w:rPr>
          <w:szCs w:val="24"/>
        </w:rPr>
      </w:pPr>
      <w:r>
        <w:rPr>
          <w:rStyle w:val="FootnoteReference"/>
        </w:rPr>
        <w:footnoteRef/>
      </w:r>
      <w:r>
        <w:tab/>
        <w:t>Candidate countries and, where applicable, potential candidates from the Western Balkans.</w:t>
      </w:r>
    </w:p>
  </w:footnote>
  <w:footnote w:id="42">
    <w:p w:rsidR="007D02A8" w:rsidRPr="007D18D5" w:rsidRDefault="007D02A8" w:rsidP="007D02A8">
      <w:pPr>
        <w:pStyle w:val="FootnoteText"/>
        <w:ind w:left="0" w:firstLine="0"/>
      </w:pPr>
      <w:r w:rsidRPr="00516FC4">
        <w:rPr>
          <w:rStyle w:val="FootnoteReference"/>
        </w:rPr>
        <w:footnoteRef/>
      </w:r>
      <w:r w:rsidR="00516FC4">
        <w:tab/>
      </w:r>
      <w:r>
        <w:t>Amounts</w:t>
      </w:r>
      <w:r w:rsidRPr="007D18D5">
        <w:t xml:space="preserve"> earmarked </w:t>
      </w:r>
      <w:r>
        <w:t>in</w:t>
      </w:r>
      <w:r w:rsidRPr="007D18D5">
        <w:t xml:space="preserve"> </w:t>
      </w:r>
      <w:r>
        <w:t xml:space="preserve">2022 under the Digital Europe Programme are indicated for information as they are already covered under the Legislative Financial Statement of the proposal for </w:t>
      </w:r>
      <w:r w:rsidRPr="00D31A34">
        <w:t>a Regulation of the European Parliament and of the Council on a framework for the issuance, verification and acceptance of interoperable certificates on vaccination, testing and recovery to facilitate free movement during the COVID-19 pandemic (Digital Green Certificate)</w:t>
      </w:r>
      <w:r>
        <w:t xml:space="preserve"> </w:t>
      </w:r>
      <w:hyperlink r:id="rId17" w:history="1">
        <w:r w:rsidRPr="00A36537">
          <w:rPr>
            <w:rStyle w:val="Hyperlink"/>
          </w:rPr>
          <w:t>COM/2021/130 final</w:t>
        </w:r>
      </w:hyperlink>
      <w:r>
        <w:t>. 2023 appropriations are subject to the approval of the 2023 budget, the DEP work programme and the adoption of the corresponding financing decision.</w:t>
      </w:r>
    </w:p>
  </w:footnote>
  <w:footnote w:id="43">
    <w:p w:rsidR="007D02A8" w:rsidRDefault="007D02A8" w:rsidP="007D02A8">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44">
    <w:p w:rsidR="007D02A8" w:rsidRDefault="007D02A8" w:rsidP="007D02A8">
      <w:pPr>
        <w:pStyle w:val="FootnoteText"/>
      </w:pPr>
      <w:r>
        <w:rPr>
          <w:rStyle w:val="FootnoteReference"/>
        </w:rPr>
        <w:footnoteRef/>
      </w:r>
      <w:r>
        <w:tab/>
        <w:t>Technical and/or administrative assistance and expenditure in support of the implementation of EU programmes and/or actions (former ‘BA’ lines), indirect research, direct research.</w:t>
      </w:r>
    </w:p>
  </w:footnote>
  <w:footnote w:id="45">
    <w:p w:rsidR="007D02A8" w:rsidRDefault="007D02A8" w:rsidP="007D02A8">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46">
    <w:p w:rsidR="007D02A8" w:rsidRDefault="007D02A8" w:rsidP="007D02A8">
      <w:pPr>
        <w:pStyle w:val="FootnoteText"/>
        <w:rPr>
          <w:szCs w:val="24"/>
        </w:rPr>
      </w:pPr>
      <w:r>
        <w:rPr>
          <w:rStyle w:val="FootnoteReference"/>
        </w:rPr>
        <w:footnoteRef/>
      </w:r>
      <w:r>
        <w:tab/>
        <w:t>Sub-ceiling for external staff covered by operational appropriations (former ‘BA’ lines).</w:t>
      </w:r>
    </w:p>
  </w:footnote>
  <w:footnote w:id="47">
    <w:p w:rsidR="007D02A8" w:rsidRDefault="007D02A8" w:rsidP="007D02A8">
      <w:pPr>
        <w:pStyle w:val="FootnoteText"/>
      </w:pPr>
      <w:r>
        <w:rPr>
          <w:rStyle w:val="FootnoteReference"/>
        </w:rPr>
        <w:footnoteRef/>
      </w:r>
      <w:r>
        <w:tab/>
        <w:t>Year N is the year in which implementation of the proposal/initiative starts. Please replace "N" by the expected first year of implementation (for instance: 2021). The same for the following years.</w:t>
      </w:r>
    </w:p>
  </w:footnote>
  <w:footnote w:id="48">
    <w:p w:rsidR="007D02A8" w:rsidRDefault="007D02A8" w:rsidP="007D02A8">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2CF" w:rsidRPr="00BD72CF" w:rsidRDefault="00BD72CF" w:rsidP="00BD72CF">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2CF" w:rsidRPr="00BD72CF" w:rsidRDefault="00BD72CF" w:rsidP="00BD72CF">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025" w:rsidRPr="00C14025" w:rsidRDefault="00C14025" w:rsidP="00BD72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2CF" w:rsidRPr="00BD72CF" w:rsidRDefault="00BD72CF" w:rsidP="00BD7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C7CC09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A74C52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0FC532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FC0515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992382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380813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D50891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378247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5"/>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7"/>
  </w:num>
  <w:num w:numId="15">
    <w:abstractNumId w:val="22"/>
  </w:num>
  <w:num w:numId="16">
    <w:abstractNumId w:val="13"/>
  </w:num>
  <w:num w:numId="17">
    <w:abstractNumId w:val="24"/>
  </w:num>
  <w:num w:numId="18">
    <w:abstractNumId w:val="12"/>
  </w:num>
  <w:num w:numId="19">
    <w:abstractNumId w:val="14"/>
  </w:num>
  <w:num w:numId="20">
    <w:abstractNumId w:val="10"/>
  </w:num>
  <w:num w:numId="21">
    <w:abstractNumId w:val="23"/>
  </w:num>
  <w:num w:numId="22">
    <w:abstractNumId w:val="9"/>
  </w:num>
  <w:num w:numId="23">
    <w:abstractNumId w:val="16"/>
  </w:num>
  <w:num w:numId="24">
    <w:abstractNumId w:val="20"/>
  </w:num>
  <w:num w:numId="25">
    <w:abstractNumId w:val="21"/>
  </w:num>
  <w:num w:numId="26">
    <w:abstractNumId w:val="11"/>
  </w:num>
  <w:num w:numId="27">
    <w:abstractNumId w:val="19"/>
  </w:num>
  <w:num w:numId="28">
    <w:abstractNumId w:val="25"/>
  </w:num>
  <w:num w:numId="29">
    <w:abstractNumId w:val="23"/>
  </w:num>
  <w:num w:numId="30">
    <w:abstractNumId w:val="23"/>
  </w:num>
  <w:num w:numId="31">
    <w:abstractNumId w:val="23"/>
  </w:num>
  <w:num w:numId="32">
    <w:abstractNumId w:val="15"/>
  </w:num>
  <w:num w:numId="33">
    <w:abstractNumId w:val="10"/>
  </w:num>
  <w:num w:numId="34">
    <w:abstractNumId w:val="10"/>
  </w:num>
  <w:num w:numId="3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02 19:56: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96AAF4B-22DF-4540-A9AE-50EC447385DD"/>
    <w:docVar w:name="LW_COVERPAGE_TYPE" w:val="1"/>
    <w:docVar w:name="LW_CROSSREFERENCE" w:val="&lt;UNUSED&gt;"/>
    <w:docVar w:name="LW_DocType" w:val="COM"/>
    <w:docVar w:name="LW_EMISSION" w:val="3.2.2022"/>
    <w:docVar w:name="LW_EMISSION_ISODATE" w:val="2022-02-0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31"/>
    <w:docVar w:name="LW_REF.II.NEW.CP_YEAR" w:val="2022"/>
    <w:docVar w:name="LW_REF.INST.NEW" w:val="COM"/>
    <w:docVar w:name="LW_REF.INST.NEW_ADOPTED" w:val="final"/>
    <w:docVar w:name="LW_REF.INST.NEW_TEXT" w:val="(2022) 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21/953 on a framework for the issuance, verification and acceptance of interoperable COVID-19 vaccination, test and recovery certificates (EU Digital COVID Certificate) to facilitate free movement during the COVID-19 pandemic"/>
    <w:docVar w:name="LW_TYPE.DOC.CP" w:val="REGULATION OF THE EUROPEAN PARLIAMENT AND OF THE COUNCIL"/>
    <w:docVar w:name="LwApiVersions" w:val="LW4CoDe 1.23.2.0; LW 8.0, Build 20211117"/>
  </w:docVars>
  <w:rsids>
    <w:rsidRoot w:val="00322C13"/>
    <w:rsid w:val="000025AB"/>
    <w:rsid w:val="0000746E"/>
    <w:rsid w:val="000222F9"/>
    <w:rsid w:val="0002470C"/>
    <w:rsid w:val="00027C6B"/>
    <w:rsid w:val="00027F56"/>
    <w:rsid w:val="00030496"/>
    <w:rsid w:val="00036CFC"/>
    <w:rsid w:val="00041121"/>
    <w:rsid w:val="00052A01"/>
    <w:rsid w:val="00061F5B"/>
    <w:rsid w:val="00066283"/>
    <w:rsid w:val="00066E0B"/>
    <w:rsid w:val="00071193"/>
    <w:rsid w:val="0008581B"/>
    <w:rsid w:val="00090444"/>
    <w:rsid w:val="000A17AA"/>
    <w:rsid w:val="000A42DC"/>
    <w:rsid w:val="000A699E"/>
    <w:rsid w:val="000A6AB3"/>
    <w:rsid w:val="000A7517"/>
    <w:rsid w:val="000B0A6B"/>
    <w:rsid w:val="000B0D75"/>
    <w:rsid w:val="000B4504"/>
    <w:rsid w:val="000C0F57"/>
    <w:rsid w:val="000C4AE9"/>
    <w:rsid w:val="000D1697"/>
    <w:rsid w:val="000D3CF6"/>
    <w:rsid w:val="000D472B"/>
    <w:rsid w:val="000D637E"/>
    <w:rsid w:val="000E198E"/>
    <w:rsid w:val="000E20EE"/>
    <w:rsid w:val="000E2D26"/>
    <w:rsid w:val="000E6FA7"/>
    <w:rsid w:val="000E7D0C"/>
    <w:rsid w:val="000F2BAA"/>
    <w:rsid w:val="000F36A2"/>
    <w:rsid w:val="000F4B75"/>
    <w:rsid w:val="000F4CD4"/>
    <w:rsid w:val="000F7206"/>
    <w:rsid w:val="000F7947"/>
    <w:rsid w:val="0010202B"/>
    <w:rsid w:val="001032A4"/>
    <w:rsid w:val="00114EB9"/>
    <w:rsid w:val="001416B3"/>
    <w:rsid w:val="0015391A"/>
    <w:rsid w:val="00174F7E"/>
    <w:rsid w:val="00187718"/>
    <w:rsid w:val="0019102B"/>
    <w:rsid w:val="001941F8"/>
    <w:rsid w:val="001A57F3"/>
    <w:rsid w:val="001A718C"/>
    <w:rsid w:val="001C18CC"/>
    <w:rsid w:val="001C2816"/>
    <w:rsid w:val="001C39CA"/>
    <w:rsid w:val="001D07A9"/>
    <w:rsid w:val="001D18FD"/>
    <w:rsid w:val="001D33EA"/>
    <w:rsid w:val="001D4E1E"/>
    <w:rsid w:val="001E5AA7"/>
    <w:rsid w:val="001F5492"/>
    <w:rsid w:val="001F718A"/>
    <w:rsid w:val="00201598"/>
    <w:rsid w:val="00206303"/>
    <w:rsid w:val="00215B23"/>
    <w:rsid w:val="00216F08"/>
    <w:rsid w:val="00224B34"/>
    <w:rsid w:val="00232E98"/>
    <w:rsid w:val="002331CD"/>
    <w:rsid w:val="00246A52"/>
    <w:rsid w:val="00261AA6"/>
    <w:rsid w:val="002620FA"/>
    <w:rsid w:val="0026360C"/>
    <w:rsid w:val="00265467"/>
    <w:rsid w:val="00271A41"/>
    <w:rsid w:val="002907D8"/>
    <w:rsid w:val="002920DD"/>
    <w:rsid w:val="002A73A3"/>
    <w:rsid w:val="002B25F0"/>
    <w:rsid w:val="002B52C6"/>
    <w:rsid w:val="002B6F60"/>
    <w:rsid w:val="002C17D2"/>
    <w:rsid w:val="002C2E11"/>
    <w:rsid w:val="002C69E6"/>
    <w:rsid w:val="002D1064"/>
    <w:rsid w:val="002D1695"/>
    <w:rsid w:val="002D7E41"/>
    <w:rsid w:val="002F48E2"/>
    <w:rsid w:val="003018F1"/>
    <w:rsid w:val="00305C48"/>
    <w:rsid w:val="003162A9"/>
    <w:rsid w:val="003172DA"/>
    <w:rsid w:val="003219E8"/>
    <w:rsid w:val="00322243"/>
    <w:rsid w:val="00322C13"/>
    <w:rsid w:val="00326894"/>
    <w:rsid w:val="00327ECE"/>
    <w:rsid w:val="003363C7"/>
    <w:rsid w:val="003378C4"/>
    <w:rsid w:val="00350FCF"/>
    <w:rsid w:val="0036365E"/>
    <w:rsid w:val="00381F5B"/>
    <w:rsid w:val="003837CB"/>
    <w:rsid w:val="003C1F9C"/>
    <w:rsid w:val="003F0D8B"/>
    <w:rsid w:val="0040226C"/>
    <w:rsid w:val="004029A6"/>
    <w:rsid w:val="00410C6C"/>
    <w:rsid w:val="0043295D"/>
    <w:rsid w:val="00435581"/>
    <w:rsid w:val="00437C0E"/>
    <w:rsid w:val="004442A7"/>
    <w:rsid w:val="00452629"/>
    <w:rsid w:val="00460C7F"/>
    <w:rsid w:val="00470D13"/>
    <w:rsid w:val="004761E2"/>
    <w:rsid w:val="0047711C"/>
    <w:rsid w:val="004776BE"/>
    <w:rsid w:val="004807C9"/>
    <w:rsid w:val="00481CF2"/>
    <w:rsid w:val="0049417E"/>
    <w:rsid w:val="00494377"/>
    <w:rsid w:val="00494766"/>
    <w:rsid w:val="00495833"/>
    <w:rsid w:val="00496769"/>
    <w:rsid w:val="00496FEB"/>
    <w:rsid w:val="004A3527"/>
    <w:rsid w:val="004A7428"/>
    <w:rsid w:val="004B18AA"/>
    <w:rsid w:val="004B554B"/>
    <w:rsid w:val="004C4EE0"/>
    <w:rsid w:val="004D2A17"/>
    <w:rsid w:val="004E5430"/>
    <w:rsid w:val="004E6513"/>
    <w:rsid w:val="0050465F"/>
    <w:rsid w:val="00506F56"/>
    <w:rsid w:val="00516338"/>
    <w:rsid w:val="00516FC4"/>
    <w:rsid w:val="00531E27"/>
    <w:rsid w:val="00532DF9"/>
    <w:rsid w:val="0054311D"/>
    <w:rsid w:val="00545DFA"/>
    <w:rsid w:val="00547EE8"/>
    <w:rsid w:val="0055763E"/>
    <w:rsid w:val="00557F54"/>
    <w:rsid w:val="00560268"/>
    <w:rsid w:val="00570FF2"/>
    <w:rsid w:val="0057503B"/>
    <w:rsid w:val="00581885"/>
    <w:rsid w:val="005851EE"/>
    <w:rsid w:val="00590631"/>
    <w:rsid w:val="00590EDC"/>
    <w:rsid w:val="005911AD"/>
    <w:rsid w:val="005920EE"/>
    <w:rsid w:val="005A2226"/>
    <w:rsid w:val="005A4B34"/>
    <w:rsid w:val="005B1073"/>
    <w:rsid w:val="005B17A3"/>
    <w:rsid w:val="005B2BC6"/>
    <w:rsid w:val="005C00AA"/>
    <w:rsid w:val="005C6130"/>
    <w:rsid w:val="005D1972"/>
    <w:rsid w:val="005E2042"/>
    <w:rsid w:val="005F258D"/>
    <w:rsid w:val="005F3A5B"/>
    <w:rsid w:val="0060427D"/>
    <w:rsid w:val="0060703E"/>
    <w:rsid w:val="0060736E"/>
    <w:rsid w:val="006129CC"/>
    <w:rsid w:val="006140E5"/>
    <w:rsid w:val="00617674"/>
    <w:rsid w:val="00631AE5"/>
    <w:rsid w:val="00636CA7"/>
    <w:rsid w:val="006416A6"/>
    <w:rsid w:val="00642B52"/>
    <w:rsid w:val="00647F38"/>
    <w:rsid w:val="00650EAB"/>
    <w:rsid w:val="00653535"/>
    <w:rsid w:val="0066386C"/>
    <w:rsid w:val="00684416"/>
    <w:rsid w:val="006912A6"/>
    <w:rsid w:val="006A71C5"/>
    <w:rsid w:val="006B1488"/>
    <w:rsid w:val="006B177D"/>
    <w:rsid w:val="006C186E"/>
    <w:rsid w:val="006C1E5C"/>
    <w:rsid w:val="006C2F32"/>
    <w:rsid w:val="006C53B7"/>
    <w:rsid w:val="006D1C58"/>
    <w:rsid w:val="006D4FF0"/>
    <w:rsid w:val="006E0CF0"/>
    <w:rsid w:val="006E1086"/>
    <w:rsid w:val="006E72FE"/>
    <w:rsid w:val="006F2126"/>
    <w:rsid w:val="0070128F"/>
    <w:rsid w:val="007017F7"/>
    <w:rsid w:val="00703A0B"/>
    <w:rsid w:val="007069AD"/>
    <w:rsid w:val="007254D0"/>
    <w:rsid w:val="007351AC"/>
    <w:rsid w:val="0073748B"/>
    <w:rsid w:val="0073762C"/>
    <w:rsid w:val="007465BD"/>
    <w:rsid w:val="0075451C"/>
    <w:rsid w:val="00754839"/>
    <w:rsid w:val="00761794"/>
    <w:rsid w:val="00770FA1"/>
    <w:rsid w:val="00771C20"/>
    <w:rsid w:val="00773462"/>
    <w:rsid w:val="00781D67"/>
    <w:rsid w:val="00783AAA"/>
    <w:rsid w:val="007904BC"/>
    <w:rsid w:val="007974D0"/>
    <w:rsid w:val="007A298D"/>
    <w:rsid w:val="007A48B1"/>
    <w:rsid w:val="007B0E22"/>
    <w:rsid w:val="007B1037"/>
    <w:rsid w:val="007B437A"/>
    <w:rsid w:val="007C06F6"/>
    <w:rsid w:val="007C405A"/>
    <w:rsid w:val="007C7EE1"/>
    <w:rsid w:val="007D02A8"/>
    <w:rsid w:val="007D7466"/>
    <w:rsid w:val="007E390A"/>
    <w:rsid w:val="007E412B"/>
    <w:rsid w:val="007F41BE"/>
    <w:rsid w:val="007F79F0"/>
    <w:rsid w:val="007F7AB4"/>
    <w:rsid w:val="00804E6B"/>
    <w:rsid w:val="00804F9F"/>
    <w:rsid w:val="00812AF8"/>
    <w:rsid w:val="00820067"/>
    <w:rsid w:val="0082546D"/>
    <w:rsid w:val="00836DBE"/>
    <w:rsid w:val="00837676"/>
    <w:rsid w:val="008413A2"/>
    <w:rsid w:val="008503EE"/>
    <w:rsid w:val="00853201"/>
    <w:rsid w:val="00855429"/>
    <w:rsid w:val="00860528"/>
    <w:rsid w:val="0086593A"/>
    <w:rsid w:val="00871374"/>
    <w:rsid w:val="00874087"/>
    <w:rsid w:val="00892C96"/>
    <w:rsid w:val="008961FF"/>
    <w:rsid w:val="00897E0B"/>
    <w:rsid w:val="008A2144"/>
    <w:rsid w:val="008A266C"/>
    <w:rsid w:val="008A31D2"/>
    <w:rsid w:val="008B4DD7"/>
    <w:rsid w:val="008B54D2"/>
    <w:rsid w:val="008C451E"/>
    <w:rsid w:val="008D1377"/>
    <w:rsid w:val="008D631C"/>
    <w:rsid w:val="008E2D4C"/>
    <w:rsid w:val="008E31F0"/>
    <w:rsid w:val="009019AC"/>
    <w:rsid w:val="00913A9C"/>
    <w:rsid w:val="00914F46"/>
    <w:rsid w:val="009222DC"/>
    <w:rsid w:val="009235DE"/>
    <w:rsid w:val="0092434B"/>
    <w:rsid w:val="00924DBF"/>
    <w:rsid w:val="00926833"/>
    <w:rsid w:val="00927BDE"/>
    <w:rsid w:val="009324BC"/>
    <w:rsid w:val="0093260C"/>
    <w:rsid w:val="00933085"/>
    <w:rsid w:val="0093580D"/>
    <w:rsid w:val="0093713A"/>
    <w:rsid w:val="009522AC"/>
    <w:rsid w:val="00956E24"/>
    <w:rsid w:val="009705DB"/>
    <w:rsid w:val="009754C7"/>
    <w:rsid w:val="0098144B"/>
    <w:rsid w:val="00982038"/>
    <w:rsid w:val="00983F80"/>
    <w:rsid w:val="00986B33"/>
    <w:rsid w:val="00987AD5"/>
    <w:rsid w:val="00994016"/>
    <w:rsid w:val="009B0E22"/>
    <w:rsid w:val="009B154C"/>
    <w:rsid w:val="009B7138"/>
    <w:rsid w:val="009C1487"/>
    <w:rsid w:val="009C71F1"/>
    <w:rsid w:val="009D19FC"/>
    <w:rsid w:val="009D4413"/>
    <w:rsid w:val="009E0A95"/>
    <w:rsid w:val="009E0C1A"/>
    <w:rsid w:val="009E76EA"/>
    <w:rsid w:val="009F36C6"/>
    <w:rsid w:val="009F4CA2"/>
    <w:rsid w:val="00A01918"/>
    <w:rsid w:val="00A028BB"/>
    <w:rsid w:val="00A3009F"/>
    <w:rsid w:val="00A41F28"/>
    <w:rsid w:val="00A42044"/>
    <w:rsid w:val="00A43824"/>
    <w:rsid w:val="00A52211"/>
    <w:rsid w:val="00A56EF6"/>
    <w:rsid w:val="00A74238"/>
    <w:rsid w:val="00A76FFD"/>
    <w:rsid w:val="00A827CA"/>
    <w:rsid w:val="00A91737"/>
    <w:rsid w:val="00A92D51"/>
    <w:rsid w:val="00A92F5D"/>
    <w:rsid w:val="00AB27F3"/>
    <w:rsid w:val="00AB3391"/>
    <w:rsid w:val="00AD2D2C"/>
    <w:rsid w:val="00AE6E2E"/>
    <w:rsid w:val="00AF287B"/>
    <w:rsid w:val="00AF7A81"/>
    <w:rsid w:val="00B00867"/>
    <w:rsid w:val="00B11110"/>
    <w:rsid w:val="00B258EB"/>
    <w:rsid w:val="00B369ED"/>
    <w:rsid w:val="00B44E6E"/>
    <w:rsid w:val="00B51F96"/>
    <w:rsid w:val="00B52E4F"/>
    <w:rsid w:val="00B53A6E"/>
    <w:rsid w:val="00B5749D"/>
    <w:rsid w:val="00B63AC8"/>
    <w:rsid w:val="00B66CE8"/>
    <w:rsid w:val="00B73B29"/>
    <w:rsid w:val="00B752E3"/>
    <w:rsid w:val="00B80175"/>
    <w:rsid w:val="00B802DF"/>
    <w:rsid w:val="00B836C3"/>
    <w:rsid w:val="00BA4502"/>
    <w:rsid w:val="00BA5413"/>
    <w:rsid w:val="00BB4930"/>
    <w:rsid w:val="00BB4FF9"/>
    <w:rsid w:val="00BB5BF5"/>
    <w:rsid w:val="00BC10D8"/>
    <w:rsid w:val="00BD72CF"/>
    <w:rsid w:val="00BE246D"/>
    <w:rsid w:val="00BF17AA"/>
    <w:rsid w:val="00BF7398"/>
    <w:rsid w:val="00C031CB"/>
    <w:rsid w:val="00C06639"/>
    <w:rsid w:val="00C06E3F"/>
    <w:rsid w:val="00C14025"/>
    <w:rsid w:val="00C14F12"/>
    <w:rsid w:val="00C17044"/>
    <w:rsid w:val="00C22744"/>
    <w:rsid w:val="00C22DA4"/>
    <w:rsid w:val="00C24556"/>
    <w:rsid w:val="00C3330F"/>
    <w:rsid w:val="00C4616C"/>
    <w:rsid w:val="00C57183"/>
    <w:rsid w:val="00C61BDA"/>
    <w:rsid w:val="00C63593"/>
    <w:rsid w:val="00C65916"/>
    <w:rsid w:val="00C803A9"/>
    <w:rsid w:val="00C85016"/>
    <w:rsid w:val="00C85F2A"/>
    <w:rsid w:val="00C905AA"/>
    <w:rsid w:val="00CB35B6"/>
    <w:rsid w:val="00CB7D32"/>
    <w:rsid w:val="00CD2F51"/>
    <w:rsid w:val="00CE5D84"/>
    <w:rsid w:val="00CE611C"/>
    <w:rsid w:val="00CF0C61"/>
    <w:rsid w:val="00CF49C6"/>
    <w:rsid w:val="00CF7088"/>
    <w:rsid w:val="00D002B2"/>
    <w:rsid w:val="00D0397E"/>
    <w:rsid w:val="00D066D2"/>
    <w:rsid w:val="00D128D3"/>
    <w:rsid w:val="00D14648"/>
    <w:rsid w:val="00D1677C"/>
    <w:rsid w:val="00D322E8"/>
    <w:rsid w:val="00D3298E"/>
    <w:rsid w:val="00D42318"/>
    <w:rsid w:val="00D65CCE"/>
    <w:rsid w:val="00D70067"/>
    <w:rsid w:val="00D7239B"/>
    <w:rsid w:val="00D82768"/>
    <w:rsid w:val="00D92A68"/>
    <w:rsid w:val="00D951B4"/>
    <w:rsid w:val="00DA1AE4"/>
    <w:rsid w:val="00DA1F1B"/>
    <w:rsid w:val="00DC1B55"/>
    <w:rsid w:val="00DC212D"/>
    <w:rsid w:val="00DD008F"/>
    <w:rsid w:val="00DE2EAB"/>
    <w:rsid w:val="00DF4DA8"/>
    <w:rsid w:val="00E043A7"/>
    <w:rsid w:val="00E07AC3"/>
    <w:rsid w:val="00E21E70"/>
    <w:rsid w:val="00E256B3"/>
    <w:rsid w:val="00E2624F"/>
    <w:rsid w:val="00E26E65"/>
    <w:rsid w:val="00E31655"/>
    <w:rsid w:val="00E33FA6"/>
    <w:rsid w:val="00E52F7C"/>
    <w:rsid w:val="00E5407E"/>
    <w:rsid w:val="00E63C3C"/>
    <w:rsid w:val="00E63E36"/>
    <w:rsid w:val="00E66C2F"/>
    <w:rsid w:val="00E7102A"/>
    <w:rsid w:val="00E7441F"/>
    <w:rsid w:val="00E77DB0"/>
    <w:rsid w:val="00E8604D"/>
    <w:rsid w:val="00E911E4"/>
    <w:rsid w:val="00E945B1"/>
    <w:rsid w:val="00EA0752"/>
    <w:rsid w:val="00EB194A"/>
    <w:rsid w:val="00EB1970"/>
    <w:rsid w:val="00EB75EA"/>
    <w:rsid w:val="00ED0120"/>
    <w:rsid w:val="00ED013E"/>
    <w:rsid w:val="00EF46CD"/>
    <w:rsid w:val="00EF6692"/>
    <w:rsid w:val="00EF7372"/>
    <w:rsid w:val="00F057D0"/>
    <w:rsid w:val="00F11F0D"/>
    <w:rsid w:val="00F20062"/>
    <w:rsid w:val="00F20701"/>
    <w:rsid w:val="00F23C78"/>
    <w:rsid w:val="00F302F9"/>
    <w:rsid w:val="00F30383"/>
    <w:rsid w:val="00F307B2"/>
    <w:rsid w:val="00F444A0"/>
    <w:rsid w:val="00F4705B"/>
    <w:rsid w:val="00F500AF"/>
    <w:rsid w:val="00F636B9"/>
    <w:rsid w:val="00F63A20"/>
    <w:rsid w:val="00F75DCB"/>
    <w:rsid w:val="00F81CBF"/>
    <w:rsid w:val="00F81EB2"/>
    <w:rsid w:val="00F910D9"/>
    <w:rsid w:val="00F9206E"/>
    <w:rsid w:val="00F94D79"/>
    <w:rsid w:val="00F96167"/>
    <w:rsid w:val="00FB352D"/>
    <w:rsid w:val="00FB513B"/>
    <w:rsid w:val="00FC1FA4"/>
    <w:rsid w:val="00FD0976"/>
    <w:rsid w:val="00FE73F4"/>
    <w:rsid w:val="00FE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F8D043A-E02B-4CA0-9118-39A57C50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027F56"/>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rsid w:val="00027F56"/>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rsid w:val="00027F56"/>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DF4DA8"/>
    <w:pPr>
      <w:numPr>
        <w:numId w:val="1"/>
      </w:numPr>
      <w:contextualSpacing/>
    </w:pPr>
  </w:style>
  <w:style w:type="paragraph" w:styleId="ListBullet2">
    <w:name w:val="List Bullet 2"/>
    <w:basedOn w:val="Normal"/>
    <w:uiPriority w:val="99"/>
    <w:semiHidden/>
    <w:unhideWhenUsed/>
    <w:rsid w:val="00DF4DA8"/>
    <w:pPr>
      <w:numPr>
        <w:numId w:val="2"/>
      </w:numPr>
      <w:contextualSpacing/>
    </w:pPr>
  </w:style>
  <w:style w:type="paragraph" w:styleId="ListBullet3">
    <w:name w:val="List Bullet 3"/>
    <w:basedOn w:val="Normal"/>
    <w:uiPriority w:val="99"/>
    <w:semiHidden/>
    <w:unhideWhenUsed/>
    <w:rsid w:val="00DF4DA8"/>
    <w:pPr>
      <w:numPr>
        <w:numId w:val="3"/>
      </w:numPr>
      <w:contextualSpacing/>
    </w:pPr>
  </w:style>
  <w:style w:type="paragraph" w:styleId="ListBullet4">
    <w:name w:val="List Bullet 4"/>
    <w:basedOn w:val="Normal"/>
    <w:uiPriority w:val="99"/>
    <w:semiHidden/>
    <w:unhideWhenUsed/>
    <w:rsid w:val="00DF4DA8"/>
    <w:pPr>
      <w:numPr>
        <w:numId w:val="4"/>
      </w:numPr>
      <w:contextualSpacing/>
    </w:pPr>
  </w:style>
  <w:style w:type="character" w:customStyle="1" w:styleId="titxdkkzwvy9yqo8olape">
    <w:name w:val="titxdkkzwvy9yqo8olape"/>
    <w:basedOn w:val="DefaultParagraphFont"/>
    <w:rsid w:val="00DF4DA8"/>
  </w:style>
  <w:style w:type="character" w:customStyle="1" w:styleId="acopre">
    <w:name w:val="acopre"/>
    <w:basedOn w:val="DefaultParagraphFont"/>
    <w:rsid w:val="00DF4DA8"/>
  </w:style>
  <w:style w:type="character" w:styleId="Emphasis">
    <w:name w:val="Emphasis"/>
    <w:basedOn w:val="DefaultParagraphFont"/>
    <w:uiPriority w:val="20"/>
    <w:qFormat/>
    <w:rsid w:val="00DF4DA8"/>
    <w:rPr>
      <w:i/>
      <w:iCs/>
    </w:rPr>
  </w:style>
  <w:style w:type="character" w:styleId="Hyperlink">
    <w:name w:val="Hyperlink"/>
    <w:basedOn w:val="DefaultParagraphFont"/>
    <w:qFormat/>
    <w:rsid w:val="00DF4DA8"/>
    <w:rPr>
      <w:color w:val="0000FF" w:themeColor="hyperlink"/>
      <w:u w:val="single"/>
    </w:rPr>
  </w:style>
  <w:style w:type="character" w:customStyle="1" w:styleId="highlight">
    <w:name w:val="highlight"/>
    <w:basedOn w:val="DefaultParagraphFont"/>
    <w:rsid w:val="004A7428"/>
  </w:style>
  <w:style w:type="paragraph" w:customStyle="1" w:styleId="Fichefinancirestandardtitreacte">
    <w:name w:val="Fiche financière (standard) titre (acte)"/>
    <w:basedOn w:val="Normal"/>
    <w:next w:val="Normal"/>
    <w:rsid w:val="00871374"/>
    <w:pPr>
      <w:jc w:val="center"/>
    </w:pPr>
    <w:rPr>
      <w:rFonts w:eastAsia="Times New Roman"/>
      <w:b/>
      <w:u w:val="single"/>
      <w:lang w:val="fr-FR" w:eastAsia="en-GB"/>
    </w:rPr>
  </w:style>
  <w:style w:type="paragraph" w:customStyle="1" w:styleId="Fichefinancirestandardtitre">
    <w:name w:val="Fiche financière (standard) titre"/>
    <w:basedOn w:val="Normal"/>
    <w:next w:val="Normal"/>
    <w:rsid w:val="00871374"/>
    <w:pPr>
      <w:jc w:val="center"/>
    </w:pPr>
    <w:rPr>
      <w:rFonts w:eastAsia="Times New Roman"/>
      <w:b/>
      <w:u w:val="single"/>
      <w:lang w:val="fr-FR" w:eastAsia="en-GB"/>
    </w:rPr>
  </w:style>
  <w:style w:type="paragraph" w:styleId="Caption">
    <w:name w:val="caption"/>
    <w:basedOn w:val="Normal"/>
    <w:next w:val="Normal"/>
    <w:uiPriority w:val="35"/>
    <w:semiHidden/>
    <w:unhideWhenUsed/>
    <w:qFormat/>
    <w:rsid w:val="0015391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5391A"/>
    <w:pPr>
      <w:spacing w:after="0"/>
    </w:pPr>
  </w:style>
  <w:style w:type="paragraph" w:styleId="ListNumber">
    <w:name w:val="List Number"/>
    <w:basedOn w:val="Normal"/>
    <w:uiPriority w:val="99"/>
    <w:semiHidden/>
    <w:unhideWhenUsed/>
    <w:rsid w:val="0015391A"/>
    <w:pPr>
      <w:numPr>
        <w:numId w:val="5"/>
      </w:numPr>
      <w:contextualSpacing/>
    </w:pPr>
  </w:style>
  <w:style w:type="paragraph" w:styleId="ListNumber2">
    <w:name w:val="List Number 2"/>
    <w:basedOn w:val="Normal"/>
    <w:uiPriority w:val="99"/>
    <w:semiHidden/>
    <w:unhideWhenUsed/>
    <w:rsid w:val="0015391A"/>
    <w:pPr>
      <w:numPr>
        <w:numId w:val="6"/>
      </w:numPr>
      <w:contextualSpacing/>
    </w:pPr>
  </w:style>
  <w:style w:type="paragraph" w:styleId="ListNumber3">
    <w:name w:val="List Number 3"/>
    <w:basedOn w:val="Normal"/>
    <w:uiPriority w:val="99"/>
    <w:semiHidden/>
    <w:unhideWhenUsed/>
    <w:rsid w:val="0015391A"/>
    <w:pPr>
      <w:numPr>
        <w:numId w:val="7"/>
      </w:numPr>
      <w:contextualSpacing/>
    </w:pPr>
  </w:style>
  <w:style w:type="paragraph" w:styleId="ListNumber4">
    <w:name w:val="List Number 4"/>
    <w:basedOn w:val="Normal"/>
    <w:uiPriority w:val="99"/>
    <w:semiHidden/>
    <w:unhideWhenUsed/>
    <w:rsid w:val="0015391A"/>
    <w:pPr>
      <w:numPr>
        <w:numId w:val="8"/>
      </w:numPr>
      <w:contextualSpacing/>
    </w:pPr>
  </w:style>
  <w:style w:type="character" w:styleId="CommentReference">
    <w:name w:val="annotation reference"/>
    <w:basedOn w:val="DefaultParagraphFont"/>
    <w:uiPriority w:val="99"/>
    <w:semiHidden/>
    <w:unhideWhenUsed/>
    <w:rsid w:val="0092434B"/>
    <w:rPr>
      <w:sz w:val="16"/>
      <w:szCs w:val="16"/>
    </w:rPr>
  </w:style>
  <w:style w:type="paragraph" w:styleId="CommentText">
    <w:name w:val="annotation text"/>
    <w:basedOn w:val="Normal"/>
    <w:link w:val="CommentTextChar"/>
    <w:uiPriority w:val="99"/>
    <w:semiHidden/>
    <w:unhideWhenUsed/>
    <w:rsid w:val="0092434B"/>
    <w:rPr>
      <w:sz w:val="20"/>
      <w:szCs w:val="20"/>
    </w:rPr>
  </w:style>
  <w:style w:type="character" w:customStyle="1" w:styleId="CommentTextChar">
    <w:name w:val="Comment Text Char"/>
    <w:basedOn w:val="DefaultParagraphFont"/>
    <w:link w:val="CommentText"/>
    <w:uiPriority w:val="99"/>
    <w:semiHidden/>
    <w:rsid w:val="0092434B"/>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2434B"/>
    <w:rPr>
      <w:b/>
      <w:bCs/>
    </w:rPr>
  </w:style>
  <w:style w:type="character" w:customStyle="1" w:styleId="CommentSubjectChar">
    <w:name w:val="Comment Subject Char"/>
    <w:basedOn w:val="CommentTextChar"/>
    <w:link w:val="CommentSubject"/>
    <w:uiPriority w:val="99"/>
    <w:semiHidden/>
    <w:rsid w:val="0092434B"/>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07AC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AC3"/>
    <w:rPr>
      <w:rFonts w:ascii="Segoe UI" w:hAnsi="Segoe UI" w:cs="Segoe UI"/>
      <w:sz w:val="18"/>
      <w:szCs w:val="18"/>
      <w:lang w:val="en-GB"/>
    </w:rPr>
  </w:style>
  <w:style w:type="character" w:customStyle="1" w:styleId="oj-super">
    <w:name w:val="oj-super"/>
    <w:basedOn w:val="DefaultParagraphFont"/>
    <w:rsid w:val="008A31D2"/>
  </w:style>
  <w:style w:type="paragraph" w:styleId="Revision">
    <w:name w:val="Revision"/>
    <w:hidden/>
    <w:uiPriority w:val="99"/>
    <w:semiHidden/>
    <w:rsid w:val="00305C48"/>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sid w:val="002C17D2"/>
    <w:rPr>
      <w:color w:val="800080" w:themeColor="followedHyperlink"/>
      <w:u w:val="single"/>
    </w:rPr>
  </w:style>
  <w:style w:type="character" w:customStyle="1" w:styleId="iceouttxt">
    <w:name w:val="iceouttxt"/>
    <w:basedOn w:val="DefaultParagraphFont"/>
    <w:rsid w:val="000D637E"/>
  </w:style>
  <w:style w:type="paragraph" w:customStyle="1" w:styleId="ListBullet1">
    <w:name w:val="List Bullet 1"/>
    <w:basedOn w:val="Normal"/>
    <w:rsid w:val="007D02A8"/>
    <w:pPr>
      <w:numPr>
        <w:numId w:val="12"/>
      </w:numPr>
    </w:pPr>
    <w:rPr>
      <w:rFonts w:eastAsia="Times New Roman"/>
      <w:lang w:eastAsia="de-DE"/>
    </w:rPr>
  </w:style>
  <w:style w:type="paragraph" w:customStyle="1" w:styleId="ListDash1">
    <w:name w:val="List Dash 1"/>
    <w:basedOn w:val="Normal"/>
    <w:rsid w:val="007D02A8"/>
    <w:pPr>
      <w:numPr>
        <w:numId w:val="13"/>
      </w:numPr>
    </w:pPr>
    <w:rPr>
      <w:rFonts w:eastAsia="Times New Roman"/>
      <w:lang w:eastAsia="de-DE"/>
    </w:rPr>
  </w:style>
  <w:style w:type="paragraph" w:customStyle="1" w:styleId="ListDash2">
    <w:name w:val="List Dash 2"/>
    <w:basedOn w:val="Normal"/>
    <w:rsid w:val="007D02A8"/>
    <w:pPr>
      <w:numPr>
        <w:numId w:val="14"/>
      </w:numPr>
    </w:pPr>
    <w:rPr>
      <w:rFonts w:eastAsia="Times New Roman"/>
      <w:lang w:eastAsia="de-DE"/>
    </w:rPr>
  </w:style>
  <w:style w:type="paragraph" w:customStyle="1" w:styleId="ListNumberLevel3">
    <w:name w:val="List Number (Level 3)"/>
    <w:basedOn w:val="Normal"/>
    <w:rsid w:val="007D02A8"/>
    <w:pPr>
      <w:tabs>
        <w:tab w:val="num" w:pos="2126"/>
      </w:tabs>
      <w:ind w:left="2126" w:hanging="709"/>
    </w:pPr>
    <w:rPr>
      <w:rFonts w:eastAsia="Times New Roman"/>
      <w:lang w:eastAsia="de-DE"/>
    </w:rPr>
  </w:style>
  <w:style w:type="paragraph" w:customStyle="1" w:styleId="Text20">
    <w:name w:val="Text 2"/>
    <w:basedOn w:val="Normal"/>
    <w:rsid w:val="009B7138"/>
    <w:pPr>
      <w:ind w:left="1417"/>
    </w:pPr>
  </w:style>
  <w:style w:type="paragraph" w:styleId="Header">
    <w:name w:val="header"/>
    <w:basedOn w:val="Normal"/>
    <w:link w:val="HeaderChar"/>
    <w:uiPriority w:val="99"/>
    <w:unhideWhenUsed/>
    <w:rsid w:val="00BD72CF"/>
    <w:pPr>
      <w:tabs>
        <w:tab w:val="center" w:pos="4535"/>
        <w:tab w:val="right" w:pos="9071"/>
      </w:tabs>
      <w:spacing w:before="0"/>
    </w:pPr>
  </w:style>
  <w:style w:type="character" w:customStyle="1" w:styleId="HeaderChar">
    <w:name w:val="Header Char"/>
    <w:basedOn w:val="DefaultParagraphFont"/>
    <w:link w:val="Header"/>
    <w:uiPriority w:val="99"/>
    <w:rsid w:val="00BD72CF"/>
    <w:rPr>
      <w:rFonts w:ascii="Times New Roman" w:hAnsi="Times New Roman" w:cs="Times New Roman"/>
      <w:sz w:val="24"/>
      <w:lang w:val="en-GB"/>
    </w:rPr>
  </w:style>
  <w:style w:type="paragraph" w:styleId="Footer">
    <w:name w:val="footer"/>
    <w:basedOn w:val="Normal"/>
    <w:link w:val="FooterChar"/>
    <w:uiPriority w:val="99"/>
    <w:unhideWhenUsed/>
    <w:rsid w:val="00BD72C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D72CF"/>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BD72CF"/>
    <w:pPr>
      <w:tabs>
        <w:tab w:val="center" w:pos="7285"/>
        <w:tab w:val="right" w:pos="14003"/>
      </w:tabs>
      <w:spacing w:before="0"/>
    </w:pPr>
  </w:style>
  <w:style w:type="paragraph" w:customStyle="1" w:styleId="FooterLandscape">
    <w:name w:val="FooterLandscape"/>
    <w:basedOn w:val="Normal"/>
    <w:rsid w:val="00BD72C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BD72C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D72CF"/>
    <w:pPr>
      <w:spacing w:before="0"/>
      <w:jc w:val="right"/>
    </w:pPr>
    <w:rPr>
      <w:sz w:val="28"/>
    </w:rPr>
  </w:style>
  <w:style w:type="paragraph" w:customStyle="1" w:styleId="FooterSensitivity">
    <w:name w:val="Footer Sensitivity"/>
    <w:basedOn w:val="Normal"/>
    <w:rsid w:val="00BD72C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5"/>
      </w:numPr>
    </w:pPr>
  </w:style>
  <w:style w:type="paragraph" w:customStyle="1" w:styleId="Tiret1">
    <w:name w:val="Tiret 1"/>
    <w:basedOn w:val="Point1"/>
    <w:rsid w:val="009B7138"/>
    <w:pPr>
      <w:numPr>
        <w:numId w:val="16"/>
      </w:numPr>
    </w:pPr>
  </w:style>
  <w:style w:type="paragraph" w:customStyle="1" w:styleId="Tiret2">
    <w:name w:val="Tiret 2"/>
    <w:basedOn w:val="Point2"/>
    <w:rsid w:val="009B7138"/>
    <w:pPr>
      <w:numPr>
        <w:numId w:val="17"/>
      </w:numPr>
    </w:pPr>
  </w:style>
  <w:style w:type="paragraph" w:customStyle="1" w:styleId="Tiret3">
    <w:name w:val="Tiret 3"/>
    <w:basedOn w:val="Point3"/>
    <w:rsid w:val="009B7138"/>
    <w:pPr>
      <w:numPr>
        <w:numId w:val="18"/>
      </w:numPr>
    </w:pPr>
  </w:style>
  <w:style w:type="paragraph" w:customStyle="1" w:styleId="Tiret4">
    <w:name w:val="Tiret 4"/>
    <w:basedOn w:val="Point4"/>
    <w:rsid w:val="009B7138"/>
    <w:pPr>
      <w:numPr>
        <w:numId w:val="19"/>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5"/>
      </w:numPr>
    </w:pPr>
  </w:style>
  <w:style w:type="paragraph" w:customStyle="1" w:styleId="NumPar2">
    <w:name w:val="NumPar 2"/>
    <w:basedOn w:val="Normal"/>
    <w:next w:val="Text1"/>
    <w:rsid w:val="009B7138"/>
    <w:pPr>
      <w:numPr>
        <w:ilvl w:val="1"/>
        <w:numId w:val="35"/>
      </w:numPr>
    </w:pPr>
  </w:style>
  <w:style w:type="paragraph" w:customStyle="1" w:styleId="NumPar3">
    <w:name w:val="NumPar 3"/>
    <w:basedOn w:val="Normal"/>
    <w:next w:val="Text1"/>
    <w:rsid w:val="009B7138"/>
    <w:pPr>
      <w:numPr>
        <w:ilvl w:val="2"/>
        <w:numId w:val="35"/>
      </w:numPr>
    </w:pPr>
  </w:style>
  <w:style w:type="paragraph" w:customStyle="1" w:styleId="NumPar4">
    <w:name w:val="NumPar 4"/>
    <w:basedOn w:val="Normal"/>
    <w:next w:val="Text1"/>
    <w:rsid w:val="009B7138"/>
    <w:pPr>
      <w:numPr>
        <w:ilvl w:val="3"/>
        <w:numId w:val="35"/>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2"/>
      </w:numPr>
    </w:pPr>
  </w:style>
  <w:style w:type="paragraph" w:customStyle="1" w:styleId="Point1number">
    <w:name w:val="Point 1 (number)"/>
    <w:basedOn w:val="Normal"/>
    <w:rsid w:val="009B7138"/>
    <w:pPr>
      <w:numPr>
        <w:ilvl w:val="2"/>
        <w:numId w:val="22"/>
      </w:numPr>
    </w:pPr>
  </w:style>
  <w:style w:type="paragraph" w:customStyle="1" w:styleId="Point2number">
    <w:name w:val="Point 2 (number)"/>
    <w:basedOn w:val="Normal"/>
    <w:rsid w:val="009B7138"/>
    <w:pPr>
      <w:numPr>
        <w:ilvl w:val="4"/>
        <w:numId w:val="22"/>
      </w:numPr>
    </w:pPr>
  </w:style>
  <w:style w:type="paragraph" w:customStyle="1" w:styleId="Point3number">
    <w:name w:val="Point 3 (number)"/>
    <w:basedOn w:val="Normal"/>
    <w:rsid w:val="009B7138"/>
    <w:pPr>
      <w:numPr>
        <w:ilvl w:val="6"/>
        <w:numId w:val="22"/>
      </w:numPr>
    </w:pPr>
  </w:style>
  <w:style w:type="paragraph" w:customStyle="1" w:styleId="Point0letter">
    <w:name w:val="Point 0 (letter)"/>
    <w:basedOn w:val="Normal"/>
    <w:rsid w:val="009B7138"/>
    <w:pPr>
      <w:numPr>
        <w:ilvl w:val="1"/>
        <w:numId w:val="22"/>
      </w:numPr>
    </w:pPr>
  </w:style>
  <w:style w:type="paragraph" w:customStyle="1" w:styleId="Point1letter">
    <w:name w:val="Point 1 (letter)"/>
    <w:basedOn w:val="Normal"/>
    <w:rsid w:val="009B7138"/>
    <w:pPr>
      <w:numPr>
        <w:ilvl w:val="3"/>
        <w:numId w:val="22"/>
      </w:numPr>
    </w:pPr>
  </w:style>
  <w:style w:type="paragraph" w:customStyle="1" w:styleId="Point2letter">
    <w:name w:val="Point 2 (letter)"/>
    <w:basedOn w:val="Normal"/>
    <w:rsid w:val="009B7138"/>
    <w:pPr>
      <w:numPr>
        <w:ilvl w:val="5"/>
        <w:numId w:val="22"/>
      </w:numPr>
    </w:pPr>
  </w:style>
  <w:style w:type="paragraph" w:customStyle="1" w:styleId="Point3letter">
    <w:name w:val="Point 3 (letter)"/>
    <w:basedOn w:val="Normal"/>
    <w:rsid w:val="009B7138"/>
    <w:pPr>
      <w:numPr>
        <w:ilvl w:val="7"/>
        <w:numId w:val="22"/>
      </w:numPr>
    </w:pPr>
  </w:style>
  <w:style w:type="paragraph" w:customStyle="1" w:styleId="Point4letter">
    <w:name w:val="Point 4 (letter)"/>
    <w:basedOn w:val="Normal"/>
    <w:rsid w:val="009B7138"/>
    <w:pPr>
      <w:numPr>
        <w:ilvl w:val="8"/>
        <w:numId w:val="22"/>
      </w:numPr>
    </w:pPr>
  </w:style>
  <w:style w:type="paragraph" w:customStyle="1" w:styleId="Bullet0">
    <w:name w:val="Bullet 0"/>
    <w:basedOn w:val="Normal"/>
    <w:rsid w:val="009B7138"/>
    <w:pPr>
      <w:numPr>
        <w:numId w:val="23"/>
      </w:numPr>
    </w:pPr>
  </w:style>
  <w:style w:type="paragraph" w:customStyle="1" w:styleId="Bullet1">
    <w:name w:val="Bullet 1"/>
    <w:basedOn w:val="Normal"/>
    <w:rsid w:val="009B7138"/>
    <w:pPr>
      <w:numPr>
        <w:numId w:val="24"/>
      </w:numPr>
    </w:pPr>
  </w:style>
  <w:style w:type="paragraph" w:customStyle="1" w:styleId="Bullet2">
    <w:name w:val="Bullet 2"/>
    <w:basedOn w:val="Normal"/>
    <w:rsid w:val="009B7138"/>
    <w:pPr>
      <w:numPr>
        <w:numId w:val="25"/>
      </w:numPr>
    </w:pPr>
  </w:style>
  <w:style w:type="paragraph" w:customStyle="1" w:styleId="Bullet3">
    <w:name w:val="Bullet 3"/>
    <w:basedOn w:val="Normal"/>
    <w:rsid w:val="009B7138"/>
    <w:pPr>
      <w:numPr>
        <w:numId w:val="26"/>
      </w:numPr>
    </w:pPr>
  </w:style>
  <w:style w:type="paragraph" w:customStyle="1" w:styleId="Bullet4">
    <w:name w:val="Bullet 4"/>
    <w:basedOn w:val="Normal"/>
    <w:rsid w:val="009B7138"/>
    <w:pPr>
      <w:numPr>
        <w:numId w:val="27"/>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8"/>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027F56"/>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027F56"/>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027F56"/>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027F56"/>
    <w:pPr>
      <w:keepNext/>
      <w:tabs>
        <w:tab w:val="left" w:pos="1417"/>
      </w:tabs>
      <w:ind w:left="1417" w:hanging="1417"/>
      <w:outlineLvl w:val="4"/>
    </w:pPr>
  </w:style>
  <w:style w:type="paragraph" w:customStyle="1" w:styleId="ManualHeading6">
    <w:name w:val="Manual Heading 6"/>
    <w:basedOn w:val="Normal"/>
    <w:next w:val="Text2"/>
    <w:rsid w:val="00027F56"/>
    <w:pPr>
      <w:keepNext/>
      <w:tabs>
        <w:tab w:val="left" w:pos="1417"/>
      </w:tabs>
      <w:ind w:left="1417" w:hanging="1417"/>
      <w:outlineLvl w:val="5"/>
    </w:pPr>
  </w:style>
  <w:style w:type="paragraph" w:customStyle="1" w:styleId="ManualHeading7">
    <w:name w:val="Manual Heading 7"/>
    <w:basedOn w:val="Normal"/>
    <w:next w:val="Text2"/>
    <w:rsid w:val="00027F56"/>
    <w:pPr>
      <w:keepNext/>
      <w:tabs>
        <w:tab w:val="left" w:pos="1417"/>
      </w:tabs>
      <w:ind w:left="1417" w:hanging="1417"/>
      <w:outlineLvl w:val="6"/>
    </w:pPr>
  </w:style>
  <w:style w:type="paragraph" w:customStyle="1" w:styleId="Text5">
    <w:name w:val="Text 5"/>
    <w:basedOn w:val="Normal"/>
    <w:rsid w:val="00027F56"/>
    <w:pPr>
      <w:ind w:left="3118"/>
    </w:pPr>
  </w:style>
  <w:style w:type="paragraph" w:customStyle="1" w:styleId="Text6">
    <w:name w:val="Text 6"/>
    <w:basedOn w:val="Normal"/>
    <w:rsid w:val="00027F56"/>
    <w:pPr>
      <w:ind w:left="3685"/>
    </w:pPr>
  </w:style>
  <w:style w:type="paragraph" w:customStyle="1" w:styleId="Point5">
    <w:name w:val="Point 5"/>
    <w:basedOn w:val="Normal"/>
    <w:rsid w:val="00027F56"/>
    <w:pPr>
      <w:ind w:left="3685" w:hanging="567"/>
    </w:pPr>
  </w:style>
  <w:style w:type="paragraph" w:customStyle="1" w:styleId="Tiret5">
    <w:name w:val="Tiret 5"/>
    <w:basedOn w:val="Point5"/>
    <w:rsid w:val="00027F56"/>
    <w:pPr>
      <w:numPr>
        <w:numId w:val="32"/>
      </w:numPr>
    </w:pPr>
  </w:style>
  <w:style w:type="paragraph" w:customStyle="1" w:styleId="NumPar5">
    <w:name w:val="NumPar 5"/>
    <w:basedOn w:val="Normal"/>
    <w:next w:val="Text2"/>
    <w:rsid w:val="00027F56"/>
    <w:pPr>
      <w:numPr>
        <w:ilvl w:val="4"/>
        <w:numId w:val="35"/>
      </w:numPr>
    </w:pPr>
  </w:style>
  <w:style w:type="paragraph" w:customStyle="1" w:styleId="NumPar6">
    <w:name w:val="NumPar 6"/>
    <w:basedOn w:val="Normal"/>
    <w:next w:val="Text2"/>
    <w:rsid w:val="00027F56"/>
    <w:pPr>
      <w:numPr>
        <w:ilvl w:val="5"/>
        <w:numId w:val="35"/>
      </w:numPr>
    </w:pPr>
  </w:style>
  <w:style w:type="paragraph" w:customStyle="1" w:styleId="NumPar7">
    <w:name w:val="NumPar 7"/>
    <w:basedOn w:val="Normal"/>
    <w:next w:val="Text2"/>
    <w:rsid w:val="00027F56"/>
    <w:pPr>
      <w:numPr>
        <w:ilvl w:val="6"/>
        <w:numId w:val="35"/>
      </w:numPr>
    </w:pPr>
  </w:style>
  <w:style w:type="paragraph" w:customStyle="1" w:styleId="ManualNumPar5">
    <w:name w:val="Manual NumPar 5"/>
    <w:basedOn w:val="Normal"/>
    <w:next w:val="Text2"/>
    <w:rsid w:val="00027F56"/>
    <w:pPr>
      <w:ind w:left="1417" w:hanging="1417"/>
    </w:pPr>
  </w:style>
  <w:style w:type="paragraph" w:customStyle="1" w:styleId="ManualNumPar6">
    <w:name w:val="Manual NumPar 6"/>
    <w:basedOn w:val="Normal"/>
    <w:next w:val="Text2"/>
    <w:rsid w:val="00027F56"/>
    <w:pPr>
      <w:ind w:left="1417" w:hanging="1417"/>
    </w:pPr>
  </w:style>
  <w:style w:type="paragraph" w:customStyle="1" w:styleId="ManualNumPar7">
    <w:name w:val="Manual NumPar 7"/>
    <w:basedOn w:val="Normal"/>
    <w:next w:val="Text2"/>
    <w:rsid w:val="00027F56"/>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72257">
      <w:bodyDiv w:val="1"/>
      <w:marLeft w:val="0"/>
      <w:marRight w:val="0"/>
      <w:marTop w:val="0"/>
      <w:marBottom w:val="0"/>
      <w:divBdr>
        <w:top w:val="none" w:sz="0" w:space="0" w:color="auto"/>
        <w:left w:val="none" w:sz="0" w:space="0" w:color="auto"/>
        <w:bottom w:val="none" w:sz="0" w:space="0" w:color="auto"/>
        <w:right w:val="none" w:sz="0" w:space="0" w:color="auto"/>
      </w:divBdr>
    </w:div>
    <w:div w:id="1054431560">
      <w:bodyDiv w:val="1"/>
      <w:marLeft w:val="0"/>
      <w:marRight w:val="0"/>
      <w:marTop w:val="0"/>
      <w:marBottom w:val="0"/>
      <w:divBdr>
        <w:top w:val="none" w:sz="0" w:space="0" w:color="auto"/>
        <w:left w:val="none" w:sz="0" w:space="0" w:color="auto"/>
        <w:bottom w:val="none" w:sz="0" w:space="0" w:color="auto"/>
        <w:right w:val="none" w:sz="0" w:space="0" w:color="auto"/>
      </w:divBdr>
    </w:div>
    <w:div w:id="1101141653">
      <w:bodyDiv w:val="1"/>
      <w:marLeft w:val="0"/>
      <w:marRight w:val="0"/>
      <w:marTop w:val="0"/>
      <w:marBottom w:val="0"/>
      <w:divBdr>
        <w:top w:val="none" w:sz="0" w:space="0" w:color="auto"/>
        <w:left w:val="none" w:sz="0" w:space="0" w:color="auto"/>
        <w:bottom w:val="none" w:sz="0" w:space="0" w:color="auto"/>
        <w:right w:val="none" w:sz="0" w:space="0" w:color="auto"/>
      </w:divBdr>
    </w:div>
    <w:div w:id="1218318712">
      <w:bodyDiv w:val="1"/>
      <w:marLeft w:val="0"/>
      <w:marRight w:val="0"/>
      <w:marTop w:val="0"/>
      <w:marBottom w:val="0"/>
      <w:divBdr>
        <w:top w:val="none" w:sz="0" w:space="0" w:color="auto"/>
        <w:left w:val="none" w:sz="0" w:space="0" w:color="auto"/>
        <w:bottom w:val="none" w:sz="0" w:space="0" w:color="auto"/>
        <w:right w:val="none" w:sz="0" w:space="0" w:color="auto"/>
      </w:divBdr>
    </w:div>
    <w:div w:id="1579628653">
      <w:bodyDiv w:val="1"/>
      <w:marLeft w:val="0"/>
      <w:marRight w:val="0"/>
      <w:marTop w:val="0"/>
      <w:marBottom w:val="0"/>
      <w:divBdr>
        <w:top w:val="none" w:sz="0" w:space="0" w:color="auto"/>
        <w:left w:val="none" w:sz="0" w:space="0" w:color="auto"/>
        <w:bottom w:val="none" w:sz="0" w:space="0" w:color="auto"/>
        <w:right w:val="none" w:sz="0" w:space="0" w:color="auto"/>
      </w:divBdr>
    </w:div>
    <w:div w:id="1879001206">
      <w:bodyDiv w:val="1"/>
      <w:marLeft w:val="0"/>
      <w:marRight w:val="0"/>
      <w:marTop w:val="0"/>
      <w:marBottom w:val="0"/>
      <w:divBdr>
        <w:top w:val="none" w:sz="0" w:space="0" w:color="auto"/>
        <w:left w:val="none" w:sz="0" w:space="0" w:color="auto"/>
        <w:bottom w:val="none" w:sz="0" w:space="0" w:color="auto"/>
        <w:right w:val="none" w:sz="0" w:space="0" w:color="auto"/>
      </w:divBdr>
    </w:div>
    <w:div w:id="189211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ecdc.europa.eu/sites/default/files/documents/RRA-19th%20update-27-jan-2022.pdf" TargetMode="External"/><Relationship Id="rId13" Type="http://schemas.openxmlformats.org/officeDocument/2006/relationships/hyperlink" Target="https://ec.europa.eu/health/system/files/2022-01/covid-19_rat_common-list_en.pdf" TargetMode="External"/><Relationship Id="rId3" Type="http://schemas.openxmlformats.org/officeDocument/2006/relationships/hyperlink" Target="https://www.bruegel.org/2022/01/the-effect-of-covid-certificates-on-vaccine-uptake-public-health-and-the-economy/" TargetMode="External"/><Relationship Id="rId7" Type="http://schemas.openxmlformats.org/officeDocument/2006/relationships/hyperlink" Target="https://vaccinetracker.ecdc.europa.eu/public/extensions/COVID-19/vaccine-tracker.html" TargetMode="External"/><Relationship Id="rId12" Type="http://schemas.openxmlformats.org/officeDocument/2006/relationships/hyperlink" Target="https://ec.europa.eu/health/health-security-and-infectious-diseases/crisis-management/covid-19-diagnostic-tests_en" TargetMode="External"/><Relationship Id="rId17" Type="http://schemas.openxmlformats.org/officeDocument/2006/relationships/hyperlink" Target="https://eur-lex.europa.eu/legal-content/EN/TXT/?uri=CELEX%3A52021PC0130" TargetMode="External"/><Relationship Id="rId2" Type="http://schemas.openxmlformats.org/officeDocument/2006/relationships/hyperlink" Target="https://www.medrxiv.org/content/10.1101/2021.10.21.21265355v2" TargetMode="External"/><Relationship Id="rId16" Type="http://schemas.openxmlformats.org/officeDocument/2006/relationships/hyperlink" Target="http://www.cc.cec/budg/man/budgmanag/budgmanag_en.html" TargetMode="External"/><Relationship Id="rId1" Type="http://schemas.openxmlformats.org/officeDocument/2006/relationships/hyperlink" Target="https://www.europarl.europa.eu/at-your-service/files/be-heard/eurobarometer/2021/soteu-flash-survey/soteu-2021-report-en.pdf" TargetMode="External"/><Relationship Id="rId6" Type="http://schemas.openxmlformats.org/officeDocument/2006/relationships/hyperlink" Target="https://www.iata.org/en/pressroom/2021-releases/2021-08-26-01/" TargetMode="External"/><Relationship Id="rId11" Type="http://schemas.openxmlformats.org/officeDocument/2006/relationships/hyperlink" Target="https://www.ecdc.europa.eu/sites/default/files/documents/RRA-19-update-27-jan-2022.pdf" TargetMode="External"/><Relationship Id="rId5" Type="http://schemas.openxmlformats.org/officeDocument/2006/relationships/hyperlink" Target="https://wttc.org/News-Article/WTTC-identifies-digital-solutions-for-governments-worldwide-to-significantly-restore-international-mobility" TargetMode="External"/><Relationship Id="rId15" Type="http://schemas.openxmlformats.org/officeDocument/2006/relationships/hyperlink" Target="https://www.ecdc.europa.eu/sites/default/files/documents/RRA-19th%20update-27-jan-2022.pdf" TargetMode="External"/><Relationship Id="rId10" Type="http://schemas.openxmlformats.org/officeDocument/2006/relationships/hyperlink" Target="https://ec.europa.eu/health/system/files/2022-01/covid-19_rat_common-list_en.pdf" TargetMode="External"/><Relationship Id="rId4" Type="http://schemas.openxmlformats.org/officeDocument/2006/relationships/hyperlink" Target="https://ec.europa.eu/info/live-work-travel-eu/coronavirus-response/safe-covid-19-vaccines-europeans/eu-digital-covid-certificate_en" TargetMode="External"/><Relationship Id="rId9" Type="http://schemas.openxmlformats.org/officeDocument/2006/relationships/hyperlink" Target="https://ec.europa.eu/health/health-security-and-infectious-diseases/crisis-management/covid-19-diagnostic-tests_en" TargetMode="External"/><Relationship Id="rId14" Type="http://schemas.openxmlformats.org/officeDocument/2006/relationships/hyperlink" Target="https://vaccinetracker.ecdc.europa.eu/public/extensions/COVID-19/vaccine-track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78188A-76CE-4EC1-A629-89C81A25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32</Pages>
  <Words>10022</Words>
  <Characters>56228</Characters>
  <Application>Microsoft Office Word</Application>
  <DocSecurity>0</DocSecurity>
  <Lines>1479</Lines>
  <Paragraphs>619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2022-02-02T17:18:00Z</dcterms:created>
  <dcterms:modified xsi:type="dcterms:W3CDTF">2022-02-02T18:56:00Z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