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32" w:rsidRPr="00442901" w:rsidRDefault="00BB1D0F" w:rsidP="00BB1D0F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27FEC477-892B-4715-9965-DBC917A7EA7A" style="width:450.25pt;height:484.75pt">
            <v:imagedata r:id="rId11" o:title=""/>
          </v:shape>
        </w:pict>
      </w:r>
    </w:p>
    <w:bookmarkEnd w:id="0"/>
    <w:p w:rsidR="008659C2" w:rsidRDefault="008659C2" w:rsidP="008659C2">
      <w:pPr>
        <w:rPr>
          <w:noProof/>
        </w:rPr>
        <w:sectPr w:rsidR="008659C2" w:rsidSect="00BB1D0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7D3364" w:rsidRDefault="0026356B" w:rsidP="007D3364">
      <w:pPr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</w:pPr>
      <w:bookmarkStart w:id="1" w:name="_GoBack"/>
      <w:bookmarkEnd w:id="1"/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t>Ez a bizottsági szolgálati munkadokumentum a transzeurópai közlekedési hálózat (TEN-T) tervezésének módszertanát határozza meg a transzeurópai közlekedési hálózat fejlesztésére vonatkozó uniós iránymutatásokról és az 1315/2013/EU rendelet hatályon kívül helyezéséről szóló európai parlamenti és tanácsi rendeletre irányuló bizottsági javaslatban [illessze be az ugyanezen csomag részét képező bizottsági javaslatra utaló hivatkozást] foglaltak szerint.</w:t>
      </w:r>
    </w:p>
    <w:p w:rsidR="0026356B" w:rsidRPr="00BA044F" w:rsidRDefault="007D3364" w:rsidP="007D3364">
      <w:pPr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u w:val="single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Ez a módszertan az Európai Bizottság, az Európai Parlament és a Tanács által az 1315/2013/EU rendelet</w:t>
      </w:r>
      <w:r>
        <w:rPr>
          <w:rStyle w:val="FootnoteReference"/>
          <w:rFonts w:ascii="Times New Roman" w:hAnsi="Times New Roman" w:cs="Times New Roman"/>
          <w:noProof/>
          <w:color w:val="000000"/>
          <w:sz w:val="24"/>
          <w:szCs w:val="24"/>
        </w:rPr>
        <w:footnoteReference w:id="1"/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elfogadására irányuló jogalkotási eljárás során alkalmazott módszertanon</w:t>
      </w:r>
      <w:r>
        <w:rPr>
          <w:rStyle w:val="FootnoteReference"/>
          <w:rFonts w:ascii="Times New Roman" w:hAnsi="Times New Roman" w:cs="Times New Roman"/>
          <w:noProof/>
          <w:color w:val="000000"/>
          <w:sz w:val="24"/>
          <w:szCs w:val="24"/>
        </w:rPr>
        <w:footnoteReference w:id="2"/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alapul.</w:t>
      </w:r>
      <w:r>
        <w:rPr>
          <w:rFonts w:ascii="Times New Roman" w:hAnsi="Times New Roman"/>
          <w:b/>
          <w:noProof/>
          <w:color w:val="000000"/>
          <w:sz w:val="24"/>
          <w:szCs w:val="24"/>
          <w:u w:val="single"/>
        </w:rPr>
        <w:t xml:space="preserve"> </w:t>
      </w:r>
    </w:p>
    <w:p w:rsidR="0026356B" w:rsidRPr="00442901" w:rsidRDefault="0026356B" w:rsidP="007D3364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A módszertan az átfogó transzeurópai közlekedési hálózat és a transzeurópai közlekedési törzshálózat meghatározására használatos. A módszertan alkalmazásakor biztosítani kell a vonatkozó uniós jogszabályok maradéktalan betartását. </w:t>
      </w:r>
    </w:p>
    <w:p w:rsidR="0026356B" w:rsidRDefault="0026356B" w:rsidP="007D3364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A módszertan számos, következetesen alkalmazott kritériumból áll. A módszertan első lépésként az átfogó hálózatot határozza meg (1. fejezet). Második lépésként az átfogó hálózat egyes részeit törzshálózatként (2. fejezet) vagy kiterjesztett törzshálózatként (3. fejezet) határozza meg. </w:t>
      </w:r>
    </w:p>
    <w:p w:rsidR="0026356B" w:rsidRPr="00442901" w:rsidRDefault="0026356B" w:rsidP="0026356B">
      <w:pPr>
        <w:pStyle w:val="ManualHeading1"/>
        <w:rPr>
          <w:noProof/>
          <w:szCs w:val="24"/>
        </w:rPr>
      </w:pPr>
      <w:r>
        <w:rPr>
          <w:noProof/>
        </w:rPr>
        <w:t>1.</w:t>
      </w:r>
      <w:r>
        <w:rPr>
          <w:noProof/>
        </w:rPr>
        <w:tab/>
        <w:t>Az átfogó hálózat</w:t>
      </w:r>
    </w:p>
    <w:p w:rsidR="0026356B" w:rsidRPr="00442901" w:rsidRDefault="00754DC2" w:rsidP="00D033F2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Az átfogó hálózat valamennyi közlekedési mód – a vasúti, közúti, belvízi, légi és tengeri közlekedési mód – elemeit, valamint azok kapcsolódási pontjait és a megfelelő forgalmi információs és irányítási rendszereket foglalja magában.</w:t>
      </w:r>
    </w:p>
    <w:p w:rsidR="0026356B" w:rsidRPr="007E75CD" w:rsidRDefault="0026356B" w:rsidP="00D033F2">
      <w:pPr>
        <w:jc w:val="both"/>
        <w:rPr>
          <w:rFonts w:ascii="Times New Roman" w:hAnsi="Times New Roman" w:cs="Times New Roman"/>
          <w:strike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Az átfogó hálózat lényegében az 1315/2013/EU rendeletben meghatározott, jelenlegi TEN-T aktualizálásának és kiigazításának az eredménye.</w:t>
      </w:r>
      <w:r>
        <w:rPr>
          <w:rFonts w:ascii="Times New Roman" w:hAnsi="Times New Roman"/>
          <w:strike/>
          <w:noProof/>
          <w:color w:val="000000"/>
          <w:sz w:val="24"/>
          <w:szCs w:val="24"/>
        </w:rPr>
        <w:t xml:space="preserve"> </w:t>
      </w:r>
    </w:p>
    <w:p w:rsidR="0026356B" w:rsidRPr="00442901" w:rsidRDefault="0026356B" w:rsidP="00D033F2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Az alkalmazott módszertan eredményeként az aktualizálás és a kiigazítás a következő elvek alapján történt:</w:t>
      </w:r>
    </w:p>
    <w:p w:rsidR="0026356B" w:rsidRPr="00442901" w:rsidRDefault="00761E01" w:rsidP="00E13042">
      <w:pPr>
        <w:pStyle w:val="Point0"/>
        <w:rPr>
          <w:noProof/>
        </w:rPr>
      </w:pPr>
      <w:r>
        <w:rPr>
          <w:noProof/>
        </w:rPr>
        <w:t>1.</w:t>
      </w:r>
      <w:r w:rsidR="00E13042">
        <w:rPr>
          <w:noProof/>
        </w:rPr>
        <w:tab/>
        <w:t>A jelenlegi TEN-T annak érdekében történő aktualizálása, hogy tükrözze a megvalósítása terén elért eredményeket, valamint szükség esetén a nemzeti tervezés – uniós szintű tervezéssel összhangban végzett – módosításaihoz való hozzáigazítása.</w:t>
      </w:r>
    </w:p>
    <w:p w:rsidR="0026356B" w:rsidRPr="00442901" w:rsidRDefault="00761E01" w:rsidP="00E13042">
      <w:pPr>
        <w:pStyle w:val="Point0"/>
        <w:rPr>
          <w:noProof/>
        </w:rPr>
      </w:pPr>
      <w:r>
        <w:rPr>
          <w:noProof/>
        </w:rPr>
        <w:t>2.</w:t>
      </w:r>
      <w:r w:rsidR="00E13042">
        <w:rPr>
          <w:noProof/>
        </w:rPr>
        <w:tab/>
        <w:t>A jelenlegi TEN-T hálózaton belüli zsákutcák és elszigetelt összeköttetések felszámolása, ha azokat földrajzi sajátosságok nem indokolják; az összeköttetések megszüntetésével vagy közeli hálózati elemekre történő kiterjesztésével.</w:t>
      </w:r>
    </w:p>
    <w:p w:rsidR="0026356B" w:rsidRPr="00442901" w:rsidRDefault="00761E01" w:rsidP="00E13042">
      <w:pPr>
        <w:pStyle w:val="Point0"/>
        <w:rPr>
          <w:noProof/>
        </w:rPr>
      </w:pPr>
      <w:r>
        <w:rPr>
          <w:noProof/>
        </w:rPr>
        <w:t>3.</w:t>
      </w:r>
      <w:r w:rsidR="00E13042">
        <w:rPr>
          <w:noProof/>
        </w:rPr>
        <w:tab/>
        <w:t>Annak biztosítása, hogy az infrastruktúrára és a berendezésekre vonatkozó minimumkövetelmények a vonatkozó, jelenleg hatályos jogszabályokkal összhangban teljesüljenek (például a vasúti átjárhatóság, a közúti alagutak biztonsága, a belvízi utak kategorizálása tekintetében). A belvízi utaknak meg kell felelniük legalább az ENSZ-EGB előírása szerinti IV. osztálynak.</w:t>
      </w:r>
    </w:p>
    <w:p w:rsidR="0026356B" w:rsidRPr="00442901" w:rsidRDefault="00761E01" w:rsidP="00E13042">
      <w:pPr>
        <w:pStyle w:val="Point0"/>
        <w:rPr>
          <w:noProof/>
        </w:rPr>
      </w:pPr>
      <w:r>
        <w:rPr>
          <w:noProof/>
        </w:rPr>
        <w:t>4.</w:t>
      </w:r>
      <w:r w:rsidR="00E13042">
        <w:rPr>
          <w:noProof/>
        </w:rPr>
        <w:tab/>
        <w:t xml:space="preserve">A kereskedelmi forgalom számára megnyitott tengeri kikötők kiválasztásának felülvizsgálata az alábbi egyedi kritériumok legalább egyikének megfelelően: 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lastRenderedPageBreak/>
        <w:tab/>
        <w:t>Személyforgalom: Az átfogó hálózat szárazföldi elemével összekapcsolt tengeri kikötők, amelyek éves forgalma meghaladja az EU teljes éves tengeri személyforgalmának 1 ‰-ét. Ez az éves forgalom azon legutóbbi hároméves összesítések átlagát jelenti, amely évekre vonatkozóan az Eurostat által közzétett statisztikák alapján rendelkezésre állnak az összes tagállamra vonatkozó adatok</w:t>
      </w:r>
      <w:r>
        <w:rPr>
          <w:rStyle w:val="FootnoteReference"/>
          <w:noProof/>
          <w:szCs w:val="24"/>
        </w:rPr>
        <w:footnoteReference w:id="3"/>
      </w:r>
      <w:r>
        <w:rPr>
          <w:noProof/>
        </w:rPr>
        <w:t xml:space="preserve">. </w:t>
      </w:r>
    </w:p>
    <w:p w:rsidR="000F717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ab/>
        <w:t>Áruforgalom: Az átfogó hálózat szárazföldi elemével összekapcsolt tengeri kikötők, amelyek éves forgalma – akár ömlesztett, akár nem ömlesztett áru kezelése esetén – meghaladja az uniós kikötőkben kezelt megfelelő éves áruforgalom 1 ‰-ét, ha az ömlesztett és nem ömlesztett áru közötti lineáris interpoláció megfelel a következő képletnek: v</w:t>
      </w:r>
      <w:r>
        <w:rPr>
          <w:noProof/>
          <w:szCs w:val="24"/>
          <w:vertAlign w:val="subscript"/>
        </w:rPr>
        <w:t>b</w:t>
      </w:r>
      <w:r>
        <w:rPr>
          <w:noProof/>
        </w:rPr>
        <w:t>/t</w:t>
      </w:r>
      <w:r>
        <w:rPr>
          <w:noProof/>
          <w:szCs w:val="24"/>
          <w:vertAlign w:val="subscript"/>
        </w:rPr>
        <w:t>b</w:t>
      </w:r>
      <w:r>
        <w:rPr>
          <w:noProof/>
        </w:rPr>
        <w:t xml:space="preserve"> + v</w:t>
      </w:r>
      <w:r>
        <w:rPr>
          <w:noProof/>
          <w:szCs w:val="24"/>
          <w:vertAlign w:val="subscript"/>
        </w:rPr>
        <w:t>n</w:t>
      </w:r>
      <w:r>
        <w:rPr>
          <w:noProof/>
        </w:rPr>
        <w:t>/t</w:t>
      </w:r>
      <w:r>
        <w:rPr>
          <w:noProof/>
          <w:szCs w:val="24"/>
          <w:vertAlign w:val="subscript"/>
        </w:rPr>
        <w:t>n</w:t>
      </w:r>
      <w:r>
        <w:rPr>
          <w:noProof/>
        </w:rPr>
        <w:t xml:space="preserve"> ≥ 1 (ahol v</w:t>
      </w:r>
      <w:r>
        <w:rPr>
          <w:noProof/>
          <w:szCs w:val="24"/>
          <w:vertAlign w:val="subscript"/>
        </w:rPr>
        <w:t>b</w:t>
      </w:r>
      <w:r>
        <w:rPr>
          <w:noProof/>
        </w:rPr>
        <w:t xml:space="preserve"> az ömlesztett áru mennyisége, t</w:t>
      </w:r>
      <w:r>
        <w:rPr>
          <w:noProof/>
          <w:szCs w:val="24"/>
          <w:vertAlign w:val="subscript"/>
        </w:rPr>
        <w:t>b</w:t>
      </w:r>
      <w:r>
        <w:rPr>
          <w:noProof/>
        </w:rPr>
        <w:t xml:space="preserve"> az ömlesztett árura alkalmazandó küszöbérték, v</w:t>
      </w:r>
      <w:r>
        <w:rPr>
          <w:noProof/>
          <w:szCs w:val="24"/>
          <w:vertAlign w:val="subscript"/>
        </w:rPr>
        <w:t>n</w:t>
      </w:r>
      <w:r>
        <w:rPr>
          <w:noProof/>
        </w:rPr>
        <w:t xml:space="preserve"> a nem ömlesztett áru mennyisége, t</w:t>
      </w:r>
      <w:r>
        <w:rPr>
          <w:noProof/>
          <w:szCs w:val="24"/>
          <w:vertAlign w:val="subscript"/>
        </w:rPr>
        <w:t>n</w:t>
      </w:r>
      <w:r>
        <w:rPr>
          <w:noProof/>
        </w:rPr>
        <w:t xml:space="preserve"> pedig a nem ömlesztett árura alkalmazandó küszöbérték). Ez az éves forgalom az Eurostat által közzétett statisztikák alapján rendelkezésre álló legutóbbi hároméves összesítések átlagát jelenti</w:t>
      </w:r>
      <w:r>
        <w:rPr>
          <w:rStyle w:val="FootnoteReference"/>
          <w:noProof/>
          <w:szCs w:val="24"/>
        </w:rPr>
        <w:footnoteReference w:id="4"/>
      </w:r>
      <w:r>
        <w:rPr>
          <w:noProof/>
        </w:rPr>
        <w:t xml:space="preserve">. </w:t>
      </w:r>
    </w:p>
    <w:p w:rsidR="000F7171" w:rsidRDefault="000F7171" w:rsidP="000F7171">
      <w:pPr>
        <w:pStyle w:val="Point0"/>
        <w:ind w:firstLine="0"/>
        <w:rPr>
          <w:noProof/>
          <w:szCs w:val="24"/>
        </w:rPr>
      </w:pPr>
      <w:r>
        <w:rPr>
          <w:noProof/>
        </w:rPr>
        <w:t>Az 1315/2013/EU rendeletben meghatározott átfogó hálózat részét képező tengeri kikötőknek az átfogó hálózaton belül maradnak, ha az ömlesztett és nem ömlesztett áruk közötti lineáris interpoláció megfelel a következő képletnek: v</w:t>
      </w:r>
      <w:r>
        <w:rPr>
          <w:noProof/>
          <w:szCs w:val="24"/>
          <w:vertAlign w:val="subscript"/>
        </w:rPr>
        <w:t>b</w:t>
      </w:r>
      <w:r>
        <w:rPr>
          <w:noProof/>
        </w:rPr>
        <w:t>/t</w:t>
      </w:r>
      <w:r>
        <w:rPr>
          <w:noProof/>
          <w:szCs w:val="24"/>
          <w:vertAlign w:val="subscript"/>
        </w:rPr>
        <w:t>b</w:t>
      </w:r>
      <w:r>
        <w:rPr>
          <w:noProof/>
        </w:rPr>
        <w:t xml:space="preserve"> + v</w:t>
      </w:r>
      <w:r>
        <w:rPr>
          <w:noProof/>
          <w:szCs w:val="24"/>
          <w:vertAlign w:val="subscript"/>
        </w:rPr>
        <w:t>n</w:t>
      </w:r>
      <w:r>
        <w:rPr>
          <w:noProof/>
        </w:rPr>
        <w:t>/t</w:t>
      </w:r>
      <w:r>
        <w:rPr>
          <w:noProof/>
          <w:szCs w:val="24"/>
          <w:vertAlign w:val="subscript"/>
        </w:rPr>
        <w:t>n</w:t>
      </w:r>
      <w:r>
        <w:rPr>
          <w:noProof/>
        </w:rPr>
        <w:t xml:space="preserve"> ≥ 0,95, vagy ha az éves forgalom meghaladja a vonatkozó küszöbérték 85 %-át.</w:t>
      </w:r>
    </w:p>
    <w:p w:rsidR="0026356B" w:rsidRPr="00442901" w:rsidRDefault="000F7171" w:rsidP="000F7171">
      <w:pPr>
        <w:pStyle w:val="Point0"/>
        <w:ind w:firstLine="0"/>
        <w:rPr>
          <w:noProof/>
          <w:szCs w:val="24"/>
        </w:rPr>
      </w:pPr>
      <w:r>
        <w:rPr>
          <w:noProof/>
        </w:rPr>
        <w:t>Szigeteken található tengeri kikötők, feltéve, hogy azok NUTS 3 szinten</w:t>
      </w:r>
      <w:r>
        <w:rPr>
          <w:rStyle w:val="FootnoteReference"/>
          <w:noProof/>
          <w:szCs w:val="24"/>
        </w:rPr>
        <w:footnoteReference w:id="5"/>
      </w:r>
      <w:r>
        <w:rPr>
          <w:noProof/>
        </w:rPr>
        <w:t xml:space="preserve"> vagy szigetcsoportok szintjén biztosítják a megközelíthetőséget.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ab/>
        <w:t>Peremterületeken található tengeri kikötők, feltéve, hogy egy másik TEN</w:t>
      </w:r>
      <w:r>
        <w:rPr>
          <w:noProof/>
        </w:rPr>
        <w:noBreakHyphen/>
        <w:t xml:space="preserve">T kikötőtől való közúti távolságuk legalább 200 km </w:t>
      </w:r>
      <w:r>
        <w:rPr>
          <w:noProof/>
          <w:color w:val="000000"/>
          <w:szCs w:val="24"/>
        </w:rPr>
        <w:t>(a legrövidebb közúti útvonalat követve)</w:t>
      </w:r>
      <w:r>
        <w:rPr>
          <w:noProof/>
        </w:rPr>
        <w:t>.</w:t>
      </w:r>
    </w:p>
    <w:p w:rsidR="0026356B" w:rsidRPr="00442901" w:rsidRDefault="00761E01" w:rsidP="00E13042">
      <w:pPr>
        <w:pStyle w:val="Point0"/>
        <w:rPr>
          <w:noProof/>
        </w:rPr>
      </w:pPr>
      <w:r>
        <w:rPr>
          <w:noProof/>
        </w:rPr>
        <w:t>5.</w:t>
      </w:r>
      <w:r w:rsidR="00E13042">
        <w:rPr>
          <w:noProof/>
        </w:rPr>
        <w:tab/>
        <w:t>A kereskedelmi forgalom számára megnyitott repülőterek kiválasztásának felülvizsgálata az alábbi egyedi kritériumok legalább egyikének megfelelően: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ab/>
        <w:t>Személyforgalom: Olyan repülőterek, amelyeknek az éves forgalma meghaladja a teljes éves uniós légi személyforgalom 1 ‰-ét. Ez az éves forgalom az Eurostat által közzétett statisztikák alapján rendelkezésre álló legutóbbi hároméves összesítések átlagát jelenti</w:t>
      </w:r>
      <w:r>
        <w:rPr>
          <w:rStyle w:val="FootnoteReference"/>
          <w:noProof/>
          <w:szCs w:val="24"/>
        </w:rPr>
        <w:footnoteReference w:id="6"/>
      </w:r>
      <w:r>
        <w:rPr>
          <w:noProof/>
        </w:rPr>
        <w:t xml:space="preserve">. </w:t>
      </w:r>
    </w:p>
    <w:p w:rsidR="0026356B" w:rsidRPr="00442901" w:rsidRDefault="0026356B" w:rsidP="0026356B">
      <w:pPr>
        <w:pStyle w:val="Point0"/>
        <w:rPr>
          <w:noProof/>
          <w:color w:val="000000"/>
          <w:szCs w:val="24"/>
        </w:rPr>
      </w:pPr>
      <w:r>
        <w:rPr>
          <w:noProof/>
        </w:rPr>
        <w:tab/>
      </w:r>
      <w:r>
        <w:rPr>
          <w:noProof/>
          <w:color w:val="000000"/>
          <w:szCs w:val="24"/>
        </w:rPr>
        <w:t>Áruforgalom: Olyan repülőterek, amelyeknek az éves forgalma meghaladja az uniós repülőtereken kezelt teljes éves áruforgalom 2 ‰-ét. Ez az éves forgalom az Eurostat által közzétett statisztikák alapján rendelkezésre álló legutóbbi hároméves összesítések átlagát jelenti</w:t>
      </w:r>
      <w:r>
        <w:rPr>
          <w:rStyle w:val="FootnoteReference"/>
          <w:noProof/>
          <w:szCs w:val="24"/>
        </w:rPr>
        <w:footnoteReference w:id="7"/>
      </w:r>
      <w:r>
        <w:rPr>
          <w:noProof/>
          <w:color w:val="000000"/>
          <w:szCs w:val="24"/>
        </w:rPr>
        <w:t>.</w:t>
      </w:r>
    </w:p>
    <w:p w:rsidR="00FC33A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ab/>
        <w:t xml:space="preserve">Az 1315/2013/EU rendeletben meghatározott átfogó hálózat részét képező repülőterek az átfogó hálózatban maradnak, ha az éves forgalom meghaladja a vonatkozó küszöbérték 85 %-át. </w:t>
      </w:r>
    </w:p>
    <w:p w:rsidR="0026356B" w:rsidRPr="00442901" w:rsidRDefault="0026356B" w:rsidP="00FC33A1">
      <w:pPr>
        <w:pStyle w:val="Point0"/>
        <w:ind w:firstLine="0"/>
        <w:rPr>
          <w:noProof/>
          <w:color w:val="000000"/>
          <w:szCs w:val="24"/>
        </w:rPr>
      </w:pPr>
      <w:r>
        <w:rPr>
          <w:noProof/>
          <w:color w:val="000000"/>
          <w:szCs w:val="24"/>
        </w:rPr>
        <w:lastRenderedPageBreak/>
        <w:t>Szigeteken található repülőterek.</w:t>
      </w:r>
    </w:p>
    <w:p w:rsidR="0026356B" w:rsidRPr="00442901" w:rsidRDefault="0026356B" w:rsidP="0026356B">
      <w:pPr>
        <w:pStyle w:val="Point0"/>
        <w:rPr>
          <w:noProof/>
          <w:color w:val="000000"/>
          <w:szCs w:val="24"/>
        </w:rPr>
      </w:pPr>
      <w:r>
        <w:rPr>
          <w:noProof/>
        </w:rPr>
        <w:tab/>
      </w:r>
      <w:r>
        <w:rPr>
          <w:noProof/>
          <w:color w:val="000000"/>
          <w:szCs w:val="24"/>
        </w:rPr>
        <w:t>Peremterületeken vagy tengerparttal nem rendelkező területeken található repülőterek, feltéve, hogy egy másik TEN-T repülőtértől való távolságuk legalább 100 km (a legrövidebb közúti útvonalat követve), vagy ha a régióban van nagy sebességű vasútvonal, legalább 200 km (a legrövidebb közúti útvonalat követve).</w:t>
      </w:r>
    </w:p>
    <w:p w:rsidR="0026356B" w:rsidRPr="0001093E" w:rsidRDefault="00761E01" w:rsidP="00E13042">
      <w:pPr>
        <w:pStyle w:val="Point0"/>
        <w:rPr>
          <w:noProof/>
        </w:rPr>
      </w:pPr>
      <w:r>
        <w:rPr>
          <w:noProof/>
        </w:rPr>
        <w:t>6.</w:t>
      </w:r>
      <w:r w:rsidR="00E13042">
        <w:rPr>
          <w:noProof/>
        </w:rPr>
        <w:tab/>
        <w:t>Belvízi kikötők esetében az áruforgalomra vonatkozó küszöbérték 500 000 tonna. A küszöbértéket meghaladó kikötők hozzáadása a hálózathoz, valamint az 1315/2013/EU rendeletben meghatározott belvízi kikötők megtartása, kivéve, ha a forgalom 2013 óta jelentősen csökken. A belvízi kikötőknek nyitva kell állniuk a kereskedelmi forgalom előtt, és TEN-T belvízi utakon kell elhelyezkedniük.</w:t>
      </w:r>
    </w:p>
    <w:p w:rsidR="0026356B" w:rsidRPr="00C77DF6" w:rsidRDefault="00761E01" w:rsidP="00E13042">
      <w:pPr>
        <w:pStyle w:val="Point0"/>
        <w:rPr>
          <w:noProof/>
        </w:rPr>
      </w:pPr>
      <w:r>
        <w:rPr>
          <w:noProof/>
        </w:rPr>
        <w:t>7.</w:t>
      </w:r>
      <w:r w:rsidR="00E13042">
        <w:rPr>
          <w:noProof/>
        </w:rPr>
        <w:tab/>
        <w:t>Bármely olyan multimodális áruterminál hozzáadása, amely ingyenes hozzáférést biztosít bármely logisztikai szereplő számára, és megfelel az alábbi egyedi kritériumok valamelyikének:</w:t>
      </w:r>
    </w:p>
    <w:p w:rsidR="00C77DF6" w:rsidRDefault="0026356B" w:rsidP="00C77DF6">
      <w:pPr>
        <w:pStyle w:val="Point0"/>
        <w:numPr>
          <w:ilvl w:val="0"/>
          <w:numId w:val="8"/>
        </w:numPr>
        <w:rPr>
          <w:noProof/>
          <w:szCs w:val="24"/>
        </w:rPr>
      </w:pPr>
      <w:r>
        <w:rPr>
          <w:noProof/>
        </w:rPr>
        <w:t xml:space="preserve">az áruátrakodási mennyisége meghaladja az évi 800 000 tonnát, vagy a tervek szerint 2030-ra eléri ezt a mennyiséget, </w:t>
      </w:r>
    </w:p>
    <w:p w:rsidR="00C21EAD" w:rsidRDefault="0026356B" w:rsidP="00C77DF6">
      <w:pPr>
        <w:pStyle w:val="Point0"/>
        <w:numPr>
          <w:ilvl w:val="0"/>
          <w:numId w:val="8"/>
        </w:numPr>
        <w:rPr>
          <w:noProof/>
          <w:szCs w:val="24"/>
        </w:rPr>
      </w:pPr>
      <w:r>
        <w:rPr>
          <w:noProof/>
        </w:rPr>
        <w:t>össze van kapcsolva három TEN-T modális hálózati elemmel, vagy olyan NUTS 2 régió fő platformja, amely össze van kapcsolva két TEN-T modális hálózati elemmel.</w:t>
      </w:r>
    </w:p>
    <w:p w:rsidR="00020CD8" w:rsidRDefault="00020CD8" w:rsidP="00020CD8">
      <w:pPr>
        <w:pStyle w:val="Point0"/>
        <w:ind w:firstLine="0"/>
        <w:rPr>
          <w:noProof/>
          <w:szCs w:val="24"/>
        </w:rPr>
      </w:pPr>
      <w:r>
        <w:rPr>
          <w:noProof/>
        </w:rPr>
        <w:t xml:space="preserve">A tagállamok által az új TEN-T rendelet elfogadását követően kidolgozandó cselekvési tervvel összhangban egy későbbi szakaszban a hálózatot további multimodális áruterminálokkal lehetne kiegészíteni. </w:t>
      </w:r>
    </w:p>
    <w:p w:rsidR="00CB3A61" w:rsidRPr="00C77DF6" w:rsidRDefault="00761E01" w:rsidP="00E13042">
      <w:pPr>
        <w:pStyle w:val="Point0"/>
        <w:rPr>
          <w:noProof/>
        </w:rPr>
      </w:pPr>
      <w:r>
        <w:rPr>
          <w:noProof/>
        </w:rPr>
        <w:t>8.</w:t>
      </w:r>
      <w:r w:rsidR="00E13042">
        <w:rPr>
          <w:noProof/>
        </w:rPr>
        <w:tab/>
        <w:t xml:space="preserve">A legalább 100 000 lakost tömörítő városi csomópontok meghatározása, vagy ha egy adott NUTS 2 régióban nincs 100 000 főnél nagyobb lakosságú városi csomópont, akkor az adott NUTS 2 régió fő csomópontja. </w:t>
      </w:r>
    </w:p>
    <w:p w:rsidR="00C21EAD" w:rsidRPr="00C77DF6" w:rsidRDefault="00C21EAD" w:rsidP="00CB3A61">
      <w:pPr>
        <w:pStyle w:val="Point0number"/>
        <w:numPr>
          <w:ilvl w:val="0"/>
          <w:numId w:val="0"/>
        </w:numPr>
        <w:ind w:left="850"/>
        <w:rPr>
          <w:noProof/>
          <w:szCs w:val="24"/>
        </w:rPr>
      </w:pPr>
      <w:r>
        <w:rPr>
          <w:noProof/>
        </w:rPr>
        <w:t xml:space="preserve">Ha egy ilyen városi csomópont még nincs összekapcsolva a TEN-T hálózattal, akkor a városi csomópont TEN-T hálózattal való összekapcsolását célzó vasúti, illetve közúti összeköttetések hozzáadása a hálózathoz. </w:t>
      </w:r>
    </w:p>
    <w:p w:rsidR="00C21EAD" w:rsidRPr="00C77DF6" w:rsidRDefault="00761E01" w:rsidP="00E13042">
      <w:pPr>
        <w:pStyle w:val="Point0"/>
        <w:rPr>
          <w:noProof/>
        </w:rPr>
      </w:pPr>
      <w:r>
        <w:rPr>
          <w:noProof/>
        </w:rPr>
        <w:t>9.</w:t>
      </w:r>
      <w:r w:rsidR="00E13042">
        <w:rPr>
          <w:noProof/>
        </w:rPr>
        <w:tab/>
        <w:t>A Tanács által jóváhagyott katonai követelmények</w:t>
      </w:r>
      <w:r w:rsidR="00E13042">
        <w:rPr>
          <w:rStyle w:val="FootnoteReference"/>
          <w:noProof/>
          <w:szCs w:val="24"/>
        </w:rPr>
        <w:footnoteReference w:id="8"/>
      </w:r>
      <w:r w:rsidR="00E13042">
        <w:rPr>
          <w:noProof/>
        </w:rPr>
        <w:t xml:space="preserve"> megállapítását követően a katonai hálózati elemek polgári felhasználásának értékelése, és ezen elemek hozzáadása az átfogó hálózathoz, feltéve, hogy a kikötők, repülőterek, terminálok és belvízi utak megfelelnek a fent megállapított kritériumoknak, és feltéve, hogy a vasút- és közútszakaszok is polgári felhasználásúak, és nem okoznak átfedéseket a hálózaton belül. </w:t>
      </w:r>
    </w:p>
    <w:p w:rsidR="0001093E" w:rsidRPr="00BF5191" w:rsidRDefault="00761E01" w:rsidP="00E13042">
      <w:pPr>
        <w:pStyle w:val="Point0"/>
        <w:rPr>
          <w:noProof/>
        </w:rPr>
      </w:pPr>
      <w:r>
        <w:rPr>
          <w:noProof/>
        </w:rPr>
        <w:t>10.</w:t>
      </w:r>
      <w:r w:rsidR="00E13042">
        <w:rPr>
          <w:noProof/>
        </w:rPr>
        <w:tab/>
        <w:t>A vasúti árufuvarozási folyosók</w:t>
      </w:r>
      <w:r w:rsidR="00E13042">
        <w:rPr>
          <w:rStyle w:val="FootnoteReference"/>
          <w:noProof/>
          <w:szCs w:val="24"/>
        </w:rPr>
        <w:footnoteReference w:id="9"/>
      </w:r>
      <w:r w:rsidR="00E13042">
        <w:rPr>
          <w:noProof/>
        </w:rPr>
        <w:t xml:space="preserve"> azon szakaszainak hozzáadása a hálózathoz, amelyek a vasúti árufuvarozási folyosók „főágának”, „elkerülő szakaszának” vagy „ICM-vonalának” minősülnek, és még nem képezik a TEN-T hálózat részét.</w:t>
      </w:r>
    </w:p>
    <w:p w:rsidR="00442901" w:rsidRPr="00BF5191" w:rsidRDefault="00761E01" w:rsidP="00E13042">
      <w:pPr>
        <w:pStyle w:val="Point0"/>
        <w:rPr>
          <w:noProof/>
        </w:rPr>
      </w:pPr>
      <w:r>
        <w:rPr>
          <w:noProof/>
        </w:rPr>
        <w:t>11.</w:t>
      </w:r>
      <w:r w:rsidR="00E13042">
        <w:rPr>
          <w:noProof/>
        </w:rPr>
        <w:tab/>
        <w:t xml:space="preserve">Annak biztosítása, hogy minden legkülső régió – beleértve azok fontosabb szigeteit is – legalább egy kikötőn és egy repülőtéren keresztül össze legyen kapcsolva </w:t>
      </w:r>
      <w:r w:rsidR="00E13042">
        <w:rPr>
          <w:noProof/>
        </w:rPr>
        <w:lastRenderedPageBreak/>
        <w:t xml:space="preserve">egymással; a kikötőket és repülőtereket összekötő szárazföldi területen lévő közút (közutak) hozzáadása a hálózathoz.  </w:t>
      </w:r>
    </w:p>
    <w:p w:rsidR="0026356B" w:rsidRPr="00442901" w:rsidRDefault="0026356B" w:rsidP="0026356B">
      <w:pPr>
        <w:pStyle w:val="ManualHeading1"/>
        <w:rPr>
          <w:noProof/>
          <w:szCs w:val="24"/>
        </w:rPr>
      </w:pPr>
      <w:r>
        <w:rPr>
          <w:b w:val="0"/>
          <w:noProof/>
          <w:szCs w:val="24"/>
        </w:rPr>
        <w:t>2.</w:t>
      </w:r>
      <w:r>
        <w:rPr>
          <w:noProof/>
        </w:rPr>
        <w:tab/>
        <w:t xml:space="preserve">A törzshálózat </w:t>
      </w:r>
    </w:p>
    <w:p w:rsidR="0026356B" w:rsidRPr="00442901" w:rsidRDefault="0026356B" w:rsidP="00D033F2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A törzshálózat az átfogó hálózat egy részhalmaza, amely a transzeurópai közlekedési hálózat stratégiailag legfontosabb csomópontjait és összeköttetéseit foglalja magában. Ezért a törzshálózatba csak az átfogó hálózat elemei kerülhettek bele.</w:t>
      </w:r>
    </w:p>
    <w:p w:rsidR="0026356B" w:rsidRPr="00442901" w:rsidRDefault="0026356B" w:rsidP="00D033F2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A törzshálózat multimodális, azaz magában foglalja az összes közlekedési módot és azok összeköttetéseit, valamint a megfelelő IKT-rendszereket a modális integráció és a multimodális üzemeltetés lehetővé tétele érdekében. Az összeköttetések szintjén a multimodalitás elve alól csak akkor fogadhatók el kivételek, ha egy adott közlekedési mód nem létezik (például számos viszonylatban létező belvízi utak, vasút nélküli tagállamok vagy szigetek). Ezenfelül kiemelkedő hangsúlyt kap a közlekedési módokon belüli és az azok közötti átjárhatóság.</w:t>
      </w:r>
    </w:p>
    <w:p w:rsidR="0026356B" w:rsidRPr="00442901" w:rsidRDefault="0026356B" w:rsidP="0026356B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A törzshálózat meghatározása a következő lépésekben történik:</w:t>
      </w:r>
    </w:p>
    <w:p w:rsidR="0026356B" w:rsidRPr="00442901" w:rsidRDefault="0026356B" w:rsidP="0026356B">
      <w:pPr>
        <w:tabs>
          <w:tab w:val="left" w:pos="-360"/>
          <w:tab w:val="left" w:pos="540"/>
          <w:tab w:val="left" w:pos="720"/>
          <w:tab w:val="left" w:pos="900"/>
          <w:tab w:val="left" w:pos="1080"/>
          <w:tab w:val="left" w:pos="6840"/>
        </w:tabs>
        <w:spacing w:after="0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1.</w:t>
      </w:r>
      <w:r>
        <w:rPr>
          <w:noProof/>
        </w:rPr>
        <w:tab/>
      </w:r>
      <w:r>
        <w:rPr>
          <w:rFonts w:ascii="Times New Roman" w:hAnsi="Times New Roman"/>
          <w:noProof/>
          <w:color w:val="000000"/>
          <w:sz w:val="24"/>
          <w:szCs w:val="24"/>
        </w:rPr>
        <w:t>A törzshálózat fő csomópontjainak meghatározása: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ab/>
        <w:t>Ezek az EU-n belül legnagyobb stratégiai jelentőséggel bíró csomópontok, amelyek meghatározására a tervezési eljárás első szakaszában kerül sor:</w:t>
      </w:r>
    </w:p>
    <w:p w:rsidR="0026356B" w:rsidRPr="00442901" w:rsidRDefault="0026356B" w:rsidP="0026356B">
      <w:pPr>
        <w:pStyle w:val="Tiret1"/>
        <w:rPr>
          <w:noProof/>
          <w:szCs w:val="24"/>
        </w:rPr>
      </w:pPr>
      <w:r>
        <w:rPr>
          <w:noProof/>
        </w:rPr>
        <w:t>a fő személy- és áruforgalmi csomópontok,</w:t>
      </w:r>
    </w:p>
    <w:p w:rsidR="0026356B" w:rsidRPr="00442901" w:rsidRDefault="0026356B" w:rsidP="0026356B">
      <w:pPr>
        <w:pStyle w:val="Tiret1"/>
        <w:numPr>
          <w:ilvl w:val="0"/>
          <w:numId w:val="4"/>
        </w:numPr>
        <w:rPr>
          <w:noProof/>
          <w:szCs w:val="24"/>
        </w:rPr>
      </w:pPr>
      <w:r>
        <w:rPr>
          <w:noProof/>
        </w:rPr>
        <w:t>a kizárólag áruforgalmat bonyolító fő csomópontok,</w:t>
      </w:r>
    </w:p>
    <w:p w:rsidR="0026356B" w:rsidRPr="00442901" w:rsidRDefault="0026356B" w:rsidP="0026356B">
      <w:pPr>
        <w:pStyle w:val="Tiret1"/>
        <w:numPr>
          <w:ilvl w:val="0"/>
          <w:numId w:val="4"/>
        </w:numPr>
        <w:rPr>
          <w:noProof/>
          <w:szCs w:val="24"/>
        </w:rPr>
      </w:pPr>
      <w:r>
        <w:rPr>
          <w:noProof/>
        </w:rPr>
        <w:t>a kizárólag személyforgalmat bonyolító fő csomópontok.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ab/>
        <w:t>A fő csomópontok két kategóriába sorolhatók:</w:t>
      </w:r>
    </w:p>
    <w:p w:rsidR="0026356B" w:rsidRPr="00442901" w:rsidRDefault="0026356B" w:rsidP="0026356B">
      <w:pPr>
        <w:pStyle w:val="Tiret1"/>
        <w:numPr>
          <w:ilvl w:val="0"/>
          <w:numId w:val="4"/>
        </w:numPr>
        <w:rPr>
          <w:noProof/>
          <w:szCs w:val="24"/>
        </w:rPr>
      </w:pPr>
      <w:r>
        <w:rPr>
          <w:noProof/>
        </w:rPr>
        <w:t>elsődleges fő csomópontok (P), amelyek megfelelnek a vonatkozó kritériumoknak, és ezért a kiválasztásukra a hálózat kialakítása előtt került sor,</w:t>
      </w:r>
    </w:p>
    <w:p w:rsidR="0026356B" w:rsidRPr="00442901" w:rsidRDefault="0026356B" w:rsidP="0026356B">
      <w:pPr>
        <w:pStyle w:val="Tiret1"/>
        <w:numPr>
          <w:ilvl w:val="0"/>
          <w:numId w:val="4"/>
        </w:numPr>
        <w:rPr>
          <w:noProof/>
          <w:szCs w:val="24"/>
        </w:rPr>
      </w:pPr>
      <w:r>
        <w:rPr>
          <w:noProof/>
        </w:rPr>
        <w:t>másodlagos fő csomópontok (S); ezek a másodlagos csomópontok nem a törzshálózat kialakítására szolgálnak, meghatározásuk azonban az elsődleges csomópontok alapján kialakított törzshálózat alapján történik, az utolsó kilométer megtételét biztosító, helyi szintű összeköttetés kivételével.</w:t>
      </w:r>
    </w:p>
    <w:p w:rsidR="0026356B" w:rsidRPr="00442901" w:rsidRDefault="0026356B" w:rsidP="0026356B">
      <w:pPr>
        <w:tabs>
          <w:tab w:val="left" w:pos="-360"/>
          <w:tab w:val="left" w:pos="540"/>
          <w:tab w:val="left" w:pos="720"/>
          <w:tab w:val="left" w:pos="900"/>
          <w:tab w:val="left" w:pos="1080"/>
          <w:tab w:val="left" w:pos="6840"/>
        </w:tabs>
        <w:spacing w:after="0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2.</w:t>
      </w:r>
      <w:r>
        <w:rPr>
          <w:noProof/>
        </w:rPr>
        <w:tab/>
      </w:r>
      <w:r>
        <w:rPr>
          <w:rFonts w:ascii="Times New Roman" w:hAnsi="Times New Roman"/>
          <w:noProof/>
          <w:color w:val="000000"/>
          <w:sz w:val="24"/>
          <w:szCs w:val="24"/>
        </w:rPr>
        <w:t>Az elsődleges fő csomópontok közötti összeköttetések meghatározása: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ab/>
        <w:t>A multimodális összeköttetéseket az átfogó hálózatból kell kiválasztani az elsődleges fő csomópontok összekapcsolása céljából, a 2.2. pontban meghatározott, megfelelő (potenciális) fő forgalomáramlások alapján.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ab/>
        <w:t>E módszertan belvízi utakon történő alkalmazása rámutatott, hogy szinte minden belvízi út a törzshálózat része lesz. Ezért a teljes belvízi úthálózat a törzshálózat részének minősül.</w:t>
      </w:r>
    </w:p>
    <w:p w:rsidR="0063686D" w:rsidRDefault="0026356B" w:rsidP="009B17D9">
      <w:pPr>
        <w:pStyle w:val="Point0"/>
        <w:rPr>
          <w:noProof/>
          <w:szCs w:val="24"/>
        </w:rPr>
      </w:pPr>
      <w:r>
        <w:rPr>
          <w:noProof/>
        </w:rPr>
        <w:tab/>
        <w:t xml:space="preserve">Az „Európai Tengeri Térség” a TEN-T tengeri dimenziója. Amennyiben az Európai Tengeri Térség összeköttetései törzshálózati összeköttetések vagy szakaszok funkcióját töltik be (például a törzshálózat fő csomópontjait a tengeren keresztül kapcsolják össze), akkor azok is a törzshálózat részének tekintendők. </w:t>
      </w:r>
    </w:p>
    <w:p w:rsidR="0026356B" w:rsidRPr="00442901" w:rsidRDefault="0026356B" w:rsidP="002D399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A következő két szakasz a törzshálózat csomópontjainak (2.1. szakasz) és összeköttetéseinek (azaz a csomópontok közötti összeköttetések) meghatározásához alkalmazott kritériumokat (2.2. szakasz) ismerteti.</w:t>
      </w:r>
    </w:p>
    <w:p w:rsidR="0026356B" w:rsidRPr="00442901" w:rsidRDefault="0026356B" w:rsidP="0026356B">
      <w:pPr>
        <w:pStyle w:val="ManualHeading2"/>
        <w:rPr>
          <w:noProof/>
          <w:szCs w:val="24"/>
        </w:rPr>
      </w:pPr>
      <w:r>
        <w:rPr>
          <w:noProof/>
        </w:rPr>
        <w:t>2.1.</w:t>
      </w:r>
      <w:r>
        <w:rPr>
          <w:noProof/>
        </w:rPr>
        <w:tab/>
        <w:t>A törzshálózat fő csomópontjai</w:t>
      </w:r>
    </w:p>
    <w:p w:rsidR="0026356B" w:rsidRPr="00442901" w:rsidRDefault="0026356B" w:rsidP="0026356B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A hálózat kialakítására szolgáló elsődleges csomópontok jelölése: (P), a másodlagos csomópontok jelölése: (S). </w:t>
      </w:r>
    </w:p>
    <w:p w:rsidR="0026356B" w:rsidRPr="00442901" w:rsidRDefault="00E13042" w:rsidP="00E13042">
      <w:pPr>
        <w:pStyle w:val="Point0"/>
        <w:rPr>
          <w:noProof/>
        </w:rPr>
      </w:pPr>
      <w:r>
        <w:rPr>
          <w:noProof/>
        </w:rPr>
        <w:t>a)</w:t>
      </w:r>
      <w:r>
        <w:rPr>
          <w:noProof/>
        </w:rPr>
        <w:tab/>
        <w:t xml:space="preserve">A fő személy- és áruforgalmi csomópontok: </w:t>
      </w:r>
    </w:p>
    <w:p w:rsidR="002D399F" w:rsidRPr="002D399F" w:rsidRDefault="002D399F" w:rsidP="002D399F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fő személy- és áruforgalmi csomópontok továbbra is az 1315/2013/EU rendelet szerint meghatározott uniós tagállambeli csomópontok; e csomópontok jegyzékét e dokumentum I. és II. melléklete tartalmazza. A csomópontok kiválasztása az alábbi kritériumok alapján történt: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A.1. (P)</w:t>
      </w:r>
      <w:r>
        <w:rPr>
          <w:noProof/>
        </w:rPr>
        <w:tab/>
        <w:t xml:space="preserve">Az egyes uniós tagállamok fővárosai és uniós fővárosi jogú városai. 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A.2. (P)</w:t>
      </w:r>
      <w:r>
        <w:rPr>
          <w:noProof/>
        </w:rPr>
        <w:tab/>
        <w:t>Valamennyi „nagyvárosi európai növekedési térség” (a 2006. évi ESPON</w:t>
      </w:r>
      <w:r>
        <w:rPr>
          <w:rStyle w:val="FootnoteReference"/>
          <w:noProof/>
          <w:szCs w:val="24"/>
        </w:rPr>
        <w:footnoteReference w:id="10"/>
      </w:r>
      <w:r>
        <w:rPr>
          <w:noProof/>
        </w:rPr>
        <w:t xml:space="preserve"> Atlasz szerinti, MEGA betűszóval jelölt térség). 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A.3. (P)</w:t>
      </w:r>
      <w:r>
        <w:rPr>
          <w:noProof/>
        </w:rPr>
        <w:tab/>
        <w:t>Olyan városhalmaz vagy városi klaszter, amely a kapcsolódó „nagyobb városi övezet” (az Urban Audit városstatisztikai felmérés és az Eurostat szerint „Larger Urban Zone”, angol betűszóval LUZ) által meghatározott környéki agglomerációt is beszámítva több mint 1 millió lakosa van.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A.4. (P)</w:t>
      </w:r>
      <w:r>
        <w:rPr>
          <w:noProof/>
        </w:rPr>
        <w:tab/>
        <w:t>Egy legalább 1 millió lakosú NUTS 1 régiót alkotó sziget vagy szigetcsoport legnagyobb városa.</w:t>
      </w:r>
    </w:p>
    <w:p w:rsidR="0026356B" w:rsidRPr="00442901" w:rsidRDefault="0026356B" w:rsidP="0013325E">
      <w:pPr>
        <w:pStyle w:val="Point0"/>
        <w:rPr>
          <w:noProof/>
          <w:szCs w:val="24"/>
        </w:rPr>
      </w:pPr>
      <w:r>
        <w:rPr>
          <w:noProof/>
        </w:rPr>
        <w:t>A.5. (P)</w:t>
      </w:r>
      <w:r>
        <w:rPr>
          <w:noProof/>
        </w:rPr>
        <w:tab/>
        <w:t>A külső határral rendelkező uniós tagállamok és az azokkal szomszédos nem uniós tagállamok között közlekedési módonként egy fő határátkelőhely, amely a legnagyobb távolsági forgalomáramlást bonyolítja. Ez nem vonatkozik Norvégiára és Svájcra, amelyek esetében külön megállapodások léteznek. A határátkelőhelyek a hálózattervezésnél csak kiegészítő pontok szerepét töltik be, de más fő csomóponti funkciót nem biztosítanak.</w:t>
      </w:r>
    </w:p>
    <w:p w:rsidR="0026356B" w:rsidRPr="00442901" w:rsidRDefault="00E13042" w:rsidP="00E13042">
      <w:pPr>
        <w:pStyle w:val="Point0"/>
        <w:rPr>
          <w:noProof/>
        </w:rPr>
      </w:pPr>
      <w:r>
        <w:rPr>
          <w:noProof/>
        </w:rPr>
        <w:t>b)</w:t>
      </w:r>
      <w:r>
        <w:rPr>
          <w:noProof/>
        </w:rPr>
        <w:tab/>
        <w:t>Fő áruforgalmi csomópontok: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B.1. (S)</w:t>
      </w:r>
      <w:r>
        <w:rPr>
          <w:noProof/>
        </w:rPr>
        <w:tab/>
        <w:t>Az A.1–A.4. kritérium valamelyikének megfelelő városi fő csomópont tengeri vagy belvízi kikötője vagy közúti-vasúti terminálja.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B.2. (P)</w:t>
      </w:r>
      <w:r>
        <w:rPr>
          <w:noProof/>
        </w:rPr>
        <w:tab/>
        <w:t>Olyan tengeri vagy belvízi kikötő, amelynek éves áruátrakodási mennyisége eléri az összes uniós tengeri kikötő teljes áruátrakodási mennyiségének legalább 1 %-át, ha az ömlesztett és nem ömlesztett áruk közötti lineáris interpoláció megfelel a következő képletnek: v</w:t>
      </w:r>
      <w:r>
        <w:rPr>
          <w:noProof/>
          <w:szCs w:val="24"/>
          <w:vertAlign w:val="subscript"/>
        </w:rPr>
        <w:t>b</w:t>
      </w:r>
      <w:r>
        <w:rPr>
          <w:noProof/>
        </w:rPr>
        <w:t>/t</w:t>
      </w:r>
      <w:r>
        <w:rPr>
          <w:noProof/>
          <w:szCs w:val="24"/>
          <w:vertAlign w:val="subscript"/>
        </w:rPr>
        <w:t>b</w:t>
      </w:r>
      <w:r>
        <w:rPr>
          <w:noProof/>
        </w:rPr>
        <w:t xml:space="preserve"> + v</w:t>
      </w:r>
      <w:r>
        <w:rPr>
          <w:noProof/>
          <w:szCs w:val="24"/>
          <w:vertAlign w:val="subscript"/>
        </w:rPr>
        <w:t>n</w:t>
      </w:r>
      <w:r>
        <w:rPr>
          <w:noProof/>
        </w:rPr>
        <w:t>/t</w:t>
      </w:r>
      <w:r>
        <w:rPr>
          <w:noProof/>
          <w:szCs w:val="24"/>
          <w:vertAlign w:val="subscript"/>
        </w:rPr>
        <w:t>n</w:t>
      </w:r>
      <w:r>
        <w:rPr>
          <w:noProof/>
        </w:rPr>
        <w:t xml:space="preserve"> ≥ 1 (ahol v</w:t>
      </w:r>
      <w:r>
        <w:rPr>
          <w:noProof/>
          <w:szCs w:val="24"/>
          <w:vertAlign w:val="subscript"/>
        </w:rPr>
        <w:t>b</w:t>
      </w:r>
      <w:r>
        <w:rPr>
          <w:noProof/>
        </w:rPr>
        <w:t xml:space="preserve"> az ömlesztett áru mennyisége, t</w:t>
      </w:r>
      <w:r>
        <w:rPr>
          <w:noProof/>
          <w:szCs w:val="24"/>
          <w:vertAlign w:val="subscript"/>
        </w:rPr>
        <w:t>b</w:t>
      </w:r>
      <w:r>
        <w:rPr>
          <w:noProof/>
        </w:rPr>
        <w:t xml:space="preserve"> az ömlesztett árura alkalmazandó küszöbérték, v</w:t>
      </w:r>
      <w:r>
        <w:rPr>
          <w:noProof/>
          <w:szCs w:val="24"/>
          <w:vertAlign w:val="subscript"/>
        </w:rPr>
        <w:t>n</w:t>
      </w:r>
      <w:r>
        <w:rPr>
          <w:noProof/>
        </w:rPr>
        <w:t xml:space="preserve"> a nem ömlesztett áru mennyisége, t</w:t>
      </w:r>
      <w:r>
        <w:rPr>
          <w:noProof/>
          <w:szCs w:val="24"/>
          <w:vertAlign w:val="subscript"/>
        </w:rPr>
        <w:t>n</w:t>
      </w:r>
      <w:r>
        <w:rPr>
          <w:noProof/>
        </w:rPr>
        <w:t xml:space="preserve"> pedig a nem ömlesztett árura alkalmazandó küszöbérték). Az 1315/2013/EU rendeletben meghatározott törzshálózat részét képező tengeri kikötőknek a törzshálózatban kell maradniuk, ha az ömlesztett és nem ömlesztett áruk közötti lineáris interpoláció megfelel a következő képletnek: v</w:t>
      </w:r>
      <w:r>
        <w:rPr>
          <w:noProof/>
          <w:szCs w:val="24"/>
          <w:vertAlign w:val="subscript"/>
        </w:rPr>
        <w:t>b</w:t>
      </w:r>
      <w:r>
        <w:rPr>
          <w:noProof/>
        </w:rPr>
        <w:t>/t</w:t>
      </w:r>
      <w:r>
        <w:rPr>
          <w:noProof/>
          <w:szCs w:val="24"/>
          <w:vertAlign w:val="subscript"/>
        </w:rPr>
        <w:t>b</w:t>
      </w:r>
      <w:r>
        <w:rPr>
          <w:noProof/>
        </w:rPr>
        <w:t xml:space="preserve"> + v</w:t>
      </w:r>
      <w:r>
        <w:rPr>
          <w:noProof/>
          <w:szCs w:val="24"/>
          <w:vertAlign w:val="subscript"/>
        </w:rPr>
        <w:t>n</w:t>
      </w:r>
      <w:r>
        <w:rPr>
          <w:noProof/>
        </w:rPr>
        <w:t>/t</w:t>
      </w:r>
      <w:r>
        <w:rPr>
          <w:noProof/>
          <w:szCs w:val="24"/>
          <w:vertAlign w:val="subscript"/>
        </w:rPr>
        <w:t>n</w:t>
      </w:r>
      <w:r>
        <w:rPr>
          <w:noProof/>
        </w:rPr>
        <w:t xml:space="preserve"> ≥ 0,95. 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ab/>
        <w:t xml:space="preserve">(Azok az egymással közvetlenül szomszédos tengeri kikötők, amelyek együttesen elérik a mennyiségi küszöbértéket [még akkor is, ha külön-külön nem érnék azt el], klaszternek tekinthetők, ha közös hátországi összeköttetésekkel rendelkeznek, az </w:t>
      </w:r>
      <w:r>
        <w:rPr>
          <w:noProof/>
        </w:rPr>
        <w:lastRenderedPageBreak/>
        <w:t>utolsó kilométer megtételét biztosító összeköttetés kivételével, vagy ha szorosan együttműködnek, például közös irányítás alatt, vagy kiegészítik egymás funkcióját.)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B.3. (P)</w:t>
      </w:r>
      <w:r>
        <w:rPr>
          <w:noProof/>
        </w:rPr>
        <w:tab/>
        <w:t>A szigetjellegű tagállamok minden folyamatos partvonala (part menti sávja) mentén található legnagyobb tengeri kikötő (az áruátrakodási mennyiség tekintetében), valamint a tengeri kijárattal rendelkező, nem szigetjellegű NUTS 1 régiók legnagyobb kikötője, amely régiókban egyik kikötő besorolása sem a B.1. vagy B.2. kritérium szerinti. Ez csak az európai szinten releváns part menti sávokra vagy partvonalakra vonatkozik (például a 200 km-nél hosszabb és szélesebb félszigetekre), figyelmen kívül hagyva a részletes partformákat.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B.4. (S)</w:t>
      </w:r>
      <w:r>
        <w:rPr>
          <w:noProof/>
        </w:rPr>
        <w:tab/>
        <w:t>Olyan belvízi kikötők, amelyek – a megfelelő közlekedési módokkal való összekapcsoltság céljából – az árufuvarozási és/vagy tengeri szállítási célú törzshálózati vasúti összeköttetésekhez kapcsolódó funkcióval rendelkeznek.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B.5. (S)</w:t>
      </w:r>
      <w:r>
        <w:rPr>
          <w:noProof/>
        </w:rPr>
        <w:tab/>
        <w:t>Olyan tengeri kikötők, amelyek a B.4. kritérium szerinti törzshálózati belvízi kikötők, valamint olyan belvízi kikötők, amelyek a B.3. kritérium szerinti tengeri kikötők.</w:t>
      </w:r>
      <w:r>
        <w:rPr>
          <w:noProof/>
        </w:rPr>
        <w:tab/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B.6. (S)</w:t>
      </w:r>
      <w:r>
        <w:rPr>
          <w:noProof/>
        </w:rPr>
        <w:tab/>
        <w:t xml:space="preserve">Olyan közúti-vasúti terminálok, amelyek az áruforgalmi célú törzshálózati vasúti összeköttetések leágazási pontjain vagy átkelőhelyein találhatók, vagy amelyek törzshálózati tengeri kikötő vagy belvízi kikötő szomszédságában (például ugyanabban a városban) találhatók. 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B.7. (S)</w:t>
      </w:r>
      <w:r>
        <w:rPr>
          <w:noProof/>
        </w:rPr>
        <w:tab/>
        <w:t>Olyan repülőterek, amelyek éves légi teherforgalma az uniós összes légi teherforgalomnak legalább 1 %-át teszi ki.</w:t>
      </w:r>
    </w:p>
    <w:p w:rsidR="0026356B" w:rsidRPr="00442901" w:rsidRDefault="00E13042" w:rsidP="00E13042">
      <w:pPr>
        <w:pStyle w:val="Point0"/>
        <w:rPr>
          <w:noProof/>
        </w:rPr>
      </w:pPr>
      <w:r>
        <w:rPr>
          <w:noProof/>
        </w:rPr>
        <w:t>c)</w:t>
      </w:r>
      <w:r>
        <w:rPr>
          <w:noProof/>
        </w:rPr>
        <w:tab/>
        <w:t>Fő személyforgalmi csomópontok: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C.1. (S)</w:t>
      </w:r>
      <w:r>
        <w:rPr>
          <w:noProof/>
        </w:rPr>
        <w:tab/>
        <w:t>Az A.1–A.4. kritérium szerinti városi fő csomópontok legfontosabb repülőtere.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C.2. (P)</w:t>
      </w:r>
      <w:r>
        <w:rPr>
          <w:noProof/>
        </w:rPr>
        <w:tab/>
        <w:t>Olyan repülőterek, amelyeknek az éves személyforgalma az uniós összes személyforgalomnak legalább 1 %-át teszi ki.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C.3. (P)</w:t>
      </w:r>
      <w:r>
        <w:rPr>
          <w:noProof/>
        </w:rPr>
        <w:tab/>
        <w:t>A B.2. vagy B.3. kritérium szerinti törzshálózati tengeri kikötőkhöz tartozó városok, ha a lakosságuk meghaladja a 200 000 főt a kapcsolódó nagyobb városi övezetben.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C.4. (P)</w:t>
      </w:r>
      <w:r>
        <w:rPr>
          <w:noProof/>
        </w:rPr>
        <w:tab/>
        <w:t>A B.2. vagy B.3. kritérium szerinti törzshálózati tengeri kikötők, ha a törzshálózaton belüli személyforgalmi kompösszeköttetések tekintetében megfelelő „hídfő” funkcióval rendelkeznek.</w:t>
      </w:r>
    </w:p>
    <w:p w:rsidR="0026356B" w:rsidRPr="00442901" w:rsidRDefault="0026356B" w:rsidP="0026356B">
      <w:pPr>
        <w:pStyle w:val="ManualHeading2"/>
        <w:rPr>
          <w:noProof/>
          <w:szCs w:val="24"/>
        </w:rPr>
      </w:pPr>
      <w:r>
        <w:rPr>
          <w:noProof/>
        </w:rPr>
        <w:t>2.2.</w:t>
      </w:r>
      <w:r>
        <w:rPr>
          <w:noProof/>
        </w:rPr>
        <w:tab/>
        <w:t>Törzshálózati összeköttetések</w:t>
      </w:r>
    </w:p>
    <w:p w:rsidR="0026356B" w:rsidRPr="00442901" w:rsidRDefault="0026356B" w:rsidP="0013325E">
      <w:pPr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Bár a belvízi utak esetében a törzshálózat megegyezik az átfogó hálózattal, az alábbi kritériumok csak a közúti és a vasúti közlekedésre vonatkoznak. A szárazföldi (közúti, vasúti) törzshálózati összeköttetéseket az „Európai Tengeri Térség” egészíti ki a szigetjellegű tagállamok megfelelő megközelítésének biztosítása, valamint a félszigetekkel való vagy azok közötti összeköttetések lerövídítése érdekében.</w:t>
      </w:r>
    </w:p>
    <w:p w:rsidR="0026356B" w:rsidRPr="00442901" w:rsidRDefault="0026356B" w:rsidP="00B15D15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A törzshálózati összeköttetések kiemelkedő jelentőséggel bírnak a távolsági forgalom szempontjából. Ezáltal hozzájárulnak az Unió egész területén egységesebb és kiegyensúlyozottabb megközelíthetőségi struktúrához.</w:t>
      </w:r>
    </w:p>
    <w:p w:rsidR="0026356B" w:rsidRPr="00442901" w:rsidRDefault="00E13042" w:rsidP="00E13042">
      <w:pPr>
        <w:pStyle w:val="Point0"/>
        <w:rPr>
          <w:noProof/>
        </w:rPr>
      </w:pPr>
      <w:r>
        <w:rPr>
          <w:noProof/>
        </w:rPr>
        <w:t>d)</w:t>
      </w:r>
      <w:r>
        <w:rPr>
          <w:noProof/>
        </w:rPr>
        <w:tab/>
        <w:t>Személy- és áruforgalmi összeköttetések: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D.1.</w:t>
      </w:r>
      <w:r>
        <w:rPr>
          <w:noProof/>
        </w:rPr>
        <w:tab/>
        <w:t>Az A.1–A.3. kategória szerinti szomszédos városi fő csomópontok közúton és vasúton össze vannak kapcsolva egymással. (Két fő csomópont akkor minősül „szomszédosnak”, ha a közöttük lévő megfelelő [meglévő és/vagy potenciális] forgalomáramlás egyenes vonalat követ, és nem halad át egy valahol közöttük elhelyezkedő harmadik fő csomóponton.)</w:t>
      </w:r>
    </w:p>
    <w:p w:rsidR="0026356B" w:rsidRPr="00442901" w:rsidRDefault="0026356B" w:rsidP="0026356B">
      <w:pPr>
        <w:pStyle w:val="Point0"/>
        <w:ind w:firstLine="0"/>
        <w:rPr>
          <w:noProof/>
          <w:szCs w:val="24"/>
        </w:rPr>
      </w:pPr>
      <w:r>
        <w:rPr>
          <w:noProof/>
        </w:rPr>
        <w:t>Az egymástól távolabbra eső fő csomópontok tehát közvetetten össze vannak kapcsolva egymással, ezáltal alakul ki a hálózat.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D.2.</w:t>
      </w:r>
      <w:r>
        <w:rPr>
          <w:noProof/>
        </w:rPr>
        <w:tab/>
        <w:t>Mindenesetre a két szomszédos uniós tagállam közötti szárazföldi határvonalakat legalább egy multimodális törzshálózati összeköttetés keresztezi.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D.3.</w:t>
      </w:r>
      <w:r>
        <w:rPr>
          <w:noProof/>
        </w:rPr>
        <w:tab/>
        <w:t xml:space="preserve">Az A.5. kritérium szerinti határátkelőhelyek – a releváns forgalomáramlás alapján – össze vannak kapcsolva az A.1–A.3. kritérium szerinti, hátországi fő csomópontjaikkal. 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D.4.</w:t>
      </w:r>
      <w:r>
        <w:rPr>
          <w:noProof/>
        </w:rPr>
        <w:tab/>
        <w:t xml:space="preserve">A szárazföldi összeköttetéseket kiegészíthetik az „Európai Tengeri Térség” összeköttetései, a szigetjellegű tagállamoknak vagy az A.4. kritérium szerinti, szigeten elhelyezkedő városi fő csomópontoknak a kontinens törzshálózati tengeri kikötőivel való összekapcsolása vagy az öblök körüli kerülőutak lerövidítése céljából. </w:t>
      </w:r>
    </w:p>
    <w:p w:rsidR="0026356B" w:rsidRPr="00442901" w:rsidRDefault="00E13042" w:rsidP="00E13042">
      <w:pPr>
        <w:pStyle w:val="Point0"/>
        <w:rPr>
          <w:noProof/>
        </w:rPr>
      </w:pPr>
      <w:r>
        <w:rPr>
          <w:noProof/>
        </w:rPr>
        <w:t>e)</w:t>
      </w:r>
      <w:r>
        <w:rPr>
          <w:noProof/>
        </w:rPr>
        <w:tab/>
        <w:t xml:space="preserve">Áruforgalmi összeköttetések: </w:t>
      </w:r>
    </w:p>
    <w:p w:rsidR="0026356B" w:rsidRPr="00442901" w:rsidRDefault="00B15D15" w:rsidP="0026356B">
      <w:pPr>
        <w:pStyle w:val="Point0"/>
        <w:rPr>
          <w:noProof/>
          <w:szCs w:val="24"/>
        </w:rPr>
      </w:pPr>
      <w:r>
        <w:rPr>
          <w:noProof/>
        </w:rPr>
        <w:t>E.1.</w:t>
      </w:r>
      <w:r>
        <w:rPr>
          <w:noProof/>
        </w:rPr>
        <w:tab/>
        <w:t>A B.2. vagy B.3. kritérium szerinti tengeri kikötők egyetlen hátországi fő csomóponttal vannak összekapcsolva, a legrelevánsabb forgalomáramlás alapján. A kikötők közötti összeköttetések nincsenek előirányozva, de azok a törzshálózati összeköttetés általános útvonala alapján létrejöhetnek. A vasúttal rendelkező országokban a törzshálózati kikötők hátországi összeköttetései közúti és vasúti összeköttetéseket egyaránt magukban foglalnak.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E.2.</w:t>
      </w:r>
      <w:r>
        <w:rPr>
          <w:noProof/>
        </w:rPr>
        <w:tab/>
        <w:t>A tengeri vagy belvízi kikötők, valamint a B.1 és B.4. kritérium szerinti (az utolsó kilométer megtételét biztosító) közúti-vasúti terminálok helyi összeköttetései a törzshálózat részének minősülnek.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E.3.</w:t>
      </w:r>
      <w:r>
        <w:rPr>
          <w:noProof/>
        </w:rPr>
        <w:tab/>
        <w:t>A teljes belvízi hálózat az átfogó hálózat részét képezi.</w:t>
      </w:r>
    </w:p>
    <w:p w:rsidR="0026356B" w:rsidRPr="00442901" w:rsidRDefault="00E13042" w:rsidP="00E13042">
      <w:pPr>
        <w:pStyle w:val="Point0"/>
        <w:rPr>
          <w:noProof/>
        </w:rPr>
      </w:pPr>
      <w:r>
        <w:rPr>
          <w:noProof/>
        </w:rPr>
        <w:t>f)</w:t>
      </w:r>
      <w:r>
        <w:rPr>
          <w:noProof/>
        </w:rPr>
        <w:tab/>
        <w:t>Személyforgalmi összeköttetések: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F.1.</w:t>
      </w:r>
      <w:r>
        <w:rPr>
          <w:noProof/>
        </w:rPr>
        <w:tab/>
        <w:t xml:space="preserve">A vasúttal rendelkező tagállamokban a törzshálózat repülőtereit 2030 végére össze kell kapcsolni a vasúthálózattal. 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F.2.</w:t>
      </w:r>
      <w:r>
        <w:rPr>
          <w:noProof/>
        </w:rPr>
        <w:tab/>
        <w:t>Személyforgalom esetében a C.3. kritérium szerinti tengeri kikötővárosok és a C.4. kritérium szerinti tengeri kikötők ugyanazzal a hátországi városi csomóponttal vannak összekapcsolva, amellyel a tengeri kikötő áruforgalom céljából van összekapcsolva (az E.1. kritérium szerint).</w:t>
      </w:r>
    </w:p>
    <w:p w:rsidR="0026356B" w:rsidRPr="00442901" w:rsidRDefault="00E13042" w:rsidP="00E13042">
      <w:pPr>
        <w:pStyle w:val="Point0"/>
        <w:rPr>
          <w:noProof/>
        </w:rPr>
      </w:pPr>
      <w:r>
        <w:rPr>
          <w:noProof/>
        </w:rPr>
        <w:t>g)</w:t>
      </w:r>
      <w:r>
        <w:rPr>
          <w:noProof/>
        </w:rPr>
        <w:tab/>
        <w:t>Összeköttetések kihagyása:</w:t>
      </w:r>
    </w:p>
    <w:p w:rsidR="0026356B" w:rsidRPr="00442901" w:rsidRDefault="0026356B" w:rsidP="0026356B">
      <w:pPr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A D, E vagy F kritérium szerinti összeköttetések nem tartoznak a törzshálózatba, ha: 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G.1.</w:t>
      </w:r>
      <w:r>
        <w:rPr>
          <w:noProof/>
        </w:rPr>
        <w:tab/>
        <w:t>az összeköttetés nem létezik („hiányzó összeköttetés”), és annak megvalósítását a funkciója (például lehetséges távolsági közlekedési folyosón belüli összeköttetés) nem indokolná, vagy 2030-ra nem lenne megvalósítható;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G.2.</w:t>
      </w:r>
      <w:r>
        <w:rPr>
          <w:noProof/>
        </w:rPr>
        <w:tab/>
        <w:t>az összeköttetés létezik, de nem felel meg a törzshálózaton belül tervezett funkciója követelményeinek, és korszerűsítését a funkciója nem indokolná, vagy 2030-ra nem lenne megvalósítható;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G.3.</w:t>
      </w:r>
      <w:r>
        <w:rPr>
          <w:noProof/>
        </w:rPr>
        <w:tab/>
        <w:t xml:space="preserve">az összeköttetés létezik, de a relatív csomópontok közötti megfelelő forgalomáramlás elhanyagolható (például a csomópontok nagy távolsága és/vagy kis mérete miatt), vagy más funkciók miatt a törzshálózaton belüli egyéb (párhuzamos) összeköttetésekhez csoportosítható. </w:t>
      </w:r>
    </w:p>
    <w:p w:rsidR="0026356B" w:rsidRPr="00442901" w:rsidRDefault="0026356B" w:rsidP="00ED3EFD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E kritériumoknak az egyes közlekedési módokra történő alkalmazása lehetővé teszi a multimodalitás elvétől való eltérést az összeköttetések szintjén. Előfordulhat, hogy egyes összeköttetések csak közúti vagy vasúti összeköttetéseket foglalnak magukban.</w:t>
      </w:r>
    </w:p>
    <w:p w:rsidR="0026356B" w:rsidRPr="00442901" w:rsidRDefault="00E13042" w:rsidP="00E13042">
      <w:pPr>
        <w:pStyle w:val="Point0"/>
        <w:rPr>
          <w:noProof/>
        </w:rPr>
      </w:pPr>
      <w:r>
        <w:rPr>
          <w:noProof/>
        </w:rPr>
        <w:t>h)</w:t>
      </w:r>
      <w:r>
        <w:rPr>
          <w:noProof/>
        </w:rPr>
        <w:tab/>
        <w:t>Az összeköttetések tervezett útvonala:</w:t>
      </w:r>
      <w:r>
        <w:rPr>
          <w:noProof/>
        </w:rPr>
        <w:tab/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H.1.</w:t>
      </w:r>
      <w:r>
        <w:rPr>
          <w:noProof/>
        </w:rPr>
        <w:tab/>
        <w:t>Az összeköttetéseknek a lehető legegyenesebbnek és legközvetlenebbnek kell lenniük a megfelelő távolsági forgalomáramlás követése, a közlekedés hatékonyságának és eredményességének fokozása, a területi kohézió támogatása, valamint az üvegházhatású gázok és a levegőszennyezés csökkentéséhez és a fenntartható földhasználathoz való hozzájárulás érdekében. A D.2. kritérium betartása érdekében kivételek tehetők.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H.2.</w:t>
      </w:r>
      <w:r>
        <w:rPr>
          <w:noProof/>
        </w:rPr>
        <w:tab/>
        <w:t>Az elkerülő utak indokoltak lennének az elkerülhetetlen akadályok és az ökológiai szempontból érzékeny területek (például Natura 2000 területek) kikerüléséhez, további kisebb városok, repülőterek, multimodális áruterminálok összekötéséhez, és szükség esetén a vonatkozó uniós környezetvédelmi jogszabályok betartásának biztosításhoz. Egy-egy összeköttetés tervezett útvonalának általános optimalizálása érdekében a további elkerülő utak miatti lehetséges hátrányok nem haladhatják meg a jobb regionális vagy helyi megközelíthetőség előnyeit.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H.3.</w:t>
      </w:r>
      <w:r>
        <w:rPr>
          <w:noProof/>
        </w:rPr>
        <w:tab/>
        <w:t>Az összeköttetéseknek lehetőleg a már meglévő, építés alatt álló vagy tervezett infrastruktúrát kell követniük. A forgalomáramlást minden lehetséges esetben csoportosítani kell, figyelembe véve a domborzati viszonyokat, a környezeti hatásokat, a felhasználói igényeket és a lehetséges szűk keresztmetszeteket.</w:t>
      </w:r>
    </w:p>
    <w:p w:rsidR="0026356B" w:rsidRPr="00442901" w:rsidRDefault="0026356B" w:rsidP="0026356B">
      <w:pPr>
        <w:pStyle w:val="Point0"/>
        <w:rPr>
          <w:noProof/>
          <w:szCs w:val="24"/>
        </w:rPr>
      </w:pPr>
      <w:r>
        <w:rPr>
          <w:noProof/>
        </w:rPr>
        <w:t>H.4.</w:t>
      </w:r>
      <w:r>
        <w:rPr>
          <w:noProof/>
        </w:rPr>
        <w:tab/>
        <w:t>A vasúti összeköttetések útvonalai eltérhetnek a személy- és áruszállítás útvonalaitól, még nagyobb mértékben is. Ez a személy- és az áruforgalom igényeivel összhangban fakadhat konkrét műszaki paraméterekből (gradiensek, sebesség stb.), a jelentős személyforgalmat bonyolító csomóponti területek elkerülésének biztosítását célzó különleges üzemeltetési helyzetekből, valamint a tényleges áruforgalom figyelembevételéből (indokolt esetben akár a D.1. kritériumtól eltérve).</w:t>
      </w:r>
    </w:p>
    <w:p w:rsidR="00754DC2" w:rsidRPr="00442901" w:rsidRDefault="00754DC2" w:rsidP="00754DC2">
      <w:pPr>
        <w:pStyle w:val="ManualHeading1"/>
        <w:rPr>
          <w:noProof/>
          <w:szCs w:val="24"/>
        </w:rPr>
      </w:pPr>
      <w:r>
        <w:rPr>
          <w:b w:val="0"/>
          <w:noProof/>
          <w:szCs w:val="24"/>
        </w:rPr>
        <w:t>3.</w:t>
      </w:r>
      <w:r>
        <w:rPr>
          <w:noProof/>
        </w:rPr>
        <w:tab/>
        <w:t xml:space="preserve">A kiterjesztett törzshálózat </w:t>
      </w:r>
    </w:p>
    <w:p w:rsidR="0018573A" w:rsidRDefault="00754DC2" w:rsidP="00754DC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 törzshálózaton kívül a TEN-T fokozatos megvalósításának elősegítése érdekében sor került egy kiterjesztett törzshálózat meghatározására is. E célból kiválasztásra kerültek az átfogó vasút- és közúthálózat 2040-ig megvalósítandó szakaszai. </w:t>
      </w:r>
    </w:p>
    <w:p w:rsidR="0018573A" w:rsidRDefault="0018573A" w:rsidP="0018573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 kiterjesztett törzshálózatot a következő szakaszok alkotják:</w:t>
      </w:r>
    </w:p>
    <w:p w:rsidR="0018573A" w:rsidRDefault="0018573A" w:rsidP="0018573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az európai közlekedési folyosók részét képező szakaszok, különösen a vasúti árufuvarozási folyosók</w:t>
      </w:r>
      <w:r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"/>
      </w:r>
      <w:r>
        <w:rPr>
          <w:rFonts w:ascii="Times New Roman" w:hAnsi="Times New Roman"/>
          <w:noProof/>
          <w:sz w:val="24"/>
          <w:szCs w:val="24"/>
        </w:rPr>
        <w:t xml:space="preserve"> fő- és elkerülő vonalai; </w:t>
      </w:r>
    </w:p>
    <w:p w:rsidR="0018573A" w:rsidRDefault="0018573A" w:rsidP="0018573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az európai nagy sebességű vasúthálózat létrehozása szempontjából releváns, és 2030-ig nem megvalósítható szakaszok;</w:t>
      </w:r>
    </w:p>
    <w:p w:rsidR="0018573A" w:rsidRPr="00642FF4" w:rsidRDefault="0018573A" w:rsidP="0018573A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az európai közlekedési folyosók mentén a multimodalitás kialakításához szükséges szakaszok. </w:t>
      </w:r>
    </w:p>
    <w:p w:rsidR="00A44B29" w:rsidRDefault="00A44B29" w:rsidP="002D399F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8573A" w:rsidRDefault="0018573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br w:type="page"/>
      </w:r>
    </w:p>
    <w:p w:rsidR="0026356B" w:rsidRPr="002D399F" w:rsidRDefault="002D399F" w:rsidP="002D399F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I. melléklet: A törzshálózat városi csomópontjainak jegyzéke</w:t>
      </w:r>
    </w:p>
    <w:p w:rsidR="002D399F" w:rsidRPr="001F44E9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</w:p>
    <w:p w:rsidR="0013325E" w:rsidRPr="001F44E9" w:rsidRDefault="0013325E" w:rsidP="002D399F">
      <w:pPr>
        <w:rPr>
          <w:rFonts w:ascii="Times New Roman" w:hAnsi="Times New Roman" w:cs="Times New Roman"/>
          <w:noProof/>
          <w:sz w:val="24"/>
          <w:szCs w:val="24"/>
        </w:rPr>
        <w:sectPr w:rsidR="0013325E" w:rsidRPr="001F44E9" w:rsidSect="00423E7B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1440" w:bottom="1440" w:left="1440" w:header="708" w:footer="709" w:gutter="0"/>
          <w:pgNumType w:start="1"/>
          <w:cols w:space="720"/>
          <w:docGrid w:linePitch="360"/>
        </w:sectPr>
      </w:pP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BELGIUM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Antwerpen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Bruxelles/Brussel (Brüsszel)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BULGÁRIA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Szófia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CSEH KÖZTÁRSASÁG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Ostrava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Praha (Prága)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DÁNIA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Aarhus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København (Koppenhága)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NÉMETORSZÁG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Berlin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Bielefeld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Bremen (Bréma)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Düsseldorf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Frankfurt am Main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Hamburg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Hannover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Köln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Leipzig (Lipcse)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Mannheim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München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Nürnberg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Stuttgart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ÉSZTORSZÁG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Tallinn</w:t>
      </w:r>
    </w:p>
    <w:p w:rsidR="002D399F" w:rsidRPr="00DB4A71" w:rsidRDefault="002D399F" w:rsidP="0013325E">
      <w:pPr>
        <w:keepNext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ÍRORSZÁG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Baile Átha Cliath/Dublin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Corcaigh/Cork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GÖRÖGORSZÁG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Athína (Athén)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Heraklion (Iráklion)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Thessaloniki (Szaloniki)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SPANYOLORSZÁG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Barcelona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Bilbao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Las Palmas de Gran Canaria/Santa Cruz de Tenerife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Madrid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Palma de Mallorca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Sevilla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Valencia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FRANCIAORSZÁG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Bordeaux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Lille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Lyon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Marseille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Nice (Nizza)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Paris (Párizs)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Strasbourg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Toulouse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HORVÁTORSZÁG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Zagreb (Zágráb)</w:t>
      </w:r>
    </w:p>
    <w:p w:rsidR="002D399F" w:rsidRPr="00DB4A71" w:rsidRDefault="002D399F" w:rsidP="0013325E">
      <w:pPr>
        <w:keepNext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OLASZORSZÁG</w:t>
      </w:r>
    </w:p>
    <w:p w:rsidR="002D399F" w:rsidRPr="00DB4A71" w:rsidRDefault="002D399F" w:rsidP="0013325E">
      <w:pPr>
        <w:keepNext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Bologna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Cagliari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Genova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Milano (Milánó)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Napoli (Nápoly)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Palermo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Roma (Róma)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Torino (Torinó)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Venezia (Velence)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CIPRUS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Lefkosía (Nicosia)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LETTORSZÁG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Rīga (Riga)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LITVÁNIA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Vilnius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LUXEMBURG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Luxembourg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MAGYARORSZÁG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Budapest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MÁLTA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Valletta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HOLLANDIA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Amsterdam (Amszterdam)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Rotterdam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AUSZTRIA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Wien (Bécs)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LENGYELORSZÁG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Gdańsk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Katowice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Krakow (Krakkó)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Łódź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Poznań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Szczecin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Warszawa (Varsó)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Wrocław (Boroszló)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PORTUGÁLIA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Lisboa (Lisszabon)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Porto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ROMÁNIA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București (Bukarest)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Timișoara (Temesvár)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SZLOVÉNIA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Ljubljana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SZLOVÁKIA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Bratislava (Pozsony)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FINNORSZÁG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Helsinki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Turku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SVÉDORSZÁG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Göteborg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Malmö</w:t>
      </w: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Stockholm</w:t>
      </w:r>
    </w:p>
    <w:p w:rsidR="002D399F" w:rsidRPr="001F44E9" w:rsidRDefault="002D399F">
      <w:pPr>
        <w:rPr>
          <w:rFonts w:ascii="Times New Roman" w:hAnsi="Times New Roman" w:cs="Times New Roman"/>
          <w:noProof/>
          <w:sz w:val="24"/>
          <w:szCs w:val="24"/>
        </w:rPr>
        <w:sectPr w:rsidR="002D399F" w:rsidRPr="001F44E9" w:rsidSect="0013325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1440" w:right="1440" w:bottom="1440" w:left="1440" w:header="708" w:footer="708" w:gutter="0"/>
          <w:cols w:num="2" w:sep="1" w:space="709"/>
          <w:docGrid w:linePitch="360"/>
        </w:sectPr>
      </w:pPr>
    </w:p>
    <w:p w:rsidR="002D399F" w:rsidRPr="00DB4A71" w:rsidRDefault="002D399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br w:type="page"/>
      </w:r>
    </w:p>
    <w:p w:rsidR="002D399F" w:rsidRPr="00DB4A71" w:rsidRDefault="0013325E" w:rsidP="0013325E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II. melléklet: A törzshálózathoz tartozó határátkelőhelyek a szomszédos országok felé</w:t>
      </w:r>
    </w:p>
    <w:tbl>
      <w:tblPr>
        <w:tblW w:w="9286" w:type="dxa"/>
        <w:tblLayout w:type="fixed"/>
        <w:tblLook w:val="0000" w:firstRow="0" w:lastRow="0" w:firstColumn="0" w:lastColumn="0" w:noHBand="0" w:noVBand="0"/>
      </w:tblPr>
      <w:tblGrid>
        <w:gridCol w:w="1950"/>
        <w:gridCol w:w="3120"/>
        <w:gridCol w:w="2080"/>
        <w:gridCol w:w="2136"/>
      </w:tblGrid>
      <w:tr w:rsidR="00DB4A71" w:rsidRPr="00DB4A71" w:rsidTr="0013325E"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Centered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Uniós tagállam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3D3AC4">
            <w:pPr>
              <w:pStyle w:val="NormalCentered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Szomszédos ország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Centered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(Közúti) határátkelőhely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Centered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(Vasúti) határátkelőhely</w:t>
            </w:r>
          </w:p>
        </w:tc>
      </w:tr>
      <w:tr w:rsidR="00DB4A71" w:rsidRPr="00DB4A71" w:rsidTr="0013325E"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FINNORSZÁG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OROSZORSZÁG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Vaalimaa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Vainikkala</w:t>
            </w:r>
          </w:p>
        </w:tc>
      </w:tr>
      <w:tr w:rsidR="00DB4A71" w:rsidRPr="00DB4A71" w:rsidTr="0013325E"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ÉSZTORSZÁG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OROSZORSZÁG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Luhamaa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Koidula</w:t>
            </w:r>
          </w:p>
        </w:tc>
      </w:tr>
      <w:tr w:rsidR="00DB4A71" w:rsidRPr="00DB4A71" w:rsidTr="0013325E"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LETTORSZÁG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OROSZORSZÁG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Terehova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Zilupe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BELARUSZ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Pāternieki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Indra</w:t>
            </w:r>
          </w:p>
        </w:tc>
      </w:tr>
      <w:tr w:rsidR="00DB4A71" w:rsidRPr="00DB4A71" w:rsidTr="0013325E"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LITVÁNIA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OROSZORSZÁG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Kybartai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Kybartai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BELARUSZ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Medininkai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Kena</w:t>
            </w:r>
          </w:p>
        </w:tc>
      </w:tr>
      <w:tr w:rsidR="00DB4A71" w:rsidRPr="00DB4A71" w:rsidTr="0013325E"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LENGYELORSZÁG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OROSZORSZÁG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Grzechotki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Braniewo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BELARUSZ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Kukuryki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Terespol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UKRAJNA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Korczowa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Przemyśl</w:t>
            </w:r>
          </w:p>
        </w:tc>
      </w:tr>
      <w:tr w:rsidR="00DB4A71" w:rsidRPr="00DB4A71" w:rsidTr="0013325E">
        <w:tc>
          <w:tcPr>
            <w:tcW w:w="19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SZLOVÁKIA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UKRAJNA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Vyšné Nemecké (Felsőnémeti)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Čierna nad Tisou (Tiszacsernyő)</w:t>
            </w:r>
          </w:p>
        </w:tc>
      </w:tr>
      <w:tr w:rsidR="00DB4A71" w:rsidRPr="00DB4A71" w:rsidTr="0013325E"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MAGYARORSZÁG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UKRAJNA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Beregsurány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Záhony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SZERBIA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Röszke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Kelebia</w:t>
            </w:r>
          </w:p>
        </w:tc>
      </w:tr>
      <w:tr w:rsidR="00DB4A71" w:rsidRPr="00DB4A71" w:rsidTr="0013325E"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HORVÁTORSZÁG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SZERBIA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Lipovac (Felsőlipóc)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Tovarnik (Felsőtárnok)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BOSZNIA-HERCEGOVINA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Svilaj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Slavonski Šamac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MONTENEGRÓ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Karasovići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/</w:t>
            </w:r>
          </w:p>
        </w:tc>
      </w:tr>
      <w:tr w:rsidR="00DB4A71" w:rsidRPr="00DB4A71" w:rsidTr="0013325E"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ROMÁNIA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UKRAJNA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Siret (Szeretvásár)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Vicșani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MOLDOVA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Ungheni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Cristești Jijia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SZERBIA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Stamora Moravița (Temesmóra)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Stamora Moravița (Temesmóra)</w:t>
            </w:r>
          </w:p>
        </w:tc>
      </w:tr>
      <w:tr w:rsidR="00DB4A71" w:rsidRPr="00DB4A71" w:rsidTr="0013325E"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BULGÁRIA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SZERBIA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Kalotina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Kalotina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MACEDÓNIA VOLT JUGOSZLÁV KÖZTÁRSASÁG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Gueshevo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Gueshevo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TÖRÖKORSZÁG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Svilengrad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Svilengrad</w:t>
            </w:r>
          </w:p>
        </w:tc>
      </w:tr>
      <w:tr w:rsidR="00DB4A71" w:rsidRPr="00DB4A71" w:rsidTr="0013325E">
        <w:tc>
          <w:tcPr>
            <w:tcW w:w="19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GÖRÖGORSZÁG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ALBÁNIA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Kakavia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Krystallopigi</w:t>
            </w:r>
          </w:p>
        </w:tc>
      </w:tr>
      <w:tr w:rsidR="00DB4A71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MACEDÓNIA VOLT JUGOSZLÁV KÖZTÁRSASÁG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Evzoni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Idomeni</w:t>
            </w:r>
          </w:p>
        </w:tc>
      </w:tr>
      <w:tr w:rsidR="002D399F" w:rsidRPr="00DB4A71" w:rsidTr="0013325E">
        <w:tc>
          <w:tcPr>
            <w:tcW w:w="19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adjustRightInd w:val="0"/>
              <w:spacing w:before="40" w:afterLines="40" w:after="96"/>
              <w:rPr>
                <w:noProof/>
                <w:lang w:val="en-US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TÖRÖKORSZÁG</w:t>
            </w:r>
          </w:p>
        </w:tc>
        <w:tc>
          <w:tcPr>
            <w:tcW w:w="2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Kipi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D399F" w:rsidRPr="00DB4A71" w:rsidRDefault="002D399F" w:rsidP="0013325E">
            <w:pPr>
              <w:pStyle w:val="NormalLeft"/>
              <w:spacing w:before="40" w:afterLines="40" w:after="96"/>
              <w:rPr>
                <w:noProof/>
              </w:rPr>
            </w:pPr>
            <w:r>
              <w:rPr>
                <w:noProof/>
              </w:rPr>
              <w:t>Pythion</w:t>
            </w:r>
          </w:p>
        </w:tc>
      </w:tr>
    </w:tbl>
    <w:p w:rsidR="002D399F" w:rsidRPr="00DB4A71" w:rsidRDefault="002D399F" w:rsidP="002D399F">
      <w:pPr>
        <w:rPr>
          <w:noProof/>
        </w:rPr>
      </w:pPr>
    </w:p>
    <w:p w:rsidR="002D399F" w:rsidRPr="00DB4A71" w:rsidRDefault="002D399F" w:rsidP="002D399F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2D399F" w:rsidRPr="00DB4A71" w:rsidSect="002D399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9E" w:rsidRDefault="00784F9E" w:rsidP="0026356B">
      <w:pPr>
        <w:spacing w:after="0" w:line="240" w:lineRule="auto"/>
      </w:pPr>
      <w:r>
        <w:separator/>
      </w:r>
    </w:p>
  </w:endnote>
  <w:endnote w:type="continuationSeparator" w:id="0">
    <w:p w:rsidR="00784F9E" w:rsidRDefault="00784F9E" w:rsidP="0026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0F" w:rsidRPr="00BB1D0F" w:rsidRDefault="00BB1D0F" w:rsidP="00BB1D0F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9447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01A4" w:rsidRDefault="003601A4">
        <w:pPr>
          <w:pStyle w:val="Footer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 w:rsidR="00786627">
          <w:rPr>
            <w:rFonts w:ascii="Times New Roman" w:hAnsi="Times New Roman"/>
            <w:noProof/>
          </w:rPr>
          <w:t>12</w:t>
        </w:r>
        <w:r>
          <w:rPr>
            <w:rFonts w:ascii="Times New Roman" w:hAnsi="Times New Roman"/>
          </w:rPr>
          <w:fldChar w:fldCharType="end"/>
        </w:r>
      </w:p>
    </w:sdtContent>
  </w:sdt>
  <w:p w:rsidR="008659C2" w:rsidRDefault="008659C2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0F" w:rsidRPr="00BB1D0F" w:rsidRDefault="00BB1D0F" w:rsidP="00BB1D0F">
    <w:pPr>
      <w:pStyle w:val="FooterCoverPage"/>
      <w:rPr>
        <w:rFonts w:ascii="Arial" w:hAnsi="Arial" w:cs="Arial"/>
        <w:b/>
        <w:sz w:val="48"/>
      </w:rPr>
    </w:pPr>
    <w:r w:rsidRPr="00BB1D0F">
      <w:rPr>
        <w:rFonts w:ascii="Arial" w:hAnsi="Arial" w:cs="Arial"/>
        <w:b/>
        <w:sz w:val="48"/>
      </w:rPr>
      <w:t>HU</w:t>
    </w:r>
    <w:r w:rsidRPr="00BB1D0F">
      <w:rPr>
        <w:rFonts w:ascii="Arial" w:hAnsi="Arial" w:cs="Arial"/>
        <w:b/>
        <w:sz w:val="48"/>
      </w:rPr>
      <w:tab/>
    </w:r>
    <w:r w:rsidRPr="00BB1D0F">
      <w:rPr>
        <w:rFonts w:ascii="Arial" w:hAnsi="Arial" w:cs="Arial"/>
        <w:b/>
        <w:sz w:val="48"/>
      </w:rPr>
      <w:tab/>
    </w:r>
    <w:r w:rsidRPr="00BB1D0F">
      <w:tab/>
    </w:r>
    <w:r w:rsidRPr="00BB1D0F"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0F" w:rsidRPr="00BB1D0F" w:rsidRDefault="00BB1D0F" w:rsidP="00BB1D0F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196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01A4" w:rsidRDefault="003601A4">
        <w:pPr>
          <w:pStyle w:val="Footer"/>
          <w:jc w:val="center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 w:rsidR="00BB1D0F">
          <w:rPr>
            <w:rFonts w:ascii="Times New Roman" w:hAnsi="Times New Roman"/>
            <w:noProof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  <w:p w:rsidR="008659C2" w:rsidRPr="00423E7B" w:rsidRDefault="008659C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5113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01A4" w:rsidRDefault="003601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627">
          <w:rPr>
            <w:noProof/>
          </w:rPr>
          <w:t>11</w:t>
        </w:r>
        <w:r>
          <w:fldChar w:fldCharType="end"/>
        </w:r>
      </w:p>
    </w:sdtContent>
  </w:sdt>
  <w:p w:rsidR="008659C2" w:rsidRDefault="008659C2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9E" w:rsidRDefault="00784F9E" w:rsidP="0026356B">
      <w:pPr>
        <w:spacing w:after="0" w:line="240" w:lineRule="auto"/>
      </w:pPr>
      <w:r>
        <w:separator/>
      </w:r>
    </w:p>
  </w:footnote>
  <w:footnote w:type="continuationSeparator" w:id="0">
    <w:p w:rsidR="00784F9E" w:rsidRDefault="00784F9E" w:rsidP="0026356B">
      <w:pPr>
        <w:spacing w:after="0" w:line="240" w:lineRule="auto"/>
      </w:pPr>
      <w:r>
        <w:continuationSeparator/>
      </w:r>
    </w:p>
  </w:footnote>
  <w:footnote w:id="1">
    <w:p w:rsidR="00BF5191" w:rsidRPr="00BF5191" w:rsidRDefault="00BF5191" w:rsidP="00BF51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Az Európai Parlament és a Tanács 1315/2013/EU rendelete (2013. december 11.) a transzeurópai közlekedési hálózat fejlesztésére vonatkozó uniós iránymutatásokról és a 661/2010/EU határozat hatályon kívül helyezéséről (HL L 348., 2013.12.20., 1. o.).</w:t>
      </w:r>
    </w:p>
  </w:footnote>
  <w:footnote w:id="2">
    <w:p w:rsidR="00BF5191" w:rsidRPr="007D3364" w:rsidRDefault="00BF5191" w:rsidP="00BF51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color w:val="000000"/>
        </w:rPr>
        <w:t>SWD(2013) 542 final.</w:t>
      </w:r>
    </w:p>
  </w:footnote>
  <w:footnote w:id="3">
    <w:p w:rsidR="0026356B" w:rsidRPr="00F64A60" w:rsidRDefault="0026356B" w:rsidP="0026356B">
      <w:pPr>
        <w:pStyle w:val="FootnoteText"/>
      </w:pPr>
      <w:r>
        <w:rPr>
          <w:rStyle w:val="FootnoteReference"/>
        </w:rPr>
        <w:footnoteRef/>
      </w:r>
      <w:r>
        <w:tab/>
        <w:t xml:space="preserve">A módszertan a 2017–2019-es időszakra vonatkozó adatokat használja fel. Abszolút értékben ez a kezdeti küszöbérték évente 392 993 utas. </w:t>
      </w:r>
    </w:p>
  </w:footnote>
  <w:footnote w:id="4">
    <w:p w:rsidR="0026356B" w:rsidRPr="002A3BCC" w:rsidRDefault="0026356B" w:rsidP="0026356B">
      <w:pPr>
        <w:pStyle w:val="FootnoteText"/>
      </w:pPr>
      <w:r>
        <w:rPr>
          <w:rStyle w:val="FootnoteReference"/>
        </w:rPr>
        <w:footnoteRef/>
      </w:r>
      <w:r>
        <w:tab/>
        <w:t xml:space="preserve">A módszertan a 2017–2019-es időszakra vonatkozó adatokat használja fel. Abszolút értékben ez a kezdeti küszöbérték ömlesztett áruk esetében évi 2,11 millió tonna, nem ömlesztett áruk esetében pedig évi 1,45 millió tonna. </w:t>
      </w:r>
    </w:p>
  </w:footnote>
  <w:footnote w:id="5">
    <w:p w:rsidR="002A3BCC" w:rsidRPr="002A3BCC" w:rsidRDefault="002A3B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Az Európai Parlament és a Tanács 1059/2003/EK rendelete (2003. május 26.) a statisztikai célú területi egységek nómenklatúrájának (NUTS) létrehozásáról.</w:t>
      </w:r>
    </w:p>
  </w:footnote>
  <w:footnote w:id="6">
    <w:p w:rsidR="0026356B" w:rsidRPr="002A3BCC" w:rsidRDefault="0026356B" w:rsidP="0026356B">
      <w:pPr>
        <w:pStyle w:val="FootnoteText"/>
      </w:pPr>
      <w:r>
        <w:rPr>
          <w:rStyle w:val="FootnoteReference"/>
        </w:rPr>
        <w:footnoteRef/>
      </w:r>
      <w:r>
        <w:tab/>
        <w:t xml:space="preserve">A módszertan a 2017–2019-es időszakra vonatkozó adatokat használja fel. Abszolút értékben ez a kezdeti küszöbérték évente 1,45 millió utas.  </w:t>
      </w:r>
    </w:p>
  </w:footnote>
  <w:footnote w:id="7">
    <w:p w:rsidR="0026356B" w:rsidRPr="007E1D29" w:rsidRDefault="0026356B" w:rsidP="0026356B">
      <w:pPr>
        <w:pStyle w:val="FootnoteText"/>
      </w:pPr>
      <w:r>
        <w:rPr>
          <w:rStyle w:val="FootnoteReference"/>
        </w:rPr>
        <w:footnoteRef/>
      </w:r>
      <w:r>
        <w:tab/>
        <w:t xml:space="preserve">A módszertan a 2017–2019-es időszakra vonatkozó adatokat használja fel. Abszolút értékben ez a kezdeti küszöbérték évente 30 429 tonna. </w:t>
      </w:r>
    </w:p>
  </w:footnote>
  <w:footnote w:id="8">
    <w:p w:rsidR="00D83F3D" w:rsidRPr="00D83F3D" w:rsidRDefault="00D83F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 katonai mobilitásra vonatkozó katonai követelmények az EU-n belül és kívül, aktualizált változat (ST 10921/19), 2019. július 4., a Tanács általi jóváhagyás időpontja: 2019. július 15., a fennmaradó résszel való egységes szerkezetbe foglalás időpontja: 2019. július 19. (ST 11373/19).</w:t>
      </w:r>
    </w:p>
  </w:footnote>
  <w:footnote w:id="9">
    <w:p w:rsidR="00CB3A61" w:rsidRPr="00551007" w:rsidRDefault="00CB3A61" w:rsidP="00C77D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A vasúti árufuvarozási folyosók meghatározása a versenyképes árufuvarozást szolgáló európai vasúti hálózatról szóló, 2010. szeptember 22-i 913/2010/EU európai parlamenti és tanácsi rendelet (HL L 276., 2010.10.20., 22. o.) alapján történik.</w:t>
      </w:r>
    </w:p>
  </w:footnote>
  <w:footnote w:id="10">
    <w:p w:rsidR="0026356B" w:rsidRDefault="0026356B" w:rsidP="0026356B">
      <w:pPr>
        <w:pStyle w:val="FootnoteText"/>
      </w:pPr>
      <w:r>
        <w:rPr>
          <w:rStyle w:val="FootnoteReference"/>
        </w:rPr>
        <w:footnoteRef/>
      </w:r>
      <w:r>
        <w:tab/>
        <w:t>ESPON = Európai Területrendezési Megfigyelő Hálózat; MEGA = nagyvárosi európai növekedési térség (vö. 2006. évi ESPON Atlasz).</w:t>
      </w:r>
    </w:p>
  </w:footnote>
  <w:footnote w:id="11">
    <w:p w:rsidR="0018573A" w:rsidRPr="00642FF4" w:rsidRDefault="0018573A" w:rsidP="0018573A">
      <w:pPr>
        <w:pStyle w:val="FootnoteText"/>
      </w:pPr>
      <w:r>
        <w:rPr>
          <w:rStyle w:val="FootnoteReference"/>
        </w:rPr>
        <w:footnoteRef/>
      </w:r>
      <w:r>
        <w:t xml:space="preserve"> A versenyképes árufuvarozást szolgáló európai vasúti hálózatról szóló, 2010. szeptember 22-i 913/2010/EU európai parlamenti és tanácsi rendeletben (HL L 276., 2010.10.20., 22. o.) előírt vasúti árufuvarozási folyosók.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0F" w:rsidRPr="00BB1D0F" w:rsidRDefault="00BB1D0F" w:rsidP="00BB1D0F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0F" w:rsidRPr="00BB1D0F" w:rsidRDefault="00BB1D0F" w:rsidP="00BB1D0F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0F" w:rsidRPr="00BB1D0F" w:rsidRDefault="00BB1D0F" w:rsidP="00BB1D0F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9C2" w:rsidRDefault="00865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13969"/>
    <w:multiLevelType w:val="hybridMultilevel"/>
    <w:tmpl w:val="8250A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0DB6"/>
    <w:multiLevelType w:val="hybridMultilevel"/>
    <w:tmpl w:val="51186280"/>
    <w:lvl w:ilvl="0" w:tplc="080C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3" w15:restartNumberingAfterBreak="0">
    <w:nsid w:val="1BC47395"/>
    <w:multiLevelType w:val="hybridMultilevel"/>
    <w:tmpl w:val="E1DAFCC4"/>
    <w:lvl w:ilvl="0" w:tplc="7B54E758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hideSpellingErrors/>
  <w:hideGrammaticalError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ACCOMPAGNANT.CP" w:val="amely a következ\u337? dokumentumot kíséri"/>
    <w:docVar w:name="LW_CORRIGENDUM" w:val="&lt;UNUSED&gt;"/>
    <w:docVar w:name="LW_COVERPAGE_EXISTS" w:val="True"/>
    <w:docVar w:name="LW_COVERPAGE_GUID" w:val="27FEC477-892B-4715-9965-DBC917A7EA7A"/>
    <w:docVar w:name="LW_COVERPAGE_TYPE" w:val="1"/>
    <w:docVar w:name="LW_CROSSREFERENCE" w:val="{COM(2021) 812 final} - {SEC(2021) 435 final} - {SWD(2021) 472 final} - {SWD(2021) 473 final}"/>
    <w:docVar w:name="LW_DocType" w:val="NORMAL"/>
    <w:docVar w:name="LW_EMISSION" w:val="2021.12.14."/>
    <w:docVar w:name="LW_EMISSION_ISODATE" w:val="2021-12-14"/>
    <w:docVar w:name="LW_EMISSION_LOCATION" w:val="STR"/>
    <w:docVar w:name="LW_EMISSION_PREFIX" w:val="Strasbourg, "/>
    <w:docVar w:name="LW_EMISSION_SUFFIX" w:val=" "/>
    <w:docVar w:name="LW_ID_DOCTYPE_NONLW" w:val="CP-025"/>
    <w:docVar w:name="LW_LANGUE" w:val="HU"/>
    <w:docVar w:name="LW_LEVEL_OF_SENSITIVITY" w:val="Standard treatment"/>
    <w:docVar w:name="LW_NOM.INST" w:val="EURÓPAI BIZOTTSÁG"/>
    <w:docVar w:name="LW_NOM.INST_JOINTDOC" w:val="&lt;EMPTY&gt;"/>
    <w:docVar w:name="LW_OBJETACTEPRINCIPAL.CP" w:val="_x000d__x000d__x000b_"/>
    <w:docVar w:name="LW_PART_NBR" w:val="1"/>
    <w:docVar w:name="LW_PART_NBR_TOTAL" w:val="1"/>
    <w:docVar w:name="LW_REF.INST.NEW" w:val="SWD"/>
    <w:docVar w:name="LW_REF.INST.NEW_ADOPTED" w:val="final/2"/>
    <w:docVar w:name="LW_REF.INST.NEW_TEXT" w:val="(2021) 471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a transzeurópai közlekedési hálózatra (TEN-T) vonatkozó tervezési módszertanról_x000d__x000d__x000d__x000d__x000d__x000d__x000d__x000d__x000d__x000d__x000d__x000b_"/>
    <w:docVar w:name="LW_TYPE.DOC.CP" w:val="BIZOTTSÁGI SZOLGÁLATI MUNKADOKUMENTUM"/>
    <w:docVar w:name="LW_TYPEACTEPRINCIPAL.CP" w:val="A Bizottság javaslata \u8211? Az Európai Parlament és a Tanács rendelete a transzeurópai közlekedési hálózat fejlesztésére vonatkozó uniós iránymutatásokról, az (EU) 2021/1153 rendelet és a 913/2010/EU rendelet módosításáról, valamint az 1315/2013/EU rendelet hatályon kívül helyezésér\u337?l_x000b_"/>
    <w:docVar w:name="LwApiVersions" w:val="LW4CoDe 1.23.2.0; LW 8.0, Build 20211117"/>
  </w:docVars>
  <w:rsids>
    <w:rsidRoot w:val="0026356B"/>
    <w:rsid w:val="0001093E"/>
    <w:rsid w:val="00017D32"/>
    <w:rsid w:val="00020CD8"/>
    <w:rsid w:val="000738FE"/>
    <w:rsid w:val="000F7171"/>
    <w:rsid w:val="0013325E"/>
    <w:rsid w:val="0018573A"/>
    <w:rsid w:val="001A0BAB"/>
    <w:rsid w:val="001F44E9"/>
    <w:rsid w:val="0021573C"/>
    <w:rsid w:val="0022483A"/>
    <w:rsid w:val="00241238"/>
    <w:rsid w:val="00250553"/>
    <w:rsid w:val="002514AB"/>
    <w:rsid w:val="0026356B"/>
    <w:rsid w:val="00276AF0"/>
    <w:rsid w:val="002A3BCC"/>
    <w:rsid w:val="002D399F"/>
    <w:rsid w:val="003261B1"/>
    <w:rsid w:val="00340173"/>
    <w:rsid w:val="00345BE7"/>
    <w:rsid w:val="003601A4"/>
    <w:rsid w:val="00373FA5"/>
    <w:rsid w:val="003904F0"/>
    <w:rsid w:val="003C494D"/>
    <w:rsid w:val="003D3AC4"/>
    <w:rsid w:val="003F3201"/>
    <w:rsid w:val="00423E7B"/>
    <w:rsid w:val="00442901"/>
    <w:rsid w:val="00454131"/>
    <w:rsid w:val="00492836"/>
    <w:rsid w:val="0051048B"/>
    <w:rsid w:val="00551007"/>
    <w:rsid w:val="005949AA"/>
    <w:rsid w:val="005A0041"/>
    <w:rsid w:val="005A4BB4"/>
    <w:rsid w:val="005E4A2A"/>
    <w:rsid w:val="0063686D"/>
    <w:rsid w:val="006664EF"/>
    <w:rsid w:val="006B17E1"/>
    <w:rsid w:val="006D7B8D"/>
    <w:rsid w:val="0072509E"/>
    <w:rsid w:val="00732B3E"/>
    <w:rsid w:val="0074194E"/>
    <w:rsid w:val="0075068E"/>
    <w:rsid w:val="00754DC2"/>
    <w:rsid w:val="00761E01"/>
    <w:rsid w:val="007649DD"/>
    <w:rsid w:val="00770C55"/>
    <w:rsid w:val="00784F9E"/>
    <w:rsid w:val="00786627"/>
    <w:rsid w:val="007D3364"/>
    <w:rsid w:val="007E75CD"/>
    <w:rsid w:val="007F561E"/>
    <w:rsid w:val="00801205"/>
    <w:rsid w:val="00826E39"/>
    <w:rsid w:val="008419B3"/>
    <w:rsid w:val="00847423"/>
    <w:rsid w:val="00851969"/>
    <w:rsid w:val="00857CDB"/>
    <w:rsid w:val="008659C2"/>
    <w:rsid w:val="00906DA2"/>
    <w:rsid w:val="009834F2"/>
    <w:rsid w:val="009A4FB4"/>
    <w:rsid w:val="009A75F0"/>
    <w:rsid w:val="009B17D9"/>
    <w:rsid w:val="009F6F29"/>
    <w:rsid w:val="00A44B29"/>
    <w:rsid w:val="00A52AF4"/>
    <w:rsid w:val="00A561A4"/>
    <w:rsid w:val="00A61FD9"/>
    <w:rsid w:val="00A736A3"/>
    <w:rsid w:val="00AD5365"/>
    <w:rsid w:val="00B15D15"/>
    <w:rsid w:val="00B55B63"/>
    <w:rsid w:val="00BA044F"/>
    <w:rsid w:val="00BB1D0F"/>
    <w:rsid w:val="00BD3E44"/>
    <w:rsid w:val="00BF1D32"/>
    <w:rsid w:val="00BF5191"/>
    <w:rsid w:val="00C019F8"/>
    <w:rsid w:val="00C06891"/>
    <w:rsid w:val="00C21576"/>
    <w:rsid w:val="00C21EAD"/>
    <w:rsid w:val="00C45227"/>
    <w:rsid w:val="00C62FCA"/>
    <w:rsid w:val="00C66979"/>
    <w:rsid w:val="00C77DF6"/>
    <w:rsid w:val="00C85B58"/>
    <w:rsid w:val="00CA2D8F"/>
    <w:rsid w:val="00CB3A61"/>
    <w:rsid w:val="00CF3B97"/>
    <w:rsid w:val="00D033F2"/>
    <w:rsid w:val="00D03DB6"/>
    <w:rsid w:val="00D3766B"/>
    <w:rsid w:val="00D41545"/>
    <w:rsid w:val="00D44B34"/>
    <w:rsid w:val="00D469C2"/>
    <w:rsid w:val="00D55840"/>
    <w:rsid w:val="00D558D0"/>
    <w:rsid w:val="00D57573"/>
    <w:rsid w:val="00D83F3D"/>
    <w:rsid w:val="00DA4C66"/>
    <w:rsid w:val="00DB3FDF"/>
    <w:rsid w:val="00DB4A71"/>
    <w:rsid w:val="00DF5CED"/>
    <w:rsid w:val="00E13042"/>
    <w:rsid w:val="00E223DC"/>
    <w:rsid w:val="00E253BB"/>
    <w:rsid w:val="00E34659"/>
    <w:rsid w:val="00EA7F28"/>
    <w:rsid w:val="00EC23B5"/>
    <w:rsid w:val="00ED05E7"/>
    <w:rsid w:val="00ED3EFD"/>
    <w:rsid w:val="00F35AC4"/>
    <w:rsid w:val="00F66F66"/>
    <w:rsid w:val="00FC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8DA72EA-1818-437E-BD2E-CD24FF42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26356B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356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unhideWhenUsed/>
    <w:rsid w:val="0026356B"/>
    <w:rPr>
      <w:shd w:val="clear" w:color="auto" w:fill="auto"/>
      <w:vertAlign w:val="superscript"/>
    </w:rPr>
  </w:style>
  <w:style w:type="paragraph" w:customStyle="1" w:styleId="Point0">
    <w:name w:val="Point 0"/>
    <w:basedOn w:val="Normal"/>
    <w:rsid w:val="0026356B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iret1">
    <w:name w:val="Tiret 1"/>
    <w:basedOn w:val="Normal"/>
    <w:rsid w:val="0026356B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ManualHeading1">
    <w:name w:val="Manual Heading 1"/>
    <w:basedOn w:val="Normal"/>
    <w:next w:val="Normal"/>
    <w:rsid w:val="0026356B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eastAsia="en-GB"/>
    </w:rPr>
  </w:style>
  <w:style w:type="paragraph" w:customStyle="1" w:styleId="ManualHeading2">
    <w:name w:val="Manual Heading 2"/>
    <w:basedOn w:val="Normal"/>
    <w:next w:val="Normal"/>
    <w:rsid w:val="0026356B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Point0number">
    <w:name w:val="Point 0 (number)"/>
    <w:basedOn w:val="Normal"/>
    <w:rsid w:val="0026356B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Point1number">
    <w:name w:val="Point 1 (number)"/>
    <w:basedOn w:val="Normal"/>
    <w:rsid w:val="0026356B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Point2number">
    <w:name w:val="Point 2 (number)"/>
    <w:basedOn w:val="Normal"/>
    <w:rsid w:val="0026356B"/>
    <w:pPr>
      <w:numPr>
        <w:ilvl w:val="4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Point3number">
    <w:name w:val="Point 3 (number)"/>
    <w:basedOn w:val="Normal"/>
    <w:rsid w:val="0026356B"/>
    <w:pPr>
      <w:numPr>
        <w:ilvl w:val="6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Point0letter">
    <w:name w:val="Point 0 (letter)"/>
    <w:basedOn w:val="Normal"/>
    <w:rsid w:val="0026356B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Point1letter">
    <w:name w:val="Point 1 (letter)"/>
    <w:basedOn w:val="Normal"/>
    <w:rsid w:val="0026356B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Point2letter">
    <w:name w:val="Point 2 (letter)"/>
    <w:basedOn w:val="Normal"/>
    <w:rsid w:val="0026356B"/>
    <w:pPr>
      <w:numPr>
        <w:ilvl w:val="5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Point3letter">
    <w:name w:val="Point 3 (letter)"/>
    <w:basedOn w:val="Normal"/>
    <w:rsid w:val="0026356B"/>
    <w:pPr>
      <w:numPr>
        <w:ilvl w:val="7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Point4letter">
    <w:name w:val="Point 4 (letter)"/>
    <w:basedOn w:val="Normal"/>
    <w:rsid w:val="0026356B"/>
    <w:pPr>
      <w:numPr>
        <w:ilvl w:val="8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Bullet0">
    <w:name w:val="Bullet 0"/>
    <w:basedOn w:val="Normal"/>
    <w:rsid w:val="0026356B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Titreobjet">
    <w:name w:val="Titre objet"/>
    <w:basedOn w:val="Normal"/>
    <w:next w:val="Normal"/>
    <w:rsid w:val="0026356B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Typedudocument">
    <w:name w:val="Type du document"/>
    <w:basedOn w:val="Normal"/>
    <w:next w:val="Titreobjet"/>
    <w:rsid w:val="0026356B"/>
    <w:pPr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Accompagnant">
    <w:name w:val="Accompagnant"/>
    <w:basedOn w:val="Normal"/>
    <w:next w:val="Typeacteprincipal"/>
    <w:rsid w:val="0026356B"/>
    <w:pPr>
      <w:spacing w:after="24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en-GB"/>
    </w:rPr>
  </w:style>
  <w:style w:type="paragraph" w:customStyle="1" w:styleId="Typeacteprincipal">
    <w:name w:val="Type acte principal"/>
    <w:basedOn w:val="Normal"/>
    <w:next w:val="Objetacteprincipal"/>
    <w:rsid w:val="0026356B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Objetacteprincipal">
    <w:name w:val="Objet acte principal"/>
    <w:basedOn w:val="Normal"/>
    <w:next w:val="Normal"/>
    <w:rsid w:val="0026356B"/>
    <w:pPr>
      <w:spacing w:after="3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NormalCentered">
    <w:name w:val="Normal Centered"/>
    <w:basedOn w:val="Normal"/>
    <w:uiPriority w:val="99"/>
    <w:rsid w:val="002D399F"/>
    <w:pPr>
      <w:autoSpaceDE w:val="0"/>
      <w:autoSpaceDN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Left">
    <w:name w:val="Normal Left"/>
    <w:basedOn w:val="Normal"/>
    <w:uiPriority w:val="99"/>
    <w:rsid w:val="002D399F"/>
    <w:pPr>
      <w:autoSpaceDE w:val="0"/>
      <w:autoSpaceDN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3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B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B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B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CC"/>
    <w:rPr>
      <w:rFonts w:ascii="Segoe UI" w:hAnsi="Segoe UI" w:cs="Segoe UI"/>
      <w:sz w:val="18"/>
      <w:szCs w:val="18"/>
    </w:rPr>
  </w:style>
  <w:style w:type="character" w:customStyle="1" w:styleId="Marker">
    <w:name w:val="Marker"/>
    <w:basedOn w:val="DefaultParagraphFont"/>
    <w:rsid w:val="008659C2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8659C2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65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C2"/>
  </w:style>
  <w:style w:type="paragraph" w:styleId="Footer">
    <w:name w:val="footer"/>
    <w:basedOn w:val="Normal"/>
    <w:link w:val="FooterChar"/>
    <w:uiPriority w:val="99"/>
    <w:unhideWhenUsed/>
    <w:rsid w:val="00865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C2"/>
  </w:style>
  <w:style w:type="paragraph" w:customStyle="1" w:styleId="FooterCoverPage">
    <w:name w:val="Footer Cover Page"/>
    <w:basedOn w:val="Normal"/>
    <w:link w:val="FooterCoverPageChar"/>
    <w:rsid w:val="008659C2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8659C2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8659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8659C2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8659C2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8659C2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8659C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8659C2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8659C2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8659C2"/>
    <w:rPr>
      <w:rFonts w:ascii="Times New Roman" w:hAnsi="Times New Roman" w:cs="Times New Roman"/>
      <w:sz w:val="28"/>
    </w:rPr>
  </w:style>
  <w:style w:type="paragraph" w:styleId="ListParagraph">
    <w:name w:val="List Paragraph"/>
    <w:basedOn w:val="Normal"/>
    <w:uiPriority w:val="34"/>
    <w:qFormat/>
    <w:rsid w:val="00185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7.xml"/><Relationship Id="rId32" Type="http://schemas.openxmlformats.org/officeDocument/2006/relationships/footer" Target="footer10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576AD09C5B696E4685506A2D40AD062E" ma:contentTypeVersion="3" ma:contentTypeDescription="Create a new document in this library." ma:contentTypeScope="" ma:versionID="52fae04cdc9c350a145e278205cd43d1">
  <xsd:schema xmlns:xsd="http://www.w3.org/2001/XMLSchema" xmlns:xs="http://www.w3.org/2001/XMLSchema" xmlns:p="http://schemas.microsoft.com/office/2006/metadata/properties" xmlns:ns3="1B451768-C435-48A5-9920-1CECDBFDCF39" xmlns:ns4="1b451768-c435-48a5-9920-1cecdbfdcf39" targetNamespace="http://schemas.microsoft.com/office/2006/metadata/properties" ma:root="true" ma:fieldsID="08a3bac9f5efd9c3dea78b56f7f8a0a8" ns3:_="" ns4:_="">
    <xsd:import namespace="1B451768-C435-48A5-9920-1CECDBFDCF39"/>
    <xsd:import namespace="1b451768-c435-48a5-9920-1cecdbfdcf39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  <xsd:element ref="ns3:Status" minOccurs="0"/>
                <xsd:element ref="ns4:EC_ARES_NUMBER" minOccurs="0"/>
                <xsd:element ref="ns4:EC_ARES_DATE_TRANSFERRED" minOccurs="0"/>
                <xsd:element ref="ns4:EC_ARES_TRANSFERRED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51768-C435-48A5-9920-1CECDBFDCF39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  <xsd:element name="Status" ma:index="15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51768-c435-48a5-9920-1cecdbfdcf39" elementFormDefault="qualified">
    <xsd:import namespace="http://schemas.microsoft.com/office/2006/documentManagement/types"/>
    <xsd:import namespace="http://schemas.microsoft.com/office/infopath/2007/PartnerControls"/>
    <xsd:element name="EC_ARES_NUMBER" ma:index="16" nillable="true" ma:displayName="Ares Number" ma:format="Hyperlink" ma:hidden="true" ma:internalName="EC_ARES_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C_ARES_DATE_TRANSFERRED" ma:index="17" nillable="true" ma:displayName="Transferred to Ares" ma:format="DateTime" ma:hidden="true" ma:internalName="EC_ARES_DATE_TRANSFERRED">
      <xsd:simpleType>
        <xsd:restriction base="dms:DateTime"/>
      </xsd:simpleType>
    </xsd:element>
    <xsd:element name="EC_ARES_TRANSFERRED_BY" ma:index="18" nillable="true" ma:displayName="Transferred By" ma:hidden="true" ma:internalName="EC_ARES_TRANSFERRED_B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ARES_NUMBER xmlns="1b451768-c435-48a5-9920-1cecdbfdcf39">
      <Url xsi:nil="true"/>
      <Description xsi:nil="true"/>
    </EC_ARES_NUMBER>
    <EC_Collab_Status xmlns="1B451768-C435-48A5-9920-1CECDBFDCF39">Not Started</EC_Collab_Status>
    <EC_Collab_DocumentLanguage xmlns="1B451768-C435-48A5-9920-1CECDBFDCF39">EN</EC_Collab_DocumentLanguage>
    <EC_Collab_Reference xmlns="1B451768-C435-48A5-9920-1CECDBFDCF39" xsi:nil="true"/>
    <EC_ARES_DATE_TRANSFERRED xmlns="1b451768-c435-48a5-9920-1cecdbfdcf39" xsi:nil="true"/>
    <EC_ARES_TRANSFERRED_BY xmlns="1b451768-c435-48a5-9920-1cecdbfdcf39" xsi:nil="true"/>
    <Status xmlns="1B451768-C435-48A5-9920-1CECDBFDCF39">Draft</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0452-4DE6-4845-BC73-D4B3A1417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51768-C435-48A5-9920-1CECDBFDCF39"/>
    <ds:schemaRef ds:uri="1b451768-c435-48a5-9920-1cecdbfdc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1C1126-A319-4740-9D67-DAD71CC49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E7DAD-9AEC-4412-965E-A61BA2DDE26D}">
  <ds:schemaRefs>
    <ds:schemaRef ds:uri="http://schemas.microsoft.com/office/2006/metadata/properties"/>
    <ds:schemaRef ds:uri="http://schemas.microsoft.com/office/infopath/2007/PartnerControls"/>
    <ds:schemaRef ds:uri="1b451768-c435-48a5-9920-1cecdbfdcf39"/>
    <ds:schemaRef ds:uri="1B451768-C435-48A5-9920-1CECDBFDCF39"/>
  </ds:schemaRefs>
</ds:datastoreItem>
</file>

<file path=customXml/itemProps4.xml><?xml version="1.0" encoding="utf-8"?>
<ds:datastoreItem xmlns:ds="http://schemas.openxmlformats.org/officeDocument/2006/customXml" ds:itemID="{60E07A3A-D1D4-4850-86B7-77780B6EA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3005</Words>
  <Characters>21489</Characters>
  <Application>Microsoft Office Word</Application>
  <DocSecurity>0</DocSecurity>
  <Lines>551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PAREDES ECHAURI Cristina (SG)</cp:lastModifiedBy>
  <cp:revision>34</cp:revision>
  <cp:lastPrinted>2021-10-12T08:21:00Z</cp:lastPrinted>
  <dcterms:created xsi:type="dcterms:W3CDTF">2022-02-16T10:24:00Z</dcterms:created>
  <dcterms:modified xsi:type="dcterms:W3CDTF">2022-02-16T12:42:00Z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CP-025</vt:lpwstr>
  </property>
  <property fmtid="{D5CDD505-2E9C-101B-9397-08002B2CF9AE}" pid="7" name="Last edited using">
    <vt:lpwstr>LW 7.0.1, Build 20200226</vt:lpwstr>
  </property>
  <property fmtid="{D5CDD505-2E9C-101B-9397-08002B2CF9AE}" pid="8" name="Created using">
    <vt:lpwstr>LW 7.0.1, Build 20200226</vt:lpwstr>
  </property>
  <property fmtid="{D5CDD505-2E9C-101B-9397-08002B2CF9AE}" pid="9" name="_LW_INVALIDATED__LW_INVALIDATED__LW_INVALIDATED__LW_INVALIDATED__LW_INVALIDATED__LW_INVALIDATED__LW_INVALIDATED__LW_INVALIDATED__LW_INVALIDATED__LW_INVALIDATED_ContentTypeId">
    <vt:lpwstr>0x010100258AA79CEB83498886A3A0868112325000576AD09C5B696E4685506A2D40AD062E</vt:lpwstr>
  </property>
</Properties>
</file>