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53" w:rsidRDefault="00CB32D6" w:rsidP="00CB32D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EBAEC7B-3FA1-4606-9CB8-7132FDEA95CA" style="width:455.25pt;height:405.75pt">
            <v:imagedata r:id="rId7" o:title=""/>
          </v:shape>
        </w:pict>
      </w:r>
    </w:p>
    <w:bookmarkEnd w:id="0"/>
    <w:p w:rsidR="008B6253" w:rsidRDefault="008B6253" w:rsidP="008B6253">
      <w:pPr>
        <w:rPr>
          <w:noProof/>
        </w:rPr>
        <w:sectPr w:rsidR="008B6253" w:rsidSect="00CB32D6">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8B6253" w:rsidRDefault="008B6253" w:rsidP="008B6253">
      <w:pPr>
        <w:pStyle w:val="TOCHeading"/>
        <w:rPr>
          <w:rFonts w:eastAsiaTheme="minorHAnsi"/>
          <w:b w:val="0"/>
          <w:noProof/>
          <w:sz w:val="24"/>
          <w:lang w:val="en-IE"/>
        </w:rPr>
      </w:pPr>
      <w:bookmarkStart w:id="1" w:name="_GoBack"/>
      <w:bookmarkEnd w:id="1"/>
    </w:p>
    <w:sdt>
      <w:sdtPr>
        <w:rPr>
          <w:rFonts w:eastAsiaTheme="minorHAnsi"/>
          <w:b w:val="0"/>
          <w:noProof/>
          <w:sz w:val="24"/>
        </w:rPr>
        <w:id w:val="-874687748"/>
        <w:docPartObj>
          <w:docPartGallery w:val="Table of Contents"/>
          <w:docPartUnique/>
        </w:docPartObj>
      </w:sdtPr>
      <w:sdtEndPr>
        <w:rPr>
          <w:bCs/>
        </w:rPr>
      </w:sdtEndPr>
      <w:sdtContent>
        <w:p w:rsidR="008B6253" w:rsidRDefault="008B6253" w:rsidP="008B6253">
          <w:pPr>
            <w:pStyle w:val="TOCHeading"/>
            <w:rPr>
              <w:noProof/>
            </w:rPr>
          </w:pPr>
          <w:r>
            <w:rPr>
              <w:noProof/>
            </w:rPr>
            <w:t>Inhalt</w:t>
          </w:r>
        </w:p>
        <w:p w:rsidR="00FA0A8B" w:rsidRDefault="008B6253">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95730139" w:history="1">
            <w:r w:rsidR="00FA0A8B" w:rsidRPr="00033DD1">
              <w:rPr>
                <w:rStyle w:val="Hyperlink"/>
                <w:bCs/>
                <w:noProof/>
              </w:rPr>
              <w:t>1</w:t>
            </w:r>
            <w:r w:rsidR="00FA0A8B" w:rsidRPr="00833B69">
              <w:rPr>
                <w:rStyle w:val="Hyperlink"/>
                <w:bCs/>
                <w:noProof/>
              </w:rPr>
              <w:t>.</w:t>
            </w:r>
            <w:r w:rsidR="00FA0A8B">
              <w:rPr>
                <w:rFonts w:asciiTheme="minorHAnsi" w:eastAsiaTheme="minorEastAsia" w:hAnsiTheme="minorHAnsi" w:cstheme="minorBidi"/>
                <w:noProof/>
                <w:sz w:val="22"/>
                <w:szCs w:val="22"/>
                <w:lang w:val="en-US"/>
              </w:rPr>
              <w:tab/>
            </w:r>
            <w:r w:rsidR="00FA0A8B" w:rsidRPr="00833B69">
              <w:rPr>
                <w:rStyle w:val="Hyperlink"/>
                <w:noProof/>
              </w:rPr>
              <w:t>Einleitung</w:t>
            </w:r>
            <w:r w:rsidR="00FA0A8B">
              <w:rPr>
                <w:noProof/>
                <w:webHidden/>
              </w:rPr>
              <w:tab/>
            </w:r>
            <w:r w:rsidR="00FA0A8B">
              <w:rPr>
                <w:noProof/>
                <w:webHidden/>
              </w:rPr>
              <w:fldChar w:fldCharType="begin"/>
            </w:r>
            <w:r w:rsidR="00FA0A8B">
              <w:rPr>
                <w:noProof/>
                <w:webHidden/>
              </w:rPr>
              <w:instrText xml:space="preserve"> PAGEREF _Toc95730139 \h </w:instrText>
            </w:r>
            <w:r w:rsidR="00FA0A8B">
              <w:rPr>
                <w:noProof/>
                <w:webHidden/>
              </w:rPr>
            </w:r>
            <w:r w:rsidR="00FA0A8B">
              <w:rPr>
                <w:noProof/>
                <w:webHidden/>
              </w:rPr>
              <w:fldChar w:fldCharType="separate"/>
            </w:r>
            <w:r w:rsidR="00FA0A8B" w:rsidRPr="00033DD1">
              <w:rPr>
                <w:noProof/>
                <w:webHidden/>
              </w:rPr>
              <w:t>2</w:t>
            </w:r>
            <w:r w:rsidR="00FA0A8B">
              <w:rPr>
                <w:noProof/>
                <w:webHidden/>
              </w:rPr>
              <w:fldChar w:fldCharType="end"/>
            </w:r>
          </w:hyperlink>
        </w:p>
        <w:p w:rsidR="00FA0A8B" w:rsidRDefault="00CB32D6">
          <w:pPr>
            <w:pStyle w:val="TOC1"/>
            <w:rPr>
              <w:rFonts w:asciiTheme="minorHAnsi" w:eastAsiaTheme="minorEastAsia" w:hAnsiTheme="minorHAnsi" w:cstheme="minorBidi"/>
              <w:noProof/>
              <w:sz w:val="22"/>
              <w:szCs w:val="22"/>
              <w:lang w:val="en-US"/>
            </w:rPr>
          </w:pPr>
          <w:hyperlink w:anchor="_Toc95730140" w:history="1">
            <w:r w:rsidR="00FA0A8B" w:rsidRPr="00033DD1">
              <w:rPr>
                <w:rStyle w:val="Hyperlink"/>
                <w:bCs/>
                <w:noProof/>
              </w:rPr>
              <w:t>2</w:t>
            </w:r>
            <w:r w:rsidR="00FA0A8B" w:rsidRPr="00833B69">
              <w:rPr>
                <w:rStyle w:val="Hyperlink"/>
                <w:bCs/>
                <w:noProof/>
              </w:rPr>
              <w:t>.</w:t>
            </w:r>
            <w:r w:rsidR="00FA0A8B">
              <w:rPr>
                <w:rFonts w:asciiTheme="minorHAnsi" w:eastAsiaTheme="minorEastAsia" w:hAnsiTheme="minorHAnsi" w:cstheme="minorBidi"/>
                <w:noProof/>
                <w:sz w:val="22"/>
                <w:szCs w:val="22"/>
                <w:lang w:val="en-US"/>
              </w:rPr>
              <w:tab/>
            </w:r>
            <w:r w:rsidR="00FA0A8B" w:rsidRPr="00833B69">
              <w:rPr>
                <w:rStyle w:val="Hyperlink"/>
                <w:noProof/>
              </w:rPr>
              <w:t>Wichtigste Ergebnisse des Finanzierungsprogramms NextGenerationEU</w:t>
            </w:r>
            <w:r w:rsidR="00FA0A8B">
              <w:rPr>
                <w:noProof/>
                <w:webHidden/>
              </w:rPr>
              <w:tab/>
            </w:r>
            <w:r w:rsidR="00FA0A8B">
              <w:rPr>
                <w:noProof/>
                <w:webHidden/>
              </w:rPr>
              <w:fldChar w:fldCharType="begin"/>
            </w:r>
            <w:r w:rsidR="00FA0A8B">
              <w:rPr>
                <w:noProof/>
                <w:webHidden/>
              </w:rPr>
              <w:instrText xml:space="preserve"> PAGEREF _Toc95730140 \h </w:instrText>
            </w:r>
            <w:r w:rsidR="00FA0A8B">
              <w:rPr>
                <w:noProof/>
                <w:webHidden/>
              </w:rPr>
            </w:r>
            <w:r w:rsidR="00FA0A8B">
              <w:rPr>
                <w:noProof/>
                <w:webHidden/>
              </w:rPr>
              <w:fldChar w:fldCharType="separate"/>
            </w:r>
            <w:r w:rsidR="00FA0A8B" w:rsidRPr="00033DD1">
              <w:rPr>
                <w:noProof/>
                <w:webHidden/>
              </w:rPr>
              <w:t>2</w:t>
            </w:r>
            <w:r w:rsidR="00FA0A8B">
              <w:rPr>
                <w:noProof/>
                <w:webHidden/>
              </w:rPr>
              <w:fldChar w:fldCharType="end"/>
            </w:r>
          </w:hyperlink>
        </w:p>
        <w:p w:rsidR="00FA0A8B" w:rsidRDefault="00CB32D6">
          <w:pPr>
            <w:pStyle w:val="TOC1"/>
            <w:rPr>
              <w:rFonts w:asciiTheme="minorHAnsi" w:eastAsiaTheme="minorEastAsia" w:hAnsiTheme="minorHAnsi" w:cstheme="minorBidi"/>
              <w:noProof/>
              <w:sz w:val="22"/>
              <w:szCs w:val="22"/>
              <w:lang w:val="en-US"/>
            </w:rPr>
          </w:pPr>
          <w:hyperlink w:anchor="_Toc95730141" w:history="1">
            <w:r w:rsidR="00FA0A8B" w:rsidRPr="00033DD1">
              <w:rPr>
                <w:rStyle w:val="Hyperlink"/>
                <w:noProof/>
              </w:rPr>
              <w:t>3</w:t>
            </w:r>
            <w:r w:rsidR="00FA0A8B" w:rsidRPr="00833B69">
              <w:rPr>
                <w:rStyle w:val="Hyperlink"/>
                <w:noProof/>
              </w:rPr>
              <w:t>.</w:t>
            </w:r>
            <w:r w:rsidR="00FA0A8B">
              <w:rPr>
                <w:rFonts w:asciiTheme="minorHAnsi" w:eastAsiaTheme="minorEastAsia" w:hAnsiTheme="minorHAnsi" w:cstheme="minorBidi"/>
                <w:noProof/>
                <w:sz w:val="22"/>
                <w:szCs w:val="22"/>
                <w:lang w:val="en-US"/>
              </w:rPr>
              <w:tab/>
            </w:r>
            <w:r w:rsidR="00FA0A8B" w:rsidRPr="00833B69">
              <w:rPr>
                <w:rStyle w:val="Hyperlink"/>
                <w:noProof/>
              </w:rPr>
              <w:t>Entwicklung und Durchführung der Finanzierungsstrategie NextGenerationEU</w:t>
            </w:r>
            <w:r w:rsidR="00FA0A8B">
              <w:rPr>
                <w:noProof/>
                <w:webHidden/>
              </w:rPr>
              <w:tab/>
            </w:r>
            <w:r w:rsidR="00FA0A8B">
              <w:rPr>
                <w:noProof/>
                <w:webHidden/>
              </w:rPr>
              <w:fldChar w:fldCharType="begin"/>
            </w:r>
            <w:r w:rsidR="00FA0A8B">
              <w:rPr>
                <w:noProof/>
                <w:webHidden/>
              </w:rPr>
              <w:instrText xml:space="preserve"> PAGEREF _Toc95730141 \h </w:instrText>
            </w:r>
            <w:r w:rsidR="00FA0A8B">
              <w:rPr>
                <w:noProof/>
                <w:webHidden/>
              </w:rPr>
            </w:r>
            <w:r w:rsidR="00FA0A8B">
              <w:rPr>
                <w:noProof/>
                <w:webHidden/>
              </w:rPr>
              <w:fldChar w:fldCharType="separate"/>
            </w:r>
            <w:r w:rsidR="00FA0A8B" w:rsidRPr="00033DD1">
              <w:rPr>
                <w:noProof/>
                <w:webHidden/>
              </w:rPr>
              <w:t>6</w:t>
            </w:r>
            <w:r w:rsidR="00FA0A8B">
              <w:rPr>
                <w:noProof/>
                <w:webHidden/>
              </w:rPr>
              <w:fldChar w:fldCharType="end"/>
            </w:r>
          </w:hyperlink>
        </w:p>
        <w:p w:rsidR="00FA0A8B" w:rsidRDefault="00CB32D6">
          <w:pPr>
            <w:pStyle w:val="TOC1"/>
            <w:rPr>
              <w:rFonts w:asciiTheme="minorHAnsi" w:eastAsiaTheme="minorEastAsia" w:hAnsiTheme="minorHAnsi" w:cstheme="minorBidi"/>
              <w:noProof/>
              <w:sz w:val="22"/>
              <w:szCs w:val="22"/>
              <w:lang w:val="en-US"/>
            </w:rPr>
          </w:pPr>
          <w:hyperlink w:anchor="_Toc95730150" w:history="1">
            <w:r w:rsidR="00FA0A8B" w:rsidRPr="00033DD1">
              <w:rPr>
                <w:rStyle w:val="Hyperlink"/>
                <w:noProof/>
              </w:rPr>
              <w:t>4</w:t>
            </w:r>
            <w:r w:rsidR="00FA0A8B" w:rsidRPr="00833B69">
              <w:rPr>
                <w:rStyle w:val="Hyperlink"/>
                <w:noProof/>
              </w:rPr>
              <w:t>.</w:t>
            </w:r>
            <w:r w:rsidR="00FA0A8B">
              <w:rPr>
                <w:rFonts w:asciiTheme="minorHAnsi" w:eastAsiaTheme="minorEastAsia" w:hAnsiTheme="minorHAnsi" w:cstheme="minorBidi"/>
                <w:noProof/>
                <w:sz w:val="22"/>
                <w:szCs w:val="22"/>
                <w:lang w:val="en-US"/>
              </w:rPr>
              <w:tab/>
            </w:r>
            <w:r w:rsidR="00FA0A8B" w:rsidRPr="00833B69">
              <w:rPr>
                <w:rStyle w:val="Hyperlink"/>
                <w:noProof/>
              </w:rPr>
              <w:t>Schlussfolgerung</w:t>
            </w:r>
            <w:r w:rsidR="00FA0A8B">
              <w:rPr>
                <w:noProof/>
                <w:webHidden/>
              </w:rPr>
              <w:tab/>
            </w:r>
            <w:r w:rsidR="00FA0A8B">
              <w:rPr>
                <w:noProof/>
                <w:webHidden/>
              </w:rPr>
              <w:fldChar w:fldCharType="begin"/>
            </w:r>
            <w:r w:rsidR="00FA0A8B">
              <w:rPr>
                <w:noProof/>
                <w:webHidden/>
              </w:rPr>
              <w:instrText xml:space="preserve"> PAGEREF _Toc95730150 \h </w:instrText>
            </w:r>
            <w:r w:rsidR="00FA0A8B">
              <w:rPr>
                <w:noProof/>
                <w:webHidden/>
              </w:rPr>
            </w:r>
            <w:r w:rsidR="00FA0A8B">
              <w:rPr>
                <w:noProof/>
                <w:webHidden/>
              </w:rPr>
              <w:fldChar w:fldCharType="separate"/>
            </w:r>
            <w:r w:rsidR="00FA0A8B" w:rsidRPr="00033DD1">
              <w:rPr>
                <w:noProof/>
                <w:webHidden/>
              </w:rPr>
              <w:t>12</w:t>
            </w:r>
            <w:r w:rsidR="00FA0A8B">
              <w:rPr>
                <w:noProof/>
                <w:webHidden/>
              </w:rPr>
              <w:fldChar w:fldCharType="end"/>
            </w:r>
          </w:hyperlink>
        </w:p>
        <w:p w:rsidR="00FA0A8B" w:rsidRDefault="00CB32D6">
          <w:pPr>
            <w:pStyle w:val="TOC1"/>
            <w:rPr>
              <w:rFonts w:asciiTheme="minorHAnsi" w:eastAsiaTheme="minorEastAsia" w:hAnsiTheme="minorHAnsi" w:cstheme="minorBidi"/>
              <w:noProof/>
              <w:sz w:val="22"/>
              <w:szCs w:val="22"/>
              <w:lang w:val="en-US"/>
            </w:rPr>
          </w:pPr>
          <w:hyperlink w:anchor="_Toc95730151" w:history="1">
            <w:r w:rsidR="00FA0A8B" w:rsidRPr="00833B69">
              <w:rPr>
                <w:rStyle w:val="Hyperlink"/>
                <w:noProof/>
              </w:rPr>
              <w:t>Anhang Übersicht der Emissionen von Anleihen und Bills</w:t>
            </w:r>
            <w:r w:rsidR="00FA0A8B">
              <w:rPr>
                <w:noProof/>
                <w:webHidden/>
              </w:rPr>
              <w:tab/>
            </w:r>
            <w:r w:rsidR="00FA0A8B">
              <w:rPr>
                <w:noProof/>
                <w:webHidden/>
              </w:rPr>
              <w:fldChar w:fldCharType="begin"/>
            </w:r>
            <w:r w:rsidR="00FA0A8B">
              <w:rPr>
                <w:noProof/>
                <w:webHidden/>
              </w:rPr>
              <w:instrText xml:space="preserve"> PAGEREF _Toc95730151 \h </w:instrText>
            </w:r>
            <w:r w:rsidR="00FA0A8B">
              <w:rPr>
                <w:noProof/>
                <w:webHidden/>
              </w:rPr>
            </w:r>
            <w:r w:rsidR="00FA0A8B">
              <w:rPr>
                <w:noProof/>
                <w:webHidden/>
              </w:rPr>
              <w:fldChar w:fldCharType="separate"/>
            </w:r>
            <w:r w:rsidR="00FA0A8B" w:rsidRPr="00033DD1">
              <w:rPr>
                <w:noProof/>
                <w:webHidden/>
              </w:rPr>
              <w:t>13</w:t>
            </w:r>
            <w:r w:rsidR="00FA0A8B">
              <w:rPr>
                <w:noProof/>
                <w:webHidden/>
              </w:rPr>
              <w:fldChar w:fldCharType="end"/>
            </w:r>
          </w:hyperlink>
        </w:p>
        <w:p w:rsidR="008B6253" w:rsidRDefault="008B6253" w:rsidP="008B6253">
          <w:pPr>
            <w:rPr>
              <w:noProof/>
            </w:rPr>
          </w:pPr>
          <w:r>
            <w:rPr>
              <w:b/>
              <w:bCs/>
              <w:noProof/>
            </w:rPr>
            <w:fldChar w:fldCharType="end"/>
          </w:r>
        </w:p>
      </w:sdtContent>
    </w:sdt>
    <w:p w:rsidR="008B6253" w:rsidRDefault="008B6253" w:rsidP="008B6253">
      <w:pPr>
        <w:rPr>
          <w:noProof/>
        </w:rPr>
      </w:pPr>
    </w:p>
    <w:p w:rsidR="008B6253" w:rsidRPr="00125797" w:rsidRDefault="008B6253" w:rsidP="008B6253">
      <w:pPr>
        <w:rPr>
          <w:noProof/>
          <w:u w:val="single"/>
        </w:rPr>
        <w:sectPr w:rsidR="008B6253" w:rsidRPr="00125797" w:rsidSect="008B6253">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8B6253" w:rsidRPr="00915269" w:rsidRDefault="008B6253" w:rsidP="008B6253">
      <w:pPr>
        <w:spacing w:after="0" w:line="259" w:lineRule="auto"/>
        <w:rPr>
          <w:rFonts w:ascii="EC Square Sans Pro" w:eastAsia="Calibri" w:hAnsi="EC Square Sans Pro"/>
          <w:b/>
          <w:noProof/>
          <w:color w:val="F68A4C"/>
          <w:sz w:val="22"/>
          <w:szCs w:val="22"/>
        </w:rPr>
      </w:pPr>
      <w:bookmarkStart w:id="2" w:name="_Toc89691580"/>
      <w:r>
        <w:rPr>
          <w:rFonts w:ascii="EC Square Sans Pro Light" w:hAnsi="EC Square Sans Pro Light"/>
          <w:noProof/>
          <w:color w:val="F68A4C"/>
          <w:sz w:val="40"/>
          <w:szCs w:val="40"/>
        </w:rPr>
        <w:t>Finanzierung NextGenerationEU</w:t>
      </w:r>
      <w:r>
        <w:rPr>
          <w:rFonts w:ascii="EC Square Sans Pro" w:hAnsi="EC Square Sans Pro"/>
          <w:b/>
          <w:noProof/>
          <w:color w:val="F68A4C"/>
          <w:sz w:val="22"/>
          <w:szCs w:val="22"/>
        </w:rPr>
        <w:t xml:space="preserve"> </w:t>
      </w:r>
    </w:p>
    <w:p w:rsidR="008B6253" w:rsidRPr="005B7286" w:rsidRDefault="008B6253" w:rsidP="008B6253">
      <w:pPr>
        <w:spacing w:after="0" w:line="259" w:lineRule="auto"/>
        <w:rPr>
          <w:rFonts w:ascii="EC Square Sans Pro" w:eastAsia="Calibri" w:hAnsi="EC Square Sans Pro"/>
          <w:noProof/>
          <w:color w:val="F68A4C"/>
          <w:sz w:val="22"/>
          <w:szCs w:val="22"/>
        </w:rPr>
      </w:pPr>
      <w:r>
        <w:rPr>
          <w:rFonts w:ascii="EC Square Sans Pro" w:hAnsi="EC Square Sans Pro"/>
          <w:noProof/>
          <w:color w:val="F68A4C"/>
          <w:sz w:val="22"/>
          <w:szCs w:val="22"/>
          <w:lang w:val="en-GB" w:eastAsia="en-GB"/>
        </w:rPr>
        <mc:AlternateContent>
          <mc:Choice Requires="wpg">
            <w:drawing>
              <wp:anchor distT="0" distB="0" distL="114300" distR="114300" simplePos="0" relativeHeight="251658240" behindDoc="0" locked="0" layoutInCell="1" allowOverlap="1" wp14:anchorId="2182F511" wp14:editId="38005DA6">
                <wp:simplePos x="0" y="0"/>
                <wp:positionH relativeFrom="column">
                  <wp:posOffset>-109855</wp:posOffset>
                </wp:positionH>
                <wp:positionV relativeFrom="paragraph">
                  <wp:posOffset>259715</wp:posOffset>
                </wp:positionV>
                <wp:extent cx="5838825" cy="3486150"/>
                <wp:effectExtent l="0" t="0" r="0" b="0"/>
                <wp:wrapTopAndBottom/>
                <wp:docPr id="134" name="Group 134"/>
                <wp:cNvGraphicFramePr/>
                <a:graphic xmlns:a="http://schemas.openxmlformats.org/drawingml/2006/main">
                  <a:graphicData uri="http://schemas.microsoft.com/office/word/2010/wordprocessingGroup">
                    <wpg:wgp>
                      <wpg:cNvGrpSpPr/>
                      <wpg:grpSpPr>
                        <a:xfrm>
                          <a:off x="0" y="0"/>
                          <a:ext cx="5838825" cy="3486150"/>
                          <a:chOff x="0" y="0"/>
                          <a:chExt cx="5838825" cy="3486150"/>
                        </a:xfrm>
                      </wpg:grpSpPr>
                      <pic:pic xmlns:pic="http://schemas.openxmlformats.org/drawingml/2006/picture">
                        <pic:nvPicPr>
                          <pic:cNvPr id="106" name="Picture 106"/>
                          <pic:cNvPicPr>
                            <a:picLocks noChangeAspect="1"/>
                          </pic:cNvPicPr>
                        </pic:nvPicPr>
                        <pic:blipFill rotWithShape="1">
                          <a:blip r:embed="rId20" cstate="print">
                            <a:extLst>
                              <a:ext uri="{28A0092B-C50C-407E-A947-70E740481C1C}">
                                <a14:useLocalDpi xmlns:a14="http://schemas.microsoft.com/office/drawing/2010/main" val="0"/>
                              </a:ext>
                            </a:extLst>
                          </a:blip>
                          <a:srcRect b="13187"/>
                          <a:stretch/>
                        </pic:blipFill>
                        <pic:spPr bwMode="auto">
                          <a:xfrm>
                            <a:off x="0" y="0"/>
                            <a:ext cx="5778500" cy="3486150"/>
                          </a:xfrm>
                          <a:prstGeom prst="rect">
                            <a:avLst/>
                          </a:prstGeom>
                          <a:noFill/>
                          <a:ln>
                            <a:noFill/>
                          </a:ln>
                          <a:extLst>
                            <a:ext uri="{53640926-AAD7-44D8-BBD7-CCE9431645EC}">
                              <a14:shadowObscured xmlns:a14="http://schemas.microsoft.com/office/drawing/2010/main"/>
                            </a:ext>
                          </a:extLst>
                        </pic:spPr>
                      </pic:pic>
                      <wpg:grpSp>
                        <wpg:cNvPr id="123" name="Group 123"/>
                        <wpg:cNvGrpSpPr/>
                        <wpg:grpSpPr>
                          <a:xfrm>
                            <a:off x="781050" y="19050"/>
                            <a:ext cx="1123950" cy="3305175"/>
                            <a:chOff x="0" y="0"/>
                            <a:chExt cx="1123950" cy="3305175"/>
                          </a:xfrm>
                        </wpg:grpSpPr>
                        <wps:wsp>
                          <wps:cNvPr id="12" name="Text Box 12"/>
                          <wps:cNvSpPr txBox="1"/>
                          <wps:spPr>
                            <a:xfrm>
                              <a:off x="104775" y="238125"/>
                              <a:ext cx="1019175" cy="371475"/>
                            </a:xfrm>
                            <a:prstGeom prst="rect">
                              <a:avLst/>
                            </a:prstGeom>
                            <a:noFill/>
                            <a:ln w="6350">
                              <a:noFill/>
                            </a:ln>
                          </wps:spPr>
                          <wps:txbx>
                            <w:txbxContent>
                              <w:p w:rsidR="00287320" w:rsidRPr="00093C58"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12</w:t>
                                </w:r>
                                <w:r w:rsidRPr="00093C58">
                                  <w:rPr>
                                    <w:rFonts w:ascii="EC Square Sans Pro" w:hAnsi="EC Square Sans Pro"/>
                                    <w:b/>
                                    <w:color w:val="FFFFFF" w:themeColor="background1"/>
                                    <w:sz w:val="20"/>
                                    <w:szCs w:val="20"/>
                                  </w:rPr>
                                  <w:t> Mrd. EUR</w:t>
                                </w:r>
                              </w:p>
                              <w:p w:rsidR="00287320" w:rsidRPr="00093C58" w:rsidRDefault="00287320" w:rsidP="00093C58">
                                <w:pPr>
                                  <w:spacing w:after="0"/>
                                  <w:rPr>
                                    <w:rFonts w:ascii="EC Square Sans Pro" w:hAnsi="EC Square Sans Pro"/>
                                    <w:b/>
                                    <w:color w:val="FFFFFF" w:themeColor="background1"/>
                                    <w:sz w:val="20"/>
                                    <w:szCs w:val="20"/>
                                  </w:rPr>
                                </w:pPr>
                                <w:r w:rsidRPr="00093C58">
                                  <w:rPr>
                                    <w:rFonts w:ascii="EC Square Sans Pro" w:hAnsi="EC Square Sans Pro"/>
                                    <w:b/>
                                    <w:color w:val="FFFFFF" w:themeColor="background1"/>
                                    <w:sz w:val="20"/>
                                    <w:szCs w:val="20"/>
                                  </w:rPr>
                                  <w:t>Grüne Aleihen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76200" y="704850"/>
                              <a:ext cx="1047750"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6</w:t>
                                </w:r>
                                <w:r>
                                  <w:rPr>
                                    <w:rFonts w:ascii="EC Square Sans Pro" w:hAnsi="EC Square Sans Pro"/>
                                    <w:b/>
                                    <w:color w:val="FFFFFF" w:themeColor="background1"/>
                                  </w:rPr>
                                  <w:t> Mrd.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47625" y="1085850"/>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10</w:t>
                                </w:r>
                                <w:r>
                                  <w:rPr>
                                    <w:rFonts w:ascii="EC Square Sans Pro" w:hAnsi="EC Square Sans Pro"/>
                                    <w:b/>
                                    <w:color w:val="FFFFFF" w:themeColor="background1"/>
                                  </w:rPr>
                                  <w:t> Mrd.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47625" y="1762125"/>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20</w:t>
                                </w:r>
                                <w:r>
                                  <w:rPr>
                                    <w:rFonts w:ascii="EC Square Sans Pro" w:hAnsi="EC Square Sans Pro"/>
                                    <w:b/>
                                    <w:color w:val="FFFFFF" w:themeColor="background1"/>
                                  </w:rPr>
                                  <w:t> Mrd.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47625" y="2495550"/>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11</w:t>
                                </w:r>
                                <w:r>
                                  <w:rPr>
                                    <w:rFonts w:ascii="EC Square Sans Pro" w:hAnsi="EC Square Sans Pro"/>
                                    <w:b/>
                                    <w:color w:val="FFFFFF" w:themeColor="background1"/>
                                  </w:rPr>
                                  <w:t>,</w:t>
                                </w:r>
                                <w:r w:rsidRPr="00033DD1">
                                  <w:rPr>
                                    <w:rFonts w:ascii="EC Square Sans Pro" w:hAnsi="EC Square Sans Pro"/>
                                    <w:b/>
                                    <w:color w:val="FFFFFF" w:themeColor="background1"/>
                                  </w:rPr>
                                  <w:t>5</w:t>
                                </w:r>
                                <w:r>
                                  <w:rPr>
                                    <w:rFonts w:ascii="EC Square Sans Pro" w:hAnsi="EC Square Sans Pro"/>
                                    <w:b/>
                                    <w:color w:val="FFFFFF" w:themeColor="background1"/>
                                  </w:rPr>
                                  <w:t> Mrd.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47625" y="3095625"/>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11</w:t>
                                </w:r>
                                <w:r>
                                  <w:rPr>
                                    <w:rFonts w:ascii="EC Square Sans Pro" w:hAnsi="EC Square Sans Pro"/>
                                    <w:b/>
                                    <w:color w:val="FFFFFF" w:themeColor="background1"/>
                                  </w:rPr>
                                  <w:t>,</w:t>
                                </w:r>
                                <w:r w:rsidRPr="00033DD1">
                                  <w:rPr>
                                    <w:rFonts w:ascii="EC Square Sans Pro" w:hAnsi="EC Square Sans Pro"/>
                                    <w:b/>
                                    <w:color w:val="FFFFFF" w:themeColor="background1"/>
                                  </w:rPr>
                                  <w:t>5</w:t>
                                </w:r>
                                <w:r>
                                  <w:rPr>
                                    <w:rFonts w:ascii="EC Square Sans Pro" w:hAnsi="EC Square Sans Pro"/>
                                    <w:b/>
                                    <w:color w:val="FFFFFF" w:themeColor="background1"/>
                                  </w:rPr>
                                  <w:t> Mrd.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0" y="1381125"/>
                              <a:ext cx="1076325" cy="285750"/>
                            </a:xfrm>
                            <a:prstGeom prst="rect">
                              <a:avLst/>
                            </a:prstGeom>
                            <a:noFill/>
                            <a:ln w="6350">
                              <a:noFill/>
                            </a:ln>
                          </wps:spPr>
                          <wps:txb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10</w:t>
                                </w:r>
                                <w:r>
                                  <w:rPr>
                                    <w:rFonts w:ascii="EC Square Sans Pro" w:hAnsi="EC Square Sans Pro"/>
                                    <w:color w:val="FFFFFF" w:themeColor="background1"/>
                                    <w:sz w:val="16"/>
                                    <w:szCs w:val="16"/>
                                  </w:rPr>
                                  <w:t>-jährige Laufzeit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0" y="885825"/>
                              <a:ext cx="1076325" cy="285750"/>
                            </a:xfrm>
                            <a:prstGeom prst="rect">
                              <a:avLst/>
                            </a:prstGeom>
                            <a:noFill/>
                            <a:ln w="6350">
                              <a:noFill/>
                            </a:ln>
                          </wps:spPr>
                          <wps:txb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20</w:t>
                                </w:r>
                                <w:r>
                                  <w:rPr>
                                    <w:rFonts w:ascii="EC Square Sans Pro" w:hAnsi="EC Square Sans Pro"/>
                                    <w:color w:val="FFFFFF" w:themeColor="background1"/>
                                    <w:sz w:val="16"/>
                                    <w:szCs w:val="16"/>
                                  </w:rPr>
                                  <w:t>-jährige Laufzeit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28575" y="542925"/>
                              <a:ext cx="1009650" cy="314325"/>
                            </a:xfrm>
                            <a:prstGeom prst="rect">
                              <a:avLst/>
                            </a:prstGeom>
                            <a:noFill/>
                            <a:ln w="6350">
                              <a:noFill/>
                            </a:ln>
                          </wps:spPr>
                          <wps:txbx>
                            <w:txbxContent>
                              <w:p w:rsidR="00287320" w:rsidRPr="00093C58" w:rsidRDefault="00287320" w:rsidP="008B6253">
                                <w:pPr>
                                  <w:spacing w:after="0" w:line="200" w:lineRule="exact"/>
                                  <w:rPr>
                                    <w:rFonts w:ascii="EC Square Sans Pro" w:hAnsi="EC Square Sans Pro"/>
                                    <w:color w:val="FFFFFF" w:themeColor="background1"/>
                                    <w:sz w:val="14"/>
                                    <w:szCs w:val="14"/>
                                  </w:rPr>
                                </w:pPr>
                                <w:r w:rsidRPr="00033DD1">
                                  <w:rPr>
                                    <w:rFonts w:ascii="EC Square Sans Pro" w:hAnsi="EC Square Sans Pro"/>
                                    <w:color w:val="FFFFFF" w:themeColor="background1"/>
                                    <w:sz w:val="14"/>
                                    <w:szCs w:val="14"/>
                                  </w:rPr>
                                  <w:t>30</w:t>
                                </w:r>
                                <w:r w:rsidRPr="00093C58">
                                  <w:rPr>
                                    <w:rFonts w:ascii="EC Square Sans Pro" w:hAnsi="EC Square Sans Pro"/>
                                    <w:color w:val="FFFFFF" w:themeColor="background1"/>
                                    <w:sz w:val="14"/>
                                    <w:szCs w:val="14"/>
                                  </w:rPr>
                                  <w:t xml:space="preserve">-jährige </w:t>
                                </w:r>
                                <w:r>
                                  <w:rPr>
                                    <w:rFonts w:ascii="EC Square Sans Pro" w:hAnsi="EC Square Sans Pro"/>
                                    <w:color w:val="FFFFFF" w:themeColor="background1"/>
                                    <w:sz w:val="14"/>
                                    <w:szCs w:val="14"/>
                                  </w:rPr>
                                  <w:t>L</w:t>
                                </w:r>
                                <w:r w:rsidRPr="00093C58">
                                  <w:rPr>
                                    <w:rFonts w:ascii="EC Square Sans Pro" w:hAnsi="EC Square Sans Pro"/>
                                    <w:color w:val="FFFFFF" w:themeColor="background1"/>
                                    <w:sz w:val="14"/>
                                    <w:szCs w:val="14"/>
                                  </w:rPr>
                                  <w:t>aufzeit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0" y="2305050"/>
                              <a:ext cx="1076325" cy="285750"/>
                            </a:xfrm>
                            <a:prstGeom prst="rect">
                              <a:avLst/>
                            </a:prstGeom>
                            <a:noFill/>
                            <a:ln w="6350">
                              <a:noFill/>
                            </a:ln>
                          </wps:spPr>
                          <wps:txb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7</w:t>
                                </w:r>
                                <w:r>
                                  <w:rPr>
                                    <w:rFonts w:ascii="EC Square Sans Pro" w:hAnsi="EC Square Sans Pro"/>
                                    <w:color w:val="FFFFFF" w:themeColor="background1"/>
                                    <w:sz w:val="16"/>
                                    <w:szCs w:val="16"/>
                                  </w:rPr>
                                  <w:t>-jährige Laufzeit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0" y="2886075"/>
                              <a:ext cx="1076325" cy="285750"/>
                            </a:xfrm>
                            <a:prstGeom prst="rect">
                              <a:avLst/>
                            </a:prstGeom>
                            <a:noFill/>
                            <a:ln w="6350">
                              <a:noFill/>
                            </a:ln>
                          </wps:spPr>
                          <wps:txb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5</w:t>
                                </w:r>
                                <w:r>
                                  <w:rPr>
                                    <w:rFonts w:ascii="EC Square Sans Pro" w:hAnsi="EC Square Sans Pro"/>
                                    <w:color w:val="FFFFFF" w:themeColor="background1"/>
                                    <w:sz w:val="16"/>
                                    <w:szCs w:val="16"/>
                                  </w:rPr>
                                  <w:t>-jährige Laufzeit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0" y="0"/>
                              <a:ext cx="1076325" cy="285750"/>
                            </a:xfrm>
                            <a:prstGeom prst="rect">
                              <a:avLst/>
                            </a:prstGeom>
                            <a:noFill/>
                            <a:ln w="6350">
                              <a:noFill/>
                            </a:ln>
                          </wps:spPr>
                          <wps:txb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15</w:t>
                                </w:r>
                                <w:r>
                                  <w:rPr>
                                    <w:rFonts w:ascii="EC Square Sans Pro" w:hAnsi="EC Square Sans Pro"/>
                                    <w:color w:val="FFFFFF" w:themeColor="background1"/>
                                    <w:sz w:val="16"/>
                                    <w:szCs w:val="16"/>
                                  </w:rPr>
                                  <w:t>-jährige Laufzeit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7" name="Group 127"/>
                        <wpg:cNvGrpSpPr/>
                        <wpg:grpSpPr>
                          <a:xfrm>
                            <a:off x="3048000" y="2000250"/>
                            <a:ext cx="2790825" cy="1400175"/>
                            <a:chOff x="0" y="0"/>
                            <a:chExt cx="2790825" cy="1400175"/>
                          </a:xfrm>
                        </wpg:grpSpPr>
                        <wps:wsp>
                          <wps:cNvPr id="118" name="Text Box 118"/>
                          <wps:cNvSpPr txBox="1"/>
                          <wps:spPr>
                            <a:xfrm>
                              <a:off x="0" y="1028700"/>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13</w:t>
                                </w:r>
                                <w:r>
                                  <w:rPr>
                                    <w:rFonts w:ascii="EC Square Sans Pro" w:hAnsi="EC Square Sans Pro"/>
                                    <w:b/>
                                    <w:color w:val="FFFFFF" w:themeColor="background1"/>
                                    <w:sz w:val="20"/>
                                    <w:szCs w:val="20"/>
                                  </w:rPr>
                                  <w:t>,</w:t>
                                </w: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0" y="428625"/>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11</w:t>
                                </w:r>
                                <w:r>
                                  <w:rPr>
                                    <w:rFonts w:ascii="EC Square Sans Pro" w:hAnsi="EC Square Sans Pro"/>
                                    <w:b/>
                                    <w:color w:val="FFFFFF" w:themeColor="background1"/>
                                    <w:sz w:val="20"/>
                                    <w:szCs w:val="20"/>
                                  </w:rPr>
                                  <w:t>,</w:t>
                                </w: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857250" y="695325"/>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11</w:t>
                                </w:r>
                                <w:r>
                                  <w:rPr>
                                    <w:rFonts w:ascii="EC Square Sans Pro" w:hAnsi="EC Square Sans Pro"/>
                                    <w:b/>
                                    <w:color w:val="FFFFFF" w:themeColor="background1"/>
                                    <w:sz w:val="20"/>
                                    <w:szCs w:val="20"/>
                                  </w:rPr>
                                  <w:t>,</w:t>
                                </w: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857250" y="1114425"/>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8</w:t>
                                </w:r>
                                <w:r>
                                  <w:rPr>
                                    <w:rFonts w:ascii="EC Square Sans Pro" w:hAnsi="EC Square Sans Pro"/>
                                    <w:b/>
                                    <w:color w:val="FFFFFF" w:themeColor="background1"/>
                                    <w:sz w:val="20"/>
                                    <w:szCs w:val="20"/>
                                  </w:rPr>
                                  <w:t>,</w:t>
                                </w: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1714500" y="1190625"/>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0" y="0"/>
                              <a:ext cx="1076325" cy="209550"/>
                            </a:xfrm>
                            <a:prstGeom prst="rect">
                              <a:avLst/>
                            </a:prstGeom>
                            <a:noFill/>
                            <a:ln w="6350">
                              <a:noFill/>
                            </a:ln>
                          </wps:spPr>
                          <wps:txbx>
                            <w:txbxContent>
                              <w:p w:rsidR="00287320" w:rsidRPr="005B7286" w:rsidRDefault="00287320" w:rsidP="008B6253">
                                <w:pPr>
                                  <w:spacing w:after="0" w:line="200" w:lineRule="exact"/>
                                  <w:jc w:val="center"/>
                                  <w:rPr>
                                    <w:rFonts w:ascii="EC Square Sans Pro" w:hAnsi="EC Square Sans Pro"/>
                                    <w:color w:val="4C4B9A"/>
                                    <w:sz w:val="22"/>
                                    <w:szCs w:val="22"/>
                                  </w:rPr>
                                </w:pPr>
                                <w:r>
                                  <w:rPr>
                                    <w:rFonts w:ascii="EC Square Sans Pro" w:hAnsi="EC Square Sans Pro"/>
                                    <w:color w:val="4C4B9A"/>
                                    <w:sz w:val="22"/>
                                    <w:szCs w:val="22"/>
                                  </w:rPr>
                                  <w:t>Emittiert</w:t>
                                </w:r>
                              </w:p>
                              <w:p w:rsidR="00287320" w:rsidRPr="005B7286" w:rsidRDefault="00287320" w:rsidP="008B6253">
                                <w:pPr>
                                  <w:spacing w:after="0" w:line="200" w:lineRule="exact"/>
                                  <w:jc w:val="center"/>
                                  <w:rPr>
                                    <w:rFonts w:ascii="EC Square Sans Pro" w:hAnsi="EC Square Sans Pro"/>
                                    <w:color w:val="4C4B9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857250" y="257175"/>
                              <a:ext cx="1076325" cy="304800"/>
                            </a:xfrm>
                            <a:prstGeom prst="rect">
                              <a:avLst/>
                            </a:prstGeom>
                            <a:noFill/>
                            <a:ln w="6350">
                              <a:noFill/>
                            </a:ln>
                          </wps:spPr>
                          <wps:txbx>
                            <w:txbxContent>
                              <w:p w:rsidR="00287320" w:rsidRPr="005B7286" w:rsidRDefault="00287320" w:rsidP="008B6253">
                                <w:pPr>
                                  <w:spacing w:after="0" w:line="200" w:lineRule="exact"/>
                                  <w:jc w:val="center"/>
                                  <w:rPr>
                                    <w:rFonts w:ascii="EC Square Sans Pro" w:hAnsi="EC Square Sans Pro"/>
                                    <w:color w:val="4C4B9A"/>
                                    <w:sz w:val="22"/>
                                    <w:szCs w:val="22"/>
                                  </w:rPr>
                                </w:pPr>
                                <w:r>
                                  <w:rPr>
                                    <w:rFonts w:ascii="EC Square Sans Pro" w:hAnsi="EC Square Sans Pro"/>
                                    <w:color w:val="4C4B9A"/>
                                    <w:sz w:val="22"/>
                                    <w:szCs w:val="22"/>
                                  </w:rPr>
                                  <w:t>Ausstehend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1714500" y="952500"/>
                              <a:ext cx="1076325" cy="238125"/>
                            </a:xfrm>
                            <a:prstGeom prst="rect">
                              <a:avLst/>
                            </a:prstGeom>
                            <a:noFill/>
                            <a:ln w="6350">
                              <a:noFill/>
                            </a:ln>
                          </wps:spPr>
                          <wps:txbx>
                            <w:txbxContent>
                              <w:p w:rsidR="00287320" w:rsidRPr="005B7286" w:rsidRDefault="00287320" w:rsidP="008B6253">
                                <w:pPr>
                                  <w:spacing w:after="0" w:line="200" w:lineRule="exact"/>
                                  <w:jc w:val="center"/>
                                  <w:rPr>
                                    <w:rFonts w:ascii="EC Square Sans Pro" w:hAnsi="EC Square Sans Pro"/>
                                    <w:color w:val="4C4B9A"/>
                                    <w:sz w:val="22"/>
                                    <w:szCs w:val="22"/>
                                  </w:rPr>
                                </w:pPr>
                                <w:r>
                                  <w:rPr>
                                    <w:rFonts w:ascii="EC Square Sans Pro" w:hAnsi="EC Square Sans Pro"/>
                                    <w:color w:val="4C4B9A"/>
                                    <w:sz w:val="22"/>
                                    <w:szCs w:val="22"/>
                                  </w:rPr>
                                  <w:t>Fällig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3" name="Group 133"/>
                        <wpg:cNvGrpSpPr/>
                        <wpg:grpSpPr>
                          <a:xfrm>
                            <a:off x="4848225" y="1457325"/>
                            <a:ext cx="847725" cy="419100"/>
                            <a:chOff x="0" y="0"/>
                            <a:chExt cx="847725" cy="419100"/>
                          </a:xfrm>
                        </wpg:grpSpPr>
                        <wpg:grpSp>
                          <wpg:cNvPr id="132" name="Group 132"/>
                          <wpg:cNvGrpSpPr/>
                          <wpg:grpSpPr>
                            <a:xfrm>
                              <a:off x="57150" y="0"/>
                              <a:ext cx="790575" cy="419100"/>
                              <a:chOff x="0" y="0"/>
                              <a:chExt cx="790575" cy="419100"/>
                            </a:xfrm>
                          </wpg:grpSpPr>
                          <wps:wsp>
                            <wps:cNvPr id="128" name="Rectangle 128"/>
                            <wps:cNvSpPr/>
                            <wps:spPr>
                              <a:xfrm>
                                <a:off x="0" y="228600"/>
                                <a:ext cx="133350" cy="142875"/>
                              </a:xfrm>
                              <a:prstGeom prst="rect">
                                <a:avLst/>
                              </a:prstGeom>
                              <a:solidFill>
                                <a:srgbClr val="F68A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0" y="47625"/>
                                <a:ext cx="133350" cy="142875"/>
                              </a:xfrm>
                              <a:prstGeom prst="rect">
                                <a:avLst/>
                              </a:prstGeom>
                              <a:solidFill>
                                <a:srgbClr val="4C4B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Text Box 130"/>
                            <wps:cNvSpPr txBox="1"/>
                            <wps:spPr>
                              <a:xfrm>
                                <a:off x="76200" y="0"/>
                                <a:ext cx="714375" cy="419100"/>
                              </a:xfrm>
                              <a:prstGeom prst="rect">
                                <a:avLst/>
                              </a:prstGeom>
                              <a:noFill/>
                              <a:ln w="6350">
                                <a:noFill/>
                              </a:ln>
                            </wps:spPr>
                            <wps:txbx>
                              <w:txbxContent>
                                <w:p w:rsidR="00287320" w:rsidRPr="00093C58" w:rsidRDefault="00287320" w:rsidP="008B6253">
                                  <w:pPr>
                                    <w:spacing w:after="80" w:line="200" w:lineRule="exact"/>
                                    <w:rPr>
                                      <w:rFonts w:ascii="EC Square Sans Pro" w:hAnsi="EC Square Sans Pro"/>
                                      <w:color w:val="4C4B9A"/>
                                      <w:sz w:val="16"/>
                                      <w:szCs w:val="16"/>
                                    </w:rPr>
                                  </w:pPr>
                                  <w:r w:rsidRPr="00033DD1">
                                    <w:rPr>
                                      <w:rFonts w:ascii="EC Square Sans Pro" w:hAnsi="EC Square Sans Pro"/>
                                      <w:color w:val="4C4B9A"/>
                                      <w:sz w:val="16"/>
                                      <w:szCs w:val="16"/>
                                    </w:rPr>
                                    <w:t>3</w:t>
                                  </w:r>
                                  <w:r w:rsidRPr="00093C58">
                                    <w:rPr>
                                      <w:rFonts w:ascii="EC Square Sans Pro" w:hAnsi="EC Square Sans Pro"/>
                                      <w:color w:val="4C4B9A"/>
                                      <w:sz w:val="16"/>
                                      <w:szCs w:val="16"/>
                                    </w:rPr>
                                    <w:t> Monate</w:t>
                                  </w:r>
                                </w:p>
                                <w:p w:rsidR="00287320" w:rsidRPr="00093C58" w:rsidRDefault="00287320" w:rsidP="008B6253">
                                  <w:pPr>
                                    <w:spacing w:after="80" w:line="200" w:lineRule="exact"/>
                                    <w:rPr>
                                      <w:rFonts w:ascii="EC Square Sans Pro" w:hAnsi="EC Square Sans Pro"/>
                                      <w:color w:val="4C4B9A"/>
                                      <w:sz w:val="16"/>
                                      <w:szCs w:val="16"/>
                                    </w:rPr>
                                  </w:pPr>
                                  <w:r w:rsidRPr="00033DD1">
                                    <w:rPr>
                                      <w:rFonts w:ascii="EC Square Sans Pro" w:hAnsi="EC Square Sans Pro"/>
                                      <w:color w:val="4C4B9A"/>
                                      <w:sz w:val="16"/>
                                      <w:szCs w:val="16"/>
                                    </w:rPr>
                                    <w:t>6</w:t>
                                  </w:r>
                                  <w:r w:rsidRPr="00093C58">
                                    <w:rPr>
                                      <w:rFonts w:ascii="EC Square Sans Pro" w:hAnsi="EC Square Sans Pro"/>
                                      <w:color w:val="4C4B9A"/>
                                      <w:sz w:val="16"/>
                                      <w:szCs w:val="16"/>
                                    </w:rPr>
                                    <w:t> Monate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 name="Rectangle 131"/>
                          <wps:cNvSpPr/>
                          <wps:spPr>
                            <a:xfrm>
                              <a:off x="0" y="0"/>
                              <a:ext cx="847725" cy="419100"/>
                            </a:xfrm>
                            <a:prstGeom prst="rect">
                              <a:avLst/>
                            </a:prstGeom>
                            <a:noFill/>
                            <a:ln w="952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182F511" id="Group 134" o:spid="_x0000_s1026" style="position:absolute;margin-left:-8.65pt;margin-top:20.45pt;width:459.75pt;height:274.5pt;z-index:251658240;mso-height-relative:margin" coordsize="58388,34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Stu9AgAAABSAAAOAAAAZHJzL2Uyb0RvYy54bWzsXF1v2zgWfV9g/4Og&#10;d9eiJFuy0XTgOGkxQHcaTLvosyzLtjD6WkqOnVnsf99zSYmWbaWJHUziavQQR6L4eXl4eXjJy/e/&#10;bONIuw94HqbJlc7eGboWJH46D5Pllf7vbx97rq7lhZfMvShNgiv9Icj1Xz788x/vN9k4MNNVGs0D&#10;riGTJB9vsit9VRTZuN/P/VUQe/m7NAsSfFykPPYKvPJlf869DXKPo75pGMP+JuXzjKd+kOcIvZEf&#10;9Q8i/8Ui8Isvi0UeFFp0paNuhfjl4ndGv/0P773xknvZKvTLanhn1CL2wgSFqqxuvMLT1jw8yioO&#10;fZ7m6aJ456dxP10sQj8QbUBrmHHQmk88XWeiLcvxZpkpMUG0B3I6O1v/t/s7roVz9J1l61rixegk&#10;Ua5GARDPJluOEesTz75md7wMWMo3avF2wWP6j7ZoWyHYByXYYFtoPgIHruW65kDXfHyzbHfIBqXo&#10;/RX65yidv7p9ImW/KrhP9VPVyUJ/jL9SUng6ktTTiEKqYs0DvcwkflYescf/WGc9dGrmFeEsjMLi&#10;QQAU3UeVSu7vQv+Oy5ea0I1hJXR8p2I1hiBImRJRPJnKo1Z9Tv0/ci1JpysvWQaTPAO60W8Uu78f&#10;XbzuFTmLwuxjGEUaT4vvYbH6uvIy9DQToKWPZWsxNA6g1SAwCdub1F/HQVLIcciDCA1Pk3wVZrmu&#10;8XEQzwLAiv86Z+h36IAC5WU8TApRJqDxOS8IOAQSMVT+a7oTwxiZ173pwJj2bMO57U1GttNzjFvH&#10;NmyXTdn0f5Sa2eN1HkAeXnSThWXVEXpU+cZxUWoQOeLEyNXuPaEfSJKiQtV/UUUEkYSorjn3f4fU&#10;NegOZjHXIdkjtOBB4a+qfqhkLTsxx6jRZpt/pXO031sXqWj+s0aN47gDA1rrYNQo7AMVPC8+BWms&#10;0QOEjbqJ7L171Fy2popCFU1SwoCoc5TsBSBPGdLULwNraKNfhr3J5Mbp2faN27u+xtN0ejuyLTa0&#10;B7eqX/KVN083X2a5DzDPX941shGo1X6XEN5JsiX08So1ldAESmlVqs20qlFWqjYEIOMTVZvjMgN6&#10;S4MOYyN6EoIk+JKOY8y0RvRZ9JZlDJgzkDGe0nGPpVT9vK/jNhmmyrwasHh7HuppomyaZIQmAGgo&#10;25piMiuJfaMGXqdbjZlSZiIazQVasUU4KREhy7zskEozqymBGbYDWZDcTMtlmAf2BWewEclKCs5h&#10;tpSbav3LUK5trvShhX5pgjsEW9WanortbFs2ZZbOH9BCaEsxpeWZ/zHEEPvs5cWdx0ER0NGgPcUX&#10;/CyiFIWk5ZOurVL+Z1M4xUdf4auubUA5rvT8P2uPZpro1wS9OGK2jWwL8WIPHBMvvP5lVv+SrONp&#10;Cq0F7YraiUeKX0TV44Kn8Xd0+oRKxScv8VH2lV5Uj9MCb/gAduUHk4l4lhPY5+RrhmlPzg6kQL5t&#10;v3s8K7VMAUT8lla48cYHykbGleKeQN8tQqGJSMBSqhiz9AIMS9T99WA2FLXZoRlhZV8D9afA2RmC&#10;eAo0O5iTjtSAADu+kxowjdFARngjNEtmVzW0A3WrQO0cq2hDMBIaXSeC2gaqpYpmhjtoQLUztCoC&#10;fxmoVrNRh+pWoRoGA7kKralqt9Jg56Ma+G5gHheH6pKXVlNlR0CwamkDARk1oHr0YlSbNvjFMQO5&#10;OFQrqtXp6jbpaoa1x6GuRth5tHrHQCywZmIjB6vEi0O1qOFuWdPp6nboatg5jlGt2OaJDEQuFBnM&#10;Hk+wD3fgvP1KUVieO0S3zfzBlPlzx6kRdp6eloh2sUj8sYq+CECr5XBHPFpFPBrseUyRzBNVtElI&#10;Ffa8gW2OjkFtjIbQzNI6zWyygmDgvKU9T62GO1C3CtQA4RGbVhzzRFBLLW1iG+p4o8qoM+mLUNNq&#10;JdwhulWIVocbarxDcczzEO26Q0NuEMqTA2Lr9fIQzcTucEelW0elGzZdmGKZZ0H68BzBBYJZ2XQ6&#10;/fw6+nl34kOeUnnkWIsCY3WspUTiSSf2LOxiG+WONna2DfPQoGw6I0Od3mO2YTz7ZMtjKRV73rWT&#10;jvKQuvzrDwOwhh0mhL1kNcwM03Ugwku3WO6O8HQD+XUG8itBumF7iSlSfdasZJvuz2CD35mxOkS3&#10;CdF09u1wMYyw85Q01rg0qdEBxOFoUFpwHls+XMaRLWXM6mDdKlg37Jiail2fqKhrsGYMZ0ePTZd1&#10;Q89l4FrZszpctwrXDXum5rl7pgxnwIXfAx20x0n7n4KHKLNWB+xWAbthp8lUk/OJCltSkJ9gmagM&#10;Wh2YWwXmhh0mSRpomXoimGvswxw4yiSk3KHqZkxpYnrrfdOdkaeDdatg3bDNZKr5+ERY18nHaIBl&#10;4w/VtXJnUxbN1/VWk/49ytLT4fp1cL0zW//IPG+pY1eVQ/05Xqe2a7smtLRwO4VX4JH5woV3JX0n&#10;hzMbrpQVYp9yO21Op4C8a6M0zZde9rLBGFSVb62lqH/VypL3n7QJgRmktNAcjDfsPYjjOae2rjnd&#10;o617jY0HU208kA85fPgjePsjcN+oVb5J5+YjX9ryXAeMs1U3qwnXssjNVcCAwXr7Ui/aPI3CObmL&#10;kydnzpezacSln/zHoTuxp+Vsvhet2akcSKp72ebFQxRQplHye7CABoMLsSncc8WtH4Eqx/N9XC8g&#10;nVDJrTyQxUMly7ajM1UKcSJLZEg5L1BtlXeZAd0ocpw3pI1syviUNBCXhqjE0m9YFSNrUFVMJlYp&#10;RMlpUqjEcZikvKllEVpVlizjly6xpWhIXi1W5X7B/34uyKbaoqkPfjVzlyzlOYNfOkogZs2C/Wpj&#10;357a16NJN/ZLCXRj/8TLB/6WY9/CtHy4mYWwcrCfuEDZXT9wyJRwOJkOMu8zJcV43mBhstuwa/Fs&#10;dlHXaexI+2udprHUjlZtXkPgPrifM68dwPmJ5cnL4Uyre0nO9pjuPk+cLSV9jNYxbnCS9I8uZRKV&#10;PSKgNTKMb8SGO+674+hSeh33LW/iuYTrd+r6QjzjmkGxIiqvRKR7DOvvAtC7ixs//B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EWgkniAAAACgEAAA8AAABkcnMvZG93bnJldi54&#10;bWxMj0FLw0AQhe+C/2EZwVu7m9RqEzMppainItgK4m2bTJPQ7GzIbpP037ue9Di8j/e+ydaTacVA&#10;vWssI0RzBYK4sGXDFcLn4XW2AuG85lK3lgnhSg7W+e1NptPSjvxBw95XIpSwSzVC7X2XSumKmox2&#10;c9sRh+xke6N9OPtKlr0eQ7lpZazUozS64bBQ6462NRXn/cUgvI163Cyil2F3Pm2v34fl+9cuIsT7&#10;u2nzDMLT5P9g+NUP6pAHp6O9cOlEizCLnhYBRXhQCYgAJCqOQRwRlqskAZln8v8L+Q8AAAD//wMA&#10;UEsDBAoAAAAAAAAAIQAjyhIQLzAAAC8wAAAUAAAAZHJzL21lZGlhL2ltYWdlMS5wbmeJUE5HDQoa&#10;CgAAAA1JSERSAAAH0AAABW4IAgAAAKIFMAIAAAAZdEVYdFNvZnR3YXJlAEFkb2JlIEltYWdlUmVh&#10;ZHlxyWU8AAAv0UlEQVR42uzdsW1TYRiGUa5jCho6KkTDCnQUDMAWrMVIbEGJZEWKFCUhOL6wg59P&#10;+iXOkSd4i694LP132/f9FQAAAAAAcJ2DCQAAAAAA4HqCOwAAAAAABAR3AAAAAAAICO4AAAAAABAQ&#10;3AEAAAAAICC4AwAAAABAQHAHAAAAAICA4A4AAAAAAAHBHQAAAAAAAoI7AAAAAAAEBHcAAAAAAAgI&#10;7gAAAAAAEBDcAQAAAAAgILgDAAAAAEBAcAcAAAAAgIDgDgAAAAAAgaMJYMj3H1+MAIz69P7bv58d&#10;AAAAYBGCO0zZtt0IwDB3BgAAABbiSRkAAAAAAAgI7gAAAAAAEBDcAQAAAAAgILgDAAAAAEBAcAcA&#10;AAAAgIDgDgAAAAAAAcEdAAAAAAACgjsAAAAAAAQEdwAAAAAACAjuAAAAAAAQENwBAAAAACAguAMA&#10;AAAAQEBwBwAAAACAgOAOAAAAAAABwR0AAAAAAAKCOwAAAAAABAR3AAAAAAAICO4AAAAAABAQ3AEA&#10;AAAAICC4AwAAAABAQHAHAAAAAICA4A4AAAAAAAHBHQAAAAAAAoI7AAAAAAAEBHcAAAAAAAgI7gAA&#10;AAAAEBDcAQAAAAAgILgDAAAAAEBAcAcAAAAAgIDgDgAAAAAAAcEdAAAAAAACgjsAAAAAAAQEdwAA&#10;AAAACAjuAAAAAAAQENwBAAAAACAguAMAAAAAQEBwBwAAAACAgOAOAAAAAAABwR0AAAAAAAKCOwAA&#10;AAAABAR3AAAAAAAICO4AAAAAABAQ3AEAAAAAICC4AwAAAABAQHAHAAAAAICA4A4AAAAAAAHBHQAA&#10;AAAAAoI7AAAAAAAEBHcAAAAAAAgI7gAAAAAAEBDcAQAAAAAgILgDAAAAAEBAcAcAAAAAgIDgDgAA&#10;AAAAAcEdAAAAAAACgjsAAAAAAAQEdwAAAAAACAjuAAAAAAAQENwBAAAAACAguAMAAAAAQEBwBwAA&#10;AACAgOAOAAAAAAABwR0AAAAAAAKCOwAAAAAABAR3AAAAAAAICO4AAAAAABAQ3AEAAAAAICC4AwAA&#10;AABAQHAHAAAAAICA4A4AAAAAAAHBHQAAAAAAAoI7AAAAAAAEBHcAAAAAAAgI7gAAAAAAEBDcAQAA&#10;AAAgILgDAAAAAEBAcAcAAAAAgIDgDgAAAAAAAcEdAAAAAAACgjsAAAAAAAQEdwAAAAAACAjuAAAA&#10;AAAQENwBAAAAACAguAMAAAAAQEBwBwAAAACAgOAOAAAAAAABwR0AAAAAAAKCOwAAAAAABAR3AAAA&#10;AAAICO4AAAAAABAQ3AEAAAAAICC4AwAAAABAQHAHAAAAAICA4A4AAAAAAAHBHQAAAAAAAoI7AAAA&#10;AAAEBHcAAAAAAAgI7gAAAAAAEBDcAQAAAAAgILgDAAAAAEBAcAcAAAAAgIDgDgAAAAAAAcEdAAAA&#10;AAACgjsAAAAAAAQEdwAAAAAACAjuAAAAAAAQENwBAAAAACAguAMAAAAAQEBwBwAAAACAgOAOAAAA&#10;AAABwR0AAAAAAAKCOwAAAAAABAR3AAAAAAAICO4AAAAAABAQ3AEAAAAAICC4AwAAAABAQHAHAAAA&#10;AICA4A4AAAAAAAHBHQAAAAAAAoI7AAAAAAAEBHcAAAAAAAgI7gAAAAAAEBDcAQAAAAAgILgDAAAA&#10;AEBAcAcAAAAAgIDgDgAAAAAAAcEdAAAAAAACgjsAAAAAAAQEdwAAAAAACAjuAAAAAAAQENwBAAAA&#10;ACAguAMAAAAAQEBwBwAAAACAgOAOAAAAAAABwR0AAAAAAAKCOwAAAAAABAR3AAAAAAAICO4AAAAA&#10;ABAQ3AEAAAAAICC4AwAAAABAQHAHAAAAAICA4A4AAAAAAAHBHQAAAAAAAoI7AAAAAAAEBHcAAAAA&#10;AAgI7gAAAAAAEBDcAQAAAAAgILgDAAAAAEBAcAcAAAAAgIDgDgAAAAAAAcEdAAAAAAACgjsAAAAA&#10;AAQEdwAAAAAACAjuAAAAAAAQENwBAAAAACAguAMAAAAAQEBwBwAAAACAgOAOAAAAAAABwR0AAAAA&#10;AAKCOwAAAAAABAR3AAAAAAAICO4AAAAAABAQ3AEAAAAAICC4AwAAAABAQHAHAAAAAICA4A4AAAAA&#10;AAHBHQAAAAAAAoI7AAAAAAAEBHcAAAAAAAgI7gAAAAAAEBDcAQAAAAAgILgDAAAAAEBAcAcAAAAA&#10;gIDgDgAAAAAAAcEdAAAAAAACgjsAAAAAAAQEdwAAAAAACAjuAAAAAAAQENwBAAAAACAguAMAAAAA&#10;QEBwBwAAAACAgOAOAAAAAAABwR0AAAAAAAKCOwAAAAAABAR3AAAAAAAICO4AAAAAABAQ3AEAAAAA&#10;ICC4AwAAAABAQHAHAAAAAICA4A4AAAAAAAHBHQAAAAAAAoI7AAAAAAAEBHcAAAAAAAgI7gAAAAAA&#10;EDiaAKYcnm0AzNpebAAAAADrENxhyuXXZyMAo/a3H4wAAAAA6xDcYcr551cjAKMu7z4aAQAAANYh&#10;uMOYlzc2AGbtr20AAAAA6xDcYc5uAsCdAQAAgP/HwQQAAAAAAHA9wR0AAAAAAAKCOwAAAAAABAR3&#10;AAAAAAAICO4AAAAAABAQ3AEAAAAAICC4AwAAAABAQHAHAAAAAICA4A4AAAAAAAHBHQAAAAAAAoI7&#10;AAAAAAAEBHcAAAAAAAgI7gAAAAAAEBDcAQAAAAAgILgDAAAAAEBAcAcAAAAAgIDgDgAAAAAAAcEd&#10;AAAAAAACgjsAAAAAAAQEdwAAAAAACAjuAAAAAAAQENwBAAAAACAguAMAAAAAQEBwBwAAAACAgOAO&#10;AAAAAAABwR0AAAAAAAKCOwAAAAAABAR3AAAAAAAICO4AAAAAABAQ3AEAAAAAICC4AwAAAABAQHAH&#10;AAAAAICA4A4AAAAAAAHBHQAAAAAAAoI7AAAAAAAEBHcAAAAAAAgI7gAAAAAAEBDcAQAAAAAgILgD&#10;AAAAAEBAcAcAAAAAgIDgDgAAAAAAAcEdAAAAAAACgjsAAAAAAAQEdwAAAAAACAjuAAAAAAAQENwB&#10;AAAAACAguAMAAAAAQEBwBwAAAACAgOAOAAAAAAABwR0AAAAAAAKCOwAAAAAABAR3AAAAAAAICO4A&#10;AAAAABAQ3AEAAAAAICC4AwAAAABAQHAHAAAAAICA4A4AAAAAAAHBHQAAAAAAAoI7AAAAAAAEBHcA&#10;AAAAAAgI7gAAAAAAEBDcAQAAAAAgILgDAAAAAEBAcAcAAAAAgIDgDgAAAAAAAcEdAAAAAAACgjsA&#10;AAAAAAQEdwAAAAAACAjuAAAAAAAQENwBAAAAACAguAMAAAAAQEBwBwAAAACAgOAOAAAAAAABwR0A&#10;AAAAAAKCOwAAAAAABAR3AAAAAAAICO4AAAAAABAQ3AEAAAAAICC4AwAAAABAQHAHAAAAAICA4A4A&#10;AAAAAAHBHQAAAAAAAoI7AAAAAAAEBHcAAAAAAAgI7gAAAAAAEBDcAQAAAAAgILgDAAAAAEBAcAcA&#10;AAAAgIDgDgAAAAAAAcEdAAAAAAACgjsAAAAAAAQEdwAAAAAACAjuAAAAAAAQENwBAAAAACBwNAEM&#10;ORw2IwCjts2dAQAAgIUI7jDl7u7JCMCo309nIwAAAMA6BHeYcjrdGwEY9fDwbAQAAABYh+AOU87n&#10;ixGAUZfLbgQAAABYh+AOUzytDMwfGhMAAADAQg4mAAAAAACA6wnuAAAAAAAQENwBAAAAACAguAMA&#10;AAAAQEBwBwAAAACAgOAOAAAAAAABwR0AAAAAAAKCOwAAAAAABAR3AAAAAAAICO4AAAAAABAQ3AEA&#10;AAAAICC4AwAAAABAQHAHAAAAAICA4A4AAAAAAAHBHQAAAAAAAoI7AAAAAAAEBHcAAAAAAAgI7gAA&#10;AAAAEBDcAQAAAAAgILgDAAAAAEBAcAcAAAAAgIDgDgAAAAAAAcEdAAAAAAACgjsAAAAAAAQEdwAA&#10;AAAACAjuAAAAAAAQENwBAAAAACAguAMAAAAAQEBwBwAAAACAgOAOAAAAAAABwR0AAAAAAAKCOwAA&#10;AAAABAR3AAAAAAAICO4AAAAAABAQ3AEAAAAAICC4AwAAAABAQHAHAAAAAICA4A4AAAAAAAHBHQAA&#10;AAAAAoI7AAAAAAAEBHcAAAAAAAgI7gAAAAAAEBDcAQAAAAAgILgDAAAAAEBAcAcAAAAAgIDgDgAA&#10;AAAAAcEdAAAAAAACgjsAAAAAAAQEdwAAAAAACAjuAAAAAAAQENwBAAAAACAguAMAAAAAQEBwBwAA&#10;AACAgOAOAAAAAAABwR0AAAAAAAKCOwAAAAAABAR3AAAAAAAICO4AAAAAABAQ3AEAAAAAICC4AwAA&#10;AABAQHAHAAAAAICA4A4AAAAAAAHBHQAAAAAAAoI7AAAAAAAEBHcAAAAAAAgI7gAAAAAAEBDcAQAA&#10;AAAgILgDAAAAAEBAcAcAAAAAgIDgDgAAAAAAAcEdAAAAAAACgjsAAAAAAAQEdwAAAAAACAjuAAAA&#10;AAAQENwBAAAAACAguAMAAAAAQEBwBwAAAACAgOAOAAAAAAABwR0AAAAAAAKCOwAAAAAABAR3AAAA&#10;AAAICO4AAAAAABAQ3AEAAAAAICC4AwAAAABAQHAHAAAAAICA4A4AAAAAAAHBHQAAAAAAAoI7AAAA&#10;AAAEBHcAAAAAAAgI7gAAAAAAEBDcAQAAAAAgILgDAAAAAEBAcAcAAAAAgIDgDgAAAAAAAcEdAAAA&#10;AAACgjsAAAAAAAQEdwAAAAAACAjuAAAAAAAQENwBAAAAACAguAMAAAAAQEBwBwAAAACAgOAOAAAA&#10;AAABwR0AAAAAAAKCOwAAAAAABAR3AAAAAAAICO4AAAAAABAQ3AEAAAAAICC4AwAAAABAQHAHAAAA&#10;AICA4A4AAAAAAAHBHQAAAAAAAoI7AAAAAAAEBHcAAAAAAAgI7gAAAAAAEBDcAQAAAAAgILgDAAAA&#10;AEBAcAcAAAAAgIDgDgAAAAAAAcEdAAAAAAACgjsAAAAAAAQEdwAAAAAACAjuAAAAAAAQENwBAAAA&#10;ACAguAMAAAAAQEBwBwAAAACAgOAOAAAAAAABwR0AAAAAAAKCOwAAAAAABAR3AAAAAAAICO4AAAAA&#10;ABAQ3AEAAAAAICC4AwAAAABAQHAHAAAAAICA4A4AAAAAAAHBHQAAAAAAAoI7AAAAAAAEBHcAAAAA&#10;AAgI7gAAAAAAEBDcAQAAAAAgILgDAAAAAEBAcAcAAAAAgIDgDgAAAAAAAcEdAAAAAAACgjsAAAAA&#10;AAQEdwAAAAAACAjuAAAAAAAQENwBAAAAACAguAMAAAAAQEBwBwAAAACAgOAOAAAAAAABwR0AAAAA&#10;AAKCOwAAAAAABAR3AAAAAAAICO4AAAAAABAQ3AEAAAAAICC4AwAAAABAQHAHAAAAAICA4A4AAAAA&#10;AAHBHQAAAAAAAoI7AAAAAAAEjiaAITc3/tACZh22zQgAAACwDsEdppxO90YARj08PBsBAAAA1iG4&#10;w5Tb20cjAKMeH/8YAQAAANYhuMOUy2U3AjBqd2YAAABgJYI7TPG0MjB/aEwAAAAAC/FRRwAAAAAA&#10;CAjuAAAAAAAQENwBAAAAACAguAMAAAAAQEBwBwAAAACAgOAOAAAAAAABwR0AAAAAAAKCOwAAAAAA&#10;BAR3AAAAAAAICO4AAAAAABAQ3AEAAAAAICC4AwAAAABAQHAHAAAAAICA4A4AAAAAAAHBHQAAAAAA&#10;AoI7AAAAAAAEBHcAAAAAAAgI7gAAAAAAEBDcAQAAAAAgILgDAAAAAEBAcAcAAAAAgIDgDgAAAAAA&#10;AcEdAAAAAAACgjsAAAAAAAQEdwAAAAAACAjuAAAAAAAQENwBAAAAACAguAMAAAAAQEBwBwAAAACA&#10;gOAOAAAAAAABwR0AAAAAAAKCOwAAAAAABAR3AAAAAAAICO4AAAAAABAQ3AEAAAAAICC4AwAAAABA&#10;QHAHAAAAAICA4A4AAAAAAAHBHQAAAAAAAoI7AAAAAAAEBHcAAAAAAAgI7gAAAAAAEBDcAQAAAAAg&#10;ILgDAAAAAEBAcAcAAAAAgIDgDgAAAAAAAcEdAAAAAAACgjsAAAAAAAQEdwAAAAAACAjuAAAAAAAQ&#10;ENwBAAAAACAguAMAAAAAQEBwBwAAAACAgOAOAAAAAAABwR0AAAAAAAKCOwAAAAAABAR3AAAAAAAI&#10;CO4AAAAAABAQ3AEAAAAAICC4AwAAAABAQHAHAAAAAICA4A4AAAAAAAHBHQAAAAAAAoI7AAAAAAAE&#10;BHcAAAAAAAgI7gAAAAAAEBDcAQAAAAAgILgDAAAAAEBAcAcAAAAAgIDgDgAAAAAAAcEdAAAAAAAC&#10;gjsAAAAAAAQEdwAAAAAACAjuAAAAAAAQENwBAAAAACAguAMAAAAAQEBwBwAAAACAgOAOAAAAAAAB&#10;wR0AAAAAAAKCOwAAAAAABAR3AAAAAAAICO4AAAAAABAQ3AEAAAAAICC4AwAAAABAQHAHAAAAAICA&#10;4A4AAAAAAAHBHQAAAAAAAoI7AAAAAAAEBHcAAAAAAAgI7gAAAAAAEBDcAQAAAAAgILgDAAAAAEBA&#10;cAcAAAAAgIDgDgAAAAAAAcEdAAAAAAACgjsAAAAAAAQEdwAAAAAACAjuAAAAAAAQENwBAAAAACAg&#10;uAMAAAAAQEBwBwAAAACAgOAOAAAAAAABwR0AAAAAAAKCOwAAAAAABAR3AAAAAAAICO4AAAAAABAQ&#10;3AEAAAAAICC4AwAAAABAQHAHAAAAAICA4A4AAAAAAAHBHQAAAAAAAoI7AAAAAAAEBHcAAAAAAAgI&#10;7gAAAAAAEBDcAQAAAAAgILgDAAAAAEBAcAcAAAAAgIDgDgAAAAAAAcEdAAAAAAACgjsAAAAAAAQE&#10;dwAAAAAACAjuAAAAAAAQENwBAAAAACAguAMAAAAAQEBwBwAAAACAgOAOAAAAAAABwR0AAAAAAAKC&#10;OwAAAAAABAR3AAAAAAAICO4AAAAAABAQ3AEAAAAAICC4AwAAAABAQHAHAAAAAICA4A4AAAAAAAHB&#10;HQAAAAAAAoI7AAAAAAAEBHcAAAAAAAgI7gAAAAAAEBDcAQAAAAAgILgDAAAAAEBAcAcAAAAAgIDg&#10;DgAAAAAAAcEdAAAAAAACgjsAAAAAAAQEdwAAAAAACAjuAAAAAAAQENwBAAAAACAguAMAAAAAQEBw&#10;BwAAAACAgOAOAAAAAAABwR0AAAAAAAKCOwAAAAAABAR3AAAAAAAICO4AAAAAABAQ3AEAAAAAICC4&#10;AwAAAABAQHAHAAAAAICA4A4AAAAAAAHBHQAAAAAAAoI7AAAAAAAEBHcAAAAAAAgI7gAAAAAAEBDc&#10;AQAAAAAgILgDAAAAAEBAcAcAAAAAgIDgDgAAAAAAAcEdAAAAAAACgjsAAAAAAAQEdwAAAAAACAju&#10;AAAAAAAQENwBAAAAACAguAMAAAAAQEBwBwAAAACAgOAOAAAAAAABwR0AAAAAAAKCOwAAAAAABAR3&#10;AAAAAAAICO4AAAAAABAQ3AEAAAAAICC4AwAAAABAQHAHAAAAAICA4A4AAAAAAAHBHQAAAAAAAoI7&#10;AAAAAAAEBHcAAAAAAAgI7gAAAAAAEBDcAQAAAAAgILgDAAAAAEBAcAcAAAAAgIDgDgAAAAAAAcEd&#10;AAAAAAACgjsAAAAAAAQEdwAAAAAACAjuAAAAAAAQENwBAAAAACAguAMAAAAAQEBwBwD+sncHvW3e&#10;BRzH69hZ27UJWjtWRUiTODANceK+047cmHgf8GJ4DfAK4MIJsQtnQCCQKJSWDXVbk0BTx6ltqroK&#10;5YLc9vtEwf58lKMjS7/o7zz+WnkCAAAABAR3AAAAAAAICO4AAAAAABAQ3AEAAAAAICC4AwAAAABA&#10;QHAHAAAAAICA4A4AAAAAAAHBHQAAAAAAAoI7AAAAAAAEBHcAAAAAAAgI7gAAAAAAEBDcAQAAAAAg&#10;ILgDAAAAAEBAcAcAAAAAgIDgDgAAAAAAAcEdAAAAAAACgjsAAAAAAAQEdwAAAAAACAjuAAAAAAAQ&#10;ENwBAAAAACAguAMAAAAAQEBwBwAAAACAgOAOAAAAAAABwR0AAAAAAAKCOwAAAAAABAR3AAAAAAAI&#10;CO4AAAAAABAQ3AEAAAAAICC4AwAAAABAQHAHAAAAAICA4A4AAAAAAAHBHQAAAAAAAoI7AAAAAAAE&#10;BHcAAAAAAAgI7gAAAAAAEBDcAQAAAAAgILgDAAAAAEBAcAcAAAAAgIDgDgAAAAAAAcEdAAAAAAAC&#10;gjsAAAAAAAQEdwAAAAAACAjuAAAAAAAQENwBAAAAACAguAMAAAAAQEBwBwAAAACAgOAOAAAAAAAB&#10;wR0AAAAAAAKCOwAAAAAABAR3AAAAAAAICO4AAAAAABAQ3AEAAAAAICC4AwAAAABAQHAHAAAAAICA&#10;4A4AAAAAAAHBHQAAAAAAAoI7AAAAAAAEBHcAAAAAAAgI7gAAAAAAEBDcAQAAAAAgILgDAAAAAEBA&#10;cAcAAAAAgIDgDgAAAAAAAcEdAAAAAAACgjsAAAAAAAQEdwAAAAAACAjuAAAAAAAQENwBAAAAACAg&#10;uAMAAAAAQEBwBwAAAACAgOAOAAAAAAABwR0AAAAAAAKCOwAAAAAABAR3AAAAAAAICO4AAAAAABAQ&#10;3AEAAAAAICC4AwAAAABAQHAHAAAAAICA4A4AAAAAAAHBHQAAAAAAAoI7AAAAAAAEBHcAAAAAAAgI&#10;7gAAAAAAEBDcAQAAAAAgILgDAAAAAEBAcAcAAAAAgIDgDgAAAAAAAcEdAAAAAAACgjsAAAAAAAQE&#10;dwAAAAAACAjuAAAAAAAQENwBAAAAACAguAMAAAAAQEBwBwAAAACAgOAOAAAAAAABwR0AAAAAAAKC&#10;OwAAAAAABAR3AAAAAAAITEwAAABsiS/+fm/25IkdYGXv1rt779y2AwCEBHcAAGBbvPvnX1z54q4d&#10;4IUPP77yzsdmAICQ4A4AAGyL6d3fLT77ox1gZffWt3Y/NAMAlNzDHQAA2Baj3atGgP8Y79oAAFqC&#10;OwAAAAAABAR3AAAAAAAICO4AAAAAABAQ3AEAAAAAICC4AwAAAABAQHAHAAAAAICA4A4AAAAAAAHB&#10;HQAAAAAAAoI7AAAAAAAEBHcAAAAAAAgI7gAAAAAAEBDcAQAAAAAgILgDAAAAAEBAcAcAAAAAgIDg&#10;DgAAAAAAAcEdAAAAAAACgjsAAAAAAAQEdwAAAAAACAjuAAAAAAAQENwBAAAAACAguAMAAAAAQEBw&#10;BwAAAACAgOAOAAAAAAABwR0AAAAAAAKCOwAAAAAABAR3AAAAAAAICO4AAAAAABCYmAAGMzIBAAAA&#10;AGwPwR2GslwujAAM/UJjAwAAALg8BHcYysnJQyMAgzo7OzECAAAAXB6COwzlyZMvjQAM6uyp4A4A&#10;AACXiOAOQxmNxkYAhn2d8c/PAQAA4DLxRh0AAAAAAAKCOwAAAAAABAR3AAAAAAAICO4AAAAAABAQ&#10;3AEAAAAAICC4AwAAAABAQHAHAAAAAICA4A4AAAAAAAHBHQAAAAAAAoI7AAAAAAAEBHcAAAAAAAgI&#10;7gAAAAAAEBDcAQAAAAAgILgDAAAAAEBAcAcAAAAAgIDgDgAAAAAAAcEdAAAAAAACgjsAAAAAAAQE&#10;dwAAAAAACAjuAAAAAAAQENwBAAAAACAguAMAAAAAQEBwBwAAAACAgOAOAAAAAAABwR0AAAAAAAKC&#10;OwAAAAAABAR3AAAAAAAICO4AAAAAABAQ3AEAAAAAICC4AwAAAABAQHAHAAAAAICA4A4AAAAAAAHB&#10;HQAAAAAAAoI7AAAAAAAEBHcAAAAAAAgI7gAAAAAAEBDcAQAAAAAgILgDAAAAAEBAcAcAAAAAgIDg&#10;DgAAAAAAAcEdAAAAAAACgjsAAAAAAAQEdwAAAAAACAjuAAAAAAAQENwBAAAAACAguAMAAAAAQEBw&#10;BwAAAACAgOAOAAAAAAABwR0AAAAAAAKCOwAAAAAABAR3AAAAAAAITEwAAAAADOfoy4e/+fWv7ADn&#10;PvreJ0aATSW4AwAAAAP62smDj/72EzvASwR32FiCOwAAADCg+XJ8ejS1A5x72wSwudzDHQAAAAAA&#10;AoI7AAAAAAAEBHcAAAAAAAgI7gAAAAAAEBDcAQAAAAAgILgDAAAAAEBAcAcAAAAAgIDgDgAAAAAA&#10;AcEdAAAAAAACgjsAAAAAAAQEdwAAAAAACAjuAAAAAAAQENwBAAAAACAguAMAAAAAQEBwBwAAAACA&#10;gOAOAAAAAAABwR0AAAAAAAKCOwAAAAAABAR3AAAAAAAICO4AAAAAABAQ3AEAAAAAICC4AwAAAABA&#10;QHAHAAAAAICA4A4AAAAAAAHBHQAAAAAAAoI7AAAAAAAEBHcAAAAAAAgI7gAAAAAAEBDcAQAAAAAg&#10;ILgDAAAAAEBAcAcAAAAAgIDgDgAAAAAAAcEdAAAAAAACgjsAAAAAAAQEdwAAAAAACAjuAAAAAAAQ&#10;ENwBAAAAACAguAMAAAAAQEBwBwAAAACAgOAOAAAAAAABwR0AAAAAAAKCOwAAAAAABAR3AAAAAAAI&#10;CO4AAAAAABAQ3AEAAAAAICC4AwAAAABAQHAHAAAAAICA4A4AAAAAAAHBHQAAAAAAAoI7AAAAAAAE&#10;BHcAAAAAAAgI7gAAAAAAEBDcAQAAAAAgILgDAAAAAEBAcAcAAAAAgIDgDgAAAAAAAcEdAAAAAAAC&#10;gjsAAAAAAAQEdwAAAAAACAjuAAAAAAAQENwBAAAAACAguAMAAAAAQEBwBwAAAACAgOAOAAAAAAAB&#10;wR0AAAAAAAKCOwAAAAAABAR3AAAAAAAICO4AAAAAABAQ3AEAAAAAICC4AwAAAABAQHAHAAAAAICA&#10;4A4AAAAAAAHBHQAAAAAAAoI7AAAAAAAEBHcAAAAAAAgI7gAAAAAAEBDcAQAAAAAgILgDAAAAAEBA&#10;cAcAAAAAgIDgDgAAAAAAAcEdAAAAAAACgjsAAAAAAAQEdwAAAAAACAjuAAAAAAAQENwBAAAAACAg&#10;uAMAAAAAQEBwBwAAAACAgOAOAAAAAAABwR0AAAAAAAKCOwAAAAAABAR3AAAAAAAICO4AAAAAABAQ&#10;3AEAAAAAICC4AwAAAABAQHAHAAAAAICA4A4AAAAAAAHBHQAAAAAAAoI7AAAAAAAEBHcAAAAAAAhM&#10;TAAAAGzL+5/RYrwztwOs7IwWRgCA+ILTBAAAwJa4d7L/+Pi2HWDlvdO337MCAKQEdwAAYFv89O63&#10;f//bfTvAyve/841PrAAAKcEdAADYFoezqw+n1+0AKydPd40AAC3BHQAA2Jr3P6Pl7o6bVsMLO6Ol&#10;EQAg/vVqAgAAAAAAeHOCOwAAAAAABAR3AAAAAAAICO4AAAAAABAQ3AEAAAAAICC4AwAAAABAQHAH&#10;AAAAAICA4A4AAAAAAAHBHQAAAAAAAoI7AAAAAAAEBHcAAAAAAAgI7gAAAAAAEBDcAQAAAAAgILgD&#10;AAAAAEBAcAcAAAAAgIDgDgAAAAAAAcEdAAAAAAACgjsAAAAAAAQEdwAAAAAACAjuAAAAAAAQENwB&#10;AAAAACAguAMAAAAAQEBwBwAAAACAgOAOAAAAAAABwR0AAAAAAAKCOwAAAAAABAR3AAAAAAAITEwA&#10;AxmNfKAFDP5CYwMAAAC4PAR3GMps9i8jAIOaz2dGAAAAgMtDcIehHB79xQjAoKbTQyMAAADA5SG4&#10;w1B2dpwvYFhuXQUAAACXijfqAAAAAAAQENwBAAAAACAguAMAAAAAQEBwBwAAAACAgOAOAAAAAAAB&#10;wR0AAAAAAAKCOwAAAAAABAR3AAAAAAAICO4AAAAAABAQ3AEAAAAAICC4AwAAAABAQHAHAAAAAICA&#10;4A4AAAAAAAHBHQAAAAAAAoI7AAAAAAAEBHcAAAAAAAgI7gAAAAAAEBDcAQAAAAAgILgDAAAAAEBA&#10;cAcAAAAAgIDgDgAAAAAAAcEdAAAAAAACgjsAAAAAAAQEdwAAAAAACAjuAAAAAAAQENwBAAAAACAg&#10;uAMAAAAAQEBwBwAAAACAgOAOAAAAAAABwR0AAAAAAAKCOwAAAAAABAR3AAAAAAAICO4AAAAAABAQ&#10;3AEAAAAAICC4AwAAAABAQHAHAAAAAICA4A4AAAAAAAHBHQAAAAAAAoI7AAAAAAAEBHcAAAAAAAgI&#10;7gAAAAAAEBDcAQAAAAAgILgDAAAAAEBAcAcAAAAAgIDgDgAAAAAAAcEdAAAAAAACgjsAAAAAAAQE&#10;dwAAAAAACAjuAAAAAAAQENwBAAAAACAwMQEAAAAwnNHo2dfSDgBsA8EdAAAAGNBieWU2H9sBzl03&#10;AWwuwR0AAAAY0KPZ9V9+9k07wLkfmAA2l+AOAAAADOjByc0f/+G7doBzgjtsMMEdAAAAGNB4tNjb&#10;ndkBgG2wYwIAAAAAAHhzgjsAAAAAAAQEdwAAAAAACAjuAAAAAAAQENwBAAAAACAguAMAAAAAQEBw&#10;BwAAAACAgOAOAAAAAAABwR0AAAAAAAKCOwAAAAAABAR3AAAAAAAICO4AAAAAABAQ3AEAAAAAICC4&#10;AwAAAABAQHAHAAAAAICA4A4AAAAAAAHBHQAAAAAAAoI7AAAAAAAEBHcAAAAAAAgI7gAAAAAAEBDc&#10;AQAAAAAgILgDAAAAAEBAcAcAAAAAgIDgDgAAAAAAAcEdAAAAAAACgjsAAAAAAAQEdwAAAAAACAju&#10;AAAAAAAQENwBAAAAACAguAMAAAAAQEBwBwAAAACAgOAOAAAAAAABwR0AAAAAAAKCOwAAAAAABAR3&#10;AAAAAAAICO4AAAAAABAQ3AEAAAAAICC4AwAAAABAQHAHAAAAAICA4A4AAAAAAAHBHQAAAAAAAoI7&#10;AAAAAAAEBHcAAAAAAAgI7gAAAAAAEBDcAQAAAAAgILgDAAAAAEBAcAcAAAAAgIDgDgAAAAAAgYkJ&#10;AAAAAGDzHB0dHx4e2gFWrl27fufO14d+FsEdAAAAADbQp59+/vOf/ckOsPLBB7d/+CPBHQAAAAB4&#10;dY8eHd+798AOsHLj5vwCnsU93AEAAABgA+3sjIwA5ybji4jhgjsAAAAAAAQEdwAAAAAACAjuAAAA&#10;AAAQENwBAAAAACAguAMAAAAAQEBwBwAAAACAgOAOAAAAAAABwR0AAAAAAAKCOwAAAAAABAR3AAAA&#10;AAAICO4AAAAAABAQ3AEAAAAAICC4AwAAAABAQHAHAAAAAICA4A4AAAAAAAHBHQAAAAAAAoI7AAAA&#10;AAAEBHcAAAAAAAgI7gAAAAAAEBDcAQAAAAAgILgDAAAAAEBAcAcAAAAAgIDgDgAAAAAAAcEdAAAA&#10;AAACgjsAAAAAAAQEdwAAAAAACAjuAAAAAAAQENwBAAAAACAguAMAAAAAQEBwBwAAAACAgOAOAAAA&#10;AAABwR0AAAAAAAKCOwAAAAAABAR3AAAAAAAICO4AAAAAABAQ3AEAAAAAICC4AwAAAABAQHAHAAAA&#10;AICA4A4AAAAAAAHBHQAAAAAAAoI7AAAAAAAEBHcAAAAAAAgI7gAAAAAAEBDcAQAAAAAgILgDAAAA&#10;AEBAcAcAAAAAgIDgDgAAAAAAAcEdAAAAAAACgjsAAAAAAAQEdwAAAAAACAjuAAAAAAAQENwBAAAA&#10;ACAguAMAAAAAQEBwBwAAAACAgOAOAAAAAAABwR0AAAAAAAKCOwAAAAAABAR3AAAAAAAICO4AAAAA&#10;ABAQ3AEAAAAAICC4AwAAAABAQHAHAAAAAICA4A4AAAAAAAHBHQAAAAAAAoI7AAAAAAAEBHcAAAAA&#10;AAgI7gAAAAAAEBDcAQAAAAAgILgDAAAAAEBAcAcAAAAAgIDgDgAAAAAAAcEdAAAAAAACgjsAAAAA&#10;AAQEdwAAAAAACAjuAAAAAAAQENwBAAAAACAguAMAAAAAQEBwBwAAAACAgOAOAP+vRqOREQCAN7iW&#10;uKAn2nHRApt+zIFzkzUfd/ycvWB98/nCCMCgptPT+/fv2wHgla7QFoulHWDldPr0Yq4ljv955ujB&#10;yy7sMv7ZMXf64OVLwdc+ffvPrfPIdYP7zZs3b9y44acC63v//QMjAIO6dWvv4MBLDcArvXJePTjY&#10;twOs7O2PL+Za4quv/urowcsu7DJ+b/9zpw/++1LwNU/f+n9iPlou1/qY6x/P+anAK/xW2/MZFTCs&#10;09PZbHZmB4D1Xbs2GY/9dT28MJstzs7mF/BEz87ds9NncDj3+PEFXcbv7o7fessNpeGF+Xw5nT59&#10;ve+989w6j1w3uAMAAAAAAP+Dz7gAAAAAACAguAMAAAAAQEBwBwAAAACAgOAOAAAAAAABwR0AAAAA&#10;AAKCOwAAAAAABAR3AAAAAAAICO4AAAAAABAQ3AEAAAAAICC4AwAAAABAQHAHAAAAAICA4A4AAAAA&#10;AAHBHQAAAAAAAoI7AAAAAAAEBHcAAAAAAAgI7gAAAAAAEBDcAQAAAAAgILgDAAAAAEBAcAcAAAAA&#10;gIDgDgAAAAAAAcEdAAAAAAACgjsAAAAAAAQEdwAAAAAACAjuAAAAAAAQENwBAAAAACAguAMAAAAA&#10;QEBwBwAAAACAgOAOAAAAAAABwR0AAAAAAAKCOwAAAAAABAR3AAAAAAAICO4AAAAAABAQ3AEAAAAA&#10;ICC4AwAAAABAQHAHAAAAAICA4A4AAAAAAAHBHQAAAAAAAoI7AAAAAAAEBHcAAAAAAAgI7gAAAAAA&#10;EBDcAQAAAAAgILgDAAAAAEBAcAcAAAAAgIDgDgAAAAAAAcEdAAAAAAACgjsAAAAAAAQEdwAAAAAA&#10;CAjuAAAAAAAQENwBAAAAACAguAMAAAAAQEBwBwAAAACAgOAOAAAAAAABwR0AAAAAAAKCOwAAAAAA&#10;BAR3AAAAAAAICO4AAAAAABAQ3AEAAAAAICC4AwAAAABAQHAHAAAAAICA4A4AAAAAAAHBHQAAAAAA&#10;AoI7AAAAAAAEBHcAAAAAAAgI7gAAAAAAEBDcAQAAAAAgILgDAAAAAEBAcAcAAAAAgIDgDgAAAAAA&#10;AcEdAAAAAAACgjsAAAAAAAQEdwAAAAAACAjuAAAAAAAQENwBAAAAACAguAMAAAAAQEBwBwAAAACA&#10;gOAOAAAAAAABwR0AAAAAAAKCOwAAAAAABAR3AAAAAAAICO4AAAAAABAQ3AEAAAAAICC4AwAAAABA&#10;QHAHAAAAAICA4A4AAAAAAAHBHQAAAAAAAoI7AAAAAAAEBHcAAAAAAAgI7gAAAAAAEBDcAQAAAAAg&#10;ILgDAAAAAEBAcAcAAAAAgIDgDgAAAAAAAcEdAAAAAAACgjsAAAAAAAQEdwAAAAAACAjuAAAAAAAQ&#10;ENwBAAAAACAguAMAAAAAQEBwBwAAAACAgOAOAAAAAAABwR0AAAAAAAKCOwAAAAAABAR3AAAAAAAI&#10;CO4AAAAAABAQ3AEAAAAAICC4AwAAAABAQHAHAAAAAICA4A4AAAAAAAHBHQAAAAAAAoI7AAAAAAAE&#10;BHcAAAAAAAgI7gAAAAAAEBDcAQAAAAAgILgDAAAAAEBAcAcAAAAAgIDgDgAAAAAAAcEdAAAAAAAC&#10;gjsAAAAAAAQEdwAAAAAACAjuAAAAAAAQENwBAAAAACAguAMAAAAAQEBwBwAAAACAgOAOAAAAAAAB&#10;wR0AAAAAAAKCOwAAAAAABAR3AAAAAAAICO4AAAAAABAQ3AEAAAAAICC4AwAAAABAQHAHAAAAAICA&#10;4A4AAAAAAAHBHQAAAAAAAoI7AAAAAAAEBHcAAAAAAAgI7gAAAAAAEBDcAQAAAAAgILgDAAAAAEBA&#10;cAcAAAAAgIDgDgAAAAAAAcEdAAAAAAACgjsAAAAAAAQEdwAAAAAACAjuAAAAAAAQENwBAAAAACAg&#10;uAMAAAAAQEBwBwAAAACAgOAOAAAAAAABwR0AAAAAAAKCOwAAAAAABAR3AAAAAAAICO4AAAAAABAQ&#10;3AEAAAAAICC4AwAAAABAQHAHAAAAAP7Njh0LAAAAAAzyt57EzsIIGAh3AAAAAAAYCHcAAAAAABgI&#10;dwAAAAAAGAh3AAAAAAAYCHcAAAAAABgIdwAAAAAAGAh3AAAAAAAYCHcAAAAAABgIdwAAAAAAGAh3&#10;AAAAAAAYCHcAAAAAABgIdwAAAAAAGAh3AAAAAAAYCHcAAAAAABgIdwAAAAAAGAh3AAAAAAAYCHcA&#10;AAAAABgIdwAAAAAAGAh3AAAAAAAYCHcAAAAAABgIdwAAAAAAGAh3AAAAAAAYCHcAAAAAABgIdwAA&#10;AAAAGAh3AAAAAAAYCHcAAAAAABgIdwAAAAAAGAh3AAAAAAAYCHcAAAAAABgIdwAAAAAAGAh3AAAA&#10;AAAYCHcAAAAAABgIdwAAAAAAGAh3AAAAAAAYCHcAAAAAABgIdwAAAAAAGAh3AAAAAAAYCHcAAAAA&#10;ABgIdwAAAAAAGAh3AAAAAAAYCHcAAAAAABgIdwAAAAAAGAh3AAAAAAAYCHcAAAAAABgkwACcHAn/&#10;vVtx+AAAAABJRU5ErkJgglBLAQItABQABgAIAAAAIQCxgme2CgEAABMCAAATAAAAAAAAAAAAAAAA&#10;AAAAAABbQ29udGVudF9UeXBlc10ueG1sUEsBAi0AFAAGAAgAAAAhADj9If/WAAAAlAEAAAsAAAAA&#10;AAAAAAAAAAAAOwEAAF9yZWxzLy5yZWxzUEsBAi0AFAAGAAgAAAAhAFj1K270CAAAAFIAAA4AAAAA&#10;AAAAAAAAAAAAOgIAAGRycy9lMm9Eb2MueG1sUEsBAi0AFAAGAAgAAAAhAKomDr68AAAAIQEAABkA&#10;AAAAAAAAAAAAAAAAWgsAAGRycy9fcmVscy9lMm9Eb2MueG1sLnJlbHNQSwECLQAUAAYACAAAACEA&#10;gRaCSeIAAAAKAQAADwAAAAAAAAAAAAAAAABNDAAAZHJzL2Rvd25yZXYueG1sUEsBAi0ACgAAAAAA&#10;AAAhACPKEhAvMAAALzAAABQAAAAAAAAAAAAAAAAAXA0AAGRycy9tZWRpYS9pbWFnZTEucG5nUEsF&#10;BgAAAAAGAAYAfAEAAL09AAAAAA==&#10;">
                <v:shape id="Picture 106" o:spid="_x0000_s1027" type="#_x0000_t75" style="position:absolute;width:57785;height:34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wQ2wQAAANwAAAAPAAAAZHJzL2Rvd25yZXYueG1sRE/JasMw&#10;EL0X8g9iArnVUgtxi2sluIVCk1uT0PNgjZfEGhlLtZ2/jwKF3ubx1sm3s+3ESINvHWt4ShQI4tKZ&#10;lmsNp+Pn4ysIH5ANdo5Jw5U8bDeLhxwz4yb+pvEQahFD2GeooQmhz6T0ZUMWfeJ64shVbrAYIhxq&#10;aQacYrjt5LNSqbTYcmxosKePhsrL4ddq8Oef6joXL7Id1SXd794rtT5XWq+Wc/EGItAc/sV/7i8T&#10;56sU7s/EC+TmBgAA//8DAFBLAQItABQABgAIAAAAIQDb4fbL7gAAAIUBAAATAAAAAAAAAAAAAAAA&#10;AAAAAABbQ29udGVudF9UeXBlc10ueG1sUEsBAi0AFAAGAAgAAAAhAFr0LFu/AAAAFQEAAAsAAAAA&#10;AAAAAAAAAAAAHwEAAF9yZWxzLy5yZWxzUEsBAi0AFAAGAAgAAAAhAP1rBDbBAAAA3AAAAA8AAAAA&#10;AAAAAAAAAAAABwIAAGRycy9kb3ducmV2LnhtbFBLBQYAAAAAAwADALcAAAD1AgAAAAA=&#10;">
                  <v:imagedata r:id="rId21" o:title="" cropbottom="8642f"/>
                  <v:path arrowok="t"/>
                </v:shape>
                <v:group id="Group 123" o:spid="_x0000_s1028" style="position:absolute;left:7810;top:190;width:11240;height:33052" coordsize="11239,3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type id="_x0000_t202" coordsize="21600,21600" o:spt="202" path="m,l,21600r21600,l21600,xe">
                    <v:stroke joinstyle="miter"/>
                    <v:path gradientshapeok="t" o:connecttype="rect"/>
                  </v:shapetype>
                  <v:shape id="Text Box 12" o:spid="_x0000_s1029" type="#_x0000_t202" style="position:absolute;left:1047;top:2381;width:1019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287320" w:rsidRPr="00093C58"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12</w:t>
                          </w:r>
                          <w:r w:rsidRPr="00093C58">
                            <w:rPr>
                              <w:rFonts w:ascii="EC Square Sans Pro" w:hAnsi="EC Square Sans Pro"/>
                              <w:b/>
                              <w:color w:val="FFFFFF" w:themeColor="background1"/>
                              <w:sz w:val="20"/>
                              <w:szCs w:val="20"/>
                            </w:rPr>
                            <w:t> Mrd. EUR</w:t>
                          </w:r>
                        </w:p>
                        <w:p w:rsidR="00287320" w:rsidRPr="00093C58" w:rsidRDefault="00287320" w:rsidP="00093C58">
                          <w:pPr>
                            <w:spacing w:after="0"/>
                            <w:rPr>
                              <w:rFonts w:ascii="EC Square Sans Pro" w:hAnsi="EC Square Sans Pro"/>
                              <w:b/>
                              <w:color w:val="FFFFFF" w:themeColor="background1"/>
                              <w:sz w:val="20"/>
                              <w:szCs w:val="20"/>
                            </w:rPr>
                          </w:pPr>
                          <w:r w:rsidRPr="00093C58">
                            <w:rPr>
                              <w:rFonts w:ascii="EC Square Sans Pro" w:hAnsi="EC Square Sans Pro"/>
                              <w:b/>
                              <w:color w:val="FFFFFF" w:themeColor="background1"/>
                              <w:sz w:val="20"/>
                              <w:szCs w:val="20"/>
                            </w:rPr>
                            <w:t>Grüne Aleihen</w:t>
                          </w:r>
                        </w:p>
                      </w:txbxContent>
                    </v:textbox>
                  </v:shape>
                  <v:shape id="Text Box 104" o:spid="_x0000_s1030" type="#_x0000_t202" style="position:absolute;left:762;top:7048;width:10477;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6</w:t>
                          </w:r>
                          <w:r>
                            <w:rPr>
                              <w:rFonts w:ascii="EC Square Sans Pro" w:hAnsi="EC Square Sans Pro"/>
                              <w:b/>
                              <w:color w:val="FFFFFF" w:themeColor="background1"/>
                            </w:rPr>
                            <w:t> Mrd. EUR</w:t>
                          </w:r>
                        </w:p>
                      </w:txbxContent>
                    </v:textbox>
                  </v:shape>
                  <v:shape id="Text Box 107" o:spid="_x0000_s1031" type="#_x0000_t202" style="position:absolute;left:476;top:10858;width:10763;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10</w:t>
                          </w:r>
                          <w:r>
                            <w:rPr>
                              <w:rFonts w:ascii="EC Square Sans Pro" w:hAnsi="EC Square Sans Pro"/>
                              <w:b/>
                              <w:color w:val="FFFFFF" w:themeColor="background1"/>
                            </w:rPr>
                            <w:t> Mrd. EUR</w:t>
                          </w:r>
                        </w:p>
                      </w:txbxContent>
                    </v:textbox>
                  </v:shape>
                  <v:shape id="Text Box 108" o:spid="_x0000_s1032" type="#_x0000_t202" style="position:absolute;left:476;top:17621;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20</w:t>
                          </w:r>
                          <w:r>
                            <w:rPr>
                              <w:rFonts w:ascii="EC Square Sans Pro" w:hAnsi="EC Square Sans Pro"/>
                              <w:b/>
                              <w:color w:val="FFFFFF" w:themeColor="background1"/>
                            </w:rPr>
                            <w:t> Mrd. EUR</w:t>
                          </w:r>
                        </w:p>
                      </w:txbxContent>
                    </v:textbox>
                  </v:shape>
                  <v:shape id="Text Box 109" o:spid="_x0000_s1033" type="#_x0000_t202" style="position:absolute;left:476;top:24955;width:10763;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11</w:t>
                          </w:r>
                          <w:r>
                            <w:rPr>
                              <w:rFonts w:ascii="EC Square Sans Pro" w:hAnsi="EC Square Sans Pro"/>
                              <w:b/>
                              <w:color w:val="FFFFFF" w:themeColor="background1"/>
                            </w:rPr>
                            <w:t>,</w:t>
                          </w:r>
                          <w:r w:rsidRPr="00033DD1">
                            <w:rPr>
                              <w:rFonts w:ascii="EC Square Sans Pro" w:hAnsi="EC Square Sans Pro"/>
                              <w:b/>
                              <w:color w:val="FFFFFF" w:themeColor="background1"/>
                            </w:rPr>
                            <w:t>5</w:t>
                          </w:r>
                          <w:r>
                            <w:rPr>
                              <w:rFonts w:ascii="EC Square Sans Pro" w:hAnsi="EC Square Sans Pro"/>
                              <w:b/>
                              <w:color w:val="FFFFFF" w:themeColor="background1"/>
                            </w:rPr>
                            <w:t> Mrd. EUR</w:t>
                          </w:r>
                        </w:p>
                      </w:txbxContent>
                    </v:textbox>
                  </v:shape>
                  <v:shape id="Text Box 111" o:spid="_x0000_s1034" type="#_x0000_t202" style="position:absolute;left:476;top:30956;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11</w:t>
                          </w:r>
                          <w:r>
                            <w:rPr>
                              <w:rFonts w:ascii="EC Square Sans Pro" w:hAnsi="EC Square Sans Pro"/>
                              <w:b/>
                              <w:color w:val="FFFFFF" w:themeColor="background1"/>
                            </w:rPr>
                            <w:t>,</w:t>
                          </w:r>
                          <w:r w:rsidRPr="00033DD1">
                            <w:rPr>
                              <w:rFonts w:ascii="EC Square Sans Pro" w:hAnsi="EC Square Sans Pro"/>
                              <w:b/>
                              <w:color w:val="FFFFFF" w:themeColor="background1"/>
                            </w:rPr>
                            <w:t>5</w:t>
                          </w:r>
                          <w:r>
                            <w:rPr>
                              <w:rFonts w:ascii="EC Square Sans Pro" w:hAnsi="EC Square Sans Pro"/>
                              <w:b/>
                              <w:color w:val="FFFFFF" w:themeColor="background1"/>
                            </w:rPr>
                            <w:t> Mrd. EUR</w:t>
                          </w:r>
                        </w:p>
                      </w:txbxContent>
                    </v:textbox>
                  </v:shape>
                  <v:shape id="Text Box 112" o:spid="_x0000_s1035" type="#_x0000_t202" style="position:absolute;top:13811;width:1076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10</w:t>
                          </w:r>
                          <w:r>
                            <w:rPr>
                              <w:rFonts w:ascii="EC Square Sans Pro" w:hAnsi="EC Square Sans Pro"/>
                              <w:color w:val="FFFFFF" w:themeColor="background1"/>
                              <w:sz w:val="16"/>
                              <w:szCs w:val="16"/>
                            </w:rPr>
                            <w:t>-jährige Laufzeit</w:t>
                          </w:r>
                        </w:p>
                      </w:txbxContent>
                    </v:textbox>
                  </v:shape>
                  <v:shape id="Text Box 113" o:spid="_x0000_s1036" type="#_x0000_t202" style="position:absolute;top:8858;width:1076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20</w:t>
                          </w:r>
                          <w:r>
                            <w:rPr>
                              <w:rFonts w:ascii="EC Square Sans Pro" w:hAnsi="EC Square Sans Pro"/>
                              <w:color w:val="FFFFFF" w:themeColor="background1"/>
                              <w:sz w:val="16"/>
                              <w:szCs w:val="16"/>
                            </w:rPr>
                            <w:t>-jährige Laufzeit</w:t>
                          </w:r>
                        </w:p>
                      </w:txbxContent>
                    </v:textbox>
                  </v:shape>
                  <v:shape id="Text Box 114" o:spid="_x0000_s1037" type="#_x0000_t202" style="position:absolute;left:285;top:5429;width:1009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rsidR="00287320" w:rsidRPr="00093C58" w:rsidRDefault="00287320" w:rsidP="008B6253">
                          <w:pPr>
                            <w:spacing w:after="0" w:line="200" w:lineRule="exact"/>
                            <w:rPr>
                              <w:rFonts w:ascii="EC Square Sans Pro" w:hAnsi="EC Square Sans Pro"/>
                              <w:color w:val="FFFFFF" w:themeColor="background1"/>
                              <w:sz w:val="14"/>
                              <w:szCs w:val="14"/>
                            </w:rPr>
                          </w:pPr>
                          <w:r w:rsidRPr="00033DD1">
                            <w:rPr>
                              <w:rFonts w:ascii="EC Square Sans Pro" w:hAnsi="EC Square Sans Pro"/>
                              <w:color w:val="FFFFFF" w:themeColor="background1"/>
                              <w:sz w:val="14"/>
                              <w:szCs w:val="14"/>
                            </w:rPr>
                            <w:t>30</w:t>
                          </w:r>
                          <w:r w:rsidRPr="00093C58">
                            <w:rPr>
                              <w:rFonts w:ascii="EC Square Sans Pro" w:hAnsi="EC Square Sans Pro"/>
                              <w:color w:val="FFFFFF" w:themeColor="background1"/>
                              <w:sz w:val="14"/>
                              <w:szCs w:val="14"/>
                            </w:rPr>
                            <w:t xml:space="preserve">-jährige </w:t>
                          </w:r>
                          <w:r>
                            <w:rPr>
                              <w:rFonts w:ascii="EC Square Sans Pro" w:hAnsi="EC Square Sans Pro"/>
                              <w:color w:val="FFFFFF" w:themeColor="background1"/>
                              <w:sz w:val="14"/>
                              <w:szCs w:val="14"/>
                            </w:rPr>
                            <w:t>L</w:t>
                          </w:r>
                          <w:r w:rsidRPr="00093C58">
                            <w:rPr>
                              <w:rFonts w:ascii="EC Square Sans Pro" w:hAnsi="EC Square Sans Pro"/>
                              <w:color w:val="FFFFFF" w:themeColor="background1"/>
                              <w:sz w:val="14"/>
                              <w:szCs w:val="14"/>
                            </w:rPr>
                            <w:t>aufzeit</w:t>
                          </w:r>
                        </w:p>
                      </w:txbxContent>
                    </v:textbox>
                  </v:shape>
                  <v:shape id="Text Box 115" o:spid="_x0000_s1038" type="#_x0000_t202" style="position:absolute;top:23050;width:1076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7</w:t>
                          </w:r>
                          <w:r>
                            <w:rPr>
                              <w:rFonts w:ascii="EC Square Sans Pro" w:hAnsi="EC Square Sans Pro"/>
                              <w:color w:val="FFFFFF" w:themeColor="background1"/>
                              <w:sz w:val="16"/>
                              <w:szCs w:val="16"/>
                            </w:rPr>
                            <w:t>-jährige Laufzeit</w:t>
                          </w:r>
                        </w:p>
                      </w:txbxContent>
                    </v:textbox>
                  </v:shape>
                  <v:shape id="Text Box 116" o:spid="_x0000_s1039" type="#_x0000_t202" style="position:absolute;top:28860;width:1076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5</w:t>
                          </w:r>
                          <w:r>
                            <w:rPr>
                              <w:rFonts w:ascii="EC Square Sans Pro" w:hAnsi="EC Square Sans Pro"/>
                              <w:color w:val="FFFFFF" w:themeColor="background1"/>
                              <w:sz w:val="16"/>
                              <w:szCs w:val="16"/>
                            </w:rPr>
                            <w:t>-jährige Laufzeit</w:t>
                          </w:r>
                        </w:p>
                      </w:txbxContent>
                    </v:textbox>
                  </v:shape>
                  <v:shape id="Text Box 117" o:spid="_x0000_s1040" type="#_x0000_t202" style="position:absolute;width:1076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rsidR="00287320" w:rsidRPr="00EB44F6" w:rsidRDefault="00287320" w:rsidP="008B6253">
                          <w:pPr>
                            <w:spacing w:after="0" w:line="200" w:lineRule="exact"/>
                            <w:rPr>
                              <w:rFonts w:ascii="EC Square Sans Pro" w:hAnsi="EC Square Sans Pro"/>
                              <w:color w:val="FFFFFF" w:themeColor="background1"/>
                              <w:sz w:val="16"/>
                              <w:szCs w:val="16"/>
                            </w:rPr>
                          </w:pPr>
                          <w:r w:rsidRPr="00033DD1">
                            <w:rPr>
                              <w:rFonts w:ascii="EC Square Sans Pro" w:hAnsi="EC Square Sans Pro"/>
                              <w:color w:val="FFFFFF" w:themeColor="background1"/>
                              <w:sz w:val="16"/>
                              <w:szCs w:val="16"/>
                            </w:rPr>
                            <w:t>15</w:t>
                          </w:r>
                          <w:r>
                            <w:rPr>
                              <w:rFonts w:ascii="EC Square Sans Pro" w:hAnsi="EC Square Sans Pro"/>
                              <w:color w:val="FFFFFF" w:themeColor="background1"/>
                              <w:sz w:val="16"/>
                              <w:szCs w:val="16"/>
                            </w:rPr>
                            <w:t>-jährige Laufzeit</w:t>
                          </w:r>
                        </w:p>
                      </w:txbxContent>
                    </v:textbox>
                  </v:shape>
                </v:group>
                <v:group id="Group 127" o:spid="_x0000_s1041" style="position:absolute;left:30480;top:20002;width:27908;height:14002" coordsize="27908,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118" o:spid="_x0000_s1042" type="#_x0000_t202" style="position:absolute;top:10287;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13</w:t>
                          </w:r>
                          <w:r>
                            <w:rPr>
                              <w:rFonts w:ascii="EC Square Sans Pro" w:hAnsi="EC Square Sans Pro"/>
                              <w:b/>
                              <w:color w:val="FFFFFF" w:themeColor="background1"/>
                              <w:sz w:val="20"/>
                              <w:szCs w:val="20"/>
                            </w:rPr>
                            <w:t>,</w:t>
                          </w: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v:textbox>
                  </v:shape>
                  <v:shape id="Text Box 119" o:spid="_x0000_s1043" type="#_x0000_t202" style="position:absolute;top:4286;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11</w:t>
                          </w:r>
                          <w:r>
                            <w:rPr>
                              <w:rFonts w:ascii="EC Square Sans Pro" w:hAnsi="EC Square Sans Pro"/>
                              <w:b/>
                              <w:color w:val="FFFFFF" w:themeColor="background1"/>
                              <w:sz w:val="20"/>
                              <w:szCs w:val="20"/>
                            </w:rPr>
                            <w:t>,</w:t>
                          </w: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v:textbox>
                  </v:shape>
                  <v:shape id="Text Box 120" o:spid="_x0000_s1044" type="#_x0000_t202" style="position:absolute;left:8572;top:6953;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11</w:t>
                          </w:r>
                          <w:r>
                            <w:rPr>
                              <w:rFonts w:ascii="EC Square Sans Pro" w:hAnsi="EC Square Sans Pro"/>
                              <w:b/>
                              <w:color w:val="FFFFFF" w:themeColor="background1"/>
                              <w:sz w:val="20"/>
                              <w:szCs w:val="20"/>
                            </w:rPr>
                            <w:t>,</w:t>
                          </w: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v:textbox>
                  </v:shape>
                  <v:shape id="Text Box 121" o:spid="_x0000_s1045" type="#_x0000_t202" style="position:absolute;left:8572;top:11144;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8</w:t>
                          </w:r>
                          <w:r>
                            <w:rPr>
                              <w:rFonts w:ascii="EC Square Sans Pro" w:hAnsi="EC Square Sans Pro"/>
                              <w:b/>
                              <w:color w:val="FFFFFF" w:themeColor="background1"/>
                              <w:sz w:val="20"/>
                              <w:szCs w:val="20"/>
                            </w:rPr>
                            <w:t>,</w:t>
                          </w: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v:textbox>
                  </v:shape>
                  <v:shape id="Text Box 122" o:spid="_x0000_s1046" type="#_x0000_t202" style="position:absolute;left:17145;top:11906;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sz w:val="20"/>
                              <w:szCs w:val="20"/>
                            </w:rPr>
                          </w:pPr>
                          <w:r w:rsidRPr="00033DD1">
                            <w:rPr>
                              <w:rFonts w:ascii="EC Square Sans Pro" w:hAnsi="EC Square Sans Pro"/>
                              <w:b/>
                              <w:color w:val="FFFFFF" w:themeColor="background1"/>
                              <w:sz w:val="20"/>
                              <w:szCs w:val="20"/>
                            </w:rPr>
                            <w:t>5</w:t>
                          </w:r>
                          <w:r>
                            <w:rPr>
                              <w:rFonts w:ascii="EC Square Sans Pro" w:hAnsi="EC Square Sans Pro"/>
                              <w:b/>
                              <w:color w:val="FFFFFF" w:themeColor="background1"/>
                              <w:sz w:val="20"/>
                              <w:szCs w:val="20"/>
                            </w:rPr>
                            <w:t> Mrd. EUR</w:t>
                          </w:r>
                        </w:p>
                        <w:p w:rsidR="00287320" w:rsidRPr="00EB44F6" w:rsidRDefault="00287320" w:rsidP="008B6253">
                          <w:pPr>
                            <w:spacing w:after="0" w:line="200" w:lineRule="exact"/>
                            <w:jc w:val="center"/>
                            <w:rPr>
                              <w:rFonts w:ascii="EC Square Sans Pro" w:hAnsi="EC Square Sans Pro"/>
                              <w:b/>
                              <w:color w:val="FFFFFF" w:themeColor="background1"/>
                              <w:sz w:val="20"/>
                              <w:szCs w:val="20"/>
                            </w:rPr>
                          </w:pPr>
                        </w:p>
                      </w:txbxContent>
                    </v:textbox>
                  </v:shape>
                  <v:shape id="Text Box 124" o:spid="_x0000_s1047" type="#_x0000_t202" style="position:absolute;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rsidR="00287320" w:rsidRPr="005B7286" w:rsidRDefault="00287320" w:rsidP="008B6253">
                          <w:pPr>
                            <w:spacing w:after="0" w:line="200" w:lineRule="exact"/>
                            <w:jc w:val="center"/>
                            <w:rPr>
                              <w:rFonts w:ascii="EC Square Sans Pro" w:hAnsi="EC Square Sans Pro"/>
                              <w:color w:val="4C4B9A"/>
                              <w:sz w:val="22"/>
                              <w:szCs w:val="22"/>
                            </w:rPr>
                          </w:pPr>
                          <w:r>
                            <w:rPr>
                              <w:rFonts w:ascii="EC Square Sans Pro" w:hAnsi="EC Square Sans Pro"/>
                              <w:color w:val="4C4B9A"/>
                              <w:sz w:val="22"/>
                              <w:szCs w:val="22"/>
                            </w:rPr>
                            <w:t>Emittiert</w:t>
                          </w:r>
                        </w:p>
                        <w:p w:rsidR="00287320" w:rsidRPr="005B7286" w:rsidRDefault="00287320" w:rsidP="008B6253">
                          <w:pPr>
                            <w:spacing w:after="0" w:line="200" w:lineRule="exact"/>
                            <w:jc w:val="center"/>
                            <w:rPr>
                              <w:rFonts w:ascii="EC Square Sans Pro" w:hAnsi="EC Square Sans Pro"/>
                              <w:color w:val="4C4B9A"/>
                              <w:sz w:val="22"/>
                              <w:szCs w:val="22"/>
                            </w:rPr>
                          </w:pPr>
                        </w:p>
                      </w:txbxContent>
                    </v:textbox>
                  </v:shape>
                  <v:shape id="Text Box 125" o:spid="_x0000_s1048" type="#_x0000_t202" style="position:absolute;left:8572;top:2571;width:107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rsidR="00287320" w:rsidRPr="005B7286" w:rsidRDefault="00287320" w:rsidP="008B6253">
                          <w:pPr>
                            <w:spacing w:after="0" w:line="200" w:lineRule="exact"/>
                            <w:jc w:val="center"/>
                            <w:rPr>
                              <w:rFonts w:ascii="EC Square Sans Pro" w:hAnsi="EC Square Sans Pro"/>
                              <w:color w:val="4C4B9A"/>
                              <w:sz w:val="22"/>
                              <w:szCs w:val="22"/>
                            </w:rPr>
                          </w:pPr>
                          <w:r>
                            <w:rPr>
                              <w:rFonts w:ascii="EC Square Sans Pro" w:hAnsi="EC Square Sans Pro"/>
                              <w:color w:val="4C4B9A"/>
                              <w:sz w:val="22"/>
                              <w:szCs w:val="22"/>
                            </w:rPr>
                            <w:t>Ausstehend</w:t>
                          </w:r>
                        </w:p>
                      </w:txbxContent>
                    </v:textbox>
                  </v:shape>
                  <v:shape id="Text Box 126" o:spid="_x0000_s1049" type="#_x0000_t202" style="position:absolute;left:17145;top:9525;width:1076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rsidR="00287320" w:rsidRPr="005B7286" w:rsidRDefault="00287320" w:rsidP="008B6253">
                          <w:pPr>
                            <w:spacing w:after="0" w:line="200" w:lineRule="exact"/>
                            <w:jc w:val="center"/>
                            <w:rPr>
                              <w:rFonts w:ascii="EC Square Sans Pro" w:hAnsi="EC Square Sans Pro"/>
                              <w:color w:val="4C4B9A"/>
                              <w:sz w:val="22"/>
                              <w:szCs w:val="22"/>
                            </w:rPr>
                          </w:pPr>
                          <w:r>
                            <w:rPr>
                              <w:rFonts w:ascii="EC Square Sans Pro" w:hAnsi="EC Square Sans Pro"/>
                              <w:color w:val="4C4B9A"/>
                              <w:sz w:val="22"/>
                              <w:szCs w:val="22"/>
                            </w:rPr>
                            <w:t>Fällig</w:t>
                          </w:r>
                        </w:p>
                      </w:txbxContent>
                    </v:textbox>
                  </v:shape>
                </v:group>
                <v:group id="Group 133" o:spid="_x0000_s1050" style="position:absolute;left:48482;top:14573;width:8477;height:4191" coordsize="8477,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Group 132" o:spid="_x0000_s1051" style="position:absolute;left:571;width:7906;height:4191" coordsize="7905,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28" o:spid="_x0000_s1052" style="position:absolute;top:2286;width:1333;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0FxQAAANwAAAAPAAAAZHJzL2Rvd25yZXYueG1sRI/RasJA&#10;EEXfBf9hmULfdKMF0dRVikSQFqqx/YAhO82mzc6G7FbTv3ceCr7NcO/ce2a9HXyrLtTHJrCB2TQD&#10;RVwF23Bt4PNjP1mCignZYhuYDPxRhO1mPFpjbsOVS7qcU60khGOOBlxKXa51rBx5jNPQEYv2FXqP&#10;Sda+1rbHq4T7Vs+zbKE9NiwNDjvaOap+zr/ewMEdYyji9/H0VKyK2etb+b5jZ8zjw/DyDCrRkO7m&#10;/+uDFfy50MozMoHe3AAAAP//AwBQSwECLQAUAAYACAAAACEA2+H2y+4AAACFAQAAEwAAAAAAAAAA&#10;AAAAAAAAAAAAW0NvbnRlbnRfVHlwZXNdLnhtbFBLAQItABQABgAIAAAAIQBa9CxbvwAAABUBAAAL&#10;AAAAAAAAAAAAAAAAAB8BAABfcmVscy8ucmVsc1BLAQItABQABgAIAAAAIQAHsp0FxQAAANwAAAAP&#10;AAAAAAAAAAAAAAAAAAcCAABkcnMvZG93bnJldi54bWxQSwUGAAAAAAMAAwC3AAAA+QIAAAAA&#10;" fillcolor="#f68a4c" stroked="f" strokeweight="1pt"/>
                    <v:rect id="Rectangle 129" o:spid="_x0000_s1053" style="position:absolute;top:476;width:1333;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4VxxAAAANwAAAAPAAAAZHJzL2Rvd25yZXYueG1sRE9NawIx&#10;EL0X/A9hCl5Es3VF6tYoVijtoSBaRbwNm3F3cTMJSarbf98UhN7m8T5nvuxMK67kQ2NZwdMoA0Fc&#10;Wt1wpWD/9TZ8BhEissbWMin4oQDLRe9hjoW2N97SdRcrkUI4FKigjtEVUoayJoNhZB1x4s7WG4wJ&#10;+kpqj7cUblo5zrKpNNhwaqjR0bqm8rL7NgpO2ea0+Xw9tJPBe350/py7wyVXqv/YrV5AROriv/ju&#10;/tBp/ngGf8+kC+TiFwAA//8DAFBLAQItABQABgAIAAAAIQDb4fbL7gAAAIUBAAATAAAAAAAAAAAA&#10;AAAAAAAAAABbQ29udGVudF9UeXBlc10ueG1sUEsBAi0AFAAGAAgAAAAhAFr0LFu/AAAAFQEAAAsA&#10;AAAAAAAAAAAAAAAAHwEAAF9yZWxzLy5yZWxzUEsBAi0AFAAGAAgAAAAhAJgfhXHEAAAA3AAAAA8A&#10;AAAAAAAAAAAAAAAABwIAAGRycy9kb3ducmV2LnhtbFBLBQYAAAAAAwADALcAAAD4AgAAAAA=&#10;" fillcolor="#4c4b9a" stroked="f" strokeweight="1pt"/>
                    <v:shape id="Text Box 130" o:spid="_x0000_s1054" type="#_x0000_t202" style="position:absolute;left:762;width:714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rsidR="00287320" w:rsidRPr="00093C58" w:rsidRDefault="00287320" w:rsidP="008B6253">
                            <w:pPr>
                              <w:spacing w:after="80" w:line="200" w:lineRule="exact"/>
                              <w:rPr>
                                <w:rFonts w:ascii="EC Square Sans Pro" w:hAnsi="EC Square Sans Pro"/>
                                <w:color w:val="4C4B9A"/>
                                <w:sz w:val="16"/>
                                <w:szCs w:val="16"/>
                              </w:rPr>
                            </w:pPr>
                            <w:r w:rsidRPr="00033DD1">
                              <w:rPr>
                                <w:rFonts w:ascii="EC Square Sans Pro" w:hAnsi="EC Square Sans Pro"/>
                                <w:color w:val="4C4B9A"/>
                                <w:sz w:val="16"/>
                                <w:szCs w:val="16"/>
                              </w:rPr>
                              <w:t>3</w:t>
                            </w:r>
                            <w:r w:rsidRPr="00093C58">
                              <w:rPr>
                                <w:rFonts w:ascii="EC Square Sans Pro" w:hAnsi="EC Square Sans Pro"/>
                                <w:color w:val="4C4B9A"/>
                                <w:sz w:val="16"/>
                                <w:szCs w:val="16"/>
                              </w:rPr>
                              <w:t> Monate</w:t>
                            </w:r>
                          </w:p>
                          <w:p w:rsidR="00287320" w:rsidRPr="00093C58" w:rsidRDefault="00287320" w:rsidP="008B6253">
                            <w:pPr>
                              <w:spacing w:after="80" w:line="200" w:lineRule="exact"/>
                              <w:rPr>
                                <w:rFonts w:ascii="EC Square Sans Pro" w:hAnsi="EC Square Sans Pro"/>
                                <w:color w:val="4C4B9A"/>
                                <w:sz w:val="16"/>
                                <w:szCs w:val="16"/>
                              </w:rPr>
                            </w:pPr>
                            <w:r w:rsidRPr="00033DD1">
                              <w:rPr>
                                <w:rFonts w:ascii="EC Square Sans Pro" w:hAnsi="EC Square Sans Pro"/>
                                <w:color w:val="4C4B9A"/>
                                <w:sz w:val="16"/>
                                <w:szCs w:val="16"/>
                              </w:rPr>
                              <w:t>6</w:t>
                            </w:r>
                            <w:r w:rsidRPr="00093C58">
                              <w:rPr>
                                <w:rFonts w:ascii="EC Square Sans Pro" w:hAnsi="EC Square Sans Pro"/>
                                <w:color w:val="4C4B9A"/>
                                <w:sz w:val="16"/>
                                <w:szCs w:val="16"/>
                              </w:rPr>
                              <w:t> Monate</w:t>
                            </w:r>
                          </w:p>
                        </w:txbxContent>
                      </v:textbox>
                    </v:shape>
                  </v:group>
                  <v:rect id="Rectangle 131" o:spid="_x0000_s1055" style="position:absolute;width:847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rnwAAAANwAAAAPAAAAZHJzL2Rvd25yZXYueG1sRE/NisIw&#10;EL4v+A5hhL2tqQpSqlFWoehBD1t9gKEZ27LNJDRR49tvBGFv8/H9zmoTTS/uNPjOsoLpJANBXFvd&#10;caPgci6/chA+IGvsLZOCJ3nYrEcfKyy0ffAP3avQiBTCvkAFbQiukNLXLRn0E+uIE3e1g8GQ4NBI&#10;PeAjhZtezrJsIQ12nBpadLRrqf6tbkZBDNXenc6LrbuUeTxmu/xa7mulPsfxewkiUAz/4rf7oNP8&#10;+RRez6QL5PoPAAD//wMAUEsBAi0AFAAGAAgAAAAhANvh9svuAAAAhQEAABMAAAAAAAAAAAAAAAAA&#10;AAAAAFtDb250ZW50X1R5cGVzXS54bWxQSwECLQAUAAYACAAAACEAWvQsW78AAAAVAQAACwAAAAAA&#10;AAAAAAAAAAAfAQAAX3JlbHMvLnJlbHNQSwECLQAUAAYACAAAACEAzyZa58AAAADcAAAADwAAAAAA&#10;AAAAAAAAAAAHAgAAZHJzL2Rvd25yZXYueG1sUEsFBgAAAAADAAMAtwAAAPQCAAAAAA==&#10;" filled="f" strokecolor="#d8d8d8 [2732]"/>
                </v:group>
                <w10:wrap type="topAndBottom"/>
              </v:group>
            </w:pict>
          </mc:Fallback>
        </mc:AlternateContent>
      </w:r>
      <w:r>
        <w:rPr>
          <w:rFonts w:ascii="EC Square Sans Pro" w:hAnsi="EC Square Sans Pro"/>
          <w:noProof/>
          <w:color w:val="F68A4C"/>
          <w:sz w:val="22"/>
          <w:szCs w:val="22"/>
        </w:rPr>
        <w:t xml:space="preserve">zum </w:t>
      </w:r>
      <w:r w:rsidRPr="00033DD1">
        <w:rPr>
          <w:rFonts w:ascii="EC Square Sans Pro" w:hAnsi="EC Square Sans Pro"/>
          <w:noProof/>
          <w:color w:val="F68A4C"/>
          <w:sz w:val="22"/>
          <w:szCs w:val="22"/>
        </w:rPr>
        <w:t>31</w:t>
      </w:r>
      <w:r>
        <w:rPr>
          <w:rFonts w:ascii="EC Square Sans Pro" w:hAnsi="EC Square Sans Pro"/>
          <w:noProof/>
          <w:color w:val="F68A4C"/>
          <w:sz w:val="22"/>
          <w:szCs w:val="22"/>
        </w:rPr>
        <w:t xml:space="preserve">. Dezember </w:t>
      </w:r>
      <w:r w:rsidRPr="00033DD1">
        <w:rPr>
          <w:rFonts w:ascii="EC Square Sans Pro" w:hAnsi="EC Square Sans Pro"/>
          <w:noProof/>
          <w:color w:val="F68A4C"/>
          <w:sz w:val="22"/>
          <w:szCs w:val="22"/>
        </w:rPr>
        <w:t>2021</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8"/>
        <w:gridCol w:w="283"/>
        <w:gridCol w:w="4485"/>
      </w:tblGrid>
      <w:tr w:rsidR="00804E4F" w:rsidRPr="00804E4F" w:rsidTr="00804E4F">
        <w:tc>
          <w:tcPr>
            <w:tcW w:w="4248" w:type="dxa"/>
            <w:shd w:val="clear" w:color="auto" w:fill="FFFFFF"/>
            <w:vAlign w:val="center"/>
          </w:tcPr>
          <w:p w:rsidR="00804E4F" w:rsidRPr="00804E4F" w:rsidRDefault="00804E4F" w:rsidP="00804E4F">
            <w:pPr>
              <w:spacing w:after="0" w:line="240" w:lineRule="auto"/>
              <w:jc w:val="center"/>
              <w:rPr>
                <w:rFonts w:ascii="EC Square Sans Pro" w:eastAsia="Calibri" w:hAnsi="EC Square Sans Pro"/>
                <w:b/>
                <w:noProof/>
                <w:color w:val="4C4B9A"/>
                <w:sz w:val="22"/>
                <w:szCs w:val="22"/>
              </w:rPr>
            </w:pPr>
            <w:r>
              <w:rPr>
                <w:rFonts w:ascii="EC Square Sans Pro" w:hAnsi="EC Square Sans Pro"/>
                <w:b/>
                <w:noProof/>
                <w:color w:val="4C4B9A"/>
                <w:sz w:val="22"/>
                <w:szCs w:val="22"/>
              </w:rPr>
              <w:t>Langfristige Mittelaufnahme</w:t>
            </w:r>
          </w:p>
        </w:tc>
        <w:tc>
          <w:tcPr>
            <w:tcW w:w="283" w:type="dxa"/>
            <w:shd w:val="clear" w:color="auto" w:fill="FFFFFF"/>
            <w:vAlign w:val="center"/>
          </w:tcPr>
          <w:p w:rsidR="00804E4F" w:rsidRPr="00804E4F" w:rsidRDefault="00804E4F" w:rsidP="00804E4F">
            <w:pPr>
              <w:spacing w:after="0" w:line="240" w:lineRule="auto"/>
              <w:rPr>
                <w:rFonts w:ascii="EC Square Sans Pro" w:eastAsia="Calibri" w:hAnsi="EC Square Sans Pro"/>
                <w:b/>
                <w:noProof/>
                <w:color w:val="F68A4C"/>
                <w:sz w:val="22"/>
                <w:szCs w:val="22"/>
                <w:lang w:val="en-GB"/>
              </w:rPr>
            </w:pPr>
          </w:p>
        </w:tc>
        <w:tc>
          <w:tcPr>
            <w:tcW w:w="4485" w:type="dxa"/>
            <w:shd w:val="clear" w:color="auto" w:fill="FFFFFF"/>
            <w:vAlign w:val="center"/>
          </w:tcPr>
          <w:p w:rsidR="00804E4F" w:rsidRPr="00804E4F" w:rsidRDefault="00804E4F" w:rsidP="00804E4F">
            <w:pPr>
              <w:spacing w:after="0" w:line="240" w:lineRule="auto"/>
              <w:jc w:val="center"/>
              <w:rPr>
                <w:rFonts w:ascii="EC Square Sans Pro" w:eastAsia="Calibri" w:hAnsi="EC Square Sans Pro"/>
                <w:b/>
                <w:noProof/>
                <w:color w:val="4C4B9A"/>
                <w:sz w:val="22"/>
                <w:szCs w:val="22"/>
              </w:rPr>
            </w:pPr>
            <w:r>
              <w:rPr>
                <w:rFonts w:ascii="EC Square Sans Pro" w:hAnsi="EC Square Sans Pro"/>
                <w:b/>
                <w:noProof/>
                <w:color w:val="4C4B9A"/>
                <w:sz w:val="22"/>
                <w:szCs w:val="22"/>
              </w:rPr>
              <w:t>Kurzfristige Mittelaufnahme</w:t>
            </w:r>
          </w:p>
        </w:tc>
      </w:tr>
      <w:tr w:rsidR="00804E4F" w:rsidRPr="00804E4F" w:rsidTr="00804E4F">
        <w:tc>
          <w:tcPr>
            <w:tcW w:w="4248" w:type="dxa"/>
            <w:shd w:val="clear" w:color="auto" w:fill="FFFFFF"/>
            <w:vAlign w:val="center"/>
          </w:tcPr>
          <w:p w:rsidR="00804E4F" w:rsidRPr="00804E4F" w:rsidRDefault="00804E4F" w:rsidP="00804E4F">
            <w:pPr>
              <w:spacing w:after="240" w:line="240" w:lineRule="auto"/>
              <w:jc w:val="center"/>
              <w:rPr>
                <w:rFonts w:ascii="EC Square Sans Pro" w:eastAsia="Calibri" w:hAnsi="EC Square Sans Pro"/>
                <w:noProof/>
                <w:color w:val="4C4B9A"/>
                <w:sz w:val="22"/>
                <w:szCs w:val="22"/>
              </w:rPr>
            </w:pPr>
            <w:r w:rsidRPr="00033DD1">
              <w:rPr>
                <w:rFonts w:ascii="EC Square Sans Pro" w:hAnsi="EC Square Sans Pro"/>
                <w:noProof/>
                <w:color w:val="4C4B9A"/>
                <w:sz w:val="22"/>
                <w:szCs w:val="22"/>
              </w:rPr>
              <w:t>71</w:t>
            </w:r>
            <w:r>
              <w:rPr>
                <w:rFonts w:ascii="EC Square Sans Pro" w:hAnsi="EC Square Sans Pro"/>
                <w:noProof/>
                <w:color w:val="4C4B9A"/>
                <w:sz w:val="22"/>
                <w:szCs w:val="22"/>
              </w:rPr>
              <w:t> Mrd. EUR EU-Bonds,</w:t>
            </w:r>
            <w:r>
              <w:rPr>
                <w:noProof/>
              </w:rPr>
              <w:t xml:space="preserve"> </w:t>
            </w:r>
            <w:r>
              <w:rPr>
                <w:noProof/>
              </w:rPr>
              <w:br/>
            </w:r>
            <w:r>
              <w:rPr>
                <w:rFonts w:ascii="EC Square Sans Pro" w:hAnsi="EC Square Sans Pro"/>
                <w:noProof/>
                <w:color w:val="4C4B9A"/>
                <w:sz w:val="22"/>
                <w:szCs w:val="22"/>
              </w:rPr>
              <w:t xml:space="preserve">davon </w:t>
            </w:r>
            <w:r w:rsidRPr="00033DD1">
              <w:rPr>
                <w:rFonts w:ascii="EC Square Sans Pro" w:hAnsi="EC Square Sans Pro"/>
                <w:noProof/>
                <w:color w:val="4C4B9A"/>
                <w:sz w:val="22"/>
                <w:szCs w:val="22"/>
              </w:rPr>
              <w:t>12</w:t>
            </w:r>
            <w:r>
              <w:rPr>
                <w:rFonts w:ascii="EC Square Sans Pro" w:hAnsi="EC Square Sans Pro"/>
                <w:noProof/>
                <w:color w:val="4C4B9A"/>
                <w:sz w:val="22"/>
                <w:szCs w:val="22"/>
              </w:rPr>
              <w:t> Mrd. EUR grüne Anleihen</w:t>
            </w:r>
          </w:p>
        </w:tc>
        <w:tc>
          <w:tcPr>
            <w:tcW w:w="283" w:type="dxa"/>
            <w:shd w:val="clear" w:color="auto" w:fill="FFFFFF"/>
            <w:vAlign w:val="center"/>
          </w:tcPr>
          <w:p w:rsidR="00804E4F" w:rsidRPr="00804E4F" w:rsidRDefault="00804E4F" w:rsidP="00804E4F">
            <w:pPr>
              <w:spacing w:after="240" w:line="240" w:lineRule="auto"/>
              <w:rPr>
                <w:rFonts w:ascii="EC Square Sans Pro" w:eastAsia="Calibri" w:hAnsi="EC Square Sans Pro"/>
                <w:b/>
                <w:noProof/>
                <w:color w:val="F68A4C"/>
                <w:sz w:val="22"/>
                <w:szCs w:val="22"/>
                <w:lang w:val="en-GB"/>
              </w:rPr>
            </w:pPr>
          </w:p>
        </w:tc>
        <w:tc>
          <w:tcPr>
            <w:tcW w:w="4485" w:type="dxa"/>
            <w:shd w:val="clear" w:color="auto" w:fill="FFFFFF"/>
            <w:vAlign w:val="center"/>
          </w:tcPr>
          <w:p w:rsidR="00804E4F" w:rsidRPr="00804E4F" w:rsidRDefault="00804E4F" w:rsidP="00804E4F">
            <w:pPr>
              <w:spacing w:after="240" w:line="240" w:lineRule="auto"/>
              <w:jc w:val="center"/>
              <w:rPr>
                <w:rFonts w:ascii="EC Square Sans Pro" w:eastAsia="Calibri" w:hAnsi="EC Square Sans Pro"/>
                <w:noProof/>
                <w:color w:val="4C4B9A"/>
                <w:sz w:val="22"/>
                <w:szCs w:val="22"/>
              </w:rPr>
            </w:pPr>
            <w:r w:rsidRPr="00033DD1">
              <w:rPr>
                <w:rFonts w:ascii="EC Square Sans Pro" w:hAnsi="EC Square Sans Pro"/>
                <w:noProof/>
                <w:color w:val="4C4B9A"/>
                <w:sz w:val="22"/>
                <w:szCs w:val="22"/>
              </w:rPr>
              <w:t>25</w:t>
            </w:r>
            <w:r>
              <w:rPr>
                <w:rFonts w:ascii="EC Square Sans Pro" w:hAnsi="EC Square Sans Pro"/>
                <w:noProof/>
                <w:color w:val="4C4B9A"/>
                <w:sz w:val="22"/>
                <w:szCs w:val="22"/>
              </w:rPr>
              <w:t xml:space="preserve"> Mrd. EUR in Form von EU-Bills mit </w:t>
            </w:r>
            <w:r w:rsidRPr="00033DD1">
              <w:rPr>
                <w:rFonts w:ascii="EC Square Sans Pro" w:hAnsi="EC Square Sans Pro"/>
                <w:noProof/>
                <w:color w:val="4C4B9A"/>
                <w:sz w:val="22"/>
                <w:szCs w:val="22"/>
              </w:rPr>
              <w:t>3</w:t>
            </w:r>
            <w:r>
              <w:rPr>
                <w:rFonts w:ascii="EC Square Sans Pro" w:hAnsi="EC Square Sans Pro"/>
                <w:noProof/>
                <w:color w:val="4C4B9A"/>
                <w:sz w:val="22"/>
                <w:szCs w:val="22"/>
              </w:rPr>
              <w:t xml:space="preserve">-monatiger und </w:t>
            </w:r>
            <w:r w:rsidRPr="00033DD1">
              <w:rPr>
                <w:rFonts w:ascii="EC Square Sans Pro" w:hAnsi="EC Square Sans Pro"/>
                <w:noProof/>
                <w:color w:val="4C4B9A"/>
                <w:sz w:val="22"/>
                <w:szCs w:val="22"/>
              </w:rPr>
              <w:t>6</w:t>
            </w:r>
            <w:r>
              <w:rPr>
                <w:rFonts w:ascii="EC Square Sans Pro" w:hAnsi="EC Square Sans Pro"/>
                <w:noProof/>
                <w:color w:val="4C4B9A"/>
                <w:sz w:val="22"/>
                <w:szCs w:val="22"/>
              </w:rPr>
              <w:t xml:space="preserve">-monatiger Laufzeit, davon </w:t>
            </w:r>
            <w:r w:rsidRPr="00033DD1">
              <w:rPr>
                <w:rFonts w:ascii="EC Square Sans Pro" w:hAnsi="EC Square Sans Pro"/>
                <w:noProof/>
                <w:color w:val="4C4B9A"/>
                <w:sz w:val="22"/>
                <w:szCs w:val="22"/>
              </w:rPr>
              <w:t>20</w:t>
            </w:r>
            <w:r>
              <w:rPr>
                <w:rFonts w:ascii="EC Square Sans Pro" w:hAnsi="EC Square Sans Pro"/>
                <w:noProof/>
                <w:color w:val="4C4B9A"/>
                <w:sz w:val="22"/>
                <w:szCs w:val="22"/>
              </w:rPr>
              <w:t> Mrd. EUR ausstehend</w:t>
            </w:r>
          </w:p>
        </w:tc>
      </w:tr>
      <w:tr w:rsidR="00804E4F" w:rsidRPr="00804E4F" w:rsidTr="00804E4F">
        <w:trPr>
          <w:trHeight w:val="79"/>
        </w:trPr>
        <w:tc>
          <w:tcPr>
            <w:tcW w:w="4248" w:type="dxa"/>
            <w:shd w:val="clear" w:color="auto" w:fill="F2F2F2"/>
            <w:vAlign w:val="center"/>
          </w:tcPr>
          <w:p w:rsidR="00804E4F" w:rsidRPr="00804E4F" w:rsidRDefault="00804E4F" w:rsidP="00804E4F">
            <w:pPr>
              <w:spacing w:after="0" w:line="240" w:lineRule="auto"/>
              <w:rPr>
                <w:rFonts w:ascii="EC Square Sans Pro" w:eastAsia="Calibri" w:hAnsi="EC Square Sans Pro"/>
                <w:b/>
                <w:noProof/>
                <w:color w:val="4C4B9A"/>
                <w:sz w:val="22"/>
                <w:szCs w:val="22"/>
              </w:rPr>
            </w:pPr>
            <w:r>
              <w:rPr>
                <w:rFonts w:ascii="EC Square Sans Pro" w:hAnsi="EC Square Sans Pro"/>
                <w:b/>
                <w:noProof/>
                <w:color w:val="4C4B9A"/>
                <w:sz w:val="22"/>
                <w:szCs w:val="22"/>
              </w:rPr>
              <w:t>WICHTIGSTE FAKTEN</w:t>
            </w:r>
          </w:p>
        </w:tc>
        <w:tc>
          <w:tcPr>
            <w:tcW w:w="283" w:type="dxa"/>
            <w:vAlign w:val="center"/>
          </w:tcPr>
          <w:p w:rsidR="00804E4F" w:rsidRPr="00804E4F" w:rsidRDefault="00804E4F" w:rsidP="00804E4F">
            <w:pPr>
              <w:spacing w:after="0" w:line="240" w:lineRule="auto"/>
              <w:rPr>
                <w:rFonts w:ascii="EC Square Sans Pro" w:eastAsia="Calibri" w:hAnsi="EC Square Sans Pro"/>
                <w:b/>
                <w:noProof/>
                <w:color w:val="F68A4C"/>
                <w:sz w:val="22"/>
                <w:szCs w:val="22"/>
                <w:lang w:val="en-GB"/>
              </w:rPr>
            </w:pPr>
          </w:p>
        </w:tc>
        <w:tc>
          <w:tcPr>
            <w:tcW w:w="4485" w:type="dxa"/>
            <w:shd w:val="clear" w:color="auto" w:fill="F2F2F2"/>
            <w:vAlign w:val="center"/>
          </w:tcPr>
          <w:p w:rsidR="00804E4F" w:rsidRPr="00804E4F" w:rsidRDefault="00804E4F" w:rsidP="00804E4F">
            <w:pPr>
              <w:spacing w:after="0" w:line="240" w:lineRule="auto"/>
              <w:rPr>
                <w:rFonts w:ascii="EC Square Sans Pro" w:eastAsia="Calibri" w:hAnsi="EC Square Sans Pro"/>
                <w:b/>
                <w:noProof/>
                <w:color w:val="F68A4C"/>
                <w:sz w:val="22"/>
                <w:szCs w:val="22"/>
              </w:rPr>
            </w:pPr>
            <w:r>
              <w:rPr>
                <w:rFonts w:ascii="EC Square Sans Pro" w:hAnsi="EC Square Sans Pro"/>
                <w:b/>
                <w:noProof/>
                <w:color w:val="4C4B9A"/>
                <w:sz w:val="22"/>
                <w:szCs w:val="22"/>
              </w:rPr>
              <w:t>WICHTIGSTE FAKTEN</w:t>
            </w:r>
          </w:p>
        </w:tc>
      </w:tr>
      <w:tr w:rsidR="00804E4F" w:rsidRPr="00FA0A8B" w:rsidTr="00287320">
        <w:tc>
          <w:tcPr>
            <w:tcW w:w="4248" w:type="dxa"/>
            <w:shd w:val="clear" w:color="auto" w:fill="F2F2F2"/>
            <w:vAlign w:val="center"/>
          </w:tcPr>
          <w:p w:rsidR="00804E4F" w:rsidRPr="00804E4F" w:rsidRDefault="00804E4F" w:rsidP="00804E4F">
            <w:pPr>
              <w:numPr>
                <w:ilvl w:val="0"/>
                <w:numId w:val="4"/>
              </w:numPr>
              <w:spacing w:after="0" w:line="240" w:lineRule="auto"/>
              <w:ind w:left="170" w:hanging="170"/>
              <w:contextualSpacing/>
              <w:rPr>
                <w:rFonts w:ascii="EC Square Sans Pro" w:eastAsia="Calibri" w:hAnsi="EC Square Sans Pro"/>
                <w:noProof/>
                <w:color w:val="4C4B9A"/>
                <w:sz w:val="22"/>
                <w:szCs w:val="22"/>
              </w:rPr>
            </w:pPr>
            <w:r w:rsidRPr="00033DD1">
              <w:rPr>
                <w:rFonts w:ascii="EC Square Sans Pro" w:hAnsi="EC Square Sans Pro"/>
                <w:noProof/>
                <w:color w:val="4C4B9A"/>
                <w:sz w:val="22"/>
                <w:szCs w:val="22"/>
              </w:rPr>
              <w:t>5</w:t>
            </w:r>
            <w:r>
              <w:rPr>
                <w:rFonts w:ascii="EC Square Sans Pro" w:hAnsi="EC Square Sans Pro"/>
                <w:noProof/>
                <w:color w:val="4C4B9A"/>
                <w:sz w:val="22"/>
                <w:szCs w:val="22"/>
              </w:rPr>
              <w:t xml:space="preserve"> Syndizierungen, </w:t>
            </w:r>
            <w:r w:rsidRPr="00033DD1">
              <w:rPr>
                <w:rFonts w:ascii="EC Square Sans Pro" w:hAnsi="EC Square Sans Pro"/>
                <w:noProof/>
                <w:color w:val="4C4B9A"/>
                <w:sz w:val="22"/>
                <w:szCs w:val="22"/>
              </w:rPr>
              <w:t>2</w:t>
            </w:r>
            <w:r>
              <w:rPr>
                <w:rFonts w:ascii="EC Square Sans Pro" w:hAnsi="EC Square Sans Pro"/>
                <w:noProof/>
                <w:color w:val="4C4B9A"/>
                <w:sz w:val="22"/>
                <w:szCs w:val="22"/>
              </w:rPr>
              <w:t> Auktionen</w:t>
            </w:r>
            <w:r>
              <w:rPr>
                <w:noProof/>
              </w:rPr>
              <w:tab/>
            </w:r>
          </w:p>
          <w:p w:rsidR="00804E4F" w:rsidRPr="00804E4F" w:rsidRDefault="00804E4F" w:rsidP="00804E4F">
            <w:pPr>
              <w:numPr>
                <w:ilvl w:val="0"/>
                <w:numId w:val="4"/>
              </w:numPr>
              <w:spacing w:after="0" w:line="240" w:lineRule="auto"/>
              <w:ind w:left="170" w:hanging="170"/>
              <w:contextualSpacing/>
              <w:rPr>
                <w:rFonts w:ascii="EC Square Sans Pro" w:eastAsia="Calibri" w:hAnsi="EC Square Sans Pro"/>
                <w:noProof/>
                <w:color w:val="4C4B9A"/>
                <w:sz w:val="22"/>
                <w:szCs w:val="22"/>
              </w:rPr>
            </w:pPr>
            <w:r>
              <w:rPr>
                <w:rFonts w:ascii="EC Square Sans Pro" w:hAnsi="EC Square Sans Pro"/>
                <w:noProof/>
                <w:color w:val="4C4B9A"/>
                <w:sz w:val="22"/>
                <w:szCs w:val="22"/>
              </w:rPr>
              <w:t xml:space="preserve">Durchschnittliche Finanzierungskosten </w:t>
            </w:r>
            <w:r w:rsidRPr="00033DD1">
              <w:rPr>
                <w:rFonts w:ascii="EC Square Sans Pro" w:hAnsi="EC Square Sans Pro"/>
                <w:noProof/>
                <w:color w:val="4C4B9A"/>
                <w:sz w:val="22"/>
                <w:szCs w:val="22"/>
              </w:rPr>
              <w:t>0</w:t>
            </w:r>
            <w:r>
              <w:rPr>
                <w:rFonts w:ascii="EC Square Sans Pro" w:hAnsi="EC Square Sans Pro"/>
                <w:noProof/>
                <w:color w:val="4C4B9A"/>
                <w:sz w:val="22"/>
                <w:szCs w:val="22"/>
              </w:rPr>
              <w:t>,</w:t>
            </w:r>
            <w:r w:rsidRPr="00033DD1">
              <w:rPr>
                <w:rFonts w:ascii="EC Square Sans Pro" w:hAnsi="EC Square Sans Pro"/>
                <w:noProof/>
                <w:color w:val="4C4B9A"/>
                <w:sz w:val="22"/>
                <w:szCs w:val="22"/>
              </w:rPr>
              <w:t>14</w:t>
            </w:r>
            <w:r>
              <w:rPr>
                <w:rFonts w:ascii="EC Square Sans Pro" w:hAnsi="EC Square Sans Pro"/>
                <w:noProof/>
                <w:color w:val="4C4B9A"/>
                <w:sz w:val="22"/>
                <w:szCs w:val="22"/>
              </w:rPr>
              <w:t> %</w:t>
            </w:r>
          </w:p>
          <w:p w:rsidR="00804E4F" w:rsidRPr="00804E4F" w:rsidRDefault="00804E4F" w:rsidP="00804E4F">
            <w:pPr>
              <w:numPr>
                <w:ilvl w:val="0"/>
                <w:numId w:val="4"/>
              </w:numPr>
              <w:spacing w:after="0" w:line="240" w:lineRule="auto"/>
              <w:ind w:left="170" w:hanging="170"/>
              <w:contextualSpacing/>
              <w:rPr>
                <w:rFonts w:ascii="EC Square Sans Pro" w:eastAsia="Calibri" w:hAnsi="EC Square Sans Pro"/>
                <w:b/>
                <w:noProof/>
                <w:color w:val="F68A4C"/>
                <w:sz w:val="22"/>
                <w:szCs w:val="22"/>
              </w:rPr>
            </w:pPr>
            <w:r w:rsidRPr="00033DD1">
              <w:rPr>
                <w:rFonts w:ascii="EC Square Sans Pro" w:hAnsi="EC Square Sans Pro"/>
                <w:noProof/>
                <w:color w:val="4C4B9A"/>
                <w:sz w:val="22"/>
                <w:szCs w:val="22"/>
              </w:rPr>
              <w:t>7</w:t>
            </w:r>
            <w:r>
              <w:rPr>
                <w:rFonts w:ascii="EC Square Sans Pro" w:hAnsi="EC Square Sans Pro"/>
                <w:noProof/>
                <w:color w:val="4C4B9A"/>
                <w:sz w:val="22"/>
                <w:szCs w:val="22"/>
              </w:rPr>
              <w:t xml:space="preserve">- bis fast </w:t>
            </w:r>
            <w:r w:rsidRPr="00033DD1">
              <w:rPr>
                <w:rFonts w:ascii="EC Square Sans Pro" w:hAnsi="EC Square Sans Pro"/>
                <w:noProof/>
                <w:color w:val="4C4B9A"/>
                <w:sz w:val="22"/>
                <w:szCs w:val="22"/>
              </w:rPr>
              <w:t>14</w:t>
            </w:r>
            <w:r>
              <w:rPr>
                <w:rFonts w:ascii="EC Square Sans Pro" w:hAnsi="EC Square Sans Pro"/>
                <w:noProof/>
                <w:color w:val="4C4B9A"/>
                <w:sz w:val="22"/>
                <w:szCs w:val="22"/>
              </w:rPr>
              <w:t>-mal überzeichnet</w:t>
            </w:r>
          </w:p>
        </w:tc>
        <w:tc>
          <w:tcPr>
            <w:tcW w:w="283" w:type="dxa"/>
            <w:vAlign w:val="center"/>
          </w:tcPr>
          <w:p w:rsidR="00804E4F" w:rsidRPr="00804E4F" w:rsidRDefault="00804E4F" w:rsidP="00804E4F">
            <w:pPr>
              <w:spacing w:after="0" w:line="240" w:lineRule="auto"/>
              <w:rPr>
                <w:rFonts w:ascii="EC Square Sans Pro" w:eastAsia="Calibri" w:hAnsi="EC Square Sans Pro"/>
                <w:b/>
                <w:noProof/>
                <w:color w:val="F68A4C"/>
                <w:sz w:val="22"/>
                <w:szCs w:val="22"/>
                <w:lang w:val="en-GB"/>
              </w:rPr>
            </w:pPr>
          </w:p>
        </w:tc>
        <w:tc>
          <w:tcPr>
            <w:tcW w:w="4485" w:type="dxa"/>
            <w:shd w:val="clear" w:color="auto" w:fill="F2F2F2"/>
            <w:vAlign w:val="center"/>
          </w:tcPr>
          <w:p w:rsidR="00804E4F" w:rsidRPr="00804E4F" w:rsidRDefault="00804E4F" w:rsidP="00093C58">
            <w:pPr>
              <w:numPr>
                <w:ilvl w:val="0"/>
                <w:numId w:val="4"/>
              </w:numPr>
              <w:spacing w:after="0" w:line="240" w:lineRule="auto"/>
              <w:ind w:left="170" w:hanging="170"/>
              <w:contextualSpacing/>
              <w:rPr>
                <w:rFonts w:ascii="EC Square Sans Pro" w:eastAsia="Calibri" w:hAnsi="EC Square Sans Pro"/>
                <w:noProof/>
                <w:color w:val="4C4B9A"/>
                <w:sz w:val="22"/>
                <w:szCs w:val="22"/>
              </w:rPr>
            </w:pPr>
            <w:r w:rsidRPr="00033DD1">
              <w:rPr>
                <w:rFonts w:ascii="EC Square Sans Pro" w:hAnsi="EC Square Sans Pro"/>
                <w:noProof/>
                <w:color w:val="4C4B9A"/>
                <w:sz w:val="22"/>
                <w:szCs w:val="22"/>
              </w:rPr>
              <w:t>7</w:t>
            </w:r>
            <w:r>
              <w:rPr>
                <w:rFonts w:ascii="EC Square Sans Pro" w:hAnsi="EC Square Sans Pro"/>
                <w:noProof/>
                <w:color w:val="4C4B9A"/>
                <w:sz w:val="22"/>
                <w:szCs w:val="22"/>
              </w:rPr>
              <w:t> Auktionen</w:t>
            </w:r>
          </w:p>
          <w:p w:rsidR="00804E4F" w:rsidRPr="00804E4F" w:rsidRDefault="00804E4F" w:rsidP="00804E4F">
            <w:pPr>
              <w:numPr>
                <w:ilvl w:val="0"/>
                <w:numId w:val="5"/>
              </w:numPr>
              <w:spacing w:after="0" w:line="240" w:lineRule="auto"/>
              <w:ind w:left="170" w:hanging="170"/>
              <w:contextualSpacing/>
              <w:rPr>
                <w:rFonts w:ascii="EC Square Sans Pro" w:eastAsia="Calibri" w:hAnsi="EC Square Sans Pro"/>
                <w:noProof/>
                <w:color w:val="4C4B9A"/>
                <w:sz w:val="22"/>
                <w:szCs w:val="22"/>
              </w:rPr>
            </w:pPr>
            <w:r>
              <w:rPr>
                <w:rFonts w:ascii="EC Square Sans Pro" w:hAnsi="EC Square Sans Pro"/>
                <w:noProof/>
                <w:color w:val="4C4B9A"/>
                <w:sz w:val="22"/>
                <w:szCs w:val="22"/>
              </w:rPr>
              <w:t>Durchschnittliche Rendite -</w:t>
            </w:r>
            <w:r w:rsidRPr="00033DD1">
              <w:rPr>
                <w:rFonts w:ascii="EC Square Sans Pro" w:hAnsi="EC Square Sans Pro"/>
                <w:noProof/>
                <w:color w:val="4C4B9A"/>
                <w:sz w:val="22"/>
                <w:szCs w:val="22"/>
              </w:rPr>
              <w:t>0</w:t>
            </w:r>
            <w:r>
              <w:rPr>
                <w:rFonts w:ascii="EC Square Sans Pro" w:hAnsi="EC Square Sans Pro"/>
                <w:noProof/>
                <w:color w:val="4C4B9A"/>
                <w:sz w:val="22"/>
                <w:szCs w:val="22"/>
              </w:rPr>
              <w:t>,</w:t>
            </w:r>
            <w:r w:rsidRPr="00033DD1">
              <w:rPr>
                <w:rFonts w:ascii="EC Square Sans Pro" w:hAnsi="EC Square Sans Pro"/>
                <w:noProof/>
                <w:color w:val="4C4B9A"/>
                <w:sz w:val="22"/>
                <w:szCs w:val="22"/>
              </w:rPr>
              <w:t>78</w:t>
            </w:r>
            <w:r>
              <w:rPr>
                <w:rFonts w:ascii="EC Square Sans Pro" w:hAnsi="EC Square Sans Pro"/>
                <w:noProof/>
                <w:color w:val="4C4B9A"/>
                <w:sz w:val="22"/>
                <w:szCs w:val="22"/>
              </w:rPr>
              <w:t> %</w:t>
            </w:r>
          </w:p>
          <w:p w:rsidR="00804E4F" w:rsidRPr="00093C58" w:rsidRDefault="00804E4F" w:rsidP="00804E4F">
            <w:pPr>
              <w:numPr>
                <w:ilvl w:val="0"/>
                <w:numId w:val="5"/>
              </w:numPr>
              <w:spacing w:after="0" w:line="240" w:lineRule="auto"/>
              <w:ind w:left="170" w:hanging="170"/>
              <w:contextualSpacing/>
              <w:rPr>
                <w:rFonts w:ascii="EC Square Sans Pro" w:eastAsia="Calibri" w:hAnsi="EC Square Sans Pro"/>
                <w:b/>
                <w:noProof/>
                <w:color w:val="F68A4C"/>
                <w:sz w:val="22"/>
                <w:szCs w:val="22"/>
                <w:lang w:val="en-GB"/>
              </w:rPr>
            </w:pPr>
            <w:r w:rsidRPr="00093C58">
              <w:rPr>
                <w:rFonts w:ascii="EC Square Sans Pro" w:hAnsi="EC Square Sans Pro"/>
                <w:noProof/>
                <w:color w:val="4C4B9A"/>
                <w:sz w:val="22"/>
                <w:szCs w:val="22"/>
                <w:lang w:val="en-GB"/>
              </w:rPr>
              <w:t xml:space="preserve">Bid-to-Cover-Verhältnis </w:t>
            </w:r>
            <w:r w:rsidRPr="00033DD1">
              <w:rPr>
                <w:rFonts w:ascii="EC Square Sans Pro" w:hAnsi="EC Square Sans Pro"/>
                <w:noProof/>
                <w:color w:val="4C4B9A"/>
                <w:sz w:val="22"/>
                <w:szCs w:val="22"/>
                <w:lang w:val="en-GB"/>
              </w:rPr>
              <w:t>2</w:t>
            </w:r>
            <w:r w:rsidRPr="00093C58">
              <w:rPr>
                <w:rFonts w:ascii="EC Square Sans Pro" w:hAnsi="EC Square Sans Pro"/>
                <w:noProof/>
                <w:color w:val="4C4B9A"/>
                <w:sz w:val="22"/>
                <w:szCs w:val="22"/>
                <w:lang w:val="en-GB"/>
              </w:rPr>
              <w:t>,</w:t>
            </w:r>
            <w:r w:rsidRPr="00033DD1">
              <w:rPr>
                <w:rFonts w:ascii="EC Square Sans Pro" w:hAnsi="EC Square Sans Pro"/>
                <w:noProof/>
                <w:color w:val="4C4B9A"/>
                <w:sz w:val="22"/>
                <w:szCs w:val="22"/>
                <w:lang w:val="en-GB"/>
              </w:rPr>
              <w:t>55</w:t>
            </w:r>
            <w:r w:rsidRPr="00093C58">
              <w:rPr>
                <w:rFonts w:ascii="EC Square Sans Pro" w:hAnsi="EC Square Sans Pro"/>
                <w:noProof/>
                <w:color w:val="4C4B9A"/>
                <w:sz w:val="22"/>
                <w:szCs w:val="22"/>
                <w:lang w:val="en-GB"/>
              </w:rPr>
              <w:t>x</w:t>
            </w:r>
          </w:p>
        </w:tc>
      </w:tr>
    </w:tbl>
    <w:p w:rsidR="008B6253" w:rsidRPr="00915269" w:rsidRDefault="008B6253" w:rsidP="008B6253">
      <w:pPr>
        <w:spacing w:after="0" w:line="259" w:lineRule="auto"/>
        <w:rPr>
          <w:rFonts w:ascii="EC Square Sans Pro" w:eastAsia="Calibri" w:hAnsi="EC Square Sans Pro"/>
          <w:b/>
          <w:noProof/>
          <w:color w:val="F68A4C"/>
          <w:sz w:val="22"/>
          <w:szCs w:val="22"/>
          <w:lang w:val="en-GB"/>
        </w:rPr>
      </w:pPr>
    </w:p>
    <w:p w:rsidR="008B6253" w:rsidRPr="00915269" w:rsidRDefault="008B6253" w:rsidP="008B6253">
      <w:pPr>
        <w:spacing w:after="0" w:line="259" w:lineRule="auto"/>
        <w:rPr>
          <w:rFonts w:ascii="EC Square Sans Pro Light" w:eastAsia="Calibri" w:hAnsi="EC Square Sans Pro Light"/>
          <w:noProof/>
          <w:color w:val="F68A4C"/>
          <w:sz w:val="40"/>
          <w:szCs w:val="40"/>
        </w:rPr>
      </w:pPr>
      <w:r>
        <w:rPr>
          <w:rFonts w:ascii="EC Square Sans Pro Light" w:hAnsi="EC Square Sans Pro Light"/>
          <w:noProof/>
          <w:color w:val="F68A4C"/>
          <w:sz w:val="40"/>
          <w:szCs w:val="40"/>
        </w:rPr>
        <w:t>Verwendung der Erlöse</w:t>
      </w:r>
    </w:p>
    <w:p w:rsidR="008B6253" w:rsidRPr="00735452" w:rsidRDefault="008B6253" w:rsidP="008B6253">
      <w:pPr>
        <w:spacing w:after="0" w:line="259" w:lineRule="auto"/>
        <w:rPr>
          <w:rFonts w:ascii="EC Square Sans Pro" w:eastAsia="Calibri" w:hAnsi="EC Square Sans Pro"/>
          <w:noProof/>
          <w:color w:val="F68A4C"/>
          <w:sz w:val="22"/>
          <w:szCs w:val="22"/>
        </w:rPr>
      </w:pPr>
      <w:r>
        <w:rPr>
          <w:rFonts w:ascii="EC Square Sans Pro" w:hAnsi="EC Square Sans Pro"/>
          <w:noProof/>
          <w:color w:val="F68A4C"/>
          <w:sz w:val="22"/>
          <w:szCs w:val="22"/>
          <w:lang w:val="en-GB" w:eastAsia="en-GB"/>
        </w:rPr>
        <mc:AlternateContent>
          <mc:Choice Requires="wpg">
            <w:drawing>
              <wp:anchor distT="0" distB="0" distL="114300" distR="114300" simplePos="0" relativeHeight="251660288" behindDoc="0" locked="0" layoutInCell="1" allowOverlap="1" wp14:anchorId="0115864B" wp14:editId="31CDAEAF">
                <wp:simplePos x="0" y="0"/>
                <wp:positionH relativeFrom="column">
                  <wp:posOffset>4445</wp:posOffset>
                </wp:positionH>
                <wp:positionV relativeFrom="paragraph">
                  <wp:posOffset>104140</wp:posOffset>
                </wp:positionV>
                <wp:extent cx="5962650" cy="1171575"/>
                <wp:effectExtent l="0" t="0" r="0" b="0"/>
                <wp:wrapNone/>
                <wp:docPr id="142" name="Group 142"/>
                <wp:cNvGraphicFramePr/>
                <a:graphic xmlns:a="http://schemas.openxmlformats.org/drawingml/2006/main">
                  <a:graphicData uri="http://schemas.microsoft.com/office/word/2010/wordprocessingGroup">
                    <wpg:wgp>
                      <wpg:cNvGrpSpPr/>
                      <wpg:grpSpPr>
                        <a:xfrm>
                          <a:off x="0" y="0"/>
                          <a:ext cx="5962650" cy="1171575"/>
                          <a:chOff x="0" y="0"/>
                          <a:chExt cx="5962650" cy="1171575"/>
                        </a:xfrm>
                      </wpg:grpSpPr>
                      <wps:wsp>
                        <wps:cNvPr id="136" name="Text Box 136"/>
                        <wps:cNvSpPr txBox="1"/>
                        <wps:spPr>
                          <a:xfrm>
                            <a:off x="0" y="781050"/>
                            <a:ext cx="2667000" cy="381000"/>
                          </a:xfrm>
                          <a:prstGeom prst="rect">
                            <a:avLst/>
                          </a:prstGeom>
                          <a:noFill/>
                          <a:ln w="6350">
                            <a:noFill/>
                          </a:ln>
                        </wps:spPr>
                        <wps:txbx>
                          <w:txbxContent>
                            <w:p w:rsidR="00287320" w:rsidRPr="005B7286" w:rsidRDefault="00287320" w:rsidP="008B6253">
                              <w:pPr>
                                <w:spacing w:after="0" w:line="200" w:lineRule="exact"/>
                                <w:rPr>
                                  <w:rFonts w:ascii="EC Square Sans Pro" w:hAnsi="EC Square Sans Pro"/>
                                  <w:b/>
                                  <w:color w:val="4C4B9A"/>
                                  <w:sz w:val="22"/>
                                </w:rPr>
                              </w:pPr>
                              <w:r>
                                <w:rPr>
                                  <w:rFonts w:ascii="EC Square Sans Pro" w:hAnsi="EC Square Sans Pro"/>
                                  <w:b/>
                                  <w:color w:val="4C4B9A"/>
                                  <w:sz w:val="22"/>
                                </w:rPr>
                                <w:t xml:space="preserve">Finanzhilfen an EU-Mitgliedstaaten aus der Aufbau- und Resilienzfazilität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3562350" y="790575"/>
                            <a:ext cx="2400300" cy="381000"/>
                          </a:xfrm>
                          <a:prstGeom prst="rect">
                            <a:avLst/>
                          </a:prstGeom>
                          <a:noFill/>
                          <a:ln w="6350">
                            <a:noFill/>
                          </a:ln>
                        </wps:spPr>
                        <wps:txbx>
                          <w:txbxContent>
                            <w:p w:rsidR="00287320" w:rsidRPr="005B7286" w:rsidRDefault="00287320" w:rsidP="008B6253">
                              <w:pPr>
                                <w:spacing w:after="0" w:line="200" w:lineRule="exact"/>
                                <w:rPr>
                                  <w:rFonts w:ascii="EC Square Sans Pro" w:hAnsi="EC Square Sans Pro"/>
                                  <w:b/>
                                  <w:color w:val="F68A4C"/>
                                  <w:sz w:val="22"/>
                                </w:rPr>
                              </w:pPr>
                              <w:r>
                                <w:rPr>
                                  <w:rFonts w:ascii="EC Square Sans Pro" w:hAnsi="EC Square Sans Pro"/>
                                  <w:b/>
                                  <w:color w:val="F68A4C"/>
                                  <w:sz w:val="22"/>
                                </w:rPr>
                                <w:t>Darlehen an EU-Mitgliedstaaten aus der Aufbau- und Resilienzfaz.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0" name="Group 140"/>
                        <wpg:cNvGrpSpPr/>
                        <wpg:grpSpPr>
                          <a:xfrm>
                            <a:off x="1371600" y="504825"/>
                            <a:ext cx="4562475" cy="209550"/>
                            <a:chOff x="0" y="0"/>
                            <a:chExt cx="4562475" cy="209550"/>
                          </a:xfrm>
                        </wpg:grpSpPr>
                        <wps:wsp>
                          <wps:cNvPr id="135" name="Text Box 135"/>
                          <wps:cNvSpPr txBox="1"/>
                          <wps:spPr>
                            <a:xfrm>
                              <a:off x="0" y="0"/>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46</w:t>
                                </w:r>
                                <w:r>
                                  <w:rPr>
                                    <w:rFonts w:ascii="EC Square Sans Pro" w:hAnsi="EC Square Sans Pro"/>
                                    <w:b/>
                                    <w:color w:val="FFFFFF" w:themeColor="background1"/>
                                  </w:rPr>
                                  <w:t>,</w:t>
                                </w:r>
                                <w:r w:rsidRPr="00033DD1">
                                  <w:rPr>
                                    <w:rFonts w:ascii="EC Square Sans Pro" w:hAnsi="EC Square Sans Pro"/>
                                    <w:b/>
                                    <w:color w:val="FFFFFF" w:themeColor="background1"/>
                                  </w:rPr>
                                  <w:t>4</w:t>
                                </w:r>
                                <w:r>
                                  <w:rPr>
                                    <w:rFonts w:ascii="EC Square Sans Pro" w:hAnsi="EC Square Sans Pro"/>
                                    <w:b/>
                                    <w:color w:val="FFFFFF" w:themeColor="background1"/>
                                  </w:rPr>
                                  <w:t> Mrd.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2419350" y="0"/>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18</w:t>
                                </w:r>
                                <w:r>
                                  <w:rPr>
                                    <w:rFonts w:ascii="EC Square Sans Pro" w:hAnsi="EC Square Sans Pro"/>
                                    <w:b/>
                                    <w:color w:val="FFFFFF" w:themeColor="background1"/>
                                  </w:rPr>
                                  <w:t>,</w:t>
                                </w:r>
                                <w:r w:rsidRPr="00033DD1">
                                  <w:rPr>
                                    <w:rFonts w:ascii="EC Square Sans Pro" w:hAnsi="EC Square Sans Pro"/>
                                    <w:b/>
                                    <w:color w:val="FFFFFF" w:themeColor="background1"/>
                                  </w:rPr>
                                  <w:t>0</w:t>
                                </w:r>
                                <w:r>
                                  <w:rPr>
                                    <w:rFonts w:ascii="EC Square Sans Pro" w:hAnsi="EC Square Sans Pro"/>
                                    <w:b/>
                                    <w:color w:val="FFFFFF" w:themeColor="background1"/>
                                  </w:rPr>
                                  <w:t> Mrd. 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3486150" y="0"/>
                              <a:ext cx="1076325" cy="209550"/>
                            </a:xfrm>
                            <a:prstGeom prst="rect">
                              <a:avLst/>
                            </a:prstGeom>
                            <a:noFill/>
                            <a:ln w="6350">
                              <a:noFill/>
                            </a:ln>
                          </wps:spPr>
                          <wps:txb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8</w:t>
                                </w:r>
                                <w:r>
                                  <w:rPr>
                                    <w:rFonts w:ascii="EC Square Sans Pro" w:hAnsi="EC Square Sans Pro"/>
                                    <w:b/>
                                    <w:color w:val="FFFFFF" w:themeColor="background1"/>
                                  </w:rPr>
                                  <w:t>,</w:t>
                                </w:r>
                                <w:r w:rsidRPr="00033DD1">
                                  <w:rPr>
                                    <w:rFonts w:ascii="EC Square Sans Pro" w:hAnsi="EC Square Sans Pro"/>
                                    <w:b/>
                                    <w:color w:val="FFFFFF" w:themeColor="background1"/>
                                  </w:rPr>
                                  <w:t>6</w:t>
                                </w:r>
                                <w:r>
                                  <w:rPr>
                                    <w:rFonts w:ascii="EC Square Sans Pro" w:hAnsi="EC Square Sans Pro"/>
                                    <w:b/>
                                    <w:color w:val="FFFFFF" w:themeColor="background1"/>
                                  </w:rPr>
                                  <w:t> Mrd. EUR</w:t>
                                </w:r>
                                <w:r>
                                  <w:rPr>
                                    <w:rFonts w:ascii="EC Square Sans Pro" w:hAnsi="EC Square Sans Pro"/>
                                    <w:color w:val="FFFFFF" w:themeColor="background1"/>
                                    <w:vertAlign w:val="superscript"/>
                                  </w:rPr>
                                  <w:t>(</w:t>
                                </w:r>
                                <w:r w:rsidRPr="00033DD1">
                                  <w:rPr>
                                    <w:rFonts w:ascii="EC Square Sans Pro" w:hAnsi="EC Square Sans Pro"/>
                                    <w:color w:val="FFFFFF" w:themeColor="background1"/>
                                    <w:vertAlign w:val="superscript"/>
                                  </w:rPr>
                                  <w:t>1</w:t>
                                </w:r>
                                <w:r>
                                  <w:rPr>
                                    <w:rFonts w:ascii="EC Square Sans Pro" w:hAnsi="EC Square Sans Pro"/>
                                    <w:color w:val="FFFFFF" w:themeColor="background1"/>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1" name="Text Box 141"/>
                        <wps:cNvSpPr txBox="1"/>
                        <wps:spPr>
                          <a:xfrm>
                            <a:off x="3362325" y="0"/>
                            <a:ext cx="2400300" cy="381000"/>
                          </a:xfrm>
                          <a:prstGeom prst="rect">
                            <a:avLst/>
                          </a:prstGeom>
                          <a:noFill/>
                          <a:ln w="6350">
                            <a:noFill/>
                          </a:ln>
                        </wps:spPr>
                        <wps:txbx>
                          <w:txbxContent>
                            <w:p w:rsidR="00287320" w:rsidRPr="005B7286" w:rsidRDefault="00287320" w:rsidP="008B6253">
                              <w:pPr>
                                <w:spacing w:after="0" w:line="200" w:lineRule="exact"/>
                                <w:jc w:val="right"/>
                                <w:rPr>
                                  <w:rFonts w:ascii="EC Square Sans Pro" w:hAnsi="EC Square Sans Pro"/>
                                  <w:b/>
                                  <w:color w:val="F05A28"/>
                                  <w:sz w:val="22"/>
                                </w:rPr>
                              </w:pPr>
                              <w:r>
                                <w:rPr>
                                  <w:rFonts w:ascii="EC Square Sans Pro" w:hAnsi="EC Square Sans Pro"/>
                                  <w:b/>
                                  <w:color w:val="F05A28"/>
                                  <w:sz w:val="22"/>
                                </w:rPr>
                                <w:t>Sonstige Programme</w:t>
                              </w:r>
                            </w:p>
                            <w:p w:rsidR="00287320" w:rsidRPr="005B7286" w:rsidRDefault="00287320" w:rsidP="008B6253">
                              <w:pPr>
                                <w:spacing w:after="0" w:line="200" w:lineRule="exact"/>
                                <w:jc w:val="right"/>
                                <w:rPr>
                                  <w:rFonts w:ascii="EC Square Sans Pro" w:hAnsi="EC Square Sans Pro"/>
                                  <w:b/>
                                  <w:color w:val="F05A28"/>
                                  <w:sz w:val="22"/>
                                </w:rPr>
                              </w:pPr>
                              <w:r>
                                <w:rPr>
                                  <w:rFonts w:ascii="EC Square Sans Pro" w:hAnsi="EC Square Sans Pro"/>
                                  <w:b/>
                                  <w:color w:val="F05A28"/>
                                  <w:sz w:val="22"/>
                                </w:rPr>
                                <w:t>im Rahmen des EU-Haushalts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115864B" id="Group 142" o:spid="_x0000_s1056" style="position:absolute;margin-left:.35pt;margin-top:8.2pt;width:469.5pt;height:92.25pt;z-index:251660288;mso-height-relative:margin" coordsize="5962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fbjQMAAKcUAAAOAAAAZHJzL2Uyb0RvYy54bWzsWNtO3DAQfa/Uf7D8XnLdZHdFQBQKqoQA&#10;CSqejdfZjZTEru0loV/fsRMHWEBoqcpN+5L4MvF4zpyZib2921YlumZSFbzOcLDlY8RqymdFPc/w&#10;r4vDb2OMlCb1jJS8Zhm+YQrv7nz9st2IKQv5gpczJhEsUqtpIzK80FpMPU/RBauI2uKC1TCZc1kR&#10;DV0592aSNLB6VXqh7ydew+VMSE6ZUjB60E3iHbt+njOqT/NcMY3KDMPetH1K+7wyT29nm0znkohF&#10;QfttkBfsoiJFDUqHpQ6IJmgpiwdLVQWVXPFcb1FeeTzPC8qsDWBN4K9YcyT5Ulhb5tNmLgaYANoV&#10;nF68LD25PpOomIHv4hCjmlTgJKsXmQGApxHzKUgdSXEuzmQ/MO96xuI2l5V5gy2otcDeDMCyViMK&#10;g6NJEiYjwJ/CXBCkwSgdddDTBfjnwXd08eOZLz2n2DP7G7bTCKCRukVK/RtS5wsimHWAMhg4pKLE&#10;IXVhLPzOWxTAmMXGChqkkG5hAsx14woGnwQsHQc+AGTp6FALkyT1/R61CASgDQKD6WQqpNJHjFfI&#10;NDIsge6WheT6WOlO1IkYzTU/LMrS6ihr1GQ4iUDnvRlYvKxBhwGy27Bp6faqtSQJB2uu+OwGjJS8&#10;Cykl6GEBmzgmSp8RCTEE+4a8oE/hkZcclPG+hdGCyz+PjRt5cBjMYtRATGZY/V4SyTAqf9bgykkQ&#10;xyaIbScepSF05N2Zq7sz9bLa5xD2AWQgQW3TyOvSNXPJq0tIH3tGK0yRmoLuDGvX3NddpoD0Q9ne&#10;nhWCsBVEH9fngpqlDXgG4ov2kkjR+0GDB0+4Iw+Zrrijk+1g31tqnhfWVwboDtUefyCyCb9XYXT6&#10;CKNTx1yg/jqMjkZJaIiFINjTiT/E+sDr2Pejd8brPtU5D2x4/f953aftocK47GpC/H4dsmlvzToU&#10;RGmQGJIBCUd+PA77guNIGANJY6hCtiSF/mTksu9zFemJD4es/CYFCezoILtTkKzBJn2sGb4dZiu1&#10;KPDTJAIMV+AarH6LWhS5/LSpRZ+qFsGR4QGZx87Xa5I5jIOJq0UfgNKxM3ND6U9F6ckjlJ44X69J&#10;6SgeJ0H/e/UBKD2UoQ2lX4fStz8gr3V6iOGItZqxYQwOmi/4/YgiOD2YP42H1wjhOzw4DMf+Db1f&#10;kd5wG2YvQvqbO3PddrdvD9C394s7fwEAAP//AwBQSwMEFAAGAAgAAAAhAMeO8hjcAAAABwEAAA8A&#10;AABkcnMvZG93bnJldi54bWxMjk9Pg0AQxe8mfofNmHizC1arIEvTNOqpaWJrYrxNYQqk7Cxht0C/&#10;veNJj+9P3vtly8m2aqDeN44NxLMIFHHhyoYrA5/7t7tnUD4gl9g6JgMX8rDMr68yTEs38gcNu1Ap&#10;GWGfooE6hC7V2hc1WfQz1xFLdnS9xSCyr3TZ4yjjttX3UbTQFhuWhxo7WtdUnHZna+B9xHE1j1+H&#10;zem4vnzvH7dfm5iMub2ZVi+gAk3hrwy/+IIOuTAd3JlLr1oDT9ITd/EAStJknohxMCCnCeg80//5&#10;8x8AAAD//wMAUEsBAi0AFAAGAAgAAAAhALaDOJL+AAAA4QEAABMAAAAAAAAAAAAAAAAAAAAAAFtD&#10;b250ZW50X1R5cGVzXS54bWxQSwECLQAUAAYACAAAACEAOP0h/9YAAACUAQAACwAAAAAAAAAAAAAA&#10;AAAvAQAAX3JlbHMvLnJlbHNQSwECLQAUAAYACAAAACEA740H240DAACnFAAADgAAAAAAAAAAAAAA&#10;AAAuAgAAZHJzL2Uyb0RvYy54bWxQSwECLQAUAAYACAAAACEAx47yGNwAAAAHAQAADwAAAAAAAAAA&#10;AAAAAADnBQAAZHJzL2Rvd25yZXYueG1sUEsFBgAAAAAEAAQA8wAAAPAGAAAAAA==&#10;">
                <v:shape id="Text Box 136" o:spid="_x0000_s1057" type="#_x0000_t202" style="position:absolute;top:7810;width:2667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287320" w:rsidRPr="005B7286" w:rsidRDefault="00287320" w:rsidP="008B6253">
                        <w:pPr>
                          <w:spacing w:after="0" w:line="200" w:lineRule="exact"/>
                          <w:rPr>
                            <w:rFonts w:ascii="EC Square Sans Pro" w:hAnsi="EC Square Sans Pro"/>
                            <w:b/>
                            <w:color w:val="4C4B9A"/>
                            <w:sz w:val="22"/>
                          </w:rPr>
                        </w:pPr>
                        <w:r>
                          <w:rPr>
                            <w:rFonts w:ascii="EC Square Sans Pro" w:hAnsi="EC Square Sans Pro"/>
                            <w:b/>
                            <w:color w:val="4C4B9A"/>
                            <w:sz w:val="22"/>
                          </w:rPr>
                          <w:t xml:space="preserve">Finanzhilfen an EU-Mitgliedstaaten aus der Aufbau- und Resilienzfazilität </w:t>
                        </w:r>
                      </w:p>
                    </w:txbxContent>
                  </v:textbox>
                </v:shape>
                <v:shape id="Text Box 137" o:spid="_x0000_s1058" type="#_x0000_t202" style="position:absolute;left:35623;top:7905;width:2400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287320" w:rsidRPr="005B7286" w:rsidRDefault="00287320" w:rsidP="008B6253">
                        <w:pPr>
                          <w:spacing w:after="0" w:line="200" w:lineRule="exact"/>
                          <w:rPr>
                            <w:rFonts w:ascii="EC Square Sans Pro" w:hAnsi="EC Square Sans Pro"/>
                            <w:b/>
                            <w:color w:val="F68A4C"/>
                            <w:sz w:val="22"/>
                          </w:rPr>
                        </w:pPr>
                        <w:r>
                          <w:rPr>
                            <w:rFonts w:ascii="EC Square Sans Pro" w:hAnsi="EC Square Sans Pro"/>
                            <w:b/>
                            <w:color w:val="F68A4C"/>
                            <w:sz w:val="22"/>
                          </w:rPr>
                          <w:t>Darlehen an EU-Mitgliedstaaten aus der Aufbau- und Resilienzfaz.</w:t>
                        </w:r>
                      </w:p>
                    </w:txbxContent>
                  </v:textbox>
                </v:shape>
                <v:group id="Group 140" o:spid="_x0000_s1059" style="position:absolute;left:13716;top:5048;width:45624;height:2095" coordsize="45624,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Text Box 135" o:spid="_x0000_s1060" type="#_x0000_t202" style="position:absolute;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46</w:t>
                          </w:r>
                          <w:r>
                            <w:rPr>
                              <w:rFonts w:ascii="EC Square Sans Pro" w:hAnsi="EC Square Sans Pro"/>
                              <w:b/>
                              <w:color w:val="FFFFFF" w:themeColor="background1"/>
                            </w:rPr>
                            <w:t>,</w:t>
                          </w:r>
                          <w:r w:rsidRPr="00033DD1">
                            <w:rPr>
                              <w:rFonts w:ascii="EC Square Sans Pro" w:hAnsi="EC Square Sans Pro"/>
                              <w:b/>
                              <w:color w:val="FFFFFF" w:themeColor="background1"/>
                            </w:rPr>
                            <w:t>4</w:t>
                          </w:r>
                          <w:r>
                            <w:rPr>
                              <w:rFonts w:ascii="EC Square Sans Pro" w:hAnsi="EC Square Sans Pro"/>
                              <w:b/>
                              <w:color w:val="FFFFFF" w:themeColor="background1"/>
                            </w:rPr>
                            <w:t> Mrd. EUR</w:t>
                          </w:r>
                        </w:p>
                      </w:txbxContent>
                    </v:textbox>
                  </v:shape>
                  <v:shape id="Text Box 138" o:spid="_x0000_s1061" type="#_x0000_t202" style="position:absolute;left:24193;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18</w:t>
                          </w:r>
                          <w:r>
                            <w:rPr>
                              <w:rFonts w:ascii="EC Square Sans Pro" w:hAnsi="EC Square Sans Pro"/>
                              <w:b/>
                              <w:color w:val="FFFFFF" w:themeColor="background1"/>
                            </w:rPr>
                            <w:t>,</w:t>
                          </w:r>
                          <w:r w:rsidRPr="00033DD1">
                            <w:rPr>
                              <w:rFonts w:ascii="EC Square Sans Pro" w:hAnsi="EC Square Sans Pro"/>
                              <w:b/>
                              <w:color w:val="FFFFFF" w:themeColor="background1"/>
                            </w:rPr>
                            <w:t>0</w:t>
                          </w:r>
                          <w:r>
                            <w:rPr>
                              <w:rFonts w:ascii="EC Square Sans Pro" w:hAnsi="EC Square Sans Pro"/>
                              <w:b/>
                              <w:color w:val="FFFFFF" w:themeColor="background1"/>
                            </w:rPr>
                            <w:t> Mrd. EUR</w:t>
                          </w:r>
                        </w:p>
                      </w:txbxContent>
                    </v:textbox>
                  </v:shape>
                  <v:shape id="Text Box 139" o:spid="_x0000_s1062" type="#_x0000_t202" style="position:absolute;left:34861;width:1076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287320" w:rsidRPr="00EB44F6" w:rsidRDefault="00287320" w:rsidP="008B6253">
                          <w:pPr>
                            <w:spacing w:after="0" w:line="200" w:lineRule="exact"/>
                            <w:jc w:val="center"/>
                            <w:rPr>
                              <w:rFonts w:ascii="EC Square Sans Pro" w:hAnsi="EC Square Sans Pro"/>
                              <w:b/>
                              <w:color w:val="FFFFFF" w:themeColor="background1"/>
                            </w:rPr>
                          </w:pPr>
                          <w:r w:rsidRPr="00033DD1">
                            <w:rPr>
                              <w:rFonts w:ascii="EC Square Sans Pro" w:hAnsi="EC Square Sans Pro"/>
                              <w:b/>
                              <w:color w:val="FFFFFF" w:themeColor="background1"/>
                            </w:rPr>
                            <w:t>8</w:t>
                          </w:r>
                          <w:r>
                            <w:rPr>
                              <w:rFonts w:ascii="EC Square Sans Pro" w:hAnsi="EC Square Sans Pro"/>
                              <w:b/>
                              <w:color w:val="FFFFFF" w:themeColor="background1"/>
                            </w:rPr>
                            <w:t>,</w:t>
                          </w:r>
                          <w:r w:rsidRPr="00033DD1">
                            <w:rPr>
                              <w:rFonts w:ascii="EC Square Sans Pro" w:hAnsi="EC Square Sans Pro"/>
                              <w:b/>
                              <w:color w:val="FFFFFF" w:themeColor="background1"/>
                            </w:rPr>
                            <w:t>6</w:t>
                          </w:r>
                          <w:r>
                            <w:rPr>
                              <w:rFonts w:ascii="EC Square Sans Pro" w:hAnsi="EC Square Sans Pro"/>
                              <w:b/>
                              <w:color w:val="FFFFFF" w:themeColor="background1"/>
                            </w:rPr>
                            <w:t> Mrd. EUR</w:t>
                          </w:r>
                          <w:r>
                            <w:rPr>
                              <w:rFonts w:ascii="EC Square Sans Pro" w:hAnsi="EC Square Sans Pro"/>
                              <w:color w:val="FFFFFF" w:themeColor="background1"/>
                              <w:vertAlign w:val="superscript"/>
                            </w:rPr>
                            <w:t>(</w:t>
                          </w:r>
                          <w:r w:rsidRPr="00033DD1">
                            <w:rPr>
                              <w:rFonts w:ascii="EC Square Sans Pro" w:hAnsi="EC Square Sans Pro"/>
                              <w:color w:val="FFFFFF" w:themeColor="background1"/>
                              <w:vertAlign w:val="superscript"/>
                            </w:rPr>
                            <w:t>1</w:t>
                          </w:r>
                          <w:r>
                            <w:rPr>
                              <w:rFonts w:ascii="EC Square Sans Pro" w:hAnsi="EC Square Sans Pro"/>
                              <w:color w:val="FFFFFF" w:themeColor="background1"/>
                              <w:vertAlign w:val="superscript"/>
                            </w:rPr>
                            <w:t>)</w:t>
                          </w:r>
                        </w:p>
                      </w:txbxContent>
                    </v:textbox>
                  </v:shape>
                </v:group>
                <v:shape id="Text Box 141" o:spid="_x0000_s1063" type="#_x0000_t202" style="position:absolute;left:33623;width:2400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rsidR="00287320" w:rsidRPr="005B7286" w:rsidRDefault="00287320" w:rsidP="008B6253">
                        <w:pPr>
                          <w:spacing w:after="0" w:line="200" w:lineRule="exact"/>
                          <w:jc w:val="right"/>
                          <w:rPr>
                            <w:rFonts w:ascii="EC Square Sans Pro" w:hAnsi="EC Square Sans Pro"/>
                            <w:b/>
                            <w:color w:val="F05A28"/>
                            <w:sz w:val="22"/>
                          </w:rPr>
                        </w:pPr>
                        <w:r>
                          <w:rPr>
                            <w:rFonts w:ascii="EC Square Sans Pro" w:hAnsi="EC Square Sans Pro"/>
                            <w:b/>
                            <w:color w:val="F05A28"/>
                            <w:sz w:val="22"/>
                          </w:rPr>
                          <w:t>Sonstige Programme</w:t>
                        </w:r>
                      </w:p>
                      <w:p w:rsidR="00287320" w:rsidRPr="005B7286" w:rsidRDefault="00287320" w:rsidP="008B6253">
                        <w:pPr>
                          <w:spacing w:after="0" w:line="200" w:lineRule="exact"/>
                          <w:jc w:val="right"/>
                          <w:rPr>
                            <w:rFonts w:ascii="EC Square Sans Pro" w:hAnsi="EC Square Sans Pro"/>
                            <w:b/>
                            <w:color w:val="F05A28"/>
                            <w:sz w:val="22"/>
                          </w:rPr>
                        </w:pPr>
                        <w:r>
                          <w:rPr>
                            <w:rFonts w:ascii="EC Square Sans Pro" w:hAnsi="EC Square Sans Pro"/>
                            <w:b/>
                            <w:color w:val="F05A28"/>
                            <w:sz w:val="22"/>
                          </w:rPr>
                          <w:t>im Rahmen des EU-Haushalts</w:t>
                        </w:r>
                      </w:p>
                    </w:txbxContent>
                  </v:textbox>
                </v:shape>
              </v:group>
            </w:pict>
          </mc:Fallback>
        </mc:AlternateContent>
      </w:r>
      <w:r>
        <w:rPr>
          <w:rFonts w:ascii="EC Square Sans Pro" w:hAnsi="EC Square Sans Pro"/>
          <w:noProof/>
          <w:color w:val="F68A4C"/>
          <w:sz w:val="22"/>
          <w:szCs w:val="22"/>
        </w:rPr>
        <w:t xml:space="preserve">zum </w:t>
      </w:r>
      <w:r w:rsidRPr="00033DD1">
        <w:rPr>
          <w:rFonts w:ascii="EC Square Sans Pro" w:hAnsi="EC Square Sans Pro"/>
          <w:noProof/>
          <w:color w:val="F68A4C"/>
          <w:sz w:val="22"/>
          <w:szCs w:val="22"/>
        </w:rPr>
        <w:t>31</w:t>
      </w:r>
      <w:r>
        <w:rPr>
          <w:rFonts w:ascii="EC Square Sans Pro" w:hAnsi="EC Square Sans Pro"/>
          <w:noProof/>
          <w:color w:val="F68A4C"/>
          <w:sz w:val="22"/>
          <w:szCs w:val="22"/>
        </w:rPr>
        <w:t xml:space="preserve">. Dezember </w:t>
      </w:r>
      <w:r w:rsidRPr="00033DD1">
        <w:rPr>
          <w:rFonts w:ascii="EC Square Sans Pro" w:hAnsi="EC Square Sans Pro"/>
          <w:noProof/>
          <w:color w:val="F68A4C"/>
          <w:sz w:val="22"/>
          <w:szCs w:val="22"/>
        </w:rPr>
        <w:t>2021</w:t>
      </w:r>
      <w:r>
        <w:rPr>
          <w:b/>
          <w:noProof/>
          <w:lang w:val="en-GB" w:eastAsia="en-GB"/>
        </w:rPr>
        <w:drawing>
          <wp:inline distT="0" distB="0" distL="0" distR="0" wp14:anchorId="3AB33556" wp14:editId="0811E758">
            <wp:extent cx="5757652" cy="11614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r-E_infographics"/>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8275"/>
                    <a:stretch/>
                  </pic:blipFill>
                  <pic:spPr bwMode="auto">
                    <a:xfrm>
                      <a:off x="0" y="0"/>
                      <a:ext cx="5760085" cy="116190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8B6253" w:rsidRPr="00915269" w:rsidTr="00804E4F">
        <w:trPr>
          <w:trHeight w:val="124"/>
        </w:trPr>
        <w:tc>
          <w:tcPr>
            <w:tcW w:w="9072" w:type="dxa"/>
            <w:shd w:val="clear" w:color="auto" w:fill="F2F2F2"/>
            <w:vAlign w:val="center"/>
          </w:tcPr>
          <w:p w:rsidR="008B6253" w:rsidRPr="00804E4F" w:rsidRDefault="008B6253" w:rsidP="00804E4F">
            <w:pPr>
              <w:spacing w:after="0" w:line="240" w:lineRule="auto"/>
              <w:rPr>
                <w:rFonts w:ascii="EC Square Sans Pro" w:eastAsia="Calibri" w:hAnsi="EC Square Sans Pro"/>
                <w:b/>
                <w:noProof/>
                <w:color w:val="4C4B9A"/>
                <w:sz w:val="22"/>
              </w:rPr>
            </w:pPr>
            <w:r>
              <w:rPr>
                <w:rFonts w:ascii="EC Square Sans Pro" w:hAnsi="EC Square Sans Pro"/>
                <w:b/>
                <w:noProof/>
                <w:color w:val="4C4B9A"/>
                <w:sz w:val="22"/>
              </w:rPr>
              <w:t>WICHTIGSTE FAKTEN</w:t>
            </w:r>
          </w:p>
        </w:tc>
      </w:tr>
      <w:tr w:rsidR="008B6253" w:rsidRPr="00915269" w:rsidTr="00804E4F">
        <w:tc>
          <w:tcPr>
            <w:tcW w:w="9072" w:type="dxa"/>
            <w:shd w:val="clear" w:color="auto" w:fill="F2F2F2"/>
            <w:vAlign w:val="center"/>
          </w:tcPr>
          <w:p w:rsidR="008B6253" w:rsidRPr="00804E4F" w:rsidRDefault="008B6253" w:rsidP="00804E4F">
            <w:pPr>
              <w:numPr>
                <w:ilvl w:val="0"/>
                <w:numId w:val="4"/>
              </w:numPr>
              <w:spacing w:after="0" w:line="240" w:lineRule="auto"/>
              <w:ind w:left="170" w:hanging="170"/>
              <w:contextualSpacing/>
              <w:rPr>
                <w:rFonts w:ascii="EC Square Sans Pro" w:eastAsia="Calibri" w:hAnsi="EC Square Sans Pro"/>
                <w:noProof/>
                <w:color w:val="4C4B9A"/>
                <w:sz w:val="22"/>
              </w:rPr>
            </w:pPr>
            <w:r w:rsidRPr="00033DD1">
              <w:rPr>
                <w:rFonts w:ascii="EC Square Sans Pro" w:hAnsi="EC Square Sans Pro"/>
                <w:noProof/>
                <w:color w:val="4C4B9A"/>
                <w:sz w:val="22"/>
              </w:rPr>
              <w:t>20</w:t>
            </w:r>
            <w:r>
              <w:rPr>
                <w:rFonts w:ascii="EC Square Sans Pro" w:hAnsi="EC Square Sans Pro"/>
                <w:noProof/>
                <w:color w:val="4C4B9A"/>
                <w:sz w:val="22"/>
              </w:rPr>
              <w:t> Mitgliedstaaten erhielten Finanzhilfen und Darlehen aus der Aufbau- und Resilienzfazilität</w:t>
            </w:r>
            <w:r>
              <w:rPr>
                <w:rFonts w:ascii="EC Square Sans Pro" w:hAnsi="EC Square Sans Pro"/>
                <w:noProof/>
                <w:color w:val="4C4B9A"/>
                <w:sz w:val="22"/>
                <w:vertAlign w:val="superscript"/>
              </w:rPr>
              <w:t>(</w:t>
            </w:r>
            <w:r w:rsidRPr="00033DD1">
              <w:rPr>
                <w:rFonts w:ascii="EC Square Sans Pro" w:hAnsi="EC Square Sans Pro"/>
                <w:noProof/>
                <w:color w:val="4C4B9A"/>
                <w:sz w:val="22"/>
                <w:vertAlign w:val="superscript"/>
              </w:rPr>
              <w:t>2</w:t>
            </w:r>
            <w:r>
              <w:rPr>
                <w:rFonts w:ascii="EC Square Sans Pro" w:hAnsi="EC Square Sans Pro"/>
                <w:noProof/>
                <w:color w:val="4C4B9A"/>
                <w:sz w:val="22"/>
                <w:vertAlign w:val="superscript"/>
              </w:rPr>
              <w:t>)</w:t>
            </w:r>
          </w:p>
          <w:p w:rsidR="008B6253" w:rsidRPr="00804E4F" w:rsidRDefault="008B6253" w:rsidP="00804E4F">
            <w:pPr>
              <w:numPr>
                <w:ilvl w:val="0"/>
                <w:numId w:val="4"/>
              </w:numPr>
              <w:spacing w:after="0" w:line="240" w:lineRule="auto"/>
              <w:ind w:left="170" w:hanging="170"/>
              <w:contextualSpacing/>
              <w:rPr>
                <w:rFonts w:ascii="EC Square Sans Pro" w:eastAsia="Calibri" w:hAnsi="EC Square Sans Pro"/>
                <w:b/>
                <w:noProof/>
                <w:color w:val="F68A4C"/>
                <w:sz w:val="22"/>
              </w:rPr>
            </w:pPr>
            <w:r>
              <w:rPr>
                <w:rFonts w:ascii="EC Square Sans Pro" w:hAnsi="EC Square Sans Pro"/>
                <w:noProof/>
                <w:color w:val="4C4B9A"/>
                <w:sz w:val="22"/>
              </w:rPr>
              <w:t>Zahlungen innerhalb von sechs Tagen nach Unterzeichnung der Darlehens- und Finanzierungsvereinbarungen</w:t>
            </w:r>
          </w:p>
        </w:tc>
      </w:tr>
    </w:tbl>
    <w:p w:rsidR="008B6253" w:rsidRPr="00093C58" w:rsidRDefault="008B6253" w:rsidP="008B6253">
      <w:pPr>
        <w:spacing w:after="0" w:line="259" w:lineRule="auto"/>
        <w:rPr>
          <w:rFonts w:ascii="EC Square Sans Pro" w:eastAsia="Calibri" w:hAnsi="EC Square Sans Pro"/>
          <w:noProof/>
          <w:color w:val="595959"/>
          <w:sz w:val="18"/>
          <w:szCs w:val="22"/>
        </w:rPr>
      </w:pPr>
    </w:p>
    <w:p w:rsidR="008B6253" w:rsidRPr="00093C58" w:rsidRDefault="008B6253" w:rsidP="008B6253">
      <w:pPr>
        <w:spacing w:after="0" w:line="259" w:lineRule="auto"/>
        <w:rPr>
          <w:rFonts w:ascii="EC Square Sans Pro" w:eastAsia="Calibri" w:hAnsi="EC Square Sans Pro"/>
          <w:noProof/>
          <w:color w:val="595959"/>
          <w:sz w:val="18"/>
          <w:szCs w:val="22"/>
        </w:rPr>
      </w:pPr>
    </w:p>
    <w:p w:rsidR="008B6253" w:rsidRDefault="008B6253" w:rsidP="008B6253">
      <w:pPr>
        <w:spacing w:after="0" w:line="259" w:lineRule="auto"/>
        <w:rPr>
          <w:rFonts w:ascii="EC Square Sans Pro" w:eastAsia="Calibri" w:hAnsi="EC Square Sans Pro"/>
          <w:noProof/>
          <w:color w:val="595959"/>
          <w:sz w:val="18"/>
          <w:szCs w:val="22"/>
        </w:rPr>
      </w:pPr>
      <w:r>
        <w:rPr>
          <w:rFonts w:ascii="EC Square Sans Pro" w:hAnsi="EC Square Sans Pro"/>
          <w:noProof/>
          <w:color w:val="595959"/>
          <w:sz w:val="18"/>
          <w:szCs w:val="22"/>
          <w:vertAlign w:val="superscript"/>
        </w:rPr>
        <w:t>(</w:t>
      </w:r>
      <w:r w:rsidRPr="00033DD1">
        <w:rPr>
          <w:rFonts w:ascii="EC Square Sans Pro" w:hAnsi="EC Square Sans Pro"/>
          <w:noProof/>
          <w:color w:val="595959"/>
          <w:sz w:val="18"/>
          <w:szCs w:val="22"/>
          <w:vertAlign w:val="superscript"/>
        </w:rPr>
        <w:t>1</w:t>
      </w:r>
      <w:r>
        <w:rPr>
          <w:rFonts w:ascii="EC Square Sans Pro" w:hAnsi="EC Square Sans Pro"/>
          <w:noProof/>
          <w:color w:val="595959"/>
          <w:sz w:val="18"/>
          <w:szCs w:val="22"/>
          <w:vertAlign w:val="superscript"/>
        </w:rPr>
        <w:t>)</w:t>
      </w:r>
      <w:r>
        <w:rPr>
          <w:rFonts w:ascii="EC Square Sans Pro" w:hAnsi="EC Square Sans Pro"/>
          <w:noProof/>
          <w:color w:val="595959"/>
          <w:sz w:val="18"/>
          <w:szCs w:val="22"/>
        </w:rPr>
        <w:t xml:space="preserve"> Die Mittel stehen zur Verfügung für Horizont Europa, den Fonds „InvestEU“, ReactEU, das Katastrophenschutzverfahren der Union (RescEU), den Europäischen Landwirtschaftsfonds für die Entwicklung des ländlichen Raumes (ELER) und den Fonds für einen gerechten Übergang. Die tatsächlichen Auszahlungen an Endbegünstigte können aufgrund von unterschiedlichen Zeitplänen niedriger sein.</w:t>
      </w:r>
      <w:r>
        <w:rPr>
          <w:noProof/>
        </w:rPr>
        <w:t xml:space="preserve"> </w:t>
      </w:r>
      <w:r>
        <w:rPr>
          <w:noProof/>
        </w:rPr>
        <w:br/>
      </w:r>
      <w:r>
        <w:rPr>
          <w:rFonts w:ascii="EC Square Sans Pro" w:hAnsi="EC Square Sans Pro"/>
          <w:noProof/>
          <w:color w:val="595959"/>
          <w:sz w:val="18"/>
          <w:szCs w:val="22"/>
          <w:vertAlign w:val="superscript"/>
        </w:rPr>
        <w:t>(</w:t>
      </w:r>
      <w:r w:rsidRPr="00033DD1">
        <w:rPr>
          <w:rFonts w:ascii="EC Square Sans Pro" w:hAnsi="EC Square Sans Pro"/>
          <w:noProof/>
          <w:color w:val="595959"/>
          <w:sz w:val="18"/>
          <w:szCs w:val="22"/>
          <w:vertAlign w:val="superscript"/>
        </w:rPr>
        <w:t>2</w:t>
      </w:r>
      <w:r>
        <w:rPr>
          <w:rFonts w:ascii="EC Square Sans Pro" w:hAnsi="EC Square Sans Pro"/>
          <w:noProof/>
          <w:color w:val="595959"/>
          <w:sz w:val="18"/>
          <w:szCs w:val="22"/>
          <w:vertAlign w:val="superscript"/>
        </w:rPr>
        <w:t>)</w:t>
      </w:r>
      <w:r>
        <w:rPr>
          <w:rFonts w:ascii="EC Square Sans Pro" w:hAnsi="EC Square Sans Pro"/>
          <w:noProof/>
          <w:color w:val="595959"/>
          <w:sz w:val="18"/>
          <w:szCs w:val="22"/>
        </w:rPr>
        <w:t xml:space="preserve"> Die Aufbau- und Resilienzpläne von </w:t>
      </w:r>
      <w:r w:rsidRPr="00033DD1">
        <w:rPr>
          <w:rFonts w:ascii="EC Square Sans Pro" w:hAnsi="EC Square Sans Pro"/>
          <w:noProof/>
          <w:color w:val="595959"/>
          <w:sz w:val="18"/>
          <w:szCs w:val="22"/>
        </w:rPr>
        <w:t>22</w:t>
      </w:r>
      <w:r>
        <w:rPr>
          <w:rFonts w:ascii="EC Square Sans Pro" w:hAnsi="EC Square Sans Pro"/>
          <w:noProof/>
          <w:color w:val="595959"/>
          <w:sz w:val="18"/>
          <w:szCs w:val="22"/>
        </w:rPr>
        <w:t xml:space="preserve"> Mitgliedstaaten waren bis Ende </w:t>
      </w:r>
      <w:r w:rsidRPr="00033DD1">
        <w:rPr>
          <w:rFonts w:ascii="EC Square Sans Pro" w:hAnsi="EC Square Sans Pro"/>
          <w:noProof/>
          <w:color w:val="595959"/>
          <w:sz w:val="18"/>
          <w:szCs w:val="22"/>
        </w:rPr>
        <w:t>2021</w:t>
      </w:r>
      <w:r>
        <w:rPr>
          <w:rFonts w:ascii="EC Square Sans Pro" w:hAnsi="EC Square Sans Pro"/>
          <w:noProof/>
          <w:color w:val="595959"/>
          <w:sz w:val="18"/>
          <w:szCs w:val="22"/>
        </w:rPr>
        <w:t xml:space="preserve"> genehmigt worden, aber ein Mitgliedstaat erhielt im Januar </w:t>
      </w:r>
      <w:r w:rsidRPr="00033DD1">
        <w:rPr>
          <w:rFonts w:ascii="EC Square Sans Pro" w:hAnsi="EC Square Sans Pro"/>
          <w:noProof/>
          <w:color w:val="595959"/>
          <w:sz w:val="18"/>
          <w:szCs w:val="22"/>
        </w:rPr>
        <w:t>2022</w:t>
      </w:r>
      <w:r>
        <w:rPr>
          <w:rFonts w:ascii="EC Square Sans Pro" w:hAnsi="EC Square Sans Pro"/>
          <w:noProof/>
          <w:color w:val="595959"/>
          <w:sz w:val="18"/>
          <w:szCs w:val="22"/>
        </w:rPr>
        <w:t xml:space="preserve"> Vorfinanzierungen und ein Mitgliedstaat beantragte keine Vorfinanzierung.</w:t>
      </w:r>
    </w:p>
    <w:p w:rsidR="008B6253" w:rsidRPr="00864D5D" w:rsidRDefault="008B6253" w:rsidP="008B6253">
      <w:pPr>
        <w:pStyle w:val="Heading1"/>
        <w:rPr>
          <w:bCs/>
          <w:noProof/>
          <w:color w:val="auto"/>
          <w:sz w:val="24"/>
          <w:szCs w:val="24"/>
        </w:rPr>
      </w:pPr>
      <w:bookmarkStart w:id="3" w:name="_Toc95730139"/>
      <w:r>
        <w:rPr>
          <w:noProof/>
          <w:color w:val="auto"/>
          <w:sz w:val="24"/>
          <w:szCs w:val="24"/>
        </w:rPr>
        <w:t>Einleitung</w:t>
      </w:r>
      <w:bookmarkEnd w:id="3"/>
      <w:r>
        <w:rPr>
          <w:noProof/>
          <w:color w:val="auto"/>
          <w:sz w:val="24"/>
          <w:szCs w:val="24"/>
        </w:rPr>
        <w:t xml:space="preserve"> </w:t>
      </w:r>
    </w:p>
    <w:p w:rsidR="008B6253" w:rsidRPr="00D762C1" w:rsidRDefault="008B6253" w:rsidP="008B6253">
      <w:pPr>
        <w:spacing w:line="240" w:lineRule="auto"/>
        <w:jc w:val="both"/>
        <w:rPr>
          <w:noProof/>
        </w:rPr>
      </w:pPr>
      <w:r>
        <w:rPr>
          <w:noProof/>
        </w:rPr>
        <w:t xml:space="preserve">NextGenerationEU ist ein bahnbrechendes Finanzierungsprogramm, mit dem bis zu </w:t>
      </w:r>
      <w:r w:rsidRPr="00033DD1">
        <w:rPr>
          <w:noProof/>
        </w:rPr>
        <w:t>5</w:t>
      </w:r>
      <w:r>
        <w:rPr>
          <w:noProof/>
        </w:rPr>
        <w:t> % des EU-BIP durch Aufnahme von Darlehen mobilisiert werden können, um eine gemeinsame und wirkungsvolle Reaktion der EU auf die COVID-</w:t>
      </w:r>
      <w:r w:rsidRPr="00033DD1">
        <w:rPr>
          <w:noProof/>
        </w:rPr>
        <w:t>19</w:t>
      </w:r>
      <w:r>
        <w:rPr>
          <w:noProof/>
        </w:rPr>
        <w:t>-Pandemie zu finanzieren. Bei NextGenerationEU handelt es sich um ein zeitlich befristetes Instrument, mit dem die Kommission im Zeitraum von Mitte </w:t>
      </w:r>
      <w:r w:rsidRPr="00033DD1">
        <w:rPr>
          <w:noProof/>
        </w:rPr>
        <w:t>2021</w:t>
      </w:r>
      <w:r>
        <w:rPr>
          <w:noProof/>
        </w:rPr>
        <w:t xml:space="preserve"> bis </w:t>
      </w:r>
      <w:r w:rsidRPr="00033DD1">
        <w:rPr>
          <w:noProof/>
        </w:rPr>
        <w:t>2026</w:t>
      </w:r>
      <w:r>
        <w:rPr>
          <w:noProof/>
        </w:rPr>
        <w:t xml:space="preserve"> durch die Emission von Anleihen bis zu </w:t>
      </w:r>
      <w:r w:rsidRPr="00033DD1">
        <w:rPr>
          <w:noProof/>
        </w:rPr>
        <w:t>800</w:t>
      </w:r>
      <w:r>
        <w:rPr>
          <w:noProof/>
        </w:rPr>
        <w:t xml:space="preserve"> Mrd. EUR beschaffen kann. Die Erlöse aus dieser Emission von Anleihen versetzen die EU in die Lage, die unmittelbaren Herausforderungen beim Aufbau zu meistern, aber auch, den grünen Wandel und die Digitalisierung der EU-Wirtschaft zu beschleunigen. Durch die Emission grüner Anleihen in Rahmen von NextGenerationEU werden bis zu </w:t>
      </w:r>
      <w:r w:rsidRPr="00033DD1">
        <w:rPr>
          <w:noProof/>
        </w:rPr>
        <w:t>250</w:t>
      </w:r>
      <w:r>
        <w:rPr>
          <w:noProof/>
        </w:rPr>
        <w:t> Mrd. EUR beschafft. Im Rahmen von NextGenerationEU werden im Zeitraum von Mitte </w:t>
      </w:r>
      <w:r w:rsidRPr="00033DD1">
        <w:rPr>
          <w:noProof/>
        </w:rPr>
        <w:t>2021</w:t>
      </w:r>
      <w:r>
        <w:rPr>
          <w:noProof/>
        </w:rPr>
        <w:t xml:space="preserve"> bis </w:t>
      </w:r>
      <w:r w:rsidRPr="00033DD1">
        <w:rPr>
          <w:noProof/>
        </w:rPr>
        <w:t>2026</w:t>
      </w:r>
      <w:r>
        <w:rPr>
          <w:noProof/>
        </w:rPr>
        <w:t xml:space="preserve"> jährlich Anleihen von durchschnittlich bis zu etwa </w:t>
      </w:r>
      <w:r w:rsidRPr="00033DD1">
        <w:rPr>
          <w:noProof/>
        </w:rPr>
        <w:t>150</w:t>
      </w:r>
      <w:r>
        <w:rPr>
          <w:noProof/>
        </w:rPr>
        <w:t> Mrd. EUR emittiert, wodurch die EU zu einem der größten Emittenten von auf Euro lautenden Schuldtiteln wird.</w:t>
      </w:r>
    </w:p>
    <w:p w:rsidR="008B6253" w:rsidRDefault="008B6253" w:rsidP="008B6253">
      <w:pPr>
        <w:spacing w:line="240" w:lineRule="auto"/>
        <w:jc w:val="both"/>
        <w:rPr>
          <w:noProof/>
          <w:spacing w:val="-6"/>
        </w:rPr>
      </w:pPr>
      <w:r>
        <w:rPr>
          <w:noProof/>
        </w:rPr>
        <w:t>In diesem Bericht – dem ersten halbjährlichen Bericht nach Artikel </w:t>
      </w:r>
      <w:r w:rsidRPr="00033DD1">
        <w:rPr>
          <w:noProof/>
        </w:rPr>
        <w:t>12</w:t>
      </w:r>
      <w:r>
        <w:rPr>
          <w:noProof/>
        </w:rPr>
        <w:t xml:space="preserve"> des Durchführungsbeschlusses C(</w:t>
      </w:r>
      <w:r w:rsidRPr="00033DD1">
        <w:rPr>
          <w:noProof/>
        </w:rPr>
        <w:t>2021</w:t>
      </w:r>
      <w:r>
        <w:rPr>
          <w:noProof/>
        </w:rPr>
        <w:t>) </w:t>
      </w:r>
      <w:r w:rsidRPr="00033DD1">
        <w:rPr>
          <w:noProof/>
        </w:rPr>
        <w:t>2502</w:t>
      </w:r>
      <w:r>
        <w:rPr>
          <w:noProof/>
        </w:rPr>
        <w:t xml:space="preserve"> der Kommission – wird die Durchführung der Finanzierungsstrategie NextGenerationEU im Zeitraum von Juni bis Dezember </w:t>
      </w:r>
      <w:r w:rsidRPr="00033DD1">
        <w:rPr>
          <w:noProof/>
        </w:rPr>
        <w:t>2021</w:t>
      </w:r>
      <w:r>
        <w:rPr>
          <w:noProof/>
        </w:rPr>
        <w:t xml:space="preserve"> überprüft. Der Schwerpunkt des Berichts liegt ausschließlich auf dem durchgeführten Verfahren zur Beschaffung und Auszahlung der Finanzierung für NextGenerationEU. Es wird nicht bewertet, wie die Erlöse verwendet werden, einschließlich für grüne Ausgaben, da diese in der gesonderten Berichterstattung im Einklang mit den Vorschriften eines jeden im Rahmen von NextGenerationEU finanzierten Instruments enthalten sind. Dieser Bericht ist Teil eines regelmäßigen Informationsflusses an das Europäische Parlament und die Mitgliedstaaten über die Durchführung dieses groß angelegten und innovativen Finanzierungsprogramms. Die Finanzierungsgeschäfte im Rahmen von NextGenerationEU sind von Transparenz und Rechenschaftspflicht geprägt.</w:t>
      </w:r>
    </w:p>
    <w:p w:rsidR="008B6253" w:rsidRPr="00864D5D" w:rsidRDefault="008B6253" w:rsidP="008B6253">
      <w:pPr>
        <w:spacing w:line="240" w:lineRule="auto"/>
        <w:jc w:val="both"/>
        <w:rPr>
          <w:noProof/>
          <w:spacing w:val="-6"/>
        </w:rPr>
      </w:pPr>
    </w:p>
    <w:p w:rsidR="008B6253" w:rsidRPr="00864D5D" w:rsidRDefault="008B6253" w:rsidP="008B6253">
      <w:pPr>
        <w:pStyle w:val="Heading1"/>
        <w:rPr>
          <w:bCs/>
          <w:noProof/>
          <w:color w:val="auto"/>
          <w:sz w:val="24"/>
          <w:szCs w:val="24"/>
        </w:rPr>
      </w:pPr>
      <w:bookmarkStart w:id="4" w:name="_Toc95730140"/>
      <w:r>
        <w:rPr>
          <w:noProof/>
          <w:color w:val="auto"/>
          <w:sz w:val="24"/>
          <w:szCs w:val="24"/>
        </w:rPr>
        <w:t>Wichtigste Ergebnisse des Finanzierungsprogramms NextGenerationEU</w:t>
      </w:r>
      <w:bookmarkEnd w:id="4"/>
    </w:p>
    <w:p w:rsidR="008B6253" w:rsidRPr="00864D5D" w:rsidRDefault="008B6253" w:rsidP="008B6253">
      <w:pPr>
        <w:spacing w:line="240" w:lineRule="auto"/>
        <w:jc w:val="both"/>
        <w:rPr>
          <w:noProof/>
        </w:rPr>
      </w:pPr>
      <w:r>
        <w:rPr>
          <w:noProof/>
        </w:rPr>
        <w:t>In den letzten zwölf Monaten veränderte sich die Position der Kommission auf den Fremdkapitalmärkten. Vor Beginn von SURE</w:t>
      </w:r>
      <w:r>
        <w:rPr>
          <w:rStyle w:val="FootnoteReference"/>
          <w:noProof/>
        </w:rPr>
        <w:footnoteReference w:id="1"/>
      </w:r>
      <w:r>
        <w:rPr>
          <w:noProof/>
        </w:rPr>
        <w:t xml:space="preserve"> und NextGenerationEU war die Kommission ein kleiner und unregelmäßiger Emittent und beschaffte nur begrenzte Beträge (durchschnittlich </w:t>
      </w:r>
      <w:r w:rsidRPr="00033DD1">
        <w:rPr>
          <w:noProof/>
        </w:rPr>
        <w:t>2</w:t>
      </w:r>
      <w:r>
        <w:rPr>
          <w:noProof/>
        </w:rPr>
        <w:t>-</w:t>
      </w:r>
      <w:r w:rsidRPr="00033DD1">
        <w:rPr>
          <w:noProof/>
        </w:rPr>
        <w:t>3</w:t>
      </w:r>
      <w:r>
        <w:rPr>
          <w:noProof/>
        </w:rPr>
        <w:t xml:space="preserve"> Mrd. EUR im Zeitraum von </w:t>
      </w:r>
      <w:r w:rsidRPr="00033DD1">
        <w:rPr>
          <w:noProof/>
        </w:rPr>
        <w:t>2015</w:t>
      </w:r>
      <w:r>
        <w:rPr>
          <w:noProof/>
        </w:rPr>
        <w:t xml:space="preserve"> bis </w:t>
      </w:r>
      <w:r w:rsidRPr="00033DD1">
        <w:rPr>
          <w:noProof/>
        </w:rPr>
        <w:t>2019</w:t>
      </w:r>
      <w:r>
        <w:rPr>
          <w:noProof/>
        </w:rPr>
        <w:t>) zur Finanzierung von Darlehensprogrammen wie dem Europäischen Finanzstabilisierungsmechanismus (EFSM) und der Makrofinanzhilfe (MFA). Im Laufe des Jahres </w:t>
      </w:r>
      <w:r w:rsidRPr="00033DD1">
        <w:rPr>
          <w:noProof/>
        </w:rPr>
        <w:t>2021</w:t>
      </w:r>
      <w:r>
        <w:rPr>
          <w:noProof/>
        </w:rPr>
        <w:t xml:space="preserve"> beschaffte die Kommission etwa </w:t>
      </w:r>
      <w:r w:rsidRPr="00033DD1">
        <w:rPr>
          <w:noProof/>
        </w:rPr>
        <w:t>130</w:t>
      </w:r>
      <w:r>
        <w:rPr>
          <w:noProof/>
        </w:rPr>
        <w:t xml:space="preserve"> Mrd. EUR – über </w:t>
      </w:r>
      <w:r w:rsidRPr="00033DD1">
        <w:rPr>
          <w:noProof/>
        </w:rPr>
        <w:t>50</w:t>
      </w:r>
      <w:r>
        <w:rPr>
          <w:noProof/>
        </w:rPr>
        <w:t xml:space="preserve"> Mrd. EUR für das SURE-Programm, </w:t>
      </w:r>
      <w:r w:rsidRPr="00033DD1">
        <w:rPr>
          <w:noProof/>
        </w:rPr>
        <w:t>71</w:t>
      </w:r>
      <w:r>
        <w:rPr>
          <w:noProof/>
        </w:rPr>
        <w:t xml:space="preserve"> Mrd. EUR für NextGenerationEU, davon </w:t>
      </w:r>
      <w:r w:rsidRPr="00033DD1">
        <w:rPr>
          <w:noProof/>
        </w:rPr>
        <w:t>12</w:t>
      </w:r>
      <w:r>
        <w:rPr>
          <w:noProof/>
        </w:rPr>
        <w:t xml:space="preserve"> Mrd. EUR in der Form grüner Anleihen, und </w:t>
      </w:r>
      <w:r w:rsidRPr="00033DD1">
        <w:rPr>
          <w:noProof/>
        </w:rPr>
        <w:t>12</w:t>
      </w:r>
      <w:r>
        <w:rPr>
          <w:noProof/>
        </w:rPr>
        <w:t xml:space="preserve"> Mrd. EUR für sonstige Darlehensprogramme. Im Rahmen des Finanzierungsprogramms NextGenerationEU führte die Kommission das EU-Bills-Programm ein, demzufolge </w:t>
      </w:r>
      <w:r w:rsidRPr="00033DD1">
        <w:rPr>
          <w:noProof/>
        </w:rPr>
        <w:t>20</w:t>
      </w:r>
      <w:r>
        <w:rPr>
          <w:noProof/>
        </w:rPr>
        <w:t xml:space="preserve"> Mrd. EUR an kurzfristigen Verbindlichkeiten zum </w:t>
      </w:r>
      <w:r w:rsidRPr="00033DD1">
        <w:rPr>
          <w:noProof/>
        </w:rPr>
        <w:t>31</w:t>
      </w:r>
      <w:r>
        <w:rPr>
          <w:noProof/>
        </w:rPr>
        <w:t xml:space="preserve">. Dezember </w:t>
      </w:r>
      <w:r w:rsidRPr="00033DD1">
        <w:rPr>
          <w:noProof/>
        </w:rPr>
        <w:t>2021</w:t>
      </w:r>
      <w:r>
        <w:rPr>
          <w:noProof/>
        </w:rPr>
        <w:t xml:space="preserve"> ausstehend waren. Die Kommission wurde schnell zu einem der größten Emittenten neuer Schuldtitel in Euro und zum größten Emittenten von grünen Anleihen weltweit. </w:t>
      </w:r>
    </w:p>
    <w:p w:rsidR="008B6253" w:rsidRPr="00864D5D" w:rsidRDefault="008B6253" w:rsidP="008B6253">
      <w:pPr>
        <w:spacing w:line="240" w:lineRule="auto"/>
        <w:jc w:val="both"/>
        <w:rPr>
          <w:noProof/>
        </w:rPr>
      </w:pPr>
      <w:r>
        <w:rPr>
          <w:noProof/>
        </w:rPr>
        <w:t>Alle Transaktionen im Rahmen von NextGenerationEU weckten das Interesse der Anleger und wurden zu für den EU-Haushalt und die Mitgliedstaaten günstigen Bedingungen abgeschlossen. Die durchschnittlichen Finanzierungskosten für alle Emissionen im Rahmen von NextGenerationEU im Jahr </w:t>
      </w:r>
      <w:r w:rsidRPr="00033DD1">
        <w:rPr>
          <w:noProof/>
        </w:rPr>
        <w:t>2021</w:t>
      </w:r>
      <w:r>
        <w:rPr>
          <w:noProof/>
        </w:rPr>
        <w:t xml:space="preserve"> betragen </w:t>
      </w:r>
      <w:r w:rsidRPr="00033DD1">
        <w:rPr>
          <w:noProof/>
        </w:rPr>
        <w:t>0</w:t>
      </w:r>
      <w:r>
        <w:rPr>
          <w:noProof/>
        </w:rPr>
        <w:t>,</w:t>
      </w:r>
      <w:r w:rsidRPr="00033DD1">
        <w:rPr>
          <w:noProof/>
        </w:rPr>
        <w:t>14</w:t>
      </w:r>
      <w:r>
        <w:rPr>
          <w:noProof/>
        </w:rPr>
        <w:t xml:space="preserve"> % bei Laufzeiten von </w:t>
      </w:r>
      <w:r w:rsidRPr="00033DD1">
        <w:rPr>
          <w:noProof/>
        </w:rPr>
        <w:t>5</w:t>
      </w:r>
      <w:r>
        <w:rPr>
          <w:noProof/>
        </w:rPr>
        <w:t xml:space="preserve"> bis </w:t>
      </w:r>
      <w:r w:rsidRPr="00033DD1">
        <w:rPr>
          <w:noProof/>
        </w:rPr>
        <w:t>30</w:t>
      </w:r>
      <w:r>
        <w:rPr>
          <w:noProof/>
        </w:rPr>
        <w:t xml:space="preserve"> Jahren. Die Bedingungen waren im Vergleich mit denen für Staatsanleihen aus Kernländern im Euro-Währungsgebiet mit hohem Rating günstig. Die Vorteile dieser günstigen Finanzierungsbedingungen werden an den EU-Haushalt oder die Mitgliedstaaten weitergegeben, die Darlehen aus der Aufbau- und Resilienzfazilität erhalten. </w:t>
      </w:r>
    </w:p>
    <w:p w:rsidR="008B6253" w:rsidRPr="00864D5D" w:rsidRDefault="008B6253" w:rsidP="008B6253">
      <w:pPr>
        <w:spacing w:line="240" w:lineRule="auto"/>
        <w:jc w:val="both"/>
        <w:rPr>
          <w:noProof/>
        </w:rPr>
      </w:pPr>
      <w:r>
        <w:rPr>
          <w:noProof/>
        </w:rPr>
        <w:t>Die Fähigkeit der Kommission, zu diesen günstigen Bedingungen Mittel zu beschaffen, wird durch die stetige Emission hoher Mengen an Anleihen im Rahmen von NextGenerationEU mit einer großen Palette an Laufzeiten verstärkt. Durch diese Charakteristika der Emissionen ist eine höhere Liquidität auf den Sekundärmärkten für Anleihen im Rahmen von NextGenerationEU möglich, was es den Anlegern erleichtert, diese Anleihen zu kaufen und zu verkaufen. Dadurch wird es für Anleger immer attraktiver, die Anleihen im Rahmen von NextGenerationEU zu handeln, was wiederum eine bessere Preisgestaltung der Emissionen im Rahmen von NextGenerationEU zur Folge hat. Gemessen an Standard-Messwerten nähert sich die Liquidität der Anleihen im Rahmen von NextGenerationEU dem Niveau von Staatsanleihen aus Kernländern im Euro-Währungsgebiet.</w:t>
      </w:r>
      <w:r>
        <w:rPr>
          <w:rStyle w:val="FootnoteReference"/>
          <w:noProof/>
        </w:rPr>
        <w:footnoteReference w:id="2"/>
      </w:r>
      <w:r>
        <w:rPr>
          <w:noProof/>
        </w:rPr>
        <w:t xml:space="preserve"> </w:t>
      </w:r>
    </w:p>
    <w:p w:rsidR="008B6253" w:rsidRPr="00864D5D" w:rsidRDefault="008B6253" w:rsidP="008B6253">
      <w:pPr>
        <w:spacing w:line="240" w:lineRule="auto"/>
        <w:jc w:val="both"/>
        <w:rPr>
          <w:noProof/>
        </w:rPr>
      </w:pPr>
      <w:r>
        <w:rPr>
          <w:noProof/>
        </w:rPr>
        <w:t xml:space="preserve">Die erste syndizierte Transaktion fand am </w:t>
      </w:r>
      <w:r w:rsidRPr="00033DD1">
        <w:rPr>
          <w:noProof/>
        </w:rPr>
        <w:t>15</w:t>
      </w:r>
      <w:r>
        <w:rPr>
          <w:noProof/>
        </w:rPr>
        <w:t xml:space="preserve">. Juni </w:t>
      </w:r>
      <w:r w:rsidRPr="00033DD1">
        <w:rPr>
          <w:noProof/>
        </w:rPr>
        <w:t>2021</w:t>
      </w:r>
      <w:r>
        <w:rPr>
          <w:noProof/>
        </w:rPr>
        <w:t xml:space="preserve"> statt, zwei Wochen nach Inkrafttreten des Eigenmittelbeschlusses</w:t>
      </w:r>
      <w:r>
        <w:rPr>
          <w:rStyle w:val="FootnoteReference"/>
          <w:noProof/>
        </w:rPr>
        <w:footnoteReference w:id="3"/>
      </w:r>
      <w:r>
        <w:rPr>
          <w:noProof/>
        </w:rPr>
        <w:t>, und zwei weitere Transaktionen folgten umgehend. Durch die unverzügliche und groß angelegte Bereitstellung des Finanzierungsprogramms im Sommer </w:t>
      </w:r>
      <w:r w:rsidRPr="00033DD1">
        <w:rPr>
          <w:noProof/>
        </w:rPr>
        <w:t>2021</w:t>
      </w:r>
      <w:r>
        <w:rPr>
          <w:noProof/>
        </w:rPr>
        <w:t xml:space="preserve"> konnte die Kommission alle Auszahlungen im Rahmen des EU-Aufbauplans, sobald sie fällig waren, an die Mitgliedstaaten</w:t>
      </w:r>
      <w:r>
        <w:rPr>
          <w:rStyle w:val="FootnoteReference"/>
          <w:noProof/>
        </w:rPr>
        <w:footnoteReference w:id="4"/>
      </w:r>
      <w:r>
        <w:rPr>
          <w:noProof/>
        </w:rPr>
        <w:t xml:space="preserve"> und den Haushalt vornehmen. Zum </w:t>
      </w:r>
      <w:r w:rsidRPr="00033DD1">
        <w:rPr>
          <w:noProof/>
        </w:rPr>
        <w:t>31</w:t>
      </w:r>
      <w:r>
        <w:rPr>
          <w:noProof/>
        </w:rPr>
        <w:t xml:space="preserve">. Dezember </w:t>
      </w:r>
      <w:r w:rsidRPr="00033DD1">
        <w:rPr>
          <w:noProof/>
        </w:rPr>
        <w:t>2021</w:t>
      </w:r>
      <w:r>
        <w:rPr>
          <w:noProof/>
        </w:rPr>
        <w:t xml:space="preserve"> hat die Kommission im Rahmen der Aufbau- und Resilienzfazilität </w:t>
      </w:r>
      <w:r w:rsidRPr="00033DD1">
        <w:rPr>
          <w:noProof/>
        </w:rPr>
        <w:t>64</w:t>
      </w:r>
      <w:r>
        <w:rPr>
          <w:noProof/>
        </w:rPr>
        <w:t>,</w:t>
      </w:r>
      <w:r w:rsidRPr="00033DD1">
        <w:rPr>
          <w:noProof/>
        </w:rPr>
        <w:t>3</w:t>
      </w:r>
      <w:r>
        <w:rPr>
          <w:noProof/>
        </w:rPr>
        <w:t xml:space="preserve"> Mrd. EUR an </w:t>
      </w:r>
      <w:r w:rsidRPr="00033DD1">
        <w:rPr>
          <w:noProof/>
        </w:rPr>
        <w:t>20</w:t>
      </w:r>
      <w:r>
        <w:rPr>
          <w:noProof/>
        </w:rPr>
        <w:t xml:space="preserve"> Mitgliedstaaten ausgezahlt: </w:t>
      </w:r>
      <w:r w:rsidRPr="00033DD1">
        <w:rPr>
          <w:noProof/>
        </w:rPr>
        <w:t>46</w:t>
      </w:r>
      <w:r>
        <w:rPr>
          <w:noProof/>
        </w:rPr>
        <w:t>,</w:t>
      </w:r>
      <w:r w:rsidRPr="00033DD1">
        <w:rPr>
          <w:noProof/>
        </w:rPr>
        <w:t>4</w:t>
      </w:r>
      <w:r>
        <w:rPr>
          <w:noProof/>
        </w:rPr>
        <w:t xml:space="preserve"> Mrd. EUR in Form von Finanzhilfen und </w:t>
      </w:r>
      <w:r w:rsidRPr="00033DD1">
        <w:rPr>
          <w:noProof/>
        </w:rPr>
        <w:t>18</w:t>
      </w:r>
      <w:r>
        <w:rPr>
          <w:noProof/>
        </w:rPr>
        <w:t xml:space="preserve"> Mrd. EUR in Form von Darlehen. Alle Auszahlungen wurden innerhalb von sechs Arbeitstagen nach Unterzeichnung der Finanzierungs- und Darlehensvereinbarungen vorgenommen. Diese zeitnahe und effiziente Auszahlung von Mitteln wurde von der Europäischen Zentralbank ermöglicht, die die zentralen Konten von NextGenerationEU führt. Neben den an die Aufbau- und Resilienzfazilität übertragenen Beträgen wurden mehr als </w:t>
      </w:r>
      <w:r w:rsidRPr="00033DD1">
        <w:rPr>
          <w:noProof/>
        </w:rPr>
        <w:t>8</w:t>
      </w:r>
      <w:r>
        <w:rPr>
          <w:noProof/>
        </w:rPr>
        <w:t>,</w:t>
      </w:r>
      <w:r w:rsidRPr="00033DD1">
        <w:rPr>
          <w:noProof/>
        </w:rPr>
        <w:t>6</w:t>
      </w:r>
      <w:r>
        <w:rPr>
          <w:noProof/>
        </w:rPr>
        <w:t> Mrd. EUR vom NextGenerationEU-Finanzierungspool an den EU-Haushalt zur Finanzierung von Aufstockungen von aus NextGenerationEU finanzierten Programmen wie Horizont Europa, den Fonds „InvestEU“, ReactEU, das RescEU, den ELER und den Fonds für einen gerechten Übergang übertragen.</w:t>
      </w:r>
    </w:p>
    <w:p w:rsidR="008B6253" w:rsidRPr="00864D5D" w:rsidRDefault="008B6253" w:rsidP="008B6253">
      <w:pPr>
        <w:spacing w:line="240" w:lineRule="auto"/>
        <w:jc w:val="both"/>
        <w:rPr>
          <w:noProof/>
        </w:rPr>
      </w:pPr>
      <w:r>
        <w:rPr>
          <w:noProof/>
        </w:rPr>
        <w:t>Der Grund dafür, dass die Kommission ihre Emission von Anleihen so schnell steigern konnte, lag hauptsächlich in der starken und überzeugenden Darstellung des EU-Aufbauplans. Die Bereitschaft aller Mitgliedstaaten, das Finanzierungsprogramm NextGenerationEU durch ihre Beiträge an künftige EU-Haushalte zu unterstützen, war ein überwältigender Ausdruck der Solidarität und des Engagements der Union als Reaktion auf die Krise. Dieser starke politische Zusammenhalt, ergänzt durch das gute Rating der EU, trug maßgeblich dazu bei, die europäischen und internationalen Anleger davon zu überzeugen, dass diese neuen Schuldtitel im Rahmen von NextGenerationEU eine sichere Anlage sind.</w:t>
      </w:r>
    </w:p>
    <w:p w:rsidR="008B6253" w:rsidRPr="00864D5D" w:rsidRDefault="008B6253" w:rsidP="008B6253">
      <w:pPr>
        <w:spacing w:line="240" w:lineRule="auto"/>
        <w:jc w:val="both"/>
        <w:rPr>
          <w:noProof/>
        </w:rPr>
      </w:pPr>
      <w:r>
        <w:rPr>
          <w:noProof/>
        </w:rPr>
        <w:t xml:space="preserve">Für die Durchführung eines Anleiheemissionsprogramms dieser Größenordnung musste die Kommission fast von Grund auf einen neuen Finanzierungsapparat aufbauen, mit dem regelmäßig große Transaktionsvolumen abgewickelt werden können. Während die sieben großen SURE-Transaktionen (mit einem Emissionsvolumen von insgesamt </w:t>
      </w:r>
      <w:r w:rsidRPr="00033DD1">
        <w:rPr>
          <w:noProof/>
        </w:rPr>
        <w:t>90</w:t>
      </w:r>
      <w:r>
        <w:rPr>
          <w:noProof/>
        </w:rPr>
        <w:t> Mrd. EUR) eine wertvolle Generalprobe darstellten, waren für NextGenerationEU strukturiertere und dauerhaftere Kapazitäten erforderlich. Das Konzept für diese Strategie wurde in einer Mitteilung</w:t>
      </w:r>
      <w:r>
        <w:rPr>
          <w:rStyle w:val="FootnoteReference"/>
          <w:noProof/>
        </w:rPr>
        <w:footnoteReference w:id="5"/>
      </w:r>
      <w:r>
        <w:rPr>
          <w:noProof/>
        </w:rPr>
        <w:t xml:space="preserve"> und einer Reihe von Beschlüssen vom </w:t>
      </w:r>
      <w:r w:rsidRPr="00033DD1">
        <w:rPr>
          <w:noProof/>
        </w:rPr>
        <w:t>14</w:t>
      </w:r>
      <w:r>
        <w:rPr>
          <w:noProof/>
        </w:rPr>
        <w:t xml:space="preserve">. April </w:t>
      </w:r>
      <w:r w:rsidRPr="00033DD1">
        <w:rPr>
          <w:noProof/>
        </w:rPr>
        <w:t>2021</w:t>
      </w:r>
      <w:r>
        <w:rPr>
          <w:noProof/>
        </w:rPr>
        <w:t xml:space="preserve"> festgelegt, die die Grundlagen für das Finanzierungsprogramm NextGenerationEU bilden. Das Piktogramm enthält die wichtigsten Meilensteine für den Aufbau der Fähigkeit der Kommission, eine staatsanleiheähnliche diversifizierte Finanzierungsstrategie durchzuführen. </w:t>
      </w:r>
    </w:p>
    <w:p w:rsidR="008B6253" w:rsidRDefault="008B6253" w:rsidP="008B6253">
      <w:pPr>
        <w:rPr>
          <w:b/>
          <w:noProof/>
        </w:rPr>
      </w:pPr>
      <w:r>
        <w:rPr>
          <w:noProof/>
        </w:rPr>
        <w:br w:type="page"/>
      </w:r>
      <w:r>
        <w:rPr>
          <w:b/>
          <w:noProof/>
        </w:rPr>
        <w:t>Abbildung </w:t>
      </w:r>
      <w:r w:rsidRPr="00033DD1">
        <w:rPr>
          <w:b/>
          <w:noProof/>
        </w:rPr>
        <w:t>1</w:t>
      </w:r>
      <w:r>
        <w:rPr>
          <w:b/>
          <w:noProof/>
        </w:rPr>
        <w:t xml:space="preserve">: Wichtige Schritte beim Aufbau von Finanzierungsgeschäften im Rahmen von NextGenerationEU (NGEU) </w:t>
      </w:r>
    </w:p>
    <w:p w:rsidR="008B6253" w:rsidRPr="00864D5D" w:rsidRDefault="00093C58" w:rsidP="008B6253">
      <w:pPr>
        <w:rPr>
          <w:b/>
          <w:noProof/>
          <w:color w:val="5B9BD5" w:themeColor="accent1"/>
        </w:rPr>
      </w:pPr>
      <w:r>
        <w:rPr>
          <w:noProof/>
          <w:lang w:val="en-GB" w:eastAsia="en-GB"/>
        </w:rPr>
        <mc:AlternateContent>
          <mc:Choice Requires="wpg">
            <w:drawing>
              <wp:anchor distT="0" distB="0" distL="114300" distR="114300" simplePos="0" relativeHeight="251656192" behindDoc="0" locked="0" layoutInCell="1" allowOverlap="1" wp14:anchorId="31E4D484" wp14:editId="32B9929D">
                <wp:simplePos x="0" y="0"/>
                <wp:positionH relativeFrom="column">
                  <wp:posOffset>-5080</wp:posOffset>
                </wp:positionH>
                <wp:positionV relativeFrom="paragraph">
                  <wp:posOffset>340360</wp:posOffset>
                </wp:positionV>
                <wp:extent cx="5867400" cy="3105785"/>
                <wp:effectExtent l="0" t="0" r="38100" b="0"/>
                <wp:wrapNone/>
                <wp:docPr id="1" name="Group 2"/>
                <wp:cNvGraphicFramePr/>
                <a:graphic xmlns:a="http://schemas.openxmlformats.org/drawingml/2006/main">
                  <a:graphicData uri="http://schemas.microsoft.com/office/word/2010/wordprocessingGroup">
                    <wpg:wgp>
                      <wpg:cNvGrpSpPr/>
                      <wpg:grpSpPr>
                        <a:xfrm>
                          <a:off x="0" y="0"/>
                          <a:ext cx="5867400" cy="3105785"/>
                          <a:chOff x="0" y="0"/>
                          <a:chExt cx="10522558" cy="4020099"/>
                        </a:xfrm>
                      </wpg:grpSpPr>
                      <wps:wsp>
                        <wps:cNvPr id="2" name="Straight Connector 2"/>
                        <wps:cNvCnPr/>
                        <wps:spPr bwMode="auto">
                          <a:xfrm>
                            <a:off x="0" y="2011039"/>
                            <a:ext cx="10522558" cy="0"/>
                          </a:xfrm>
                          <a:prstGeom prst="line">
                            <a:avLst/>
                          </a:prstGeom>
                          <a:noFill/>
                          <a:ln w="38100" cap="flat" cmpd="sng" algn="ctr">
                            <a:solidFill>
                              <a:srgbClr val="1F497D"/>
                            </a:solidFill>
                            <a:prstDash val="solid"/>
                            <a:round/>
                            <a:headEnd type="none" w="med" len="med"/>
                            <a:tailEnd type="triangle" w="med" len="med"/>
                          </a:ln>
                          <a:effectLst/>
                        </wps:spPr>
                        <wps:bodyPr/>
                      </wps:wsp>
                      <wpg:grpSp>
                        <wpg:cNvPr id="3" name="Group 3"/>
                        <wpg:cNvGrpSpPr/>
                        <wpg:grpSpPr>
                          <a:xfrm>
                            <a:off x="2592307" y="2023393"/>
                            <a:ext cx="1376504" cy="1996706"/>
                            <a:chOff x="2592307" y="2023393"/>
                            <a:chExt cx="1376504" cy="1996706"/>
                          </a:xfrm>
                        </wpg:grpSpPr>
                        <wps:wsp>
                          <wps:cNvPr id="4" name="TextBox 79"/>
                          <wps:cNvSpPr txBox="1"/>
                          <wps:spPr>
                            <a:xfrm>
                              <a:off x="2592307" y="2465827"/>
                              <a:ext cx="1376504" cy="1554272"/>
                            </a:xfrm>
                            <a:prstGeom prst="rect">
                              <a:avLst/>
                            </a:prstGeom>
                            <a:solidFill>
                              <a:sysClr val="window" lastClr="FFFFFF">
                                <a:lumMod val="95000"/>
                              </a:sysClr>
                            </a:solidFill>
                          </wps:spPr>
                          <wps:txb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w:t>
                                </w:r>
                                <w:r>
                                  <w:rPr>
                                    <w:rFonts w:asciiTheme="minorHAnsi" w:hAnsiTheme="minorHAnsi"/>
                                    <w:color w:val="44546A" w:themeColor="text2"/>
                                    <w:sz w:val="20"/>
                                    <w:szCs w:val="20"/>
                                  </w:rPr>
                                  <w:t>. Juni</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Veröffentlichung des ersten Finanzierungsplans</w:t>
                                </w:r>
                              </w:p>
                            </w:txbxContent>
                          </wps:txbx>
                          <wps:bodyPr wrap="square" rtlCol="0">
                            <a:noAutofit/>
                          </wps:bodyPr>
                        </wps:wsp>
                        <wps:wsp>
                          <wps:cNvPr id="5" name="Straight Connector 5"/>
                          <wps:cNvCnPr/>
                          <wps:spPr bwMode="auto">
                            <a:xfrm>
                              <a:off x="2592307" y="2816478"/>
                              <a:ext cx="1303020" cy="0"/>
                            </a:xfrm>
                            <a:prstGeom prst="line">
                              <a:avLst/>
                            </a:prstGeom>
                            <a:noFill/>
                            <a:ln w="9525" cap="flat" cmpd="sng" algn="ctr">
                              <a:solidFill>
                                <a:srgbClr val="1F497D"/>
                              </a:solidFill>
                              <a:prstDash val="solid"/>
                              <a:round/>
                              <a:headEnd type="none" w="med" len="med"/>
                              <a:tailEnd type="none" w="med" len="med"/>
                            </a:ln>
                            <a:effectLst/>
                          </wps:spPr>
                          <wps:bodyPr/>
                        </wps:wsp>
                        <wps:wsp>
                          <wps:cNvPr id="6" name="Straight Connector 6"/>
                          <wps:cNvCnPr/>
                          <wps:spPr bwMode="auto">
                            <a:xfrm>
                              <a:off x="3258280" y="2023393"/>
                              <a:ext cx="0" cy="431975"/>
                            </a:xfrm>
                            <a:prstGeom prst="line">
                              <a:avLst/>
                            </a:prstGeom>
                            <a:noFill/>
                            <a:ln w="12700" cap="flat" cmpd="sng" algn="ctr">
                              <a:solidFill>
                                <a:srgbClr val="1F497D"/>
                              </a:solidFill>
                              <a:prstDash val="solid"/>
                              <a:round/>
                              <a:headEnd type="none" w="med" len="med"/>
                              <a:tailEnd type="oval" w="med" len="med"/>
                            </a:ln>
                            <a:effectLst/>
                          </wps:spPr>
                          <wps:bodyPr/>
                        </wps:wsp>
                      </wpg:grpSp>
                      <wpg:grpSp>
                        <wpg:cNvPr id="7" name="Group 7"/>
                        <wpg:cNvGrpSpPr/>
                        <wpg:grpSpPr>
                          <a:xfrm>
                            <a:off x="2606984" y="5229"/>
                            <a:ext cx="1303020" cy="2005816"/>
                            <a:chOff x="2606984" y="5229"/>
                            <a:chExt cx="1303020" cy="2005816"/>
                          </a:xfrm>
                        </wpg:grpSpPr>
                        <wps:wsp>
                          <wps:cNvPr id="8" name="TextBox 83"/>
                          <wps:cNvSpPr txBox="1"/>
                          <wps:spPr>
                            <a:xfrm>
                              <a:off x="2606984" y="5229"/>
                              <a:ext cx="1303019" cy="1554272"/>
                            </a:xfrm>
                            <a:prstGeom prst="rect">
                              <a:avLst/>
                            </a:prstGeom>
                            <a:solidFill>
                              <a:sysClr val="window" lastClr="FFFFFF">
                                <a:lumMod val="95000"/>
                              </a:sysClr>
                            </a:solidFill>
                          </wps:spPr>
                          <wps:txb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w:t>
                                </w:r>
                                <w:r>
                                  <w:rPr>
                                    <w:rFonts w:asciiTheme="minorHAnsi" w:hAnsiTheme="minorHAnsi"/>
                                    <w:color w:val="44546A" w:themeColor="text2"/>
                                    <w:sz w:val="20"/>
                                    <w:szCs w:val="20"/>
                                  </w:rPr>
                                  <w:t>. Juni</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Erlass des jährlichen Anleihebeschlusses</w:t>
                                </w:r>
                              </w:p>
                            </w:txbxContent>
                          </wps:txbx>
                          <wps:bodyPr wrap="square" rtlCol="0">
                            <a:noAutofit/>
                          </wps:bodyPr>
                        </wps:wsp>
                        <wps:wsp>
                          <wps:cNvPr id="9" name="Straight Connector 9"/>
                          <wps:cNvCnPr/>
                          <wps:spPr bwMode="auto">
                            <a:xfrm flipV="1">
                              <a:off x="3258494" y="1579070"/>
                              <a:ext cx="0" cy="431975"/>
                            </a:xfrm>
                            <a:prstGeom prst="line">
                              <a:avLst/>
                            </a:prstGeom>
                            <a:noFill/>
                            <a:ln w="12700" cap="flat" cmpd="sng" algn="ctr">
                              <a:solidFill>
                                <a:srgbClr val="1F497D"/>
                              </a:solidFill>
                              <a:prstDash val="solid"/>
                              <a:round/>
                              <a:headEnd type="none" w="med" len="med"/>
                              <a:tailEnd type="oval" w="med" len="med"/>
                            </a:ln>
                            <a:effectLst/>
                          </wps:spPr>
                          <wps:bodyPr/>
                        </wps:wsp>
                        <wps:wsp>
                          <wps:cNvPr id="10" name="Straight Connector 10"/>
                          <wps:cNvCnPr/>
                          <wps:spPr bwMode="auto">
                            <a:xfrm>
                              <a:off x="2606984" y="348131"/>
                              <a:ext cx="1303020" cy="0"/>
                            </a:xfrm>
                            <a:prstGeom prst="line">
                              <a:avLst/>
                            </a:prstGeom>
                            <a:noFill/>
                            <a:ln w="9525" cap="flat" cmpd="sng" algn="ctr">
                              <a:solidFill>
                                <a:srgbClr val="1F497D"/>
                              </a:solidFill>
                              <a:prstDash val="solid"/>
                              <a:round/>
                              <a:headEnd type="none" w="med" len="med"/>
                              <a:tailEnd type="none" w="med" len="med"/>
                            </a:ln>
                            <a:effectLst/>
                          </wps:spPr>
                          <wps:bodyPr/>
                        </wps:wsp>
                      </wpg:grpSp>
                      <wpg:grpSp>
                        <wpg:cNvPr id="11" name="Group 11"/>
                        <wpg:cNvGrpSpPr/>
                        <wpg:grpSpPr>
                          <a:xfrm>
                            <a:off x="103197" y="5229"/>
                            <a:ext cx="1321224" cy="1993459"/>
                            <a:chOff x="103197" y="5229"/>
                            <a:chExt cx="1321224" cy="1993459"/>
                          </a:xfrm>
                        </wpg:grpSpPr>
                        <wps:wsp>
                          <wps:cNvPr id="13" name="TextBox 92"/>
                          <wps:cNvSpPr txBox="1"/>
                          <wps:spPr>
                            <a:xfrm>
                              <a:off x="103199" y="5229"/>
                              <a:ext cx="1321222" cy="1554272"/>
                            </a:xfrm>
                            <a:prstGeom prst="rect">
                              <a:avLst/>
                            </a:prstGeom>
                            <a:solidFill>
                              <a:sysClr val="window" lastClr="FFFFFF">
                                <a:lumMod val="95000"/>
                              </a:sysClr>
                            </a:solidFill>
                          </wps:spPr>
                          <wps:txb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14</w:t>
                                </w:r>
                                <w:r>
                                  <w:rPr>
                                    <w:rFonts w:asciiTheme="minorHAnsi" w:hAnsiTheme="minorHAnsi"/>
                                    <w:color w:val="44546A" w:themeColor="text2"/>
                                    <w:sz w:val="20"/>
                                    <w:szCs w:val="20"/>
                                  </w:rPr>
                                  <w:t>. April</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Annahme der diversifizierten</w:t>
                                </w:r>
                                <w:r>
                                  <w:rPr>
                                    <w:rFonts w:asciiTheme="minorHAnsi" w:hAnsiTheme="minorHAnsi"/>
                                    <w:sz w:val="20"/>
                                    <w:szCs w:val="20"/>
                                  </w:rPr>
                                  <w:t xml:space="preserve"> </w:t>
                                </w:r>
                                <w:r>
                                  <w:rPr>
                                    <w:rFonts w:asciiTheme="minorHAnsi" w:hAnsiTheme="minorHAnsi"/>
                                    <w:color w:val="000000" w:themeColor="text1"/>
                                    <w:sz w:val="20"/>
                                    <w:szCs w:val="20"/>
                                  </w:rPr>
                                  <w:t>Finanzierungsstrategie</w:t>
                                </w:r>
                              </w:p>
                            </w:txbxContent>
                          </wps:txbx>
                          <wps:bodyPr wrap="square" rtlCol="0">
                            <a:noAutofit/>
                          </wps:bodyPr>
                        </wps:wsp>
                        <wps:wsp>
                          <wps:cNvPr id="14" name="Straight Connector 14"/>
                          <wps:cNvCnPr/>
                          <wps:spPr bwMode="auto">
                            <a:xfrm flipV="1">
                              <a:off x="754707" y="1566713"/>
                              <a:ext cx="0" cy="431975"/>
                            </a:xfrm>
                            <a:prstGeom prst="line">
                              <a:avLst/>
                            </a:prstGeom>
                            <a:noFill/>
                            <a:ln w="12700" cap="flat" cmpd="sng" algn="ctr">
                              <a:solidFill>
                                <a:srgbClr val="1F497D"/>
                              </a:solidFill>
                              <a:prstDash val="solid"/>
                              <a:round/>
                              <a:headEnd type="none" w="med" len="med"/>
                              <a:tailEnd type="oval" w="med" len="med"/>
                            </a:ln>
                            <a:effectLst/>
                          </wps:spPr>
                          <wps:bodyPr/>
                        </wps:wsp>
                        <wps:wsp>
                          <wps:cNvPr id="15" name="Straight Connector 15"/>
                          <wps:cNvCnPr/>
                          <wps:spPr bwMode="auto">
                            <a:xfrm>
                              <a:off x="103197" y="348131"/>
                              <a:ext cx="1303020" cy="0"/>
                            </a:xfrm>
                            <a:prstGeom prst="line">
                              <a:avLst/>
                            </a:prstGeom>
                            <a:noFill/>
                            <a:ln w="9525" cap="flat" cmpd="sng" algn="ctr">
                              <a:solidFill>
                                <a:srgbClr val="1F497D"/>
                              </a:solidFill>
                              <a:prstDash val="solid"/>
                              <a:round/>
                              <a:headEnd type="none" w="med" len="med"/>
                              <a:tailEnd type="none" w="med" len="med"/>
                            </a:ln>
                            <a:effectLst/>
                          </wps:spPr>
                          <wps:bodyPr/>
                        </wps:wsp>
                      </wpg:grpSp>
                      <wpg:grpSp>
                        <wpg:cNvPr id="16" name="Group 16"/>
                        <wpg:cNvGrpSpPr/>
                        <wpg:grpSpPr>
                          <a:xfrm>
                            <a:off x="4259934" y="5228"/>
                            <a:ext cx="1487180" cy="1993460"/>
                            <a:chOff x="4259966" y="5228"/>
                            <a:chExt cx="1303236" cy="1993460"/>
                          </a:xfrm>
                        </wpg:grpSpPr>
                        <wps:wsp>
                          <wps:cNvPr id="17" name="TextBox 96"/>
                          <wps:cNvSpPr txBox="1"/>
                          <wps:spPr>
                            <a:xfrm>
                              <a:off x="4259966" y="5228"/>
                              <a:ext cx="1302670" cy="1574165"/>
                            </a:xfrm>
                            <a:prstGeom prst="rect">
                              <a:avLst/>
                            </a:prstGeom>
                            <a:solidFill>
                              <a:sysClr val="window" lastClr="FFFFFF">
                                <a:lumMod val="95000"/>
                              </a:sysClr>
                            </a:solidFill>
                          </wps:spPr>
                          <wps:txb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15</w:t>
                                </w:r>
                                <w:r>
                                  <w:rPr>
                                    <w:rFonts w:asciiTheme="minorHAnsi" w:hAnsiTheme="minorHAnsi"/>
                                    <w:color w:val="44546A" w:themeColor="text2"/>
                                    <w:sz w:val="20"/>
                                    <w:szCs w:val="20"/>
                                  </w:rPr>
                                  <w:t>. Juni</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Erste NGEU-Emission</w:t>
                                </w:r>
                                <w:r>
                                  <w:rPr>
                                    <w:rFonts w:asciiTheme="minorHAnsi" w:hAnsiTheme="minorHAnsi"/>
                                    <w:sz w:val="20"/>
                                    <w:szCs w:val="20"/>
                                  </w:rPr>
                                  <w:t xml:space="preserve"> </w:t>
                                </w:r>
                                <w:r>
                                  <w:rPr>
                                    <w:rFonts w:asciiTheme="minorHAnsi" w:hAnsiTheme="minorHAnsi"/>
                                    <w:color w:val="000000" w:themeColor="text1"/>
                                    <w:sz w:val="20"/>
                                    <w:szCs w:val="20"/>
                                  </w:rPr>
                                  <w:t>(</w:t>
                                </w:r>
                                <w:r w:rsidRPr="00033DD1">
                                  <w:rPr>
                                    <w:rFonts w:asciiTheme="minorHAnsi" w:hAnsiTheme="minorHAnsi"/>
                                    <w:color w:val="000000" w:themeColor="text1"/>
                                    <w:sz w:val="20"/>
                                    <w:szCs w:val="20"/>
                                  </w:rPr>
                                  <w:t>20</w:t>
                                </w:r>
                                <w:r>
                                  <w:rPr>
                                    <w:rFonts w:asciiTheme="minorHAnsi" w:hAnsiTheme="minorHAnsi"/>
                                    <w:color w:val="000000" w:themeColor="text1"/>
                                    <w:sz w:val="20"/>
                                    <w:szCs w:val="20"/>
                                  </w:rPr>
                                  <w:t> Mrd. EUR)</w:t>
                                </w:r>
                              </w:p>
                            </w:txbxContent>
                          </wps:txbx>
                          <wps:bodyPr wrap="square" rtlCol="0">
                            <a:noAutofit/>
                          </wps:bodyPr>
                        </wps:wsp>
                        <wps:wsp>
                          <wps:cNvPr id="18" name="Straight Connector 18"/>
                          <wps:cNvCnPr/>
                          <wps:spPr bwMode="auto">
                            <a:xfrm flipV="1">
                              <a:off x="4911692" y="1566713"/>
                              <a:ext cx="0" cy="431975"/>
                            </a:xfrm>
                            <a:prstGeom prst="line">
                              <a:avLst/>
                            </a:prstGeom>
                            <a:noFill/>
                            <a:ln w="12700" cap="flat" cmpd="sng" algn="ctr">
                              <a:solidFill>
                                <a:srgbClr val="1F497D"/>
                              </a:solidFill>
                              <a:prstDash val="solid"/>
                              <a:round/>
                              <a:headEnd type="none" w="med" len="med"/>
                              <a:tailEnd type="oval" w="med" len="med"/>
                            </a:ln>
                            <a:effectLst/>
                          </wps:spPr>
                          <wps:bodyPr/>
                        </wps:wsp>
                        <wps:wsp>
                          <wps:cNvPr id="19" name="Straight Connector 19"/>
                          <wps:cNvCnPr/>
                          <wps:spPr bwMode="auto">
                            <a:xfrm>
                              <a:off x="4260182" y="348131"/>
                              <a:ext cx="1303020" cy="0"/>
                            </a:xfrm>
                            <a:prstGeom prst="line">
                              <a:avLst/>
                            </a:prstGeom>
                            <a:noFill/>
                            <a:ln w="9525" cap="flat" cmpd="sng" algn="ctr">
                              <a:solidFill>
                                <a:srgbClr val="1F497D"/>
                              </a:solidFill>
                              <a:prstDash val="solid"/>
                              <a:round/>
                              <a:headEnd type="none" w="med" len="med"/>
                              <a:tailEnd type="none" w="med" len="med"/>
                            </a:ln>
                            <a:effectLst/>
                          </wps:spPr>
                          <wps:bodyPr/>
                        </wps:wsp>
                      </wpg:grpSp>
                      <wpg:grpSp>
                        <wpg:cNvPr id="20" name="Group 20"/>
                        <wpg:cNvGrpSpPr/>
                        <wpg:grpSpPr>
                          <a:xfrm>
                            <a:off x="891710" y="2023393"/>
                            <a:ext cx="1303020" cy="1996706"/>
                            <a:chOff x="891710" y="2023393"/>
                            <a:chExt cx="1303020" cy="1996706"/>
                          </a:xfrm>
                        </wpg:grpSpPr>
                        <wps:wsp>
                          <wps:cNvPr id="21" name="TextBox 100"/>
                          <wps:cNvSpPr txBox="1"/>
                          <wps:spPr>
                            <a:xfrm>
                              <a:off x="891710" y="2465827"/>
                              <a:ext cx="1303020" cy="1554272"/>
                            </a:xfrm>
                            <a:prstGeom prst="rect">
                              <a:avLst/>
                            </a:prstGeom>
                            <a:solidFill>
                              <a:sysClr val="window" lastClr="FFFFFF">
                                <a:lumMod val="95000"/>
                              </a:sysClr>
                            </a:solidFill>
                          </wps:spPr>
                          <wps:txb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31</w:t>
                                </w:r>
                                <w:r>
                                  <w:rPr>
                                    <w:rFonts w:asciiTheme="minorHAnsi" w:hAnsiTheme="minorHAnsi"/>
                                    <w:color w:val="44546A" w:themeColor="text2"/>
                                    <w:sz w:val="20"/>
                                    <w:szCs w:val="20"/>
                                  </w:rPr>
                                  <w:t>. Mai</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Einrichtung des</w:t>
                                </w:r>
                                <w:r>
                                  <w:rPr>
                                    <w:rFonts w:asciiTheme="minorHAnsi" w:hAnsiTheme="minorHAnsi"/>
                                    <w:sz w:val="20"/>
                                    <w:szCs w:val="20"/>
                                  </w:rPr>
                                  <w:t xml:space="preserve"> </w:t>
                                </w:r>
                                <w:r>
                                  <w:rPr>
                                    <w:rFonts w:asciiTheme="minorHAnsi" w:hAnsiTheme="minorHAnsi"/>
                                    <w:color w:val="000000" w:themeColor="text1"/>
                                    <w:sz w:val="20"/>
                                    <w:szCs w:val="20"/>
                                  </w:rPr>
                                  <w:t>Primärhändlernetzes</w:t>
                                </w:r>
                              </w:p>
                            </w:txbxContent>
                          </wps:txbx>
                          <wps:bodyPr wrap="square" rtlCol="0">
                            <a:noAutofit/>
                          </wps:bodyPr>
                        </wps:wsp>
                        <wps:wsp>
                          <wps:cNvPr id="22" name="Straight Connector 22"/>
                          <wps:cNvCnPr/>
                          <wps:spPr bwMode="auto">
                            <a:xfrm>
                              <a:off x="891710" y="2816478"/>
                              <a:ext cx="1303020" cy="0"/>
                            </a:xfrm>
                            <a:prstGeom prst="line">
                              <a:avLst/>
                            </a:prstGeom>
                            <a:noFill/>
                            <a:ln w="9525" cap="flat" cmpd="sng" algn="ctr">
                              <a:solidFill>
                                <a:srgbClr val="1F497D"/>
                              </a:solidFill>
                              <a:prstDash val="solid"/>
                              <a:round/>
                              <a:headEnd type="none" w="med" len="med"/>
                              <a:tailEnd type="none" w="med" len="med"/>
                            </a:ln>
                            <a:effectLst/>
                          </wps:spPr>
                          <wps:bodyPr/>
                        </wps:wsp>
                        <wps:wsp>
                          <wps:cNvPr id="23" name="Straight Connector 23"/>
                          <wps:cNvCnPr/>
                          <wps:spPr bwMode="auto">
                            <a:xfrm>
                              <a:off x="1557683" y="2023393"/>
                              <a:ext cx="0" cy="431975"/>
                            </a:xfrm>
                            <a:prstGeom prst="line">
                              <a:avLst/>
                            </a:prstGeom>
                            <a:noFill/>
                            <a:ln w="12700" cap="flat" cmpd="sng" algn="ctr">
                              <a:solidFill>
                                <a:srgbClr val="1F497D"/>
                              </a:solidFill>
                              <a:prstDash val="solid"/>
                              <a:round/>
                              <a:headEnd type="none" w="med" len="med"/>
                              <a:tailEnd type="oval" w="med" len="med"/>
                            </a:ln>
                            <a:effectLst/>
                          </wps:spPr>
                          <wps:bodyPr/>
                        </wps:wsp>
                      </wpg:grpSp>
                      <wpg:grpSp>
                        <wpg:cNvPr id="24" name="Group 24"/>
                        <wpg:cNvGrpSpPr/>
                        <wpg:grpSpPr>
                          <a:xfrm>
                            <a:off x="5286898" y="2023393"/>
                            <a:ext cx="1584686" cy="1974997"/>
                            <a:chOff x="5286952" y="2023393"/>
                            <a:chExt cx="1303277" cy="1974997"/>
                          </a:xfrm>
                        </wpg:grpSpPr>
                        <wps:wsp>
                          <wps:cNvPr id="25" name="TextBox 104"/>
                          <wps:cNvSpPr txBox="1"/>
                          <wps:spPr>
                            <a:xfrm>
                              <a:off x="5286952" y="2465488"/>
                              <a:ext cx="1302979" cy="1532902"/>
                            </a:xfrm>
                            <a:prstGeom prst="rect">
                              <a:avLst/>
                            </a:prstGeom>
                            <a:solidFill>
                              <a:sysClr val="window" lastClr="FFFFFF">
                                <a:lumMod val="95000"/>
                              </a:sysClr>
                            </a:solidFill>
                          </wps:spPr>
                          <wps:txb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w:t>
                                </w:r>
                                <w:r>
                                  <w:rPr>
                                    <w:rFonts w:asciiTheme="minorHAnsi" w:hAnsiTheme="minorHAnsi"/>
                                    <w:color w:val="44546A" w:themeColor="text2"/>
                                    <w:sz w:val="20"/>
                                    <w:szCs w:val="20"/>
                                  </w:rPr>
                                  <w:t>. September</w:t>
                                </w:r>
                              </w:p>
                              <w:p w:rsidR="00287320" w:rsidRPr="00025C13" w:rsidRDefault="00287320" w:rsidP="008B6253">
                                <w:pPr>
                                  <w:pStyle w:val="NormalWeb"/>
                                  <w:spacing w:before="0" w:beforeAutospacing="0" w:after="0" w:afterAutospacing="0"/>
                                  <w:rPr>
                                    <w:rFonts w:asciiTheme="minorHAnsi" w:hAnsiTheme="minorHAnsi" w:cstheme="minorHAnsi"/>
                                    <w:color w:val="000000" w:themeColor="text1"/>
                                    <w:kern w:val="24"/>
                                    <w:sz w:val="20"/>
                                    <w:szCs w:val="20"/>
                                  </w:rPr>
                                </w:pPr>
                                <w:r>
                                  <w:rPr>
                                    <w:rFonts w:asciiTheme="minorHAnsi" w:hAnsiTheme="minorHAnsi"/>
                                    <w:color w:val="000000" w:themeColor="text1"/>
                                    <w:sz w:val="20"/>
                                    <w:szCs w:val="20"/>
                                  </w:rPr>
                                  <w:t>Amtsantritt der Risikobeauftragten</w:t>
                                </w:r>
                              </w:p>
                            </w:txbxContent>
                          </wps:txbx>
                          <wps:bodyPr wrap="square" rtlCol="0">
                            <a:noAutofit/>
                          </wps:bodyPr>
                        </wps:wsp>
                        <wps:wsp>
                          <wps:cNvPr id="26" name="Straight Connector 26"/>
                          <wps:cNvCnPr/>
                          <wps:spPr bwMode="auto">
                            <a:xfrm>
                              <a:off x="5287209" y="2816478"/>
                              <a:ext cx="1303020" cy="0"/>
                            </a:xfrm>
                            <a:prstGeom prst="line">
                              <a:avLst/>
                            </a:prstGeom>
                            <a:noFill/>
                            <a:ln w="9525" cap="flat" cmpd="sng" algn="ctr">
                              <a:solidFill>
                                <a:srgbClr val="1F497D"/>
                              </a:solidFill>
                              <a:prstDash val="solid"/>
                              <a:round/>
                              <a:headEnd type="none" w="med" len="med"/>
                              <a:tailEnd type="none" w="med" len="med"/>
                            </a:ln>
                            <a:effectLst/>
                          </wps:spPr>
                          <wps:bodyPr/>
                        </wps:wsp>
                        <wps:wsp>
                          <wps:cNvPr id="27" name="Straight Connector 27"/>
                          <wps:cNvCnPr/>
                          <wps:spPr bwMode="auto">
                            <a:xfrm>
                              <a:off x="5953175" y="2023393"/>
                              <a:ext cx="0" cy="431975"/>
                            </a:xfrm>
                            <a:prstGeom prst="line">
                              <a:avLst/>
                            </a:prstGeom>
                            <a:noFill/>
                            <a:ln w="12700" cap="flat" cmpd="sng" algn="ctr">
                              <a:solidFill>
                                <a:srgbClr val="1F497D"/>
                              </a:solidFill>
                              <a:prstDash val="solid"/>
                              <a:round/>
                              <a:headEnd type="none" w="med" len="med"/>
                              <a:tailEnd type="oval" w="med" len="med"/>
                            </a:ln>
                            <a:effectLst/>
                          </wps:spPr>
                          <wps:bodyPr/>
                        </wps:wsp>
                      </wpg:grpSp>
                      <wpg:grpSp>
                        <wpg:cNvPr id="28" name="Group 28"/>
                        <wpg:cNvGrpSpPr/>
                        <wpg:grpSpPr>
                          <a:xfrm>
                            <a:off x="6353791" y="0"/>
                            <a:ext cx="1615214" cy="2005816"/>
                            <a:chOff x="6353819" y="0"/>
                            <a:chExt cx="1481925" cy="2005816"/>
                          </a:xfrm>
                        </wpg:grpSpPr>
                        <wps:wsp>
                          <wps:cNvPr id="29" name="TextBox 108"/>
                          <wps:cNvSpPr txBox="1"/>
                          <wps:spPr>
                            <a:xfrm>
                              <a:off x="6353819" y="0"/>
                              <a:ext cx="1481551" cy="1566715"/>
                            </a:xfrm>
                            <a:prstGeom prst="rect">
                              <a:avLst/>
                            </a:prstGeom>
                            <a:solidFill>
                              <a:sysClr val="window" lastClr="FFFFFF">
                                <a:lumMod val="95000"/>
                              </a:sysClr>
                            </a:solidFill>
                          </wps:spPr>
                          <wps:txb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7</w:t>
                                </w:r>
                                <w:r>
                                  <w:rPr>
                                    <w:rFonts w:asciiTheme="minorHAnsi" w:hAnsiTheme="minorHAnsi"/>
                                    <w:color w:val="44546A" w:themeColor="text2"/>
                                    <w:sz w:val="20"/>
                                    <w:szCs w:val="20"/>
                                  </w:rPr>
                                  <w:t>. September</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Veröffentlichung des Rahmens für grüne Anleihen</w:t>
                                </w:r>
                              </w:p>
                            </w:txbxContent>
                          </wps:txbx>
                          <wps:bodyPr wrap="square" rtlCol="0">
                            <a:noAutofit/>
                          </wps:bodyPr>
                        </wps:wsp>
                        <wps:wsp>
                          <wps:cNvPr id="30" name="Straight Connector 30"/>
                          <wps:cNvCnPr/>
                          <wps:spPr bwMode="auto">
                            <a:xfrm flipV="1">
                              <a:off x="7107703" y="1573841"/>
                              <a:ext cx="0" cy="431975"/>
                            </a:xfrm>
                            <a:prstGeom prst="line">
                              <a:avLst/>
                            </a:prstGeom>
                            <a:noFill/>
                            <a:ln w="12700" cap="flat" cmpd="sng" algn="ctr">
                              <a:solidFill>
                                <a:srgbClr val="1F497D"/>
                              </a:solidFill>
                              <a:prstDash val="solid"/>
                              <a:round/>
                              <a:headEnd type="none" w="med" len="med"/>
                              <a:tailEnd type="oval" w="med" len="med"/>
                            </a:ln>
                            <a:effectLst/>
                          </wps:spPr>
                          <wps:bodyPr/>
                        </wps:wsp>
                        <wps:wsp>
                          <wps:cNvPr id="31" name="Straight Connector 31"/>
                          <wps:cNvCnPr/>
                          <wps:spPr bwMode="auto">
                            <a:xfrm>
                              <a:off x="6354154" y="342902"/>
                              <a:ext cx="1481590" cy="5229"/>
                            </a:xfrm>
                            <a:prstGeom prst="line">
                              <a:avLst/>
                            </a:prstGeom>
                            <a:noFill/>
                            <a:ln w="9525" cap="flat" cmpd="sng" algn="ctr">
                              <a:solidFill>
                                <a:srgbClr val="1F497D"/>
                              </a:solidFill>
                              <a:prstDash val="solid"/>
                              <a:round/>
                              <a:headEnd type="none" w="med" len="med"/>
                              <a:tailEnd type="none" w="med" len="med"/>
                            </a:ln>
                            <a:effectLst/>
                          </wps:spPr>
                          <wps:bodyPr/>
                        </wps:wsp>
                      </wpg:grpSp>
                      <wpg:grpSp>
                        <wpg:cNvPr id="96" name="Group 96"/>
                        <wpg:cNvGrpSpPr/>
                        <wpg:grpSpPr>
                          <a:xfrm>
                            <a:off x="7371103" y="2462783"/>
                            <a:ext cx="1767810" cy="1535608"/>
                            <a:chOff x="7371147" y="2462783"/>
                            <a:chExt cx="1577662" cy="1535608"/>
                          </a:xfrm>
                        </wpg:grpSpPr>
                        <wps:wsp>
                          <wps:cNvPr id="97" name="TextBox 120"/>
                          <wps:cNvSpPr txBox="1"/>
                          <wps:spPr>
                            <a:xfrm>
                              <a:off x="7371147" y="2462783"/>
                              <a:ext cx="1577662" cy="1535608"/>
                            </a:xfrm>
                            <a:prstGeom prst="rect">
                              <a:avLst/>
                            </a:prstGeom>
                            <a:solidFill>
                              <a:sysClr val="window" lastClr="FFFFFF">
                                <a:lumMod val="95000"/>
                              </a:sysClr>
                            </a:solidFill>
                          </wps:spPr>
                          <wps:txb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15</w:t>
                                </w:r>
                                <w:r>
                                  <w:rPr>
                                    <w:rFonts w:asciiTheme="minorHAnsi" w:hAnsiTheme="minorHAnsi"/>
                                    <w:color w:val="44546A" w:themeColor="text2"/>
                                    <w:sz w:val="20"/>
                                    <w:szCs w:val="20"/>
                                  </w:rPr>
                                  <w:t>. September</w:t>
                                </w:r>
                              </w:p>
                              <w:p w:rsidR="00287320" w:rsidRPr="00333E12" w:rsidRDefault="00287320" w:rsidP="008B6253">
                                <w:pPr>
                                  <w:pStyle w:val="NormalWeb"/>
                                  <w:spacing w:before="0" w:beforeAutospacing="0" w:after="0" w:afterAutospacing="0"/>
                                  <w:rPr>
                                    <w:rFonts w:asciiTheme="minorHAnsi" w:hAnsiTheme="minorHAnsi" w:cstheme="minorHAnsi"/>
                                    <w:color w:val="000000" w:themeColor="text1"/>
                                    <w:kern w:val="24"/>
                                    <w:sz w:val="20"/>
                                    <w:szCs w:val="20"/>
                                  </w:rPr>
                                </w:pPr>
                                <w:r>
                                  <w:rPr>
                                    <w:rFonts w:asciiTheme="minorHAnsi" w:hAnsiTheme="minorHAnsi"/>
                                    <w:color w:val="000000" w:themeColor="text1"/>
                                    <w:sz w:val="20"/>
                                    <w:szCs w:val="20"/>
                                  </w:rPr>
                                  <w:t>Erste Auktion von EU-Bills</w:t>
                                </w:r>
                              </w:p>
                            </w:txbxContent>
                          </wps:txbx>
                          <wps:bodyPr wrap="square" rtlCol="0">
                            <a:noAutofit/>
                          </wps:bodyPr>
                        </wps:wsp>
                        <wps:wsp>
                          <wps:cNvPr id="98" name="Straight Connector 98"/>
                          <wps:cNvCnPr/>
                          <wps:spPr bwMode="auto">
                            <a:xfrm>
                              <a:off x="7371525" y="2806019"/>
                              <a:ext cx="1481590" cy="5229"/>
                            </a:xfrm>
                            <a:prstGeom prst="line">
                              <a:avLst/>
                            </a:prstGeom>
                            <a:noFill/>
                            <a:ln w="9525" cap="flat" cmpd="sng" algn="ctr">
                              <a:solidFill>
                                <a:srgbClr val="1F497D"/>
                              </a:solidFill>
                              <a:prstDash val="solid"/>
                              <a:round/>
                              <a:headEnd type="none" w="med" len="med"/>
                              <a:tailEnd type="none" w="med" len="med"/>
                            </a:ln>
                            <a:effectLst/>
                          </wps:spPr>
                          <wps:bodyPr/>
                        </wps:wsp>
                      </wpg:grpSp>
                      <wps:wsp>
                        <wps:cNvPr id="99" name="Straight Connector 99"/>
                        <wps:cNvCnPr/>
                        <wps:spPr bwMode="auto">
                          <a:xfrm>
                            <a:off x="8181519" y="2027509"/>
                            <a:ext cx="0" cy="431975"/>
                          </a:xfrm>
                          <a:prstGeom prst="line">
                            <a:avLst/>
                          </a:prstGeom>
                          <a:noFill/>
                          <a:ln w="12700" cap="flat" cmpd="sng" algn="ctr">
                            <a:solidFill>
                              <a:srgbClr val="1F497D"/>
                            </a:solidFill>
                            <a:prstDash val="solid"/>
                            <a:round/>
                            <a:headEnd type="none" w="med" len="med"/>
                            <a:tailEnd type="oval" w="med" len="med"/>
                          </a:ln>
                          <a:effectLst/>
                        </wps:spPr>
                        <wps:bodyPr/>
                      </wps:wsp>
                      <wpg:grpSp>
                        <wpg:cNvPr id="100" name="Group 100"/>
                        <wpg:cNvGrpSpPr/>
                        <wpg:grpSpPr>
                          <a:xfrm>
                            <a:off x="8495511" y="4115"/>
                            <a:ext cx="1615334" cy="2005817"/>
                            <a:chOff x="8495549" y="4115"/>
                            <a:chExt cx="1482035" cy="2005817"/>
                          </a:xfrm>
                        </wpg:grpSpPr>
                        <wps:wsp>
                          <wps:cNvPr id="101" name="TextBox 125"/>
                          <wps:cNvSpPr txBox="1"/>
                          <wps:spPr>
                            <a:xfrm>
                              <a:off x="8495549" y="4115"/>
                              <a:ext cx="1482035" cy="1574165"/>
                            </a:xfrm>
                            <a:prstGeom prst="rect">
                              <a:avLst/>
                            </a:prstGeom>
                            <a:solidFill>
                              <a:sysClr val="window" lastClr="FFFFFF">
                                <a:lumMod val="95000"/>
                              </a:sysClr>
                            </a:solidFill>
                          </wps:spPr>
                          <wps:txb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12</w:t>
                                </w:r>
                                <w:r>
                                  <w:rPr>
                                    <w:rFonts w:asciiTheme="minorHAnsi" w:hAnsiTheme="minorHAnsi"/>
                                    <w:color w:val="44546A" w:themeColor="text2"/>
                                    <w:sz w:val="20"/>
                                    <w:szCs w:val="20"/>
                                  </w:rPr>
                                  <w:t>. Oktober</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Erste Emission grüner Anleihen</w:t>
                                </w:r>
                                <w:r>
                                  <w:rPr>
                                    <w:rFonts w:asciiTheme="minorHAnsi" w:hAnsiTheme="minorHAnsi"/>
                                    <w:sz w:val="20"/>
                                    <w:szCs w:val="20"/>
                                  </w:rPr>
                                  <w:t xml:space="preserve"> </w:t>
                                </w:r>
                                <w:r>
                                  <w:rPr>
                                    <w:rFonts w:asciiTheme="minorHAnsi" w:hAnsiTheme="minorHAnsi"/>
                                    <w:color w:val="000000" w:themeColor="text1"/>
                                    <w:sz w:val="20"/>
                                    <w:szCs w:val="20"/>
                                  </w:rPr>
                                  <w:t>(</w:t>
                                </w:r>
                                <w:r w:rsidRPr="00033DD1">
                                  <w:rPr>
                                    <w:rFonts w:asciiTheme="minorHAnsi" w:hAnsiTheme="minorHAnsi"/>
                                    <w:color w:val="000000" w:themeColor="text1"/>
                                    <w:sz w:val="20"/>
                                    <w:szCs w:val="20"/>
                                  </w:rPr>
                                  <w:t>12</w:t>
                                </w:r>
                                <w:r>
                                  <w:rPr>
                                    <w:rFonts w:asciiTheme="minorHAnsi" w:hAnsiTheme="minorHAnsi"/>
                                    <w:color w:val="000000" w:themeColor="text1"/>
                                    <w:sz w:val="20"/>
                                    <w:szCs w:val="20"/>
                                  </w:rPr>
                                  <w:t> Mrd. EUR)</w:t>
                                </w:r>
                              </w:p>
                            </w:txbxContent>
                          </wps:txbx>
                          <wps:bodyPr wrap="square" rtlCol="0">
                            <a:noAutofit/>
                          </wps:bodyPr>
                        </wps:wsp>
                        <wps:wsp>
                          <wps:cNvPr id="102" name="Straight Connector 102"/>
                          <wps:cNvCnPr/>
                          <wps:spPr bwMode="auto">
                            <a:xfrm flipV="1">
                              <a:off x="9204193" y="1577957"/>
                              <a:ext cx="0" cy="431975"/>
                            </a:xfrm>
                            <a:prstGeom prst="line">
                              <a:avLst/>
                            </a:prstGeom>
                            <a:noFill/>
                            <a:ln w="12700" cap="flat" cmpd="sng" algn="ctr">
                              <a:solidFill>
                                <a:srgbClr val="1F497D"/>
                              </a:solidFill>
                              <a:prstDash val="solid"/>
                              <a:round/>
                              <a:headEnd type="none" w="med" len="med"/>
                              <a:tailEnd type="oval" w="med" len="med"/>
                            </a:ln>
                            <a:effectLst/>
                          </wps:spPr>
                          <wps:bodyPr/>
                        </wps:wsp>
                        <wps:wsp>
                          <wps:cNvPr id="103" name="Straight Connector 103"/>
                          <wps:cNvCnPr/>
                          <wps:spPr bwMode="auto">
                            <a:xfrm>
                              <a:off x="8495994" y="347018"/>
                              <a:ext cx="1481590" cy="5229"/>
                            </a:xfrm>
                            <a:prstGeom prst="line">
                              <a:avLst/>
                            </a:prstGeom>
                            <a:noFill/>
                            <a:ln w="9525" cap="flat" cmpd="sng" algn="ctr">
                              <a:solidFill>
                                <a:srgbClr val="1F497D"/>
                              </a:solidFill>
                              <a:prstDash val="solid"/>
                              <a:round/>
                              <a:headEnd type="none" w="med" len="med"/>
                              <a:tailEnd type="none" w="med" len="me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1E4D484" id="Group 2" o:spid="_x0000_s1064" style="position:absolute;margin-left:-.4pt;margin-top:26.8pt;width:462pt;height:244.55pt;z-index:251656192;mso-width-relative:margin;mso-height-relative:margin" coordsize="105225,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iduAgAAFlIAAAOAAAAZHJzL2Uyb0RvYy54bWzsXNtym0gQfd+q/QdK7xsxw2VAFTu1a6/z&#10;spdUJbvvWEKXKgQsYMv++z1zYRjJoAg5lkJKeXAkLi2mu6dP95ke3n94WifWY1yUqyy9GpF39siK&#10;02k2W6WLq9E/X+5+CUZWWUXpLEqyNL4aPcfl6MP1zz+93+STmGbLLJnFhQUhaTnZ5FejZVXlk/G4&#10;nC7jdVS+y/I4xcl5VqyjCl+LxXhWRBtIXydjatv+eJMVs7zIpnFZ4uitPDm6FvLn83ha/T2fl3Fl&#10;JVcjPFsl/hbi7z3/O75+H00WRZQvV1P1GNERT7GOVil+VIu6jarIeihWL0StV9MiK7N59W6arcfZ&#10;fL6axmIMGA2xd0bzscgecjGWxWSzyLWaoNodPR0tdvrX46fCWs1gu5GVRmuYSPyqRblqNvligis+&#10;Fvnn/FOhDizkNz7ap3mx5v9jHNaTUOqzVmr8VFlTHPQCn7k2dD/FOYfYHgs8qfbpErZ5cd90+bu6&#10;E9dS6nnwIH6ra8PeYchvHde/POYPqJ9nk8OHykZN5evU9HkZ5bHQfsmVoNREazV9ropotVhW1k2W&#10;pvCzrKh1Ji6/SZXCykkJ3Vn3mz+zGbQbPVSZ8JRW3cEJiO2IQUaTWoPbehA+qzUQTfKirD7G2dri&#10;H65GySrlDx1Nosc/ykoqq76EH06zu1WS4Hg0SVJrA5MERFgnwuybJ1EFba9z+EOZLkZWlCwwradV&#10;IUSWWbKa8dv53WWxuL9JCusxwtQid27IbpVtti7jv30blUt5nTglrQ/fTmfiOZZxNPs9nVnVcw4F&#10;pYgTI/5g63g2spIYv88/iSuraJU0V1bFKkoXScfVUFGS8geNRRhQyuA+wu3Bfbuc3GezZ2EmOJLw&#10;HenywqO09yvDO7Xh5fxw+BP1nB/UC6ljs5EFd6Y2dZxQSDEs7TDfs13p8CQMfWb7cuR6rnTKMOZN&#10;hxTtNGeYNhiTjC5f4NW/ZU8WE07O1Y65xaOLVT3hOI9DQrG1meqproPMlgJc3wsokyrS02Vr+J7n&#10;UiaCmR7+izlTYPrumzNbDl0+l9rtAUSzbAMvjcoKB69Gd+KfkJU8rDHjpduHno05hnHhGeT98mMz&#10;n4QDNo5ZPd0/iagsB9f4qrUBVmFy/vcQFXD8okpuMgFtcm7/iugyX4lp39yD3zLc+wQx0quN3RIj&#10;RexXZu8bI7dMHxDfZcGu6W0HMCHnT63wOtDWUfDYQBl6FAObDi9OdkfUo2PkCZzI3+NEIige6UQO&#10;RcgI4CNdQVi5j+uQkAlv7Q4cvcGWUDZQsM2A8+2wfKQTNSC0B3SBlWZSKiJ9X9D1bT8MgD+wN/LJ&#10;3dzKMSIGEkwPYUXGlAZxWwWYcNsuQrtNM9I673jzLBU58zbcBipf6Q+3raNvsBZjJ6FKWIaOtQJN&#10;GtwcBNZC99LSLVhrplgHYa01T1b5vzwH4+mEqup4wHRDOYGIx0KbqbK5doJLwJQRY7s6+eYBU+Vw&#10;mgV4k/KWwJid/oSTKjdHzn6QQxluRI1A4rgBcUSib9Y+Rhi95G5frYbfEnbJDhmE7/2rXRAZyKA6&#10;cZcSSptK13E9hcwad1vvN2G3XcI5YZdokqAuc0PFo/XGXTF6BPeOrIWPHVQUJ8bI0GFXw5SkYwYB&#10;u0QTGi24i5M942Qr8DLPZYotIp7vM3gXxDYR84K7Uh8/BO7u40zIa0gTI4xeYPdQavmbUyZNDbin&#10;2kXpuVXuylK0Z73rgiULHV3v7jJkbsAIZz8EcvALfZXNa9wVAnw8ioQeJcAEXtuhDs7viDgr8Gqi&#10;QAOvyRH14Zfbh1/XOgT8Ilj5GnmZS/yvcETfMbns6Hx+SMiruY025NUl/KEVSivyuiEhPlI3PgUu&#10;0HvwgtxAS959FAq4rZ6pnFHyuqh5SSDd6IK93zf28lUjk2rG9/4lbxASxhkUhI2O9V2D42hf3+0S&#10;sY2/epHLEHJO/KWaMKjxlzcVNDOnDwCbGmhf3zWVOPDiV7JgA+OcOfPQSRLiZGP3viShafvLAu/Z&#10;IuZJqGaqybKWRA4nj/ciMGLMx4pXZxxW+ftliXern+qbp28HFb2cBN4CXkWe9eo89GjgByEqg07k&#10;xRqWH+iilbkhqGl4WDTRdS+XgR6PlzK2oZcy1Jqy9NVSzgq9mjlqoNfkH/tA75YKgL1usEsfoPwN&#10;0bqliGeHhvZwe6scjVQDKn+p5ojaoqZJevTFXhifUVsuOdAL+P7g4KsJszY3Un02RzUye6HnEDRO&#10;dYbiC/hK4HnjZYvDwFeTaarrX/FnvcDXdzyHhagAAb6KTNZ0qU88ytfKOGC2t1fxuwPeQtTcbQAu&#10;GgVC0Xa5ff9ZAVfzRQ3gmrRjH8BtGbxWHYbuedCqyDXE+t+AmWadzg8IakGPd5e5DXf+KqYZdBFj&#10;tixV0FzlBO5OW8wlWp4kWp6k4gXZs8eh9MaHQx3KYJoRR1ziyUU/x62z8qZVgPBgEipfqrtgdRB9&#10;sSGid1/zpTe+3j90EOyGOomXsIvvgu3oBbvMYXyzmEy0XJ8y2eNrGJ35DJu7agRxPN9W5ZyueYUM&#10;VzZpUVOGAcEeY76PsljikJaivacZ8cnam3lbmeQMNATXfH3vRqtOFWgg/poCXkyf73nJV1MDAwJi&#10;Tux08s04eTxTyI0vtvXw9DKwsVynuhC18S+Bs33z5Rt3yJxggxH2Eu/xqtes+wYEaKtKGqwDMg+s&#10;iuAaa6+6JHUnSurU7nC9U1ft5RU7nk3SWa9W9kJgbItAhSYLX5fILj0DflH7OrwRq6l9dylnIcCV&#10;tW8jwMBeN6C2w3cd6vJXiDgn9hJbZ7EN+JoNin3q33YF1NMEWWszfFRHw2620joaEPIS0PvdQZKf&#10;7Ym9re1WIbVdgr3wnAKCmVnoqYlSO8IlXp4oXp4AdkXJ0pnN8bM9Xcoog3k4CdVWNQfN80TVO7Uf&#10;XcrgjldpvGk2JwpEvL9GvPNAvWuHvyDH/C7eUdC8Eej6fwAAAP//AwBQSwMEFAAGAAgAAAAhAMb/&#10;xG7fAAAACAEAAA8AAABkcnMvZG93bnJldi54bWxMj81OwzAQhO9IvIO1SNyo80MLhDhVVQGnqhIt&#10;EuK2jbdJ1HgdxW6Svj3uCY47M5r5Nl9OphUD9a6xrCCeRSCIS6sbrhR87d8fnkE4j6yxtUwKLuRg&#10;Wdze5JhpO/InDTtfiVDCLkMFtfddJqUrazLoZrYjDt7R9gZ9OPtK6h7HUG5amUTRQhpsOCzU2NG6&#10;pvK0OxsFHyOOqzR+Gzan4/rys59vvzcxKXV/N61eQXia/F8YrvgBHYrAdLBn1k60Cq7gXsE8XYAI&#10;9kuSJiAOQXhMnkAWufz/QPELAAD//wMAUEsBAi0AFAAGAAgAAAAhALaDOJL+AAAA4QEAABMAAAAA&#10;AAAAAAAAAAAAAAAAAFtDb250ZW50X1R5cGVzXS54bWxQSwECLQAUAAYACAAAACEAOP0h/9YAAACU&#10;AQAACwAAAAAAAAAAAAAAAAAvAQAAX3JlbHMvLnJlbHNQSwECLQAUAAYACAAAACEAiNXonbgIAABZ&#10;SAAADgAAAAAAAAAAAAAAAAAuAgAAZHJzL2Uyb0RvYy54bWxQSwECLQAUAAYACAAAACEAxv/Ebt8A&#10;AAAIAQAADwAAAAAAAAAAAAAAAAASCwAAZHJzL2Rvd25yZXYueG1sUEsFBgAAAAAEAAQA8wAAAB4M&#10;AAAAAA==&#10;">
                <v:line id="Straight Connector 2" o:spid="_x0000_s1065" style="position:absolute;visibility:visible;mso-wrap-style:square" from="0,20110" to="105225,2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s9wgAAANoAAAAPAAAAZHJzL2Rvd25yZXYueG1sRI9Bi8Iw&#10;FITvwv6H8Bb2pqkKulSjuKuiF4WtgtdH82yDzUtponb/vREEj8PMfMNM562txI0abxwr6PcSEMS5&#10;04YLBcfDuvsNwgdkjZVjUvBPHuazj84UU+3u/Ee3LBQiQtinqKAMoU6l9HlJFn3P1cTRO7vGYoiy&#10;KaRu8B7htpKDJBlJi4bjQok1/ZaUX7KrVWA2mTkWdn+5Ln9GuzGfVsvhOlHq67NdTEAEasM7/Gpv&#10;tYIBPK/EGyBnDwAAAP//AwBQSwECLQAUAAYACAAAACEA2+H2y+4AAACFAQAAEwAAAAAAAAAAAAAA&#10;AAAAAAAAW0NvbnRlbnRfVHlwZXNdLnhtbFBLAQItABQABgAIAAAAIQBa9CxbvwAAABUBAAALAAAA&#10;AAAAAAAAAAAAAB8BAABfcmVscy8ucmVsc1BLAQItABQABgAIAAAAIQA3ims9wgAAANoAAAAPAAAA&#10;AAAAAAAAAAAAAAcCAABkcnMvZG93bnJldi54bWxQSwUGAAAAAAMAAwC3AAAA9gIAAAAA&#10;" strokecolor="#1f497d" strokeweight="3pt">
                  <v:stroke endarrow="block"/>
                </v:line>
                <v:group id="Group 3" o:spid="_x0000_s1066" style="position:absolute;left:25923;top:20233;width:13765;height:19967" coordorigin="25923,20233" coordsize="13765,1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Box 79" o:spid="_x0000_s1067" type="#_x0000_t202" style="position:absolute;left:25923;top:24658;width:13765;height:1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YexAAAANoAAAAPAAAAZHJzL2Rvd25yZXYueG1sRI9BawIx&#10;FITvgv8hPMFbzbZdi2yNUpRKLwWrgnh7bF43SzcvYRPdtb++EQoeh5n5hpkve9uIC7WhdqzgcZKB&#10;IC6drrlScNi/P8xAhIissXFMCq4UYLkYDuZYaNfxF112sRIJwqFABSZGX0gZSkMWw8R54uR9u9Zi&#10;TLKtpG6xS3DbyKcse5EWa04LBj2tDJU/u7NVsFrnm+NpOv2Vn89b403ny2t+Umo86t9eQUTq4z38&#10;3/7QCnK4XUk3QC7+AAAA//8DAFBLAQItABQABgAIAAAAIQDb4fbL7gAAAIUBAAATAAAAAAAAAAAA&#10;AAAAAAAAAABbQ29udGVudF9UeXBlc10ueG1sUEsBAi0AFAAGAAgAAAAhAFr0LFu/AAAAFQEAAAsA&#10;AAAAAAAAAAAAAAAAHwEAAF9yZWxzLy5yZWxzUEsBAi0AFAAGAAgAAAAhALJ4Zh7EAAAA2gAAAA8A&#10;AAAAAAAAAAAAAAAABwIAAGRycy9kb3ducmV2LnhtbFBLBQYAAAAAAwADALcAAAD4AgAAAAA=&#10;" fillcolor="#f2f2f2" stroked="f">
                    <v:textbo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w:t>
                          </w:r>
                          <w:r>
                            <w:rPr>
                              <w:rFonts w:asciiTheme="minorHAnsi" w:hAnsiTheme="minorHAnsi"/>
                              <w:color w:val="44546A" w:themeColor="text2"/>
                              <w:sz w:val="20"/>
                              <w:szCs w:val="20"/>
                            </w:rPr>
                            <w:t>. Juni</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Veröffentlichung des ersten Finanzierungsplans</w:t>
                          </w:r>
                        </w:p>
                      </w:txbxContent>
                    </v:textbox>
                  </v:shape>
                  <v:line id="Straight Connector 5" o:spid="_x0000_s1068" style="position:absolute;visibility:visible;mso-wrap-style:square" from="25923,28164" to="38953,2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2mwQAAANoAAAAPAAAAZHJzL2Rvd25yZXYueG1sRI9LawIx&#10;FIX3Qv9DuAV3mrGg2NEoUii6cOOj4PIyuc4MJjfTJOrorzeC4PJwHh9nOm+tERfyoXasYNDPQBAX&#10;TtdcKtjvfntjECEiazSOScGNAsxnH50p5tpdeUOXbSxFGuGQo4IqxiaXMhQVWQx91xAn7+i8xZik&#10;L6X2eE3j1sivLBtJizUnQoUN/VRUnLZnmyB4t245vK/N7d8evv3qb2GagVLdz3YxARGpje/wq73S&#10;CobwvJJugJw9AAAA//8DAFBLAQItABQABgAIAAAAIQDb4fbL7gAAAIUBAAATAAAAAAAAAAAAAAAA&#10;AAAAAABbQ29udGVudF9UeXBlc10ueG1sUEsBAi0AFAAGAAgAAAAhAFr0LFu/AAAAFQEAAAsAAAAA&#10;AAAAAAAAAAAAHwEAAF9yZWxzLy5yZWxzUEsBAi0AFAAGAAgAAAAhAAwmnabBAAAA2gAAAA8AAAAA&#10;AAAAAAAAAAAABwIAAGRycy9kb3ducmV2LnhtbFBLBQYAAAAAAwADALcAAAD1AgAAAAA=&#10;" strokecolor="#1f497d"/>
                  <v:line id="Straight Connector 6" o:spid="_x0000_s1069" style="position:absolute;visibility:visible;mso-wrap-style:square" from="32582,20233" to="32582,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2cjvgAAANoAAAAPAAAAZHJzL2Rvd25yZXYueG1sRI/NCsIw&#10;EITvgu8QVvAimtqDSDWKioKexJ8HWJq1LTab2kRb394IgsdhZr5h5svWlOJFtSssKxiPIhDEqdUF&#10;Zwqul91wCsJ5ZI2lZVLwJgfLRbczx0Tbhk/0OvtMBAi7BBXk3leJlC7NyaAb2Yo4eDdbG/RB1pnU&#10;NTYBbkoZR9FEGiw4LORY0San9H5+GgWPNW2nFLsqGhzjw3ttMn/bN0r1e+1qBsJT6//hX3uvFUzg&#10;eyXcALn4AAAA//8DAFBLAQItABQABgAIAAAAIQDb4fbL7gAAAIUBAAATAAAAAAAAAAAAAAAAAAAA&#10;AABbQ29udGVudF9UeXBlc10ueG1sUEsBAi0AFAAGAAgAAAAhAFr0LFu/AAAAFQEAAAsAAAAAAAAA&#10;AAAAAAAAHwEAAF9yZWxzLy5yZWxzUEsBAi0AFAAGAAgAAAAhAKrPZyO+AAAA2gAAAA8AAAAAAAAA&#10;AAAAAAAABwIAAGRycy9kb3ducmV2LnhtbFBLBQYAAAAAAwADALcAAADyAgAAAAA=&#10;" strokecolor="#1f497d" strokeweight="1pt">
                    <v:stroke endarrow="oval"/>
                  </v:line>
                </v:group>
                <v:group id="Group 7" o:spid="_x0000_s1070" style="position:absolute;left:26069;top:52;width:13031;height:20058" coordorigin="26069,52" coordsize="13030,2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Box 83" o:spid="_x0000_s1071" type="#_x0000_t202" style="position:absolute;left:26069;top:52;width:13031;height:1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wbwQAAANoAAAAPAAAAZHJzL2Rvd25yZXYueG1sRE/LagIx&#10;FN0L/YdwC+40U1+UqVGKorgp+CgUd5fJ7WTo5CZMojP69WZRcHk47/mys7W4UhMqxwrehhkI4sLp&#10;iksF36fN4B1EiMgaa8ek4EYBlouX3hxz7Vo+0PUYS5FCOOSowMTocylDYchiGDpPnLhf11iMCTal&#10;1A22KdzWcpRlM2mx4tRg0NPKUPF3vFgFq/Vk+3OeTu/ya7w33rS+uE3OSvVfu88PEJG6+BT/u3da&#10;QdqarqQbIBcPAAAA//8DAFBLAQItABQABgAIAAAAIQDb4fbL7gAAAIUBAAATAAAAAAAAAAAAAAAA&#10;AAAAAABbQ29udGVudF9UeXBlc10ueG1sUEsBAi0AFAAGAAgAAAAhAFr0LFu/AAAAFQEAAAsAAAAA&#10;AAAAAAAAAAAAHwEAAF9yZWxzLy5yZWxzUEsBAi0AFAAGAAgAAAAhADM1bBvBAAAA2gAAAA8AAAAA&#10;AAAAAAAAAAAABwIAAGRycy9kb3ducmV2LnhtbFBLBQYAAAAAAwADALcAAAD1AgAAAAA=&#10;" fillcolor="#f2f2f2" stroked="f">
                    <v:textbo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w:t>
                          </w:r>
                          <w:r>
                            <w:rPr>
                              <w:rFonts w:asciiTheme="minorHAnsi" w:hAnsiTheme="minorHAnsi"/>
                              <w:color w:val="44546A" w:themeColor="text2"/>
                              <w:sz w:val="20"/>
                              <w:szCs w:val="20"/>
                            </w:rPr>
                            <w:t>. Juni</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Erlass des jährlichen Anleihebeschlusses</w:t>
                          </w:r>
                        </w:p>
                      </w:txbxContent>
                    </v:textbox>
                  </v:shape>
                  <v:line id="Straight Connector 9" o:spid="_x0000_s1072" style="position:absolute;flip:y;visibility:visible;mso-wrap-style:square" from="32584,15790" to="32584,2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tPwgAAANoAAAAPAAAAZHJzL2Rvd25yZXYueG1sRI9La8Mw&#10;EITvhf4HsYXeGjk5lNaJbEIgkJBTndJeF2v9wNbKSPIj+fVVodDjMDPfMLt8Mb2YyPnWsoL1KgFB&#10;XFrdcq3g83p8eQPhA7LG3jIpuJGHPHt82GGq7cwfNBWhFhHCPkUFTQhDKqUvGzLoV3Ygjl5lncEQ&#10;pauldjhHuOnlJklepcGW40KDAx0aKrtiNAru7l5dqvH83RXX4kvT+WZr2yr1/LTstyACLeE//Nc+&#10;aQXv8Hsl3gCZ/QAAAP//AwBQSwECLQAUAAYACAAAACEA2+H2y+4AAACFAQAAEwAAAAAAAAAAAAAA&#10;AAAAAAAAW0NvbnRlbnRfVHlwZXNdLnhtbFBLAQItABQABgAIAAAAIQBa9CxbvwAAABUBAAALAAAA&#10;AAAAAAAAAAAAAB8BAABfcmVscy8ucmVsc1BLAQItABQABgAIAAAAIQDeBBtPwgAAANoAAAAPAAAA&#10;AAAAAAAAAAAAAAcCAABkcnMvZG93bnJldi54bWxQSwUGAAAAAAMAAwC3AAAA9gIAAAAA&#10;" strokecolor="#1f497d" strokeweight="1pt">
                    <v:stroke endarrow="oval"/>
                  </v:line>
                  <v:line id="Straight Connector 10" o:spid="_x0000_s1073" style="position:absolute;visibility:visible;mso-wrap-style:square" from="26069,3481" to="39100,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5JLwwAAANsAAAAPAAAAZHJzL2Rvd25yZXYueG1sRI9Na8Mw&#10;DIbvhf0Ho8FujdPBSpvVLWUw2sMu/YIdRawlYbac2W6b9tdPh8FuEno/Hi1Wg3fqQjF1gQ1MihIU&#10;cR1sx42B4+F9PAOVMrJFF5gM3CjBavkwWmBlw5V3dNnnRkkIpwoNtDn3ldapbsljKkJPLLevED1m&#10;WWOjbcSrhHunn8tyqj12LA0t9vTWUv29P3spwbsPm5f7h7v9+M953J7Wrp8Y8/Q4rF9BZRryv/jP&#10;vbWCL/Tyiwygl78AAAD//wMAUEsBAi0AFAAGAAgAAAAhANvh9svuAAAAhQEAABMAAAAAAAAAAAAA&#10;AAAAAAAAAFtDb250ZW50X1R5cGVzXS54bWxQSwECLQAUAAYACAAAACEAWvQsW78AAAAVAQAACwAA&#10;AAAAAAAAAAAAAAAfAQAAX3JlbHMvLnJlbHNQSwECLQAUAAYACAAAACEAKCOSS8MAAADbAAAADwAA&#10;AAAAAAAAAAAAAAAHAgAAZHJzL2Rvd25yZXYueG1sUEsFBgAAAAADAAMAtwAAAPcCAAAAAA==&#10;" strokecolor="#1f497d"/>
                </v:group>
                <v:group id="Group 11" o:spid="_x0000_s1074" style="position:absolute;left:1031;top:52;width:13213;height:19934" coordorigin="1031,52" coordsize="13212,1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Box 92" o:spid="_x0000_s1075" type="#_x0000_t202" style="position:absolute;left:1031;top:52;width:13213;height:1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vNwgAAANsAAAAPAAAAZHJzL2Rvd25yZXYueG1sRE9LawIx&#10;EL4L/ocwgrea9VXKahRRKl4K1RbE27CZbpZuJmGTuqu/vikUvM3H95zlurO1uFITKscKxqMMBHHh&#10;dMWlgs+P16cXECEia6wdk4IbBViv+r0l5tq1fKTrKZYihXDIUYGJ0edShsKQxTBynjhxX66xGBNs&#10;SqkbbFO4reUky56lxYpTg0FPW0PF9+nHKtjuZvvzZT6/y7fpu/Gm9cVtdlFqOOg2CxCRuvgQ/7sP&#10;Os2fwt8v6QC5+gUAAP//AwBQSwECLQAUAAYACAAAACEA2+H2y+4AAACFAQAAEwAAAAAAAAAAAAAA&#10;AAAAAAAAW0NvbnRlbnRfVHlwZXNdLnhtbFBLAQItABQABgAIAAAAIQBa9CxbvwAAABUBAAALAAAA&#10;AAAAAAAAAAAAAB8BAABfcmVscy8ucmVsc1BLAQItABQABgAIAAAAIQCITfvNwgAAANsAAAAPAAAA&#10;AAAAAAAAAAAAAAcCAABkcnMvZG93bnJldi54bWxQSwUGAAAAAAMAAwC3AAAA9gIAAAAA&#10;" fillcolor="#f2f2f2" stroked="f">
                    <v:textbo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14</w:t>
                          </w:r>
                          <w:r>
                            <w:rPr>
                              <w:rFonts w:asciiTheme="minorHAnsi" w:hAnsiTheme="minorHAnsi"/>
                              <w:color w:val="44546A" w:themeColor="text2"/>
                              <w:sz w:val="20"/>
                              <w:szCs w:val="20"/>
                            </w:rPr>
                            <w:t>. April</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Annahme der diversifizierten</w:t>
                          </w:r>
                          <w:r>
                            <w:rPr>
                              <w:rFonts w:asciiTheme="minorHAnsi" w:hAnsiTheme="minorHAnsi"/>
                              <w:sz w:val="20"/>
                              <w:szCs w:val="20"/>
                            </w:rPr>
                            <w:t xml:space="preserve"> </w:t>
                          </w:r>
                          <w:r>
                            <w:rPr>
                              <w:rFonts w:asciiTheme="minorHAnsi" w:hAnsiTheme="minorHAnsi"/>
                              <w:color w:val="000000" w:themeColor="text1"/>
                              <w:sz w:val="20"/>
                              <w:szCs w:val="20"/>
                            </w:rPr>
                            <w:t>Finanzierungsstrategie</w:t>
                          </w:r>
                        </w:p>
                      </w:txbxContent>
                    </v:textbox>
                  </v:shape>
                  <v:line id="Straight Connector 14" o:spid="_x0000_s1076" style="position:absolute;flip:y;visibility:visible;mso-wrap-style:square" from="7547,15667" to="7547,1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Bq6wAAAANsAAAAPAAAAZHJzL2Rvd25yZXYueG1sRE/JasMw&#10;EL0X+g9iCr01ckIpxYlsQiCQkFOd0l4Ha7xga2QkeUm+vioUepvHW2eXL6YXEznfWlawXiUgiEur&#10;W64VfF6PL+8gfEDW2FsmBTfykGePDztMtZ35g6Yi1CKGsE9RQRPCkErpy4YM+pUdiCNXWWcwROhq&#10;qR3OMdz0cpMkb9Jgy7GhwYEODZVdMRoFd3evLtV4/u6Ka/Gl6XyztW2Ven5a9lsQgZbwL/5zn3Sc&#10;/wq/v8QDZPYDAAD//wMAUEsBAi0AFAAGAAgAAAAhANvh9svuAAAAhQEAABMAAAAAAAAAAAAAAAAA&#10;AAAAAFtDb250ZW50X1R5cGVzXS54bWxQSwECLQAUAAYACAAAACEAWvQsW78AAAAVAQAACwAAAAAA&#10;AAAAAAAAAAAfAQAAX3JlbHMvLnJlbHNQSwECLQAUAAYACAAAACEAdpQausAAAADbAAAADwAAAAAA&#10;AAAAAAAAAAAHAgAAZHJzL2Rvd25yZXYueG1sUEsFBgAAAAADAAMAtwAAAPQCAAAAAA==&#10;" strokecolor="#1f497d" strokeweight="1pt">
                    <v:stroke endarrow="oval"/>
                  </v:line>
                  <v:line id="Straight Connector 15" o:spid="_x0000_s1077" style="position:absolute;visibility:visible;mso-wrap-style:square" from="1031,3481" to="14062,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DHTwwAAANsAAAAPAAAAZHJzL2Rvd25yZXYueG1sRI/NigIx&#10;EITvwr5D6AVvmnFBcUejyMKiBy/+LHhsJu3MYNKZTaKOPr0RBG/dVHV91dN5a424kA+1YwWDfgaC&#10;uHC65lLBfvfbG4MIEVmjcUwKbhRgPvvoTDHX7sobumxjKVIIhxwVVDE2uZShqMhi6LuGOGlH5y3G&#10;tPpSao/XFG6N/MqykbRYcyJU2NBPRcVpe7YJgnfrlsP72tz+7eHbr/4Wphko1f1sFxMQkdr4Nr+u&#10;VzrVH8LzlzSAnD0AAAD//wMAUEsBAi0AFAAGAAgAAAAhANvh9svuAAAAhQEAABMAAAAAAAAAAAAA&#10;AAAAAAAAAFtDb250ZW50X1R5cGVzXS54bWxQSwECLQAUAAYACAAAACEAWvQsW78AAAAVAQAACwAA&#10;AAAAAAAAAAAAAAAfAQAAX3JlbHMvLnJlbHNQSwECLQAUAAYACAAAACEAOFQx08MAAADbAAAADwAA&#10;AAAAAAAAAAAAAAAHAgAAZHJzL2Rvd25yZXYueG1sUEsFBgAAAAADAAMAtwAAAPcCAAAAAA==&#10;" strokecolor="#1f497d"/>
                </v:group>
                <v:group id="Group 16" o:spid="_x0000_s1078" style="position:absolute;left:42599;top:52;width:14872;height:19934" coordorigin="42599,52" coordsize="13032,1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Box 96" o:spid="_x0000_s1079" type="#_x0000_t202" style="position:absolute;left:42599;top:52;width:13027;height:1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v3OwwAAANsAAAAPAAAAZHJzL2Rvd25yZXYueG1sRE9NawIx&#10;EL0L/Q9hCr3VbFutshqlWCpeClYF8TZsxs3iZhI2qbv6602h4G0e73Om887W4kxNqBwreOlnIIgL&#10;pysuFey2X89jECEia6wdk4ILBZjPHnpTzLVr+YfOm1iKFMIhRwUmRp9LGQpDFkPfeeLEHV1jMSbY&#10;lFI32KZwW8vXLHuXFitODQY9LQwVp82vVbD4HCz3h+HwKr/f1sab1heXwUGpp8fuYwIiUhfv4n/3&#10;Sqf5I/j7JR0gZzcAAAD//wMAUEsBAi0AFAAGAAgAAAAhANvh9svuAAAAhQEAABMAAAAAAAAAAAAA&#10;AAAAAAAAAFtDb250ZW50X1R5cGVzXS54bWxQSwECLQAUAAYACAAAACEAWvQsW78AAAAVAQAACwAA&#10;AAAAAAAAAAAAAAAfAQAAX3JlbHMvLnJlbHNQSwECLQAUAAYACAAAACEA93b9zsMAAADbAAAADwAA&#10;AAAAAAAAAAAAAAAHAgAAZHJzL2Rvd25yZXYueG1sUEsFBgAAAAADAAMAtwAAAPcCAAAAAA==&#10;" fillcolor="#f2f2f2" stroked="f">
                    <v:textbo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15</w:t>
                          </w:r>
                          <w:r>
                            <w:rPr>
                              <w:rFonts w:asciiTheme="minorHAnsi" w:hAnsiTheme="minorHAnsi"/>
                              <w:color w:val="44546A" w:themeColor="text2"/>
                              <w:sz w:val="20"/>
                              <w:szCs w:val="20"/>
                            </w:rPr>
                            <w:t>. Juni</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Erste NGEU-Emission</w:t>
                          </w:r>
                          <w:r>
                            <w:rPr>
                              <w:rFonts w:asciiTheme="minorHAnsi" w:hAnsiTheme="minorHAnsi"/>
                              <w:sz w:val="20"/>
                              <w:szCs w:val="20"/>
                            </w:rPr>
                            <w:t xml:space="preserve"> </w:t>
                          </w:r>
                          <w:r>
                            <w:rPr>
                              <w:rFonts w:asciiTheme="minorHAnsi" w:hAnsiTheme="minorHAnsi"/>
                              <w:color w:val="000000" w:themeColor="text1"/>
                              <w:sz w:val="20"/>
                              <w:szCs w:val="20"/>
                            </w:rPr>
                            <w:t>(</w:t>
                          </w:r>
                          <w:r w:rsidRPr="00033DD1">
                            <w:rPr>
                              <w:rFonts w:asciiTheme="minorHAnsi" w:hAnsiTheme="minorHAnsi"/>
                              <w:color w:val="000000" w:themeColor="text1"/>
                              <w:sz w:val="20"/>
                              <w:szCs w:val="20"/>
                            </w:rPr>
                            <w:t>20</w:t>
                          </w:r>
                          <w:r>
                            <w:rPr>
                              <w:rFonts w:asciiTheme="minorHAnsi" w:hAnsiTheme="minorHAnsi"/>
                              <w:color w:val="000000" w:themeColor="text1"/>
                              <w:sz w:val="20"/>
                              <w:szCs w:val="20"/>
                            </w:rPr>
                            <w:t> Mrd. EUR)</w:t>
                          </w:r>
                        </w:p>
                      </w:txbxContent>
                    </v:textbox>
                  </v:shape>
                  <v:line id="Straight Connector 18" o:spid="_x0000_s1080" style="position:absolute;flip:y;visibility:visible;mso-wrap-style:square" from="49116,15667" to="49116,1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RC/wgAAANsAAAAPAAAAZHJzL2Rvd25yZXYueG1sRI9PiwIx&#10;DMXvC36HEsHb2tGDLKNVRBCUPe24rNcwzfzBaTq0VUc/vTkIe0t4L+/9stoMrlM3CrH1bGA2zUAR&#10;l962XBv4Pe0/v0DFhGyx80wGHhRhsx59rDC3/s4/dCtSrSSEY44GmpT6XOtYNuQwTn1PLFrlg8Mk&#10;a6i1DXiXcNfpeZYttMOWpaHBnnYNlZfi6gw8w7P6rq7H86U4FX+Wjg9f+9aYyXjYLkElGtK/+X19&#10;sIIvsPKLDKDXLwAAAP//AwBQSwECLQAUAAYACAAAACEA2+H2y+4AAACFAQAAEwAAAAAAAAAAAAAA&#10;AAAAAAAAW0NvbnRlbnRfVHlwZXNdLnhtbFBLAQItABQABgAIAAAAIQBa9CxbvwAAABUBAAALAAAA&#10;AAAAAAAAAAAAAB8BAABfcmVscy8ucmVsc1BLAQItABQABgAIAAAAIQD32RC/wgAAANsAAAAPAAAA&#10;AAAAAAAAAAAAAAcCAABkcnMvZG93bnJldi54bWxQSwUGAAAAAAMAAwC3AAAA9gIAAAAA&#10;" strokecolor="#1f497d" strokeweight="1pt">
                    <v:stroke endarrow="oval"/>
                  </v:line>
                  <v:line id="Straight Connector 19" o:spid="_x0000_s1081" style="position:absolute;visibility:visible;mso-wrap-style:square" from="42601,3481" to="55632,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vWxAAAANsAAAAPAAAAZHJzL2Rvd25yZXYueG1sRI9Ba8JA&#10;EIXvQv/DMkJvZqPQYlJXkUKph16qFnocstMkuDub7q6a5Nd3C4K3Gd6b971ZbXprxIV8aB0rmGc5&#10;COLK6ZZrBcfD22wJIkRkjcYxKRgowGb9MFlhqd2VP+myj7VIIRxKVNDE2JVShqohiyFzHXHSfpy3&#10;GNPqa6k9XlO4NXKR58/SYsuJ0GBHrw1Vp/3ZJgiO1r0/jR9m+LXfhd99bU03V+px2m9fQETq4918&#10;u97pVL+A/1/SAHL9BwAA//8DAFBLAQItABQABgAIAAAAIQDb4fbL7gAAAIUBAAATAAAAAAAAAAAA&#10;AAAAAAAAAABbQ29udGVudF9UeXBlc10ueG1sUEsBAi0AFAAGAAgAAAAhAFr0LFu/AAAAFQEAAAsA&#10;AAAAAAAAAAAAAAAAHwEAAF9yZWxzLy5yZWxzUEsBAi0AFAAGAAgAAAAhALkZO9bEAAAA2wAAAA8A&#10;AAAAAAAAAAAAAAAABwIAAGRycy9kb3ducmV2LnhtbFBLBQYAAAAAAwADALcAAAD4AgAAAAA=&#10;" strokecolor="#1f497d"/>
                </v:group>
                <v:group id="Group 20" o:spid="_x0000_s1082" style="position:absolute;left:8917;top:20233;width:13030;height:19967" coordorigin="8917,20233" coordsize="13030,1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Box 100" o:spid="_x0000_s1083" type="#_x0000_t202" style="position:absolute;left:8917;top:24658;width:13030;height:1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qcxQAAANsAAAAPAAAAZHJzL2Rvd25yZXYueG1sRI9PawIx&#10;FMTvQr9DeEJvNatVka1RitLSi1D/gHh7bF43i5uXsInu2k9vCgWPw8z8hpkvO1uLKzWhcqxgOMhA&#10;EBdOV1wqOOw/XmYgQkTWWDsmBTcKsFw89eaYa9fylq67WIoE4ZCjAhOjz6UMhSGLYeA8cfJ+XGMx&#10;JtmUUjfYJrit5SjLptJixWnBoKeVoeK8u1gFq/X483iaTH7l5vXbeNP64jY+KfXc797fQETq4iP8&#10;3/7SCkZD+PuSfoBc3AEAAP//AwBQSwECLQAUAAYACAAAACEA2+H2y+4AAACFAQAAEwAAAAAAAAAA&#10;AAAAAAAAAAAAW0NvbnRlbnRfVHlwZXNdLnhtbFBLAQItABQABgAIAAAAIQBa9CxbvwAAABUBAAAL&#10;AAAAAAAAAAAAAAAAAB8BAABfcmVscy8ucmVsc1BLAQItABQABgAIAAAAIQDZvwqcxQAAANsAAAAP&#10;AAAAAAAAAAAAAAAAAAcCAABkcnMvZG93bnJldi54bWxQSwUGAAAAAAMAAwC3AAAA+QIAAAAA&#10;" fillcolor="#f2f2f2" stroked="f">
                    <v:textbo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31</w:t>
                          </w:r>
                          <w:r>
                            <w:rPr>
                              <w:rFonts w:asciiTheme="minorHAnsi" w:hAnsiTheme="minorHAnsi"/>
                              <w:color w:val="44546A" w:themeColor="text2"/>
                              <w:sz w:val="20"/>
                              <w:szCs w:val="20"/>
                            </w:rPr>
                            <w:t>. Mai</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Einrichtung des</w:t>
                          </w:r>
                          <w:r>
                            <w:rPr>
                              <w:rFonts w:asciiTheme="minorHAnsi" w:hAnsiTheme="minorHAnsi"/>
                              <w:sz w:val="20"/>
                              <w:szCs w:val="20"/>
                            </w:rPr>
                            <w:t xml:space="preserve"> </w:t>
                          </w:r>
                          <w:r>
                            <w:rPr>
                              <w:rFonts w:asciiTheme="minorHAnsi" w:hAnsiTheme="minorHAnsi"/>
                              <w:color w:val="000000" w:themeColor="text1"/>
                              <w:sz w:val="20"/>
                              <w:szCs w:val="20"/>
                            </w:rPr>
                            <w:t>Primärhändlernetzes</w:t>
                          </w:r>
                        </w:p>
                      </w:txbxContent>
                    </v:textbox>
                  </v:shape>
                  <v:line id="Straight Connector 22" o:spid="_x0000_s1084" style="position:absolute;visibility:visible;mso-wrap-style:square" from="8917,28164" to="21947,2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MawgAAANsAAAAPAAAAZHJzL2Rvd25yZXYueG1sRI9LawIx&#10;FIX3Bf9DuEJ3NeNARUejiFDqohtf4PIyuc4MJjdjkurorzdCocvDeXyc2aKzRlzJh8axguEgA0Fc&#10;Ot1wpWC/+/oYgwgRWaNxTAruFGAx773NsNDuxhu6bmMl0giHAhXUMbaFlKGsyWIYuJY4eSfnLcYk&#10;fSW1x1sat0bmWTaSFhtOhBpbWtVUnre/NkHwYd335+PH3C/2OPHrw9K0Q6Xe+91yCiJSF//Df+21&#10;VpDn8PqSfoCcPwEAAP//AwBQSwECLQAUAAYACAAAACEA2+H2y+4AAACFAQAAEwAAAAAAAAAAAAAA&#10;AAAAAAAAW0NvbnRlbnRfVHlwZXNdLnhtbFBLAQItABQABgAIAAAAIQBa9CxbvwAAABUBAAALAAAA&#10;AAAAAAAAAAAAAB8BAABfcmVscy8ucmVsc1BLAQItABQABgAIAAAAIQB50WMawgAAANsAAAAPAAAA&#10;AAAAAAAAAAAAAAcCAABkcnMvZG93bnJldi54bWxQSwUGAAAAAAMAAwC3AAAA9gIAAAAA&#10;" strokecolor="#1f497d"/>
                  <v:line id="Straight Connector 23" o:spid="_x0000_s1085" style="position:absolute;visibility:visible;mso-wrap-style:square" from="15576,20233" to="15576,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TwDwwAAANsAAAAPAAAAZHJzL2Rvd25yZXYueG1sRI/dasJA&#10;FITvC77DcoTelLpphCKpqzSiEK+k0Qc4ZI9JaPZszG7z8/ZdQfBymJlvmPV2NI3oqXO1ZQUfiwgE&#10;cWF1zaWCy/nwvgLhPLLGxjIpmMjBdjN7WWOi7cA/1Oe+FAHCLkEFlfdtIqUrKjLoFrYlDt7VdgZ9&#10;kF0pdYdDgJtGxlH0KQ3WHBYqbGlXUfGb/xkFt5T2K4pdG72d4uOUmtJfs0Gp1/n4/QXC0+if4Uc7&#10;0wriJdy/hB8gN/8AAAD//wMAUEsBAi0AFAAGAAgAAAAhANvh9svuAAAAhQEAABMAAAAAAAAAAAAA&#10;AAAAAAAAAFtDb250ZW50X1R5cGVzXS54bWxQSwECLQAUAAYACAAAACEAWvQsW78AAAAVAQAACwAA&#10;AAAAAAAAAAAAAAAfAQAAX3JlbHMvLnJlbHNQSwECLQAUAAYACAAAACEA7A08A8MAAADbAAAADwAA&#10;AAAAAAAAAAAAAAAHAgAAZHJzL2Rvd25yZXYueG1sUEsFBgAAAAADAAMAtwAAAPcCAAAAAA==&#10;" strokecolor="#1f497d" strokeweight="1pt">
                    <v:stroke endarrow="oval"/>
                  </v:line>
                </v:group>
                <v:group id="Group 24" o:spid="_x0000_s1086" style="position:absolute;left:52868;top:20233;width:15847;height:19750" coordorigin="52869,20233" coordsize="13032,1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Box 104" o:spid="_x0000_s1087" type="#_x0000_t202" style="position:absolute;left:52869;top:24654;width:13030;height:1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yfxQAAANsAAAAPAAAAZHJzL2Rvd25yZXYueG1sRI9PawIx&#10;FMTvgt8hvEJvNVvrSlmNIpaWXgr+KYi3x+a5Wdy8hE3qrv30jVDwOMzMb5j5sreNuFAbascKnkcZ&#10;COLS6ZorBd/796dXECEia2wck4IrBVguhoM5Ftp1vKXLLlYiQTgUqMDE6AspQ2nIYhg5T5y8k2st&#10;xiTbSuoWuwS3jRxn2VRarDktGPS0NlSedz9Wwfpt8nE45vmv/HrZGG86X14nR6UeH/rVDESkPt7D&#10;/+1PrWCcw+1L+gFy8QcAAP//AwBQSwECLQAUAAYACAAAACEA2+H2y+4AAACFAQAAEwAAAAAAAAAA&#10;AAAAAAAAAAAAW0NvbnRlbnRfVHlwZXNdLnhtbFBLAQItABQABgAIAAAAIQBa9CxbvwAAABUBAAAL&#10;AAAAAAAAAAAAAAAAAB8BAABfcmVscy8ucmVsc1BLAQItABQABgAIAAAAIQCmhAyfxQAAANsAAAAP&#10;AAAAAAAAAAAAAAAAAAcCAABkcnMvZG93bnJldi54bWxQSwUGAAAAAAMAAwC3AAAA+QIAAAAA&#10;" fillcolor="#f2f2f2" stroked="f">
                    <v:textbo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w:t>
                          </w:r>
                          <w:r>
                            <w:rPr>
                              <w:rFonts w:asciiTheme="minorHAnsi" w:hAnsiTheme="minorHAnsi"/>
                              <w:color w:val="44546A" w:themeColor="text2"/>
                              <w:sz w:val="20"/>
                              <w:szCs w:val="20"/>
                            </w:rPr>
                            <w:t>. September</w:t>
                          </w:r>
                        </w:p>
                        <w:p w:rsidR="00287320" w:rsidRPr="00025C13" w:rsidRDefault="00287320" w:rsidP="008B6253">
                          <w:pPr>
                            <w:pStyle w:val="NormalWeb"/>
                            <w:spacing w:before="0" w:beforeAutospacing="0" w:after="0" w:afterAutospacing="0"/>
                            <w:rPr>
                              <w:rFonts w:asciiTheme="minorHAnsi" w:hAnsiTheme="minorHAnsi" w:cstheme="minorHAnsi"/>
                              <w:color w:val="000000" w:themeColor="text1"/>
                              <w:kern w:val="24"/>
                              <w:sz w:val="20"/>
                              <w:szCs w:val="20"/>
                            </w:rPr>
                          </w:pPr>
                          <w:r>
                            <w:rPr>
                              <w:rFonts w:asciiTheme="minorHAnsi" w:hAnsiTheme="minorHAnsi"/>
                              <w:color w:val="000000" w:themeColor="text1"/>
                              <w:sz w:val="20"/>
                              <w:szCs w:val="20"/>
                            </w:rPr>
                            <w:t>Amtsantritt der Risikobeauftragten</w:t>
                          </w:r>
                        </w:p>
                      </w:txbxContent>
                    </v:textbox>
                  </v:shape>
                  <v:line id="Straight Connector 26" o:spid="_x0000_s1088" style="position:absolute;visibility:visible;mso-wrap-style:square" from="52872,28164" to="65902,2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mUZwwAAANsAAAAPAAAAZHJzL2Rvd25yZXYueG1sRI9fa8Iw&#10;FMXfB36HcIW9zbTCZFajlMFYH/Yyt4GPl+baFpObmmS2+umXgeDj4fz5cdbb0RpxJh86xwryWQaC&#10;uHa640bB99fb0wuIEJE1Gsek4EIBtpvJwxoL7Qb+pPMuNiKNcChQQRtjX0gZ6pYshpnriZN3cN5i&#10;TNI3Unsc0rg1cp5lC2mx40RosafXlurj7tcmCF6te3++fpjLye6XvvopTZ8r9TgdyxWISGO8h2/t&#10;SiuYL+D/S/oBcvMHAAD//wMAUEsBAi0AFAAGAAgAAAAhANvh9svuAAAAhQEAABMAAAAAAAAAAAAA&#10;AAAAAAAAAFtDb250ZW50X1R5cGVzXS54bWxQSwECLQAUAAYACAAAACEAWvQsW78AAAAVAQAACwAA&#10;AAAAAAAAAAAAAAAfAQAAX3JlbHMvLnJlbHNQSwECLQAUAAYACAAAACEABuplGcMAAADbAAAADwAA&#10;AAAAAAAAAAAAAAAHAgAAZHJzL2Rvd25yZXYueG1sUEsFBgAAAAADAAMAtwAAAPcCAAAAAA==&#10;" strokecolor="#1f497d"/>
                  <v:line id="Straight Connector 27" o:spid="_x0000_s1089" style="position:absolute;visibility:visible;mso-wrap-style:square" from="59531,20233" to="59531,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oAwwAAANsAAAAPAAAAZHJzL2Rvd25yZXYueG1sRI/dasJA&#10;FITvC77DcoTelLppLqykrtKIQrySRh/gkD0modmzMbvNz9t3BcHLYWa+Ydbb0TSip87VlhV8LCIQ&#10;xIXVNZcKLufD+wqE88gaG8ukYCIH283sZY2JtgP/UJ/7UgQIuwQVVN63iZSuqMigW9iWOHhX2xn0&#10;QXal1B0OAW4aGUfRUhqsOSxU2NKuouI3/zMKbintVxS7Nno7xccpNaW/ZoNSr/Px+wuEp9E/w492&#10;phXEn3D/En6A3PwDAAD//wMAUEsBAi0AFAAGAAgAAAAhANvh9svuAAAAhQEAABMAAAAAAAAAAAAA&#10;AAAAAAAAAFtDb250ZW50X1R5cGVzXS54bWxQSwECLQAUAAYACAAAACEAWvQsW78AAAAVAQAACwAA&#10;AAAAAAAAAAAAAAAfAQAAX3JlbHMvLnJlbHNQSwECLQAUAAYACAAAACEAkzY6AMMAAADbAAAADwAA&#10;AAAAAAAAAAAAAAAHAgAAZHJzL2Rvd25yZXYueG1sUEsFBgAAAAADAAMAtwAAAPcCAAAAAA==&#10;" strokecolor="#1f497d" strokeweight="1pt">
                    <v:stroke endarrow="oval"/>
                  </v:line>
                </v:group>
                <v:group id="Group 28" o:spid="_x0000_s1090" style="position:absolute;left:63537;width:16153;height:20058" coordorigin="63538" coordsize="14819,2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Box 108" o:spid="_x0000_s1091" type="#_x0000_t202" style="position:absolute;left:63538;width:14815;height:1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aaxQAAANsAAAAPAAAAZHJzL2Rvd25yZXYueG1sRI9La8Mw&#10;EITvhfwHsYHcGrl5kThRQklp6aWQF4TcFmtjmVorYamx019fFQo9DjPzDbPadLYWN2pC5VjB0zAD&#10;QVw4XXGp4HR8fZyDCBFZY+2YFNwpwGbde1hhrl3Le7odYikShEOOCkyMPpcyFIYshqHzxMm7usZi&#10;TLIppW6wTXBby1GWzaTFitOCQU9bQ8Xn4csq2L5M3s6X6fRbfox3xpvWF/fJRalBv3tegojUxf/w&#10;X/tdKxgt4PdL+gFy/QMAAP//AwBQSwECLQAUAAYACAAAACEA2+H2y+4AAACFAQAAEwAAAAAAAAAA&#10;AAAAAAAAAAAAW0NvbnRlbnRfVHlwZXNdLnhtbFBLAQItABQABgAIAAAAIQBa9CxbvwAAABUBAAAL&#10;AAAAAAAAAAAAAAAAAB8BAABfcmVscy8ucmVsc1BLAQItABQABgAIAAAAIQAnyQaaxQAAANsAAAAP&#10;AAAAAAAAAAAAAAAAAAcCAABkcnMvZG93bnJldi54bWxQSwUGAAAAAAMAAwC3AAAA+QIAAAAA&#10;" fillcolor="#f2f2f2" stroked="f">
                    <v:textbo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7</w:t>
                          </w:r>
                          <w:r>
                            <w:rPr>
                              <w:rFonts w:asciiTheme="minorHAnsi" w:hAnsiTheme="minorHAnsi"/>
                              <w:color w:val="44546A" w:themeColor="text2"/>
                              <w:sz w:val="20"/>
                              <w:szCs w:val="20"/>
                            </w:rPr>
                            <w:t>. September</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Veröffentlichung des Rahmens für grüne Anleihen</w:t>
                          </w:r>
                        </w:p>
                      </w:txbxContent>
                    </v:textbox>
                  </v:shape>
                  <v:line id="Straight Connector 30" o:spid="_x0000_s1092" style="position:absolute;flip:y;visibility:visible;mso-wrap-style:square" from="71077,15738" to="71077,2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DZvwAAANsAAAAPAAAAZHJzL2Rvd25yZXYueG1sRE/LisIw&#10;FN0P+A/hDrgb05kBGWpTEUEYmZV10O2luX1gc1OSqG2/3iwEl4fzztaD6cSNnG8tK/hcJCCIS6tb&#10;rhX8H3cfPyB8QNbYWSYFI3lY57O3DFNt73ygWxFqEUPYp6igCaFPpfRlQwb9wvbEkausMxgidLXU&#10;Du8x3HTyK0mW0mDLsaHBnrYNlZfiahRMbqr+quv+fCmOxUnTfrS1bZWavw+bFYhAQ3iJn+5freA7&#10;ro9f4g+Q+QMAAP//AwBQSwECLQAUAAYACAAAACEA2+H2y+4AAACFAQAAEwAAAAAAAAAAAAAAAAAA&#10;AAAAW0NvbnRlbnRfVHlwZXNdLnhtbFBLAQItABQABgAIAAAAIQBa9CxbvwAAABUBAAALAAAAAAAA&#10;AAAAAAAAAB8BAABfcmVscy8ucmVsc1BLAQItABQABgAIAAAAIQBCGkDZvwAAANsAAAAPAAAAAAAA&#10;AAAAAAAAAAcCAABkcnMvZG93bnJldi54bWxQSwUGAAAAAAMAAwC3AAAA8wIAAAAA&#10;" strokecolor="#1f497d" strokeweight="1pt">
                    <v:stroke endarrow="oval"/>
                  </v:line>
                  <v:line id="Straight Connector 31" o:spid="_x0000_s1093" style="position:absolute;visibility:visible;mso-wrap-style:square" from="63541,3429" to="78357,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muwwgAAANsAAAAPAAAAZHJzL2Rvd25yZXYueG1sRI/NagIx&#10;FIX3Bd8hXMGdZkZR2qlRpCB14Uat4PIyuc4MJjfTJNXRpzeFQpeH8/Nx5svOGnElHxrHCvJRBoK4&#10;dLrhSsHXYT18BREiskbjmBTcKcBy0XuZY6HdjXd03cdKpBEOBSqoY2wLKUNZk8Uwci1x8s7OW4xJ&#10;+kpqj7c0bo0cZ9lMWmw4EWps6aOm8rL/sQmCD+s+p4+tuX/b05vfHFemzZUa9LvVO4hIXfwP/7U3&#10;WsEkh98v6QfIxRMAAP//AwBQSwECLQAUAAYACAAAACEA2+H2y+4AAACFAQAAEwAAAAAAAAAAAAAA&#10;AAAAAAAAW0NvbnRlbnRfVHlwZXNdLnhtbFBLAQItABQABgAIAAAAIQBa9CxbvwAAABUBAAALAAAA&#10;AAAAAAAAAAAAAB8BAABfcmVscy8ucmVsc1BLAQItABQABgAIAAAAIQAM2muwwgAAANsAAAAPAAAA&#10;AAAAAAAAAAAAAAcCAABkcnMvZG93bnJldi54bWxQSwUGAAAAAAMAAwC3AAAA9gIAAAAA&#10;" strokecolor="#1f497d"/>
                </v:group>
                <v:group id="Group 96" o:spid="_x0000_s1094" style="position:absolute;left:73711;top:24627;width:17678;height:15356" coordorigin="73711,24627" coordsize="15776,1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Box 120" o:spid="_x0000_s1095" type="#_x0000_t202" style="position:absolute;left:73711;top:24627;width:15777;height:15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f6UxQAAANsAAAAPAAAAZHJzL2Rvd25yZXYueG1sRI9La8Mw&#10;EITvhf4HsYXeGrltnk6UUFJaegnkBSG3xdpYptZKWGrs5NdHhUKPw8x8w8wWna3FmZpQOVbw3MtA&#10;EBdOV1wq2O8+nsYgQkTWWDsmBRcKsJjf380w167lDZ23sRQJwiFHBSZGn0sZCkMWQ8954uSdXGMx&#10;JtmUUjfYJrit5UuWDaXFitOCQU9LQ8X39scqWL73Pw/HweAqV69r403ri0v/qNTjQ/c2BRGpi//h&#10;v/aXVjAZwe+X9APk/AYAAP//AwBQSwECLQAUAAYACAAAACEA2+H2y+4AAACFAQAAEwAAAAAAAAAA&#10;AAAAAAAAAAAAW0NvbnRlbnRfVHlwZXNdLnhtbFBLAQItABQABgAIAAAAIQBa9CxbvwAAABUBAAAL&#10;AAAAAAAAAAAAAAAAAB8BAABfcmVscy8ucmVsc1BLAQItABQABgAIAAAAIQCapf6UxQAAANsAAAAP&#10;AAAAAAAAAAAAAAAAAAcCAABkcnMvZG93bnJldi54bWxQSwUGAAAAAAMAAwC3AAAA+QIAAAAA&#10;" fillcolor="#f2f2f2" stroked="f">
                    <v:textbo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15</w:t>
                          </w:r>
                          <w:r>
                            <w:rPr>
                              <w:rFonts w:asciiTheme="minorHAnsi" w:hAnsiTheme="minorHAnsi"/>
                              <w:color w:val="44546A" w:themeColor="text2"/>
                              <w:sz w:val="20"/>
                              <w:szCs w:val="20"/>
                            </w:rPr>
                            <w:t>. September</w:t>
                          </w:r>
                        </w:p>
                        <w:p w:rsidR="00287320" w:rsidRPr="00333E12" w:rsidRDefault="00287320" w:rsidP="008B6253">
                          <w:pPr>
                            <w:pStyle w:val="NormalWeb"/>
                            <w:spacing w:before="0" w:beforeAutospacing="0" w:after="0" w:afterAutospacing="0"/>
                            <w:rPr>
                              <w:rFonts w:asciiTheme="minorHAnsi" w:hAnsiTheme="minorHAnsi" w:cstheme="minorHAnsi"/>
                              <w:color w:val="000000" w:themeColor="text1"/>
                              <w:kern w:val="24"/>
                              <w:sz w:val="20"/>
                              <w:szCs w:val="20"/>
                            </w:rPr>
                          </w:pPr>
                          <w:r>
                            <w:rPr>
                              <w:rFonts w:asciiTheme="minorHAnsi" w:hAnsiTheme="minorHAnsi"/>
                              <w:color w:val="000000" w:themeColor="text1"/>
                              <w:sz w:val="20"/>
                              <w:szCs w:val="20"/>
                            </w:rPr>
                            <w:t>Erste Auktion von EU-Bills</w:t>
                          </w:r>
                        </w:p>
                      </w:txbxContent>
                    </v:textbox>
                  </v:shape>
                  <v:line id="Straight Connector 98" o:spid="_x0000_s1096" style="position:absolute;visibility:visible;mso-wrap-style:square" from="73715,28060" to="88531,2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p0XwAAAANsAAAAPAAAAZHJzL2Rvd25yZXYueG1sRE9NawIx&#10;EL0L/Q9hCt40a0Hpbo0ihaKHXrQKPQ6b6e7SZLJNoq7++s6h0OPjfS/Xg3fqQjF1gQ3MpgUo4jrY&#10;jhsDx4+3yTOolJEtusBk4EYJ1quH0RIrG668p8shN0pCOFVooM25r7ROdUse0zT0xMJ9hegxC4yN&#10;thGvEu6dfiqKhfbYsTS02NNrS/X34eylBO8+bOf3d3f78Z9l3J02rp8ZM34cNi+gMg35X/zn3lkD&#10;pYyVL/ID9OoXAAD//wMAUEsBAi0AFAAGAAgAAAAhANvh9svuAAAAhQEAABMAAAAAAAAAAAAAAAAA&#10;AAAAAFtDb250ZW50X1R5cGVzXS54bWxQSwECLQAUAAYACAAAACEAWvQsW78AAAAVAQAACwAAAAAA&#10;AAAAAAAAAAAfAQAAX3JlbHMvLnJlbHNQSwECLQAUAAYACAAAACEAu4adF8AAAADbAAAADwAAAAAA&#10;AAAAAAAAAAAHAgAAZHJzL2Rvd25yZXYueG1sUEsFBgAAAAADAAMAtwAAAPQCAAAAAA==&#10;" strokecolor="#1f497d"/>
                </v:group>
                <v:line id="Straight Connector 99" o:spid="_x0000_s1097" style="position:absolute;visibility:visible;mso-wrap-style:square" from="81815,20275" to="81815,2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IOwwAAANsAAAAPAAAAZHJzL2Rvd25yZXYueG1sRI/LasMw&#10;FET3gf6DuIVuQiLXi5I4VkJdUnBXJY8PuFjXD2JduZbix99XhUKWw8ycYdLDZFoxUO8aywpe1xEI&#10;4sLqhisF18vnagPCeWSNrWVSMJODw/5pkWKi7cgnGs6+EgHCLkEFtfddIqUrajLo1rYjDl5pe4M+&#10;yL6SuscxwE0r4yh6kwYbDgs1dvRRU3E7342Cn4yOG4pdFy2/4685M5Uv81Gpl+fpfQfC0+Qf4f92&#10;rhVst/D3JfwAuf8FAAD//wMAUEsBAi0AFAAGAAgAAAAhANvh9svuAAAAhQEAABMAAAAAAAAAAAAA&#10;AAAAAAAAAFtDb250ZW50X1R5cGVzXS54bWxQSwECLQAUAAYACAAAACEAWvQsW78AAAAVAQAACwAA&#10;AAAAAAAAAAAAAAAfAQAAX3JlbHMvLnJlbHNQSwECLQAUAAYACAAAACEALlrCDsMAAADbAAAADwAA&#10;AAAAAAAAAAAAAAAHAgAAZHJzL2Rvd25yZXYueG1sUEsFBgAAAAADAAMAtwAAAPcCAAAAAA==&#10;" strokecolor="#1f497d" strokeweight="1pt">
                  <v:stroke endarrow="oval"/>
                </v:line>
                <v:group id="Group 100" o:spid="_x0000_s1098" style="position:absolute;left:84955;top:41;width:16153;height:20058" coordorigin="84955,41" coordsize="14820,2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TextBox 125" o:spid="_x0000_s1099" type="#_x0000_t202" style="position:absolute;left:84955;top:41;width:14820;height:1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pHwwAAANwAAAAPAAAAZHJzL2Rvd25yZXYueG1sRE9LawIx&#10;EL4L/Q9hCr3VrK2KrEYplhYvQn2AeBs242ZxMwmb1F399aZQ8DYf33Nmi87W4kJNqBwrGPQzEMSF&#10;0xWXCva7r9cJiBCRNdaOScGVAizmT70Z5tq1vKHLNpYihXDIUYGJ0edShsKQxdB3njhxJ9dYjAk2&#10;pdQNtinc1vIty8bSYsWpwaCnpaHivP21Cpafw+/DcTS6yfX7j/Gm9cV1eFTq5bn7mIKI1MWH+N+9&#10;0ml+NoC/Z9IFcn4HAAD//wMAUEsBAi0AFAAGAAgAAAAhANvh9svuAAAAhQEAABMAAAAAAAAAAAAA&#10;AAAAAAAAAFtDb250ZW50X1R5cGVzXS54bWxQSwECLQAUAAYACAAAACEAWvQsW78AAAAVAQAACwAA&#10;AAAAAAAAAAAAAAAfAQAAX3JlbHMvLnJlbHNQSwECLQAUAAYACAAAACEATUj6R8MAAADcAAAADwAA&#10;AAAAAAAAAAAAAAAHAgAAZHJzL2Rvd25yZXYueG1sUEsFBgAAAAADAAMAtwAAAPcCAAAAAA==&#10;" fillcolor="#f2f2f2" stroked="f">
                    <v:textbox>
                      <w:txbxContent>
                        <w:p w:rsidR="00287320" w:rsidRPr="00025C13" w:rsidRDefault="00287320" w:rsidP="008B6253">
                          <w:pPr>
                            <w:pStyle w:val="NormalWeb"/>
                            <w:spacing w:before="120" w:beforeAutospacing="0" w:after="120" w:afterAutospacing="0"/>
                            <w:rPr>
                              <w:rFonts w:asciiTheme="minorHAnsi" w:hAnsiTheme="minorHAnsi" w:cstheme="minorHAnsi"/>
                              <w:sz w:val="20"/>
                              <w:szCs w:val="20"/>
                            </w:rPr>
                          </w:pPr>
                          <w:r w:rsidRPr="00033DD1">
                            <w:rPr>
                              <w:rFonts w:asciiTheme="minorHAnsi" w:hAnsiTheme="minorHAnsi"/>
                              <w:color w:val="44546A" w:themeColor="text2"/>
                              <w:sz w:val="20"/>
                              <w:szCs w:val="20"/>
                            </w:rPr>
                            <w:t>12</w:t>
                          </w:r>
                          <w:r>
                            <w:rPr>
                              <w:rFonts w:asciiTheme="minorHAnsi" w:hAnsiTheme="minorHAnsi"/>
                              <w:color w:val="44546A" w:themeColor="text2"/>
                              <w:sz w:val="20"/>
                              <w:szCs w:val="20"/>
                            </w:rPr>
                            <w:t>. Oktober</w:t>
                          </w:r>
                        </w:p>
                        <w:p w:rsidR="00287320" w:rsidRPr="00025C13" w:rsidRDefault="00287320" w:rsidP="008B6253">
                          <w:pPr>
                            <w:pStyle w:val="NormalWeb"/>
                            <w:spacing w:before="0" w:beforeAutospacing="0" w:after="0" w:afterAutospacing="0"/>
                            <w:rPr>
                              <w:rFonts w:asciiTheme="minorHAnsi" w:hAnsiTheme="minorHAnsi" w:cstheme="minorHAnsi"/>
                              <w:sz w:val="20"/>
                              <w:szCs w:val="20"/>
                            </w:rPr>
                          </w:pPr>
                          <w:r>
                            <w:rPr>
                              <w:rFonts w:asciiTheme="minorHAnsi" w:hAnsiTheme="minorHAnsi"/>
                              <w:color w:val="000000" w:themeColor="text1"/>
                              <w:sz w:val="20"/>
                              <w:szCs w:val="20"/>
                            </w:rPr>
                            <w:t>Erste Emission grüner Anleihen</w:t>
                          </w:r>
                          <w:r>
                            <w:rPr>
                              <w:rFonts w:asciiTheme="minorHAnsi" w:hAnsiTheme="minorHAnsi"/>
                              <w:sz w:val="20"/>
                              <w:szCs w:val="20"/>
                            </w:rPr>
                            <w:t xml:space="preserve"> </w:t>
                          </w:r>
                          <w:r>
                            <w:rPr>
                              <w:rFonts w:asciiTheme="minorHAnsi" w:hAnsiTheme="minorHAnsi"/>
                              <w:color w:val="000000" w:themeColor="text1"/>
                              <w:sz w:val="20"/>
                              <w:szCs w:val="20"/>
                            </w:rPr>
                            <w:t>(</w:t>
                          </w:r>
                          <w:r w:rsidRPr="00033DD1">
                            <w:rPr>
                              <w:rFonts w:asciiTheme="minorHAnsi" w:hAnsiTheme="minorHAnsi"/>
                              <w:color w:val="000000" w:themeColor="text1"/>
                              <w:sz w:val="20"/>
                              <w:szCs w:val="20"/>
                            </w:rPr>
                            <w:t>12</w:t>
                          </w:r>
                          <w:r>
                            <w:rPr>
                              <w:rFonts w:asciiTheme="minorHAnsi" w:hAnsiTheme="minorHAnsi"/>
                              <w:color w:val="000000" w:themeColor="text1"/>
                              <w:sz w:val="20"/>
                              <w:szCs w:val="20"/>
                            </w:rPr>
                            <w:t> Mrd. EUR)</w:t>
                          </w:r>
                        </w:p>
                      </w:txbxContent>
                    </v:textbox>
                  </v:shape>
                  <v:line id="Straight Connector 102" o:spid="_x0000_s1100" style="position:absolute;flip:y;visibility:visible;mso-wrap-style:square" from="92041,15779" to="92041,2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UXwQAAANwAAAAPAAAAZHJzL2Rvd25yZXYueG1sRE/JasMw&#10;EL0X+g9iCr01cnwoxbVsQiCQkFOd0l4Ha7xga2QkOXHy9VUg0Ns83jp5uZhRnMn53rKC9SoBQVxb&#10;3XOr4Pu0e/sA4QOyxtEyKbiSh7J4fsox0/bCX3SuQitiCPsMFXQhTJmUvu7IoF/ZiThyjXUGQ4Su&#10;ldrhJYabUaZJ8i4N9hwbOpxo21E9VLNRcHO35tjMh9+hOlU/mg5X29peqdeXZfMJItAS/sUP917H&#10;+UkK92fiBbL4AwAA//8DAFBLAQItABQABgAIAAAAIQDb4fbL7gAAAIUBAAATAAAAAAAAAAAAAAAA&#10;AAAAAABbQ29udGVudF9UeXBlc10ueG1sUEsBAi0AFAAGAAgAAAAhAFr0LFu/AAAAFQEAAAsAAAAA&#10;AAAAAAAAAAAAHwEAAF9yZWxzLy5yZWxzUEsBAi0AFAAGAAgAAAAhACeiZRfBAAAA3AAAAA8AAAAA&#10;AAAAAAAAAAAABwIAAGRycy9kb3ducmV2LnhtbFBLBQYAAAAAAwADALcAAAD1AgAAAAA=&#10;" strokecolor="#1f497d" strokeweight="1pt">
                    <v:stroke endarrow="oval"/>
                  </v:line>
                  <v:line id="Straight Connector 103" o:spid="_x0000_s1101" style="position:absolute;visibility:visible;mso-wrap-style:square" from="84959,3470" to="99775,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vAxQAAANwAAAAPAAAAZHJzL2Rvd25yZXYueG1sRI9BawIx&#10;EIXvQv9DmEJv3awtLXXdrIhQ9NCL2kKPw2bcXUwmaxJ19debQsHbDO/N+96Us8EacSIfOscKxlkO&#10;grh2uuNGwff28/kDRIjIGo1jUnChALPqYVRiod2Z13TaxEakEA4FKmhj7AspQ92SxZC5njhpO+ct&#10;xrT6RmqP5xRujXzJ83dpseNEaLGnRUv1fnO0CYJX65Zv1y9zOdjfiV/9zE0/VurpcZhPQUQa4t38&#10;f73SqX7+Cn/PpAlkdQMAAP//AwBQSwECLQAUAAYACAAAACEA2+H2y+4AAACFAQAAEwAAAAAAAAAA&#10;AAAAAAAAAAAAW0NvbnRlbnRfVHlwZXNdLnhtbFBLAQItABQABgAIAAAAIQBa9CxbvwAAABUBAAAL&#10;AAAAAAAAAAAAAAAAAB8BAABfcmVscy8ucmVsc1BLAQItABQABgAIAAAAIQCacFvAxQAAANwAAAAP&#10;AAAAAAAAAAAAAAAAAAcCAABkcnMvZG93bnJldi54bWxQSwUGAAAAAAMAAwC3AAAA+QIAAAAA&#10;" strokecolor="#1f497d"/>
                </v:group>
              </v:group>
            </w:pict>
          </mc:Fallback>
        </mc:AlternateContent>
      </w:r>
    </w:p>
    <w:p w:rsidR="008B6253" w:rsidRPr="00231F73" w:rsidRDefault="008B6253" w:rsidP="008B6253">
      <w:pPr>
        <w:rPr>
          <w:noProof/>
        </w:rPr>
      </w:pPr>
    </w:p>
    <w:p w:rsidR="008B6253" w:rsidRPr="00231F73" w:rsidRDefault="008B6253" w:rsidP="008B6253">
      <w:pPr>
        <w:rPr>
          <w:noProof/>
        </w:rPr>
      </w:pPr>
    </w:p>
    <w:p w:rsidR="008B6253" w:rsidRPr="00231F73" w:rsidRDefault="008B6253" w:rsidP="008B6253">
      <w:pPr>
        <w:rPr>
          <w:noProof/>
        </w:rPr>
      </w:pPr>
    </w:p>
    <w:p w:rsidR="008B6253" w:rsidRPr="00231F73" w:rsidRDefault="008B6253" w:rsidP="008B6253">
      <w:pPr>
        <w:rPr>
          <w:noProof/>
        </w:rPr>
      </w:pPr>
    </w:p>
    <w:p w:rsidR="008B6253" w:rsidRPr="00231F73" w:rsidRDefault="008B6253" w:rsidP="008B6253">
      <w:pPr>
        <w:rPr>
          <w:noProof/>
        </w:rPr>
      </w:pPr>
    </w:p>
    <w:p w:rsidR="008B6253" w:rsidRPr="00231F73" w:rsidRDefault="008B6253" w:rsidP="008B6253">
      <w:pPr>
        <w:rPr>
          <w:noProof/>
        </w:rPr>
      </w:pPr>
    </w:p>
    <w:p w:rsidR="008B6253" w:rsidRPr="00231F73" w:rsidRDefault="008B6253" w:rsidP="008B6253">
      <w:pPr>
        <w:rPr>
          <w:noProof/>
        </w:rPr>
      </w:pPr>
    </w:p>
    <w:p w:rsidR="008B6253" w:rsidRPr="00231F73" w:rsidRDefault="008B6253" w:rsidP="008B6253">
      <w:pPr>
        <w:rPr>
          <w:noProof/>
        </w:rPr>
      </w:pPr>
    </w:p>
    <w:p w:rsidR="008B6253" w:rsidRPr="00231F73" w:rsidRDefault="008B6253" w:rsidP="008B6253">
      <w:pPr>
        <w:rPr>
          <w:noProof/>
        </w:rPr>
      </w:pPr>
    </w:p>
    <w:p w:rsidR="008B6253" w:rsidRDefault="008B6253" w:rsidP="008B6253">
      <w:pPr>
        <w:rPr>
          <w:noProof/>
        </w:rPr>
      </w:pPr>
    </w:p>
    <w:p w:rsidR="008B6253" w:rsidRPr="00864D5D" w:rsidRDefault="008B6253" w:rsidP="008B6253">
      <w:pPr>
        <w:rPr>
          <w:noProof/>
        </w:rPr>
      </w:pPr>
      <w:r>
        <w:rPr>
          <w:noProof/>
        </w:rPr>
        <w:t>Um diese Zwischenziele zu erreichen, musste eine Reihe wesentlicher Voraussetzungen erfüllt werden, darunter:</w:t>
      </w:r>
    </w:p>
    <w:p w:rsidR="008B6253" w:rsidRPr="00864D5D" w:rsidRDefault="008B6253" w:rsidP="008B6253">
      <w:pPr>
        <w:numPr>
          <w:ilvl w:val="0"/>
          <w:numId w:val="2"/>
        </w:numPr>
        <w:spacing w:before="120" w:after="120" w:line="240" w:lineRule="auto"/>
        <w:jc w:val="both"/>
        <w:rPr>
          <w:noProof/>
        </w:rPr>
      </w:pPr>
      <w:r>
        <w:rPr>
          <w:noProof/>
        </w:rPr>
        <w:t>eine zuverlässige Prognose für den Auszahlungsbedarf im Rahmen der Aufbau- und Resilienzfazilität als Ausgangspunkt für eine solide Planung der Anleiheemissionen;</w:t>
      </w:r>
    </w:p>
    <w:p w:rsidR="008B6253" w:rsidRPr="00864D5D" w:rsidRDefault="008B6253" w:rsidP="008B6253">
      <w:pPr>
        <w:numPr>
          <w:ilvl w:val="0"/>
          <w:numId w:val="2"/>
        </w:numPr>
        <w:spacing w:before="120" w:after="120" w:line="240" w:lineRule="auto"/>
        <w:jc w:val="both"/>
        <w:rPr>
          <w:noProof/>
        </w:rPr>
      </w:pPr>
      <w:r>
        <w:rPr>
          <w:noProof/>
        </w:rPr>
        <w:t>die Einrichtung des Primärhändlernetzes im Mai </w:t>
      </w:r>
      <w:r w:rsidRPr="00033DD1">
        <w:rPr>
          <w:noProof/>
        </w:rPr>
        <w:t>2021</w:t>
      </w:r>
      <w:r>
        <w:rPr>
          <w:noProof/>
        </w:rPr>
        <w:t>, um die effiziente Durchführung von Auktionen und syndizierten Transaktionen zu ermöglichen und die Liquidität der Anleihen im Rahmen von NextGenerationEU auf den Sekundärmärkten zu unterstützen. Bis Ende </w:t>
      </w:r>
      <w:r w:rsidRPr="00033DD1">
        <w:rPr>
          <w:noProof/>
        </w:rPr>
        <w:t>2021</w:t>
      </w:r>
      <w:r>
        <w:rPr>
          <w:noProof/>
        </w:rPr>
        <w:t xml:space="preserve"> wurden </w:t>
      </w:r>
      <w:r w:rsidRPr="00033DD1">
        <w:rPr>
          <w:noProof/>
        </w:rPr>
        <w:t>42</w:t>
      </w:r>
      <w:r>
        <w:rPr>
          <w:noProof/>
        </w:rPr>
        <w:t> Banken und Wertpapierfirmen aus zwölf verschiedenen Mitgliedstaaten in das Netz aufgenommen.</w:t>
      </w:r>
      <w:r>
        <w:rPr>
          <w:rStyle w:val="FootnoteReference"/>
          <w:noProof/>
        </w:rPr>
        <w:footnoteReference w:id="6"/>
      </w:r>
      <w:r>
        <w:rPr>
          <w:noProof/>
        </w:rPr>
        <w:t xml:space="preserve"> Dazu gehören alle großen Wirtschaftsakteure, die bei der Platzierung von staatlichen Schuldtiteln und Schuldtiteln des Sovereign Supranational Agency Sector (SSA) eine Rolle spielen. Durch dieses europaweite Primärhändlernetz ist die EU in der Lage, EU-Bonds und -Bills mit einer möglichst breiten Anlegerbasis innerhalb und außerhalb der EU zu platzieren.</w:t>
      </w:r>
    </w:p>
    <w:p w:rsidR="008B6253" w:rsidRPr="00864D5D" w:rsidRDefault="008B6253" w:rsidP="008B6253">
      <w:pPr>
        <w:numPr>
          <w:ilvl w:val="0"/>
          <w:numId w:val="2"/>
        </w:numPr>
        <w:spacing w:before="120" w:after="120" w:line="240" w:lineRule="auto"/>
        <w:jc w:val="both"/>
        <w:rPr>
          <w:noProof/>
        </w:rPr>
      </w:pPr>
      <w:r>
        <w:rPr>
          <w:noProof/>
        </w:rPr>
        <w:t>die Einrichtung einer maßgeschneiderten Auktionsplattform für Auktionen von EU-Bills und -Bonds im September </w:t>
      </w:r>
      <w:r w:rsidRPr="00033DD1">
        <w:rPr>
          <w:noProof/>
        </w:rPr>
        <w:t>2021</w:t>
      </w:r>
      <w:r>
        <w:rPr>
          <w:noProof/>
        </w:rPr>
        <w:t xml:space="preserve"> anhand des TELSAT-Systems der Banque de France. Auktionen sind ein kosteneffizienter Weg zur Emission von Schuldtiteln in Form von EU-Bills und -Bonds;</w:t>
      </w:r>
    </w:p>
    <w:p w:rsidR="008B6253" w:rsidRPr="00864D5D" w:rsidRDefault="008B6253" w:rsidP="008B6253">
      <w:pPr>
        <w:numPr>
          <w:ilvl w:val="0"/>
          <w:numId w:val="2"/>
        </w:numPr>
        <w:spacing w:before="120" w:after="120" w:line="240" w:lineRule="auto"/>
        <w:jc w:val="both"/>
        <w:rPr>
          <w:noProof/>
        </w:rPr>
      </w:pPr>
      <w:r>
        <w:rPr>
          <w:noProof/>
        </w:rPr>
        <w:t>die Einrichtung eines starken Governance-Rahmens zur Überwachung der nachhaltigen Durchführung von Finanzierungsgeschäften in einer Weise, durch die die Hauptrisiken minimiert und die vollständige Transparenz und Rechenschaftspflicht sichergestellt wird. Im Konzept für die Finanzierungsgeschäfte im Rahmen von NextGenerationEU – wie im Governance-Beschluss</w:t>
      </w:r>
      <w:r>
        <w:rPr>
          <w:rStyle w:val="FootnoteReference"/>
          <w:noProof/>
        </w:rPr>
        <w:footnoteReference w:id="7"/>
      </w:r>
      <w:r>
        <w:rPr>
          <w:noProof/>
        </w:rPr>
        <w:t xml:space="preserve"> von April </w:t>
      </w:r>
      <w:r w:rsidRPr="00033DD1">
        <w:rPr>
          <w:noProof/>
        </w:rPr>
        <w:t>2021</w:t>
      </w:r>
      <w:r>
        <w:rPr>
          <w:noProof/>
        </w:rPr>
        <w:t xml:space="preserve"> festgelegt – wird der Ermittlung und Minderung der Risiken eine zentrale Rolle beigemessen. Eine Risikobeauftragte (Chief Risk Officer, im Folgenden „CRO“), seit dem </w:t>
      </w:r>
      <w:r w:rsidRPr="00033DD1">
        <w:rPr>
          <w:noProof/>
        </w:rPr>
        <w:t>1</w:t>
      </w:r>
      <w:r>
        <w:rPr>
          <w:noProof/>
        </w:rPr>
        <w:t xml:space="preserve">. September </w:t>
      </w:r>
      <w:r w:rsidRPr="00033DD1">
        <w:rPr>
          <w:noProof/>
        </w:rPr>
        <w:t>2021</w:t>
      </w:r>
      <w:r>
        <w:rPr>
          <w:noProof/>
        </w:rPr>
        <w:t xml:space="preserve"> im Amt, wurde mit der unabhängigen Überwachung aller Aspekte des Finanzierungsprogramms NextGenerationEU auf der Grundlage der hochrangigen Risiko- und Compliance-Politik von NextGenerationEU, die im Dezember </w:t>
      </w:r>
      <w:r w:rsidRPr="00033DD1">
        <w:rPr>
          <w:noProof/>
        </w:rPr>
        <w:t>2021</w:t>
      </w:r>
      <w:r>
        <w:rPr>
          <w:noProof/>
        </w:rPr>
        <w:t xml:space="preserve"> angenommen wurde, beauftragt. Die CRO wird bei der Durchführung dieser Politik vom Ausschuss für Risiko- und Compliance-Maßnahmen unterstützt, der sich zum ersten Mal im Dezember </w:t>
      </w:r>
      <w:r w:rsidRPr="00033DD1">
        <w:rPr>
          <w:noProof/>
        </w:rPr>
        <w:t>2021</w:t>
      </w:r>
      <w:r>
        <w:rPr>
          <w:noProof/>
        </w:rPr>
        <w:t xml:space="preserve"> traf. </w:t>
      </w:r>
    </w:p>
    <w:p w:rsidR="008B6253" w:rsidRPr="00864D5D" w:rsidRDefault="008B6253" w:rsidP="008B6253">
      <w:pPr>
        <w:numPr>
          <w:ilvl w:val="0"/>
          <w:numId w:val="2"/>
        </w:numPr>
        <w:spacing w:before="120" w:after="120" w:line="240" w:lineRule="auto"/>
        <w:jc w:val="both"/>
        <w:rPr>
          <w:noProof/>
        </w:rPr>
      </w:pPr>
      <w:r>
        <w:rPr>
          <w:noProof/>
        </w:rPr>
        <w:t>die Veröffentlichung des Rahmens für grüne NGEU-Anleihen im September </w:t>
      </w:r>
      <w:r w:rsidRPr="00033DD1">
        <w:rPr>
          <w:noProof/>
        </w:rPr>
        <w:t>2021</w:t>
      </w:r>
      <w:r>
        <w:rPr>
          <w:noProof/>
        </w:rPr>
        <w:t>. Der Rahmen beruht auf der Verordnung über die Aufbau- und Resilienzfazilität</w:t>
      </w:r>
      <w:r>
        <w:rPr>
          <w:rStyle w:val="FootnoteReference"/>
          <w:noProof/>
        </w:rPr>
        <w:footnoteReference w:id="8"/>
      </w:r>
      <w:r>
        <w:rPr>
          <w:noProof/>
        </w:rPr>
        <w:t xml:space="preserve">, bezieht auch viele Aspekte des EU-Standards für grüne Anleihen und die Taxonomie mit ein und definiert neun breitgefasste Kategorien förderfähiger Ausgaben: erneuerbare Energien, digitale Technologien für den grünen Wandel, Energieeffizienz, umweltfreundlicher Verkehr, Anpassung an den Klimawandel, Wasser, Abfall, biologische Vielfalt sowie Forschung und Innovation zur Unterstützung des grünen Wandels. Der Rahmen wurde von einer zweiten Partei überprüft. Die erste Emission grüner Anleihen fand am </w:t>
      </w:r>
      <w:r w:rsidRPr="00033DD1">
        <w:rPr>
          <w:noProof/>
        </w:rPr>
        <w:t>12</w:t>
      </w:r>
      <w:r>
        <w:rPr>
          <w:noProof/>
        </w:rPr>
        <w:t xml:space="preserve">. Oktober </w:t>
      </w:r>
      <w:r w:rsidRPr="00033DD1">
        <w:rPr>
          <w:noProof/>
        </w:rPr>
        <w:t>2021</w:t>
      </w:r>
      <w:r>
        <w:rPr>
          <w:noProof/>
        </w:rPr>
        <w:t xml:space="preserve"> statt; dadurch wurden </w:t>
      </w:r>
      <w:r w:rsidRPr="00033DD1">
        <w:rPr>
          <w:noProof/>
        </w:rPr>
        <w:t>12</w:t>
      </w:r>
      <w:r>
        <w:rPr>
          <w:noProof/>
        </w:rPr>
        <w:t xml:space="preserve"> Mrd. EUR beschafft, die ausschließlich für grüne und nachhaltige Investitionen in der ganzen EU zu verwenden sind. Die erste grüne Anleihe war mehr als elfmal überzeichnet, weckte das Interesse eines breiten Spektrums an Anlegern und ist nach wie vor die bisher größte Emission grüner Anleihen weltweit. </w:t>
      </w:r>
    </w:p>
    <w:p w:rsidR="008B6253" w:rsidRPr="00864D5D" w:rsidRDefault="008B6253" w:rsidP="008B6253">
      <w:pPr>
        <w:rPr>
          <w:noProof/>
        </w:rPr>
      </w:pPr>
    </w:p>
    <w:p w:rsidR="008B6253" w:rsidRPr="00864D5D" w:rsidRDefault="008B6253" w:rsidP="008B6253">
      <w:pPr>
        <w:pStyle w:val="Heading1"/>
        <w:rPr>
          <w:noProof/>
          <w:color w:val="auto"/>
          <w:sz w:val="24"/>
          <w:szCs w:val="24"/>
        </w:rPr>
      </w:pPr>
      <w:bookmarkStart w:id="5" w:name="_Toc95730141"/>
      <w:r>
        <w:rPr>
          <w:noProof/>
          <w:color w:val="auto"/>
          <w:sz w:val="24"/>
          <w:szCs w:val="24"/>
        </w:rPr>
        <w:t>Entwicklung und Durchführung der Finanzierungsstrategie NextGenerationEU</w:t>
      </w:r>
      <w:bookmarkEnd w:id="5"/>
    </w:p>
    <w:p w:rsidR="008B6253" w:rsidRPr="00864D5D" w:rsidRDefault="008B6253" w:rsidP="008B6253">
      <w:pPr>
        <w:spacing w:line="240" w:lineRule="auto"/>
        <w:jc w:val="both"/>
        <w:rPr>
          <w:noProof/>
        </w:rPr>
      </w:pPr>
      <w:r>
        <w:rPr>
          <w:noProof/>
        </w:rPr>
        <w:t xml:space="preserve">In diesem Abschnitt des Berichts wird der Fortschritt der Entwicklung der acht Fähigkeiten geprüft, die in der vorgenannten Mitteilung vom </w:t>
      </w:r>
      <w:r w:rsidRPr="00033DD1">
        <w:rPr>
          <w:noProof/>
        </w:rPr>
        <w:t>14</w:t>
      </w:r>
      <w:r>
        <w:rPr>
          <w:noProof/>
        </w:rPr>
        <w:t xml:space="preserve">. April </w:t>
      </w:r>
      <w:r w:rsidRPr="00033DD1">
        <w:rPr>
          <w:noProof/>
        </w:rPr>
        <w:t>2021</w:t>
      </w:r>
      <w:r>
        <w:rPr>
          <w:noProof/>
        </w:rPr>
        <w:t xml:space="preserve"> als entscheidend für die erfolgreiche Durchführung dieses Finanzierungsprogramms festgelegt wurden.</w:t>
      </w:r>
    </w:p>
    <w:p w:rsidR="008B6253" w:rsidRPr="00864D5D" w:rsidRDefault="008B6253" w:rsidP="008B6253">
      <w:pPr>
        <w:pStyle w:val="Subtitle"/>
        <w:jc w:val="left"/>
        <w:rPr>
          <w:rStyle w:val="IntenseReference"/>
          <w:rFonts w:ascii="Times New Roman" w:hAnsi="Times New Roman"/>
          <w:b w:val="0"/>
          <w:bCs w:val="0"/>
          <w:noProof/>
        </w:rPr>
      </w:pPr>
      <w:bookmarkStart w:id="6" w:name="_Toc93069257"/>
      <w:bookmarkStart w:id="7" w:name="_Toc95730142"/>
      <w:r w:rsidRPr="00033DD1">
        <w:rPr>
          <w:rStyle w:val="IntenseReference"/>
          <w:rFonts w:ascii="Times New Roman" w:hAnsi="Times New Roman"/>
          <w:noProof/>
          <w:color w:val="auto"/>
        </w:rPr>
        <w:t>3</w:t>
      </w:r>
      <w:r>
        <w:rPr>
          <w:rStyle w:val="IntenseReference"/>
          <w:rFonts w:ascii="Times New Roman" w:hAnsi="Times New Roman"/>
          <w:noProof/>
          <w:color w:val="auto"/>
        </w:rPr>
        <w:t>.</w:t>
      </w:r>
      <w:r w:rsidRPr="00033DD1">
        <w:rPr>
          <w:rStyle w:val="IntenseReference"/>
          <w:rFonts w:ascii="Times New Roman" w:hAnsi="Times New Roman"/>
          <w:noProof/>
          <w:color w:val="auto"/>
        </w:rPr>
        <w:t>1</w:t>
      </w:r>
      <w:r>
        <w:rPr>
          <w:noProof/>
        </w:rPr>
        <w:tab/>
      </w:r>
      <w:r>
        <w:rPr>
          <w:rFonts w:ascii="Times New Roman" w:hAnsi="Times New Roman"/>
          <w:b/>
          <w:noProof/>
        </w:rPr>
        <w:t>Strukturierte Planung und Kommunikation von Emissionsabsichten</w:t>
      </w:r>
      <w:bookmarkEnd w:id="6"/>
      <w:bookmarkEnd w:id="7"/>
    </w:p>
    <w:p w:rsidR="008B6253" w:rsidRPr="00864D5D" w:rsidRDefault="008B6253" w:rsidP="008B6253">
      <w:pPr>
        <w:spacing w:line="240" w:lineRule="auto"/>
        <w:jc w:val="both"/>
        <w:rPr>
          <w:noProof/>
        </w:rPr>
      </w:pPr>
      <w:r>
        <w:rPr>
          <w:noProof/>
        </w:rPr>
        <w:t>Im Rahmen des NextGenerationEU-Finanzierungsprogramms werden die Emissionstätigkeiten nach einem strukturierten Ansatz jährlich und halbjährlich geplant. Diese Planung stützt sich auf die bereitgestellten detaillierten Informationen über den Auszahlungsbedarf im Rahmen des Aufbauplans, die regelmäßig aktualisiert werden.</w:t>
      </w:r>
    </w:p>
    <w:p w:rsidR="008B6253" w:rsidRPr="00864D5D" w:rsidRDefault="008B6253" w:rsidP="008B6253">
      <w:pPr>
        <w:spacing w:line="240" w:lineRule="auto"/>
        <w:jc w:val="both"/>
        <w:rPr>
          <w:noProof/>
        </w:rPr>
      </w:pPr>
      <w:r>
        <w:rPr>
          <w:noProof/>
        </w:rPr>
        <w:t xml:space="preserve">Der Zyklus beginnt mit einem jährlichen Anleihebeschluss, mit dem eine Obergrenze für den Betrag der Anleiheemission und ausstehender Schulden nach dem EU-Bills-Programm festgesetzt wird. Diese zentralen Dimensionen bilden einen festen Bezugsrahmen für die Kommission bei der Organisation der Mittelaufnahmegeschäfte. Dem jährlichen Anleihebeschluss von </w:t>
      </w:r>
      <w:r w:rsidRPr="00033DD1">
        <w:rPr>
          <w:noProof/>
        </w:rPr>
        <w:t>2021</w:t>
      </w:r>
      <w:r>
        <w:rPr>
          <w:noProof/>
        </w:rPr>
        <w:t xml:space="preserve"> zufolge konnte die Kommission </w:t>
      </w:r>
      <w:r w:rsidRPr="00033DD1">
        <w:rPr>
          <w:noProof/>
        </w:rPr>
        <w:t>2021</w:t>
      </w:r>
      <w:r>
        <w:rPr>
          <w:noProof/>
        </w:rPr>
        <w:t xml:space="preserve"> langfristige Finanzierungen bis zu einem Höchstbetrag von </w:t>
      </w:r>
      <w:r w:rsidRPr="00033DD1">
        <w:rPr>
          <w:noProof/>
        </w:rPr>
        <w:t>125</w:t>
      </w:r>
      <w:r>
        <w:rPr>
          <w:noProof/>
        </w:rPr>
        <w:t xml:space="preserve"> Mrd. EUR und kurzfristige Finanzierungen bis zu einem ausstehenden Höchstbetrag von </w:t>
      </w:r>
      <w:r w:rsidRPr="00033DD1">
        <w:rPr>
          <w:noProof/>
        </w:rPr>
        <w:t>60</w:t>
      </w:r>
      <w:r>
        <w:rPr>
          <w:noProof/>
        </w:rPr>
        <w:t xml:space="preserve"> Mrd. EUR emittieren. </w:t>
      </w:r>
    </w:p>
    <w:p w:rsidR="008B6253" w:rsidRPr="00864D5D" w:rsidRDefault="008B6253" w:rsidP="008B6253">
      <w:pPr>
        <w:spacing w:line="240" w:lineRule="auto"/>
        <w:jc w:val="both"/>
        <w:rPr>
          <w:noProof/>
        </w:rPr>
      </w:pPr>
      <w:r>
        <w:rPr>
          <w:noProof/>
        </w:rPr>
        <w:t xml:space="preserve">Die Kommission erstellt sodann einen Finanzierungsplan, um den Emissionskalender und die wichtigsten finanziellen Parameter der nächsten Transaktionen festzulegen. Diese Informationen werden öffentlich bekannt gegeben, da Anleger sie benötigen, um sich auf die Zuweisung von Mitteln an Transaktionen der Kommission vorzubereiten, und so die erfolgreiche Durchführung von Emissionen im Rahmen von NextGenerationEU zu niedrigeren Kosten ermöglichen. Der erste Finanzierungsplan NextGenerationEU setzte ein Ziel von </w:t>
      </w:r>
      <w:r w:rsidRPr="00033DD1">
        <w:rPr>
          <w:noProof/>
        </w:rPr>
        <w:t>80</w:t>
      </w:r>
      <w:r>
        <w:rPr>
          <w:noProof/>
        </w:rPr>
        <w:t> Mrd. EUR an EU-Anleihen fest.</w:t>
      </w:r>
    </w:p>
    <w:p w:rsidR="008B6253" w:rsidRPr="00864D5D" w:rsidRDefault="008B6253" w:rsidP="008B6253">
      <w:pPr>
        <w:spacing w:line="240" w:lineRule="auto"/>
        <w:jc w:val="both"/>
        <w:rPr>
          <w:noProof/>
        </w:rPr>
      </w:pPr>
      <w:r>
        <w:rPr>
          <w:noProof/>
        </w:rPr>
        <w:t>Die Kommission erließ ihren jährlichen Anleihebeschluss</w:t>
      </w:r>
      <w:r>
        <w:rPr>
          <w:rStyle w:val="FootnoteReference"/>
          <w:noProof/>
        </w:rPr>
        <w:footnoteReference w:id="9"/>
      </w:r>
      <w:r>
        <w:rPr>
          <w:noProof/>
        </w:rPr>
        <w:t xml:space="preserve"> und veröffentlichte ihren ersten Finanzierungsplan</w:t>
      </w:r>
      <w:r>
        <w:rPr>
          <w:rStyle w:val="FootnoteReference"/>
          <w:noProof/>
        </w:rPr>
        <w:footnoteReference w:id="10"/>
      </w:r>
      <w:r>
        <w:rPr>
          <w:noProof/>
        </w:rPr>
        <w:t xml:space="preserve"> am Tag des Inkrafttretens des Eigenmittelbeschlusses, d. h. am </w:t>
      </w:r>
      <w:r w:rsidRPr="00033DD1">
        <w:rPr>
          <w:noProof/>
        </w:rPr>
        <w:t>1</w:t>
      </w:r>
      <w:r>
        <w:rPr>
          <w:noProof/>
        </w:rPr>
        <w:t xml:space="preserve">. Juni </w:t>
      </w:r>
      <w:r w:rsidRPr="00033DD1">
        <w:rPr>
          <w:noProof/>
        </w:rPr>
        <w:t>2021</w:t>
      </w:r>
      <w:r>
        <w:rPr>
          <w:noProof/>
        </w:rPr>
        <w:t>.</w:t>
      </w:r>
    </w:p>
    <w:p w:rsidR="008B6253" w:rsidRPr="00864D5D" w:rsidRDefault="008B6253" w:rsidP="008B6253">
      <w:pPr>
        <w:spacing w:line="240" w:lineRule="auto"/>
        <w:jc w:val="both"/>
        <w:rPr>
          <w:noProof/>
        </w:rPr>
      </w:pPr>
      <w:r>
        <w:rPr>
          <w:noProof/>
        </w:rPr>
        <w:t xml:space="preserve">Bei Auszahlungen an Mitgliedstaaten im Rahmen der Aufbau- und Resilienzfazilität – auf die </w:t>
      </w:r>
      <w:r w:rsidRPr="00033DD1">
        <w:rPr>
          <w:noProof/>
        </w:rPr>
        <w:t>90</w:t>
      </w:r>
      <w:r>
        <w:rPr>
          <w:noProof/>
        </w:rPr>
        <w:t xml:space="preserve"> % der Zahlungen im Rahmen von NextGenerationEU entfallen – gibt es noch Unsicherheiten hinsichtlich der genauen Zeitplanung und Beträge. Weicht der tatsächliche Auszahlungsbedarf von den ursprünglichen Prognosen ab, muss der Finanzierungsplan möglicherweise überarbeitet werden. Eine solche Überarbeitung des Finanzierungsplans für das </w:t>
      </w:r>
      <w:r w:rsidRPr="00033DD1">
        <w:rPr>
          <w:noProof/>
        </w:rPr>
        <w:t>2</w:t>
      </w:r>
      <w:r>
        <w:rPr>
          <w:noProof/>
        </w:rPr>
        <w:t xml:space="preserve">. Halbjahr </w:t>
      </w:r>
      <w:r w:rsidRPr="00033DD1">
        <w:rPr>
          <w:noProof/>
        </w:rPr>
        <w:t>2021</w:t>
      </w:r>
      <w:r>
        <w:rPr>
          <w:noProof/>
        </w:rPr>
        <w:t xml:space="preserve"> fand im November </w:t>
      </w:r>
      <w:r w:rsidRPr="00033DD1">
        <w:rPr>
          <w:noProof/>
        </w:rPr>
        <w:t>2021</w:t>
      </w:r>
      <w:r>
        <w:rPr>
          <w:noProof/>
        </w:rPr>
        <w:t xml:space="preserve"> statt, als das Finanzierungsziel leicht nach unten korrigiert wurde, nachdem die Schätzung des Zahlungsbedarfs im Rahmen des Aufbauinstruments NextGenerationEU aktualisiert wurde.</w:t>
      </w:r>
      <w:r>
        <w:rPr>
          <w:rStyle w:val="FootnoteReference"/>
          <w:noProof/>
        </w:rPr>
        <w:footnoteReference w:id="11"/>
      </w:r>
      <w:r>
        <w:rPr>
          <w:noProof/>
        </w:rPr>
        <w:t xml:space="preserve"> Auf der Grundlage dieses überarbeiteten Ziels emittierte die Kommission im Jahr </w:t>
      </w:r>
      <w:r w:rsidRPr="00033DD1">
        <w:rPr>
          <w:noProof/>
        </w:rPr>
        <w:t>2021</w:t>
      </w:r>
      <w:r>
        <w:rPr>
          <w:noProof/>
        </w:rPr>
        <w:t xml:space="preserve"> </w:t>
      </w:r>
      <w:r w:rsidRPr="00033DD1">
        <w:rPr>
          <w:noProof/>
        </w:rPr>
        <w:t>70</w:t>
      </w:r>
      <w:r>
        <w:rPr>
          <w:noProof/>
        </w:rPr>
        <w:t> </w:t>
      </w:r>
      <w:r w:rsidRPr="00033DD1">
        <w:rPr>
          <w:noProof/>
        </w:rPr>
        <w:t>992</w:t>
      </w:r>
      <w:r>
        <w:rPr>
          <w:noProof/>
        </w:rPr>
        <w:t xml:space="preserve"> Mrd. EUR an Anleihen. Alle Emissionen von Anleihen und Bills im Rahmen von NextGenerationEU, die </w:t>
      </w:r>
      <w:r w:rsidRPr="00033DD1">
        <w:rPr>
          <w:noProof/>
        </w:rPr>
        <w:t>2021</w:t>
      </w:r>
      <w:r>
        <w:rPr>
          <w:noProof/>
        </w:rPr>
        <w:t xml:space="preserve"> erfolgten, sind im Anhang dieses Berichts enthalten.</w:t>
      </w:r>
    </w:p>
    <w:p w:rsidR="008B6253" w:rsidRPr="00864D5D" w:rsidRDefault="008B6253" w:rsidP="008B6253">
      <w:pPr>
        <w:spacing w:line="240" w:lineRule="auto"/>
        <w:jc w:val="both"/>
        <w:rPr>
          <w:noProof/>
        </w:rPr>
      </w:pPr>
      <w:r>
        <w:rPr>
          <w:noProof/>
        </w:rPr>
        <w:t xml:space="preserve">Am </w:t>
      </w:r>
      <w:r w:rsidRPr="00033DD1">
        <w:rPr>
          <w:noProof/>
        </w:rPr>
        <w:t>14</w:t>
      </w:r>
      <w:r>
        <w:rPr>
          <w:noProof/>
        </w:rPr>
        <w:t xml:space="preserve">. Dezember </w:t>
      </w:r>
      <w:r w:rsidRPr="00033DD1">
        <w:rPr>
          <w:noProof/>
        </w:rPr>
        <w:t>2021</w:t>
      </w:r>
      <w:r>
        <w:rPr>
          <w:noProof/>
        </w:rPr>
        <w:t xml:space="preserve"> veröffentlichte die Kommission den jährlichen Anleihebeschluss für </w:t>
      </w:r>
      <w:r w:rsidRPr="00033DD1">
        <w:rPr>
          <w:noProof/>
        </w:rPr>
        <w:t>2022</w:t>
      </w:r>
      <w:r>
        <w:rPr>
          <w:rStyle w:val="FootnoteReference"/>
          <w:noProof/>
        </w:rPr>
        <w:footnoteReference w:id="12"/>
      </w:r>
      <w:r>
        <w:rPr>
          <w:noProof/>
        </w:rPr>
        <w:t xml:space="preserve"> sowie den Finanzierungsplan und Emissionskalender für Januar bis Ende Juni </w:t>
      </w:r>
      <w:r w:rsidRPr="00033DD1">
        <w:rPr>
          <w:noProof/>
        </w:rPr>
        <w:t>2022</w:t>
      </w:r>
      <w:r>
        <w:rPr>
          <w:rStyle w:val="FootnoteReference"/>
          <w:noProof/>
        </w:rPr>
        <w:footnoteReference w:id="13"/>
      </w:r>
      <w:r>
        <w:rPr>
          <w:noProof/>
        </w:rPr>
        <w:t xml:space="preserve">. Dem jährlichen Anleihebeschluss von </w:t>
      </w:r>
      <w:r w:rsidRPr="00033DD1">
        <w:rPr>
          <w:noProof/>
        </w:rPr>
        <w:t>2022</w:t>
      </w:r>
      <w:r>
        <w:rPr>
          <w:noProof/>
        </w:rPr>
        <w:t xml:space="preserve"> zufolge kann die Kommission </w:t>
      </w:r>
      <w:r w:rsidRPr="00033DD1">
        <w:rPr>
          <w:noProof/>
        </w:rPr>
        <w:t>2022</w:t>
      </w:r>
      <w:r>
        <w:rPr>
          <w:noProof/>
        </w:rPr>
        <w:t xml:space="preserve"> langfristige Finanzierungen bis zu einem Höchstbetrag von </w:t>
      </w:r>
      <w:r w:rsidRPr="00033DD1">
        <w:rPr>
          <w:noProof/>
        </w:rPr>
        <w:t>140</w:t>
      </w:r>
      <w:r>
        <w:rPr>
          <w:noProof/>
        </w:rPr>
        <w:t xml:space="preserve"> Mrd. EUR und kurzfristige Finanzierungen bis zu einem ausstehenden Höchstbetrag von </w:t>
      </w:r>
      <w:r w:rsidRPr="00033DD1">
        <w:rPr>
          <w:noProof/>
        </w:rPr>
        <w:t>60</w:t>
      </w:r>
      <w:r>
        <w:rPr>
          <w:noProof/>
        </w:rPr>
        <w:t xml:space="preserve"> Mrd. EUR emittieren. Dem Finanzierungsplan für das </w:t>
      </w:r>
      <w:r w:rsidRPr="00033DD1">
        <w:rPr>
          <w:noProof/>
        </w:rPr>
        <w:t>1</w:t>
      </w:r>
      <w:r>
        <w:rPr>
          <w:noProof/>
        </w:rPr>
        <w:t xml:space="preserve">. Halbjahr </w:t>
      </w:r>
      <w:r w:rsidRPr="00033DD1">
        <w:rPr>
          <w:noProof/>
        </w:rPr>
        <w:t>2022</w:t>
      </w:r>
      <w:r>
        <w:rPr>
          <w:noProof/>
        </w:rPr>
        <w:t xml:space="preserve"> nach sollen von Januar bis Juni </w:t>
      </w:r>
      <w:r w:rsidRPr="00033DD1">
        <w:rPr>
          <w:noProof/>
        </w:rPr>
        <w:t>2022</w:t>
      </w:r>
      <w:r>
        <w:rPr>
          <w:noProof/>
        </w:rPr>
        <w:t xml:space="preserve"> </w:t>
      </w:r>
      <w:r w:rsidRPr="00033DD1">
        <w:rPr>
          <w:noProof/>
        </w:rPr>
        <w:t>50</w:t>
      </w:r>
      <w:r>
        <w:rPr>
          <w:noProof/>
        </w:rPr>
        <w:t xml:space="preserve"> Mrd. EUR an langfristigen EU-Anleihen emittiert werden, die durch kurzlaufende EU-Bills ergänzt werden sollen. Der Finanzierungsplan für das </w:t>
      </w:r>
      <w:r w:rsidRPr="00033DD1">
        <w:rPr>
          <w:noProof/>
        </w:rPr>
        <w:t>1</w:t>
      </w:r>
      <w:r>
        <w:rPr>
          <w:noProof/>
        </w:rPr>
        <w:t xml:space="preserve">. Halbjahr </w:t>
      </w:r>
      <w:r w:rsidRPr="00033DD1">
        <w:rPr>
          <w:noProof/>
        </w:rPr>
        <w:t>2022</w:t>
      </w:r>
      <w:r>
        <w:rPr>
          <w:noProof/>
        </w:rPr>
        <w:t xml:space="preserve"> wurde nach einer Überprüfung durch die CRO angenommen.</w:t>
      </w:r>
    </w:p>
    <w:p w:rsidR="008B6253" w:rsidRPr="00864D5D" w:rsidRDefault="008B6253" w:rsidP="008B6253">
      <w:pPr>
        <w:spacing w:line="240" w:lineRule="auto"/>
        <w:jc w:val="both"/>
        <w:rPr>
          <w:rStyle w:val="IntenseReference"/>
          <w:b w:val="0"/>
          <w:bCs w:val="0"/>
          <w:smallCaps w:val="0"/>
          <w:noProof/>
        </w:rPr>
      </w:pPr>
      <w:r>
        <w:rPr>
          <w:noProof/>
        </w:rPr>
        <w:t xml:space="preserve">Die Emissionsplanung im Rahmen von NextGenerationEU berücksichtigt auch die längerfristige Perspektive, die für die stetige und progressive Rückzahlung der Schulden bei Fälligkeit notwendig ist. Im Einklang mit den Anforderungen des Eigenmittelbeschlusses plant die Kommission die Fälligkeiten ihrer Emissionen und die entsprechenden Rückzahlungen derart, dass die Verbindlichkeiten im Rahmen von NextGenerationEU im Zeitraum bis </w:t>
      </w:r>
      <w:r w:rsidRPr="00033DD1">
        <w:rPr>
          <w:noProof/>
        </w:rPr>
        <w:t>2058</w:t>
      </w:r>
      <w:r>
        <w:rPr>
          <w:noProof/>
        </w:rPr>
        <w:t xml:space="preserve"> stetig und vorhersehbar abnehmen.</w:t>
      </w:r>
    </w:p>
    <w:p w:rsidR="008B6253" w:rsidRPr="00864D5D" w:rsidRDefault="008B6253" w:rsidP="008B6253">
      <w:pPr>
        <w:pStyle w:val="Subtitle"/>
        <w:jc w:val="left"/>
        <w:rPr>
          <w:rStyle w:val="IntenseReference"/>
          <w:rFonts w:ascii="Times New Roman" w:hAnsi="Times New Roman"/>
          <w:b w:val="0"/>
          <w:bCs w:val="0"/>
          <w:noProof/>
        </w:rPr>
      </w:pPr>
      <w:bookmarkStart w:id="8" w:name="_Toc93069258"/>
      <w:bookmarkStart w:id="9" w:name="_Toc95730143"/>
      <w:r w:rsidRPr="00033DD1">
        <w:rPr>
          <w:rStyle w:val="IntenseReference"/>
          <w:rFonts w:ascii="Times New Roman" w:hAnsi="Times New Roman"/>
          <w:noProof/>
          <w:color w:val="auto"/>
        </w:rPr>
        <w:t>3</w:t>
      </w:r>
      <w:r>
        <w:rPr>
          <w:rStyle w:val="IntenseReference"/>
          <w:rFonts w:ascii="Times New Roman" w:hAnsi="Times New Roman"/>
          <w:noProof/>
          <w:color w:val="auto"/>
        </w:rPr>
        <w:t>.</w:t>
      </w:r>
      <w:r w:rsidRPr="00033DD1">
        <w:rPr>
          <w:rStyle w:val="IntenseReference"/>
          <w:rFonts w:ascii="Times New Roman" w:hAnsi="Times New Roman"/>
          <w:noProof/>
          <w:color w:val="auto"/>
        </w:rPr>
        <w:t>2</w:t>
      </w:r>
      <w:r>
        <w:rPr>
          <w:noProof/>
        </w:rPr>
        <w:tab/>
      </w:r>
      <w:r>
        <w:rPr>
          <w:rFonts w:ascii="Times New Roman" w:hAnsi="Times New Roman"/>
          <w:b/>
          <w:noProof/>
        </w:rPr>
        <w:t>Wirksame Koordinierung mit nationalen und gleichrangigen Emittenten</w:t>
      </w:r>
      <w:bookmarkEnd w:id="8"/>
      <w:bookmarkEnd w:id="9"/>
    </w:p>
    <w:p w:rsidR="008B6253" w:rsidRPr="00231F73" w:rsidRDefault="008B6253" w:rsidP="008B6253">
      <w:pPr>
        <w:spacing w:line="240" w:lineRule="auto"/>
        <w:jc w:val="both"/>
        <w:rPr>
          <w:noProof/>
        </w:rPr>
      </w:pPr>
      <w:r>
        <w:rPr>
          <w:noProof/>
        </w:rPr>
        <w:t>Die Veröffentlichung der halbjährlichen Finanzierungspläne, einschließlich des Emissionskalenders, war ein wichtiges Instrument zur Koordinierung mit supranationalen und nationalen Schuldenverwaltungsstellen, die zur Deckung ihres Finanzbedarfs ebenfalls umfangreiche Emissionsprogramme betreiben.</w:t>
      </w:r>
    </w:p>
    <w:p w:rsidR="008B6253" w:rsidRDefault="008B6253" w:rsidP="008B6253">
      <w:pPr>
        <w:spacing w:line="240" w:lineRule="auto"/>
        <w:jc w:val="both"/>
        <w:rPr>
          <w:noProof/>
        </w:rPr>
      </w:pPr>
      <w:r>
        <w:rPr>
          <w:noProof/>
        </w:rPr>
        <w:t xml:space="preserve">Zudem hat die Kommission dem Haushaltsausschuss des Europäischen Parlaments und dem Wirtschafts- und Finanzausschuss mehrfach Informationen über die Finanzierungsgeschäfte im Rahmen von NextGenerationEU übermittelt. Sie nimmt an Sitzungen des Unterausschusses des Wirtschafts- und Finanzausschusses für die Märkte für EU-Staatsanleihen (im Folgenden „ESDM“) teil, bei denen die Durchführung des Finanzierungsprogramms NextGenerationEU regelmäßig auf der Tagesordnung steht. </w:t>
      </w:r>
    </w:p>
    <w:p w:rsidR="008B6253" w:rsidRPr="00864D5D" w:rsidRDefault="008B6253" w:rsidP="008B6253">
      <w:pPr>
        <w:pStyle w:val="Subtitle"/>
        <w:jc w:val="left"/>
        <w:rPr>
          <w:rStyle w:val="IntenseReference"/>
          <w:rFonts w:ascii="Times New Roman" w:hAnsi="Times New Roman"/>
          <w:b w:val="0"/>
          <w:bCs w:val="0"/>
          <w:noProof/>
        </w:rPr>
      </w:pPr>
      <w:bookmarkStart w:id="10" w:name="_Toc93069259"/>
      <w:bookmarkStart w:id="11" w:name="_Toc95730144"/>
      <w:r w:rsidRPr="00033DD1">
        <w:rPr>
          <w:rStyle w:val="IntenseReference"/>
          <w:rFonts w:ascii="Times New Roman" w:hAnsi="Times New Roman"/>
          <w:noProof/>
          <w:color w:val="auto"/>
        </w:rPr>
        <w:t>3</w:t>
      </w:r>
      <w:r>
        <w:rPr>
          <w:rStyle w:val="IntenseReference"/>
          <w:rFonts w:ascii="Times New Roman" w:hAnsi="Times New Roman"/>
          <w:noProof/>
          <w:color w:val="auto"/>
        </w:rPr>
        <w:t>.</w:t>
      </w:r>
      <w:r w:rsidRPr="00033DD1">
        <w:rPr>
          <w:rStyle w:val="IntenseReference"/>
          <w:rFonts w:ascii="Times New Roman" w:hAnsi="Times New Roman"/>
          <w:noProof/>
          <w:color w:val="auto"/>
        </w:rPr>
        <w:t>3</w:t>
      </w:r>
      <w:r>
        <w:rPr>
          <w:noProof/>
        </w:rPr>
        <w:tab/>
      </w:r>
      <w:r>
        <w:rPr>
          <w:rFonts w:ascii="Times New Roman" w:hAnsi="Times New Roman"/>
          <w:b/>
          <w:noProof/>
        </w:rPr>
        <w:t>Robustes Liquiditätsmanagement, um Zu- und Abflüsse in Einklang zu bringen</w:t>
      </w:r>
      <w:bookmarkEnd w:id="10"/>
      <w:bookmarkEnd w:id="11"/>
    </w:p>
    <w:p w:rsidR="008B6253" w:rsidRPr="00231F73" w:rsidRDefault="008B6253" w:rsidP="008B6253">
      <w:pPr>
        <w:spacing w:line="240" w:lineRule="auto"/>
        <w:jc w:val="both"/>
        <w:rPr>
          <w:noProof/>
        </w:rPr>
      </w:pPr>
      <w:r>
        <w:rPr>
          <w:noProof/>
        </w:rPr>
        <w:t>Ein zentraler Maßstab für den Erfolg von NextGenerationEU ist die Fähigkeit des Programms, alle Beträge bei Fälligkeit zur Zahlung (oder Rückzahlung) auszuzahlen und die Beschaffung von Mitteln zu ungünstigen Marktbedingungen zu vermeiden. Ein proaktiver Ansatz für Liquiditätsmanagement und die Fähigkeit, Mittel zu günstigen Bedingungen kurzfristig zu beschaffen, sind diesbezüglich entscheidend.</w:t>
      </w:r>
    </w:p>
    <w:p w:rsidR="008B6253" w:rsidRPr="00231F73" w:rsidRDefault="008B6253" w:rsidP="008B6253">
      <w:pPr>
        <w:spacing w:line="240" w:lineRule="auto"/>
        <w:jc w:val="both"/>
        <w:rPr>
          <w:noProof/>
        </w:rPr>
      </w:pPr>
      <w:r>
        <w:rPr>
          <w:noProof/>
        </w:rPr>
        <w:t>Seit Beginn der Finanzierungsgeschäfte hat die Kommission einen variablen vorsorglichen Liquiditätspuffer als wichtige Schutzmaßnahme gegen Liquiditätsengpässe, die die Kommission daran hindern könnten, Auszahlungsanträge pünktlich zu erfüllen, aufrechterhalten. Um diese Liquiditätsbestände zu verwalten, eröffnete die Kommission im Jahr </w:t>
      </w:r>
      <w:r w:rsidRPr="00033DD1">
        <w:rPr>
          <w:noProof/>
        </w:rPr>
        <w:t>2021</w:t>
      </w:r>
      <w:r>
        <w:rPr>
          <w:noProof/>
        </w:rPr>
        <w:t xml:space="preserve"> ein Konto bei der EZB, damit diese wichtigen Barmittelbestände keinem Gegenparteirisiko unterliegen.</w:t>
      </w:r>
    </w:p>
    <w:p w:rsidR="008B6253" w:rsidRPr="00231F73" w:rsidRDefault="008B6253" w:rsidP="008B6253">
      <w:pPr>
        <w:spacing w:line="240" w:lineRule="auto"/>
        <w:jc w:val="both"/>
        <w:rPr>
          <w:noProof/>
        </w:rPr>
      </w:pPr>
      <w:r>
        <w:rPr>
          <w:noProof/>
        </w:rPr>
        <w:t>Dieser Liquiditätspuffer wurde von der Verwendung der gesamten Palette der Instrumente im Rahmen der diversifizierten Finanzierungsstrategie gestützt, wodurch die Kommission flexibel genug war, um Zu- und Abflüsse in Einklang zu bringen. Dazu gehörte die Inanspruchnahme von Kreditlinien im Juli/August </w:t>
      </w:r>
      <w:r w:rsidRPr="00033DD1">
        <w:rPr>
          <w:noProof/>
        </w:rPr>
        <w:t>2021</w:t>
      </w:r>
      <w:r>
        <w:rPr>
          <w:noProof/>
        </w:rPr>
        <w:t>. Diese Kreditlinien versetzten die Kommission in die Lage, alle Zahlungsanträge von Mitgliedstaaten für die Vorfinanzierung ihrer Aufbau- und Resilienzpläne im Sommer zu erfüllen, während gleichzeitig die Überversorgung eines illiquiden Marktes mit Anleihen vermieden wurde. Die anhand dieser Kreditlinien beschafften Beträge wurden inzwischen vollständig zurückgezahlt.</w:t>
      </w:r>
    </w:p>
    <w:p w:rsidR="008B6253" w:rsidRPr="00231F73" w:rsidRDefault="008B6253" w:rsidP="008B6253">
      <w:pPr>
        <w:spacing w:line="240" w:lineRule="auto"/>
        <w:jc w:val="both"/>
        <w:rPr>
          <w:noProof/>
        </w:rPr>
      </w:pPr>
      <w:r>
        <w:rPr>
          <w:noProof/>
        </w:rPr>
        <w:t>Seit September </w:t>
      </w:r>
      <w:r w:rsidRPr="00033DD1">
        <w:rPr>
          <w:noProof/>
        </w:rPr>
        <w:t>2021</w:t>
      </w:r>
      <w:r>
        <w:rPr>
          <w:noProof/>
        </w:rPr>
        <w:t xml:space="preserve"> war die Kommission in der Lage, das EU-Bills-Programm einzusetzen, um Liquidität zu wettbewerbsfähigen Bedingungen zu beschaffen. Vom </w:t>
      </w:r>
      <w:r w:rsidRPr="00033DD1">
        <w:rPr>
          <w:noProof/>
        </w:rPr>
        <w:t>15</w:t>
      </w:r>
      <w:r>
        <w:rPr>
          <w:noProof/>
        </w:rPr>
        <w:t xml:space="preserve">. September bis zum </w:t>
      </w:r>
      <w:r w:rsidRPr="00033DD1">
        <w:rPr>
          <w:noProof/>
        </w:rPr>
        <w:t>31</w:t>
      </w:r>
      <w:r>
        <w:rPr>
          <w:noProof/>
        </w:rPr>
        <w:t xml:space="preserve">. Dezember </w:t>
      </w:r>
      <w:r w:rsidRPr="00033DD1">
        <w:rPr>
          <w:noProof/>
        </w:rPr>
        <w:t>2021</w:t>
      </w:r>
      <w:r>
        <w:rPr>
          <w:noProof/>
        </w:rPr>
        <w:t xml:space="preserve"> organisierte die Kommission sieben EU-Bills-Auktionen und beschaffte mit EU-Bills mit Laufzeiten von </w:t>
      </w:r>
      <w:r w:rsidRPr="00033DD1">
        <w:rPr>
          <w:noProof/>
        </w:rPr>
        <w:t>3</w:t>
      </w:r>
      <w:r>
        <w:rPr>
          <w:noProof/>
        </w:rPr>
        <w:t xml:space="preserve"> Monaten und </w:t>
      </w:r>
      <w:r w:rsidRPr="00033DD1">
        <w:rPr>
          <w:noProof/>
        </w:rPr>
        <w:t>6</w:t>
      </w:r>
      <w:r>
        <w:rPr>
          <w:noProof/>
        </w:rPr>
        <w:t xml:space="preserve"> Monaten </w:t>
      </w:r>
      <w:r w:rsidRPr="00033DD1">
        <w:rPr>
          <w:noProof/>
        </w:rPr>
        <w:t>25</w:t>
      </w:r>
      <w:r>
        <w:rPr>
          <w:noProof/>
        </w:rPr>
        <w:t xml:space="preserve"> Mrd. EUR, von denen </w:t>
      </w:r>
      <w:r w:rsidRPr="00033DD1">
        <w:rPr>
          <w:noProof/>
        </w:rPr>
        <w:t>5</w:t>
      </w:r>
      <w:r>
        <w:rPr>
          <w:noProof/>
        </w:rPr>
        <w:t> Mrd. EUR im Dezember </w:t>
      </w:r>
      <w:r w:rsidRPr="00033DD1">
        <w:rPr>
          <w:noProof/>
        </w:rPr>
        <w:t>2021</w:t>
      </w:r>
      <w:r>
        <w:rPr>
          <w:noProof/>
        </w:rPr>
        <w:t xml:space="preserve"> fällig wurden. Die gewichtete durchschnittliche Rendite bei den Auktionen aus den Auktionen betrug -</w:t>
      </w:r>
      <w:r w:rsidRPr="00033DD1">
        <w:rPr>
          <w:noProof/>
        </w:rPr>
        <w:t>0</w:t>
      </w:r>
      <w:r>
        <w:rPr>
          <w:noProof/>
        </w:rPr>
        <w:t>,</w:t>
      </w:r>
      <w:r w:rsidRPr="00033DD1">
        <w:rPr>
          <w:noProof/>
        </w:rPr>
        <w:t>78</w:t>
      </w:r>
      <w:r>
        <w:rPr>
          <w:noProof/>
        </w:rPr>
        <w:t xml:space="preserve"> % und das durchschnittliche Bid-to-Cover-Verhältnis (also die bei einer Auktion nachgefragte Menge im Vergleich zur angebotenen Menge) lag bei </w:t>
      </w:r>
      <w:r w:rsidRPr="00033DD1">
        <w:rPr>
          <w:noProof/>
        </w:rPr>
        <w:t>2</w:t>
      </w:r>
      <w:r>
        <w:rPr>
          <w:noProof/>
        </w:rPr>
        <w:t>,</w:t>
      </w:r>
      <w:r w:rsidRPr="00033DD1">
        <w:rPr>
          <w:noProof/>
        </w:rPr>
        <w:t>55</w:t>
      </w:r>
      <w:r>
        <w:rPr>
          <w:noProof/>
        </w:rPr>
        <w:t>x. Beide Werte weisen auf eine starke Nachfrage der Primärhändler in unserem Netzwerk und starke kurzfristige Finanzierungsgeschäfte hin.</w:t>
      </w:r>
    </w:p>
    <w:p w:rsidR="008B6253" w:rsidRPr="00864D5D" w:rsidRDefault="008B6253" w:rsidP="008B6253">
      <w:pPr>
        <w:spacing w:line="240" w:lineRule="auto"/>
        <w:jc w:val="both"/>
        <w:rPr>
          <w:rStyle w:val="IntenseReference"/>
          <w:b w:val="0"/>
          <w:bCs w:val="0"/>
          <w:smallCaps w:val="0"/>
          <w:noProof/>
        </w:rPr>
      </w:pPr>
      <w:r>
        <w:rPr>
          <w:noProof/>
        </w:rPr>
        <w:t xml:space="preserve">Mithilfe dieser Mittel zum Liquiditätsmanagement war die Kommission in der Lage, alle Zahlungsanforderungen innerhalb von sechs Tagen zu erfüllen. </w:t>
      </w:r>
    </w:p>
    <w:p w:rsidR="008B6253" w:rsidRPr="00864D5D" w:rsidRDefault="008B6253" w:rsidP="008B6253">
      <w:pPr>
        <w:pStyle w:val="Subtitle"/>
        <w:jc w:val="left"/>
        <w:rPr>
          <w:rStyle w:val="IntenseReference"/>
          <w:rFonts w:ascii="Times New Roman" w:hAnsi="Times New Roman"/>
          <w:b w:val="0"/>
          <w:bCs w:val="0"/>
          <w:noProof/>
        </w:rPr>
      </w:pPr>
      <w:bookmarkStart w:id="12" w:name="_Toc93069260"/>
      <w:bookmarkStart w:id="13" w:name="_Toc95730145"/>
      <w:r w:rsidRPr="00033DD1">
        <w:rPr>
          <w:rStyle w:val="IntenseReference"/>
          <w:rFonts w:ascii="Times New Roman" w:hAnsi="Times New Roman"/>
          <w:noProof/>
          <w:color w:val="auto"/>
        </w:rPr>
        <w:t>3</w:t>
      </w:r>
      <w:r>
        <w:rPr>
          <w:rStyle w:val="IntenseReference"/>
          <w:rFonts w:ascii="Times New Roman" w:hAnsi="Times New Roman"/>
          <w:noProof/>
          <w:color w:val="auto"/>
        </w:rPr>
        <w:t>.</w:t>
      </w:r>
      <w:r w:rsidRPr="00033DD1">
        <w:rPr>
          <w:rStyle w:val="IntenseReference"/>
          <w:rFonts w:ascii="Times New Roman" w:hAnsi="Times New Roman"/>
          <w:noProof/>
          <w:color w:val="auto"/>
        </w:rPr>
        <w:t>4</w:t>
      </w:r>
      <w:r>
        <w:rPr>
          <w:noProof/>
        </w:rPr>
        <w:tab/>
      </w:r>
      <w:r>
        <w:rPr>
          <w:rFonts w:ascii="Times New Roman" w:hAnsi="Times New Roman"/>
          <w:b/>
          <w:noProof/>
        </w:rPr>
        <w:t>Solide Durchführungsfähigkeiten zur Ausführung der jeweiligen Finanzierungsgeschäfte</w:t>
      </w:r>
      <w:bookmarkEnd w:id="12"/>
      <w:bookmarkEnd w:id="13"/>
    </w:p>
    <w:p w:rsidR="008B6253" w:rsidRPr="00231F73" w:rsidRDefault="008B6253" w:rsidP="008B6253">
      <w:pPr>
        <w:spacing w:line="240" w:lineRule="auto"/>
        <w:jc w:val="both"/>
        <w:rPr>
          <w:noProof/>
        </w:rPr>
      </w:pPr>
      <w:r>
        <w:rPr>
          <w:noProof/>
        </w:rPr>
        <w:t>Die Kommission hat ihre Fähigkeit, Finanzierungen durchzuführen, verstärkt und konnte so eine Mischung aus Transaktionsformaten verwenden, um den Finanzierungsbedarf im Rahmen von NextGenerationEU zu erfüllen: in den ersten sechs Monaten verwendete die Kommission fünf syndizierte Transaktionen, zwei Auktionen für Anleihen und sieben für Bills, neue Emissionen und Emissionen auf der Grundlage bestehender Anleihen sowie Kreditlinien.</w:t>
      </w:r>
    </w:p>
    <w:p w:rsidR="008B6253" w:rsidRPr="00231F73" w:rsidRDefault="008B6253" w:rsidP="008B6253">
      <w:pPr>
        <w:spacing w:line="240" w:lineRule="auto"/>
        <w:jc w:val="both"/>
        <w:rPr>
          <w:noProof/>
        </w:rPr>
      </w:pPr>
      <w:r>
        <w:rPr>
          <w:noProof/>
        </w:rPr>
        <w:t>Die beiden wichtigsten Elemente dieser verbesserten Fähigkeiten waren Folgende:</w:t>
      </w:r>
    </w:p>
    <w:p w:rsidR="008B6253" w:rsidRPr="00864D5D" w:rsidRDefault="008B6253" w:rsidP="008B6253">
      <w:pPr>
        <w:rPr>
          <w:b/>
          <w:noProof/>
        </w:rPr>
      </w:pPr>
      <w:r>
        <w:rPr>
          <w:b/>
          <w:noProof/>
        </w:rPr>
        <w:t>a) Aufbau eines europaweiten Primärhändlernetzes</w:t>
      </w:r>
    </w:p>
    <w:p w:rsidR="008B6253" w:rsidRPr="00231F73" w:rsidRDefault="008B6253" w:rsidP="008B6253">
      <w:pPr>
        <w:spacing w:line="240" w:lineRule="auto"/>
        <w:jc w:val="both"/>
        <w:rPr>
          <w:noProof/>
        </w:rPr>
      </w:pPr>
      <w:r>
        <w:rPr>
          <w:noProof/>
        </w:rPr>
        <w:t>Nach dem Aufruf zur Interessenbekundung</w:t>
      </w:r>
      <w:r>
        <w:rPr>
          <w:rStyle w:val="FootnoteReference"/>
          <w:noProof/>
        </w:rPr>
        <w:footnoteReference w:id="14"/>
      </w:r>
      <w:r>
        <w:rPr>
          <w:noProof/>
        </w:rPr>
        <w:t xml:space="preserve"> veröffentlichte die Kommission am </w:t>
      </w:r>
      <w:r w:rsidRPr="00033DD1">
        <w:rPr>
          <w:noProof/>
        </w:rPr>
        <w:t>31</w:t>
      </w:r>
      <w:r>
        <w:rPr>
          <w:noProof/>
        </w:rPr>
        <w:t xml:space="preserve">. Mai </w:t>
      </w:r>
      <w:r w:rsidRPr="00033DD1">
        <w:rPr>
          <w:noProof/>
        </w:rPr>
        <w:t>2021</w:t>
      </w:r>
      <w:r>
        <w:rPr>
          <w:noProof/>
        </w:rPr>
        <w:t xml:space="preserve"> eine Liste von </w:t>
      </w:r>
      <w:r w:rsidRPr="00033DD1">
        <w:rPr>
          <w:noProof/>
        </w:rPr>
        <w:t>39</w:t>
      </w:r>
      <w:r>
        <w:rPr>
          <w:noProof/>
        </w:rPr>
        <w:t xml:space="preserve"> Banken und Wertpapierfirmen, die sich erfolgreich für das Primärhändlernetz beworben haben. Die Eintragung ist für Mitglieder nationaler oder anderer EU-Primärhändlernetze auf kontinuierlicher Basis möglich. Am </w:t>
      </w:r>
      <w:r w:rsidRPr="00033DD1">
        <w:rPr>
          <w:noProof/>
        </w:rPr>
        <w:t>31</w:t>
      </w:r>
      <w:r>
        <w:rPr>
          <w:noProof/>
        </w:rPr>
        <w:t xml:space="preserve">. Dezember </w:t>
      </w:r>
      <w:r w:rsidRPr="00033DD1">
        <w:rPr>
          <w:noProof/>
        </w:rPr>
        <w:t>2021</w:t>
      </w:r>
      <w:r>
        <w:rPr>
          <w:noProof/>
        </w:rPr>
        <w:t xml:space="preserve"> hatte die Kommission </w:t>
      </w:r>
      <w:r w:rsidRPr="00033DD1">
        <w:rPr>
          <w:noProof/>
        </w:rPr>
        <w:t>42</w:t>
      </w:r>
      <w:r>
        <w:rPr>
          <w:noProof/>
        </w:rPr>
        <w:t> Banken und Wertpapierfirmen als EU-Primärhändler in zwölf Mitgliedstaaten mit verschiedenen Geschäftsmodellen, einschließlich aller wichtigsten Akteure bei der Platzierung öffentlicher Schuldtitel und Schuldtitel des Sovereign Supranational Agency Sector, die weltweit tätig sind.</w:t>
      </w:r>
    </w:p>
    <w:p w:rsidR="008B6253" w:rsidRPr="00231F73" w:rsidRDefault="008B6253" w:rsidP="008B6253">
      <w:pPr>
        <w:spacing w:line="240" w:lineRule="auto"/>
        <w:jc w:val="both"/>
        <w:rPr>
          <w:noProof/>
        </w:rPr>
      </w:pPr>
      <w:r>
        <w:rPr>
          <w:noProof/>
        </w:rPr>
        <w:t xml:space="preserve">Die Kommission steht im Dialog mit den Primärhändlern (unter anderem durch strukturiertes Feedback). Sie stellt auch sicher, dass die Auswahl von Primärhändlern für syndizierte Transaktionen auf der konsequenten Anwendung von quantitativen und qualitativen Kriterien beruht, ergänzt durch die Anwendung eines turnusmäßigen Wechsels, um zu gewährleisten, dass nicht immer dieselben Banken mandatiert werden. </w:t>
      </w:r>
    </w:p>
    <w:p w:rsidR="008B6253" w:rsidRPr="00864D5D" w:rsidRDefault="008B6253" w:rsidP="008B6253">
      <w:pPr>
        <w:rPr>
          <w:b/>
          <w:noProof/>
        </w:rPr>
      </w:pPr>
      <w:r>
        <w:rPr>
          <w:b/>
          <w:noProof/>
        </w:rPr>
        <w:t>b) Aufbau einer Auktionsplattform auf dem neuesten Stand</w:t>
      </w:r>
    </w:p>
    <w:p w:rsidR="008B6253" w:rsidRPr="00231F73" w:rsidRDefault="008B6253" w:rsidP="008B6253">
      <w:pPr>
        <w:spacing w:line="240" w:lineRule="auto"/>
        <w:jc w:val="both"/>
        <w:rPr>
          <w:noProof/>
        </w:rPr>
      </w:pPr>
      <w:r>
        <w:rPr>
          <w:noProof/>
        </w:rPr>
        <w:t>Mit Unterstützung der Banque de France baute die Kommission im Jahr </w:t>
      </w:r>
      <w:r w:rsidRPr="00033DD1">
        <w:rPr>
          <w:noProof/>
        </w:rPr>
        <w:t>2021</w:t>
      </w:r>
      <w:r>
        <w:rPr>
          <w:noProof/>
        </w:rPr>
        <w:t xml:space="preserve"> eine Auktionsplattform für EU-Bills und -Anleihen auf. Die Primärhändler wurden im Sommer </w:t>
      </w:r>
      <w:r w:rsidRPr="00033DD1">
        <w:rPr>
          <w:noProof/>
        </w:rPr>
        <w:t>2021</w:t>
      </w:r>
      <w:r>
        <w:rPr>
          <w:noProof/>
        </w:rPr>
        <w:t xml:space="preserve"> mit dem TELSAT-System der Banque de France verbunden, und so konnte die Kommission am </w:t>
      </w:r>
      <w:r w:rsidRPr="00033DD1">
        <w:rPr>
          <w:noProof/>
        </w:rPr>
        <w:t>15</w:t>
      </w:r>
      <w:r>
        <w:rPr>
          <w:noProof/>
        </w:rPr>
        <w:t xml:space="preserve">. September </w:t>
      </w:r>
      <w:r w:rsidRPr="00033DD1">
        <w:rPr>
          <w:noProof/>
        </w:rPr>
        <w:t>2021</w:t>
      </w:r>
      <w:r>
        <w:rPr>
          <w:noProof/>
        </w:rPr>
        <w:t xml:space="preserve"> die erste Auktion für EU-Bills und am </w:t>
      </w:r>
      <w:r w:rsidRPr="00033DD1">
        <w:rPr>
          <w:noProof/>
        </w:rPr>
        <w:t>27</w:t>
      </w:r>
      <w:r>
        <w:rPr>
          <w:noProof/>
        </w:rPr>
        <w:t xml:space="preserve">. September </w:t>
      </w:r>
      <w:r w:rsidRPr="00033DD1">
        <w:rPr>
          <w:noProof/>
        </w:rPr>
        <w:t>2021</w:t>
      </w:r>
      <w:r>
        <w:rPr>
          <w:noProof/>
        </w:rPr>
        <w:t xml:space="preserve"> die erste Auktion für Anleihen veranstalten.</w:t>
      </w:r>
    </w:p>
    <w:p w:rsidR="008B6253" w:rsidRPr="00231F73" w:rsidRDefault="008B6253" w:rsidP="008B6253">
      <w:pPr>
        <w:spacing w:line="240" w:lineRule="auto"/>
        <w:jc w:val="both"/>
        <w:rPr>
          <w:noProof/>
        </w:rPr>
      </w:pPr>
      <w:r>
        <w:rPr>
          <w:noProof/>
        </w:rPr>
        <w:t xml:space="preserve">Durch die Auktionsplattform konnte die Kommission neben ihren syndizierten Transaktionen ein Programm für regelmäßige Auktionen einrichten. </w:t>
      </w:r>
    </w:p>
    <w:p w:rsidR="008B6253" w:rsidRPr="00864D5D" w:rsidRDefault="008B6253" w:rsidP="008B6253">
      <w:pPr>
        <w:spacing w:line="240" w:lineRule="auto"/>
        <w:jc w:val="both"/>
        <w:rPr>
          <w:rStyle w:val="IntenseReference"/>
          <w:b w:val="0"/>
          <w:bCs w:val="0"/>
          <w:smallCaps w:val="0"/>
          <w:noProof/>
        </w:rPr>
      </w:pPr>
      <w:r>
        <w:rPr>
          <w:noProof/>
        </w:rPr>
        <w:t xml:space="preserve">Vom </w:t>
      </w:r>
      <w:r w:rsidRPr="00033DD1">
        <w:rPr>
          <w:noProof/>
        </w:rPr>
        <w:t>15</w:t>
      </w:r>
      <w:r>
        <w:rPr>
          <w:noProof/>
        </w:rPr>
        <w:t xml:space="preserve">. September bis zum </w:t>
      </w:r>
      <w:r w:rsidRPr="00033DD1">
        <w:rPr>
          <w:noProof/>
        </w:rPr>
        <w:t>31</w:t>
      </w:r>
      <w:r>
        <w:rPr>
          <w:noProof/>
        </w:rPr>
        <w:t xml:space="preserve">. Dezember </w:t>
      </w:r>
      <w:r w:rsidRPr="00033DD1">
        <w:rPr>
          <w:noProof/>
        </w:rPr>
        <w:t>2021</w:t>
      </w:r>
      <w:r>
        <w:rPr>
          <w:noProof/>
        </w:rPr>
        <w:t xml:space="preserve"> organisierte die Kommission sieben EU-Bills-Auktionen und beschaffte mit EU-Bills mit Laufzeiten von </w:t>
      </w:r>
      <w:r w:rsidRPr="00033DD1">
        <w:rPr>
          <w:noProof/>
        </w:rPr>
        <w:t>3</w:t>
      </w:r>
      <w:r>
        <w:rPr>
          <w:noProof/>
        </w:rPr>
        <w:t xml:space="preserve"> Monaten und </w:t>
      </w:r>
      <w:r w:rsidRPr="00033DD1">
        <w:rPr>
          <w:noProof/>
        </w:rPr>
        <w:t>6</w:t>
      </w:r>
      <w:r>
        <w:rPr>
          <w:noProof/>
        </w:rPr>
        <w:t xml:space="preserve"> Monaten </w:t>
      </w:r>
      <w:r w:rsidRPr="00033DD1">
        <w:rPr>
          <w:noProof/>
        </w:rPr>
        <w:t>25</w:t>
      </w:r>
      <w:r>
        <w:rPr>
          <w:noProof/>
        </w:rPr>
        <w:t xml:space="preserve"> Mrd. EUR; davon wurden </w:t>
      </w:r>
      <w:r w:rsidRPr="00033DD1">
        <w:rPr>
          <w:noProof/>
        </w:rPr>
        <w:t>5</w:t>
      </w:r>
      <w:r>
        <w:rPr>
          <w:noProof/>
        </w:rPr>
        <w:t> Mrd. EUR im Dezember </w:t>
      </w:r>
      <w:r w:rsidRPr="00033DD1">
        <w:rPr>
          <w:noProof/>
        </w:rPr>
        <w:t>2021</w:t>
      </w:r>
      <w:r>
        <w:rPr>
          <w:noProof/>
        </w:rPr>
        <w:t xml:space="preserve"> fällig. Zudem beschaffte die Kommission mit zwei Auktionen von Anleihen </w:t>
      </w:r>
      <w:r w:rsidRPr="00033DD1">
        <w:rPr>
          <w:noProof/>
        </w:rPr>
        <w:t>5</w:t>
      </w:r>
      <w:r>
        <w:rPr>
          <w:noProof/>
        </w:rPr>
        <w:t> Mrd. EUR.</w:t>
      </w:r>
    </w:p>
    <w:p w:rsidR="008B6253" w:rsidRPr="00864D5D" w:rsidRDefault="008B6253" w:rsidP="008B6253">
      <w:pPr>
        <w:pStyle w:val="Subtitle"/>
        <w:jc w:val="left"/>
        <w:rPr>
          <w:rStyle w:val="IntenseReference"/>
          <w:rFonts w:ascii="Times New Roman" w:hAnsi="Times New Roman"/>
          <w:b w:val="0"/>
          <w:bCs w:val="0"/>
          <w:noProof/>
        </w:rPr>
      </w:pPr>
      <w:bookmarkStart w:id="14" w:name="_Toc93069261"/>
      <w:bookmarkStart w:id="15" w:name="_Toc95730146"/>
      <w:r w:rsidRPr="00033DD1">
        <w:rPr>
          <w:rStyle w:val="IntenseReference"/>
          <w:rFonts w:ascii="Times New Roman" w:hAnsi="Times New Roman"/>
          <w:noProof/>
          <w:color w:val="auto"/>
        </w:rPr>
        <w:t>3</w:t>
      </w:r>
      <w:r>
        <w:rPr>
          <w:rStyle w:val="IntenseReference"/>
          <w:rFonts w:ascii="Times New Roman" w:hAnsi="Times New Roman"/>
          <w:noProof/>
          <w:color w:val="auto"/>
        </w:rPr>
        <w:t>.</w:t>
      </w:r>
      <w:r w:rsidRPr="00033DD1">
        <w:rPr>
          <w:rStyle w:val="IntenseReference"/>
          <w:rFonts w:ascii="Times New Roman" w:hAnsi="Times New Roman"/>
          <w:noProof/>
          <w:color w:val="auto"/>
        </w:rPr>
        <w:t>5</w:t>
      </w:r>
      <w:r>
        <w:rPr>
          <w:noProof/>
        </w:rPr>
        <w:tab/>
      </w:r>
      <w:r>
        <w:rPr>
          <w:rFonts w:ascii="Times New Roman" w:hAnsi="Times New Roman"/>
          <w:b/>
          <w:noProof/>
        </w:rPr>
        <w:t>Robuste Governance- und Risikomanagementsysteme</w:t>
      </w:r>
      <w:bookmarkEnd w:id="14"/>
      <w:bookmarkEnd w:id="15"/>
    </w:p>
    <w:p w:rsidR="008B6253" w:rsidRPr="00231F73" w:rsidRDefault="008B6253" w:rsidP="008B6253">
      <w:pPr>
        <w:spacing w:line="240" w:lineRule="auto"/>
        <w:jc w:val="both"/>
        <w:rPr>
          <w:noProof/>
        </w:rPr>
      </w:pPr>
      <w:r>
        <w:rPr>
          <w:noProof/>
        </w:rPr>
        <w:t>Die Kommission hat einen klaren und robusten Governance-Rahmen eingerichtet, um die zentralen Beschlussfassungsprozesse (z. B. jährlicher Anleihebeschluss) und Durchführungsmodalitäten (Finanzierungsplan) sowie Kapazitäten (z. B. syndizierte Transaktionen und Auktionen) der Finanzierungsgeschäfte zu strukturieren und eine robuste und unabhängige Überwachung zu gewährleisten. Dazu wurde bereits Stellung genommen.</w:t>
      </w:r>
    </w:p>
    <w:p w:rsidR="008B6253" w:rsidRPr="00231F73" w:rsidRDefault="008B6253" w:rsidP="008B6253">
      <w:pPr>
        <w:spacing w:line="240" w:lineRule="auto"/>
        <w:jc w:val="both"/>
        <w:rPr>
          <w:noProof/>
        </w:rPr>
      </w:pPr>
      <w:r>
        <w:rPr>
          <w:noProof/>
        </w:rPr>
        <w:t xml:space="preserve">Die Notwendigkeit, verbleibende Risiken zu ermitteln, zu mindern und zu steuern, ist Bestandteil eines jeden zentralen Geschäftsprozesses des Finanzierungsprogramms NextGenerationEU. Der Rückgriff auf eine diversifizierte Finanzierungsstrategie ist an sich schon ein Mittel zur Minderung des Risikos, dass der Bedarf im Rahmen des Aufbauplans nicht rechtzeitig oder zu angemessenen Bedingungen gedeckt werden kann. Um eine nachhaltige und ausgeprägte Fokussierung auf die Minderung von Risiken zu gewährleisten, hat die Kommission eine Risikobeauftragte (Chief Risk Officer – CRO) und einen Compliance-Beauftragten ernannt, einen Ausschuss für Risiko- und Compliance-Maßnahmen zur Unterstützung der CRO eingerichtet und eine hochrangigen Risiko- und Compliance-Politik angenommen. </w:t>
      </w:r>
    </w:p>
    <w:p w:rsidR="008B6253" w:rsidRPr="00864D5D" w:rsidRDefault="008B6253" w:rsidP="008B6253">
      <w:pPr>
        <w:spacing w:line="240" w:lineRule="auto"/>
        <w:jc w:val="both"/>
        <w:rPr>
          <w:rStyle w:val="IntenseReference"/>
          <w:b w:val="0"/>
          <w:bCs w:val="0"/>
          <w:smallCaps w:val="0"/>
          <w:noProof/>
        </w:rPr>
      </w:pPr>
      <w:r>
        <w:rPr>
          <w:noProof/>
        </w:rPr>
        <w:t xml:space="preserve">Im Juni </w:t>
      </w:r>
      <w:r w:rsidRPr="00033DD1">
        <w:rPr>
          <w:noProof/>
        </w:rPr>
        <w:t>2021</w:t>
      </w:r>
      <w:r>
        <w:rPr>
          <w:noProof/>
        </w:rPr>
        <w:t xml:space="preserve"> ernannte die Kommission die CRO, die ihr Amt am </w:t>
      </w:r>
      <w:r w:rsidRPr="00033DD1">
        <w:rPr>
          <w:noProof/>
        </w:rPr>
        <w:t>1</w:t>
      </w:r>
      <w:r>
        <w:rPr>
          <w:noProof/>
        </w:rPr>
        <w:t xml:space="preserve">. September </w:t>
      </w:r>
      <w:r w:rsidRPr="00033DD1">
        <w:rPr>
          <w:noProof/>
        </w:rPr>
        <w:t>2021</w:t>
      </w:r>
      <w:r>
        <w:rPr>
          <w:noProof/>
        </w:rPr>
        <w:t xml:space="preserve"> antrat. Von der CRO wurde eine hochrangige Risiko- und Compliance-Politik ausgearbeitet, die vom Ausschuss für Risiko- und Compliance-Maßnahmen bestätigt und vom Kommissar für Haushalt und Verwaltung, Johannes Hahn, am </w:t>
      </w:r>
      <w:r w:rsidRPr="00033DD1">
        <w:rPr>
          <w:noProof/>
        </w:rPr>
        <w:t>1</w:t>
      </w:r>
      <w:r>
        <w:rPr>
          <w:noProof/>
        </w:rPr>
        <w:t xml:space="preserve">. Dezember </w:t>
      </w:r>
      <w:r w:rsidRPr="00033DD1">
        <w:rPr>
          <w:noProof/>
        </w:rPr>
        <w:t>2021</w:t>
      </w:r>
      <w:r>
        <w:rPr>
          <w:noProof/>
        </w:rPr>
        <w:t xml:space="preserve"> genehmigt wurde. Diese Politik umfasst einen angemessenen Risikomanagement- und Compliance-Rahmen für die Überwachung der Risiko- und Compliance-Fragen, die sich aus der Durchführung der Mittelaufnahme, des Schuldenmanagements und der Darlehensvergabe im Rahmen von NextGenerationEU ergeben, und es werden Minderungsmaßnahmen und Überwachungsverfahren festgesetzt. Die CRO stellt sicher, dass die Politik umfassend und kohärent umgesetzt wird, und erstattet der Kommission dazu jährlich Bericht.</w:t>
      </w:r>
    </w:p>
    <w:p w:rsidR="008B6253" w:rsidRDefault="008B6253" w:rsidP="008B6253">
      <w:pPr>
        <w:pStyle w:val="Subtitle"/>
        <w:jc w:val="left"/>
        <w:rPr>
          <w:rFonts w:ascii="Times New Roman" w:eastAsiaTheme="majorEastAsia" w:hAnsi="Times New Roman"/>
          <w:b/>
          <w:noProof/>
        </w:rPr>
      </w:pPr>
      <w:bookmarkStart w:id="16" w:name="_Toc93069262"/>
      <w:bookmarkStart w:id="17" w:name="_Toc95730147"/>
      <w:r w:rsidRPr="00033DD1">
        <w:rPr>
          <w:rStyle w:val="IntenseReference"/>
          <w:rFonts w:ascii="Times New Roman" w:hAnsi="Times New Roman"/>
          <w:noProof/>
          <w:color w:val="auto"/>
        </w:rPr>
        <w:t>3</w:t>
      </w:r>
      <w:r>
        <w:rPr>
          <w:rStyle w:val="IntenseReference"/>
          <w:rFonts w:ascii="Times New Roman" w:hAnsi="Times New Roman"/>
          <w:noProof/>
          <w:color w:val="auto"/>
        </w:rPr>
        <w:t>.</w:t>
      </w:r>
      <w:r w:rsidRPr="00033DD1">
        <w:rPr>
          <w:rStyle w:val="IntenseReference"/>
          <w:rFonts w:ascii="Times New Roman" w:hAnsi="Times New Roman"/>
          <w:noProof/>
          <w:color w:val="auto"/>
        </w:rPr>
        <w:t>6</w:t>
      </w:r>
      <w:r>
        <w:rPr>
          <w:noProof/>
        </w:rPr>
        <w:tab/>
      </w:r>
      <w:r>
        <w:rPr>
          <w:rFonts w:ascii="Times New Roman" w:hAnsi="Times New Roman"/>
          <w:b/>
          <w:noProof/>
        </w:rPr>
        <w:t>Zweckmäßige Backoffice-, Zahlungs- und Buchführungslösungen</w:t>
      </w:r>
      <w:bookmarkEnd w:id="16"/>
      <w:bookmarkEnd w:id="17"/>
    </w:p>
    <w:p w:rsidR="008B6253" w:rsidRPr="004D27D4" w:rsidRDefault="008B6253" w:rsidP="008B6253">
      <w:pPr>
        <w:jc w:val="both"/>
        <w:rPr>
          <w:noProof/>
        </w:rPr>
      </w:pPr>
      <w:bookmarkStart w:id="18" w:name="_Toc93069263"/>
      <w:r>
        <w:rPr>
          <w:noProof/>
        </w:rPr>
        <w:t>Die Kommission hat ihre Backoffice- und Buchführungsfunktionen verstärkt, um eine wirksame Ausführung sowie die Überprüfbarkeit und Rechenschaftspflicht in Bezug auf alle Transaktionen zu gewährleisten. Genauer gesagt:</w:t>
      </w:r>
      <w:bookmarkEnd w:id="18"/>
    </w:p>
    <w:p w:rsidR="008B6253" w:rsidRPr="00231F73" w:rsidRDefault="008B6253" w:rsidP="008B6253">
      <w:pPr>
        <w:pStyle w:val="ListParagraph"/>
        <w:numPr>
          <w:ilvl w:val="0"/>
          <w:numId w:val="1"/>
        </w:numPr>
        <w:spacing w:after="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Die Kommission hat ihr Transaktionserfassungs- und -buchungssystem rechtzeitig angepasst, sodass alle Anleihe- und Darlehenstransaktionen seit Beginn der Finanzierungsgeschäfte im Rahmen von NextGenerationEU im Juni </w:t>
      </w:r>
      <w:r w:rsidRPr="00033DD1">
        <w:rPr>
          <w:rFonts w:ascii="Times New Roman" w:hAnsi="Times New Roman"/>
          <w:noProof/>
          <w:sz w:val="24"/>
          <w:szCs w:val="24"/>
        </w:rPr>
        <w:t>2021</w:t>
      </w:r>
      <w:r>
        <w:rPr>
          <w:rFonts w:ascii="Times New Roman" w:hAnsi="Times New Roman"/>
          <w:noProof/>
          <w:sz w:val="24"/>
          <w:szCs w:val="24"/>
        </w:rPr>
        <w:t xml:space="preserve"> ordnungsgemäß im System erfasst wurden.</w:t>
      </w:r>
    </w:p>
    <w:p w:rsidR="008B6253" w:rsidRPr="00231F73" w:rsidRDefault="008B6253" w:rsidP="008B6253">
      <w:pPr>
        <w:pStyle w:val="ListParagraph"/>
        <w:numPr>
          <w:ilvl w:val="0"/>
          <w:numId w:val="1"/>
        </w:numPr>
        <w:spacing w:after="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Gemeinsam mit der EZB hat die Kommission die Daten der Mitgliedstaaten in die Zahlungssysteme aufgenommen und Letztere mit den Mitgliedstaaten getestet, damit alle Zahlungen an Mitgliedstaaten sicher, schnell und jederzeit verarbeitet werden können. </w:t>
      </w:r>
    </w:p>
    <w:p w:rsidR="008B6253" w:rsidRPr="00231F73" w:rsidRDefault="008B6253" w:rsidP="008B6253">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Die Kommission aktualisierte das Rahmenprogramm für Emissionen (Debt Issuance Programm, DIP) der EU und Euratom am </w:t>
      </w:r>
      <w:r w:rsidRPr="00033DD1">
        <w:rPr>
          <w:rFonts w:ascii="Times New Roman" w:hAnsi="Times New Roman"/>
          <w:noProof/>
          <w:sz w:val="24"/>
          <w:szCs w:val="24"/>
        </w:rPr>
        <w:t>4</w:t>
      </w:r>
      <w:r>
        <w:rPr>
          <w:rFonts w:ascii="Times New Roman" w:hAnsi="Times New Roman"/>
          <w:noProof/>
          <w:sz w:val="24"/>
          <w:szCs w:val="24"/>
        </w:rPr>
        <w:t xml:space="preserve">. Juni </w:t>
      </w:r>
      <w:r w:rsidRPr="00033DD1">
        <w:rPr>
          <w:rFonts w:ascii="Times New Roman" w:hAnsi="Times New Roman"/>
          <w:noProof/>
          <w:sz w:val="24"/>
          <w:szCs w:val="24"/>
        </w:rPr>
        <w:t>2021</w:t>
      </w:r>
      <w:r>
        <w:rPr>
          <w:rFonts w:ascii="Times New Roman" w:hAnsi="Times New Roman"/>
          <w:noProof/>
          <w:sz w:val="24"/>
          <w:szCs w:val="24"/>
        </w:rPr>
        <w:t>, um unter anderem Auktionen aufzunehmen.</w:t>
      </w:r>
    </w:p>
    <w:p w:rsidR="008B6253" w:rsidRPr="00231F73" w:rsidRDefault="008B6253" w:rsidP="008B6253">
      <w:pPr>
        <w:pStyle w:val="ListParagraph"/>
        <w:numPr>
          <w:ilvl w:val="0"/>
          <w:numId w:val="1"/>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Gemeinsam mit ihrer Emissionsstelle richtete die Kommission neue Verfahren für Auktionen ein, was zur reibungslosen Bearbeitung aller Primärtransaktionen am Abwicklungstag geführt hat. </w:t>
      </w:r>
    </w:p>
    <w:p w:rsidR="008B6253" w:rsidRPr="00864D5D" w:rsidRDefault="008B6253" w:rsidP="008B6253">
      <w:pPr>
        <w:pStyle w:val="ListParagraph"/>
        <w:numPr>
          <w:ilvl w:val="0"/>
          <w:numId w:val="1"/>
        </w:numPr>
        <w:spacing w:after="240" w:line="240" w:lineRule="auto"/>
        <w:ind w:left="714" w:hanging="357"/>
        <w:contextualSpacing w:val="0"/>
        <w:jc w:val="both"/>
        <w:rPr>
          <w:rStyle w:val="IntenseReference"/>
          <w:rFonts w:ascii="Times New Roman" w:hAnsi="Times New Roman" w:cs="Times New Roman"/>
          <w:b w:val="0"/>
          <w:bCs w:val="0"/>
          <w:smallCaps w:val="0"/>
          <w:noProof/>
          <w:sz w:val="24"/>
          <w:szCs w:val="24"/>
        </w:rPr>
      </w:pPr>
      <w:r>
        <w:rPr>
          <w:rFonts w:ascii="Times New Roman" w:hAnsi="Times New Roman"/>
          <w:noProof/>
          <w:sz w:val="24"/>
          <w:szCs w:val="24"/>
        </w:rPr>
        <w:t>Die Kommission hat das Buchungssystem so eingerichtet, dass die Jahresabschlüsse ordnungsgemäß ausgestellt und vom externen Prüfer zeitnah geprüft werden können.</w:t>
      </w:r>
    </w:p>
    <w:p w:rsidR="008B6253" w:rsidRPr="00864D5D" w:rsidRDefault="008B6253" w:rsidP="008B6253">
      <w:pPr>
        <w:pStyle w:val="Subtitle"/>
        <w:jc w:val="left"/>
        <w:rPr>
          <w:rStyle w:val="IntenseReference"/>
          <w:rFonts w:ascii="Times New Roman" w:hAnsi="Times New Roman"/>
          <w:b w:val="0"/>
          <w:bCs w:val="0"/>
          <w:noProof/>
        </w:rPr>
      </w:pPr>
      <w:bookmarkStart w:id="19" w:name="_Toc93069264"/>
      <w:bookmarkStart w:id="20" w:name="_Toc95730148"/>
      <w:r w:rsidRPr="00033DD1">
        <w:rPr>
          <w:rStyle w:val="IntenseReference"/>
          <w:rFonts w:ascii="Times New Roman" w:hAnsi="Times New Roman"/>
          <w:noProof/>
          <w:color w:val="auto"/>
        </w:rPr>
        <w:t>3</w:t>
      </w:r>
      <w:r>
        <w:rPr>
          <w:rStyle w:val="IntenseReference"/>
          <w:rFonts w:ascii="Times New Roman" w:hAnsi="Times New Roman"/>
          <w:noProof/>
          <w:color w:val="auto"/>
        </w:rPr>
        <w:t>.</w:t>
      </w:r>
      <w:r w:rsidRPr="00033DD1">
        <w:rPr>
          <w:rStyle w:val="IntenseReference"/>
          <w:rFonts w:ascii="Times New Roman" w:hAnsi="Times New Roman"/>
          <w:noProof/>
          <w:color w:val="auto"/>
        </w:rPr>
        <w:t>7</w:t>
      </w:r>
      <w:r>
        <w:rPr>
          <w:noProof/>
        </w:rPr>
        <w:tab/>
      </w:r>
      <w:r>
        <w:rPr>
          <w:rFonts w:ascii="Times New Roman" w:hAnsi="Times New Roman"/>
          <w:b/>
          <w:noProof/>
        </w:rPr>
        <w:t>Attraktive Darlehen im Rahmen der Aufbau- und Resilienzfazilität</w:t>
      </w:r>
      <w:bookmarkEnd w:id="19"/>
      <w:bookmarkEnd w:id="20"/>
    </w:p>
    <w:p w:rsidR="008B6253" w:rsidRPr="00231F73" w:rsidRDefault="008B6253" w:rsidP="008B6253">
      <w:pPr>
        <w:spacing w:line="240" w:lineRule="auto"/>
        <w:jc w:val="both"/>
        <w:rPr>
          <w:noProof/>
        </w:rPr>
      </w:pPr>
      <w:r>
        <w:rPr>
          <w:noProof/>
        </w:rPr>
        <w:t xml:space="preserve">Im Rahmen von NextGenerationEU ist die Kommission befugt, bis zu </w:t>
      </w:r>
      <w:r w:rsidRPr="00033DD1">
        <w:rPr>
          <w:noProof/>
        </w:rPr>
        <w:t>385</w:t>
      </w:r>
      <w:r>
        <w:rPr>
          <w:noProof/>
        </w:rPr>
        <w:t> Mrd. EUR zur Finanzierung von Darlehen aus der Aufbau- und Resilienzfazilität an Mitgliedstaaten zu emittieren. Bis Ende </w:t>
      </w:r>
      <w:r w:rsidRPr="00033DD1">
        <w:rPr>
          <w:noProof/>
        </w:rPr>
        <w:t>2021</w:t>
      </w:r>
      <w:r>
        <w:rPr>
          <w:noProof/>
        </w:rPr>
        <w:t xml:space="preserve"> wurden fast </w:t>
      </w:r>
      <w:r w:rsidRPr="00033DD1">
        <w:rPr>
          <w:noProof/>
        </w:rPr>
        <w:t>40</w:t>
      </w:r>
      <w:r>
        <w:rPr>
          <w:noProof/>
        </w:rPr>
        <w:t> % des Gesamtumfangs der Darlehen aus der Aufbau- und Resilienzfazilität an sechs Mitgliedstaaten</w:t>
      </w:r>
      <w:r>
        <w:rPr>
          <w:rStyle w:val="FootnoteReference"/>
          <w:noProof/>
        </w:rPr>
        <w:footnoteReference w:id="15"/>
      </w:r>
      <w:r>
        <w:rPr>
          <w:noProof/>
        </w:rPr>
        <w:t xml:space="preserve">, deren Darlehensanträge genehmigt wurden, zugewiesen. Die Mitgliedstaaten können bis zum </w:t>
      </w:r>
      <w:r w:rsidRPr="00033DD1">
        <w:rPr>
          <w:noProof/>
        </w:rPr>
        <w:t>31</w:t>
      </w:r>
      <w:r>
        <w:rPr>
          <w:noProof/>
        </w:rPr>
        <w:t xml:space="preserve">. August </w:t>
      </w:r>
      <w:r w:rsidRPr="00033DD1">
        <w:rPr>
          <w:noProof/>
        </w:rPr>
        <w:t>2023</w:t>
      </w:r>
      <w:r>
        <w:rPr>
          <w:noProof/>
        </w:rPr>
        <w:t xml:space="preserve"> Unterstützung in Form eines Darlehens beantragen. </w:t>
      </w:r>
    </w:p>
    <w:p w:rsidR="008B6253" w:rsidRPr="00231F73" w:rsidRDefault="008B6253" w:rsidP="008B6253">
      <w:pPr>
        <w:spacing w:line="240" w:lineRule="auto"/>
        <w:jc w:val="both"/>
        <w:rPr>
          <w:noProof/>
        </w:rPr>
      </w:pPr>
      <w:r>
        <w:rPr>
          <w:noProof/>
        </w:rPr>
        <w:t xml:space="preserve">Die für diese Darlehen angebotenen Bedingungen waren angesichts der Emissionen der EU mit hohen Ratings und starker Anlegernachfrage (wobei syndizierte Anleihen </w:t>
      </w:r>
      <w:r w:rsidRPr="00033DD1">
        <w:rPr>
          <w:noProof/>
        </w:rPr>
        <w:t>7</w:t>
      </w:r>
      <w:r>
        <w:rPr>
          <w:noProof/>
        </w:rPr>
        <w:t xml:space="preserve">- bis fast </w:t>
      </w:r>
      <w:r w:rsidRPr="00033DD1">
        <w:rPr>
          <w:noProof/>
        </w:rPr>
        <w:t>14</w:t>
      </w:r>
      <w:r>
        <w:rPr>
          <w:noProof/>
        </w:rPr>
        <w:t xml:space="preserve">-mal überzeichnet sind) sehr vorteilhaft. Andere Bedingungen für Darlehen für aufnehmende Mitgliedstaaten sind ebenfalls darauf ausgerichtet, sie als attraktive Quelle staatlicher Finanzierung darzustellen. Die Mitgliedstaaten werden die Tilgungszahlungen erst nach einem tilgungsfreien Zeitraum von </w:t>
      </w:r>
      <w:r w:rsidRPr="00033DD1">
        <w:rPr>
          <w:noProof/>
        </w:rPr>
        <w:t>10</w:t>
      </w:r>
      <w:r>
        <w:rPr>
          <w:noProof/>
        </w:rPr>
        <w:t xml:space="preserve"> Jahren leisten, und können so einen Vorteil aus dem durch Reformen und Investitionen ausgelösten Wachstum ziehen, bevor sie mit den Rückzahlungen beginnen. Nach dem ursprünglichen tilgungsfreien Zeitraum leisten die Mitgliedstaaten jährliche Rückzahlungen von </w:t>
      </w:r>
      <w:r w:rsidRPr="00033DD1">
        <w:rPr>
          <w:noProof/>
        </w:rPr>
        <w:t>5</w:t>
      </w:r>
      <w:r>
        <w:rPr>
          <w:noProof/>
        </w:rPr>
        <w:t xml:space="preserve"> % der ausgezahlten Beträge. Diese Verteilung der Rückzahlungen über einen größeren Zeitraum trägt zur Vermeidung von Spitzenrückzahlungszeiten für den EU-Haushalt und die Mitgliedstaaten bei. Dieser Ansatz zur Darlehensstrukturierung wird für alle Mitgliedstaaten, die Darlehen erhalten, auf gleiche Art und Weise umgesetzt. </w:t>
      </w:r>
    </w:p>
    <w:p w:rsidR="008B6253" w:rsidRDefault="008B6253" w:rsidP="008B6253">
      <w:pPr>
        <w:spacing w:line="240" w:lineRule="auto"/>
        <w:jc w:val="both"/>
        <w:rPr>
          <w:noProof/>
        </w:rPr>
      </w:pPr>
      <w:r>
        <w:rPr>
          <w:noProof/>
        </w:rPr>
        <w:t>Im Juli </w:t>
      </w:r>
      <w:r w:rsidRPr="00033DD1">
        <w:rPr>
          <w:noProof/>
        </w:rPr>
        <w:t>2021</w:t>
      </w:r>
      <w:r>
        <w:rPr>
          <w:noProof/>
        </w:rPr>
        <w:t xml:space="preserve"> veröffentlichte die Kommission einen Beschluss</w:t>
      </w:r>
      <w:r>
        <w:rPr>
          <w:rStyle w:val="FootnoteReference"/>
          <w:noProof/>
        </w:rPr>
        <w:footnoteReference w:id="16"/>
      </w:r>
      <w:r>
        <w:rPr>
          <w:noProof/>
        </w:rPr>
        <w:t>, in dem dargelegt wird, wie die dem NextGenerationEU-Finanzierungspool entstandenen Kosten den Mitgliedstaaten, die Darlehen aus der Aufbau- und Resilienzfazilität erhalten, und dem EU-Haushalt zugewiesen werden. Die relevanten Kosten werden an die aufnehmenden Mitgliedstaaten und dem EU-Haushalt auf der Grundlage des relativen Anteils der ihnen gewährten finanziellen Unterstützung zugewiesen. Diese Kostenzuweisungsmethode und deren Umsetzung gewährleisten eine objektive, faire und klar dokumentierte Grundlage für die Berechnung und Zuweisung des jeweiligen Anteils aller Kosten an den EU-Haushalt oder die Mitgliedstaaten, die Darlehen aus der Aufbau- und Resilienzfazilität erhalten.</w:t>
      </w:r>
    </w:p>
    <w:p w:rsidR="008B6253" w:rsidRPr="00864D5D" w:rsidRDefault="008B6253" w:rsidP="008B6253">
      <w:pPr>
        <w:pStyle w:val="Subtitle"/>
        <w:jc w:val="left"/>
        <w:rPr>
          <w:rStyle w:val="IntenseReference"/>
          <w:rFonts w:ascii="Times New Roman" w:hAnsi="Times New Roman"/>
          <w:b w:val="0"/>
          <w:bCs w:val="0"/>
          <w:noProof/>
        </w:rPr>
      </w:pPr>
      <w:bookmarkStart w:id="21" w:name="_Toc93069265"/>
      <w:bookmarkStart w:id="22" w:name="_Toc95730149"/>
      <w:r w:rsidRPr="00033DD1">
        <w:rPr>
          <w:rStyle w:val="IntenseReference"/>
          <w:rFonts w:ascii="Times New Roman" w:hAnsi="Times New Roman"/>
          <w:noProof/>
          <w:color w:val="auto"/>
        </w:rPr>
        <w:t>3</w:t>
      </w:r>
      <w:r>
        <w:rPr>
          <w:rStyle w:val="IntenseReference"/>
          <w:rFonts w:ascii="Times New Roman" w:hAnsi="Times New Roman"/>
          <w:noProof/>
          <w:color w:val="auto"/>
        </w:rPr>
        <w:t>.</w:t>
      </w:r>
      <w:r w:rsidRPr="00033DD1">
        <w:rPr>
          <w:rStyle w:val="IntenseReference"/>
          <w:rFonts w:ascii="Times New Roman" w:hAnsi="Times New Roman"/>
          <w:noProof/>
          <w:color w:val="auto"/>
        </w:rPr>
        <w:t>8</w:t>
      </w:r>
      <w:r>
        <w:rPr>
          <w:noProof/>
        </w:rPr>
        <w:tab/>
      </w:r>
      <w:r>
        <w:rPr>
          <w:rFonts w:ascii="Times New Roman" w:hAnsi="Times New Roman"/>
          <w:b/>
          <w:noProof/>
        </w:rPr>
        <w:t>Wirksame Kommunikation und Kommunikation mit Investoren</w:t>
      </w:r>
      <w:bookmarkEnd w:id="21"/>
      <w:bookmarkEnd w:id="22"/>
    </w:p>
    <w:p w:rsidR="008B6253" w:rsidRPr="00231F73" w:rsidRDefault="008B6253" w:rsidP="008B6253">
      <w:pPr>
        <w:spacing w:line="240" w:lineRule="auto"/>
        <w:jc w:val="both"/>
        <w:rPr>
          <w:noProof/>
        </w:rPr>
      </w:pPr>
      <w:r>
        <w:rPr>
          <w:noProof/>
        </w:rPr>
        <w:t>Seit Beginn der Finanzierungsgeschäfte im Rahmen von NextGenerationEU hat die Kommission eine umfassende Strategie für Investorenbeziehungen und eine Reihe von Instrumenten entwickelt, um mit diesem Kreis von Investoren in Kontakt zu treten.</w:t>
      </w:r>
    </w:p>
    <w:p w:rsidR="008B6253" w:rsidRPr="00231F73" w:rsidRDefault="008B6253" w:rsidP="008B6253">
      <w:pPr>
        <w:pStyle w:val="ListParagraph"/>
        <w:numPr>
          <w:ilvl w:val="0"/>
          <w:numId w:val="1"/>
        </w:numPr>
        <w:spacing w:after="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Am Tag der Vorstellung ihrer diversifizierten Finanzierungsstrategie hat die Kommission eine umfassende Website</w:t>
      </w:r>
      <w:r>
        <w:rPr>
          <w:rStyle w:val="FootnoteReference"/>
          <w:rFonts w:ascii="Times New Roman" w:hAnsi="Times New Roman" w:cs="Times New Roman"/>
          <w:noProof/>
          <w:lang w:val="en-IE"/>
        </w:rPr>
        <w:footnoteReference w:id="17"/>
      </w:r>
      <w:r>
        <w:rPr>
          <w:rFonts w:ascii="Times New Roman" w:hAnsi="Times New Roman"/>
          <w:noProof/>
          <w:sz w:val="24"/>
          <w:szCs w:val="24"/>
        </w:rPr>
        <w:t xml:space="preserve"> eingerichtet, um alle interessierten Parteien, die breite Öffentlichkeit und die Investoren über ihre Finanzierungsgeschäfte zu unterrichten.</w:t>
      </w:r>
    </w:p>
    <w:p w:rsidR="008B6253" w:rsidRPr="00231F73" w:rsidRDefault="008B6253" w:rsidP="008B6253">
      <w:pPr>
        <w:pStyle w:val="ListParagraph"/>
        <w:numPr>
          <w:ilvl w:val="0"/>
          <w:numId w:val="1"/>
        </w:numPr>
        <w:spacing w:after="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Die Kommission begann, Newsletter mit dem Thema „EU nimmt Darlehen für den Aufbau auf“ zu versenden, um mit der Investorengemeinschaft regelmäßig und transparent zu kommunizieren. Die beiden ersten Ausgaben der Newsletter können online auf der Website „Die EU als Darlehensnehmer“ abgerufen werden, und alle interessierten Parteien können diese Newsletter abonnieren.</w:t>
      </w:r>
    </w:p>
    <w:p w:rsidR="008B6253" w:rsidRPr="00231F73" w:rsidRDefault="008B6253" w:rsidP="008B6253">
      <w:pPr>
        <w:pStyle w:val="ListParagraph"/>
        <w:numPr>
          <w:ilvl w:val="0"/>
          <w:numId w:val="1"/>
        </w:numPr>
        <w:spacing w:after="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Die Kommission ging aktiv auf Anleger auf der ganzen Welt in der Form von strukturierten Besuchen („Roadshows“) zu, organisierte weltweite Aufrufe an Anleger im Juni und September </w:t>
      </w:r>
      <w:r w:rsidRPr="00033DD1">
        <w:rPr>
          <w:rFonts w:ascii="Times New Roman" w:hAnsi="Times New Roman"/>
          <w:noProof/>
          <w:sz w:val="24"/>
          <w:szCs w:val="24"/>
        </w:rPr>
        <w:t>2021</w:t>
      </w:r>
      <w:r>
        <w:rPr>
          <w:rFonts w:ascii="Times New Roman" w:hAnsi="Times New Roman"/>
          <w:noProof/>
          <w:sz w:val="24"/>
          <w:szCs w:val="24"/>
        </w:rPr>
        <w:t xml:space="preserve"> und hielt drei Sitzungen des Primärhändlernetzes ab.</w:t>
      </w:r>
    </w:p>
    <w:p w:rsidR="008B6253" w:rsidRPr="00231F73" w:rsidRDefault="008B6253" w:rsidP="008B6253">
      <w:pPr>
        <w:pStyle w:val="ListParagraph"/>
        <w:numPr>
          <w:ilvl w:val="0"/>
          <w:numId w:val="1"/>
        </w:numPr>
        <w:spacing w:after="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Die Kommission unterhält ihre eigene Seite auf dem Bloomberg-Terminal, auf der sie der Investorengemeinschaft Echtzeitinformationen über ihre Auktionen bereitstellt. </w:t>
      </w:r>
    </w:p>
    <w:p w:rsidR="008B6253" w:rsidRPr="00231F73" w:rsidRDefault="008B6253" w:rsidP="008B6253">
      <w:pPr>
        <w:pStyle w:val="ListParagraph"/>
        <w:numPr>
          <w:ilvl w:val="0"/>
          <w:numId w:val="1"/>
        </w:numPr>
        <w:spacing w:after="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Um die breitere Öffentlichkeit über ihre Arbeit auf dem Laufenden zu halten, erstellt und verbreitet die Kommission regelmäßig Presseinformationen, die immer auf ihrer Website verfügbar sind, sowie Echtzeitinformationen auf den sozialen Medien (Twitter, LinkedIn). Der Kommissar für Haushalt und Verwaltung, Johannes Hahn, und Sachverständige der Europäischen Kommission sprachen regelmäßig mit der Presse und stellten weitere Informationen bereit. </w:t>
      </w:r>
    </w:p>
    <w:p w:rsidR="008B6253" w:rsidRPr="00231F73" w:rsidRDefault="008B6253" w:rsidP="008B6253">
      <w:pPr>
        <w:pStyle w:val="ListParagraph"/>
        <w:numPr>
          <w:ilvl w:val="0"/>
          <w:numId w:val="1"/>
        </w:numPr>
        <w:spacing w:after="36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Mit Unterstützung der Europäischen Investitionsbank (EIB) richtet die Kommission eine Datenbank mit Schwerpunkt Investorenbeziehungen ein, die die Kommission bei der strukturierten Verwaltung ihrer Beziehungen zu Investoren durch aktive Überwachung des Verhaltens von und der Trends bei Anlegern unterstützen soll, um notwendige Maßnahmen zur Kommunikation mit dem Markt und Anlegern zu ermitteln und Statistiken für Management- und Kommunikationszwecke zu erstellen.</w:t>
      </w:r>
    </w:p>
    <w:p w:rsidR="008B6253" w:rsidRPr="00864D5D" w:rsidRDefault="008B6253" w:rsidP="008B6253">
      <w:pPr>
        <w:pStyle w:val="Heading1"/>
        <w:rPr>
          <w:noProof/>
          <w:color w:val="auto"/>
          <w:sz w:val="24"/>
          <w:szCs w:val="24"/>
        </w:rPr>
      </w:pPr>
      <w:bookmarkStart w:id="23" w:name="_Toc95730150"/>
      <w:r>
        <w:rPr>
          <w:noProof/>
          <w:color w:val="auto"/>
          <w:sz w:val="24"/>
          <w:szCs w:val="24"/>
        </w:rPr>
        <w:t>Schlussfolgerung</w:t>
      </w:r>
      <w:bookmarkEnd w:id="23"/>
    </w:p>
    <w:p w:rsidR="008B6253" w:rsidRPr="0058050A" w:rsidRDefault="008B6253" w:rsidP="008B6253">
      <w:pPr>
        <w:spacing w:line="240" w:lineRule="auto"/>
        <w:jc w:val="both"/>
        <w:rPr>
          <w:noProof/>
          <w:spacing w:val="-8"/>
        </w:rPr>
      </w:pPr>
      <w:r>
        <w:rPr>
          <w:noProof/>
        </w:rPr>
        <w:t>In den letzten zwölf Monaten wurde die Kommission von einem kleinen Emittenten, der Mittel zur Finanzierung relativ kleiner Darlehensprogramme wie des Europäischen Finanzstabilisierungsmechanismus (EFSM) und der Makrofinanzhilfe (MFA) beschafft, zu einem der größten Emittenten in Euro. Sie emittierte im Jahr </w:t>
      </w:r>
      <w:r w:rsidRPr="00033DD1">
        <w:rPr>
          <w:noProof/>
        </w:rPr>
        <w:t>2021</w:t>
      </w:r>
      <w:r>
        <w:rPr>
          <w:noProof/>
        </w:rPr>
        <w:t xml:space="preserve"> </w:t>
      </w:r>
      <w:r w:rsidRPr="00033DD1">
        <w:rPr>
          <w:noProof/>
        </w:rPr>
        <w:t>130</w:t>
      </w:r>
      <w:r>
        <w:rPr>
          <w:noProof/>
        </w:rPr>
        <w:t> Mrd. EUR (</w:t>
      </w:r>
      <w:r w:rsidRPr="00033DD1">
        <w:rPr>
          <w:noProof/>
        </w:rPr>
        <w:t>71</w:t>
      </w:r>
      <w:r>
        <w:rPr>
          <w:noProof/>
        </w:rPr>
        <w:t xml:space="preserve"> Mrd. EUR für NextGenerationEU) und könnte im Zeitraum von </w:t>
      </w:r>
      <w:r w:rsidRPr="00033DD1">
        <w:rPr>
          <w:noProof/>
        </w:rPr>
        <w:t>2021</w:t>
      </w:r>
      <w:r>
        <w:rPr>
          <w:noProof/>
        </w:rPr>
        <w:t xml:space="preserve"> bis </w:t>
      </w:r>
      <w:r w:rsidRPr="00033DD1">
        <w:rPr>
          <w:noProof/>
        </w:rPr>
        <w:t>2026</w:t>
      </w:r>
      <w:r>
        <w:rPr>
          <w:noProof/>
        </w:rPr>
        <w:t xml:space="preserve"> etwa </w:t>
      </w:r>
      <w:r w:rsidRPr="00033DD1">
        <w:rPr>
          <w:noProof/>
        </w:rPr>
        <w:t>150</w:t>
      </w:r>
      <w:r>
        <w:rPr>
          <w:noProof/>
        </w:rPr>
        <w:t> Mrd. EUR pro Jahr emittieren.</w:t>
      </w:r>
    </w:p>
    <w:p w:rsidR="008B6253" w:rsidRPr="0058050A" w:rsidRDefault="008B6253" w:rsidP="008B6253">
      <w:pPr>
        <w:spacing w:line="240" w:lineRule="auto"/>
        <w:jc w:val="both"/>
        <w:rPr>
          <w:noProof/>
          <w:spacing w:val="-8"/>
        </w:rPr>
      </w:pPr>
      <w:r>
        <w:rPr>
          <w:noProof/>
        </w:rPr>
        <w:t xml:space="preserve">Die für die Umsetzung dieses groß angelegten Finanzierungsprogramms benötigten Infrastrukturen und Prozesse wurden in Rekordzeit eingerichtet. Dadurch konnte die Finanzierung im Rahmen von NextGenerationEU am </w:t>
      </w:r>
      <w:r w:rsidRPr="00033DD1">
        <w:rPr>
          <w:noProof/>
        </w:rPr>
        <w:t>15</w:t>
      </w:r>
      <w:r>
        <w:rPr>
          <w:noProof/>
        </w:rPr>
        <w:t xml:space="preserve">. Juni </w:t>
      </w:r>
      <w:r w:rsidRPr="00033DD1">
        <w:rPr>
          <w:noProof/>
        </w:rPr>
        <w:t>2021</w:t>
      </w:r>
      <w:r>
        <w:rPr>
          <w:noProof/>
        </w:rPr>
        <w:t xml:space="preserve"> beginnen, zwei Wochen nach Erfüllung aller rechtlichen Voraussetzungen zur Durchführung dieses Anleiheprogramms. Alle dem EU-Haushalt oder den Mitgliedstaaten geschuldeten Beträge wurden innerhalb von sechs Arbeitstagen nach Erfüllung der Förmlichkeiten gezahlt. Zu Verzögerungen am es nicht. Alle Transaktionen im Rahmen von NextGenerationEU wurden mit technischer Kompetenz durchgeführt und erfuhren starke Unterstützung auf dem Markt (die Auftragsbücher waren </w:t>
      </w:r>
      <w:r w:rsidRPr="00033DD1">
        <w:rPr>
          <w:noProof/>
        </w:rPr>
        <w:t>7</w:t>
      </w:r>
      <w:r>
        <w:rPr>
          <w:noProof/>
        </w:rPr>
        <w:t xml:space="preserve">- bis </w:t>
      </w:r>
      <w:r w:rsidRPr="00033DD1">
        <w:rPr>
          <w:noProof/>
        </w:rPr>
        <w:t>14</w:t>
      </w:r>
      <w:r>
        <w:rPr>
          <w:noProof/>
        </w:rPr>
        <w:t xml:space="preserve">-mal überzeichnet). Die Transaktionen wurden zu günstigen Bedingungen abgeschlossen (durchschnittlich </w:t>
      </w:r>
      <w:r w:rsidRPr="00033DD1">
        <w:rPr>
          <w:noProof/>
        </w:rPr>
        <w:t>0</w:t>
      </w:r>
      <w:r>
        <w:rPr>
          <w:noProof/>
        </w:rPr>
        <w:t>,</w:t>
      </w:r>
      <w:r w:rsidRPr="00033DD1">
        <w:rPr>
          <w:noProof/>
        </w:rPr>
        <w:t>14</w:t>
      </w:r>
      <w:r>
        <w:rPr>
          <w:noProof/>
        </w:rPr>
        <w:t> % Finanzierungskosten für die Transaktionen im Jahr </w:t>
      </w:r>
      <w:r w:rsidRPr="00033DD1">
        <w:rPr>
          <w:noProof/>
        </w:rPr>
        <w:t>2021</w:t>
      </w:r>
      <w:r>
        <w:rPr>
          <w:noProof/>
        </w:rPr>
        <w:t xml:space="preserve">) und EU-Bonds werden gegenwärtig gleich wie Staatsanleihen aus Kernländern im Euro-Währungsgebiet (und nicht wie anderer Emittenten aus dem Sovereign Supranational Agency Sector) gehandelt. </w:t>
      </w:r>
    </w:p>
    <w:p w:rsidR="008B6253" w:rsidRDefault="008B6253" w:rsidP="008B6253">
      <w:pPr>
        <w:spacing w:line="240" w:lineRule="auto"/>
        <w:jc w:val="both"/>
        <w:rPr>
          <w:noProof/>
          <w:spacing w:val="-8"/>
        </w:rPr>
      </w:pPr>
      <w:r>
        <w:rPr>
          <w:noProof/>
        </w:rPr>
        <w:t>Dieses Ergebnis ist ein sehr erfreulicher Start für das Programm NextGenerationEU. In den kommenden Jahren soll vorrangig auf diesem guten Start aufgebaut und ein nachhaltig hohes Niveau der Durchführung für alle Transaktionen beibehalten werden.</w:t>
      </w:r>
    </w:p>
    <w:p w:rsidR="008B6253" w:rsidRPr="00E33A65" w:rsidRDefault="008B6253" w:rsidP="008B6253">
      <w:pPr>
        <w:spacing w:line="240" w:lineRule="auto"/>
        <w:jc w:val="both"/>
        <w:rPr>
          <w:noProof/>
          <w:spacing w:val="-8"/>
        </w:rPr>
      </w:pPr>
      <w:r>
        <w:rPr>
          <w:noProof/>
        </w:rPr>
        <w:t>Die EU verfügt damit über ein wirkungsvolles Instrument, um den Aufbau zu finanzieren und aus der Krise widerstandsfähiger, fairer und grüner hervorzugehen. Sie hat auch die internationale Rolle des Euro gestärkt, zur Entwicklung der europäischen Kreditkapitalmärkte beigetragen und die Bankenunion gestärkt, indem die Banken bei der Diversifizierung der aufsichtsrechtlichen Eigenmittel unterstützt werden. Die Umsetzung des Instruments in den kommenden Monaten und Jahren bietet die Gelegenheit, diese Vorteile zu konsolidieren.</w:t>
      </w:r>
    </w:p>
    <w:bookmarkEnd w:id="2"/>
    <w:p w:rsidR="008B6253" w:rsidRDefault="008B6253" w:rsidP="008B6253">
      <w:pPr>
        <w:pStyle w:val="Heading1"/>
        <w:numPr>
          <w:ilvl w:val="0"/>
          <w:numId w:val="0"/>
        </w:numPr>
        <w:ind w:left="357" w:hanging="357"/>
        <w:rPr>
          <w:noProof/>
          <w:color w:val="auto"/>
          <w:sz w:val="24"/>
          <w:szCs w:val="24"/>
        </w:rPr>
      </w:pPr>
      <w:r>
        <w:rPr>
          <w:noProof/>
        </w:rPr>
        <w:br w:type="page"/>
      </w:r>
      <w:bookmarkStart w:id="24" w:name="_Toc95730151"/>
      <w:r>
        <w:rPr>
          <w:noProof/>
          <w:color w:val="auto"/>
          <w:sz w:val="24"/>
          <w:szCs w:val="24"/>
        </w:rPr>
        <w:t>Anhang Übersicht der Emissionen von Anleihen und Bills</w:t>
      </w:r>
      <w:bookmarkEnd w:id="24"/>
    </w:p>
    <w:p w:rsidR="008B6253" w:rsidRPr="00864D5D" w:rsidRDefault="008B6253" w:rsidP="008B6253">
      <w:pPr>
        <w:rPr>
          <w:noProof/>
        </w:rPr>
      </w:pPr>
    </w:p>
    <w:p w:rsidR="008B6253" w:rsidRPr="00864D5D" w:rsidRDefault="008B6253" w:rsidP="008B6253">
      <w:pPr>
        <w:rPr>
          <w:noProof/>
        </w:rPr>
      </w:pPr>
      <w:r>
        <w:rPr>
          <w:b/>
          <w:noProof/>
        </w:rPr>
        <w:t>Abbildung </w:t>
      </w:r>
      <w:r w:rsidRPr="00033DD1">
        <w:rPr>
          <w:b/>
          <w:noProof/>
        </w:rPr>
        <w:t>1</w:t>
      </w:r>
      <w:r>
        <w:rPr>
          <w:b/>
          <w:noProof/>
        </w:rPr>
        <w:t>: Übersicht der syndizierten Transaktionen und Auktionen von Anleihen im Rahmen von NextGenerationEU</w:t>
      </w:r>
    </w:p>
    <w:tbl>
      <w:tblPr>
        <w:tblStyle w:val="GridTable1Light-Accent1"/>
        <w:tblW w:w="9180" w:type="dxa"/>
        <w:tblLayout w:type="fixed"/>
        <w:tblLook w:val="04A0" w:firstRow="1" w:lastRow="0" w:firstColumn="1" w:lastColumn="0" w:noHBand="0" w:noVBand="1"/>
      </w:tblPr>
      <w:tblGrid>
        <w:gridCol w:w="1384"/>
        <w:gridCol w:w="1559"/>
        <w:gridCol w:w="1701"/>
        <w:gridCol w:w="1418"/>
        <w:gridCol w:w="1417"/>
        <w:gridCol w:w="1701"/>
      </w:tblGrid>
      <w:tr w:rsidR="008B6253" w:rsidRPr="00231F73" w:rsidTr="00C13B18">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384" w:type="dxa"/>
            <w:vMerge w:val="restart"/>
            <w:hideMark/>
          </w:tcPr>
          <w:p w:rsidR="008B6253" w:rsidRPr="00864D5D" w:rsidRDefault="008B6253" w:rsidP="00C13B18">
            <w:pPr>
              <w:jc w:val="center"/>
              <w:rPr>
                <w:noProof/>
                <w:color w:val="000000"/>
                <w:sz w:val="22"/>
              </w:rPr>
            </w:pPr>
            <w:r>
              <w:rPr>
                <w:noProof/>
                <w:color w:val="000000"/>
                <w:sz w:val="22"/>
              </w:rPr>
              <w:t>Instrument</w:t>
            </w:r>
          </w:p>
        </w:tc>
        <w:tc>
          <w:tcPr>
            <w:tcW w:w="1559" w:type="dxa"/>
            <w:vMerge w:val="restart"/>
          </w:tcPr>
          <w:p w:rsidR="008B6253" w:rsidRPr="00864D5D" w:rsidRDefault="008B6253" w:rsidP="00C13B18">
            <w:pPr>
              <w:jc w:val="center"/>
              <w:cnfStyle w:val="100000000000" w:firstRow="1" w:lastRow="0" w:firstColumn="0" w:lastColumn="0" w:oddVBand="0" w:evenVBand="0" w:oddHBand="0" w:evenHBand="0" w:firstRowFirstColumn="0" w:firstRowLastColumn="0" w:lastRowFirstColumn="0" w:lastRowLastColumn="0"/>
              <w:rPr>
                <w:noProof/>
                <w:color w:val="000000"/>
                <w:sz w:val="22"/>
              </w:rPr>
            </w:pPr>
            <w:r>
              <w:rPr>
                <w:noProof/>
                <w:color w:val="000000"/>
                <w:sz w:val="22"/>
              </w:rPr>
              <w:t>Handelstag</w:t>
            </w:r>
          </w:p>
        </w:tc>
        <w:tc>
          <w:tcPr>
            <w:tcW w:w="1701" w:type="dxa"/>
            <w:vMerge w:val="restart"/>
            <w:hideMark/>
          </w:tcPr>
          <w:p w:rsidR="008B6253" w:rsidRPr="00864D5D" w:rsidRDefault="008B6253" w:rsidP="00C13B18">
            <w:pPr>
              <w:jc w:val="center"/>
              <w:cnfStyle w:val="100000000000" w:firstRow="1" w:lastRow="0" w:firstColumn="0" w:lastColumn="0" w:oddVBand="0" w:evenVBand="0" w:oddHBand="0" w:evenHBand="0" w:firstRowFirstColumn="0" w:firstRowLastColumn="0" w:lastRowFirstColumn="0" w:lastRowLastColumn="0"/>
              <w:rPr>
                <w:noProof/>
                <w:color w:val="000000"/>
                <w:sz w:val="22"/>
              </w:rPr>
            </w:pPr>
            <w:r>
              <w:rPr>
                <w:noProof/>
              </w:rPr>
              <w:t>Abwicklungstag (Settlement Date)</w:t>
            </w:r>
          </w:p>
        </w:tc>
        <w:tc>
          <w:tcPr>
            <w:tcW w:w="2835" w:type="dxa"/>
            <w:gridSpan w:val="2"/>
            <w:hideMark/>
          </w:tcPr>
          <w:p w:rsidR="008B6253" w:rsidRPr="00864D5D" w:rsidRDefault="008B6253" w:rsidP="00C13B18">
            <w:pPr>
              <w:jc w:val="center"/>
              <w:cnfStyle w:val="100000000000" w:firstRow="1" w:lastRow="0" w:firstColumn="0" w:lastColumn="0" w:oddVBand="0" w:evenVBand="0" w:oddHBand="0" w:evenHBand="0" w:firstRowFirstColumn="0" w:firstRowLastColumn="0" w:lastRowFirstColumn="0" w:lastRowLastColumn="0"/>
              <w:rPr>
                <w:noProof/>
                <w:color w:val="000000"/>
                <w:sz w:val="22"/>
              </w:rPr>
            </w:pPr>
            <w:r>
              <w:rPr>
                <w:noProof/>
                <w:color w:val="000000"/>
                <w:sz w:val="22"/>
              </w:rPr>
              <w:t>Fälligkeit</w:t>
            </w:r>
          </w:p>
          <w:p w:rsidR="008B6253" w:rsidRPr="00864D5D" w:rsidRDefault="008B6253" w:rsidP="00C13B18">
            <w:pPr>
              <w:cnfStyle w:val="100000000000" w:firstRow="1" w:lastRow="0" w:firstColumn="0" w:lastColumn="0" w:oddVBand="0" w:evenVBand="0" w:oddHBand="0" w:evenHBand="0" w:firstRowFirstColumn="0" w:firstRowLastColumn="0" w:lastRowFirstColumn="0" w:lastRowLastColumn="0"/>
              <w:rPr>
                <w:noProof/>
                <w:color w:val="000000"/>
                <w:sz w:val="22"/>
                <w:lang w:val="en-US"/>
              </w:rPr>
            </w:pPr>
          </w:p>
        </w:tc>
        <w:tc>
          <w:tcPr>
            <w:tcW w:w="1701" w:type="dxa"/>
            <w:vMerge w:val="restart"/>
            <w:hideMark/>
          </w:tcPr>
          <w:p w:rsidR="008B6253" w:rsidRPr="00864D5D" w:rsidRDefault="008B6253" w:rsidP="00C13B18">
            <w:pPr>
              <w:jc w:val="center"/>
              <w:cnfStyle w:val="100000000000" w:firstRow="1" w:lastRow="0" w:firstColumn="0" w:lastColumn="0" w:oddVBand="0" w:evenVBand="0" w:oddHBand="0" w:evenHBand="0" w:firstRowFirstColumn="0" w:firstRowLastColumn="0" w:lastRowFirstColumn="0" w:lastRowLastColumn="0"/>
              <w:rPr>
                <w:noProof/>
                <w:color w:val="000000"/>
                <w:sz w:val="22"/>
              </w:rPr>
            </w:pPr>
            <w:r>
              <w:rPr>
                <w:noProof/>
                <w:color w:val="000000"/>
                <w:sz w:val="22"/>
              </w:rPr>
              <w:t>Emittierter Betrag</w:t>
            </w:r>
            <w:r>
              <w:rPr>
                <w:noProof/>
              </w:rPr>
              <w:t xml:space="preserve"> </w:t>
            </w:r>
            <w:r>
              <w:rPr>
                <w:noProof/>
              </w:rPr>
              <w:br/>
            </w:r>
            <w:r>
              <w:rPr>
                <w:noProof/>
                <w:color w:val="000000"/>
                <w:sz w:val="22"/>
              </w:rPr>
              <w:t xml:space="preserve"> (in Mrd. EUR)</w:t>
            </w:r>
          </w:p>
        </w:tc>
      </w:tr>
      <w:tr w:rsidR="008B6253" w:rsidRPr="00231F73" w:rsidTr="00C13B18">
        <w:trPr>
          <w:trHeight w:val="323"/>
        </w:trPr>
        <w:tc>
          <w:tcPr>
            <w:cnfStyle w:val="001000000000" w:firstRow="0" w:lastRow="0" w:firstColumn="1" w:lastColumn="0" w:oddVBand="0" w:evenVBand="0" w:oddHBand="0" w:evenHBand="0" w:firstRowFirstColumn="0" w:firstRowLastColumn="0" w:lastRowFirstColumn="0" w:lastRowLastColumn="0"/>
            <w:tcW w:w="1384" w:type="dxa"/>
            <w:vMerge/>
          </w:tcPr>
          <w:p w:rsidR="008B6253" w:rsidRPr="00093C58" w:rsidRDefault="008B6253" w:rsidP="00C13B18">
            <w:pPr>
              <w:jc w:val="center"/>
              <w:rPr>
                <w:b w:val="0"/>
                <w:noProof/>
                <w:color w:val="000000"/>
                <w:sz w:val="22"/>
              </w:rPr>
            </w:pPr>
          </w:p>
        </w:tc>
        <w:tc>
          <w:tcPr>
            <w:tcW w:w="1559" w:type="dxa"/>
            <w:vMerge/>
          </w:tcPr>
          <w:p w:rsidR="008B6253" w:rsidRPr="00093C58"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p>
        </w:tc>
        <w:tc>
          <w:tcPr>
            <w:tcW w:w="1701" w:type="dxa"/>
            <w:vMerge/>
          </w:tcPr>
          <w:p w:rsidR="008B6253" w:rsidRPr="00093C58"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p>
        </w:tc>
        <w:tc>
          <w:tcPr>
            <w:tcW w:w="1418"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bCs/>
                <w:noProof/>
                <w:color w:val="000000"/>
                <w:sz w:val="22"/>
              </w:rPr>
            </w:pPr>
            <w:r>
              <w:rPr>
                <w:bCs/>
                <w:noProof/>
                <w:color w:val="000000"/>
                <w:sz w:val="22"/>
              </w:rPr>
              <w:t>Datum</w:t>
            </w:r>
          </w:p>
        </w:tc>
        <w:tc>
          <w:tcPr>
            <w:tcW w:w="1417"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Pr>
                <w:noProof/>
                <w:color w:val="000000"/>
                <w:sz w:val="22"/>
              </w:rPr>
              <w:t>Jahre</w:t>
            </w:r>
          </w:p>
        </w:tc>
        <w:tc>
          <w:tcPr>
            <w:tcW w:w="1701" w:type="dxa"/>
            <w:vMerge/>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lang w:val="en-US"/>
              </w:rPr>
            </w:pPr>
          </w:p>
        </w:tc>
      </w:tr>
      <w:tr w:rsidR="008B6253" w:rsidRPr="00231F73" w:rsidTr="00C13B18">
        <w:trPr>
          <w:trHeight w:val="405"/>
        </w:trPr>
        <w:tc>
          <w:tcPr>
            <w:cnfStyle w:val="001000000000" w:firstRow="0" w:lastRow="0" w:firstColumn="1" w:lastColumn="0" w:oddVBand="0" w:evenVBand="0" w:oddHBand="0" w:evenHBand="0" w:firstRowFirstColumn="0" w:firstRowLastColumn="0" w:lastRowFirstColumn="0" w:lastRowLastColumn="0"/>
            <w:tcW w:w="9180" w:type="dxa"/>
            <w:gridSpan w:val="6"/>
            <w:vAlign w:val="center"/>
          </w:tcPr>
          <w:p w:rsidR="008B6253" w:rsidRPr="00864D5D" w:rsidRDefault="008B6253" w:rsidP="00C13B18">
            <w:pPr>
              <w:jc w:val="center"/>
              <w:rPr>
                <w:noProof/>
                <w:color w:val="000000"/>
                <w:sz w:val="22"/>
              </w:rPr>
            </w:pPr>
            <w:r w:rsidRPr="00033DD1">
              <w:rPr>
                <w:noProof/>
                <w:color w:val="000000"/>
                <w:sz w:val="22"/>
              </w:rPr>
              <w:t>2</w:t>
            </w:r>
            <w:r>
              <w:rPr>
                <w:noProof/>
                <w:color w:val="000000"/>
                <w:sz w:val="22"/>
              </w:rPr>
              <w:t xml:space="preserve">. Quartal </w:t>
            </w:r>
            <w:r w:rsidRPr="00033DD1">
              <w:rPr>
                <w:noProof/>
                <w:color w:val="000000"/>
                <w:sz w:val="22"/>
              </w:rPr>
              <w:t>2021</w:t>
            </w:r>
          </w:p>
        </w:tc>
      </w:tr>
      <w:tr w:rsidR="008B6253" w:rsidRPr="00231F73" w:rsidTr="00C13B18">
        <w:trPr>
          <w:trHeight w:val="405"/>
        </w:trPr>
        <w:tc>
          <w:tcPr>
            <w:cnfStyle w:val="001000000000" w:firstRow="0" w:lastRow="0" w:firstColumn="1" w:lastColumn="0" w:oddVBand="0" w:evenVBand="0" w:oddHBand="0" w:evenHBand="0" w:firstRowFirstColumn="0" w:firstRowLastColumn="0" w:lastRowFirstColumn="0" w:lastRowLastColumn="0"/>
            <w:tcW w:w="1384" w:type="dxa"/>
            <w:hideMark/>
          </w:tcPr>
          <w:p w:rsidR="008B6253" w:rsidRPr="00864D5D" w:rsidRDefault="008B6253" w:rsidP="00C13B18">
            <w:pPr>
              <w:jc w:val="center"/>
              <w:rPr>
                <w:noProof/>
                <w:color w:val="000000"/>
                <w:sz w:val="22"/>
              </w:rPr>
            </w:pPr>
            <w:r>
              <w:rPr>
                <w:noProof/>
                <w:color w:val="000000"/>
                <w:sz w:val="22"/>
              </w:rPr>
              <w:t xml:space="preserve">NGEU </w:t>
            </w:r>
            <w:r w:rsidRPr="00033DD1">
              <w:rPr>
                <w:noProof/>
                <w:color w:val="000000"/>
                <w:sz w:val="22"/>
              </w:rPr>
              <w:t>1</w:t>
            </w:r>
            <w:r>
              <w:rPr>
                <w:noProof/>
                <w:color w:val="000000"/>
                <w:sz w:val="22"/>
              </w:rPr>
              <w:t>. Syndizierung</w:t>
            </w:r>
          </w:p>
        </w:tc>
        <w:tc>
          <w:tcPr>
            <w:tcW w:w="1559"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15</w:t>
            </w:r>
            <w:r>
              <w:rPr>
                <w:noProof/>
                <w:color w:val="000000"/>
                <w:sz w:val="22"/>
              </w:rPr>
              <w:t>.</w:t>
            </w:r>
            <w:r w:rsidRPr="00033DD1">
              <w:rPr>
                <w:noProof/>
                <w:color w:val="000000"/>
                <w:sz w:val="22"/>
              </w:rPr>
              <w:t>6</w:t>
            </w:r>
            <w:r>
              <w:rPr>
                <w:noProof/>
                <w:color w:val="000000"/>
                <w:sz w:val="22"/>
              </w:rPr>
              <w:t>.</w:t>
            </w:r>
            <w:r w:rsidRPr="00033DD1">
              <w:rPr>
                <w:noProof/>
                <w:color w:val="000000"/>
                <w:sz w:val="22"/>
              </w:rPr>
              <w:t>2021</w:t>
            </w:r>
          </w:p>
        </w:tc>
        <w:tc>
          <w:tcPr>
            <w:tcW w:w="1701" w:type="dxa"/>
            <w:noWrap/>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22</w:t>
            </w:r>
            <w:r>
              <w:rPr>
                <w:noProof/>
                <w:color w:val="000000"/>
                <w:sz w:val="22"/>
              </w:rPr>
              <w:t>.</w:t>
            </w:r>
            <w:r w:rsidRPr="00033DD1">
              <w:rPr>
                <w:noProof/>
                <w:color w:val="000000"/>
                <w:sz w:val="22"/>
              </w:rPr>
              <w:t>6</w:t>
            </w:r>
            <w:r>
              <w:rPr>
                <w:noProof/>
                <w:color w:val="000000"/>
                <w:sz w:val="22"/>
              </w:rPr>
              <w:t>.</w:t>
            </w:r>
            <w:r w:rsidRPr="00033DD1">
              <w:rPr>
                <w:noProof/>
                <w:color w:val="000000"/>
                <w:sz w:val="22"/>
              </w:rPr>
              <w:t>2021</w:t>
            </w:r>
          </w:p>
        </w:tc>
        <w:tc>
          <w:tcPr>
            <w:tcW w:w="1418" w:type="dxa"/>
            <w:noWrap/>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4</w:t>
            </w:r>
            <w:r>
              <w:rPr>
                <w:noProof/>
                <w:color w:val="000000"/>
                <w:sz w:val="22"/>
              </w:rPr>
              <w:t>.</w:t>
            </w:r>
            <w:r w:rsidRPr="00033DD1">
              <w:rPr>
                <w:noProof/>
                <w:color w:val="000000"/>
                <w:sz w:val="22"/>
              </w:rPr>
              <w:t>7</w:t>
            </w:r>
            <w:r>
              <w:rPr>
                <w:noProof/>
                <w:color w:val="000000"/>
                <w:sz w:val="22"/>
              </w:rPr>
              <w:t>.</w:t>
            </w:r>
            <w:r w:rsidRPr="00033DD1">
              <w:rPr>
                <w:noProof/>
                <w:color w:val="000000"/>
                <w:sz w:val="22"/>
              </w:rPr>
              <w:t>2031</w:t>
            </w:r>
          </w:p>
        </w:tc>
        <w:tc>
          <w:tcPr>
            <w:tcW w:w="1417" w:type="dxa"/>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10</w:t>
            </w:r>
          </w:p>
        </w:tc>
        <w:tc>
          <w:tcPr>
            <w:tcW w:w="1701"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20</w:t>
            </w: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hideMark/>
          </w:tcPr>
          <w:p w:rsidR="008B6253" w:rsidRPr="00864D5D" w:rsidRDefault="008B6253" w:rsidP="00C13B18">
            <w:pPr>
              <w:jc w:val="center"/>
              <w:rPr>
                <w:noProof/>
                <w:color w:val="000000"/>
                <w:sz w:val="22"/>
              </w:rPr>
            </w:pPr>
            <w:r>
              <w:rPr>
                <w:noProof/>
                <w:color w:val="000000"/>
                <w:sz w:val="22"/>
              </w:rPr>
              <w:t xml:space="preserve">NGEU </w:t>
            </w:r>
            <w:r w:rsidRPr="00033DD1">
              <w:rPr>
                <w:noProof/>
                <w:color w:val="000000"/>
                <w:sz w:val="22"/>
              </w:rPr>
              <w:t>2</w:t>
            </w:r>
            <w:r>
              <w:rPr>
                <w:noProof/>
                <w:color w:val="000000"/>
                <w:sz w:val="22"/>
              </w:rPr>
              <w:t>. Syndizierung</w:t>
            </w:r>
          </w:p>
        </w:tc>
        <w:tc>
          <w:tcPr>
            <w:tcW w:w="1559" w:type="dxa"/>
            <w:vMerge w:val="restart"/>
            <w:vAlign w:val="center"/>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29</w:t>
            </w:r>
            <w:r>
              <w:rPr>
                <w:noProof/>
                <w:color w:val="000000"/>
                <w:sz w:val="22"/>
              </w:rPr>
              <w:t>.</w:t>
            </w:r>
            <w:r w:rsidRPr="00033DD1">
              <w:rPr>
                <w:noProof/>
                <w:color w:val="000000"/>
                <w:sz w:val="22"/>
              </w:rPr>
              <w:t>6</w:t>
            </w:r>
            <w:r>
              <w:rPr>
                <w:noProof/>
                <w:color w:val="000000"/>
                <w:sz w:val="22"/>
              </w:rPr>
              <w:t>.</w:t>
            </w:r>
            <w:r w:rsidRPr="00033DD1">
              <w:rPr>
                <w:noProof/>
                <w:color w:val="000000"/>
                <w:sz w:val="22"/>
              </w:rPr>
              <w:t>2021</w:t>
            </w:r>
          </w:p>
        </w:tc>
        <w:tc>
          <w:tcPr>
            <w:tcW w:w="1701"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6</w:t>
            </w:r>
            <w:r>
              <w:rPr>
                <w:noProof/>
                <w:color w:val="000000"/>
                <w:sz w:val="22"/>
              </w:rPr>
              <w:t>.</w:t>
            </w:r>
            <w:r w:rsidRPr="00033DD1">
              <w:rPr>
                <w:noProof/>
                <w:color w:val="000000"/>
                <w:sz w:val="22"/>
              </w:rPr>
              <w:t>7</w:t>
            </w:r>
            <w:r>
              <w:rPr>
                <w:noProof/>
                <w:color w:val="000000"/>
                <w:sz w:val="22"/>
              </w:rPr>
              <w:t>.</w:t>
            </w:r>
            <w:r w:rsidRPr="00033DD1">
              <w:rPr>
                <w:noProof/>
                <w:color w:val="000000"/>
                <w:sz w:val="22"/>
              </w:rPr>
              <w:t>2021</w:t>
            </w:r>
          </w:p>
        </w:tc>
        <w:tc>
          <w:tcPr>
            <w:tcW w:w="1418" w:type="dxa"/>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6</w:t>
            </w:r>
            <w:r>
              <w:rPr>
                <w:noProof/>
                <w:color w:val="000000"/>
                <w:sz w:val="22"/>
              </w:rPr>
              <w:t>.</w:t>
            </w:r>
            <w:r w:rsidRPr="00033DD1">
              <w:rPr>
                <w:noProof/>
                <w:color w:val="000000"/>
                <w:sz w:val="22"/>
              </w:rPr>
              <w:t>7</w:t>
            </w:r>
            <w:r>
              <w:rPr>
                <w:noProof/>
                <w:color w:val="000000"/>
                <w:sz w:val="22"/>
              </w:rPr>
              <w:t>.</w:t>
            </w:r>
            <w:r w:rsidRPr="00033DD1">
              <w:rPr>
                <w:noProof/>
                <w:color w:val="000000"/>
                <w:sz w:val="22"/>
              </w:rPr>
              <w:t>2026</w:t>
            </w:r>
          </w:p>
        </w:tc>
        <w:tc>
          <w:tcPr>
            <w:tcW w:w="1417" w:type="dxa"/>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5</w:t>
            </w:r>
          </w:p>
        </w:tc>
        <w:tc>
          <w:tcPr>
            <w:tcW w:w="1701"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9</w:t>
            </w:r>
          </w:p>
        </w:tc>
      </w:tr>
      <w:tr w:rsidR="008B6253" w:rsidRPr="00231F73" w:rsidTr="00C13B18">
        <w:trPr>
          <w:trHeight w:val="423"/>
        </w:trPr>
        <w:tc>
          <w:tcPr>
            <w:cnfStyle w:val="001000000000" w:firstRow="0" w:lastRow="0" w:firstColumn="1" w:lastColumn="0" w:oddVBand="0" w:evenVBand="0" w:oddHBand="0" w:evenHBand="0" w:firstRowFirstColumn="0" w:firstRowLastColumn="0" w:lastRowFirstColumn="0" w:lastRowLastColumn="0"/>
            <w:tcW w:w="1384" w:type="dxa"/>
            <w:vMerge/>
            <w:hideMark/>
          </w:tcPr>
          <w:p w:rsidR="008B6253" w:rsidRPr="00864D5D" w:rsidRDefault="008B6253" w:rsidP="00C13B18">
            <w:pPr>
              <w:rPr>
                <w:noProof/>
                <w:color w:val="000000"/>
                <w:sz w:val="22"/>
                <w:lang w:val="en-US"/>
              </w:rPr>
            </w:pPr>
          </w:p>
        </w:tc>
        <w:tc>
          <w:tcPr>
            <w:tcW w:w="1559" w:type="dxa"/>
            <w:vMerge/>
          </w:tcPr>
          <w:p w:rsidR="008B6253" w:rsidRPr="00864D5D" w:rsidRDefault="008B6253" w:rsidP="00C13B18">
            <w:pPr>
              <w:cnfStyle w:val="000000000000" w:firstRow="0" w:lastRow="0" w:firstColumn="0" w:lastColumn="0" w:oddVBand="0" w:evenVBand="0" w:oddHBand="0" w:evenHBand="0" w:firstRowFirstColumn="0" w:firstRowLastColumn="0" w:lastRowFirstColumn="0" w:lastRowLastColumn="0"/>
              <w:rPr>
                <w:noProof/>
                <w:color w:val="000000"/>
                <w:sz w:val="22"/>
                <w:lang w:val="en-US"/>
              </w:rPr>
            </w:pPr>
          </w:p>
        </w:tc>
        <w:tc>
          <w:tcPr>
            <w:tcW w:w="1701" w:type="dxa"/>
            <w:vMerge/>
            <w:hideMark/>
          </w:tcPr>
          <w:p w:rsidR="008B6253" w:rsidRPr="00864D5D" w:rsidRDefault="008B6253" w:rsidP="00C13B18">
            <w:pPr>
              <w:cnfStyle w:val="000000000000" w:firstRow="0" w:lastRow="0" w:firstColumn="0" w:lastColumn="0" w:oddVBand="0" w:evenVBand="0" w:oddHBand="0" w:evenHBand="0" w:firstRowFirstColumn="0" w:firstRowLastColumn="0" w:lastRowFirstColumn="0" w:lastRowLastColumn="0"/>
              <w:rPr>
                <w:noProof/>
                <w:color w:val="000000"/>
                <w:sz w:val="22"/>
                <w:lang w:val="en-US"/>
              </w:rPr>
            </w:pPr>
          </w:p>
        </w:tc>
        <w:tc>
          <w:tcPr>
            <w:tcW w:w="1418" w:type="dxa"/>
            <w:noWrap/>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6</w:t>
            </w:r>
            <w:r>
              <w:rPr>
                <w:noProof/>
                <w:color w:val="000000"/>
                <w:sz w:val="22"/>
              </w:rPr>
              <w:t>.</w:t>
            </w:r>
            <w:r w:rsidRPr="00033DD1">
              <w:rPr>
                <w:noProof/>
                <w:color w:val="000000"/>
                <w:sz w:val="22"/>
              </w:rPr>
              <w:t>7</w:t>
            </w:r>
            <w:r>
              <w:rPr>
                <w:noProof/>
                <w:color w:val="000000"/>
                <w:sz w:val="22"/>
              </w:rPr>
              <w:t>.</w:t>
            </w:r>
            <w:r w:rsidRPr="00033DD1">
              <w:rPr>
                <w:noProof/>
                <w:color w:val="000000"/>
                <w:sz w:val="22"/>
              </w:rPr>
              <w:t>2051</w:t>
            </w:r>
          </w:p>
        </w:tc>
        <w:tc>
          <w:tcPr>
            <w:tcW w:w="1417" w:type="dxa"/>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30</w:t>
            </w:r>
          </w:p>
        </w:tc>
        <w:tc>
          <w:tcPr>
            <w:tcW w:w="1701"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6</w:t>
            </w:r>
          </w:p>
        </w:tc>
      </w:tr>
      <w:tr w:rsidR="008B6253" w:rsidRPr="00231F73" w:rsidTr="00C13B18">
        <w:trPr>
          <w:trHeight w:val="413"/>
        </w:trPr>
        <w:tc>
          <w:tcPr>
            <w:cnfStyle w:val="001000000000" w:firstRow="0" w:lastRow="0" w:firstColumn="1" w:lastColumn="0" w:oddVBand="0" w:evenVBand="0" w:oddHBand="0" w:evenHBand="0" w:firstRowFirstColumn="0" w:firstRowLastColumn="0" w:lastRowFirstColumn="0" w:lastRowLastColumn="0"/>
            <w:tcW w:w="9180" w:type="dxa"/>
            <w:gridSpan w:val="6"/>
            <w:vAlign w:val="center"/>
          </w:tcPr>
          <w:p w:rsidR="008B6253" w:rsidRPr="00864D5D" w:rsidRDefault="008B6253" w:rsidP="00C13B18">
            <w:pPr>
              <w:jc w:val="center"/>
              <w:rPr>
                <w:noProof/>
                <w:color w:val="000000"/>
                <w:sz w:val="22"/>
              </w:rPr>
            </w:pPr>
            <w:r w:rsidRPr="00033DD1">
              <w:rPr>
                <w:noProof/>
                <w:color w:val="000000"/>
                <w:sz w:val="22"/>
              </w:rPr>
              <w:t>3</w:t>
            </w:r>
            <w:r>
              <w:rPr>
                <w:noProof/>
                <w:color w:val="000000"/>
                <w:sz w:val="22"/>
              </w:rPr>
              <w:t xml:space="preserve">. Quartal </w:t>
            </w:r>
            <w:r w:rsidRPr="00033DD1">
              <w:rPr>
                <w:noProof/>
                <w:color w:val="000000"/>
                <w:sz w:val="22"/>
              </w:rPr>
              <w:t>2021</w:t>
            </w:r>
          </w:p>
        </w:tc>
      </w:tr>
      <w:tr w:rsidR="008B6253" w:rsidRPr="00231F73" w:rsidTr="00C13B18">
        <w:trPr>
          <w:trHeight w:val="413"/>
        </w:trPr>
        <w:tc>
          <w:tcPr>
            <w:cnfStyle w:val="001000000000" w:firstRow="0" w:lastRow="0" w:firstColumn="1" w:lastColumn="0" w:oddVBand="0" w:evenVBand="0" w:oddHBand="0" w:evenHBand="0" w:firstRowFirstColumn="0" w:firstRowLastColumn="0" w:lastRowFirstColumn="0" w:lastRowLastColumn="0"/>
            <w:tcW w:w="1384" w:type="dxa"/>
            <w:hideMark/>
          </w:tcPr>
          <w:p w:rsidR="008B6253" w:rsidRPr="00864D5D" w:rsidRDefault="008B6253" w:rsidP="00C13B18">
            <w:pPr>
              <w:jc w:val="center"/>
              <w:rPr>
                <w:noProof/>
                <w:color w:val="000000"/>
                <w:sz w:val="22"/>
              </w:rPr>
            </w:pPr>
            <w:r>
              <w:rPr>
                <w:noProof/>
                <w:color w:val="000000"/>
                <w:sz w:val="22"/>
              </w:rPr>
              <w:t xml:space="preserve">NGEU </w:t>
            </w:r>
            <w:r w:rsidRPr="00033DD1">
              <w:rPr>
                <w:noProof/>
                <w:color w:val="000000"/>
                <w:sz w:val="22"/>
              </w:rPr>
              <w:t>3</w:t>
            </w:r>
            <w:r>
              <w:rPr>
                <w:noProof/>
                <w:color w:val="000000"/>
                <w:sz w:val="22"/>
              </w:rPr>
              <w:t>. Syndizierung</w:t>
            </w:r>
          </w:p>
        </w:tc>
        <w:tc>
          <w:tcPr>
            <w:tcW w:w="1559"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13</w:t>
            </w:r>
            <w:r>
              <w:rPr>
                <w:noProof/>
                <w:color w:val="000000"/>
                <w:sz w:val="22"/>
              </w:rPr>
              <w:t>.</w:t>
            </w:r>
            <w:r w:rsidRPr="00033DD1">
              <w:rPr>
                <w:noProof/>
                <w:color w:val="000000"/>
                <w:sz w:val="22"/>
              </w:rPr>
              <w:t>7</w:t>
            </w:r>
            <w:r>
              <w:rPr>
                <w:noProof/>
                <w:color w:val="000000"/>
                <w:sz w:val="22"/>
              </w:rPr>
              <w:t>.</w:t>
            </w:r>
            <w:r w:rsidRPr="00033DD1">
              <w:rPr>
                <w:noProof/>
                <w:color w:val="000000"/>
                <w:sz w:val="22"/>
              </w:rPr>
              <w:t>2021</w:t>
            </w:r>
          </w:p>
        </w:tc>
        <w:tc>
          <w:tcPr>
            <w:tcW w:w="1701" w:type="dxa"/>
            <w:noWrap/>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20</w:t>
            </w:r>
            <w:r>
              <w:rPr>
                <w:noProof/>
                <w:color w:val="000000"/>
                <w:sz w:val="22"/>
              </w:rPr>
              <w:t>.</w:t>
            </w:r>
            <w:r w:rsidRPr="00033DD1">
              <w:rPr>
                <w:noProof/>
                <w:color w:val="000000"/>
                <w:sz w:val="22"/>
              </w:rPr>
              <w:t>7</w:t>
            </w:r>
            <w:r>
              <w:rPr>
                <w:noProof/>
                <w:color w:val="000000"/>
                <w:sz w:val="22"/>
              </w:rPr>
              <w:t>.</w:t>
            </w:r>
            <w:r w:rsidRPr="00033DD1">
              <w:rPr>
                <w:noProof/>
                <w:color w:val="000000"/>
                <w:sz w:val="22"/>
              </w:rPr>
              <w:t>2021</w:t>
            </w:r>
          </w:p>
        </w:tc>
        <w:tc>
          <w:tcPr>
            <w:tcW w:w="1418" w:type="dxa"/>
            <w:noWrap/>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4</w:t>
            </w:r>
            <w:r>
              <w:rPr>
                <w:noProof/>
                <w:color w:val="000000"/>
                <w:sz w:val="22"/>
              </w:rPr>
              <w:t>.</w:t>
            </w:r>
            <w:r w:rsidRPr="00033DD1">
              <w:rPr>
                <w:noProof/>
                <w:color w:val="000000"/>
                <w:sz w:val="22"/>
              </w:rPr>
              <w:t>7</w:t>
            </w:r>
            <w:r>
              <w:rPr>
                <w:noProof/>
                <w:color w:val="000000"/>
                <w:sz w:val="22"/>
              </w:rPr>
              <w:t>.</w:t>
            </w:r>
            <w:r w:rsidRPr="00033DD1">
              <w:rPr>
                <w:noProof/>
                <w:color w:val="000000"/>
                <w:sz w:val="22"/>
              </w:rPr>
              <w:t>2041</w:t>
            </w:r>
          </w:p>
        </w:tc>
        <w:tc>
          <w:tcPr>
            <w:tcW w:w="1417" w:type="dxa"/>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20</w:t>
            </w:r>
          </w:p>
        </w:tc>
        <w:tc>
          <w:tcPr>
            <w:tcW w:w="1701"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10</w:t>
            </w:r>
          </w:p>
        </w:tc>
      </w:tr>
      <w:tr w:rsidR="008B6253" w:rsidRPr="00231F73" w:rsidTr="00C13B18">
        <w:trPr>
          <w:trHeight w:val="413"/>
        </w:trPr>
        <w:tc>
          <w:tcPr>
            <w:cnfStyle w:val="001000000000" w:firstRow="0" w:lastRow="0" w:firstColumn="1" w:lastColumn="0" w:oddVBand="0" w:evenVBand="0" w:oddHBand="0" w:evenHBand="0" w:firstRowFirstColumn="0" w:firstRowLastColumn="0" w:lastRowFirstColumn="0" w:lastRowLastColumn="0"/>
            <w:tcW w:w="1384" w:type="dxa"/>
          </w:tcPr>
          <w:p w:rsidR="008B6253" w:rsidRPr="00864D5D" w:rsidRDefault="008B6253" w:rsidP="00C13B18">
            <w:pPr>
              <w:jc w:val="center"/>
              <w:rPr>
                <w:noProof/>
                <w:color w:val="000000"/>
                <w:sz w:val="22"/>
              </w:rPr>
            </w:pPr>
            <w:r>
              <w:rPr>
                <w:noProof/>
                <w:color w:val="000000"/>
                <w:sz w:val="22"/>
              </w:rPr>
              <w:t xml:space="preserve">NGEU </w:t>
            </w:r>
            <w:r w:rsidRPr="00033DD1">
              <w:rPr>
                <w:noProof/>
                <w:color w:val="000000"/>
                <w:sz w:val="22"/>
              </w:rPr>
              <w:t>4</w:t>
            </w:r>
            <w:r>
              <w:rPr>
                <w:noProof/>
                <w:color w:val="000000"/>
                <w:sz w:val="22"/>
              </w:rPr>
              <w:t>. Syndizierung</w:t>
            </w:r>
          </w:p>
        </w:tc>
        <w:tc>
          <w:tcPr>
            <w:tcW w:w="1559"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14</w:t>
            </w:r>
            <w:r>
              <w:rPr>
                <w:noProof/>
                <w:color w:val="000000"/>
                <w:sz w:val="22"/>
              </w:rPr>
              <w:t>.</w:t>
            </w:r>
            <w:r w:rsidRPr="00033DD1">
              <w:rPr>
                <w:noProof/>
                <w:color w:val="000000"/>
                <w:sz w:val="22"/>
              </w:rPr>
              <w:t>9</w:t>
            </w:r>
            <w:r>
              <w:rPr>
                <w:noProof/>
                <w:color w:val="000000"/>
                <w:sz w:val="22"/>
              </w:rPr>
              <w:t>.</w:t>
            </w:r>
            <w:r w:rsidRPr="00033DD1">
              <w:rPr>
                <w:noProof/>
                <w:color w:val="000000"/>
                <w:sz w:val="22"/>
              </w:rPr>
              <w:t>2021</w:t>
            </w:r>
          </w:p>
        </w:tc>
        <w:tc>
          <w:tcPr>
            <w:tcW w:w="1701" w:type="dxa"/>
            <w:noWrap/>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21</w:t>
            </w:r>
            <w:r>
              <w:rPr>
                <w:noProof/>
                <w:color w:val="000000"/>
                <w:sz w:val="22"/>
              </w:rPr>
              <w:t>.</w:t>
            </w:r>
            <w:r w:rsidRPr="00033DD1">
              <w:rPr>
                <w:noProof/>
                <w:color w:val="000000"/>
                <w:sz w:val="22"/>
              </w:rPr>
              <w:t>9</w:t>
            </w:r>
            <w:r>
              <w:rPr>
                <w:noProof/>
                <w:color w:val="000000"/>
                <w:sz w:val="22"/>
              </w:rPr>
              <w:t>.</w:t>
            </w:r>
            <w:r w:rsidRPr="00033DD1">
              <w:rPr>
                <w:noProof/>
                <w:color w:val="000000"/>
                <w:sz w:val="22"/>
              </w:rPr>
              <w:t>2021</w:t>
            </w:r>
          </w:p>
        </w:tc>
        <w:tc>
          <w:tcPr>
            <w:tcW w:w="1418" w:type="dxa"/>
            <w:noWrap/>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4</w:t>
            </w:r>
            <w:r>
              <w:rPr>
                <w:noProof/>
                <w:color w:val="000000"/>
                <w:sz w:val="22"/>
              </w:rPr>
              <w:t>.</w:t>
            </w:r>
            <w:r w:rsidRPr="00033DD1">
              <w:rPr>
                <w:noProof/>
                <w:color w:val="000000"/>
                <w:sz w:val="22"/>
              </w:rPr>
              <w:t>10</w:t>
            </w:r>
            <w:r>
              <w:rPr>
                <w:noProof/>
                <w:color w:val="000000"/>
                <w:sz w:val="22"/>
              </w:rPr>
              <w:t>.</w:t>
            </w:r>
            <w:r w:rsidRPr="00033DD1">
              <w:rPr>
                <w:noProof/>
                <w:color w:val="000000"/>
                <w:sz w:val="22"/>
              </w:rPr>
              <w:t>2028</w:t>
            </w:r>
          </w:p>
        </w:tc>
        <w:tc>
          <w:tcPr>
            <w:tcW w:w="1417"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7</w:t>
            </w:r>
          </w:p>
        </w:tc>
        <w:tc>
          <w:tcPr>
            <w:tcW w:w="1701"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9</w:t>
            </w:r>
          </w:p>
        </w:tc>
      </w:tr>
      <w:tr w:rsidR="008B6253" w:rsidRPr="00231F73" w:rsidTr="00C13B18">
        <w:trPr>
          <w:trHeight w:val="413"/>
        </w:trPr>
        <w:tc>
          <w:tcPr>
            <w:cnfStyle w:val="001000000000" w:firstRow="0" w:lastRow="0" w:firstColumn="1" w:lastColumn="0" w:oddVBand="0" w:evenVBand="0" w:oddHBand="0" w:evenHBand="0" w:firstRowFirstColumn="0" w:firstRowLastColumn="0" w:lastRowFirstColumn="0" w:lastRowLastColumn="0"/>
            <w:tcW w:w="1384" w:type="dxa"/>
          </w:tcPr>
          <w:p w:rsidR="008B6253" w:rsidRPr="00864D5D" w:rsidRDefault="008B6253" w:rsidP="00C13B18">
            <w:pPr>
              <w:jc w:val="center"/>
              <w:rPr>
                <w:noProof/>
                <w:color w:val="000000"/>
                <w:sz w:val="22"/>
              </w:rPr>
            </w:pPr>
            <w:r w:rsidRPr="00033DD1">
              <w:rPr>
                <w:noProof/>
                <w:color w:val="000000"/>
                <w:sz w:val="22"/>
              </w:rPr>
              <w:t>1</w:t>
            </w:r>
            <w:r>
              <w:rPr>
                <w:noProof/>
                <w:color w:val="000000"/>
                <w:sz w:val="22"/>
              </w:rPr>
              <w:t>. Auktion von Anleihen</w:t>
            </w:r>
          </w:p>
        </w:tc>
        <w:tc>
          <w:tcPr>
            <w:tcW w:w="1559"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27</w:t>
            </w:r>
            <w:r>
              <w:rPr>
                <w:noProof/>
                <w:color w:val="000000"/>
                <w:sz w:val="22"/>
              </w:rPr>
              <w:t>.</w:t>
            </w:r>
            <w:r w:rsidRPr="00033DD1">
              <w:rPr>
                <w:noProof/>
                <w:color w:val="000000"/>
                <w:sz w:val="22"/>
              </w:rPr>
              <w:t>9</w:t>
            </w:r>
            <w:r>
              <w:rPr>
                <w:noProof/>
                <w:color w:val="000000"/>
                <w:sz w:val="22"/>
              </w:rPr>
              <w:t>.</w:t>
            </w:r>
            <w:r w:rsidRPr="00033DD1">
              <w:rPr>
                <w:noProof/>
                <w:color w:val="000000"/>
                <w:sz w:val="22"/>
              </w:rPr>
              <w:t>2021</w:t>
            </w:r>
          </w:p>
        </w:tc>
        <w:tc>
          <w:tcPr>
            <w:tcW w:w="1701" w:type="dxa"/>
            <w:noWrap/>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29</w:t>
            </w:r>
            <w:r>
              <w:rPr>
                <w:noProof/>
                <w:color w:val="000000"/>
                <w:sz w:val="22"/>
              </w:rPr>
              <w:t>.</w:t>
            </w:r>
            <w:r w:rsidRPr="00033DD1">
              <w:rPr>
                <w:noProof/>
                <w:color w:val="000000"/>
                <w:sz w:val="22"/>
              </w:rPr>
              <w:t>9</w:t>
            </w:r>
            <w:r>
              <w:rPr>
                <w:noProof/>
                <w:color w:val="000000"/>
                <w:sz w:val="22"/>
              </w:rPr>
              <w:t>.</w:t>
            </w:r>
            <w:r w:rsidRPr="00033DD1">
              <w:rPr>
                <w:noProof/>
                <w:color w:val="000000"/>
                <w:sz w:val="22"/>
              </w:rPr>
              <w:t>2021</w:t>
            </w:r>
          </w:p>
        </w:tc>
        <w:tc>
          <w:tcPr>
            <w:tcW w:w="1418" w:type="dxa"/>
            <w:noWrap/>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6</w:t>
            </w:r>
            <w:r>
              <w:rPr>
                <w:noProof/>
                <w:color w:val="000000"/>
                <w:sz w:val="22"/>
              </w:rPr>
              <w:t>.</w:t>
            </w:r>
            <w:r w:rsidRPr="00033DD1">
              <w:rPr>
                <w:noProof/>
                <w:color w:val="000000"/>
                <w:sz w:val="22"/>
              </w:rPr>
              <w:t>7</w:t>
            </w:r>
            <w:r>
              <w:rPr>
                <w:noProof/>
                <w:color w:val="000000"/>
                <w:sz w:val="22"/>
              </w:rPr>
              <w:t>.</w:t>
            </w:r>
            <w:r w:rsidRPr="00033DD1">
              <w:rPr>
                <w:noProof/>
                <w:color w:val="000000"/>
                <w:sz w:val="22"/>
              </w:rPr>
              <w:t>2026</w:t>
            </w:r>
          </w:p>
        </w:tc>
        <w:tc>
          <w:tcPr>
            <w:tcW w:w="1417"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5</w:t>
            </w:r>
          </w:p>
        </w:tc>
        <w:tc>
          <w:tcPr>
            <w:tcW w:w="1701"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w:t>
            </w:r>
            <w:r>
              <w:rPr>
                <w:noProof/>
                <w:color w:val="000000"/>
                <w:sz w:val="22"/>
              </w:rPr>
              <w:t> </w:t>
            </w:r>
            <w:r w:rsidRPr="00033DD1">
              <w:rPr>
                <w:noProof/>
                <w:color w:val="000000"/>
                <w:sz w:val="22"/>
              </w:rPr>
              <w:t>495</w:t>
            </w:r>
          </w:p>
        </w:tc>
      </w:tr>
      <w:tr w:rsidR="008B6253" w:rsidRPr="00231F73" w:rsidTr="00C13B18">
        <w:trPr>
          <w:trHeight w:val="413"/>
        </w:trPr>
        <w:tc>
          <w:tcPr>
            <w:cnfStyle w:val="001000000000" w:firstRow="0" w:lastRow="0" w:firstColumn="1" w:lastColumn="0" w:oddVBand="0" w:evenVBand="0" w:oddHBand="0" w:evenHBand="0" w:firstRowFirstColumn="0" w:firstRowLastColumn="0" w:lastRowFirstColumn="0" w:lastRowLastColumn="0"/>
            <w:tcW w:w="9180" w:type="dxa"/>
            <w:gridSpan w:val="6"/>
            <w:vAlign w:val="center"/>
          </w:tcPr>
          <w:p w:rsidR="008B6253" w:rsidRPr="00864D5D" w:rsidRDefault="008B6253" w:rsidP="00C13B18">
            <w:pPr>
              <w:jc w:val="center"/>
              <w:rPr>
                <w:noProof/>
                <w:color w:val="000000"/>
                <w:sz w:val="22"/>
              </w:rPr>
            </w:pPr>
            <w:r w:rsidRPr="00033DD1">
              <w:rPr>
                <w:noProof/>
                <w:color w:val="000000"/>
                <w:sz w:val="22"/>
              </w:rPr>
              <w:t>4</w:t>
            </w:r>
            <w:r>
              <w:rPr>
                <w:noProof/>
                <w:color w:val="000000"/>
                <w:sz w:val="22"/>
              </w:rPr>
              <w:t xml:space="preserve">. Quartal </w:t>
            </w:r>
            <w:r w:rsidRPr="00033DD1">
              <w:rPr>
                <w:noProof/>
                <w:color w:val="000000"/>
                <w:sz w:val="22"/>
              </w:rPr>
              <w:t>2021</w:t>
            </w:r>
          </w:p>
        </w:tc>
      </w:tr>
      <w:tr w:rsidR="008B6253" w:rsidRPr="00231F73" w:rsidTr="00C13B18">
        <w:trPr>
          <w:trHeight w:val="413"/>
        </w:trPr>
        <w:tc>
          <w:tcPr>
            <w:cnfStyle w:val="001000000000" w:firstRow="0" w:lastRow="0" w:firstColumn="1" w:lastColumn="0" w:oddVBand="0" w:evenVBand="0" w:oddHBand="0" w:evenHBand="0" w:firstRowFirstColumn="0" w:firstRowLastColumn="0" w:lastRowFirstColumn="0" w:lastRowLastColumn="0"/>
            <w:tcW w:w="1384" w:type="dxa"/>
          </w:tcPr>
          <w:p w:rsidR="008B6253" w:rsidRPr="00864D5D" w:rsidRDefault="008B6253" w:rsidP="00C13B18">
            <w:pPr>
              <w:jc w:val="center"/>
              <w:rPr>
                <w:noProof/>
                <w:color w:val="000000"/>
                <w:sz w:val="22"/>
              </w:rPr>
            </w:pPr>
            <w:r>
              <w:rPr>
                <w:noProof/>
                <w:color w:val="000000"/>
                <w:sz w:val="22"/>
              </w:rPr>
              <w:t xml:space="preserve">NGEU </w:t>
            </w:r>
            <w:r w:rsidRPr="00033DD1">
              <w:rPr>
                <w:noProof/>
                <w:color w:val="000000"/>
                <w:sz w:val="22"/>
              </w:rPr>
              <w:t>5</w:t>
            </w:r>
            <w:r>
              <w:rPr>
                <w:noProof/>
                <w:color w:val="000000"/>
                <w:sz w:val="22"/>
              </w:rPr>
              <w:t>. Syndizierung von grünen Anleihen</w:t>
            </w:r>
          </w:p>
        </w:tc>
        <w:tc>
          <w:tcPr>
            <w:tcW w:w="1559"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12</w:t>
            </w:r>
            <w:r>
              <w:rPr>
                <w:noProof/>
                <w:color w:val="000000"/>
                <w:sz w:val="22"/>
              </w:rPr>
              <w:t>.</w:t>
            </w:r>
            <w:r w:rsidRPr="00033DD1">
              <w:rPr>
                <w:noProof/>
                <w:color w:val="000000"/>
                <w:sz w:val="22"/>
              </w:rPr>
              <w:t>10</w:t>
            </w:r>
            <w:r>
              <w:rPr>
                <w:noProof/>
                <w:color w:val="000000"/>
                <w:sz w:val="22"/>
              </w:rPr>
              <w:t>.</w:t>
            </w:r>
            <w:r w:rsidRPr="00033DD1">
              <w:rPr>
                <w:noProof/>
                <w:color w:val="000000"/>
                <w:sz w:val="22"/>
              </w:rPr>
              <w:t>2021</w:t>
            </w:r>
          </w:p>
        </w:tc>
        <w:tc>
          <w:tcPr>
            <w:tcW w:w="1701" w:type="dxa"/>
            <w:noWrap/>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19</w:t>
            </w:r>
            <w:r>
              <w:rPr>
                <w:noProof/>
                <w:color w:val="000000"/>
                <w:sz w:val="22"/>
              </w:rPr>
              <w:t>.</w:t>
            </w:r>
            <w:r w:rsidRPr="00033DD1">
              <w:rPr>
                <w:noProof/>
                <w:color w:val="000000"/>
                <w:sz w:val="22"/>
              </w:rPr>
              <w:t>10</w:t>
            </w:r>
            <w:r>
              <w:rPr>
                <w:noProof/>
                <w:color w:val="000000"/>
                <w:sz w:val="22"/>
              </w:rPr>
              <w:t>.</w:t>
            </w:r>
            <w:r w:rsidRPr="00033DD1">
              <w:rPr>
                <w:noProof/>
                <w:color w:val="000000"/>
                <w:sz w:val="22"/>
              </w:rPr>
              <w:t>2021</w:t>
            </w:r>
          </w:p>
        </w:tc>
        <w:tc>
          <w:tcPr>
            <w:tcW w:w="1418" w:type="dxa"/>
            <w:noWrap/>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4</w:t>
            </w:r>
            <w:r>
              <w:rPr>
                <w:noProof/>
                <w:color w:val="000000"/>
                <w:sz w:val="22"/>
              </w:rPr>
              <w:t>.</w:t>
            </w:r>
            <w:r w:rsidRPr="00033DD1">
              <w:rPr>
                <w:noProof/>
                <w:color w:val="000000"/>
                <w:sz w:val="22"/>
              </w:rPr>
              <w:t>2</w:t>
            </w:r>
            <w:r>
              <w:rPr>
                <w:noProof/>
                <w:color w:val="000000"/>
                <w:sz w:val="22"/>
              </w:rPr>
              <w:t>.</w:t>
            </w:r>
            <w:r w:rsidRPr="00033DD1">
              <w:rPr>
                <w:noProof/>
                <w:color w:val="000000"/>
                <w:sz w:val="22"/>
              </w:rPr>
              <w:t>2037</w:t>
            </w:r>
          </w:p>
        </w:tc>
        <w:tc>
          <w:tcPr>
            <w:tcW w:w="1417"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15</w:t>
            </w:r>
            <w:r>
              <w:rPr>
                <w:noProof/>
                <w:color w:val="000000"/>
                <w:sz w:val="22"/>
              </w:rPr>
              <w:t>,</w:t>
            </w:r>
            <w:r w:rsidRPr="00033DD1">
              <w:rPr>
                <w:noProof/>
                <w:color w:val="000000"/>
                <w:sz w:val="22"/>
              </w:rPr>
              <w:t>3</w:t>
            </w:r>
          </w:p>
        </w:tc>
        <w:tc>
          <w:tcPr>
            <w:tcW w:w="1701"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12</w:t>
            </w:r>
          </w:p>
        </w:tc>
      </w:tr>
      <w:tr w:rsidR="008B6253" w:rsidRPr="00231F73" w:rsidTr="00C13B18">
        <w:trPr>
          <w:trHeight w:val="413"/>
        </w:trPr>
        <w:tc>
          <w:tcPr>
            <w:cnfStyle w:val="001000000000" w:firstRow="0" w:lastRow="0" w:firstColumn="1" w:lastColumn="0" w:oddVBand="0" w:evenVBand="0" w:oddHBand="0" w:evenHBand="0" w:firstRowFirstColumn="0" w:firstRowLastColumn="0" w:lastRowFirstColumn="0" w:lastRowLastColumn="0"/>
            <w:tcW w:w="1384" w:type="dxa"/>
          </w:tcPr>
          <w:p w:rsidR="008B6253" w:rsidRPr="00864D5D" w:rsidRDefault="008B6253" w:rsidP="00C13B18">
            <w:pPr>
              <w:jc w:val="center"/>
              <w:rPr>
                <w:noProof/>
                <w:color w:val="000000"/>
                <w:sz w:val="22"/>
              </w:rPr>
            </w:pPr>
            <w:r w:rsidRPr="00033DD1">
              <w:rPr>
                <w:noProof/>
                <w:color w:val="000000"/>
                <w:sz w:val="22"/>
              </w:rPr>
              <w:t>2</w:t>
            </w:r>
            <w:r>
              <w:rPr>
                <w:noProof/>
                <w:color w:val="000000"/>
                <w:sz w:val="22"/>
              </w:rPr>
              <w:t>. Auktion von Anleihen</w:t>
            </w:r>
          </w:p>
        </w:tc>
        <w:tc>
          <w:tcPr>
            <w:tcW w:w="1559"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25</w:t>
            </w:r>
            <w:r>
              <w:rPr>
                <w:noProof/>
                <w:color w:val="000000"/>
                <w:sz w:val="22"/>
              </w:rPr>
              <w:t>.</w:t>
            </w:r>
            <w:r w:rsidRPr="00033DD1">
              <w:rPr>
                <w:noProof/>
                <w:color w:val="000000"/>
                <w:sz w:val="22"/>
              </w:rPr>
              <w:t>10</w:t>
            </w:r>
            <w:r>
              <w:rPr>
                <w:noProof/>
                <w:color w:val="000000"/>
                <w:sz w:val="22"/>
              </w:rPr>
              <w:t>.</w:t>
            </w:r>
            <w:r w:rsidRPr="00033DD1">
              <w:rPr>
                <w:noProof/>
                <w:color w:val="000000"/>
                <w:sz w:val="22"/>
              </w:rPr>
              <w:t>2021</w:t>
            </w:r>
          </w:p>
        </w:tc>
        <w:tc>
          <w:tcPr>
            <w:tcW w:w="1701" w:type="dxa"/>
            <w:noWrap/>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27</w:t>
            </w:r>
            <w:r>
              <w:rPr>
                <w:noProof/>
                <w:color w:val="000000"/>
                <w:sz w:val="22"/>
              </w:rPr>
              <w:t>.</w:t>
            </w:r>
            <w:r w:rsidRPr="00033DD1">
              <w:rPr>
                <w:noProof/>
                <w:color w:val="000000"/>
                <w:sz w:val="22"/>
              </w:rPr>
              <w:t>10</w:t>
            </w:r>
            <w:r>
              <w:rPr>
                <w:noProof/>
                <w:color w:val="000000"/>
                <w:sz w:val="22"/>
              </w:rPr>
              <w:t>.</w:t>
            </w:r>
            <w:r w:rsidRPr="00033DD1">
              <w:rPr>
                <w:noProof/>
                <w:color w:val="000000"/>
                <w:sz w:val="22"/>
              </w:rPr>
              <w:t>2021</w:t>
            </w:r>
          </w:p>
        </w:tc>
        <w:tc>
          <w:tcPr>
            <w:tcW w:w="1418" w:type="dxa"/>
            <w:noWrap/>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4</w:t>
            </w:r>
            <w:r>
              <w:rPr>
                <w:noProof/>
                <w:color w:val="000000"/>
                <w:sz w:val="22"/>
              </w:rPr>
              <w:t>.</w:t>
            </w:r>
            <w:r w:rsidRPr="00033DD1">
              <w:rPr>
                <w:noProof/>
                <w:color w:val="000000"/>
                <w:sz w:val="22"/>
              </w:rPr>
              <w:t>10</w:t>
            </w:r>
            <w:r>
              <w:rPr>
                <w:noProof/>
                <w:color w:val="000000"/>
                <w:sz w:val="22"/>
              </w:rPr>
              <w:t>.</w:t>
            </w:r>
            <w:r w:rsidRPr="00033DD1">
              <w:rPr>
                <w:noProof/>
                <w:color w:val="000000"/>
                <w:sz w:val="22"/>
              </w:rPr>
              <w:t>2028</w:t>
            </w:r>
          </w:p>
        </w:tc>
        <w:tc>
          <w:tcPr>
            <w:tcW w:w="1417"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7</w:t>
            </w:r>
          </w:p>
        </w:tc>
        <w:tc>
          <w:tcPr>
            <w:tcW w:w="1701" w:type="dxa"/>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2</w:t>
            </w:r>
            <w:r>
              <w:rPr>
                <w:noProof/>
                <w:color w:val="000000"/>
                <w:sz w:val="22"/>
              </w:rPr>
              <w:t> </w:t>
            </w:r>
            <w:r w:rsidRPr="00033DD1">
              <w:rPr>
                <w:noProof/>
                <w:color w:val="000000"/>
                <w:sz w:val="22"/>
              </w:rPr>
              <w:t>497</w:t>
            </w:r>
          </w:p>
        </w:tc>
      </w:tr>
      <w:tr w:rsidR="008B6253" w:rsidRPr="00231F73" w:rsidTr="00C13B18">
        <w:trPr>
          <w:trHeight w:val="413"/>
        </w:trPr>
        <w:tc>
          <w:tcPr>
            <w:cnfStyle w:val="001000000000" w:firstRow="0" w:lastRow="0" w:firstColumn="1" w:lastColumn="0" w:oddVBand="0" w:evenVBand="0" w:oddHBand="0" w:evenHBand="0" w:firstRowFirstColumn="0" w:firstRowLastColumn="0" w:lastRowFirstColumn="0" w:lastRowLastColumn="0"/>
            <w:tcW w:w="7479" w:type="dxa"/>
            <w:gridSpan w:val="5"/>
            <w:vAlign w:val="center"/>
          </w:tcPr>
          <w:p w:rsidR="008B6253" w:rsidRPr="00864D5D" w:rsidRDefault="008B6253" w:rsidP="00C13B18">
            <w:pPr>
              <w:jc w:val="right"/>
              <w:rPr>
                <w:noProof/>
                <w:color w:val="000000"/>
                <w:sz w:val="22"/>
              </w:rPr>
            </w:pPr>
            <w:r>
              <w:rPr>
                <w:noProof/>
                <w:color w:val="000000"/>
                <w:sz w:val="22"/>
              </w:rPr>
              <w:t>Insgesamt</w:t>
            </w:r>
          </w:p>
        </w:tc>
        <w:tc>
          <w:tcPr>
            <w:tcW w:w="1701" w:type="dxa"/>
            <w:vAlign w:val="center"/>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rPr>
            </w:pPr>
            <w:r w:rsidRPr="00033DD1">
              <w:rPr>
                <w:noProof/>
                <w:color w:val="000000"/>
                <w:sz w:val="22"/>
              </w:rPr>
              <w:t>70</w:t>
            </w:r>
            <w:r>
              <w:rPr>
                <w:noProof/>
                <w:color w:val="000000"/>
                <w:sz w:val="22"/>
              </w:rPr>
              <w:t> </w:t>
            </w:r>
            <w:r w:rsidRPr="00033DD1">
              <w:rPr>
                <w:noProof/>
                <w:color w:val="000000"/>
                <w:sz w:val="22"/>
              </w:rPr>
              <w:t>992</w:t>
            </w:r>
          </w:p>
        </w:tc>
      </w:tr>
    </w:tbl>
    <w:p w:rsidR="008B6253" w:rsidRPr="00231F73" w:rsidRDefault="008B6253" w:rsidP="008B6253">
      <w:pPr>
        <w:pStyle w:val="ListParagraph"/>
        <w:ind w:left="0"/>
        <w:rPr>
          <w:rFonts w:ascii="Times New Roman" w:hAnsi="Times New Roman" w:cs="Times New Roman"/>
          <w:noProof/>
          <w:color w:val="1F497D"/>
        </w:rPr>
      </w:pPr>
    </w:p>
    <w:p w:rsidR="008B6253" w:rsidRDefault="008B6253" w:rsidP="008B6253">
      <w:pPr>
        <w:rPr>
          <w:b/>
          <w:noProof/>
        </w:rPr>
      </w:pPr>
      <w:r>
        <w:rPr>
          <w:noProof/>
        </w:rPr>
        <w:br w:type="page"/>
      </w:r>
    </w:p>
    <w:p w:rsidR="008B6253" w:rsidRPr="00864D5D" w:rsidRDefault="008B6253" w:rsidP="008B6253">
      <w:pPr>
        <w:rPr>
          <w:rFonts w:eastAsia="Calibri"/>
          <w:b/>
          <w:bCs/>
          <w:smallCaps/>
          <w:noProof/>
          <w:color w:val="5B9BD5" w:themeColor="accent1"/>
          <w:spacing w:val="5"/>
        </w:rPr>
      </w:pPr>
      <w:r>
        <w:rPr>
          <w:b/>
          <w:noProof/>
        </w:rPr>
        <w:t>Abbildung </w:t>
      </w:r>
      <w:r w:rsidRPr="00033DD1">
        <w:rPr>
          <w:b/>
          <w:noProof/>
        </w:rPr>
        <w:t>2</w:t>
      </w:r>
      <w:r>
        <w:rPr>
          <w:b/>
          <w:noProof/>
        </w:rPr>
        <w:t>: Übersicht der Auktionen von EU-Bills</w:t>
      </w:r>
    </w:p>
    <w:tbl>
      <w:tblPr>
        <w:tblStyle w:val="GridTable1Light-Accent1"/>
        <w:tblW w:w="9180" w:type="dxa"/>
        <w:tblLook w:val="04A0" w:firstRow="1" w:lastRow="0" w:firstColumn="1" w:lastColumn="0" w:noHBand="0" w:noVBand="1"/>
      </w:tblPr>
      <w:tblGrid>
        <w:gridCol w:w="1280"/>
        <w:gridCol w:w="1559"/>
        <w:gridCol w:w="2191"/>
        <w:gridCol w:w="1440"/>
        <w:gridCol w:w="24"/>
        <w:gridCol w:w="1054"/>
        <w:gridCol w:w="1701"/>
      </w:tblGrid>
      <w:tr w:rsidR="008B6253" w:rsidRPr="00231F73" w:rsidTr="00C13B18">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384" w:type="dxa"/>
            <w:vMerge w:val="restart"/>
            <w:hideMark/>
          </w:tcPr>
          <w:p w:rsidR="008B6253" w:rsidRPr="00864D5D" w:rsidRDefault="008B6253" w:rsidP="00C13B18">
            <w:pPr>
              <w:jc w:val="center"/>
              <w:rPr>
                <w:noProof/>
                <w:color w:val="000000"/>
                <w:sz w:val="22"/>
                <w:szCs w:val="22"/>
              </w:rPr>
            </w:pPr>
            <w:r>
              <w:rPr>
                <w:noProof/>
                <w:color w:val="000000"/>
                <w:sz w:val="22"/>
                <w:szCs w:val="22"/>
              </w:rPr>
              <w:t>Instrument</w:t>
            </w:r>
          </w:p>
        </w:tc>
        <w:tc>
          <w:tcPr>
            <w:tcW w:w="1559" w:type="dxa"/>
            <w:vMerge w:val="restart"/>
            <w:hideMark/>
          </w:tcPr>
          <w:p w:rsidR="008B6253" w:rsidRPr="00864D5D" w:rsidRDefault="008B6253" w:rsidP="00C13B18">
            <w:pPr>
              <w:jc w:val="center"/>
              <w:cnfStyle w:val="100000000000" w:firstRow="1" w:lastRow="0" w:firstColumn="0" w:lastColumn="0" w:oddVBand="0" w:evenVBand="0" w:oddHBand="0" w:evenHBand="0" w:firstRowFirstColumn="0" w:firstRowLastColumn="0" w:lastRowFirstColumn="0" w:lastRowLastColumn="0"/>
              <w:rPr>
                <w:noProof/>
                <w:color w:val="000000"/>
                <w:sz w:val="22"/>
                <w:szCs w:val="22"/>
              </w:rPr>
            </w:pPr>
            <w:r>
              <w:rPr>
                <w:noProof/>
                <w:color w:val="000000"/>
                <w:sz w:val="22"/>
                <w:szCs w:val="22"/>
              </w:rPr>
              <w:t>Handelstag</w:t>
            </w:r>
          </w:p>
        </w:tc>
        <w:tc>
          <w:tcPr>
            <w:tcW w:w="1655" w:type="dxa"/>
            <w:vMerge w:val="restart"/>
            <w:hideMark/>
          </w:tcPr>
          <w:p w:rsidR="008B6253" w:rsidRPr="00864D5D" w:rsidRDefault="008B6253" w:rsidP="00C13B18">
            <w:pPr>
              <w:jc w:val="center"/>
              <w:cnfStyle w:val="100000000000" w:firstRow="1" w:lastRow="0" w:firstColumn="0" w:lastColumn="0" w:oddVBand="0" w:evenVBand="0" w:oddHBand="0" w:evenHBand="0" w:firstRowFirstColumn="0" w:firstRowLastColumn="0" w:lastRowFirstColumn="0" w:lastRowLastColumn="0"/>
              <w:rPr>
                <w:noProof/>
                <w:color w:val="000000"/>
                <w:sz w:val="22"/>
                <w:szCs w:val="22"/>
              </w:rPr>
            </w:pPr>
            <w:r>
              <w:rPr>
                <w:noProof/>
              </w:rPr>
              <w:t>Auszahlungsdatum</w:t>
            </w:r>
          </w:p>
        </w:tc>
        <w:tc>
          <w:tcPr>
            <w:tcW w:w="2881" w:type="dxa"/>
            <w:gridSpan w:val="3"/>
            <w:hideMark/>
          </w:tcPr>
          <w:p w:rsidR="008B6253" w:rsidRPr="00864D5D" w:rsidRDefault="008B6253" w:rsidP="00C13B18">
            <w:pPr>
              <w:jc w:val="center"/>
              <w:cnfStyle w:val="100000000000" w:firstRow="1" w:lastRow="0" w:firstColumn="0" w:lastColumn="0" w:oddVBand="0" w:evenVBand="0" w:oddHBand="0" w:evenHBand="0" w:firstRowFirstColumn="0" w:firstRowLastColumn="0" w:lastRowFirstColumn="0" w:lastRowLastColumn="0"/>
              <w:rPr>
                <w:noProof/>
                <w:color w:val="000000"/>
                <w:sz w:val="22"/>
                <w:szCs w:val="22"/>
              </w:rPr>
            </w:pPr>
            <w:r>
              <w:rPr>
                <w:noProof/>
                <w:color w:val="000000"/>
                <w:sz w:val="22"/>
                <w:szCs w:val="22"/>
              </w:rPr>
              <w:t>Fälligkeit</w:t>
            </w:r>
          </w:p>
        </w:tc>
        <w:tc>
          <w:tcPr>
            <w:tcW w:w="1701" w:type="dxa"/>
            <w:vMerge w:val="restart"/>
            <w:hideMark/>
          </w:tcPr>
          <w:p w:rsidR="008B6253" w:rsidRPr="00864D5D" w:rsidRDefault="008B6253" w:rsidP="00C13B18">
            <w:pPr>
              <w:jc w:val="center"/>
              <w:cnfStyle w:val="100000000000" w:firstRow="1" w:lastRow="0" w:firstColumn="0" w:lastColumn="0" w:oddVBand="0" w:evenVBand="0" w:oddHBand="0" w:evenHBand="0" w:firstRowFirstColumn="0" w:firstRowLastColumn="0" w:lastRowFirstColumn="0" w:lastRowLastColumn="0"/>
              <w:rPr>
                <w:noProof/>
                <w:color w:val="000000"/>
                <w:sz w:val="22"/>
                <w:szCs w:val="22"/>
              </w:rPr>
            </w:pPr>
            <w:r>
              <w:rPr>
                <w:noProof/>
                <w:color w:val="000000"/>
                <w:sz w:val="22"/>
                <w:szCs w:val="22"/>
              </w:rPr>
              <w:t>Emittierter Betrag</w:t>
            </w:r>
            <w:r>
              <w:rPr>
                <w:noProof/>
              </w:rPr>
              <w:t xml:space="preserve"> </w:t>
            </w:r>
            <w:r>
              <w:rPr>
                <w:noProof/>
              </w:rPr>
              <w:br/>
            </w:r>
            <w:r>
              <w:rPr>
                <w:noProof/>
                <w:color w:val="000000"/>
                <w:sz w:val="22"/>
                <w:szCs w:val="22"/>
              </w:rPr>
              <w:t xml:space="preserve"> (in EUR)</w:t>
            </w:r>
          </w:p>
        </w:tc>
      </w:tr>
      <w:tr w:rsidR="008B6253" w:rsidRPr="00231F73" w:rsidTr="00C13B18">
        <w:trPr>
          <w:trHeight w:val="373"/>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12" w:space="0" w:color="9CC2E5" w:themeColor="accent1" w:themeTint="99"/>
            </w:tcBorders>
          </w:tcPr>
          <w:p w:rsidR="008B6253" w:rsidRPr="00864D5D" w:rsidRDefault="008B6253" w:rsidP="00C13B18">
            <w:pPr>
              <w:jc w:val="center"/>
              <w:rPr>
                <w:noProof/>
                <w:color w:val="000000"/>
                <w:sz w:val="22"/>
                <w:szCs w:val="22"/>
                <w:lang w:val="en-US"/>
              </w:rPr>
            </w:pPr>
          </w:p>
        </w:tc>
        <w:tc>
          <w:tcPr>
            <w:tcW w:w="1559" w:type="dxa"/>
            <w:vMerge/>
            <w:tcBorders>
              <w:bottom w:val="single" w:sz="12" w:space="0" w:color="9CC2E5" w:themeColor="accent1" w:themeTint="99"/>
            </w:tcBorders>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655" w:type="dxa"/>
            <w:vMerge/>
            <w:tcBorders>
              <w:bottom w:val="single" w:sz="12" w:space="0" w:color="9CC2E5" w:themeColor="accent1" w:themeTint="99"/>
            </w:tcBorders>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440" w:type="dxa"/>
            <w:tcBorders>
              <w:bottom w:val="single" w:sz="12" w:space="0" w:color="9CC2E5" w:themeColor="accent1" w:themeTint="99"/>
            </w:tcBorders>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bCs/>
                <w:noProof/>
                <w:color w:val="000000"/>
                <w:sz w:val="22"/>
                <w:szCs w:val="22"/>
              </w:rPr>
            </w:pPr>
            <w:r>
              <w:rPr>
                <w:bCs/>
                <w:noProof/>
                <w:color w:val="000000"/>
                <w:sz w:val="22"/>
                <w:szCs w:val="22"/>
              </w:rPr>
              <w:t>Datum</w:t>
            </w:r>
          </w:p>
        </w:tc>
        <w:tc>
          <w:tcPr>
            <w:tcW w:w="1441" w:type="dxa"/>
            <w:gridSpan w:val="2"/>
            <w:tcBorders>
              <w:bottom w:val="single" w:sz="12" w:space="0" w:color="9CC2E5" w:themeColor="accent1" w:themeTint="99"/>
            </w:tcBorders>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Pr>
                <w:noProof/>
                <w:color w:val="000000"/>
                <w:sz w:val="22"/>
                <w:szCs w:val="22"/>
              </w:rPr>
              <w:t>Monate</w:t>
            </w:r>
          </w:p>
        </w:tc>
        <w:tc>
          <w:tcPr>
            <w:tcW w:w="1701" w:type="dxa"/>
            <w:vMerge/>
            <w:tcBorders>
              <w:bottom w:val="single" w:sz="12" w:space="0" w:color="9CC2E5" w:themeColor="accent1" w:themeTint="99"/>
            </w:tcBorders>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9180" w:type="dxa"/>
            <w:gridSpan w:val="7"/>
            <w:vAlign w:val="center"/>
          </w:tcPr>
          <w:p w:rsidR="008B6253" w:rsidRPr="00864D5D" w:rsidRDefault="008B6253" w:rsidP="00C13B18">
            <w:pPr>
              <w:jc w:val="center"/>
              <w:rPr>
                <w:noProof/>
                <w:color w:val="000000"/>
                <w:sz w:val="22"/>
                <w:szCs w:val="22"/>
              </w:rPr>
            </w:pPr>
            <w:r w:rsidRPr="00033DD1">
              <w:rPr>
                <w:noProof/>
                <w:color w:val="000000"/>
                <w:sz w:val="22"/>
                <w:szCs w:val="22"/>
              </w:rPr>
              <w:t>3</w:t>
            </w:r>
            <w:r>
              <w:rPr>
                <w:noProof/>
                <w:color w:val="000000"/>
                <w:sz w:val="22"/>
                <w:szCs w:val="22"/>
              </w:rPr>
              <w:t xml:space="preserve">. Quartal </w:t>
            </w:r>
            <w:r w:rsidRPr="00033DD1">
              <w:rPr>
                <w:noProof/>
                <w:color w:val="000000"/>
                <w:sz w:val="22"/>
                <w:szCs w:val="22"/>
              </w:rPr>
              <w:t>2021</w:t>
            </w: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hideMark/>
          </w:tcPr>
          <w:p w:rsidR="008B6253" w:rsidRPr="00864D5D" w:rsidRDefault="008B6253" w:rsidP="00C13B18">
            <w:pPr>
              <w:jc w:val="center"/>
              <w:rPr>
                <w:noProof/>
                <w:color w:val="000000"/>
                <w:sz w:val="22"/>
                <w:szCs w:val="22"/>
              </w:rPr>
            </w:pPr>
            <w:r w:rsidRPr="00033DD1">
              <w:rPr>
                <w:noProof/>
                <w:color w:val="000000"/>
                <w:sz w:val="22"/>
                <w:szCs w:val="22"/>
              </w:rPr>
              <w:t>1</w:t>
            </w:r>
            <w:r>
              <w:rPr>
                <w:noProof/>
                <w:color w:val="000000"/>
                <w:sz w:val="22"/>
                <w:szCs w:val="22"/>
              </w:rPr>
              <w:t>. Auktion von EU-Bills</w:t>
            </w:r>
          </w:p>
        </w:tc>
        <w:tc>
          <w:tcPr>
            <w:tcW w:w="1559"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15</w:t>
            </w:r>
            <w:r>
              <w:rPr>
                <w:noProof/>
                <w:color w:val="000000"/>
                <w:sz w:val="22"/>
                <w:szCs w:val="22"/>
              </w:rPr>
              <w:t>.</w:t>
            </w:r>
            <w:r w:rsidRPr="00033DD1">
              <w:rPr>
                <w:noProof/>
                <w:color w:val="000000"/>
                <w:sz w:val="22"/>
                <w:szCs w:val="22"/>
              </w:rPr>
              <w:t>9</w:t>
            </w:r>
            <w:r>
              <w:rPr>
                <w:noProof/>
                <w:color w:val="000000"/>
                <w:sz w:val="22"/>
                <w:szCs w:val="22"/>
              </w:rPr>
              <w:t>.</w:t>
            </w:r>
            <w:r w:rsidRPr="00033DD1">
              <w:rPr>
                <w:noProof/>
                <w:color w:val="000000"/>
                <w:sz w:val="22"/>
                <w:szCs w:val="22"/>
              </w:rPr>
              <w:t>2021</w:t>
            </w:r>
          </w:p>
        </w:tc>
        <w:tc>
          <w:tcPr>
            <w:tcW w:w="1655"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17</w:t>
            </w:r>
            <w:r>
              <w:rPr>
                <w:noProof/>
                <w:color w:val="000000"/>
                <w:sz w:val="22"/>
                <w:szCs w:val="22"/>
              </w:rPr>
              <w:t>.</w:t>
            </w:r>
            <w:r w:rsidRPr="00033DD1">
              <w:rPr>
                <w:noProof/>
                <w:color w:val="000000"/>
                <w:sz w:val="22"/>
                <w:szCs w:val="22"/>
              </w:rPr>
              <w:t>9</w:t>
            </w:r>
            <w:r>
              <w:rPr>
                <w:noProof/>
                <w:color w:val="000000"/>
                <w:sz w:val="22"/>
                <w:szCs w:val="22"/>
              </w:rPr>
              <w:t>.</w:t>
            </w:r>
            <w:r w:rsidRPr="00033DD1">
              <w:rPr>
                <w:noProof/>
                <w:color w:val="000000"/>
                <w:sz w:val="22"/>
                <w:szCs w:val="22"/>
              </w:rPr>
              <w:t>2021</w:t>
            </w:r>
          </w:p>
        </w:tc>
        <w:tc>
          <w:tcPr>
            <w:tcW w:w="1464" w:type="dxa"/>
            <w:gridSpan w:val="2"/>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w:t>
            </w:r>
            <w:r w:rsidRPr="00033DD1">
              <w:rPr>
                <w:noProof/>
                <w:color w:val="000000"/>
                <w:sz w:val="22"/>
                <w:szCs w:val="22"/>
              </w:rPr>
              <w:t>12</w:t>
            </w:r>
            <w:r>
              <w:rPr>
                <w:noProof/>
                <w:color w:val="000000"/>
                <w:sz w:val="22"/>
                <w:szCs w:val="22"/>
              </w:rPr>
              <w:t>.</w:t>
            </w:r>
            <w:r w:rsidRPr="00033DD1">
              <w:rPr>
                <w:noProof/>
                <w:color w:val="000000"/>
                <w:sz w:val="22"/>
                <w:szCs w:val="22"/>
              </w:rPr>
              <w:t>2021</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2</w:t>
            </w:r>
            <w:r>
              <w:rPr>
                <w:noProof/>
                <w:color w:val="000000"/>
                <w:sz w:val="22"/>
                <w:szCs w:val="22"/>
              </w:rPr>
              <w:t> </w:t>
            </w:r>
            <w:r w:rsidRPr="00033DD1">
              <w:rPr>
                <w:noProof/>
                <w:color w:val="000000"/>
                <w:sz w:val="22"/>
                <w:szCs w:val="22"/>
              </w:rPr>
              <w:t>999</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23"/>
        </w:trPr>
        <w:tc>
          <w:tcPr>
            <w:cnfStyle w:val="001000000000" w:firstRow="0" w:lastRow="0" w:firstColumn="1" w:lastColumn="0" w:oddVBand="0" w:evenVBand="0" w:oddHBand="0" w:evenHBand="0" w:firstRowFirstColumn="0" w:firstRowLastColumn="0" w:lastRowFirstColumn="0" w:lastRowLastColumn="0"/>
            <w:tcW w:w="1384" w:type="dxa"/>
            <w:vMerge/>
            <w:vAlign w:val="center"/>
            <w:hideMark/>
          </w:tcPr>
          <w:p w:rsidR="008B6253" w:rsidRPr="00864D5D" w:rsidRDefault="008B6253" w:rsidP="00C13B18">
            <w:pPr>
              <w:jc w:val="center"/>
              <w:rPr>
                <w:noProof/>
                <w:color w:val="000000"/>
                <w:sz w:val="22"/>
                <w:szCs w:val="22"/>
                <w:lang w:val="en-US"/>
              </w:rPr>
            </w:pPr>
          </w:p>
        </w:tc>
        <w:tc>
          <w:tcPr>
            <w:tcW w:w="1559"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655"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464" w:type="dxa"/>
            <w:gridSpan w:val="2"/>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4</w:t>
            </w:r>
            <w:r>
              <w:rPr>
                <w:noProof/>
                <w:color w:val="000000"/>
                <w:sz w:val="22"/>
                <w:szCs w:val="22"/>
              </w:rPr>
              <w:t>.</w:t>
            </w:r>
            <w:r w:rsidRPr="00033DD1">
              <w:rPr>
                <w:noProof/>
                <w:color w:val="000000"/>
                <w:sz w:val="22"/>
                <w:szCs w:val="22"/>
              </w:rPr>
              <w:t>3</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997</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hideMark/>
          </w:tcPr>
          <w:p w:rsidR="008B6253" w:rsidRPr="00864D5D" w:rsidRDefault="008B6253" w:rsidP="00C13B18">
            <w:pPr>
              <w:jc w:val="center"/>
              <w:rPr>
                <w:noProof/>
                <w:color w:val="000000"/>
                <w:sz w:val="22"/>
                <w:szCs w:val="22"/>
              </w:rPr>
            </w:pPr>
            <w:r w:rsidRPr="00033DD1">
              <w:rPr>
                <w:noProof/>
                <w:color w:val="000000"/>
                <w:sz w:val="22"/>
                <w:szCs w:val="22"/>
              </w:rPr>
              <w:t>2</w:t>
            </w:r>
            <w:r>
              <w:rPr>
                <w:noProof/>
                <w:color w:val="000000"/>
                <w:sz w:val="22"/>
                <w:szCs w:val="22"/>
              </w:rPr>
              <w:t>. Auktion von EU-Bills</w:t>
            </w:r>
          </w:p>
        </w:tc>
        <w:tc>
          <w:tcPr>
            <w:tcW w:w="1559"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22</w:t>
            </w:r>
            <w:r>
              <w:rPr>
                <w:noProof/>
                <w:color w:val="000000"/>
                <w:sz w:val="22"/>
                <w:szCs w:val="22"/>
              </w:rPr>
              <w:t>.</w:t>
            </w:r>
            <w:r w:rsidRPr="00033DD1">
              <w:rPr>
                <w:noProof/>
                <w:color w:val="000000"/>
                <w:sz w:val="22"/>
                <w:szCs w:val="22"/>
              </w:rPr>
              <w:t>9</w:t>
            </w:r>
            <w:r>
              <w:rPr>
                <w:noProof/>
                <w:color w:val="000000"/>
                <w:sz w:val="22"/>
                <w:szCs w:val="22"/>
              </w:rPr>
              <w:t>.</w:t>
            </w:r>
            <w:r w:rsidRPr="00033DD1">
              <w:rPr>
                <w:noProof/>
                <w:color w:val="000000"/>
                <w:sz w:val="22"/>
                <w:szCs w:val="22"/>
              </w:rPr>
              <w:t>2021</w:t>
            </w:r>
          </w:p>
        </w:tc>
        <w:tc>
          <w:tcPr>
            <w:tcW w:w="1655"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24</w:t>
            </w:r>
            <w:r>
              <w:rPr>
                <w:noProof/>
                <w:color w:val="000000"/>
                <w:sz w:val="22"/>
                <w:szCs w:val="22"/>
              </w:rPr>
              <w:t>.</w:t>
            </w:r>
            <w:r w:rsidRPr="00033DD1">
              <w:rPr>
                <w:noProof/>
                <w:color w:val="000000"/>
                <w:sz w:val="22"/>
                <w:szCs w:val="22"/>
              </w:rPr>
              <w:t>9</w:t>
            </w:r>
            <w:r>
              <w:rPr>
                <w:noProof/>
                <w:color w:val="000000"/>
                <w:sz w:val="22"/>
                <w:szCs w:val="22"/>
              </w:rPr>
              <w:t>.</w:t>
            </w:r>
            <w:r w:rsidRPr="00033DD1">
              <w:rPr>
                <w:noProof/>
                <w:color w:val="000000"/>
                <w:sz w:val="22"/>
                <w:szCs w:val="22"/>
              </w:rPr>
              <w:t>2021</w:t>
            </w:r>
          </w:p>
        </w:tc>
        <w:tc>
          <w:tcPr>
            <w:tcW w:w="1464" w:type="dxa"/>
            <w:gridSpan w:val="2"/>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w:t>
            </w:r>
            <w:r w:rsidRPr="00033DD1">
              <w:rPr>
                <w:noProof/>
                <w:color w:val="000000"/>
                <w:sz w:val="22"/>
                <w:szCs w:val="22"/>
              </w:rPr>
              <w:t>12</w:t>
            </w:r>
            <w:r>
              <w:rPr>
                <w:noProof/>
                <w:color w:val="000000"/>
                <w:sz w:val="22"/>
                <w:szCs w:val="22"/>
              </w:rPr>
              <w:t>.</w:t>
            </w:r>
            <w:r w:rsidRPr="00033DD1">
              <w:rPr>
                <w:noProof/>
                <w:color w:val="000000"/>
                <w:sz w:val="22"/>
                <w:szCs w:val="22"/>
              </w:rPr>
              <w:t>2021</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997</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33"/>
        </w:trPr>
        <w:tc>
          <w:tcPr>
            <w:cnfStyle w:val="001000000000" w:firstRow="0" w:lastRow="0" w:firstColumn="1" w:lastColumn="0" w:oddVBand="0" w:evenVBand="0" w:oddHBand="0" w:evenHBand="0" w:firstRowFirstColumn="0" w:firstRowLastColumn="0" w:lastRowFirstColumn="0" w:lastRowLastColumn="0"/>
            <w:tcW w:w="1384" w:type="dxa"/>
            <w:vMerge/>
            <w:vAlign w:val="center"/>
            <w:hideMark/>
          </w:tcPr>
          <w:p w:rsidR="008B6253" w:rsidRPr="00864D5D" w:rsidRDefault="008B6253" w:rsidP="00C13B18">
            <w:pPr>
              <w:jc w:val="center"/>
              <w:rPr>
                <w:noProof/>
                <w:color w:val="000000"/>
                <w:sz w:val="22"/>
                <w:szCs w:val="22"/>
                <w:lang w:val="en-US"/>
              </w:rPr>
            </w:pPr>
          </w:p>
        </w:tc>
        <w:tc>
          <w:tcPr>
            <w:tcW w:w="1559"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655"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464" w:type="dxa"/>
            <w:gridSpan w:val="2"/>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4</w:t>
            </w:r>
            <w:r>
              <w:rPr>
                <w:noProof/>
                <w:color w:val="000000"/>
                <w:sz w:val="22"/>
                <w:szCs w:val="22"/>
              </w:rPr>
              <w:t>.</w:t>
            </w:r>
            <w:r w:rsidRPr="00033DD1">
              <w:rPr>
                <w:noProof/>
                <w:color w:val="000000"/>
                <w:sz w:val="22"/>
                <w:szCs w:val="22"/>
              </w:rPr>
              <w:t>3</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996</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9180" w:type="dxa"/>
            <w:gridSpan w:val="7"/>
            <w:vAlign w:val="center"/>
          </w:tcPr>
          <w:p w:rsidR="008B6253" w:rsidRPr="00864D5D" w:rsidRDefault="008B6253" w:rsidP="00C13B18">
            <w:pPr>
              <w:jc w:val="center"/>
              <w:rPr>
                <w:noProof/>
                <w:color w:val="000000"/>
                <w:sz w:val="22"/>
                <w:szCs w:val="22"/>
                <w:highlight w:val="yellow"/>
              </w:rPr>
            </w:pPr>
            <w:r w:rsidRPr="00033DD1">
              <w:rPr>
                <w:noProof/>
                <w:color w:val="000000"/>
                <w:sz w:val="22"/>
                <w:szCs w:val="22"/>
              </w:rPr>
              <w:t>4</w:t>
            </w:r>
            <w:r>
              <w:rPr>
                <w:noProof/>
                <w:color w:val="000000"/>
                <w:sz w:val="22"/>
                <w:szCs w:val="22"/>
              </w:rPr>
              <w:t xml:space="preserve">. Quartal </w:t>
            </w:r>
            <w:r w:rsidRPr="00033DD1">
              <w:rPr>
                <w:noProof/>
                <w:color w:val="000000"/>
                <w:sz w:val="22"/>
                <w:szCs w:val="22"/>
              </w:rPr>
              <w:t>2021</w:t>
            </w: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hideMark/>
          </w:tcPr>
          <w:p w:rsidR="008B6253" w:rsidRPr="00864D5D" w:rsidRDefault="008B6253" w:rsidP="00C13B18">
            <w:pPr>
              <w:jc w:val="center"/>
              <w:rPr>
                <w:noProof/>
                <w:color w:val="000000"/>
                <w:sz w:val="22"/>
                <w:szCs w:val="22"/>
              </w:rPr>
            </w:pPr>
            <w:r w:rsidRPr="00033DD1">
              <w:rPr>
                <w:noProof/>
                <w:color w:val="000000"/>
                <w:sz w:val="22"/>
                <w:szCs w:val="22"/>
              </w:rPr>
              <w:t>3</w:t>
            </w:r>
            <w:r>
              <w:rPr>
                <w:noProof/>
                <w:color w:val="000000"/>
                <w:sz w:val="22"/>
                <w:szCs w:val="22"/>
              </w:rPr>
              <w:t>. Auktion von EU-Bills</w:t>
            </w:r>
          </w:p>
        </w:tc>
        <w:tc>
          <w:tcPr>
            <w:tcW w:w="1559"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w:t>
            </w:r>
            <w:r w:rsidRPr="00033DD1">
              <w:rPr>
                <w:noProof/>
                <w:color w:val="000000"/>
                <w:sz w:val="22"/>
                <w:szCs w:val="22"/>
              </w:rPr>
              <w:t>10</w:t>
            </w:r>
            <w:r>
              <w:rPr>
                <w:noProof/>
                <w:color w:val="000000"/>
                <w:sz w:val="22"/>
                <w:szCs w:val="22"/>
              </w:rPr>
              <w:t>.</w:t>
            </w:r>
            <w:r w:rsidRPr="00033DD1">
              <w:rPr>
                <w:noProof/>
                <w:color w:val="000000"/>
                <w:sz w:val="22"/>
                <w:szCs w:val="22"/>
              </w:rPr>
              <w:t>2021</w:t>
            </w:r>
          </w:p>
        </w:tc>
        <w:tc>
          <w:tcPr>
            <w:tcW w:w="1655"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8</w:t>
            </w:r>
            <w:r>
              <w:rPr>
                <w:noProof/>
                <w:color w:val="000000"/>
                <w:sz w:val="22"/>
                <w:szCs w:val="22"/>
              </w:rPr>
              <w:t>.</w:t>
            </w:r>
            <w:r w:rsidRPr="00033DD1">
              <w:rPr>
                <w:noProof/>
                <w:color w:val="000000"/>
                <w:sz w:val="22"/>
                <w:szCs w:val="22"/>
              </w:rPr>
              <w:t>10</w:t>
            </w:r>
            <w:r>
              <w:rPr>
                <w:noProof/>
                <w:color w:val="000000"/>
                <w:sz w:val="22"/>
                <w:szCs w:val="22"/>
              </w:rPr>
              <w:t>.</w:t>
            </w:r>
            <w:r w:rsidRPr="00033DD1">
              <w:rPr>
                <w:noProof/>
                <w:color w:val="000000"/>
                <w:sz w:val="22"/>
                <w:szCs w:val="22"/>
              </w:rPr>
              <w:t>2021</w:t>
            </w:r>
          </w:p>
        </w:tc>
        <w:tc>
          <w:tcPr>
            <w:tcW w:w="1464" w:type="dxa"/>
            <w:gridSpan w:val="2"/>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7</w:t>
            </w:r>
            <w:r>
              <w:rPr>
                <w:noProof/>
                <w:color w:val="000000"/>
                <w:sz w:val="22"/>
                <w:szCs w:val="22"/>
              </w:rPr>
              <w:t>.</w:t>
            </w:r>
            <w:r w:rsidRPr="00033DD1">
              <w:rPr>
                <w:noProof/>
                <w:color w:val="000000"/>
                <w:sz w:val="22"/>
                <w:szCs w:val="22"/>
              </w:rPr>
              <w:t>1</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2</w:t>
            </w:r>
            <w:r>
              <w:rPr>
                <w:noProof/>
                <w:color w:val="000000"/>
                <w:sz w:val="22"/>
                <w:szCs w:val="22"/>
              </w:rPr>
              <w:t> </w:t>
            </w:r>
            <w:r w:rsidRPr="00033DD1">
              <w:rPr>
                <w:noProof/>
                <w:color w:val="000000"/>
                <w:sz w:val="22"/>
                <w:szCs w:val="22"/>
              </w:rPr>
              <w:t>996</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33"/>
        </w:trPr>
        <w:tc>
          <w:tcPr>
            <w:cnfStyle w:val="001000000000" w:firstRow="0" w:lastRow="0" w:firstColumn="1" w:lastColumn="0" w:oddVBand="0" w:evenVBand="0" w:oddHBand="0" w:evenHBand="0" w:firstRowFirstColumn="0" w:firstRowLastColumn="0" w:lastRowFirstColumn="0" w:lastRowLastColumn="0"/>
            <w:tcW w:w="1384" w:type="dxa"/>
            <w:vMerge/>
            <w:vAlign w:val="center"/>
            <w:hideMark/>
          </w:tcPr>
          <w:p w:rsidR="008B6253" w:rsidRPr="00864D5D" w:rsidRDefault="008B6253" w:rsidP="00C13B18">
            <w:pPr>
              <w:jc w:val="center"/>
              <w:rPr>
                <w:noProof/>
                <w:color w:val="000000"/>
                <w:sz w:val="22"/>
                <w:szCs w:val="22"/>
                <w:lang w:val="en-US"/>
              </w:rPr>
            </w:pPr>
          </w:p>
        </w:tc>
        <w:tc>
          <w:tcPr>
            <w:tcW w:w="1559"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655"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464" w:type="dxa"/>
            <w:gridSpan w:val="2"/>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8</w:t>
            </w:r>
            <w:r>
              <w:rPr>
                <w:noProof/>
                <w:color w:val="000000"/>
                <w:sz w:val="22"/>
                <w:szCs w:val="22"/>
              </w:rPr>
              <w:t>.</w:t>
            </w:r>
            <w:r w:rsidRPr="00033DD1">
              <w:rPr>
                <w:noProof/>
                <w:color w:val="000000"/>
                <w:sz w:val="22"/>
                <w:szCs w:val="22"/>
              </w:rPr>
              <w:t>4</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996</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hideMark/>
          </w:tcPr>
          <w:p w:rsidR="008B6253" w:rsidRPr="00864D5D" w:rsidRDefault="008B6253" w:rsidP="00C13B18">
            <w:pPr>
              <w:jc w:val="center"/>
              <w:rPr>
                <w:noProof/>
                <w:color w:val="000000"/>
                <w:sz w:val="22"/>
                <w:szCs w:val="22"/>
              </w:rPr>
            </w:pPr>
            <w:r w:rsidRPr="00033DD1">
              <w:rPr>
                <w:noProof/>
                <w:color w:val="000000"/>
                <w:sz w:val="22"/>
                <w:szCs w:val="22"/>
              </w:rPr>
              <w:t>4</w:t>
            </w:r>
            <w:r>
              <w:rPr>
                <w:noProof/>
                <w:color w:val="000000"/>
                <w:sz w:val="22"/>
                <w:szCs w:val="22"/>
              </w:rPr>
              <w:t>. Auktion von EU-Bills</w:t>
            </w:r>
          </w:p>
        </w:tc>
        <w:tc>
          <w:tcPr>
            <w:tcW w:w="1559"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20</w:t>
            </w:r>
            <w:r>
              <w:rPr>
                <w:noProof/>
                <w:color w:val="000000"/>
                <w:sz w:val="22"/>
                <w:szCs w:val="22"/>
              </w:rPr>
              <w:t>.</w:t>
            </w:r>
            <w:r w:rsidRPr="00033DD1">
              <w:rPr>
                <w:noProof/>
                <w:color w:val="000000"/>
                <w:sz w:val="22"/>
                <w:szCs w:val="22"/>
              </w:rPr>
              <w:t>10</w:t>
            </w:r>
            <w:r>
              <w:rPr>
                <w:noProof/>
                <w:color w:val="000000"/>
                <w:sz w:val="22"/>
                <w:szCs w:val="22"/>
              </w:rPr>
              <w:t>.</w:t>
            </w:r>
            <w:r w:rsidRPr="00033DD1">
              <w:rPr>
                <w:noProof/>
                <w:color w:val="000000"/>
                <w:sz w:val="22"/>
                <w:szCs w:val="22"/>
              </w:rPr>
              <w:t>2021</w:t>
            </w:r>
          </w:p>
        </w:tc>
        <w:tc>
          <w:tcPr>
            <w:tcW w:w="1655"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22</w:t>
            </w:r>
            <w:r>
              <w:rPr>
                <w:noProof/>
                <w:color w:val="000000"/>
                <w:sz w:val="22"/>
                <w:szCs w:val="22"/>
              </w:rPr>
              <w:t>.</w:t>
            </w:r>
            <w:r w:rsidRPr="00033DD1">
              <w:rPr>
                <w:noProof/>
                <w:color w:val="000000"/>
                <w:sz w:val="22"/>
                <w:szCs w:val="22"/>
              </w:rPr>
              <w:t>10</w:t>
            </w:r>
            <w:r>
              <w:rPr>
                <w:noProof/>
                <w:color w:val="000000"/>
                <w:sz w:val="22"/>
                <w:szCs w:val="22"/>
              </w:rPr>
              <w:t>.</w:t>
            </w:r>
            <w:r w:rsidRPr="00033DD1">
              <w:rPr>
                <w:noProof/>
                <w:color w:val="000000"/>
                <w:sz w:val="22"/>
                <w:szCs w:val="22"/>
              </w:rPr>
              <w:t>2021</w:t>
            </w:r>
          </w:p>
        </w:tc>
        <w:tc>
          <w:tcPr>
            <w:tcW w:w="1464" w:type="dxa"/>
            <w:gridSpan w:val="2"/>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7</w:t>
            </w:r>
            <w:r>
              <w:rPr>
                <w:noProof/>
                <w:color w:val="000000"/>
                <w:sz w:val="22"/>
                <w:szCs w:val="22"/>
              </w:rPr>
              <w:t>.</w:t>
            </w:r>
            <w:r w:rsidRPr="00033DD1">
              <w:rPr>
                <w:noProof/>
                <w:color w:val="000000"/>
                <w:sz w:val="22"/>
                <w:szCs w:val="22"/>
              </w:rPr>
              <w:t>1</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499</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33"/>
        </w:trPr>
        <w:tc>
          <w:tcPr>
            <w:cnfStyle w:val="001000000000" w:firstRow="0" w:lastRow="0" w:firstColumn="1" w:lastColumn="0" w:oddVBand="0" w:evenVBand="0" w:oddHBand="0" w:evenHBand="0" w:firstRowFirstColumn="0" w:firstRowLastColumn="0" w:lastRowFirstColumn="0" w:lastRowLastColumn="0"/>
            <w:tcW w:w="1384" w:type="dxa"/>
            <w:vMerge/>
            <w:vAlign w:val="center"/>
            <w:hideMark/>
          </w:tcPr>
          <w:p w:rsidR="008B6253" w:rsidRPr="00864D5D" w:rsidRDefault="008B6253" w:rsidP="00C13B18">
            <w:pPr>
              <w:jc w:val="center"/>
              <w:rPr>
                <w:noProof/>
                <w:color w:val="000000"/>
                <w:sz w:val="22"/>
                <w:szCs w:val="22"/>
                <w:lang w:val="en-US"/>
              </w:rPr>
            </w:pPr>
          </w:p>
        </w:tc>
        <w:tc>
          <w:tcPr>
            <w:tcW w:w="1559"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655"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464" w:type="dxa"/>
            <w:gridSpan w:val="2"/>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8</w:t>
            </w:r>
            <w:r>
              <w:rPr>
                <w:noProof/>
                <w:color w:val="000000"/>
                <w:sz w:val="22"/>
                <w:szCs w:val="22"/>
              </w:rPr>
              <w:t>.</w:t>
            </w:r>
            <w:r w:rsidRPr="00033DD1">
              <w:rPr>
                <w:noProof/>
                <w:color w:val="000000"/>
                <w:sz w:val="22"/>
                <w:szCs w:val="22"/>
              </w:rPr>
              <w:t>4</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499</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hideMark/>
          </w:tcPr>
          <w:p w:rsidR="008B6253" w:rsidRPr="00864D5D" w:rsidRDefault="008B6253" w:rsidP="00C13B18">
            <w:pPr>
              <w:jc w:val="center"/>
              <w:rPr>
                <w:noProof/>
                <w:color w:val="000000"/>
                <w:sz w:val="22"/>
                <w:szCs w:val="22"/>
              </w:rPr>
            </w:pPr>
            <w:r w:rsidRPr="00033DD1">
              <w:rPr>
                <w:noProof/>
                <w:color w:val="000000"/>
                <w:sz w:val="22"/>
                <w:szCs w:val="22"/>
              </w:rPr>
              <w:t>5</w:t>
            </w:r>
            <w:r>
              <w:rPr>
                <w:noProof/>
                <w:color w:val="000000"/>
                <w:sz w:val="22"/>
                <w:szCs w:val="22"/>
              </w:rPr>
              <w:t>. Auktion von EU-Bills</w:t>
            </w:r>
          </w:p>
        </w:tc>
        <w:tc>
          <w:tcPr>
            <w:tcW w:w="1559"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w:t>
            </w:r>
            <w:r w:rsidRPr="00033DD1">
              <w:rPr>
                <w:noProof/>
                <w:color w:val="000000"/>
                <w:sz w:val="22"/>
                <w:szCs w:val="22"/>
              </w:rPr>
              <w:t>11</w:t>
            </w:r>
            <w:r>
              <w:rPr>
                <w:noProof/>
                <w:color w:val="000000"/>
                <w:sz w:val="22"/>
                <w:szCs w:val="22"/>
              </w:rPr>
              <w:t>.</w:t>
            </w:r>
            <w:r w:rsidRPr="00033DD1">
              <w:rPr>
                <w:noProof/>
                <w:color w:val="000000"/>
                <w:sz w:val="22"/>
                <w:szCs w:val="22"/>
              </w:rPr>
              <w:t>2021</w:t>
            </w:r>
          </w:p>
        </w:tc>
        <w:tc>
          <w:tcPr>
            <w:tcW w:w="1655"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5</w:t>
            </w:r>
            <w:r>
              <w:rPr>
                <w:noProof/>
                <w:color w:val="000000"/>
                <w:sz w:val="22"/>
                <w:szCs w:val="22"/>
              </w:rPr>
              <w:t>.</w:t>
            </w:r>
            <w:r w:rsidRPr="00033DD1">
              <w:rPr>
                <w:noProof/>
                <w:color w:val="000000"/>
                <w:sz w:val="22"/>
                <w:szCs w:val="22"/>
              </w:rPr>
              <w:t>11</w:t>
            </w:r>
            <w:r>
              <w:rPr>
                <w:noProof/>
                <w:color w:val="000000"/>
                <w:sz w:val="22"/>
                <w:szCs w:val="22"/>
              </w:rPr>
              <w:t>.</w:t>
            </w:r>
            <w:r w:rsidRPr="00033DD1">
              <w:rPr>
                <w:noProof/>
                <w:color w:val="000000"/>
                <w:sz w:val="22"/>
                <w:szCs w:val="22"/>
              </w:rPr>
              <w:t>2021</w:t>
            </w:r>
          </w:p>
        </w:tc>
        <w:tc>
          <w:tcPr>
            <w:tcW w:w="1464" w:type="dxa"/>
            <w:gridSpan w:val="2"/>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4</w:t>
            </w:r>
            <w:r>
              <w:rPr>
                <w:noProof/>
                <w:color w:val="000000"/>
                <w:sz w:val="22"/>
                <w:szCs w:val="22"/>
              </w:rPr>
              <w:t>.</w:t>
            </w:r>
            <w:r w:rsidRPr="00033DD1">
              <w:rPr>
                <w:noProof/>
                <w:color w:val="000000"/>
                <w:sz w:val="22"/>
                <w:szCs w:val="22"/>
              </w:rPr>
              <w:t>2</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497</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33"/>
        </w:trPr>
        <w:tc>
          <w:tcPr>
            <w:cnfStyle w:val="001000000000" w:firstRow="0" w:lastRow="0" w:firstColumn="1" w:lastColumn="0" w:oddVBand="0" w:evenVBand="0" w:oddHBand="0" w:evenHBand="0" w:firstRowFirstColumn="0" w:firstRowLastColumn="0" w:lastRowFirstColumn="0" w:lastRowLastColumn="0"/>
            <w:tcW w:w="1384" w:type="dxa"/>
            <w:vMerge/>
            <w:vAlign w:val="center"/>
            <w:hideMark/>
          </w:tcPr>
          <w:p w:rsidR="008B6253" w:rsidRPr="00864D5D" w:rsidRDefault="008B6253" w:rsidP="00C13B18">
            <w:pPr>
              <w:jc w:val="center"/>
              <w:rPr>
                <w:noProof/>
                <w:color w:val="000000"/>
                <w:sz w:val="22"/>
                <w:szCs w:val="22"/>
                <w:lang w:val="en-US"/>
              </w:rPr>
            </w:pPr>
          </w:p>
        </w:tc>
        <w:tc>
          <w:tcPr>
            <w:tcW w:w="1559"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655"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464" w:type="dxa"/>
            <w:gridSpan w:val="2"/>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w:t>
            </w:r>
            <w:r w:rsidRPr="00033DD1">
              <w:rPr>
                <w:noProof/>
                <w:color w:val="000000"/>
                <w:sz w:val="22"/>
                <w:szCs w:val="22"/>
              </w:rPr>
              <w:t>5</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496</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hideMark/>
          </w:tcPr>
          <w:p w:rsidR="008B6253" w:rsidRPr="00864D5D" w:rsidRDefault="008B6253" w:rsidP="00C13B18">
            <w:pPr>
              <w:jc w:val="center"/>
              <w:rPr>
                <w:noProof/>
                <w:color w:val="000000"/>
                <w:sz w:val="22"/>
                <w:szCs w:val="22"/>
              </w:rPr>
            </w:pPr>
            <w:r w:rsidRPr="00033DD1">
              <w:rPr>
                <w:noProof/>
                <w:color w:val="000000"/>
                <w:sz w:val="22"/>
                <w:szCs w:val="22"/>
              </w:rPr>
              <w:t>6</w:t>
            </w:r>
            <w:r>
              <w:rPr>
                <w:noProof/>
                <w:color w:val="000000"/>
                <w:sz w:val="22"/>
                <w:szCs w:val="22"/>
              </w:rPr>
              <w:t>. Auktion von EU-Bills</w:t>
            </w:r>
          </w:p>
        </w:tc>
        <w:tc>
          <w:tcPr>
            <w:tcW w:w="1559"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17</w:t>
            </w:r>
            <w:r>
              <w:rPr>
                <w:noProof/>
                <w:color w:val="000000"/>
                <w:sz w:val="22"/>
                <w:szCs w:val="22"/>
              </w:rPr>
              <w:t>.</w:t>
            </w:r>
            <w:r w:rsidRPr="00033DD1">
              <w:rPr>
                <w:noProof/>
                <w:color w:val="000000"/>
                <w:sz w:val="22"/>
                <w:szCs w:val="22"/>
              </w:rPr>
              <w:t>11</w:t>
            </w:r>
            <w:r>
              <w:rPr>
                <w:noProof/>
                <w:color w:val="000000"/>
                <w:sz w:val="22"/>
                <w:szCs w:val="22"/>
              </w:rPr>
              <w:t>.</w:t>
            </w:r>
            <w:r w:rsidRPr="00033DD1">
              <w:rPr>
                <w:noProof/>
                <w:color w:val="000000"/>
                <w:sz w:val="22"/>
                <w:szCs w:val="22"/>
              </w:rPr>
              <w:t>2021</w:t>
            </w:r>
          </w:p>
        </w:tc>
        <w:tc>
          <w:tcPr>
            <w:tcW w:w="1655"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19</w:t>
            </w:r>
            <w:r>
              <w:rPr>
                <w:noProof/>
                <w:color w:val="000000"/>
                <w:sz w:val="22"/>
                <w:szCs w:val="22"/>
              </w:rPr>
              <w:t>.</w:t>
            </w:r>
            <w:r w:rsidRPr="00033DD1">
              <w:rPr>
                <w:noProof/>
                <w:color w:val="000000"/>
                <w:sz w:val="22"/>
                <w:szCs w:val="22"/>
              </w:rPr>
              <w:t>11</w:t>
            </w:r>
            <w:r>
              <w:rPr>
                <w:noProof/>
                <w:color w:val="000000"/>
                <w:sz w:val="22"/>
                <w:szCs w:val="22"/>
              </w:rPr>
              <w:t>.</w:t>
            </w:r>
            <w:r w:rsidRPr="00033DD1">
              <w:rPr>
                <w:noProof/>
                <w:color w:val="000000"/>
                <w:sz w:val="22"/>
                <w:szCs w:val="22"/>
              </w:rPr>
              <w:t>2021</w:t>
            </w:r>
          </w:p>
        </w:tc>
        <w:tc>
          <w:tcPr>
            <w:tcW w:w="1464" w:type="dxa"/>
            <w:gridSpan w:val="2"/>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4</w:t>
            </w:r>
            <w:r>
              <w:rPr>
                <w:noProof/>
                <w:color w:val="000000"/>
                <w:sz w:val="22"/>
                <w:szCs w:val="22"/>
              </w:rPr>
              <w:t>.</w:t>
            </w:r>
            <w:r w:rsidRPr="00033DD1">
              <w:rPr>
                <w:noProof/>
                <w:color w:val="000000"/>
                <w:sz w:val="22"/>
                <w:szCs w:val="22"/>
              </w:rPr>
              <w:t>2</w:t>
            </w:r>
            <w:r>
              <w:rPr>
                <w:noProof/>
                <w:color w:val="000000"/>
                <w:sz w:val="22"/>
                <w:szCs w:val="22"/>
              </w:rPr>
              <w:t>.</w:t>
            </w:r>
            <w:r w:rsidRPr="00033DD1">
              <w:rPr>
                <w:noProof/>
                <w:color w:val="000000"/>
                <w:sz w:val="22"/>
                <w:szCs w:val="22"/>
              </w:rPr>
              <w:t>2021</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998</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33"/>
        </w:trPr>
        <w:tc>
          <w:tcPr>
            <w:cnfStyle w:val="001000000000" w:firstRow="0" w:lastRow="0" w:firstColumn="1" w:lastColumn="0" w:oddVBand="0" w:evenVBand="0" w:oddHBand="0" w:evenHBand="0" w:firstRowFirstColumn="0" w:firstRowLastColumn="0" w:lastRowFirstColumn="0" w:lastRowLastColumn="0"/>
            <w:tcW w:w="1384" w:type="dxa"/>
            <w:vMerge/>
            <w:vAlign w:val="center"/>
            <w:hideMark/>
          </w:tcPr>
          <w:p w:rsidR="008B6253" w:rsidRPr="00864D5D" w:rsidRDefault="008B6253" w:rsidP="00C13B18">
            <w:pPr>
              <w:jc w:val="center"/>
              <w:rPr>
                <w:noProof/>
                <w:color w:val="000000"/>
                <w:sz w:val="22"/>
                <w:szCs w:val="22"/>
                <w:lang w:val="en-US"/>
              </w:rPr>
            </w:pPr>
          </w:p>
        </w:tc>
        <w:tc>
          <w:tcPr>
            <w:tcW w:w="1559"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655"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464" w:type="dxa"/>
            <w:gridSpan w:val="2"/>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w:t>
            </w:r>
            <w:r w:rsidRPr="00033DD1">
              <w:rPr>
                <w:noProof/>
                <w:color w:val="000000"/>
                <w:sz w:val="22"/>
                <w:szCs w:val="22"/>
              </w:rPr>
              <w:t>5</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994</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04"/>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hideMark/>
          </w:tcPr>
          <w:p w:rsidR="008B6253" w:rsidRPr="00864D5D" w:rsidRDefault="008B6253" w:rsidP="00C13B18">
            <w:pPr>
              <w:jc w:val="center"/>
              <w:rPr>
                <w:noProof/>
                <w:color w:val="000000"/>
                <w:sz w:val="22"/>
                <w:szCs w:val="22"/>
              </w:rPr>
            </w:pPr>
            <w:r w:rsidRPr="00033DD1">
              <w:rPr>
                <w:noProof/>
                <w:color w:val="000000"/>
                <w:sz w:val="22"/>
                <w:szCs w:val="22"/>
              </w:rPr>
              <w:t>7</w:t>
            </w:r>
            <w:r>
              <w:rPr>
                <w:noProof/>
                <w:color w:val="000000"/>
                <w:sz w:val="22"/>
                <w:szCs w:val="22"/>
              </w:rPr>
              <w:t>. Auktion von EU-Bills</w:t>
            </w:r>
          </w:p>
        </w:tc>
        <w:tc>
          <w:tcPr>
            <w:tcW w:w="1559"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w:t>
            </w:r>
            <w:r w:rsidRPr="00033DD1">
              <w:rPr>
                <w:noProof/>
                <w:color w:val="000000"/>
                <w:sz w:val="22"/>
                <w:szCs w:val="22"/>
              </w:rPr>
              <w:t>12</w:t>
            </w:r>
            <w:r>
              <w:rPr>
                <w:noProof/>
                <w:color w:val="000000"/>
                <w:sz w:val="22"/>
                <w:szCs w:val="22"/>
              </w:rPr>
              <w:t>.</w:t>
            </w:r>
            <w:r w:rsidRPr="00033DD1">
              <w:rPr>
                <w:noProof/>
                <w:color w:val="000000"/>
                <w:sz w:val="22"/>
                <w:szCs w:val="22"/>
              </w:rPr>
              <w:t>2021</w:t>
            </w:r>
          </w:p>
        </w:tc>
        <w:tc>
          <w:tcPr>
            <w:tcW w:w="1655" w:type="dxa"/>
            <w:vMerge w:val="restart"/>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w:t>
            </w:r>
            <w:r w:rsidRPr="00033DD1">
              <w:rPr>
                <w:noProof/>
                <w:color w:val="000000"/>
                <w:sz w:val="22"/>
                <w:szCs w:val="22"/>
              </w:rPr>
              <w:t>12</w:t>
            </w:r>
            <w:r>
              <w:rPr>
                <w:noProof/>
                <w:color w:val="000000"/>
                <w:sz w:val="22"/>
                <w:szCs w:val="22"/>
              </w:rPr>
              <w:t>.</w:t>
            </w:r>
            <w:r w:rsidRPr="00033DD1">
              <w:rPr>
                <w:noProof/>
                <w:color w:val="000000"/>
                <w:sz w:val="22"/>
                <w:szCs w:val="22"/>
              </w:rPr>
              <w:t>2021</w:t>
            </w:r>
          </w:p>
        </w:tc>
        <w:tc>
          <w:tcPr>
            <w:tcW w:w="1464" w:type="dxa"/>
            <w:gridSpan w:val="2"/>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4</w:t>
            </w:r>
            <w:r>
              <w:rPr>
                <w:noProof/>
                <w:color w:val="000000"/>
                <w:sz w:val="22"/>
                <w:szCs w:val="22"/>
              </w:rPr>
              <w:t>.</w:t>
            </w:r>
            <w:r w:rsidRPr="00033DD1">
              <w:rPr>
                <w:noProof/>
                <w:color w:val="000000"/>
                <w:sz w:val="22"/>
                <w:szCs w:val="22"/>
              </w:rPr>
              <w:t>3</w:t>
            </w:r>
            <w:r>
              <w:rPr>
                <w:noProof/>
                <w:color w:val="000000"/>
                <w:sz w:val="22"/>
                <w:szCs w:val="22"/>
              </w:rPr>
              <w:t>.</w:t>
            </w:r>
            <w:r w:rsidRPr="00033DD1">
              <w:rPr>
                <w:noProof/>
                <w:color w:val="000000"/>
                <w:sz w:val="22"/>
                <w:szCs w:val="22"/>
              </w:rPr>
              <w:t>2021</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495</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r w:rsidR="008B6253" w:rsidRPr="00231F73" w:rsidTr="00C13B18">
        <w:trPr>
          <w:trHeight w:val="433"/>
        </w:trPr>
        <w:tc>
          <w:tcPr>
            <w:cnfStyle w:val="001000000000" w:firstRow="0" w:lastRow="0" w:firstColumn="1" w:lastColumn="0" w:oddVBand="0" w:evenVBand="0" w:oddHBand="0" w:evenHBand="0" w:firstRowFirstColumn="0" w:firstRowLastColumn="0" w:lastRowFirstColumn="0" w:lastRowLastColumn="0"/>
            <w:tcW w:w="1384" w:type="dxa"/>
            <w:vMerge/>
            <w:vAlign w:val="center"/>
            <w:hideMark/>
          </w:tcPr>
          <w:p w:rsidR="008B6253" w:rsidRPr="00864D5D" w:rsidRDefault="008B6253" w:rsidP="00C13B18">
            <w:pPr>
              <w:jc w:val="center"/>
              <w:rPr>
                <w:noProof/>
                <w:color w:val="000000"/>
                <w:sz w:val="22"/>
                <w:szCs w:val="22"/>
                <w:lang w:val="en-US"/>
              </w:rPr>
            </w:pPr>
          </w:p>
        </w:tc>
        <w:tc>
          <w:tcPr>
            <w:tcW w:w="1559"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655" w:type="dxa"/>
            <w:vMerge/>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lang w:val="en-US"/>
              </w:rPr>
            </w:pPr>
          </w:p>
        </w:tc>
        <w:tc>
          <w:tcPr>
            <w:tcW w:w="1464" w:type="dxa"/>
            <w:gridSpan w:val="2"/>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3</w:t>
            </w:r>
            <w:r>
              <w:rPr>
                <w:noProof/>
                <w:color w:val="000000"/>
                <w:sz w:val="22"/>
                <w:szCs w:val="22"/>
              </w:rPr>
              <w:t>.</w:t>
            </w:r>
            <w:r w:rsidRPr="00033DD1">
              <w:rPr>
                <w:noProof/>
                <w:color w:val="000000"/>
                <w:sz w:val="22"/>
                <w:szCs w:val="22"/>
              </w:rPr>
              <w:t>6</w:t>
            </w:r>
            <w:r>
              <w:rPr>
                <w:noProof/>
                <w:color w:val="000000"/>
                <w:sz w:val="22"/>
                <w:szCs w:val="22"/>
              </w:rPr>
              <w:t>.</w:t>
            </w:r>
            <w:r w:rsidRPr="00033DD1">
              <w:rPr>
                <w:noProof/>
                <w:color w:val="000000"/>
                <w:sz w:val="22"/>
                <w:szCs w:val="22"/>
              </w:rPr>
              <w:t>2022</w:t>
            </w:r>
          </w:p>
        </w:tc>
        <w:tc>
          <w:tcPr>
            <w:tcW w:w="1417" w:type="dxa"/>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6</w:t>
            </w:r>
            <w:r>
              <w:rPr>
                <w:noProof/>
                <w:color w:val="000000"/>
                <w:sz w:val="22"/>
                <w:szCs w:val="22"/>
              </w:rPr>
              <w:t> Monate</w:t>
            </w:r>
          </w:p>
        </w:tc>
        <w:tc>
          <w:tcPr>
            <w:tcW w:w="1701" w:type="dxa"/>
            <w:noWrap/>
            <w:vAlign w:val="center"/>
            <w:hideMark/>
          </w:tcPr>
          <w:p w:rsidR="008B6253" w:rsidRPr="00864D5D" w:rsidRDefault="008B6253" w:rsidP="00C13B18">
            <w:pPr>
              <w:jc w:val="center"/>
              <w:cnfStyle w:val="000000000000" w:firstRow="0" w:lastRow="0" w:firstColumn="0" w:lastColumn="0" w:oddVBand="0" w:evenVBand="0" w:oddHBand="0" w:evenHBand="0" w:firstRowFirstColumn="0" w:firstRowLastColumn="0" w:lastRowFirstColumn="0" w:lastRowLastColumn="0"/>
              <w:rPr>
                <w:noProof/>
                <w:color w:val="000000"/>
                <w:sz w:val="22"/>
                <w:szCs w:val="22"/>
              </w:rPr>
            </w:pPr>
            <w:r w:rsidRPr="00033DD1">
              <w:rPr>
                <w:noProof/>
                <w:color w:val="000000"/>
                <w:sz w:val="22"/>
                <w:szCs w:val="22"/>
              </w:rPr>
              <w:t>1</w:t>
            </w:r>
            <w:r>
              <w:rPr>
                <w:noProof/>
                <w:color w:val="000000"/>
                <w:sz w:val="22"/>
                <w:szCs w:val="22"/>
              </w:rPr>
              <w:t> </w:t>
            </w:r>
            <w:r w:rsidRPr="00033DD1">
              <w:rPr>
                <w:noProof/>
                <w:color w:val="000000"/>
                <w:sz w:val="22"/>
                <w:szCs w:val="22"/>
              </w:rPr>
              <w:t>496</w:t>
            </w:r>
            <w:r>
              <w:rPr>
                <w:noProof/>
                <w:color w:val="000000"/>
                <w:sz w:val="22"/>
                <w:szCs w:val="22"/>
              </w:rPr>
              <w:t> </w:t>
            </w:r>
            <w:r w:rsidRPr="00033DD1">
              <w:rPr>
                <w:noProof/>
                <w:color w:val="000000"/>
                <w:sz w:val="22"/>
                <w:szCs w:val="22"/>
              </w:rPr>
              <w:t>000</w:t>
            </w:r>
            <w:r>
              <w:rPr>
                <w:noProof/>
                <w:color w:val="000000"/>
                <w:sz w:val="22"/>
                <w:szCs w:val="22"/>
              </w:rPr>
              <w:t> </w:t>
            </w:r>
            <w:r w:rsidRPr="00033DD1">
              <w:rPr>
                <w:noProof/>
                <w:color w:val="000000"/>
                <w:sz w:val="22"/>
                <w:szCs w:val="22"/>
              </w:rPr>
              <w:t>000</w:t>
            </w:r>
          </w:p>
        </w:tc>
      </w:tr>
    </w:tbl>
    <w:p w:rsidR="008B6253" w:rsidRPr="00231F73" w:rsidRDefault="008B6253" w:rsidP="008B6253">
      <w:pPr>
        <w:pStyle w:val="ListParagraph"/>
        <w:ind w:left="1080"/>
        <w:rPr>
          <w:rFonts w:ascii="Times New Roman" w:hAnsi="Times New Roman" w:cs="Times New Roman"/>
          <w:noProof/>
          <w:color w:val="1F497D"/>
        </w:rPr>
      </w:pPr>
    </w:p>
    <w:p w:rsidR="008B6253" w:rsidRPr="00231F73" w:rsidRDefault="008B6253" w:rsidP="008B6253">
      <w:pPr>
        <w:rPr>
          <w:noProof/>
        </w:rPr>
      </w:pPr>
    </w:p>
    <w:p w:rsidR="008B6253" w:rsidRPr="00231F73" w:rsidRDefault="008B6253" w:rsidP="008B6253">
      <w:pPr>
        <w:spacing w:before="120" w:after="240"/>
        <w:jc w:val="center"/>
        <w:rPr>
          <w:noProof/>
        </w:rPr>
      </w:pPr>
    </w:p>
    <w:p w:rsidR="006E10F7" w:rsidRDefault="006E10F7">
      <w:pPr>
        <w:rPr>
          <w:noProof/>
        </w:rPr>
      </w:pPr>
    </w:p>
    <w:sectPr w:rsidR="006E10F7" w:rsidSect="00C13B18">
      <w:headerReference w:type="even" r:id="rId23"/>
      <w:headerReference w:type="default" r:id="rId24"/>
      <w:footerReference w:type="even" r:id="rId25"/>
      <w:footerReference w:type="default" r:id="rId26"/>
      <w:headerReference w:type="first" r:id="rId27"/>
      <w:footerReference w:type="first" r:id="rId28"/>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320" w:rsidRDefault="00287320" w:rsidP="008B6253">
      <w:pPr>
        <w:spacing w:after="0" w:line="240" w:lineRule="auto"/>
      </w:pPr>
      <w:r>
        <w:separator/>
      </w:r>
    </w:p>
  </w:endnote>
  <w:endnote w:type="continuationSeparator" w:id="0">
    <w:p w:rsidR="00287320" w:rsidRDefault="00287320" w:rsidP="008B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altName w:val="Bahnschrift Light"/>
    <w:charset w:val="00"/>
    <w:family w:val="swiss"/>
    <w:pitch w:val="variable"/>
    <w:sig w:usb0="A00002BF" w:usb1="5000E0FB"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C Square Sans Pro Light">
    <w:altName w:val="Corbel"/>
    <w:charset w:val="00"/>
    <w:family w:val="swiss"/>
    <w:pitch w:val="variable"/>
    <w:sig w:usb0="A00002B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D6" w:rsidRPr="00CB32D6" w:rsidRDefault="00CB32D6" w:rsidP="00CB3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Pr="00CB32D6" w:rsidRDefault="00CB32D6" w:rsidP="00CB32D6">
    <w:pPr>
      <w:pStyle w:val="FooterCoverPage"/>
      <w:rPr>
        <w:rFonts w:ascii="Arial" w:hAnsi="Arial" w:cs="Arial"/>
        <w:b/>
        <w:sz w:val="48"/>
      </w:rPr>
    </w:pPr>
    <w:r w:rsidRPr="00CB32D6">
      <w:rPr>
        <w:rFonts w:ascii="Arial" w:hAnsi="Arial" w:cs="Arial"/>
        <w:b/>
        <w:sz w:val="48"/>
      </w:rPr>
      <w:t>DE</w:t>
    </w:r>
    <w:r w:rsidRPr="00CB32D6">
      <w:rPr>
        <w:rFonts w:ascii="Arial" w:hAnsi="Arial" w:cs="Arial"/>
        <w:b/>
        <w:sz w:val="48"/>
      </w:rPr>
      <w:tab/>
    </w:r>
    <w:r w:rsidRPr="00CB32D6">
      <w:rPr>
        <w:rFonts w:ascii="Arial" w:hAnsi="Arial" w:cs="Arial"/>
        <w:b/>
        <w:sz w:val="48"/>
      </w:rPr>
      <w:tab/>
    </w:r>
    <w:r w:rsidRPr="00CB32D6">
      <w:tab/>
    </w:r>
    <w:r w:rsidRPr="00CB32D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D6" w:rsidRPr="00CB32D6" w:rsidRDefault="00CB32D6" w:rsidP="00CB32D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Pr="007352EE" w:rsidRDefault="00287320" w:rsidP="00287320">
    <w:pPr>
      <w:pStyle w:val="FooterCoverPage"/>
      <w:rPr>
        <w:rFonts w:ascii="Arial" w:hAnsi="Arial" w:cs="Arial"/>
        <w:b/>
        <w:sz w:val="48"/>
      </w:rPr>
    </w:pPr>
    <w:r>
      <w:rPr>
        <w:rFonts w:ascii="Arial" w:hAnsi="Arial"/>
        <w:b/>
        <w:sz w:val="48"/>
      </w:rPr>
      <w:t>DE</w:t>
    </w:r>
    <w:r>
      <w:tab/>
    </w:r>
    <w:r>
      <w:tab/>
    </w:r>
    <w:r>
      <w:tab/>
    </w:r>
    <w:r>
      <w:rPr>
        <w:rFonts w:ascii="Arial" w:hAnsi="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Footer"/>
      <w:jc w:val="center"/>
      <w:rPr>
        <w:noProof/>
      </w:rPr>
    </w:pPr>
    <w:r>
      <w:fldChar w:fldCharType="begin"/>
    </w:r>
    <w:r>
      <w:instrText xml:space="preserve"> PAGE   \* MERGEFORMAT </w:instrText>
    </w:r>
    <w:r>
      <w:fldChar w:fldCharType="separate"/>
    </w:r>
    <w:r w:rsidR="00CB32D6">
      <w:rPr>
        <w:noProof/>
      </w:rPr>
      <w:t>14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320" w:rsidRDefault="00287320" w:rsidP="008B6253">
      <w:pPr>
        <w:spacing w:after="0" w:line="240" w:lineRule="auto"/>
      </w:pPr>
      <w:r>
        <w:separator/>
      </w:r>
    </w:p>
  </w:footnote>
  <w:footnote w:type="continuationSeparator" w:id="0">
    <w:p w:rsidR="00287320" w:rsidRDefault="00287320" w:rsidP="008B6253">
      <w:pPr>
        <w:spacing w:after="0" w:line="240" w:lineRule="auto"/>
      </w:pPr>
      <w:r>
        <w:continuationSeparator/>
      </w:r>
    </w:p>
  </w:footnote>
  <w:footnote w:id="1">
    <w:p w:rsidR="00287320" w:rsidRPr="0016007B" w:rsidRDefault="00287320" w:rsidP="008B6253">
      <w:pPr>
        <w:pStyle w:val="FootnoteText"/>
        <w:ind w:left="142" w:hanging="153"/>
      </w:pPr>
      <w:r>
        <w:rPr>
          <w:rStyle w:val="FootnoteReference"/>
        </w:rPr>
        <w:footnoteRef/>
      </w:r>
      <w:r>
        <w:t xml:space="preserve"> </w:t>
      </w:r>
      <w:r>
        <w:tab/>
        <w:t>SURE ist eine vorübergehende Unterstützung, die für diejenigen Mitgliedstaaten verfügbar ist, die erhebliche Finanzmittel mobilisieren müssen, um die wirtschaftlichen und sozialen Konsequenzen des COVID-</w:t>
      </w:r>
      <w:r w:rsidRPr="00033DD1">
        <w:t>19</w:t>
      </w:r>
      <w:r>
        <w:t xml:space="preserve">-Ausbruchs auf ihrem Hoheitsgebiet einzudämmen. Im Rahmen von SURE können bis zu </w:t>
      </w:r>
      <w:r w:rsidRPr="00033DD1">
        <w:t>100</w:t>
      </w:r>
      <w:r>
        <w:t> Mrd. EUR an finanzieller Unterstützung in Form von Darlehen für betroffene Mitgliedstaaten bereitgestellt werden, damit diese den plötzlichen Anstieg der öffentlichen Ausgaben für die Erhaltung von Arbeitsplätzen bewältigen können. Rechtsgrundlage von SURE ist folgende Vorschrift: Verordnung (EU) </w:t>
      </w:r>
      <w:r w:rsidRPr="00033DD1">
        <w:t>2020</w:t>
      </w:r>
      <w:r>
        <w:t>/</w:t>
      </w:r>
      <w:r w:rsidRPr="00033DD1">
        <w:t>672</w:t>
      </w:r>
      <w:r>
        <w:t xml:space="preserve"> des Rates vom </w:t>
      </w:r>
      <w:r w:rsidRPr="00033DD1">
        <w:t>19</w:t>
      </w:r>
      <w:r>
        <w:t xml:space="preserve">. Mai </w:t>
      </w:r>
      <w:r w:rsidRPr="00033DD1">
        <w:t>2020</w:t>
      </w:r>
      <w:r>
        <w:t xml:space="preserve"> zur Schaffung eines europäischen Instruments zur vorübergehenden Unterstützung bei der Minderung von Arbeitslosigkeitsrisiken in einer Notlage (SURE) im Anschluss an den COVID-</w:t>
      </w:r>
      <w:r w:rsidRPr="00033DD1">
        <w:t>19</w:t>
      </w:r>
      <w:r>
        <w:t>-Ausbruch (ABl. L </w:t>
      </w:r>
      <w:r w:rsidRPr="00033DD1">
        <w:t>159</w:t>
      </w:r>
      <w:r>
        <w:t xml:space="preserve"> vom </w:t>
      </w:r>
      <w:r w:rsidRPr="00033DD1">
        <w:t>20</w:t>
      </w:r>
      <w:r>
        <w:t>.</w:t>
      </w:r>
      <w:r w:rsidRPr="00033DD1">
        <w:t>5</w:t>
      </w:r>
      <w:r>
        <w:t>.</w:t>
      </w:r>
      <w:r w:rsidRPr="00033DD1">
        <w:t>2020</w:t>
      </w:r>
      <w:r>
        <w:t>, S. </w:t>
      </w:r>
      <w:r w:rsidRPr="00033DD1">
        <w:t>1</w:t>
      </w:r>
      <w:r>
        <w:t>).</w:t>
      </w:r>
    </w:p>
  </w:footnote>
  <w:footnote w:id="2">
    <w:p w:rsidR="00287320" w:rsidRPr="00333E12" w:rsidRDefault="00287320" w:rsidP="008B6253">
      <w:pPr>
        <w:spacing w:after="0" w:line="240" w:lineRule="auto"/>
        <w:ind w:left="284" w:hanging="284"/>
        <w:rPr>
          <w:sz w:val="20"/>
          <w:szCs w:val="20"/>
        </w:rPr>
      </w:pPr>
      <w:r>
        <w:rPr>
          <w:rStyle w:val="FootnoteReference"/>
        </w:rPr>
        <w:footnoteRef/>
      </w:r>
      <w:r>
        <w:rPr>
          <w:sz w:val="20"/>
          <w:szCs w:val="20"/>
        </w:rPr>
        <w:tab/>
        <w:t xml:space="preserve">Im </w:t>
      </w:r>
      <w:r w:rsidRPr="00033DD1">
        <w:rPr>
          <w:sz w:val="20"/>
          <w:szCs w:val="20"/>
        </w:rPr>
        <w:t>2</w:t>
      </w:r>
      <w:r>
        <w:rPr>
          <w:sz w:val="20"/>
          <w:szCs w:val="20"/>
        </w:rPr>
        <w:t xml:space="preserve">. und </w:t>
      </w:r>
      <w:r w:rsidRPr="00033DD1">
        <w:rPr>
          <w:sz w:val="20"/>
          <w:szCs w:val="20"/>
        </w:rPr>
        <w:t>3</w:t>
      </w:r>
      <w:r>
        <w:rPr>
          <w:sz w:val="20"/>
          <w:szCs w:val="20"/>
        </w:rPr>
        <w:t xml:space="preserve">. Quartal </w:t>
      </w:r>
      <w:r w:rsidRPr="00033DD1">
        <w:rPr>
          <w:sz w:val="20"/>
          <w:szCs w:val="20"/>
        </w:rPr>
        <w:t>2021</w:t>
      </w:r>
      <w:r>
        <w:rPr>
          <w:sz w:val="20"/>
          <w:szCs w:val="20"/>
        </w:rPr>
        <w:t xml:space="preserve"> betrug der Monatsumsatz auf dem Sekundärmarkt </w:t>
      </w:r>
      <w:r w:rsidRPr="00033DD1">
        <w:rPr>
          <w:sz w:val="20"/>
          <w:szCs w:val="20"/>
        </w:rPr>
        <w:t>15</w:t>
      </w:r>
      <w:r>
        <w:rPr>
          <w:sz w:val="20"/>
          <w:szCs w:val="20"/>
        </w:rPr>
        <w:t> % der ausstehenden Schulden im Rahmen von NextGenerationEU. Dieses Verhältnis ist vergleichbar mit den liquidesten Märkten für Staatsanleihen im Eurogebiet.</w:t>
      </w:r>
    </w:p>
  </w:footnote>
  <w:footnote w:id="3">
    <w:p w:rsidR="00287320" w:rsidRPr="00333E12" w:rsidRDefault="00287320" w:rsidP="008B6253">
      <w:pPr>
        <w:spacing w:after="0" w:line="240" w:lineRule="auto"/>
        <w:ind w:left="284" w:hanging="284"/>
        <w:rPr>
          <w:sz w:val="20"/>
          <w:szCs w:val="20"/>
        </w:rPr>
      </w:pPr>
      <w:r>
        <w:rPr>
          <w:rStyle w:val="FootnoteReference"/>
          <w:sz w:val="20"/>
          <w:szCs w:val="20"/>
        </w:rPr>
        <w:footnoteRef/>
      </w:r>
      <w:r>
        <w:rPr>
          <w:sz w:val="20"/>
          <w:szCs w:val="20"/>
        </w:rPr>
        <w:tab/>
        <w:t>Beschluss (EU, Euratom) </w:t>
      </w:r>
      <w:r w:rsidRPr="00033DD1">
        <w:rPr>
          <w:sz w:val="20"/>
          <w:szCs w:val="20"/>
        </w:rPr>
        <w:t>2020</w:t>
      </w:r>
      <w:r>
        <w:rPr>
          <w:sz w:val="20"/>
          <w:szCs w:val="20"/>
        </w:rPr>
        <w:t>/</w:t>
      </w:r>
      <w:r w:rsidRPr="00033DD1">
        <w:rPr>
          <w:sz w:val="20"/>
          <w:szCs w:val="20"/>
        </w:rPr>
        <w:t>2053</w:t>
      </w:r>
      <w:r>
        <w:rPr>
          <w:sz w:val="20"/>
          <w:szCs w:val="20"/>
        </w:rPr>
        <w:t xml:space="preserve"> des Rates vom </w:t>
      </w:r>
      <w:r w:rsidRPr="00033DD1">
        <w:rPr>
          <w:sz w:val="20"/>
          <w:szCs w:val="20"/>
        </w:rPr>
        <w:t>14</w:t>
      </w:r>
      <w:r>
        <w:rPr>
          <w:sz w:val="20"/>
          <w:szCs w:val="20"/>
        </w:rPr>
        <w:t xml:space="preserve">. Dezember </w:t>
      </w:r>
      <w:r w:rsidRPr="00033DD1">
        <w:rPr>
          <w:sz w:val="20"/>
          <w:szCs w:val="20"/>
        </w:rPr>
        <w:t>2020</w:t>
      </w:r>
      <w:r>
        <w:rPr>
          <w:sz w:val="20"/>
          <w:szCs w:val="20"/>
        </w:rPr>
        <w:t xml:space="preserve"> über das Eigenmittelsystem der Europäischen Union und zur Aufhebung des Beschlusses </w:t>
      </w:r>
      <w:r w:rsidRPr="00033DD1">
        <w:rPr>
          <w:sz w:val="20"/>
          <w:szCs w:val="20"/>
        </w:rPr>
        <w:t>2014</w:t>
      </w:r>
      <w:r>
        <w:rPr>
          <w:sz w:val="20"/>
          <w:szCs w:val="20"/>
        </w:rPr>
        <w:t>/</w:t>
      </w:r>
      <w:r w:rsidRPr="00033DD1">
        <w:rPr>
          <w:sz w:val="20"/>
          <w:szCs w:val="20"/>
        </w:rPr>
        <w:t>335</w:t>
      </w:r>
      <w:r>
        <w:rPr>
          <w:sz w:val="20"/>
          <w:szCs w:val="20"/>
        </w:rPr>
        <w:t>/EU, Euratom (ABl. L </w:t>
      </w:r>
      <w:r w:rsidRPr="00033DD1">
        <w:rPr>
          <w:sz w:val="20"/>
          <w:szCs w:val="20"/>
        </w:rPr>
        <w:t>424</w:t>
      </w:r>
      <w:r>
        <w:rPr>
          <w:sz w:val="20"/>
          <w:szCs w:val="20"/>
        </w:rPr>
        <w:t xml:space="preserve"> vom </w:t>
      </w:r>
      <w:r w:rsidRPr="00033DD1">
        <w:rPr>
          <w:sz w:val="20"/>
          <w:szCs w:val="20"/>
        </w:rPr>
        <w:t>15</w:t>
      </w:r>
      <w:r>
        <w:rPr>
          <w:sz w:val="20"/>
          <w:szCs w:val="20"/>
        </w:rPr>
        <w:t>.</w:t>
      </w:r>
      <w:r w:rsidRPr="00033DD1">
        <w:rPr>
          <w:sz w:val="20"/>
          <w:szCs w:val="20"/>
        </w:rPr>
        <w:t>12</w:t>
      </w:r>
      <w:r>
        <w:rPr>
          <w:sz w:val="20"/>
          <w:szCs w:val="20"/>
        </w:rPr>
        <w:t>.</w:t>
      </w:r>
      <w:r w:rsidRPr="00033DD1">
        <w:rPr>
          <w:sz w:val="20"/>
          <w:szCs w:val="20"/>
        </w:rPr>
        <w:t>2020</w:t>
      </w:r>
      <w:r>
        <w:rPr>
          <w:sz w:val="20"/>
          <w:szCs w:val="20"/>
        </w:rPr>
        <w:t>, S. </w:t>
      </w:r>
      <w:r w:rsidRPr="00033DD1">
        <w:rPr>
          <w:sz w:val="20"/>
          <w:szCs w:val="20"/>
        </w:rPr>
        <w:t>1</w:t>
      </w:r>
      <w:r>
        <w:rPr>
          <w:sz w:val="20"/>
          <w:szCs w:val="20"/>
        </w:rPr>
        <w:t>).</w:t>
      </w:r>
    </w:p>
  </w:footnote>
  <w:footnote w:id="4">
    <w:p w:rsidR="00287320" w:rsidRPr="00333E12" w:rsidRDefault="00287320" w:rsidP="008B6253">
      <w:pPr>
        <w:spacing w:after="0" w:line="240" w:lineRule="auto"/>
        <w:ind w:left="284" w:hanging="284"/>
        <w:rPr>
          <w:sz w:val="20"/>
          <w:szCs w:val="20"/>
        </w:rPr>
      </w:pPr>
      <w:r>
        <w:rPr>
          <w:rStyle w:val="FootnoteReference"/>
          <w:sz w:val="20"/>
          <w:szCs w:val="20"/>
        </w:rPr>
        <w:footnoteRef/>
      </w:r>
      <w:r>
        <w:rPr>
          <w:sz w:val="20"/>
          <w:szCs w:val="20"/>
        </w:rPr>
        <w:tab/>
        <w:t xml:space="preserve">Dadurch konnten </w:t>
      </w:r>
      <w:r w:rsidRPr="00033DD1">
        <w:rPr>
          <w:sz w:val="20"/>
          <w:szCs w:val="20"/>
        </w:rPr>
        <w:t>20</w:t>
      </w:r>
      <w:r>
        <w:rPr>
          <w:sz w:val="20"/>
          <w:szCs w:val="20"/>
        </w:rPr>
        <w:t> Mitgliedstaaten eine Vorfinanzierung ihrer Finanzhilfen erhalten, fünf Mitgliedstaaten die Vorfinanzierung ihrer Darlehen, und Spanien die Zahlung der ersten Tranche seiner Finanzhilfe.</w:t>
      </w:r>
    </w:p>
  </w:footnote>
  <w:footnote w:id="5">
    <w:p w:rsidR="00287320" w:rsidRPr="00727584" w:rsidRDefault="00287320" w:rsidP="008B6253">
      <w:pPr>
        <w:spacing w:after="0" w:line="240" w:lineRule="auto"/>
        <w:ind w:left="284" w:hanging="284"/>
        <w:rPr>
          <w:sz w:val="20"/>
          <w:szCs w:val="20"/>
        </w:rPr>
      </w:pPr>
      <w:r>
        <w:rPr>
          <w:rStyle w:val="FootnoteReference"/>
          <w:sz w:val="20"/>
          <w:szCs w:val="20"/>
        </w:rPr>
        <w:footnoteRef/>
      </w:r>
      <w:r>
        <w:rPr>
          <w:sz w:val="20"/>
          <w:szCs w:val="20"/>
        </w:rPr>
        <w:tab/>
        <w:t>Mitteilung COM(</w:t>
      </w:r>
      <w:r w:rsidRPr="00033DD1">
        <w:rPr>
          <w:sz w:val="20"/>
          <w:szCs w:val="20"/>
        </w:rPr>
        <w:t>2021</w:t>
      </w:r>
      <w:r>
        <w:rPr>
          <w:sz w:val="20"/>
          <w:szCs w:val="20"/>
        </w:rPr>
        <w:t>) </w:t>
      </w:r>
      <w:r w:rsidRPr="00033DD1">
        <w:rPr>
          <w:sz w:val="20"/>
          <w:szCs w:val="20"/>
        </w:rPr>
        <w:t>250</w:t>
      </w:r>
      <w:r>
        <w:rPr>
          <w:sz w:val="20"/>
          <w:szCs w:val="20"/>
        </w:rPr>
        <w:t xml:space="preserve"> über eine neue Finanzierungsstrategie zur Finanzierung von NextGenerationEU (veröffentlicht am </w:t>
      </w:r>
      <w:r w:rsidRPr="00033DD1">
        <w:rPr>
          <w:sz w:val="20"/>
          <w:szCs w:val="20"/>
        </w:rPr>
        <w:t>14</w:t>
      </w:r>
      <w:r>
        <w:rPr>
          <w:sz w:val="20"/>
          <w:szCs w:val="20"/>
        </w:rPr>
        <w:t xml:space="preserve">. April </w:t>
      </w:r>
      <w:r w:rsidRPr="00033DD1">
        <w:rPr>
          <w:sz w:val="20"/>
          <w:szCs w:val="20"/>
        </w:rPr>
        <w:t>2021</w:t>
      </w:r>
      <w:r>
        <w:rPr>
          <w:sz w:val="20"/>
          <w:szCs w:val="20"/>
        </w:rPr>
        <w:t xml:space="preserve">). Siehe </w:t>
      </w:r>
      <w:hyperlink r:id="rId1" w:history="1">
        <w:r>
          <w:rPr>
            <w:rStyle w:val="Hyperlink"/>
            <w:sz w:val="20"/>
            <w:szCs w:val="20"/>
          </w:rPr>
          <w:t>https://eur-lex.europa.eu/legal-content/DE/TXT/PDF/?uri=CELEX:</w:t>
        </w:r>
        <w:r w:rsidRPr="00033DD1">
          <w:rPr>
            <w:rStyle w:val="Hyperlink"/>
            <w:sz w:val="20"/>
            <w:szCs w:val="20"/>
          </w:rPr>
          <w:t>52021</w:t>
        </w:r>
        <w:r>
          <w:rPr>
            <w:rStyle w:val="Hyperlink"/>
            <w:sz w:val="20"/>
            <w:szCs w:val="20"/>
          </w:rPr>
          <w:t>DC</w:t>
        </w:r>
        <w:r w:rsidRPr="00033DD1">
          <w:rPr>
            <w:rStyle w:val="Hyperlink"/>
            <w:sz w:val="20"/>
            <w:szCs w:val="20"/>
          </w:rPr>
          <w:t>0250</w:t>
        </w:r>
        <w:r>
          <w:rPr>
            <w:rStyle w:val="Hyperlink"/>
            <w:sz w:val="20"/>
            <w:szCs w:val="20"/>
          </w:rPr>
          <w:t>&amp;from=EN</w:t>
        </w:r>
      </w:hyperlink>
      <w:r>
        <w:rPr>
          <w:sz w:val="20"/>
          <w:szCs w:val="20"/>
        </w:rPr>
        <w:t>.</w:t>
      </w:r>
    </w:p>
  </w:footnote>
  <w:footnote w:id="6">
    <w:p w:rsidR="00287320" w:rsidRPr="00A173A4" w:rsidRDefault="00287320" w:rsidP="008B6253">
      <w:pPr>
        <w:pStyle w:val="FootnoteText"/>
        <w:ind w:left="284" w:hanging="284"/>
      </w:pPr>
      <w:r>
        <w:rPr>
          <w:rStyle w:val="FootnoteReference"/>
        </w:rPr>
        <w:footnoteRef/>
      </w:r>
      <w:r>
        <w:tab/>
        <w:t xml:space="preserve">Seitdem wurde ein </w:t>
      </w:r>
      <w:r w:rsidRPr="00033DD1">
        <w:t>43</w:t>
      </w:r>
      <w:r>
        <w:t xml:space="preserve">. Institut aufgenommen. Die aktuelle Liste kann der Website der Kommission entnommen werden: </w:t>
      </w:r>
      <w:hyperlink r:id="rId2" w:history="1">
        <w:r>
          <w:rPr>
            <w:rStyle w:val="Hyperlink"/>
          </w:rPr>
          <w:t>Primärhändlernetz</w:t>
        </w:r>
      </w:hyperlink>
      <w:r>
        <w:t>| (auf Englisch)</w:t>
      </w:r>
      <w:hyperlink r:id="rId3" w:history="1">
        <w:r>
          <w:rPr>
            <w:rStyle w:val="Hyperlink"/>
          </w:rPr>
          <w:t>Europäische Kommission (europa.eu)</w:t>
        </w:r>
      </w:hyperlink>
      <w:r>
        <w:t>.</w:t>
      </w:r>
    </w:p>
  </w:footnote>
  <w:footnote w:id="7">
    <w:p w:rsidR="00287320" w:rsidRPr="00727584" w:rsidRDefault="00287320" w:rsidP="008B6253">
      <w:pPr>
        <w:ind w:left="284" w:hanging="284"/>
        <w:rPr>
          <w:sz w:val="20"/>
          <w:szCs w:val="20"/>
        </w:rPr>
      </w:pPr>
      <w:r>
        <w:rPr>
          <w:rStyle w:val="FootnoteReference"/>
        </w:rPr>
        <w:footnoteRef/>
      </w:r>
      <w:r>
        <w:rPr>
          <w:sz w:val="20"/>
          <w:szCs w:val="20"/>
        </w:rPr>
        <w:tab/>
        <w:t xml:space="preserve">Durchführungsbeschluss der Kommission vom </w:t>
      </w:r>
      <w:r w:rsidRPr="00033DD1">
        <w:rPr>
          <w:sz w:val="20"/>
          <w:szCs w:val="20"/>
        </w:rPr>
        <w:t>14</w:t>
      </w:r>
      <w:r>
        <w:rPr>
          <w:sz w:val="20"/>
          <w:szCs w:val="20"/>
        </w:rPr>
        <w:t xml:space="preserve">. April </w:t>
      </w:r>
      <w:r w:rsidRPr="00033DD1">
        <w:rPr>
          <w:sz w:val="20"/>
          <w:szCs w:val="20"/>
        </w:rPr>
        <w:t>2021</w:t>
      </w:r>
      <w:r>
        <w:rPr>
          <w:sz w:val="20"/>
          <w:szCs w:val="20"/>
        </w:rPr>
        <w:t xml:space="preserve"> zur Festlegung der notwendigen Vorkehrungen für die Verwaltung der Mittelaufnahme gemäß dem Beschluss (EU, Euratom) </w:t>
      </w:r>
      <w:r w:rsidRPr="00033DD1">
        <w:rPr>
          <w:sz w:val="20"/>
          <w:szCs w:val="20"/>
        </w:rPr>
        <w:t>2020</w:t>
      </w:r>
      <w:r>
        <w:rPr>
          <w:sz w:val="20"/>
          <w:szCs w:val="20"/>
        </w:rPr>
        <w:t>/</w:t>
      </w:r>
      <w:r w:rsidRPr="00033DD1">
        <w:rPr>
          <w:sz w:val="20"/>
          <w:szCs w:val="20"/>
        </w:rPr>
        <w:t>2053</w:t>
      </w:r>
      <w:r>
        <w:rPr>
          <w:sz w:val="20"/>
          <w:szCs w:val="20"/>
        </w:rPr>
        <w:t xml:space="preserve"> des Rates und für die Darlehensvergabe im Zusammenhang mit den gemäß Artikel </w:t>
      </w:r>
      <w:r w:rsidRPr="00033DD1">
        <w:rPr>
          <w:sz w:val="20"/>
          <w:szCs w:val="20"/>
        </w:rPr>
        <w:t>15</w:t>
      </w:r>
      <w:r>
        <w:rPr>
          <w:sz w:val="20"/>
          <w:szCs w:val="20"/>
        </w:rPr>
        <w:t xml:space="preserve"> der Verordnung (EU) </w:t>
      </w:r>
      <w:r w:rsidRPr="00033DD1">
        <w:rPr>
          <w:sz w:val="20"/>
          <w:szCs w:val="20"/>
        </w:rPr>
        <w:t>2021</w:t>
      </w:r>
      <w:r>
        <w:rPr>
          <w:sz w:val="20"/>
          <w:szCs w:val="20"/>
        </w:rPr>
        <w:t>/</w:t>
      </w:r>
      <w:r w:rsidRPr="00033DD1">
        <w:rPr>
          <w:sz w:val="20"/>
          <w:szCs w:val="20"/>
        </w:rPr>
        <w:t>241</w:t>
      </w:r>
      <w:r>
        <w:rPr>
          <w:sz w:val="20"/>
          <w:szCs w:val="20"/>
        </w:rPr>
        <w:t xml:space="preserve"> des Europäischen Parlaments und des Rates gewährten Darlehen (C(</w:t>
      </w:r>
      <w:r w:rsidRPr="00033DD1">
        <w:rPr>
          <w:sz w:val="20"/>
          <w:szCs w:val="20"/>
        </w:rPr>
        <w:t>2021</w:t>
      </w:r>
      <w:r>
        <w:rPr>
          <w:sz w:val="20"/>
          <w:szCs w:val="20"/>
        </w:rPr>
        <w:t>) </w:t>
      </w:r>
      <w:r w:rsidRPr="00033DD1">
        <w:rPr>
          <w:sz w:val="20"/>
          <w:szCs w:val="20"/>
        </w:rPr>
        <w:t>2502</w:t>
      </w:r>
      <w:r>
        <w:rPr>
          <w:sz w:val="20"/>
          <w:szCs w:val="20"/>
        </w:rPr>
        <w:t> final).</w:t>
      </w:r>
    </w:p>
  </w:footnote>
  <w:footnote w:id="8">
    <w:p w:rsidR="00287320" w:rsidRDefault="00287320" w:rsidP="008B6253">
      <w:pPr>
        <w:ind w:left="284" w:hanging="284"/>
        <w:rPr>
          <w:sz w:val="20"/>
          <w:szCs w:val="20"/>
        </w:rPr>
      </w:pPr>
      <w:r>
        <w:rPr>
          <w:rStyle w:val="FootnoteReference"/>
        </w:rPr>
        <w:footnoteRef/>
      </w:r>
      <w:r>
        <w:rPr>
          <w:sz w:val="20"/>
          <w:szCs w:val="20"/>
        </w:rPr>
        <w:tab/>
        <w:t>Alle Ausgaben müssen mit dem Grundsatz der „Vermeidung erheblicher Beeinträchtigungen“ (Do No Significant Harm, DNSH, im Folgenden „DNSH“ oder „DNSH-Grundsatz“) für andere Umweltziele im Einklang stehen. Um dies zu erreichen, vereinbaren die Mitgliedstaaten in den Finanzierungs- und Darlehensvereinbarungen, dass regelmäßig über Ausgaben in Verbindung mit grünen Investitionen Bericht erstattet wird.</w:t>
      </w:r>
    </w:p>
    <w:p w:rsidR="00287320" w:rsidRPr="00727584" w:rsidRDefault="00287320" w:rsidP="008B6253">
      <w:pPr>
        <w:ind w:left="284" w:hanging="284"/>
        <w:rPr>
          <w:sz w:val="20"/>
          <w:szCs w:val="20"/>
        </w:rPr>
      </w:pPr>
    </w:p>
  </w:footnote>
  <w:footnote w:id="9">
    <w:p w:rsidR="00287320" w:rsidRPr="000970ED" w:rsidRDefault="00287320" w:rsidP="008B6253">
      <w:pPr>
        <w:spacing w:after="0"/>
        <w:ind w:left="284" w:hanging="284"/>
        <w:rPr>
          <w:sz w:val="20"/>
          <w:szCs w:val="20"/>
        </w:rPr>
      </w:pPr>
      <w:r w:rsidRPr="00033DD1">
        <w:rPr>
          <w:rStyle w:val="FootnoteReference"/>
          <w:sz w:val="20"/>
          <w:szCs w:val="20"/>
        </w:rPr>
        <w:footnoteRef/>
      </w:r>
      <w:r w:rsidRPr="00033DD1">
        <w:rPr>
          <w:sz w:val="20"/>
          <w:szCs w:val="20"/>
          <w:lang w:val="en-GB"/>
        </w:rPr>
        <w:t xml:space="preserve"> </w:t>
      </w:r>
      <w:r w:rsidRPr="00033DD1">
        <w:rPr>
          <w:sz w:val="20"/>
          <w:szCs w:val="20"/>
          <w:lang w:val="en-GB"/>
        </w:rPr>
        <w:tab/>
        <w:t>Commission</w:t>
      </w:r>
      <w:r w:rsidRPr="00093C58">
        <w:rPr>
          <w:sz w:val="20"/>
          <w:szCs w:val="20"/>
          <w:lang w:val="en-GB"/>
        </w:rPr>
        <w:t xml:space="preserve"> Implementing Decision of </w:t>
      </w:r>
      <w:r w:rsidRPr="00033DD1">
        <w:rPr>
          <w:sz w:val="20"/>
          <w:szCs w:val="20"/>
          <w:lang w:val="en-GB"/>
        </w:rPr>
        <w:t>1</w:t>
      </w:r>
      <w:r w:rsidRPr="00093C58">
        <w:rPr>
          <w:sz w:val="20"/>
          <w:szCs w:val="20"/>
          <w:lang w:val="en-GB"/>
        </w:rPr>
        <w:t xml:space="preserve"> June </w:t>
      </w:r>
      <w:r w:rsidRPr="00033DD1">
        <w:rPr>
          <w:sz w:val="20"/>
          <w:szCs w:val="20"/>
          <w:lang w:val="en-GB"/>
        </w:rPr>
        <w:t>2021</w:t>
      </w:r>
      <w:r w:rsidRPr="00093C58">
        <w:rPr>
          <w:sz w:val="20"/>
          <w:szCs w:val="20"/>
          <w:lang w:val="en-GB"/>
        </w:rPr>
        <w:t xml:space="preserve"> establishing the framework for borrowing and debt management operations under NextGenerationEU for </w:t>
      </w:r>
      <w:r w:rsidRPr="00033DD1">
        <w:rPr>
          <w:sz w:val="20"/>
          <w:szCs w:val="20"/>
          <w:lang w:val="en-GB"/>
        </w:rPr>
        <w:t>2021</w:t>
      </w:r>
      <w:r w:rsidRPr="00093C58">
        <w:rPr>
          <w:sz w:val="20"/>
          <w:szCs w:val="20"/>
          <w:lang w:val="en-GB"/>
        </w:rPr>
        <w:t xml:space="preserve"> C/</w:t>
      </w:r>
      <w:r w:rsidRPr="00033DD1">
        <w:rPr>
          <w:sz w:val="20"/>
          <w:szCs w:val="20"/>
          <w:lang w:val="en-GB"/>
        </w:rPr>
        <w:t>2021</w:t>
      </w:r>
      <w:r w:rsidRPr="00093C58">
        <w:rPr>
          <w:sz w:val="20"/>
          <w:szCs w:val="20"/>
          <w:lang w:val="en-GB"/>
        </w:rPr>
        <w:t>/</w:t>
      </w:r>
      <w:r w:rsidRPr="00033DD1">
        <w:rPr>
          <w:sz w:val="20"/>
          <w:szCs w:val="20"/>
          <w:lang w:val="en-GB"/>
        </w:rPr>
        <w:t>399</w:t>
      </w:r>
      <w:r w:rsidRPr="00093C58">
        <w:rPr>
          <w:sz w:val="20"/>
          <w:szCs w:val="20"/>
          <w:lang w:val="en-GB"/>
        </w:rPr>
        <w:t xml:space="preserve"> final (Durchführungsbeschluss der Kommission vom </w:t>
      </w:r>
      <w:r w:rsidRPr="00033DD1">
        <w:rPr>
          <w:sz w:val="20"/>
          <w:szCs w:val="20"/>
          <w:lang w:val="en-GB"/>
        </w:rPr>
        <w:t>1</w:t>
      </w:r>
      <w:r w:rsidRPr="00093C58">
        <w:rPr>
          <w:sz w:val="20"/>
          <w:szCs w:val="20"/>
          <w:lang w:val="en-GB"/>
        </w:rPr>
        <w:t>. </w:t>
      </w:r>
      <w:r>
        <w:rPr>
          <w:sz w:val="20"/>
          <w:szCs w:val="20"/>
        </w:rPr>
        <w:t xml:space="preserve">Juni </w:t>
      </w:r>
      <w:r w:rsidRPr="00033DD1">
        <w:rPr>
          <w:sz w:val="20"/>
          <w:szCs w:val="20"/>
        </w:rPr>
        <w:t>2021</w:t>
      </w:r>
      <w:r>
        <w:rPr>
          <w:sz w:val="20"/>
          <w:szCs w:val="20"/>
        </w:rPr>
        <w:t xml:space="preserve"> zur Festlegung des Rahmens für Mittelaufnahme- und Schuldenmanagementtätigkeiten im Rahmen von NextGenerationEU für </w:t>
      </w:r>
      <w:r w:rsidRPr="00033DD1">
        <w:rPr>
          <w:sz w:val="20"/>
          <w:szCs w:val="20"/>
        </w:rPr>
        <w:t>2021</w:t>
      </w:r>
      <w:r>
        <w:rPr>
          <w:sz w:val="20"/>
          <w:szCs w:val="20"/>
        </w:rPr>
        <w:t xml:space="preserve"> (C(</w:t>
      </w:r>
      <w:r w:rsidRPr="00033DD1">
        <w:rPr>
          <w:sz w:val="20"/>
          <w:szCs w:val="20"/>
        </w:rPr>
        <w:t>2021</w:t>
      </w:r>
      <w:r>
        <w:rPr>
          <w:sz w:val="20"/>
          <w:szCs w:val="20"/>
        </w:rPr>
        <w:t>) </w:t>
      </w:r>
      <w:r w:rsidRPr="00033DD1">
        <w:rPr>
          <w:sz w:val="20"/>
          <w:szCs w:val="20"/>
        </w:rPr>
        <w:t>3991</w:t>
      </w:r>
      <w:r>
        <w:rPr>
          <w:sz w:val="20"/>
          <w:szCs w:val="20"/>
        </w:rPr>
        <w:t> final), in englischer Sprache).</w:t>
      </w:r>
    </w:p>
  </w:footnote>
  <w:footnote w:id="10">
    <w:p w:rsidR="00287320" w:rsidRPr="00093C58" w:rsidRDefault="00287320" w:rsidP="008B6253">
      <w:pPr>
        <w:pStyle w:val="FootnoteText"/>
        <w:rPr>
          <w:lang w:val="en-GB"/>
        </w:rPr>
      </w:pPr>
      <w:r>
        <w:rPr>
          <w:rStyle w:val="FootnoteReference"/>
        </w:rPr>
        <w:footnoteRef/>
      </w:r>
      <w:r w:rsidRPr="00093C58">
        <w:rPr>
          <w:lang w:val="en-GB"/>
        </w:rPr>
        <w:t xml:space="preserve"> </w:t>
      </w:r>
      <w:hyperlink r:id="rId4" w:history="1">
        <w:r w:rsidRPr="00093C58">
          <w:rPr>
            <w:rStyle w:val="Hyperlink"/>
            <w:lang w:val="en-GB"/>
          </w:rPr>
          <w:t>factsheet_funding_plan_jan-jun-</w:t>
        </w:r>
        <w:r w:rsidRPr="00033DD1">
          <w:rPr>
            <w:rStyle w:val="Hyperlink"/>
            <w:lang w:val="en-GB"/>
          </w:rPr>
          <w:t>2022</w:t>
        </w:r>
        <w:r w:rsidRPr="00093C58">
          <w:rPr>
            <w:rStyle w:val="Hyperlink"/>
            <w:lang w:val="en-GB"/>
          </w:rPr>
          <w:t>.pdf (europa.eu)</w:t>
        </w:r>
      </w:hyperlink>
    </w:p>
    <w:p w:rsidR="00287320" w:rsidRPr="00685944" w:rsidRDefault="00287320" w:rsidP="008B6253">
      <w:pPr>
        <w:pStyle w:val="FootnoteText"/>
        <w:rPr>
          <w:lang w:val="en-IE"/>
        </w:rPr>
      </w:pPr>
    </w:p>
  </w:footnote>
  <w:footnote w:id="11">
    <w:p w:rsidR="00287320" w:rsidRPr="00093C58" w:rsidRDefault="00287320" w:rsidP="008B6253">
      <w:pPr>
        <w:pStyle w:val="FootnoteText"/>
        <w:rPr>
          <w:lang w:val="en-GB"/>
        </w:rPr>
      </w:pPr>
      <w:r>
        <w:rPr>
          <w:rStyle w:val="FootnoteReference"/>
        </w:rPr>
        <w:footnoteRef/>
      </w:r>
      <w:r w:rsidRPr="00093C58">
        <w:rPr>
          <w:lang w:val="en-GB"/>
        </w:rPr>
        <w:t xml:space="preserve"> </w:t>
      </w:r>
      <w:hyperlink r:id="rId5" w:history="1">
        <w:r w:rsidRPr="00093C58">
          <w:rPr>
            <w:rStyle w:val="Hyperlink"/>
            <w:lang w:val="en-GB"/>
          </w:rPr>
          <w:t>factsheet_funding_plan_v</w:t>
        </w:r>
        <w:r w:rsidRPr="00033DD1">
          <w:rPr>
            <w:rStyle w:val="Hyperlink"/>
            <w:lang w:val="en-GB"/>
          </w:rPr>
          <w:t>7</w:t>
        </w:r>
        <w:r w:rsidRPr="00093C58">
          <w:rPr>
            <w:rStyle w:val="Hyperlink"/>
            <w:lang w:val="en-GB"/>
          </w:rPr>
          <w:t>.pdf (europa.eu)</w:t>
        </w:r>
      </w:hyperlink>
    </w:p>
  </w:footnote>
  <w:footnote w:id="12">
    <w:p w:rsidR="00287320" w:rsidRPr="00396951" w:rsidRDefault="00287320" w:rsidP="008B6253">
      <w:pPr>
        <w:pStyle w:val="FootnoteText"/>
        <w:ind w:left="142" w:hanging="142"/>
        <w:rPr>
          <w:rStyle w:val="Hyperlink"/>
        </w:rPr>
      </w:pPr>
      <w:r>
        <w:rPr>
          <w:rStyle w:val="FootnoteReference"/>
        </w:rPr>
        <w:footnoteRef/>
      </w:r>
      <w:r>
        <w:t xml:space="preserve"> Durchführungsbeschluss der Kommission vom </w:t>
      </w:r>
      <w:r w:rsidRPr="00033DD1">
        <w:t>14</w:t>
      </w:r>
      <w:r>
        <w:t>.</w:t>
      </w:r>
      <w:r w:rsidRPr="00033DD1">
        <w:t>12</w:t>
      </w:r>
      <w:r>
        <w:t>.</w:t>
      </w:r>
      <w:r w:rsidRPr="00033DD1">
        <w:t>2021</w:t>
      </w:r>
      <w:r>
        <w:t xml:space="preserve"> zur Festlegung des Rahmens für Mittelaufnahme- und Schuldenmanagementtätigkeiten im Rahmen von </w:t>
      </w:r>
      <w:r>
        <w:rPr>
          <w:rStyle w:val="Hyperlink"/>
        </w:rPr>
        <w:t xml:space="preserve">NextGenerationEU für </w:t>
      </w:r>
      <w:r w:rsidRPr="00033DD1">
        <w:rPr>
          <w:rStyle w:val="Hyperlink"/>
        </w:rPr>
        <w:t>2022</w:t>
      </w:r>
      <w:r>
        <w:rPr>
          <w:rStyle w:val="Hyperlink"/>
        </w:rPr>
        <w:t xml:space="preserve"> (C/</w:t>
      </w:r>
      <w:r w:rsidRPr="00033DD1">
        <w:rPr>
          <w:rStyle w:val="Hyperlink"/>
        </w:rPr>
        <w:t>2021</w:t>
      </w:r>
      <w:r>
        <w:rPr>
          <w:rStyle w:val="Hyperlink"/>
        </w:rPr>
        <w:t>/</w:t>
      </w:r>
      <w:r w:rsidRPr="00033DD1">
        <w:rPr>
          <w:rStyle w:val="Hyperlink"/>
        </w:rPr>
        <w:t>9336</w:t>
      </w:r>
      <w:r>
        <w:rPr>
          <w:rStyle w:val="Hyperlink"/>
        </w:rPr>
        <w:t xml:space="preserve"> final)</w:t>
      </w:r>
      <w:r>
        <w:t>.</w:t>
      </w:r>
    </w:p>
  </w:footnote>
  <w:footnote w:id="13">
    <w:p w:rsidR="00287320" w:rsidRPr="00033DD1" w:rsidRDefault="00287320" w:rsidP="008B6253">
      <w:pPr>
        <w:pStyle w:val="FootnoteText"/>
        <w:rPr>
          <w:rStyle w:val="Hyperlink"/>
          <w:lang w:val="en-GB"/>
        </w:rPr>
      </w:pPr>
      <w:r w:rsidRPr="00033DD1">
        <w:rPr>
          <w:rStyle w:val="Hyperlink"/>
        </w:rPr>
        <w:footnoteRef/>
      </w:r>
      <w:r w:rsidRPr="00033DD1">
        <w:rPr>
          <w:rStyle w:val="Hyperlink"/>
          <w:lang w:val="en-GB"/>
        </w:rPr>
        <w:t xml:space="preserve"> </w:t>
      </w:r>
      <w:hyperlink r:id="rId6" w:history="1">
        <w:r w:rsidRPr="00033DD1">
          <w:rPr>
            <w:rStyle w:val="Hyperlink"/>
            <w:lang w:val="en-GB"/>
          </w:rPr>
          <w:t>factsheet_funding_plan_jan-jun-2022.pdf (europa.eu)</w:t>
        </w:r>
      </w:hyperlink>
    </w:p>
    <w:p w:rsidR="00287320" w:rsidRPr="00685944" w:rsidRDefault="00287320" w:rsidP="008B6253">
      <w:pPr>
        <w:pStyle w:val="FootnoteText"/>
        <w:rPr>
          <w:lang w:val="en-IE"/>
        </w:rPr>
      </w:pPr>
    </w:p>
  </w:footnote>
  <w:footnote w:id="14">
    <w:p w:rsidR="00287320" w:rsidRPr="00231F73" w:rsidRDefault="00287320" w:rsidP="008B6253">
      <w:pPr>
        <w:pStyle w:val="FootnoteText"/>
        <w:ind w:left="284" w:hanging="284"/>
      </w:pPr>
      <w:r>
        <w:rPr>
          <w:rStyle w:val="FootnoteReference"/>
        </w:rPr>
        <w:footnoteRef/>
      </w:r>
      <w:r>
        <w:tab/>
        <w:t>Beschluss (EU, Euratom) </w:t>
      </w:r>
      <w:r w:rsidRPr="00033DD1">
        <w:t>2021</w:t>
      </w:r>
      <w:r>
        <w:t>/</w:t>
      </w:r>
      <w:r w:rsidRPr="00033DD1">
        <w:t>625</w:t>
      </w:r>
      <w:r>
        <w:t xml:space="preserve"> der Kommission vom </w:t>
      </w:r>
      <w:r w:rsidRPr="00033DD1">
        <w:t>14</w:t>
      </w:r>
      <w:r>
        <w:t xml:space="preserve">. April </w:t>
      </w:r>
      <w:r w:rsidRPr="00033DD1">
        <w:t>2021</w:t>
      </w:r>
      <w:r>
        <w:t xml:space="preserve"> über die Einrichtung des Primärhändlernetzes und die Festlegung von Zulassungskriterien für die Mandatierung von Syndikatsführern und Mitgliedern der Führungsgruppe für syndizierte Transaktionen für die Zwecke der Mittelaufnahmetätigkeiten der Kommission im Namen der Union und der Europäischen Atomgemeinschaft.</w:t>
      </w:r>
    </w:p>
  </w:footnote>
  <w:footnote w:id="15">
    <w:p w:rsidR="00287320" w:rsidRPr="00231F73" w:rsidRDefault="00287320" w:rsidP="008B6253">
      <w:pPr>
        <w:pStyle w:val="FootnoteText"/>
        <w:ind w:left="284" w:hanging="284"/>
      </w:pPr>
      <w:r>
        <w:rPr>
          <w:rStyle w:val="FootnoteReference"/>
        </w:rPr>
        <w:footnoteRef/>
      </w:r>
      <w:r>
        <w:tab/>
        <w:t>Zypern, Griechenland, Italien, Portugal, Rumänien und Slowenien.</w:t>
      </w:r>
    </w:p>
  </w:footnote>
  <w:footnote w:id="16">
    <w:p w:rsidR="00287320" w:rsidRPr="00231F73" w:rsidRDefault="00287320" w:rsidP="008B6253">
      <w:pPr>
        <w:pStyle w:val="FootnoteText"/>
        <w:ind w:left="284" w:hanging="284"/>
      </w:pPr>
      <w:r>
        <w:rPr>
          <w:rStyle w:val="FootnoteReference"/>
        </w:rPr>
        <w:footnoteRef/>
      </w:r>
      <w:r w:rsidRPr="00093C58">
        <w:rPr>
          <w:lang w:val="en-GB"/>
        </w:rPr>
        <w:tab/>
        <w:t xml:space="preserve">Commission Implementing Decision (EU) </w:t>
      </w:r>
      <w:r w:rsidRPr="00033DD1">
        <w:rPr>
          <w:lang w:val="en-GB"/>
        </w:rPr>
        <w:t>2021</w:t>
      </w:r>
      <w:r w:rsidRPr="00093C58">
        <w:rPr>
          <w:lang w:val="en-GB"/>
        </w:rPr>
        <w:t>/</w:t>
      </w:r>
      <w:r w:rsidRPr="00033DD1">
        <w:rPr>
          <w:lang w:val="en-GB"/>
        </w:rPr>
        <w:t>1095</w:t>
      </w:r>
      <w:r w:rsidRPr="00093C58">
        <w:rPr>
          <w:lang w:val="en-GB"/>
        </w:rPr>
        <w:t xml:space="preserve"> of </w:t>
      </w:r>
      <w:r w:rsidRPr="00033DD1">
        <w:rPr>
          <w:lang w:val="en-GB"/>
        </w:rPr>
        <w:t>2</w:t>
      </w:r>
      <w:r w:rsidRPr="00093C58">
        <w:rPr>
          <w:lang w:val="en-GB"/>
        </w:rPr>
        <w:t xml:space="preserve"> July </w:t>
      </w:r>
      <w:r w:rsidRPr="00033DD1">
        <w:rPr>
          <w:lang w:val="en-GB"/>
        </w:rPr>
        <w:t>2021</w:t>
      </w:r>
      <w:r w:rsidRPr="00093C58">
        <w:rPr>
          <w:lang w:val="en-GB"/>
        </w:rPr>
        <w:t xml:space="preserve"> establishing the methodology for allocating costs related to borrowing and debt management operations under NextGenerationEU (C(</w:t>
      </w:r>
      <w:r w:rsidRPr="00033DD1">
        <w:rPr>
          <w:lang w:val="en-GB"/>
        </w:rPr>
        <w:t>2021</w:t>
      </w:r>
      <w:r w:rsidRPr="00093C58">
        <w:rPr>
          <w:lang w:val="en-GB"/>
        </w:rPr>
        <w:t>) </w:t>
      </w:r>
      <w:r w:rsidRPr="00033DD1">
        <w:rPr>
          <w:lang w:val="en-GB"/>
        </w:rPr>
        <w:t>4864</w:t>
      </w:r>
      <w:r w:rsidRPr="00093C58">
        <w:rPr>
          <w:lang w:val="en-GB"/>
        </w:rPr>
        <w:t>) (Durchführungsbeschluss (EU) </w:t>
      </w:r>
      <w:r w:rsidRPr="00033DD1">
        <w:rPr>
          <w:lang w:val="en-GB"/>
        </w:rPr>
        <w:t>2021</w:t>
      </w:r>
      <w:r w:rsidRPr="00093C58">
        <w:rPr>
          <w:lang w:val="en-GB"/>
        </w:rPr>
        <w:t>/</w:t>
      </w:r>
      <w:r w:rsidRPr="00033DD1">
        <w:rPr>
          <w:lang w:val="en-GB"/>
        </w:rPr>
        <w:t>1095</w:t>
      </w:r>
      <w:r w:rsidRPr="00093C58">
        <w:rPr>
          <w:lang w:val="en-GB"/>
        </w:rPr>
        <w:t xml:space="preserve"> der Kommission vom </w:t>
      </w:r>
      <w:r w:rsidRPr="00033DD1">
        <w:rPr>
          <w:lang w:val="en-GB"/>
        </w:rPr>
        <w:t>2</w:t>
      </w:r>
      <w:r w:rsidRPr="00093C58">
        <w:rPr>
          <w:lang w:val="en-GB"/>
        </w:rPr>
        <w:t>. </w:t>
      </w:r>
      <w:r>
        <w:t xml:space="preserve">Juli </w:t>
      </w:r>
      <w:r w:rsidRPr="00033DD1">
        <w:t>2021</w:t>
      </w:r>
      <w:r>
        <w:t xml:space="preserve"> zur Festlegung der Methode für die Zuweisung von Kosten im Zusammenhang mit der Mittelaufnahme und dem Schuldendienst im Rahmen von NextGenerationEU (C(</w:t>
      </w:r>
      <w:r w:rsidRPr="00033DD1">
        <w:t>2021</w:t>
      </w:r>
      <w:r>
        <w:t>) </w:t>
      </w:r>
      <w:r w:rsidRPr="00033DD1">
        <w:t>4864</w:t>
      </w:r>
      <w:r>
        <w:t>), in englischer Sprache).</w:t>
      </w:r>
    </w:p>
  </w:footnote>
  <w:footnote w:id="17">
    <w:p w:rsidR="00287320" w:rsidRPr="00A40CC2" w:rsidRDefault="00287320" w:rsidP="008B6253">
      <w:pPr>
        <w:pStyle w:val="FootnoteText"/>
        <w:ind w:left="284" w:hanging="284"/>
      </w:pPr>
      <w:r>
        <w:rPr>
          <w:rStyle w:val="FootnoteReference"/>
        </w:rPr>
        <w:footnoteRef/>
      </w:r>
      <w:r>
        <w:tab/>
      </w:r>
      <w:hyperlink r:id="rId7" w:history="1">
        <w:r>
          <w:rPr>
            <w:rStyle w:val="Hyperlink"/>
          </w:rPr>
          <w:t>The EU as a borrower – investor relations (Die EU als Darlehensnehmer – Investorenbeziehungen)</w:t>
        </w:r>
      </w:hyperlink>
      <w:hyperlink r:id="rId8" w:history="1">
        <w:r>
          <w:rPr>
            <w:rStyle w:val="Hyperlink"/>
          </w:rPr>
          <w:t>Europäische Kommission (europa.eu)</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D6" w:rsidRPr="00CB32D6" w:rsidRDefault="00CB32D6" w:rsidP="00CB3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D6" w:rsidRPr="00CB32D6" w:rsidRDefault="00CB32D6" w:rsidP="00CB32D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D6" w:rsidRPr="00CB32D6" w:rsidRDefault="00CB32D6" w:rsidP="00CB32D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0" w:rsidRDefault="00287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405D"/>
    <w:multiLevelType w:val="hybridMultilevel"/>
    <w:tmpl w:val="5BEA7DDA"/>
    <w:lvl w:ilvl="0" w:tplc="C98ECE3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423A5"/>
    <w:multiLevelType w:val="hybridMultilevel"/>
    <w:tmpl w:val="3A5EA9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6CF7A94"/>
    <w:multiLevelType w:val="hybridMultilevel"/>
    <w:tmpl w:val="7FD8063C"/>
    <w:lvl w:ilvl="0" w:tplc="A68CF278">
      <w:numFmt w:val="bullet"/>
      <w:lvlText w:val="•"/>
      <w:lvlJc w:val="left"/>
      <w:pPr>
        <w:ind w:left="720" w:hanging="360"/>
      </w:pPr>
      <w:rPr>
        <w:rFonts w:ascii="EC Square Sans Pro" w:hAnsi="EC Square Sans Pro" w:cs="Times New Roman" w:hint="default"/>
        <w:color w:val="4C4B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121F7"/>
    <w:multiLevelType w:val="hybridMultilevel"/>
    <w:tmpl w:val="58C84688"/>
    <w:lvl w:ilvl="0" w:tplc="A68CF278">
      <w:numFmt w:val="bullet"/>
      <w:lvlText w:val="•"/>
      <w:lvlJc w:val="left"/>
      <w:pPr>
        <w:ind w:left="720" w:hanging="360"/>
      </w:pPr>
      <w:rPr>
        <w:rFonts w:ascii="EC Square Sans Pro" w:hAnsi="EC Square Sans Pro" w:cs="Times New Roman" w:hint="default"/>
        <w:color w:val="4C4B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05736"/>
    <w:multiLevelType w:val="multilevel"/>
    <w:tmpl w:val="FC98DC46"/>
    <w:lvl w:ilvl="0">
      <w:start w:val="1"/>
      <w:numFmt w:val="decimal"/>
      <w:pStyle w:val="Heading1"/>
      <w:lvlText w:val="%1."/>
      <w:lvlJc w:val="left"/>
      <w:pPr>
        <w:ind w:left="502" w:hanging="360"/>
      </w:pPr>
    </w:lvl>
    <w:lvl w:ilvl="1">
      <w:start w:val="2"/>
      <w:numFmt w:val="decimal"/>
      <w:isLgl/>
      <w:lvlText w:val="%1.%2"/>
      <w:lvlJc w:val="left"/>
      <w:pPr>
        <w:ind w:left="720" w:hanging="360"/>
      </w:pPr>
      <w:rPr>
        <w:rFonts w:hint="default"/>
        <w:b/>
      </w:rPr>
    </w:lvl>
    <w:lvl w:ilvl="2">
      <w:start w:val="1"/>
      <w:numFmt w:val="decimalZero"/>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468" w:hanging="1800"/>
      </w:pPr>
      <w:rPr>
        <w:rFonts w:hint="default"/>
        <w:b/>
      </w:rPr>
    </w:lvl>
    <w:lvl w:ilvl="8">
      <w:start w:val="1"/>
      <w:numFmt w:val="decimal"/>
      <w:isLgl/>
      <w:lvlText w:val="%1.%2.%3.%4.%5.%6.%7.%8.%9"/>
      <w:lvlJc w:val="left"/>
      <w:pPr>
        <w:ind w:left="3686" w:hanging="1800"/>
      </w:pPr>
      <w:rPr>
        <w:rFonts w:hint="default"/>
        <w:b/>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EBAEC7B-3FA1-4606-9CB8-7132FDEA95CA"/>
    <w:docVar w:name="LW_COVERPAGE_TYPE" w:val="1"/>
    <w:docVar w:name="LW_CROSSREFERENCE" w:val="&lt;UNUSED&gt;"/>
    <w:docVar w:name="LW_DocType" w:val="NORMAL"/>
    <w:docVar w:name="LW_EMISSION" w:val="17.2.2022"/>
    <w:docVar w:name="LW_EMISSION_ISODATE" w:val="2022-02-17"/>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2) 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Halbjährlicher Bericht über die Ausführung der Finanzierungstätigkeiten im Rahmen von NextGenerationEU gemäß Artikel 12 des Durchführungsbeschlusses der Kommission C(2021) 2502_x000d__x000d__x000b__x000d__x000d__x000d__x000d__x000d__x000d__x000b__x000d__x000d__x000d__x000d__x000d__x000d__x000b_Juni - Dezember 2021_x000d__x000d__x000d__x000d__x000d__x000d__x000b__x000d__x000d__x000d__x000d__x000d__x000d__x000b_"/>
    <w:docVar w:name="LW_TYPE.DOC.CP" w:val="BERICHT DER KOMMISSION AN DAS EUROPÄISCHE PARLAMENT UND DEN RAT"/>
    <w:docVar w:name="LwApiVersions" w:val="LW4CoDe 1.23.2.0; LW 8.0, Build 20211117"/>
  </w:docVars>
  <w:rsids>
    <w:rsidRoot w:val="008B6253"/>
    <w:rsid w:val="00033DD1"/>
    <w:rsid w:val="00093C58"/>
    <w:rsid w:val="001F6DCA"/>
    <w:rsid w:val="00287320"/>
    <w:rsid w:val="003565D0"/>
    <w:rsid w:val="003A2408"/>
    <w:rsid w:val="003D58F8"/>
    <w:rsid w:val="00494B6A"/>
    <w:rsid w:val="00547427"/>
    <w:rsid w:val="0059322B"/>
    <w:rsid w:val="005B0A5C"/>
    <w:rsid w:val="006E10F7"/>
    <w:rsid w:val="007B66F0"/>
    <w:rsid w:val="00804E4F"/>
    <w:rsid w:val="008068C4"/>
    <w:rsid w:val="008A28E5"/>
    <w:rsid w:val="008B6253"/>
    <w:rsid w:val="00AA3C89"/>
    <w:rsid w:val="00B435E3"/>
    <w:rsid w:val="00B90C8F"/>
    <w:rsid w:val="00C13B18"/>
    <w:rsid w:val="00CB32D6"/>
    <w:rsid w:val="00D259BC"/>
    <w:rsid w:val="00D91E62"/>
    <w:rsid w:val="00E01996"/>
    <w:rsid w:val="00E462F0"/>
    <w:rsid w:val="00EB5908"/>
    <w:rsid w:val="00F410E5"/>
    <w:rsid w:val="00FA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F84E46A-E9CD-4A1A-963F-20780AFE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53"/>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B6253"/>
    <w:pPr>
      <w:keepNext/>
      <w:keepLines/>
      <w:numPr>
        <w:numId w:val="3"/>
      </w:numPr>
      <w:spacing w:before="240" w:after="240" w:line="240" w:lineRule="auto"/>
      <w:ind w:left="357" w:hanging="357"/>
      <w:outlineLvl w:val="0"/>
    </w:pPr>
    <w:rPr>
      <w:rFonts w:eastAsiaTheme="majorEastAsia" w:cstheme="majorBidi"/>
      <w:b/>
      <w:color w:val="0070C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253"/>
    <w:rPr>
      <w:rFonts w:ascii="Times New Roman" w:eastAsiaTheme="majorEastAsia" w:hAnsi="Times New Roman" w:cstheme="majorBidi"/>
      <w:b/>
      <w:color w:val="0070C0"/>
      <w:sz w:val="32"/>
      <w:szCs w:val="32"/>
      <w:lang w:val="de-DE"/>
    </w:rPr>
  </w:style>
  <w:style w:type="paragraph" w:styleId="Header">
    <w:name w:val="header"/>
    <w:basedOn w:val="Normal"/>
    <w:link w:val="HeaderChar"/>
    <w:unhideWhenUsed/>
    <w:rsid w:val="008B6253"/>
    <w:pPr>
      <w:tabs>
        <w:tab w:val="center" w:pos="4513"/>
        <w:tab w:val="right" w:pos="9026"/>
      </w:tabs>
      <w:spacing w:after="0" w:line="240" w:lineRule="auto"/>
    </w:pPr>
  </w:style>
  <w:style w:type="character" w:customStyle="1" w:styleId="HeaderChar">
    <w:name w:val="Header Char"/>
    <w:basedOn w:val="DefaultParagraphFont"/>
    <w:link w:val="Header"/>
    <w:rsid w:val="008B6253"/>
    <w:rPr>
      <w:rFonts w:ascii="Times New Roman" w:hAnsi="Times New Roman" w:cs="Times New Roman"/>
      <w:sz w:val="24"/>
      <w:szCs w:val="24"/>
      <w:lang w:val="de-DE"/>
    </w:rPr>
  </w:style>
  <w:style w:type="paragraph" w:styleId="Footer">
    <w:name w:val="footer"/>
    <w:basedOn w:val="Normal"/>
    <w:link w:val="FooterChar"/>
    <w:uiPriority w:val="99"/>
    <w:unhideWhenUsed/>
    <w:rsid w:val="008B6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253"/>
    <w:rPr>
      <w:rFonts w:ascii="Times New Roman" w:hAnsi="Times New Roman" w:cs="Times New Roman"/>
      <w:sz w:val="24"/>
      <w:szCs w:val="24"/>
      <w:lang w:val="de-DE"/>
    </w:rPr>
  </w:style>
  <w:style w:type="paragraph" w:customStyle="1" w:styleId="FooterCoverPage">
    <w:name w:val="Footer Cover Page"/>
    <w:basedOn w:val="Normal"/>
    <w:link w:val="FooterCoverPageChar"/>
    <w:rsid w:val="008B6253"/>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sid w:val="008B6253"/>
    <w:rPr>
      <w:rFonts w:ascii="Times New Roman" w:hAnsi="Times New Roman" w:cs="Times New Roman"/>
      <w:sz w:val="24"/>
      <w:szCs w:val="24"/>
    </w:rPr>
  </w:style>
  <w:style w:type="paragraph" w:customStyle="1" w:styleId="HeaderCoverPage">
    <w:name w:val="Header Cover Page"/>
    <w:basedOn w:val="Normal"/>
    <w:link w:val="HeaderCoverPageChar"/>
    <w:rsid w:val="008B6253"/>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8B6253"/>
    <w:rPr>
      <w:rFonts w:ascii="Times New Roman" w:hAnsi="Times New Roman" w:cs="Times New Roman"/>
      <w:sz w:val="24"/>
      <w:szCs w:val="24"/>
    </w:rPr>
  </w:style>
  <w:style w:type="character" w:styleId="FootnoteReference">
    <w:name w:val="footnote reference"/>
    <w:aliases w:val="BVI fnr,number,SUPERS,Footnote Reference Superscript,-E Fuﬂnotenzeichen,-E Fuûnotenzeichen,-E Fußnotenzeichen,EN Footnote Reference,Footnote number,stylish,Footnote symbol,(Footnote Reference),Footnote reference number,note TESI,ftref"/>
    <w:link w:val="BVIfnrChar"/>
    <w:uiPriority w:val="99"/>
    <w:qFormat/>
    <w:rsid w:val="008B6253"/>
    <w:rPr>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qFormat/>
    <w:rsid w:val="008B6253"/>
    <w:pPr>
      <w:spacing w:after="0" w:line="240" w:lineRule="auto"/>
      <w:ind w:left="720" w:hanging="720"/>
      <w:jc w:val="both"/>
    </w:pPr>
    <w:rPr>
      <w:rFonts w:eastAsia="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basedOn w:val="DefaultParagraphFont"/>
    <w:link w:val="FootnoteText"/>
    <w:uiPriority w:val="99"/>
    <w:rsid w:val="008B6253"/>
    <w:rPr>
      <w:rFonts w:ascii="Times New Roman" w:eastAsia="Times New Roman" w:hAnsi="Times New Roman" w:cs="Times New Roman"/>
      <w:sz w:val="20"/>
      <w:szCs w:val="20"/>
      <w:lang w:val="de-DE"/>
    </w:rPr>
  </w:style>
  <w:style w:type="paragraph" w:styleId="TOC1">
    <w:name w:val="toc 1"/>
    <w:basedOn w:val="Normal"/>
    <w:next w:val="Normal"/>
    <w:uiPriority w:val="39"/>
    <w:qFormat/>
    <w:rsid w:val="008B6253"/>
    <w:pPr>
      <w:tabs>
        <w:tab w:val="right" w:leader="dot" w:pos="9071"/>
      </w:tabs>
      <w:spacing w:before="60" w:after="120" w:line="240" w:lineRule="auto"/>
      <w:ind w:left="850" w:hanging="850"/>
    </w:pPr>
    <w:rPr>
      <w:rFonts w:eastAsia="Times New Roman"/>
    </w:rPr>
  </w:style>
  <w:style w:type="paragraph" w:styleId="TOCHeading">
    <w:name w:val="TOC Heading"/>
    <w:basedOn w:val="Normal"/>
    <w:next w:val="Normal"/>
    <w:link w:val="TOCHeadingChar"/>
    <w:uiPriority w:val="39"/>
    <w:qFormat/>
    <w:rsid w:val="008B6253"/>
    <w:pPr>
      <w:spacing w:before="120" w:after="240" w:line="240" w:lineRule="auto"/>
      <w:jc w:val="center"/>
    </w:pPr>
    <w:rPr>
      <w:rFonts w:eastAsia="Times New Roman"/>
      <w:b/>
      <w:sz w:val="28"/>
    </w:rPr>
  </w:style>
  <w:style w:type="character" w:styleId="Hyperlink">
    <w:name w:val="Hyperlink"/>
    <w:uiPriority w:val="99"/>
    <w:rsid w:val="008B6253"/>
    <w:rPr>
      <w:rFonts w:cs="Times New Roman"/>
      <w:color w:val="0000FF"/>
      <w:u w:val="single"/>
      <w:shd w:val="clear" w:color="auto" w:fill="auto"/>
    </w:rPr>
  </w:style>
  <w:style w:type="character" w:customStyle="1" w:styleId="TOCHeadingChar">
    <w:name w:val="TOC Heading Char"/>
    <w:link w:val="TOCHeading"/>
    <w:uiPriority w:val="39"/>
    <w:rsid w:val="008B6253"/>
    <w:rPr>
      <w:rFonts w:ascii="Times New Roman" w:eastAsia="Times New Roman" w:hAnsi="Times New Roman" w:cs="Times New Roman"/>
      <w:b/>
      <w:sz w:val="28"/>
      <w:szCs w:val="24"/>
      <w:lang w:val="de-DE"/>
    </w:rPr>
  </w:style>
  <w:style w:type="paragraph" w:styleId="Subtitle">
    <w:name w:val="Subtitle"/>
    <w:basedOn w:val="Normal"/>
    <w:next w:val="Normal"/>
    <w:link w:val="SubtitleChar"/>
    <w:qFormat/>
    <w:rsid w:val="008B6253"/>
    <w:pPr>
      <w:spacing w:before="120" w:after="60" w:line="240" w:lineRule="auto"/>
      <w:jc w:val="center"/>
      <w:outlineLvl w:val="1"/>
    </w:pPr>
    <w:rPr>
      <w:rFonts w:ascii="Cambria" w:eastAsia="Times New Roman" w:hAnsi="Cambria"/>
    </w:rPr>
  </w:style>
  <w:style w:type="character" w:customStyle="1" w:styleId="SubtitleChar">
    <w:name w:val="Subtitle Char"/>
    <w:basedOn w:val="DefaultParagraphFont"/>
    <w:link w:val="Subtitle"/>
    <w:rsid w:val="008B6253"/>
    <w:rPr>
      <w:rFonts w:ascii="Cambria" w:eastAsia="Times New Roman" w:hAnsi="Cambria" w:cs="Times New Roman"/>
      <w:sz w:val="24"/>
      <w:szCs w:val="24"/>
      <w:lang w:val="de-DE"/>
    </w:rPr>
  </w:style>
  <w:style w:type="paragraph" w:styleId="NormalWeb">
    <w:name w:val="Normal (Web)"/>
    <w:basedOn w:val="Normal"/>
    <w:uiPriority w:val="99"/>
    <w:unhideWhenUsed/>
    <w:rsid w:val="008B6253"/>
    <w:pPr>
      <w:spacing w:before="100" w:beforeAutospacing="1" w:after="100" w:afterAutospacing="1" w:line="240" w:lineRule="auto"/>
    </w:pPr>
    <w:rPr>
      <w:rFonts w:eastAsia="Times New Roman"/>
      <w:lang w:eastAsia="en-GB"/>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rsid w:val="008B6253"/>
    <w:pPr>
      <w:spacing w:after="160" w:line="240" w:lineRule="exact"/>
    </w:pPr>
    <w:rPr>
      <w:rFonts w:asciiTheme="minorHAnsi" w:hAnsiTheme="minorHAnsi" w:cstheme="minorBidi"/>
      <w:sz w:val="22"/>
      <w:szCs w:val="22"/>
      <w:vertAlign w:val="superscript"/>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8B6253"/>
    <w:pPr>
      <w:spacing w:after="160" w:line="259" w:lineRule="auto"/>
      <w:ind w:left="720"/>
      <w:contextualSpacing/>
    </w:pPr>
    <w:rPr>
      <w:rFonts w:asciiTheme="minorHAnsi" w:hAnsiTheme="minorHAnsi" w:cstheme="minorBidi"/>
      <w:sz w:val="22"/>
      <w:szCs w:val="22"/>
    </w:rPr>
  </w:style>
  <w:style w:type="character" w:styleId="IntenseReference">
    <w:name w:val="Intense Reference"/>
    <w:basedOn w:val="DefaultParagraphFont"/>
    <w:uiPriority w:val="32"/>
    <w:qFormat/>
    <w:rsid w:val="008B6253"/>
    <w:rPr>
      <w:b/>
      <w:bCs/>
      <w:smallCaps/>
      <w:color w:val="5B9BD5" w:themeColor="accent1"/>
      <w:spacing w:val="5"/>
    </w:rPr>
  </w:style>
  <w:style w:type="table" w:styleId="GridTable1Light-Accent1">
    <w:name w:val="Grid Table 1 Light Accent 1"/>
    <w:basedOn w:val="TableNormal"/>
    <w:uiPriority w:val="46"/>
    <w:rsid w:val="008B625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locked/>
    <w:rsid w:val="008B6253"/>
    <w:rPr>
      <w:lang w:val="de-DE"/>
    </w:rPr>
  </w:style>
  <w:style w:type="table" w:customStyle="1" w:styleId="TableGrid1">
    <w:name w:val="Table Grid1"/>
    <w:basedOn w:val="TableNormal"/>
    <w:next w:val="TableGrid"/>
    <w:uiPriority w:val="39"/>
    <w:rsid w:val="008B625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8B6253"/>
    <w:rPr>
      <w:color w:val="0000FF"/>
      <w:shd w:val="clear" w:color="auto" w:fill="auto"/>
    </w:rPr>
  </w:style>
  <w:style w:type="paragraph" w:customStyle="1" w:styleId="Pagedecouverture">
    <w:name w:val="Page de couverture"/>
    <w:basedOn w:val="Normal"/>
    <w:next w:val="Normal"/>
    <w:rsid w:val="008B6253"/>
    <w:pPr>
      <w:spacing w:after="0" w:line="240" w:lineRule="auto"/>
      <w:jc w:val="both"/>
    </w:pPr>
    <w:rPr>
      <w:szCs w:val="22"/>
    </w:rPr>
  </w:style>
  <w:style w:type="paragraph" w:customStyle="1" w:styleId="FooterSensitivity">
    <w:name w:val="Footer Sensitivity"/>
    <w:basedOn w:val="Normal"/>
    <w:link w:val="FooterSensitivityChar"/>
    <w:rsid w:val="008B625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sid w:val="008B6253"/>
    <w:rPr>
      <w:rFonts w:ascii="Times New Roman" w:eastAsia="Times New Roman" w:hAnsi="Times New Roman" w:cs="Times New Roman"/>
      <w:b/>
      <w:sz w:val="32"/>
      <w:szCs w:val="24"/>
      <w:lang w:val="de-DE"/>
    </w:rPr>
  </w:style>
  <w:style w:type="paragraph" w:customStyle="1" w:styleId="HeaderSensitivity">
    <w:name w:val="Header Sensitivity"/>
    <w:basedOn w:val="Normal"/>
    <w:link w:val="HeaderSensitivityChar"/>
    <w:rsid w:val="008B6253"/>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sid w:val="008B6253"/>
    <w:rPr>
      <w:rFonts w:ascii="Times New Roman" w:eastAsia="Times New Roman" w:hAnsi="Times New Roman" w:cs="Times New Roman"/>
      <w:b/>
      <w:sz w:val="32"/>
      <w:szCs w:val="24"/>
      <w:lang w:val="de-DE"/>
    </w:rPr>
  </w:style>
  <w:style w:type="paragraph" w:customStyle="1" w:styleId="HeaderSensitivityRight">
    <w:name w:val="Header Sensitivity Right"/>
    <w:basedOn w:val="Normal"/>
    <w:link w:val="HeaderSensitivityRightChar"/>
    <w:rsid w:val="008B6253"/>
    <w:pPr>
      <w:spacing w:after="120" w:line="240" w:lineRule="auto"/>
      <w:jc w:val="right"/>
    </w:pPr>
    <w:rPr>
      <w:sz w:val="28"/>
    </w:rPr>
  </w:style>
  <w:style w:type="character" w:customStyle="1" w:styleId="HeaderSensitivityRightChar">
    <w:name w:val="Header Sensitivity Right Char"/>
    <w:basedOn w:val="TOCHeadingChar"/>
    <w:link w:val="HeaderSensitivityRight"/>
    <w:rsid w:val="008B6253"/>
    <w:rPr>
      <w:rFonts w:ascii="Times New Roman" w:eastAsia="Times New Roman" w:hAnsi="Times New Roman" w:cs="Times New Roman"/>
      <w:b w:val="0"/>
      <w:sz w:val="28"/>
      <w:szCs w:val="24"/>
      <w:lang w:val="de-DE"/>
    </w:rPr>
  </w:style>
  <w:style w:type="table" w:customStyle="1" w:styleId="TableGrid11">
    <w:name w:val="Table Grid11"/>
    <w:basedOn w:val="TableNormal"/>
    <w:next w:val="TableGrid"/>
    <w:uiPriority w:val="39"/>
    <w:rsid w:val="00804E4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13B1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eu-budget/eu-borrower-investor-relations_en" TargetMode="External"/><Relationship Id="rId3" Type="http://schemas.openxmlformats.org/officeDocument/2006/relationships/hyperlink" Target="https://ec.europa.eu/info/strategy/eu-budget/eu-borrower-investor-relations/primary-dealer-network_en" TargetMode="External"/><Relationship Id="rId7" Type="http://schemas.openxmlformats.org/officeDocument/2006/relationships/hyperlink" Target="https://ec.europa.eu/info/strategy/eu-budget/eu-borrower-investor-relations_en" TargetMode="External"/><Relationship Id="rId2" Type="http://schemas.openxmlformats.org/officeDocument/2006/relationships/hyperlink" Target="https://ec.europa.eu/info/strategy/eu-budget/eu-borrower-investor-relations/primary-dealer-network_en" TargetMode="External"/><Relationship Id="rId1" Type="http://schemas.openxmlformats.org/officeDocument/2006/relationships/hyperlink" Target="https://eur-lex.europa.eu/legal-content/DE/TXT/PDF/?uri=CELEX:52021DC0250&amp;from=EN" TargetMode="External"/><Relationship Id="rId6" Type="http://schemas.openxmlformats.org/officeDocument/2006/relationships/hyperlink" Target="https://ec.europa.eu/info/sites/default/files/about_the_european_commission/eu_budget/factsheet_funding_plan_jan-jun-2022.pdf" TargetMode="External"/><Relationship Id="rId5" Type="http://schemas.openxmlformats.org/officeDocument/2006/relationships/hyperlink" Target="https://ec.europa.eu/info/sites/default/files/about_the_european_commission/eu_budget/factsheet_funding_plan_v7.pdf" TargetMode="External"/><Relationship Id="rId4" Type="http://schemas.openxmlformats.org/officeDocument/2006/relationships/hyperlink" Target="https://ec.europa.eu/info/sites/default/files/about_the_european_commission/eu_budget/factsheet_funding_plan_jan-jun-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16</Pages>
  <Words>4527</Words>
  <Characters>30245</Characters>
  <Application>Microsoft Office Word</Application>
  <DocSecurity>0</DocSecurity>
  <Lines>687</Lines>
  <Paragraphs>269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dcterms:created xsi:type="dcterms:W3CDTF">2022-02-10T15:08:00Z</dcterms:created>
  <dcterms:modified xsi:type="dcterms:W3CDTF">2022-02-16T07:59:00Z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7.0.1, Build 20200226</vt:lpwstr>
  </property>
</Properties>
</file>